
<file path=[Content_Types].xml><?xml version="1.0" encoding="utf-8"?>
<Types xmlns="http://schemas.openxmlformats.org/package/2006/content-types">
  <Default Extension="emf" ContentType="image/x-emf"/>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charts/chart4.xml" ContentType="application/vnd.openxmlformats-officedocument.drawingml.chart+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drawings/drawing3.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2.xml" ContentType="application/vnd.ms-office.classificationlabels+xml"/>
  <Override PartName="/docMetadata/LabelInfo6.xml" ContentType="application/vnd.ms-office.classificationlabels+xml"/>
  <Override PartName="/docMetadata/LabelInfo11.xml" ContentType="application/vnd.ms-office.classificationlabels+xml"/>
  <Override PartName="/docMetadata/LabelInfo19.xml" ContentType="application/vnd.ms-office.classificationlabels+xml"/>
  <Override PartName="/docMetadata/LabelInfo14.xml" ContentType="application/vnd.ms-office.classificationlabels+xml"/>
  <Override PartName="/docMetadata/LabelInfo1.xml" ContentType="application/vnd.ms-office.classificationlabels+xml"/>
  <Override PartName="/docMetadata/LabelInfo5.xml" ContentType="application/vnd.ms-office.classificationlabels+xml"/>
  <Override PartName="/docMetadata/LabelInfo10.xml" ContentType="application/vnd.ms-office.classificationlabels+xml"/>
  <Override PartName="/docMetadata/LabelInfo18.xml" ContentType="application/vnd.ms-office.classificationlabels+xml"/>
  <Override PartName="/docMetadata/LabelInfo9.xml" ContentType="application/vnd.ms-office.classificationlabels+xml"/>
  <Override PartName="/docMetadata/LabelInfo13.xml" ContentType="application/vnd.ms-office.classificationlabels+xml"/>
  <Override PartName="/docMetadata/LabelInfo22.xml" ContentType="application/vnd.ms-office.classificationlabels+xml"/>
  <Override PartName="/docMetadata/LabelInfo0.xml" ContentType="application/vnd.ms-office.classificationlabels+xml"/>
  <Override PartName="/docMetadata/LabelInfo4.xml" ContentType="application/vnd.ms-office.classificationlabels+xml"/>
  <Override PartName="/docMetadata/LabelInfo17.xml" ContentType="application/vnd.ms-office.classificationlabels+xml"/>
  <Override PartName="/docMetadata/LabelInfo8.xml" ContentType="application/vnd.ms-office.classificationlabels+xml"/>
  <Override PartName="/docMetadata/LabelInfo15.xml" ContentType="application/vnd.ms-office.classificationlabels+xml"/>
  <Override PartName="/docMetadata/LabelInfo21.xml" ContentType="application/vnd.ms-office.classificationlabels+xml"/>
  <Override PartName="/docMetadata/LabelInfo20.xml" ContentType="application/vnd.ms-office.classificationlabels+xml"/>
  <Override PartName="/docMetadata/LabelInfo3.xml" ContentType="application/vnd.ms-office.classificationlabels+xml"/>
  <Override PartName="/docMetadata/LabelInfo23.xml" ContentType="application/vnd.ms-office.classificationlabels+xml"/>
  <Override PartName="/docMetadata/LabelInfo.xml" ContentType="application/vnd.ms-office.classificationlabels+xml"/>
  <Override PartName="/docMetadata/LabelInfo24.xml" ContentType="application/vnd.ms-office.classificationlabels+xml"/>
  <Override PartName="/docMetadata/LabelInfo16.xml" ContentType="application/vnd.ms-office.classificationlabels+xml"/>
  <Override PartName="/docMetadata/LabelInfo12.xml" ContentType="application/vnd.ms-office.classificationlabels+xml"/>
  <Override PartName="/docMetadata/LabelInfo7.xml" ContentType="application/vnd.ms-office.classificationlabels+xml"/>
</Types>
</file>

<file path=_rels/.rels><?xml version="1.0" encoding="UTF-8" standalone="yes"?>
<Relationships xmlns="http://schemas.openxmlformats.org/package/2006/relationships"><Relationship Id="rId8" Type="http://schemas.microsoft.com/office/2020/02/relationships/classificationlabels" Target="docMetadata/LabelInfo2.xml"/><Relationship Id="rId13" Type="http://schemas.microsoft.com/office/2020/02/relationships/classificationlabels" Target="docMetadata/LabelInfo6.xml"/><Relationship Id="rId18" Type="http://schemas.microsoft.com/office/2020/02/relationships/classificationlabels" Target="docMetadata/LabelInfo11.xml"/><Relationship Id="rId26" Type="http://schemas.microsoft.com/office/2020/02/relationships/classificationlabels" Target="docMetadata/LabelInfo19.xml"/><Relationship Id="rId3" Type="http://schemas.openxmlformats.org/package/2006/relationships/metadata/core-properties" Target="docProps/core.xml"/><Relationship Id="rId21" Type="http://schemas.microsoft.com/office/2020/02/relationships/classificationlabels" Target="docMetadata/LabelInfo14.xml"/><Relationship Id="rId7" Type="http://schemas.microsoft.com/office/2020/02/relationships/classificationlabels" Target="docMetadata/LabelInfo1.xml"/><Relationship Id="rId12" Type="http://schemas.microsoft.com/office/2020/02/relationships/classificationlabels" Target="docMetadata/LabelInfo5.xml"/><Relationship Id="rId17" Type="http://schemas.microsoft.com/office/2020/02/relationships/classificationlabels" Target="docMetadata/LabelInfo10.xml"/><Relationship Id="rId25" Type="http://schemas.microsoft.com/office/2020/02/relationships/classificationlabels" Target="docMetadata/LabelInfo18.xml"/><Relationship Id="rId2" Type="http://schemas.openxmlformats.org/package/2006/relationships/metadata/thumbnail" Target="docProps/thumbnail.emf"/><Relationship Id="rId16" Type="http://schemas.microsoft.com/office/2020/02/relationships/classificationlabels" Target="docMetadata/LabelInfo9.xml"/><Relationship Id="rId20" Type="http://schemas.microsoft.com/office/2020/02/relationships/classificationlabels" Target="docMetadata/LabelInfo13.xml"/><Relationship Id="rId29" Type="http://schemas.microsoft.com/office/2020/02/relationships/classificationlabels" Target="docMetadata/LabelInfo22.xml"/><Relationship Id="rId1" Type="http://schemas.openxmlformats.org/officeDocument/2006/relationships/officeDocument" Target="word/document.xml"/><Relationship Id="rId6" Type="http://schemas.microsoft.com/office/2020/02/relationships/classificationlabels" Target="docMetadata/LabelInfo0.xml"/><Relationship Id="rId11" Type="http://schemas.microsoft.com/office/2020/02/relationships/classificationlabels" Target="docMetadata/LabelInfo4.xml"/><Relationship Id="rId24" Type="http://schemas.microsoft.com/office/2020/02/relationships/classificationlabels" Target="docMetadata/LabelInfo17.xml"/><Relationship Id="rId5" Type="http://schemas.openxmlformats.org/officeDocument/2006/relationships/custom-properties" Target="docProps/custom.xml"/><Relationship Id="rId15" Type="http://schemas.microsoft.com/office/2020/02/relationships/classificationlabels" Target="docMetadata/LabelInfo8.xml"/><Relationship Id="rId23" Type="http://schemas.microsoft.com/office/2020/02/relationships/classificationlabels" Target="docMetadata/LabelInfo15.xml"/><Relationship Id="rId28" Type="http://schemas.microsoft.com/office/2020/02/relationships/classificationlabels" Target="docMetadata/LabelInfo21.xml"/><Relationship Id="rId19" Type="http://schemas.microsoft.com/office/2020/02/relationships/classificationlabels" Target="docMetadata/LabelInfo20.xml"/><Relationship Id="rId10" Type="http://schemas.microsoft.com/office/2020/02/relationships/classificationlabels" Target="docMetadata/LabelInfo3.xml"/><Relationship Id="rId31" Type="http://schemas.microsoft.com/office/2020/02/relationships/classificationlabels" Target="docMetadata/LabelInfo23.xml"/><Relationship Id="rId4" Type="http://schemas.openxmlformats.org/officeDocument/2006/relationships/extended-properties" Target="docProps/app.xml"/><Relationship Id="rId27" Type="http://schemas.microsoft.com/office/2020/02/relationships/classificationlabels" Target="docMetadata/LabelInfo.xml"/><Relationship Id="rId30" Type="http://schemas.microsoft.com/office/2020/02/relationships/classificationlabels" Target="docMetadata/LabelInfo24.xml"/><Relationship Id="rId22" Type="http://schemas.microsoft.com/office/2020/02/relationships/classificationlabels" Target="docMetadata/LabelInfo16.xml"/><Relationship Id="rId14" Type="http://schemas.microsoft.com/office/2020/02/relationships/classificationlabels" Target="docMetadata/LabelInfo12.xml"/><Relationship Id="rId9" Type="http://schemas.microsoft.com/office/2020/02/relationships/classificationlabels" Target="docMetadata/LabelInfo7.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DE7D56" w14:textId="771B9DAD" w:rsidR="00300534" w:rsidRPr="007641D2" w:rsidRDefault="00C86962" w:rsidP="008437C6">
      <w:pPr>
        <w:pStyle w:val="Heading1"/>
        <w:spacing w:before="480"/>
        <w:rPr>
          <w:rFonts w:cs="Arial"/>
        </w:rPr>
      </w:pPr>
      <w:r w:rsidRPr="007641D2">
        <w:rPr>
          <w:rFonts w:cs="Arial"/>
        </w:rPr>
        <w:t>5</w:t>
      </w:r>
      <w:r w:rsidR="00300534" w:rsidRPr="007641D2">
        <w:rPr>
          <w:rFonts w:cs="Arial"/>
        </w:rPr>
        <w:t>.</w:t>
      </w:r>
      <w:r w:rsidR="00300534" w:rsidRPr="007641D2">
        <w:rPr>
          <w:rFonts w:cs="Arial"/>
        </w:rPr>
        <w:tab/>
      </w:r>
      <w:r w:rsidR="00CF237C" w:rsidRPr="007641D2">
        <w:rPr>
          <w:rFonts w:cs="Arial"/>
        </w:rPr>
        <w:t>Expenditure</w:t>
      </w:r>
    </w:p>
    <w:tbl>
      <w:tblPr>
        <w:tblW w:w="9639" w:type="dxa"/>
        <w:shd w:val="clear" w:color="auto" w:fill="F2F2F2" w:themeFill="background1" w:themeFillShade="F2"/>
        <w:tblLayout w:type="fixed"/>
        <w:tblCellMar>
          <w:left w:w="0" w:type="dxa"/>
          <w:right w:w="0" w:type="dxa"/>
        </w:tblCellMar>
        <w:tblLook w:val="04A0" w:firstRow="1" w:lastRow="0" w:firstColumn="1" w:lastColumn="0" w:noHBand="0" w:noVBand="1"/>
        <w:tblCaption w:val="Chapter 5: EXPENDITURE - focus box"/>
        <w:tblDescription w:val="Chapter 5: EXPENDITURE - focus box"/>
      </w:tblPr>
      <w:tblGrid>
        <w:gridCol w:w="9639"/>
      </w:tblGrid>
      <w:tr w:rsidR="00FB56B9" w:rsidRPr="007641D2" w14:paraId="0FB51E3E" w14:textId="77777777" w:rsidTr="00F455CA">
        <w:trPr>
          <w:trHeight w:val="3077"/>
        </w:trPr>
        <w:tc>
          <w:tcPr>
            <w:tcW w:w="9639" w:type="dxa"/>
            <w:shd w:val="clear" w:color="auto" w:fill="F2F2F2" w:themeFill="background1" w:themeFillShade="F2"/>
            <w:tcMar>
              <w:top w:w="0" w:type="dxa"/>
              <w:left w:w="108" w:type="dxa"/>
              <w:bottom w:w="0" w:type="dxa"/>
              <w:right w:w="108" w:type="dxa"/>
            </w:tcMar>
          </w:tcPr>
          <w:p w14:paraId="3524189E" w14:textId="5EF6580B" w:rsidR="00856AB6" w:rsidRDefault="00856AB6" w:rsidP="0076138A">
            <w:pPr>
              <w:pStyle w:val="Bullet1inabox"/>
            </w:pPr>
            <w:r>
              <w:t xml:space="preserve">Throughout 2020, the Government </w:t>
            </w:r>
            <w:r w:rsidR="00A63DC1">
              <w:t>placed the economy before the budget, providing</w:t>
            </w:r>
            <w:r>
              <w:t xml:space="preserve"> </w:t>
            </w:r>
            <w:r w:rsidR="001368D4">
              <w:t xml:space="preserve">an </w:t>
            </w:r>
            <w:r>
              <w:t xml:space="preserve">unprecedented </w:t>
            </w:r>
            <w:r w:rsidR="006F61FE">
              <w:t xml:space="preserve">level of </w:t>
            </w:r>
            <w:r w:rsidR="008F11EF">
              <w:t xml:space="preserve">fiscal </w:t>
            </w:r>
            <w:r>
              <w:t>support to families</w:t>
            </w:r>
            <w:r w:rsidR="002F085F">
              <w:t>,</w:t>
            </w:r>
            <w:r>
              <w:t xml:space="preserve"> communities and businesses</w:t>
            </w:r>
            <w:r w:rsidR="00A63DC1">
              <w:t xml:space="preserve"> during the COVID-19 pandemic</w:t>
            </w:r>
            <w:r>
              <w:t>.</w:t>
            </w:r>
            <w:r w:rsidR="00EA1219">
              <w:t xml:space="preserve"> </w:t>
            </w:r>
            <w:r w:rsidR="009D2C2B">
              <w:t>Th</w:t>
            </w:r>
            <w:r w:rsidR="00747158">
              <w:t xml:space="preserve">e response </w:t>
            </w:r>
            <w:r w:rsidR="00E70A3D">
              <w:t xml:space="preserve">has </w:t>
            </w:r>
            <w:r w:rsidR="00747158">
              <w:t>included</w:t>
            </w:r>
            <w:r>
              <w:t>:</w:t>
            </w:r>
          </w:p>
          <w:p w14:paraId="4463BF86" w14:textId="53D261D7" w:rsidR="00856AB6" w:rsidRPr="00982BD0" w:rsidRDefault="00F96B39">
            <w:pPr>
              <w:pStyle w:val="Bullet2inabox"/>
            </w:pPr>
            <w:r>
              <w:t xml:space="preserve">more </w:t>
            </w:r>
            <w:r w:rsidRPr="00982BD0">
              <w:t xml:space="preserve">than </w:t>
            </w:r>
            <w:r w:rsidR="00634666" w:rsidRPr="00982BD0">
              <w:t>$</w:t>
            </w:r>
            <w:r w:rsidR="00246B35" w:rsidRPr="00615C42">
              <w:t>3</w:t>
            </w:r>
            <w:r w:rsidR="003151A9" w:rsidRPr="00615C42">
              <w:t>.</w:t>
            </w:r>
            <w:r w:rsidR="00246B35" w:rsidRPr="00615C42">
              <w:t>0</w:t>
            </w:r>
            <w:r w:rsidR="00634666" w:rsidRPr="00982BD0">
              <w:t xml:space="preserve"> billion</w:t>
            </w:r>
            <w:r w:rsidR="00911A61" w:rsidRPr="00982BD0">
              <w:t xml:space="preserve"> </w:t>
            </w:r>
            <w:r w:rsidR="00D901CC" w:rsidRPr="00982BD0">
              <w:t>for</w:t>
            </w:r>
            <w:r w:rsidR="002F085F" w:rsidRPr="00982BD0">
              <w:t xml:space="preserve"> our doctors, nurses and health system</w:t>
            </w:r>
            <w:r w:rsidR="009C4EAC" w:rsidRPr="00982BD0">
              <w:t>, to</w:t>
            </w:r>
            <w:r w:rsidR="002F085F" w:rsidRPr="00982BD0">
              <w:t xml:space="preserve"> </w:t>
            </w:r>
            <w:r w:rsidR="006309D9" w:rsidRPr="00982BD0">
              <w:t xml:space="preserve">boost our hospital capacity, ensure the effective containment of COVID-19 and </w:t>
            </w:r>
            <w:r w:rsidR="002F085F" w:rsidRPr="00982BD0">
              <w:t>protect the community through</w:t>
            </w:r>
            <w:r w:rsidR="006309D9" w:rsidRPr="00982BD0">
              <w:t xml:space="preserve"> the pandemic</w:t>
            </w:r>
          </w:p>
          <w:p w14:paraId="297FF16C" w14:textId="0AF114C5" w:rsidR="002F085F" w:rsidRDefault="00911A61">
            <w:pPr>
              <w:pStyle w:val="Bullet2inabox"/>
            </w:pPr>
            <w:r w:rsidRPr="00F167D2">
              <w:t>over $4.4 billion</w:t>
            </w:r>
            <w:r w:rsidR="00CF50E7">
              <w:t xml:space="preserve"> </w:t>
            </w:r>
            <w:r w:rsidR="004A2DE7">
              <w:t>to</w:t>
            </w:r>
            <w:r w:rsidR="002F3605">
              <w:t xml:space="preserve"> </w:t>
            </w:r>
            <w:r w:rsidR="00DF2F0C">
              <w:t xml:space="preserve">support our state emergency services and </w:t>
            </w:r>
            <w:r w:rsidR="00F55319">
              <w:t xml:space="preserve">help communities across the State </w:t>
            </w:r>
            <w:r w:rsidR="00B818CD">
              <w:t xml:space="preserve">to </w:t>
            </w:r>
            <w:r w:rsidR="00F55319">
              <w:t xml:space="preserve">rebuild after the </w:t>
            </w:r>
            <w:r w:rsidR="00DA6F10">
              <w:t>devastating bushfire season</w:t>
            </w:r>
            <w:r w:rsidR="00CF50E7">
              <w:t>, in partnership with the Commonwealth</w:t>
            </w:r>
            <w:r w:rsidR="00F55319">
              <w:t>.</w:t>
            </w:r>
            <w:r w:rsidR="0015169B">
              <w:rPr>
                <w:rStyle w:val="FootnoteReference"/>
              </w:rPr>
              <w:footnoteReference w:id="2"/>
            </w:r>
          </w:p>
          <w:p w14:paraId="0B866F39" w14:textId="4A442A96" w:rsidR="004017F4" w:rsidRDefault="004017F4">
            <w:pPr>
              <w:pStyle w:val="Bullet1inabox"/>
            </w:pPr>
            <w:r w:rsidRPr="00EE50FF">
              <w:t xml:space="preserve">The Government is </w:t>
            </w:r>
            <w:r w:rsidRPr="007C6294">
              <w:t>sustaining its</w:t>
            </w:r>
            <w:r w:rsidR="005653AA" w:rsidRPr="007C6294">
              <w:t xml:space="preserve"> response</w:t>
            </w:r>
            <w:r w:rsidR="009D2C2B" w:rsidRPr="007C6294">
              <w:t xml:space="preserve"> </w:t>
            </w:r>
            <w:r w:rsidR="005C7D1D" w:rsidRPr="007C6294">
              <w:t>through the 2020</w:t>
            </w:r>
            <w:r w:rsidR="00855EC9" w:rsidRPr="007C6294">
              <w:noBreakHyphen/>
            </w:r>
            <w:r w:rsidR="005C7D1D" w:rsidRPr="007C6294">
              <w:t>21</w:t>
            </w:r>
            <w:r w:rsidR="00855EC9" w:rsidRPr="007C6294">
              <w:t> </w:t>
            </w:r>
            <w:r w:rsidR="009D2C2B" w:rsidRPr="007C6294">
              <w:t>Budget</w:t>
            </w:r>
            <w:r w:rsidR="00F97BB7" w:rsidRPr="00A0273A">
              <w:t>,</w:t>
            </w:r>
            <w:r w:rsidR="00F36D32" w:rsidRPr="007C6294">
              <w:t xml:space="preserve"> </w:t>
            </w:r>
            <w:r w:rsidR="00BC21BE">
              <w:t xml:space="preserve">taking </w:t>
            </w:r>
            <w:r w:rsidR="00C942AC">
              <w:t xml:space="preserve">total </w:t>
            </w:r>
            <w:r w:rsidR="00F36D32" w:rsidRPr="007C6294">
              <w:t>COVID</w:t>
            </w:r>
            <w:r w:rsidR="00F36D32" w:rsidRPr="007C6294">
              <w:noBreakHyphen/>
              <w:t>19 stimulus and support</w:t>
            </w:r>
            <w:r w:rsidR="00F97BB7" w:rsidRPr="00A0273A">
              <w:t xml:space="preserve"> </w:t>
            </w:r>
            <w:r w:rsidR="001B4B5C">
              <w:t>to</w:t>
            </w:r>
            <w:r w:rsidR="00F97BB7" w:rsidRPr="00A0273A">
              <w:t xml:space="preserve"> </w:t>
            </w:r>
            <w:r w:rsidR="00A46DA5" w:rsidRPr="00A0273A">
              <w:t>almost</w:t>
            </w:r>
            <w:r w:rsidR="00F97BB7" w:rsidRPr="00A0273A">
              <w:t xml:space="preserve"> $29.0 billion</w:t>
            </w:r>
            <w:r w:rsidR="00A57CAD" w:rsidRPr="007C6294">
              <w:t>.</w:t>
            </w:r>
            <w:r w:rsidR="00A46DA5" w:rsidRPr="00A0273A">
              <w:rPr>
                <w:rStyle w:val="FootnoteReference"/>
              </w:rPr>
              <w:footnoteReference w:id="3"/>
            </w:r>
            <w:r w:rsidR="00A57CAD" w:rsidRPr="007C6294">
              <w:t xml:space="preserve"> </w:t>
            </w:r>
            <w:r w:rsidR="00965757" w:rsidRPr="007C6294">
              <w:t>General</w:t>
            </w:r>
            <w:r w:rsidR="00965757" w:rsidRPr="00EE50FF">
              <w:t xml:space="preserve"> government sector expenses in </w:t>
            </w:r>
            <w:r w:rsidR="00965757" w:rsidRPr="00753D2D">
              <w:t>2020-21 are forecast to be $</w:t>
            </w:r>
            <w:r w:rsidR="00F41607" w:rsidRPr="003D1B13">
              <w:t>98</w:t>
            </w:r>
            <w:r w:rsidR="00965757" w:rsidRPr="003D1B13">
              <w:t>.</w:t>
            </w:r>
            <w:r w:rsidR="00FD03BB" w:rsidRPr="003D1B13">
              <w:t>1</w:t>
            </w:r>
            <w:r w:rsidR="00F41607" w:rsidRPr="003D1B13">
              <w:t xml:space="preserve"> </w:t>
            </w:r>
            <w:r w:rsidR="00965757" w:rsidRPr="003D1B13">
              <w:t>billion, an increase</w:t>
            </w:r>
            <w:r w:rsidR="00965757" w:rsidRPr="002343D3">
              <w:t xml:space="preserve"> of </w:t>
            </w:r>
            <w:r w:rsidR="00965757" w:rsidRPr="00615C42">
              <w:t>$</w:t>
            </w:r>
            <w:r w:rsidR="00F41607" w:rsidRPr="00615C42">
              <w:t>9</w:t>
            </w:r>
            <w:r w:rsidR="00965757" w:rsidRPr="00615C42">
              <w:t>.</w:t>
            </w:r>
            <w:r w:rsidR="009A0E50" w:rsidRPr="00615C42">
              <w:t>9</w:t>
            </w:r>
            <w:r w:rsidR="00F41607" w:rsidRPr="00615C42">
              <w:t xml:space="preserve"> </w:t>
            </w:r>
            <w:r w:rsidR="004F55BB" w:rsidRPr="00615C42">
              <w:t>billion</w:t>
            </w:r>
            <w:r w:rsidR="00965757" w:rsidRPr="002343D3">
              <w:t xml:space="preserve"> compared to 2019</w:t>
            </w:r>
            <w:r w:rsidR="003D1B13">
              <w:noBreakHyphen/>
            </w:r>
            <w:r w:rsidR="00965757" w:rsidRPr="002343D3">
              <w:t xml:space="preserve">20. </w:t>
            </w:r>
            <w:r w:rsidR="004F55BB" w:rsidRPr="002343D3">
              <w:t xml:space="preserve">The infrastructure program continues to </w:t>
            </w:r>
            <w:r w:rsidR="004F55BB" w:rsidRPr="00615C42">
              <w:t>grow</w:t>
            </w:r>
            <w:r w:rsidR="004F55BB" w:rsidRPr="002343D3">
              <w:t xml:space="preserve">, with </w:t>
            </w:r>
            <w:r w:rsidR="004F55BB" w:rsidRPr="00615C42">
              <w:t>$</w:t>
            </w:r>
            <w:r w:rsidR="00F41607" w:rsidRPr="00615C42">
              <w:t>107</w:t>
            </w:r>
            <w:r w:rsidR="004F55BB" w:rsidRPr="00615C42">
              <w:t>.</w:t>
            </w:r>
            <w:r w:rsidR="00F41607" w:rsidRPr="00615C42">
              <w:t xml:space="preserve">1 </w:t>
            </w:r>
            <w:r w:rsidR="004F55BB" w:rsidRPr="00615C42">
              <w:t>billion</w:t>
            </w:r>
            <w:r w:rsidR="004F55BB" w:rsidRPr="002343D3">
              <w:t xml:space="preserve"> committed</w:t>
            </w:r>
            <w:r w:rsidR="004F55BB">
              <w:t xml:space="preserve"> over the budget and forward estimates.</w:t>
            </w:r>
          </w:p>
          <w:p w14:paraId="06FFC444" w14:textId="30AA5871" w:rsidR="00265DE5" w:rsidRDefault="00265DE5">
            <w:pPr>
              <w:pStyle w:val="Bullet1inabox"/>
            </w:pPr>
            <w:r>
              <w:t xml:space="preserve">The Government’s economic and fiscal strategy is </w:t>
            </w:r>
            <w:r w:rsidR="00151F89">
              <w:t xml:space="preserve">firmly focused on delivering short-term stimulus </w:t>
            </w:r>
            <w:r w:rsidR="004B736E">
              <w:t xml:space="preserve">to the economy </w:t>
            </w:r>
            <w:r w:rsidR="00151F89">
              <w:t xml:space="preserve">that is </w:t>
            </w:r>
            <w:r>
              <w:t>timely, temporary and targeted</w:t>
            </w:r>
            <w:r w:rsidR="00151F89">
              <w:t xml:space="preserve">, while maintaining a balanced commitment to fiscal discipline as </w:t>
            </w:r>
            <w:r w:rsidR="00151F89" w:rsidRPr="002343D3">
              <w:t>the economy recovers from the pandemic</w:t>
            </w:r>
            <w:r w:rsidRPr="002343D3">
              <w:t xml:space="preserve">. </w:t>
            </w:r>
            <w:r w:rsidR="00E26256" w:rsidRPr="002343D3">
              <w:t xml:space="preserve">As a result, annual expense growth is forecast to fall from </w:t>
            </w:r>
            <w:r w:rsidR="00F41607" w:rsidRPr="00615C42">
              <w:t>11</w:t>
            </w:r>
            <w:r w:rsidR="00E26256" w:rsidRPr="00615C42">
              <w:t>.</w:t>
            </w:r>
            <w:r w:rsidR="005172C5" w:rsidRPr="00615C42">
              <w:t>2</w:t>
            </w:r>
            <w:r w:rsidR="00F41607" w:rsidRPr="00615C42">
              <w:t xml:space="preserve"> </w:t>
            </w:r>
            <w:r w:rsidR="00E26256" w:rsidRPr="00615C42">
              <w:t>per cent</w:t>
            </w:r>
            <w:r w:rsidR="00E26256" w:rsidRPr="002343D3">
              <w:t xml:space="preserve"> in 20</w:t>
            </w:r>
            <w:r w:rsidR="00621FC0" w:rsidRPr="002343D3">
              <w:t>20</w:t>
            </w:r>
            <w:r w:rsidR="00E26256" w:rsidRPr="002343D3">
              <w:t>-</w:t>
            </w:r>
            <w:r w:rsidR="00FB301C" w:rsidRPr="002343D3">
              <w:t>2</w:t>
            </w:r>
            <w:r w:rsidR="00621FC0" w:rsidRPr="002343D3">
              <w:t>1</w:t>
            </w:r>
            <w:r w:rsidR="00E26256" w:rsidRPr="002343D3">
              <w:t xml:space="preserve"> to </w:t>
            </w:r>
            <w:r w:rsidR="00F41607" w:rsidRPr="00615C42">
              <w:t>0</w:t>
            </w:r>
            <w:r w:rsidR="001C3DA0" w:rsidRPr="00615C42">
              <w:t>.</w:t>
            </w:r>
            <w:r w:rsidR="00A10515" w:rsidRPr="00615C42">
              <w:t>8</w:t>
            </w:r>
            <w:r w:rsidR="00330859" w:rsidRPr="00615C42">
              <w:t> </w:t>
            </w:r>
            <w:r w:rsidR="001C3DA0" w:rsidRPr="00615C42">
              <w:t>per cent</w:t>
            </w:r>
            <w:r w:rsidR="001C3DA0" w:rsidRPr="002343D3">
              <w:t xml:space="preserve"> </w:t>
            </w:r>
            <w:r w:rsidR="0087555A" w:rsidRPr="002343D3">
              <w:t>in 2023-24</w:t>
            </w:r>
            <w:r w:rsidR="000D5B57" w:rsidRPr="002343D3">
              <w:t>.</w:t>
            </w:r>
            <w:r w:rsidR="00A51FB2" w:rsidRPr="002343D3">
              <w:t xml:space="preserve"> This reflects a return to business-as-usual levels</w:t>
            </w:r>
            <w:r w:rsidR="00A51FB2">
              <w:t xml:space="preserve"> of expenditure </w:t>
            </w:r>
            <w:r w:rsidR="00E50D48">
              <w:t>by the end of the forward estimates</w:t>
            </w:r>
            <w:r w:rsidR="00A51FB2">
              <w:t xml:space="preserve">, as stimulus measures </w:t>
            </w:r>
            <w:r w:rsidR="00D61E92">
              <w:t>progressively phase out</w:t>
            </w:r>
            <w:r w:rsidR="00A51FB2">
              <w:t>.</w:t>
            </w:r>
          </w:p>
          <w:p w14:paraId="3C11BE0F" w14:textId="55F15456" w:rsidR="00E41878" w:rsidRPr="007641D2" w:rsidRDefault="001166A8">
            <w:pPr>
              <w:pStyle w:val="Bullet1inabox"/>
            </w:pPr>
            <w:r>
              <w:t>Th</w:t>
            </w:r>
            <w:r w:rsidR="00834840">
              <w:t>e 2020-21</w:t>
            </w:r>
            <w:r>
              <w:t xml:space="preserve"> Budget also </w:t>
            </w:r>
            <w:r w:rsidR="00BF5D72" w:rsidRPr="00C3306A">
              <w:t>incorporates</w:t>
            </w:r>
            <w:r w:rsidR="00A97D07" w:rsidRPr="00C3306A">
              <w:t xml:space="preserve"> </w:t>
            </w:r>
            <w:r w:rsidR="00B107D7" w:rsidRPr="00C3306A">
              <w:t>$</w:t>
            </w:r>
            <w:r w:rsidR="003A0B1E" w:rsidRPr="00C3306A">
              <w:t>5</w:t>
            </w:r>
            <w:r w:rsidR="00B107D7" w:rsidRPr="00C3306A">
              <w:t>.</w:t>
            </w:r>
            <w:r w:rsidR="00DF2190" w:rsidRPr="00A0273A">
              <w:t>6</w:t>
            </w:r>
            <w:r w:rsidR="00B107D7" w:rsidRPr="00C3306A">
              <w:t xml:space="preserve"> billion in </w:t>
            </w:r>
            <w:r w:rsidR="00325E33" w:rsidRPr="00C3306A">
              <w:t>new</w:t>
            </w:r>
            <w:r w:rsidR="00325E33" w:rsidRPr="00EE50FF">
              <w:t xml:space="preserve"> savings measures over four years to 2023-24</w:t>
            </w:r>
            <w:r w:rsidR="00711E90" w:rsidRPr="00753D2D">
              <w:t>, including</w:t>
            </w:r>
            <w:r w:rsidR="00764A68" w:rsidRPr="003D1B13">
              <w:t xml:space="preserve"> changes to public sector</w:t>
            </w:r>
            <w:r w:rsidR="00764A68">
              <w:t xml:space="preserve"> wages growth and procurement</w:t>
            </w:r>
            <w:r w:rsidR="007F674B">
              <w:t xml:space="preserve"> </w:t>
            </w:r>
            <w:r w:rsidR="00563F45">
              <w:t>reform.</w:t>
            </w:r>
            <w:r w:rsidR="00325E33">
              <w:t xml:space="preserve"> </w:t>
            </w:r>
            <w:r w:rsidR="001731D8">
              <w:t>These measure</w:t>
            </w:r>
            <w:r w:rsidR="0083282E">
              <w:t>s</w:t>
            </w:r>
            <w:r w:rsidR="001731D8">
              <w:t xml:space="preserve"> reflect the Government’s strong commitment to fiscal discipline</w:t>
            </w:r>
            <w:r w:rsidR="004B736E">
              <w:t>, with t</w:t>
            </w:r>
            <w:r w:rsidR="00DD72DB">
              <w:t>ight control on expense growth return</w:t>
            </w:r>
            <w:r w:rsidR="004B736E">
              <w:t>ing over</w:t>
            </w:r>
            <w:r w:rsidR="00DD72DB">
              <w:t xml:space="preserve"> the forward estimates</w:t>
            </w:r>
            <w:r w:rsidR="004B736E">
              <w:t>, while making critical investments in our economic recovery now</w:t>
            </w:r>
            <w:r w:rsidR="00B0395C">
              <w:t>.</w:t>
            </w:r>
            <w:r w:rsidR="006E6494">
              <w:t xml:space="preserve"> </w:t>
            </w:r>
          </w:p>
        </w:tc>
      </w:tr>
    </w:tbl>
    <w:p w14:paraId="3255ED5E" w14:textId="5B4A27FE" w:rsidR="007563DF" w:rsidRPr="007641D2" w:rsidRDefault="00170951" w:rsidP="00960FE1">
      <w:pPr>
        <w:pStyle w:val="Heading2"/>
      </w:pPr>
      <w:r w:rsidRPr="007641D2">
        <w:t>Ge</w:t>
      </w:r>
      <w:r w:rsidR="00A515BE" w:rsidRPr="007641D2">
        <w:t xml:space="preserve">neral </w:t>
      </w:r>
      <w:r w:rsidR="00A515BE" w:rsidRPr="00960FE1">
        <w:t>g</w:t>
      </w:r>
      <w:r w:rsidRPr="00960FE1">
        <w:t>overnment</w:t>
      </w:r>
      <w:r w:rsidRPr="007641D2">
        <w:t xml:space="preserve"> </w:t>
      </w:r>
      <w:r w:rsidR="00DC553A" w:rsidRPr="007641D2">
        <w:t xml:space="preserve">recurrent </w:t>
      </w:r>
      <w:r w:rsidR="00A515BE" w:rsidRPr="007641D2">
        <w:t>e</w:t>
      </w:r>
      <w:r w:rsidRPr="007641D2">
        <w:t>xpen</w:t>
      </w:r>
      <w:r w:rsidR="00A20944" w:rsidRPr="007641D2">
        <w:t>ses</w:t>
      </w:r>
    </w:p>
    <w:p w14:paraId="103E112A" w14:textId="71B65682" w:rsidR="00AE377C" w:rsidRDefault="00AE377C">
      <w:pPr>
        <w:pStyle w:val="BodyText"/>
      </w:pPr>
      <w:r>
        <w:t xml:space="preserve">The Government’s response to the COVID-19 pandemic and devastating bushfires has been decisive and on an unprecedented scale for a state government. This strong fiscal support continues in the 2020-21 Budget, with further </w:t>
      </w:r>
      <w:r w:rsidR="00B22CAA">
        <w:t xml:space="preserve">temporary and targeted </w:t>
      </w:r>
      <w:r>
        <w:t xml:space="preserve">stimulus measures to drive job creation, the economic recovery, and additional investment in service delivery. </w:t>
      </w:r>
    </w:p>
    <w:p w14:paraId="2F158F2A" w14:textId="0392F9C9" w:rsidR="00A33F10" w:rsidRDefault="00393AFA">
      <w:pPr>
        <w:pStyle w:val="BodyText"/>
      </w:pPr>
      <w:r>
        <w:t>R</w:t>
      </w:r>
      <w:r w:rsidR="00E42C88">
        <w:t>ecurrent e</w:t>
      </w:r>
      <w:r w:rsidR="001A69AA">
        <w:t xml:space="preserve">xpenses </w:t>
      </w:r>
      <w:r w:rsidR="00237030">
        <w:t>have materially increased</w:t>
      </w:r>
      <w:r w:rsidR="001A69AA">
        <w:t xml:space="preserve"> </w:t>
      </w:r>
      <w:r w:rsidR="00031949">
        <w:t xml:space="preserve">in 2019-20 and </w:t>
      </w:r>
      <w:r w:rsidR="001A69AA">
        <w:t>2020</w:t>
      </w:r>
      <w:r w:rsidR="00031949">
        <w:t>-</w:t>
      </w:r>
      <w:r w:rsidR="001A69AA">
        <w:t>21</w:t>
      </w:r>
      <w:r w:rsidR="008A6327">
        <w:t>,</w:t>
      </w:r>
      <w:r w:rsidR="00E42C88">
        <w:t xml:space="preserve"> </w:t>
      </w:r>
      <w:r w:rsidR="008A6327">
        <w:t xml:space="preserve">predominantly </w:t>
      </w:r>
      <w:r w:rsidR="00E42C88">
        <w:t xml:space="preserve">driven by the </w:t>
      </w:r>
      <w:r w:rsidR="007C6B96">
        <w:t>COVID-19 and bushfire</w:t>
      </w:r>
      <w:r w:rsidR="000C3A9F">
        <w:t xml:space="preserve"> response effort</w:t>
      </w:r>
      <w:r w:rsidR="00D87DA1">
        <w:t xml:space="preserve">, </w:t>
      </w:r>
      <w:r w:rsidR="00513F57">
        <w:t>as well as service delivery investment</w:t>
      </w:r>
      <w:r w:rsidR="00AA7BFB">
        <w:t>:</w:t>
      </w:r>
    </w:p>
    <w:p w14:paraId="31EBCFEA" w14:textId="2A4A85DC" w:rsidR="007F00A7" w:rsidRPr="002343D3" w:rsidRDefault="00AC696B">
      <w:pPr>
        <w:pStyle w:val="Bullet1"/>
      </w:pPr>
      <w:r>
        <w:t>e</w:t>
      </w:r>
      <w:r w:rsidR="00A33F10">
        <w:t>xpen</w:t>
      </w:r>
      <w:r>
        <w:t>diture</w:t>
      </w:r>
      <w:r w:rsidR="00A33F10">
        <w:t xml:space="preserve"> </w:t>
      </w:r>
      <w:r w:rsidR="000B6C0D">
        <w:t xml:space="preserve">in </w:t>
      </w:r>
      <w:r>
        <w:t>2019-</w:t>
      </w:r>
      <w:r w:rsidRPr="002343D3">
        <w:t>20 was $</w:t>
      </w:r>
      <w:r w:rsidR="006D65A2" w:rsidRPr="00615C42">
        <w:t>88</w:t>
      </w:r>
      <w:r w:rsidRPr="002343D3">
        <w:t>.</w:t>
      </w:r>
      <w:r w:rsidR="006D65A2" w:rsidRPr="00615C42">
        <w:t>3</w:t>
      </w:r>
      <w:r w:rsidR="0046701B" w:rsidRPr="002343D3">
        <w:t xml:space="preserve"> </w:t>
      </w:r>
      <w:r w:rsidRPr="002343D3">
        <w:t xml:space="preserve">billion, up </w:t>
      </w:r>
      <w:r w:rsidR="006D65A2" w:rsidRPr="00615C42">
        <w:t>9</w:t>
      </w:r>
      <w:r w:rsidRPr="002343D3">
        <w:t>.</w:t>
      </w:r>
      <w:r w:rsidR="00564D26" w:rsidRPr="00615C42">
        <w:t>7</w:t>
      </w:r>
      <w:r w:rsidR="00DA78B8" w:rsidRPr="002343D3">
        <w:t xml:space="preserve"> per cent </w:t>
      </w:r>
      <w:r w:rsidRPr="002343D3">
        <w:t xml:space="preserve">on the </w:t>
      </w:r>
      <w:r w:rsidR="007F00A7" w:rsidRPr="002343D3">
        <w:t>previous year</w:t>
      </w:r>
    </w:p>
    <w:p w14:paraId="631BF034" w14:textId="05851832" w:rsidR="00A33F10" w:rsidRDefault="00482A36">
      <w:pPr>
        <w:pStyle w:val="Bullet1"/>
      </w:pPr>
      <w:r w:rsidRPr="002343D3">
        <w:t xml:space="preserve">expenditure in 2020-21 is </w:t>
      </w:r>
      <w:r w:rsidR="00884968" w:rsidRPr="002343D3">
        <w:t xml:space="preserve">forecast </w:t>
      </w:r>
      <w:r w:rsidRPr="002343D3">
        <w:t>to be $</w:t>
      </w:r>
      <w:r w:rsidR="006D65A2" w:rsidRPr="00615C42">
        <w:t>98</w:t>
      </w:r>
      <w:r w:rsidRPr="002343D3">
        <w:t>.</w:t>
      </w:r>
      <w:r w:rsidR="00470EA7" w:rsidRPr="00615C42">
        <w:t>1</w:t>
      </w:r>
      <w:r w:rsidR="00DA78B8" w:rsidRPr="002343D3">
        <w:t xml:space="preserve"> </w:t>
      </w:r>
      <w:r w:rsidRPr="002343D3">
        <w:t xml:space="preserve">billion, </w:t>
      </w:r>
      <w:r w:rsidR="0043410E" w:rsidRPr="002343D3">
        <w:t xml:space="preserve">or </w:t>
      </w:r>
      <w:r w:rsidR="006D65A2" w:rsidRPr="00615C42">
        <w:t>11</w:t>
      </w:r>
      <w:r w:rsidR="00DA78B8" w:rsidRPr="002343D3">
        <w:t>.</w:t>
      </w:r>
      <w:r w:rsidR="00F73A59" w:rsidRPr="00615C42">
        <w:t>2</w:t>
      </w:r>
      <w:r w:rsidR="00DA78B8" w:rsidRPr="002343D3">
        <w:t xml:space="preserve"> per cent</w:t>
      </w:r>
      <w:r w:rsidR="0043410E" w:rsidRPr="002343D3">
        <w:t xml:space="preserve"> higher</w:t>
      </w:r>
      <w:r w:rsidR="0043410E">
        <w:t xml:space="preserve"> than 2019-20.</w:t>
      </w:r>
    </w:p>
    <w:p w14:paraId="68931DB3" w14:textId="06A746F0" w:rsidR="008D2F48" w:rsidRPr="000B61F6" w:rsidRDefault="003812CF">
      <w:pPr>
        <w:pStyle w:val="BodyText"/>
      </w:pPr>
      <w:r w:rsidRPr="000B61F6">
        <w:t>The Government</w:t>
      </w:r>
      <w:r w:rsidR="00884968">
        <w:t>’s</w:t>
      </w:r>
      <w:r w:rsidRPr="000B61F6">
        <w:t xml:space="preserve"> response to the health and economic crisis has seen expenditure growth rise </w:t>
      </w:r>
      <w:r w:rsidR="006D7C0D">
        <w:t>above</w:t>
      </w:r>
      <w:r w:rsidR="006D7C0D" w:rsidRPr="000B61F6">
        <w:t xml:space="preserve"> </w:t>
      </w:r>
      <w:r w:rsidR="00381F6B" w:rsidRPr="000B61F6">
        <w:t xml:space="preserve">the long-run </w:t>
      </w:r>
      <w:r w:rsidR="005A6077" w:rsidRPr="000B61F6">
        <w:t>average revenue growth rate of 5.6 per cent</w:t>
      </w:r>
      <w:r w:rsidR="006D7C0D">
        <w:t xml:space="preserve"> in 2019-20 and 2020-21</w:t>
      </w:r>
      <w:r w:rsidR="000C6814" w:rsidRPr="000B61F6">
        <w:t xml:space="preserve">. </w:t>
      </w:r>
    </w:p>
    <w:p w14:paraId="11DC15B1" w14:textId="74785AEC" w:rsidR="00983603" w:rsidRDefault="00412C9A">
      <w:pPr>
        <w:pStyle w:val="BodyText"/>
      </w:pPr>
      <w:r>
        <w:t>Further out, a</w:t>
      </w:r>
      <w:r w:rsidR="00D60746">
        <w:t>nnual expense growth is forecast to</w:t>
      </w:r>
      <w:r w:rsidR="002F5AF3">
        <w:t xml:space="preserve"> </w:t>
      </w:r>
      <w:r w:rsidR="002F5AF3" w:rsidRPr="006D65A2">
        <w:t xml:space="preserve">be </w:t>
      </w:r>
      <w:r w:rsidR="002F5AF3" w:rsidRPr="00615C42">
        <w:t>negative</w:t>
      </w:r>
      <w:r w:rsidR="002F5AF3">
        <w:t xml:space="preserve"> in 2021-22</w:t>
      </w:r>
      <w:r w:rsidR="00A865E4">
        <w:t xml:space="preserve"> </w:t>
      </w:r>
      <w:r w:rsidR="00D60746">
        <w:t xml:space="preserve">as temporary and targeted stimulus </w:t>
      </w:r>
      <w:r w:rsidR="00E1582C">
        <w:t>measures are wound back</w:t>
      </w:r>
      <w:r w:rsidR="00B22CAA">
        <w:t>, in line with the expected economic recovery,</w:t>
      </w:r>
      <w:r w:rsidR="00067A95">
        <w:t xml:space="preserve"> and </w:t>
      </w:r>
      <w:r w:rsidR="00621A74">
        <w:t xml:space="preserve">as </w:t>
      </w:r>
      <w:r w:rsidR="00500E86">
        <w:t xml:space="preserve">fiscal repair measures </w:t>
      </w:r>
      <w:r w:rsidR="00621A74">
        <w:t>begin to be implemented</w:t>
      </w:r>
      <w:r w:rsidR="00D60746">
        <w:t>.</w:t>
      </w:r>
      <w:r w:rsidR="00BC0115">
        <w:t xml:space="preserve"> </w:t>
      </w:r>
      <w:r w:rsidR="00CB7FB5">
        <w:t xml:space="preserve">Expense growth then gradually rises to </w:t>
      </w:r>
      <w:r w:rsidR="006D65A2" w:rsidRPr="00615C42">
        <w:t>0</w:t>
      </w:r>
      <w:r w:rsidR="00CB7FB5" w:rsidRPr="00615C42">
        <w:t>.</w:t>
      </w:r>
      <w:r w:rsidR="002E26DD" w:rsidRPr="00615C42">
        <w:t>8</w:t>
      </w:r>
      <w:r w:rsidR="00053B56" w:rsidRPr="00615C42">
        <w:t> </w:t>
      </w:r>
      <w:r w:rsidR="00CB7FB5" w:rsidRPr="00615C42">
        <w:t>per</w:t>
      </w:r>
      <w:r w:rsidR="00053B56" w:rsidRPr="00615C42">
        <w:t> </w:t>
      </w:r>
      <w:r w:rsidR="00CB7FB5" w:rsidRPr="00615C42">
        <w:t>cent</w:t>
      </w:r>
      <w:r w:rsidR="00CB7FB5" w:rsidRPr="002343D3">
        <w:t xml:space="preserve"> in 2023</w:t>
      </w:r>
      <w:r w:rsidR="00CB7FB5">
        <w:t xml:space="preserve">-24, in line with the Government’s </w:t>
      </w:r>
      <w:r w:rsidR="00621A74">
        <w:t xml:space="preserve">fiscal target in the </w:t>
      </w:r>
      <w:r w:rsidR="00621A74">
        <w:rPr>
          <w:i/>
          <w:iCs/>
        </w:rPr>
        <w:t>Fiscal</w:t>
      </w:r>
      <w:r w:rsidR="003C03E6">
        <w:rPr>
          <w:i/>
          <w:iCs/>
        </w:rPr>
        <w:t> </w:t>
      </w:r>
      <w:r w:rsidR="00621A74">
        <w:rPr>
          <w:i/>
          <w:iCs/>
        </w:rPr>
        <w:t>Responsibility</w:t>
      </w:r>
      <w:r w:rsidR="003C03E6">
        <w:rPr>
          <w:i/>
          <w:iCs/>
        </w:rPr>
        <w:t> </w:t>
      </w:r>
      <w:r w:rsidR="00621A74">
        <w:rPr>
          <w:i/>
          <w:iCs/>
        </w:rPr>
        <w:t xml:space="preserve">Act 2012 </w:t>
      </w:r>
      <w:r w:rsidR="00621A74">
        <w:t>(FRA)</w:t>
      </w:r>
      <w:r w:rsidR="00CB7FB5">
        <w:t>.</w:t>
      </w:r>
    </w:p>
    <w:p w14:paraId="4E74E8A9" w14:textId="65A2D93F" w:rsidR="00FD2785" w:rsidRPr="00FD2785" w:rsidRDefault="007160D7" w:rsidP="00FD2785">
      <w:pPr>
        <w:pStyle w:val="BodyText"/>
      </w:pPr>
      <w:r w:rsidRPr="00A0273A">
        <w:lastRenderedPageBreak/>
        <w:t xml:space="preserve">In total, the Government has </w:t>
      </w:r>
      <w:r w:rsidR="00D74D07" w:rsidRPr="00A0273A">
        <w:t>committed</w:t>
      </w:r>
      <w:r w:rsidR="003A0B1E" w:rsidRPr="00A0273A">
        <w:t xml:space="preserve"> </w:t>
      </w:r>
      <w:r w:rsidR="00D74D07" w:rsidRPr="00A0273A">
        <w:t>almost $</w:t>
      </w:r>
      <w:r w:rsidR="003A0B1E" w:rsidRPr="00A0273A">
        <w:t>29.0 billion</w:t>
      </w:r>
      <w:r w:rsidR="00D74D07" w:rsidRPr="00A0273A">
        <w:t xml:space="preserve"> in support</w:t>
      </w:r>
      <w:r w:rsidR="003A0B1E" w:rsidRPr="00A0273A">
        <w:t xml:space="preserve"> </w:t>
      </w:r>
      <w:r w:rsidR="00D74D07" w:rsidRPr="00A0273A">
        <w:t>through the</w:t>
      </w:r>
      <w:r w:rsidR="005C3719" w:rsidRPr="00A0273A">
        <w:t xml:space="preserve"> </w:t>
      </w:r>
      <w:r w:rsidR="003A0B1E" w:rsidRPr="00A0273A">
        <w:t xml:space="preserve">immediate response </w:t>
      </w:r>
      <w:r w:rsidR="00D74D07" w:rsidRPr="00A0273A">
        <w:t>and to</w:t>
      </w:r>
      <w:r w:rsidR="00CC78D1" w:rsidRPr="00A0273A">
        <w:t xml:space="preserve"> </w:t>
      </w:r>
      <w:r w:rsidR="009E4FC7" w:rsidRPr="00A0273A">
        <w:t xml:space="preserve">drive a </w:t>
      </w:r>
      <w:r w:rsidR="00735F36" w:rsidRPr="00A0273A">
        <w:t xml:space="preserve">sustained </w:t>
      </w:r>
      <w:r w:rsidRPr="00A0273A">
        <w:t>economic recovery.</w:t>
      </w:r>
      <w:r w:rsidR="0015169B" w:rsidRPr="00A0273A">
        <w:rPr>
          <w:rStyle w:val="FootnoteReference"/>
        </w:rPr>
        <w:footnoteReference w:id="4"/>
      </w:r>
      <w:r w:rsidR="00614DC3" w:rsidRPr="00A0273A">
        <w:t xml:space="preserve"> </w:t>
      </w:r>
      <w:r w:rsidR="007113AE" w:rsidRPr="00A0273A">
        <w:t xml:space="preserve">See </w:t>
      </w:r>
      <w:r w:rsidR="004A55C5" w:rsidRPr="00A0273A">
        <w:t>B</w:t>
      </w:r>
      <w:r w:rsidR="007113AE" w:rsidRPr="00A0273A">
        <w:t xml:space="preserve">oxes 5.1 and 5.2 for </w:t>
      </w:r>
      <w:r w:rsidR="00CD691D" w:rsidRPr="00A0273A">
        <w:t xml:space="preserve">the Government’s </w:t>
      </w:r>
      <w:r w:rsidR="007113AE" w:rsidRPr="00A0273A">
        <w:t>key stimulus and support</w:t>
      </w:r>
      <w:r w:rsidR="00753D2D">
        <w:t xml:space="preserve"> expenditure</w:t>
      </w:r>
      <w:r w:rsidR="007113AE" w:rsidRPr="00A0273A">
        <w:t xml:space="preserve"> measures</w:t>
      </w:r>
      <w:r w:rsidR="00D848E5" w:rsidRPr="00A0273A">
        <w:t>.</w:t>
      </w:r>
      <w:r w:rsidR="00AB77DB">
        <w:br/>
      </w:r>
    </w:p>
    <w:tbl>
      <w:tblPr>
        <w:tblW w:w="9639" w:type="dxa"/>
        <w:shd w:val="pct5" w:color="auto" w:fill="auto"/>
        <w:tblLayout w:type="fixed"/>
        <w:tblLook w:val="0000" w:firstRow="0" w:lastRow="0" w:firstColumn="0" w:lastColumn="0" w:noHBand="0" w:noVBand="0"/>
        <w:tblCaption w:val="Box 5.1: The Government moved quickly to implement pandemic response "/>
        <w:tblDescription w:val="Box 5.1: The Government moved quickly to implement pandemic response "/>
      </w:tblPr>
      <w:tblGrid>
        <w:gridCol w:w="9639"/>
      </w:tblGrid>
      <w:tr w:rsidR="00875B7C" w:rsidRPr="00B93D64" w14:paraId="4D88C473" w14:textId="77777777" w:rsidTr="00A0273A">
        <w:trPr>
          <w:trHeight w:val="10887"/>
        </w:trPr>
        <w:tc>
          <w:tcPr>
            <w:tcW w:w="9639" w:type="dxa"/>
            <w:shd w:val="pct5" w:color="auto" w:fill="auto"/>
          </w:tcPr>
          <w:p w14:paraId="56DF63C4" w14:textId="62E0B25F" w:rsidR="00875B7C" w:rsidRPr="003240C3" w:rsidRDefault="00EF197C" w:rsidP="00DD1EC0">
            <w:pPr>
              <w:pStyle w:val="BoxHeading"/>
            </w:pPr>
            <w:r>
              <w:t>The</w:t>
            </w:r>
            <w:r w:rsidR="009E4FC7">
              <w:t xml:space="preserve"> Government </w:t>
            </w:r>
            <w:r w:rsidR="00CC35EF">
              <w:t xml:space="preserve">moved quickly to </w:t>
            </w:r>
            <w:r w:rsidR="00FB67BD">
              <w:t xml:space="preserve">implement </w:t>
            </w:r>
            <w:r w:rsidR="00A61106">
              <w:t>pandemic</w:t>
            </w:r>
            <w:r w:rsidR="009E4FC7">
              <w:t xml:space="preserve"> response measures</w:t>
            </w:r>
            <w:r w:rsidR="00E27D79">
              <w:t xml:space="preserve">, </w:t>
            </w:r>
            <w:r w:rsidR="009E4FC7" w:rsidRPr="00DD1EC0">
              <w:t>cushion</w:t>
            </w:r>
            <w:r w:rsidR="00E27D79" w:rsidRPr="00DD1EC0">
              <w:t>ing</w:t>
            </w:r>
            <w:r w:rsidR="009E4FC7">
              <w:t xml:space="preserve"> the </w:t>
            </w:r>
            <w:r w:rsidR="00E65459">
              <w:t>health and</w:t>
            </w:r>
            <w:r w:rsidR="009E4FC7">
              <w:t xml:space="preserve"> economic impact </w:t>
            </w:r>
          </w:p>
          <w:p w14:paraId="53033C68" w14:textId="04E98A1D" w:rsidR="00875B7C" w:rsidRDefault="00494D57" w:rsidP="00A0273A">
            <w:pPr>
              <w:pStyle w:val="BodyTextBox"/>
            </w:pPr>
            <w:r>
              <w:t xml:space="preserve">At the onset </w:t>
            </w:r>
            <w:r w:rsidR="009F2C2E">
              <w:t>of the pandemic t</w:t>
            </w:r>
            <w:r w:rsidR="00875B7C">
              <w:t xml:space="preserve">he Government </w:t>
            </w:r>
            <w:r w:rsidR="00051207">
              <w:t xml:space="preserve">moved </w:t>
            </w:r>
            <w:r w:rsidR="00875B7C">
              <w:t xml:space="preserve">swiftly to support </w:t>
            </w:r>
            <w:r w:rsidR="006E56DE">
              <w:t xml:space="preserve">both </w:t>
            </w:r>
            <w:r w:rsidR="00875B7C">
              <w:t xml:space="preserve">the economy and communities. </w:t>
            </w:r>
            <w:r w:rsidR="00922239">
              <w:t>Immediate</w:t>
            </w:r>
            <w:r w:rsidR="00875B7C">
              <w:t xml:space="preserve"> initiatives were rolled out to boost </w:t>
            </w:r>
            <w:r w:rsidR="009E4FC7">
              <w:t>our health system</w:t>
            </w:r>
            <w:r w:rsidR="00875B7C">
              <w:t xml:space="preserve">, support job retention and protect </w:t>
            </w:r>
            <w:r w:rsidR="00BC33CA">
              <w:t xml:space="preserve">the </w:t>
            </w:r>
            <w:r w:rsidR="00875B7C">
              <w:t>vulnerable.</w:t>
            </w:r>
            <w:r w:rsidR="006232EC">
              <w:t xml:space="preserve"> </w:t>
            </w:r>
            <w:r w:rsidR="004F0DE3">
              <w:t xml:space="preserve">Measures </w:t>
            </w:r>
            <w:r w:rsidR="00C27684">
              <w:t>already underway include</w:t>
            </w:r>
            <w:r w:rsidR="00AB77DB">
              <w:t>:</w:t>
            </w:r>
            <w:r w:rsidR="00165D8F">
              <w:rPr>
                <w:rStyle w:val="FootnoteReference"/>
              </w:rPr>
              <w:footnoteReference w:id="5"/>
            </w:r>
          </w:p>
          <w:p w14:paraId="0064A479" w14:textId="2C556BD5" w:rsidR="00875B7C" w:rsidRPr="000D114C" w:rsidRDefault="00875B7C" w:rsidP="005571AA">
            <w:pPr>
              <w:spacing w:before="120"/>
              <w:rPr>
                <w:rFonts w:ascii="Arial" w:hAnsi="Arial" w:cs="Arial"/>
                <w:b/>
                <w:color w:val="008EBA"/>
                <w:sz w:val="23"/>
                <w:szCs w:val="23"/>
              </w:rPr>
            </w:pPr>
            <w:r w:rsidRPr="000D114C">
              <w:rPr>
                <w:rFonts w:ascii="Arial" w:hAnsi="Arial" w:cs="Arial"/>
                <w:b/>
                <w:color w:val="008EBA"/>
                <w:sz w:val="23"/>
                <w:szCs w:val="23"/>
              </w:rPr>
              <w:t>Health</w:t>
            </w:r>
          </w:p>
          <w:p w14:paraId="024ADB1D" w14:textId="6416995A" w:rsidR="00EB022F" w:rsidRPr="00EB022F" w:rsidRDefault="00CC0B75">
            <w:pPr>
              <w:pStyle w:val="Bullet1inabox"/>
            </w:pPr>
            <w:r w:rsidRPr="00615C42">
              <w:t xml:space="preserve">over </w:t>
            </w:r>
            <w:r w:rsidR="00D0053E" w:rsidRPr="004E3926">
              <w:t>$</w:t>
            </w:r>
            <w:r w:rsidRPr="00615C42">
              <w:t>1</w:t>
            </w:r>
            <w:r w:rsidR="00D0053E" w:rsidRPr="004E3926">
              <w:t>.</w:t>
            </w:r>
            <w:r w:rsidRPr="00615C42">
              <w:t>0</w:t>
            </w:r>
            <w:r w:rsidR="00D0053E" w:rsidRPr="004E3926">
              <w:t xml:space="preserve"> </w:t>
            </w:r>
            <w:r w:rsidRPr="00615C42">
              <w:t>b</w:t>
            </w:r>
            <w:r w:rsidR="00D0053E" w:rsidRPr="004E3926">
              <w:t>illion</w:t>
            </w:r>
            <w:r w:rsidR="00D0053E">
              <w:t xml:space="preserve"> to purchase personal protective equipment (PPE) to </w:t>
            </w:r>
            <w:r w:rsidR="007222D0">
              <w:t>protect frontline emergency services workers and the public</w:t>
            </w:r>
          </w:p>
          <w:p w14:paraId="2AFAB124" w14:textId="3672D60A" w:rsidR="00DC7760" w:rsidRPr="00E2755A" w:rsidRDefault="00DC7760" w:rsidP="00615C42">
            <w:pPr>
              <w:pStyle w:val="Bullet1inabox"/>
            </w:pPr>
            <w:r w:rsidRPr="00E2755A">
              <w:t xml:space="preserve">$700.0 million to assist in </w:t>
            </w:r>
            <w:r w:rsidR="00080553">
              <w:t>quadrupling</w:t>
            </w:r>
            <w:r w:rsidRPr="00E2755A">
              <w:t xml:space="preserve"> ICU capacity, </w:t>
            </w:r>
            <w:r w:rsidR="00BB1893">
              <w:t>undertak</w:t>
            </w:r>
            <w:r w:rsidR="00BB0128">
              <w:t>e</w:t>
            </w:r>
            <w:r w:rsidR="00BB1893">
              <w:t xml:space="preserve"> </w:t>
            </w:r>
            <w:r w:rsidRPr="00E2755A">
              <w:t xml:space="preserve">additional COVID-19 testing, and </w:t>
            </w:r>
            <w:r w:rsidR="00BB1893">
              <w:t>purchas</w:t>
            </w:r>
            <w:r w:rsidR="00BB0128">
              <w:t>e</w:t>
            </w:r>
            <w:r w:rsidR="00BB1893">
              <w:t xml:space="preserve"> additional</w:t>
            </w:r>
            <w:r w:rsidR="00BB1893" w:rsidRPr="00E2755A">
              <w:t xml:space="preserve"> </w:t>
            </w:r>
            <w:r w:rsidRPr="00E2755A">
              <w:t>medical equipment</w:t>
            </w:r>
            <w:r w:rsidR="005C1581">
              <w:t>.</w:t>
            </w:r>
          </w:p>
          <w:p w14:paraId="3E1A27B1" w14:textId="2F90F4D9" w:rsidR="002E1711" w:rsidRDefault="003233DA" w:rsidP="005571AA">
            <w:pPr>
              <w:framePr w:hSpace="180" w:wrap="around" w:vAnchor="text" w:hAnchor="margin" w:y="1184"/>
              <w:spacing w:before="120"/>
              <w:rPr>
                <w:rFonts w:ascii="Arial" w:hAnsi="Arial" w:cs="Arial"/>
                <w:b/>
                <w:color w:val="008EBA"/>
                <w:sz w:val="23"/>
                <w:szCs w:val="23"/>
              </w:rPr>
            </w:pPr>
            <w:r>
              <w:rPr>
                <w:rFonts w:ascii="Arial" w:hAnsi="Arial" w:cs="Arial"/>
                <w:b/>
                <w:color w:val="008EBA"/>
                <w:sz w:val="23"/>
                <w:szCs w:val="23"/>
              </w:rPr>
              <w:t>Capital</w:t>
            </w:r>
            <w:r w:rsidR="00636716">
              <w:rPr>
                <w:rFonts w:ascii="Arial" w:hAnsi="Arial" w:cs="Arial"/>
                <w:b/>
                <w:color w:val="008EBA"/>
                <w:sz w:val="23"/>
                <w:szCs w:val="23"/>
              </w:rPr>
              <w:t xml:space="preserve"> and maintenance</w:t>
            </w:r>
          </w:p>
          <w:p w14:paraId="76B60FDC" w14:textId="6E8A0E8E" w:rsidR="003233DA" w:rsidRPr="005E27A7" w:rsidRDefault="003233DA">
            <w:pPr>
              <w:pStyle w:val="Bullet1inabox"/>
            </w:pPr>
            <w:r w:rsidRPr="00E2755A">
              <w:t xml:space="preserve">$3.0 billion for </w:t>
            </w:r>
            <w:r w:rsidRPr="000B4457">
              <w:t xml:space="preserve">the </w:t>
            </w:r>
            <w:r w:rsidR="00FA7465" w:rsidRPr="00615C42">
              <w:t>Jobs and Infrastructure Acceleration Fund</w:t>
            </w:r>
            <w:r w:rsidRPr="000B4457">
              <w:t xml:space="preserve">, </w:t>
            </w:r>
            <w:r w:rsidR="00B06759">
              <w:t>accelerating</w:t>
            </w:r>
            <w:r>
              <w:t xml:space="preserve"> projects across </w:t>
            </w:r>
            <w:r w:rsidRPr="005E27A7">
              <w:t>the State</w:t>
            </w:r>
            <w:r w:rsidR="008134CF" w:rsidRPr="005E27A7">
              <w:t>,</w:t>
            </w:r>
            <w:r w:rsidRPr="005E27A7">
              <w:t xml:space="preserve"> including commencing the $385.0 million St George Hospital Integrated Ambulatory Care Precinct two years earlier than planned, and new public schools in </w:t>
            </w:r>
            <w:proofErr w:type="spellStart"/>
            <w:r w:rsidRPr="005E27A7">
              <w:t>Googong</w:t>
            </w:r>
            <w:proofErr w:type="spellEnd"/>
            <w:r w:rsidRPr="005E27A7">
              <w:t>, Murrumbateman and Edmondson Park</w:t>
            </w:r>
            <w:r w:rsidR="005C1581">
              <w:t>.</w:t>
            </w:r>
          </w:p>
          <w:p w14:paraId="6E6A69F9" w14:textId="7B0F3769" w:rsidR="00875B7C" w:rsidRPr="000D114C" w:rsidRDefault="00875B7C" w:rsidP="005571AA">
            <w:pPr>
              <w:framePr w:hSpace="180" w:wrap="around" w:vAnchor="text" w:hAnchor="margin" w:y="1184"/>
              <w:spacing w:before="120"/>
              <w:rPr>
                <w:rFonts w:ascii="Arial" w:hAnsi="Arial" w:cs="Arial"/>
                <w:b/>
                <w:color w:val="008EBA"/>
                <w:sz w:val="23"/>
                <w:szCs w:val="23"/>
              </w:rPr>
            </w:pPr>
            <w:r w:rsidRPr="000D114C">
              <w:rPr>
                <w:rFonts w:ascii="Arial" w:hAnsi="Arial" w:cs="Arial"/>
                <w:b/>
                <w:color w:val="008EBA"/>
                <w:sz w:val="23"/>
                <w:szCs w:val="23"/>
              </w:rPr>
              <w:t>Business and the economy</w:t>
            </w:r>
          </w:p>
          <w:p w14:paraId="1523608A" w14:textId="1C97FC27" w:rsidR="00234270" w:rsidRPr="00615C42" w:rsidRDefault="00234270">
            <w:pPr>
              <w:pStyle w:val="Bullet1inabox"/>
              <w:rPr>
                <w:rFonts w:ascii="Times New Roman" w:hAnsi="Times New Roman"/>
                <w:sz w:val="20"/>
                <w:lang w:val="en-US"/>
              </w:rPr>
            </w:pPr>
            <w:r w:rsidRPr="00615C42">
              <w:t>$1.0 billion</w:t>
            </w:r>
            <w:r w:rsidRPr="00024890">
              <w:t xml:space="preserve"> for the </w:t>
            </w:r>
            <w:r w:rsidRPr="000612E6">
              <w:t>Working for NSW Fund to sustain businesses, create new job</w:t>
            </w:r>
            <w:r w:rsidR="00FB6001" w:rsidRPr="000612E6">
              <w:t>s</w:t>
            </w:r>
            <w:r w:rsidRPr="000612E6">
              <w:t xml:space="preserve"> and retain employees, including</w:t>
            </w:r>
            <w:r w:rsidR="007968FF" w:rsidRPr="000612E6">
              <w:t xml:space="preserve"> </w:t>
            </w:r>
            <w:r w:rsidRPr="000612E6">
              <w:t>$250.0 million for</w:t>
            </w:r>
            <w:r>
              <w:t xml:space="preserve"> new and redeployed cleaners to undertake additional cleaning of schools, transport and other public infrastructure</w:t>
            </w:r>
          </w:p>
          <w:p w14:paraId="0CF6FF37" w14:textId="0E5DAF9D" w:rsidR="00875B7C" w:rsidRPr="00D45A9A" w:rsidRDefault="00875B7C" w:rsidP="00615C42">
            <w:pPr>
              <w:pStyle w:val="Bullet1inabox"/>
            </w:pPr>
            <w:r w:rsidRPr="00E6130A">
              <w:t xml:space="preserve">$750.0 million for a Small Business Support Fund to provide grants of up to $10,000 for </w:t>
            </w:r>
            <w:r w:rsidRPr="00D45A9A">
              <w:t>unavoidable expenses for small businesses, and $3,000 to support businesses to safely relaunch their operations</w:t>
            </w:r>
            <w:r w:rsidR="00250924">
              <w:t xml:space="preserve">, </w:t>
            </w:r>
            <w:r w:rsidR="00B53107">
              <w:t>with</w:t>
            </w:r>
            <w:r w:rsidR="00250924">
              <w:t xml:space="preserve"> $45.0 million </w:t>
            </w:r>
            <w:r w:rsidR="00250924" w:rsidRPr="00615C42">
              <w:t xml:space="preserve">for the Southern Border Small Business Support Grant, designed to support small businesses during the border restrictions between Victoria and New South </w:t>
            </w:r>
            <w:r w:rsidR="00250924" w:rsidRPr="00D45A9A">
              <w:t>W</w:t>
            </w:r>
            <w:r w:rsidR="00250924">
              <w:t>ales</w:t>
            </w:r>
          </w:p>
          <w:p w14:paraId="7AA99FC4" w14:textId="0DDE50F4" w:rsidR="00875B7C" w:rsidRPr="00D45A9A" w:rsidRDefault="00875B7C">
            <w:pPr>
              <w:pStyle w:val="Bullet1inabox"/>
              <w:rPr>
                <w:rFonts w:cs="Arial"/>
                <w:szCs w:val="23"/>
              </w:rPr>
            </w:pPr>
            <w:r w:rsidRPr="00D45A9A">
              <w:t>$4</w:t>
            </w:r>
            <w:r w:rsidR="00756EA6" w:rsidRPr="00D45A9A">
              <w:t>5</w:t>
            </w:r>
            <w:r w:rsidRPr="00D45A9A">
              <w:t xml:space="preserve">0.0 million </w:t>
            </w:r>
            <w:r w:rsidR="00364C0B" w:rsidRPr="00D45A9A">
              <w:t xml:space="preserve">allocated </w:t>
            </w:r>
            <w:r w:rsidRPr="00D45A9A">
              <w:t>for land tax relief for landlord</w:t>
            </w:r>
            <w:r w:rsidR="00441B2C" w:rsidRPr="00D45A9A">
              <w:t>s</w:t>
            </w:r>
            <w:r w:rsidR="00752F6A" w:rsidRPr="00D45A9A">
              <w:t xml:space="preserve"> </w:t>
            </w:r>
            <w:r w:rsidR="00753F10" w:rsidRPr="00D45A9A">
              <w:t>who</w:t>
            </w:r>
            <w:r w:rsidR="00752F6A" w:rsidRPr="00D45A9A">
              <w:t xml:space="preserve"> </w:t>
            </w:r>
            <w:r w:rsidRPr="00D45A9A">
              <w:t>provide rent relief to commercial and residential tenants in financial distress due to COVID-19</w:t>
            </w:r>
            <w:r w:rsidR="009379CD">
              <w:t>.</w:t>
            </w:r>
          </w:p>
          <w:p w14:paraId="49841866" w14:textId="6732BCC4" w:rsidR="00875B7C" w:rsidRPr="00D45A9A" w:rsidRDefault="00875B7C" w:rsidP="005571AA">
            <w:pPr>
              <w:framePr w:hSpace="180" w:wrap="around" w:vAnchor="text" w:hAnchor="margin" w:y="1184"/>
              <w:spacing w:before="120"/>
              <w:rPr>
                <w:rFonts w:ascii="Arial" w:hAnsi="Arial" w:cs="Arial"/>
                <w:b/>
                <w:color w:val="008EBA"/>
                <w:sz w:val="23"/>
                <w:szCs w:val="23"/>
              </w:rPr>
            </w:pPr>
            <w:r w:rsidRPr="00D45A9A">
              <w:rPr>
                <w:rFonts w:ascii="Arial" w:hAnsi="Arial" w:cs="Arial"/>
                <w:b/>
                <w:color w:val="008EBA"/>
                <w:sz w:val="23"/>
                <w:szCs w:val="23"/>
              </w:rPr>
              <w:t>Communities and famil</w:t>
            </w:r>
            <w:r w:rsidR="00597A63" w:rsidRPr="00D45A9A">
              <w:rPr>
                <w:rFonts w:ascii="Arial" w:hAnsi="Arial" w:cs="Arial"/>
                <w:b/>
                <w:color w:val="008EBA"/>
                <w:sz w:val="23"/>
                <w:szCs w:val="23"/>
              </w:rPr>
              <w:t>ies</w:t>
            </w:r>
          </w:p>
          <w:p w14:paraId="6BA8DD5D" w14:textId="1B5F560A" w:rsidR="009755F1" w:rsidRPr="00D45A9A" w:rsidRDefault="009755F1" w:rsidP="00615C42">
            <w:pPr>
              <w:pStyle w:val="Bullet1inabox"/>
              <w:rPr>
                <w:szCs w:val="23"/>
              </w:rPr>
            </w:pPr>
            <w:r w:rsidRPr="00D45A9A">
              <w:t>$</w:t>
            </w:r>
            <w:r w:rsidR="00E1562D" w:rsidRPr="00D45A9A">
              <w:t>101</w:t>
            </w:r>
            <w:r w:rsidRPr="00D45A9A">
              <w:t>.</w:t>
            </w:r>
            <w:r w:rsidR="00E1562D" w:rsidRPr="00D45A9A">
              <w:t>6</w:t>
            </w:r>
            <w:r w:rsidRPr="00D45A9A">
              <w:t xml:space="preserve"> million for housing and support</w:t>
            </w:r>
            <w:r w:rsidR="00BE269B" w:rsidRPr="00D45A9A">
              <w:t xml:space="preserve"> services</w:t>
            </w:r>
            <w:r w:rsidRPr="00D45A9A">
              <w:t xml:space="preserve"> for </w:t>
            </w:r>
            <w:r w:rsidR="00E1562D" w:rsidRPr="00D45A9A">
              <w:t>the homeless</w:t>
            </w:r>
            <w:r w:rsidR="00894D81" w:rsidRPr="00D45A9A">
              <w:t xml:space="preserve">, including </w:t>
            </w:r>
            <w:r w:rsidR="0010530C" w:rsidRPr="00D45A9A">
              <w:t xml:space="preserve">temporary </w:t>
            </w:r>
            <w:r w:rsidR="004269BF" w:rsidRPr="00D45A9A">
              <w:t>accommodatio</w:t>
            </w:r>
            <w:r w:rsidR="00364C0B" w:rsidRPr="00D45A9A">
              <w:t>n</w:t>
            </w:r>
            <w:r w:rsidR="00351993" w:rsidRPr="00D45A9A">
              <w:t xml:space="preserve"> and wraparound support to rough sleepers</w:t>
            </w:r>
          </w:p>
          <w:p w14:paraId="07F22225" w14:textId="24D452EB" w:rsidR="00875B7C" w:rsidRPr="00D45A9A" w:rsidRDefault="00875B7C" w:rsidP="00615C42">
            <w:pPr>
              <w:pStyle w:val="Bullet1inabox"/>
              <w:rPr>
                <w:rFonts w:cs="Arial"/>
                <w:szCs w:val="23"/>
              </w:rPr>
            </w:pPr>
            <w:r w:rsidRPr="00D45A9A">
              <w:t>$30.0 million to expand the Energy Accounts Payment Assistance</w:t>
            </w:r>
            <w:r w:rsidR="009D3E95" w:rsidRPr="00D45A9A">
              <w:t xml:space="preserve"> (EAPA)</w:t>
            </w:r>
            <w:r w:rsidRPr="00D45A9A">
              <w:t xml:space="preserve"> scheme to provide energy </w:t>
            </w:r>
            <w:r w:rsidR="00680F79" w:rsidRPr="00D45A9A">
              <w:t xml:space="preserve">bill </w:t>
            </w:r>
            <w:r w:rsidRPr="00D45A9A">
              <w:t>relief to people experiencing</w:t>
            </w:r>
            <w:r w:rsidRPr="00D45A9A">
              <w:rPr>
                <w:rFonts w:cs="Arial"/>
                <w:szCs w:val="23"/>
              </w:rPr>
              <w:t xml:space="preserve"> short-term financial distress</w:t>
            </w:r>
            <w:r w:rsidR="009379CD">
              <w:rPr>
                <w:rFonts w:cs="Arial"/>
                <w:szCs w:val="23"/>
              </w:rPr>
              <w:t>.</w:t>
            </w:r>
          </w:p>
          <w:p w14:paraId="056353BA" w14:textId="43A7DE42" w:rsidR="00875B7C" w:rsidRPr="00D45A9A" w:rsidRDefault="00875B7C" w:rsidP="005571AA">
            <w:pPr>
              <w:framePr w:hSpace="180" w:wrap="around" w:vAnchor="text" w:hAnchor="margin" w:y="1184"/>
              <w:spacing w:before="120"/>
              <w:rPr>
                <w:rFonts w:ascii="Arial" w:hAnsi="Arial" w:cs="Arial"/>
                <w:b/>
                <w:color w:val="008EBA"/>
                <w:sz w:val="23"/>
                <w:szCs w:val="23"/>
              </w:rPr>
            </w:pPr>
            <w:r w:rsidRPr="00D45A9A">
              <w:rPr>
                <w:rFonts w:ascii="Arial" w:hAnsi="Arial" w:cs="Arial"/>
                <w:b/>
                <w:color w:val="008EBA"/>
                <w:sz w:val="23"/>
                <w:szCs w:val="23"/>
              </w:rPr>
              <w:t xml:space="preserve">Supporting </w:t>
            </w:r>
            <w:r w:rsidR="002525CC" w:rsidRPr="00D45A9A">
              <w:rPr>
                <w:rFonts w:ascii="Arial" w:hAnsi="Arial" w:cs="Arial"/>
                <w:b/>
                <w:color w:val="008EBA"/>
                <w:sz w:val="23"/>
                <w:szCs w:val="23"/>
              </w:rPr>
              <w:t>g</w:t>
            </w:r>
            <w:r w:rsidRPr="00D45A9A">
              <w:rPr>
                <w:rFonts w:ascii="Arial" w:hAnsi="Arial" w:cs="Arial"/>
                <w:b/>
                <w:color w:val="008EBA"/>
                <w:sz w:val="23"/>
                <w:szCs w:val="23"/>
              </w:rPr>
              <w:t>overnment services</w:t>
            </w:r>
          </w:p>
          <w:p w14:paraId="7A73F4F1" w14:textId="20A10BCF" w:rsidR="00875B7C" w:rsidRPr="00167723" w:rsidRDefault="00875B7C" w:rsidP="00615C42">
            <w:pPr>
              <w:pStyle w:val="Bullet1inabox"/>
              <w:rPr>
                <w:rFonts w:ascii="Times New Roman" w:hAnsi="Times New Roman"/>
                <w:sz w:val="20"/>
                <w:lang w:val="en-US"/>
              </w:rPr>
            </w:pPr>
            <w:r w:rsidRPr="00A0273A">
              <w:rPr>
                <w:rFonts w:cs="Arial"/>
                <w:szCs w:val="23"/>
              </w:rPr>
              <w:t>$</w:t>
            </w:r>
            <w:r w:rsidR="00024890" w:rsidRPr="00A0273A">
              <w:rPr>
                <w:rFonts w:cs="Arial"/>
                <w:szCs w:val="23"/>
              </w:rPr>
              <w:t>3</w:t>
            </w:r>
            <w:r w:rsidRPr="00A0273A">
              <w:rPr>
                <w:rFonts w:cs="Arial"/>
                <w:szCs w:val="23"/>
              </w:rPr>
              <w:t>.</w:t>
            </w:r>
            <w:r w:rsidR="00286CA6" w:rsidRPr="00A0273A">
              <w:rPr>
                <w:rFonts w:cs="Arial"/>
                <w:szCs w:val="23"/>
              </w:rPr>
              <w:t xml:space="preserve">3 </w:t>
            </w:r>
            <w:r w:rsidRPr="00A0273A">
              <w:rPr>
                <w:rFonts w:cs="Arial"/>
                <w:szCs w:val="23"/>
              </w:rPr>
              <w:t>billion</w:t>
            </w:r>
            <w:r w:rsidRPr="00D45A9A">
              <w:rPr>
                <w:rFonts w:cs="Arial"/>
                <w:szCs w:val="23"/>
              </w:rPr>
              <w:t xml:space="preserve"> to ensure</w:t>
            </w:r>
            <w:r w:rsidRPr="00D45A9A">
              <w:t xml:space="preserve"> essential services are maintained, and public sector jobs are supported, during the COVID</w:t>
            </w:r>
            <w:r w:rsidRPr="00180495">
              <w:t>-19 pandemic</w:t>
            </w:r>
            <w:r w:rsidR="006946C1">
              <w:t>.</w:t>
            </w:r>
          </w:p>
        </w:tc>
      </w:tr>
    </w:tbl>
    <w:p w14:paraId="7DD16B0A" w14:textId="404BD340" w:rsidR="00DC7760" w:rsidRPr="00DC7760" w:rsidRDefault="00DC7760">
      <w:pPr>
        <w:pStyle w:val="BodyText"/>
      </w:pPr>
    </w:p>
    <w:tbl>
      <w:tblPr>
        <w:tblW w:w="9639" w:type="dxa"/>
        <w:shd w:val="pct5" w:color="auto" w:fill="auto"/>
        <w:tblLayout w:type="fixed"/>
        <w:tblLook w:val="0000" w:firstRow="0" w:lastRow="0" w:firstColumn="0" w:lastColumn="0" w:noHBand="0" w:noVBand="0"/>
        <w:tblCaption w:val="Box 5.2: This Budget announces a comprehensive plan for the State’s recovery"/>
        <w:tblDescription w:val="Box 5.2: This Budget announces a comprehensive plan for the State’s recovery"/>
      </w:tblPr>
      <w:tblGrid>
        <w:gridCol w:w="9639"/>
      </w:tblGrid>
      <w:tr w:rsidR="00983603" w:rsidRPr="00B93D64" w14:paraId="188355F8" w14:textId="77777777" w:rsidTr="009E3904">
        <w:trPr>
          <w:trHeight w:val="13750"/>
        </w:trPr>
        <w:tc>
          <w:tcPr>
            <w:tcW w:w="9639" w:type="dxa"/>
            <w:shd w:val="pct5" w:color="auto" w:fill="auto"/>
          </w:tcPr>
          <w:p w14:paraId="45E7FAD1" w14:textId="46C80DD7" w:rsidR="00983603" w:rsidRDefault="007339A8" w:rsidP="00DD1EC0">
            <w:pPr>
              <w:pStyle w:val="BoxHeading"/>
            </w:pPr>
            <w:r>
              <w:t>This Budget announces a</w:t>
            </w:r>
            <w:r w:rsidR="009E4FC7">
              <w:t xml:space="preserve"> comprehensive plan </w:t>
            </w:r>
            <w:r w:rsidR="00534049">
              <w:t>for</w:t>
            </w:r>
            <w:r w:rsidR="009E4FC7">
              <w:t xml:space="preserve"> the</w:t>
            </w:r>
            <w:r w:rsidR="00670C03">
              <w:t xml:space="preserve"> State’s</w:t>
            </w:r>
            <w:r w:rsidR="009E4FC7">
              <w:t xml:space="preserve"> recovery</w:t>
            </w:r>
          </w:p>
          <w:p w14:paraId="220FE4D4" w14:textId="765010D9" w:rsidR="00341F3A" w:rsidRDefault="00983603" w:rsidP="00A0273A">
            <w:pPr>
              <w:pStyle w:val="BodyTextBox"/>
            </w:pPr>
            <w:r>
              <w:t xml:space="preserve">The </w:t>
            </w:r>
            <w:r w:rsidR="00D756A2">
              <w:t>Government</w:t>
            </w:r>
            <w:r w:rsidR="008A0D67">
              <w:t>’s</w:t>
            </w:r>
            <w:r w:rsidR="00D756A2">
              <w:t xml:space="preserve"> </w:t>
            </w:r>
            <w:r>
              <w:t>stimulus</w:t>
            </w:r>
            <w:r w:rsidR="00D3562B">
              <w:t xml:space="preserve"> and reform</w:t>
            </w:r>
            <w:r>
              <w:t xml:space="preserve"> measure</w:t>
            </w:r>
            <w:r w:rsidR="00542ED8">
              <w:t>s</w:t>
            </w:r>
            <w:r w:rsidR="005F329E">
              <w:t>,</w:t>
            </w:r>
            <w:r w:rsidR="000C53FF">
              <w:t xml:space="preserve"> announced in this Budget</w:t>
            </w:r>
            <w:r w:rsidR="005F329E">
              <w:t>,</w:t>
            </w:r>
            <w:r w:rsidR="007F7DCE">
              <w:t xml:space="preserve"> </w:t>
            </w:r>
            <w:r w:rsidR="00644FA5">
              <w:t xml:space="preserve">will </w:t>
            </w:r>
            <w:r w:rsidR="00F6340A">
              <w:t>stimulate</w:t>
            </w:r>
            <w:r>
              <w:t xml:space="preserve"> job creation</w:t>
            </w:r>
            <w:r w:rsidR="00C361D4">
              <w:t>, while p</w:t>
            </w:r>
            <w:r>
              <w:t xml:space="preserve">roviding support to </w:t>
            </w:r>
            <w:r w:rsidR="00C361D4">
              <w:t xml:space="preserve">the most </w:t>
            </w:r>
            <w:r>
              <w:t>vulnerable cohorts</w:t>
            </w:r>
            <w:r w:rsidR="00C361D4">
              <w:t xml:space="preserve"> in our community</w:t>
            </w:r>
            <w:r>
              <w:t>.</w:t>
            </w:r>
            <w:r w:rsidR="005D0CDE">
              <w:rPr>
                <w:rStyle w:val="FootnoteReference"/>
              </w:rPr>
              <w:footnoteReference w:id="6"/>
            </w:r>
          </w:p>
          <w:p w14:paraId="7FCB3578" w14:textId="48AFD05F" w:rsidR="00983603" w:rsidRPr="00BE7D4A" w:rsidRDefault="003E7EA2" w:rsidP="00BE7D4A">
            <w:pPr>
              <w:spacing w:before="120"/>
              <w:rPr>
                <w:rFonts w:ascii="Arial" w:hAnsi="Arial" w:cs="Arial"/>
                <w:b/>
                <w:color w:val="008EBA"/>
                <w:sz w:val="23"/>
                <w:szCs w:val="23"/>
              </w:rPr>
            </w:pPr>
            <w:r>
              <w:rPr>
                <w:rFonts w:ascii="Arial" w:hAnsi="Arial" w:cs="Arial"/>
                <w:b/>
                <w:color w:val="008EBA"/>
                <w:sz w:val="23"/>
                <w:szCs w:val="23"/>
              </w:rPr>
              <w:t>Building a better New South Wales</w:t>
            </w:r>
          </w:p>
          <w:p w14:paraId="5046A730" w14:textId="7312BEEB" w:rsidR="00310CC1" w:rsidRPr="005E27A7" w:rsidRDefault="00310CC1">
            <w:pPr>
              <w:pStyle w:val="Bullet1inabox"/>
            </w:pPr>
            <w:r w:rsidRPr="005E27A7">
              <w:t>$</w:t>
            </w:r>
            <w:r w:rsidR="0046423D">
              <w:t>812</w:t>
            </w:r>
            <w:r w:rsidR="00C06961" w:rsidRPr="00615C42">
              <w:t>.</w:t>
            </w:r>
            <w:r w:rsidR="0046423D">
              <w:t>0</w:t>
            </w:r>
            <w:r w:rsidRPr="005E27A7">
              <w:t xml:space="preserve"> million</w:t>
            </w:r>
            <w:r w:rsidR="0046423D">
              <w:t xml:space="preserve"> </w:t>
            </w:r>
            <w:r w:rsidRPr="005E27A7">
              <w:t xml:space="preserve">to deliver </w:t>
            </w:r>
            <w:r w:rsidR="00781896" w:rsidRPr="00615C42">
              <w:t xml:space="preserve">new social housing and undertake significant maintenance and upgrades of social </w:t>
            </w:r>
            <w:r w:rsidR="00E375D0" w:rsidRPr="00615C42">
              <w:t xml:space="preserve">and Aboriginal </w:t>
            </w:r>
            <w:r w:rsidR="00781896" w:rsidRPr="00615C42">
              <w:t>housing</w:t>
            </w:r>
          </w:p>
          <w:p w14:paraId="63CC3AC7" w14:textId="6915098A" w:rsidR="00B93F3E" w:rsidRDefault="00B93F3E" w:rsidP="00615C42">
            <w:pPr>
              <w:pStyle w:val="Bullet1inabox"/>
            </w:pPr>
            <w:r>
              <w:t>$256.0 million for upgrades and maintenance works across National Parks, the Royal Botanic Gardens, Centennial Park, Sydney Olympic Park and the Crown Land portfolio</w:t>
            </w:r>
          </w:p>
          <w:p w14:paraId="12980FA7" w14:textId="4E93A4FD" w:rsidR="00914C7C" w:rsidRDefault="00164C1E">
            <w:pPr>
              <w:pStyle w:val="Bullet1inabox"/>
            </w:pPr>
            <w:r w:rsidRPr="00615C42">
              <w:t>$</w:t>
            </w:r>
            <w:r w:rsidR="000F601E">
              <w:t>167</w:t>
            </w:r>
            <w:r w:rsidR="00B6496E" w:rsidRPr="00615C42">
              <w:t>.</w:t>
            </w:r>
            <w:r w:rsidR="000F601E">
              <w:t>7</w:t>
            </w:r>
            <w:r w:rsidRPr="00615C42">
              <w:t xml:space="preserve"> million </w:t>
            </w:r>
            <w:r w:rsidR="00D76D95" w:rsidRPr="00615C42">
              <w:t>for</w:t>
            </w:r>
            <w:r w:rsidRPr="00615C42">
              <w:t xml:space="preserve"> </w:t>
            </w:r>
            <w:r w:rsidR="00D271F3">
              <w:t xml:space="preserve">capital works and </w:t>
            </w:r>
            <w:r w:rsidRPr="00615C42">
              <w:t>maintenance</w:t>
            </w:r>
            <w:r w:rsidR="00742198" w:rsidRPr="00975327">
              <w:t xml:space="preserve"> of </w:t>
            </w:r>
            <w:r w:rsidRPr="00615C42">
              <w:t xml:space="preserve">courts, police stations and corrective services, </w:t>
            </w:r>
            <w:r w:rsidR="00D271F3">
              <w:t>as well as</w:t>
            </w:r>
            <w:r w:rsidRPr="00615C42">
              <w:t xml:space="preserve"> </w:t>
            </w:r>
            <w:r w:rsidR="00332728" w:rsidRPr="00975327">
              <w:t>upgrad</w:t>
            </w:r>
            <w:r w:rsidR="00D271F3">
              <w:t>es to</w:t>
            </w:r>
            <w:r w:rsidRPr="00615C42">
              <w:t xml:space="preserve"> the Goulburn Police Academy</w:t>
            </w:r>
          </w:p>
          <w:p w14:paraId="6636C5B5" w14:textId="73EF86D3" w:rsidR="0007488E" w:rsidRPr="00615C42" w:rsidRDefault="00920265">
            <w:pPr>
              <w:pStyle w:val="Bullet1inabox"/>
            </w:pPr>
            <w:r w:rsidRPr="00530CF3">
              <w:t>$104.5 million for an Arts Maintenance and Upgrade Fund to stimulate jobs through improving accessibility, sustainability and functionality of our cultural assets</w:t>
            </w:r>
            <w:r w:rsidR="006E0990">
              <w:t>.</w:t>
            </w:r>
          </w:p>
          <w:p w14:paraId="47385181" w14:textId="1BD9A0F5" w:rsidR="00F81130" w:rsidRPr="00460765" w:rsidRDefault="00F81130" w:rsidP="00F81130">
            <w:pPr>
              <w:spacing w:before="120"/>
              <w:rPr>
                <w:rFonts w:ascii="Arial" w:hAnsi="Arial" w:cs="Arial"/>
                <w:b/>
                <w:color w:val="008EBA"/>
                <w:sz w:val="23"/>
                <w:szCs w:val="23"/>
              </w:rPr>
            </w:pPr>
            <w:r w:rsidRPr="00975327">
              <w:rPr>
                <w:rFonts w:ascii="Arial" w:hAnsi="Arial" w:cs="Arial"/>
                <w:b/>
                <w:color w:val="008EBA"/>
                <w:sz w:val="23"/>
                <w:szCs w:val="23"/>
              </w:rPr>
              <w:t>Investing in our people and their future</w:t>
            </w:r>
          </w:p>
          <w:p w14:paraId="569B999A" w14:textId="5C296D84" w:rsidR="00F81130" w:rsidRPr="00460765" w:rsidRDefault="00F81130">
            <w:pPr>
              <w:pStyle w:val="Bullet1inabox"/>
            </w:pPr>
            <w:r w:rsidRPr="00460765">
              <w:t xml:space="preserve">$337.0 million to provide free small group tutoring to boost learning for vulnerable </w:t>
            </w:r>
            <w:r w:rsidR="0006063E">
              <w:t xml:space="preserve">school </w:t>
            </w:r>
            <w:r w:rsidRPr="00460765">
              <w:t xml:space="preserve">children who have been left behind while remote learning during the pandemic </w:t>
            </w:r>
          </w:p>
          <w:p w14:paraId="68779862" w14:textId="116B33B7" w:rsidR="00A10843" w:rsidRDefault="00A10843">
            <w:pPr>
              <w:pStyle w:val="Bullet1inabox"/>
            </w:pPr>
            <w:r>
              <w:t>$318.6 million for Skilling for Recovery, with $1</w:t>
            </w:r>
            <w:r w:rsidR="0082390D">
              <w:t>59</w:t>
            </w:r>
            <w:r>
              <w:t>.</w:t>
            </w:r>
            <w:r w:rsidR="0082390D">
              <w:t>3</w:t>
            </w:r>
            <w:r>
              <w:t xml:space="preserve"> million </w:t>
            </w:r>
            <w:r w:rsidR="000F0045">
              <w:t>from</w:t>
            </w:r>
            <w:r>
              <w:t xml:space="preserve"> the NSW Government, to help job seekers retrain or upskill, and </w:t>
            </w:r>
            <w:r w:rsidR="006838D8">
              <w:t xml:space="preserve">to </w:t>
            </w:r>
            <w:r>
              <w:t>support school leavers to enter the workforce</w:t>
            </w:r>
          </w:p>
          <w:p w14:paraId="2A609DAF" w14:textId="0892F0A9" w:rsidR="00F81130" w:rsidRPr="00460765" w:rsidRDefault="00F81130">
            <w:pPr>
              <w:pStyle w:val="Bullet1inabox"/>
            </w:pPr>
            <w:r w:rsidRPr="00460765">
              <w:t xml:space="preserve">$80.0 million for </w:t>
            </w:r>
            <w:r w:rsidR="00C7189A">
              <w:t>300 new housing sector pre-</w:t>
            </w:r>
            <w:r w:rsidRPr="00460765">
              <w:t xml:space="preserve">apprenticeships and cadetships </w:t>
            </w:r>
            <w:r w:rsidR="00816E2D">
              <w:t>to provide career pathways for young people and social housing tenants</w:t>
            </w:r>
          </w:p>
          <w:p w14:paraId="3FFC0219" w14:textId="7472E56C" w:rsidR="0023390E" w:rsidRPr="00FC03BB" w:rsidRDefault="008D1DED">
            <w:pPr>
              <w:pStyle w:val="Bullet1inabox"/>
            </w:pPr>
            <w:r w:rsidRPr="00615C42">
              <w:t>$19.0 million for the Skill and Employment Generation program to significantly increase the apprenticeship intake for trade skills across road and rail industry sectors</w:t>
            </w:r>
          </w:p>
          <w:p w14:paraId="01DF2071" w14:textId="7D264397" w:rsidR="00F81130" w:rsidRDefault="00F81130">
            <w:pPr>
              <w:pStyle w:val="Bullet1inabox"/>
            </w:pPr>
            <w:r w:rsidRPr="00615C42">
              <w:t>$10</w:t>
            </w:r>
            <w:r w:rsidR="00F0215F" w:rsidRPr="00615C42">
              <w:t>.0</w:t>
            </w:r>
            <w:r w:rsidRPr="00615C42">
              <w:t xml:space="preserve"> million </w:t>
            </w:r>
            <w:r w:rsidR="00D95A1A">
              <w:t xml:space="preserve">to </w:t>
            </w:r>
            <w:r w:rsidR="00194ADB">
              <w:t>help</w:t>
            </w:r>
            <w:r w:rsidR="00D95A1A">
              <w:t xml:space="preserve"> women return to work </w:t>
            </w:r>
            <w:r w:rsidR="00AC185E">
              <w:t>via</w:t>
            </w:r>
            <w:r w:rsidR="00D95A1A">
              <w:t xml:space="preserve"> grants and </w:t>
            </w:r>
            <w:r w:rsidR="00F55ADF">
              <w:t>Return to Work Coordinators</w:t>
            </w:r>
          </w:p>
          <w:p w14:paraId="2FDCB0DF" w14:textId="47144F7A" w:rsidR="0023390E" w:rsidRPr="00615C42" w:rsidRDefault="0002396A">
            <w:pPr>
              <w:pStyle w:val="Bullet1inabox"/>
            </w:pPr>
            <w:r w:rsidRPr="00C11F2A">
              <w:t>$2.5 million to develop a strategic business case for a dedicated TAFE Aged Care Centre of Excellence Training Facility</w:t>
            </w:r>
            <w:r w:rsidR="006E0990">
              <w:t>.</w:t>
            </w:r>
          </w:p>
          <w:p w14:paraId="41757FE7" w14:textId="0700A5AF" w:rsidR="00983603" w:rsidRPr="00460765" w:rsidRDefault="003E7EA2" w:rsidP="00BE7D4A">
            <w:pPr>
              <w:spacing w:before="120"/>
              <w:rPr>
                <w:rFonts w:ascii="Arial" w:hAnsi="Arial" w:cs="Arial"/>
                <w:b/>
                <w:color w:val="008EBA"/>
                <w:sz w:val="23"/>
                <w:szCs w:val="23"/>
              </w:rPr>
            </w:pPr>
            <w:r w:rsidRPr="00975327">
              <w:rPr>
                <w:rFonts w:ascii="Arial" w:hAnsi="Arial" w:cs="Arial"/>
                <w:b/>
                <w:color w:val="008EBA"/>
                <w:sz w:val="23"/>
                <w:szCs w:val="23"/>
              </w:rPr>
              <w:t>Making it easier to run a business</w:t>
            </w:r>
          </w:p>
          <w:p w14:paraId="53B89DFA" w14:textId="5CA24686" w:rsidR="00983603" w:rsidRPr="00460765" w:rsidRDefault="00983603" w:rsidP="00615C42">
            <w:pPr>
              <w:pStyle w:val="Bullet1inabox"/>
            </w:pPr>
            <w:r w:rsidRPr="00460765">
              <w:t xml:space="preserve">$500.0 million in 2020-21 to provide digital vouchers for each NSW adult resident </w:t>
            </w:r>
            <w:r w:rsidR="00BF0196" w:rsidRPr="00460765">
              <w:t>to stimul</w:t>
            </w:r>
            <w:r w:rsidR="009E20DD" w:rsidRPr="00460765">
              <w:t>ate</w:t>
            </w:r>
            <w:r w:rsidR="00BF0196" w:rsidRPr="00460765">
              <w:t xml:space="preserve"> spending at</w:t>
            </w:r>
            <w:r w:rsidRPr="00460765">
              <w:t xml:space="preserve"> restaurants, visitor sites and cultural attractions</w:t>
            </w:r>
          </w:p>
          <w:p w14:paraId="1EDD1CDA" w14:textId="324E49F2" w:rsidR="00F27453" w:rsidRDefault="00F27453">
            <w:pPr>
              <w:pStyle w:val="Bullet1inabox"/>
            </w:pPr>
            <w:r>
              <w:t xml:space="preserve">$472.0 million to provide small and medium sized businesses, which do not pay payroll tax, with a $1,500 digital voucher </w:t>
            </w:r>
            <w:r w:rsidR="00194ADB">
              <w:t>for</w:t>
            </w:r>
            <w:r>
              <w:t xml:space="preserve"> the cost of government fees and charges</w:t>
            </w:r>
            <w:r w:rsidR="006364E0">
              <w:t>.</w:t>
            </w:r>
          </w:p>
          <w:p w14:paraId="0BF2EF96" w14:textId="3EE0D369" w:rsidR="00983603" w:rsidRPr="00BE7D4A" w:rsidRDefault="003E7EA2" w:rsidP="00BE7D4A">
            <w:pPr>
              <w:spacing w:before="120"/>
              <w:rPr>
                <w:rFonts w:ascii="Arial" w:hAnsi="Arial" w:cs="Arial"/>
                <w:b/>
                <w:color w:val="008EBA"/>
                <w:sz w:val="23"/>
                <w:szCs w:val="23"/>
              </w:rPr>
            </w:pPr>
            <w:r>
              <w:rPr>
                <w:rFonts w:ascii="Arial" w:hAnsi="Arial" w:cs="Arial"/>
                <w:b/>
                <w:color w:val="008EBA"/>
                <w:sz w:val="23"/>
                <w:szCs w:val="23"/>
              </w:rPr>
              <w:t>Delivering quality services for everyone in New South Wales</w:t>
            </w:r>
          </w:p>
          <w:p w14:paraId="01DE0BD6" w14:textId="705A7CC9" w:rsidR="00983603" w:rsidRDefault="00983603" w:rsidP="00615C42">
            <w:pPr>
              <w:pStyle w:val="Bullet1inabox"/>
            </w:pPr>
            <w:r>
              <w:t>$16</w:t>
            </w:r>
            <w:r w:rsidR="009C3188">
              <w:t>9</w:t>
            </w:r>
            <w:r>
              <w:t xml:space="preserve">.4 million in mental health support measures, including additional community health workers, 100 additional wellbeing </w:t>
            </w:r>
            <w:r w:rsidR="00033F79">
              <w:t xml:space="preserve">and in-reach </w:t>
            </w:r>
            <w:r>
              <w:t>nurses</w:t>
            </w:r>
            <w:r w:rsidR="00046932">
              <w:t xml:space="preserve">, and to establish 12 </w:t>
            </w:r>
            <w:r w:rsidR="00033F79">
              <w:t xml:space="preserve">mental health and wellbeing </w:t>
            </w:r>
            <w:r w:rsidR="00046932">
              <w:t>community collaboratives</w:t>
            </w:r>
          </w:p>
          <w:p w14:paraId="676F7B9B" w14:textId="4207B83B" w:rsidR="00A35B9D" w:rsidRPr="002E608E" w:rsidRDefault="00D20BA9">
            <w:pPr>
              <w:pStyle w:val="Bullet1inabox"/>
            </w:pPr>
            <w:r w:rsidRPr="002E608E">
              <w:t xml:space="preserve">$120.0 million to continue fee relief for community </w:t>
            </w:r>
            <w:r w:rsidR="005A7D8E" w:rsidRPr="002E608E">
              <w:t xml:space="preserve">and mobile </w:t>
            </w:r>
            <w:r w:rsidRPr="002E608E">
              <w:t>preschools</w:t>
            </w:r>
          </w:p>
          <w:p w14:paraId="0A96363D" w14:textId="67336F6C" w:rsidR="000A7800" w:rsidRDefault="00A35B9D">
            <w:pPr>
              <w:pStyle w:val="Bullet1inabox"/>
            </w:pPr>
            <w:r>
              <w:t>$5</w:t>
            </w:r>
            <w:r w:rsidR="00F15FC1">
              <w:t>5</w:t>
            </w:r>
            <w:r>
              <w:t>.</w:t>
            </w:r>
            <w:r w:rsidR="00F15FC1">
              <w:t>9</w:t>
            </w:r>
            <w:r>
              <w:t xml:space="preserve"> million </w:t>
            </w:r>
            <w:r w:rsidR="007C19DA">
              <w:t xml:space="preserve">for palliative care measures, </w:t>
            </w:r>
            <w:r w:rsidR="00F6340A">
              <w:t xml:space="preserve">including </w:t>
            </w:r>
            <w:r w:rsidR="007C19DA">
              <w:t>to provide an additional 5,000</w:t>
            </w:r>
            <w:r w:rsidR="00311995">
              <w:t xml:space="preserve"> End of Life home support packages</w:t>
            </w:r>
            <w:r w:rsidR="00F6340A">
              <w:t xml:space="preserve"> and</w:t>
            </w:r>
            <w:r w:rsidR="00311995">
              <w:t xml:space="preserve"> specialist allied health professionals</w:t>
            </w:r>
          </w:p>
          <w:p w14:paraId="20E3F888" w14:textId="7139DADA" w:rsidR="00AB55F6" w:rsidRDefault="000A7800">
            <w:pPr>
              <w:pStyle w:val="Bullet1inabox"/>
            </w:pPr>
            <w:r w:rsidRPr="00AB5B25">
              <w:t>$29</w:t>
            </w:r>
            <w:r w:rsidR="00AB5B25" w:rsidRPr="00615C42">
              <w:t>.0</w:t>
            </w:r>
            <w:r w:rsidRPr="00AB5B25">
              <w:t xml:space="preserve"> million to </w:t>
            </w:r>
            <w:r w:rsidR="00F55ADF">
              <w:t>extend</w:t>
            </w:r>
            <w:r w:rsidRPr="00AB5B25">
              <w:t xml:space="preserve"> the Together Home program to transition </w:t>
            </w:r>
            <w:r w:rsidR="004A5011" w:rsidRPr="00AB5B25">
              <w:t>rough sleepers into permanent housing with wraparound support services</w:t>
            </w:r>
            <w:r w:rsidR="006E0990">
              <w:t>.</w:t>
            </w:r>
          </w:p>
          <w:p w14:paraId="64C238B9" w14:textId="47BDB611" w:rsidR="00803627" w:rsidRPr="00BE7D4A" w:rsidRDefault="00803627" w:rsidP="00803627">
            <w:pPr>
              <w:spacing w:before="120"/>
              <w:rPr>
                <w:rFonts w:ascii="Arial" w:hAnsi="Arial" w:cs="Arial"/>
                <w:b/>
                <w:color w:val="008EBA"/>
                <w:sz w:val="23"/>
                <w:szCs w:val="23"/>
              </w:rPr>
            </w:pPr>
            <w:r>
              <w:rPr>
                <w:rFonts w:ascii="Arial" w:hAnsi="Arial" w:cs="Arial"/>
                <w:b/>
                <w:color w:val="008EBA"/>
                <w:sz w:val="23"/>
                <w:szCs w:val="23"/>
              </w:rPr>
              <w:t>Strong local industry, big global outlook</w:t>
            </w:r>
          </w:p>
          <w:p w14:paraId="1A4E966D" w14:textId="0BA74C56" w:rsidR="00822524" w:rsidRDefault="00822524">
            <w:pPr>
              <w:pStyle w:val="Bullet1inabox"/>
            </w:pPr>
            <w:r>
              <w:t>$250.0 million for the Jobs Plus Program</w:t>
            </w:r>
            <w:r w:rsidR="004F45E2">
              <w:t>,</w:t>
            </w:r>
            <w:r>
              <w:t xml:space="preserve"> to entice companies from interstate and across the globe to New South Wales if they create at least 30 new net jobs</w:t>
            </w:r>
          </w:p>
          <w:p w14:paraId="1AE684DA" w14:textId="51E7A859" w:rsidR="005D7A48" w:rsidRPr="00B93D64" w:rsidRDefault="001573A9" w:rsidP="00615C42">
            <w:pPr>
              <w:pStyle w:val="Bullet1inabox"/>
            </w:pPr>
            <w:r>
              <w:t xml:space="preserve">$175.0 million </w:t>
            </w:r>
            <w:r w:rsidR="00CA08D2">
              <w:t>in additional funding for the Made in NSW program, focusing on investment in new film and TV projects</w:t>
            </w:r>
            <w:r w:rsidR="00822524">
              <w:t>.</w:t>
            </w:r>
          </w:p>
        </w:tc>
      </w:tr>
    </w:tbl>
    <w:p w14:paraId="63552F21" w14:textId="77777777" w:rsidR="00172F66" w:rsidRDefault="00172F66">
      <w:pPr>
        <w:spacing w:after="200" w:line="276" w:lineRule="auto"/>
        <w:rPr>
          <w:rFonts w:ascii="Arial" w:hAnsi="Arial" w:cs="Arial"/>
          <w:sz w:val="23"/>
          <w:lang w:val="en-AU"/>
        </w:rPr>
      </w:pPr>
      <w:r>
        <w:br w:type="page"/>
      </w:r>
    </w:p>
    <w:p w14:paraId="0B3D33CB" w14:textId="64BD56D8" w:rsidR="002F75F6" w:rsidRPr="007641D2" w:rsidRDefault="00B53E26">
      <w:pPr>
        <w:pStyle w:val="BodyText"/>
      </w:pPr>
      <w:r w:rsidRPr="007641D2">
        <w:t xml:space="preserve">Table </w:t>
      </w:r>
      <w:r w:rsidR="002C5C27" w:rsidRPr="007641D2">
        <w:t>5</w:t>
      </w:r>
      <w:r w:rsidRPr="007641D2">
        <w:t xml:space="preserve">.1 </w:t>
      </w:r>
      <w:r w:rsidR="00063A46">
        <w:t>outlines</w:t>
      </w:r>
      <w:r w:rsidRPr="007641D2">
        <w:t xml:space="preserve"> </w:t>
      </w:r>
      <w:r w:rsidR="00063A46">
        <w:t xml:space="preserve">movements in Government </w:t>
      </w:r>
      <w:r w:rsidRPr="007641D2">
        <w:t>ex</w:t>
      </w:r>
      <w:r w:rsidR="00E457E9" w:rsidRPr="007641D2">
        <w:t xml:space="preserve">penses </w:t>
      </w:r>
      <w:r w:rsidR="007D1A21">
        <w:t>between</w:t>
      </w:r>
      <w:r w:rsidR="00063A46">
        <w:t xml:space="preserve"> </w:t>
      </w:r>
      <w:r w:rsidR="000952D5" w:rsidRPr="007641D2">
        <w:t>the 201</w:t>
      </w:r>
      <w:r w:rsidR="00575FB6">
        <w:t>9</w:t>
      </w:r>
      <w:r w:rsidR="000337CF">
        <w:noBreakHyphen/>
      </w:r>
      <w:r w:rsidR="00575FB6">
        <w:t>20</w:t>
      </w:r>
      <w:r w:rsidR="006C6CE6">
        <w:t xml:space="preserve"> </w:t>
      </w:r>
      <w:r w:rsidR="00EC59A4">
        <w:t>Half</w:t>
      </w:r>
      <w:r w:rsidR="00292E6F">
        <w:noBreakHyphen/>
      </w:r>
      <w:r w:rsidR="00EC59A4">
        <w:t>Yearly</w:t>
      </w:r>
      <w:r w:rsidR="006C6CE6">
        <w:t xml:space="preserve"> </w:t>
      </w:r>
      <w:r w:rsidR="00EC59A4">
        <w:t xml:space="preserve">Review </w:t>
      </w:r>
      <w:r w:rsidR="00C819F1" w:rsidRPr="007641D2">
        <w:t>and</w:t>
      </w:r>
      <w:r w:rsidR="000952D5" w:rsidRPr="007641D2">
        <w:t xml:space="preserve"> 20</w:t>
      </w:r>
      <w:r w:rsidR="00575FB6">
        <w:t>20</w:t>
      </w:r>
      <w:r w:rsidR="000952D5" w:rsidRPr="007641D2">
        <w:noBreakHyphen/>
      </w:r>
      <w:r w:rsidR="0023601D" w:rsidRPr="007641D2">
        <w:t>2</w:t>
      </w:r>
      <w:r w:rsidR="00575FB6">
        <w:t>1</w:t>
      </w:r>
      <w:r w:rsidR="006C6CE6">
        <w:t xml:space="preserve"> </w:t>
      </w:r>
      <w:r w:rsidR="00D5261F" w:rsidRPr="007641D2">
        <w:t>Budget</w:t>
      </w:r>
      <w:r w:rsidR="000952D5" w:rsidRPr="007641D2">
        <w:t>.</w:t>
      </w:r>
    </w:p>
    <w:p w14:paraId="1F9086A5" w14:textId="63216397" w:rsidR="00375C01" w:rsidRPr="00333BA8" w:rsidRDefault="005135BA" w:rsidP="00615C42">
      <w:pPr>
        <w:pStyle w:val="Table5X"/>
        <w:tabs>
          <w:tab w:val="clear" w:pos="0"/>
        </w:tabs>
        <w:rPr>
          <w:rFonts w:cs="Arial"/>
          <w:iCs/>
        </w:rPr>
      </w:pPr>
      <w:r w:rsidRPr="00333BA8">
        <w:rPr>
          <w:rFonts w:cs="Arial"/>
          <w:iCs/>
        </w:rPr>
        <w:t xml:space="preserve">Expense reconciliation since the </w:t>
      </w:r>
      <w:r w:rsidR="00FE2576" w:rsidRPr="00333BA8">
        <w:rPr>
          <w:rFonts w:cs="Arial"/>
          <w:iCs/>
        </w:rPr>
        <w:t>201</w:t>
      </w:r>
      <w:r w:rsidR="00575FB6" w:rsidRPr="00333BA8">
        <w:rPr>
          <w:rFonts w:cs="Arial"/>
          <w:iCs/>
        </w:rPr>
        <w:t>9</w:t>
      </w:r>
      <w:r w:rsidRPr="00333BA8">
        <w:rPr>
          <w:rFonts w:cs="Arial"/>
          <w:iCs/>
        </w:rPr>
        <w:t>-</w:t>
      </w:r>
      <w:r w:rsidR="00EC59A4" w:rsidRPr="00333BA8">
        <w:rPr>
          <w:rFonts w:cs="Arial"/>
          <w:iCs/>
        </w:rPr>
        <w:t>20 Half-Yearly Review</w:t>
      </w:r>
      <w:r w:rsidR="001337CE" w:rsidRPr="00333BA8" w:rsidDel="00BB2FD3">
        <w:rPr>
          <w:rFonts w:cs="Arial"/>
          <w:iCs/>
        </w:rPr>
        <w:t xml:space="preserve"> </w:t>
      </w:r>
    </w:p>
    <w:tbl>
      <w:tblPr>
        <w:tblW w:w="9722" w:type="dxa"/>
        <w:tblLook w:val="04A0" w:firstRow="1" w:lastRow="0" w:firstColumn="1" w:lastColumn="0" w:noHBand="0" w:noVBand="1"/>
        <w:tblCaption w:val="Table 5.1: Expense reconciliation since the 2019-20 Half-Yearly Review "/>
        <w:tblDescription w:val="Table 5.1: Expense reconciliation since the 2019-20 Half-Yearly Review"/>
      </w:tblPr>
      <w:tblGrid>
        <w:gridCol w:w="3701"/>
        <w:gridCol w:w="1204"/>
        <w:gridCol w:w="1204"/>
        <w:gridCol w:w="1204"/>
        <w:gridCol w:w="1204"/>
        <w:gridCol w:w="1205"/>
      </w:tblGrid>
      <w:tr w:rsidR="00024747" w:rsidRPr="00024747" w14:paraId="636C086E" w14:textId="77777777" w:rsidTr="001B61F0">
        <w:trPr>
          <w:trHeight w:val="283"/>
        </w:trPr>
        <w:tc>
          <w:tcPr>
            <w:tcW w:w="3701" w:type="dxa"/>
            <w:tcBorders>
              <w:top w:val="nil"/>
              <w:left w:val="nil"/>
              <w:bottom w:val="nil"/>
              <w:right w:val="nil"/>
            </w:tcBorders>
            <w:shd w:val="clear" w:color="000000" w:fill="008EBA"/>
            <w:vAlign w:val="bottom"/>
            <w:hideMark/>
          </w:tcPr>
          <w:p w14:paraId="14854567" w14:textId="0284AE5C" w:rsidR="00024747" w:rsidRPr="00D80CAF" w:rsidRDefault="00024747" w:rsidP="001B61F0">
            <w:pPr>
              <w:jc w:val="center"/>
              <w:rPr>
                <w:rFonts w:ascii="Arial" w:hAnsi="Arial" w:cs="Arial"/>
                <w:color w:val="FFFFFF"/>
                <w:sz w:val="16"/>
                <w:szCs w:val="16"/>
                <w:lang w:val="en-AU" w:eastAsia="en-AU"/>
              </w:rPr>
            </w:pPr>
            <w:bookmarkStart w:id="0" w:name="_Hlk55548851"/>
          </w:p>
        </w:tc>
        <w:tc>
          <w:tcPr>
            <w:tcW w:w="1204" w:type="dxa"/>
            <w:tcBorders>
              <w:top w:val="nil"/>
              <w:left w:val="nil"/>
              <w:bottom w:val="nil"/>
              <w:right w:val="nil"/>
            </w:tcBorders>
            <w:shd w:val="clear" w:color="000000" w:fill="008EBA"/>
            <w:vAlign w:val="bottom"/>
            <w:hideMark/>
          </w:tcPr>
          <w:p w14:paraId="57C446C6" w14:textId="77777777" w:rsidR="00024747" w:rsidRPr="00D80CAF" w:rsidRDefault="00024747" w:rsidP="001B61F0">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2019-20</w:t>
            </w:r>
          </w:p>
        </w:tc>
        <w:tc>
          <w:tcPr>
            <w:tcW w:w="1204" w:type="dxa"/>
            <w:tcBorders>
              <w:top w:val="nil"/>
              <w:left w:val="nil"/>
              <w:bottom w:val="nil"/>
              <w:right w:val="nil"/>
            </w:tcBorders>
            <w:shd w:val="clear" w:color="000000" w:fill="008EBA"/>
            <w:vAlign w:val="bottom"/>
            <w:hideMark/>
          </w:tcPr>
          <w:p w14:paraId="1FDC0947" w14:textId="77777777" w:rsidR="00024747" w:rsidRPr="00D80CAF" w:rsidRDefault="00024747" w:rsidP="001B61F0">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2020-21</w:t>
            </w:r>
          </w:p>
        </w:tc>
        <w:tc>
          <w:tcPr>
            <w:tcW w:w="1204" w:type="dxa"/>
            <w:tcBorders>
              <w:top w:val="nil"/>
              <w:left w:val="nil"/>
              <w:bottom w:val="nil"/>
              <w:right w:val="nil"/>
            </w:tcBorders>
            <w:shd w:val="clear" w:color="000000" w:fill="008EBA"/>
            <w:vAlign w:val="bottom"/>
            <w:hideMark/>
          </w:tcPr>
          <w:p w14:paraId="575C991F" w14:textId="77777777" w:rsidR="00024747" w:rsidRPr="00D80CAF" w:rsidRDefault="00024747" w:rsidP="001B61F0">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2021-22</w:t>
            </w:r>
          </w:p>
        </w:tc>
        <w:tc>
          <w:tcPr>
            <w:tcW w:w="1204" w:type="dxa"/>
            <w:tcBorders>
              <w:top w:val="nil"/>
              <w:left w:val="nil"/>
              <w:bottom w:val="nil"/>
              <w:right w:val="nil"/>
            </w:tcBorders>
            <w:shd w:val="clear" w:color="000000" w:fill="008EBA"/>
            <w:vAlign w:val="bottom"/>
            <w:hideMark/>
          </w:tcPr>
          <w:p w14:paraId="166B1A2C" w14:textId="77777777" w:rsidR="00024747" w:rsidRPr="00D80CAF" w:rsidRDefault="00024747" w:rsidP="001B61F0">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2022-23</w:t>
            </w:r>
          </w:p>
        </w:tc>
        <w:tc>
          <w:tcPr>
            <w:tcW w:w="1205" w:type="dxa"/>
            <w:tcBorders>
              <w:top w:val="nil"/>
              <w:left w:val="nil"/>
              <w:bottom w:val="nil"/>
              <w:right w:val="nil"/>
            </w:tcBorders>
            <w:shd w:val="clear" w:color="000000" w:fill="008EBA"/>
            <w:vAlign w:val="bottom"/>
            <w:hideMark/>
          </w:tcPr>
          <w:p w14:paraId="25D7D0A5" w14:textId="77777777" w:rsidR="00024747" w:rsidRPr="00D80CAF" w:rsidRDefault="00024747" w:rsidP="001B61F0">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2023-24</w:t>
            </w:r>
          </w:p>
        </w:tc>
      </w:tr>
      <w:tr w:rsidR="00024747" w:rsidRPr="00024747" w14:paraId="32E29076" w14:textId="77777777" w:rsidTr="001B61F0">
        <w:trPr>
          <w:trHeight w:val="227"/>
        </w:trPr>
        <w:tc>
          <w:tcPr>
            <w:tcW w:w="3701" w:type="dxa"/>
            <w:tcBorders>
              <w:top w:val="nil"/>
              <w:left w:val="nil"/>
              <w:bottom w:val="nil"/>
              <w:right w:val="nil"/>
            </w:tcBorders>
            <w:shd w:val="clear" w:color="000000" w:fill="008EBA"/>
            <w:vAlign w:val="center"/>
            <w:hideMark/>
          </w:tcPr>
          <w:p w14:paraId="428C5088" w14:textId="4CC9A0C8" w:rsidR="00024747" w:rsidRPr="00D80CAF" w:rsidRDefault="00024747" w:rsidP="00024747">
            <w:pPr>
              <w:jc w:val="center"/>
              <w:rPr>
                <w:rFonts w:ascii="Arial" w:hAnsi="Arial" w:cs="Arial"/>
                <w:color w:val="FFFFFF"/>
                <w:sz w:val="16"/>
                <w:szCs w:val="16"/>
                <w:lang w:val="en-AU" w:eastAsia="en-AU"/>
              </w:rPr>
            </w:pPr>
          </w:p>
        </w:tc>
        <w:tc>
          <w:tcPr>
            <w:tcW w:w="1204" w:type="dxa"/>
            <w:tcBorders>
              <w:top w:val="nil"/>
              <w:left w:val="nil"/>
              <w:bottom w:val="nil"/>
              <w:right w:val="nil"/>
            </w:tcBorders>
            <w:shd w:val="clear" w:color="000000" w:fill="008EBA"/>
            <w:vAlign w:val="center"/>
            <w:hideMark/>
          </w:tcPr>
          <w:p w14:paraId="1BFA52D1" w14:textId="197909E3"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Actual</w:t>
            </w:r>
          </w:p>
        </w:tc>
        <w:tc>
          <w:tcPr>
            <w:tcW w:w="1204" w:type="dxa"/>
            <w:tcBorders>
              <w:top w:val="nil"/>
              <w:left w:val="nil"/>
              <w:bottom w:val="nil"/>
              <w:right w:val="nil"/>
            </w:tcBorders>
            <w:shd w:val="clear" w:color="000000" w:fill="008EBA"/>
            <w:vAlign w:val="center"/>
            <w:hideMark/>
          </w:tcPr>
          <w:p w14:paraId="6D47D47F"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Budget</w:t>
            </w:r>
          </w:p>
        </w:tc>
        <w:tc>
          <w:tcPr>
            <w:tcW w:w="3613" w:type="dxa"/>
            <w:gridSpan w:val="3"/>
            <w:tcBorders>
              <w:top w:val="nil"/>
              <w:left w:val="nil"/>
              <w:bottom w:val="nil"/>
              <w:right w:val="nil"/>
            </w:tcBorders>
            <w:shd w:val="clear" w:color="000000" w:fill="008EBA"/>
            <w:vAlign w:val="center"/>
            <w:hideMark/>
          </w:tcPr>
          <w:p w14:paraId="77AFEB4B"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Forward Estimates</w:t>
            </w:r>
          </w:p>
        </w:tc>
      </w:tr>
      <w:tr w:rsidR="00024747" w:rsidRPr="00024747" w14:paraId="2A972C4D" w14:textId="77777777" w:rsidTr="001B61F0">
        <w:trPr>
          <w:trHeight w:val="283"/>
        </w:trPr>
        <w:tc>
          <w:tcPr>
            <w:tcW w:w="3701" w:type="dxa"/>
            <w:tcBorders>
              <w:top w:val="nil"/>
              <w:left w:val="nil"/>
              <w:bottom w:val="nil"/>
              <w:right w:val="nil"/>
            </w:tcBorders>
            <w:shd w:val="clear" w:color="000000" w:fill="00426F"/>
            <w:vAlign w:val="center"/>
            <w:hideMark/>
          </w:tcPr>
          <w:p w14:paraId="38CCCE38" w14:textId="77777777" w:rsidR="00024747" w:rsidRPr="00D80CAF" w:rsidRDefault="00024747" w:rsidP="00024747">
            <w:pPr>
              <w:rPr>
                <w:rFonts w:ascii="Arial" w:hAnsi="Arial" w:cs="Arial"/>
                <w:color w:val="FFFFFF"/>
                <w:sz w:val="16"/>
                <w:szCs w:val="16"/>
                <w:lang w:val="en-AU" w:eastAsia="en-AU"/>
              </w:rPr>
            </w:pPr>
            <w:r w:rsidRPr="00D80CAF">
              <w:rPr>
                <w:rFonts w:ascii="Arial" w:hAnsi="Arial" w:cs="Arial"/>
                <w:color w:val="FFFFFF"/>
                <w:sz w:val="16"/>
                <w:szCs w:val="16"/>
                <w:lang w:val="en-AU" w:eastAsia="en-AU"/>
              </w:rPr>
              <w:t> </w:t>
            </w:r>
          </w:p>
        </w:tc>
        <w:tc>
          <w:tcPr>
            <w:tcW w:w="1204" w:type="dxa"/>
            <w:tcBorders>
              <w:top w:val="nil"/>
              <w:left w:val="nil"/>
              <w:bottom w:val="nil"/>
              <w:right w:val="nil"/>
            </w:tcBorders>
            <w:shd w:val="clear" w:color="000000" w:fill="00426F"/>
            <w:hideMark/>
          </w:tcPr>
          <w:p w14:paraId="240FFB89"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1204" w:type="dxa"/>
            <w:tcBorders>
              <w:top w:val="nil"/>
              <w:left w:val="nil"/>
              <w:bottom w:val="nil"/>
              <w:right w:val="nil"/>
            </w:tcBorders>
            <w:shd w:val="clear" w:color="000000" w:fill="00426F"/>
            <w:hideMark/>
          </w:tcPr>
          <w:p w14:paraId="14316B4C"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1204" w:type="dxa"/>
            <w:tcBorders>
              <w:top w:val="nil"/>
              <w:left w:val="nil"/>
              <w:bottom w:val="nil"/>
              <w:right w:val="nil"/>
            </w:tcBorders>
            <w:shd w:val="clear" w:color="000000" w:fill="00426F"/>
            <w:hideMark/>
          </w:tcPr>
          <w:p w14:paraId="46EE02BF"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1204" w:type="dxa"/>
            <w:tcBorders>
              <w:top w:val="nil"/>
              <w:left w:val="nil"/>
              <w:bottom w:val="nil"/>
              <w:right w:val="nil"/>
            </w:tcBorders>
            <w:shd w:val="clear" w:color="000000" w:fill="00426F"/>
            <w:hideMark/>
          </w:tcPr>
          <w:p w14:paraId="33EC45CF"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1205" w:type="dxa"/>
            <w:tcBorders>
              <w:top w:val="nil"/>
              <w:left w:val="nil"/>
              <w:bottom w:val="nil"/>
              <w:right w:val="nil"/>
            </w:tcBorders>
            <w:shd w:val="clear" w:color="000000" w:fill="00426F"/>
            <w:hideMark/>
          </w:tcPr>
          <w:p w14:paraId="0A3EE9AC" w14:textId="77777777" w:rsidR="00024747" w:rsidRPr="00D80CAF" w:rsidRDefault="00024747" w:rsidP="00024747">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r>
      <w:tr w:rsidR="00F774B6" w:rsidRPr="00024747" w14:paraId="13627E4E" w14:textId="77777777" w:rsidTr="00615C42">
        <w:trPr>
          <w:trHeight w:val="300"/>
        </w:trPr>
        <w:tc>
          <w:tcPr>
            <w:tcW w:w="3701" w:type="dxa"/>
            <w:tcBorders>
              <w:top w:val="nil"/>
              <w:left w:val="nil"/>
              <w:bottom w:val="nil"/>
              <w:right w:val="nil"/>
            </w:tcBorders>
            <w:shd w:val="clear" w:color="000000" w:fill="FFFFFF"/>
            <w:vAlign w:val="center"/>
            <w:hideMark/>
          </w:tcPr>
          <w:p w14:paraId="048B3E06" w14:textId="6B575193" w:rsidR="00F774B6" w:rsidRPr="00D80CAF" w:rsidRDefault="00F774B6" w:rsidP="00F774B6">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Expenses – 2019-20 Budget</w:t>
            </w:r>
          </w:p>
        </w:tc>
        <w:tc>
          <w:tcPr>
            <w:tcW w:w="1204" w:type="dxa"/>
            <w:tcBorders>
              <w:top w:val="nil"/>
              <w:left w:val="nil"/>
              <w:bottom w:val="nil"/>
              <w:right w:val="nil"/>
            </w:tcBorders>
            <w:shd w:val="clear" w:color="auto" w:fill="auto"/>
            <w:noWrap/>
            <w:vAlign w:val="center"/>
            <w:hideMark/>
          </w:tcPr>
          <w:p w14:paraId="6CD71A8F" w14:textId="131A07D8"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83,300</w:t>
            </w:r>
          </w:p>
        </w:tc>
        <w:tc>
          <w:tcPr>
            <w:tcW w:w="1204" w:type="dxa"/>
            <w:tcBorders>
              <w:top w:val="nil"/>
              <w:left w:val="nil"/>
              <w:bottom w:val="nil"/>
              <w:right w:val="nil"/>
            </w:tcBorders>
            <w:shd w:val="clear" w:color="000000" w:fill="F2F2F2"/>
            <w:noWrap/>
            <w:vAlign w:val="center"/>
            <w:hideMark/>
          </w:tcPr>
          <w:p w14:paraId="1322CA80" w14:textId="1D8DC09C"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86,405</w:t>
            </w:r>
          </w:p>
        </w:tc>
        <w:tc>
          <w:tcPr>
            <w:tcW w:w="1204" w:type="dxa"/>
            <w:tcBorders>
              <w:top w:val="nil"/>
              <w:left w:val="nil"/>
              <w:bottom w:val="nil"/>
              <w:right w:val="nil"/>
            </w:tcBorders>
            <w:shd w:val="clear" w:color="000000" w:fill="F2F2F2"/>
            <w:noWrap/>
            <w:vAlign w:val="center"/>
            <w:hideMark/>
          </w:tcPr>
          <w:p w14:paraId="38BF4F5E" w14:textId="709E4008"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88,016</w:t>
            </w:r>
          </w:p>
        </w:tc>
        <w:tc>
          <w:tcPr>
            <w:tcW w:w="1204" w:type="dxa"/>
            <w:tcBorders>
              <w:top w:val="nil"/>
              <w:left w:val="nil"/>
              <w:bottom w:val="nil"/>
              <w:right w:val="nil"/>
            </w:tcBorders>
            <w:shd w:val="clear" w:color="000000" w:fill="F2F2F2"/>
            <w:noWrap/>
            <w:vAlign w:val="center"/>
            <w:hideMark/>
          </w:tcPr>
          <w:p w14:paraId="1E548BD6" w14:textId="07D69E57"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89,410</w:t>
            </w:r>
          </w:p>
        </w:tc>
        <w:tc>
          <w:tcPr>
            <w:tcW w:w="1205" w:type="dxa"/>
            <w:tcBorders>
              <w:top w:val="nil"/>
              <w:left w:val="nil"/>
              <w:bottom w:val="nil"/>
              <w:right w:val="nil"/>
            </w:tcBorders>
            <w:shd w:val="clear" w:color="000000" w:fill="F2F2F2"/>
            <w:noWrap/>
            <w:vAlign w:val="center"/>
            <w:hideMark/>
          </w:tcPr>
          <w:p w14:paraId="2C855D8C" w14:textId="419CE56D" w:rsidR="00F774B6" w:rsidRPr="00D80CAF" w:rsidRDefault="00F774B6" w:rsidP="00F774B6">
            <w:pPr>
              <w:ind w:firstLineChars="100" w:firstLine="181"/>
              <w:jc w:val="right"/>
              <w:rPr>
                <w:rFonts w:ascii="Arial" w:hAnsi="Arial" w:cs="Arial"/>
                <w:b/>
                <w:color w:val="008EBA"/>
                <w:sz w:val="16"/>
                <w:szCs w:val="16"/>
                <w:lang w:val="en-AU" w:eastAsia="en-AU"/>
              </w:rPr>
            </w:pPr>
            <w:proofErr w:type="spellStart"/>
            <w:r>
              <w:rPr>
                <w:rFonts w:ascii="Arial" w:hAnsi="Arial" w:cs="Arial"/>
                <w:b/>
                <w:bCs/>
                <w:color w:val="008EBA"/>
                <w:sz w:val="18"/>
                <w:szCs w:val="18"/>
              </w:rPr>
              <w:t>n.a.</w:t>
            </w:r>
            <w:proofErr w:type="spellEnd"/>
          </w:p>
        </w:tc>
      </w:tr>
      <w:tr w:rsidR="00F774B6" w:rsidRPr="00024747" w14:paraId="09895350" w14:textId="77777777" w:rsidTr="00615C42">
        <w:trPr>
          <w:trHeight w:val="300"/>
        </w:trPr>
        <w:tc>
          <w:tcPr>
            <w:tcW w:w="3701" w:type="dxa"/>
            <w:tcBorders>
              <w:top w:val="nil"/>
              <w:left w:val="nil"/>
              <w:bottom w:val="nil"/>
              <w:right w:val="nil"/>
            </w:tcBorders>
            <w:shd w:val="clear" w:color="000000" w:fill="FFFFFF"/>
            <w:vAlign w:val="center"/>
            <w:hideMark/>
          </w:tcPr>
          <w:p w14:paraId="449443E3" w14:textId="77777777" w:rsidR="00F774B6" w:rsidRPr="00D80CAF" w:rsidRDefault="00F774B6" w:rsidP="00F774B6">
            <w:pPr>
              <w:rPr>
                <w:rFonts w:ascii="Arial" w:hAnsi="Arial" w:cs="Arial"/>
                <w:color w:val="000000"/>
                <w:sz w:val="16"/>
                <w:szCs w:val="16"/>
                <w:lang w:val="en-AU" w:eastAsia="en-AU"/>
              </w:rPr>
            </w:pPr>
            <w:r w:rsidRPr="00D80CAF">
              <w:rPr>
                <w:rFonts w:ascii="Arial" w:hAnsi="Arial" w:cs="Arial"/>
                <w:color w:val="000000"/>
                <w:sz w:val="16"/>
                <w:szCs w:val="16"/>
                <w:lang w:val="en-AU" w:eastAsia="en-AU"/>
              </w:rPr>
              <w:t xml:space="preserve">Policy measures </w:t>
            </w:r>
          </w:p>
        </w:tc>
        <w:tc>
          <w:tcPr>
            <w:tcW w:w="1204" w:type="dxa"/>
            <w:tcBorders>
              <w:top w:val="nil"/>
              <w:left w:val="nil"/>
              <w:bottom w:val="nil"/>
              <w:right w:val="nil"/>
            </w:tcBorders>
            <w:shd w:val="clear" w:color="auto" w:fill="auto"/>
            <w:noWrap/>
            <w:vAlign w:val="bottom"/>
            <w:hideMark/>
          </w:tcPr>
          <w:p w14:paraId="06FD353C" w14:textId="7AD91E0D" w:rsidR="00F774B6" w:rsidRPr="00D80CAF" w:rsidRDefault="00F774B6" w:rsidP="00F774B6">
            <w:pPr>
              <w:ind w:firstLineChars="100" w:firstLine="180"/>
              <w:jc w:val="right"/>
              <w:rPr>
                <w:rFonts w:ascii="Arial" w:hAnsi="Arial" w:cs="Arial"/>
                <w:sz w:val="16"/>
                <w:szCs w:val="16"/>
                <w:lang w:val="en-AU" w:eastAsia="en-AU"/>
              </w:rPr>
            </w:pPr>
            <w:r>
              <w:rPr>
                <w:rFonts w:ascii="Arial" w:hAnsi="Arial" w:cs="Arial"/>
                <w:sz w:val="18"/>
                <w:szCs w:val="18"/>
              </w:rPr>
              <w:t>(109)</w:t>
            </w:r>
          </w:p>
        </w:tc>
        <w:tc>
          <w:tcPr>
            <w:tcW w:w="1204" w:type="dxa"/>
            <w:tcBorders>
              <w:top w:val="nil"/>
              <w:left w:val="nil"/>
              <w:bottom w:val="nil"/>
              <w:right w:val="nil"/>
            </w:tcBorders>
            <w:shd w:val="clear" w:color="000000" w:fill="F2F2F2"/>
            <w:noWrap/>
            <w:vAlign w:val="bottom"/>
            <w:hideMark/>
          </w:tcPr>
          <w:p w14:paraId="3AEFE323" w14:textId="471225E6" w:rsidR="00F774B6" w:rsidRPr="00D80CAF" w:rsidRDefault="00F774B6" w:rsidP="00F774B6">
            <w:pPr>
              <w:ind w:firstLineChars="100" w:firstLine="180"/>
              <w:jc w:val="right"/>
              <w:rPr>
                <w:rFonts w:ascii="Arial" w:hAnsi="Arial" w:cs="Arial"/>
                <w:sz w:val="16"/>
                <w:szCs w:val="16"/>
                <w:lang w:val="en-AU" w:eastAsia="en-AU"/>
              </w:rPr>
            </w:pPr>
            <w:r>
              <w:rPr>
                <w:rFonts w:ascii="Arial" w:hAnsi="Arial" w:cs="Arial"/>
                <w:sz w:val="18"/>
                <w:szCs w:val="18"/>
              </w:rPr>
              <w:t>25</w:t>
            </w:r>
          </w:p>
        </w:tc>
        <w:tc>
          <w:tcPr>
            <w:tcW w:w="1204" w:type="dxa"/>
            <w:tcBorders>
              <w:top w:val="nil"/>
              <w:left w:val="nil"/>
              <w:bottom w:val="nil"/>
              <w:right w:val="nil"/>
            </w:tcBorders>
            <w:shd w:val="clear" w:color="000000" w:fill="F2F2F2"/>
            <w:noWrap/>
            <w:vAlign w:val="bottom"/>
            <w:hideMark/>
          </w:tcPr>
          <w:p w14:paraId="1FE9933A" w14:textId="4FC2A446" w:rsidR="00F774B6" w:rsidRPr="00D80CAF" w:rsidRDefault="00F774B6" w:rsidP="00F774B6">
            <w:pPr>
              <w:ind w:firstLineChars="100" w:firstLine="180"/>
              <w:jc w:val="right"/>
              <w:rPr>
                <w:rFonts w:ascii="Arial" w:hAnsi="Arial" w:cs="Arial"/>
                <w:sz w:val="16"/>
                <w:szCs w:val="16"/>
                <w:lang w:val="en-AU" w:eastAsia="en-AU"/>
              </w:rPr>
            </w:pPr>
            <w:r>
              <w:rPr>
                <w:rFonts w:ascii="Arial" w:hAnsi="Arial" w:cs="Arial"/>
                <w:sz w:val="18"/>
                <w:szCs w:val="18"/>
              </w:rPr>
              <w:t>(123)</w:t>
            </w:r>
          </w:p>
        </w:tc>
        <w:tc>
          <w:tcPr>
            <w:tcW w:w="1204" w:type="dxa"/>
            <w:tcBorders>
              <w:top w:val="nil"/>
              <w:left w:val="nil"/>
              <w:bottom w:val="nil"/>
              <w:right w:val="nil"/>
            </w:tcBorders>
            <w:shd w:val="clear" w:color="000000" w:fill="F2F2F2"/>
            <w:noWrap/>
            <w:vAlign w:val="bottom"/>
            <w:hideMark/>
          </w:tcPr>
          <w:p w14:paraId="5EC1E5EB" w14:textId="1BE35F64" w:rsidR="00F774B6" w:rsidRPr="00D80CAF" w:rsidRDefault="00F774B6" w:rsidP="00F774B6">
            <w:pPr>
              <w:ind w:firstLineChars="100" w:firstLine="180"/>
              <w:jc w:val="right"/>
              <w:rPr>
                <w:rFonts w:ascii="Arial" w:hAnsi="Arial" w:cs="Arial"/>
                <w:sz w:val="16"/>
                <w:szCs w:val="16"/>
                <w:lang w:val="en-AU" w:eastAsia="en-AU"/>
              </w:rPr>
            </w:pPr>
            <w:r>
              <w:rPr>
                <w:rFonts w:ascii="Arial" w:hAnsi="Arial" w:cs="Arial"/>
                <w:sz w:val="18"/>
                <w:szCs w:val="18"/>
              </w:rPr>
              <w:t>15</w:t>
            </w:r>
          </w:p>
        </w:tc>
        <w:tc>
          <w:tcPr>
            <w:tcW w:w="1205" w:type="dxa"/>
            <w:tcBorders>
              <w:top w:val="nil"/>
              <w:left w:val="nil"/>
              <w:bottom w:val="nil"/>
              <w:right w:val="nil"/>
            </w:tcBorders>
            <w:shd w:val="clear" w:color="000000" w:fill="F2F2F2"/>
            <w:noWrap/>
            <w:vAlign w:val="bottom"/>
            <w:hideMark/>
          </w:tcPr>
          <w:p w14:paraId="4F9E5E02" w14:textId="369A3AF4" w:rsidR="00F774B6" w:rsidRPr="00D80CAF" w:rsidRDefault="00F774B6" w:rsidP="00F774B6">
            <w:pPr>
              <w:ind w:firstLineChars="100" w:firstLine="180"/>
              <w:jc w:val="right"/>
              <w:rPr>
                <w:rFonts w:ascii="Arial" w:hAnsi="Arial" w:cs="Arial"/>
                <w:sz w:val="16"/>
                <w:szCs w:val="16"/>
                <w:lang w:val="en-AU" w:eastAsia="en-AU"/>
              </w:rPr>
            </w:pPr>
            <w:proofErr w:type="spellStart"/>
            <w:r>
              <w:rPr>
                <w:rFonts w:ascii="Arial" w:hAnsi="Arial" w:cs="Arial"/>
                <w:sz w:val="18"/>
                <w:szCs w:val="18"/>
              </w:rPr>
              <w:t>n.a.</w:t>
            </w:r>
            <w:proofErr w:type="spellEnd"/>
          </w:p>
        </w:tc>
      </w:tr>
      <w:tr w:rsidR="00F774B6" w:rsidRPr="00024747" w14:paraId="6C7AB69E" w14:textId="77777777" w:rsidTr="00615C42">
        <w:trPr>
          <w:trHeight w:val="300"/>
        </w:trPr>
        <w:tc>
          <w:tcPr>
            <w:tcW w:w="3701" w:type="dxa"/>
            <w:tcBorders>
              <w:top w:val="nil"/>
              <w:left w:val="nil"/>
              <w:bottom w:val="nil"/>
              <w:right w:val="nil"/>
            </w:tcBorders>
            <w:shd w:val="clear" w:color="000000" w:fill="FFFFFF"/>
            <w:vAlign w:val="center"/>
            <w:hideMark/>
          </w:tcPr>
          <w:p w14:paraId="744DDCB5" w14:textId="77777777" w:rsidR="00F774B6" w:rsidRPr="00D80CAF" w:rsidRDefault="00F774B6" w:rsidP="00F774B6">
            <w:pPr>
              <w:outlineLvl w:val="0"/>
              <w:rPr>
                <w:rFonts w:ascii="Arial" w:hAnsi="Arial" w:cs="Arial"/>
                <w:color w:val="000000"/>
                <w:sz w:val="16"/>
                <w:szCs w:val="16"/>
                <w:lang w:val="en-AU" w:eastAsia="en-AU"/>
              </w:rPr>
            </w:pPr>
            <w:r w:rsidRPr="00D80CAF">
              <w:rPr>
                <w:rFonts w:ascii="Arial" w:hAnsi="Arial" w:cs="Arial"/>
                <w:color w:val="000000"/>
                <w:sz w:val="16"/>
                <w:szCs w:val="16"/>
                <w:lang w:val="en-AU" w:eastAsia="en-AU"/>
              </w:rPr>
              <w:t>Parameter and technical adjustments</w:t>
            </w:r>
          </w:p>
        </w:tc>
        <w:tc>
          <w:tcPr>
            <w:tcW w:w="1204" w:type="dxa"/>
            <w:tcBorders>
              <w:top w:val="nil"/>
              <w:left w:val="nil"/>
              <w:bottom w:val="nil"/>
              <w:right w:val="nil"/>
            </w:tcBorders>
            <w:shd w:val="clear" w:color="auto" w:fill="auto"/>
            <w:noWrap/>
            <w:vAlign w:val="bottom"/>
            <w:hideMark/>
          </w:tcPr>
          <w:p w14:paraId="6A18F1E1" w14:textId="52765AD7" w:rsidR="00F774B6" w:rsidRPr="00D80CAF" w:rsidRDefault="00F774B6" w:rsidP="00F774B6">
            <w:pPr>
              <w:ind w:firstLineChars="100" w:firstLine="180"/>
              <w:jc w:val="right"/>
              <w:outlineLvl w:val="0"/>
              <w:rPr>
                <w:rFonts w:ascii="Arial" w:hAnsi="Arial" w:cs="Arial"/>
                <w:sz w:val="16"/>
                <w:szCs w:val="16"/>
                <w:lang w:val="en-AU" w:eastAsia="en-AU"/>
              </w:rPr>
            </w:pPr>
            <w:r>
              <w:rPr>
                <w:rFonts w:ascii="Arial" w:hAnsi="Arial" w:cs="Arial"/>
                <w:sz w:val="18"/>
                <w:szCs w:val="18"/>
              </w:rPr>
              <w:t>265</w:t>
            </w:r>
          </w:p>
        </w:tc>
        <w:tc>
          <w:tcPr>
            <w:tcW w:w="1204" w:type="dxa"/>
            <w:tcBorders>
              <w:top w:val="nil"/>
              <w:left w:val="nil"/>
              <w:bottom w:val="nil"/>
              <w:right w:val="nil"/>
            </w:tcBorders>
            <w:shd w:val="clear" w:color="000000" w:fill="F2F2F2"/>
            <w:noWrap/>
            <w:vAlign w:val="bottom"/>
            <w:hideMark/>
          </w:tcPr>
          <w:p w14:paraId="5A0434C1" w14:textId="7091AB4A" w:rsidR="00F774B6" w:rsidRPr="00D80CAF" w:rsidRDefault="00F774B6" w:rsidP="00F774B6">
            <w:pPr>
              <w:ind w:firstLineChars="100" w:firstLine="180"/>
              <w:jc w:val="right"/>
              <w:outlineLvl w:val="0"/>
              <w:rPr>
                <w:rFonts w:ascii="Arial" w:hAnsi="Arial" w:cs="Arial"/>
                <w:sz w:val="16"/>
                <w:szCs w:val="16"/>
                <w:lang w:val="en-AU" w:eastAsia="en-AU"/>
              </w:rPr>
            </w:pPr>
            <w:r>
              <w:rPr>
                <w:rFonts w:ascii="Arial" w:hAnsi="Arial" w:cs="Arial"/>
                <w:sz w:val="18"/>
                <w:szCs w:val="18"/>
              </w:rPr>
              <w:t>469</w:t>
            </w:r>
          </w:p>
        </w:tc>
        <w:tc>
          <w:tcPr>
            <w:tcW w:w="1204" w:type="dxa"/>
            <w:tcBorders>
              <w:top w:val="nil"/>
              <w:left w:val="nil"/>
              <w:bottom w:val="nil"/>
              <w:right w:val="nil"/>
            </w:tcBorders>
            <w:shd w:val="clear" w:color="000000" w:fill="F2F2F2"/>
            <w:noWrap/>
            <w:vAlign w:val="bottom"/>
            <w:hideMark/>
          </w:tcPr>
          <w:p w14:paraId="6E68BF28" w14:textId="085A416F" w:rsidR="00F774B6" w:rsidRPr="00D80CAF" w:rsidRDefault="00F774B6" w:rsidP="00F774B6">
            <w:pPr>
              <w:ind w:firstLineChars="100" w:firstLine="180"/>
              <w:jc w:val="right"/>
              <w:outlineLvl w:val="0"/>
              <w:rPr>
                <w:rFonts w:ascii="Arial" w:hAnsi="Arial" w:cs="Arial"/>
                <w:sz w:val="16"/>
                <w:szCs w:val="16"/>
                <w:lang w:val="en-AU" w:eastAsia="en-AU"/>
              </w:rPr>
            </w:pPr>
            <w:r>
              <w:rPr>
                <w:rFonts w:ascii="Arial" w:hAnsi="Arial" w:cs="Arial"/>
                <w:sz w:val="18"/>
                <w:szCs w:val="18"/>
              </w:rPr>
              <w:t>182</w:t>
            </w:r>
          </w:p>
        </w:tc>
        <w:tc>
          <w:tcPr>
            <w:tcW w:w="1204" w:type="dxa"/>
            <w:tcBorders>
              <w:top w:val="nil"/>
              <w:left w:val="nil"/>
              <w:bottom w:val="nil"/>
              <w:right w:val="nil"/>
            </w:tcBorders>
            <w:shd w:val="clear" w:color="000000" w:fill="F2F2F2"/>
            <w:noWrap/>
            <w:vAlign w:val="bottom"/>
            <w:hideMark/>
          </w:tcPr>
          <w:p w14:paraId="437A42B7" w14:textId="7EB31AFF" w:rsidR="00F774B6" w:rsidRPr="00D80CAF" w:rsidRDefault="00F774B6" w:rsidP="00F774B6">
            <w:pPr>
              <w:ind w:firstLineChars="100" w:firstLine="180"/>
              <w:jc w:val="right"/>
              <w:outlineLvl w:val="0"/>
              <w:rPr>
                <w:rFonts w:ascii="Arial" w:hAnsi="Arial" w:cs="Arial"/>
                <w:sz w:val="16"/>
                <w:szCs w:val="16"/>
                <w:lang w:val="en-AU" w:eastAsia="en-AU"/>
              </w:rPr>
            </w:pPr>
            <w:r>
              <w:rPr>
                <w:rFonts w:ascii="Arial" w:hAnsi="Arial" w:cs="Arial"/>
                <w:sz w:val="18"/>
                <w:szCs w:val="18"/>
              </w:rPr>
              <w:t>710</w:t>
            </w:r>
          </w:p>
        </w:tc>
        <w:tc>
          <w:tcPr>
            <w:tcW w:w="1205" w:type="dxa"/>
            <w:tcBorders>
              <w:top w:val="nil"/>
              <w:left w:val="nil"/>
              <w:bottom w:val="nil"/>
              <w:right w:val="nil"/>
            </w:tcBorders>
            <w:shd w:val="clear" w:color="000000" w:fill="F2F2F2"/>
            <w:noWrap/>
            <w:vAlign w:val="bottom"/>
            <w:hideMark/>
          </w:tcPr>
          <w:p w14:paraId="445E3096" w14:textId="2FC886DC" w:rsidR="00F774B6" w:rsidRPr="00D80CAF" w:rsidRDefault="00F774B6" w:rsidP="00F774B6">
            <w:pPr>
              <w:ind w:firstLineChars="100" w:firstLine="180"/>
              <w:jc w:val="right"/>
              <w:outlineLvl w:val="0"/>
              <w:rPr>
                <w:rFonts w:ascii="Arial" w:hAnsi="Arial" w:cs="Arial"/>
                <w:sz w:val="16"/>
                <w:szCs w:val="16"/>
                <w:lang w:val="en-AU" w:eastAsia="en-AU"/>
              </w:rPr>
            </w:pPr>
            <w:proofErr w:type="spellStart"/>
            <w:r>
              <w:rPr>
                <w:rFonts w:ascii="Arial" w:hAnsi="Arial" w:cs="Arial"/>
                <w:sz w:val="18"/>
                <w:szCs w:val="18"/>
              </w:rPr>
              <w:t>n.a.</w:t>
            </w:r>
            <w:proofErr w:type="spellEnd"/>
          </w:p>
        </w:tc>
      </w:tr>
      <w:tr w:rsidR="00F774B6" w:rsidRPr="00024747" w14:paraId="10E88982" w14:textId="77777777" w:rsidTr="00615C42">
        <w:trPr>
          <w:trHeight w:val="300"/>
        </w:trPr>
        <w:tc>
          <w:tcPr>
            <w:tcW w:w="3701" w:type="dxa"/>
            <w:tcBorders>
              <w:top w:val="single" w:sz="4" w:space="0" w:color="auto"/>
              <w:left w:val="nil"/>
              <w:bottom w:val="single" w:sz="4" w:space="0" w:color="auto"/>
              <w:right w:val="nil"/>
            </w:tcBorders>
            <w:shd w:val="clear" w:color="000000" w:fill="FFFFFF"/>
            <w:vAlign w:val="center"/>
            <w:hideMark/>
          </w:tcPr>
          <w:p w14:paraId="3ABCBA38" w14:textId="77777777" w:rsidR="00F774B6" w:rsidRPr="00D80CAF" w:rsidRDefault="00F774B6" w:rsidP="00F774B6">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Expenses – 2019-20 Half-Yearly Review</w:t>
            </w:r>
          </w:p>
        </w:tc>
        <w:tc>
          <w:tcPr>
            <w:tcW w:w="1204" w:type="dxa"/>
            <w:tcBorders>
              <w:top w:val="single" w:sz="4" w:space="0" w:color="auto"/>
              <w:left w:val="nil"/>
              <w:bottom w:val="single" w:sz="4" w:space="0" w:color="auto"/>
              <w:right w:val="nil"/>
            </w:tcBorders>
            <w:shd w:val="clear" w:color="auto" w:fill="auto"/>
            <w:noWrap/>
            <w:vAlign w:val="center"/>
            <w:hideMark/>
          </w:tcPr>
          <w:p w14:paraId="7540C2B1" w14:textId="4E516EBF"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83,455</w:t>
            </w:r>
          </w:p>
        </w:tc>
        <w:tc>
          <w:tcPr>
            <w:tcW w:w="1204" w:type="dxa"/>
            <w:tcBorders>
              <w:top w:val="single" w:sz="4" w:space="0" w:color="auto"/>
              <w:left w:val="nil"/>
              <w:bottom w:val="single" w:sz="4" w:space="0" w:color="auto"/>
              <w:right w:val="nil"/>
            </w:tcBorders>
            <w:shd w:val="clear" w:color="000000" w:fill="F2F2F2"/>
            <w:noWrap/>
            <w:vAlign w:val="center"/>
            <w:hideMark/>
          </w:tcPr>
          <w:p w14:paraId="507A0406" w14:textId="52AE8E4C"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86,899</w:t>
            </w:r>
          </w:p>
        </w:tc>
        <w:tc>
          <w:tcPr>
            <w:tcW w:w="1204" w:type="dxa"/>
            <w:tcBorders>
              <w:top w:val="single" w:sz="4" w:space="0" w:color="auto"/>
              <w:left w:val="nil"/>
              <w:bottom w:val="single" w:sz="4" w:space="0" w:color="auto"/>
              <w:right w:val="nil"/>
            </w:tcBorders>
            <w:shd w:val="clear" w:color="000000" w:fill="F2F2F2"/>
            <w:noWrap/>
            <w:vAlign w:val="center"/>
            <w:hideMark/>
          </w:tcPr>
          <w:p w14:paraId="73F9409B" w14:textId="49284594"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88,075</w:t>
            </w:r>
          </w:p>
        </w:tc>
        <w:tc>
          <w:tcPr>
            <w:tcW w:w="1204" w:type="dxa"/>
            <w:tcBorders>
              <w:top w:val="single" w:sz="4" w:space="0" w:color="auto"/>
              <w:left w:val="nil"/>
              <w:bottom w:val="single" w:sz="4" w:space="0" w:color="auto"/>
              <w:right w:val="nil"/>
            </w:tcBorders>
            <w:shd w:val="clear" w:color="000000" w:fill="F2F2F2"/>
            <w:noWrap/>
            <w:vAlign w:val="center"/>
            <w:hideMark/>
          </w:tcPr>
          <w:p w14:paraId="3C305FC3" w14:textId="4E5D3C2A"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90,135</w:t>
            </w:r>
          </w:p>
        </w:tc>
        <w:tc>
          <w:tcPr>
            <w:tcW w:w="1205" w:type="dxa"/>
            <w:tcBorders>
              <w:top w:val="single" w:sz="4" w:space="0" w:color="auto"/>
              <w:left w:val="nil"/>
              <w:bottom w:val="single" w:sz="4" w:space="0" w:color="auto"/>
              <w:right w:val="nil"/>
            </w:tcBorders>
            <w:shd w:val="clear" w:color="000000" w:fill="F2F2F2"/>
            <w:noWrap/>
            <w:vAlign w:val="center"/>
            <w:hideMark/>
          </w:tcPr>
          <w:p w14:paraId="26D69395" w14:textId="697338B5" w:rsidR="00F774B6" w:rsidRPr="00D80CAF" w:rsidRDefault="00F774B6" w:rsidP="00F774B6">
            <w:pPr>
              <w:ind w:firstLineChars="100" w:firstLine="181"/>
              <w:jc w:val="right"/>
              <w:rPr>
                <w:rFonts w:ascii="Arial" w:hAnsi="Arial" w:cs="Arial"/>
                <w:b/>
                <w:color w:val="008EBA"/>
                <w:sz w:val="16"/>
                <w:szCs w:val="16"/>
                <w:lang w:val="en-AU" w:eastAsia="en-AU"/>
              </w:rPr>
            </w:pPr>
            <w:proofErr w:type="spellStart"/>
            <w:r>
              <w:rPr>
                <w:rFonts w:ascii="Arial" w:hAnsi="Arial" w:cs="Arial"/>
                <w:b/>
                <w:bCs/>
                <w:color w:val="008EBA"/>
                <w:sz w:val="18"/>
                <w:szCs w:val="18"/>
              </w:rPr>
              <w:t>n.a.</w:t>
            </w:r>
            <w:proofErr w:type="spellEnd"/>
          </w:p>
        </w:tc>
      </w:tr>
      <w:tr w:rsidR="00F774B6" w:rsidRPr="00024747" w14:paraId="5A9E9483" w14:textId="77777777" w:rsidTr="00615C42">
        <w:trPr>
          <w:trHeight w:val="300"/>
        </w:trPr>
        <w:tc>
          <w:tcPr>
            <w:tcW w:w="3701" w:type="dxa"/>
            <w:tcBorders>
              <w:top w:val="nil"/>
              <w:left w:val="nil"/>
              <w:bottom w:val="nil"/>
              <w:right w:val="nil"/>
            </w:tcBorders>
            <w:shd w:val="clear" w:color="000000" w:fill="FFFFFF"/>
            <w:vAlign w:val="center"/>
            <w:hideMark/>
          </w:tcPr>
          <w:p w14:paraId="43EFF38D" w14:textId="77777777" w:rsidR="00F774B6" w:rsidRPr="00644251" w:rsidRDefault="00F774B6" w:rsidP="00F774B6">
            <w:pPr>
              <w:rPr>
                <w:rFonts w:ascii="Arial" w:hAnsi="Arial" w:cs="Arial"/>
                <w:color w:val="000000"/>
                <w:sz w:val="16"/>
                <w:szCs w:val="16"/>
                <w:lang w:val="en-AU" w:eastAsia="en-AU"/>
              </w:rPr>
            </w:pPr>
            <w:r w:rsidRPr="00644251">
              <w:rPr>
                <w:rFonts w:ascii="Arial" w:hAnsi="Arial" w:cs="Arial"/>
                <w:color w:val="000000"/>
                <w:sz w:val="16"/>
                <w:szCs w:val="16"/>
                <w:lang w:val="en-AU" w:eastAsia="en-AU"/>
              </w:rPr>
              <w:t xml:space="preserve">Policy measures </w:t>
            </w:r>
          </w:p>
        </w:tc>
        <w:tc>
          <w:tcPr>
            <w:tcW w:w="1204" w:type="dxa"/>
            <w:tcBorders>
              <w:top w:val="nil"/>
              <w:left w:val="nil"/>
              <w:bottom w:val="nil"/>
              <w:right w:val="nil"/>
            </w:tcBorders>
            <w:shd w:val="clear" w:color="auto" w:fill="auto"/>
            <w:noWrap/>
            <w:vAlign w:val="bottom"/>
          </w:tcPr>
          <w:p w14:paraId="675F5252" w14:textId="6EE477CC" w:rsidR="00F774B6" w:rsidRPr="00644251" w:rsidRDefault="0054652D" w:rsidP="00F774B6">
            <w:pPr>
              <w:ind w:firstLineChars="100" w:firstLine="180"/>
              <w:jc w:val="right"/>
              <w:rPr>
                <w:rFonts w:ascii="Arial" w:hAnsi="Arial" w:cs="Arial"/>
                <w:sz w:val="16"/>
                <w:szCs w:val="16"/>
                <w:lang w:val="en-AU" w:eastAsia="en-AU"/>
              </w:rPr>
            </w:pPr>
            <w:r w:rsidRPr="00A0273A">
              <w:rPr>
                <w:rFonts w:ascii="Arial" w:hAnsi="Arial" w:cs="Arial"/>
                <w:sz w:val="18"/>
                <w:szCs w:val="18"/>
              </w:rPr>
              <w:t>5,720</w:t>
            </w:r>
          </w:p>
        </w:tc>
        <w:tc>
          <w:tcPr>
            <w:tcW w:w="1204" w:type="dxa"/>
            <w:tcBorders>
              <w:top w:val="nil"/>
              <w:left w:val="nil"/>
              <w:bottom w:val="nil"/>
              <w:right w:val="nil"/>
            </w:tcBorders>
            <w:shd w:val="clear" w:color="000000" w:fill="F2F2F2"/>
            <w:noWrap/>
            <w:vAlign w:val="bottom"/>
          </w:tcPr>
          <w:p w14:paraId="4EE5F56C" w14:textId="731DFE20" w:rsidR="00F774B6" w:rsidRPr="00644251" w:rsidRDefault="0054652D" w:rsidP="00F774B6">
            <w:pPr>
              <w:ind w:firstLineChars="100" w:firstLine="180"/>
              <w:jc w:val="right"/>
              <w:rPr>
                <w:rFonts w:ascii="Arial" w:hAnsi="Arial" w:cs="Arial"/>
                <w:sz w:val="16"/>
                <w:szCs w:val="16"/>
                <w:lang w:val="en-AU" w:eastAsia="en-AU"/>
              </w:rPr>
            </w:pPr>
            <w:r w:rsidRPr="00A0273A">
              <w:rPr>
                <w:rFonts w:ascii="Arial" w:hAnsi="Arial" w:cs="Arial"/>
                <w:sz w:val="18"/>
                <w:szCs w:val="18"/>
              </w:rPr>
              <w:t>11,937</w:t>
            </w:r>
          </w:p>
        </w:tc>
        <w:tc>
          <w:tcPr>
            <w:tcW w:w="1204" w:type="dxa"/>
            <w:tcBorders>
              <w:top w:val="nil"/>
              <w:left w:val="nil"/>
              <w:bottom w:val="nil"/>
              <w:right w:val="nil"/>
            </w:tcBorders>
            <w:shd w:val="clear" w:color="000000" w:fill="F2F2F2"/>
            <w:noWrap/>
            <w:vAlign w:val="bottom"/>
          </w:tcPr>
          <w:p w14:paraId="6704FDB5" w14:textId="19BE930B" w:rsidR="00F774B6" w:rsidRPr="00644251" w:rsidRDefault="0054652D" w:rsidP="00F774B6">
            <w:pPr>
              <w:ind w:firstLineChars="100" w:firstLine="180"/>
              <w:jc w:val="right"/>
              <w:rPr>
                <w:rFonts w:ascii="Arial" w:hAnsi="Arial" w:cs="Arial"/>
                <w:sz w:val="16"/>
                <w:szCs w:val="16"/>
                <w:lang w:val="en-AU" w:eastAsia="en-AU"/>
              </w:rPr>
            </w:pPr>
            <w:r w:rsidRPr="00A0273A">
              <w:rPr>
                <w:rFonts w:ascii="Arial" w:hAnsi="Arial" w:cs="Arial"/>
                <w:sz w:val="18"/>
                <w:szCs w:val="18"/>
              </w:rPr>
              <w:t>5,465</w:t>
            </w:r>
          </w:p>
        </w:tc>
        <w:tc>
          <w:tcPr>
            <w:tcW w:w="1204" w:type="dxa"/>
            <w:tcBorders>
              <w:top w:val="nil"/>
              <w:left w:val="nil"/>
              <w:bottom w:val="nil"/>
              <w:right w:val="nil"/>
            </w:tcBorders>
            <w:shd w:val="clear" w:color="000000" w:fill="F2F2F2"/>
            <w:noWrap/>
            <w:vAlign w:val="bottom"/>
          </w:tcPr>
          <w:p w14:paraId="458601EA" w14:textId="29ECAE84" w:rsidR="00F774B6" w:rsidRPr="00644251" w:rsidRDefault="0054652D" w:rsidP="00F774B6">
            <w:pPr>
              <w:ind w:firstLineChars="100" w:firstLine="180"/>
              <w:jc w:val="right"/>
              <w:rPr>
                <w:rFonts w:ascii="Arial" w:hAnsi="Arial" w:cs="Arial"/>
                <w:sz w:val="16"/>
                <w:szCs w:val="16"/>
                <w:lang w:val="en-AU" w:eastAsia="en-AU"/>
              </w:rPr>
            </w:pPr>
            <w:r w:rsidRPr="00A0273A">
              <w:rPr>
                <w:rFonts w:ascii="Arial" w:hAnsi="Arial" w:cs="Arial"/>
                <w:sz w:val="18"/>
                <w:szCs w:val="18"/>
              </w:rPr>
              <w:t>3,288</w:t>
            </w:r>
          </w:p>
        </w:tc>
        <w:tc>
          <w:tcPr>
            <w:tcW w:w="1205" w:type="dxa"/>
            <w:tcBorders>
              <w:top w:val="nil"/>
              <w:left w:val="nil"/>
              <w:bottom w:val="nil"/>
              <w:right w:val="nil"/>
            </w:tcBorders>
            <w:shd w:val="clear" w:color="000000" w:fill="F2F2F2"/>
            <w:noWrap/>
            <w:vAlign w:val="bottom"/>
          </w:tcPr>
          <w:p w14:paraId="41043CD5" w14:textId="425F7028" w:rsidR="00F774B6" w:rsidRPr="00644251" w:rsidRDefault="0054652D" w:rsidP="00F774B6">
            <w:pPr>
              <w:ind w:firstLineChars="100" w:firstLine="180"/>
              <w:jc w:val="right"/>
              <w:rPr>
                <w:rFonts w:ascii="Arial" w:hAnsi="Arial" w:cs="Arial"/>
                <w:sz w:val="16"/>
                <w:szCs w:val="16"/>
                <w:lang w:val="en-AU" w:eastAsia="en-AU"/>
              </w:rPr>
            </w:pPr>
            <w:r w:rsidRPr="00A0273A">
              <w:rPr>
                <w:rFonts w:ascii="Arial" w:hAnsi="Arial" w:cs="Arial"/>
                <w:sz w:val="18"/>
                <w:szCs w:val="18"/>
              </w:rPr>
              <w:t>2,607</w:t>
            </w:r>
          </w:p>
        </w:tc>
      </w:tr>
      <w:tr w:rsidR="00F774B6" w:rsidRPr="00024747" w14:paraId="3274179E" w14:textId="77777777" w:rsidTr="00615C42">
        <w:trPr>
          <w:trHeight w:val="300"/>
        </w:trPr>
        <w:tc>
          <w:tcPr>
            <w:tcW w:w="3701" w:type="dxa"/>
            <w:tcBorders>
              <w:top w:val="nil"/>
              <w:left w:val="nil"/>
              <w:bottom w:val="nil"/>
              <w:right w:val="nil"/>
            </w:tcBorders>
            <w:shd w:val="clear" w:color="000000" w:fill="FFFFFF"/>
            <w:vAlign w:val="center"/>
            <w:hideMark/>
          </w:tcPr>
          <w:p w14:paraId="10B45D54" w14:textId="625E9375" w:rsidR="00F774B6" w:rsidRPr="00615C42" w:rsidRDefault="00F774B6" w:rsidP="00A0273A">
            <w:pPr>
              <w:ind w:right="-47"/>
              <w:rPr>
                <w:rFonts w:ascii="Arial" w:hAnsi="Arial" w:cs="Arial"/>
                <w:color w:val="000000"/>
                <w:sz w:val="16"/>
                <w:szCs w:val="16"/>
                <w:vertAlign w:val="superscript"/>
                <w:lang w:val="en-AU" w:eastAsia="en-AU"/>
              </w:rPr>
            </w:pPr>
            <w:r w:rsidRPr="00D80CAF">
              <w:rPr>
                <w:rFonts w:ascii="Arial" w:hAnsi="Arial" w:cs="Arial"/>
                <w:color w:val="000000"/>
                <w:sz w:val="16"/>
                <w:szCs w:val="16"/>
                <w:lang w:val="en-AU" w:eastAsia="en-AU"/>
              </w:rPr>
              <w:t>Parameter and other budget variations</w:t>
            </w:r>
            <w:r w:rsidR="00C13B9F" w:rsidRPr="00A0273A">
              <w:rPr>
                <w:rFonts w:ascii="Arial" w:hAnsi="Arial" w:cs="Arial"/>
                <w:color w:val="000000"/>
                <w:sz w:val="16"/>
                <w:szCs w:val="16"/>
                <w:vertAlign w:val="superscript"/>
                <w:lang w:val="en-AU" w:eastAsia="en-AU"/>
              </w:rPr>
              <w:t>(a)</w:t>
            </w:r>
          </w:p>
        </w:tc>
        <w:tc>
          <w:tcPr>
            <w:tcW w:w="1204" w:type="dxa"/>
            <w:tcBorders>
              <w:top w:val="nil"/>
              <w:left w:val="nil"/>
              <w:bottom w:val="nil"/>
              <w:right w:val="nil"/>
            </w:tcBorders>
            <w:shd w:val="clear" w:color="auto" w:fill="auto"/>
            <w:noWrap/>
            <w:vAlign w:val="bottom"/>
          </w:tcPr>
          <w:p w14:paraId="726D1D07" w14:textId="614BE30B" w:rsidR="00F774B6" w:rsidRPr="00D80CAF" w:rsidRDefault="00F774B6" w:rsidP="00F774B6">
            <w:pPr>
              <w:ind w:firstLineChars="100" w:firstLine="180"/>
              <w:jc w:val="right"/>
              <w:rPr>
                <w:rFonts w:ascii="Arial" w:hAnsi="Arial" w:cs="Arial"/>
                <w:sz w:val="16"/>
                <w:szCs w:val="16"/>
                <w:lang w:val="en-AU" w:eastAsia="en-AU"/>
              </w:rPr>
            </w:pPr>
            <w:r>
              <w:rPr>
                <w:rFonts w:ascii="Arial" w:hAnsi="Arial" w:cs="Arial"/>
                <w:sz w:val="18"/>
                <w:szCs w:val="18"/>
              </w:rPr>
              <w:t>(</w:t>
            </w:r>
            <w:r w:rsidR="00315F4C">
              <w:rPr>
                <w:rFonts w:ascii="Arial" w:hAnsi="Arial" w:cs="Arial"/>
                <w:sz w:val="18"/>
                <w:szCs w:val="18"/>
              </w:rPr>
              <w:t>893</w:t>
            </w:r>
            <w:r>
              <w:rPr>
                <w:rFonts w:ascii="Arial" w:hAnsi="Arial" w:cs="Arial"/>
                <w:sz w:val="18"/>
                <w:szCs w:val="18"/>
              </w:rPr>
              <w:t>)</w:t>
            </w:r>
          </w:p>
        </w:tc>
        <w:tc>
          <w:tcPr>
            <w:tcW w:w="1204" w:type="dxa"/>
            <w:tcBorders>
              <w:top w:val="nil"/>
              <w:left w:val="nil"/>
              <w:bottom w:val="nil"/>
              <w:right w:val="nil"/>
            </w:tcBorders>
            <w:shd w:val="clear" w:color="000000" w:fill="F2F2F2"/>
            <w:noWrap/>
            <w:vAlign w:val="bottom"/>
          </w:tcPr>
          <w:p w14:paraId="5EFF9A9D" w14:textId="3751FA48" w:rsidR="00F774B6" w:rsidRPr="00D80CAF" w:rsidRDefault="00315F4C" w:rsidP="00F774B6">
            <w:pPr>
              <w:ind w:firstLineChars="100" w:firstLine="180"/>
              <w:jc w:val="right"/>
              <w:rPr>
                <w:rFonts w:ascii="Arial" w:hAnsi="Arial" w:cs="Arial"/>
                <w:sz w:val="16"/>
                <w:szCs w:val="16"/>
                <w:lang w:val="en-AU" w:eastAsia="en-AU"/>
              </w:rPr>
            </w:pPr>
            <w:r>
              <w:rPr>
                <w:rFonts w:ascii="Arial" w:hAnsi="Arial" w:cs="Arial"/>
                <w:sz w:val="18"/>
                <w:szCs w:val="18"/>
              </w:rPr>
              <w:t>72</w:t>
            </w:r>
          </w:p>
        </w:tc>
        <w:tc>
          <w:tcPr>
            <w:tcW w:w="1204" w:type="dxa"/>
            <w:tcBorders>
              <w:top w:val="nil"/>
              <w:left w:val="nil"/>
              <w:bottom w:val="nil"/>
              <w:right w:val="nil"/>
            </w:tcBorders>
            <w:shd w:val="clear" w:color="000000" w:fill="F2F2F2"/>
            <w:noWrap/>
            <w:vAlign w:val="bottom"/>
          </w:tcPr>
          <w:p w14:paraId="0EDB69A8" w14:textId="70BC5FDD" w:rsidR="00F774B6" w:rsidRPr="00D80CAF" w:rsidRDefault="00315F4C" w:rsidP="00F774B6">
            <w:pPr>
              <w:ind w:firstLineChars="100" w:firstLine="180"/>
              <w:jc w:val="right"/>
              <w:rPr>
                <w:rFonts w:ascii="Arial" w:hAnsi="Arial" w:cs="Arial"/>
                <w:sz w:val="16"/>
                <w:szCs w:val="16"/>
                <w:lang w:val="en-AU" w:eastAsia="en-AU"/>
              </w:rPr>
            </w:pPr>
            <w:r>
              <w:rPr>
                <w:rFonts w:ascii="Arial" w:hAnsi="Arial" w:cs="Arial"/>
                <w:sz w:val="18"/>
                <w:szCs w:val="18"/>
              </w:rPr>
              <w:t>2,255</w:t>
            </w:r>
          </w:p>
        </w:tc>
        <w:tc>
          <w:tcPr>
            <w:tcW w:w="1204" w:type="dxa"/>
            <w:tcBorders>
              <w:top w:val="nil"/>
              <w:left w:val="nil"/>
              <w:bottom w:val="nil"/>
              <w:right w:val="nil"/>
            </w:tcBorders>
            <w:shd w:val="clear" w:color="000000" w:fill="F2F2F2"/>
            <w:noWrap/>
            <w:vAlign w:val="bottom"/>
          </w:tcPr>
          <w:p w14:paraId="127105BC" w14:textId="05B6A71C" w:rsidR="00F774B6" w:rsidRPr="00D80CAF" w:rsidRDefault="00315F4C" w:rsidP="00F774B6">
            <w:pPr>
              <w:ind w:firstLineChars="100" w:firstLine="180"/>
              <w:jc w:val="right"/>
              <w:rPr>
                <w:rFonts w:ascii="Arial" w:hAnsi="Arial" w:cs="Arial"/>
                <w:sz w:val="16"/>
                <w:szCs w:val="16"/>
                <w:lang w:val="en-AU" w:eastAsia="en-AU"/>
              </w:rPr>
            </w:pPr>
            <w:r>
              <w:rPr>
                <w:rFonts w:ascii="Arial" w:hAnsi="Arial" w:cs="Arial"/>
                <w:sz w:val="18"/>
                <w:szCs w:val="18"/>
              </w:rPr>
              <w:t>981</w:t>
            </w:r>
          </w:p>
        </w:tc>
        <w:tc>
          <w:tcPr>
            <w:tcW w:w="1205" w:type="dxa"/>
            <w:tcBorders>
              <w:top w:val="nil"/>
              <w:left w:val="nil"/>
              <w:bottom w:val="nil"/>
              <w:right w:val="nil"/>
            </w:tcBorders>
            <w:shd w:val="clear" w:color="000000" w:fill="F2F2F2"/>
            <w:noWrap/>
            <w:vAlign w:val="bottom"/>
          </w:tcPr>
          <w:p w14:paraId="14F5BD83" w14:textId="063748E5" w:rsidR="00F774B6" w:rsidRPr="00D80CAF" w:rsidRDefault="00F774B6" w:rsidP="00F774B6">
            <w:pPr>
              <w:ind w:firstLineChars="100" w:firstLine="180"/>
              <w:jc w:val="right"/>
              <w:rPr>
                <w:rFonts w:ascii="Arial" w:hAnsi="Arial" w:cs="Arial"/>
                <w:sz w:val="16"/>
                <w:szCs w:val="16"/>
                <w:lang w:val="en-AU" w:eastAsia="en-AU"/>
              </w:rPr>
            </w:pPr>
            <w:proofErr w:type="spellStart"/>
            <w:r>
              <w:rPr>
                <w:rFonts w:ascii="Arial" w:hAnsi="Arial" w:cs="Arial"/>
                <w:sz w:val="18"/>
                <w:szCs w:val="18"/>
              </w:rPr>
              <w:t>n.a.</w:t>
            </w:r>
            <w:proofErr w:type="spellEnd"/>
          </w:p>
        </w:tc>
      </w:tr>
      <w:tr w:rsidR="00F774B6" w:rsidRPr="00024747" w14:paraId="063C9A95" w14:textId="77777777" w:rsidTr="00615C42">
        <w:trPr>
          <w:trHeight w:val="300"/>
        </w:trPr>
        <w:tc>
          <w:tcPr>
            <w:tcW w:w="3701" w:type="dxa"/>
            <w:tcBorders>
              <w:top w:val="nil"/>
              <w:left w:val="nil"/>
              <w:bottom w:val="nil"/>
              <w:right w:val="nil"/>
            </w:tcBorders>
            <w:shd w:val="clear" w:color="000000" w:fill="FFFFFF"/>
            <w:vAlign w:val="center"/>
            <w:hideMark/>
          </w:tcPr>
          <w:p w14:paraId="2ABAD7C0" w14:textId="24E70D9C" w:rsidR="00F774B6" w:rsidRPr="00FF74BF" w:rsidRDefault="00F774B6" w:rsidP="00F774B6">
            <w:pPr>
              <w:rPr>
                <w:rFonts w:ascii="Arial" w:hAnsi="Arial" w:cs="Arial"/>
                <w:color w:val="000000"/>
                <w:sz w:val="16"/>
                <w:szCs w:val="16"/>
                <w:lang w:val="en-AU" w:eastAsia="en-AU"/>
              </w:rPr>
            </w:pPr>
            <w:r w:rsidRPr="00FF74BF">
              <w:rPr>
                <w:rFonts w:ascii="Arial" w:hAnsi="Arial" w:cs="Arial"/>
                <w:color w:val="000000"/>
                <w:sz w:val="16"/>
                <w:szCs w:val="16"/>
                <w:lang w:val="en-AU" w:eastAsia="en-AU"/>
              </w:rPr>
              <w:t>Savings, reprioritisations and offsets</w:t>
            </w:r>
          </w:p>
        </w:tc>
        <w:tc>
          <w:tcPr>
            <w:tcW w:w="1204" w:type="dxa"/>
            <w:tcBorders>
              <w:top w:val="nil"/>
              <w:left w:val="nil"/>
              <w:bottom w:val="nil"/>
              <w:right w:val="nil"/>
            </w:tcBorders>
            <w:shd w:val="clear" w:color="auto" w:fill="auto"/>
            <w:noWrap/>
            <w:vAlign w:val="bottom"/>
            <w:hideMark/>
          </w:tcPr>
          <w:p w14:paraId="5CF3A1F0" w14:textId="5D7CA3A6" w:rsidR="00F774B6" w:rsidRPr="00FF74BF" w:rsidRDefault="00F774B6" w:rsidP="00F774B6">
            <w:pPr>
              <w:ind w:firstLineChars="100" w:firstLine="180"/>
              <w:jc w:val="right"/>
              <w:rPr>
                <w:rFonts w:ascii="Arial" w:hAnsi="Arial" w:cs="Arial"/>
                <w:sz w:val="16"/>
                <w:szCs w:val="16"/>
                <w:lang w:val="en-AU" w:eastAsia="en-AU"/>
              </w:rPr>
            </w:pPr>
            <w:r w:rsidRPr="00FF74BF">
              <w:rPr>
                <w:rFonts w:ascii="Arial" w:hAnsi="Arial" w:cs="Arial"/>
                <w:sz w:val="18"/>
                <w:szCs w:val="18"/>
              </w:rPr>
              <w:t>...</w:t>
            </w:r>
          </w:p>
        </w:tc>
        <w:tc>
          <w:tcPr>
            <w:tcW w:w="1204" w:type="dxa"/>
            <w:tcBorders>
              <w:top w:val="nil"/>
              <w:left w:val="nil"/>
              <w:bottom w:val="nil"/>
              <w:right w:val="nil"/>
            </w:tcBorders>
            <w:shd w:val="clear" w:color="000000" w:fill="F2F2F2"/>
            <w:noWrap/>
            <w:vAlign w:val="bottom"/>
          </w:tcPr>
          <w:p w14:paraId="09984F14" w14:textId="4B35A088" w:rsidR="00F774B6" w:rsidRPr="00FF74BF" w:rsidRDefault="00F774B6" w:rsidP="00F774B6">
            <w:pPr>
              <w:ind w:firstLineChars="100" w:firstLine="180"/>
              <w:jc w:val="right"/>
              <w:rPr>
                <w:rFonts w:ascii="Arial" w:hAnsi="Arial" w:cs="Arial"/>
                <w:sz w:val="16"/>
                <w:szCs w:val="16"/>
                <w:lang w:val="en-AU" w:eastAsia="en-AU"/>
              </w:rPr>
            </w:pPr>
            <w:r w:rsidRPr="00FF74BF">
              <w:rPr>
                <w:rFonts w:ascii="Arial" w:hAnsi="Arial" w:cs="Arial"/>
                <w:sz w:val="18"/>
                <w:szCs w:val="18"/>
              </w:rPr>
              <w:t>(7</w:t>
            </w:r>
            <w:r w:rsidR="00643FDF" w:rsidRPr="00A0273A">
              <w:rPr>
                <w:rFonts w:ascii="Arial" w:hAnsi="Arial" w:cs="Arial"/>
                <w:sz w:val="18"/>
                <w:szCs w:val="18"/>
              </w:rPr>
              <w:t>75</w:t>
            </w:r>
            <w:r w:rsidRPr="00FF74BF">
              <w:rPr>
                <w:rFonts w:ascii="Arial" w:hAnsi="Arial" w:cs="Arial"/>
                <w:sz w:val="18"/>
                <w:szCs w:val="18"/>
              </w:rPr>
              <w:t>)</w:t>
            </w:r>
          </w:p>
        </w:tc>
        <w:tc>
          <w:tcPr>
            <w:tcW w:w="1204" w:type="dxa"/>
            <w:tcBorders>
              <w:top w:val="nil"/>
              <w:left w:val="nil"/>
              <w:bottom w:val="nil"/>
              <w:right w:val="nil"/>
            </w:tcBorders>
            <w:shd w:val="clear" w:color="000000" w:fill="F2F2F2"/>
            <w:noWrap/>
            <w:vAlign w:val="bottom"/>
          </w:tcPr>
          <w:p w14:paraId="331E7268" w14:textId="635C668F" w:rsidR="00F774B6" w:rsidRPr="00FF74BF" w:rsidRDefault="00F774B6" w:rsidP="00F774B6">
            <w:pPr>
              <w:ind w:firstLineChars="100" w:firstLine="180"/>
              <w:jc w:val="right"/>
              <w:rPr>
                <w:rFonts w:ascii="Arial" w:hAnsi="Arial" w:cs="Arial"/>
                <w:sz w:val="16"/>
                <w:szCs w:val="16"/>
                <w:lang w:val="en-AU" w:eastAsia="en-AU"/>
              </w:rPr>
            </w:pPr>
            <w:r w:rsidRPr="00FF74BF">
              <w:rPr>
                <w:rFonts w:ascii="Arial" w:hAnsi="Arial" w:cs="Arial"/>
                <w:sz w:val="18"/>
                <w:szCs w:val="18"/>
              </w:rPr>
              <w:t>(1,2</w:t>
            </w:r>
            <w:r w:rsidR="00643FDF" w:rsidRPr="00A0273A">
              <w:rPr>
                <w:rFonts w:ascii="Arial" w:hAnsi="Arial" w:cs="Arial"/>
                <w:sz w:val="18"/>
                <w:szCs w:val="18"/>
              </w:rPr>
              <w:t>7</w:t>
            </w:r>
            <w:r w:rsidR="00C5489A" w:rsidRPr="00A0273A">
              <w:rPr>
                <w:rFonts w:ascii="Arial" w:hAnsi="Arial" w:cs="Arial"/>
                <w:sz w:val="18"/>
                <w:szCs w:val="18"/>
              </w:rPr>
              <w:t>6</w:t>
            </w:r>
            <w:r w:rsidRPr="00FF74BF">
              <w:rPr>
                <w:rFonts w:ascii="Arial" w:hAnsi="Arial" w:cs="Arial"/>
                <w:sz w:val="18"/>
                <w:szCs w:val="18"/>
              </w:rPr>
              <w:t>)</w:t>
            </w:r>
          </w:p>
        </w:tc>
        <w:tc>
          <w:tcPr>
            <w:tcW w:w="1204" w:type="dxa"/>
            <w:tcBorders>
              <w:top w:val="nil"/>
              <w:left w:val="nil"/>
              <w:bottom w:val="nil"/>
              <w:right w:val="nil"/>
            </w:tcBorders>
            <w:shd w:val="clear" w:color="000000" w:fill="F2F2F2"/>
            <w:noWrap/>
            <w:vAlign w:val="bottom"/>
          </w:tcPr>
          <w:p w14:paraId="3217C5D7" w14:textId="6AD75E07" w:rsidR="00F774B6" w:rsidRPr="00FF74BF" w:rsidRDefault="00F774B6" w:rsidP="00F774B6">
            <w:pPr>
              <w:ind w:firstLineChars="100" w:firstLine="180"/>
              <w:jc w:val="right"/>
              <w:rPr>
                <w:rFonts w:ascii="Arial" w:hAnsi="Arial" w:cs="Arial"/>
                <w:sz w:val="16"/>
                <w:szCs w:val="16"/>
                <w:lang w:val="en-AU" w:eastAsia="en-AU"/>
              </w:rPr>
            </w:pPr>
            <w:r w:rsidRPr="00FF74BF">
              <w:rPr>
                <w:rFonts w:ascii="Arial" w:hAnsi="Arial" w:cs="Arial"/>
                <w:sz w:val="18"/>
                <w:szCs w:val="18"/>
              </w:rPr>
              <w:t>(1,71</w:t>
            </w:r>
            <w:r w:rsidR="00C5489A" w:rsidRPr="00A0273A">
              <w:rPr>
                <w:rFonts w:ascii="Arial" w:hAnsi="Arial" w:cs="Arial"/>
                <w:sz w:val="18"/>
                <w:szCs w:val="18"/>
              </w:rPr>
              <w:t>2</w:t>
            </w:r>
            <w:r w:rsidRPr="00FF74BF">
              <w:rPr>
                <w:rFonts w:ascii="Arial" w:hAnsi="Arial" w:cs="Arial"/>
                <w:sz w:val="18"/>
                <w:szCs w:val="18"/>
              </w:rPr>
              <w:t>)</w:t>
            </w:r>
          </w:p>
        </w:tc>
        <w:tc>
          <w:tcPr>
            <w:tcW w:w="1205" w:type="dxa"/>
            <w:tcBorders>
              <w:top w:val="nil"/>
              <w:left w:val="nil"/>
              <w:bottom w:val="nil"/>
              <w:right w:val="nil"/>
            </w:tcBorders>
            <w:shd w:val="clear" w:color="000000" w:fill="F2F2F2"/>
            <w:noWrap/>
            <w:vAlign w:val="bottom"/>
          </w:tcPr>
          <w:p w14:paraId="550D9C93" w14:textId="633F29D4" w:rsidR="00F774B6" w:rsidRPr="00FF74BF" w:rsidRDefault="00F774B6" w:rsidP="00F774B6">
            <w:pPr>
              <w:ind w:firstLineChars="100" w:firstLine="180"/>
              <w:jc w:val="right"/>
              <w:rPr>
                <w:rFonts w:ascii="Arial" w:hAnsi="Arial" w:cs="Arial"/>
                <w:sz w:val="16"/>
                <w:szCs w:val="16"/>
                <w:lang w:val="en-AU" w:eastAsia="en-AU"/>
              </w:rPr>
            </w:pPr>
            <w:r w:rsidRPr="00FF74BF">
              <w:rPr>
                <w:rFonts w:ascii="Arial" w:hAnsi="Arial" w:cs="Arial"/>
                <w:sz w:val="18"/>
                <w:szCs w:val="18"/>
              </w:rPr>
              <w:t>(1,9</w:t>
            </w:r>
            <w:r w:rsidR="00643FDF" w:rsidRPr="00A0273A">
              <w:rPr>
                <w:rFonts w:ascii="Arial" w:hAnsi="Arial" w:cs="Arial"/>
                <w:sz w:val="18"/>
                <w:szCs w:val="18"/>
              </w:rPr>
              <w:t>08</w:t>
            </w:r>
            <w:r w:rsidRPr="00FF74BF">
              <w:rPr>
                <w:rFonts w:ascii="Arial" w:hAnsi="Arial" w:cs="Arial"/>
                <w:sz w:val="18"/>
                <w:szCs w:val="18"/>
              </w:rPr>
              <w:t>)</w:t>
            </w:r>
          </w:p>
        </w:tc>
      </w:tr>
      <w:tr w:rsidR="00F774B6" w:rsidRPr="00024747" w14:paraId="4A6421CE" w14:textId="77777777" w:rsidTr="00615C42">
        <w:trPr>
          <w:trHeight w:val="300"/>
        </w:trPr>
        <w:tc>
          <w:tcPr>
            <w:tcW w:w="3701" w:type="dxa"/>
            <w:tcBorders>
              <w:top w:val="single" w:sz="4" w:space="0" w:color="auto"/>
              <w:left w:val="nil"/>
              <w:bottom w:val="single" w:sz="4" w:space="0" w:color="auto"/>
              <w:right w:val="nil"/>
            </w:tcBorders>
            <w:shd w:val="clear" w:color="000000" w:fill="FFFFFF"/>
            <w:vAlign w:val="center"/>
            <w:hideMark/>
          </w:tcPr>
          <w:p w14:paraId="5E02FE2C" w14:textId="3CF85E31" w:rsidR="00F774B6" w:rsidRPr="00D80CAF" w:rsidRDefault="00F774B6" w:rsidP="00F774B6">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Expenses – 20</w:t>
            </w:r>
            <w:r w:rsidR="001051B0">
              <w:rPr>
                <w:rFonts w:ascii="Arial" w:hAnsi="Arial" w:cs="Arial"/>
                <w:b/>
                <w:color w:val="008EBA"/>
                <w:sz w:val="16"/>
                <w:szCs w:val="16"/>
                <w:lang w:val="en-AU" w:eastAsia="en-AU"/>
              </w:rPr>
              <w:t>20</w:t>
            </w:r>
            <w:r w:rsidRPr="00D80CAF">
              <w:rPr>
                <w:rFonts w:ascii="Arial" w:hAnsi="Arial" w:cs="Arial"/>
                <w:b/>
                <w:color w:val="008EBA"/>
                <w:sz w:val="16"/>
                <w:szCs w:val="16"/>
                <w:lang w:val="en-AU" w:eastAsia="en-AU"/>
              </w:rPr>
              <w:t>-21 Budget</w:t>
            </w:r>
          </w:p>
        </w:tc>
        <w:tc>
          <w:tcPr>
            <w:tcW w:w="1204" w:type="dxa"/>
            <w:tcBorders>
              <w:top w:val="single" w:sz="4" w:space="0" w:color="auto"/>
              <w:left w:val="nil"/>
              <w:bottom w:val="single" w:sz="4" w:space="0" w:color="auto"/>
              <w:right w:val="nil"/>
            </w:tcBorders>
            <w:shd w:val="clear" w:color="auto" w:fill="auto"/>
            <w:noWrap/>
            <w:vAlign w:val="center"/>
          </w:tcPr>
          <w:p w14:paraId="33DDD918" w14:textId="56EC5A72"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88,283</w:t>
            </w:r>
          </w:p>
        </w:tc>
        <w:tc>
          <w:tcPr>
            <w:tcW w:w="1204" w:type="dxa"/>
            <w:tcBorders>
              <w:top w:val="single" w:sz="4" w:space="0" w:color="auto"/>
              <w:left w:val="nil"/>
              <w:bottom w:val="single" w:sz="4" w:space="0" w:color="auto"/>
              <w:right w:val="nil"/>
            </w:tcBorders>
            <w:shd w:val="clear" w:color="000000" w:fill="F2F2F2"/>
            <w:noWrap/>
            <w:vAlign w:val="center"/>
          </w:tcPr>
          <w:p w14:paraId="60DE31E7" w14:textId="4D2F8CDC"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98,133</w:t>
            </w:r>
          </w:p>
        </w:tc>
        <w:tc>
          <w:tcPr>
            <w:tcW w:w="1204" w:type="dxa"/>
            <w:tcBorders>
              <w:top w:val="single" w:sz="4" w:space="0" w:color="auto"/>
              <w:left w:val="nil"/>
              <w:bottom w:val="single" w:sz="4" w:space="0" w:color="auto"/>
              <w:right w:val="nil"/>
            </w:tcBorders>
            <w:shd w:val="clear" w:color="000000" w:fill="F2F2F2"/>
            <w:noWrap/>
            <w:vAlign w:val="center"/>
          </w:tcPr>
          <w:p w14:paraId="472D4FFF" w14:textId="6FDC4B24"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94,519</w:t>
            </w:r>
          </w:p>
        </w:tc>
        <w:tc>
          <w:tcPr>
            <w:tcW w:w="1204" w:type="dxa"/>
            <w:tcBorders>
              <w:top w:val="single" w:sz="4" w:space="0" w:color="auto"/>
              <w:left w:val="nil"/>
              <w:bottom w:val="single" w:sz="4" w:space="0" w:color="auto"/>
              <w:right w:val="nil"/>
            </w:tcBorders>
            <w:shd w:val="clear" w:color="000000" w:fill="F2F2F2"/>
            <w:noWrap/>
            <w:vAlign w:val="center"/>
          </w:tcPr>
          <w:p w14:paraId="3062C4C0" w14:textId="143A7C99"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92,692</w:t>
            </w:r>
          </w:p>
        </w:tc>
        <w:tc>
          <w:tcPr>
            <w:tcW w:w="1205" w:type="dxa"/>
            <w:tcBorders>
              <w:top w:val="single" w:sz="4" w:space="0" w:color="auto"/>
              <w:left w:val="nil"/>
              <w:bottom w:val="single" w:sz="4" w:space="0" w:color="auto"/>
              <w:right w:val="nil"/>
            </w:tcBorders>
            <w:shd w:val="clear" w:color="000000" w:fill="F2F2F2"/>
            <w:noWrap/>
            <w:vAlign w:val="center"/>
          </w:tcPr>
          <w:p w14:paraId="5822CECB" w14:textId="56BF4EB4" w:rsidR="00F774B6" w:rsidRPr="00D80CAF" w:rsidRDefault="00F774B6" w:rsidP="00F774B6">
            <w:pPr>
              <w:ind w:firstLineChars="100" w:firstLine="181"/>
              <w:jc w:val="right"/>
              <w:rPr>
                <w:rFonts w:ascii="Arial" w:hAnsi="Arial" w:cs="Arial"/>
                <w:b/>
                <w:color w:val="008EBA"/>
                <w:sz w:val="16"/>
                <w:szCs w:val="16"/>
                <w:lang w:val="en-AU" w:eastAsia="en-AU"/>
              </w:rPr>
            </w:pPr>
            <w:r>
              <w:rPr>
                <w:rFonts w:ascii="Arial" w:hAnsi="Arial" w:cs="Arial"/>
                <w:b/>
                <w:bCs/>
                <w:color w:val="008EBA"/>
                <w:sz w:val="18"/>
                <w:szCs w:val="18"/>
              </w:rPr>
              <w:t>93,390</w:t>
            </w:r>
          </w:p>
        </w:tc>
      </w:tr>
    </w:tbl>
    <w:bookmarkEnd w:id="0"/>
    <w:p w14:paraId="444913A3" w14:textId="3F757AA6" w:rsidR="004C094D" w:rsidRPr="007641D2" w:rsidRDefault="00DA25F9" w:rsidP="004C094D">
      <w:pPr>
        <w:widowControl w:val="0"/>
        <w:numPr>
          <w:ilvl w:val="0"/>
          <w:numId w:val="6"/>
        </w:numPr>
        <w:tabs>
          <w:tab w:val="left" w:pos="382"/>
          <w:tab w:val="right" w:pos="4196"/>
          <w:tab w:val="right" w:pos="5046"/>
          <w:tab w:val="right" w:pos="5897"/>
          <w:tab w:val="right" w:pos="6747"/>
          <w:tab w:val="right" w:pos="7598"/>
        </w:tabs>
        <w:autoSpaceDE w:val="0"/>
        <w:autoSpaceDN w:val="0"/>
        <w:spacing w:before="60" w:after="120"/>
        <w:ind w:left="357" w:hanging="357"/>
        <w:rPr>
          <w:rFonts w:ascii="Arial" w:hAnsi="Arial" w:cs="Arial"/>
          <w:sz w:val="17"/>
          <w:szCs w:val="17"/>
        </w:rPr>
      </w:pPr>
      <w:r>
        <w:rPr>
          <w:rFonts w:ascii="Arial" w:hAnsi="Arial" w:cs="Arial"/>
          <w:sz w:val="17"/>
          <w:szCs w:val="17"/>
        </w:rPr>
        <w:t xml:space="preserve">The increase in </w:t>
      </w:r>
      <w:r w:rsidR="00AC375C">
        <w:rPr>
          <w:rFonts w:ascii="Arial" w:hAnsi="Arial" w:cs="Arial"/>
          <w:sz w:val="17"/>
          <w:szCs w:val="17"/>
        </w:rPr>
        <w:t>parameter and other</w:t>
      </w:r>
      <w:r>
        <w:rPr>
          <w:rFonts w:ascii="Arial" w:hAnsi="Arial" w:cs="Arial"/>
          <w:sz w:val="17"/>
          <w:szCs w:val="17"/>
        </w:rPr>
        <w:t xml:space="preserve"> variation</w:t>
      </w:r>
      <w:r w:rsidR="00AC375C">
        <w:rPr>
          <w:rFonts w:ascii="Arial" w:hAnsi="Arial" w:cs="Arial"/>
          <w:sz w:val="17"/>
          <w:szCs w:val="17"/>
        </w:rPr>
        <w:t xml:space="preserve"> expenses</w:t>
      </w:r>
      <w:r>
        <w:rPr>
          <w:rFonts w:ascii="Arial" w:hAnsi="Arial" w:cs="Arial"/>
          <w:sz w:val="17"/>
          <w:szCs w:val="17"/>
        </w:rPr>
        <w:t xml:space="preserve"> in 2021-22 </w:t>
      </w:r>
      <w:r w:rsidR="007D54A2">
        <w:rPr>
          <w:rFonts w:ascii="Arial" w:hAnsi="Arial" w:cs="Arial"/>
          <w:sz w:val="17"/>
          <w:szCs w:val="17"/>
        </w:rPr>
        <w:t>is primarily driven</w:t>
      </w:r>
      <w:r>
        <w:rPr>
          <w:rFonts w:ascii="Arial" w:hAnsi="Arial" w:cs="Arial"/>
          <w:sz w:val="17"/>
          <w:szCs w:val="17"/>
        </w:rPr>
        <w:t xml:space="preserve"> by movements in Transport</w:t>
      </w:r>
      <w:r w:rsidR="00584D15">
        <w:rPr>
          <w:rFonts w:ascii="Arial" w:hAnsi="Arial" w:cs="Arial"/>
          <w:sz w:val="17"/>
          <w:szCs w:val="17"/>
        </w:rPr>
        <w:t> </w:t>
      </w:r>
      <w:r>
        <w:rPr>
          <w:rFonts w:ascii="Arial" w:hAnsi="Arial" w:cs="Arial"/>
          <w:sz w:val="17"/>
          <w:szCs w:val="17"/>
        </w:rPr>
        <w:t>Asset</w:t>
      </w:r>
      <w:r w:rsidR="00584D15">
        <w:rPr>
          <w:rFonts w:ascii="Arial" w:hAnsi="Arial" w:cs="Arial"/>
          <w:sz w:val="17"/>
          <w:szCs w:val="17"/>
        </w:rPr>
        <w:t> </w:t>
      </w:r>
      <w:r>
        <w:rPr>
          <w:rFonts w:ascii="Arial" w:hAnsi="Arial" w:cs="Arial"/>
          <w:sz w:val="17"/>
          <w:szCs w:val="17"/>
        </w:rPr>
        <w:t>Holding</w:t>
      </w:r>
      <w:r w:rsidR="00584D15">
        <w:rPr>
          <w:rFonts w:ascii="Arial" w:hAnsi="Arial" w:cs="Arial"/>
          <w:sz w:val="17"/>
          <w:szCs w:val="17"/>
        </w:rPr>
        <w:t> </w:t>
      </w:r>
      <w:r>
        <w:rPr>
          <w:rFonts w:ascii="Arial" w:hAnsi="Arial" w:cs="Arial"/>
          <w:sz w:val="17"/>
          <w:szCs w:val="17"/>
        </w:rPr>
        <w:t>Entity expenditure</w:t>
      </w:r>
      <w:r w:rsidR="0060796B">
        <w:rPr>
          <w:rFonts w:ascii="Arial" w:hAnsi="Arial" w:cs="Arial"/>
          <w:sz w:val="17"/>
          <w:szCs w:val="17"/>
        </w:rPr>
        <w:t>, which is offset by equivalent revenue,</w:t>
      </w:r>
      <w:r>
        <w:rPr>
          <w:rFonts w:ascii="Arial" w:hAnsi="Arial" w:cs="Arial"/>
          <w:sz w:val="17"/>
          <w:szCs w:val="17"/>
        </w:rPr>
        <w:t xml:space="preserve"> and other</w:t>
      </w:r>
      <w:r w:rsidR="007D54A2">
        <w:rPr>
          <w:rFonts w:ascii="Arial" w:hAnsi="Arial" w:cs="Arial"/>
          <w:sz w:val="17"/>
          <w:szCs w:val="17"/>
        </w:rPr>
        <w:t xml:space="preserve"> technical</w:t>
      </w:r>
      <w:r>
        <w:rPr>
          <w:rFonts w:ascii="Arial" w:hAnsi="Arial" w:cs="Arial"/>
          <w:sz w:val="17"/>
          <w:szCs w:val="17"/>
        </w:rPr>
        <w:t xml:space="preserve"> adjustments</w:t>
      </w:r>
      <w:r w:rsidR="004C094D" w:rsidRPr="007641D2">
        <w:rPr>
          <w:rFonts w:ascii="Arial" w:hAnsi="Arial" w:cs="Arial"/>
          <w:sz w:val="17"/>
          <w:szCs w:val="17"/>
        </w:rPr>
        <w:t>.</w:t>
      </w:r>
    </w:p>
    <w:p w14:paraId="6D855962" w14:textId="4C4419FB" w:rsidR="000856AA" w:rsidRDefault="001803D2">
      <w:pPr>
        <w:pStyle w:val="BodyText"/>
      </w:pPr>
      <w:r w:rsidRPr="009D3CDF">
        <w:t xml:space="preserve">Since the </w:t>
      </w:r>
      <w:r w:rsidR="007860BE" w:rsidRPr="009D3CDF">
        <w:t>2019-20 Half-Yearly Review, e</w:t>
      </w:r>
      <w:r w:rsidR="00920951" w:rsidRPr="009D3CDF">
        <w:t xml:space="preserve">xpenses </w:t>
      </w:r>
      <w:r w:rsidR="00EE7699" w:rsidRPr="009D3CDF">
        <w:t xml:space="preserve">from 2019-20 </w:t>
      </w:r>
      <w:r w:rsidR="007860BE" w:rsidRPr="009D3CDF">
        <w:t>to 202</w:t>
      </w:r>
      <w:r w:rsidR="00EE7699" w:rsidRPr="009D3CDF">
        <w:t>2</w:t>
      </w:r>
      <w:r w:rsidR="007860BE" w:rsidRPr="009D3CDF">
        <w:t>-2</w:t>
      </w:r>
      <w:r w:rsidR="00EE7699" w:rsidRPr="009D3CDF">
        <w:t>3</w:t>
      </w:r>
      <w:r w:rsidR="007860BE" w:rsidRPr="009D3CDF">
        <w:t xml:space="preserve"> have </w:t>
      </w:r>
      <w:r w:rsidR="002B0B77" w:rsidRPr="009D3CDF">
        <w:t xml:space="preserve">increased </w:t>
      </w:r>
      <w:r w:rsidR="007860BE" w:rsidRPr="009D3CDF">
        <w:t xml:space="preserve">by </w:t>
      </w:r>
      <w:r w:rsidR="002B0B77" w:rsidRPr="00615C42">
        <w:t>$</w:t>
      </w:r>
      <w:r w:rsidR="00FD6545" w:rsidRPr="00615C42">
        <w:t>2</w:t>
      </w:r>
      <w:r w:rsidR="009D3CDF" w:rsidRPr="00615C42">
        <w:t>5</w:t>
      </w:r>
      <w:r w:rsidR="002B0B77" w:rsidRPr="00615C42">
        <w:t>.</w:t>
      </w:r>
      <w:r w:rsidR="009D3CDF" w:rsidRPr="00615C42">
        <w:t>1</w:t>
      </w:r>
      <w:r w:rsidR="002B0B77" w:rsidRPr="00615C42">
        <w:t xml:space="preserve"> billion</w:t>
      </w:r>
      <w:r w:rsidR="005523D7" w:rsidRPr="009D3CDF">
        <w:t xml:space="preserve">, including an additional </w:t>
      </w:r>
      <w:r w:rsidR="005523D7" w:rsidRPr="00615C42">
        <w:t>$</w:t>
      </w:r>
      <w:r w:rsidR="00FD6545" w:rsidRPr="00615C42">
        <w:t>11</w:t>
      </w:r>
      <w:r w:rsidR="005523D7" w:rsidRPr="00615C42">
        <w:t>.</w:t>
      </w:r>
      <w:r w:rsidR="009D3CDF" w:rsidRPr="00615C42">
        <w:t>2</w:t>
      </w:r>
      <w:r w:rsidR="005523D7" w:rsidRPr="00615C42">
        <w:t xml:space="preserve"> billion</w:t>
      </w:r>
      <w:r w:rsidR="007860BE" w:rsidRPr="009D3CDF">
        <w:t xml:space="preserve"> in </w:t>
      </w:r>
      <w:r w:rsidR="001F54FB" w:rsidRPr="009D3CDF">
        <w:t>20</w:t>
      </w:r>
      <w:r w:rsidR="007860BE" w:rsidRPr="009D3CDF">
        <w:t>2</w:t>
      </w:r>
      <w:r w:rsidR="000856AA" w:rsidRPr="009D3CDF">
        <w:t>0-2</w:t>
      </w:r>
      <w:r w:rsidR="007860BE" w:rsidRPr="009D3CDF">
        <w:t>1</w:t>
      </w:r>
      <w:r w:rsidR="000856AA" w:rsidRPr="009D3CDF">
        <w:t>.</w:t>
      </w:r>
      <w:r w:rsidR="000856AA">
        <w:t xml:space="preserve"> </w:t>
      </w:r>
    </w:p>
    <w:p w14:paraId="6531CDE2" w14:textId="297BAA72" w:rsidR="00C62AE8" w:rsidRPr="00D04784" w:rsidRDefault="00085830">
      <w:pPr>
        <w:pStyle w:val="BodyText"/>
      </w:pPr>
      <w:r>
        <w:t xml:space="preserve">Over </w:t>
      </w:r>
      <w:r w:rsidR="00851D08">
        <w:t>four</w:t>
      </w:r>
      <w:r w:rsidR="00D04784">
        <w:t xml:space="preserve"> </w:t>
      </w:r>
      <w:r>
        <w:t>years to</w:t>
      </w:r>
      <w:r w:rsidR="00D9474E" w:rsidRPr="007641D2">
        <w:t xml:space="preserve"> </w:t>
      </w:r>
      <w:r w:rsidR="00D9474E" w:rsidRPr="00D04784">
        <w:t>202</w:t>
      </w:r>
      <w:r w:rsidR="00575FB6" w:rsidRPr="00D04784">
        <w:t>3</w:t>
      </w:r>
      <w:r w:rsidR="00D9474E" w:rsidRPr="00D04784">
        <w:t>-2</w:t>
      </w:r>
      <w:r w:rsidR="00575FB6" w:rsidRPr="00D04784">
        <w:t>4</w:t>
      </w:r>
      <w:r w:rsidRPr="00D04784">
        <w:t>,</w:t>
      </w:r>
      <w:r w:rsidR="00B43156" w:rsidRPr="00D04784">
        <w:t xml:space="preserve"> the major drivers of </w:t>
      </w:r>
      <w:r w:rsidR="00216AD6" w:rsidRPr="00D04784">
        <w:t xml:space="preserve">the change in recurrent expenditure </w:t>
      </w:r>
      <w:r w:rsidR="00B43156" w:rsidRPr="00D04784">
        <w:t>are</w:t>
      </w:r>
      <w:r w:rsidR="005A1C76" w:rsidRPr="00D04784">
        <w:t>:</w:t>
      </w:r>
    </w:p>
    <w:p w14:paraId="374978EF" w14:textId="624FE734" w:rsidR="002C0C4D" w:rsidRPr="006B4E0D" w:rsidRDefault="001A074D">
      <w:pPr>
        <w:pStyle w:val="Bullet1"/>
      </w:pPr>
      <w:r w:rsidRPr="00A0273A">
        <w:t>$</w:t>
      </w:r>
      <w:r w:rsidR="00A114C8" w:rsidRPr="00A0273A">
        <w:t>1</w:t>
      </w:r>
      <w:r w:rsidR="001F188A" w:rsidRPr="00A0273A">
        <w:t>1</w:t>
      </w:r>
      <w:r w:rsidR="00A114C8" w:rsidRPr="00A0273A">
        <w:t>.</w:t>
      </w:r>
      <w:r w:rsidR="0028233B" w:rsidRPr="00A0273A">
        <w:t>8</w:t>
      </w:r>
      <w:r w:rsidR="000B5D10" w:rsidRPr="00A0273A">
        <w:t xml:space="preserve"> </w:t>
      </w:r>
      <w:r w:rsidRPr="00A0273A">
        <w:t>billion</w:t>
      </w:r>
      <w:r w:rsidRPr="006B4E0D">
        <w:t xml:space="preserve"> for </w:t>
      </w:r>
      <w:r w:rsidR="002C0C4D" w:rsidRPr="006B4E0D">
        <w:t>COVID</w:t>
      </w:r>
      <w:r w:rsidR="000335AA" w:rsidRPr="006B4E0D">
        <w:t>-19</w:t>
      </w:r>
      <w:r w:rsidR="002C0C4D" w:rsidRPr="006B4E0D">
        <w:t xml:space="preserve"> </w:t>
      </w:r>
      <w:r w:rsidR="004E1FDB" w:rsidRPr="006B4E0D">
        <w:t xml:space="preserve">stimulus and </w:t>
      </w:r>
      <w:r w:rsidR="009D4862" w:rsidRPr="006B4E0D">
        <w:t>support</w:t>
      </w:r>
      <w:r w:rsidR="0097478F" w:rsidRPr="006B4E0D">
        <w:t xml:space="preserve"> m</w:t>
      </w:r>
      <w:r w:rsidRPr="006B4E0D">
        <w:t>easures</w:t>
      </w:r>
      <w:r w:rsidR="00E56240" w:rsidRPr="006B4E0D">
        <w:t xml:space="preserve"> (see </w:t>
      </w:r>
      <w:r w:rsidR="00B73382" w:rsidRPr="006B4E0D">
        <w:t>Box</w:t>
      </w:r>
      <w:r w:rsidR="00F476F1" w:rsidRPr="006B4E0D">
        <w:t>es</w:t>
      </w:r>
      <w:r w:rsidR="00B73382" w:rsidRPr="006B4E0D">
        <w:t xml:space="preserve"> 5.1</w:t>
      </w:r>
      <w:r w:rsidR="00F476F1" w:rsidRPr="006B4E0D">
        <w:t xml:space="preserve"> and 5.2</w:t>
      </w:r>
      <w:r w:rsidR="00E56240" w:rsidRPr="006B4E0D">
        <w:t>)</w:t>
      </w:r>
      <w:r w:rsidR="0022474B" w:rsidRPr="006B4E0D">
        <w:rPr>
          <w:rStyle w:val="FootnoteReference"/>
        </w:rPr>
        <w:footnoteReference w:id="7"/>
      </w:r>
    </w:p>
    <w:p w14:paraId="03B16968" w14:textId="7737C488" w:rsidR="002C0C4D" w:rsidRPr="006B4E0D" w:rsidRDefault="00DE107A">
      <w:pPr>
        <w:pStyle w:val="Bullet1"/>
      </w:pPr>
      <w:r w:rsidRPr="006B4E0D">
        <w:t>$</w:t>
      </w:r>
      <w:r w:rsidR="00851D08" w:rsidRPr="006B4E0D">
        <w:t>1</w:t>
      </w:r>
      <w:r w:rsidR="008D2AF0" w:rsidRPr="006B4E0D">
        <w:t>.</w:t>
      </w:r>
      <w:r w:rsidR="00753C2E" w:rsidRPr="006B4E0D">
        <w:t>6</w:t>
      </w:r>
      <w:r w:rsidR="00EB7E58" w:rsidRPr="006B4E0D">
        <w:t xml:space="preserve"> </w:t>
      </w:r>
      <w:r w:rsidRPr="006B4E0D">
        <w:t>billion</w:t>
      </w:r>
      <w:r w:rsidR="001A074D" w:rsidRPr="006B4E0D">
        <w:t xml:space="preserve"> to assist regional communities</w:t>
      </w:r>
      <w:r w:rsidR="005D712C" w:rsidRPr="006B4E0D">
        <w:t xml:space="preserve"> to</w:t>
      </w:r>
      <w:r w:rsidR="001A074D" w:rsidRPr="006B4E0D">
        <w:t xml:space="preserve"> recover from the 2019-20 b</w:t>
      </w:r>
      <w:r w:rsidR="002C0C4D" w:rsidRPr="006B4E0D">
        <w:t>ushfires</w:t>
      </w:r>
      <w:r w:rsidR="00611BE3" w:rsidRPr="006B4E0D">
        <w:t xml:space="preserve"> </w:t>
      </w:r>
      <w:r w:rsidR="00E56240" w:rsidRPr="006B4E0D">
        <w:t>(see</w:t>
      </w:r>
      <w:r w:rsidR="00E23D7C" w:rsidRPr="006B4E0D">
        <w:t> </w:t>
      </w:r>
      <w:r w:rsidR="00E56240" w:rsidRPr="006B4E0D">
        <w:t>Box</w:t>
      </w:r>
      <w:r w:rsidR="006046B4" w:rsidRPr="006B4E0D">
        <w:t> </w:t>
      </w:r>
      <w:r w:rsidR="00E56240" w:rsidRPr="006B4E0D">
        <w:t>5.</w:t>
      </w:r>
      <w:r w:rsidR="00F476F1" w:rsidRPr="006B4E0D">
        <w:t>3</w:t>
      </w:r>
      <w:r w:rsidR="00E56240" w:rsidRPr="006B4E0D">
        <w:t>)</w:t>
      </w:r>
      <w:r w:rsidR="00441AD0" w:rsidRPr="006B4E0D">
        <w:rPr>
          <w:rStyle w:val="FootnoteReference"/>
        </w:rPr>
        <w:footnoteReference w:id="8"/>
      </w:r>
    </w:p>
    <w:p w14:paraId="171E98EC" w14:textId="0D893998" w:rsidR="0069108A" w:rsidRPr="006B4E0D" w:rsidRDefault="00DE107A">
      <w:pPr>
        <w:pStyle w:val="Bullet1"/>
      </w:pPr>
      <w:r w:rsidRPr="00A0273A">
        <w:t>$</w:t>
      </w:r>
      <w:r w:rsidR="004B3C02" w:rsidRPr="00A0273A">
        <w:t>9</w:t>
      </w:r>
      <w:r w:rsidR="00995BDF" w:rsidRPr="00A0273A">
        <w:t>.</w:t>
      </w:r>
      <w:r w:rsidR="00746F08" w:rsidRPr="00A0273A">
        <w:t>8</w:t>
      </w:r>
      <w:r w:rsidRPr="00A0273A">
        <w:t xml:space="preserve"> billion</w:t>
      </w:r>
      <w:r w:rsidR="0058632E" w:rsidRPr="006B4E0D">
        <w:t xml:space="preserve"> </w:t>
      </w:r>
      <w:r w:rsidR="000A05EA" w:rsidRPr="006B4E0D">
        <w:t xml:space="preserve">for </w:t>
      </w:r>
      <w:r w:rsidR="00294D7B" w:rsidRPr="006B4E0D">
        <w:t>other</w:t>
      </w:r>
      <w:r w:rsidR="004A3371" w:rsidRPr="006B4E0D">
        <w:t xml:space="preserve"> </w:t>
      </w:r>
      <w:r w:rsidR="000A05EA" w:rsidRPr="006B4E0D">
        <w:t xml:space="preserve">new policy measures, including </w:t>
      </w:r>
      <w:r w:rsidR="00C3783C" w:rsidRPr="006B4E0D">
        <w:t xml:space="preserve">supporting </w:t>
      </w:r>
      <w:r w:rsidR="00DB7B2C" w:rsidRPr="006B4E0D">
        <w:t xml:space="preserve">critical </w:t>
      </w:r>
      <w:r w:rsidR="00F23AE0" w:rsidRPr="006B4E0D">
        <w:t>s</w:t>
      </w:r>
      <w:r w:rsidR="00D65EB8" w:rsidRPr="006B4E0D">
        <w:t>ervice</w:t>
      </w:r>
      <w:r w:rsidR="00516D75" w:rsidRPr="006B4E0D">
        <w:t xml:space="preserve"> delivery</w:t>
      </w:r>
      <w:r w:rsidR="00F23AE0" w:rsidRPr="006B4E0D">
        <w:t xml:space="preserve"> </w:t>
      </w:r>
      <w:r w:rsidR="00DB7B2C" w:rsidRPr="006B4E0D">
        <w:t xml:space="preserve">in </w:t>
      </w:r>
      <w:r w:rsidR="00A822E4" w:rsidRPr="006B4E0D">
        <w:t>Stronger Communities, TAFE</w:t>
      </w:r>
      <w:r w:rsidR="001F128E" w:rsidRPr="006B4E0D">
        <w:t xml:space="preserve"> NSW</w:t>
      </w:r>
      <w:r w:rsidR="00A822E4" w:rsidRPr="006B4E0D">
        <w:t>,</w:t>
      </w:r>
      <w:r w:rsidR="001F128E" w:rsidRPr="006B4E0D">
        <w:t xml:space="preserve"> </w:t>
      </w:r>
      <w:r w:rsidR="00A822E4" w:rsidRPr="006B4E0D">
        <w:t>Service NSW</w:t>
      </w:r>
      <w:r w:rsidR="00383B2C" w:rsidRPr="006B4E0D">
        <w:t>,</w:t>
      </w:r>
      <w:r w:rsidR="0051732C" w:rsidRPr="006B4E0D">
        <w:t xml:space="preserve"> Transport</w:t>
      </w:r>
      <w:r w:rsidR="00516D75" w:rsidRPr="006B4E0D">
        <w:t xml:space="preserve"> and</w:t>
      </w:r>
      <w:r w:rsidR="00383B2C" w:rsidRPr="006B4E0D">
        <w:t xml:space="preserve"> </w:t>
      </w:r>
      <w:r w:rsidR="004A5325" w:rsidRPr="006B4E0D">
        <w:t>Health</w:t>
      </w:r>
      <w:r w:rsidR="00E82323" w:rsidRPr="006B4E0D">
        <w:t xml:space="preserve"> </w:t>
      </w:r>
    </w:p>
    <w:p w14:paraId="67D9C860" w14:textId="4BBAD851" w:rsidR="00B23068" w:rsidRPr="0042475B" w:rsidRDefault="00B23068">
      <w:pPr>
        <w:pStyle w:val="Bullet1"/>
      </w:pPr>
      <w:r w:rsidRPr="006B4E0D">
        <w:t>$</w:t>
      </w:r>
      <w:r w:rsidR="00E31C15" w:rsidRPr="006B4E0D">
        <w:t>5</w:t>
      </w:r>
      <w:r w:rsidRPr="006B4E0D">
        <w:t>.</w:t>
      </w:r>
      <w:r w:rsidR="0049674E" w:rsidRPr="00A0273A">
        <w:t>7</w:t>
      </w:r>
      <w:r w:rsidR="00B0598B" w:rsidRPr="006B4E0D">
        <w:t xml:space="preserve"> </w:t>
      </w:r>
      <w:r w:rsidRPr="006B4E0D">
        <w:t>billion for</w:t>
      </w:r>
      <w:r w:rsidR="00DF2190" w:rsidRPr="0042475B">
        <w:t xml:space="preserve"> expense</w:t>
      </w:r>
      <w:r w:rsidRPr="0042475B">
        <w:t xml:space="preserve"> </w:t>
      </w:r>
      <w:r w:rsidR="0048100D" w:rsidRPr="0042475B">
        <w:t>savings</w:t>
      </w:r>
      <w:r w:rsidR="007E5351" w:rsidRPr="0042475B">
        <w:t xml:space="preserve"> ($5.6 billion budget result impact)</w:t>
      </w:r>
      <w:r w:rsidR="0048100D" w:rsidRPr="0042475B">
        <w:t>, re</w:t>
      </w:r>
      <w:r w:rsidR="009221BB" w:rsidRPr="0042475B">
        <w:t xml:space="preserve">prioritisation and </w:t>
      </w:r>
      <w:r w:rsidR="00162007" w:rsidRPr="0042475B">
        <w:t xml:space="preserve">offset </w:t>
      </w:r>
      <w:r w:rsidRPr="0042475B">
        <w:t xml:space="preserve">measures, including </w:t>
      </w:r>
      <w:r w:rsidR="00050EDA" w:rsidRPr="0042475B">
        <w:t>changes to wages growth</w:t>
      </w:r>
      <w:r w:rsidRPr="0042475B">
        <w:t xml:space="preserve"> for public sector workers</w:t>
      </w:r>
      <w:r w:rsidR="00C562A7" w:rsidRPr="0042475B">
        <w:t xml:space="preserve"> </w:t>
      </w:r>
      <w:r w:rsidR="005465F7" w:rsidRPr="0042475B">
        <w:t>(see</w:t>
      </w:r>
      <w:r w:rsidR="00D23F09">
        <w:t> </w:t>
      </w:r>
      <w:r w:rsidR="005465F7" w:rsidRPr="0042475B">
        <w:t>Box</w:t>
      </w:r>
      <w:r w:rsidR="00336CF7" w:rsidRPr="0042475B">
        <w:t> </w:t>
      </w:r>
      <w:r w:rsidR="005465F7" w:rsidRPr="0042475B">
        <w:t>5.</w:t>
      </w:r>
      <w:r w:rsidR="00F94332" w:rsidRPr="0042475B">
        <w:t>5</w:t>
      </w:r>
      <w:r w:rsidR="005465F7" w:rsidRPr="0042475B">
        <w:t>)</w:t>
      </w:r>
    </w:p>
    <w:p w14:paraId="5D72CCC4" w14:textId="55BD4350" w:rsidR="00172175" w:rsidRPr="007C6294" w:rsidRDefault="00EC234A">
      <w:pPr>
        <w:pStyle w:val="Bullet1"/>
      </w:pPr>
      <w:r>
        <w:t>p</w:t>
      </w:r>
      <w:r w:rsidR="00A822E4">
        <w:t xml:space="preserve">arameter and other budget variations </w:t>
      </w:r>
      <w:r>
        <w:t>associated with the implementation of</w:t>
      </w:r>
      <w:r w:rsidR="0082204C">
        <w:t xml:space="preserve"> accounting standards, actuarial </w:t>
      </w:r>
      <w:r w:rsidR="0082204C" w:rsidRPr="007C6294">
        <w:t>adjustments, the reprofiling of expenditure to align with updated program delivery schedules</w:t>
      </w:r>
      <w:r w:rsidR="002813CC" w:rsidRPr="007C6294">
        <w:t xml:space="preserve">, and the allocation </w:t>
      </w:r>
      <w:r w:rsidR="00E02DC0" w:rsidRPr="00A0273A">
        <w:t xml:space="preserve">of centrally held </w:t>
      </w:r>
      <w:r w:rsidR="002813CC" w:rsidRPr="007C6294">
        <w:t>expenditure into agency budgets</w:t>
      </w:r>
      <w:r w:rsidR="00A15441" w:rsidRPr="007C6294">
        <w:t>.</w:t>
      </w:r>
    </w:p>
    <w:p w14:paraId="164F5C42" w14:textId="77777777" w:rsidR="00753D2D" w:rsidRDefault="00753D2D">
      <w:pPr>
        <w:spacing w:after="200" w:line="276" w:lineRule="auto"/>
        <w:rPr>
          <w:rFonts w:ascii="Arial" w:hAnsi="Arial" w:cs="Arial"/>
          <w:sz w:val="23"/>
          <w:lang w:val="en-AU"/>
        </w:rPr>
      </w:pPr>
      <w:r>
        <w:br w:type="page"/>
      </w:r>
    </w:p>
    <w:p w14:paraId="167ADB56" w14:textId="77777777" w:rsidR="00B433EC" w:rsidRDefault="001653CA" w:rsidP="00615C42">
      <w:pPr>
        <w:pStyle w:val="BodyText"/>
      </w:pPr>
      <w:r>
        <w:t xml:space="preserve">The Government continues </w:t>
      </w:r>
      <w:r w:rsidR="00E0391E">
        <w:t xml:space="preserve">to </w:t>
      </w:r>
      <w:r w:rsidR="003913C3">
        <w:t>support</w:t>
      </w:r>
      <w:r w:rsidR="00E0391E">
        <w:t xml:space="preserve"> </w:t>
      </w:r>
      <w:r w:rsidR="00DD5529">
        <w:t xml:space="preserve">communities in </w:t>
      </w:r>
      <w:r w:rsidR="00E0391E">
        <w:t>regional New South Wales,</w:t>
      </w:r>
      <w:r w:rsidR="003913C3">
        <w:t xml:space="preserve"> helping them recover from drought, the 2019-20 bushfires, and the COVID-19 pandemic.</w:t>
      </w:r>
      <w:r w:rsidR="00E0391E">
        <w:t xml:space="preserve"> </w:t>
      </w:r>
      <w:r w:rsidR="00DD5529">
        <w:t>This support is detailed in Box 5.3.</w:t>
      </w:r>
    </w:p>
    <w:p w14:paraId="5AA16F2A" w14:textId="023D31A3" w:rsidR="00572E04" w:rsidRDefault="00572E04" w:rsidP="00B433EC"/>
    <w:tbl>
      <w:tblPr>
        <w:tblW w:w="0" w:type="auto"/>
        <w:shd w:val="pct5" w:color="auto" w:fill="auto"/>
        <w:tblLayout w:type="fixed"/>
        <w:tblLook w:val="0000" w:firstRow="0" w:lastRow="0" w:firstColumn="0" w:lastColumn="0" w:noHBand="0" w:noVBand="0"/>
        <w:tblCaption w:val="Box 5.3: Supporting regional New South Wales through 2020 "/>
        <w:tblDescription w:val="Box 5.3: Supporting regional New South Wales through 2020 "/>
      </w:tblPr>
      <w:tblGrid>
        <w:gridCol w:w="9639"/>
      </w:tblGrid>
      <w:tr w:rsidR="00FF2F59" w:rsidRPr="007641D2" w14:paraId="317A40C7" w14:textId="77777777" w:rsidTr="00A0273A">
        <w:trPr>
          <w:trHeight w:val="11312"/>
        </w:trPr>
        <w:tc>
          <w:tcPr>
            <w:tcW w:w="9639" w:type="dxa"/>
            <w:shd w:val="pct5" w:color="auto" w:fill="auto"/>
          </w:tcPr>
          <w:p w14:paraId="7B5ACBD5" w14:textId="4D3F92D7" w:rsidR="00FF2F59" w:rsidRDefault="005640F4" w:rsidP="00DD1EC0">
            <w:pPr>
              <w:pStyle w:val="BoxHeading"/>
            </w:pPr>
            <w:r>
              <w:t>Supporting</w:t>
            </w:r>
            <w:r w:rsidR="00AF1DA7">
              <w:t xml:space="preserve"> regional New South Wales</w:t>
            </w:r>
            <w:r>
              <w:t xml:space="preserve"> through 2020</w:t>
            </w:r>
            <w:r w:rsidR="00887092">
              <w:t xml:space="preserve"> </w:t>
            </w:r>
          </w:p>
          <w:p w14:paraId="17C48AD7" w14:textId="3E2A8C1D" w:rsidR="00467DFB" w:rsidRDefault="00552075" w:rsidP="00A0273A">
            <w:pPr>
              <w:pStyle w:val="BodyTextBox"/>
              <w:rPr>
                <w:lang w:val="en-AU"/>
              </w:rPr>
            </w:pPr>
            <w:r>
              <w:rPr>
                <w:lang w:val="en-AU"/>
              </w:rPr>
              <w:t>The three crises have hit r</w:t>
            </w:r>
            <w:r w:rsidR="004D43AD">
              <w:rPr>
                <w:lang w:val="en-AU"/>
              </w:rPr>
              <w:t xml:space="preserve">egional New South Wales </w:t>
            </w:r>
            <w:r w:rsidR="00AD688C">
              <w:rPr>
                <w:lang w:val="en-AU"/>
              </w:rPr>
              <w:t xml:space="preserve">hard </w:t>
            </w:r>
            <w:r w:rsidR="000D4A25">
              <w:rPr>
                <w:lang w:val="en-AU"/>
              </w:rPr>
              <w:t>over the last 12 months</w:t>
            </w:r>
            <w:r w:rsidR="00E65093">
              <w:rPr>
                <w:lang w:val="en-AU"/>
              </w:rPr>
              <w:t xml:space="preserve">. </w:t>
            </w:r>
          </w:p>
          <w:p w14:paraId="34341B86" w14:textId="43A36899" w:rsidR="00B93265" w:rsidRDefault="00F11C04" w:rsidP="00A0273A">
            <w:pPr>
              <w:pStyle w:val="BodyTextBox"/>
              <w:rPr>
                <w:lang w:val="en-AU"/>
              </w:rPr>
            </w:pPr>
            <w:r>
              <w:rPr>
                <w:lang w:val="en-AU"/>
              </w:rPr>
              <w:t>The Government</w:t>
            </w:r>
            <w:r w:rsidR="001922A6">
              <w:rPr>
                <w:lang w:val="en-AU"/>
              </w:rPr>
              <w:t>, in partnership with the Commonwealth,</w:t>
            </w:r>
            <w:r>
              <w:rPr>
                <w:lang w:val="en-AU"/>
              </w:rPr>
              <w:t xml:space="preserve"> has </w:t>
            </w:r>
            <w:r w:rsidR="00D17449" w:rsidRPr="00D117BC">
              <w:rPr>
                <w:lang w:val="en-AU"/>
              </w:rPr>
              <w:t>announced</w:t>
            </w:r>
            <w:r w:rsidR="00060518" w:rsidRPr="00D117BC">
              <w:rPr>
                <w:lang w:val="en-AU"/>
              </w:rPr>
              <w:t xml:space="preserve"> </w:t>
            </w:r>
            <w:r w:rsidR="00B93265" w:rsidRPr="00615C42">
              <w:rPr>
                <w:lang w:val="en-AU"/>
              </w:rPr>
              <w:t>$</w:t>
            </w:r>
            <w:r w:rsidR="001922A6" w:rsidRPr="00615C42">
              <w:rPr>
                <w:lang w:val="en-AU"/>
              </w:rPr>
              <w:t>4</w:t>
            </w:r>
            <w:r w:rsidR="00B93265" w:rsidRPr="00615C42">
              <w:rPr>
                <w:lang w:val="en-AU"/>
              </w:rPr>
              <w:t>.</w:t>
            </w:r>
            <w:r w:rsidR="001922A6" w:rsidRPr="00615C42">
              <w:rPr>
                <w:lang w:val="en-AU"/>
              </w:rPr>
              <w:t>4</w:t>
            </w:r>
            <w:r w:rsidR="00B93265" w:rsidRPr="00615C42">
              <w:rPr>
                <w:lang w:val="en-AU"/>
              </w:rPr>
              <w:t xml:space="preserve"> billion</w:t>
            </w:r>
            <w:r w:rsidR="00144624" w:rsidRPr="00D117BC">
              <w:rPr>
                <w:lang w:val="en-AU"/>
              </w:rPr>
              <w:t xml:space="preserve"> over </w:t>
            </w:r>
            <w:r w:rsidR="000B1A8D" w:rsidRPr="00D117BC">
              <w:rPr>
                <w:lang w:val="en-AU"/>
              </w:rPr>
              <w:t xml:space="preserve">five </w:t>
            </w:r>
            <w:r w:rsidR="00144624" w:rsidRPr="00D117BC">
              <w:rPr>
                <w:lang w:val="en-AU"/>
              </w:rPr>
              <w:t>years to 2023-24</w:t>
            </w:r>
            <w:r w:rsidR="00B93265" w:rsidRPr="00D117BC">
              <w:rPr>
                <w:lang w:val="en-AU"/>
              </w:rPr>
              <w:t xml:space="preserve"> </w:t>
            </w:r>
            <w:r w:rsidRPr="00D117BC">
              <w:rPr>
                <w:lang w:val="en-AU"/>
              </w:rPr>
              <w:t xml:space="preserve">to assist communities </w:t>
            </w:r>
            <w:r w:rsidR="00EC2487" w:rsidRPr="00D117BC">
              <w:rPr>
                <w:lang w:val="en-AU"/>
              </w:rPr>
              <w:t>recover</w:t>
            </w:r>
            <w:r w:rsidR="002720CF" w:rsidRPr="00D117BC">
              <w:rPr>
                <w:lang w:val="en-AU"/>
              </w:rPr>
              <w:t xml:space="preserve"> from the 2019-20 </w:t>
            </w:r>
            <w:r w:rsidR="00DF1C50" w:rsidRPr="00D117BC">
              <w:rPr>
                <w:lang w:val="en-AU"/>
              </w:rPr>
              <w:t xml:space="preserve">summer </w:t>
            </w:r>
            <w:r w:rsidR="002720CF" w:rsidRPr="00D117BC">
              <w:rPr>
                <w:lang w:val="en-AU"/>
              </w:rPr>
              <w:t>bushfires</w:t>
            </w:r>
            <w:r w:rsidRPr="00D117BC">
              <w:rPr>
                <w:lang w:val="en-AU"/>
              </w:rPr>
              <w:t>.</w:t>
            </w:r>
            <w:r w:rsidR="000B1A8D" w:rsidRPr="00D117BC">
              <w:rPr>
                <w:rStyle w:val="FootnoteReference"/>
                <w:lang w:val="en-AU"/>
              </w:rPr>
              <w:footnoteReference w:id="9"/>
            </w:r>
            <w:r w:rsidR="00B23068" w:rsidRPr="00D117BC">
              <w:rPr>
                <w:lang w:val="en-AU"/>
              </w:rPr>
              <w:t xml:space="preserve"> This includes:</w:t>
            </w:r>
          </w:p>
          <w:p w14:paraId="2AE70C1E" w14:textId="77777777" w:rsidR="001E2C0B" w:rsidRDefault="001E2C0B">
            <w:pPr>
              <w:pStyle w:val="Bullet1inabox"/>
            </w:pPr>
            <w:r>
              <w:t>$1.0 billion to rebuild bushfire impacted communities across New South Wales, including to repair and rebuild vital infrastructure</w:t>
            </w:r>
          </w:p>
          <w:p w14:paraId="2442D98D" w14:textId="5509BAD9" w:rsidR="00930C49" w:rsidRPr="00D85F70" w:rsidRDefault="00930C49">
            <w:pPr>
              <w:pStyle w:val="Bullet1inabox"/>
            </w:pPr>
            <w:r>
              <w:t xml:space="preserve">$540.0 million </w:t>
            </w:r>
            <w:r w:rsidR="008E1016">
              <w:t>committed in partnership with the Commonwealth Government for the</w:t>
            </w:r>
            <w:r>
              <w:t xml:space="preserve"> Bushfire Local Economic Recovery Fund</w:t>
            </w:r>
            <w:r w:rsidR="004B4FFC">
              <w:t>,</w:t>
            </w:r>
            <w:r>
              <w:t xml:space="preserve"> to drive economic </w:t>
            </w:r>
            <w:r w:rsidRPr="00975327">
              <w:t xml:space="preserve">recovery </w:t>
            </w:r>
            <w:r w:rsidR="008E1016">
              <w:t>in areas affected by the bushfires</w:t>
            </w:r>
          </w:p>
          <w:p w14:paraId="20379CB6" w14:textId="626854AA" w:rsidR="004D4C7C" w:rsidRPr="00D85F70" w:rsidRDefault="004D4C7C">
            <w:pPr>
              <w:pStyle w:val="Bullet1inabox"/>
            </w:pPr>
            <w:r w:rsidRPr="00D85F70">
              <w:t xml:space="preserve">$335.0 million </w:t>
            </w:r>
            <w:r w:rsidR="008B780B" w:rsidRPr="00D85F70">
              <w:t xml:space="preserve">for </w:t>
            </w:r>
            <w:r w:rsidR="00686D5E" w:rsidRPr="00D85F70">
              <w:t xml:space="preserve">small business </w:t>
            </w:r>
            <w:r w:rsidR="00637CAB">
              <w:t xml:space="preserve">bushfire </w:t>
            </w:r>
            <w:r w:rsidR="00686D5E" w:rsidRPr="00D85F70">
              <w:t>recovery grants</w:t>
            </w:r>
            <w:r w:rsidR="008B780B" w:rsidRPr="00D85F70">
              <w:t xml:space="preserve">, </w:t>
            </w:r>
            <w:r w:rsidRPr="00D85F70">
              <w:t>support</w:t>
            </w:r>
            <w:r w:rsidR="008B780B" w:rsidRPr="00D85F70">
              <w:t>ing</w:t>
            </w:r>
            <w:r w:rsidRPr="00D85F70">
              <w:t xml:space="preserve"> over 20,000 busines</w:t>
            </w:r>
            <w:r w:rsidR="008B780B" w:rsidRPr="00D85F70">
              <w:t xml:space="preserve">ses </w:t>
            </w:r>
            <w:r w:rsidR="00686D5E" w:rsidRPr="00D85F70">
              <w:t>impacted by bushfires to help them keep their doors open and maintain jobs</w:t>
            </w:r>
          </w:p>
          <w:p w14:paraId="5D57624F" w14:textId="115AA4D6" w:rsidR="00745CEE" w:rsidRPr="00D85F70" w:rsidRDefault="006423DC">
            <w:pPr>
              <w:pStyle w:val="Bullet1inabox"/>
            </w:pPr>
            <w:r>
              <w:t>$</w:t>
            </w:r>
            <w:r w:rsidR="003F607E">
              <w:t>192</w:t>
            </w:r>
            <w:r>
              <w:t xml:space="preserve">.2 million to 2024-25 </w:t>
            </w:r>
            <w:r w:rsidR="00B23068" w:rsidRPr="00975327">
              <w:t>in response to</w:t>
            </w:r>
            <w:r w:rsidR="008468BC" w:rsidRPr="00D85F70">
              <w:t xml:space="preserve"> recommendations from</w:t>
            </w:r>
            <w:r w:rsidR="00B23068" w:rsidRPr="00D85F70">
              <w:t xml:space="preserve"> the </w:t>
            </w:r>
            <w:r w:rsidR="00745CEE" w:rsidRPr="00D85F70">
              <w:t xml:space="preserve">NSW </w:t>
            </w:r>
            <w:r w:rsidR="00B23068" w:rsidRPr="00D85F70">
              <w:t>Bushfire</w:t>
            </w:r>
            <w:r w:rsidR="003F607E">
              <w:t xml:space="preserve"> Inquiry</w:t>
            </w:r>
            <w:r w:rsidR="008468BC" w:rsidRPr="00D85F70">
              <w:t xml:space="preserve">, including </w:t>
            </w:r>
            <w:r w:rsidR="003F607E">
              <w:t>to</w:t>
            </w:r>
            <w:r w:rsidR="00766CDE" w:rsidRPr="00D85F70">
              <w:t xml:space="preserve"> support frontline firefighters and implement a </w:t>
            </w:r>
            <w:r w:rsidR="008468BC" w:rsidRPr="00D85F70">
              <w:t>mental health strategy for emergency services</w:t>
            </w:r>
            <w:r w:rsidR="003F607E">
              <w:t>, with a further $68.0 million to enhance hazard reduction and for fleet upgrades to prepare for the next bushfire season</w:t>
            </w:r>
            <w:r w:rsidR="003F607E">
              <w:rPr>
                <w:rStyle w:val="FootnoteReference"/>
              </w:rPr>
              <w:footnoteReference w:id="10"/>
            </w:r>
            <w:r>
              <w:t xml:space="preserve"> </w:t>
            </w:r>
          </w:p>
          <w:p w14:paraId="668A9ED2" w14:textId="2F73A147" w:rsidR="00B23068" w:rsidRPr="00975327" w:rsidRDefault="00DF1C50">
            <w:pPr>
              <w:pStyle w:val="Bullet1inabox"/>
            </w:pPr>
            <w:r>
              <w:t>$187.5 million to 2024-25</w:t>
            </w:r>
            <w:r w:rsidR="008468BC" w:rsidRPr="00975327">
              <w:t xml:space="preserve"> </w:t>
            </w:r>
            <w:r w:rsidR="004F44E4" w:rsidRPr="00D85F70">
              <w:t>for Resilience NSW</w:t>
            </w:r>
            <w:r w:rsidR="008468BC" w:rsidRPr="00D85F70">
              <w:t xml:space="preserve"> to deliver the best possible whole</w:t>
            </w:r>
            <w:r w:rsidR="00753D2D">
              <w:noBreakHyphen/>
            </w:r>
            <w:r w:rsidR="008468BC" w:rsidRPr="00D85F70">
              <w:t>of</w:t>
            </w:r>
            <w:r w:rsidR="00753D2D">
              <w:noBreakHyphen/>
            </w:r>
            <w:r w:rsidR="008468BC" w:rsidRPr="00D85F70">
              <w:t>government approach to prevention, preparedness, response and recovery from disasters and emergencies</w:t>
            </w:r>
            <w:r w:rsidR="003F607E">
              <w:rPr>
                <w:rStyle w:val="FootnoteReference"/>
              </w:rPr>
              <w:footnoteReference w:id="11"/>
            </w:r>
          </w:p>
          <w:p w14:paraId="43CADAC4" w14:textId="47725C32" w:rsidR="00D32D01" w:rsidRPr="00D85F70" w:rsidRDefault="00D32D01">
            <w:pPr>
              <w:pStyle w:val="Bullet1inabox"/>
            </w:pPr>
            <w:r w:rsidRPr="00615C42">
              <w:t>$</w:t>
            </w:r>
            <w:r w:rsidR="00CD2E78" w:rsidRPr="00615C42">
              <w:t>140.0</w:t>
            </w:r>
            <w:r w:rsidRPr="00615C42">
              <w:t xml:space="preserve"> </w:t>
            </w:r>
            <w:r w:rsidR="006057ED" w:rsidRPr="00615C42">
              <w:t>million</w:t>
            </w:r>
            <w:r w:rsidR="006057ED" w:rsidRPr="00975327">
              <w:t xml:space="preserve"> </w:t>
            </w:r>
            <w:r w:rsidR="00337E9E" w:rsidRPr="00D85F70">
              <w:t xml:space="preserve">for the </w:t>
            </w:r>
            <w:r w:rsidRPr="00D85F70">
              <w:t>Bushfire Industry Recovery Package to support industries impacted by bushfires</w:t>
            </w:r>
          </w:p>
          <w:p w14:paraId="64808A10" w14:textId="3BEBFE66" w:rsidR="00540C4A" w:rsidRPr="00975327" w:rsidRDefault="00540C4A">
            <w:pPr>
              <w:pStyle w:val="Bullet1inabox"/>
            </w:pPr>
            <w:r w:rsidRPr="00D85F70">
              <w:t xml:space="preserve">$110.0 million </w:t>
            </w:r>
            <w:r w:rsidR="004B4FFC">
              <w:t>for</w:t>
            </w:r>
            <w:r w:rsidR="002261C9" w:rsidRPr="00975327">
              <w:t xml:space="preserve"> </w:t>
            </w:r>
            <w:r w:rsidRPr="00D85F70">
              <w:t>Primary Producer Recovery grants</w:t>
            </w:r>
            <w:r w:rsidR="004B4FFC">
              <w:t>, supporting 1,800 farmers so far</w:t>
            </w:r>
            <w:r w:rsidR="004D20D2">
              <w:t>.</w:t>
            </w:r>
          </w:p>
          <w:p w14:paraId="4399629B" w14:textId="7C5537B0" w:rsidR="00D6380F" w:rsidRDefault="00AB632C" w:rsidP="00A0273A">
            <w:pPr>
              <w:pStyle w:val="BodyTextBox"/>
            </w:pPr>
            <w:r>
              <w:t xml:space="preserve">The Government is also supporting regional New South Wales during the </w:t>
            </w:r>
            <w:r w:rsidR="002E171E">
              <w:t xml:space="preserve">COVID-19 </w:t>
            </w:r>
            <w:r>
              <w:t>pandemic</w:t>
            </w:r>
            <w:r w:rsidR="00720FDC">
              <w:t>,</w:t>
            </w:r>
            <w:r>
              <w:t xml:space="preserve"> including</w:t>
            </w:r>
            <w:r w:rsidR="00D6380F">
              <w:t>:</w:t>
            </w:r>
          </w:p>
          <w:p w14:paraId="68DA696D" w14:textId="60547AB8" w:rsidR="00D6380F" w:rsidRPr="0022439E" w:rsidRDefault="00554613">
            <w:pPr>
              <w:pStyle w:val="Bullet1inabox"/>
            </w:pPr>
            <w:r w:rsidRPr="00975327">
              <w:t xml:space="preserve">$1.8 billion from the </w:t>
            </w:r>
            <w:r w:rsidRPr="0022439E">
              <w:t xml:space="preserve">$3.0 billion </w:t>
            </w:r>
            <w:r w:rsidR="0086400F" w:rsidRPr="0022439E">
              <w:t>Jobs</w:t>
            </w:r>
            <w:r w:rsidR="00597030">
              <w:t xml:space="preserve"> and Infrastructure</w:t>
            </w:r>
            <w:r w:rsidRPr="0022439E">
              <w:t xml:space="preserve"> Acceleration Fund</w:t>
            </w:r>
            <w:r w:rsidR="00C75B04" w:rsidRPr="0022439E">
              <w:t xml:space="preserve">, including additional funding </w:t>
            </w:r>
            <w:r w:rsidR="00B31751">
              <w:t xml:space="preserve">to </w:t>
            </w:r>
            <w:r w:rsidR="00794590">
              <w:t>accelerate</w:t>
            </w:r>
            <w:r w:rsidR="00C75B04" w:rsidRPr="0022439E">
              <w:t xml:space="preserve"> the Fixing Country Bridges and Fixing Local Roads programs</w:t>
            </w:r>
            <w:r w:rsidR="007E0778" w:rsidRPr="0022439E">
              <w:t xml:space="preserve"> </w:t>
            </w:r>
          </w:p>
          <w:p w14:paraId="4DCE453F" w14:textId="0D684B7C" w:rsidR="004F7E48" w:rsidRDefault="00D43CFC" w:rsidP="00615C42">
            <w:pPr>
              <w:pStyle w:val="Bullet1inabox"/>
            </w:pPr>
            <w:r w:rsidRPr="00E50D48">
              <w:t>$</w:t>
            </w:r>
            <w:r w:rsidR="009F499E">
              <w:t>198.8</w:t>
            </w:r>
            <w:r w:rsidRPr="00975327">
              <w:t xml:space="preserve"> million</w:t>
            </w:r>
            <w:r w:rsidRPr="0022439E">
              <w:t xml:space="preserve"> </w:t>
            </w:r>
            <w:r w:rsidR="00995A62" w:rsidRPr="0022439E">
              <w:t>from the $750.0 million Small Business Support Fund</w:t>
            </w:r>
            <w:r w:rsidR="004D20D2">
              <w:t>, which</w:t>
            </w:r>
            <w:r w:rsidR="00995A62" w:rsidRPr="0022439E">
              <w:t xml:space="preserve"> </w:t>
            </w:r>
            <w:r w:rsidR="00844466" w:rsidRPr="0022439E">
              <w:t>has flowed through to small businesses in regional New</w:t>
            </w:r>
            <w:r w:rsidR="00844466">
              <w:t xml:space="preserve"> South Wales</w:t>
            </w:r>
            <w:r w:rsidR="008C7E69">
              <w:t xml:space="preserve"> </w:t>
            </w:r>
            <w:r w:rsidR="00DA049E">
              <w:t>via</w:t>
            </w:r>
            <w:r w:rsidR="008C7E69">
              <w:t xml:space="preserve"> the Small Business Support, Small Business Recovery and the Southern Border Support Grants programs</w:t>
            </w:r>
            <w:r w:rsidR="00D6380F">
              <w:t>.</w:t>
            </w:r>
          </w:p>
          <w:p w14:paraId="651DF61F" w14:textId="0AEA625B" w:rsidR="00ED4A47" w:rsidRDefault="00D6380F" w:rsidP="00A0273A">
            <w:pPr>
              <w:pStyle w:val="BodyTextBox"/>
            </w:pPr>
            <w:r>
              <w:t xml:space="preserve">A further </w:t>
            </w:r>
            <w:r w:rsidR="00692147">
              <w:t xml:space="preserve">$300.0 million has been invested </w:t>
            </w:r>
            <w:r w:rsidR="00FD2186">
              <w:t>for a</w:t>
            </w:r>
            <w:r w:rsidR="00692147">
              <w:t xml:space="preserve"> Regional Growth Fund</w:t>
            </w:r>
            <w:r w:rsidR="00FD2186">
              <w:t xml:space="preserve"> 2.0</w:t>
            </w:r>
            <w:r w:rsidR="00692147">
              <w:t>, bringing the total investment to $2.0 billion</w:t>
            </w:r>
            <w:r w:rsidR="00FD2186">
              <w:t>,</w:t>
            </w:r>
            <w:r w:rsidR="00692147">
              <w:t xml:space="preserve"> </w:t>
            </w:r>
            <w:r w:rsidR="000A161D">
              <w:t xml:space="preserve">and </w:t>
            </w:r>
            <w:r w:rsidR="00692147">
              <w:t>support</w:t>
            </w:r>
            <w:r w:rsidR="00FD2186">
              <w:t>ing</w:t>
            </w:r>
            <w:r w:rsidR="00692147">
              <w:t xml:space="preserve"> </w:t>
            </w:r>
            <w:r w:rsidR="00FD2186">
              <w:t xml:space="preserve">the economic growth and development of </w:t>
            </w:r>
            <w:r w:rsidR="00692147">
              <w:t>regional New South Wales.</w:t>
            </w:r>
          </w:p>
          <w:p w14:paraId="1F559678" w14:textId="78614B9C" w:rsidR="00FF2F59" w:rsidRPr="00E31CBE" w:rsidRDefault="003077FC" w:rsidP="00A0273A">
            <w:pPr>
              <w:pStyle w:val="BodyTextBox"/>
            </w:pPr>
            <w:r>
              <w:t>D</w:t>
            </w:r>
            <w:r w:rsidR="002F7E4B">
              <w:t xml:space="preserve">rought </w:t>
            </w:r>
            <w:r w:rsidR="00FF7D0D">
              <w:t>has</w:t>
            </w:r>
            <w:r w:rsidR="002F7E4B">
              <w:t xml:space="preserve"> lifted in large parts of the State but </w:t>
            </w:r>
            <w:r w:rsidR="000F6497" w:rsidRPr="009D643D">
              <w:t xml:space="preserve">there are </w:t>
            </w:r>
            <w:r w:rsidRPr="009D643D">
              <w:t xml:space="preserve">still areas, particularly in the north and north west, which continue </w:t>
            </w:r>
            <w:r w:rsidR="000F6497" w:rsidRPr="009D643D">
              <w:t xml:space="preserve">to suffer. </w:t>
            </w:r>
            <w:r w:rsidR="000C2289" w:rsidRPr="009D643D">
              <w:t xml:space="preserve">A </w:t>
            </w:r>
            <w:r w:rsidR="00FA51D4" w:rsidRPr="009D643D">
              <w:t xml:space="preserve">further </w:t>
            </w:r>
            <w:r w:rsidR="00D31486" w:rsidRPr="00615C42">
              <w:t>$</w:t>
            </w:r>
            <w:r w:rsidR="00417445" w:rsidRPr="00615C42">
              <w:t>310.0</w:t>
            </w:r>
            <w:r w:rsidR="00C47B66" w:rsidRPr="00615C42">
              <w:t> </w:t>
            </w:r>
            <w:r w:rsidR="00D31486" w:rsidRPr="00615C42">
              <w:t>million</w:t>
            </w:r>
            <w:r w:rsidR="00D31486" w:rsidRPr="009D643D">
              <w:t xml:space="preserve"> has</w:t>
            </w:r>
            <w:r w:rsidR="00D31486">
              <w:t xml:space="preserve"> been provided </w:t>
            </w:r>
            <w:r w:rsidR="009C39C8">
              <w:t>for drought relief</w:t>
            </w:r>
            <w:r w:rsidR="000C2289">
              <w:t xml:space="preserve"> since the 2019-20 Half-Yearly Review</w:t>
            </w:r>
            <w:r w:rsidR="007D4872">
              <w:t>,</w:t>
            </w:r>
            <w:r w:rsidR="00AA0E15">
              <w:t xml:space="preserve"> </w:t>
            </w:r>
            <w:r w:rsidR="001E7172">
              <w:t>which brings the State’s total commitment for drought and water security to around $4.5 billion since 2015.</w:t>
            </w:r>
          </w:p>
        </w:tc>
      </w:tr>
    </w:tbl>
    <w:p w14:paraId="59652DC9" w14:textId="77777777" w:rsidR="006A2F38" w:rsidRDefault="006A2F38" w:rsidP="00076D21"/>
    <w:p w14:paraId="06635C50" w14:textId="77777777" w:rsidR="00D74D07" w:rsidRDefault="00D74D07">
      <w:pPr>
        <w:spacing w:after="200" w:line="276" w:lineRule="auto"/>
        <w:rPr>
          <w:rFonts w:ascii="Arial" w:hAnsi="Arial" w:cs="Arial"/>
          <w:b/>
          <w:kern w:val="28"/>
          <w:sz w:val="26"/>
          <w:szCs w:val="36"/>
          <w:lang w:val="en-AU"/>
        </w:rPr>
      </w:pPr>
      <w:r>
        <w:rPr>
          <w:rFonts w:ascii="Arial" w:hAnsi="Arial" w:cs="Arial"/>
        </w:rPr>
        <w:br w:type="page"/>
      </w:r>
    </w:p>
    <w:p w14:paraId="4D4F9F97" w14:textId="63D891EF" w:rsidR="003D1981" w:rsidRPr="007641D2" w:rsidRDefault="002932DA" w:rsidP="00011ED7">
      <w:pPr>
        <w:pStyle w:val="Heading3"/>
        <w:rPr>
          <w:rFonts w:ascii="Arial" w:hAnsi="Arial" w:cs="Arial"/>
        </w:rPr>
      </w:pPr>
      <w:r w:rsidRPr="007641D2">
        <w:rPr>
          <w:rFonts w:ascii="Arial" w:hAnsi="Arial" w:cs="Arial"/>
        </w:rPr>
        <w:t>New policy measures</w:t>
      </w:r>
    </w:p>
    <w:p w14:paraId="5E5BD9D6" w14:textId="65BFB9F3" w:rsidR="00A0044B" w:rsidRDefault="003D0785">
      <w:pPr>
        <w:pStyle w:val="BodyText"/>
      </w:pPr>
      <w:r w:rsidRPr="007641D2">
        <w:t>The</w:t>
      </w:r>
      <w:r w:rsidR="00B93E8D" w:rsidRPr="007641D2">
        <w:t xml:space="preserve"> </w:t>
      </w:r>
      <w:r w:rsidR="00EE6B3D">
        <w:t>2020-21</w:t>
      </w:r>
      <w:r w:rsidR="00957F71">
        <w:t xml:space="preserve"> Budget </w:t>
      </w:r>
      <w:r w:rsidR="00A0044B">
        <w:t xml:space="preserve">includes </w:t>
      </w:r>
      <w:r w:rsidR="00C96C68">
        <w:t xml:space="preserve">the financial impact of policy decisions </w:t>
      </w:r>
      <w:r w:rsidR="005B15C5">
        <w:t>made since the 2019</w:t>
      </w:r>
      <w:r w:rsidR="005F674B">
        <w:noBreakHyphen/>
      </w:r>
      <w:r w:rsidR="005B15C5">
        <w:t>20</w:t>
      </w:r>
      <w:r w:rsidR="005F674B">
        <w:t> </w:t>
      </w:r>
      <w:r w:rsidR="005B15C5">
        <w:t xml:space="preserve">Half-Yearly Review. </w:t>
      </w:r>
    </w:p>
    <w:p w14:paraId="752422E0" w14:textId="7418EA0A" w:rsidR="00037A80" w:rsidRPr="007641D2" w:rsidRDefault="00252BBB">
      <w:pPr>
        <w:pStyle w:val="BodyText"/>
      </w:pPr>
      <w:r>
        <w:t>N</w:t>
      </w:r>
      <w:r w:rsidR="009A6ED0">
        <w:t xml:space="preserve">ew policy measures </w:t>
      </w:r>
      <w:r w:rsidR="00366ED2">
        <w:t xml:space="preserve">since the Half-Yearly Review </w:t>
      </w:r>
      <w:r w:rsidR="003F2B00">
        <w:t>includ</w:t>
      </w:r>
      <w:r w:rsidR="00366ED2">
        <w:t>e</w:t>
      </w:r>
      <w:r w:rsidR="002932DA" w:rsidRPr="007641D2">
        <w:t>:</w:t>
      </w:r>
    </w:p>
    <w:p w14:paraId="17CFF7E3" w14:textId="17329394" w:rsidR="002C2E03" w:rsidRPr="00172175" w:rsidRDefault="00350BC2">
      <w:pPr>
        <w:pStyle w:val="Bullet1"/>
      </w:pPr>
      <w:r w:rsidRPr="00172175">
        <w:t>protect</w:t>
      </w:r>
      <w:r w:rsidR="00FF7978" w:rsidRPr="00172175">
        <w:t>ing</w:t>
      </w:r>
      <w:r w:rsidRPr="00172175">
        <w:t xml:space="preserve"> the community</w:t>
      </w:r>
      <w:r w:rsidR="00D43648">
        <w:t xml:space="preserve"> from COVID-19</w:t>
      </w:r>
      <w:r w:rsidR="00770477" w:rsidRPr="00172175">
        <w:t xml:space="preserve">, </w:t>
      </w:r>
      <w:r w:rsidR="005A3972" w:rsidRPr="00172175">
        <w:t>and s</w:t>
      </w:r>
      <w:r w:rsidR="00770477" w:rsidRPr="00172175">
        <w:t>upport</w:t>
      </w:r>
      <w:r w:rsidR="00EF77DC" w:rsidRPr="00172175">
        <w:t>ing</w:t>
      </w:r>
      <w:r w:rsidR="00770477" w:rsidRPr="00172175">
        <w:t xml:space="preserve"> healthcare workers </w:t>
      </w:r>
      <w:r w:rsidR="00D43648">
        <w:t>during the pandemic</w:t>
      </w:r>
    </w:p>
    <w:p w14:paraId="2D648738" w14:textId="77777777" w:rsidR="00A52383" w:rsidRPr="00172175" w:rsidRDefault="00A52383">
      <w:pPr>
        <w:pStyle w:val="Bullet1"/>
      </w:pPr>
      <w:r w:rsidRPr="00172175">
        <w:t>supporting bushfire and drought affected communities in regional New South Wales</w:t>
      </w:r>
    </w:p>
    <w:p w14:paraId="6D603EA1" w14:textId="589145CC" w:rsidR="00A219BE" w:rsidRPr="00172175" w:rsidRDefault="006B51F3">
      <w:pPr>
        <w:pStyle w:val="Bullet1"/>
      </w:pPr>
      <w:r w:rsidRPr="00172175">
        <w:t>helping</w:t>
      </w:r>
      <w:r w:rsidR="00F51E88" w:rsidRPr="00172175">
        <w:t xml:space="preserve"> small businesses</w:t>
      </w:r>
      <w:r w:rsidR="002B736B" w:rsidRPr="00172175">
        <w:t xml:space="preserve"> </w:t>
      </w:r>
      <w:r w:rsidR="00CF4859" w:rsidRPr="00172175">
        <w:t>experiencing financial difficulties during COVID-19</w:t>
      </w:r>
      <w:r w:rsidR="00A219BE" w:rsidRPr="00172175">
        <w:t xml:space="preserve"> </w:t>
      </w:r>
    </w:p>
    <w:p w14:paraId="5685A35C" w14:textId="2FC18F17" w:rsidR="00F95E7A" w:rsidRDefault="00F95E7A">
      <w:pPr>
        <w:pStyle w:val="Bullet1"/>
      </w:pPr>
      <w:r w:rsidRPr="00172175">
        <w:t>helping vulnerable members of the community and supporting those in need during COVID-19</w:t>
      </w:r>
    </w:p>
    <w:p w14:paraId="7EAC7047" w14:textId="04FFCDAE" w:rsidR="009D6F4C" w:rsidRPr="00172175" w:rsidRDefault="009D6F4C">
      <w:pPr>
        <w:pStyle w:val="Bullet1"/>
      </w:pPr>
      <w:r>
        <w:t xml:space="preserve">investing in digital solutions to transform Government service delivery, including further investment in in the Digital Restart </w:t>
      </w:r>
      <w:r w:rsidRPr="00D117BC">
        <w:t>Fund</w:t>
      </w:r>
      <w:r w:rsidR="00885329" w:rsidRPr="00D117BC">
        <w:t xml:space="preserve"> </w:t>
      </w:r>
      <w:r w:rsidR="00885329" w:rsidRPr="00615C42">
        <w:t>(see Box 5.</w:t>
      </w:r>
      <w:r w:rsidR="00F2412A" w:rsidRPr="00615C42">
        <w:t>4</w:t>
      </w:r>
      <w:r w:rsidR="00885329" w:rsidRPr="00615C42">
        <w:t>)</w:t>
      </w:r>
    </w:p>
    <w:p w14:paraId="3BFAAB8D" w14:textId="510CA69A" w:rsidR="00613EA7" w:rsidRPr="00172175" w:rsidRDefault="00220A1C">
      <w:pPr>
        <w:pStyle w:val="Bullet1"/>
      </w:pPr>
      <w:r w:rsidRPr="00172175">
        <w:t xml:space="preserve">continuing to provide </w:t>
      </w:r>
      <w:r w:rsidR="005D2810" w:rsidRPr="00172175">
        <w:t>a</w:t>
      </w:r>
      <w:r w:rsidR="00613EA7" w:rsidRPr="00172175">
        <w:t xml:space="preserve">ccessible, safe and reliable </w:t>
      </w:r>
      <w:r w:rsidR="006B2B96" w:rsidRPr="00172175">
        <w:t>public</w:t>
      </w:r>
      <w:r w:rsidR="00613EA7" w:rsidRPr="00172175">
        <w:t xml:space="preserve"> transport</w:t>
      </w:r>
    </w:p>
    <w:p w14:paraId="35705F40" w14:textId="270D4093" w:rsidR="009F0473" w:rsidRPr="00172175" w:rsidRDefault="0053202E">
      <w:pPr>
        <w:pStyle w:val="Bullet1"/>
      </w:pPr>
      <w:r w:rsidRPr="00172175">
        <w:t>supporting our justice system and protecting our communities</w:t>
      </w:r>
    </w:p>
    <w:p w14:paraId="68262D56" w14:textId="56FD9011" w:rsidR="000C1C8A" w:rsidRDefault="000C1C8A">
      <w:pPr>
        <w:pStyle w:val="Bullet1"/>
      </w:pPr>
      <w:r w:rsidRPr="00172175">
        <w:t>investing in people by building skills across the workforce</w:t>
      </w:r>
      <w:r w:rsidR="00CF0104" w:rsidRPr="00172175">
        <w:t xml:space="preserve">, including </w:t>
      </w:r>
      <w:r w:rsidR="00ED53B7" w:rsidRPr="00172175">
        <w:t xml:space="preserve">through TAFE NSW </w:t>
      </w:r>
      <w:r w:rsidR="00622054">
        <w:t xml:space="preserve">training and skills </w:t>
      </w:r>
      <w:r w:rsidR="00ED53B7">
        <w:t>services</w:t>
      </w:r>
      <w:r w:rsidR="002753DB" w:rsidRPr="00172175">
        <w:t>.</w:t>
      </w:r>
    </w:p>
    <w:p w14:paraId="7A13572A" w14:textId="2ACC6CE8" w:rsidR="00F114CC" w:rsidRDefault="00172C9C">
      <w:pPr>
        <w:pStyle w:val="BodyText"/>
        <w:rPr>
          <w:i/>
        </w:rPr>
      </w:pPr>
      <w:r w:rsidRPr="003A0B1E">
        <w:t xml:space="preserve">Further information on </w:t>
      </w:r>
      <w:r w:rsidR="00704EFF" w:rsidRPr="003A0B1E">
        <w:t>new measures</w:t>
      </w:r>
      <w:r w:rsidRPr="003A0B1E">
        <w:t xml:space="preserve"> </w:t>
      </w:r>
      <w:r w:rsidR="00C207AF" w:rsidRPr="003A0B1E">
        <w:t xml:space="preserve">is provided </w:t>
      </w:r>
      <w:r w:rsidR="00FD76F1" w:rsidRPr="003A0B1E">
        <w:t xml:space="preserve">in </w:t>
      </w:r>
      <w:r w:rsidR="000C0ABD" w:rsidRPr="003A0B1E">
        <w:t xml:space="preserve">section 1.4 in </w:t>
      </w:r>
      <w:r w:rsidR="00993931" w:rsidRPr="003A0B1E">
        <w:t xml:space="preserve">Chapter 1 </w:t>
      </w:r>
      <w:r w:rsidR="43857328" w:rsidRPr="003A0B1E">
        <w:t>and in the</w:t>
      </w:r>
      <w:r w:rsidR="43857328" w:rsidRPr="003A0B1E">
        <w:rPr>
          <w:i/>
          <w:iCs/>
        </w:rPr>
        <w:t xml:space="preserve"> </w:t>
      </w:r>
      <w:r w:rsidR="43857328" w:rsidRPr="003A0B1E">
        <w:rPr>
          <w:i/>
        </w:rPr>
        <w:t xml:space="preserve">Measures Statement </w:t>
      </w:r>
      <w:r w:rsidR="43857328" w:rsidRPr="003A0B1E">
        <w:t xml:space="preserve">in </w:t>
      </w:r>
      <w:r w:rsidR="00D117BC" w:rsidRPr="003A0B1E">
        <w:rPr>
          <w:iCs/>
        </w:rPr>
        <w:t>Appendix A5</w:t>
      </w:r>
      <w:r w:rsidR="43857328" w:rsidRPr="003A0B1E">
        <w:rPr>
          <w:i/>
        </w:rPr>
        <w:t>.</w:t>
      </w:r>
    </w:p>
    <w:p w14:paraId="5775F8BE" w14:textId="77777777" w:rsidR="00ED0FD9" w:rsidRDefault="00ED0FD9" w:rsidP="008C553F"/>
    <w:tbl>
      <w:tblPr>
        <w:tblW w:w="9673" w:type="dxa"/>
        <w:shd w:val="pct5" w:color="auto" w:fill="auto"/>
        <w:tblLayout w:type="fixed"/>
        <w:tblLook w:val="0000" w:firstRow="0" w:lastRow="0" w:firstColumn="0" w:lastColumn="0" w:noHBand="0" w:noVBand="0"/>
        <w:tblCaption w:val="Box 5.4: Investing in digital transformation through the Digital Restart Fund"/>
        <w:tblDescription w:val="Box 5.4: Investing in digital transformation through the Digital Restart Fund"/>
      </w:tblPr>
      <w:tblGrid>
        <w:gridCol w:w="9673"/>
      </w:tblGrid>
      <w:tr w:rsidR="007C6D77" w:rsidRPr="004564E4" w14:paraId="20AD6A5F" w14:textId="77777777" w:rsidTr="00A0273A">
        <w:trPr>
          <w:trHeight w:val="6217"/>
        </w:trPr>
        <w:tc>
          <w:tcPr>
            <w:tcW w:w="9673" w:type="dxa"/>
            <w:shd w:val="pct5" w:color="auto" w:fill="auto"/>
          </w:tcPr>
          <w:p w14:paraId="14766CF6" w14:textId="1C1F0C63" w:rsidR="007C6D77" w:rsidRPr="00F6345D" w:rsidRDefault="00C330EB" w:rsidP="00DD1EC0">
            <w:pPr>
              <w:pStyle w:val="BoxHeading"/>
            </w:pPr>
            <w:r w:rsidRPr="002B03B5">
              <w:t>Investing in</w:t>
            </w:r>
            <w:r w:rsidR="007C6D77" w:rsidRPr="002B03B5">
              <w:t xml:space="preserve"> </w:t>
            </w:r>
            <w:r w:rsidR="00F7126A" w:rsidRPr="00F6345D">
              <w:t>d</w:t>
            </w:r>
            <w:r w:rsidR="007C6D77" w:rsidRPr="00F6345D">
              <w:t xml:space="preserve">igital </w:t>
            </w:r>
            <w:r w:rsidR="00F7126A" w:rsidRPr="00F6345D">
              <w:t>t</w:t>
            </w:r>
            <w:r w:rsidR="007C6D77" w:rsidRPr="00F6345D">
              <w:t>ransformation through the Digital Restart Fund</w:t>
            </w:r>
          </w:p>
          <w:p w14:paraId="1E3EDF81" w14:textId="3B15F329" w:rsidR="007C6D77" w:rsidRPr="00F6345D" w:rsidRDefault="007C6D77" w:rsidP="00A0273A">
            <w:pPr>
              <w:pStyle w:val="BodyTextBox"/>
            </w:pPr>
            <w:r w:rsidRPr="00F6345D">
              <w:t xml:space="preserve">The Government is </w:t>
            </w:r>
            <w:r w:rsidR="0073711E" w:rsidRPr="00F6345D">
              <w:t>transforming service delivery through investment in digiti</w:t>
            </w:r>
            <w:r w:rsidR="0063390C" w:rsidRPr="00F6345D">
              <w:t>s</w:t>
            </w:r>
            <w:r w:rsidR="0073711E" w:rsidRPr="00F6345D">
              <w:t>ation</w:t>
            </w:r>
            <w:r w:rsidR="00B946BE" w:rsidRPr="00F6345D">
              <w:t>,</w:t>
            </w:r>
            <w:r w:rsidR="0073711E" w:rsidRPr="00F6345D">
              <w:t xml:space="preserve"> to drive productivity, efficiency and customer satisfaction across government services. </w:t>
            </w:r>
            <w:r w:rsidR="006123AC" w:rsidRPr="00F6345D">
              <w:t xml:space="preserve">A further </w:t>
            </w:r>
            <w:r w:rsidRPr="00F6345D">
              <w:t>$1.6</w:t>
            </w:r>
            <w:r w:rsidR="0073711E" w:rsidRPr="00F6345D">
              <w:t> </w:t>
            </w:r>
            <w:r w:rsidRPr="00F6345D">
              <w:t>billion has been invested into a Digital Restart Fund (DRF)</w:t>
            </w:r>
            <w:r w:rsidR="006123AC" w:rsidRPr="00F6345D">
              <w:t>, in addition to the $100.0</w:t>
            </w:r>
            <w:r w:rsidR="00F9711F" w:rsidRPr="00F6345D">
              <w:t> </w:t>
            </w:r>
            <w:r w:rsidR="006123AC" w:rsidRPr="00F6345D">
              <w:t>million in seed funding provided at the 2019-20 Budget</w:t>
            </w:r>
            <w:r w:rsidRPr="00F6345D">
              <w:t xml:space="preserve">. </w:t>
            </w:r>
          </w:p>
          <w:p w14:paraId="1D000CFF" w14:textId="15FDAD50" w:rsidR="008307E4" w:rsidRPr="00F6345D" w:rsidRDefault="00007AA7" w:rsidP="00A0273A">
            <w:pPr>
              <w:pStyle w:val="BodyTextBox"/>
            </w:pPr>
            <w:r w:rsidRPr="00F6345D">
              <w:t>This Budget includes additional investments from the DRF, including</w:t>
            </w:r>
            <w:r w:rsidR="008307E4" w:rsidRPr="00F6345D">
              <w:t>:</w:t>
            </w:r>
          </w:p>
          <w:p w14:paraId="2E57B66A" w14:textId="003AC002" w:rsidR="008307E4" w:rsidRPr="00F6345D" w:rsidRDefault="00B946BE">
            <w:pPr>
              <w:pStyle w:val="Bullet1inabox"/>
            </w:pPr>
            <w:r w:rsidRPr="00A0273A">
              <w:t>c</w:t>
            </w:r>
            <w:r w:rsidR="00007AA7" w:rsidRPr="00A0273A">
              <w:t>los</w:t>
            </w:r>
            <w:r w:rsidR="00B15ABA" w:rsidRPr="00A0273A">
              <w:t>ing</w:t>
            </w:r>
            <w:r w:rsidR="00007AA7" w:rsidRPr="00A0273A">
              <w:t xml:space="preserve"> the digital gap between regional and metropolitan schools</w:t>
            </w:r>
            <w:r w:rsidR="00007AA7" w:rsidRPr="002B03B5">
              <w:t xml:space="preserve"> through better</w:t>
            </w:r>
            <w:r w:rsidR="00007AA7" w:rsidRPr="00F6345D">
              <w:t xml:space="preserve"> integration of digital technology into the </w:t>
            </w:r>
            <w:r w:rsidR="00C834D7" w:rsidRPr="00F6345D">
              <w:t>school</w:t>
            </w:r>
            <w:r w:rsidR="00CB648F" w:rsidRPr="00F6345D">
              <w:t xml:space="preserve"> </w:t>
            </w:r>
            <w:r w:rsidR="00007AA7" w:rsidRPr="00F6345D">
              <w:t>curriculum and infrastructure</w:t>
            </w:r>
            <w:r w:rsidR="00AE6843" w:rsidRPr="00F6345D">
              <w:t>, with</w:t>
            </w:r>
            <w:r w:rsidR="00B15ABA" w:rsidRPr="00F6345D">
              <w:t xml:space="preserve"> $365.8</w:t>
            </w:r>
            <w:r w:rsidR="002B3C54" w:rsidRPr="00F6345D">
              <w:t> </w:t>
            </w:r>
            <w:r w:rsidR="00B15ABA" w:rsidRPr="00F6345D">
              <w:t>million over two years</w:t>
            </w:r>
          </w:p>
          <w:p w14:paraId="7E95E658" w14:textId="68E4CAB1" w:rsidR="00007AA7" w:rsidRPr="00F6345D" w:rsidRDefault="00B946BE">
            <w:pPr>
              <w:pStyle w:val="Bullet1inabox"/>
            </w:pPr>
            <w:r w:rsidRPr="00A0273A">
              <w:t>e</w:t>
            </w:r>
            <w:r w:rsidR="00B15ABA" w:rsidRPr="00A0273A">
              <w:t xml:space="preserve">nhancing </w:t>
            </w:r>
            <w:r w:rsidR="007A374D" w:rsidRPr="00A0273A">
              <w:t xml:space="preserve">the efficiency </w:t>
            </w:r>
            <w:r w:rsidR="001C359E" w:rsidRPr="00A0273A">
              <w:t xml:space="preserve">and productivity </w:t>
            </w:r>
            <w:r w:rsidR="007A374D" w:rsidRPr="00A0273A">
              <w:t>of courts and tribunals</w:t>
            </w:r>
            <w:r w:rsidR="007A374D" w:rsidRPr="002B03B5">
              <w:t xml:space="preserve">, with a </w:t>
            </w:r>
            <w:r w:rsidR="00007AA7" w:rsidRPr="002B03B5">
              <w:t>$54.</w:t>
            </w:r>
            <w:r w:rsidR="00B1554C" w:rsidRPr="00F6345D">
              <w:t>5</w:t>
            </w:r>
            <w:r w:rsidR="001C359E" w:rsidRPr="00F6345D">
              <w:t> </w:t>
            </w:r>
            <w:r w:rsidR="00007AA7" w:rsidRPr="00F6345D">
              <w:t xml:space="preserve">million </w:t>
            </w:r>
            <w:r w:rsidR="007A374D" w:rsidRPr="00F6345D">
              <w:t xml:space="preserve">investment </w:t>
            </w:r>
            <w:r w:rsidR="00007AA7" w:rsidRPr="00F6345D">
              <w:t xml:space="preserve">over three years to provide new digital technologies </w:t>
            </w:r>
          </w:p>
          <w:p w14:paraId="283ED2C5" w14:textId="2C40CA76" w:rsidR="0008128C" w:rsidRPr="00F6345D" w:rsidRDefault="00B946BE">
            <w:pPr>
              <w:pStyle w:val="Bullet1inabox"/>
            </w:pPr>
            <w:r w:rsidRPr="00A0273A">
              <w:t>f</w:t>
            </w:r>
            <w:r w:rsidR="00AE2097" w:rsidRPr="00A0273A">
              <w:t xml:space="preserve">urther improving the customer experience </w:t>
            </w:r>
            <w:r w:rsidR="00544FD5" w:rsidRPr="00A0273A">
              <w:t xml:space="preserve">and reducing assessment times </w:t>
            </w:r>
            <w:r w:rsidR="00AE2097" w:rsidRPr="00A0273A">
              <w:t xml:space="preserve">through </w:t>
            </w:r>
            <w:proofErr w:type="spellStart"/>
            <w:r w:rsidR="00AE2097" w:rsidRPr="00A0273A">
              <w:t>ePlanning</w:t>
            </w:r>
            <w:proofErr w:type="spellEnd"/>
            <w:r w:rsidR="00AE2097" w:rsidRPr="002B03B5">
              <w:t xml:space="preserve">, with a </w:t>
            </w:r>
            <w:r w:rsidR="000311C8" w:rsidRPr="002B03B5">
              <w:t xml:space="preserve">$45.8 million </w:t>
            </w:r>
            <w:r w:rsidR="00AE2097" w:rsidRPr="00F6345D">
              <w:t xml:space="preserve">investment </w:t>
            </w:r>
            <w:r w:rsidR="000311C8" w:rsidRPr="00F6345D">
              <w:t xml:space="preserve">over three years to implement </w:t>
            </w:r>
            <w:r w:rsidR="00F223F7" w:rsidRPr="00F6345D">
              <w:t xml:space="preserve">the next phase of </w:t>
            </w:r>
            <w:r w:rsidR="000311C8" w:rsidRPr="00F6345D">
              <w:t>an end-to-end digital planning service</w:t>
            </w:r>
            <w:r w:rsidR="0062283D" w:rsidRPr="00F6345D">
              <w:t xml:space="preserve"> </w:t>
            </w:r>
            <w:r w:rsidR="00A174AE" w:rsidRPr="00F6345D">
              <w:t xml:space="preserve"> </w:t>
            </w:r>
          </w:p>
          <w:p w14:paraId="7C2A473A" w14:textId="57159463" w:rsidR="00A272E0" w:rsidRPr="00F6345D" w:rsidRDefault="00B946BE">
            <w:pPr>
              <w:pStyle w:val="Bullet1inabox"/>
            </w:pPr>
            <w:r w:rsidRPr="00A0273A">
              <w:t>i</w:t>
            </w:r>
            <w:r w:rsidR="0097712D" w:rsidRPr="00A0273A">
              <w:t>mproving the online customer experience for Revenue NSW online services</w:t>
            </w:r>
            <w:r w:rsidR="0097712D" w:rsidRPr="002B03B5">
              <w:t xml:space="preserve"> through a </w:t>
            </w:r>
            <w:r w:rsidR="00D223F2" w:rsidRPr="00F6345D">
              <w:t>$17.5 million</w:t>
            </w:r>
            <w:r w:rsidR="00AB2CDC" w:rsidRPr="00F6345D">
              <w:t xml:space="preserve"> </w:t>
            </w:r>
            <w:r w:rsidR="0097712D" w:rsidRPr="00F6345D">
              <w:t xml:space="preserve">investment </w:t>
            </w:r>
            <w:r w:rsidR="00AB2CDC" w:rsidRPr="00F6345D">
              <w:t>over two years</w:t>
            </w:r>
            <w:r w:rsidR="00D223F2" w:rsidRPr="00F6345D">
              <w:t xml:space="preserve"> to </w:t>
            </w:r>
            <w:r w:rsidR="00F223F7" w:rsidRPr="00F6345D">
              <w:t xml:space="preserve">ensure </w:t>
            </w:r>
            <w:r w:rsidR="0097712D" w:rsidRPr="00F6345D">
              <w:t xml:space="preserve">better </w:t>
            </w:r>
            <w:r w:rsidR="00F223F7" w:rsidRPr="00F6345D">
              <w:t>integration of services</w:t>
            </w:r>
            <w:r w:rsidR="00D223F2" w:rsidRPr="00F6345D">
              <w:t xml:space="preserve"> with Service NSW for taxes and fines</w:t>
            </w:r>
            <w:r w:rsidR="00753D2D" w:rsidRPr="00F6345D">
              <w:t>.</w:t>
            </w:r>
          </w:p>
          <w:p w14:paraId="0E6DADB3" w14:textId="0C81FE17" w:rsidR="009D58CE" w:rsidRPr="002B03B5" w:rsidRDefault="00CB648F" w:rsidP="00A0273A">
            <w:pPr>
              <w:pStyle w:val="BodyTextBox"/>
            </w:pPr>
            <w:r w:rsidRPr="00F6345D">
              <w:t>A further $240.0 million is also reserved in the DRF for cyber security</w:t>
            </w:r>
            <w:r w:rsidR="00512F78" w:rsidRPr="00F6345D">
              <w:t xml:space="preserve"> </w:t>
            </w:r>
            <w:r w:rsidR="00D277BF" w:rsidRPr="00F6345D">
              <w:t>initiatives</w:t>
            </w:r>
            <w:r w:rsidRPr="00F6345D">
              <w:t>, including $60.0 million over the next three years for CyberSecurity NSW to provide a centrali</w:t>
            </w:r>
            <w:r w:rsidR="00512F78" w:rsidRPr="00F6345D">
              <w:t>s</w:t>
            </w:r>
            <w:r w:rsidRPr="00F6345D">
              <w:t>ed government response to incidents and proactive</w:t>
            </w:r>
            <w:r w:rsidR="0069647E" w:rsidRPr="00F6345D">
              <w:t>ly</w:t>
            </w:r>
            <w:r w:rsidRPr="00F6345D">
              <w:t xml:space="preserve"> manage cyber security threats.</w:t>
            </w:r>
          </w:p>
        </w:tc>
      </w:tr>
    </w:tbl>
    <w:p w14:paraId="39AB680D" w14:textId="77777777" w:rsidR="00837ABD" w:rsidRDefault="00837ABD" w:rsidP="008C553F"/>
    <w:p w14:paraId="0E1B7EFF" w14:textId="77777777" w:rsidR="00837ABD" w:rsidRDefault="00837ABD" w:rsidP="008C553F">
      <w:pPr>
        <w:rPr>
          <w:sz w:val="26"/>
          <w:lang w:val="en-AU"/>
        </w:rPr>
      </w:pPr>
      <w:r>
        <w:br w:type="page"/>
      </w:r>
    </w:p>
    <w:p w14:paraId="057D935A" w14:textId="7FC39AED" w:rsidR="00B329D7" w:rsidRPr="007641D2" w:rsidRDefault="00B329D7" w:rsidP="00B329D7">
      <w:pPr>
        <w:pStyle w:val="Heading3"/>
        <w:rPr>
          <w:rFonts w:ascii="Arial" w:hAnsi="Arial" w:cs="Arial"/>
          <w:kern w:val="0"/>
          <w:szCs w:val="20"/>
        </w:rPr>
      </w:pPr>
      <w:r w:rsidRPr="007641D2">
        <w:rPr>
          <w:rFonts w:ascii="Arial" w:hAnsi="Arial" w:cs="Arial"/>
          <w:kern w:val="0"/>
          <w:szCs w:val="20"/>
        </w:rPr>
        <w:t>Parameter and other</w:t>
      </w:r>
      <w:r w:rsidR="009D6E2D" w:rsidRPr="007641D2">
        <w:rPr>
          <w:rFonts w:ascii="Arial" w:hAnsi="Arial" w:cs="Arial"/>
          <w:kern w:val="0"/>
          <w:szCs w:val="20"/>
        </w:rPr>
        <w:t xml:space="preserve"> </w:t>
      </w:r>
      <w:r w:rsidR="004A4C57" w:rsidRPr="007641D2">
        <w:rPr>
          <w:rFonts w:ascii="Arial" w:hAnsi="Arial" w:cs="Arial"/>
          <w:kern w:val="0"/>
          <w:szCs w:val="20"/>
        </w:rPr>
        <w:t xml:space="preserve">budget </w:t>
      </w:r>
      <w:r w:rsidRPr="007641D2">
        <w:rPr>
          <w:rFonts w:ascii="Arial" w:hAnsi="Arial" w:cs="Arial"/>
          <w:kern w:val="0"/>
          <w:szCs w:val="20"/>
        </w:rPr>
        <w:t>variations</w:t>
      </w:r>
      <w:r w:rsidR="00426757" w:rsidRPr="007641D2">
        <w:rPr>
          <w:rFonts w:ascii="Arial" w:hAnsi="Arial" w:cs="Arial"/>
          <w:kern w:val="0"/>
          <w:szCs w:val="20"/>
        </w:rPr>
        <w:t xml:space="preserve"> </w:t>
      </w:r>
    </w:p>
    <w:p w14:paraId="0AF6E6BF" w14:textId="44629713" w:rsidR="00AC3B24" w:rsidRPr="007641D2" w:rsidRDefault="009C153D">
      <w:pPr>
        <w:pStyle w:val="BodyText"/>
      </w:pPr>
      <w:r w:rsidRPr="007641D2">
        <w:t xml:space="preserve">Parameter and other budget variations are </w:t>
      </w:r>
      <w:r w:rsidR="00671DA2" w:rsidRPr="007641D2">
        <w:t xml:space="preserve">changes </w:t>
      </w:r>
      <w:r w:rsidR="004332A2" w:rsidRPr="007641D2">
        <w:t>to</w:t>
      </w:r>
      <w:r w:rsidR="00671DA2" w:rsidRPr="007641D2">
        <w:t xml:space="preserve"> the cost and timing of </w:t>
      </w:r>
      <w:r w:rsidR="00BD44D2">
        <w:t xml:space="preserve">existing projects and </w:t>
      </w:r>
      <w:r w:rsidR="00671DA2" w:rsidRPr="007641D2">
        <w:t>service</w:t>
      </w:r>
      <w:r w:rsidR="00BD44D2">
        <w:t>s</w:t>
      </w:r>
      <w:r w:rsidR="00671DA2" w:rsidRPr="007641D2">
        <w:t xml:space="preserve"> that are largely</w:t>
      </w:r>
      <w:r w:rsidR="006749C6" w:rsidRPr="007641D2">
        <w:t xml:space="preserve"> outside </w:t>
      </w:r>
      <w:r w:rsidR="004C16EF">
        <w:t xml:space="preserve">the </w:t>
      </w:r>
      <w:r w:rsidR="00657AF1" w:rsidRPr="007641D2">
        <w:t>G</w:t>
      </w:r>
      <w:r w:rsidRPr="007641D2">
        <w:t>overnment</w:t>
      </w:r>
      <w:r w:rsidR="004C16EF">
        <w:t>’s</w:t>
      </w:r>
      <w:r w:rsidRPr="007641D2">
        <w:t xml:space="preserve"> control. </w:t>
      </w:r>
      <w:r w:rsidR="00045C74">
        <w:t>This</w:t>
      </w:r>
      <w:r w:rsidRPr="007641D2">
        <w:t xml:space="preserve"> include</w:t>
      </w:r>
      <w:r w:rsidR="00045C74">
        <w:t>s</w:t>
      </w:r>
      <w:r w:rsidR="003F3F7C">
        <w:t xml:space="preserve"> </w:t>
      </w:r>
      <w:r w:rsidRPr="007641D2">
        <w:t>changes</w:t>
      </w:r>
      <w:r w:rsidR="003E2D4A">
        <w:t xml:space="preserve"> to</w:t>
      </w:r>
      <w:r w:rsidRPr="007641D2">
        <w:t xml:space="preserve"> </w:t>
      </w:r>
      <w:r w:rsidR="003F3F7C">
        <w:t>demand</w:t>
      </w:r>
      <w:r w:rsidR="00B74648">
        <w:t>,</w:t>
      </w:r>
      <w:r w:rsidRPr="007641D2">
        <w:t xml:space="preserve"> </w:t>
      </w:r>
      <w:r w:rsidR="00DC3B79">
        <w:t xml:space="preserve">changes </w:t>
      </w:r>
      <w:r w:rsidR="00BA2DEF">
        <w:t xml:space="preserve">to </w:t>
      </w:r>
      <w:r w:rsidR="00712692">
        <w:t>the timing of project delivery</w:t>
      </w:r>
      <w:r w:rsidR="00DC3B79">
        <w:t xml:space="preserve"> </w:t>
      </w:r>
      <w:r w:rsidR="001950EA">
        <w:t xml:space="preserve">(for example, </w:t>
      </w:r>
      <w:r w:rsidR="00542036">
        <w:t xml:space="preserve">construction delays due to </w:t>
      </w:r>
      <w:r w:rsidR="00C81751">
        <w:t>weather events</w:t>
      </w:r>
      <w:r w:rsidR="00542036">
        <w:t>)</w:t>
      </w:r>
      <w:r w:rsidR="00BA27A1">
        <w:t>,</w:t>
      </w:r>
      <w:r w:rsidR="00542036">
        <w:t xml:space="preserve"> </w:t>
      </w:r>
      <w:r w:rsidR="006D288B">
        <w:t xml:space="preserve">changes </w:t>
      </w:r>
      <w:r w:rsidR="00DD1C12">
        <w:t>to</w:t>
      </w:r>
      <w:r w:rsidR="006D288B">
        <w:t xml:space="preserve"> </w:t>
      </w:r>
      <w:r w:rsidR="00BA27A1">
        <w:t>input</w:t>
      </w:r>
      <w:r w:rsidR="00560098">
        <w:t xml:space="preserve"> costings</w:t>
      </w:r>
      <w:r w:rsidRPr="007641D2">
        <w:t xml:space="preserve">, variations </w:t>
      </w:r>
      <w:r w:rsidR="00510AFA">
        <w:t>in</w:t>
      </w:r>
      <w:r w:rsidRPr="007641D2">
        <w:t xml:space="preserve"> Commonwealth Government</w:t>
      </w:r>
      <w:r w:rsidR="005112AC">
        <w:t xml:space="preserve"> </w:t>
      </w:r>
      <w:r w:rsidR="002C5979">
        <w:t>grants</w:t>
      </w:r>
      <w:r w:rsidR="00560098">
        <w:t xml:space="preserve">, actuarial </w:t>
      </w:r>
      <w:r w:rsidR="00D50A87">
        <w:t xml:space="preserve">variations (including </w:t>
      </w:r>
      <w:r w:rsidR="003E2D4A">
        <w:t>for</w:t>
      </w:r>
      <w:r w:rsidR="00D50A87">
        <w:t xml:space="preserve"> depreciation expenses)</w:t>
      </w:r>
      <w:r w:rsidR="002C5979">
        <w:t xml:space="preserve"> </w:t>
      </w:r>
      <w:r w:rsidR="00560098">
        <w:t>and</w:t>
      </w:r>
      <w:r w:rsidR="00B059B3" w:rsidRPr="007641D2">
        <w:t xml:space="preserve"> </w:t>
      </w:r>
      <w:r w:rsidR="00371122">
        <w:t>changes associated with</w:t>
      </w:r>
      <w:r w:rsidR="00560098">
        <w:t xml:space="preserve"> the </w:t>
      </w:r>
      <w:r w:rsidR="00371122">
        <w:t xml:space="preserve">implementation of </w:t>
      </w:r>
      <w:r w:rsidR="00F74C6F">
        <w:t xml:space="preserve">new </w:t>
      </w:r>
      <w:r w:rsidR="002C5979">
        <w:t xml:space="preserve">accounting </w:t>
      </w:r>
      <w:r w:rsidR="00BB61EC">
        <w:t>standards</w:t>
      </w:r>
      <w:r w:rsidR="00D3752E" w:rsidRPr="007641D2">
        <w:t>.</w:t>
      </w:r>
      <w:r w:rsidR="00B3542E" w:rsidRPr="007641D2">
        <w:t xml:space="preserve"> </w:t>
      </w:r>
    </w:p>
    <w:p w14:paraId="4C65A8DF" w14:textId="71A41B98" w:rsidR="009C153D" w:rsidRPr="007641D2" w:rsidRDefault="00567BD3">
      <w:pPr>
        <w:pStyle w:val="BodyText"/>
      </w:pPr>
      <w:r>
        <w:t>M</w:t>
      </w:r>
      <w:r w:rsidR="00736AA9" w:rsidRPr="007641D2">
        <w:t xml:space="preserve">ajor </w:t>
      </w:r>
      <w:r w:rsidR="009C153D" w:rsidRPr="007641D2">
        <w:t>parameter and other budget variations</w:t>
      </w:r>
      <w:r w:rsidR="00F63D37" w:rsidRPr="007641D2">
        <w:t xml:space="preserve"> </w:t>
      </w:r>
      <w:r w:rsidR="002C5979">
        <w:t xml:space="preserve">since </w:t>
      </w:r>
      <w:r w:rsidR="00F63D37" w:rsidRPr="007641D2">
        <w:t xml:space="preserve">the </w:t>
      </w:r>
      <w:r w:rsidR="00897E69">
        <w:t>2019-20 Half-Yearly Review</w:t>
      </w:r>
      <w:r w:rsidR="003466B7">
        <w:t xml:space="preserve">, over the </w:t>
      </w:r>
      <w:r>
        <w:t>b</w:t>
      </w:r>
      <w:r w:rsidR="003466B7">
        <w:t>udget and forward estimates,</w:t>
      </w:r>
      <w:r w:rsidR="009C153D" w:rsidRPr="007641D2">
        <w:t xml:space="preserve"> </w:t>
      </w:r>
      <w:r w:rsidR="00ED0ABA">
        <w:t xml:space="preserve">which increase expenses </w:t>
      </w:r>
      <w:r w:rsidR="001D293F">
        <w:t>include</w:t>
      </w:r>
      <w:r w:rsidR="009C153D" w:rsidRPr="007641D2">
        <w:t>:</w:t>
      </w:r>
    </w:p>
    <w:p w14:paraId="60DD6F97" w14:textId="6B70DBDC" w:rsidR="00D763B9" w:rsidRPr="00D117BC" w:rsidRDefault="00D763B9">
      <w:pPr>
        <w:pStyle w:val="Bullet1"/>
      </w:pPr>
      <w:r w:rsidRPr="00615C42">
        <w:t>$</w:t>
      </w:r>
      <w:r w:rsidR="0053340D" w:rsidRPr="00615C42">
        <w:t>2</w:t>
      </w:r>
      <w:r w:rsidRPr="00615C42">
        <w:t>.</w:t>
      </w:r>
      <w:r w:rsidR="0053340D" w:rsidRPr="00615C42">
        <w:t xml:space="preserve">0 </w:t>
      </w:r>
      <w:r w:rsidRPr="00615C42">
        <w:t>billion</w:t>
      </w:r>
      <w:r w:rsidRPr="00D117BC">
        <w:t xml:space="preserve"> for</w:t>
      </w:r>
      <w:r w:rsidR="00AC7CB9" w:rsidRPr="00D117BC">
        <w:t xml:space="preserve"> the </w:t>
      </w:r>
      <w:r w:rsidR="000B55B2" w:rsidRPr="00D117BC">
        <w:t>transfer of assets outside the general government sector</w:t>
      </w:r>
      <w:r w:rsidR="00045C74" w:rsidRPr="00D117BC">
        <w:t>,</w:t>
      </w:r>
      <w:r w:rsidR="000B55B2" w:rsidRPr="00D117BC">
        <w:t xml:space="preserve"> and the </w:t>
      </w:r>
      <w:r w:rsidR="00AC7CB9" w:rsidRPr="00D117BC">
        <w:t xml:space="preserve">reclassification of capital expenditure to grants to local government, </w:t>
      </w:r>
      <w:r w:rsidR="000C37A9" w:rsidRPr="00D117BC">
        <w:t>associated</w:t>
      </w:r>
      <w:r w:rsidR="00AD15C9" w:rsidRPr="00D117BC">
        <w:t xml:space="preserve"> with</w:t>
      </w:r>
      <w:r w:rsidR="00960F95" w:rsidRPr="00D117BC">
        <w:t xml:space="preserve"> </w:t>
      </w:r>
      <w:r w:rsidR="000B55B2" w:rsidRPr="00D117BC">
        <w:t xml:space="preserve">the completion of major </w:t>
      </w:r>
      <w:r w:rsidR="005E287A" w:rsidRPr="00D117BC">
        <w:t>t</w:t>
      </w:r>
      <w:r w:rsidR="00960F95" w:rsidRPr="00D117BC">
        <w:t>ransport projects</w:t>
      </w:r>
    </w:p>
    <w:p w14:paraId="738C6972" w14:textId="79DC1CFF" w:rsidR="00C33ED8" w:rsidRPr="00D117BC" w:rsidRDefault="00C33ED8">
      <w:pPr>
        <w:pStyle w:val="Bullet1"/>
      </w:pPr>
      <w:r w:rsidRPr="00615C42">
        <w:t>$</w:t>
      </w:r>
      <w:r w:rsidR="00C83336" w:rsidRPr="00615C42">
        <w:t>1</w:t>
      </w:r>
      <w:r w:rsidR="00AF6CB8" w:rsidRPr="00615C42">
        <w:t>.</w:t>
      </w:r>
      <w:r w:rsidR="00C83336" w:rsidRPr="00615C42">
        <w:t>5</w:t>
      </w:r>
      <w:r w:rsidRPr="00615C42">
        <w:t xml:space="preserve"> </w:t>
      </w:r>
      <w:r w:rsidR="007A7B13" w:rsidRPr="00615C42">
        <w:t>b</w:t>
      </w:r>
      <w:r w:rsidRPr="00615C42">
        <w:t>illion</w:t>
      </w:r>
      <w:r w:rsidRPr="00D117BC">
        <w:t xml:space="preserve"> </w:t>
      </w:r>
      <w:r w:rsidR="0093444F" w:rsidRPr="00D117BC">
        <w:t>in</w:t>
      </w:r>
      <w:r w:rsidRPr="00D117BC">
        <w:t xml:space="preserve"> </w:t>
      </w:r>
      <w:r w:rsidR="00DC767D" w:rsidRPr="00D117BC">
        <w:t xml:space="preserve">actuarial adjustments for </w:t>
      </w:r>
      <w:r w:rsidR="00063FAE" w:rsidRPr="00D117BC">
        <w:t>NSW Self Insurance Corporation</w:t>
      </w:r>
      <w:r w:rsidR="00D51274" w:rsidRPr="00D117BC">
        <w:t xml:space="preserve">, </w:t>
      </w:r>
      <w:r w:rsidR="00063FAE" w:rsidRPr="00D117BC">
        <w:t xml:space="preserve">largely </w:t>
      </w:r>
      <w:r w:rsidR="009C09DA" w:rsidRPr="00D117BC">
        <w:t xml:space="preserve">associated with </w:t>
      </w:r>
      <w:r w:rsidR="009C09DA" w:rsidRPr="00615C42">
        <w:t>increased insurance scheme liabilities</w:t>
      </w:r>
    </w:p>
    <w:p w14:paraId="29F8058A" w14:textId="3D48BC3D" w:rsidR="003A54E3" w:rsidRPr="00D117BC" w:rsidRDefault="003A54E3">
      <w:pPr>
        <w:pStyle w:val="Bullet1"/>
      </w:pPr>
      <w:r w:rsidRPr="00615C42">
        <w:t>$1.</w:t>
      </w:r>
      <w:r w:rsidR="00914C7C" w:rsidRPr="00615C42">
        <w:t>5</w:t>
      </w:r>
      <w:r w:rsidRPr="00615C42">
        <w:t xml:space="preserve"> billion</w:t>
      </w:r>
      <w:r w:rsidRPr="00D117BC">
        <w:t xml:space="preserve"> </w:t>
      </w:r>
      <w:r w:rsidR="008755B4" w:rsidRPr="00D117BC">
        <w:t>in</w:t>
      </w:r>
      <w:r w:rsidRPr="00D117BC">
        <w:t xml:space="preserve"> higher expenses related to the implementation of new accounting standards for AASB 1059 </w:t>
      </w:r>
      <w:r w:rsidRPr="00B24C0F">
        <w:rPr>
          <w:i/>
        </w:rPr>
        <w:t>Service Concession Arrangements: Grantors</w:t>
      </w:r>
      <w:r w:rsidR="004C2CA9" w:rsidRPr="00D117BC">
        <w:t>, partially offset by increases in revenue</w:t>
      </w:r>
    </w:p>
    <w:p w14:paraId="18EDCCF5" w14:textId="2A6A3A7E" w:rsidR="00DA21CC" w:rsidRPr="00CC470E" w:rsidRDefault="00DA21CC">
      <w:pPr>
        <w:pStyle w:val="Bullet1"/>
      </w:pPr>
      <w:r w:rsidRPr="00615C42">
        <w:t>$</w:t>
      </w:r>
      <w:r w:rsidR="00864D58" w:rsidRPr="00615C42">
        <w:t>1</w:t>
      </w:r>
      <w:r w:rsidRPr="00615C42">
        <w:t>.</w:t>
      </w:r>
      <w:r w:rsidR="00864D58" w:rsidRPr="00615C42">
        <w:t>3</w:t>
      </w:r>
      <w:r w:rsidRPr="00615C42">
        <w:t xml:space="preserve"> </w:t>
      </w:r>
      <w:r w:rsidR="00864D58" w:rsidRPr="00615C42">
        <w:t>b</w:t>
      </w:r>
      <w:r w:rsidRPr="00615C42">
        <w:t>illion</w:t>
      </w:r>
      <w:r w:rsidRPr="00CC470E">
        <w:t xml:space="preserve"> </w:t>
      </w:r>
      <w:r w:rsidR="001D293F">
        <w:t>in</w:t>
      </w:r>
      <w:r w:rsidRPr="00CC470E">
        <w:t xml:space="preserve"> higher interest expenses related to additional borrowings, largely to fund the Government’s COVID-19 </w:t>
      </w:r>
      <w:r w:rsidR="008C4695" w:rsidRPr="00CC470E">
        <w:t>response and recovery</w:t>
      </w:r>
      <w:r w:rsidR="001D293F">
        <w:t>,</w:t>
      </w:r>
      <w:r w:rsidR="008C4695" w:rsidRPr="00CC470E">
        <w:t xml:space="preserve"> </w:t>
      </w:r>
      <w:r w:rsidRPr="00CC470E">
        <w:t xml:space="preserve">and </w:t>
      </w:r>
      <w:r w:rsidR="0010107D" w:rsidRPr="00CC470E">
        <w:t xml:space="preserve">the </w:t>
      </w:r>
      <w:r w:rsidRPr="00CC470E">
        <w:t>record infrastructure program</w:t>
      </w:r>
    </w:p>
    <w:p w14:paraId="581BFE0B" w14:textId="6B42CF5B" w:rsidR="00072BF5" w:rsidRPr="00CC470E" w:rsidRDefault="00072BF5">
      <w:pPr>
        <w:pStyle w:val="Bullet1"/>
      </w:pPr>
      <w:r w:rsidRPr="00CC470E">
        <w:t>$</w:t>
      </w:r>
      <w:r w:rsidR="00B263E5">
        <w:t>1.1</w:t>
      </w:r>
      <w:r w:rsidRPr="00CC470E">
        <w:t xml:space="preserve"> </w:t>
      </w:r>
      <w:r w:rsidR="00B263E5">
        <w:t>b</w:t>
      </w:r>
      <w:r w:rsidRPr="00CC470E">
        <w:t xml:space="preserve">illion </w:t>
      </w:r>
      <w:r w:rsidR="00C7460F">
        <w:t xml:space="preserve">for expenditure </w:t>
      </w:r>
      <w:r w:rsidRPr="00CC470E">
        <w:t xml:space="preserve">associated with </w:t>
      </w:r>
      <w:r w:rsidR="00C7460F">
        <w:t>Commonwealth funding</w:t>
      </w:r>
      <w:r w:rsidR="00D05F49" w:rsidRPr="00CC470E">
        <w:t>, primarily for Transport infrastructure p</w:t>
      </w:r>
      <w:r w:rsidR="00F23D7A" w:rsidRPr="00CC470E">
        <w:t>rojects</w:t>
      </w:r>
      <w:r w:rsidR="00EC77DE" w:rsidRPr="00CC470E">
        <w:t xml:space="preserve"> </w:t>
      </w:r>
      <w:r w:rsidRPr="00615C42">
        <w:t xml:space="preserve"> </w:t>
      </w:r>
    </w:p>
    <w:p w14:paraId="16439399" w14:textId="7043F952" w:rsidR="008C7BD8" w:rsidRPr="00465DF2" w:rsidRDefault="000B10DB">
      <w:pPr>
        <w:pStyle w:val="Bullet1"/>
        <w:rPr>
          <w:kern w:val="28"/>
          <w:sz w:val="26"/>
          <w:szCs w:val="36"/>
        </w:rPr>
      </w:pPr>
      <w:r w:rsidRPr="00CC470E">
        <w:t>additional expenses</w:t>
      </w:r>
      <w:r w:rsidR="00AF4B3B" w:rsidRPr="00CC470E" w:rsidDel="000B10DB">
        <w:t xml:space="preserve"> </w:t>
      </w:r>
      <w:r w:rsidR="00FD57B5" w:rsidRPr="00CC470E">
        <w:t xml:space="preserve">associated </w:t>
      </w:r>
      <w:r w:rsidR="00FD57B5" w:rsidRPr="00465DF2">
        <w:t>with the reprofiling of expenditure across the budget and forward estimates, to better align with planned service and project delivery schedules</w:t>
      </w:r>
      <w:r w:rsidR="000C74D9" w:rsidRPr="00465DF2">
        <w:t>.</w:t>
      </w:r>
    </w:p>
    <w:p w14:paraId="0EDD388B" w14:textId="12199166" w:rsidR="00502BBF" w:rsidRPr="007641D2" w:rsidRDefault="00502BBF">
      <w:pPr>
        <w:pStyle w:val="BodyText"/>
      </w:pPr>
      <w:r w:rsidRPr="00465DF2">
        <w:t>The above parameter and other budget variations</w:t>
      </w:r>
      <w:r w:rsidRPr="00465DF2" w:rsidDel="00FA7B5F">
        <w:t xml:space="preserve"> </w:t>
      </w:r>
      <w:r w:rsidRPr="00465DF2">
        <w:t xml:space="preserve">are </w:t>
      </w:r>
      <w:r w:rsidRPr="00615C42">
        <w:t>partially</w:t>
      </w:r>
      <w:r w:rsidRPr="00465DF2">
        <w:t xml:space="preserve"> offset by</w:t>
      </w:r>
      <w:r w:rsidR="000470F3">
        <w:t xml:space="preserve"> other variations, including</w:t>
      </w:r>
      <w:r w:rsidRPr="00465DF2">
        <w:t xml:space="preserve"> </w:t>
      </w:r>
      <w:r w:rsidR="00C34094" w:rsidRPr="00465DF2">
        <w:t xml:space="preserve">a </w:t>
      </w:r>
      <w:r w:rsidR="00C34094" w:rsidRPr="00615C42">
        <w:t>decrease</w:t>
      </w:r>
      <w:r w:rsidR="00C34094" w:rsidRPr="00465DF2">
        <w:t xml:space="preserve"> in</w:t>
      </w:r>
      <w:r w:rsidR="009B45EE" w:rsidRPr="00465DF2">
        <w:t xml:space="preserve"> </w:t>
      </w:r>
      <w:r w:rsidR="0020232D" w:rsidRPr="00465DF2">
        <w:t xml:space="preserve">superannuation </w:t>
      </w:r>
      <w:r w:rsidR="0002429B" w:rsidRPr="00465DF2">
        <w:t>expenses of</w:t>
      </w:r>
      <w:r w:rsidR="000B1F09" w:rsidRPr="00465DF2">
        <w:t xml:space="preserve"> </w:t>
      </w:r>
      <w:r w:rsidR="000B1F09" w:rsidRPr="00615C42">
        <w:t>$</w:t>
      </w:r>
      <w:r w:rsidR="00D1316A" w:rsidRPr="00615C42">
        <w:t>711.0</w:t>
      </w:r>
      <w:r w:rsidR="000B1F09" w:rsidRPr="00615C42">
        <w:t xml:space="preserve"> </w:t>
      </w:r>
      <w:r w:rsidR="00D1316A" w:rsidRPr="00615C42">
        <w:t>million</w:t>
      </w:r>
      <w:r w:rsidR="00D1316A" w:rsidRPr="00465DF2">
        <w:t xml:space="preserve"> </w:t>
      </w:r>
      <w:r w:rsidR="000B1F09" w:rsidRPr="00465DF2">
        <w:t>over the budget and forward estimates</w:t>
      </w:r>
      <w:r w:rsidR="00D55D89" w:rsidRPr="00465DF2">
        <w:t xml:space="preserve">, </w:t>
      </w:r>
      <w:r w:rsidR="00DF4C12" w:rsidRPr="00615C42">
        <w:t xml:space="preserve">largely </w:t>
      </w:r>
      <w:r w:rsidR="00D55D89" w:rsidRPr="00615C42">
        <w:t xml:space="preserve">due to </w:t>
      </w:r>
      <w:r w:rsidR="00562DF2" w:rsidRPr="00615C42">
        <w:t xml:space="preserve">movements in the 10-year </w:t>
      </w:r>
      <w:r w:rsidR="00482E0C" w:rsidRPr="00615C42">
        <w:t xml:space="preserve">Commonwealth Government </w:t>
      </w:r>
      <w:r w:rsidR="00562DF2" w:rsidRPr="00615C42">
        <w:t>bond rate</w:t>
      </w:r>
      <w:r w:rsidR="000B1F09" w:rsidRPr="00615C42">
        <w:t>.</w:t>
      </w:r>
    </w:p>
    <w:p w14:paraId="5235469B" w14:textId="5E69F4A4" w:rsidR="00BF3295" w:rsidRPr="007641D2" w:rsidRDefault="00350B93" w:rsidP="00BF3295">
      <w:pPr>
        <w:pStyle w:val="Heading3"/>
        <w:rPr>
          <w:rFonts w:ascii="Arial" w:hAnsi="Arial" w:cs="Arial"/>
          <w:kern w:val="0"/>
          <w:szCs w:val="20"/>
        </w:rPr>
      </w:pPr>
      <w:r>
        <w:rPr>
          <w:rFonts w:ascii="Arial" w:hAnsi="Arial" w:cs="Arial"/>
        </w:rPr>
        <w:t>Fiscal</w:t>
      </w:r>
      <w:r w:rsidR="00A60DBC">
        <w:rPr>
          <w:rFonts w:ascii="Arial" w:hAnsi="Arial" w:cs="Arial"/>
        </w:rPr>
        <w:t xml:space="preserve"> discipline </w:t>
      </w:r>
      <w:r w:rsidR="00D3592A">
        <w:rPr>
          <w:rFonts w:ascii="Arial" w:hAnsi="Arial" w:cs="Arial"/>
        </w:rPr>
        <w:t xml:space="preserve">and </w:t>
      </w:r>
      <w:r w:rsidR="00A60DBC">
        <w:rPr>
          <w:rFonts w:ascii="Arial" w:hAnsi="Arial" w:cs="Arial"/>
        </w:rPr>
        <w:t>sustainable expense growth</w:t>
      </w:r>
    </w:p>
    <w:p w14:paraId="2077240E" w14:textId="7D19D85B" w:rsidR="00AA77D5" w:rsidRPr="00D117BC" w:rsidRDefault="00EE1369">
      <w:pPr>
        <w:pStyle w:val="BodyText"/>
      </w:pPr>
      <w:r>
        <w:t>Th</w:t>
      </w:r>
      <w:r w:rsidR="00DB16F5">
        <w:t>e 2020-21</w:t>
      </w:r>
      <w:r>
        <w:t xml:space="preserve"> Budget reflects the Government’s fiscal strategy </w:t>
      </w:r>
      <w:r w:rsidR="00787F70">
        <w:t>to support</w:t>
      </w:r>
      <w:r>
        <w:t xml:space="preserve"> the economy </w:t>
      </w:r>
      <w:r w:rsidR="00426285">
        <w:t xml:space="preserve">in the short-term </w:t>
      </w:r>
      <w:r>
        <w:t>through</w:t>
      </w:r>
      <w:r w:rsidR="00426285">
        <w:t xml:space="preserve"> temporary</w:t>
      </w:r>
      <w:r w:rsidR="00F36061">
        <w:t>, timely</w:t>
      </w:r>
      <w:r w:rsidR="00426285">
        <w:t xml:space="preserve"> and targeted </w:t>
      </w:r>
      <w:r w:rsidR="00EE25AD">
        <w:t xml:space="preserve">stimulus, while ensuring expense growth returns to sustainable levels in the </w:t>
      </w:r>
      <w:r w:rsidR="00F36061">
        <w:t>medium-term</w:t>
      </w:r>
      <w:r w:rsidR="00EE25AD">
        <w:t xml:space="preserve">. </w:t>
      </w:r>
      <w:r w:rsidR="000B04DF">
        <w:t xml:space="preserve">This is </w:t>
      </w:r>
      <w:r w:rsidR="000B04DF" w:rsidRPr="00D117BC">
        <w:t>demonstrated</w:t>
      </w:r>
      <w:r w:rsidR="002361DA" w:rsidRPr="00D117BC">
        <w:t xml:space="preserve"> in this Budget</w:t>
      </w:r>
      <w:r w:rsidR="000B04DF" w:rsidRPr="00D117BC">
        <w:t xml:space="preserve"> through the inclusion</w:t>
      </w:r>
      <w:r w:rsidR="00BF51CA" w:rsidRPr="00D117BC">
        <w:t xml:space="preserve"> </w:t>
      </w:r>
      <w:r w:rsidR="000B04DF" w:rsidRPr="00D117BC">
        <w:t xml:space="preserve">of </w:t>
      </w:r>
      <w:r w:rsidR="00CB5B17" w:rsidRPr="00D117BC">
        <w:t xml:space="preserve">targeted </w:t>
      </w:r>
      <w:r w:rsidR="00C9373D" w:rsidRPr="00D117BC">
        <w:t>reprioritisation</w:t>
      </w:r>
      <w:r w:rsidR="00CB5B17" w:rsidRPr="00D117BC">
        <w:t xml:space="preserve"> and reform </w:t>
      </w:r>
      <w:r w:rsidR="00CB5B17" w:rsidRPr="00A71471">
        <w:t>measures totalling $</w:t>
      </w:r>
      <w:r w:rsidR="003A0B1E" w:rsidRPr="00A71471">
        <w:t>5</w:t>
      </w:r>
      <w:r w:rsidR="0080401E" w:rsidRPr="00A71471">
        <w:t>.</w:t>
      </w:r>
      <w:r w:rsidR="00DF2190" w:rsidRPr="00A71471">
        <w:t>6</w:t>
      </w:r>
      <w:r w:rsidR="00CB5B17" w:rsidRPr="00A71471">
        <w:t> billion over four years to 2023-24.</w:t>
      </w:r>
      <w:r w:rsidR="00EE25AD" w:rsidRPr="00D117BC">
        <w:t xml:space="preserve"> </w:t>
      </w:r>
    </w:p>
    <w:p w14:paraId="0BF8B5ED" w14:textId="2A689E89" w:rsidR="0055163C" w:rsidRPr="00D117BC" w:rsidRDefault="00490BB5">
      <w:pPr>
        <w:pStyle w:val="BodyText"/>
      </w:pPr>
      <w:r w:rsidRPr="00D117BC">
        <w:t>As a result</w:t>
      </w:r>
      <w:r w:rsidR="00AA77D5" w:rsidRPr="00D117BC">
        <w:t xml:space="preserve"> of this fiscal discipline</w:t>
      </w:r>
      <w:r w:rsidRPr="00D117BC">
        <w:t>, e</w:t>
      </w:r>
      <w:r w:rsidR="0055163C" w:rsidRPr="00D117BC">
        <w:t xml:space="preserve">xpense growth is expected to fall from </w:t>
      </w:r>
      <w:r w:rsidR="005935D7" w:rsidRPr="00615C42">
        <w:t>11</w:t>
      </w:r>
      <w:r w:rsidR="0055163C" w:rsidRPr="00615C42">
        <w:t>.</w:t>
      </w:r>
      <w:r w:rsidR="00676C97" w:rsidRPr="00615C42">
        <w:t>2</w:t>
      </w:r>
      <w:r w:rsidR="0055163C" w:rsidRPr="00615C42">
        <w:t xml:space="preserve"> per cent</w:t>
      </w:r>
      <w:r w:rsidR="0055163C" w:rsidRPr="00D117BC">
        <w:t xml:space="preserve"> in </w:t>
      </w:r>
      <w:r w:rsidR="0080401E" w:rsidRPr="00D117BC">
        <w:t>2020-21</w:t>
      </w:r>
      <w:r w:rsidR="0055163C" w:rsidRPr="00D117BC">
        <w:t xml:space="preserve"> to </w:t>
      </w:r>
      <w:r w:rsidR="0054723E" w:rsidRPr="00D117BC">
        <w:t>0.</w:t>
      </w:r>
      <w:r w:rsidR="00676C97" w:rsidRPr="00615C42">
        <w:t>8</w:t>
      </w:r>
      <w:r w:rsidR="0054723E" w:rsidRPr="00D117BC">
        <w:t xml:space="preserve"> per cent by 2023-24. </w:t>
      </w:r>
      <w:r w:rsidR="00F91E63" w:rsidRPr="00D117BC">
        <w:t>This</w:t>
      </w:r>
      <w:r w:rsidR="0054723E" w:rsidRPr="00D117BC">
        <w:t xml:space="preserve"> equates to </w:t>
      </w:r>
      <w:r w:rsidR="0055163C" w:rsidRPr="00D117BC">
        <w:t xml:space="preserve">an average </w:t>
      </w:r>
      <w:r w:rsidR="0054723E" w:rsidRPr="00D117BC">
        <w:t xml:space="preserve">growth rate </w:t>
      </w:r>
      <w:r w:rsidR="0055163C" w:rsidRPr="00D117BC">
        <w:t xml:space="preserve">of </w:t>
      </w:r>
      <w:r w:rsidR="005935D7" w:rsidRPr="00615C42">
        <w:t>1</w:t>
      </w:r>
      <w:r w:rsidR="0055163C" w:rsidRPr="00615C42">
        <w:t>.</w:t>
      </w:r>
      <w:r w:rsidR="00701D61">
        <w:t>4</w:t>
      </w:r>
      <w:r w:rsidR="0055163C" w:rsidRPr="00615C42">
        <w:t xml:space="preserve"> per cent</w:t>
      </w:r>
      <w:r w:rsidR="0055163C" w:rsidRPr="00D117BC">
        <w:t xml:space="preserve"> per annum over the budget and forward estimates</w:t>
      </w:r>
      <w:r w:rsidR="00252A3D" w:rsidRPr="00D117BC">
        <w:t>, whic</w:t>
      </w:r>
      <w:r w:rsidR="00750D9F" w:rsidRPr="00D117BC">
        <w:t xml:space="preserve">h is </w:t>
      </w:r>
      <w:r w:rsidR="00794946" w:rsidRPr="00D117BC">
        <w:t xml:space="preserve">under the </w:t>
      </w:r>
      <w:proofErr w:type="gramStart"/>
      <w:r w:rsidR="00750D9F" w:rsidRPr="00D117BC">
        <w:t>long term</w:t>
      </w:r>
      <w:proofErr w:type="gramEnd"/>
      <w:r w:rsidR="00750D9F" w:rsidRPr="00D117BC">
        <w:t xml:space="preserve"> average for </w:t>
      </w:r>
      <w:r w:rsidR="0055163C" w:rsidRPr="00D117BC">
        <w:t xml:space="preserve">revenue growth </w:t>
      </w:r>
      <w:r w:rsidR="00F74F07" w:rsidRPr="00D117BC">
        <w:t xml:space="preserve">of </w:t>
      </w:r>
      <w:r w:rsidR="00794946" w:rsidRPr="00D117BC">
        <w:t>5.6 per cent</w:t>
      </w:r>
      <w:r w:rsidR="00141CA6" w:rsidRPr="00D117BC">
        <w:t xml:space="preserve"> and</w:t>
      </w:r>
      <w:r w:rsidR="00794946" w:rsidRPr="00D117BC">
        <w:t xml:space="preserve"> demonstrates the Government’s </w:t>
      </w:r>
      <w:r w:rsidR="00F11863" w:rsidRPr="00D117BC">
        <w:t xml:space="preserve">unwavering </w:t>
      </w:r>
      <w:r w:rsidR="00EA2B8C" w:rsidRPr="00D117BC">
        <w:t xml:space="preserve">commitment to </w:t>
      </w:r>
      <w:r w:rsidR="0055163C" w:rsidRPr="00D117BC">
        <w:t xml:space="preserve">the </w:t>
      </w:r>
      <w:r w:rsidR="00EA2B8C" w:rsidRPr="00615C42">
        <w:rPr>
          <w:i/>
          <w:iCs/>
        </w:rPr>
        <w:t>Fiscal Responsibility Act 2012</w:t>
      </w:r>
      <w:r w:rsidR="0055163C" w:rsidRPr="00D117BC">
        <w:t>.</w:t>
      </w:r>
    </w:p>
    <w:p w14:paraId="03FC965B" w14:textId="05B5AFF8" w:rsidR="00BF3295" w:rsidRPr="007641D2" w:rsidRDefault="00D35856">
      <w:pPr>
        <w:pStyle w:val="BodyText"/>
      </w:pPr>
      <w:r w:rsidRPr="00615C42">
        <w:t>Box 5.</w:t>
      </w:r>
      <w:r w:rsidR="00F2412A" w:rsidRPr="00615C42">
        <w:t>5</w:t>
      </w:r>
      <w:r w:rsidRPr="00D117BC">
        <w:t xml:space="preserve"> provides further details on these </w:t>
      </w:r>
      <w:r w:rsidR="002D0799" w:rsidRPr="00D117BC">
        <w:t>saving</w:t>
      </w:r>
      <w:r w:rsidR="007B2A14">
        <w:t>s</w:t>
      </w:r>
      <w:r w:rsidR="002D0799" w:rsidRPr="00D117BC">
        <w:t xml:space="preserve">, </w:t>
      </w:r>
      <w:r w:rsidRPr="00D117BC">
        <w:t>reprioritisation and reform measures</w:t>
      </w:r>
      <w:r w:rsidR="00B51DF6" w:rsidRPr="00D117BC">
        <w:t>,</w:t>
      </w:r>
      <w:r w:rsidR="00B46CE0" w:rsidRPr="00D117BC">
        <w:t xml:space="preserve"> including changes to </w:t>
      </w:r>
      <w:r w:rsidR="00D16061" w:rsidRPr="00D117BC">
        <w:t xml:space="preserve">the </w:t>
      </w:r>
      <w:r w:rsidR="003D4399" w:rsidRPr="00D117BC">
        <w:t xml:space="preserve">NSW </w:t>
      </w:r>
      <w:r w:rsidR="00D16061" w:rsidRPr="00D117BC">
        <w:t xml:space="preserve">Government’s </w:t>
      </w:r>
      <w:r w:rsidR="00B46CE0" w:rsidRPr="00D117BC">
        <w:t>wages policy for public sector workers</w:t>
      </w:r>
      <w:r w:rsidRPr="00D117BC">
        <w:t>.</w:t>
      </w:r>
      <w:r w:rsidR="00B46CE0" w:rsidRPr="00D117BC">
        <w:t xml:space="preserve"> This </w:t>
      </w:r>
      <w:r w:rsidR="00B51DF6" w:rsidRPr="00D117BC">
        <w:t>measure</w:t>
      </w:r>
      <w:r w:rsidR="00B46CE0" w:rsidRPr="00D117BC">
        <w:t xml:space="preserve"> adjusts wages growth</w:t>
      </w:r>
      <w:r w:rsidR="008302AA" w:rsidRPr="00D117BC">
        <w:t xml:space="preserve"> down across</w:t>
      </w:r>
      <w:r w:rsidR="00B46CE0" w:rsidRPr="00D117BC">
        <w:t xml:space="preserve"> the budget and forward estimates</w:t>
      </w:r>
      <w:r w:rsidR="000204FF" w:rsidRPr="00D117BC">
        <w:t xml:space="preserve">. Because wages are a significant </w:t>
      </w:r>
      <w:r w:rsidR="00E40CD0" w:rsidRPr="00D117BC">
        <w:t>component</w:t>
      </w:r>
      <w:r w:rsidR="000204FF" w:rsidRPr="00D117BC">
        <w:t xml:space="preserve"> of </w:t>
      </w:r>
      <w:r w:rsidR="00E40CD0" w:rsidRPr="00D117BC">
        <w:t>general government</w:t>
      </w:r>
      <w:r w:rsidR="000204FF" w:rsidRPr="00D117BC">
        <w:t xml:space="preserve"> expenses (outlined further below)</w:t>
      </w:r>
      <w:r w:rsidR="00E40CD0" w:rsidRPr="00D117BC">
        <w:t>,</w:t>
      </w:r>
      <w:r w:rsidR="000204FF" w:rsidRPr="00D117BC">
        <w:t xml:space="preserve"> this</w:t>
      </w:r>
      <w:r w:rsidR="008302AA" w:rsidRPr="00D117BC">
        <w:t xml:space="preserve"> </w:t>
      </w:r>
      <w:r w:rsidR="00012F38" w:rsidRPr="00D117BC">
        <w:t>sav</w:t>
      </w:r>
      <w:r w:rsidR="000204FF" w:rsidRPr="00D117BC">
        <w:t>es</w:t>
      </w:r>
      <w:r w:rsidR="008302AA" w:rsidRPr="00D117BC">
        <w:t xml:space="preserve"> $4.3</w:t>
      </w:r>
      <w:r w:rsidR="00953C96" w:rsidRPr="00615C42">
        <w:t> </w:t>
      </w:r>
      <w:r w:rsidR="008302AA" w:rsidRPr="00D117BC">
        <w:t>billion over four years to 2023-24</w:t>
      </w:r>
      <w:r w:rsidR="000204FF" w:rsidRPr="00D117BC">
        <w:t>.</w:t>
      </w:r>
    </w:p>
    <w:tbl>
      <w:tblPr>
        <w:tblW w:w="0" w:type="auto"/>
        <w:shd w:val="pct5" w:color="auto" w:fill="auto"/>
        <w:tblLayout w:type="fixed"/>
        <w:tblLook w:val="0000" w:firstRow="0" w:lastRow="0" w:firstColumn="0" w:lastColumn="0" w:noHBand="0" w:noVBand="0"/>
        <w:tblCaption w:val="Box 5.5: Redirecting expenditure to support businesses and employment"/>
        <w:tblDescription w:val="Box 5.5: Redirecting expenditure to support businesses and employment"/>
      </w:tblPr>
      <w:tblGrid>
        <w:gridCol w:w="9639"/>
      </w:tblGrid>
      <w:tr w:rsidR="00BF3295" w:rsidRPr="007641D2" w14:paraId="70A961FE" w14:textId="77777777" w:rsidTr="00A0273A">
        <w:trPr>
          <w:trHeight w:val="10205"/>
        </w:trPr>
        <w:tc>
          <w:tcPr>
            <w:tcW w:w="9639" w:type="dxa"/>
            <w:shd w:val="pct5" w:color="auto" w:fill="auto"/>
          </w:tcPr>
          <w:p w14:paraId="46601E9B" w14:textId="44824228" w:rsidR="001A51A9" w:rsidRPr="00572E04" w:rsidRDefault="009C6BD2" w:rsidP="00DD1EC0">
            <w:pPr>
              <w:pStyle w:val="BoxHeading"/>
            </w:pPr>
            <w:r w:rsidRPr="00572E04">
              <w:t xml:space="preserve">Redirecting </w:t>
            </w:r>
            <w:r w:rsidR="00A20054" w:rsidRPr="00572E04">
              <w:t xml:space="preserve">expenditure </w:t>
            </w:r>
            <w:r w:rsidRPr="00572E04">
              <w:t xml:space="preserve">to support </w:t>
            </w:r>
            <w:r w:rsidR="00F36AF2" w:rsidRPr="00572E04">
              <w:t>businesses and employment</w:t>
            </w:r>
          </w:p>
          <w:p w14:paraId="37C657A8" w14:textId="4146FE0F" w:rsidR="00C5009D" w:rsidRDefault="00C5009D" w:rsidP="00A0273A">
            <w:pPr>
              <w:pStyle w:val="BodyTextBox"/>
            </w:pPr>
            <w:r>
              <w:t xml:space="preserve">The Government has announced </w:t>
            </w:r>
            <w:r w:rsidR="00DF2190">
              <w:t>$29.0 billion</w:t>
            </w:r>
            <w:r>
              <w:t xml:space="preserve"> in stimulus and support measures since March 2020. This includes targeted spending now</w:t>
            </w:r>
            <w:r w:rsidR="007F2C19">
              <w:t>,</w:t>
            </w:r>
            <w:r>
              <w:t xml:space="preserve"> to create jobs and support the economic recovery. To help fund this unprecedented economic response, the Government needs to deliver services more efficiently and effectively, focusing on outcomes rather than how much is spent.</w:t>
            </w:r>
          </w:p>
          <w:p w14:paraId="1A8E92DD" w14:textId="5A25C4B3" w:rsidR="00C44288" w:rsidRPr="00572E04" w:rsidRDefault="00C5009D" w:rsidP="00A0273A">
            <w:pPr>
              <w:pStyle w:val="BodyTextBox"/>
            </w:pPr>
            <w:r>
              <w:t xml:space="preserve">In this respect, the Government is starting to transform </w:t>
            </w:r>
            <w:r w:rsidR="00C44288" w:rsidRPr="00572E04">
              <w:t xml:space="preserve">how </w:t>
            </w:r>
            <w:r w:rsidR="00B55E0F">
              <w:t>public</w:t>
            </w:r>
            <w:r w:rsidR="00B55E0F" w:rsidRPr="00572E04">
              <w:t xml:space="preserve"> </w:t>
            </w:r>
            <w:r w:rsidR="00C44288" w:rsidRPr="00572E04">
              <w:t xml:space="preserve">services are delivered </w:t>
            </w:r>
            <w:r>
              <w:t xml:space="preserve">through outcomes evaluations, which will lead to </w:t>
            </w:r>
            <w:r w:rsidR="00C44288" w:rsidRPr="00572E04">
              <w:t>improved productivity</w:t>
            </w:r>
            <w:r w:rsidR="00885329" w:rsidRPr="00572E04">
              <w:t>,</w:t>
            </w:r>
            <w:r w:rsidR="00C44288" w:rsidRPr="00572E04">
              <w:t xml:space="preserve"> increased efficiency</w:t>
            </w:r>
            <w:r w:rsidR="00885329" w:rsidRPr="00572E04">
              <w:t xml:space="preserve"> and </w:t>
            </w:r>
            <w:r>
              <w:t xml:space="preserve">a </w:t>
            </w:r>
            <w:r w:rsidR="00885329" w:rsidRPr="00572E04">
              <w:t xml:space="preserve">cutting </w:t>
            </w:r>
            <w:r>
              <w:t xml:space="preserve">of </w:t>
            </w:r>
            <w:r w:rsidR="00885329" w:rsidRPr="00572E04">
              <w:t>waste</w:t>
            </w:r>
            <w:r>
              <w:t xml:space="preserve"> and duplication</w:t>
            </w:r>
            <w:r w:rsidR="00C44288" w:rsidRPr="00572E04">
              <w:t xml:space="preserve">. </w:t>
            </w:r>
          </w:p>
          <w:p w14:paraId="6AA4F66F" w14:textId="24C39DA4" w:rsidR="00C44288" w:rsidRPr="00572E04" w:rsidRDefault="00A20054" w:rsidP="00A0273A">
            <w:pPr>
              <w:pStyle w:val="BodyTextBox"/>
              <w:rPr>
                <w:sz w:val="22"/>
                <w:szCs w:val="22"/>
              </w:rPr>
            </w:pPr>
            <w:r w:rsidRPr="00572E04">
              <w:t>Decisions taken now on expense reform will deliver increasing benefits over time as the economy recovers from the pandemic</w:t>
            </w:r>
            <w:r w:rsidR="000A7CC7" w:rsidRPr="00572E04">
              <w:t xml:space="preserve">. </w:t>
            </w:r>
            <w:r w:rsidR="00505D74" w:rsidRPr="00572E04">
              <w:t xml:space="preserve">Expense reform also </w:t>
            </w:r>
            <w:r w:rsidRPr="00572E04">
              <w:t xml:space="preserve">provides the Government with fiscal capacity to respond to any future </w:t>
            </w:r>
            <w:r w:rsidR="00C5009D">
              <w:t xml:space="preserve">natural disasters or economic </w:t>
            </w:r>
            <w:r w:rsidRPr="00572E04">
              <w:t>shocks.</w:t>
            </w:r>
          </w:p>
          <w:p w14:paraId="0FF11F27" w14:textId="75F7EC2D" w:rsidR="002E741F" w:rsidRPr="00A71471" w:rsidRDefault="009221BB" w:rsidP="00A0273A">
            <w:pPr>
              <w:pStyle w:val="BodyTextBox"/>
            </w:pPr>
            <w:r w:rsidRPr="00572E04">
              <w:t xml:space="preserve">Savings, </w:t>
            </w:r>
            <w:r w:rsidR="00A03E62">
              <w:t>and reprioritisation</w:t>
            </w:r>
            <w:r w:rsidR="002E741F" w:rsidRPr="00572E04">
              <w:t xml:space="preserve"> measures in the 2020-21 Budget</w:t>
            </w:r>
            <w:r w:rsidR="00293C9D" w:rsidRPr="00572E04">
              <w:t xml:space="preserve"> </w:t>
            </w:r>
            <w:r w:rsidR="00293C9D" w:rsidRPr="00A71471">
              <w:t>total $</w:t>
            </w:r>
            <w:r w:rsidR="003A0B1E" w:rsidRPr="00A71471">
              <w:t>5</w:t>
            </w:r>
            <w:r w:rsidR="00293C9D" w:rsidRPr="00A71471">
              <w:t>.</w:t>
            </w:r>
            <w:r w:rsidR="00DF2190" w:rsidRPr="00A71471">
              <w:t>6</w:t>
            </w:r>
            <w:r w:rsidR="00293C9D" w:rsidRPr="00A71471">
              <w:t xml:space="preserve"> billion over four years to 2023-24 and</w:t>
            </w:r>
            <w:r w:rsidR="002E741F" w:rsidRPr="00A71471">
              <w:t xml:space="preserve"> </w:t>
            </w:r>
            <w:r w:rsidR="00C5009D" w:rsidRPr="00A71471">
              <w:t>include</w:t>
            </w:r>
            <w:r w:rsidR="002E741F" w:rsidRPr="00A71471">
              <w:t>:</w:t>
            </w:r>
          </w:p>
          <w:p w14:paraId="0FB5FAA1" w14:textId="02692C68" w:rsidR="00151E8D" w:rsidRPr="00572E04" w:rsidRDefault="00CC1B83">
            <w:pPr>
              <w:pStyle w:val="Bullet1inabox"/>
            </w:pPr>
            <w:r w:rsidRPr="00A71471">
              <w:t>$</w:t>
            </w:r>
            <w:r w:rsidR="006D7A37" w:rsidRPr="00A71471">
              <w:t>4</w:t>
            </w:r>
            <w:r w:rsidRPr="00A71471">
              <w:t>.</w:t>
            </w:r>
            <w:r w:rsidR="006D7A37" w:rsidRPr="00A71471">
              <w:t xml:space="preserve">3 </w:t>
            </w:r>
            <w:r w:rsidRPr="00A71471">
              <w:t>billion</w:t>
            </w:r>
            <w:r w:rsidR="00FF39E3" w:rsidRPr="00A71471">
              <w:t xml:space="preserve"> </w:t>
            </w:r>
            <w:r w:rsidR="00C5009D" w:rsidRPr="00A71471">
              <w:t>from lower</w:t>
            </w:r>
            <w:r w:rsidR="00345714" w:rsidRPr="00A71471">
              <w:t xml:space="preserve"> </w:t>
            </w:r>
            <w:r w:rsidR="00147DA8" w:rsidRPr="00A71471">
              <w:t>wages growth</w:t>
            </w:r>
            <w:r w:rsidR="00E90E93" w:rsidRPr="00A71471">
              <w:t xml:space="preserve"> for public sector work</w:t>
            </w:r>
            <w:r w:rsidR="004C1BDF" w:rsidRPr="00A71471">
              <w:t>er</w:t>
            </w:r>
            <w:r w:rsidR="00E90E93" w:rsidRPr="00A71471">
              <w:t>s</w:t>
            </w:r>
            <w:r w:rsidR="00E90E93" w:rsidRPr="00572E04">
              <w:t xml:space="preserve"> and Members of Parliament</w:t>
            </w:r>
            <w:r w:rsidR="00151E8D" w:rsidRPr="00572E04">
              <w:t xml:space="preserve">, </w:t>
            </w:r>
            <w:r w:rsidR="00C5009D">
              <w:t>reflecting</w:t>
            </w:r>
            <w:r w:rsidR="00151E8D" w:rsidRPr="00572E04">
              <w:t>:</w:t>
            </w:r>
          </w:p>
          <w:p w14:paraId="2565FA3F" w14:textId="42A5EEC7" w:rsidR="00151E8D" w:rsidRPr="00615C42" w:rsidRDefault="001A2DB0">
            <w:pPr>
              <w:pStyle w:val="Bullet2inabox"/>
            </w:pPr>
            <w:r w:rsidRPr="00615C42">
              <w:t>0.3 per cent</w:t>
            </w:r>
            <w:r w:rsidR="00F5319B" w:rsidRPr="00615C42">
              <w:t xml:space="preserve"> wages growth</w:t>
            </w:r>
            <w:r w:rsidRPr="00615C42">
              <w:t xml:space="preserve"> in 2020-21 for </w:t>
            </w:r>
            <w:r w:rsidR="0036119E" w:rsidRPr="00615C42">
              <w:t>a</w:t>
            </w:r>
            <w:r w:rsidRPr="00615C42">
              <w:t xml:space="preserve">pproximately 170,000 workers, as decided by the Industrial Relations </w:t>
            </w:r>
            <w:r w:rsidR="003E26D9" w:rsidRPr="00572E04">
              <w:t>Commission</w:t>
            </w:r>
            <w:r w:rsidR="005F7482" w:rsidRPr="00615C42">
              <w:t>, and a 12-month pause to wages growth for both senior public servants and Members of Parliament</w:t>
            </w:r>
            <w:r w:rsidR="00EF60E7" w:rsidRPr="00572E04">
              <w:t xml:space="preserve">, enabling the Government to </w:t>
            </w:r>
            <w:r w:rsidR="00EF60E7" w:rsidRPr="00D117BC">
              <w:t xml:space="preserve">reinvest these savings </w:t>
            </w:r>
            <w:r w:rsidR="0036119E" w:rsidRPr="00D117BC">
              <w:t>into job creating initiatives</w:t>
            </w:r>
            <w:r w:rsidR="0036119E" w:rsidRPr="00615C42">
              <w:t xml:space="preserve"> </w:t>
            </w:r>
          </w:p>
          <w:p w14:paraId="5876E7C0" w14:textId="23E2035B" w:rsidR="00CC1B83" w:rsidRPr="00615C42" w:rsidRDefault="00132737" w:rsidP="00615C42">
            <w:pPr>
              <w:pStyle w:val="Bullet2inabox"/>
            </w:pPr>
            <w:r>
              <w:t xml:space="preserve">no more than </w:t>
            </w:r>
            <w:r w:rsidR="00F5319B" w:rsidRPr="00615C42">
              <w:t xml:space="preserve">1.5 per cent wages growth </w:t>
            </w:r>
            <w:r w:rsidR="00F3334C" w:rsidRPr="00615C42">
              <w:t xml:space="preserve">for all public servants </w:t>
            </w:r>
            <w:r w:rsidR="00F5319B" w:rsidRPr="00615C42">
              <w:t xml:space="preserve">over the forward estimates, which is </w:t>
            </w:r>
            <w:r w:rsidR="001D03D5" w:rsidRPr="00615C42">
              <w:t xml:space="preserve">in line with </w:t>
            </w:r>
            <w:r w:rsidR="00352BDC" w:rsidRPr="00572E04">
              <w:t>average</w:t>
            </w:r>
            <w:r w:rsidR="001D03D5" w:rsidRPr="00572E04">
              <w:t xml:space="preserve"> </w:t>
            </w:r>
            <w:r w:rsidR="001D03D5" w:rsidRPr="00615C42">
              <w:t>underlying inflation forecasts</w:t>
            </w:r>
            <w:r w:rsidR="009A1225" w:rsidRPr="00572E04">
              <w:t xml:space="preserve"> up </w:t>
            </w:r>
            <w:r w:rsidR="00162007">
              <w:t>to</w:t>
            </w:r>
            <w:r w:rsidR="00162007" w:rsidRPr="00572E04">
              <w:t xml:space="preserve"> </w:t>
            </w:r>
            <w:r w:rsidR="009A1225" w:rsidRPr="00572E04">
              <w:t>2023-24</w:t>
            </w:r>
            <w:r>
              <w:t>. The Government’s wages policy will continue to allow increases beyond this level to be considered, where employee-related cost savings are achieved to fully offset the additional cost.</w:t>
            </w:r>
          </w:p>
          <w:p w14:paraId="2D7BBF50" w14:textId="1B01C5FA" w:rsidR="005D0011" w:rsidRPr="00615C42" w:rsidRDefault="005D0011">
            <w:pPr>
              <w:pStyle w:val="Bullet1inabox"/>
            </w:pPr>
            <w:r w:rsidRPr="00615C42">
              <w:t>$72</w:t>
            </w:r>
            <w:r w:rsidR="00880105">
              <w:t>9</w:t>
            </w:r>
            <w:r w:rsidR="00433033">
              <w:t>.0</w:t>
            </w:r>
            <w:r w:rsidRPr="00615C42">
              <w:t xml:space="preserve"> million</w:t>
            </w:r>
            <w:r w:rsidRPr="00572E04">
              <w:t xml:space="preserve"> from additional procurement savings across contingent labour, travel, events, marketing and training, facilities and fleet management, medical procurement, software licensing and maintenance, telecommunications, and ICT</w:t>
            </w:r>
            <w:r w:rsidR="008412F5" w:rsidRPr="00572E04">
              <w:t>. These savings are to</w:t>
            </w:r>
            <w:r w:rsidRPr="00572E04">
              <w:t xml:space="preserve"> be achieved through leveraging whole</w:t>
            </w:r>
            <w:r w:rsidR="00851FDC">
              <w:t>-</w:t>
            </w:r>
            <w:r w:rsidRPr="00572E04">
              <w:t>of</w:t>
            </w:r>
            <w:r w:rsidR="00851FDC">
              <w:t>-</w:t>
            </w:r>
            <w:r w:rsidRPr="00572E04">
              <w:t>government economies of scale, renegotiating commercial rates, managing supplier performance, rationalising specifications and demand management</w:t>
            </w:r>
          </w:p>
          <w:p w14:paraId="23AB57AE" w14:textId="01CA1DE3" w:rsidR="001E583E" w:rsidRPr="00615C42" w:rsidRDefault="001E583E">
            <w:pPr>
              <w:pStyle w:val="Bullet1inabox"/>
            </w:pPr>
            <w:r w:rsidRPr="00615C42">
              <w:t>$</w:t>
            </w:r>
            <w:r w:rsidR="002C4822" w:rsidRPr="00615C42">
              <w:t>600</w:t>
            </w:r>
            <w:r w:rsidR="00885329" w:rsidRPr="00615C42">
              <w:t>.</w:t>
            </w:r>
            <w:r w:rsidR="002C4822" w:rsidRPr="00615C42">
              <w:t>0</w:t>
            </w:r>
            <w:r w:rsidRPr="00615C42">
              <w:t xml:space="preserve"> </w:t>
            </w:r>
            <w:r w:rsidR="00885329" w:rsidRPr="00615C42">
              <w:t>m</w:t>
            </w:r>
            <w:r w:rsidRPr="00615C42">
              <w:t>illion</w:t>
            </w:r>
            <w:r w:rsidRPr="00572E04">
              <w:t xml:space="preserve"> in </w:t>
            </w:r>
            <w:r w:rsidR="009F74EE">
              <w:t xml:space="preserve">expenses </w:t>
            </w:r>
            <w:r w:rsidRPr="00572E04">
              <w:t>across Government departments</w:t>
            </w:r>
            <w:r w:rsidR="00463223" w:rsidRPr="00572E04">
              <w:t xml:space="preserve">, </w:t>
            </w:r>
            <w:r w:rsidR="00B226DF">
              <w:t xml:space="preserve">redirected </w:t>
            </w:r>
            <w:r w:rsidR="00463223" w:rsidRPr="00572E04">
              <w:t>to partially fund the $1.6 billion Digital Restart Fund</w:t>
            </w:r>
            <w:r w:rsidRPr="00572E04">
              <w:t>. Th</w:t>
            </w:r>
            <w:r w:rsidR="00133DE7">
              <w:t>is</w:t>
            </w:r>
            <w:r w:rsidRPr="00572E04">
              <w:t xml:space="preserve"> initiative creates incentives and a contestable pool for agencies to identify transformation opportunities</w:t>
            </w:r>
            <w:r w:rsidR="005D0011" w:rsidRPr="00572E04">
              <w:t>.</w:t>
            </w:r>
            <w:r w:rsidRPr="00572E04">
              <w:t xml:space="preserve"> </w:t>
            </w:r>
          </w:p>
          <w:p w14:paraId="0D5AD4FB" w14:textId="72CA0A97" w:rsidR="00EA6868" w:rsidRPr="00F2412A" w:rsidRDefault="00AD1810" w:rsidP="00A0273A">
            <w:pPr>
              <w:pStyle w:val="BodyTextBox"/>
            </w:pPr>
            <w:r w:rsidRPr="00572E04">
              <w:t xml:space="preserve">As part of </w:t>
            </w:r>
            <w:r w:rsidR="00A04E77" w:rsidRPr="00572E04">
              <w:t xml:space="preserve">its fiscal </w:t>
            </w:r>
            <w:r w:rsidR="00053391" w:rsidRPr="00572E04">
              <w:t xml:space="preserve">reform </w:t>
            </w:r>
            <w:r w:rsidR="00A04E77" w:rsidRPr="00572E04">
              <w:t xml:space="preserve">program in 2020-21, </w:t>
            </w:r>
            <w:r w:rsidR="0010163F" w:rsidRPr="00572E04">
              <w:t xml:space="preserve">the </w:t>
            </w:r>
            <w:r w:rsidR="00A04E77" w:rsidRPr="00572E04">
              <w:t xml:space="preserve">Government will </w:t>
            </w:r>
            <w:r w:rsidR="00CE6335" w:rsidRPr="00572E04">
              <w:t>also</w:t>
            </w:r>
            <w:r w:rsidR="00A04E77" w:rsidRPr="00572E04">
              <w:t xml:space="preserve"> investigate options for </w:t>
            </w:r>
            <w:r w:rsidR="000355C2" w:rsidRPr="00572E04">
              <w:t xml:space="preserve">further </w:t>
            </w:r>
            <w:r w:rsidR="0040171E">
              <w:t xml:space="preserve">efficiencies in the way Government delivers services, including </w:t>
            </w:r>
            <w:r w:rsidR="00617DF6" w:rsidRPr="00572E04">
              <w:t>review</w:t>
            </w:r>
            <w:r w:rsidR="0040171E">
              <w:t>ing</w:t>
            </w:r>
            <w:r w:rsidR="00A04E77" w:rsidRPr="00572E04">
              <w:t xml:space="preserve"> existing </w:t>
            </w:r>
            <w:r w:rsidR="005B7285" w:rsidRPr="00572E04">
              <w:t>grants</w:t>
            </w:r>
            <w:r w:rsidR="00E146E8">
              <w:t xml:space="preserve"> </w:t>
            </w:r>
            <w:r w:rsidR="0040171E">
              <w:t>and subsidies</w:t>
            </w:r>
            <w:r w:rsidR="00E03FF3" w:rsidRPr="00572E04">
              <w:t>,</w:t>
            </w:r>
            <w:r w:rsidR="004F4541" w:rsidRPr="00572E04">
              <w:t xml:space="preserve"> </w:t>
            </w:r>
            <w:r w:rsidR="00F47E2A">
              <w:t xml:space="preserve">as well as </w:t>
            </w:r>
            <w:r w:rsidR="007745C7" w:rsidRPr="00572E04">
              <w:t>Cluster</w:t>
            </w:r>
            <w:r w:rsidR="00AC1B64" w:rsidRPr="00572E04">
              <w:t xml:space="preserve"> </w:t>
            </w:r>
            <w:r w:rsidR="007745C7" w:rsidRPr="00572E04">
              <w:t>outcomes and expenditure</w:t>
            </w:r>
            <w:r w:rsidR="000001A6" w:rsidRPr="00572E04">
              <w:t>.</w:t>
            </w:r>
          </w:p>
        </w:tc>
      </w:tr>
    </w:tbl>
    <w:p w14:paraId="42A1E7D5" w14:textId="77777777" w:rsidR="0022474B" w:rsidRDefault="0022474B">
      <w:pPr>
        <w:pStyle w:val="BodyText"/>
      </w:pPr>
    </w:p>
    <w:p w14:paraId="4E324931" w14:textId="77777777" w:rsidR="0022474B" w:rsidRDefault="0022474B">
      <w:pPr>
        <w:spacing w:after="200" w:line="276" w:lineRule="auto"/>
        <w:rPr>
          <w:rFonts w:ascii="Arial" w:hAnsi="Arial" w:cs="Arial"/>
          <w:sz w:val="23"/>
          <w:lang w:val="en-AU"/>
        </w:rPr>
      </w:pPr>
      <w:r>
        <w:br w:type="page"/>
      </w:r>
    </w:p>
    <w:p w14:paraId="3B2428F9" w14:textId="0DF01717" w:rsidR="005F72CB" w:rsidRDefault="009232E0">
      <w:pPr>
        <w:pStyle w:val="BodyText"/>
        <w:rPr>
          <w:bCs/>
          <w:i/>
          <w:color w:val="4F4F4F"/>
          <w:kern w:val="28"/>
          <w:sz w:val="22"/>
          <w:szCs w:val="22"/>
        </w:rPr>
      </w:pPr>
      <w:r w:rsidRPr="007641D2">
        <w:t xml:space="preserve">Table 5.2 outlines the </w:t>
      </w:r>
      <w:r w:rsidR="00785233">
        <w:t xml:space="preserve">targeted </w:t>
      </w:r>
      <w:r w:rsidR="00805A8C">
        <w:t xml:space="preserve">savings, </w:t>
      </w:r>
      <w:r w:rsidR="00676518" w:rsidRPr="00D117BC">
        <w:t xml:space="preserve">reprioritisation </w:t>
      </w:r>
      <w:r w:rsidR="00A369F3" w:rsidRPr="00D117BC">
        <w:t>and reform</w:t>
      </w:r>
      <w:r w:rsidRPr="00D117BC">
        <w:t xml:space="preserve"> measures implemented in this Budget. These measures reduce expenditure </w:t>
      </w:r>
      <w:r w:rsidRPr="00582015">
        <w:t>by $</w:t>
      </w:r>
      <w:r w:rsidR="003A0B1E" w:rsidRPr="00582015">
        <w:t>5</w:t>
      </w:r>
      <w:r w:rsidRPr="00582015">
        <w:t>.</w:t>
      </w:r>
      <w:r w:rsidR="001E6EA5" w:rsidRPr="00A0273A">
        <w:t>7</w:t>
      </w:r>
      <w:r w:rsidR="00CD24CE" w:rsidRPr="00582015">
        <w:t xml:space="preserve"> </w:t>
      </w:r>
      <w:r w:rsidRPr="00582015">
        <w:t>billion</w:t>
      </w:r>
      <w:r w:rsidR="001E6EA5" w:rsidRPr="00582015">
        <w:t xml:space="preserve"> </w:t>
      </w:r>
      <w:r w:rsidR="0042475B" w:rsidRPr="00582015">
        <w:t xml:space="preserve">($5.6 billion budget result impact) </w:t>
      </w:r>
      <w:r w:rsidRPr="00582015">
        <w:t xml:space="preserve">over the budget and forward estimates and </w:t>
      </w:r>
      <w:r w:rsidR="00622FC4" w:rsidRPr="00582015">
        <w:t>enable the</w:t>
      </w:r>
      <w:r w:rsidR="00622FC4" w:rsidRPr="00D117BC">
        <w:t xml:space="preserve"> Government to reprioritise expenditure</w:t>
      </w:r>
      <w:r w:rsidR="00622FC4">
        <w:t xml:space="preserve"> to priority areas</w:t>
      </w:r>
      <w:r w:rsidRPr="007641D2">
        <w:t xml:space="preserve">. </w:t>
      </w:r>
    </w:p>
    <w:p w14:paraId="4E8106AA" w14:textId="7B363493" w:rsidR="009232E0" w:rsidRPr="00F7304E" w:rsidRDefault="0066273F" w:rsidP="00615C42">
      <w:pPr>
        <w:pStyle w:val="Table5X"/>
        <w:tabs>
          <w:tab w:val="clear" w:pos="0"/>
        </w:tabs>
        <w:rPr>
          <w:rFonts w:cs="Arial"/>
        </w:rPr>
      </w:pPr>
      <w:r>
        <w:rPr>
          <w:rFonts w:cs="Arial"/>
        </w:rPr>
        <w:t xml:space="preserve">Savings, </w:t>
      </w:r>
      <w:proofErr w:type="spellStart"/>
      <w:r>
        <w:rPr>
          <w:rFonts w:cs="Arial"/>
        </w:rPr>
        <w:t>r</w:t>
      </w:r>
      <w:r w:rsidR="00576642">
        <w:rPr>
          <w:rFonts w:cs="Arial"/>
        </w:rPr>
        <w:t>eprioritisation</w:t>
      </w:r>
      <w:proofErr w:type="spellEnd"/>
      <w:r w:rsidR="009232E0" w:rsidRPr="007641D2">
        <w:rPr>
          <w:rFonts w:cs="Arial"/>
        </w:rPr>
        <w:t xml:space="preserve"> and </w:t>
      </w:r>
      <w:r w:rsidR="00162007">
        <w:rPr>
          <w:rFonts w:cs="Arial"/>
        </w:rPr>
        <w:t>offset</w:t>
      </w:r>
      <w:r w:rsidR="00805A8C" w:rsidRPr="007641D2">
        <w:rPr>
          <w:rFonts w:cs="Arial"/>
        </w:rPr>
        <w:t xml:space="preserve"> </w:t>
      </w:r>
      <w:r w:rsidR="009232E0" w:rsidRPr="007641D2">
        <w:rPr>
          <w:rFonts w:cs="Arial"/>
        </w:rPr>
        <w:t>measures</w:t>
      </w:r>
    </w:p>
    <w:tbl>
      <w:tblPr>
        <w:tblW w:w="5000" w:type="pct"/>
        <w:tblLayout w:type="fixed"/>
        <w:tblLook w:val="04A0" w:firstRow="1" w:lastRow="0" w:firstColumn="1" w:lastColumn="0" w:noHBand="0" w:noVBand="1"/>
        <w:tblCaption w:val="Table 5.2: Savings, reprioritisation and offset measures"/>
        <w:tblDescription w:val="Table 5.2: Savings, reprioritisation and offset measures"/>
      </w:tblPr>
      <w:tblGrid>
        <w:gridCol w:w="4962"/>
        <w:gridCol w:w="935"/>
        <w:gridCol w:w="935"/>
        <w:gridCol w:w="935"/>
        <w:gridCol w:w="935"/>
        <w:gridCol w:w="937"/>
      </w:tblGrid>
      <w:tr w:rsidR="0005560C" w:rsidRPr="00786A56" w14:paraId="5A12F3E4" w14:textId="77777777" w:rsidTr="00916C48">
        <w:trPr>
          <w:trHeight w:val="283"/>
        </w:trPr>
        <w:tc>
          <w:tcPr>
            <w:tcW w:w="2574" w:type="pct"/>
            <w:tcBorders>
              <w:top w:val="nil"/>
              <w:left w:val="nil"/>
              <w:bottom w:val="nil"/>
              <w:right w:val="nil"/>
            </w:tcBorders>
            <w:shd w:val="clear" w:color="000000" w:fill="018EBA"/>
            <w:vAlign w:val="bottom"/>
            <w:hideMark/>
          </w:tcPr>
          <w:p w14:paraId="438A72C9" w14:textId="428254CD" w:rsidR="00786A56" w:rsidRPr="00D80CAF" w:rsidRDefault="00786A56" w:rsidP="00916C48">
            <w:pPr>
              <w:jc w:val="center"/>
              <w:rPr>
                <w:rFonts w:ascii="Arial" w:hAnsi="Arial" w:cs="Arial"/>
                <w:color w:val="FFFFFF"/>
                <w:sz w:val="16"/>
                <w:szCs w:val="16"/>
                <w:lang w:val="en-AU" w:eastAsia="en-AU"/>
              </w:rPr>
            </w:pPr>
          </w:p>
        </w:tc>
        <w:tc>
          <w:tcPr>
            <w:tcW w:w="485" w:type="pct"/>
            <w:tcBorders>
              <w:top w:val="nil"/>
              <w:left w:val="nil"/>
              <w:bottom w:val="nil"/>
              <w:right w:val="nil"/>
            </w:tcBorders>
            <w:shd w:val="clear" w:color="000000" w:fill="018EBA"/>
            <w:vAlign w:val="bottom"/>
            <w:hideMark/>
          </w:tcPr>
          <w:p w14:paraId="31625513"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2020-21</w:t>
            </w:r>
          </w:p>
        </w:tc>
        <w:tc>
          <w:tcPr>
            <w:tcW w:w="485" w:type="pct"/>
            <w:tcBorders>
              <w:top w:val="nil"/>
              <w:left w:val="nil"/>
              <w:bottom w:val="nil"/>
              <w:right w:val="nil"/>
            </w:tcBorders>
            <w:shd w:val="clear" w:color="000000" w:fill="018EBA"/>
            <w:vAlign w:val="bottom"/>
            <w:hideMark/>
          </w:tcPr>
          <w:p w14:paraId="24667B64"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2021-22</w:t>
            </w:r>
          </w:p>
        </w:tc>
        <w:tc>
          <w:tcPr>
            <w:tcW w:w="485" w:type="pct"/>
            <w:tcBorders>
              <w:top w:val="nil"/>
              <w:left w:val="nil"/>
              <w:bottom w:val="nil"/>
              <w:right w:val="nil"/>
            </w:tcBorders>
            <w:shd w:val="clear" w:color="000000" w:fill="018EBA"/>
            <w:vAlign w:val="bottom"/>
            <w:hideMark/>
          </w:tcPr>
          <w:p w14:paraId="0A987BBB"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2022-23</w:t>
            </w:r>
          </w:p>
        </w:tc>
        <w:tc>
          <w:tcPr>
            <w:tcW w:w="485" w:type="pct"/>
            <w:tcBorders>
              <w:top w:val="nil"/>
              <w:left w:val="nil"/>
              <w:bottom w:val="nil"/>
              <w:right w:val="nil"/>
            </w:tcBorders>
            <w:shd w:val="clear" w:color="000000" w:fill="018EBA"/>
            <w:vAlign w:val="bottom"/>
            <w:hideMark/>
          </w:tcPr>
          <w:p w14:paraId="16CF6497"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2023-24</w:t>
            </w:r>
          </w:p>
        </w:tc>
        <w:tc>
          <w:tcPr>
            <w:tcW w:w="486" w:type="pct"/>
            <w:tcBorders>
              <w:top w:val="nil"/>
              <w:left w:val="nil"/>
              <w:right w:val="nil"/>
            </w:tcBorders>
            <w:shd w:val="clear" w:color="000000" w:fill="018EBA"/>
            <w:noWrap/>
            <w:vAlign w:val="bottom"/>
            <w:hideMark/>
          </w:tcPr>
          <w:p w14:paraId="2D52BC6A" w14:textId="0213DA42"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Total</w:t>
            </w:r>
          </w:p>
        </w:tc>
      </w:tr>
      <w:tr w:rsidR="00D80CAF" w:rsidRPr="00D80CAF" w14:paraId="5A5140C0" w14:textId="77777777" w:rsidTr="00916C48">
        <w:trPr>
          <w:trHeight w:val="227"/>
        </w:trPr>
        <w:tc>
          <w:tcPr>
            <w:tcW w:w="2574" w:type="pct"/>
            <w:tcBorders>
              <w:top w:val="nil"/>
              <w:left w:val="nil"/>
              <w:bottom w:val="nil"/>
              <w:right w:val="nil"/>
            </w:tcBorders>
            <w:shd w:val="clear" w:color="000000" w:fill="018EBA"/>
            <w:vAlign w:val="center"/>
          </w:tcPr>
          <w:p w14:paraId="27A70FBC" w14:textId="77777777" w:rsidR="00D80CAF" w:rsidRPr="00D80CAF" w:rsidRDefault="00D80CAF" w:rsidP="00D80CAF">
            <w:pPr>
              <w:jc w:val="center"/>
              <w:rPr>
                <w:rFonts w:ascii="Arial" w:hAnsi="Arial" w:cs="Arial"/>
                <w:color w:val="FFFFFF"/>
                <w:sz w:val="16"/>
                <w:szCs w:val="16"/>
                <w:lang w:val="en-AU" w:eastAsia="en-AU"/>
              </w:rPr>
            </w:pPr>
          </w:p>
        </w:tc>
        <w:tc>
          <w:tcPr>
            <w:tcW w:w="485" w:type="pct"/>
            <w:tcBorders>
              <w:top w:val="nil"/>
              <w:left w:val="nil"/>
              <w:bottom w:val="nil"/>
              <w:right w:val="nil"/>
            </w:tcBorders>
            <w:shd w:val="clear" w:color="000000" w:fill="018EBA"/>
            <w:vAlign w:val="center"/>
          </w:tcPr>
          <w:p w14:paraId="4F136009" w14:textId="1019C53E" w:rsidR="00D80CAF" w:rsidRPr="00D80CAF" w:rsidRDefault="00D80CAF" w:rsidP="00D80CAF">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Budget</w:t>
            </w:r>
          </w:p>
        </w:tc>
        <w:tc>
          <w:tcPr>
            <w:tcW w:w="1455" w:type="pct"/>
            <w:gridSpan w:val="3"/>
            <w:tcBorders>
              <w:top w:val="nil"/>
              <w:left w:val="nil"/>
              <w:bottom w:val="nil"/>
              <w:right w:val="nil"/>
            </w:tcBorders>
            <w:shd w:val="clear" w:color="000000" w:fill="018EBA"/>
            <w:vAlign w:val="center"/>
          </w:tcPr>
          <w:p w14:paraId="432DFD5B" w14:textId="499B8721" w:rsidR="00D80CAF" w:rsidRPr="00D80CAF" w:rsidRDefault="00D80CAF" w:rsidP="00D80CAF">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Forward estimates</w:t>
            </w:r>
          </w:p>
        </w:tc>
        <w:tc>
          <w:tcPr>
            <w:tcW w:w="486" w:type="pct"/>
            <w:tcBorders>
              <w:left w:val="nil"/>
              <w:bottom w:val="nil"/>
              <w:right w:val="nil"/>
            </w:tcBorders>
            <w:shd w:val="clear" w:color="000000" w:fill="018EBA"/>
            <w:noWrap/>
            <w:vAlign w:val="center"/>
          </w:tcPr>
          <w:p w14:paraId="565D74A8" w14:textId="77777777" w:rsidR="00D80CAF" w:rsidRPr="00D80CAF" w:rsidRDefault="00D80CAF" w:rsidP="00D80CAF">
            <w:pPr>
              <w:jc w:val="center"/>
              <w:rPr>
                <w:rFonts w:ascii="Arial" w:hAnsi="Arial" w:cs="Arial"/>
                <w:color w:val="FFFFFF"/>
                <w:sz w:val="16"/>
                <w:szCs w:val="16"/>
                <w:lang w:val="en-AU" w:eastAsia="en-AU"/>
              </w:rPr>
            </w:pPr>
          </w:p>
        </w:tc>
      </w:tr>
      <w:tr w:rsidR="00A243DB" w:rsidRPr="00786A56" w14:paraId="7AC32C55" w14:textId="77777777" w:rsidTr="00916C48">
        <w:trPr>
          <w:trHeight w:val="283"/>
        </w:trPr>
        <w:tc>
          <w:tcPr>
            <w:tcW w:w="2574" w:type="pct"/>
            <w:tcBorders>
              <w:top w:val="nil"/>
              <w:left w:val="nil"/>
              <w:bottom w:val="nil"/>
              <w:right w:val="nil"/>
            </w:tcBorders>
            <w:shd w:val="clear" w:color="000000" w:fill="00426F"/>
            <w:hideMark/>
          </w:tcPr>
          <w:p w14:paraId="5DD9B64C" w14:textId="1CFC0E86" w:rsidR="00786A56" w:rsidRPr="00D80CAF" w:rsidRDefault="00786A56" w:rsidP="00916C48">
            <w:pPr>
              <w:tabs>
                <w:tab w:val="right" w:pos="5124"/>
              </w:tabs>
              <w:jc w:val="center"/>
              <w:rPr>
                <w:rFonts w:ascii="Arial" w:hAnsi="Arial" w:cs="Arial"/>
                <w:color w:val="FFFFFF"/>
                <w:sz w:val="16"/>
                <w:szCs w:val="16"/>
                <w:lang w:val="en-AU" w:eastAsia="en-AU"/>
              </w:rPr>
            </w:pPr>
          </w:p>
        </w:tc>
        <w:tc>
          <w:tcPr>
            <w:tcW w:w="485" w:type="pct"/>
            <w:tcBorders>
              <w:top w:val="nil"/>
              <w:left w:val="nil"/>
              <w:bottom w:val="nil"/>
              <w:right w:val="nil"/>
            </w:tcBorders>
            <w:shd w:val="clear" w:color="000000" w:fill="00426F"/>
            <w:hideMark/>
          </w:tcPr>
          <w:p w14:paraId="0433645E"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485" w:type="pct"/>
            <w:tcBorders>
              <w:top w:val="nil"/>
              <w:left w:val="nil"/>
              <w:bottom w:val="nil"/>
              <w:right w:val="nil"/>
            </w:tcBorders>
            <w:shd w:val="clear" w:color="000000" w:fill="00426F"/>
            <w:hideMark/>
          </w:tcPr>
          <w:p w14:paraId="429E2D0F"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485" w:type="pct"/>
            <w:tcBorders>
              <w:top w:val="nil"/>
              <w:left w:val="nil"/>
              <w:bottom w:val="nil"/>
              <w:right w:val="nil"/>
            </w:tcBorders>
            <w:shd w:val="clear" w:color="000000" w:fill="00426F"/>
            <w:hideMark/>
          </w:tcPr>
          <w:p w14:paraId="49337A28"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485" w:type="pct"/>
            <w:tcBorders>
              <w:top w:val="nil"/>
              <w:left w:val="nil"/>
              <w:bottom w:val="nil"/>
              <w:right w:val="nil"/>
            </w:tcBorders>
            <w:shd w:val="clear" w:color="000000" w:fill="00426F"/>
            <w:hideMark/>
          </w:tcPr>
          <w:p w14:paraId="56E224F9" w14:textId="0C5BE85B" w:rsidR="00786A56" w:rsidRPr="00D80CAF" w:rsidRDefault="002561BA"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486" w:type="pct"/>
            <w:tcBorders>
              <w:top w:val="nil"/>
              <w:left w:val="nil"/>
              <w:bottom w:val="nil"/>
              <w:right w:val="nil"/>
            </w:tcBorders>
            <w:shd w:val="clear" w:color="000000" w:fill="00426F"/>
            <w:hideMark/>
          </w:tcPr>
          <w:p w14:paraId="3CB1597F" w14:textId="77777777" w:rsidR="00786A56" w:rsidRPr="00D80CAF" w:rsidRDefault="00786A56" w:rsidP="00916C4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r>
      <w:tr w:rsidR="00A243DB" w:rsidRPr="00786A56" w14:paraId="7C7F54B8" w14:textId="77777777" w:rsidTr="00D80CAF">
        <w:trPr>
          <w:trHeight w:val="304"/>
        </w:trPr>
        <w:tc>
          <w:tcPr>
            <w:tcW w:w="2574" w:type="pct"/>
            <w:tcBorders>
              <w:top w:val="nil"/>
              <w:left w:val="nil"/>
              <w:bottom w:val="nil"/>
              <w:right w:val="nil"/>
            </w:tcBorders>
            <w:shd w:val="clear" w:color="auto" w:fill="auto"/>
            <w:vAlign w:val="center"/>
            <w:hideMark/>
          </w:tcPr>
          <w:p w14:paraId="2C88B8DC" w14:textId="4EB293B6" w:rsidR="00786A56" w:rsidRPr="002856D0" w:rsidRDefault="00786A56" w:rsidP="009D354A">
            <w:pPr>
              <w:rPr>
                <w:rFonts w:ascii="Arial" w:hAnsi="Arial" w:cs="Arial"/>
                <w:color w:val="000000"/>
                <w:sz w:val="16"/>
                <w:szCs w:val="16"/>
                <w:lang w:val="en-AU" w:eastAsia="en-AU"/>
              </w:rPr>
            </w:pPr>
            <w:r w:rsidRPr="002856D0">
              <w:rPr>
                <w:rFonts w:ascii="Arial" w:hAnsi="Arial" w:cs="Arial"/>
                <w:color w:val="000000"/>
                <w:sz w:val="16"/>
                <w:szCs w:val="16"/>
                <w:lang w:val="en-AU" w:eastAsia="en-AU"/>
              </w:rPr>
              <w:t xml:space="preserve">Changes </w:t>
            </w:r>
            <w:r w:rsidR="006B2520" w:rsidRPr="002856D0">
              <w:rPr>
                <w:rFonts w:ascii="Arial" w:hAnsi="Arial" w:cs="Arial"/>
                <w:color w:val="000000"/>
                <w:sz w:val="16"/>
                <w:szCs w:val="16"/>
                <w:lang w:val="en-AU" w:eastAsia="en-AU"/>
              </w:rPr>
              <w:t xml:space="preserve">to </w:t>
            </w:r>
            <w:r w:rsidRPr="002856D0">
              <w:rPr>
                <w:rFonts w:ascii="Arial" w:hAnsi="Arial" w:cs="Arial"/>
                <w:color w:val="000000"/>
                <w:sz w:val="16"/>
                <w:szCs w:val="16"/>
                <w:lang w:val="en-AU" w:eastAsia="en-AU"/>
              </w:rPr>
              <w:t>wages policy for public sector workers</w:t>
            </w:r>
            <w:r w:rsidR="00506FD3" w:rsidRPr="00A0273A">
              <w:rPr>
                <w:rFonts w:ascii="Arial" w:hAnsi="Arial" w:cs="Arial"/>
                <w:color w:val="000000"/>
                <w:sz w:val="16"/>
                <w:szCs w:val="16"/>
                <w:vertAlign w:val="superscript"/>
                <w:lang w:val="en-AU" w:eastAsia="en-AU"/>
              </w:rPr>
              <w:t>(a)</w:t>
            </w:r>
            <w:r w:rsidRPr="002856D0">
              <w:rPr>
                <w:rFonts w:ascii="Arial" w:hAnsi="Arial" w:cs="Arial"/>
                <w:color w:val="000000"/>
                <w:sz w:val="16"/>
                <w:szCs w:val="16"/>
                <w:lang w:val="en-AU" w:eastAsia="en-AU"/>
              </w:rPr>
              <w:t xml:space="preserve"> </w:t>
            </w:r>
          </w:p>
        </w:tc>
        <w:tc>
          <w:tcPr>
            <w:tcW w:w="485" w:type="pct"/>
            <w:tcBorders>
              <w:top w:val="nil"/>
              <w:left w:val="nil"/>
              <w:bottom w:val="nil"/>
              <w:right w:val="nil"/>
            </w:tcBorders>
            <w:shd w:val="clear" w:color="000000" w:fill="F2F2F2"/>
            <w:noWrap/>
            <w:vAlign w:val="center"/>
            <w:hideMark/>
          </w:tcPr>
          <w:p w14:paraId="14288CB1" w14:textId="33D99C76" w:rsidR="00786A56" w:rsidRPr="002856D0" w:rsidRDefault="00717198" w:rsidP="00DC56BD">
            <w:pPr>
              <w:ind w:firstLineChars="100" w:firstLine="160"/>
              <w:jc w:val="right"/>
              <w:rPr>
                <w:rFonts w:ascii="Arial" w:hAnsi="Arial" w:cs="Arial"/>
                <w:sz w:val="16"/>
                <w:szCs w:val="16"/>
                <w:lang w:val="en-AU" w:eastAsia="en-AU"/>
              </w:rPr>
            </w:pPr>
            <w:r w:rsidRPr="002856D0">
              <w:rPr>
                <w:rFonts w:ascii="Arial" w:hAnsi="Arial" w:cs="Arial"/>
                <w:sz w:val="16"/>
                <w:szCs w:val="16"/>
                <w:lang w:val="en-AU" w:eastAsia="en-AU"/>
              </w:rPr>
              <w:t>595</w:t>
            </w:r>
          </w:p>
        </w:tc>
        <w:tc>
          <w:tcPr>
            <w:tcW w:w="485" w:type="pct"/>
            <w:tcBorders>
              <w:top w:val="nil"/>
              <w:left w:val="nil"/>
              <w:bottom w:val="nil"/>
              <w:right w:val="nil"/>
            </w:tcBorders>
            <w:shd w:val="clear" w:color="000000" w:fill="F2F2F2"/>
            <w:noWrap/>
            <w:vAlign w:val="center"/>
            <w:hideMark/>
          </w:tcPr>
          <w:p w14:paraId="72AA21B0" w14:textId="3E54318F" w:rsidR="00786A56" w:rsidRPr="002856D0" w:rsidRDefault="00717198" w:rsidP="00012F38">
            <w:pPr>
              <w:ind w:firstLineChars="100" w:firstLine="160"/>
              <w:jc w:val="right"/>
              <w:rPr>
                <w:rFonts w:ascii="Arial" w:hAnsi="Arial" w:cs="Arial"/>
                <w:sz w:val="16"/>
                <w:szCs w:val="16"/>
                <w:lang w:val="en-AU" w:eastAsia="en-AU"/>
              </w:rPr>
            </w:pPr>
            <w:r w:rsidRPr="002856D0">
              <w:rPr>
                <w:rFonts w:ascii="Arial" w:hAnsi="Arial" w:cs="Arial"/>
                <w:sz w:val="16"/>
                <w:szCs w:val="16"/>
                <w:lang w:val="en-AU" w:eastAsia="en-AU"/>
              </w:rPr>
              <w:t>904</w:t>
            </w:r>
          </w:p>
        </w:tc>
        <w:tc>
          <w:tcPr>
            <w:tcW w:w="485" w:type="pct"/>
            <w:tcBorders>
              <w:top w:val="nil"/>
              <w:left w:val="nil"/>
              <w:bottom w:val="nil"/>
              <w:right w:val="nil"/>
            </w:tcBorders>
            <w:shd w:val="clear" w:color="000000" w:fill="F2F2F2"/>
            <w:noWrap/>
            <w:vAlign w:val="center"/>
            <w:hideMark/>
          </w:tcPr>
          <w:p w14:paraId="03DB5068" w14:textId="3EFE1ADC" w:rsidR="00786A56" w:rsidRPr="002856D0" w:rsidRDefault="00717198" w:rsidP="0020121C">
            <w:pPr>
              <w:ind w:firstLineChars="100" w:firstLine="160"/>
              <w:jc w:val="right"/>
              <w:rPr>
                <w:rFonts w:ascii="Arial" w:hAnsi="Arial" w:cs="Arial"/>
                <w:sz w:val="16"/>
                <w:szCs w:val="16"/>
                <w:lang w:val="en-AU" w:eastAsia="en-AU"/>
              </w:rPr>
            </w:pPr>
            <w:r w:rsidRPr="002856D0">
              <w:rPr>
                <w:rFonts w:ascii="Arial" w:hAnsi="Arial" w:cs="Arial"/>
                <w:sz w:val="16"/>
                <w:szCs w:val="16"/>
                <w:lang w:val="en-AU" w:eastAsia="en-AU"/>
              </w:rPr>
              <w:t>1,249</w:t>
            </w:r>
          </w:p>
        </w:tc>
        <w:tc>
          <w:tcPr>
            <w:tcW w:w="485" w:type="pct"/>
            <w:tcBorders>
              <w:top w:val="nil"/>
              <w:left w:val="nil"/>
              <w:bottom w:val="nil"/>
              <w:right w:val="nil"/>
            </w:tcBorders>
            <w:shd w:val="clear" w:color="000000" w:fill="F2F2F2"/>
            <w:noWrap/>
            <w:vAlign w:val="center"/>
            <w:hideMark/>
          </w:tcPr>
          <w:p w14:paraId="0FA855D0" w14:textId="35593095" w:rsidR="00786A56" w:rsidRPr="002856D0" w:rsidRDefault="00717198">
            <w:pPr>
              <w:ind w:firstLineChars="100" w:firstLine="160"/>
              <w:jc w:val="right"/>
              <w:rPr>
                <w:rFonts w:ascii="Arial" w:hAnsi="Arial" w:cs="Arial"/>
                <w:sz w:val="16"/>
                <w:szCs w:val="16"/>
                <w:lang w:val="en-AU" w:eastAsia="en-AU"/>
              </w:rPr>
            </w:pPr>
            <w:r w:rsidRPr="002856D0">
              <w:rPr>
                <w:rFonts w:ascii="Arial" w:hAnsi="Arial" w:cs="Arial"/>
                <w:sz w:val="16"/>
                <w:szCs w:val="16"/>
                <w:lang w:val="en-AU" w:eastAsia="en-AU"/>
              </w:rPr>
              <w:t>1,597</w:t>
            </w:r>
          </w:p>
        </w:tc>
        <w:tc>
          <w:tcPr>
            <w:tcW w:w="486" w:type="pct"/>
            <w:tcBorders>
              <w:top w:val="nil"/>
              <w:left w:val="nil"/>
              <w:bottom w:val="nil"/>
              <w:right w:val="nil"/>
            </w:tcBorders>
            <w:shd w:val="clear" w:color="auto" w:fill="auto"/>
            <w:noWrap/>
            <w:vAlign w:val="center"/>
            <w:hideMark/>
          </w:tcPr>
          <w:p w14:paraId="47F0D099" w14:textId="39A9829F" w:rsidR="00786A56" w:rsidRPr="002856D0" w:rsidRDefault="00717198">
            <w:pPr>
              <w:ind w:firstLineChars="100" w:firstLine="161"/>
              <w:jc w:val="right"/>
              <w:rPr>
                <w:rFonts w:ascii="Arial" w:hAnsi="Arial" w:cs="Arial"/>
                <w:b/>
                <w:sz w:val="16"/>
                <w:szCs w:val="16"/>
                <w:lang w:val="en-AU" w:eastAsia="en-AU"/>
              </w:rPr>
            </w:pPr>
            <w:r w:rsidRPr="002856D0">
              <w:rPr>
                <w:rFonts w:ascii="Arial" w:hAnsi="Arial" w:cs="Arial"/>
                <w:b/>
                <w:sz w:val="16"/>
                <w:szCs w:val="16"/>
                <w:lang w:val="en-AU" w:eastAsia="en-AU"/>
              </w:rPr>
              <w:t>4,344</w:t>
            </w:r>
          </w:p>
        </w:tc>
      </w:tr>
      <w:tr w:rsidR="00A243DB" w:rsidRPr="00786A56" w14:paraId="678D8240" w14:textId="77777777" w:rsidTr="00D80CAF">
        <w:trPr>
          <w:trHeight w:val="304"/>
        </w:trPr>
        <w:tc>
          <w:tcPr>
            <w:tcW w:w="2574" w:type="pct"/>
            <w:tcBorders>
              <w:top w:val="nil"/>
              <w:left w:val="nil"/>
              <w:bottom w:val="nil"/>
              <w:right w:val="nil"/>
            </w:tcBorders>
            <w:shd w:val="clear" w:color="auto" w:fill="auto"/>
            <w:noWrap/>
            <w:vAlign w:val="center"/>
            <w:hideMark/>
          </w:tcPr>
          <w:p w14:paraId="3BE22090" w14:textId="77777777" w:rsidR="00786A56" w:rsidRPr="00615C42" w:rsidRDefault="00786A56" w:rsidP="009D354A">
            <w:pPr>
              <w:rPr>
                <w:rFonts w:ascii="Arial" w:hAnsi="Arial" w:cs="Arial"/>
                <w:color w:val="000000"/>
                <w:sz w:val="16"/>
                <w:szCs w:val="16"/>
                <w:lang w:val="en-AU" w:eastAsia="en-AU"/>
              </w:rPr>
            </w:pPr>
            <w:r w:rsidRPr="00615C42">
              <w:rPr>
                <w:rFonts w:ascii="Arial" w:hAnsi="Arial" w:cs="Arial"/>
                <w:color w:val="000000"/>
                <w:sz w:val="16"/>
                <w:szCs w:val="16"/>
                <w:lang w:val="en-AU" w:eastAsia="en-AU"/>
              </w:rPr>
              <w:t>Procurement savings initiatives</w:t>
            </w:r>
          </w:p>
        </w:tc>
        <w:tc>
          <w:tcPr>
            <w:tcW w:w="485" w:type="pct"/>
            <w:tcBorders>
              <w:top w:val="nil"/>
              <w:left w:val="nil"/>
              <w:bottom w:val="nil"/>
              <w:right w:val="nil"/>
            </w:tcBorders>
            <w:shd w:val="clear" w:color="000000" w:fill="F2F2F2"/>
            <w:noWrap/>
            <w:vAlign w:val="center"/>
            <w:hideMark/>
          </w:tcPr>
          <w:p w14:paraId="6D0808C1" w14:textId="77777777" w:rsidR="00786A56" w:rsidRPr="00D80CAF" w:rsidRDefault="00786A56" w:rsidP="00DC56BD">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w:t>
            </w:r>
          </w:p>
        </w:tc>
        <w:tc>
          <w:tcPr>
            <w:tcW w:w="485" w:type="pct"/>
            <w:tcBorders>
              <w:top w:val="nil"/>
              <w:left w:val="nil"/>
              <w:bottom w:val="nil"/>
              <w:right w:val="nil"/>
            </w:tcBorders>
            <w:shd w:val="clear" w:color="000000" w:fill="F2F2F2"/>
            <w:noWrap/>
            <w:vAlign w:val="center"/>
            <w:hideMark/>
          </w:tcPr>
          <w:p w14:paraId="6844C926" w14:textId="234805C5" w:rsidR="00786A56" w:rsidRPr="00D80CAF" w:rsidRDefault="002C21DE" w:rsidP="00012F3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164</w:t>
            </w:r>
          </w:p>
        </w:tc>
        <w:tc>
          <w:tcPr>
            <w:tcW w:w="485" w:type="pct"/>
            <w:tcBorders>
              <w:top w:val="nil"/>
              <w:left w:val="nil"/>
              <w:bottom w:val="nil"/>
              <w:right w:val="nil"/>
            </w:tcBorders>
            <w:shd w:val="clear" w:color="000000" w:fill="F2F2F2"/>
            <w:noWrap/>
            <w:vAlign w:val="center"/>
            <w:hideMark/>
          </w:tcPr>
          <w:p w14:paraId="31E5AC85" w14:textId="77777777" w:rsidR="00786A56" w:rsidRPr="00D80CAF" w:rsidRDefault="00786A56" w:rsidP="0020121C">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254</w:t>
            </w:r>
          </w:p>
        </w:tc>
        <w:tc>
          <w:tcPr>
            <w:tcW w:w="485" w:type="pct"/>
            <w:tcBorders>
              <w:top w:val="nil"/>
              <w:left w:val="nil"/>
              <w:bottom w:val="nil"/>
              <w:right w:val="nil"/>
            </w:tcBorders>
            <w:shd w:val="clear" w:color="000000" w:fill="F2F2F2"/>
            <w:noWrap/>
            <w:vAlign w:val="center"/>
            <w:hideMark/>
          </w:tcPr>
          <w:p w14:paraId="53182B81" w14:textId="77777777" w:rsidR="00786A56" w:rsidRPr="00D80CAF" w:rsidRDefault="00786A56">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312</w:t>
            </w:r>
          </w:p>
        </w:tc>
        <w:tc>
          <w:tcPr>
            <w:tcW w:w="486" w:type="pct"/>
            <w:tcBorders>
              <w:top w:val="nil"/>
              <w:left w:val="nil"/>
              <w:bottom w:val="nil"/>
              <w:right w:val="nil"/>
            </w:tcBorders>
            <w:shd w:val="clear" w:color="auto" w:fill="auto"/>
            <w:noWrap/>
            <w:vAlign w:val="center"/>
            <w:hideMark/>
          </w:tcPr>
          <w:p w14:paraId="6149CEC0" w14:textId="02389D98" w:rsidR="00786A56" w:rsidRPr="00D80CAF" w:rsidRDefault="00786A56">
            <w:pPr>
              <w:ind w:firstLineChars="100" w:firstLine="161"/>
              <w:jc w:val="right"/>
              <w:rPr>
                <w:rFonts w:ascii="Arial" w:hAnsi="Arial" w:cs="Arial"/>
                <w:b/>
                <w:sz w:val="16"/>
                <w:szCs w:val="16"/>
                <w:lang w:val="en-AU" w:eastAsia="en-AU"/>
              </w:rPr>
            </w:pPr>
            <w:r w:rsidRPr="00D80CAF">
              <w:rPr>
                <w:rFonts w:ascii="Arial" w:hAnsi="Arial" w:cs="Arial"/>
                <w:b/>
                <w:sz w:val="16"/>
                <w:szCs w:val="16"/>
                <w:lang w:val="en-AU" w:eastAsia="en-AU"/>
              </w:rPr>
              <w:t>72</w:t>
            </w:r>
            <w:r w:rsidR="001E41C1" w:rsidRPr="00D80CAF">
              <w:rPr>
                <w:rFonts w:ascii="Arial" w:hAnsi="Arial" w:cs="Arial"/>
                <w:b/>
                <w:sz w:val="16"/>
                <w:szCs w:val="16"/>
                <w:lang w:val="en-AU" w:eastAsia="en-AU"/>
              </w:rPr>
              <w:t>9</w:t>
            </w:r>
          </w:p>
        </w:tc>
      </w:tr>
      <w:tr w:rsidR="00A243DB" w:rsidRPr="00786A56" w14:paraId="07AD93CD" w14:textId="77777777" w:rsidTr="00D80CAF">
        <w:trPr>
          <w:trHeight w:val="304"/>
        </w:trPr>
        <w:tc>
          <w:tcPr>
            <w:tcW w:w="2574" w:type="pct"/>
            <w:tcBorders>
              <w:top w:val="nil"/>
              <w:left w:val="nil"/>
              <w:bottom w:val="nil"/>
              <w:right w:val="nil"/>
            </w:tcBorders>
            <w:shd w:val="clear" w:color="auto" w:fill="auto"/>
            <w:noWrap/>
            <w:vAlign w:val="center"/>
            <w:hideMark/>
          </w:tcPr>
          <w:p w14:paraId="3ACABDAC" w14:textId="03A7A706" w:rsidR="00786A56" w:rsidRPr="00615C42" w:rsidRDefault="00786A56" w:rsidP="009D354A">
            <w:pPr>
              <w:rPr>
                <w:rFonts w:ascii="Arial" w:hAnsi="Arial" w:cs="Arial"/>
                <w:color w:val="000000"/>
                <w:sz w:val="16"/>
                <w:szCs w:val="16"/>
                <w:lang w:val="en-AU" w:eastAsia="en-AU"/>
              </w:rPr>
            </w:pPr>
            <w:r w:rsidRPr="00615C42">
              <w:rPr>
                <w:rFonts w:ascii="Arial" w:hAnsi="Arial" w:cs="Arial"/>
                <w:color w:val="000000"/>
                <w:sz w:val="16"/>
                <w:szCs w:val="16"/>
                <w:lang w:val="en-AU" w:eastAsia="en-AU"/>
              </w:rPr>
              <w:t xml:space="preserve">Digital Restart Fund </w:t>
            </w:r>
            <w:r w:rsidR="009F74EE" w:rsidRPr="00D80CAF">
              <w:rPr>
                <w:rFonts w:ascii="Arial" w:hAnsi="Arial" w:cs="Arial"/>
                <w:color w:val="000000"/>
                <w:sz w:val="16"/>
                <w:szCs w:val="16"/>
                <w:lang w:val="en-AU" w:eastAsia="en-AU"/>
              </w:rPr>
              <w:t>expense reprioritisation</w:t>
            </w:r>
          </w:p>
        </w:tc>
        <w:tc>
          <w:tcPr>
            <w:tcW w:w="485" w:type="pct"/>
            <w:tcBorders>
              <w:top w:val="nil"/>
              <w:left w:val="nil"/>
              <w:bottom w:val="nil"/>
              <w:right w:val="nil"/>
            </w:tcBorders>
            <w:shd w:val="clear" w:color="000000" w:fill="F2F2F2"/>
            <w:noWrap/>
            <w:vAlign w:val="center"/>
            <w:hideMark/>
          </w:tcPr>
          <w:p w14:paraId="0EDB42F5" w14:textId="77777777" w:rsidR="00786A56" w:rsidRPr="00D80CAF" w:rsidRDefault="00786A56" w:rsidP="00DC56BD">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180</w:t>
            </w:r>
          </w:p>
        </w:tc>
        <w:tc>
          <w:tcPr>
            <w:tcW w:w="485" w:type="pct"/>
            <w:tcBorders>
              <w:top w:val="nil"/>
              <w:left w:val="nil"/>
              <w:bottom w:val="nil"/>
              <w:right w:val="nil"/>
            </w:tcBorders>
            <w:shd w:val="clear" w:color="000000" w:fill="F2F2F2"/>
            <w:noWrap/>
            <w:vAlign w:val="center"/>
            <w:hideMark/>
          </w:tcPr>
          <w:p w14:paraId="0CA471D2" w14:textId="77777777" w:rsidR="00786A56" w:rsidRPr="00D80CAF" w:rsidRDefault="00786A56" w:rsidP="00012F3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210</w:t>
            </w:r>
          </w:p>
        </w:tc>
        <w:tc>
          <w:tcPr>
            <w:tcW w:w="485" w:type="pct"/>
            <w:tcBorders>
              <w:top w:val="nil"/>
              <w:left w:val="nil"/>
              <w:bottom w:val="nil"/>
              <w:right w:val="nil"/>
            </w:tcBorders>
            <w:shd w:val="clear" w:color="000000" w:fill="F2F2F2"/>
            <w:noWrap/>
            <w:vAlign w:val="center"/>
            <w:hideMark/>
          </w:tcPr>
          <w:p w14:paraId="1BAF3D57" w14:textId="77777777" w:rsidR="00786A56" w:rsidRPr="00D80CAF" w:rsidRDefault="00786A56" w:rsidP="0020121C">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210</w:t>
            </w:r>
          </w:p>
        </w:tc>
        <w:tc>
          <w:tcPr>
            <w:tcW w:w="485" w:type="pct"/>
            <w:tcBorders>
              <w:top w:val="nil"/>
              <w:left w:val="nil"/>
              <w:bottom w:val="nil"/>
              <w:right w:val="nil"/>
            </w:tcBorders>
            <w:shd w:val="clear" w:color="000000" w:fill="F2F2F2"/>
            <w:noWrap/>
            <w:vAlign w:val="center"/>
            <w:hideMark/>
          </w:tcPr>
          <w:p w14:paraId="2CD0E0FD" w14:textId="77777777" w:rsidR="00786A56" w:rsidRPr="00D80CAF" w:rsidRDefault="00786A56">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w:t>
            </w:r>
          </w:p>
        </w:tc>
        <w:tc>
          <w:tcPr>
            <w:tcW w:w="486" w:type="pct"/>
            <w:tcBorders>
              <w:top w:val="nil"/>
              <w:left w:val="nil"/>
              <w:bottom w:val="nil"/>
              <w:right w:val="nil"/>
            </w:tcBorders>
            <w:shd w:val="clear" w:color="auto" w:fill="auto"/>
            <w:noWrap/>
            <w:vAlign w:val="center"/>
            <w:hideMark/>
          </w:tcPr>
          <w:p w14:paraId="64540E18" w14:textId="77777777" w:rsidR="00786A56" w:rsidRPr="00D80CAF" w:rsidRDefault="00786A56">
            <w:pPr>
              <w:ind w:firstLineChars="100" w:firstLine="161"/>
              <w:jc w:val="right"/>
              <w:rPr>
                <w:rFonts w:ascii="Arial" w:hAnsi="Arial" w:cs="Arial"/>
                <w:b/>
                <w:sz w:val="16"/>
                <w:szCs w:val="16"/>
                <w:lang w:val="en-AU" w:eastAsia="en-AU"/>
              </w:rPr>
            </w:pPr>
            <w:r w:rsidRPr="00D80CAF">
              <w:rPr>
                <w:rFonts w:ascii="Arial" w:hAnsi="Arial" w:cs="Arial"/>
                <w:b/>
                <w:sz w:val="16"/>
                <w:szCs w:val="16"/>
                <w:lang w:val="en-AU" w:eastAsia="en-AU"/>
              </w:rPr>
              <w:t>600</w:t>
            </w:r>
          </w:p>
        </w:tc>
      </w:tr>
      <w:tr w:rsidR="00A243DB" w:rsidRPr="00786A56" w14:paraId="4C21C5BF" w14:textId="77777777" w:rsidTr="00DD1EC0">
        <w:trPr>
          <w:trHeight w:val="304"/>
        </w:trPr>
        <w:tc>
          <w:tcPr>
            <w:tcW w:w="2574" w:type="pct"/>
            <w:tcBorders>
              <w:top w:val="nil"/>
              <w:left w:val="nil"/>
              <w:bottom w:val="single" w:sz="4" w:space="0" w:color="auto"/>
              <w:right w:val="nil"/>
            </w:tcBorders>
            <w:shd w:val="clear" w:color="auto" w:fill="auto"/>
            <w:vAlign w:val="center"/>
            <w:hideMark/>
          </w:tcPr>
          <w:p w14:paraId="6FCAE04E" w14:textId="444AE3C8" w:rsidR="006D2C9D" w:rsidRPr="002856D0" w:rsidRDefault="006D2C9D" w:rsidP="009D354A">
            <w:pPr>
              <w:rPr>
                <w:rFonts w:ascii="Arial" w:hAnsi="Arial" w:cs="Arial"/>
                <w:b/>
                <w:color w:val="008EBA"/>
                <w:sz w:val="16"/>
                <w:szCs w:val="16"/>
                <w:lang w:val="en-AU" w:eastAsia="en-AU"/>
              </w:rPr>
            </w:pPr>
            <w:r w:rsidRPr="002856D0">
              <w:rPr>
                <w:rFonts w:ascii="Arial" w:hAnsi="Arial" w:cs="Arial"/>
                <w:b/>
                <w:color w:val="008EBA"/>
                <w:sz w:val="16"/>
                <w:szCs w:val="16"/>
                <w:lang w:val="en-AU" w:eastAsia="en-AU"/>
              </w:rPr>
              <w:t>Total reprioritisation, saving and offset measures</w:t>
            </w:r>
          </w:p>
        </w:tc>
        <w:tc>
          <w:tcPr>
            <w:tcW w:w="485" w:type="pct"/>
            <w:tcBorders>
              <w:top w:val="nil"/>
              <w:left w:val="nil"/>
              <w:bottom w:val="single" w:sz="4" w:space="0" w:color="auto"/>
              <w:right w:val="nil"/>
            </w:tcBorders>
            <w:shd w:val="clear" w:color="000000" w:fill="F2F2F2"/>
            <w:noWrap/>
            <w:vAlign w:val="center"/>
          </w:tcPr>
          <w:p w14:paraId="550C0C0B" w14:textId="57781771" w:rsidR="006D2C9D" w:rsidRPr="002856D0" w:rsidRDefault="002B03B5" w:rsidP="006D2C9D">
            <w:pPr>
              <w:ind w:firstLineChars="100" w:firstLine="161"/>
              <w:jc w:val="right"/>
              <w:rPr>
                <w:rFonts w:ascii="Arial" w:hAnsi="Arial" w:cs="Arial"/>
                <w:b/>
                <w:color w:val="008EBA"/>
                <w:sz w:val="16"/>
                <w:szCs w:val="16"/>
                <w:lang w:val="en-AU" w:eastAsia="en-AU"/>
              </w:rPr>
            </w:pPr>
            <w:r w:rsidRPr="002856D0">
              <w:rPr>
                <w:rFonts w:ascii="Arial" w:hAnsi="Arial" w:cs="Arial"/>
                <w:b/>
                <w:color w:val="008EBA"/>
                <w:sz w:val="16"/>
                <w:szCs w:val="16"/>
                <w:lang w:val="en-AU" w:eastAsia="en-AU"/>
              </w:rPr>
              <w:t>775</w:t>
            </w:r>
          </w:p>
        </w:tc>
        <w:tc>
          <w:tcPr>
            <w:tcW w:w="485" w:type="pct"/>
            <w:tcBorders>
              <w:top w:val="nil"/>
              <w:left w:val="nil"/>
              <w:bottom w:val="single" w:sz="4" w:space="0" w:color="auto"/>
              <w:right w:val="nil"/>
            </w:tcBorders>
            <w:shd w:val="clear" w:color="000000" w:fill="F2F2F2"/>
            <w:noWrap/>
            <w:vAlign w:val="center"/>
          </w:tcPr>
          <w:p w14:paraId="4A36D7A4" w14:textId="5AF9A72C" w:rsidR="006D2C9D" w:rsidRPr="002856D0" w:rsidRDefault="002B03B5" w:rsidP="006D2C9D">
            <w:pPr>
              <w:ind w:firstLineChars="100" w:firstLine="161"/>
              <w:jc w:val="right"/>
              <w:rPr>
                <w:rFonts w:ascii="Arial" w:hAnsi="Arial" w:cs="Arial"/>
                <w:b/>
                <w:color w:val="008EBA"/>
                <w:sz w:val="16"/>
                <w:szCs w:val="16"/>
                <w:lang w:val="en-AU" w:eastAsia="en-AU"/>
              </w:rPr>
            </w:pPr>
            <w:r w:rsidRPr="002856D0">
              <w:rPr>
                <w:rFonts w:ascii="Arial" w:hAnsi="Arial" w:cs="Arial"/>
                <w:b/>
                <w:color w:val="008EBA"/>
                <w:sz w:val="16"/>
                <w:szCs w:val="16"/>
                <w:lang w:val="en-AU" w:eastAsia="en-AU"/>
              </w:rPr>
              <w:t>1,27</w:t>
            </w:r>
            <w:r w:rsidR="006F1B53" w:rsidRPr="002856D0">
              <w:rPr>
                <w:rFonts w:ascii="Arial" w:hAnsi="Arial" w:cs="Arial"/>
                <w:b/>
                <w:color w:val="008EBA"/>
                <w:sz w:val="16"/>
                <w:szCs w:val="16"/>
                <w:lang w:val="en-AU" w:eastAsia="en-AU"/>
              </w:rPr>
              <w:t>6</w:t>
            </w:r>
          </w:p>
        </w:tc>
        <w:tc>
          <w:tcPr>
            <w:tcW w:w="485" w:type="pct"/>
            <w:tcBorders>
              <w:top w:val="nil"/>
              <w:left w:val="nil"/>
              <w:bottom w:val="single" w:sz="4" w:space="0" w:color="auto"/>
              <w:right w:val="nil"/>
            </w:tcBorders>
            <w:shd w:val="clear" w:color="000000" w:fill="F2F2F2"/>
            <w:noWrap/>
            <w:vAlign w:val="center"/>
          </w:tcPr>
          <w:p w14:paraId="34FB79A8" w14:textId="6F5E1D2F" w:rsidR="006D2C9D" w:rsidRPr="002856D0" w:rsidRDefault="00AD1CD9" w:rsidP="006D2C9D">
            <w:pPr>
              <w:ind w:firstLineChars="100" w:firstLine="161"/>
              <w:jc w:val="right"/>
              <w:rPr>
                <w:rFonts w:ascii="Arial" w:hAnsi="Arial" w:cs="Arial"/>
                <w:b/>
                <w:color w:val="008EBA"/>
                <w:sz w:val="16"/>
                <w:szCs w:val="16"/>
                <w:lang w:val="en-AU" w:eastAsia="en-AU"/>
              </w:rPr>
            </w:pPr>
            <w:r w:rsidRPr="002856D0">
              <w:rPr>
                <w:rFonts w:ascii="Arial" w:hAnsi="Arial" w:cs="Arial"/>
                <w:b/>
                <w:color w:val="008EBA"/>
                <w:sz w:val="16"/>
                <w:szCs w:val="16"/>
                <w:lang w:val="en-AU" w:eastAsia="en-AU"/>
              </w:rPr>
              <w:t>1,712</w:t>
            </w:r>
          </w:p>
        </w:tc>
        <w:tc>
          <w:tcPr>
            <w:tcW w:w="485" w:type="pct"/>
            <w:tcBorders>
              <w:top w:val="nil"/>
              <w:left w:val="nil"/>
              <w:bottom w:val="single" w:sz="4" w:space="0" w:color="auto"/>
              <w:right w:val="nil"/>
            </w:tcBorders>
            <w:shd w:val="clear" w:color="000000" w:fill="F2F2F2"/>
            <w:noWrap/>
            <w:vAlign w:val="center"/>
          </w:tcPr>
          <w:p w14:paraId="2E76FC06" w14:textId="4FFED4DF" w:rsidR="006D2C9D" w:rsidRPr="002856D0" w:rsidRDefault="00AD1CD9" w:rsidP="006D2C9D">
            <w:pPr>
              <w:ind w:firstLineChars="100" w:firstLine="161"/>
              <w:jc w:val="right"/>
              <w:rPr>
                <w:rFonts w:ascii="Arial" w:hAnsi="Arial" w:cs="Arial"/>
                <w:b/>
                <w:color w:val="008EBA"/>
                <w:sz w:val="16"/>
                <w:szCs w:val="16"/>
                <w:lang w:val="en-AU" w:eastAsia="en-AU"/>
              </w:rPr>
            </w:pPr>
            <w:r w:rsidRPr="002856D0">
              <w:rPr>
                <w:rFonts w:ascii="Arial" w:hAnsi="Arial" w:cs="Arial"/>
                <w:b/>
                <w:color w:val="008EBA"/>
                <w:sz w:val="16"/>
                <w:szCs w:val="16"/>
                <w:lang w:val="en-AU" w:eastAsia="en-AU"/>
              </w:rPr>
              <w:t>1,908</w:t>
            </w:r>
          </w:p>
        </w:tc>
        <w:tc>
          <w:tcPr>
            <w:tcW w:w="486" w:type="pct"/>
            <w:tcBorders>
              <w:top w:val="nil"/>
              <w:left w:val="nil"/>
              <w:bottom w:val="single" w:sz="4" w:space="0" w:color="auto"/>
              <w:right w:val="nil"/>
            </w:tcBorders>
            <w:shd w:val="clear" w:color="auto" w:fill="auto"/>
            <w:noWrap/>
            <w:vAlign w:val="center"/>
          </w:tcPr>
          <w:p w14:paraId="25AF2B6D" w14:textId="01BAAC27" w:rsidR="006D2C9D" w:rsidRPr="002856D0" w:rsidRDefault="00AD1CD9" w:rsidP="006D2C9D">
            <w:pPr>
              <w:jc w:val="right"/>
              <w:rPr>
                <w:rFonts w:ascii="Arial" w:hAnsi="Arial" w:cs="Arial"/>
                <w:b/>
                <w:color w:val="008EBA"/>
                <w:sz w:val="16"/>
                <w:szCs w:val="16"/>
                <w:lang w:val="en-AU" w:eastAsia="en-AU"/>
              </w:rPr>
            </w:pPr>
            <w:r w:rsidRPr="002856D0">
              <w:rPr>
                <w:rFonts w:ascii="Arial" w:hAnsi="Arial" w:cs="Arial"/>
                <w:b/>
                <w:color w:val="008EBA"/>
                <w:sz w:val="16"/>
                <w:szCs w:val="16"/>
                <w:lang w:val="en-AU" w:eastAsia="en-AU"/>
              </w:rPr>
              <w:t>5,670</w:t>
            </w:r>
          </w:p>
        </w:tc>
      </w:tr>
    </w:tbl>
    <w:p w14:paraId="35D4233A" w14:textId="18BC7954" w:rsidR="006D2C9D" w:rsidRPr="007641D2" w:rsidRDefault="00DD1EC0" w:rsidP="00615C42">
      <w:pPr>
        <w:widowControl w:val="0"/>
        <w:numPr>
          <w:ilvl w:val="0"/>
          <w:numId w:val="39"/>
        </w:numPr>
        <w:tabs>
          <w:tab w:val="left" w:pos="382"/>
          <w:tab w:val="right" w:pos="4196"/>
          <w:tab w:val="right" w:pos="5046"/>
          <w:tab w:val="right" w:pos="5897"/>
          <w:tab w:val="right" w:pos="6747"/>
          <w:tab w:val="right" w:pos="7598"/>
        </w:tabs>
        <w:autoSpaceDE w:val="0"/>
        <w:autoSpaceDN w:val="0"/>
        <w:spacing w:before="60" w:after="120"/>
        <w:rPr>
          <w:rFonts w:ascii="Arial" w:hAnsi="Arial" w:cs="Arial"/>
          <w:sz w:val="17"/>
          <w:szCs w:val="17"/>
        </w:rPr>
      </w:pPr>
      <w:r>
        <w:rPr>
          <w:rFonts w:ascii="Arial" w:hAnsi="Arial" w:cs="Arial"/>
          <w:sz w:val="17"/>
          <w:szCs w:val="17"/>
        </w:rPr>
        <w:t xml:space="preserve">The budget result impact of changes to wages policy is $4,311 million over four years to 2023-24, incorporating revenue changes. </w:t>
      </w:r>
    </w:p>
    <w:p w14:paraId="65AA8EE2" w14:textId="0D858BC3" w:rsidR="00E80557" w:rsidRPr="00121636" w:rsidRDefault="00B329D7" w:rsidP="00121636">
      <w:pPr>
        <w:pStyle w:val="Heading3"/>
        <w:rPr>
          <w:rFonts w:ascii="Arial" w:hAnsi="Arial" w:cs="Arial"/>
        </w:rPr>
      </w:pPr>
      <w:r w:rsidRPr="007641D2">
        <w:rPr>
          <w:rFonts w:ascii="Arial" w:hAnsi="Arial" w:cs="Arial"/>
        </w:rPr>
        <w:t>Trends and outlook –</w:t>
      </w:r>
      <w:r w:rsidR="0025369B" w:rsidRPr="007641D2">
        <w:rPr>
          <w:rFonts w:ascii="Arial" w:hAnsi="Arial" w:cs="Arial"/>
        </w:rPr>
        <w:t xml:space="preserve"> </w:t>
      </w:r>
      <w:r w:rsidR="00D726FA" w:rsidRPr="007641D2">
        <w:rPr>
          <w:rFonts w:ascii="Arial" w:hAnsi="Arial" w:cs="Arial"/>
        </w:rPr>
        <w:t>expenses</w:t>
      </w:r>
    </w:p>
    <w:p w14:paraId="53638981" w14:textId="58B9E331" w:rsidR="00AB0133" w:rsidRPr="00B96194" w:rsidRDefault="00CA59C3" w:rsidP="001902A6">
      <w:pPr>
        <w:pStyle w:val="Table5X"/>
        <w:tabs>
          <w:tab w:val="clear" w:pos="0"/>
        </w:tabs>
        <w:rPr>
          <w:rFonts w:cs="Arial"/>
        </w:rPr>
      </w:pPr>
      <w:r>
        <w:rPr>
          <w:rFonts w:cs="Arial"/>
        </w:rPr>
        <w:t>General governments sector expenses</w:t>
      </w:r>
      <w:r w:rsidR="00B96194" w:rsidRPr="007641D2" w:rsidDel="00E61ADE">
        <w:rPr>
          <w:rFonts w:cs="Arial"/>
        </w:rPr>
        <w:t xml:space="preserve"> </w:t>
      </w:r>
    </w:p>
    <w:tbl>
      <w:tblPr>
        <w:tblW w:w="5000" w:type="pct"/>
        <w:tblLook w:val="04A0" w:firstRow="1" w:lastRow="0" w:firstColumn="1" w:lastColumn="0" w:noHBand="0" w:noVBand="1"/>
        <w:tblCaption w:val="Table 5.3: General governments sector expenses "/>
        <w:tblDescription w:val="Table 5.3: General governments sector expenses "/>
      </w:tblPr>
      <w:tblGrid>
        <w:gridCol w:w="2268"/>
        <w:gridCol w:w="1200"/>
        <w:gridCol w:w="1199"/>
        <w:gridCol w:w="1199"/>
        <w:gridCol w:w="1199"/>
        <w:gridCol w:w="1199"/>
        <w:gridCol w:w="1375"/>
      </w:tblGrid>
      <w:tr w:rsidR="003F56BD" w:rsidRPr="00BA6DAC" w14:paraId="4E58F4BE" w14:textId="77777777" w:rsidTr="00FF23F8">
        <w:trPr>
          <w:trHeight w:val="283"/>
        </w:trPr>
        <w:tc>
          <w:tcPr>
            <w:tcW w:w="1176" w:type="pct"/>
            <w:tcBorders>
              <w:top w:val="nil"/>
              <w:left w:val="nil"/>
              <w:bottom w:val="nil"/>
              <w:right w:val="nil"/>
            </w:tcBorders>
            <w:shd w:val="clear" w:color="000000" w:fill="008EBA"/>
            <w:noWrap/>
            <w:vAlign w:val="center"/>
            <w:hideMark/>
          </w:tcPr>
          <w:p w14:paraId="272E0B8B" w14:textId="27F51C0D" w:rsidR="00BA6DAC" w:rsidRPr="00615C42" w:rsidRDefault="00BA6DAC" w:rsidP="00D80CAF">
            <w:pPr>
              <w:jc w:val="center"/>
              <w:rPr>
                <w:rFonts w:ascii="Arial" w:hAnsi="Arial" w:cs="Arial"/>
                <w:color w:val="FFFFFF"/>
                <w:sz w:val="16"/>
                <w:szCs w:val="16"/>
                <w:lang w:val="en-AU" w:eastAsia="zh-CN"/>
              </w:rPr>
            </w:pPr>
          </w:p>
        </w:tc>
        <w:tc>
          <w:tcPr>
            <w:tcW w:w="622" w:type="pct"/>
            <w:tcBorders>
              <w:top w:val="nil"/>
              <w:left w:val="nil"/>
              <w:bottom w:val="nil"/>
              <w:right w:val="nil"/>
            </w:tcBorders>
            <w:shd w:val="clear" w:color="000000" w:fill="008EBA"/>
            <w:vAlign w:val="bottom"/>
            <w:hideMark/>
          </w:tcPr>
          <w:p w14:paraId="2C7D9D60" w14:textId="77777777" w:rsidR="00BA6DAC" w:rsidRPr="00615C42" w:rsidRDefault="00BA6DAC" w:rsidP="00FF23F8">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2019-20</w:t>
            </w:r>
          </w:p>
        </w:tc>
        <w:tc>
          <w:tcPr>
            <w:tcW w:w="622" w:type="pct"/>
            <w:tcBorders>
              <w:top w:val="nil"/>
              <w:left w:val="nil"/>
              <w:bottom w:val="nil"/>
              <w:right w:val="nil"/>
            </w:tcBorders>
            <w:shd w:val="clear" w:color="000000" w:fill="008EBA"/>
            <w:vAlign w:val="bottom"/>
            <w:hideMark/>
          </w:tcPr>
          <w:p w14:paraId="6A0B4975" w14:textId="77777777" w:rsidR="00BA6DAC" w:rsidRPr="00615C42" w:rsidRDefault="00BA6DAC" w:rsidP="00FF23F8">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2020-21</w:t>
            </w:r>
          </w:p>
        </w:tc>
        <w:tc>
          <w:tcPr>
            <w:tcW w:w="622" w:type="pct"/>
            <w:tcBorders>
              <w:top w:val="nil"/>
              <w:left w:val="nil"/>
              <w:bottom w:val="nil"/>
              <w:right w:val="nil"/>
            </w:tcBorders>
            <w:shd w:val="clear" w:color="000000" w:fill="008EBA"/>
            <w:vAlign w:val="bottom"/>
            <w:hideMark/>
          </w:tcPr>
          <w:p w14:paraId="4E0E08AF" w14:textId="77777777" w:rsidR="00BA6DAC" w:rsidRPr="00615C42" w:rsidRDefault="00BA6DAC" w:rsidP="00FF23F8">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2021-22</w:t>
            </w:r>
          </w:p>
        </w:tc>
        <w:tc>
          <w:tcPr>
            <w:tcW w:w="622" w:type="pct"/>
            <w:tcBorders>
              <w:top w:val="nil"/>
              <w:left w:val="nil"/>
              <w:bottom w:val="nil"/>
              <w:right w:val="nil"/>
            </w:tcBorders>
            <w:shd w:val="clear" w:color="000000" w:fill="008EBA"/>
            <w:vAlign w:val="bottom"/>
            <w:hideMark/>
          </w:tcPr>
          <w:p w14:paraId="0B701318" w14:textId="77777777" w:rsidR="00BA6DAC" w:rsidRPr="00615C42" w:rsidRDefault="00BA6DAC" w:rsidP="00FF23F8">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2022-23</w:t>
            </w:r>
          </w:p>
        </w:tc>
        <w:tc>
          <w:tcPr>
            <w:tcW w:w="622" w:type="pct"/>
            <w:tcBorders>
              <w:top w:val="nil"/>
              <w:left w:val="nil"/>
              <w:bottom w:val="nil"/>
              <w:right w:val="nil"/>
            </w:tcBorders>
            <w:shd w:val="clear" w:color="000000" w:fill="008EBA"/>
            <w:vAlign w:val="bottom"/>
            <w:hideMark/>
          </w:tcPr>
          <w:p w14:paraId="65993A50" w14:textId="77777777" w:rsidR="00BA6DAC" w:rsidRPr="00615C42" w:rsidRDefault="00BA6DAC" w:rsidP="00FF23F8">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2023-24</w:t>
            </w:r>
          </w:p>
        </w:tc>
        <w:tc>
          <w:tcPr>
            <w:tcW w:w="713" w:type="pct"/>
            <w:vMerge w:val="restart"/>
            <w:tcBorders>
              <w:top w:val="nil"/>
              <w:left w:val="nil"/>
              <w:bottom w:val="nil"/>
              <w:right w:val="nil"/>
            </w:tcBorders>
            <w:shd w:val="clear" w:color="000000" w:fill="4B5051"/>
            <w:vAlign w:val="center"/>
            <w:hideMark/>
          </w:tcPr>
          <w:p w14:paraId="425EEA8D" w14:textId="7A55D606"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 xml:space="preserve">% </w:t>
            </w:r>
            <w:r w:rsidR="00E75C15">
              <w:rPr>
                <w:rFonts w:ascii="Arial" w:hAnsi="Arial" w:cs="Arial"/>
                <w:color w:val="FFFFFF"/>
                <w:sz w:val="16"/>
                <w:szCs w:val="16"/>
                <w:lang w:val="en-AU" w:eastAsia="zh-CN"/>
              </w:rPr>
              <w:t>A</w:t>
            </w:r>
            <w:r w:rsidRPr="00615C42">
              <w:rPr>
                <w:rFonts w:ascii="Arial" w:hAnsi="Arial" w:cs="Arial"/>
                <w:color w:val="FFFFFF"/>
                <w:sz w:val="16"/>
                <w:szCs w:val="16"/>
                <w:lang w:val="en-AU" w:eastAsia="zh-CN"/>
              </w:rPr>
              <w:t xml:space="preserve">verage growth </w:t>
            </w:r>
            <w:r w:rsidR="00E75C15">
              <w:rPr>
                <w:rFonts w:ascii="Arial" w:hAnsi="Arial" w:cs="Arial"/>
                <w:color w:val="FFFFFF"/>
                <w:sz w:val="16"/>
                <w:szCs w:val="16"/>
                <w:lang w:val="en-AU" w:eastAsia="zh-CN"/>
              </w:rPr>
              <w:t>p.a.</w:t>
            </w:r>
            <w:r w:rsidRPr="00615C42">
              <w:rPr>
                <w:rFonts w:ascii="Arial" w:hAnsi="Arial" w:cs="Arial"/>
                <w:color w:val="FFFFFF"/>
                <w:sz w:val="16"/>
                <w:szCs w:val="16"/>
                <w:lang w:val="en-AU" w:eastAsia="zh-CN"/>
              </w:rPr>
              <w:br/>
              <w:t xml:space="preserve">2019-20 to </w:t>
            </w:r>
            <w:r w:rsidRPr="00615C42">
              <w:rPr>
                <w:rFonts w:ascii="Arial" w:hAnsi="Arial" w:cs="Arial"/>
                <w:color w:val="FFFFFF"/>
                <w:sz w:val="16"/>
                <w:szCs w:val="16"/>
                <w:lang w:val="en-AU" w:eastAsia="zh-CN"/>
              </w:rPr>
              <w:br/>
              <w:t>2023-24</w:t>
            </w:r>
          </w:p>
        </w:tc>
      </w:tr>
      <w:tr w:rsidR="00D80CAF" w:rsidRPr="00D80CAF" w14:paraId="614090C5" w14:textId="77777777" w:rsidTr="00FF23F8">
        <w:trPr>
          <w:trHeight w:val="227"/>
        </w:trPr>
        <w:tc>
          <w:tcPr>
            <w:tcW w:w="1176" w:type="pct"/>
            <w:tcBorders>
              <w:top w:val="nil"/>
              <w:left w:val="nil"/>
              <w:bottom w:val="nil"/>
              <w:right w:val="nil"/>
            </w:tcBorders>
            <w:shd w:val="clear" w:color="000000" w:fill="008EBA"/>
            <w:noWrap/>
            <w:vAlign w:val="center"/>
          </w:tcPr>
          <w:p w14:paraId="18544FE5" w14:textId="77777777" w:rsidR="00D80CAF" w:rsidRPr="00D80CAF" w:rsidRDefault="00D80CAF" w:rsidP="00D80CAF">
            <w:pPr>
              <w:jc w:val="center"/>
              <w:rPr>
                <w:rFonts w:ascii="Arial" w:hAnsi="Arial" w:cs="Arial"/>
                <w:color w:val="FFFFFF"/>
                <w:sz w:val="16"/>
                <w:szCs w:val="16"/>
                <w:lang w:val="en-AU" w:eastAsia="zh-CN"/>
              </w:rPr>
            </w:pPr>
          </w:p>
        </w:tc>
        <w:tc>
          <w:tcPr>
            <w:tcW w:w="622" w:type="pct"/>
            <w:tcBorders>
              <w:top w:val="nil"/>
              <w:left w:val="nil"/>
              <w:bottom w:val="nil"/>
              <w:right w:val="nil"/>
            </w:tcBorders>
            <w:shd w:val="clear" w:color="000000" w:fill="008EBA"/>
            <w:vAlign w:val="center"/>
          </w:tcPr>
          <w:p w14:paraId="7589CA3F" w14:textId="72DD80BB" w:rsidR="00D80CAF" w:rsidRPr="00D80CAF" w:rsidRDefault="00D80CAF" w:rsidP="00D80CAF">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Actual</w:t>
            </w:r>
          </w:p>
        </w:tc>
        <w:tc>
          <w:tcPr>
            <w:tcW w:w="622" w:type="pct"/>
            <w:tcBorders>
              <w:top w:val="nil"/>
              <w:left w:val="nil"/>
              <w:bottom w:val="nil"/>
              <w:right w:val="nil"/>
            </w:tcBorders>
            <w:shd w:val="clear" w:color="000000" w:fill="008EBA"/>
            <w:vAlign w:val="center"/>
          </w:tcPr>
          <w:p w14:paraId="4220CCB8" w14:textId="3CA0D198" w:rsidR="00D80CAF" w:rsidRPr="00D80CAF" w:rsidRDefault="00D80CAF" w:rsidP="00D80CAF">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Budget</w:t>
            </w:r>
          </w:p>
        </w:tc>
        <w:tc>
          <w:tcPr>
            <w:tcW w:w="1866" w:type="pct"/>
            <w:gridSpan w:val="3"/>
            <w:tcBorders>
              <w:top w:val="nil"/>
              <w:left w:val="nil"/>
              <w:bottom w:val="nil"/>
              <w:right w:val="nil"/>
            </w:tcBorders>
            <w:shd w:val="clear" w:color="000000" w:fill="008EBA"/>
            <w:vAlign w:val="center"/>
          </w:tcPr>
          <w:p w14:paraId="19E685BF" w14:textId="748C35F0" w:rsidR="00D80CAF" w:rsidRPr="00D80CAF" w:rsidRDefault="00D80CAF" w:rsidP="00D80CAF">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Forward Estimates</w:t>
            </w:r>
          </w:p>
        </w:tc>
        <w:tc>
          <w:tcPr>
            <w:tcW w:w="713" w:type="pct"/>
            <w:vMerge/>
            <w:tcBorders>
              <w:top w:val="nil"/>
              <w:left w:val="nil"/>
              <w:bottom w:val="nil"/>
              <w:right w:val="nil"/>
            </w:tcBorders>
            <w:shd w:val="clear" w:color="000000" w:fill="4B5051"/>
            <w:vAlign w:val="center"/>
          </w:tcPr>
          <w:p w14:paraId="3BA5C342" w14:textId="77777777" w:rsidR="00D80CAF" w:rsidRPr="00D80CAF" w:rsidRDefault="00D80CAF" w:rsidP="00BA6DAC">
            <w:pPr>
              <w:jc w:val="center"/>
              <w:rPr>
                <w:rFonts w:ascii="Arial" w:hAnsi="Arial" w:cs="Arial"/>
                <w:color w:val="FFFFFF"/>
                <w:sz w:val="16"/>
                <w:szCs w:val="16"/>
                <w:lang w:val="en-AU" w:eastAsia="zh-CN"/>
              </w:rPr>
            </w:pPr>
          </w:p>
        </w:tc>
      </w:tr>
      <w:tr w:rsidR="003F56BD" w:rsidRPr="00BA6DAC" w14:paraId="45E5945D" w14:textId="77777777" w:rsidTr="00FF23F8">
        <w:trPr>
          <w:trHeight w:val="283"/>
        </w:trPr>
        <w:tc>
          <w:tcPr>
            <w:tcW w:w="1176" w:type="pct"/>
            <w:tcBorders>
              <w:top w:val="nil"/>
              <w:left w:val="nil"/>
              <w:bottom w:val="nil"/>
              <w:right w:val="nil"/>
            </w:tcBorders>
            <w:shd w:val="clear" w:color="000000" w:fill="00426F"/>
            <w:noWrap/>
            <w:hideMark/>
          </w:tcPr>
          <w:p w14:paraId="4988E567" w14:textId="77777777" w:rsidR="00BA6DAC" w:rsidRPr="00615C42" w:rsidRDefault="00BA6DAC" w:rsidP="00BA6DAC">
            <w:pPr>
              <w:rPr>
                <w:rFonts w:ascii="Arial" w:hAnsi="Arial" w:cs="Arial"/>
                <w:color w:val="FFFFFF"/>
                <w:sz w:val="16"/>
                <w:szCs w:val="16"/>
                <w:lang w:val="en-AU" w:eastAsia="zh-CN"/>
              </w:rPr>
            </w:pPr>
            <w:r w:rsidRPr="00615C42">
              <w:rPr>
                <w:rFonts w:ascii="Arial" w:hAnsi="Arial" w:cs="Arial"/>
                <w:color w:val="FFFFFF"/>
                <w:sz w:val="16"/>
                <w:szCs w:val="16"/>
                <w:lang w:val="en-AU" w:eastAsia="zh-CN"/>
              </w:rPr>
              <w:t> </w:t>
            </w:r>
          </w:p>
        </w:tc>
        <w:tc>
          <w:tcPr>
            <w:tcW w:w="622" w:type="pct"/>
            <w:tcBorders>
              <w:top w:val="nil"/>
              <w:left w:val="nil"/>
              <w:bottom w:val="nil"/>
              <w:right w:val="nil"/>
            </w:tcBorders>
            <w:shd w:val="clear" w:color="000000" w:fill="00426F"/>
            <w:hideMark/>
          </w:tcPr>
          <w:p w14:paraId="23D587BF" w14:textId="77777777"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$m</w:t>
            </w:r>
          </w:p>
        </w:tc>
        <w:tc>
          <w:tcPr>
            <w:tcW w:w="622" w:type="pct"/>
            <w:tcBorders>
              <w:top w:val="nil"/>
              <w:left w:val="nil"/>
              <w:bottom w:val="nil"/>
              <w:right w:val="nil"/>
            </w:tcBorders>
            <w:shd w:val="clear" w:color="000000" w:fill="00426F"/>
            <w:hideMark/>
          </w:tcPr>
          <w:p w14:paraId="51C5705E" w14:textId="77777777"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$m</w:t>
            </w:r>
          </w:p>
        </w:tc>
        <w:tc>
          <w:tcPr>
            <w:tcW w:w="622" w:type="pct"/>
            <w:tcBorders>
              <w:top w:val="nil"/>
              <w:left w:val="nil"/>
              <w:bottom w:val="nil"/>
              <w:right w:val="nil"/>
            </w:tcBorders>
            <w:shd w:val="clear" w:color="000000" w:fill="00426F"/>
            <w:hideMark/>
          </w:tcPr>
          <w:p w14:paraId="1E74B904" w14:textId="77777777"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$m</w:t>
            </w:r>
          </w:p>
        </w:tc>
        <w:tc>
          <w:tcPr>
            <w:tcW w:w="622" w:type="pct"/>
            <w:tcBorders>
              <w:top w:val="nil"/>
              <w:left w:val="nil"/>
              <w:bottom w:val="nil"/>
              <w:right w:val="nil"/>
            </w:tcBorders>
            <w:shd w:val="clear" w:color="000000" w:fill="00426F"/>
            <w:hideMark/>
          </w:tcPr>
          <w:p w14:paraId="7EEA9362" w14:textId="77777777"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$m</w:t>
            </w:r>
          </w:p>
        </w:tc>
        <w:tc>
          <w:tcPr>
            <w:tcW w:w="622" w:type="pct"/>
            <w:tcBorders>
              <w:top w:val="nil"/>
              <w:left w:val="nil"/>
              <w:bottom w:val="nil"/>
              <w:right w:val="nil"/>
            </w:tcBorders>
            <w:shd w:val="clear" w:color="000000" w:fill="00426F"/>
            <w:hideMark/>
          </w:tcPr>
          <w:p w14:paraId="08251B01" w14:textId="77777777" w:rsidR="00BA6DAC" w:rsidRPr="00615C42" w:rsidRDefault="00BA6DAC" w:rsidP="00BA6DAC">
            <w:pPr>
              <w:jc w:val="center"/>
              <w:rPr>
                <w:rFonts w:ascii="Arial" w:hAnsi="Arial" w:cs="Arial"/>
                <w:color w:val="FFFFFF"/>
                <w:sz w:val="16"/>
                <w:szCs w:val="16"/>
                <w:lang w:val="en-AU" w:eastAsia="zh-CN"/>
              </w:rPr>
            </w:pPr>
            <w:r w:rsidRPr="00615C42">
              <w:rPr>
                <w:rFonts w:ascii="Arial" w:hAnsi="Arial" w:cs="Arial"/>
                <w:color w:val="FFFFFF"/>
                <w:sz w:val="16"/>
                <w:szCs w:val="16"/>
                <w:lang w:val="en-AU" w:eastAsia="zh-CN"/>
              </w:rPr>
              <w:t> </w:t>
            </w:r>
          </w:p>
        </w:tc>
        <w:tc>
          <w:tcPr>
            <w:tcW w:w="713" w:type="pct"/>
            <w:vMerge/>
            <w:tcBorders>
              <w:top w:val="nil"/>
              <w:left w:val="nil"/>
              <w:bottom w:val="nil"/>
              <w:right w:val="nil"/>
            </w:tcBorders>
            <w:vAlign w:val="center"/>
            <w:hideMark/>
          </w:tcPr>
          <w:p w14:paraId="1289A758" w14:textId="77777777" w:rsidR="00BA6DAC" w:rsidRPr="00615C42" w:rsidRDefault="00BA6DAC" w:rsidP="00BA6DAC">
            <w:pPr>
              <w:rPr>
                <w:rFonts w:ascii="Arial" w:hAnsi="Arial" w:cs="Arial"/>
                <w:color w:val="FFFFFF"/>
                <w:sz w:val="16"/>
                <w:szCs w:val="16"/>
                <w:lang w:val="en-AU" w:eastAsia="zh-CN"/>
              </w:rPr>
            </w:pPr>
          </w:p>
        </w:tc>
      </w:tr>
      <w:tr w:rsidR="00FD2785" w:rsidRPr="00BA6DAC" w14:paraId="6BE67425" w14:textId="77777777" w:rsidTr="00D80CAF">
        <w:trPr>
          <w:trHeight w:val="296"/>
        </w:trPr>
        <w:tc>
          <w:tcPr>
            <w:tcW w:w="1176" w:type="pct"/>
            <w:tcBorders>
              <w:top w:val="nil"/>
              <w:left w:val="nil"/>
              <w:bottom w:val="nil"/>
              <w:right w:val="nil"/>
            </w:tcBorders>
            <w:shd w:val="clear" w:color="000000" w:fill="FFFFFF"/>
            <w:vAlign w:val="center"/>
            <w:hideMark/>
          </w:tcPr>
          <w:p w14:paraId="137992DF" w14:textId="77777777" w:rsidR="00BA6DAC" w:rsidRPr="00615C42" w:rsidRDefault="00BA6DAC" w:rsidP="00BA6DAC">
            <w:pPr>
              <w:rPr>
                <w:rFonts w:ascii="Arial" w:hAnsi="Arial" w:cs="Arial"/>
                <w:sz w:val="16"/>
                <w:szCs w:val="16"/>
                <w:lang w:val="en-AU" w:eastAsia="zh-CN"/>
              </w:rPr>
            </w:pPr>
            <w:r w:rsidRPr="00615C42">
              <w:rPr>
                <w:rFonts w:ascii="Arial" w:hAnsi="Arial" w:cs="Arial"/>
                <w:sz w:val="16"/>
                <w:szCs w:val="16"/>
                <w:lang w:val="en-AU" w:eastAsia="zh-CN"/>
              </w:rPr>
              <w:t>Employee Expenses</w:t>
            </w:r>
          </w:p>
        </w:tc>
        <w:tc>
          <w:tcPr>
            <w:tcW w:w="622" w:type="pct"/>
            <w:tcBorders>
              <w:top w:val="nil"/>
              <w:left w:val="nil"/>
              <w:bottom w:val="nil"/>
              <w:right w:val="nil"/>
            </w:tcBorders>
            <w:shd w:val="clear" w:color="000000" w:fill="F2F2F2"/>
            <w:noWrap/>
            <w:vAlign w:val="center"/>
            <w:hideMark/>
          </w:tcPr>
          <w:p w14:paraId="3A043BBF"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35,555</w:t>
            </w:r>
          </w:p>
        </w:tc>
        <w:tc>
          <w:tcPr>
            <w:tcW w:w="622" w:type="pct"/>
            <w:tcBorders>
              <w:top w:val="nil"/>
              <w:left w:val="nil"/>
              <w:bottom w:val="nil"/>
              <w:right w:val="nil"/>
            </w:tcBorders>
            <w:shd w:val="clear" w:color="000000" w:fill="F2F2F2"/>
            <w:noWrap/>
            <w:vAlign w:val="center"/>
            <w:hideMark/>
          </w:tcPr>
          <w:p w14:paraId="4F74D3D8"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37,087</w:t>
            </w:r>
          </w:p>
        </w:tc>
        <w:tc>
          <w:tcPr>
            <w:tcW w:w="622" w:type="pct"/>
            <w:tcBorders>
              <w:top w:val="nil"/>
              <w:left w:val="nil"/>
              <w:bottom w:val="nil"/>
              <w:right w:val="nil"/>
            </w:tcBorders>
            <w:shd w:val="clear" w:color="000000" w:fill="F2F2F2"/>
            <w:noWrap/>
            <w:vAlign w:val="center"/>
            <w:hideMark/>
          </w:tcPr>
          <w:p w14:paraId="4FEFEDEB"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37,610</w:t>
            </w:r>
          </w:p>
        </w:tc>
        <w:tc>
          <w:tcPr>
            <w:tcW w:w="622" w:type="pct"/>
            <w:tcBorders>
              <w:top w:val="nil"/>
              <w:left w:val="nil"/>
              <w:bottom w:val="nil"/>
              <w:right w:val="nil"/>
            </w:tcBorders>
            <w:shd w:val="clear" w:color="000000" w:fill="F2F2F2"/>
            <w:noWrap/>
            <w:vAlign w:val="center"/>
            <w:hideMark/>
          </w:tcPr>
          <w:p w14:paraId="42873227"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38,888</w:t>
            </w:r>
          </w:p>
        </w:tc>
        <w:tc>
          <w:tcPr>
            <w:tcW w:w="622" w:type="pct"/>
            <w:tcBorders>
              <w:top w:val="nil"/>
              <w:left w:val="nil"/>
              <w:bottom w:val="nil"/>
              <w:right w:val="nil"/>
            </w:tcBorders>
            <w:shd w:val="clear" w:color="000000" w:fill="F2F2F2"/>
            <w:noWrap/>
            <w:vAlign w:val="center"/>
            <w:hideMark/>
          </w:tcPr>
          <w:p w14:paraId="579BDD94"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40,075</w:t>
            </w:r>
          </w:p>
        </w:tc>
        <w:tc>
          <w:tcPr>
            <w:tcW w:w="713" w:type="pct"/>
            <w:tcBorders>
              <w:top w:val="nil"/>
              <w:left w:val="nil"/>
              <w:bottom w:val="nil"/>
              <w:right w:val="nil"/>
            </w:tcBorders>
            <w:shd w:val="clear" w:color="000000" w:fill="FFFFFF"/>
            <w:noWrap/>
            <w:vAlign w:val="center"/>
            <w:hideMark/>
          </w:tcPr>
          <w:p w14:paraId="119067B0" w14:textId="77777777" w:rsidR="00BA6DAC" w:rsidRPr="00615C42" w:rsidRDefault="00BA6DAC" w:rsidP="00056F1F">
            <w:pPr>
              <w:ind w:left="-293" w:right="320" w:firstLineChars="100" w:firstLine="160"/>
              <w:jc w:val="right"/>
              <w:rPr>
                <w:rFonts w:ascii="Arial" w:hAnsi="Arial" w:cs="Arial"/>
                <w:sz w:val="16"/>
                <w:szCs w:val="16"/>
                <w:lang w:val="en-AU" w:eastAsia="zh-CN"/>
              </w:rPr>
            </w:pPr>
            <w:r w:rsidRPr="00615C42">
              <w:rPr>
                <w:rFonts w:ascii="Arial" w:hAnsi="Arial" w:cs="Arial"/>
                <w:sz w:val="16"/>
                <w:szCs w:val="16"/>
                <w:lang w:val="en-AU" w:eastAsia="zh-CN"/>
              </w:rPr>
              <w:t xml:space="preserve">3.0 </w:t>
            </w:r>
          </w:p>
        </w:tc>
      </w:tr>
      <w:tr w:rsidR="00FD2785" w:rsidRPr="00BA6DAC" w14:paraId="71C3C138" w14:textId="77777777" w:rsidTr="00D80CAF">
        <w:trPr>
          <w:trHeight w:val="296"/>
        </w:trPr>
        <w:tc>
          <w:tcPr>
            <w:tcW w:w="1176" w:type="pct"/>
            <w:tcBorders>
              <w:top w:val="nil"/>
              <w:left w:val="nil"/>
              <w:bottom w:val="nil"/>
              <w:right w:val="nil"/>
            </w:tcBorders>
            <w:shd w:val="clear" w:color="000000" w:fill="FFFFFF"/>
            <w:vAlign w:val="center"/>
            <w:hideMark/>
          </w:tcPr>
          <w:p w14:paraId="0302ABE7" w14:textId="77777777" w:rsidR="00BA6DAC" w:rsidRPr="00615C42" w:rsidRDefault="00BA6DAC" w:rsidP="00BA6DAC">
            <w:pPr>
              <w:rPr>
                <w:rFonts w:ascii="Arial" w:hAnsi="Arial" w:cs="Arial"/>
                <w:sz w:val="16"/>
                <w:szCs w:val="16"/>
                <w:lang w:val="en-AU" w:eastAsia="zh-CN"/>
              </w:rPr>
            </w:pPr>
            <w:r w:rsidRPr="00615C42">
              <w:rPr>
                <w:rFonts w:ascii="Arial" w:hAnsi="Arial" w:cs="Arial"/>
                <w:sz w:val="16"/>
                <w:szCs w:val="16"/>
                <w:lang w:val="en-AU" w:eastAsia="zh-CN"/>
              </w:rPr>
              <w:t>Superannuation</w:t>
            </w:r>
          </w:p>
        </w:tc>
        <w:tc>
          <w:tcPr>
            <w:tcW w:w="622" w:type="pct"/>
            <w:tcBorders>
              <w:top w:val="nil"/>
              <w:left w:val="nil"/>
              <w:bottom w:val="nil"/>
              <w:right w:val="nil"/>
            </w:tcBorders>
            <w:shd w:val="clear" w:color="000000" w:fill="F2F2F2"/>
            <w:noWrap/>
            <w:vAlign w:val="center"/>
            <w:hideMark/>
          </w:tcPr>
          <w:p w14:paraId="18896528"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4,170</w:t>
            </w:r>
          </w:p>
        </w:tc>
        <w:tc>
          <w:tcPr>
            <w:tcW w:w="622" w:type="pct"/>
            <w:tcBorders>
              <w:top w:val="nil"/>
              <w:left w:val="nil"/>
              <w:bottom w:val="nil"/>
              <w:right w:val="nil"/>
            </w:tcBorders>
            <w:shd w:val="clear" w:color="000000" w:fill="F2F2F2"/>
            <w:noWrap/>
            <w:vAlign w:val="center"/>
            <w:hideMark/>
          </w:tcPr>
          <w:p w14:paraId="69FA77C3"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3,888</w:t>
            </w:r>
          </w:p>
        </w:tc>
        <w:tc>
          <w:tcPr>
            <w:tcW w:w="622" w:type="pct"/>
            <w:tcBorders>
              <w:top w:val="nil"/>
              <w:left w:val="nil"/>
              <w:bottom w:val="nil"/>
              <w:right w:val="nil"/>
            </w:tcBorders>
            <w:shd w:val="clear" w:color="000000" w:fill="F2F2F2"/>
            <w:noWrap/>
            <w:vAlign w:val="center"/>
            <w:hideMark/>
          </w:tcPr>
          <w:p w14:paraId="48D16894"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3,756</w:t>
            </w:r>
          </w:p>
        </w:tc>
        <w:tc>
          <w:tcPr>
            <w:tcW w:w="622" w:type="pct"/>
            <w:tcBorders>
              <w:top w:val="nil"/>
              <w:left w:val="nil"/>
              <w:bottom w:val="nil"/>
              <w:right w:val="nil"/>
            </w:tcBorders>
            <w:shd w:val="clear" w:color="000000" w:fill="F2F2F2"/>
            <w:noWrap/>
            <w:vAlign w:val="center"/>
            <w:hideMark/>
          </w:tcPr>
          <w:p w14:paraId="24A5CF75"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3,771</w:t>
            </w:r>
          </w:p>
        </w:tc>
        <w:tc>
          <w:tcPr>
            <w:tcW w:w="622" w:type="pct"/>
            <w:tcBorders>
              <w:top w:val="nil"/>
              <w:left w:val="nil"/>
              <w:bottom w:val="nil"/>
              <w:right w:val="nil"/>
            </w:tcBorders>
            <w:shd w:val="clear" w:color="000000" w:fill="F2F2F2"/>
            <w:noWrap/>
            <w:vAlign w:val="center"/>
            <w:hideMark/>
          </w:tcPr>
          <w:p w14:paraId="08147F3E" w14:textId="77777777" w:rsidR="00BA6DAC" w:rsidRPr="00615C42" w:rsidRDefault="00BA6DAC" w:rsidP="00BA6DAC">
            <w:pPr>
              <w:jc w:val="right"/>
              <w:rPr>
                <w:rFonts w:ascii="Arial" w:hAnsi="Arial" w:cs="Arial"/>
                <w:sz w:val="16"/>
                <w:szCs w:val="16"/>
                <w:lang w:val="en-AU" w:eastAsia="zh-CN"/>
              </w:rPr>
            </w:pPr>
            <w:r w:rsidRPr="00615C42">
              <w:rPr>
                <w:rFonts w:ascii="Arial" w:hAnsi="Arial" w:cs="Arial"/>
                <w:sz w:val="16"/>
                <w:szCs w:val="16"/>
                <w:lang w:val="en-AU" w:eastAsia="zh-CN"/>
              </w:rPr>
              <w:t>3,969</w:t>
            </w:r>
          </w:p>
        </w:tc>
        <w:tc>
          <w:tcPr>
            <w:tcW w:w="713" w:type="pct"/>
            <w:tcBorders>
              <w:top w:val="nil"/>
              <w:left w:val="nil"/>
              <w:bottom w:val="nil"/>
              <w:right w:val="nil"/>
            </w:tcBorders>
            <w:shd w:val="clear" w:color="000000" w:fill="FFFFFF"/>
            <w:noWrap/>
            <w:vAlign w:val="center"/>
            <w:hideMark/>
          </w:tcPr>
          <w:p w14:paraId="156228CB" w14:textId="77777777" w:rsidR="00BA6DAC" w:rsidRPr="00615C42" w:rsidRDefault="00BA6DAC" w:rsidP="00056F1F">
            <w:pPr>
              <w:ind w:left="-293" w:right="320" w:firstLineChars="100" w:firstLine="160"/>
              <w:jc w:val="right"/>
              <w:rPr>
                <w:rFonts w:ascii="Arial" w:hAnsi="Arial" w:cs="Arial"/>
                <w:sz w:val="16"/>
                <w:szCs w:val="16"/>
                <w:lang w:val="en-AU" w:eastAsia="zh-CN"/>
              </w:rPr>
            </w:pPr>
            <w:r w:rsidRPr="00615C42">
              <w:rPr>
                <w:rFonts w:ascii="Arial" w:hAnsi="Arial" w:cs="Arial"/>
                <w:sz w:val="16"/>
                <w:szCs w:val="16"/>
                <w:lang w:val="en-AU" w:eastAsia="zh-CN"/>
              </w:rPr>
              <w:t>(1.2)</w:t>
            </w:r>
          </w:p>
        </w:tc>
      </w:tr>
      <w:tr w:rsidR="00FD2785" w:rsidRPr="00BA6DAC" w14:paraId="69075D8C" w14:textId="77777777" w:rsidTr="00D80CAF">
        <w:trPr>
          <w:trHeight w:val="296"/>
        </w:trPr>
        <w:tc>
          <w:tcPr>
            <w:tcW w:w="1176" w:type="pct"/>
            <w:tcBorders>
              <w:top w:val="nil"/>
              <w:left w:val="nil"/>
              <w:bottom w:val="nil"/>
              <w:right w:val="nil"/>
            </w:tcBorders>
            <w:shd w:val="clear" w:color="000000" w:fill="FFFFFF"/>
            <w:vAlign w:val="center"/>
            <w:hideMark/>
          </w:tcPr>
          <w:p w14:paraId="7DD87A80" w14:textId="77777777" w:rsidR="00BA6DAC" w:rsidRPr="00615C42" w:rsidRDefault="00BA6DAC" w:rsidP="00BA6DAC">
            <w:pPr>
              <w:rPr>
                <w:rFonts w:ascii="Arial" w:hAnsi="Arial" w:cs="Arial"/>
                <w:color w:val="000000"/>
                <w:sz w:val="16"/>
                <w:szCs w:val="16"/>
                <w:lang w:val="en-AU" w:eastAsia="zh-CN"/>
              </w:rPr>
            </w:pPr>
            <w:r w:rsidRPr="00615C42">
              <w:rPr>
                <w:rFonts w:ascii="Arial" w:hAnsi="Arial" w:cs="Arial"/>
                <w:color w:val="000000"/>
                <w:sz w:val="16"/>
                <w:szCs w:val="16"/>
                <w:lang w:val="en-AU" w:eastAsia="zh-CN"/>
              </w:rPr>
              <w:t>Other Operating</w:t>
            </w:r>
          </w:p>
        </w:tc>
        <w:tc>
          <w:tcPr>
            <w:tcW w:w="622" w:type="pct"/>
            <w:tcBorders>
              <w:top w:val="nil"/>
              <w:left w:val="nil"/>
              <w:bottom w:val="nil"/>
              <w:right w:val="nil"/>
            </w:tcBorders>
            <w:shd w:val="clear" w:color="000000" w:fill="F2F2F2"/>
            <w:noWrap/>
            <w:vAlign w:val="center"/>
            <w:hideMark/>
          </w:tcPr>
          <w:p w14:paraId="74E075C3"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23,156</w:t>
            </w:r>
          </w:p>
        </w:tc>
        <w:tc>
          <w:tcPr>
            <w:tcW w:w="622" w:type="pct"/>
            <w:tcBorders>
              <w:top w:val="nil"/>
              <w:left w:val="nil"/>
              <w:bottom w:val="nil"/>
              <w:right w:val="nil"/>
            </w:tcBorders>
            <w:shd w:val="clear" w:color="000000" w:fill="F2F2F2"/>
            <w:noWrap/>
            <w:vAlign w:val="center"/>
            <w:hideMark/>
          </w:tcPr>
          <w:p w14:paraId="62129E04"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24,824</w:t>
            </w:r>
          </w:p>
        </w:tc>
        <w:tc>
          <w:tcPr>
            <w:tcW w:w="622" w:type="pct"/>
            <w:tcBorders>
              <w:top w:val="nil"/>
              <w:left w:val="nil"/>
              <w:bottom w:val="nil"/>
              <w:right w:val="nil"/>
            </w:tcBorders>
            <w:shd w:val="clear" w:color="000000" w:fill="F2F2F2"/>
            <w:noWrap/>
            <w:vAlign w:val="center"/>
            <w:hideMark/>
          </w:tcPr>
          <w:p w14:paraId="7F44FA1B"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23,506</w:t>
            </w:r>
          </w:p>
        </w:tc>
        <w:tc>
          <w:tcPr>
            <w:tcW w:w="622" w:type="pct"/>
            <w:tcBorders>
              <w:top w:val="nil"/>
              <w:left w:val="nil"/>
              <w:bottom w:val="nil"/>
              <w:right w:val="nil"/>
            </w:tcBorders>
            <w:shd w:val="clear" w:color="000000" w:fill="F2F2F2"/>
            <w:noWrap/>
            <w:vAlign w:val="center"/>
            <w:hideMark/>
          </w:tcPr>
          <w:p w14:paraId="143BEB47"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22,132</w:t>
            </w:r>
          </w:p>
        </w:tc>
        <w:tc>
          <w:tcPr>
            <w:tcW w:w="622" w:type="pct"/>
            <w:tcBorders>
              <w:top w:val="nil"/>
              <w:left w:val="nil"/>
              <w:bottom w:val="nil"/>
              <w:right w:val="nil"/>
            </w:tcBorders>
            <w:shd w:val="clear" w:color="000000" w:fill="F2F2F2"/>
            <w:noWrap/>
            <w:vAlign w:val="center"/>
            <w:hideMark/>
          </w:tcPr>
          <w:p w14:paraId="59BDB3DF"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21,681</w:t>
            </w:r>
          </w:p>
        </w:tc>
        <w:tc>
          <w:tcPr>
            <w:tcW w:w="713" w:type="pct"/>
            <w:tcBorders>
              <w:top w:val="nil"/>
              <w:left w:val="nil"/>
              <w:bottom w:val="nil"/>
              <w:right w:val="nil"/>
            </w:tcBorders>
            <w:shd w:val="clear" w:color="000000" w:fill="FFFFFF"/>
            <w:noWrap/>
            <w:vAlign w:val="center"/>
            <w:hideMark/>
          </w:tcPr>
          <w:p w14:paraId="5DAA4AE0" w14:textId="77777777" w:rsidR="00BA6DAC" w:rsidRPr="00615C42" w:rsidRDefault="00BA6DAC" w:rsidP="00056F1F">
            <w:pPr>
              <w:ind w:left="-293" w:right="320" w:firstLineChars="100" w:firstLine="160"/>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(1.6)</w:t>
            </w:r>
          </w:p>
        </w:tc>
      </w:tr>
      <w:tr w:rsidR="00FD2785" w:rsidRPr="00BA6DAC" w14:paraId="65036BF0" w14:textId="77777777" w:rsidTr="00D80CAF">
        <w:trPr>
          <w:trHeight w:val="296"/>
        </w:trPr>
        <w:tc>
          <w:tcPr>
            <w:tcW w:w="1176" w:type="pct"/>
            <w:tcBorders>
              <w:top w:val="nil"/>
              <w:left w:val="nil"/>
              <w:bottom w:val="nil"/>
              <w:right w:val="nil"/>
            </w:tcBorders>
            <w:shd w:val="clear" w:color="000000" w:fill="FFFFFF"/>
            <w:vAlign w:val="center"/>
            <w:hideMark/>
          </w:tcPr>
          <w:p w14:paraId="5A9CAC75" w14:textId="77777777" w:rsidR="00BA6DAC" w:rsidRPr="00615C42" w:rsidRDefault="00BA6DAC" w:rsidP="00BA6DAC">
            <w:pPr>
              <w:rPr>
                <w:rFonts w:ascii="Arial" w:hAnsi="Arial" w:cs="Arial"/>
                <w:color w:val="000000"/>
                <w:sz w:val="16"/>
                <w:szCs w:val="16"/>
                <w:lang w:val="en-AU" w:eastAsia="zh-CN"/>
              </w:rPr>
            </w:pPr>
            <w:r w:rsidRPr="00615C42">
              <w:rPr>
                <w:rFonts w:ascii="Arial" w:hAnsi="Arial" w:cs="Arial"/>
                <w:color w:val="000000"/>
                <w:sz w:val="16"/>
                <w:szCs w:val="16"/>
                <w:lang w:val="en-AU" w:eastAsia="zh-CN"/>
              </w:rPr>
              <w:t>Depreciation &amp; Amortisation</w:t>
            </w:r>
          </w:p>
        </w:tc>
        <w:tc>
          <w:tcPr>
            <w:tcW w:w="622" w:type="pct"/>
            <w:tcBorders>
              <w:top w:val="nil"/>
              <w:left w:val="nil"/>
              <w:bottom w:val="nil"/>
              <w:right w:val="nil"/>
            </w:tcBorders>
            <w:shd w:val="clear" w:color="000000" w:fill="F2F2F2"/>
            <w:noWrap/>
            <w:vAlign w:val="center"/>
            <w:hideMark/>
          </w:tcPr>
          <w:p w14:paraId="4790F439"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5,948</w:t>
            </w:r>
          </w:p>
        </w:tc>
        <w:tc>
          <w:tcPr>
            <w:tcW w:w="622" w:type="pct"/>
            <w:tcBorders>
              <w:top w:val="nil"/>
              <w:left w:val="nil"/>
              <w:bottom w:val="nil"/>
              <w:right w:val="nil"/>
            </w:tcBorders>
            <w:shd w:val="clear" w:color="000000" w:fill="F2F2F2"/>
            <w:noWrap/>
            <w:vAlign w:val="center"/>
            <w:hideMark/>
          </w:tcPr>
          <w:p w14:paraId="1EF601E1"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7,042</w:t>
            </w:r>
          </w:p>
        </w:tc>
        <w:tc>
          <w:tcPr>
            <w:tcW w:w="622" w:type="pct"/>
            <w:tcBorders>
              <w:top w:val="nil"/>
              <w:left w:val="nil"/>
              <w:bottom w:val="nil"/>
              <w:right w:val="nil"/>
            </w:tcBorders>
            <w:shd w:val="clear" w:color="000000" w:fill="F2F2F2"/>
            <w:noWrap/>
            <w:vAlign w:val="center"/>
            <w:hideMark/>
          </w:tcPr>
          <w:p w14:paraId="5EB2E00A"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7,425</w:t>
            </w:r>
          </w:p>
        </w:tc>
        <w:tc>
          <w:tcPr>
            <w:tcW w:w="622" w:type="pct"/>
            <w:tcBorders>
              <w:top w:val="nil"/>
              <w:left w:val="nil"/>
              <w:bottom w:val="nil"/>
              <w:right w:val="nil"/>
            </w:tcBorders>
            <w:shd w:val="clear" w:color="000000" w:fill="F2F2F2"/>
            <w:noWrap/>
            <w:vAlign w:val="center"/>
            <w:hideMark/>
          </w:tcPr>
          <w:p w14:paraId="0F49CE88"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7,750</w:t>
            </w:r>
          </w:p>
        </w:tc>
        <w:tc>
          <w:tcPr>
            <w:tcW w:w="622" w:type="pct"/>
            <w:tcBorders>
              <w:top w:val="nil"/>
              <w:left w:val="nil"/>
              <w:bottom w:val="nil"/>
              <w:right w:val="nil"/>
            </w:tcBorders>
            <w:shd w:val="clear" w:color="000000" w:fill="F2F2F2"/>
            <w:noWrap/>
            <w:vAlign w:val="center"/>
            <w:hideMark/>
          </w:tcPr>
          <w:p w14:paraId="1D84E44A"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8,044</w:t>
            </w:r>
          </w:p>
        </w:tc>
        <w:tc>
          <w:tcPr>
            <w:tcW w:w="713" w:type="pct"/>
            <w:tcBorders>
              <w:top w:val="nil"/>
              <w:left w:val="nil"/>
              <w:bottom w:val="nil"/>
              <w:right w:val="nil"/>
            </w:tcBorders>
            <w:shd w:val="clear" w:color="000000" w:fill="FFFFFF"/>
            <w:noWrap/>
            <w:vAlign w:val="center"/>
            <w:hideMark/>
          </w:tcPr>
          <w:p w14:paraId="0E36BD28" w14:textId="77777777" w:rsidR="00BA6DAC" w:rsidRPr="00615C42" w:rsidRDefault="00BA6DAC" w:rsidP="00056F1F">
            <w:pPr>
              <w:ind w:left="-293" w:right="320" w:firstLineChars="100" w:firstLine="160"/>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 xml:space="preserve">7.8 </w:t>
            </w:r>
          </w:p>
        </w:tc>
      </w:tr>
      <w:tr w:rsidR="00FD2785" w:rsidRPr="00BA6DAC" w14:paraId="30F1DF32" w14:textId="77777777" w:rsidTr="00D80CAF">
        <w:trPr>
          <w:trHeight w:val="296"/>
        </w:trPr>
        <w:tc>
          <w:tcPr>
            <w:tcW w:w="1176" w:type="pct"/>
            <w:tcBorders>
              <w:top w:val="nil"/>
              <w:left w:val="nil"/>
              <w:bottom w:val="nil"/>
              <w:right w:val="nil"/>
            </w:tcBorders>
            <w:shd w:val="clear" w:color="000000" w:fill="FFFFFF"/>
            <w:vAlign w:val="center"/>
            <w:hideMark/>
          </w:tcPr>
          <w:p w14:paraId="4F50D02C" w14:textId="77777777" w:rsidR="00BA6DAC" w:rsidRPr="00615C42" w:rsidRDefault="00BA6DAC" w:rsidP="00BA6DAC">
            <w:pPr>
              <w:rPr>
                <w:rFonts w:ascii="Arial" w:hAnsi="Arial" w:cs="Arial"/>
                <w:color w:val="000000"/>
                <w:sz w:val="16"/>
                <w:szCs w:val="16"/>
                <w:lang w:val="en-AU" w:eastAsia="zh-CN"/>
              </w:rPr>
            </w:pPr>
            <w:r w:rsidRPr="00615C42">
              <w:rPr>
                <w:rFonts w:ascii="Arial" w:hAnsi="Arial" w:cs="Arial"/>
                <w:color w:val="000000"/>
                <w:sz w:val="16"/>
                <w:szCs w:val="16"/>
                <w:lang w:val="en-AU" w:eastAsia="zh-CN"/>
              </w:rPr>
              <w:t>Grants and Subsidies</w:t>
            </w:r>
          </w:p>
        </w:tc>
        <w:tc>
          <w:tcPr>
            <w:tcW w:w="622" w:type="pct"/>
            <w:tcBorders>
              <w:top w:val="nil"/>
              <w:left w:val="nil"/>
              <w:bottom w:val="nil"/>
              <w:right w:val="nil"/>
            </w:tcBorders>
            <w:shd w:val="clear" w:color="000000" w:fill="F2F2F2"/>
            <w:noWrap/>
            <w:vAlign w:val="center"/>
            <w:hideMark/>
          </w:tcPr>
          <w:p w14:paraId="6A4EF6BB"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17,369</w:t>
            </w:r>
          </w:p>
        </w:tc>
        <w:tc>
          <w:tcPr>
            <w:tcW w:w="622" w:type="pct"/>
            <w:tcBorders>
              <w:top w:val="nil"/>
              <w:left w:val="nil"/>
              <w:bottom w:val="nil"/>
              <w:right w:val="nil"/>
            </w:tcBorders>
            <w:shd w:val="clear" w:color="000000" w:fill="F2F2F2"/>
            <w:noWrap/>
            <w:vAlign w:val="center"/>
            <w:hideMark/>
          </w:tcPr>
          <w:p w14:paraId="725C6076"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22,743</w:t>
            </w:r>
          </w:p>
        </w:tc>
        <w:tc>
          <w:tcPr>
            <w:tcW w:w="622" w:type="pct"/>
            <w:tcBorders>
              <w:top w:val="nil"/>
              <w:left w:val="nil"/>
              <w:bottom w:val="nil"/>
              <w:right w:val="nil"/>
            </w:tcBorders>
            <w:shd w:val="clear" w:color="000000" w:fill="F2F2F2"/>
            <w:noWrap/>
            <w:vAlign w:val="center"/>
            <w:hideMark/>
          </w:tcPr>
          <w:p w14:paraId="5CED8AB9"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19,548</w:t>
            </w:r>
          </w:p>
        </w:tc>
        <w:tc>
          <w:tcPr>
            <w:tcW w:w="622" w:type="pct"/>
            <w:tcBorders>
              <w:top w:val="nil"/>
              <w:left w:val="nil"/>
              <w:bottom w:val="nil"/>
              <w:right w:val="nil"/>
            </w:tcBorders>
            <w:shd w:val="clear" w:color="000000" w:fill="F2F2F2"/>
            <w:noWrap/>
            <w:vAlign w:val="center"/>
            <w:hideMark/>
          </w:tcPr>
          <w:p w14:paraId="1FEFBECA"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17,282</w:t>
            </w:r>
          </w:p>
        </w:tc>
        <w:tc>
          <w:tcPr>
            <w:tcW w:w="622" w:type="pct"/>
            <w:tcBorders>
              <w:top w:val="nil"/>
              <w:left w:val="nil"/>
              <w:bottom w:val="nil"/>
              <w:right w:val="nil"/>
            </w:tcBorders>
            <w:shd w:val="clear" w:color="000000" w:fill="F2F2F2"/>
            <w:noWrap/>
            <w:vAlign w:val="center"/>
            <w:hideMark/>
          </w:tcPr>
          <w:p w14:paraId="4B770E38"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16,542</w:t>
            </w:r>
          </w:p>
        </w:tc>
        <w:tc>
          <w:tcPr>
            <w:tcW w:w="713" w:type="pct"/>
            <w:tcBorders>
              <w:top w:val="nil"/>
              <w:left w:val="nil"/>
              <w:bottom w:val="nil"/>
              <w:right w:val="nil"/>
            </w:tcBorders>
            <w:shd w:val="clear" w:color="000000" w:fill="FFFFFF"/>
            <w:noWrap/>
            <w:vAlign w:val="center"/>
            <w:hideMark/>
          </w:tcPr>
          <w:p w14:paraId="31695515" w14:textId="77777777" w:rsidR="00BA6DAC" w:rsidRPr="00615C42" w:rsidRDefault="00BA6DAC" w:rsidP="00056F1F">
            <w:pPr>
              <w:ind w:left="-293" w:right="320" w:firstLineChars="100" w:firstLine="160"/>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(1.2)</w:t>
            </w:r>
          </w:p>
        </w:tc>
      </w:tr>
      <w:tr w:rsidR="00FD2785" w:rsidRPr="00BA6DAC" w14:paraId="40D4297B" w14:textId="77777777" w:rsidTr="00D80CAF">
        <w:trPr>
          <w:trHeight w:val="296"/>
        </w:trPr>
        <w:tc>
          <w:tcPr>
            <w:tcW w:w="1176" w:type="pct"/>
            <w:tcBorders>
              <w:top w:val="nil"/>
              <w:left w:val="nil"/>
              <w:bottom w:val="nil"/>
              <w:right w:val="nil"/>
            </w:tcBorders>
            <w:shd w:val="clear" w:color="000000" w:fill="FFFFFF"/>
            <w:vAlign w:val="center"/>
            <w:hideMark/>
          </w:tcPr>
          <w:p w14:paraId="4A0C4F77" w14:textId="77777777" w:rsidR="00BA6DAC" w:rsidRPr="00615C42" w:rsidRDefault="00BA6DAC" w:rsidP="00BA6DAC">
            <w:pPr>
              <w:rPr>
                <w:rFonts w:ascii="Arial" w:hAnsi="Arial" w:cs="Arial"/>
                <w:color w:val="000000"/>
                <w:sz w:val="16"/>
                <w:szCs w:val="16"/>
                <w:lang w:val="en-AU" w:eastAsia="zh-CN"/>
              </w:rPr>
            </w:pPr>
            <w:r w:rsidRPr="00615C42">
              <w:rPr>
                <w:rFonts w:ascii="Arial" w:hAnsi="Arial" w:cs="Arial"/>
                <w:color w:val="000000"/>
                <w:sz w:val="16"/>
                <w:szCs w:val="16"/>
                <w:lang w:val="en-AU" w:eastAsia="zh-CN"/>
              </w:rPr>
              <w:t>Interest</w:t>
            </w:r>
          </w:p>
        </w:tc>
        <w:tc>
          <w:tcPr>
            <w:tcW w:w="622" w:type="pct"/>
            <w:tcBorders>
              <w:top w:val="nil"/>
              <w:left w:val="nil"/>
              <w:bottom w:val="nil"/>
              <w:right w:val="nil"/>
            </w:tcBorders>
            <w:shd w:val="clear" w:color="000000" w:fill="F2F2F2"/>
            <w:noWrap/>
            <w:vAlign w:val="center"/>
            <w:hideMark/>
          </w:tcPr>
          <w:p w14:paraId="55515AF3"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2,084</w:t>
            </w:r>
          </w:p>
        </w:tc>
        <w:tc>
          <w:tcPr>
            <w:tcW w:w="622" w:type="pct"/>
            <w:tcBorders>
              <w:top w:val="nil"/>
              <w:left w:val="nil"/>
              <w:bottom w:val="nil"/>
              <w:right w:val="nil"/>
            </w:tcBorders>
            <w:shd w:val="clear" w:color="000000" w:fill="F2F2F2"/>
            <w:noWrap/>
            <w:vAlign w:val="center"/>
            <w:hideMark/>
          </w:tcPr>
          <w:p w14:paraId="2D1B0A80"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2,549</w:t>
            </w:r>
          </w:p>
        </w:tc>
        <w:tc>
          <w:tcPr>
            <w:tcW w:w="622" w:type="pct"/>
            <w:tcBorders>
              <w:top w:val="nil"/>
              <w:left w:val="nil"/>
              <w:bottom w:val="nil"/>
              <w:right w:val="nil"/>
            </w:tcBorders>
            <w:shd w:val="clear" w:color="000000" w:fill="F2F2F2"/>
            <w:noWrap/>
            <w:vAlign w:val="center"/>
            <w:hideMark/>
          </w:tcPr>
          <w:p w14:paraId="016E8B66"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2,673</w:t>
            </w:r>
          </w:p>
        </w:tc>
        <w:tc>
          <w:tcPr>
            <w:tcW w:w="622" w:type="pct"/>
            <w:tcBorders>
              <w:top w:val="nil"/>
              <w:left w:val="nil"/>
              <w:bottom w:val="nil"/>
              <w:right w:val="nil"/>
            </w:tcBorders>
            <w:shd w:val="clear" w:color="000000" w:fill="F2F2F2"/>
            <w:noWrap/>
            <w:vAlign w:val="center"/>
            <w:hideMark/>
          </w:tcPr>
          <w:p w14:paraId="08E672B1"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2,869</w:t>
            </w:r>
          </w:p>
        </w:tc>
        <w:tc>
          <w:tcPr>
            <w:tcW w:w="622" w:type="pct"/>
            <w:tcBorders>
              <w:top w:val="nil"/>
              <w:left w:val="nil"/>
              <w:bottom w:val="nil"/>
              <w:right w:val="nil"/>
            </w:tcBorders>
            <w:shd w:val="clear" w:color="000000" w:fill="F2F2F2"/>
            <w:noWrap/>
            <w:vAlign w:val="center"/>
            <w:hideMark/>
          </w:tcPr>
          <w:p w14:paraId="0BCAB158" w14:textId="77777777" w:rsidR="00BA6DAC" w:rsidRPr="00615C42" w:rsidRDefault="00BA6DAC" w:rsidP="00BA6DAC">
            <w:pPr>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3,079</w:t>
            </w:r>
          </w:p>
        </w:tc>
        <w:tc>
          <w:tcPr>
            <w:tcW w:w="713" w:type="pct"/>
            <w:tcBorders>
              <w:top w:val="nil"/>
              <w:left w:val="nil"/>
              <w:bottom w:val="nil"/>
              <w:right w:val="nil"/>
            </w:tcBorders>
            <w:shd w:val="clear" w:color="000000" w:fill="FFFFFF"/>
            <w:noWrap/>
            <w:vAlign w:val="center"/>
            <w:hideMark/>
          </w:tcPr>
          <w:p w14:paraId="7A022F0E" w14:textId="77777777" w:rsidR="00BA6DAC" w:rsidRPr="00615C42" w:rsidRDefault="00BA6DAC" w:rsidP="00056F1F">
            <w:pPr>
              <w:ind w:left="-293" w:right="320" w:firstLineChars="100" w:firstLine="160"/>
              <w:jc w:val="right"/>
              <w:rPr>
                <w:rFonts w:ascii="Arial" w:hAnsi="Arial" w:cs="Arial"/>
                <w:color w:val="000000"/>
                <w:sz w:val="16"/>
                <w:szCs w:val="16"/>
                <w:lang w:val="en-AU" w:eastAsia="zh-CN"/>
              </w:rPr>
            </w:pPr>
            <w:r w:rsidRPr="00615C42">
              <w:rPr>
                <w:rFonts w:ascii="Arial" w:hAnsi="Arial" w:cs="Arial"/>
                <w:color w:val="000000"/>
                <w:sz w:val="16"/>
                <w:szCs w:val="16"/>
                <w:lang w:val="en-AU" w:eastAsia="zh-CN"/>
              </w:rPr>
              <w:t xml:space="preserve">10.2 </w:t>
            </w:r>
          </w:p>
        </w:tc>
      </w:tr>
      <w:tr w:rsidR="00FD2785" w:rsidRPr="00BA6DAC" w14:paraId="6884FBD2" w14:textId="77777777" w:rsidTr="00D80CAF">
        <w:trPr>
          <w:trHeight w:val="296"/>
        </w:trPr>
        <w:tc>
          <w:tcPr>
            <w:tcW w:w="1176" w:type="pct"/>
            <w:tcBorders>
              <w:top w:val="nil"/>
              <w:left w:val="nil"/>
              <w:bottom w:val="single" w:sz="4" w:space="0" w:color="auto"/>
              <w:right w:val="nil"/>
            </w:tcBorders>
            <w:shd w:val="clear" w:color="000000" w:fill="FFFFFF"/>
            <w:vAlign w:val="center"/>
            <w:hideMark/>
          </w:tcPr>
          <w:p w14:paraId="26481972" w14:textId="77777777" w:rsidR="00BA6DAC" w:rsidRPr="00615C42" w:rsidRDefault="00BA6DAC" w:rsidP="00BA6DAC">
            <w:pPr>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Total Expenses</w:t>
            </w:r>
          </w:p>
        </w:tc>
        <w:tc>
          <w:tcPr>
            <w:tcW w:w="622" w:type="pct"/>
            <w:tcBorders>
              <w:top w:val="nil"/>
              <w:left w:val="nil"/>
              <w:bottom w:val="single" w:sz="4" w:space="0" w:color="auto"/>
              <w:right w:val="nil"/>
            </w:tcBorders>
            <w:shd w:val="clear" w:color="000000" w:fill="F2F2F2"/>
            <w:noWrap/>
            <w:vAlign w:val="center"/>
            <w:hideMark/>
          </w:tcPr>
          <w:p w14:paraId="3704E203" w14:textId="77777777" w:rsidR="00BA6DAC" w:rsidRPr="00615C42" w:rsidRDefault="00BA6DAC" w:rsidP="00BA6DAC">
            <w:pPr>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88,283</w:t>
            </w:r>
          </w:p>
        </w:tc>
        <w:tc>
          <w:tcPr>
            <w:tcW w:w="622" w:type="pct"/>
            <w:tcBorders>
              <w:top w:val="nil"/>
              <w:left w:val="nil"/>
              <w:bottom w:val="single" w:sz="4" w:space="0" w:color="auto"/>
              <w:right w:val="nil"/>
            </w:tcBorders>
            <w:shd w:val="clear" w:color="000000" w:fill="F2F2F2"/>
            <w:noWrap/>
            <w:vAlign w:val="center"/>
            <w:hideMark/>
          </w:tcPr>
          <w:p w14:paraId="515F5E63" w14:textId="77777777" w:rsidR="00BA6DAC" w:rsidRPr="00615C42" w:rsidRDefault="00BA6DAC" w:rsidP="00BA6DAC">
            <w:pPr>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98,133</w:t>
            </w:r>
          </w:p>
        </w:tc>
        <w:tc>
          <w:tcPr>
            <w:tcW w:w="622" w:type="pct"/>
            <w:tcBorders>
              <w:top w:val="nil"/>
              <w:left w:val="nil"/>
              <w:bottom w:val="single" w:sz="4" w:space="0" w:color="auto"/>
              <w:right w:val="nil"/>
            </w:tcBorders>
            <w:shd w:val="clear" w:color="000000" w:fill="F2F2F2"/>
            <w:noWrap/>
            <w:vAlign w:val="center"/>
            <w:hideMark/>
          </w:tcPr>
          <w:p w14:paraId="52B4D8E0" w14:textId="77777777" w:rsidR="00BA6DAC" w:rsidRPr="00615C42" w:rsidRDefault="00BA6DAC" w:rsidP="00BA6DAC">
            <w:pPr>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94,519</w:t>
            </w:r>
          </w:p>
        </w:tc>
        <w:tc>
          <w:tcPr>
            <w:tcW w:w="622" w:type="pct"/>
            <w:tcBorders>
              <w:top w:val="nil"/>
              <w:left w:val="nil"/>
              <w:bottom w:val="single" w:sz="4" w:space="0" w:color="auto"/>
              <w:right w:val="nil"/>
            </w:tcBorders>
            <w:shd w:val="clear" w:color="000000" w:fill="F2F2F2"/>
            <w:noWrap/>
            <w:vAlign w:val="center"/>
            <w:hideMark/>
          </w:tcPr>
          <w:p w14:paraId="7EF0EC34" w14:textId="77777777" w:rsidR="00BA6DAC" w:rsidRPr="00615C42" w:rsidRDefault="00BA6DAC" w:rsidP="00BA6DAC">
            <w:pPr>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92,692</w:t>
            </w:r>
          </w:p>
        </w:tc>
        <w:tc>
          <w:tcPr>
            <w:tcW w:w="622" w:type="pct"/>
            <w:tcBorders>
              <w:top w:val="nil"/>
              <w:left w:val="nil"/>
              <w:bottom w:val="single" w:sz="4" w:space="0" w:color="auto"/>
              <w:right w:val="nil"/>
            </w:tcBorders>
            <w:shd w:val="clear" w:color="000000" w:fill="F2F2F2"/>
            <w:noWrap/>
            <w:vAlign w:val="center"/>
            <w:hideMark/>
          </w:tcPr>
          <w:p w14:paraId="7BA27721" w14:textId="77777777" w:rsidR="00BA6DAC" w:rsidRPr="00615C42" w:rsidRDefault="00BA6DAC" w:rsidP="00BA6DAC">
            <w:pPr>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93,390</w:t>
            </w:r>
          </w:p>
        </w:tc>
        <w:tc>
          <w:tcPr>
            <w:tcW w:w="713" w:type="pct"/>
            <w:tcBorders>
              <w:top w:val="nil"/>
              <w:left w:val="nil"/>
              <w:bottom w:val="single" w:sz="4" w:space="0" w:color="auto"/>
              <w:right w:val="nil"/>
            </w:tcBorders>
            <w:shd w:val="clear" w:color="000000" w:fill="FFFFFF"/>
            <w:noWrap/>
            <w:vAlign w:val="center"/>
            <w:hideMark/>
          </w:tcPr>
          <w:p w14:paraId="22C13117" w14:textId="77777777" w:rsidR="00BA6DAC" w:rsidRPr="00615C42" w:rsidRDefault="00BA6DAC" w:rsidP="00056F1F">
            <w:pPr>
              <w:ind w:left="-293" w:right="320" w:firstLineChars="100" w:firstLine="161"/>
              <w:jc w:val="right"/>
              <w:rPr>
                <w:rFonts w:ascii="Arial" w:hAnsi="Arial" w:cs="Arial"/>
                <w:b/>
                <w:bCs/>
                <w:color w:val="008EBA"/>
                <w:sz w:val="16"/>
                <w:szCs w:val="16"/>
                <w:lang w:val="en-AU" w:eastAsia="zh-CN"/>
              </w:rPr>
            </w:pPr>
            <w:r w:rsidRPr="00615C42">
              <w:rPr>
                <w:rFonts w:ascii="Arial" w:hAnsi="Arial" w:cs="Arial"/>
                <w:b/>
                <w:bCs/>
                <w:color w:val="008EBA"/>
                <w:sz w:val="16"/>
                <w:szCs w:val="16"/>
                <w:lang w:val="en-AU" w:eastAsia="zh-CN"/>
              </w:rPr>
              <w:t xml:space="preserve">1.4 </w:t>
            </w:r>
          </w:p>
        </w:tc>
      </w:tr>
      <w:tr w:rsidR="00FD2785" w:rsidRPr="00BA6DAC" w14:paraId="7C703C65" w14:textId="77777777" w:rsidTr="00D80CAF">
        <w:trPr>
          <w:trHeight w:val="296"/>
        </w:trPr>
        <w:tc>
          <w:tcPr>
            <w:tcW w:w="1176" w:type="pct"/>
            <w:tcBorders>
              <w:top w:val="single" w:sz="4" w:space="0" w:color="auto"/>
              <w:left w:val="nil"/>
              <w:bottom w:val="single" w:sz="4" w:space="0" w:color="auto"/>
              <w:right w:val="nil"/>
            </w:tcBorders>
            <w:shd w:val="clear" w:color="000000" w:fill="FFFFFF"/>
            <w:vAlign w:val="center"/>
            <w:hideMark/>
          </w:tcPr>
          <w:p w14:paraId="50BD9788" w14:textId="77777777" w:rsidR="00BA6DAC" w:rsidRPr="00615C42" w:rsidRDefault="00BA6DAC" w:rsidP="00BA6DAC">
            <w:pPr>
              <w:rPr>
                <w:rFonts w:ascii="Arial" w:hAnsi="Arial" w:cs="Arial"/>
                <w:color w:val="000000"/>
                <w:sz w:val="16"/>
                <w:szCs w:val="16"/>
                <w:lang w:val="en-AU" w:eastAsia="zh-CN"/>
              </w:rPr>
            </w:pPr>
            <w:r w:rsidRPr="00615C42">
              <w:rPr>
                <w:rFonts w:ascii="Arial" w:hAnsi="Arial" w:cs="Arial"/>
                <w:color w:val="000000"/>
                <w:sz w:val="16"/>
                <w:szCs w:val="16"/>
                <w:lang w:val="en-AU" w:eastAsia="zh-CN"/>
              </w:rPr>
              <w:t>Annual change</w:t>
            </w:r>
          </w:p>
        </w:tc>
        <w:tc>
          <w:tcPr>
            <w:tcW w:w="622" w:type="pct"/>
            <w:tcBorders>
              <w:top w:val="single" w:sz="4" w:space="0" w:color="auto"/>
              <w:left w:val="nil"/>
              <w:bottom w:val="single" w:sz="4" w:space="0" w:color="auto"/>
              <w:right w:val="nil"/>
            </w:tcBorders>
            <w:shd w:val="clear" w:color="000000" w:fill="F2F2F2"/>
            <w:noWrap/>
            <w:vAlign w:val="center"/>
            <w:hideMark/>
          </w:tcPr>
          <w:p w14:paraId="146B19FF" w14:textId="77777777" w:rsidR="00BA6DAC" w:rsidRPr="00615C42" w:rsidRDefault="00BA6DAC" w:rsidP="00BA6DAC">
            <w:pPr>
              <w:jc w:val="right"/>
              <w:rPr>
                <w:rFonts w:ascii="Arial" w:hAnsi="Arial" w:cs="Arial"/>
                <w:i/>
                <w:iCs/>
                <w:color w:val="000000"/>
                <w:sz w:val="16"/>
                <w:szCs w:val="16"/>
                <w:lang w:val="en-AU" w:eastAsia="zh-CN"/>
              </w:rPr>
            </w:pPr>
            <w:r w:rsidRPr="00615C42">
              <w:rPr>
                <w:rFonts w:ascii="Arial" w:hAnsi="Arial" w:cs="Arial"/>
                <w:i/>
                <w:iCs/>
                <w:color w:val="000000"/>
                <w:sz w:val="16"/>
                <w:szCs w:val="16"/>
                <w:lang w:val="en-AU" w:eastAsia="zh-CN"/>
              </w:rPr>
              <w:t>9.7%</w:t>
            </w:r>
          </w:p>
        </w:tc>
        <w:tc>
          <w:tcPr>
            <w:tcW w:w="622" w:type="pct"/>
            <w:tcBorders>
              <w:top w:val="single" w:sz="4" w:space="0" w:color="auto"/>
              <w:left w:val="nil"/>
              <w:bottom w:val="single" w:sz="4" w:space="0" w:color="auto"/>
              <w:right w:val="nil"/>
            </w:tcBorders>
            <w:shd w:val="clear" w:color="000000" w:fill="F2F2F2"/>
            <w:noWrap/>
            <w:vAlign w:val="center"/>
            <w:hideMark/>
          </w:tcPr>
          <w:p w14:paraId="6BD0FA17" w14:textId="77777777" w:rsidR="00BA6DAC" w:rsidRPr="00615C42" w:rsidRDefault="00BA6DAC" w:rsidP="00BA6DAC">
            <w:pPr>
              <w:jc w:val="right"/>
              <w:rPr>
                <w:rFonts w:ascii="Arial" w:hAnsi="Arial" w:cs="Arial"/>
                <w:i/>
                <w:iCs/>
                <w:color w:val="000000"/>
                <w:sz w:val="16"/>
                <w:szCs w:val="16"/>
                <w:lang w:val="en-AU" w:eastAsia="zh-CN"/>
              </w:rPr>
            </w:pPr>
            <w:r w:rsidRPr="00615C42">
              <w:rPr>
                <w:rFonts w:ascii="Arial" w:hAnsi="Arial" w:cs="Arial"/>
                <w:i/>
                <w:iCs/>
                <w:color w:val="000000"/>
                <w:sz w:val="16"/>
                <w:szCs w:val="16"/>
                <w:lang w:val="en-AU" w:eastAsia="zh-CN"/>
              </w:rPr>
              <w:t>11.2%</w:t>
            </w:r>
          </w:p>
        </w:tc>
        <w:tc>
          <w:tcPr>
            <w:tcW w:w="622" w:type="pct"/>
            <w:tcBorders>
              <w:top w:val="single" w:sz="4" w:space="0" w:color="auto"/>
              <w:left w:val="nil"/>
              <w:bottom w:val="single" w:sz="4" w:space="0" w:color="auto"/>
              <w:right w:val="nil"/>
            </w:tcBorders>
            <w:shd w:val="clear" w:color="000000" w:fill="F2F2F2"/>
            <w:noWrap/>
            <w:vAlign w:val="center"/>
            <w:hideMark/>
          </w:tcPr>
          <w:p w14:paraId="4B1735DF" w14:textId="77777777" w:rsidR="00BA6DAC" w:rsidRPr="00615C42" w:rsidRDefault="00BA6DAC" w:rsidP="00BA6DAC">
            <w:pPr>
              <w:jc w:val="right"/>
              <w:rPr>
                <w:rFonts w:ascii="Arial" w:hAnsi="Arial" w:cs="Arial"/>
                <w:i/>
                <w:iCs/>
                <w:color w:val="000000"/>
                <w:sz w:val="16"/>
                <w:szCs w:val="16"/>
                <w:lang w:val="en-AU" w:eastAsia="zh-CN"/>
              </w:rPr>
            </w:pPr>
            <w:r w:rsidRPr="00615C42">
              <w:rPr>
                <w:rFonts w:ascii="Arial" w:hAnsi="Arial" w:cs="Arial"/>
                <w:i/>
                <w:iCs/>
                <w:color w:val="000000"/>
                <w:sz w:val="16"/>
                <w:szCs w:val="16"/>
                <w:lang w:val="en-AU" w:eastAsia="zh-CN"/>
              </w:rPr>
              <w:t>-3.7%</w:t>
            </w:r>
          </w:p>
        </w:tc>
        <w:tc>
          <w:tcPr>
            <w:tcW w:w="622" w:type="pct"/>
            <w:tcBorders>
              <w:top w:val="single" w:sz="4" w:space="0" w:color="auto"/>
              <w:left w:val="nil"/>
              <w:bottom w:val="single" w:sz="4" w:space="0" w:color="auto"/>
              <w:right w:val="nil"/>
            </w:tcBorders>
            <w:shd w:val="clear" w:color="000000" w:fill="F2F2F2"/>
            <w:noWrap/>
            <w:vAlign w:val="center"/>
            <w:hideMark/>
          </w:tcPr>
          <w:p w14:paraId="547A8D0B" w14:textId="77777777" w:rsidR="00BA6DAC" w:rsidRPr="00615C42" w:rsidRDefault="00BA6DAC" w:rsidP="00BA6DAC">
            <w:pPr>
              <w:jc w:val="right"/>
              <w:rPr>
                <w:rFonts w:ascii="Arial" w:hAnsi="Arial" w:cs="Arial"/>
                <w:i/>
                <w:iCs/>
                <w:color w:val="000000"/>
                <w:sz w:val="16"/>
                <w:szCs w:val="16"/>
                <w:lang w:val="en-AU" w:eastAsia="zh-CN"/>
              </w:rPr>
            </w:pPr>
            <w:r w:rsidRPr="00615C42">
              <w:rPr>
                <w:rFonts w:ascii="Arial" w:hAnsi="Arial" w:cs="Arial"/>
                <w:i/>
                <w:iCs/>
                <w:color w:val="000000"/>
                <w:sz w:val="16"/>
                <w:szCs w:val="16"/>
                <w:lang w:val="en-AU" w:eastAsia="zh-CN"/>
              </w:rPr>
              <w:t>-1.9%</w:t>
            </w:r>
          </w:p>
        </w:tc>
        <w:tc>
          <w:tcPr>
            <w:tcW w:w="622" w:type="pct"/>
            <w:tcBorders>
              <w:top w:val="single" w:sz="4" w:space="0" w:color="auto"/>
              <w:left w:val="nil"/>
              <w:bottom w:val="single" w:sz="4" w:space="0" w:color="auto"/>
              <w:right w:val="nil"/>
            </w:tcBorders>
            <w:shd w:val="clear" w:color="000000" w:fill="F2F2F2"/>
            <w:noWrap/>
            <w:vAlign w:val="center"/>
            <w:hideMark/>
          </w:tcPr>
          <w:p w14:paraId="7C81C173" w14:textId="77777777" w:rsidR="00BA6DAC" w:rsidRPr="00615C42" w:rsidRDefault="00BA6DAC" w:rsidP="00BA6DAC">
            <w:pPr>
              <w:jc w:val="right"/>
              <w:rPr>
                <w:rFonts w:ascii="Arial" w:hAnsi="Arial" w:cs="Arial"/>
                <w:i/>
                <w:iCs/>
                <w:color w:val="000000"/>
                <w:sz w:val="16"/>
                <w:szCs w:val="16"/>
                <w:lang w:val="en-AU" w:eastAsia="zh-CN"/>
              </w:rPr>
            </w:pPr>
            <w:r w:rsidRPr="00615C42">
              <w:rPr>
                <w:rFonts w:ascii="Arial" w:hAnsi="Arial" w:cs="Arial"/>
                <w:i/>
                <w:iCs/>
                <w:color w:val="000000"/>
                <w:sz w:val="16"/>
                <w:szCs w:val="16"/>
                <w:lang w:val="en-AU" w:eastAsia="zh-CN"/>
              </w:rPr>
              <w:t>0.8%</w:t>
            </w:r>
          </w:p>
        </w:tc>
        <w:tc>
          <w:tcPr>
            <w:tcW w:w="713" w:type="pct"/>
            <w:tcBorders>
              <w:top w:val="single" w:sz="4" w:space="0" w:color="auto"/>
              <w:left w:val="nil"/>
              <w:bottom w:val="single" w:sz="4" w:space="0" w:color="auto"/>
              <w:right w:val="nil"/>
            </w:tcBorders>
            <w:shd w:val="clear" w:color="000000" w:fill="FFFFFF"/>
            <w:noWrap/>
            <w:vAlign w:val="center"/>
            <w:hideMark/>
          </w:tcPr>
          <w:p w14:paraId="18E74C8B" w14:textId="77777777" w:rsidR="00BA6DAC" w:rsidRPr="00615C42" w:rsidRDefault="00BA6DAC" w:rsidP="00056F1F">
            <w:pPr>
              <w:ind w:left="-293" w:right="320"/>
              <w:jc w:val="right"/>
              <w:rPr>
                <w:rFonts w:ascii="Arial" w:hAnsi="Arial" w:cs="Arial"/>
                <w:b/>
                <w:bCs/>
                <w:color w:val="0579B9"/>
                <w:sz w:val="16"/>
                <w:szCs w:val="16"/>
                <w:lang w:val="en-AU" w:eastAsia="zh-CN"/>
              </w:rPr>
            </w:pPr>
            <w:r w:rsidRPr="00615C42">
              <w:rPr>
                <w:rFonts w:ascii="Arial" w:hAnsi="Arial" w:cs="Arial"/>
                <w:b/>
                <w:bCs/>
                <w:color w:val="0579B9"/>
                <w:sz w:val="16"/>
                <w:szCs w:val="16"/>
                <w:lang w:val="en-AU" w:eastAsia="zh-CN"/>
              </w:rPr>
              <w:t> </w:t>
            </w:r>
          </w:p>
        </w:tc>
      </w:tr>
    </w:tbl>
    <w:p w14:paraId="1F7A1F37" w14:textId="10C15A3C" w:rsidR="00B704BD" w:rsidRDefault="00B704BD" w:rsidP="00AB0133">
      <w:pPr>
        <w:pStyle w:val="paragraph"/>
        <w:textAlignment w:val="baseline"/>
        <w:rPr>
          <w:rFonts w:ascii="Arial" w:hAnsi="Arial" w:cs="Arial"/>
          <w:sz w:val="23"/>
          <w:szCs w:val="23"/>
        </w:rPr>
      </w:pPr>
    </w:p>
    <w:p w14:paraId="7714420E" w14:textId="1980B770" w:rsidR="006D1A93" w:rsidRDefault="006D1A93">
      <w:pPr>
        <w:pStyle w:val="BodyText"/>
      </w:pPr>
      <w:r>
        <w:t xml:space="preserve">This section provides an </w:t>
      </w:r>
      <w:r w:rsidR="00BA367A">
        <w:t xml:space="preserve">expense line </w:t>
      </w:r>
      <w:r>
        <w:t>analysis o</w:t>
      </w:r>
      <w:r w:rsidR="005F0189">
        <w:t>f</w:t>
      </w:r>
      <w:r>
        <w:t xml:space="preserve"> </w:t>
      </w:r>
      <w:r w:rsidR="00BA367A">
        <w:t xml:space="preserve">the Government’s operating </w:t>
      </w:r>
      <w:r>
        <w:t>expenditur</w:t>
      </w:r>
      <w:r w:rsidR="00753D2D">
        <w:t xml:space="preserve">e, as outlined in Table 5.3. </w:t>
      </w:r>
      <w:r>
        <w:t xml:space="preserve"> </w:t>
      </w:r>
    </w:p>
    <w:p w14:paraId="6DB84641" w14:textId="3E97A43F" w:rsidR="00BC737E" w:rsidRPr="00D117BC" w:rsidRDefault="00BA136C">
      <w:pPr>
        <w:pStyle w:val="BodyText"/>
      </w:pPr>
      <w:r w:rsidRPr="00D117BC">
        <w:t>Consistent with p</w:t>
      </w:r>
      <w:r w:rsidR="009C6B0B" w:rsidRPr="00D117BC">
        <w:t xml:space="preserve">ast </w:t>
      </w:r>
      <w:proofErr w:type="gramStart"/>
      <w:r w:rsidR="009C6B0B" w:rsidRPr="00D117BC">
        <w:t>years</w:t>
      </w:r>
      <w:r w:rsidR="009208C6" w:rsidRPr="00D117BC">
        <w:t>,</w:t>
      </w:r>
      <w:r w:rsidR="00840D2C" w:rsidRPr="00D117BC">
        <w:t xml:space="preserve"> and</w:t>
      </w:r>
      <w:proofErr w:type="gramEnd"/>
      <w:r w:rsidR="00840D2C" w:rsidRPr="00D117BC">
        <w:t xml:space="preserve"> reflecting the service-oriented nature of the State Government</w:t>
      </w:r>
      <w:r w:rsidR="009C6B0B" w:rsidRPr="00D117BC">
        <w:t>, e</w:t>
      </w:r>
      <w:r w:rsidR="00AB0133" w:rsidRPr="00D117BC">
        <w:t>mployee</w:t>
      </w:r>
      <w:r w:rsidR="00E5769C" w:rsidRPr="00D117BC">
        <w:noBreakHyphen/>
      </w:r>
      <w:r w:rsidR="00AB0133" w:rsidRPr="00D117BC">
        <w:t>related expenses (</w:t>
      </w:r>
      <w:r w:rsidR="00F37D31" w:rsidRPr="00D117BC">
        <w:t xml:space="preserve">excluding </w:t>
      </w:r>
      <w:r w:rsidR="00AB0133" w:rsidRPr="00D117BC">
        <w:t xml:space="preserve">superannuation) </w:t>
      </w:r>
      <w:r w:rsidR="00122320" w:rsidRPr="00D117BC">
        <w:t xml:space="preserve">account for the largest share of spend at </w:t>
      </w:r>
      <w:r w:rsidR="00584DB4" w:rsidRPr="00615C42">
        <w:t>37.8</w:t>
      </w:r>
      <w:r w:rsidR="00AB0133" w:rsidRPr="00D117BC">
        <w:t> per cent of total</w:t>
      </w:r>
      <w:r w:rsidR="00F03D36" w:rsidRPr="00D117BC">
        <w:t xml:space="preserve"> expenses in </w:t>
      </w:r>
      <w:r w:rsidR="00AB0133" w:rsidRPr="00D117BC">
        <w:t>2020-21</w:t>
      </w:r>
      <w:r w:rsidR="00AB0133" w:rsidRPr="00615C42">
        <w:t xml:space="preserve">. </w:t>
      </w:r>
      <w:r w:rsidR="007D2135" w:rsidRPr="00615C42">
        <w:t>This is consistent with</w:t>
      </w:r>
      <w:r w:rsidR="00067D12" w:rsidRPr="00615C42">
        <w:t xml:space="preserve"> </w:t>
      </w:r>
      <w:r w:rsidR="007D2135" w:rsidRPr="00615C42">
        <w:t>other Australian states and territories.</w:t>
      </w:r>
      <w:r w:rsidR="00AB0133" w:rsidRPr="00D117BC">
        <w:t xml:space="preserve"> </w:t>
      </w:r>
    </w:p>
    <w:p w14:paraId="4815569E" w14:textId="2BF2A4BD" w:rsidR="004B21B7" w:rsidRPr="00D117BC" w:rsidRDefault="00AB0133">
      <w:pPr>
        <w:pStyle w:val="BodyText"/>
      </w:pPr>
      <w:r w:rsidRPr="00D117BC">
        <w:t xml:space="preserve">Other operating expenses </w:t>
      </w:r>
      <w:r w:rsidR="00BC737E" w:rsidRPr="00D117BC">
        <w:t xml:space="preserve">make up </w:t>
      </w:r>
      <w:r w:rsidRPr="00D117BC">
        <w:t xml:space="preserve">the </w:t>
      </w:r>
      <w:r w:rsidRPr="00615C42">
        <w:t>second</w:t>
      </w:r>
      <w:r w:rsidRPr="00D117BC">
        <w:t xml:space="preserve"> largest category (</w:t>
      </w:r>
      <w:r w:rsidR="001E6516" w:rsidRPr="00615C42">
        <w:t>2</w:t>
      </w:r>
      <w:r w:rsidR="00584DB4" w:rsidRPr="00615C42">
        <w:t>5.</w:t>
      </w:r>
      <w:r w:rsidR="00EE2503" w:rsidRPr="00615C42">
        <w:t>3</w:t>
      </w:r>
      <w:r w:rsidRPr="00D117BC">
        <w:t> per cent)</w:t>
      </w:r>
      <w:r w:rsidR="005C568B" w:rsidRPr="00D117BC">
        <w:t xml:space="preserve"> and</w:t>
      </w:r>
      <w:r w:rsidR="00DC14D3" w:rsidRPr="00D117BC">
        <w:t xml:space="preserve"> include consultant and contractor </w:t>
      </w:r>
      <w:r w:rsidR="00821F09" w:rsidRPr="00D117BC">
        <w:t>fees</w:t>
      </w:r>
      <w:r w:rsidR="00BA55B5" w:rsidRPr="00D117BC">
        <w:t>, and repairs and maintenance costs</w:t>
      </w:r>
      <w:r w:rsidR="004923AF" w:rsidRPr="00D117BC">
        <w:t xml:space="preserve">. </w:t>
      </w:r>
    </w:p>
    <w:p w14:paraId="032B1550" w14:textId="7B655048" w:rsidR="00F223C6" w:rsidRPr="00D80CAF" w:rsidRDefault="00CD4341" w:rsidP="00615C42">
      <w:pPr>
        <w:pStyle w:val="BodyText"/>
        <w:rPr>
          <w:color w:val="4F4F4F"/>
          <w:kern w:val="28"/>
          <w:sz w:val="22"/>
          <w:szCs w:val="22"/>
        </w:rPr>
      </w:pPr>
      <w:r w:rsidRPr="00D117BC">
        <w:t>G</w:t>
      </w:r>
      <w:r w:rsidR="00AB0133" w:rsidRPr="00D117BC">
        <w:t xml:space="preserve">rants and subsidies </w:t>
      </w:r>
      <w:r w:rsidRPr="00D117BC">
        <w:t xml:space="preserve">make up almost a quarter of expenses </w:t>
      </w:r>
      <w:r w:rsidR="00AB0133" w:rsidRPr="00D117BC">
        <w:t>(</w:t>
      </w:r>
      <w:r w:rsidR="00584DB4" w:rsidRPr="00615C42">
        <w:t>23.</w:t>
      </w:r>
      <w:r w:rsidR="00EF1761" w:rsidRPr="00615C42">
        <w:t>2</w:t>
      </w:r>
      <w:r w:rsidR="00071F4C" w:rsidRPr="00D117BC">
        <w:t> </w:t>
      </w:r>
      <w:r w:rsidR="00AB0133" w:rsidRPr="00D117BC">
        <w:t xml:space="preserve">per cent), </w:t>
      </w:r>
      <w:r w:rsidRPr="00D117BC">
        <w:t xml:space="preserve">followed by </w:t>
      </w:r>
      <w:r w:rsidR="00AB0133" w:rsidRPr="00D117BC">
        <w:t>depreciation and amortisation (</w:t>
      </w:r>
      <w:r w:rsidR="00584DB4" w:rsidRPr="00615C42">
        <w:t>7.2</w:t>
      </w:r>
      <w:r w:rsidR="00AB0133" w:rsidRPr="00D117BC">
        <w:t xml:space="preserve"> per cent)</w:t>
      </w:r>
      <w:r w:rsidR="003A04B4" w:rsidRPr="00D117BC">
        <w:t xml:space="preserve">, </w:t>
      </w:r>
      <w:r w:rsidR="00860A6F" w:rsidRPr="00D117BC">
        <w:t>superannuation expenses (4.</w:t>
      </w:r>
      <w:r w:rsidR="00584DB4" w:rsidRPr="00615C42">
        <w:t>0</w:t>
      </w:r>
      <w:r w:rsidR="00860A6F" w:rsidRPr="00D117BC">
        <w:t xml:space="preserve"> per cent)</w:t>
      </w:r>
      <w:r w:rsidR="003A04B4" w:rsidRPr="00D117BC">
        <w:t>, and i</w:t>
      </w:r>
      <w:r w:rsidR="00AB0133" w:rsidRPr="00D117BC">
        <w:t xml:space="preserve">nterest expenses </w:t>
      </w:r>
      <w:r w:rsidR="003A04B4" w:rsidRPr="00D117BC">
        <w:t>(2.6 per cent)</w:t>
      </w:r>
      <w:r w:rsidR="00AB0133" w:rsidRPr="00D117BC">
        <w:t>.</w:t>
      </w:r>
      <w:r w:rsidR="00AB0133" w:rsidRPr="00D117BC">
        <w:rPr>
          <w:rStyle w:val="eop"/>
          <w:szCs w:val="23"/>
        </w:rPr>
        <w:t> </w:t>
      </w:r>
    </w:p>
    <w:p w14:paraId="3F06CD40" w14:textId="77777777" w:rsidR="00753D2D" w:rsidRDefault="00753D2D">
      <w:pPr>
        <w:spacing w:after="200" w:line="276" w:lineRule="auto"/>
        <w:rPr>
          <w:rFonts w:cs="Arial"/>
        </w:rPr>
      </w:pPr>
    </w:p>
    <w:p w14:paraId="6E52358A" w14:textId="77777777" w:rsidR="0022474B" w:rsidRDefault="0022474B">
      <w:pPr>
        <w:spacing w:after="200" w:line="276" w:lineRule="auto"/>
        <w:rPr>
          <w:rFonts w:ascii="Arial" w:hAnsi="Arial" w:cs="Arial"/>
          <w:bCs/>
          <w:i/>
          <w:color w:val="4F4F4F"/>
          <w:kern w:val="28"/>
          <w:sz w:val="22"/>
          <w:szCs w:val="22"/>
        </w:rPr>
      </w:pPr>
      <w:r>
        <w:rPr>
          <w:rFonts w:cs="Arial"/>
        </w:rPr>
        <w:br w:type="page"/>
      </w:r>
    </w:p>
    <w:p w14:paraId="09CD21DB" w14:textId="58261AE0" w:rsidR="003D0F12" w:rsidRPr="00615C42" w:rsidRDefault="004629D0" w:rsidP="00A60668">
      <w:pPr>
        <w:pStyle w:val="Chart5x"/>
        <w:textAlignment w:val="baseline"/>
        <w:rPr>
          <w:rStyle w:val="eop"/>
          <w:sz w:val="23"/>
          <w:szCs w:val="23"/>
        </w:rPr>
      </w:pPr>
      <w:r w:rsidRPr="00D117BC">
        <w:rPr>
          <w:rFonts w:cs="Arial"/>
        </w:rPr>
        <w:t xml:space="preserve">Composition of </w:t>
      </w:r>
      <w:r w:rsidR="00261A11" w:rsidRPr="00D117BC">
        <w:rPr>
          <w:rFonts w:cs="Arial"/>
        </w:rPr>
        <w:t>20</w:t>
      </w:r>
      <w:r w:rsidR="00061A3E" w:rsidRPr="00D117BC">
        <w:rPr>
          <w:rFonts w:cs="Arial"/>
        </w:rPr>
        <w:t>20</w:t>
      </w:r>
      <w:r w:rsidR="00261A11" w:rsidRPr="00D117BC">
        <w:rPr>
          <w:rFonts w:cs="Arial"/>
        </w:rPr>
        <w:t>-</w:t>
      </w:r>
      <w:r w:rsidR="00061A3E" w:rsidRPr="00D117BC">
        <w:rPr>
          <w:rFonts w:cs="Arial"/>
        </w:rPr>
        <w:t>21</w:t>
      </w:r>
      <w:r w:rsidR="00261A11" w:rsidRPr="00D117BC">
        <w:rPr>
          <w:rFonts w:cs="Arial"/>
        </w:rPr>
        <w:t xml:space="preserve"> expenses</w:t>
      </w:r>
    </w:p>
    <w:p w14:paraId="697B5E7C" w14:textId="4A13B5FB" w:rsidR="00AB0133" w:rsidRDefault="003C5ADF" w:rsidP="00556916">
      <w:pPr>
        <w:pStyle w:val="paragraph"/>
        <w:jc w:val="center"/>
        <w:textAlignment w:val="baseline"/>
        <w:rPr>
          <w:rStyle w:val="eop"/>
          <w:sz w:val="23"/>
          <w:szCs w:val="23"/>
        </w:rPr>
      </w:pPr>
      <w:r>
        <w:rPr>
          <w:noProof/>
        </w:rPr>
        <w:drawing>
          <wp:inline distT="0" distB="0" distL="0" distR="0" wp14:anchorId="16803C36" wp14:editId="1C34515B">
            <wp:extent cx="4572000" cy="3065068"/>
            <wp:effectExtent l="0" t="0" r="0" b="0"/>
            <wp:docPr id="5" name="Chart 5" descr="Chart 5.1: Composition of 2020-21 expenses">
              <a:extLst xmlns:a="http://schemas.openxmlformats.org/drawingml/2006/main">
                <a:ext uri="{FF2B5EF4-FFF2-40B4-BE49-F238E27FC236}">
                  <a16:creationId xmlns:a16="http://schemas.microsoft.com/office/drawing/2014/main" id="{524EFC8D-996B-4EF3-8CA1-CCADF03F905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69C54A79" w14:textId="77777777" w:rsidR="00AB0133" w:rsidRDefault="00AB0133" w:rsidP="00534511">
      <w:pPr>
        <w:pStyle w:val="Heading3"/>
        <w:rPr>
          <w:rStyle w:val="eop"/>
          <w:b w:val="0"/>
          <w:bCs/>
          <w:szCs w:val="26"/>
        </w:rPr>
      </w:pPr>
      <w:r>
        <w:rPr>
          <w:rFonts w:ascii="Arial" w:hAnsi="Arial" w:cs="Arial"/>
          <w:szCs w:val="26"/>
        </w:rPr>
        <w:t xml:space="preserve">Employee </w:t>
      </w:r>
      <w:r w:rsidRPr="00534511">
        <w:t>expenses</w:t>
      </w:r>
      <w:r>
        <w:rPr>
          <w:rStyle w:val="eop"/>
          <w:b w:val="0"/>
          <w:szCs w:val="26"/>
        </w:rPr>
        <w:t> </w:t>
      </w:r>
    </w:p>
    <w:p w14:paraId="5841CF73" w14:textId="6C21DE1B" w:rsidR="00F771D0" w:rsidRPr="00D117BC" w:rsidRDefault="00AB0133">
      <w:pPr>
        <w:pStyle w:val="BodyText"/>
      </w:pPr>
      <w:r w:rsidRPr="001E684E">
        <w:t>Employee expenses</w:t>
      </w:r>
      <w:r w:rsidR="003065D6">
        <w:t xml:space="preserve">, </w:t>
      </w:r>
      <w:r w:rsidRPr="001E684E">
        <w:t>excluding superannuation</w:t>
      </w:r>
      <w:r w:rsidR="003065D6">
        <w:t>,</w:t>
      </w:r>
      <w:r w:rsidRPr="001E684E">
        <w:t xml:space="preserve"> are </w:t>
      </w:r>
      <w:r w:rsidR="003065D6">
        <w:t>projected</w:t>
      </w:r>
      <w:r w:rsidR="003065D6" w:rsidRPr="001E684E">
        <w:t xml:space="preserve"> </w:t>
      </w:r>
      <w:r w:rsidRPr="001E684E">
        <w:t xml:space="preserve">to </w:t>
      </w:r>
      <w:r w:rsidRPr="00D117BC">
        <w:t xml:space="preserve">be </w:t>
      </w:r>
      <w:r w:rsidRPr="00615C42">
        <w:t>$</w:t>
      </w:r>
      <w:r w:rsidR="00250AE3" w:rsidRPr="00615C42">
        <w:t>37.1</w:t>
      </w:r>
      <w:r w:rsidRPr="00615C42">
        <w:t xml:space="preserve"> billion</w:t>
      </w:r>
      <w:r w:rsidRPr="00D117BC">
        <w:t xml:space="preserve"> in 2020-21</w:t>
      </w:r>
      <w:r w:rsidR="00411520" w:rsidRPr="00D117BC">
        <w:t>, comprising</w:t>
      </w:r>
      <w:r w:rsidR="00740E68" w:rsidRPr="00D117BC">
        <w:t xml:space="preserve"> the largest share of Government operating expenses at</w:t>
      </w:r>
      <w:r w:rsidRPr="00D117BC">
        <w:t xml:space="preserve"> </w:t>
      </w:r>
      <w:r w:rsidR="00B75A5F" w:rsidRPr="00615C42">
        <w:t>37.8</w:t>
      </w:r>
      <w:r w:rsidRPr="00615C42">
        <w:t xml:space="preserve"> per cent</w:t>
      </w:r>
      <w:r w:rsidRPr="00D117BC">
        <w:t xml:space="preserve"> of </w:t>
      </w:r>
      <w:r w:rsidR="00740E68" w:rsidRPr="00D117BC">
        <w:t xml:space="preserve">the </w:t>
      </w:r>
      <w:r w:rsidRPr="00D117BC">
        <w:t>total</w:t>
      </w:r>
      <w:r w:rsidR="003477F5" w:rsidRPr="00D117BC">
        <w:t>.</w:t>
      </w:r>
      <w:r w:rsidR="002E5942" w:rsidRPr="00D117BC">
        <w:t xml:space="preserve"> This</w:t>
      </w:r>
      <w:r w:rsidR="003C41C0" w:rsidRPr="00D117BC">
        <w:t xml:space="preserve"> reflect</w:t>
      </w:r>
      <w:r w:rsidR="002C4CD9" w:rsidRPr="00D117BC">
        <w:t>s</w:t>
      </w:r>
      <w:r w:rsidR="003C41C0" w:rsidRPr="00D117BC">
        <w:t xml:space="preserve"> </w:t>
      </w:r>
      <w:r w:rsidR="002E5942" w:rsidRPr="00D117BC">
        <w:t xml:space="preserve">the </w:t>
      </w:r>
      <w:r w:rsidR="003C21C3" w:rsidRPr="00D117BC">
        <w:t>Government’s focus on delivering essential services</w:t>
      </w:r>
      <w:r w:rsidR="003C41C0" w:rsidRPr="00D117BC">
        <w:t xml:space="preserve"> to </w:t>
      </w:r>
      <w:r w:rsidR="00F94C14" w:rsidRPr="00D117BC">
        <w:t>support the community</w:t>
      </w:r>
      <w:r w:rsidR="00BC1556" w:rsidRPr="00D117BC">
        <w:t xml:space="preserve"> and</w:t>
      </w:r>
      <w:r w:rsidR="00F94C14" w:rsidRPr="00D117BC">
        <w:t xml:space="preserve"> includes expen</w:t>
      </w:r>
      <w:r w:rsidR="0005780E" w:rsidRPr="00D117BC">
        <w:t>diture for</w:t>
      </w:r>
      <w:r w:rsidR="00F94C14" w:rsidRPr="00D117BC">
        <w:t xml:space="preserve"> </w:t>
      </w:r>
      <w:r w:rsidR="00F771D0" w:rsidRPr="00D117BC">
        <w:t xml:space="preserve">teachers, </w:t>
      </w:r>
      <w:r w:rsidR="00991E75" w:rsidRPr="00D117BC">
        <w:t xml:space="preserve">nurses and </w:t>
      </w:r>
      <w:r w:rsidR="00F771D0" w:rsidRPr="00D117BC">
        <w:t>police.</w:t>
      </w:r>
    </w:p>
    <w:p w14:paraId="5B1BFCB5" w14:textId="5763E3C3" w:rsidR="006654EB" w:rsidRPr="00D117BC" w:rsidRDefault="00AB0133">
      <w:pPr>
        <w:pStyle w:val="BodyText"/>
        <w:rPr>
          <w:rStyle w:val="eop"/>
          <w:szCs w:val="23"/>
        </w:rPr>
      </w:pPr>
      <w:bookmarkStart w:id="1" w:name="_Hlk52478146"/>
      <w:r w:rsidRPr="00615C42">
        <w:t>Employee expenses</w:t>
      </w:r>
      <w:r w:rsidR="0082594F" w:rsidRPr="00615C42">
        <w:t xml:space="preserve"> </w:t>
      </w:r>
      <w:r w:rsidR="00B97E2A" w:rsidRPr="00615C42">
        <w:t>are forecast to grow</w:t>
      </w:r>
      <w:r w:rsidR="0082594F" w:rsidRPr="00615C42">
        <w:t xml:space="preserve"> by </w:t>
      </w:r>
      <w:r w:rsidR="00E9702F" w:rsidRPr="00615C42">
        <w:t>4.</w:t>
      </w:r>
      <w:r w:rsidR="00B90512" w:rsidRPr="00615C42">
        <w:t>3</w:t>
      </w:r>
      <w:r w:rsidR="0082594F" w:rsidRPr="00615C42">
        <w:t xml:space="preserve"> per cent </w:t>
      </w:r>
      <w:r w:rsidR="0082594F" w:rsidRPr="00D117BC">
        <w:t>in 20</w:t>
      </w:r>
      <w:r w:rsidR="00B97E2A" w:rsidRPr="00D117BC">
        <w:t>2</w:t>
      </w:r>
      <w:r w:rsidR="000908CF" w:rsidRPr="00D117BC">
        <w:t>0</w:t>
      </w:r>
      <w:r w:rsidR="0082594F" w:rsidRPr="00D117BC">
        <w:t>-2</w:t>
      </w:r>
      <w:r w:rsidR="00B97E2A" w:rsidRPr="00D117BC">
        <w:t>1</w:t>
      </w:r>
      <w:r w:rsidR="008618A3" w:rsidRPr="00D117BC">
        <w:t xml:space="preserve">, driven by </w:t>
      </w:r>
      <w:r w:rsidR="00CA1750" w:rsidRPr="00615C42">
        <w:t xml:space="preserve">additional frontline </w:t>
      </w:r>
      <w:r w:rsidR="009D3786" w:rsidRPr="00615C42">
        <w:t>workers</w:t>
      </w:r>
      <w:r w:rsidR="008B3546" w:rsidRPr="00615C42">
        <w:t>, including</w:t>
      </w:r>
      <w:r w:rsidR="00CA1750" w:rsidRPr="00615C42">
        <w:t xml:space="preserve"> for </w:t>
      </w:r>
      <w:bookmarkEnd w:id="1"/>
      <w:r w:rsidR="00CA1750" w:rsidRPr="00615C42">
        <w:t>the COVID-19 response</w:t>
      </w:r>
      <w:r w:rsidR="00CA1750" w:rsidRPr="00D117BC">
        <w:t xml:space="preserve">. </w:t>
      </w:r>
      <w:r w:rsidR="004C365B" w:rsidRPr="00D117BC">
        <w:t>This</w:t>
      </w:r>
      <w:r w:rsidR="000E14EC" w:rsidRPr="00D117BC">
        <w:t xml:space="preserve"> growth is forecast to </w:t>
      </w:r>
      <w:r w:rsidR="000E14EC" w:rsidRPr="00615C42">
        <w:t>moderate</w:t>
      </w:r>
      <w:r w:rsidR="000E14EC" w:rsidRPr="00D117BC">
        <w:t xml:space="preserve"> over the budget and forward estimates, </w:t>
      </w:r>
      <w:r w:rsidR="000E14EC" w:rsidRPr="00615C42">
        <w:t>increasing</w:t>
      </w:r>
      <w:r w:rsidR="00FD18B7" w:rsidRPr="00D117BC">
        <w:t xml:space="preserve"> </w:t>
      </w:r>
      <w:r w:rsidRPr="00D117BC">
        <w:t xml:space="preserve">by an average of </w:t>
      </w:r>
      <w:r w:rsidR="007A5419" w:rsidRPr="00615C42">
        <w:t>3.0</w:t>
      </w:r>
      <w:r w:rsidR="00905F13" w:rsidRPr="00615C42">
        <w:t> </w:t>
      </w:r>
      <w:r w:rsidRPr="00615C42">
        <w:t>per cent</w:t>
      </w:r>
      <w:r w:rsidRPr="00D117BC">
        <w:t xml:space="preserve"> per year</w:t>
      </w:r>
      <w:r w:rsidR="00982077" w:rsidRPr="00D117BC">
        <w:t>. Th</w:t>
      </w:r>
      <w:r w:rsidR="006271C3" w:rsidRPr="00D117BC">
        <w:t xml:space="preserve">is </w:t>
      </w:r>
      <w:r w:rsidR="00636CB5" w:rsidRPr="00D117BC">
        <w:t>growth is partially due to increases in frontline staff in health, education and police</w:t>
      </w:r>
      <w:r w:rsidR="007F2C19">
        <w:t>. It also</w:t>
      </w:r>
      <w:r w:rsidR="00636CB5" w:rsidRPr="00D117BC">
        <w:t xml:space="preserve"> </w:t>
      </w:r>
      <w:r w:rsidR="00747DFF" w:rsidRPr="00615C42">
        <w:t xml:space="preserve">incorporates the </w:t>
      </w:r>
      <w:r w:rsidR="00077AF3" w:rsidRPr="00615C42">
        <w:t>downward revision of wages growth to 0.3 per cent in 2020-21</w:t>
      </w:r>
      <w:r w:rsidR="00C330EB" w:rsidRPr="00615C42">
        <w:t xml:space="preserve"> for some public sector workers</w:t>
      </w:r>
      <w:r w:rsidR="00077AF3" w:rsidRPr="00615C42">
        <w:t xml:space="preserve"> and 1.5 per cent over the forward estimates</w:t>
      </w:r>
      <w:r w:rsidR="00A56756" w:rsidRPr="00615C42">
        <w:t>.</w:t>
      </w:r>
      <w:r w:rsidR="003C2496" w:rsidRPr="00D117BC">
        <w:t xml:space="preserve"> </w:t>
      </w:r>
    </w:p>
    <w:p w14:paraId="159ED504" w14:textId="7D01B429" w:rsidR="00F223C6" w:rsidRDefault="009F16A0" w:rsidP="00615C42">
      <w:pPr>
        <w:pStyle w:val="BodyText"/>
        <w:rPr>
          <w:color w:val="4F4F4F"/>
          <w:kern w:val="28"/>
          <w:sz w:val="22"/>
          <w:szCs w:val="22"/>
        </w:rPr>
      </w:pPr>
      <w:r w:rsidRPr="00D117BC">
        <w:t xml:space="preserve">Chart 5.2 </w:t>
      </w:r>
      <w:r w:rsidR="00D90470" w:rsidRPr="00D117BC">
        <w:t xml:space="preserve">shows </w:t>
      </w:r>
      <w:r w:rsidR="004E345C" w:rsidRPr="00D117BC">
        <w:t xml:space="preserve">average annual </w:t>
      </w:r>
      <w:r w:rsidR="00A71886" w:rsidRPr="00D117BC">
        <w:t>employee</w:t>
      </w:r>
      <w:r w:rsidR="004E345C" w:rsidRPr="00D117BC">
        <w:t xml:space="preserve"> expense growth </w:t>
      </w:r>
      <w:r w:rsidR="004E345C" w:rsidRPr="00615C42">
        <w:t>falling</w:t>
      </w:r>
      <w:r w:rsidR="004E345C" w:rsidRPr="00D117BC">
        <w:t xml:space="preserve"> from 6.</w:t>
      </w:r>
      <w:r w:rsidR="00886984" w:rsidRPr="00D117BC">
        <w:t>5</w:t>
      </w:r>
      <w:r w:rsidR="004E345C" w:rsidRPr="00D117BC">
        <w:t xml:space="preserve"> per cent from 200</w:t>
      </w:r>
      <w:r w:rsidR="003956C7" w:rsidRPr="00D117BC">
        <w:t>7</w:t>
      </w:r>
      <w:r w:rsidR="004E345C" w:rsidRPr="00D117BC">
        <w:t>-0</w:t>
      </w:r>
      <w:r w:rsidR="003956C7" w:rsidRPr="00D117BC">
        <w:t>8</w:t>
      </w:r>
      <w:r w:rsidR="004E345C" w:rsidRPr="00D117BC">
        <w:t xml:space="preserve"> to 2010-11</w:t>
      </w:r>
      <w:r w:rsidR="00C93FDC" w:rsidRPr="00D117BC">
        <w:t>,</w:t>
      </w:r>
      <w:r w:rsidR="004E345C" w:rsidRPr="00D117BC">
        <w:t xml:space="preserve"> compared to forecast average annual growth of </w:t>
      </w:r>
      <w:r w:rsidR="00BE1929" w:rsidRPr="00615C42">
        <w:t>3.9</w:t>
      </w:r>
      <w:r w:rsidR="004E345C" w:rsidRPr="00615C42">
        <w:t xml:space="preserve"> per cent</w:t>
      </w:r>
      <w:r w:rsidR="004E345C" w:rsidRPr="00D117BC">
        <w:t xml:space="preserve"> from</w:t>
      </w:r>
      <w:r w:rsidR="004E345C">
        <w:t xml:space="preserve"> 2011</w:t>
      </w:r>
      <w:r w:rsidR="00C93FDC">
        <w:noBreakHyphen/>
      </w:r>
      <w:r w:rsidR="004E345C">
        <w:t>12 to 2023</w:t>
      </w:r>
      <w:r w:rsidR="0039162F">
        <w:noBreakHyphen/>
      </w:r>
      <w:r w:rsidR="004E345C">
        <w:t>24</w:t>
      </w:r>
      <w:r w:rsidR="00436549">
        <w:t>.</w:t>
      </w:r>
    </w:p>
    <w:p w14:paraId="4D9B3220" w14:textId="3A7AB9FB" w:rsidR="007C539A" w:rsidRPr="007641D2" w:rsidRDefault="00A276F8" w:rsidP="007C539A">
      <w:pPr>
        <w:pStyle w:val="Chart5x"/>
        <w:rPr>
          <w:rFonts w:cs="Arial"/>
        </w:rPr>
      </w:pPr>
      <w:r>
        <w:rPr>
          <w:rFonts w:cs="Arial"/>
        </w:rPr>
        <w:t>Employee expense growth from 200</w:t>
      </w:r>
      <w:r w:rsidR="00977177">
        <w:rPr>
          <w:rFonts w:cs="Arial"/>
        </w:rPr>
        <w:t>7</w:t>
      </w:r>
      <w:r>
        <w:rPr>
          <w:rFonts w:cs="Arial"/>
        </w:rPr>
        <w:t>-0</w:t>
      </w:r>
      <w:r w:rsidR="00977177">
        <w:rPr>
          <w:rFonts w:cs="Arial"/>
        </w:rPr>
        <w:t>8</w:t>
      </w:r>
      <w:r>
        <w:rPr>
          <w:rFonts w:cs="Arial"/>
        </w:rPr>
        <w:t xml:space="preserve"> to 2023-24</w:t>
      </w:r>
    </w:p>
    <w:p w14:paraId="4E8C225F" w14:textId="7F0143DE" w:rsidR="0022474B" w:rsidRDefault="00FE62EC">
      <w:pPr>
        <w:spacing w:after="200" w:line="276" w:lineRule="auto"/>
        <w:rPr>
          <w:rFonts w:ascii="Arial" w:hAnsi="Arial" w:cs="Arial"/>
          <w:sz w:val="23"/>
          <w:lang w:val="en-AU"/>
        </w:rPr>
      </w:pPr>
      <w:r>
        <w:rPr>
          <w:noProof/>
        </w:rPr>
        <w:drawing>
          <wp:inline distT="0" distB="0" distL="0" distR="0" wp14:anchorId="785900F2" wp14:editId="4BC0F5DC">
            <wp:extent cx="6120765" cy="2404745"/>
            <wp:effectExtent l="0" t="0" r="0" b="0"/>
            <wp:docPr id="2" name="Chart 2" descr="Chart 5.2: Employee expense growth from 2007-08 to 2023-24">
              <a:extLst xmlns:a="http://schemas.openxmlformats.org/drawingml/2006/main">
                <a:ext uri="{FF2B5EF4-FFF2-40B4-BE49-F238E27FC236}">
                  <a16:creationId xmlns:a16="http://schemas.microsoft.com/office/drawing/2014/main" id="{C2B12CF1-EDD6-457B-A084-58A8F48FE6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t xml:space="preserve"> </w:t>
      </w:r>
      <w:r w:rsidR="0022474B">
        <w:br w:type="page"/>
      </w:r>
    </w:p>
    <w:p w14:paraId="1EB61D90" w14:textId="681115FD" w:rsidR="00117AC3" w:rsidRDefault="00AB0133" w:rsidP="00615C42">
      <w:pPr>
        <w:pStyle w:val="BodyText"/>
      </w:pPr>
      <w:r w:rsidRPr="00061A3E">
        <w:t xml:space="preserve">The Government continues to </w:t>
      </w:r>
      <w:r w:rsidR="00CA0138">
        <w:t>focus on efficient back</w:t>
      </w:r>
      <w:r w:rsidR="00A03326">
        <w:t>-</w:t>
      </w:r>
      <w:r w:rsidR="00CA0138">
        <w:t>office operations</w:t>
      </w:r>
      <w:r w:rsidR="009F730E">
        <w:t xml:space="preserve"> </w:t>
      </w:r>
      <w:r w:rsidR="001B01B2">
        <w:t xml:space="preserve">so </w:t>
      </w:r>
      <w:r w:rsidR="00653E15">
        <w:t>expenditure can be redirected</w:t>
      </w:r>
      <w:r w:rsidR="009F730E">
        <w:t xml:space="preserve"> towards</w:t>
      </w:r>
      <w:r w:rsidR="009F730E" w:rsidRPr="00061A3E">
        <w:t xml:space="preserve"> </w:t>
      </w:r>
      <w:r w:rsidRPr="00061A3E">
        <w:t xml:space="preserve">frontline </w:t>
      </w:r>
      <w:r w:rsidR="00731D79">
        <w:t>service delivery</w:t>
      </w:r>
      <w:r w:rsidRPr="00061A3E">
        <w:t xml:space="preserve">. Frontline numbers </w:t>
      </w:r>
      <w:r w:rsidRPr="00742D42">
        <w:t xml:space="preserve">have </w:t>
      </w:r>
      <w:r w:rsidRPr="00615C42">
        <w:t>increased</w:t>
      </w:r>
      <w:r w:rsidRPr="00742D42">
        <w:t xml:space="preserve"> as a proportion of the total New </w:t>
      </w:r>
      <w:r w:rsidRPr="00C22AF9">
        <w:t>South Wales public sector from 20</w:t>
      </w:r>
      <w:r w:rsidR="00B07B6C">
        <w:t>10-</w:t>
      </w:r>
      <w:r w:rsidR="0038744E" w:rsidRPr="00C22AF9">
        <w:t>11</w:t>
      </w:r>
      <w:r w:rsidR="00E8742C" w:rsidRPr="00C22AF9">
        <w:t xml:space="preserve"> </w:t>
      </w:r>
      <w:r w:rsidRPr="00C22AF9">
        <w:t xml:space="preserve">to </w:t>
      </w:r>
      <w:r w:rsidR="00B07B6C">
        <w:t>2019-</w:t>
      </w:r>
      <w:r w:rsidR="00CE479F" w:rsidRPr="00C22AF9">
        <w:t>20</w:t>
      </w:r>
      <w:r w:rsidRPr="00C22AF9">
        <w:t xml:space="preserve">, comprising </w:t>
      </w:r>
      <w:r w:rsidR="0056110C" w:rsidRPr="00615C42">
        <w:t>8</w:t>
      </w:r>
      <w:r w:rsidR="00742D42" w:rsidRPr="00615C42">
        <w:t>7</w:t>
      </w:r>
      <w:r w:rsidR="00554780" w:rsidRPr="00615C42">
        <w:t>.</w:t>
      </w:r>
      <w:r w:rsidR="00742D42" w:rsidRPr="00615C42">
        <w:t>2</w:t>
      </w:r>
      <w:r w:rsidRPr="00C22AF9">
        <w:t xml:space="preserve"> per</w:t>
      </w:r>
      <w:r w:rsidR="002C15A6" w:rsidRPr="00C22AF9">
        <w:t> </w:t>
      </w:r>
      <w:r w:rsidRPr="00C22AF9">
        <w:t xml:space="preserve">cent of the public sector </w:t>
      </w:r>
      <w:r w:rsidR="00742D42" w:rsidRPr="00C22AF9">
        <w:t>in</w:t>
      </w:r>
      <w:r w:rsidR="005E2D38" w:rsidRPr="00C22AF9">
        <w:t xml:space="preserve"> </w:t>
      </w:r>
      <w:r w:rsidR="005E2D38" w:rsidRPr="00C22AF9" w:rsidDel="00742D42">
        <w:t>2019</w:t>
      </w:r>
      <w:r w:rsidR="00B07B6C">
        <w:t>-</w:t>
      </w:r>
      <w:r w:rsidR="00742D42" w:rsidRPr="00C22AF9">
        <w:t>20</w:t>
      </w:r>
      <w:r w:rsidRPr="00C22AF9">
        <w:t xml:space="preserve">. From </w:t>
      </w:r>
      <w:r w:rsidR="00E60F65" w:rsidRPr="00C22AF9">
        <w:t>20</w:t>
      </w:r>
      <w:r w:rsidR="00B07B6C">
        <w:t>10-</w:t>
      </w:r>
      <w:r w:rsidR="00E60F65" w:rsidRPr="00C22AF9">
        <w:t>11 to 20</w:t>
      </w:r>
      <w:r w:rsidR="00B07B6C">
        <w:t>19-</w:t>
      </w:r>
      <w:r w:rsidR="00742D42" w:rsidRPr="00C22AF9">
        <w:t>20</w:t>
      </w:r>
      <w:r w:rsidRPr="00C22AF9">
        <w:t xml:space="preserve">, frontline staff </w:t>
      </w:r>
      <w:r w:rsidRPr="00615C42">
        <w:t>increased</w:t>
      </w:r>
      <w:r w:rsidRPr="00C22AF9">
        <w:t xml:space="preserve"> by </w:t>
      </w:r>
      <w:r w:rsidR="00AA5E83" w:rsidRPr="00615C42">
        <w:t>20,273</w:t>
      </w:r>
      <w:r w:rsidRPr="00C22AF9">
        <w:t xml:space="preserve"> full-time equivalents (FTEs), while non-frontline staff numbers </w:t>
      </w:r>
      <w:r w:rsidRPr="00615C42">
        <w:t>fell</w:t>
      </w:r>
      <w:r w:rsidRPr="00C22AF9">
        <w:t xml:space="preserve"> by </w:t>
      </w:r>
      <w:r w:rsidR="00277B0C" w:rsidRPr="00615C42">
        <w:t>1,784</w:t>
      </w:r>
      <w:r w:rsidRPr="00C22AF9">
        <w:t xml:space="preserve"> FTEs. Frontline staff continued to </w:t>
      </w:r>
      <w:r w:rsidRPr="00615C42">
        <w:t>grow</w:t>
      </w:r>
      <w:r w:rsidRPr="00C22AF9">
        <w:t xml:space="preserve"> </w:t>
      </w:r>
      <w:r w:rsidR="000D655B" w:rsidRPr="00C22AF9">
        <w:t>by 7,785 FTEs from 20</w:t>
      </w:r>
      <w:r w:rsidR="00363455">
        <w:t>18-</w:t>
      </w:r>
      <w:r w:rsidR="000D655B" w:rsidRPr="00C22AF9">
        <w:t>19 to 2019</w:t>
      </w:r>
      <w:r w:rsidR="00363455">
        <w:t>-</w:t>
      </w:r>
      <w:r w:rsidR="000D655B" w:rsidRPr="00C22AF9">
        <w:t>20</w:t>
      </w:r>
      <w:r w:rsidR="001D34CD" w:rsidRPr="00C22AF9">
        <w:t xml:space="preserve"> </w:t>
      </w:r>
      <w:r w:rsidR="00FD56BB" w:rsidRPr="00C22AF9">
        <w:t>as a result of</w:t>
      </w:r>
      <w:r w:rsidR="005B0709" w:rsidRPr="00C22AF9">
        <w:t xml:space="preserve"> an increase in </w:t>
      </w:r>
      <w:r w:rsidR="00915B80" w:rsidRPr="00C22AF9">
        <w:t xml:space="preserve">teachers, </w:t>
      </w:r>
      <w:r w:rsidR="00FD56BB" w:rsidRPr="00C22AF9">
        <w:t>school support staff, nurses, medical practitioners, ambulance</w:t>
      </w:r>
      <w:r w:rsidR="00FD56BB" w:rsidRPr="00FD56BB">
        <w:t xml:space="preserve"> officers, police and firefighters.</w:t>
      </w:r>
    </w:p>
    <w:p w14:paraId="1B640047" w14:textId="43C4FBB0" w:rsidR="005B2B13" w:rsidRPr="00D117BC" w:rsidRDefault="005B2B13">
      <w:pPr>
        <w:pStyle w:val="BodyText"/>
      </w:pPr>
      <w:r w:rsidRPr="005B2B13">
        <w:t>This Budget</w:t>
      </w:r>
      <w:r w:rsidR="00447F3B">
        <w:t xml:space="preserve"> </w:t>
      </w:r>
      <w:r w:rsidR="00690C14">
        <w:t>reflects</w:t>
      </w:r>
      <w:r w:rsidR="00447F3B">
        <w:t xml:space="preserve"> the </w:t>
      </w:r>
      <w:r w:rsidR="00E43D72">
        <w:t xml:space="preserve">Government’s </w:t>
      </w:r>
      <w:r w:rsidR="00447F3B">
        <w:t>significant</w:t>
      </w:r>
      <w:r w:rsidRPr="005B2B13">
        <w:t xml:space="preserve"> investment in frontline workers to support the community during COVID-19. </w:t>
      </w:r>
      <w:r w:rsidR="00C37170">
        <w:t>In addition to</w:t>
      </w:r>
      <w:r w:rsidR="00125007">
        <w:t xml:space="preserve"> boosting </w:t>
      </w:r>
      <w:r w:rsidR="00125007" w:rsidRPr="00125007">
        <w:t xml:space="preserve">healthcare, </w:t>
      </w:r>
      <w:r w:rsidR="00125007" w:rsidRPr="00D117BC">
        <w:t xml:space="preserve">support and hospital security staff to protect the community during the pandemic, the Government </w:t>
      </w:r>
      <w:r w:rsidR="00507AC4" w:rsidRPr="00D117BC">
        <w:t>is also providing</w:t>
      </w:r>
      <w:r w:rsidRPr="00D117BC">
        <w:t>:</w:t>
      </w:r>
    </w:p>
    <w:p w14:paraId="666B70BE" w14:textId="73F3566B" w:rsidR="005B2B13" w:rsidRPr="00D117BC" w:rsidRDefault="005B2B13">
      <w:pPr>
        <w:pStyle w:val="Bullet1"/>
      </w:pPr>
      <w:r w:rsidRPr="00D117BC">
        <w:t xml:space="preserve">5,295 new and redeployed cleaners (as at 31 July 2020) from the </w:t>
      </w:r>
      <w:r w:rsidRPr="00615C42">
        <w:t>$250</w:t>
      </w:r>
      <w:r w:rsidR="00BC0BB4" w:rsidRPr="00615C42">
        <w:t xml:space="preserve">.0 </w:t>
      </w:r>
      <w:r w:rsidRPr="00615C42">
        <w:t>m</w:t>
      </w:r>
      <w:r w:rsidR="00BC0BB4" w:rsidRPr="00615C42">
        <w:t>illion</w:t>
      </w:r>
      <w:r w:rsidRPr="00615C42">
        <w:t xml:space="preserve"> </w:t>
      </w:r>
      <w:r w:rsidRPr="00D117BC">
        <w:t>stimulus package to support additional cleaning of public infrastructure, including schools and public transport</w:t>
      </w:r>
    </w:p>
    <w:p w14:paraId="42D12345" w14:textId="031AC40E" w:rsidR="005B2B13" w:rsidRPr="005B2B13" w:rsidRDefault="005B2B13">
      <w:pPr>
        <w:pStyle w:val="Bullet1"/>
      </w:pPr>
      <w:r w:rsidRPr="005F3250">
        <w:t xml:space="preserve">1,000 additional Service NSW customer service staff from a </w:t>
      </w:r>
      <w:r w:rsidRPr="00615C42">
        <w:t>$</w:t>
      </w:r>
      <w:r w:rsidR="00040530">
        <w:t>102</w:t>
      </w:r>
      <w:r w:rsidR="004939CF" w:rsidRPr="00615C42">
        <w:t>.</w:t>
      </w:r>
      <w:r w:rsidR="00086B06" w:rsidRPr="00615C42">
        <w:t xml:space="preserve">9 </w:t>
      </w:r>
      <w:r w:rsidRPr="00615C42">
        <w:t>million</w:t>
      </w:r>
      <w:r w:rsidRPr="005F3250">
        <w:t xml:space="preserve"> investment </w:t>
      </w:r>
      <w:r w:rsidR="00040530">
        <w:t>in 2020-21</w:t>
      </w:r>
      <w:r w:rsidRPr="005F3250">
        <w:t xml:space="preserve"> to enable families and businesses to readily access non-health related</w:t>
      </w:r>
      <w:r w:rsidRPr="005B2B13">
        <w:t xml:space="preserve"> COVID</w:t>
      </w:r>
      <w:r w:rsidR="004939CF">
        <w:noBreakHyphen/>
      </w:r>
      <w:r w:rsidRPr="005B2B13">
        <w:t>19 advice and support 24/7</w:t>
      </w:r>
      <w:r w:rsidR="00057B06">
        <w:t>.</w:t>
      </w:r>
    </w:p>
    <w:p w14:paraId="65AB1701" w14:textId="5AA71D11" w:rsidR="00AD57CE" w:rsidRDefault="00AD57CE">
      <w:pPr>
        <w:pStyle w:val="BodyText"/>
      </w:pPr>
      <w:r>
        <w:t xml:space="preserve">The Government is also supporting frontline staff during the pandemic </w:t>
      </w:r>
      <w:r w:rsidR="00FB6CEA">
        <w:t>by</w:t>
      </w:r>
      <w:r>
        <w:t>:</w:t>
      </w:r>
    </w:p>
    <w:p w14:paraId="6C42E1FC" w14:textId="62DBBEC4" w:rsidR="005B2B13" w:rsidRPr="002E608E" w:rsidRDefault="001411BE">
      <w:pPr>
        <w:pStyle w:val="Bullet1"/>
      </w:pPr>
      <w:r w:rsidRPr="002E608E">
        <w:t>e</w:t>
      </w:r>
      <w:r w:rsidR="00857CA5" w:rsidRPr="002E608E">
        <w:t xml:space="preserve">nsuring continued access to childcare, particularly for frontline staff, by </w:t>
      </w:r>
      <w:r w:rsidR="00284E61" w:rsidRPr="002E608E">
        <w:t>h</w:t>
      </w:r>
      <w:r w:rsidR="005B2B13" w:rsidRPr="002E608E">
        <w:t xml:space="preserve">elping </w:t>
      </w:r>
      <w:r w:rsidR="00857CA5" w:rsidRPr="002E608E">
        <w:t xml:space="preserve">to </w:t>
      </w:r>
      <w:r w:rsidR="005B2B13" w:rsidRPr="002E608E">
        <w:t xml:space="preserve">maintain jobs for over 7,900 community preschool workers through the </w:t>
      </w:r>
      <w:r w:rsidR="005B2B13" w:rsidRPr="00615C42">
        <w:t>$</w:t>
      </w:r>
      <w:r w:rsidR="00697542" w:rsidRPr="00615C42">
        <w:t>120</w:t>
      </w:r>
      <w:r w:rsidR="00FB56ED" w:rsidRPr="00615C42">
        <w:t>.0 </w:t>
      </w:r>
      <w:r w:rsidR="005B2B13" w:rsidRPr="00615C42">
        <w:t>million</w:t>
      </w:r>
      <w:r w:rsidR="002E608E">
        <w:t xml:space="preserve"> extension of the</w:t>
      </w:r>
      <w:r w:rsidR="005B2B13" w:rsidRPr="002E608E">
        <w:t xml:space="preserve"> free preschool package</w:t>
      </w:r>
    </w:p>
    <w:p w14:paraId="43D3F164" w14:textId="34DFFB78" w:rsidR="00320C44" w:rsidRPr="005B2B13" w:rsidRDefault="001F6862">
      <w:pPr>
        <w:pStyle w:val="Bullet1"/>
      </w:pPr>
      <w:r w:rsidRPr="00615C42">
        <w:t>i</w:t>
      </w:r>
      <w:r w:rsidR="00802C06" w:rsidRPr="00615C42">
        <w:t xml:space="preserve">nvesting </w:t>
      </w:r>
      <w:r w:rsidR="00B80124" w:rsidRPr="00615C42">
        <w:t>over $1.0 bi</w:t>
      </w:r>
      <w:r w:rsidRPr="00615C42">
        <w:t>llion</w:t>
      </w:r>
      <w:r w:rsidRPr="002E608E">
        <w:t xml:space="preserve"> to</w:t>
      </w:r>
      <w:r w:rsidRPr="001F6862">
        <w:t xml:space="preserve"> provide additional personal protective equipment </w:t>
      </w:r>
      <w:r w:rsidR="00C702B8">
        <w:t xml:space="preserve">(PPE) </w:t>
      </w:r>
      <w:r w:rsidRPr="001F6862">
        <w:t>to keep our frontline workers safe</w:t>
      </w:r>
      <w:r w:rsidR="00AD1804">
        <w:t xml:space="preserve"> throughout the duration of the pandemic</w:t>
      </w:r>
      <w:r w:rsidRPr="001F6862">
        <w:t>.</w:t>
      </w:r>
    </w:p>
    <w:p w14:paraId="127DFA64" w14:textId="61C2FC7F" w:rsidR="00AB0133" w:rsidRDefault="00AB0133" w:rsidP="00652DBD">
      <w:pPr>
        <w:pStyle w:val="Heading3"/>
        <w:rPr>
          <w:rStyle w:val="eop"/>
          <w:b w:val="0"/>
          <w:szCs w:val="26"/>
        </w:rPr>
      </w:pPr>
      <w:r>
        <w:rPr>
          <w:rFonts w:ascii="Arial" w:hAnsi="Arial" w:cs="Arial"/>
          <w:szCs w:val="26"/>
        </w:rPr>
        <w:t>Superannuation expenses</w:t>
      </w:r>
      <w:r>
        <w:rPr>
          <w:rStyle w:val="eop"/>
          <w:b w:val="0"/>
          <w:szCs w:val="26"/>
        </w:rPr>
        <w:t> </w:t>
      </w:r>
    </w:p>
    <w:p w14:paraId="12C47F52" w14:textId="5F9EBC52" w:rsidR="00F71979" w:rsidRPr="00D117BC" w:rsidRDefault="00F7195E">
      <w:pPr>
        <w:pStyle w:val="BodyText"/>
      </w:pPr>
      <w:r w:rsidRPr="00D117BC">
        <w:t xml:space="preserve">Superannuation expenses are </w:t>
      </w:r>
      <w:r w:rsidR="002D1FCC" w:rsidRPr="00D117BC">
        <w:t xml:space="preserve">projected to be </w:t>
      </w:r>
      <w:r w:rsidRPr="00D117BC">
        <w:t>$</w:t>
      </w:r>
      <w:r w:rsidR="006E46EF" w:rsidRPr="00615C42">
        <w:t>3.9</w:t>
      </w:r>
      <w:r w:rsidRPr="00D117BC">
        <w:t xml:space="preserve"> billion in </w:t>
      </w:r>
      <w:r w:rsidR="00AB0133" w:rsidRPr="00D117BC">
        <w:t>2020-21</w:t>
      </w:r>
      <w:r w:rsidR="002D1FCC" w:rsidRPr="00D117BC">
        <w:t>,</w:t>
      </w:r>
      <w:r w:rsidR="00AB0133" w:rsidRPr="00D117BC">
        <w:t xml:space="preserve"> </w:t>
      </w:r>
      <w:r w:rsidR="002D1FCC" w:rsidRPr="00D117BC">
        <w:t>or</w:t>
      </w:r>
      <w:r w:rsidRPr="00D117BC">
        <w:t xml:space="preserve"> </w:t>
      </w:r>
      <w:r w:rsidR="00442D93" w:rsidRPr="00615C42">
        <w:t>4</w:t>
      </w:r>
      <w:r w:rsidR="00844C0E" w:rsidRPr="00615C42">
        <w:t>.</w:t>
      </w:r>
      <w:r w:rsidR="00700923" w:rsidRPr="00615C42">
        <w:t>0</w:t>
      </w:r>
      <w:r w:rsidRPr="00D117BC">
        <w:t xml:space="preserve"> per cent of total </w:t>
      </w:r>
      <w:r w:rsidR="002D1FCC" w:rsidRPr="00D117BC">
        <w:t xml:space="preserve">recurrent </w:t>
      </w:r>
      <w:r w:rsidRPr="00D117BC">
        <w:t xml:space="preserve">expenses. </w:t>
      </w:r>
      <w:r w:rsidR="00FB6C62" w:rsidRPr="00D117BC">
        <w:t xml:space="preserve">These </w:t>
      </w:r>
      <w:r w:rsidR="00812C76" w:rsidRPr="00D117BC">
        <w:t>costs</w:t>
      </w:r>
      <w:r w:rsidR="00FB6C62" w:rsidRPr="00D117BC">
        <w:t xml:space="preserve"> are associated with defined benefit and defined contribution plans</w:t>
      </w:r>
      <w:r w:rsidR="00C12827" w:rsidRPr="00D117BC">
        <w:t xml:space="preserve">. </w:t>
      </w:r>
    </w:p>
    <w:p w14:paraId="4BF578ED" w14:textId="0AD8B833" w:rsidR="00127D5E" w:rsidRPr="00D117BC" w:rsidRDefault="00C12827">
      <w:pPr>
        <w:pStyle w:val="BodyText"/>
      </w:pPr>
      <w:r w:rsidRPr="00D117BC">
        <w:t>Superannuation expenses</w:t>
      </w:r>
      <w:r w:rsidR="009B51A5" w:rsidRPr="00D117BC">
        <w:t xml:space="preserve"> </w:t>
      </w:r>
      <w:r w:rsidR="00FB6C62" w:rsidRPr="00D117BC">
        <w:t xml:space="preserve">are forecast to </w:t>
      </w:r>
      <w:r w:rsidR="0032467D" w:rsidRPr="00615C42">
        <w:t>decrease</w:t>
      </w:r>
      <w:r w:rsidR="00FB6C62" w:rsidRPr="00D117BC">
        <w:t xml:space="preserve"> by </w:t>
      </w:r>
      <w:r w:rsidR="0032467D" w:rsidRPr="00615C42">
        <w:t>1</w:t>
      </w:r>
      <w:r w:rsidR="00446677" w:rsidRPr="00615C42">
        <w:t>.</w:t>
      </w:r>
      <w:r w:rsidR="0032467D" w:rsidRPr="00615C42">
        <w:t>2</w:t>
      </w:r>
      <w:r w:rsidR="00FB6C62" w:rsidRPr="00D117BC">
        <w:t xml:space="preserve"> per cent</w:t>
      </w:r>
      <w:r w:rsidR="00BF0CE1" w:rsidRPr="00D117BC">
        <w:t xml:space="preserve"> on average </w:t>
      </w:r>
      <w:r w:rsidR="00B24134" w:rsidRPr="00D117BC">
        <w:t>each year</w:t>
      </w:r>
      <w:r w:rsidR="00FB6C62" w:rsidRPr="00D117BC">
        <w:t xml:space="preserve"> over the budget and forward estimates</w:t>
      </w:r>
      <w:r w:rsidR="00466B88" w:rsidRPr="00D117BC">
        <w:t xml:space="preserve">. </w:t>
      </w:r>
      <w:r w:rsidR="00466B88" w:rsidRPr="00615C42">
        <w:t>This</w:t>
      </w:r>
      <w:r w:rsidR="006513A1" w:rsidRPr="00615C42">
        <w:t xml:space="preserve"> </w:t>
      </w:r>
      <w:r w:rsidR="00D45626" w:rsidRPr="00615C42">
        <w:t xml:space="preserve">is </w:t>
      </w:r>
      <w:r w:rsidR="00466B88" w:rsidRPr="00615C42">
        <w:t>attributable</w:t>
      </w:r>
      <w:r w:rsidR="00F339BD" w:rsidRPr="00615C42">
        <w:t xml:space="preserve"> t</w:t>
      </w:r>
      <w:r w:rsidR="00F511AA" w:rsidRPr="00615C42">
        <w:t xml:space="preserve">o </w:t>
      </w:r>
      <w:r w:rsidR="00466B88" w:rsidRPr="00D117BC">
        <w:t xml:space="preserve">a </w:t>
      </w:r>
      <w:r w:rsidR="009E741E" w:rsidRPr="00D117BC">
        <w:t>decrease in forecast expenses for</w:t>
      </w:r>
      <w:r w:rsidR="00466B88" w:rsidRPr="00D117BC">
        <w:t xml:space="preserve"> defined benefit superannuation liabilities</w:t>
      </w:r>
      <w:r w:rsidR="0093570C" w:rsidRPr="00D117BC">
        <w:t>, partially</w:t>
      </w:r>
      <w:r w:rsidR="00C43E47" w:rsidRPr="00D117BC">
        <w:t xml:space="preserve"> offset by an </w:t>
      </w:r>
      <w:r w:rsidR="00C43E47" w:rsidRPr="00615C42">
        <w:t>increase</w:t>
      </w:r>
      <w:r w:rsidR="00C43E47" w:rsidRPr="00D117BC">
        <w:t xml:space="preserve"> in expenses for defined contribution superannuation liabilities</w:t>
      </w:r>
      <w:r w:rsidR="00CA37C2" w:rsidRPr="00D117BC">
        <w:t>.</w:t>
      </w:r>
      <w:r w:rsidR="00B7781D" w:rsidRPr="00D117BC">
        <w:t xml:space="preserve"> </w:t>
      </w:r>
    </w:p>
    <w:p w14:paraId="76D0CC7F" w14:textId="371F2058" w:rsidR="004C6C55" w:rsidRDefault="004C6C55" w:rsidP="00615C42">
      <w:pPr>
        <w:pStyle w:val="BodyText"/>
        <w:rPr>
          <w:rFonts w:eastAsia="Arial"/>
        </w:rPr>
      </w:pPr>
      <w:r w:rsidRPr="00B24C0F">
        <w:rPr>
          <w:rFonts w:eastAsia="Arial"/>
        </w:rPr>
        <w:t>Changes in expenses for defined benefit superannuation</w:t>
      </w:r>
      <w:r w:rsidRPr="12E62952">
        <w:rPr>
          <w:rFonts w:eastAsia="Arial"/>
        </w:rPr>
        <w:t xml:space="preserve"> liabilities are largely driven by movements in the 10-year Commonwealth Government bond rate. </w:t>
      </w:r>
      <w:r w:rsidR="00C77A61">
        <w:rPr>
          <w:rFonts w:eastAsia="Arial"/>
        </w:rPr>
        <w:t>These e</w:t>
      </w:r>
      <w:r w:rsidRPr="12E62952">
        <w:rPr>
          <w:rFonts w:eastAsia="Arial"/>
        </w:rPr>
        <w:t>xpenses are expected to fall in 2021-22 and 2022-23 before beginning to rise in 2023-24, reflecting forecasts of the 10</w:t>
      </w:r>
      <w:r w:rsidR="00B4395A">
        <w:rPr>
          <w:rFonts w:eastAsia="Arial"/>
        </w:rPr>
        <w:noBreakHyphen/>
      </w:r>
      <w:r w:rsidRPr="12E62952">
        <w:rPr>
          <w:rFonts w:eastAsia="Arial"/>
        </w:rPr>
        <w:t xml:space="preserve">year bond rate over those years. </w:t>
      </w:r>
    </w:p>
    <w:p w14:paraId="221E5688" w14:textId="0C2028FB" w:rsidR="004C6C55" w:rsidRDefault="004C6C55" w:rsidP="00615C42">
      <w:pPr>
        <w:pStyle w:val="BodyText"/>
      </w:pPr>
      <w:r w:rsidRPr="00615C42">
        <w:rPr>
          <w:rFonts w:eastAsia="Arial"/>
        </w:rPr>
        <w:t xml:space="preserve">Falls in </w:t>
      </w:r>
      <w:r w:rsidRPr="00E50D48">
        <w:rPr>
          <w:rFonts w:eastAsia="Arial"/>
        </w:rPr>
        <w:t>defined benefit superannuation expense</w:t>
      </w:r>
      <w:r w:rsidRPr="009D354A">
        <w:rPr>
          <w:rFonts w:eastAsia="Arial"/>
        </w:rPr>
        <w:t xml:space="preserve">s are partially offset by </w:t>
      </w:r>
      <w:r w:rsidRPr="00615C42">
        <w:rPr>
          <w:rFonts w:eastAsia="Arial"/>
        </w:rPr>
        <w:t>increased</w:t>
      </w:r>
      <w:r w:rsidRPr="00E50D48">
        <w:rPr>
          <w:rFonts w:eastAsia="Arial"/>
        </w:rPr>
        <w:t xml:space="preserve"> defined</w:t>
      </w:r>
      <w:r w:rsidRPr="12E62952">
        <w:rPr>
          <w:rFonts w:eastAsia="Arial"/>
        </w:rPr>
        <w:t xml:space="preserve"> contribution superannuation expenses across the budget and forward estimates, primarily associated </w:t>
      </w:r>
      <w:r w:rsidRPr="00F61E84">
        <w:rPr>
          <w:rFonts w:eastAsia="Arial"/>
        </w:rPr>
        <w:t xml:space="preserve">with </w:t>
      </w:r>
      <w:r w:rsidRPr="00615C42">
        <w:rPr>
          <w:rFonts w:eastAsia="Arial"/>
        </w:rPr>
        <w:t>additional health, education and police employee costs</w:t>
      </w:r>
      <w:r w:rsidRPr="00F61E84">
        <w:rPr>
          <w:rFonts w:eastAsia="Arial"/>
        </w:rPr>
        <w:t>.</w:t>
      </w:r>
      <w:r w:rsidRPr="12E62952">
        <w:rPr>
          <w:rFonts w:eastAsia="Arial"/>
        </w:rPr>
        <w:t xml:space="preserve"> </w:t>
      </w:r>
    </w:p>
    <w:p w14:paraId="6C51EC99" w14:textId="2A7AD538" w:rsidR="00AB0133" w:rsidRPr="0010731B" w:rsidRDefault="00AB0133" w:rsidP="001E684E">
      <w:pPr>
        <w:pStyle w:val="Heading3"/>
        <w:rPr>
          <w:rStyle w:val="eop"/>
        </w:rPr>
      </w:pPr>
      <w:r w:rsidRPr="0010731B">
        <w:t>Other operating expenses</w:t>
      </w:r>
    </w:p>
    <w:p w14:paraId="720D503E" w14:textId="6AD10B38" w:rsidR="00AB0133" w:rsidRPr="00D117BC" w:rsidRDefault="00AB0133">
      <w:pPr>
        <w:pStyle w:val="BodyText"/>
      </w:pPr>
      <w:r>
        <w:t>Other operating expenses mainly represent the day-to-</w:t>
      </w:r>
      <w:r w:rsidRPr="00D117BC">
        <w:t xml:space="preserve">day running costs incurred in the delivery of government services and programs and comprise </w:t>
      </w:r>
      <w:r w:rsidR="0015688C" w:rsidRPr="00615C42">
        <w:t>2</w:t>
      </w:r>
      <w:r w:rsidR="002C69E8" w:rsidRPr="00615C42">
        <w:t>5.</w:t>
      </w:r>
      <w:r w:rsidR="0082579E" w:rsidRPr="00615C42">
        <w:t>3</w:t>
      </w:r>
      <w:r w:rsidRPr="00D117BC">
        <w:t xml:space="preserve"> per cent of total expenses in 2020-21.</w:t>
      </w:r>
    </w:p>
    <w:p w14:paraId="285A12B0" w14:textId="130167A7" w:rsidR="00E4511D" w:rsidRPr="00D117BC" w:rsidRDefault="00582C88">
      <w:pPr>
        <w:pStyle w:val="BodyText"/>
      </w:pPr>
      <w:r w:rsidRPr="00D117BC">
        <w:t>O</w:t>
      </w:r>
      <w:r w:rsidR="00AB0133" w:rsidRPr="00D117BC">
        <w:t xml:space="preserve">ther operating expenses are forecast to </w:t>
      </w:r>
      <w:r w:rsidRPr="00D117BC">
        <w:t xml:space="preserve">be </w:t>
      </w:r>
      <w:r w:rsidR="00565095" w:rsidRPr="00615C42">
        <w:t>7.</w:t>
      </w:r>
      <w:r w:rsidR="006E6438" w:rsidRPr="00615C42">
        <w:t>2</w:t>
      </w:r>
      <w:r w:rsidR="00AB0133" w:rsidRPr="00615C42">
        <w:t xml:space="preserve"> per cent</w:t>
      </w:r>
      <w:r w:rsidR="00AB0133" w:rsidRPr="00D117BC">
        <w:t xml:space="preserve"> </w:t>
      </w:r>
      <w:r w:rsidRPr="00D117BC">
        <w:t>higher in 2020-21 compared to the prior year</w:t>
      </w:r>
      <w:r w:rsidR="00CF24E5" w:rsidRPr="00D117BC">
        <w:t xml:space="preserve">, </w:t>
      </w:r>
      <w:r w:rsidR="000A487B" w:rsidRPr="00D117BC">
        <w:t>largely</w:t>
      </w:r>
      <w:r w:rsidR="00E4511D" w:rsidRPr="00D117BC">
        <w:t xml:space="preserve"> due to</w:t>
      </w:r>
      <w:r w:rsidR="00306D60" w:rsidRPr="00D117BC">
        <w:t xml:space="preserve"> </w:t>
      </w:r>
      <w:r w:rsidR="00635F5B" w:rsidRPr="00D117BC">
        <w:t>COVID</w:t>
      </w:r>
      <w:r w:rsidR="00EF3C8A" w:rsidRPr="00D117BC">
        <w:noBreakHyphen/>
      </w:r>
      <w:r w:rsidR="00635F5B" w:rsidRPr="00D117BC">
        <w:t>19</w:t>
      </w:r>
      <w:r w:rsidR="00844E1E" w:rsidRPr="00D117BC">
        <w:t xml:space="preserve"> </w:t>
      </w:r>
      <w:r w:rsidR="00486D99" w:rsidRPr="00D117BC">
        <w:t>response and recovery</w:t>
      </w:r>
      <w:r w:rsidR="00E62885" w:rsidRPr="00D117BC">
        <w:t xml:space="preserve"> measure</w:t>
      </w:r>
      <w:r w:rsidR="00511F48" w:rsidRPr="00D117BC">
        <w:t>s</w:t>
      </w:r>
      <w:r w:rsidR="00486D99" w:rsidRPr="00D117BC">
        <w:t>.</w:t>
      </w:r>
    </w:p>
    <w:p w14:paraId="6204BC42" w14:textId="77777777" w:rsidR="00292D92" w:rsidRDefault="00292D92">
      <w:pPr>
        <w:spacing w:after="200" w:line="276" w:lineRule="auto"/>
        <w:rPr>
          <w:rFonts w:ascii="Arial" w:hAnsi="Arial" w:cs="Arial"/>
          <w:sz w:val="23"/>
          <w:lang w:val="en-AU"/>
        </w:rPr>
      </w:pPr>
      <w:r>
        <w:br w:type="page"/>
      </w:r>
    </w:p>
    <w:p w14:paraId="3C13873A" w14:textId="7A491DAF" w:rsidR="00334ACC" w:rsidRDefault="002A4B8A">
      <w:pPr>
        <w:pStyle w:val="BodyText"/>
      </w:pPr>
      <w:r w:rsidRPr="00D117BC">
        <w:t>Other operating expenses are forecast to</w:t>
      </w:r>
      <w:r w:rsidR="00E75B91" w:rsidRPr="00D117BC">
        <w:t xml:space="preserve"> </w:t>
      </w:r>
      <w:r w:rsidR="00E00793" w:rsidRPr="00615C42">
        <w:t>decline</w:t>
      </w:r>
      <w:r w:rsidR="00E75B91" w:rsidRPr="00D117BC">
        <w:t xml:space="preserve"> over the budget and forward estimates</w:t>
      </w:r>
      <w:r w:rsidR="00E4511D" w:rsidRPr="00D117BC">
        <w:t xml:space="preserve"> </w:t>
      </w:r>
      <w:r w:rsidR="00AB0133" w:rsidRPr="00D117BC">
        <w:t>by</w:t>
      </w:r>
      <w:r w:rsidR="00E75B91" w:rsidRPr="00D117BC">
        <w:t xml:space="preserve"> an average of</w:t>
      </w:r>
      <w:r w:rsidR="00AB0133" w:rsidRPr="00D117BC">
        <w:t xml:space="preserve"> </w:t>
      </w:r>
      <w:r w:rsidR="004F5DA2" w:rsidRPr="00615C42">
        <w:t>1.</w:t>
      </w:r>
      <w:r w:rsidR="00651217" w:rsidRPr="00615C42">
        <w:t>6</w:t>
      </w:r>
      <w:r w:rsidR="00AB0133" w:rsidRPr="00D117BC">
        <w:t xml:space="preserve"> per cent </w:t>
      </w:r>
      <w:r w:rsidR="00E75B91" w:rsidRPr="00D117BC">
        <w:t>per annum to 2023-24</w:t>
      </w:r>
      <w:r w:rsidR="00AB0133" w:rsidRPr="00D117BC">
        <w:t>. Th</w:t>
      </w:r>
      <w:r w:rsidR="001D05DA" w:rsidRPr="00D117BC">
        <w:t xml:space="preserve">e </w:t>
      </w:r>
      <w:r w:rsidR="00AB0133" w:rsidRPr="00615C42">
        <w:t>decrease</w:t>
      </w:r>
      <w:r w:rsidR="00AB0133">
        <w:t xml:space="preserve"> </w:t>
      </w:r>
      <w:r w:rsidR="003064F9">
        <w:t xml:space="preserve">from 2020-21 to 2023-24 </w:t>
      </w:r>
      <w:r w:rsidR="00AB0133">
        <w:t xml:space="preserve">is </w:t>
      </w:r>
      <w:r w:rsidR="004D4444">
        <w:t>driven by the</w:t>
      </w:r>
      <w:r w:rsidR="00A96D83" w:rsidRPr="00C205AE">
        <w:t xml:space="preserve"> temporary COVID-19</w:t>
      </w:r>
      <w:r w:rsidR="006B301E" w:rsidRPr="00C205AE">
        <w:t xml:space="preserve"> respon</w:t>
      </w:r>
      <w:r w:rsidR="00686C5D">
        <w:t>se</w:t>
      </w:r>
      <w:r w:rsidR="006B301E" w:rsidRPr="00C205AE">
        <w:t xml:space="preserve"> and recovery measures ceasing in the forward estimates. Other</w:t>
      </w:r>
      <w:r w:rsidR="0060625E" w:rsidRPr="00C205AE">
        <w:t xml:space="preserve"> drivers of the</w:t>
      </w:r>
      <w:r w:rsidR="000D6E01" w:rsidRPr="00C205AE">
        <w:t xml:space="preserve"> </w:t>
      </w:r>
      <w:r w:rsidR="0060625E" w:rsidRPr="00C205AE">
        <w:t>decrease are</w:t>
      </w:r>
      <w:r w:rsidR="00042718" w:rsidRPr="00C205AE">
        <w:t xml:space="preserve"> the completion of major transport projects being delivered in the</w:t>
      </w:r>
      <w:r w:rsidR="00042718">
        <w:t xml:space="preserve"> public non</w:t>
      </w:r>
      <w:r w:rsidR="00BE4A35">
        <w:noBreakHyphen/>
      </w:r>
      <w:r w:rsidR="00042718">
        <w:t xml:space="preserve">financial </w:t>
      </w:r>
      <w:proofErr w:type="gramStart"/>
      <w:r w:rsidR="00042718">
        <w:t>corporations</w:t>
      </w:r>
      <w:proofErr w:type="gramEnd"/>
      <w:r w:rsidR="00042718">
        <w:t xml:space="preserve"> sector</w:t>
      </w:r>
      <w:r w:rsidR="00121878">
        <w:t>,</w:t>
      </w:r>
      <w:r w:rsidR="00A644D0">
        <w:t xml:space="preserve"> </w:t>
      </w:r>
      <w:r w:rsidR="00BE4A35">
        <w:t>an</w:t>
      </w:r>
      <w:r w:rsidR="00C330EB">
        <w:t xml:space="preserve">d </w:t>
      </w:r>
      <w:r w:rsidR="00FB1E66">
        <w:t xml:space="preserve">the implementation of budgeted </w:t>
      </w:r>
      <w:r w:rsidR="00C330EB">
        <w:t>savings measures, including the</w:t>
      </w:r>
      <w:r w:rsidR="00BE4A35">
        <w:t xml:space="preserve"> increase in</w:t>
      </w:r>
      <w:r w:rsidR="006214F9">
        <w:t xml:space="preserve"> </w:t>
      </w:r>
      <w:r w:rsidR="003D0757">
        <w:t xml:space="preserve">agency </w:t>
      </w:r>
      <w:r w:rsidR="00357216">
        <w:t>procurement savings</w:t>
      </w:r>
      <w:r w:rsidR="00771F5F">
        <w:t>.</w:t>
      </w:r>
    </w:p>
    <w:p w14:paraId="08653787" w14:textId="34B6A6F1" w:rsidR="0002336D" w:rsidRPr="00904E13" w:rsidRDefault="0002336D" w:rsidP="00FF23F8">
      <w:r>
        <w:t>Information on the Aboriginal Procurement Policy is provided in Box 5.6</w:t>
      </w:r>
      <w:r w:rsidR="00405980">
        <w:t>.</w:t>
      </w:r>
      <w:r w:rsidR="00405980">
        <w:br/>
      </w:r>
    </w:p>
    <w:tbl>
      <w:tblPr>
        <w:tblStyle w:val="TableGrid"/>
        <w:tblW w:w="9786" w:type="dxa"/>
        <w:tblInd w:w="-5" w:type="dxa"/>
        <w:tblLook w:val="04A0" w:firstRow="1" w:lastRow="0" w:firstColumn="1" w:lastColumn="0" w:noHBand="0" w:noVBand="1"/>
        <w:tblCaption w:val="Box 5.6: Driving sustainable economic prosperity"/>
        <w:tblDescription w:val="Box 5.6: Driving sustainable economic prosperity"/>
      </w:tblPr>
      <w:tblGrid>
        <w:gridCol w:w="9786"/>
      </w:tblGrid>
      <w:tr w:rsidR="00837C06" w14:paraId="61211C3C" w14:textId="77777777" w:rsidTr="008D29E8">
        <w:trPr>
          <w:trHeight w:val="4426"/>
        </w:trPr>
        <w:tc>
          <w:tcPr>
            <w:tcW w:w="9786" w:type="dxa"/>
            <w:tcBorders>
              <w:top w:val="nil"/>
              <w:left w:val="nil"/>
              <w:bottom w:val="nil"/>
              <w:right w:val="nil"/>
            </w:tcBorders>
            <w:shd w:val="clear" w:color="auto" w:fill="F2F2F2" w:themeFill="background1" w:themeFillShade="F2"/>
          </w:tcPr>
          <w:p w14:paraId="61290BD8" w14:textId="2A372AFD" w:rsidR="00AE6F1A" w:rsidRPr="00931A3B" w:rsidRDefault="00AE6F1A" w:rsidP="00A0273A">
            <w:pPr>
              <w:pStyle w:val="BoxHeading"/>
              <w:ind w:left="360" w:hanging="360"/>
            </w:pPr>
            <w:r>
              <w:t>Driving sustainable economic prosperity</w:t>
            </w:r>
          </w:p>
          <w:p w14:paraId="7EB85679" w14:textId="77777777" w:rsidR="00AE6F1A" w:rsidRPr="00B3394E" w:rsidRDefault="00AE6F1A" w:rsidP="00A0273A">
            <w:pPr>
              <w:pStyle w:val="BodyTextBox"/>
            </w:pPr>
            <w:r>
              <w:t xml:space="preserve">The Aboriginal Procurement Policy leverages the NSW Government’s procurement activities to support Aboriginal employment opportunities and participation along with growth of Aboriginal-owned businesses, to drive prosperity across Aboriginal communities. </w:t>
            </w:r>
          </w:p>
          <w:p w14:paraId="00DA6D93" w14:textId="691AE02D" w:rsidR="00AE6F1A" w:rsidRPr="00B3394E" w:rsidRDefault="00AE6F1A" w:rsidP="00A0273A">
            <w:pPr>
              <w:pStyle w:val="BodyTextBox"/>
            </w:pPr>
            <w:r>
              <w:t xml:space="preserve">Following significant consultation and review, the policy will be strengthened from 1 January 2021 by combining the </w:t>
            </w:r>
            <w:r w:rsidRPr="00B3394E">
              <w:t>Aboriginal Procurement Policy</w:t>
            </w:r>
            <w:r>
              <w:t xml:space="preserve"> and the </w:t>
            </w:r>
            <w:r w:rsidRPr="00B3394E">
              <w:t xml:space="preserve">Aboriginal Participation in Construction Policy. </w:t>
            </w:r>
            <w:r>
              <w:t>This will concentrate Government’s procurement activities through a single policy framework to improve outcomes. Government clusters have each been set a target to direct 1</w:t>
            </w:r>
            <w:r w:rsidR="00A20847">
              <w:t xml:space="preserve"> per cent</w:t>
            </w:r>
            <w:r>
              <w:t xml:space="preserve"> of addressable spend to Aboriginal businesses, a total of $59</w:t>
            </w:r>
            <w:r w:rsidR="00A20847">
              <w:t>.0</w:t>
            </w:r>
            <w:r w:rsidR="00EF2C20">
              <w:t> </w:t>
            </w:r>
            <w:r>
              <w:t>million from 1 January to 30 June 2021.</w:t>
            </w:r>
            <w:r w:rsidRPr="00B3394E">
              <w:t xml:space="preserve"> </w:t>
            </w:r>
          </w:p>
          <w:p w14:paraId="56AA5F91" w14:textId="1635007C" w:rsidR="00AE6F1A" w:rsidRPr="00B3394E" w:rsidRDefault="00AE6F1A" w:rsidP="00A0273A">
            <w:pPr>
              <w:pStyle w:val="BodyTextBox"/>
            </w:pPr>
            <w:r>
              <w:t xml:space="preserve">This new target aims to increase the spend with Aboriginal businesses by almost 30 per cent based on a </w:t>
            </w:r>
            <w:r w:rsidR="00A20847">
              <w:t>6-monthly</w:t>
            </w:r>
            <w:r>
              <w:t xml:space="preserve"> average of the previous financial year spend with Aboriginal businesses. The target to award 3</w:t>
            </w:r>
            <w:r w:rsidR="00A20847">
              <w:t xml:space="preserve"> per cent</w:t>
            </w:r>
            <w:r>
              <w:t xml:space="preserve"> of goods and services contracts to Aboriginal businesses has been retained from the previous policy and targets assigned to each cluster to better assist cluster</w:t>
            </w:r>
            <w:r w:rsidR="009C33C7">
              <w:t>s to</w:t>
            </w:r>
            <w:r>
              <w:t xml:space="preserve"> understand their requirements and achieve their targets. </w:t>
            </w:r>
          </w:p>
        </w:tc>
      </w:tr>
    </w:tbl>
    <w:p w14:paraId="38AB5C53" w14:textId="3A98FA75" w:rsidR="00E85A82" w:rsidRPr="002B03B6" w:rsidRDefault="006D46F4" w:rsidP="002B03B6">
      <w:pPr>
        <w:pStyle w:val="Heading3"/>
        <w:rPr>
          <w:rStyle w:val="eop"/>
        </w:rPr>
      </w:pPr>
      <w:r w:rsidRPr="0010731B">
        <w:t>Grant</w:t>
      </w:r>
      <w:r w:rsidRPr="002B03B6">
        <w:t>s</w:t>
      </w:r>
      <w:r w:rsidR="00F349B3" w:rsidRPr="002B03B6">
        <w:t>,</w:t>
      </w:r>
      <w:r w:rsidRPr="002B03B6">
        <w:t xml:space="preserve"> subsidies</w:t>
      </w:r>
      <w:r w:rsidR="00F349B3" w:rsidRPr="002B03B6">
        <w:t xml:space="preserve"> and other transfer expenses</w:t>
      </w:r>
      <w:r w:rsidR="00AB0133" w:rsidRPr="002B03B6">
        <w:rPr>
          <w:rStyle w:val="eop"/>
        </w:rPr>
        <w:t> </w:t>
      </w:r>
    </w:p>
    <w:p w14:paraId="5EE01136" w14:textId="769B5F6B" w:rsidR="00C4423A" w:rsidRPr="00D117BC" w:rsidRDefault="00865959">
      <w:pPr>
        <w:pStyle w:val="BodyText"/>
      </w:pPr>
      <w:r>
        <w:t xml:space="preserve">Grants and subsidies include </w:t>
      </w:r>
      <w:r w:rsidRPr="00D117BC">
        <w:t>payments to other government sectors</w:t>
      </w:r>
      <w:r w:rsidR="000A3CC0" w:rsidRPr="00D117BC">
        <w:t xml:space="preserve"> (for exam</w:t>
      </w:r>
      <w:r w:rsidR="001F2BC6" w:rsidRPr="00D117BC">
        <w:t>ple State Owned Corporations)</w:t>
      </w:r>
      <w:r w:rsidRPr="00D117BC">
        <w:t>, local government, community groups and non-profit organisations</w:t>
      </w:r>
      <w:r w:rsidR="004468B0" w:rsidRPr="00D117BC">
        <w:t>. They are</w:t>
      </w:r>
      <w:r w:rsidR="00150FBB" w:rsidRPr="00D117BC">
        <w:t xml:space="preserve"> for</w:t>
      </w:r>
      <w:r w:rsidR="00C4423A" w:rsidRPr="00D117BC">
        <w:t xml:space="preserve"> </w:t>
      </w:r>
      <w:r w:rsidRPr="00D117BC">
        <w:t xml:space="preserve">the delivery of services and infrastructure projects. </w:t>
      </w:r>
    </w:p>
    <w:p w14:paraId="42ADEE9D" w14:textId="5512A221" w:rsidR="00117AC3" w:rsidRDefault="00865959" w:rsidP="00615C42">
      <w:pPr>
        <w:pStyle w:val="BodyText"/>
      </w:pPr>
      <w:r w:rsidRPr="00D117BC">
        <w:t>Grants and subsidies are forecast to be $</w:t>
      </w:r>
      <w:r w:rsidR="004A531D" w:rsidRPr="00615C42">
        <w:t>22.</w:t>
      </w:r>
      <w:r w:rsidR="00C36C61" w:rsidRPr="00615C42">
        <w:t>7</w:t>
      </w:r>
      <w:r w:rsidRPr="00D117BC">
        <w:t xml:space="preserve"> billion in 2020-21 and comprise </w:t>
      </w:r>
      <w:r w:rsidR="008B4C98" w:rsidRPr="00615C42">
        <w:t>23.</w:t>
      </w:r>
      <w:r w:rsidR="00C23EA4" w:rsidRPr="00615C42">
        <w:t>2</w:t>
      </w:r>
      <w:r w:rsidRPr="00D117BC">
        <w:t xml:space="preserve"> per cent of total expenses. Chart </w:t>
      </w:r>
      <w:r w:rsidRPr="00615C42">
        <w:t>5.</w:t>
      </w:r>
      <w:r w:rsidR="00796E9A" w:rsidRPr="00D117BC">
        <w:t>3</w:t>
      </w:r>
      <w:r w:rsidRPr="00D117BC">
        <w:t xml:space="preserve"> below outlines the composition of grants and subsidies in 2020-21 by recipient.</w:t>
      </w:r>
      <w:r>
        <w:t> </w:t>
      </w:r>
      <w:r>
        <w:rPr>
          <w:rStyle w:val="eop"/>
          <w:szCs w:val="23"/>
        </w:rPr>
        <w:t> </w:t>
      </w:r>
    </w:p>
    <w:p w14:paraId="56190DA8" w14:textId="3F8D5FA1" w:rsidR="004629D0" w:rsidRPr="007641D2" w:rsidRDefault="00FB3777" w:rsidP="004629D0">
      <w:pPr>
        <w:pStyle w:val="Chart5x"/>
        <w:rPr>
          <w:rFonts w:cs="Arial"/>
        </w:rPr>
      </w:pPr>
      <w:r>
        <w:rPr>
          <w:rFonts w:cs="Arial"/>
        </w:rPr>
        <w:t>Composition</w:t>
      </w:r>
      <w:r w:rsidR="008C223A">
        <w:rPr>
          <w:rFonts w:cs="Arial"/>
        </w:rPr>
        <w:t xml:space="preserve"> </w:t>
      </w:r>
      <w:r w:rsidR="004629D0" w:rsidRPr="007641D2">
        <w:rPr>
          <w:rFonts w:cs="Arial"/>
        </w:rPr>
        <w:t>of grants and subsidies in 20</w:t>
      </w:r>
      <w:r w:rsidR="001E684E">
        <w:rPr>
          <w:rFonts w:cs="Arial"/>
        </w:rPr>
        <w:t>20-21</w:t>
      </w:r>
      <w:r>
        <w:rPr>
          <w:rFonts w:cs="Arial"/>
        </w:rPr>
        <w:t xml:space="preserve"> by recipient</w:t>
      </w:r>
      <w:r w:rsidR="004629D0">
        <w:rPr>
          <w:rFonts w:cs="Arial"/>
        </w:rPr>
        <w:t xml:space="preserve"> </w:t>
      </w:r>
    </w:p>
    <w:p w14:paraId="00F44BD4" w14:textId="4E07CCB3" w:rsidR="00AB0133" w:rsidRDefault="00A22E0C" w:rsidP="008D0A34">
      <w:pPr>
        <w:jc w:val="center"/>
        <w:rPr>
          <w:rStyle w:val="eop"/>
          <w:b/>
          <w:bCs/>
          <w:sz w:val="26"/>
          <w:szCs w:val="26"/>
        </w:rPr>
      </w:pPr>
      <w:r w:rsidRPr="00A22E0C">
        <w:rPr>
          <w:noProof/>
        </w:rPr>
        <w:t xml:space="preserve"> </w:t>
      </w:r>
      <w:r w:rsidR="00F93F34">
        <w:rPr>
          <w:noProof/>
        </w:rPr>
        <w:drawing>
          <wp:inline distT="0" distB="0" distL="0" distR="0" wp14:anchorId="7B0E624D" wp14:editId="4B4488D9">
            <wp:extent cx="6120765" cy="1943100"/>
            <wp:effectExtent l="0" t="0" r="0" b="0"/>
            <wp:docPr id="17" name="Chart 17" descr="Chart 5.3: Composition of grants and subsidies in 2020-21 by recipient ">
              <a:extLst xmlns:a="http://schemas.openxmlformats.org/drawingml/2006/main">
                <a:ext uri="{FF2B5EF4-FFF2-40B4-BE49-F238E27FC236}">
                  <a16:creationId xmlns:a16="http://schemas.microsoft.com/office/drawing/2014/main" id="{423B4569-1DBE-4A78-BE5D-1A4F60F095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F478313" w14:textId="0A441821" w:rsidR="003E1EE6" w:rsidRPr="00D117BC" w:rsidRDefault="00AB0133">
      <w:pPr>
        <w:pStyle w:val="BodyText"/>
      </w:pPr>
      <w:r>
        <w:t xml:space="preserve">Grants and </w:t>
      </w:r>
      <w:r w:rsidRPr="00304787">
        <w:t xml:space="preserve">subsidies are expected to </w:t>
      </w:r>
      <w:r w:rsidR="00894283" w:rsidRPr="00D117BC">
        <w:t xml:space="preserve">increase </w:t>
      </w:r>
      <w:r w:rsidR="00B66AF5" w:rsidRPr="00D117BC">
        <w:t>by</w:t>
      </w:r>
      <w:r w:rsidR="00CE6DC6" w:rsidRPr="00D117BC">
        <w:t xml:space="preserve"> </w:t>
      </w:r>
      <w:r w:rsidR="003E1EE6" w:rsidRPr="00D117BC">
        <w:t>$</w:t>
      </w:r>
      <w:r w:rsidR="00CE6DC6" w:rsidRPr="00D117BC">
        <w:t>5.</w:t>
      </w:r>
      <w:r w:rsidR="00361EB5" w:rsidRPr="00615C42">
        <w:t>4</w:t>
      </w:r>
      <w:r w:rsidR="00CE6DC6" w:rsidRPr="00D117BC">
        <w:t xml:space="preserve"> billion (30.</w:t>
      </w:r>
      <w:r w:rsidR="00C319FB" w:rsidRPr="00615C42">
        <w:t>9</w:t>
      </w:r>
      <w:r w:rsidR="00CE6DC6" w:rsidRPr="00D117BC">
        <w:t xml:space="preserve"> per cent) </w:t>
      </w:r>
      <w:r w:rsidR="00894283" w:rsidRPr="00D117BC">
        <w:t>from 2019-20 to 2020-21</w:t>
      </w:r>
      <w:r w:rsidR="00CE6DC6" w:rsidRPr="00D117BC">
        <w:t>. This is driven by the Government</w:t>
      </w:r>
      <w:r w:rsidR="003E1EE6" w:rsidRPr="00D117BC">
        <w:t xml:space="preserve">’s bushfire and COVID-19 response and recovery measures. </w:t>
      </w:r>
    </w:p>
    <w:p w14:paraId="49FBF762" w14:textId="77777777" w:rsidR="00BC1E2E" w:rsidRDefault="00BC1E2E">
      <w:pPr>
        <w:spacing w:after="200" w:line="276" w:lineRule="auto"/>
        <w:rPr>
          <w:rFonts w:ascii="Arial" w:hAnsi="Arial" w:cs="Arial"/>
          <w:sz w:val="23"/>
          <w:lang w:val="en-AU"/>
        </w:rPr>
      </w:pPr>
      <w:r>
        <w:br w:type="page"/>
      </w:r>
    </w:p>
    <w:p w14:paraId="17FF9D2C" w14:textId="0DB3E8F0" w:rsidR="00074A93" w:rsidRPr="00D117BC" w:rsidRDefault="003E1EE6">
      <w:pPr>
        <w:pStyle w:val="BodyText"/>
      </w:pPr>
      <w:r w:rsidRPr="00D117BC">
        <w:t>Over the budget and forward estimates</w:t>
      </w:r>
      <w:r w:rsidR="006768F0" w:rsidRPr="00D117BC">
        <w:t>,</w:t>
      </w:r>
      <w:r w:rsidRPr="00D117BC">
        <w:t xml:space="preserve"> grants and subsidies </w:t>
      </w:r>
      <w:r w:rsidR="00AB0133" w:rsidRPr="00615C42">
        <w:t>decrease</w:t>
      </w:r>
      <w:r w:rsidR="00AB0133" w:rsidRPr="00D117BC">
        <w:t xml:space="preserve"> by an average of </w:t>
      </w:r>
      <w:r w:rsidR="009E6BE4" w:rsidRPr="00615C42">
        <w:t>1.</w:t>
      </w:r>
      <w:r w:rsidR="00193190" w:rsidRPr="00615C42">
        <w:t>2</w:t>
      </w:r>
      <w:r w:rsidRPr="00615C42">
        <w:t> </w:t>
      </w:r>
      <w:r w:rsidR="00AB0133" w:rsidRPr="00D117BC">
        <w:t>per cent annually</w:t>
      </w:r>
      <w:r w:rsidR="0024505E" w:rsidRPr="00D117BC">
        <w:t xml:space="preserve">. </w:t>
      </w:r>
      <w:r w:rsidR="00DE7DFE" w:rsidRPr="00D117BC">
        <w:t xml:space="preserve">The </w:t>
      </w:r>
      <w:r w:rsidR="00AB0133" w:rsidRPr="00615C42">
        <w:t>decrease</w:t>
      </w:r>
      <w:r w:rsidR="00AB0133" w:rsidRPr="00D117BC">
        <w:t xml:space="preserve"> </w:t>
      </w:r>
      <w:r w:rsidR="00DE7DFE" w:rsidRPr="00D117BC">
        <w:t>recognises</w:t>
      </w:r>
      <w:r w:rsidR="00497221" w:rsidRPr="00D117BC">
        <w:t xml:space="preserve"> </w:t>
      </w:r>
      <w:r w:rsidR="00AB0133" w:rsidRPr="00D117BC">
        <w:t xml:space="preserve">the </w:t>
      </w:r>
      <w:r w:rsidR="00A7396D" w:rsidRPr="00D117BC">
        <w:t xml:space="preserve">temporary </w:t>
      </w:r>
      <w:r w:rsidR="000F223F" w:rsidRPr="00D117BC">
        <w:t xml:space="preserve">COVID-19 </w:t>
      </w:r>
      <w:r w:rsidR="00AB0133" w:rsidRPr="00D117BC">
        <w:t xml:space="preserve">stimulus </w:t>
      </w:r>
      <w:r w:rsidR="00781B8F" w:rsidRPr="00D117BC">
        <w:t xml:space="preserve">and bushfire recovery measures </w:t>
      </w:r>
      <w:r w:rsidR="00AB0133" w:rsidRPr="00D117BC">
        <w:t>in 2019-20 to 2020-21</w:t>
      </w:r>
      <w:r w:rsidR="000F223F" w:rsidRPr="00D117BC">
        <w:t xml:space="preserve">, which </w:t>
      </w:r>
      <w:r w:rsidR="00361DED" w:rsidRPr="00D117BC">
        <w:t>reduce across the forward estimates</w:t>
      </w:r>
      <w:r w:rsidR="00497221" w:rsidRPr="00D117BC">
        <w:t xml:space="preserve">. This is partially offset by an </w:t>
      </w:r>
      <w:r w:rsidR="00AB0133" w:rsidRPr="00615C42">
        <w:t>increase</w:t>
      </w:r>
      <w:r w:rsidR="00497221" w:rsidRPr="00615C42">
        <w:t xml:space="preserve"> in</w:t>
      </w:r>
      <w:r w:rsidR="00AB0133" w:rsidRPr="00615C42">
        <w:t xml:space="preserve"> grants </w:t>
      </w:r>
      <w:r w:rsidR="007147A4" w:rsidRPr="00615C42">
        <w:t>associated with the continued roll-out of the National Disability Insurance Scheme (NDIS).</w:t>
      </w:r>
    </w:p>
    <w:p w14:paraId="78D198CE" w14:textId="6278D2AF" w:rsidR="0022474B" w:rsidRDefault="00AB0133" w:rsidP="00615C42">
      <w:pPr>
        <w:pStyle w:val="BodyText"/>
        <w:rPr>
          <w:rFonts w:ascii="Arial Bold" w:hAnsi="Arial Bold"/>
          <w:kern w:val="28"/>
          <w:sz w:val="26"/>
          <w:szCs w:val="36"/>
        </w:rPr>
      </w:pPr>
      <w:r w:rsidRPr="00D117BC">
        <w:t>Grants to local governments and councils</w:t>
      </w:r>
      <w:r w:rsidR="00304787" w:rsidRPr="00D117BC">
        <w:t xml:space="preserve"> are forecast to</w:t>
      </w:r>
      <w:r w:rsidRPr="00D117BC">
        <w:t xml:space="preserve"> </w:t>
      </w:r>
      <w:r w:rsidRPr="00615C42">
        <w:t>increase</w:t>
      </w:r>
      <w:r w:rsidR="00704BC7" w:rsidRPr="00D117BC">
        <w:t xml:space="preserve"> </w:t>
      </w:r>
      <w:r w:rsidRPr="00D117BC">
        <w:t>to $</w:t>
      </w:r>
      <w:r w:rsidR="003E6DFA" w:rsidRPr="00615C42">
        <w:t>3.0</w:t>
      </w:r>
      <w:r w:rsidR="00FF67F4" w:rsidRPr="00615C42">
        <w:t> </w:t>
      </w:r>
      <w:r w:rsidRPr="00D117BC">
        <w:t>billion in 2020-21</w:t>
      </w:r>
      <w:r w:rsidR="00350CC3" w:rsidRPr="00D117BC">
        <w:t xml:space="preserve"> and comprise 13.</w:t>
      </w:r>
      <w:r w:rsidR="00E8459D" w:rsidRPr="00615C42">
        <w:t>3</w:t>
      </w:r>
      <w:r w:rsidR="00350CC3" w:rsidRPr="00D117BC">
        <w:t xml:space="preserve"> per cent of grants and subsidies</w:t>
      </w:r>
      <w:r w:rsidRPr="00D117BC">
        <w:t>. These payments</w:t>
      </w:r>
      <w:r w:rsidR="003456BF" w:rsidRPr="00D117BC">
        <w:t xml:space="preserve"> include Restart NSW grants and</w:t>
      </w:r>
      <w:r w:rsidRPr="00D117BC">
        <w:t xml:space="preserve"> support local councils to deliver infrastructure and services</w:t>
      </w:r>
      <w:r w:rsidR="003C5C99" w:rsidRPr="00D117BC">
        <w:t>. They also</w:t>
      </w:r>
      <w:r w:rsidRPr="00D117BC">
        <w:t xml:space="preserve"> provide targeted benefits to local communities, including repairing and upgrading local roads and airports, and providing sporting facilities and parks.</w:t>
      </w:r>
      <w:r w:rsidR="006A53C7" w:rsidRPr="00D117BC">
        <w:t xml:space="preserve"> </w:t>
      </w:r>
    </w:p>
    <w:p w14:paraId="289C765A" w14:textId="710F7392" w:rsidR="00AB0133" w:rsidRPr="00CC7531" w:rsidRDefault="00AB0133" w:rsidP="0010731B">
      <w:pPr>
        <w:pStyle w:val="Heading3"/>
        <w:rPr>
          <w:rStyle w:val="eop"/>
          <w:b w:val="0"/>
          <w:szCs w:val="26"/>
        </w:rPr>
      </w:pPr>
      <w:r w:rsidRPr="00D117BC">
        <w:t>Depreciation and amortisatio</w:t>
      </w:r>
      <w:r w:rsidRPr="00D117BC">
        <w:rPr>
          <w:rFonts w:ascii="Arial" w:hAnsi="Arial" w:cs="Arial"/>
          <w:szCs w:val="26"/>
        </w:rPr>
        <w:t>n</w:t>
      </w:r>
      <w:r w:rsidRPr="00D117BC">
        <w:rPr>
          <w:rStyle w:val="eop"/>
          <w:b w:val="0"/>
          <w:szCs w:val="26"/>
        </w:rPr>
        <w:t> </w:t>
      </w:r>
    </w:p>
    <w:p w14:paraId="317BEA3E" w14:textId="62DCB4F0" w:rsidR="00196117" w:rsidRPr="00D117BC" w:rsidRDefault="00AB0133">
      <w:pPr>
        <w:pStyle w:val="BodyText"/>
      </w:pPr>
      <w:r w:rsidRPr="00D117BC">
        <w:t xml:space="preserve">Depreciation and amortisation expenses are </w:t>
      </w:r>
      <w:r w:rsidR="000357D7" w:rsidRPr="00D117BC">
        <w:t>forecast</w:t>
      </w:r>
      <w:r w:rsidRPr="00D117BC">
        <w:t xml:space="preserve"> to be $</w:t>
      </w:r>
      <w:r w:rsidR="00744A7F" w:rsidRPr="00615C42">
        <w:t>7.0</w:t>
      </w:r>
      <w:r w:rsidRPr="00D117BC">
        <w:t xml:space="preserve"> billion in 2020-21, comprising </w:t>
      </w:r>
      <w:r w:rsidR="00C90046" w:rsidRPr="00615C42">
        <w:t>7</w:t>
      </w:r>
      <w:r w:rsidR="001873EC" w:rsidRPr="00615C42">
        <w:t>.2</w:t>
      </w:r>
      <w:r w:rsidRPr="00D117BC">
        <w:t xml:space="preserve"> per cent of total expenses. These expenses are forecast to </w:t>
      </w:r>
      <w:r w:rsidRPr="00615C42">
        <w:t>grow</w:t>
      </w:r>
      <w:r w:rsidRPr="00D117BC">
        <w:t xml:space="preserve"> by </w:t>
      </w:r>
      <w:r w:rsidR="00047599" w:rsidRPr="00615C42">
        <w:t>18.4</w:t>
      </w:r>
      <w:r w:rsidRPr="00D117BC">
        <w:t> per cent in 2020</w:t>
      </w:r>
      <w:r w:rsidR="003620E8" w:rsidRPr="00D117BC">
        <w:noBreakHyphen/>
      </w:r>
      <w:r w:rsidRPr="00D117BC">
        <w:t>21 and</w:t>
      </w:r>
      <w:r w:rsidR="00556CF3" w:rsidRPr="00D117BC">
        <w:t xml:space="preserve"> </w:t>
      </w:r>
      <w:r w:rsidR="009907DF" w:rsidRPr="00D117BC">
        <w:t xml:space="preserve">by </w:t>
      </w:r>
      <w:r w:rsidR="00556CF3" w:rsidRPr="00D117BC">
        <w:t>an average of</w:t>
      </w:r>
      <w:r w:rsidRPr="00D117BC">
        <w:t xml:space="preserve"> </w:t>
      </w:r>
      <w:r w:rsidR="006E712C" w:rsidRPr="00615C42">
        <w:t>7.8</w:t>
      </w:r>
      <w:r w:rsidRPr="00D117BC">
        <w:t xml:space="preserve"> per cent </w:t>
      </w:r>
      <w:r w:rsidR="000B5225" w:rsidRPr="00D117BC">
        <w:t>annually</w:t>
      </w:r>
      <w:r w:rsidR="000E22B8" w:rsidRPr="00D117BC">
        <w:t xml:space="preserve"> </w:t>
      </w:r>
      <w:r w:rsidRPr="00D117BC">
        <w:t xml:space="preserve">over the budget and forward estimates. </w:t>
      </w:r>
    </w:p>
    <w:p w14:paraId="19D8F8CF" w14:textId="4FA98744" w:rsidR="00961DC5" w:rsidRPr="0095263E" w:rsidRDefault="0011081C">
      <w:pPr>
        <w:pStyle w:val="BodyText"/>
      </w:pPr>
      <w:r w:rsidRPr="00D117BC">
        <w:t xml:space="preserve">Depreciation and amortisation expenses are often correlated </w:t>
      </w:r>
      <w:r w:rsidR="00DF4955" w:rsidRPr="00D117BC">
        <w:t xml:space="preserve">to </w:t>
      </w:r>
      <w:r w:rsidR="00A20331" w:rsidRPr="00D117BC">
        <w:t xml:space="preserve">the </w:t>
      </w:r>
      <w:r w:rsidR="00DF4955" w:rsidRPr="00D117BC">
        <w:t xml:space="preserve">level </w:t>
      </w:r>
      <w:r w:rsidR="00A20331" w:rsidRPr="00D117BC">
        <w:t xml:space="preserve">of infrastructure investment. </w:t>
      </w:r>
      <w:r w:rsidR="00104DA0" w:rsidRPr="00D117BC">
        <w:t>A</w:t>
      </w:r>
      <w:r w:rsidR="00DF4955" w:rsidRPr="00D117BC">
        <w:t xml:space="preserve">s the </w:t>
      </w:r>
      <w:r w:rsidR="00961DC5" w:rsidRPr="00D117BC">
        <w:t>Government</w:t>
      </w:r>
      <w:r w:rsidR="00DF4955" w:rsidRPr="00D117BC">
        <w:t xml:space="preserve"> </w:t>
      </w:r>
      <w:r w:rsidR="00104DA0" w:rsidRPr="00D117BC">
        <w:t xml:space="preserve">continues to </w:t>
      </w:r>
      <w:r w:rsidR="00DF4955" w:rsidRPr="00D117BC">
        <w:t xml:space="preserve">make </w:t>
      </w:r>
      <w:r w:rsidR="00961DC5" w:rsidRPr="00D117BC">
        <w:t xml:space="preserve">record infrastructure </w:t>
      </w:r>
      <w:r w:rsidR="00DF4955" w:rsidRPr="00D117BC">
        <w:t>investments</w:t>
      </w:r>
      <w:r w:rsidR="00820CC7" w:rsidRPr="00D117BC">
        <w:t xml:space="preserve"> into schools, hospitals, transport projects and digital service delivery</w:t>
      </w:r>
      <w:r w:rsidR="00DF4955" w:rsidRPr="00D117BC">
        <w:t>,</w:t>
      </w:r>
      <w:r w:rsidR="00DF4955">
        <w:t xml:space="preserve"> </w:t>
      </w:r>
      <w:r w:rsidR="00961DC5">
        <w:t xml:space="preserve">higher depreciation expenses </w:t>
      </w:r>
      <w:r w:rsidR="00DF4955">
        <w:t xml:space="preserve">are </w:t>
      </w:r>
      <w:r w:rsidR="00DF4955" w:rsidRPr="0095263E">
        <w:t xml:space="preserve">forecast. </w:t>
      </w:r>
      <w:r w:rsidR="00820CC7" w:rsidRPr="0095263E">
        <w:t xml:space="preserve"> </w:t>
      </w:r>
    </w:p>
    <w:p w14:paraId="0645D2AF" w14:textId="33CA8AC2" w:rsidR="00AB0133" w:rsidRPr="000C11E7" w:rsidRDefault="002B6367">
      <w:pPr>
        <w:pStyle w:val="BodyText"/>
      </w:pPr>
      <w:r w:rsidRPr="00615C42">
        <w:t>The</w:t>
      </w:r>
      <w:r w:rsidR="00AB0133" w:rsidRPr="00615C42">
        <w:t xml:space="preserve"> </w:t>
      </w:r>
      <w:r w:rsidRPr="00615C42">
        <w:t xml:space="preserve">introduction of </w:t>
      </w:r>
      <w:r w:rsidR="0052753A" w:rsidRPr="00615C42">
        <w:t xml:space="preserve">accounting standard </w:t>
      </w:r>
      <w:r w:rsidRPr="00615C42">
        <w:t xml:space="preserve">AASB1059: </w:t>
      </w:r>
      <w:r w:rsidRPr="00615C42">
        <w:rPr>
          <w:i/>
        </w:rPr>
        <w:t>Service Concession Arrangements: Grantor</w:t>
      </w:r>
      <w:r w:rsidRPr="00615C42">
        <w:t xml:space="preserve"> </w:t>
      </w:r>
      <w:r w:rsidR="00B44B62" w:rsidRPr="00615C42">
        <w:t>has also</w:t>
      </w:r>
      <w:r w:rsidR="004E47D3" w:rsidRPr="00615C42">
        <w:t xml:space="preserve"> </w:t>
      </w:r>
      <w:r w:rsidRPr="00615C42">
        <w:t>i</w:t>
      </w:r>
      <w:r w:rsidR="00AB0133" w:rsidRPr="00615C42">
        <w:t>ncrease</w:t>
      </w:r>
      <w:r w:rsidR="00B44B62" w:rsidRPr="00615C42">
        <w:t>d</w:t>
      </w:r>
      <w:r w:rsidR="00AB0133" w:rsidRPr="00615C42">
        <w:t xml:space="preserve"> depreciation and amortisation </w:t>
      </w:r>
      <w:r w:rsidR="00B44B62" w:rsidRPr="00615C42">
        <w:t>expense</w:t>
      </w:r>
      <w:r w:rsidR="00787916">
        <w:t>s</w:t>
      </w:r>
      <w:r w:rsidR="00AB0133" w:rsidRPr="00615C42">
        <w:t xml:space="preserve"> </w:t>
      </w:r>
      <w:r w:rsidR="00FD2ACB" w:rsidRPr="00615C42">
        <w:t>across the four years to 2023-24</w:t>
      </w:r>
      <w:r w:rsidR="00AB0133" w:rsidRPr="00615C42">
        <w:t xml:space="preserve">. </w:t>
      </w:r>
      <w:r w:rsidR="00961DC5" w:rsidRPr="00615C42">
        <w:t>See the accompanying publication ‘</w:t>
      </w:r>
      <w:r w:rsidR="00961DC5" w:rsidRPr="00615C42">
        <w:rPr>
          <w:i/>
        </w:rPr>
        <w:t>How to Read the Budget Papers</w:t>
      </w:r>
      <w:r w:rsidR="00961DC5" w:rsidRPr="00615C42">
        <w:t>’ for further detail.</w:t>
      </w:r>
    </w:p>
    <w:p w14:paraId="3CC31F55" w14:textId="3B0A4A95" w:rsidR="00AB0133" w:rsidRPr="0010731B" w:rsidRDefault="00AB0133" w:rsidP="0010731B">
      <w:pPr>
        <w:pStyle w:val="Heading3"/>
      </w:pPr>
      <w:r w:rsidRPr="0010731B">
        <w:t>Interest</w:t>
      </w:r>
      <w:r w:rsidRPr="0010731B">
        <w:rPr>
          <w:rStyle w:val="eop"/>
        </w:rPr>
        <w:t> </w:t>
      </w:r>
    </w:p>
    <w:p w14:paraId="348F46E0" w14:textId="1FECB3E9" w:rsidR="00AB0133" w:rsidRPr="006438D2" w:rsidRDefault="00AB0133">
      <w:pPr>
        <w:pStyle w:val="BodyText"/>
      </w:pPr>
      <w:r>
        <w:t xml:space="preserve">Interest expenses in 2020-21 </w:t>
      </w:r>
      <w:r w:rsidRPr="00D117BC">
        <w:t>are forecast to be $</w:t>
      </w:r>
      <w:r w:rsidR="00BE30D8" w:rsidRPr="00615C42">
        <w:t>2.</w:t>
      </w:r>
      <w:r w:rsidR="001B1FB6" w:rsidRPr="00615C42">
        <w:t>5</w:t>
      </w:r>
      <w:r w:rsidRPr="00D117BC">
        <w:t xml:space="preserve"> billion (</w:t>
      </w:r>
      <w:r w:rsidR="00467090" w:rsidRPr="00615C42">
        <w:t>2.</w:t>
      </w:r>
      <w:r w:rsidR="00DD3C74" w:rsidRPr="00615C42">
        <w:t>6</w:t>
      </w:r>
      <w:r w:rsidRPr="00D117BC">
        <w:t xml:space="preserve"> per cent of total expenses) and </w:t>
      </w:r>
      <w:r w:rsidRPr="00615C42">
        <w:t>increase</w:t>
      </w:r>
      <w:r w:rsidRPr="00D117BC">
        <w:t xml:space="preserve"> by an average of </w:t>
      </w:r>
      <w:r w:rsidR="00967E07" w:rsidRPr="00615C42">
        <w:t>10.</w:t>
      </w:r>
      <w:r w:rsidR="001B1FB6" w:rsidRPr="00615C42">
        <w:t>2</w:t>
      </w:r>
      <w:r w:rsidRPr="00D117BC">
        <w:t xml:space="preserve"> per cent annually over the budget and forward estimates. </w:t>
      </w:r>
      <w:r w:rsidR="00DC6700" w:rsidRPr="00D117BC">
        <w:t>Th</w:t>
      </w:r>
      <w:r w:rsidR="007B532A" w:rsidRPr="00D117BC">
        <w:t>is</w:t>
      </w:r>
      <w:r w:rsidRPr="00D117BC">
        <w:t xml:space="preserve"> </w:t>
      </w:r>
      <w:r w:rsidR="007B532A" w:rsidRPr="00D117BC">
        <w:t>is</w:t>
      </w:r>
      <w:r w:rsidR="00DC6700" w:rsidRPr="00D117BC">
        <w:t xml:space="preserve"> </w:t>
      </w:r>
      <w:r w:rsidR="0028633A" w:rsidRPr="00D117BC">
        <w:t>associated with increase</w:t>
      </w:r>
      <w:r w:rsidR="00061F69" w:rsidRPr="00D117BC">
        <w:t>d</w:t>
      </w:r>
      <w:r w:rsidRPr="00D117BC">
        <w:t xml:space="preserve"> borrowings </w:t>
      </w:r>
      <w:r w:rsidR="008966BE" w:rsidRPr="00D117BC">
        <w:t xml:space="preserve">to offset </w:t>
      </w:r>
      <w:r w:rsidR="00F9015E" w:rsidRPr="00D117BC">
        <w:t>a</w:t>
      </w:r>
      <w:r w:rsidR="007B532A" w:rsidRPr="00D117BC">
        <w:t xml:space="preserve"> decline in </w:t>
      </w:r>
      <w:r w:rsidR="000875F0" w:rsidRPr="00D117BC">
        <w:t>r</w:t>
      </w:r>
      <w:r w:rsidR="007B532A" w:rsidRPr="00D117BC">
        <w:t>evenue</w:t>
      </w:r>
      <w:r w:rsidR="00892C8C" w:rsidRPr="00D117BC">
        <w:t xml:space="preserve"> sources</w:t>
      </w:r>
      <w:r w:rsidR="00F6178D" w:rsidRPr="00D117BC">
        <w:t xml:space="preserve"> as a result of COVID-19</w:t>
      </w:r>
      <w:r w:rsidR="007B532A" w:rsidRPr="00D117BC">
        <w:t>,</w:t>
      </w:r>
      <w:r w:rsidR="007F202B" w:rsidRPr="00D117BC">
        <w:t xml:space="preserve"> </w:t>
      </w:r>
      <w:r w:rsidR="006825DC" w:rsidRPr="00D117BC">
        <w:t>significan</w:t>
      </w:r>
      <w:r w:rsidR="007F202B" w:rsidRPr="00D117BC">
        <w:t xml:space="preserve">t investment </w:t>
      </w:r>
      <w:r w:rsidR="007B532A" w:rsidRPr="00D117BC">
        <w:t>for</w:t>
      </w:r>
      <w:r w:rsidRPr="00D117BC">
        <w:t xml:space="preserve"> COVID</w:t>
      </w:r>
      <w:r w:rsidR="007F202B" w:rsidRPr="00D117BC">
        <w:t>-19 recovery and response measures</w:t>
      </w:r>
      <w:r w:rsidR="00F9015E" w:rsidRPr="00D117BC">
        <w:t>,</w:t>
      </w:r>
      <w:r w:rsidR="00C90F06" w:rsidRPr="00D117BC">
        <w:t xml:space="preserve"> and to fund the </w:t>
      </w:r>
      <w:r w:rsidR="008966BE" w:rsidRPr="00D117BC">
        <w:t xml:space="preserve">State’s </w:t>
      </w:r>
      <w:r w:rsidR="00C90F06" w:rsidRPr="00D117BC">
        <w:t>record infrastructure progra</w:t>
      </w:r>
      <w:r w:rsidR="00C90F06" w:rsidRPr="006438D2">
        <w:t>m</w:t>
      </w:r>
      <w:r w:rsidR="00AD14D4">
        <w:t xml:space="preserve">. </w:t>
      </w:r>
    </w:p>
    <w:p w14:paraId="253C166E" w14:textId="30D8D6A4" w:rsidR="00AB0133" w:rsidRPr="00CD43B7" w:rsidRDefault="00AB0133">
      <w:pPr>
        <w:pStyle w:val="BodyText"/>
      </w:pPr>
      <w:r w:rsidRPr="00975327">
        <w:t>Th</w:t>
      </w:r>
      <w:r w:rsidR="006648C7">
        <w:t xml:space="preserve">e </w:t>
      </w:r>
      <w:r w:rsidR="00336A92" w:rsidRPr="00105E10">
        <w:t>increase</w:t>
      </w:r>
      <w:r w:rsidRPr="00105E10">
        <w:t xml:space="preserve"> </w:t>
      </w:r>
      <w:r w:rsidR="006648C7">
        <w:t xml:space="preserve">in borrowings </w:t>
      </w:r>
      <w:r w:rsidRPr="00975327">
        <w:t xml:space="preserve">is partially offset by </w:t>
      </w:r>
      <w:r w:rsidR="00056598" w:rsidRPr="00975327">
        <w:t>historically</w:t>
      </w:r>
      <w:r w:rsidRPr="00975327">
        <w:t xml:space="preserve"> lo</w:t>
      </w:r>
      <w:r w:rsidR="00056598" w:rsidRPr="00105E10">
        <w:t>w</w:t>
      </w:r>
      <w:r w:rsidR="006648C7">
        <w:t xml:space="preserve"> interest rates.</w:t>
      </w:r>
      <w:r w:rsidR="00CD18BD">
        <w:t xml:space="preserve"> </w:t>
      </w:r>
      <w:r w:rsidR="007E7560">
        <w:t xml:space="preserve">The Government has leveraged these low </w:t>
      </w:r>
      <w:r w:rsidR="00555F4A">
        <w:t>interest rates</w:t>
      </w:r>
      <w:r w:rsidR="007E7560">
        <w:t xml:space="preserve"> to fund the State’s infrastructure program</w:t>
      </w:r>
      <w:r w:rsidR="00094BB7">
        <w:t>,</w:t>
      </w:r>
      <w:r w:rsidR="007E7560">
        <w:t xml:space="preserve"> while keeping interest </w:t>
      </w:r>
      <w:r w:rsidR="007E7560" w:rsidRPr="00CD43B7">
        <w:t xml:space="preserve">servicing costs at sustainable levels. </w:t>
      </w:r>
      <w:r w:rsidR="006F2CFA" w:rsidRPr="00CD43B7">
        <w:t xml:space="preserve"> </w:t>
      </w:r>
    </w:p>
    <w:p w14:paraId="1D069C5A" w14:textId="4C2C0C97" w:rsidR="007F7B67" w:rsidRPr="0010731B" w:rsidRDefault="00FC7A5A">
      <w:pPr>
        <w:pStyle w:val="BodyText"/>
      </w:pPr>
      <w:r w:rsidRPr="00CD43B7">
        <w:t xml:space="preserve">Even with the increase in borrowings to support the infrastructure program, </w:t>
      </w:r>
      <w:r w:rsidR="00AC3D5E" w:rsidRPr="00CD43B7">
        <w:t xml:space="preserve">the State’s interest </w:t>
      </w:r>
      <w:r w:rsidR="00A71BE0" w:rsidRPr="00615C42">
        <w:t>expenses</w:t>
      </w:r>
      <w:r w:rsidR="00AC3D5E" w:rsidRPr="00CD43B7">
        <w:t xml:space="preserve"> are expected to average</w:t>
      </w:r>
      <w:r w:rsidR="00A82AC8">
        <w:t xml:space="preserve"> only</w:t>
      </w:r>
      <w:r w:rsidR="00AC3D5E" w:rsidRPr="00CD43B7">
        <w:t xml:space="preserve"> 3.</w:t>
      </w:r>
      <w:r w:rsidR="00224984">
        <w:t>2</w:t>
      </w:r>
      <w:r w:rsidR="00AC3D5E" w:rsidRPr="00CD43B7">
        <w:t xml:space="preserve"> per cent of revenue over four years to 2023-24.</w:t>
      </w:r>
    </w:p>
    <w:p w14:paraId="7CB14A88" w14:textId="77777777" w:rsidR="00937A79" w:rsidRPr="0010731B" w:rsidRDefault="00937A79">
      <w:pPr>
        <w:pStyle w:val="BodyText"/>
      </w:pPr>
    </w:p>
    <w:p w14:paraId="7B431605" w14:textId="77777777" w:rsidR="0022474B" w:rsidRDefault="0022474B" w:rsidP="008D29E8">
      <w:pPr>
        <w:rPr>
          <w:lang w:val="en-AU"/>
        </w:rPr>
      </w:pPr>
      <w:r>
        <w:br w:type="page"/>
      </w:r>
    </w:p>
    <w:p w14:paraId="238BBFF9" w14:textId="0D9B0A1D" w:rsidR="006F7B1D" w:rsidRPr="007641D2" w:rsidRDefault="006F7B1D" w:rsidP="002B1CA4">
      <w:pPr>
        <w:pStyle w:val="Heading2"/>
        <w:rPr>
          <w:rFonts w:ascii="Arial" w:hAnsi="Arial" w:cs="Arial"/>
        </w:rPr>
      </w:pPr>
      <w:r w:rsidRPr="007641D2">
        <w:rPr>
          <w:rFonts w:ascii="Arial" w:hAnsi="Arial" w:cs="Arial"/>
        </w:rPr>
        <w:t>General government capital expenditure</w:t>
      </w:r>
    </w:p>
    <w:p w14:paraId="17F0F5FC" w14:textId="546EEF80" w:rsidR="00345810" w:rsidRPr="007641D2" w:rsidRDefault="00A54361">
      <w:pPr>
        <w:pStyle w:val="BodyText"/>
      </w:pPr>
      <w:r>
        <w:t xml:space="preserve">This section provides analysis of capital expenditure in the general government sector, which excludes </w:t>
      </w:r>
      <w:r w:rsidR="00601E10">
        <w:t xml:space="preserve">the investment program </w:t>
      </w:r>
      <w:r w:rsidR="009956FA">
        <w:t xml:space="preserve">of </w:t>
      </w:r>
      <w:r w:rsidR="00492DD5">
        <w:t>G</w:t>
      </w:r>
      <w:r w:rsidR="009956FA">
        <w:t>overnment</w:t>
      </w:r>
      <w:r w:rsidR="00492DD5">
        <w:t>-owned</w:t>
      </w:r>
      <w:r w:rsidR="009956FA">
        <w:t xml:space="preserve"> corporations such as </w:t>
      </w:r>
      <w:r w:rsidR="00C97A39">
        <w:t xml:space="preserve">Sydney Water, </w:t>
      </w:r>
      <w:r w:rsidR="003D3FFD">
        <w:t xml:space="preserve">Water NSW, </w:t>
      </w:r>
      <w:r w:rsidR="0091410E">
        <w:t>Transport Asset Holding Entity</w:t>
      </w:r>
      <w:r w:rsidR="009A4A15">
        <w:t xml:space="preserve"> and </w:t>
      </w:r>
      <w:r w:rsidR="001F18C8">
        <w:t xml:space="preserve">Sydney </w:t>
      </w:r>
      <w:r w:rsidR="004923FC">
        <w:t>Opera House</w:t>
      </w:r>
      <w:r w:rsidR="001F18C8">
        <w:t xml:space="preserve"> Trust</w:t>
      </w:r>
      <w:r w:rsidR="00581A05">
        <w:t>.</w:t>
      </w:r>
      <w:r w:rsidR="004923FC">
        <w:t xml:space="preserve"> </w:t>
      </w:r>
      <w:r w:rsidR="00653FE0" w:rsidRPr="007641D2">
        <w:t xml:space="preserve">Table </w:t>
      </w:r>
      <w:r w:rsidR="002C5C27" w:rsidRPr="007641D2">
        <w:t>5</w:t>
      </w:r>
      <w:r w:rsidR="00653FE0" w:rsidRPr="007641D2">
        <w:t xml:space="preserve">.4 </w:t>
      </w:r>
      <w:r w:rsidR="00825C4F" w:rsidRPr="007641D2">
        <w:t>provides a reconciliation of the changes</w:t>
      </w:r>
      <w:r w:rsidR="00DA10E4">
        <w:t xml:space="preserve"> in</w:t>
      </w:r>
      <w:r w:rsidR="00825C4F" w:rsidRPr="007641D2">
        <w:t xml:space="preserve"> capital expenditure</w:t>
      </w:r>
      <w:r w:rsidR="00345810">
        <w:t xml:space="preserve"> </w:t>
      </w:r>
      <w:r w:rsidR="00345810" w:rsidRPr="007641D2">
        <w:t>between the 201</w:t>
      </w:r>
      <w:r w:rsidR="00345810">
        <w:t>9</w:t>
      </w:r>
      <w:r w:rsidR="006A4CBD">
        <w:noBreakHyphen/>
      </w:r>
      <w:r w:rsidR="00345810">
        <w:t>20</w:t>
      </w:r>
      <w:r w:rsidR="006A4CBD">
        <w:t> </w:t>
      </w:r>
      <w:r w:rsidR="00345810">
        <w:t>Half</w:t>
      </w:r>
      <w:r w:rsidR="00345810">
        <w:noBreakHyphen/>
        <w:t xml:space="preserve">Yearly Review </w:t>
      </w:r>
      <w:r w:rsidR="00345810" w:rsidRPr="007641D2">
        <w:t>and 20</w:t>
      </w:r>
      <w:r w:rsidR="00345810">
        <w:t>20</w:t>
      </w:r>
      <w:r w:rsidR="00345810" w:rsidRPr="007641D2">
        <w:noBreakHyphen/>
        <w:t>2</w:t>
      </w:r>
      <w:r w:rsidR="00345810">
        <w:t>1</w:t>
      </w:r>
      <w:r w:rsidR="00345810" w:rsidRPr="007641D2">
        <w:t> Budget.</w:t>
      </w:r>
    </w:p>
    <w:p w14:paraId="290B13B0" w14:textId="0377B2E2" w:rsidR="0025382A" w:rsidRPr="00304787" w:rsidRDefault="007A4A9F" w:rsidP="00A61106">
      <w:pPr>
        <w:pStyle w:val="Table5X"/>
        <w:rPr>
          <w:rFonts w:eastAsiaTheme="minorHAnsi"/>
          <w:lang w:val="en-AU"/>
        </w:rPr>
      </w:pPr>
      <w:r w:rsidRPr="007641D2">
        <w:t>Capital expenditure reconciliation</w:t>
      </w:r>
      <w:r w:rsidR="00345810">
        <w:t xml:space="preserve"> </w:t>
      </w:r>
    </w:p>
    <w:tbl>
      <w:tblPr>
        <w:tblW w:w="5000" w:type="pct"/>
        <w:tblLook w:val="04A0" w:firstRow="1" w:lastRow="0" w:firstColumn="1" w:lastColumn="0" w:noHBand="0" w:noVBand="1"/>
        <w:tblCaption w:val="Table 5.4: Capital expenditure reconciliation "/>
        <w:tblDescription w:val="Table 5.4: Capital expenditure reconciliation "/>
      </w:tblPr>
      <w:tblGrid>
        <w:gridCol w:w="3670"/>
        <w:gridCol w:w="1194"/>
        <w:gridCol w:w="1194"/>
        <w:gridCol w:w="1193"/>
        <w:gridCol w:w="1193"/>
        <w:gridCol w:w="1195"/>
      </w:tblGrid>
      <w:tr w:rsidR="008A6098" w:rsidRPr="00024747" w14:paraId="378FE1C6" w14:textId="77777777" w:rsidTr="00D80CAF">
        <w:trPr>
          <w:trHeight w:val="266"/>
        </w:trPr>
        <w:tc>
          <w:tcPr>
            <w:tcW w:w="1903" w:type="pct"/>
            <w:tcBorders>
              <w:top w:val="nil"/>
              <w:left w:val="nil"/>
              <w:bottom w:val="nil"/>
              <w:right w:val="nil"/>
            </w:tcBorders>
            <w:shd w:val="clear" w:color="000000" w:fill="008EBA"/>
            <w:vAlign w:val="center"/>
            <w:hideMark/>
          </w:tcPr>
          <w:p w14:paraId="6041DA45" w14:textId="02D94D1E" w:rsidR="008A6098" w:rsidRPr="00D80CAF" w:rsidRDefault="008A6098" w:rsidP="00184328">
            <w:pPr>
              <w:jc w:val="center"/>
              <w:rPr>
                <w:rFonts w:ascii="Arial" w:hAnsi="Arial" w:cs="Arial"/>
                <w:color w:val="FFFFFF"/>
                <w:sz w:val="16"/>
                <w:szCs w:val="16"/>
                <w:lang w:val="en-AU" w:eastAsia="en-AU"/>
              </w:rPr>
            </w:pPr>
          </w:p>
        </w:tc>
        <w:tc>
          <w:tcPr>
            <w:tcW w:w="619" w:type="pct"/>
            <w:tcBorders>
              <w:top w:val="nil"/>
              <w:left w:val="nil"/>
              <w:bottom w:val="nil"/>
              <w:right w:val="nil"/>
            </w:tcBorders>
            <w:shd w:val="clear" w:color="000000" w:fill="008EBA"/>
            <w:vAlign w:val="center"/>
            <w:hideMark/>
          </w:tcPr>
          <w:p w14:paraId="595F8226"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2019-20</w:t>
            </w:r>
          </w:p>
        </w:tc>
        <w:tc>
          <w:tcPr>
            <w:tcW w:w="619" w:type="pct"/>
            <w:tcBorders>
              <w:top w:val="nil"/>
              <w:left w:val="nil"/>
              <w:bottom w:val="nil"/>
              <w:right w:val="nil"/>
            </w:tcBorders>
            <w:shd w:val="clear" w:color="000000" w:fill="008EBA"/>
            <w:vAlign w:val="center"/>
            <w:hideMark/>
          </w:tcPr>
          <w:p w14:paraId="4010DA06"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2020-21</w:t>
            </w:r>
          </w:p>
        </w:tc>
        <w:tc>
          <w:tcPr>
            <w:tcW w:w="619" w:type="pct"/>
            <w:tcBorders>
              <w:top w:val="nil"/>
              <w:left w:val="nil"/>
              <w:bottom w:val="nil"/>
              <w:right w:val="nil"/>
            </w:tcBorders>
            <w:shd w:val="clear" w:color="000000" w:fill="008EBA"/>
            <w:vAlign w:val="center"/>
            <w:hideMark/>
          </w:tcPr>
          <w:p w14:paraId="6188F96F"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2021-22</w:t>
            </w:r>
          </w:p>
        </w:tc>
        <w:tc>
          <w:tcPr>
            <w:tcW w:w="619" w:type="pct"/>
            <w:tcBorders>
              <w:top w:val="nil"/>
              <w:left w:val="nil"/>
              <w:bottom w:val="nil"/>
              <w:right w:val="nil"/>
            </w:tcBorders>
            <w:shd w:val="clear" w:color="000000" w:fill="008EBA"/>
            <w:vAlign w:val="center"/>
            <w:hideMark/>
          </w:tcPr>
          <w:p w14:paraId="5ED60EAF"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2022-23</w:t>
            </w:r>
          </w:p>
        </w:tc>
        <w:tc>
          <w:tcPr>
            <w:tcW w:w="620" w:type="pct"/>
            <w:tcBorders>
              <w:top w:val="nil"/>
              <w:left w:val="nil"/>
              <w:bottom w:val="nil"/>
              <w:right w:val="nil"/>
            </w:tcBorders>
            <w:shd w:val="clear" w:color="000000" w:fill="008EBA"/>
            <w:vAlign w:val="center"/>
            <w:hideMark/>
          </w:tcPr>
          <w:p w14:paraId="54FE36F9"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2023-24</w:t>
            </w:r>
          </w:p>
        </w:tc>
      </w:tr>
      <w:tr w:rsidR="008A6098" w:rsidRPr="00024747" w14:paraId="7C090F8D" w14:textId="77777777" w:rsidTr="00D80CAF">
        <w:trPr>
          <w:trHeight w:val="266"/>
        </w:trPr>
        <w:tc>
          <w:tcPr>
            <w:tcW w:w="1903" w:type="pct"/>
            <w:tcBorders>
              <w:top w:val="nil"/>
              <w:left w:val="nil"/>
              <w:bottom w:val="nil"/>
              <w:right w:val="nil"/>
            </w:tcBorders>
            <w:shd w:val="clear" w:color="000000" w:fill="008EBA"/>
            <w:vAlign w:val="center"/>
            <w:hideMark/>
          </w:tcPr>
          <w:p w14:paraId="25D53150" w14:textId="657017BE" w:rsidR="008A6098" w:rsidRPr="00D80CAF" w:rsidRDefault="008A6098" w:rsidP="00184328">
            <w:pPr>
              <w:jc w:val="center"/>
              <w:rPr>
                <w:rFonts w:ascii="Arial" w:hAnsi="Arial" w:cs="Arial"/>
                <w:color w:val="FFFFFF"/>
                <w:sz w:val="16"/>
                <w:szCs w:val="16"/>
                <w:lang w:val="en-AU" w:eastAsia="en-AU"/>
              </w:rPr>
            </w:pPr>
          </w:p>
        </w:tc>
        <w:tc>
          <w:tcPr>
            <w:tcW w:w="619" w:type="pct"/>
            <w:tcBorders>
              <w:top w:val="nil"/>
              <w:left w:val="nil"/>
              <w:bottom w:val="nil"/>
              <w:right w:val="nil"/>
            </w:tcBorders>
            <w:shd w:val="clear" w:color="000000" w:fill="008EBA"/>
            <w:vAlign w:val="center"/>
            <w:hideMark/>
          </w:tcPr>
          <w:p w14:paraId="7ED18F5E"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Actual</w:t>
            </w:r>
          </w:p>
        </w:tc>
        <w:tc>
          <w:tcPr>
            <w:tcW w:w="619" w:type="pct"/>
            <w:tcBorders>
              <w:top w:val="nil"/>
              <w:left w:val="nil"/>
              <w:bottom w:val="nil"/>
              <w:right w:val="nil"/>
            </w:tcBorders>
            <w:shd w:val="clear" w:color="000000" w:fill="008EBA"/>
            <w:vAlign w:val="center"/>
            <w:hideMark/>
          </w:tcPr>
          <w:p w14:paraId="48760A06"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Budget</w:t>
            </w:r>
          </w:p>
        </w:tc>
        <w:tc>
          <w:tcPr>
            <w:tcW w:w="1858" w:type="pct"/>
            <w:gridSpan w:val="3"/>
            <w:tcBorders>
              <w:top w:val="nil"/>
              <w:left w:val="nil"/>
              <w:bottom w:val="nil"/>
              <w:right w:val="nil"/>
            </w:tcBorders>
            <w:shd w:val="clear" w:color="000000" w:fill="008EBA"/>
            <w:vAlign w:val="center"/>
            <w:hideMark/>
          </w:tcPr>
          <w:p w14:paraId="736B7233"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Forward Estimates</w:t>
            </w:r>
          </w:p>
        </w:tc>
      </w:tr>
      <w:tr w:rsidR="008A6098" w:rsidRPr="00024747" w14:paraId="0F7A8E5D" w14:textId="77777777" w:rsidTr="00D80CAF">
        <w:trPr>
          <w:trHeight w:val="213"/>
        </w:trPr>
        <w:tc>
          <w:tcPr>
            <w:tcW w:w="1903" w:type="pct"/>
            <w:tcBorders>
              <w:top w:val="nil"/>
              <w:left w:val="nil"/>
              <w:bottom w:val="nil"/>
              <w:right w:val="nil"/>
            </w:tcBorders>
            <w:shd w:val="clear" w:color="000000" w:fill="00426F"/>
            <w:vAlign w:val="center"/>
            <w:hideMark/>
          </w:tcPr>
          <w:p w14:paraId="02A68C56" w14:textId="77777777" w:rsidR="008A6098" w:rsidRPr="00D80CAF" w:rsidRDefault="008A6098" w:rsidP="00184328">
            <w:pPr>
              <w:rPr>
                <w:rFonts w:ascii="Arial" w:hAnsi="Arial" w:cs="Arial"/>
                <w:color w:val="FFFFFF"/>
                <w:sz w:val="16"/>
                <w:szCs w:val="16"/>
                <w:lang w:val="en-AU" w:eastAsia="en-AU"/>
              </w:rPr>
            </w:pPr>
            <w:r w:rsidRPr="00D80CAF">
              <w:rPr>
                <w:rFonts w:ascii="Arial" w:hAnsi="Arial" w:cs="Arial"/>
                <w:color w:val="FFFFFF"/>
                <w:sz w:val="16"/>
                <w:szCs w:val="16"/>
                <w:lang w:val="en-AU" w:eastAsia="en-AU"/>
              </w:rPr>
              <w:t> </w:t>
            </w:r>
          </w:p>
        </w:tc>
        <w:tc>
          <w:tcPr>
            <w:tcW w:w="619" w:type="pct"/>
            <w:tcBorders>
              <w:top w:val="nil"/>
              <w:left w:val="nil"/>
              <w:bottom w:val="nil"/>
              <w:right w:val="nil"/>
            </w:tcBorders>
            <w:shd w:val="clear" w:color="000000" w:fill="00426F"/>
            <w:hideMark/>
          </w:tcPr>
          <w:p w14:paraId="4A627950"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619" w:type="pct"/>
            <w:tcBorders>
              <w:top w:val="nil"/>
              <w:left w:val="nil"/>
              <w:bottom w:val="nil"/>
              <w:right w:val="nil"/>
            </w:tcBorders>
            <w:shd w:val="clear" w:color="000000" w:fill="00426F"/>
            <w:hideMark/>
          </w:tcPr>
          <w:p w14:paraId="3ED4C323"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619" w:type="pct"/>
            <w:tcBorders>
              <w:top w:val="nil"/>
              <w:left w:val="nil"/>
              <w:bottom w:val="nil"/>
              <w:right w:val="nil"/>
            </w:tcBorders>
            <w:shd w:val="clear" w:color="000000" w:fill="00426F"/>
            <w:hideMark/>
          </w:tcPr>
          <w:p w14:paraId="034EF4BA"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619" w:type="pct"/>
            <w:tcBorders>
              <w:top w:val="nil"/>
              <w:left w:val="nil"/>
              <w:bottom w:val="nil"/>
              <w:right w:val="nil"/>
            </w:tcBorders>
            <w:shd w:val="clear" w:color="000000" w:fill="00426F"/>
            <w:hideMark/>
          </w:tcPr>
          <w:p w14:paraId="070F4357"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c>
          <w:tcPr>
            <w:tcW w:w="620" w:type="pct"/>
            <w:tcBorders>
              <w:top w:val="nil"/>
              <w:left w:val="nil"/>
              <w:bottom w:val="nil"/>
              <w:right w:val="nil"/>
            </w:tcBorders>
            <w:shd w:val="clear" w:color="000000" w:fill="00426F"/>
            <w:hideMark/>
          </w:tcPr>
          <w:p w14:paraId="6F9703D2" w14:textId="77777777" w:rsidR="008A6098" w:rsidRPr="00D80CAF" w:rsidRDefault="008A6098" w:rsidP="00184328">
            <w:pPr>
              <w:jc w:val="center"/>
              <w:rPr>
                <w:rFonts w:ascii="Arial" w:hAnsi="Arial" w:cs="Arial"/>
                <w:color w:val="FFFFFF"/>
                <w:sz w:val="16"/>
                <w:szCs w:val="16"/>
                <w:lang w:val="en-AU" w:eastAsia="en-AU"/>
              </w:rPr>
            </w:pPr>
            <w:r w:rsidRPr="00D80CAF">
              <w:rPr>
                <w:rFonts w:ascii="Arial" w:hAnsi="Arial" w:cs="Arial"/>
                <w:color w:val="FFFFFF"/>
                <w:sz w:val="16"/>
                <w:szCs w:val="16"/>
                <w:lang w:val="en-AU" w:eastAsia="en-AU"/>
              </w:rPr>
              <w:t>$m</w:t>
            </w:r>
          </w:p>
        </w:tc>
      </w:tr>
      <w:tr w:rsidR="008A6098" w:rsidRPr="00024747" w14:paraId="0A46C5BD" w14:textId="77777777" w:rsidTr="00D80CAF">
        <w:trPr>
          <w:trHeight w:val="300"/>
        </w:trPr>
        <w:tc>
          <w:tcPr>
            <w:tcW w:w="1903" w:type="pct"/>
            <w:tcBorders>
              <w:top w:val="nil"/>
              <w:left w:val="nil"/>
              <w:bottom w:val="nil"/>
              <w:right w:val="nil"/>
            </w:tcBorders>
            <w:shd w:val="clear" w:color="000000" w:fill="FFFFFF"/>
            <w:vAlign w:val="center"/>
            <w:hideMark/>
          </w:tcPr>
          <w:p w14:paraId="6BB42C85" w14:textId="60A69069" w:rsidR="008A6098" w:rsidRPr="00D80CAF" w:rsidRDefault="008A6098" w:rsidP="00184328">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Capital – 2019-20 Budget</w:t>
            </w:r>
          </w:p>
        </w:tc>
        <w:tc>
          <w:tcPr>
            <w:tcW w:w="619" w:type="pct"/>
            <w:tcBorders>
              <w:top w:val="nil"/>
              <w:left w:val="nil"/>
              <w:bottom w:val="nil"/>
              <w:right w:val="nil"/>
            </w:tcBorders>
            <w:shd w:val="clear" w:color="auto" w:fill="auto"/>
            <w:noWrap/>
            <w:vAlign w:val="center"/>
            <w:hideMark/>
          </w:tcPr>
          <w:p w14:paraId="7A1CE6FE" w14:textId="3BE5C75D"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22,345</w:t>
            </w:r>
          </w:p>
        </w:tc>
        <w:tc>
          <w:tcPr>
            <w:tcW w:w="619" w:type="pct"/>
            <w:tcBorders>
              <w:top w:val="nil"/>
              <w:left w:val="nil"/>
              <w:bottom w:val="nil"/>
              <w:right w:val="nil"/>
            </w:tcBorders>
            <w:shd w:val="clear" w:color="000000" w:fill="F2F2F2"/>
            <w:noWrap/>
            <w:vAlign w:val="center"/>
            <w:hideMark/>
          </w:tcPr>
          <w:p w14:paraId="41D6A811" w14:textId="0EC652BA"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17,750</w:t>
            </w:r>
          </w:p>
        </w:tc>
        <w:tc>
          <w:tcPr>
            <w:tcW w:w="619" w:type="pct"/>
            <w:tcBorders>
              <w:top w:val="nil"/>
              <w:left w:val="nil"/>
              <w:bottom w:val="nil"/>
              <w:right w:val="nil"/>
            </w:tcBorders>
            <w:shd w:val="clear" w:color="000000" w:fill="F2F2F2"/>
            <w:noWrap/>
            <w:vAlign w:val="center"/>
            <w:hideMark/>
          </w:tcPr>
          <w:p w14:paraId="62FA6F83" w14:textId="2494AEB6"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17,247</w:t>
            </w:r>
          </w:p>
        </w:tc>
        <w:tc>
          <w:tcPr>
            <w:tcW w:w="619" w:type="pct"/>
            <w:tcBorders>
              <w:top w:val="nil"/>
              <w:left w:val="nil"/>
              <w:bottom w:val="nil"/>
              <w:right w:val="nil"/>
            </w:tcBorders>
            <w:shd w:val="clear" w:color="000000" w:fill="F2F2F2"/>
            <w:noWrap/>
            <w:vAlign w:val="center"/>
            <w:hideMark/>
          </w:tcPr>
          <w:p w14:paraId="3C94DE8A" w14:textId="4CBE7EA1"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14,349</w:t>
            </w:r>
          </w:p>
        </w:tc>
        <w:tc>
          <w:tcPr>
            <w:tcW w:w="620" w:type="pct"/>
            <w:tcBorders>
              <w:top w:val="nil"/>
              <w:left w:val="nil"/>
              <w:bottom w:val="nil"/>
              <w:right w:val="nil"/>
            </w:tcBorders>
            <w:shd w:val="clear" w:color="000000" w:fill="F2F2F2"/>
            <w:noWrap/>
            <w:vAlign w:val="center"/>
            <w:hideMark/>
          </w:tcPr>
          <w:p w14:paraId="362A27D4" w14:textId="77777777" w:rsidR="008A6098" w:rsidRPr="00D80CAF" w:rsidRDefault="008A6098" w:rsidP="00184328">
            <w:pPr>
              <w:ind w:firstLineChars="100" w:firstLine="161"/>
              <w:jc w:val="right"/>
              <w:rPr>
                <w:rFonts w:ascii="Arial" w:hAnsi="Arial" w:cs="Arial"/>
                <w:b/>
                <w:color w:val="008EBA"/>
                <w:sz w:val="16"/>
                <w:szCs w:val="16"/>
                <w:lang w:val="en-AU" w:eastAsia="en-AU"/>
              </w:rPr>
            </w:pPr>
            <w:proofErr w:type="spellStart"/>
            <w:r w:rsidRPr="00D80CAF">
              <w:rPr>
                <w:rFonts w:ascii="Arial" w:hAnsi="Arial" w:cs="Arial"/>
                <w:b/>
                <w:color w:val="008EBA"/>
                <w:sz w:val="16"/>
                <w:szCs w:val="16"/>
                <w:lang w:val="en-AU" w:eastAsia="en-AU"/>
              </w:rPr>
              <w:t>n.a.</w:t>
            </w:r>
            <w:proofErr w:type="spellEnd"/>
          </w:p>
        </w:tc>
      </w:tr>
      <w:tr w:rsidR="008A6098" w:rsidRPr="00024747" w14:paraId="6A2B2A99" w14:textId="77777777" w:rsidTr="00D80CAF">
        <w:trPr>
          <w:trHeight w:val="300"/>
        </w:trPr>
        <w:tc>
          <w:tcPr>
            <w:tcW w:w="1903" w:type="pct"/>
            <w:tcBorders>
              <w:top w:val="nil"/>
              <w:left w:val="nil"/>
              <w:bottom w:val="nil"/>
              <w:right w:val="nil"/>
            </w:tcBorders>
            <w:shd w:val="clear" w:color="000000" w:fill="FFFFFF"/>
            <w:vAlign w:val="center"/>
            <w:hideMark/>
          </w:tcPr>
          <w:p w14:paraId="581C8F58" w14:textId="4CCBB33D" w:rsidR="008A6098" w:rsidRPr="00D80CAF" w:rsidRDefault="008A6098" w:rsidP="00184328">
            <w:pPr>
              <w:rPr>
                <w:rFonts w:ascii="Arial" w:hAnsi="Arial" w:cs="Arial"/>
                <w:color w:val="000000"/>
                <w:sz w:val="16"/>
                <w:szCs w:val="16"/>
                <w:lang w:val="en-AU" w:eastAsia="en-AU"/>
              </w:rPr>
            </w:pPr>
            <w:r w:rsidRPr="00D80CAF">
              <w:rPr>
                <w:rFonts w:ascii="Arial" w:hAnsi="Arial" w:cs="Arial"/>
                <w:color w:val="000000"/>
                <w:sz w:val="16"/>
                <w:szCs w:val="16"/>
                <w:lang w:val="en-AU" w:eastAsia="en-AU"/>
              </w:rPr>
              <w:t xml:space="preserve">Capital measures </w:t>
            </w:r>
          </w:p>
        </w:tc>
        <w:tc>
          <w:tcPr>
            <w:tcW w:w="619" w:type="pct"/>
            <w:tcBorders>
              <w:top w:val="nil"/>
              <w:left w:val="nil"/>
              <w:bottom w:val="nil"/>
              <w:right w:val="nil"/>
            </w:tcBorders>
            <w:shd w:val="clear" w:color="auto" w:fill="auto"/>
            <w:noWrap/>
            <w:vAlign w:val="center"/>
            <w:hideMark/>
          </w:tcPr>
          <w:p w14:paraId="5AB3F8D6" w14:textId="4378876F"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706</w:t>
            </w:r>
          </w:p>
        </w:tc>
        <w:tc>
          <w:tcPr>
            <w:tcW w:w="619" w:type="pct"/>
            <w:tcBorders>
              <w:top w:val="nil"/>
              <w:left w:val="nil"/>
              <w:bottom w:val="nil"/>
              <w:right w:val="nil"/>
            </w:tcBorders>
            <w:shd w:val="clear" w:color="000000" w:fill="F2F2F2"/>
            <w:noWrap/>
            <w:vAlign w:val="center"/>
            <w:hideMark/>
          </w:tcPr>
          <w:p w14:paraId="455E09BA" w14:textId="39EBA320"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834</w:t>
            </w:r>
          </w:p>
        </w:tc>
        <w:tc>
          <w:tcPr>
            <w:tcW w:w="619" w:type="pct"/>
            <w:tcBorders>
              <w:top w:val="nil"/>
              <w:left w:val="nil"/>
              <w:bottom w:val="nil"/>
              <w:right w:val="nil"/>
            </w:tcBorders>
            <w:shd w:val="clear" w:color="000000" w:fill="F2F2F2"/>
            <w:noWrap/>
            <w:vAlign w:val="center"/>
            <w:hideMark/>
          </w:tcPr>
          <w:p w14:paraId="43A7F232" w14:textId="2F2DACC8"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810</w:t>
            </w:r>
          </w:p>
        </w:tc>
        <w:tc>
          <w:tcPr>
            <w:tcW w:w="619" w:type="pct"/>
            <w:tcBorders>
              <w:top w:val="nil"/>
              <w:left w:val="nil"/>
              <w:bottom w:val="nil"/>
              <w:right w:val="nil"/>
            </w:tcBorders>
            <w:shd w:val="clear" w:color="000000" w:fill="F2F2F2"/>
            <w:noWrap/>
            <w:vAlign w:val="center"/>
            <w:hideMark/>
          </w:tcPr>
          <w:p w14:paraId="1D0348E6" w14:textId="05F2248A"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1,038</w:t>
            </w:r>
          </w:p>
        </w:tc>
        <w:tc>
          <w:tcPr>
            <w:tcW w:w="620" w:type="pct"/>
            <w:tcBorders>
              <w:top w:val="nil"/>
              <w:left w:val="nil"/>
              <w:bottom w:val="nil"/>
              <w:right w:val="nil"/>
            </w:tcBorders>
            <w:shd w:val="clear" w:color="000000" w:fill="F2F2F2"/>
            <w:noWrap/>
            <w:vAlign w:val="center"/>
            <w:hideMark/>
          </w:tcPr>
          <w:p w14:paraId="22106624" w14:textId="77777777" w:rsidR="008A6098" w:rsidRPr="00D80CAF" w:rsidRDefault="008A6098" w:rsidP="00184328">
            <w:pPr>
              <w:ind w:firstLineChars="100" w:firstLine="160"/>
              <w:jc w:val="right"/>
              <w:rPr>
                <w:rFonts w:ascii="Arial" w:hAnsi="Arial" w:cs="Arial"/>
                <w:sz w:val="16"/>
                <w:szCs w:val="16"/>
                <w:lang w:val="en-AU" w:eastAsia="en-AU"/>
              </w:rPr>
            </w:pPr>
            <w:proofErr w:type="spellStart"/>
            <w:r w:rsidRPr="00D80CAF">
              <w:rPr>
                <w:rFonts w:ascii="Arial" w:hAnsi="Arial" w:cs="Arial"/>
                <w:sz w:val="16"/>
                <w:szCs w:val="16"/>
                <w:lang w:val="en-AU" w:eastAsia="en-AU"/>
              </w:rPr>
              <w:t>n.a.</w:t>
            </w:r>
            <w:proofErr w:type="spellEnd"/>
          </w:p>
        </w:tc>
      </w:tr>
      <w:tr w:rsidR="008A6098" w:rsidRPr="00024747" w14:paraId="3AAEA2E7" w14:textId="77777777" w:rsidTr="00D80CAF">
        <w:trPr>
          <w:trHeight w:val="300"/>
        </w:trPr>
        <w:tc>
          <w:tcPr>
            <w:tcW w:w="1903" w:type="pct"/>
            <w:tcBorders>
              <w:top w:val="nil"/>
              <w:left w:val="nil"/>
              <w:bottom w:val="nil"/>
              <w:right w:val="nil"/>
            </w:tcBorders>
            <w:shd w:val="clear" w:color="000000" w:fill="FFFFFF"/>
            <w:vAlign w:val="center"/>
            <w:hideMark/>
          </w:tcPr>
          <w:p w14:paraId="150E2047" w14:textId="3B6726D3" w:rsidR="008A6098" w:rsidRPr="00D80CAF" w:rsidRDefault="008A6098" w:rsidP="00184328">
            <w:pPr>
              <w:outlineLvl w:val="0"/>
              <w:rPr>
                <w:rFonts w:ascii="Arial" w:hAnsi="Arial" w:cs="Arial"/>
                <w:color w:val="000000"/>
                <w:sz w:val="16"/>
                <w:szCs w:val="16"/>
                <w:lang w:val="en-AU" w:eastAsia="en-AU"/>
              </w:rPr>
            </w:pPr>
            <w:r w:rsidRPr="00D80CAF">
              <w:rPr>
                <w:rFonts w:ascii="Arial" w:hAnsi="Arial" w:cs="Arial"/>
                <w:color w:val="000000"/>
                <w:sz w:val="16"/>
                <w:szCs w:val="16"/>
                <w:lang w:val="en-AU" w:eastAsia="en-AU"/>
              </w:rPr>
              <w:t>Parameter and other variations</w:t>
            </w:r>
          </w:p>
        </w:tc>
        <w:tc>
          <w:tcPr>
            <w:tcW w:w="619" w:type="pct"/>
            <w:tcBorders>
              <w:top w:val="nil"/>
              <w:left w:val="nil"/>
              <w:bottom w:val="nil"/>
              <w:right w:val="nil"/>
            </w:tcBorders>
            <w:shd w:val="clear" w:color="auto" w:fill="auto"/>
            <w:noWrap/>
            <w:vAlign w:val="center"/>
            <w:hideMark/>
          </w:tcPr>
          <w:p w14:paraId="59F8FE76" w14:textId="411D7940" w:rsidR="008A6098" w:rsidRPr="00D80CAF" w:rsidRDefault="008A6098" w:rsidP="00184328">
            <w:pPr>
              <w:ind w:firstLineChars="100" w:firstLine="160"/>
              <w:jc w:val="right"/>
              <w:outlineLvl w:val="0"/>
              <w:rPr>
                <w:rFonts w:ascii="Arial" w:hAnsi="Arial" w:cs="Arial"/>
                <w:sz w:val="16"/>
                <w:szCs w:val="16"/>
                <w:lang w:val="en-AU" w:eastAsia="en-AU"/>
              </w:rPr>
            </w:pPr>
            <w:r w:rsidRPr="00D80CAF">
              <w:rPr>
                <w:rFonts w:ascii="Arial" w:hAnsi="Arial" w:cs="Arial"/>
                <w:sz w:val="16"/>
                <w:szCs w:val="16"/>
                <w:lang w:val="en-AU" w:eastAsia="en-AU"/>
              </w:rPr>
              <w:t>631</w:t>
            </w:r>
          </w:p>
        </w:tc>
        <w:tc>
          <w:tcPr>
            <w:tcW w:w="619" w:type="pct"/>
            <w:tcBorders>
              <w:top w:val="nil"/>
              <w:left w:val="nil"/>
              <w:bottom w:val="nil"/>
              <w:right w:val="nil"/>
            </w:tcBorders>
            <w:shd w:val="clear" w:color="000000" w:fill="F2F2F2"/>
            <w:noWrap/>
            <w:vAlign w:val="center"/>
            <w:hideMark/>
          </w:tcPr>
          <w:p w14:paraId="4046D753" w14:textId="3C7FC9A1" w:rsidR="008A6098" w:rsidRPr="00D80CAF" w:rsidRDefault="008A6098" w:rsidP="00184328">
            <w:pPr>
              <w:ind w:firstLineChars="100" w:firstLine="160"/>
              <w:jc w:val="right"/>
              <w:outlineLvl w:val="0"/>
              <w:rPr>
                <w:rFonts w:ascii="Arial" w:hAnsi="Arial" w:cs="Arial"/>
                <w:sz w:val="16"/>
                <w:szCs w:val="16"/>
                <w:lang w:val="en-AU" w:eastAsia="en-AU"/>
              </w:rPr>
            </w:pPr>
            <w:r w:rsidRPr="00D80CAF">
              <w:rPr>
                <w:rFonts w:ascii="Arial" w:hAnsi="Arial" w:cs="Arial"/>
                <w:sz w:val="16"/>
                <w:szCs w:val="16"/>
                <w:lang w:val="en-AU" w:eastAsia="en-AU"/>
              </w:rPr>
              <w:t>237</w:t>
            </w:r>
          </w:p>
        </w:tc>
        <w:tc>
          <w:tcPr>
            <w:tcW w:w="619" w:type="pct"/>
            <w:tcBorders>
              <w:top w:val="nil"/>
              <w:left w:val="nil"/>
              <w:bottom w:val="nil"/>
              <w:right w:val="nil"/>
            </w:tcBorders>
            <w:shd w:val="clear" w:color="000000" w:fill="F2F2F2"/>
            <w:noWrap/>
            <w:vAlign w:val="center"/>
            <w:hideMark/>
          </w:tcPr>
          <w:p w14:paraId="78BF588D" w14:textId="7496E5CD" w:rsidR="008A6098" w:rsidRPr="00D80CAF" w:rsidRDefault="008A6098" w:rsidP="00184328">
            <w:pPr>
              <w:ind w:firstLineChars="100" w:firstLine="160"/>
              <w:jc w:val="right"/>
              <w:outlineLvl w:val="0"/>
              <w:rPr>
                <w:rFonts w:ascii="Arial" w:hAnsi="Arial" w:cs="Arial"/>
                <w:sz w:val="16"/>
                <w:szCs w:val="16"/>
                <w:lang w:val="en-AU" w:eastAsia="en-AU"/>
              </w:rPr>
            </w:pPr>
            <w:r w:rsidRPr="00D80CAF">
              <w:rPr>
                <w:rFonts w:ascii="Arial" w:hAnsi="Arial" w:cs="Arial"/>
                <w:sz w:val="16"/>
                <w:szCs w:val="16"/>
                <w:lang w:val="en-AU" w:eastAsia="en-AU"/>
              </w:rPr>
              <w:t>69</w:t>
            </w:r>
          </w:p>
        </w:tc>
        <w:tc>
          <w:tcPr>
            <w:tcW w:w="619" w:type="pct"/>
            <w:tcBorders>
              <w:top w:val="nil"/>
              <w:left w:val="nil"/>
              <w:bottom w:val="nil"/>
              <w:right w:val="nil"/>
            </w:tcBorders>
            <w:shd w:val="clear" w:color="000000" w:fill="F2F2F2"/>
            <w:noWrap/>
            <w:vAlign w:val="center"/>
            <w:hideMark/>
          </w:tcPr>
          <w:p w14:paraId="5FB50B69" w14:textId="70085D72" w:rsidR="008A6098" w:rsidRPr="00D80CAF" w:rsidRDefault="008A6098" w:rsidP="00184328">
            <w:pPr>
              <w:ind w:firstLineChars="100" w:firstLine="160"/>
              <w:jc w:val="right"/>
              <w:outlineLvl w:val="0"/>
              <w:rPr>
                <w:rFonts w:ascii="Arial" w:hAnsi="Arial" w:cs="Arial"/>
                <w:sz w:val="16"/>
                <w:szCs w:val="16"/>
                <w:lang w:val="en-AU" w:eastAsia="en-AU"/>
              </w:rPr>
            </w:pPr>
            <w:r w:rsidRPr="00D80CAF">
              <w:rPr>
                <w:rFonts w:ascii="Arial" w:hAnsi="Arial" w:cs="Arial"/>
                <w:sz w:val="16"/>
                <w:szCs w:val="16"/>
                <w:lang w:val="en-AU" w:eastAsia="en-AU"/>
              </w:rPr>
              <w:t>20</w:t>
            </w:r>
          </w:p>
        </w:tc>
        <w:tc>
          <w:tcPr>
            <w:tcW w:w="620" w:type="pct"/>
            <w:tcBorders>
              <w:top w:val="nil"/>
              <w:left w:val="nil"/>
              <w:bottom w:val="nil"/>
              <w:right w:val="nil"/>
            </w:tcBorders>
            <w:shd w:val="clear" w:color="000000" w:fill="F2F2F2"/>
            <w:noWrap/>
            <w:vAlign w:val="center"/>
            <w:hideMark/>
          </w:tcPr>
          <w:p w14:paraId="3F83B474" w14:textId="77777777" w:rsidR="008A6098" w:rsidRPr="00D80CAF" w:rsidRDefault="008A6098" w:rsidP="00184328">
            <w:pPr>
              <w:ind w:firstLineChars="100" w:firstLine="160"/>
              <w:jc w:val="right"/>
              <w:outlineLvl w:val="0"/>
              <w:rPr>
                <w:rFonts w:ascii="Arial" w:hAnsi="Arial" w:cs="Arial"/>
                <w:sz w:val="16"/>
                <w:szCs w:val="16"/>
                <w:lang w:val="en-AU" w:eastAsia="en-AU"/>
              </w:rPr>
            </w:pPr>
            <w:proofErr w:type="spellStart"/>
            <w:r w:rsidRPr="00D80CAF">
              <w:rPr>
                <w:rFonts w:ascii="Arial" w:hAnsi="Arial" w:cs="Arial"/>
                <w:sz w:val="16"/>
                <w:szCs w:val="16"/>
                <w:lang w:val="en-AU" w:eastAsia="en-AU"/>
              </w:rPr>
              <w:t>n.a.</w:t>
            </w:r>
            <w:proofErr w:type="spellEnd"/>
          </w:p>
        </w:tc>
      </w:tr>
      <w:tr w:rsidR="008A6098" w:rsidRPr="00024747" w14:paraId="2D851A00" w14:textId="77777777" w:rsidTr="00D80CAF">
        <w:trPr>
          <w:trHeight w:val="300"/>
        </w:trPr>
        <w:tc>
          <w:tcPr>
            <w:tcW w:w="1903" w:type="pct"/>
            <w:tcBorders>
              <w:top w:val="single" w:sz="4" w:space="0" w:color="auto"/>
              <w:left w:val="nil"/>
              <w:bottom w:val="single" w:sz="4" w:space="0" w:color="auto"/>
              <w:right w:val="nil"/>
            </w:tcBorders>
            <w:shd w:val="clear" w:color="000000" w:fill="FFFFFF"/>
            <w:vAlign w:val="center"/>
            <w:hideMark/>
          </w:tcPr>
          <w:p w14:paraId="58AC4CCF" w14:textId="13D644A3" w:rsidR="008A6098" w:rsidRPr="00D80CAF" w:rsidRDefault="008A6098" w:rsidP="00184328">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Capital – 2019-20 Half-Yearly Review</w:t>
            </w:r>
          </w:p>
        </w:tc>
        <w:tc>
          <w:tcPr>
            <w:tcW w:w="619" w:type="pct"/>
            <w:tcBorders>
              <w:top w:val="single" w:sz="4" w:space="0" w:color="auto"/>
              <w:left w:val="nil"/>
              <w:bottom w:val="single" w:sz="4" w:space="0" w:color="auto"/>
              <w:right w:val="nil"/>
            </w:tcBorders>
            <w:shd w:val="clear" w:color="auto" w:fill="auto"/>
            <w:noWrap/>
            <w:vAlign w:val="center"/>
            <w:hideMark/>
          </w:tcPr>
          <w:p w14:paraId="650B99AF" w14:textId="48B00DDC"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23,683</w:t>
            </w:r>
          </w:p>
        </w:tc>
        <w:tc>
          <w:tcPr>
            <w:tcW w:w="619" w:type="pct"/>
            <w:tcBorders>
              <w:top w:val="single" w:sz="4" w:space="0" w:color="auto"/>
              <w:left w:val="nil"/>
              <w:bottom w:val="single" w:sz="4" w:space="0" w:color="auto"/>
              <w:right w:val="nil"/>
            </w:tcBorders>
            <w:shd w:val="clear" w:color="000000" w:fill="F2F2F2"/>
            <w:noWrap/>
            <w:vAlign w:val="center"/>
            <w:hideMark/>
          </w:tcPr>
          <w:p w14:paraId="0913AB6A" w14:textId="40FC7CF2"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18,821</w:t>
            </w:r>
          </w:p>
        </w:tc>
        <w:tc>
          <w:tcPr>
            <w:tcW w:w="619" w:type="pct"/>
            <w:tcBorders>
              <w:top w:val="single" w:sz="4" w:space="0" w:color="auto"/>
              <w:left w:val="nil"/>
              <w:bottom w:val="single" w:sz="4" w:space="0" w:color="auto"/>
              <w:right w:val="nil"/>
            </w:tcBorders>
            <w:shd w:val="clear" w:color="000000" w:fill="F2F2F2"/>
            <w:noWrap/>
            <w:vAlign w:val="center"/>
            <w:hideMark/>
          </w:tcPr>
          <w:p w14:paraId="52A3B701" w14:textId="18447A8C"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18,126</w:t>
            </w:r>
          </w:p>
        </w:tc>
        <w:tc>
          <w:tcPr>
            <w:tcW w:w="619" w:type="pct"/>
            <w:tcBorders>
              <w:top w:val="single" w:sz="4" w:space="0" w:color="auto"/>
              <w:left w:val="nil"/>
              <w:bottom w:val="single" w:sz="4" w:space="0" w:color="auto"/>
              <w:right w:val="nil"/>
            </w:tcBorders>
            <w:shd w:val="clear" w:color="000000" w:fill="F2F2F2"/>
            <w:noWrap/>
            <w:vAlign w:val="center"/>
            <w:hideMark/>
          </w:tcPr>
          <w:p w14:paraId="6DB095B9" w14:textId="0CFFCFB1" w:rsidR="008A6098" w:rsidRPr="00D80CAF" w:rsidRDefault="008A6098"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15,407</w:t>
            </w:r>
          </w:p>
        </w:tc>
        <w:tc>
          <w:tcPr>
            <w:tcW w:w="620" w:type="pct"/>
            <w:tcBorders>
              <w:top w:val="single" w:sz="4" w:space="0" w:color="auto"/>
              <w:left w:val="nil"/>
              <w:bottom w:val="single" w:sz="4" w:space="0" w:color="auto"/>
              <w:right w:val="nil"/>
            </w:tcBorders>
            <w:shd w:val="clear" w:color="000000" w:fill="F2F2F2"/>
            <w:noWrap/>
            <w:vAlign w:val="center"/>
            <w:hideMark/>
          </w:tcPr>
          <w:p w14:paraId="2A6CDDC8" w14:textId="77777777" w:rsidR="008A6098" w:rsidRPr="00D80CAF" w:rsidRDefault="008A6098" w:rsidP="00184328">
            <w:pPr>
              <w:ind w:firstLineChars="100" w:firstLine="161"/>
              <w:jc w:val="right"/>
              <w:rPr>
                <w:rFonts w:ascii="Arial" w:hAnsi="Arial" w:cs="Arial"/>
                <w:b/>
                <w:color w:val="008EBA"/>
                <w:sz w:val="16"/>
                <w:szCs w:val="16"/>
                <w:lang w:val="en-AU" w:eastAsia="en-AU"/>
              </w:rPr>
            </w:pPr>
            <w:proofErr w:type="spellStart"/>
            <w:r w:rsidRPr="00D80CAF">
              <w:rPr>
                <w:rFonts w:ascii="Arial" w:hAnsi="Arial" w:cs="Arial"/>
                <w:b/>
                <w:color w:val="008EBA"/>
                <w:sz w:val="16"/>
                <w:szCs w:val="16"/>
                <w:lang w:val="en-AU" w:eastAsia="en-AU"/>
              </w:rPr>
              <w:t>n.a.</w:t>
            </w:r>
            <w:proofErr w:type="spellEnd"/>
          </w:p>
        </w:tc>
      </w:tr>
      <w:tr w:rsidR="008A6098" w:rsidRPr="00024747" w14:paraId="62A3DD1A" w14:textId="77777777" w:rsidTr="00A0273A">
        <w:trPr>
          <w:trHeight w:val="300"/>
        </w:trPr>
        <w:tc>
          <w:tcPr>
            <w:tcW w:w="1903" w:type="pct"/>
            <w:tcBorders>
              <w:top w:val="nil"/>
              <w:left w:val="nil"/>
              <w:bottom w:val="nil"/>
              <w:right w:val="nil"/>
            </w:tcBorders>
            <w:shd w:val="clear" w:color="000000" w:fill="FFFFFF"/>
            <w:vAlign w:val="center"/>
            <w:hideMark/>
          </w:tcPr>
          <w:p w14:paraId="66432B65" w14:textId="5100E8F7" w:rsidR="008A6098" w:rsidRPr="00D80CAF" w:rsidRDefault="008A6098" w:rsidP="00184328">
            <w:pPr>
              <w:rPr>
                <w:rFonts w:ascii="Arial" w:hAnsi="Arial" w:cs="Arial"/>
                <w:color w:val="000000"/>
                <w:sz w:val="16"/>
                <w:szCs w:val="16"/>
                <w:lang w:val="en-AU" w:eastAsia="en-AU"/>
              </w:rPr>
            </w:pPr>
            <w:r w:rsidRPr="00D80CAF">
              <w:rPr>
                <w:rFonts w:ascii="Arial" w:hAnsi="Arial" w:cs="Arial"/>
                <w:color w:val="000000"/>
                <w:sz w:val="16"/>
                <w:szCs w:val="16"/>
                <w:lang w:val="en-AU" w:eastAsia="en-AU"/>
              </w:rPr>
              <w:t xml:space="preserve">Capital measures </w:t>
            </w:r>
          </w:p>
        </w:tc>
        <w:tc>
          <w:tcPr>
            <w:tcW w:w="619" w:type="pct"/>
            <w:tcBorders>
              <w:top w:val="nil"/>
              <w:left w:val="nil"/>
              <w:bottom w:val="nil"/>
              <w:right w:val="nil"/>
            </w:tcBorders>
            <w:shd w:val="clear" w:color="auto" w:fill="auto"/>
            <w:noWrap/>
            <w:vAlign w:val="center"/>
          </w:tcPr>
          <w:p w14:paraId="39E4A0C7" w14:textId="28DD7B3E" w:rsidR="008A6098" w:rsidRPr="00D80CAF" w:rsidRDefault="000C47EE"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(120)</w:t>
            </w:r>
          </w:p>
        </w:tc>
        <w:tc>
          <w:tcPr>
            <w:tcW w:w="619" w:type="pct"/>
            <w:tcBorders>
              <w:top w:val="nil"/>
              <w:left w:val="nil"/>
              <w:bottom w:val="nil"/>
              <w:right w:val="nil"/>
            </w:tcBorders>
            <w:shd w:val="clear" w:color="000000" w:fill="F2F2F2"/>
            <w:noWrap/>
            <w:vAlign w:val="center"/>
          </w:tcPr>
          <w:p w14:paraId="12F8B907" w14:textId="17F38253" w:rsidR="008A6098" w:rsidRPr="00D80CAF" w:rsidRDefault="000C47EE"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4,135</w:t>
            </w:r>
          </w:p>
        </w:tc>
        <w:tc>
          <w:tcPr>
            <w:tcW w:w="619" w:type="pct"/>
            <w:tcBorders>
              <w:top w:val="nil"/>
              <w:left w:val="nil"/>
              <w:bottom w:val="nil"/>
              <w:right w:val="nil"/>
            </w:tcBorders>
            <w:shd w:val="clear" w:color="000000" w:fill="F2F2F2"/>
            <w:noWrap/>
            <w:vAlign w:val="center"/>
          </w:tcPr>
          <w:p w14:paraId="6ADF0700" w14:textId="445B5BDD" w:rsidR="008A6098" w:rsidRPr="00D80CAF" w:rsidRDefault="000C47EE"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5,032</w:t>
            </w:r>
          </w:p>
        </w:tc>
        <w:tc>
          <w:tcPr>
            <w:tcW w:w="619" w:type="pct"/>
            <w:tcBorders>
              <w:top w:val="nil"/>
              <w:left w:val="nil"/>
              <w:bottom w:val="nil"/>
              <w:right w:val="nil"/>
            </w:tcBorders>
            <w:shd w:val="clear" w:color="000000" w:fill="F2F2F2"/>
            <w:noWrap/>
            <w:vAlign w:val="center"/>
          </w:tcPr>
          <w:p w14:paraId="091C7374" w14:textId="7FE006D2" w:rsidR="008A6098" w:rsidRPr="00D80CAF" w:rsidRDefault="000C47EE"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4,592</w:t>
            </w:r>
          </w:p>
        </w:tc>
        <w:tc>
          <w:tcPr>
            <w:tcW w:w="620" w:type="pct"/>
            <w:tcBorders>
              <w:top w:val="nil"/>
              <w:left w:val="nil"/>
              <w:bottom w:val="nil"/>
              <w:right w:val="nil"/>
            </w:tcBorders>
            <w:shd w:val="clear" w:color="000000" w:fill="F2F2F2"/>
            <w:noWrap/>
            <w:vAlign w:val="center"/>
          </w:tcPr>
          <w:p w14:paraId="2385E4B6" w14:textId="5072A8D0" w:rsidR="008A6098" w:rsidRPr="00D80CAF" w:rsidRDefault="000C47EE"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1,907</w:t>
            </w:r>
          </w:p>
        </w:tc>
      </w:tr>
      <w:tr w:rsidR="008A6098" w:rsidRPr="00024747" w14:paraId="300B99BD" w14:textId="77777777" w:rsidTr="00D80CAF">
        <w:trPr>
          <w:trHeight w:val="300"/>
        </w:trPr>
        <w:tc>
          <w:tcPr>
            <w:tcW w:w="1903" w:type="pct"/>
            <w:tcBorders>
              <w:top w:val="nil"/>
              <w:left w:val="nil"/>
              <w:bottom w:val="nil"/>
              <w:right w:val="nil"/>
            </w:tcBorders>
            <w:shd w:val="clear" w:color="000000" w:fill="FFFFFF"/>
            <w:vAlign w:val="center"/>
            <w:hideMark/>
          </w:tcPr>
          <w:p w14:paraId="4366171F" w14:textId="710238AE" w:rsidR="008A6098" w:rsidRPr="00D80CAF" w:rsidRDefault="008A6098" w:rsidP="00184328">
            <w:pPr>
              <w:rPr>
                <w:rFonts w:ascii="Arial" w:hAnsi="Arial" w:cs="Arial"/>
                <w:color w:val="000000"/>
                <w:sz w:val="16"/>
                <w:szCs w:val="16"/>
                <w:lang w:val="en-AU" w:eastAsia="en-AU"/>
              </w:rPr>
            </w:pPr>
            <w:r w:rsidRPr="00D80CAF">
              <w:rPr>
                <w:rFonts w:ascii="Arial" w:hAnsi="Arial" w:cs="Arial"/>
                <w:color w:val="000000"/>
                <w:sz w:val="16"/>
                <w:szCs w:val="16"/>
                <w:lang w:val="en-AU" w:eastAsia="en-AU"/>
              </w:rPr>
              <w:t>Parameter and other variations</w:t>
            </w:r>
          </w:p>
        </w:tc>
        <w:tc>
          <w:tcPr>
            <w:tcW w:w="619" w:type="pct"/>
            <w:tcBorders>
              <w:top w:val="nil"/>
              <w:left w:val="nil"/>
              <w:bottom w:val="nil"/>
              <w:right w:val="nil"/>
            </w:tcBorders>
            <w:shd w:val="clear" w:color="auto" w:fill="auto"/>
            <w:noWrap/>
            <w:vAlign w:val="center"/>
            <w:hideMark/>
          </w:tcPr>
          <w:p w14:paraId="3E91D096" w14:textId="59C31D96"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(2,</w:t>
            </w:r>
            <w:r w:rsidR="00756B08">
              <w:rPr>
                <w:rFonts w:ascii="Arial" w:hAnsi="Arial" w:cs="Arial"/>
                <w:sz w:val="16"/>
                <w:szCs w:val="16"/>
                <w:lang w:val="en-AU" w:eastAsia="en-AU"/>
              </w:rPr>
              <w:t>57</w:t>
            </w:r>
            <w:r w:rsidR="005F4745">
              <w:rPr>
                <w:rFonts w:ascii="Arial" w:hAnsi="Arial" w:cs="Arial"/>
                <w:sz w:val="16"/>
                <w:szCs w:val="16"/>
                <w:lang w:val="en-AU" w:eastAsia="en-AU"/>
              </w:rPr>
              <w:t>8</w:t>
            </w:r>
            <w:r w:rsidRPr="00D80CAF">
              <w:rPr>
                <w:rFonts w:ascii="Arial" w:hAnsi="Arial" w:cs="Arial"/>
                <w:sz w:val="16"/>
                <w:szCs w:val="16"/>
                <w:lang w:val="en-AU" w:eastAsia="en-AU"/>
              </w:rPr>
              <w:t>)</w:t>
            </w:r>
          </w:p>
        </w:tc>
        <w:tc>
          <w:tcPr>
            <w:tcW w:w="619" w:type="pct"/>
            <w:tcBorders>
              <w:top w:val="nil"/>
              <w:left w:val="nil"/>
              <w:bottom w:val="nil"/>
              <w:right w:val="nil"/>
            </w:tcBorders>
            <w:shd w:val="clear" w:color="000000" w:fill="F2F2F2"/>
            <w:noWrap/>
            <w:vAlign w:val="center"/>
            <w:hideMark/>
          </w:tcPr>
          <w:p w14:paraId="7AFBD98A" w14:textId="21BDA269"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w:t>
            </w:r>
            <w:r w:rsidR="00763236">
              <w:rPr>
                <w:rFonts w:ascii="Arial" w:hAnsi="Arial" w:cs="Arial"/>
                <w:sz w:val="16"/>
                <w:szCs w:val="16"/>
                <w:lang w:val="en-AU" w:eastAsia="en-AU"/>
              </w:rPr>
              <w:t>31</w:t>
            </w:r>
            <w:r w:rsidR="001221B0">
              <w:rPr>
                <w:rFonts w:ascii="Arial" w:hAnsi="Arial" w:cs="Arial"/>
                <w:sz w:val="16"/>
                <w:szCs w:val="16"/>
                <w:lang w:val="en-AU" w:eastAsia="en-AU"/>
              </w:rPr>
              <w:t>1</w:t>
            </w:r>
            <w:r w:rsidRPr="00D80CAF">
              <w:rPr>
                <w:rFonts w:ascii="Arial" w:hAnsi="Arial" w:cs="Arial"/>
                <w:sz w:val="16"/>
                <w:szCs w:val="16"/>
                <w:lang w:val="en-AU" w:eastAsia="en-AU"/>
              </w:rPr>
              <w:t>)</w:t>
            </w:r>
          </w:p>
        </w:tc>
        <w:tc>
          <w:tcPr>
            <w:tcW w:w="619" w:type="pct"/>
            <w:tcBorders>
              <w:top w:val="nil"/>
              <w:left w:val="nil"/>
              <w:bottom w:val="nil"/>
              <w:right w:val="nil"/>
            </w:tcBorders>
            <w:shd w:val="clear" w:color="000000" w:fill="F2F2F2"/>
            <w:noWrap/>
            <w:vAlign w:val="center"/>
            <w:hideMark/>
          </w:tcPr>
          <w:p w14:paraId="2AD5752D" w14:textId="0E117528" w:rsidR="008A6098" w:rsidRPr="00D80CAF" w:rsidRDefault="008A6098" w:rsidP="00184328">
            <w:pPr>
              <w:ind w:firstLineChars="100" w:firstLine="160"/>
              <w:jc w:val="right"/>
              <w:rPr>
                <w:rFonts w:ascii="Arial" w:hAnsi="Arial" w:cs="Arial"/>
                <w:sz w:val="16"/>
                <w:szCs w:val="16"/>
                <w:lang w:val="en-AU" w:eastAsia="en-AU"/>
              </w:rPr>
            </w:pPr>
            <w:r w:rsidRPr="00D80CAF">
              <w:rPr>
                <w:rFonts w:ascii="Arial" w:hAnsi="Arial" w:cs="Arial"/>
                <w:sz w:val="16"/>
                <w:szCs w:val="16"/>
                <w:lang w:val="en-AU" w:eastAsia="en-AU"/>
              </w:rPr>
              <w:t>(</w:t>
            </w:r>
            <w:r w:rsidR="00763236">
              <w:rPr>
                <w:rFonts w:ascii="Arial" w:hAnsi="Arial" w:cs="Arial"/>
                <w:sz w:val="16"/>
                <w:szCs w:val="16"/>
                <w:lang w:val="en-AU" w:eastAsia="en-AU"/>
              </w:rPr>
              <w:t>228</w:t>
            </w:r>
            <w:r w:rsidRPr="00D80CAF">
              <w:rPr>
                <w:rFonts w:ascii="Arial" w:hAnsi="Arial" w:cs="Arial"/>
                <w:sz w:val="16"/>
                <w:szCs w:val="16"/>
                <w:lang w:val="en-AU" w:eastAsia="en-AU"/>
              </w:rPr>
              <w:t>)</w:t>
            </w:r>
          </w:p>
        </w:tc>
        <w:tc>
          <w:tcPr>
            <w:tcW w:w="619" w:type="pct"/>
            <w:tcBorders>
              <w:top w:val="nil"/>
              <w:left w:val="nil"/>
              <w:bottom w:val="nil"/>
              <w:right w:val="nil"/>
            </w:tcBorders>
            <w:shd w:val="clear" w:color="000000" w:fill="F2F2F2"/>
            <w:noWrap/>
            <w:vAlign w:val="center"/>
            <w:hideMark/>
          </w:tcPr>
          <w:p w14:paraId="59FD0481" w14:textId="4EC828AB" w:rsidR="008A6098" w:rsidRPr="00D80CAF" w:rsidRDefault="00063F0B" w:rsidP="00184328">
            <w:pPr>
              <w:ind w:firstLineChars="100" w:firstLine="160"/>
              <w:jc w:val="right"/>
              <w:rPr>
                <w:rFonts w:ascii="Arial" w:hAnsi="Arial" w:cs="Arial"/>
                <w:sz w:val="16"/>
                <w:szCs w:val="16"/>
                <w:lang w:val="en-AU" w:eastAsia="en-AU"/>
              </w:rPr>
            </w:pPr>
            <w:r>
              <w:rPr>
                <w:rFonts w:ascii="Arial" w:hAnsi="Arial" w:cs="Arial"/>
                <w:sz w:val="16"/>
                <w:szCs w:val="16"/>
                <w:lang w:val="en-AU" w:eastAsia="en-AU"/>
              </w:rPr>
              <w:t>132</w:t>
            </w:r>
          </w:p>
        </w:tc>
        <w:tc>
          <w:tcPr>
            <w:tcW w:w="620" w:type="pct"/>
            <w:tcBorders>
              <w:top w:val="nil"/>
              <w:left w:val="nil"/>
              <w:bottom w:val="nil"/>
              <w:right w:val="nil"/>
            </w:tcBorders>
            <w:shd w:val="clear" w:color="000000" w:fill="F2F2F2"/>
            <w:noWrap/>
            <w:vAlign w:val="center"/>
            <w:hideMark/>
          </w:tcPr>
          <w:p w14:paraId="5AA2BBCD" w14:textId="715B9CAE" w:rsidR="008A6098" w:rsidRPr="00D80CAF" w:rsidRDefault="008A6098" w:rsidP="00184328">
            <w:pPr>
              <w:ind w:firstLineChars="100" w:firstLine="160"/>
              <w:jc w:val="right"/>
              <w:rPr>
                <w:rFonts w:ascii="Arial" w:hAnsi="Arial" w:cs="Arial"/>
                <w:sz w:val="16"/>
                <w:szCs w:val="16"/>
                <w:lang w:val="en-AU" w:eastAsia="en-AU"/>
              </w:rPr>
            </w:pPr>
            <w:proofErr w:type="spellStart"/>
            <w:proofErr w:type="gramStart"/>
            <w:r w:rsidRPr="00D80CAF">
              <w:rPr>
                <w:rFonts w:ascii="Arial" w:hAnsi="Arial" w:cs="Arial"/>
                <w:sz w:val="16"/>
                <w:szCs w:val="16"/>
                <w:lang w:val="en-AU" w:eastAsia="en-AU"/>
              </w:rPr>
              <w:t>n.a</w:t>
            </w:r>
            <w:proofErr w:type="spellEnd"/>
            <w:proofErr w:type="gramEnd"/>
          </w:p>
        </w:tc>
      </w:tr>
      <w:tr w:rsidR="008A6098" w:rsidRPr="00024747" w14:paraId="18282C22" w14:textId="77777777" w:rsidTr="00D80CAF">
        <w:trPr>
          <w:trHeight w:val="300"/>
        </w:trPr>
        <w:tc>
          <w:tcPr>
            <w:tcW w:w="1903" w:type="pct"/>
            <w:tcBorders>
              <w:top w:val="single" w:sz="4" w:space="0" w:color="auto"/>
              <w:left w:val="nil"/>
              <w:bottom w:val="single" w:sz="4" w:space="0" w:color="auto"/>
              <w:right w:val="nil"/>
            </w:tcBorders>
            <w:shd w:val="clear" w:color="000000" w:fill="FFFFFF"/>
            <w:vAlign w:val="center"/>
            <w:hideMark/>
          </w:tcPr>
          <w:p w14:paraId="057F39D5" w14:textId="6FCD0E3F" w:rsidR="008A6098" w:rsidRPr="00D80CAF" w:rsidRDefault="00954BCC" w:rsidP="00184328">
            <w:pPr>
              <w:rPr>
                <w:rFonts w:ascii="Arial" w:hAnsi="Arial" w:cs="Arial"/>
                <w:b/>
                <w:color w:val="008EBA"/>
                <w:sz w:val="16"/>
                <w:szCs w:val="16"/>
                <w:lang w:val="en-AU" w:eastAsia="en-AU"/>
              </w:rPr>
            </w:pPr>
            <w:r w:rsidRPr="00D80CAF">
              <w:rPr>
                <w:rFonts w:ascii="Arial" w:hAnsi="Arial" w:cs="Arial"/>
                <w:b/>
                <w:color w:val="008EBA"/>
                <w:sz w:val="16"/>
                <w:szCs w:val="16"/>
                <w:lang w:val="en-AU" w:eastAsia="en-AU"/>
              </w:rPr>
              <w:t>Capital</w:t>
            </w:r>
            <w:r w:rsidR="008A6098" w:rsidRPr="00D80CAF">
              <w:rPr>
                <w:rFonts w:ascii="Arial" w:hAnsi="Arial" w:cs="Arial"/>
                <w:b/>
                <w:color w:val="008EBA"/>
                <w:sz w:val="16"/>
                <w:szCs w:val="16"/>
                <w:lang w:val="en-AU" w:eastAsia="en-AU"/>
              </w:rPr>
              <w:t xml:space="preserve"> – 20</w:t>
            </w:r>
            <w:r w:rsidR="004017AD">
              <w:rPr>
                <w:rFonts w:ascii="Arial" w:hAnsi="Arial" w:cs="Arial"/>
                <w:b/>
                <w:color w:val="008EBA"/>
                <w:sz w:val="16"/>
                <w:szCs w:val="16"/>
                <w:lang w:val="en-AU" w:eastAsia="en-AU"/>
              </w:rPr>
              <w:t>20</w:t>
            </w:r>
            <w:r w:rsidR="008A6098" w:rsidRPr="00D80CAF">
              <w:rPr>
                <w:rFonts w:ascii="Arial" w:hAnsi="Arial" w:cs="Arial"/>
                <w:b/>
                <w:color w:val="008EBA"/>
                <w:sz w:val="16"/>
                <w:szCs w:val="16"/>
                <w:lang w:val="en-AU" w:eastAsia="en-AU"/>
              </w:rPr>
              <w:t>-21 Budget</w:t>
            </w:r>
          </w:p>
        </w:tc>
        <w:tc>
          <w:tcPr>
            <w:tcW w:w="619" w:type="pct"/>
            <w:tcBorders>
              <w:top w:val="single" w:sz="4" w:space="0" w:color="auto"/>
              <w:left w:val="nil"/>
              <w:bottom w:val="single" w:sz="4" w:space="0" w:color="auto"/>
              <w:right w:val="nil"/>
            </w:tcBorders>
            <w:shd w:val="clear" w:color="auto" w:fill="auto"/>
            <w:noWrap/>
            <w:vAlign w:val="center"/>
          </w:tcPr>
          <w:p w14:paraId="7CDA5BB8" w14:textId="048A04A8" w:rsidR="008A6098" w:rsidRPr="00D80CAF" w:rsidRDefault="00954BCC"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20,985</w:t>
            </w:r>
          </w:p>
        </w:tc>
        <w:tc>
          <w:tcPr>
            <w:tcW w:w="619" w:type="pct"/>
            <w:tcBorders>
              <w:top w:val="single" w:sz="4" w:space="0" w:color="auto"/>
              <w:left w:val="nil"/>
              <w:bottom w:val="single" w:sz="4" w:space="0" w:color="auto"/>
              <w:right w:val="nil"/>
            </w:tcBorders>
            <w:shd w:val="clear" w:color="000000" w:fill="F2F2F2"/>
            <w:noWrap/>
            <w:vAlign w:val="center"/>
          </w:tcPr>
          <w:p w14:paraId="5FFD9CA6" w14:textId="0C145007" w:rsidR="008A6098" w:rsidRPr="00D80CAF" w:rsidRDefault="00954BCC"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22,644</w:t>
            </w:r>
          </w:p>
        </w:tc>
        <w:tc>
          <w:tcPr>
            <w:tcW w:w="619" w:type="pct"/>
            <w:tcBorders>
              <w:top w:val="single" w:sz="4" w:space="0" w:color="auto"/>
              <w:left w:val="nil"/>
              <w:bottom w:val="single" w:sz="4" w:space="0" w:color="auto"/>
              <w:right w:val="nil"/>
            </w:tcBorders>
            <w:shd w:val="clear" w:color="000000" w:fill="F2F2F2"/>
            <w:noWrap/>
            <w:vAlign w:val="center"/>
          </w:tcPr>
          <w:p w14:paraId="1F6F816B" w14:textId="559F0480" w:rsidR="008A6098" w:rsidRPr="00D80CAF" w:rsidRDefault="00954BCC"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22,9</w:t>
            </w:r>
            <w:r w:rsidR="007A1951" w:rsidRPr="00D80CAF">
              <w:rPr>
                <w:rFonts w:ascii="Arial" w:hAnsi="Arial" w:cs="Arial"/>
                <w:b/>
                <w:color w:val="008EBA"/>
                <w:sz w:val="16"/>
                <w:szCs w:val="16"/>
                <w:lang w:val="en-AU" w:eastAsia="en-AU"/>
              </w:rPr>
              <w:t>30</w:t>
            </w:r>
          </w:p>
        </w:tc>
        <w:tc>
          <w:tcPr>
            <w:tcW w:w="619" w:type="pct"/>
            <w:tcBorders>
              <w:top w:val="single" w:sz="4" w:space="0" w:color="auto"/>
              <w:left w:val="nil"/>
              <w:bottom w:val="single" w:sz="4" w:space="0" w:color="auto"/>
              <w:right w:val="nil"/>
            </w:tcBorders>
            <w:shd w:val="clear" w:color="000000" w:fill="F2F2F2"/>
            <w:noWrap/>
            <w:vAlign w:val="center"/>
          </w:tcPr>
          <w:p w14:paraId="13C4BC0B" w14:textId="622B9C4A" w:rsidR="008A6098" w:rsidRPr="00D80CAF" w:rsidRDefault="00954BCC"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20,131</w:t>
            </w:r>
          </w:p>
        </w:tc>
        <w:tc>
          <w:tcPr>
            <w:tcW w:w="620" w:type="pct"/>
            <w:tcBorders>
              <w:top w:val="single" w:sz="4" w:space="0" w:color="auto"/>
              <w:left w:val="nil"/>
              <w:bottom w:val="single" w:sz="4" w:space="0" w:color="auto"/>
              <w:right w:val="nil"/>
            </w:tcBorders>
            <w:shd w:val="clear" w:color="000000" w:fill="F2F2F2"/>
            <w:noWrap/>
            <w:vAlign w:val="center"/>
          </w:tcPr>
          <w:p w14:paraId="7D6EA11F" w14:textId="28A876D5" w:rsidR="008A6098" w:rsidRPr="00D80CAF" w:rsidRDefault="00954BCC" w:rsidP="00184328">
            <w:pPr>
              <w:ind w:firstLineChars="100" w:firstLine="161"/>
              <w:jc w:val="right"/>
              <w:rPr>
                <w:rFonts w:ascii="Arial" w:hAnsi="Arial" w:cs="Arial"/>
                <w:b/>
                <w:color w:val="008EBA"/>
                <w:sz w:val="16"/>
                <w:szCs w:val="16"/>
                <w:lang w:val="en-AU" w:eastAsia="en-AU"/>
              </w:rPr>
            </w:pPr>
            <w:r w:rsidRPr="00D80CAF">
              <w:rPr>
                <w:rFonts w:ascii="Arial" w:hAnsi="Arial" w:cs="Arial"/>
                <w:b/>
                <w:color w:val="008EBA"/>
                <w:sz w:val="16"/>
                <w:szCs w:val="16"/>
                <w:lang w:val="en-AU" w:eastAsia="en-AU"/>
              </w:rPr>
              <w:t>18</w:t>
            </w:r>
            <w:r w:rsidR="004017AD">
              <w:rPr>
                <w:rFonts w:ascii="Arial" w:hAnsi="Arial" w:cs="Arial"/>
                <w:b/>
                <w:color w:val="008EBA"/>
                <w:sz w:val="16"/>
                <w:szCs w:val="16"/>
                <w:lang w:val="en-AU" w:eastAsia="en-AU"/>
              </w:rPr>
              <w:t>,</w:t>
            </w:r>
            <w:r w:rsidRPr="00D80CAF">
              <w:rPr>
                <w:rFonts w:ascii="Arial" w:hAnsi="Arial" w:cs="Arial"/>
                <w:b/>
                <w:color w:val="008EBA"/>
                <w:sz w:val="16"/>
                <w:szCs w:val="16"/>
                <w:lang w:val="en-AU" w:eastAsia="en-AU"/>
              </w:rPr>
              <w:t>523</w:t>
            </w:r>
          </w:p>
        </w:tc>
      </w:tr>
    </w:tbl>
    <w:p w14:paraId="12FC0016" w14:textId="77777777" w:rsidR="009F0283" w:rsidRDefault="009F0283" w:rsidP="009F0283">
      <w:pPr>
        <w:rPr>
          <w:rFonts w:eastAsiaTheme="minorHAnsi"/>
        </w:rPr>
      </w:pPr>
    </w:p>
    <w:p w14:paraId="1FD68B80" w14:textId="689C13D9" w:rsidR="00AB123F" w:rsidRPr="005B6CA7" w:rsidRDefault="008F4EC1">
      <w:pPr>
        <w:pStyle w:val="BodyText"/>
      </w:pPr>
      <w:r>
        <w:t>C</w:t>
      </w:r>
      <w:r w:rsidR="00825C4F" w:rsidRPr="007641D2">
        <w:t xml:space="preserve">apital expenditure </w:t>
      </w:r>
      <w:r>
        <w:t>in the general government sector</w:t>
      </w:r>
      <w:r w:rsidR="00825C4F" w:rsidRPr="007641D2">
        <w:t xml:space="preserve"> is forecast to be </w:t>
      </w:r>
      <w:r w:rsidR="002E06B5" w:rsidRPr="005B6CA7">
        <w:t>$</w:t>
      </w:r>
      <w:r w:rsidR="005B6CA7">
        <w:t>22.6</w:t>
      </w:r>
      <w:r w:rsidR="00EA670A" w:rsidRPr="005B6CA7">
        <w:t xml:space="preserve"> billion</w:t>
      </w:r>
      <w:r w:rsidR="00825C4F" w:rsidRPr="007641D2">
        <w:t xml:space="preserve"> </w:t>
      </w:r>
      <w:r w:rsidR="005D0CD6" w:rsidRPr="007641D2">
        <w:t xml:space="preserve">for </w:t>
      </w:r>
      <w:r w:rsidR="00345810">
        <w:t>2020</w:t>
      </w:r>
      <w:r w:rsidR="00D42660">
        <w:noBreakHyphen/>
      </w:r>
      <w:r w:rsidR="00345810">
        <w:t>21</w:t>
      </w:r>
      <w:r w:rsidR="005D0CD6" w:rsidRPr="007641D2">
        <w:t>,</w:t>
      </w:r>
      <w:r w:rsidR="00825C4F" w:rsidRPr="007641D2">
        <w:t xml:space="preserve"> an </w:t>
      </w:r>
      <w:r w:rsidR="00825C4F" w:rsidRPr="00615C42">
        <w:t>increase</w:t>
      </w:r>
      <w:r w:rsidR="00825C4F" w:rsidRPr="007641D2">
        <w:t xml:space="preserve"> of</w:t>
      </w:r>
      <w:r w:rsidR="002E06B5" w:rsidRPr="007641D2">
        <w:t xml:space="preserve"> </w:t>
      </w:r>
      <w:r w:rsidR="000F1796">
        <w:t>7.9</w:t>
      </w:r>
      <w:r w:rsidR="00195D84" w:rsidRPr="007641D2">
        <w:t> </w:t>
      </w:r>
      <w:r w:rsidR="00825C4F" w:rsidRPr="007641D2">
        <w:t>per</w:t>
      </w:r>
      <w:r w:rsidR="003A702D" w:rsidRPr="007641D2">
        <w:t> </w:t>
      </w:r>
      <w:r w:rsidR="00825C4F" w:rsidRPr="007641D2">
        <w:t xml:space="preserve">cent from </w:t>
      </w:r>
      <w:r w:rsidR="00345810">
        <w:t>2019-20</w:t>
      </w:r>
      <w:r w:rsidR="00825C4F" w:rsidRPr="007641D2">
        <w:t>.</w:t>
      </w:r>
      <w:r w:rsidR="00450C7A" w:rsidRPr="007641D2">
        <w:t xml:space="preserve"> </w:t>
      </w:r>
      <w:r w:rsidR="00BE5238">
        <w:t xml:space="preserve">The </w:t>
      </w:r>
      <w:r w:rsidR="00EB5285">
        <w:t>four-year</w:t>
      </w:r>
      <w:r w:rsidR="00BE5238">
        <w:t xml:space="preserve"> capital expenditure program to 2023-24 is</w:t>
      </w:r>
      <w:r w:rsidR="004C6A9D" w:rsidRPr="007641D2">
        <w:t xml:space="preserve"> expected to be </w:t>
      </w:r>
      <w:r w:rsidR="004C6A9D" w:rsidRPr="005B6CA7">
        <w:t>$</w:t>
      </w:r>
      <w:r w:rsidR="00D74704">
        <w:t>84.2</w:t>
      </w:r>
      <w:r w:rsidR="00452D78" w:rsidRPr="005B6CA7">
        <w:t xml:space="preserve"> </w:t>
      </w:r>
      <w:r w:rsidR="00EA670A" w:rsidRPr="005B6CA7">
        <w:t>billion</w:t>
      </w:r>
      <w:r w:rsidR="009B0088" w:rsidRPr="007641D2">
        <w:t>.</w:t>
      </w:r>
      <w:r w:rsidR="009427E0" w:rsidRPr="007641D2">
        <w:t xml:space="preserve"> </w:t>
      </w:r>
      <w:r w:rsidR="00BE5238">
        <w:t>This is an</w:t>
      </w:r>
      <w:r w:rsidR="00BE5238" w:rsidRPr="007641D2">
        <w:t xml:space="preserve"> </w:t>
      </w:r>
      <w:r w:rsidR="001A656B" w:rsidRPr="007641D2">
        <w:t xml:space="preserve">increase </w:t>
      </w:r>
      <w:r w:rsidR="00BE5238">
        <w:t xml:space="preserve">on </w:t>
      </w:r>
      <w:r w:rsidR="00534ED7">
        <w:t xml:space="preserve">the forecast program in the </w:t>
      </w:r>
      <w:r w:rsidR="001A656B" w:rsidRPr="007641D2">
        <w:t>2019</w:t>
      </w:r>
      <w:r w:rsidR="000072FB">
        <w:t>-20</w:t>
      </w:r>
      <w:r w:rsidR="001A656B" w:rsidRPr="007641D2">
        <w:t xml:space="preserve"> </w:t>
      </w:r>
      <w:r w:rsidR="000072FB">
        <w:t>Half</w:t>
      </w:r>
      <w:r w:rsidR="00507BC9">
        <w:noBreakHyphen/>
      </w:r>
      <w:r w:rsidR="000072FB">
        <w:t>Yearly Review</w:t>
      </w:r>
      <w:r w:rsidR="001A656B" w:rsidRPr="007641D2">
        <w:t xml:space="preserve"> and is </w:t>
      </w:r>
      <w:r w:rsidR="00106FA2" w:rsidRPr="007641D2">
        <w:t>driven</w:t>
      </w:r>
      <w:r w:rsidR="009427E0" w:rsidRPr="007641D2">
        <w:t xml:space="preserve"> by </w:t>
      </w:r>
      <w:r w:rsidR="00794947">
        <w:t>COVID</w:t>
      </w:r>
      <w:r w:rsidR="00BA2998">
        <w:t>-19</w:t>
      </w:r>
      <w:r w:rsidR="00794947">
        <w:t xml:space="preserve"> </w:t>
      </w:r>
      <w:r w:rsidR="00BA2998">
        <w:t>response and recovery</w:t>
      </w:r>
      <w:r w:rsidR="00794947">
        <w:t xml:space="preserve"> measures and new project approvals including:</w:t>
      </w:r>
    </w:p>
    <w:p w14:paraId="113E04DF" w14:textId="77933202" w:rsidR="00CB1698" w:rsidRDefault="00716386">
      <w:pPr>
        <w:pStyle w:val="Bullet1"/>
      </w:pPr>
      <w:r>
        <w:t>$9.2 billion over the next four years for Sy</w:t>
      </w:r>
      <w:r w:rsidR="009E6295">
        <w:t xml:space="preserve">dney Metro </w:t>
      </w:r>
      <w:r w:rsidR="00D35EDA">
        <w:t xml:space="preserve">– </w:t>
      </w:r>
      <w:r w:rsidR="009E6295">
        <w:t xml:space="preserve">Western </w:t>
      </w:r>
      <w:r w:rsidR="006074EB">
        <w:t>Sydney Airport</w:t>
      </w:r>
    </w:p>
    <w:p w14:paraId="73C06719" w14:textId="1CE32A62" w:rsidR="00A60CEE" w:rsidRPr="007641D2" w:rsidRDefault="00F04DB1">
      <w:pPr>
        <w:pStyle w:val="Bullet1"/>
      </w:pPr>
      <w:r>
        <w:t>$3</w:t>
      </w:r>
      <w:r w:rsidR="00BA2998">
        <w:t>.0</w:t>
      </w:r>
      <w:r>
        <w:t xml:space="preserve"> billion </w:t>
      </w:r>
      <w:r w:rsidR="007C6AC3">
        <w:t>Jobs and Infrastructure Acceleration Fund</w:t>
      </w:r>
      <w:r>
        <w:t xml:space="preserve">, which has funded </w:t>
      </w:r>
      <w:r w:rsidR="007C6AC3">
        <w:t xml:space="preserve">shovel ready </w:t>
      </w:r>
      <w:r>
        <w:t xml:space="preserve">projects </w:t>
      </w:r>
      <w:r w:rsidR="006612CE">
        <w:t xml:space="preserve">across the State. </w:t>
      </w:r>
      <w:r w:rsidR="004972B8">
        <w:t xml:space="preserve">Further information on the Jobs and Infrastructure Acceleration Fund is in </w:t>
      </w:r>
      <w:r w:rsidR="004972B8" w:rsidRPr="004D7022">
        <w:t xml:space="preserve">Box </w:t>
      </w:r>
      <w:r w:rsidR="00930C4D" w:rsidRPr="004D7022">
        <w:t>1</w:t>
      </w:r>
      <w:r w:rsidR="004972B8" w:rsidRPr="004D7022">
        <w:t xml:space="preserve">.1 of Budget Paper </w:t>
      </w:r>
      <w:r w:rsidR="002C4000" w:rsidRPr="00615C42">
        <w:t xml:space="preserve">No. </w:t>
      </w:r>
      <w:r w:rsidR="00461912" w:rsidRPr="004D7022">
        <w:t>3</w:t>
      </w:r>
      <w:r w:rsidR="002C4000">
        <w:t xml:space="preserve"> </w:t>
      </w:r>
      <w:r w:rsidR="002C4000">
        <w:rPr>
          <w:i/>
          <w:iCs/>
        </w:rPr>
        <w:t>Infrastructure Statement</w:t>
      </w:r>
    </w:p>
    <w:p w14:paraId="37400D23" w14:textId="164590F7" w:rsidR="0095575D" w:rsidRPr="007641D2" w:rsidRDefault="00D10C86">
      <w:pPr>
        <w:pStyle w:val="Bullet1"/>
      </w:pPr>
      <w:r>
        <w:t>$1.6 billion</w:t>
      </w:r>
      <w:r w:rsidR="00CC52D9">
        <w:t xml:space="preserve"> Digital Restart Fund</w:t>
      </w:r>
      <w:r w:rsidR="00FE4F71">
        <w:t xml:space="preserve"> </w:t>
      </w:r>
      <w:r w:rsidR="00EC165E">
        <w:t>(</w:t>
      </w:r>
      <w:r w:rsidR="009F3FEF">
        <w:t>$1.2 billion capital and $400.0 million recurrent)</w:t>
      </w:r>
      <w:r w:rsidR="00FE4F71">
        <w:t xml:space="preserve"> to a</w:t>
      </w:r>
      <w:r w:rsidR="00684944">
        <w:t>ccelerate</w:t>
      </w:r>
      <w:r w:rsidR="00FE4F71">
        <w:t xml:space="preserve"> </w:t>
      </w:r>
      <w:r w:rsidR="00293235">
        <w:t>whole of government digital transformation</w:t>
      </w:r>
      <w:r w:rsidR="00962B77">
        <w:t xml:space="preserve"> (see Box 5.</w:t>
      </w:r>
      <w:r w:rsidR="001207C2">
        <w:t>4</w:t>
      </w:r>
      <w:r w:rsidR="00962B77">
        <w:t>)</w:t>
      </w:r>
      <w:r w:rsidR="00AA0FB9">
        <w:t>.</w:t>
      </w:r>
      <w:r w:rsidR="00293235">
        <w:t xml:space="preserve"> </w:t>
      </w:r>
    </w:p>
    <w:p w14:paraId="21FB1048" w14:textId="40EDE464" w:rsidR="007C745D" w:rsidRPr="007641D2" w:rsidRDefault="0046082D">
      <w:pPr>
        <w:pStyle w:val="BodyText"/>
      </w:pPr>
      <w:proofErr w:type="gramStart"/>
      <w:r>
        <w:t>Taking into account</w:t>
      </w:r>
      <w:proofErr w:type="gramEnd"/>
      <w:r>
        <w:t xml:space="preserve"> the</w:t>
      </w:r>
      <w:r w:rsidR="00A512C7">
        <w:t xml:space="preserve"> investment program of the </w:t>
      </w:r>
      <w:r w:rsidR="00FE07A6">
        <w:t>Public Non-Financial Corporations</w:t>
      </w:r>
      <w:r>
        <w:t xml:space="preserve">, </w:t>
      </w:r>
      <w:r w:rsidR="00681873">
        <w:t>t</w:t>
      </w:r>
      <w:r w:rsidR="007C745D" w:rsidRPr="007641D2">
        <w:t>otal non-</w:t>
      </w:r>
      <w:r w:rsidR="007C745D" w:rsidRPr="00D117BC">
        <w:t xml:space="preserve">financial public sector capital expenditure is expected to be </w:t>
      </w:r>
      <w:r w:rsidR="007C745D" w:rsidRPr="00615C42">
        <w:t>$</w:t>
      </w:r>
      <w:r w:rsidR="00D74704" w:rsidRPr="00615C42">
        <w:t>107.1</w:t>
      </w:r>
      <w:r w:rsidR="00236765" w:rsidRPr="00615C42">
        <w:t xml:space="preserve"> </w:t>
      </w:r>
      <w:r w:rsidR="007C745D" w:rsidRPr="00615C42">
        <w:t>billion</w:t>
      </w:r>
      <w:r w:rsidR="007C745D" w:rsidRPr="00D117BC">
        <w:t xml:space="preserve"> over four years to </w:t>
      </w:r>
      <w:r w:rsidR="00794947" w:rsidRPr="00D117BC">
        <w:t>2023-24</w:t>
      </w:r>
      <w:r w:rsidR="007C745D" w:rsidRPr="00D117BC">
        <w:t>.</w:t>
      </w:r>
      <w:r w:rsidR="0054310A" w:rsidRPr="00D117BC">
        <w:t xml:space="preserve"> </w:t>
      </w:r>
      <w:r w:rsidR="00D66404" w:rsidRPr="00D117BC">
        <w:t xml:space="preserve">See Box </w:t>
      </w:r>
      <w:r w:rsidR="00521C2F" w:rsidRPr="00D117BC">
        <w:t>5.</w:t>
      </w:r>
      <w:r w:rsidR="004D3908" w:rsidRPr="00D117BC">
        <w:t>7</w:t>
      </w:r>
      <w:r w:rsidR="00521C2F" w:rsidRPr="00D117BC">
        <w:t xml:space="preserve"> </w:t>
      </w:r>
      <w:r w:rsidR="003A47C0" w:rsidRPr="00D117BC">
        <w:t>and Budget Paper No 3</w:t>
      </w:r>
      <w:r w:rsidR="004A55C5">
        <w:t>.</w:t>
      </w:r>
      <w:r w:rsidR="003A47C0" w:rsidRPr="00D117BC">
        <w:t xml:space="preserve"> </w:t>
      </w:r>
      <w:r w:rsidR="003A47C0" w:rsidRPr="00615C42">
        <w:rPr>
          <w:i/>
          <w:iCs/>
        </w:rPr>
        <w:t>Infrastructure Statement</w:t>
      </w:r>
      <w:r w:rsidR="003A47C0" w:rsidRPr="00D117BC">
        <w:t xml:space="preserve"> </w:t>
      </w:r>
      <w:r w:rsidR="00521C2F" w:rsidRPr="00D117BC">
        <w:t xml:space="preserve">for more information. </w:t>
      </w:r>
      <w:r w:rsidR="00521C2F">
        <w:t xml:space="preserve"> </w:t>
      </w:r>
    </w:p>
    <w:p w14:paraId="3DA2674A" w14:textId="28BEE00F" w:rsidR="004926CD" w:rsidRPr="007641D2" w:rsidRDefault="004926CD">
      <w:pPr>
        <w:rPr>
          <w:rFonts w:ascii="Arial" w:hAnsi="Arial" w:cs="Arial"/>
        </w:rPr>
      </w:pPr>
    </w:p>
    <w:tbl>
      <w:tblPr>
        <w:tblW w:w="0" w:type="auto"/>
        <w:shd w:val="pct5" w:color="auto" w:fill="auto"/>
        <w:tblLayout w:type="fixed"/>
        <w:tblLook w:val="0000" w:firstRow="0" w:lastRow="0" w:firstColumn="0" w:lastColumn="0" w:noHBand="0" w:noVBand="0"/>
        <w:tblCaption w:val="Box 5.7: Continuing record levels of infrastructure investment across the State"/>
        <w:tblDescription w:val="Box 5.7: Continuing record levels of infrastructure investment across the State"/>
      </w:tblPr>
      <w:tblGrid>
        <w:gridCol w:w="9639"/>
      </w:tblGrid>
      <w:tr w:rsidR="00AC06BA" w:rsidRPr="007641D2" w14:paraId="651EBDC9" w14:textId="77777777" w:rsidTr="00A0273A">
        <w:trPr>
          <w:trHeight w:val="894"/>
        </w:trPr>
        <w:tc>
          <w:tcPr>
            <w:tcW w:w="9639" w:type="dxa"/>
            <w:shd w:val="pct5" w:color="auto" w:fill="auto"/>
          </w:tcPr>
          <w:p w14:paraId="20C11800" w14:textId="4383D0B1" w:rsidR="00AC06BA" w:rsidRPr="007641D2" w:rsidRDefault="00006167" w:rsidP="00DD1EC0">
            <w:pPr>
              <w:pStyle w:val="BoxHeading"/>
              <w:rPr>
                <w:sz w:val="22"/>
                <w:szCs w:val="22"/>
              </w:rPr>
            </w:pPr>
            <w:r w:rsidRPr="007641D2">
              <w:t xml:space="preserve">Continuing </w:t>
            </w:r>
            <w:r w:rsidR="002F6CFA" w:rsidRPr="007641D2">
              <w:t>record levels of infrastructure investment</w:t>
            </w:r>
            <w:r w:rsidR="0043541C">
              <w:t xml:space="preserve"> across the State</w:t>
            </w:r>
          </w:p>
          <w:p w14:paraId="6D56224F" w14:textId="21A6BFDB" w:rsidR="00076CC1" w:rsidRPr="00252695" w:rsidRDefault="00C9172D" w:rsidP="00A0273A">
            <w:pPr>
              <w:pStyle w:val="BodyTextBox"/>
            </w:pPr>
            <w:r w:rsidRPr="000E231E">
              <w:t xml:space="preserve">The Government’s </w:t>
            </w:r>
            <w:r w:rsidR="00D26C1D">
              <w:t xml:space="preserve">record </w:t>
            </w:r>
            <w:r w:rsidRPr="000E231E">
              <w:t>four</w:t>
            </w:r>
            <w:r w:rsidR="00D26C1D">
              <w:t>-</w:t>
            </w:r>
            <w:r w:rsidRPr="000E231E">
              <w:t>year $</w:t>
            </w:r>
            <w:r w:rsidR="00400A5C">
              <w:t>107.1</w:t>
            </w:r>
            <w:r w:rsidR="00400A5C" w:rsidRPr="000E231E">
              <w:t xml:space="preserve"> </w:t>
            </w:r>
            <w:r w:rsidRPr="000E231E">
              <w:t xml:space="preserve">billion capital program is creating </w:t>
            </w:r>
            <w:r w:rsidR="00A04A90">
              <w:t xml:space="preserve">much needed </w:t>
            </w:r>
            <w:r w:rsidRPr="000E231E">
              <w:t xml:space="preserve">jobs </w:t>
            </w:r>
            <w:r w:rsidR="00F60BE5">
              <w:t>during the pandemic</w:t>
            </w:r>
            <w:r w:rsidR="00240851">
              <w:t xml:space="preserve"> </w:t>
            </w:r>
            <w:r w:rsidR="00F60BE5">
              <w:t xml:space="preserve">and </w:t>
            </w:r>
            <w:r w:rsidR="001A2A35">
              <w:t xml:space="preserve">building </w:t>
            </w:r>
            <w:r w:rsidR="00F60BE5">
              <w:t xml:space="preserve">up </w:t>
            </w:r>
            <w:r w:rsidR="001A2A35">
              <w:t xml:space="preserve">the productivity </w:t>
            </w:r>
            <w:r w:rsidR="00F60BE5">
              <w:t xml:space="preserve">of </w:t>
            </w:r>
            <w:r w:rsidR="001A2A35">
              <w:t>our State</w:t>
            </w:r>
            <w:r w:rsidRPr="000E231E">
              <w:t>.</w:t>
            </w:r>
            <w:r w:rsidR="00076CC1">
              <w:t xml:space="preserve"> These investments will generate an economic dividend for decades. New schools upskill our kids, </w:t>
            </w:r>
            <w:r w:rsidR="00E520C3">
              <w:t xml:space="preserve">hospitals improve our health and quality of life and </w:t>
            </w:r>
            <w:r w:rsidR="00076CC1">
              <w:t>transport infrastructure connects people to jobs.</w:t>
            </w:r>
          </w:p>
          <w:p w14:paraId="3231F261" w14:textId="61E38B3D" w:rsidR="00C9172D" w:rsidRPr="000E231E" w:rsidRDefault="00C9172D" w:rsidP="00A0273A">
            <w:pPr>
              <w:pStyle w:val="BodyTextBox"/>
            </w:pPr>
            <w:r w:rsidRPr="000E231E">
              <w:t xml:space="preserve">The </w:t>
            </w:r>
            <w:r w:rsidR="00011038">
              <w:t xml:space="preserve">infrastructure </w:t>
            </w:r>
            <w:r w:rsidR="00194833">
              <w:t xml:space="preserve">program </w:t>
            </w:r>
            <w:r w:rsidR="00011038">
              <w:t xml:space="preserve">in this Budget </w:t>
            </w:r>
            <w:r w:rsidR="00BE1C6C">
              <w:t xml:space="preserve">has a </w:t>
            </w:r>
            <w:r w:rsidRPr="000E231E">
              <w:t xml:space="preserve">strong focus on improving </w:t>
            </w:r>
            <w:r w:rsidR="00BE1C6C">
              <w:t xml:space="preserve">the </w:t>
            </w:r>
            <w:r w:rsidR="00D42660">
              <w:t>S</w:t>
            </w:r>
            <w:r w:rsidR="002679B0">
              <w:t xml:space="preserve">tate’s </w:t>
            </w:r>
            <w:r w:rsidRPr="000E231E">
              <w:t>resilience</w:t>
            </w:r>
            <w:r w:rsidR="00011038">
              <w:t>. It recognises</w:t>
            </w:r>
            <w:r w:rsidR="00D9035D">
              <w:t xml:space="preserve"> </w:t>
            </w:r>
            <w:r w:rsidR="00011038">
              <w:t>now</w:t>
            </w:r>
            <w:r w:rsidR="00D9035D">
              <w:t xml:space="preserve"> that the decade ahead is different from the decade just finished. </w:t>
            </w:r>
            <w:r w:rsidR="00011038">
              <w:t>T</w:t>
            </w:r>
            <w:r w:rsidRPr="000E231E">
              <w:t xml:space="preserve">he </w:t>
            </w:r>
            <w:r w:rsidR="00011038">
              <w:t xml:space="preserve">program responds to </w:t>
            </w:r>
            <w:r w:rsidRPr="000E231E">
              <w:t>challenges of bushfire and drought</w:t>
            </w:r>
            <w:r w:rsidR="00011038">
              <w:t>, which</w:t>
            </w:r>
            <w:r w:rsidRPr="000E231E">
              <w:t xml:space="preserve"> </w:t>
            </w:r>
            <w:r w:rsidR="00D9035D">
              <w:t xml:space="preserve">are not going away. </w:t>
            </w:r>
            <w:r w:rsidR="0059022F">
              <w:t>I</w:t>
            </w:r>
            <w:r w:rsidR="00D9035D">
              <w:t xml:space="preserve">t also </w:t>
            </w:r>
            <w:r w:rsidRPr="000E231E">
              <w:t>focus</w:t>
            </w:r>
            <w:r w:rsidR="00D9035D">
              <w:t>es</w:t>
            </w:r>
            <w:r w:rsidRPr="000E231E">
              <w:t xml:space="preserve"> </w:t>
            </w:r>
            <w:r w:rsidR="00011038">
              <w:t xml:space="preserve">investment towards </w:t>
            </w:r>
            <w:r w:rsidR="0059022F">
              <w:t>better</w:t>
            </w:r>
            <w:r w:rsidRPr="000E231E">
              <w:t xml:space="preserve"> digital </w:t>
            </w:r>
            <w:r w:rsidR="0059022F">
              <w:t>services</w:t>
            </w:r>
            <w:r w:rsidRPr="000E231E">
              <w:t>.</w:t>
            </w:r>
          </w:p>
          <w:p w14:paraId="5B1FEF3D" w14:textId="0D0803F1" w:rsidR="00E120E5" w:rsidRPr="00E120E5" w:rsidRDefault="00C9172D" w:rsidP="00A0273A">
            <w:pPr>
              <w:pStyle w:val="BodyTextBox"/>
            </w:pPr>
            <w:r w:rsidRPr="000E231E">
              <w:t xml:space="preserve">The 2020-21 Budget includes </w:t>
            </w:r>
            <w:r w:rsidR="00F15520">
              <w:t xml:space="preserve">investment in </w:t>
            </w:r>
            <w:r w:rsidRPr="000E231E">
              <w:t>new projects and accelerat</w:t>
            </w:r>
            <w:r w:rsidR="002A0E2E">
              <w:t>ion of</w:t>
            </w:r>
            <w:r w:rsidR="001C18EA">
              <w:t xml:space="preserve"> others:</w:t>
            </w:r>
          </w:p>
          <w:p w14:paraId="4F26AB62" w14:textId="1081FE37" w:rsidR="00745EF0" w:rsidRPr="000E231E" w:rsidRDefault="00745EF0" w:rsidP="00615C42">
            <w:pPr>
              <w:pStyle w:val="Bullet1inabox"/>
            </w:pPr>
            <w:r>
              <w:t>$10.</w:t>
            </w:r>
            <w:r w:rsidR="008525E2">
              <w:t>4</w:t>
            </w:r>
            <w:r>
              <w:t xml:space="preserve"> billion over the next four years for the Sydney Metro West</w:t>
            </w:r>
          </w:p>
          <w:p w14:paraId="288584AE" w14:textId="585E500A" w:rsidR="00E120E5" w:rsidRPr="00E120E5" w:rsidRDefault="00A02088">
            <w:pPr>
              <w:pStyle w:val="Bullet1inabox"/>
            </w:pPr>
            <w:r>
              <w:t xml:space="preserve">over </w:t>
            </w:r>
            <w:r w:rsidR="00A63518">
              <w:t>$</w:t>
            </w:r>
            <w:r w:rsidR="00953F71">
              <w:t>1.</w:t>
            </w:r>
            <w:r>
              <w:t>4</w:t>
            </w:r>
            <w:r w:rsidR="00953F71">
              <w:t xml:space="preserve"> billion in new school infrastructure funding for new and upgraded schools</w:t>
            </w:r>
          </w:p>
          <w:p w14:paraId="55E409F8" w14:textId="30291E12" w:rsidR="00745EF0" w:rsidRDefault="00006507">
            <w:pPr>
              <w:pStyle w:val="Bullet1inabox"/>
            </w:pPr>
            <w:r>
              <w:t>$438.0 million for the Shoalhaven H</w:t>
            </w:r>
            <w:r w:rsidR="00884681">
              <w:t>ospital Redevelopment</w:t>
            </w:r>
          </w:p>
          <w:p w14:paraId="12418356" w14:textId="47D3AED5" w:rsidR="00884681" w:rsidRPr="000E231E" w:rsidRDefault="005A3C8B">
            <w:pPr>
              <w:pStyle w:val="Bullet1inabox"/>
            </w:pPr>
            <w:r>
              <w:t>$</w:t>
            </w:r>
            <w:r w:rsidR="0078231C">
              <w:t>10</w:t>
            </w:r>
            <w:r w:rsidR="00481211">
              <w:t>4</w:t>
            </w:r>
            <w:r w:rsidR="0078231C">
              <w:t>.</w:t>
            </w:r>
            <w:r w:rsidR="00481211">
              <w:t>5</w:t>
            </w:r>
            <w:r>
              <w:t xml:space="preserve"> million for a</w:t>
            </w:r>
            <w:r w:rsidR="002D7EC8">
              <w:t xml:space="preserve">n Arts </w:t>
            </w:r>
            <w:r>
              <w:t xml:space="preserve">Maintenance and Upgrade Fund </w:t>
            </w:r>
            <w:r w:rsidR="00CD5006">
              <w:t xml:space="preserve">to </w:t>
            </w:r>
            <w:r w:rsidR="002D7EC8">
              <w:t>both stimulate jobs and the economy through improving accessibility, sustainability and functionality of our cultural assets</w:t>
            </w:r>
            <w:r w:rsidR="00462A2E">
              <w:t>.</w:t>
            </w:r>
          </w:p>
          <w:p w14:paraId="3B1E72C2" w14:textId="1BCDC136" w:rsidR="00C9172D" w:rsidRPr="000E231E" w:rsidRDefault="00D91992" w:rsidP="00A0273A">
            <w:pPr>
              <w:pStyle w:val="BodyTextBox"/>
            </w:pPr>
            <w:r>
              <w:t xml:space="preserve">New South Wales residents </w:t>
            </w:r>
            <w:r w:rsidR="00B272E7">
              <w:t>are also continuing to enjoy the</w:t>
            </w:r>
            <w:r w:rsidR="00C9172D" w:rsidRPr="000E231E">
              <w:t xml:space="preserve"> </w:t>
            </w:r>
            <w:r w:rsidR="00B272E7">
              <w:t>b</w:t>
            </w:r>
            <w:r w:rsidR="00C9172D" w:rsidRPr="000E231E">
              <w:t>enefits of the Government’s infrastructure investment</w:t>
            </w:r>
            <w:r w:rsidR="00742234">
              <w:t xml:space="preserve"> </w:t>
            </w:r>
            <w:r w:rsidR="00C9172D" w:rsidRPr="000E231E" w:rsidDel="004F6822">
              <w:t xml:space="preserve"> </w:t>
            </w:r>
            <w:r w:rsidR="0038346B">
              <w:t>with major projects such as t</w:t>
            </w:r>
            <w:r w:rsidR="00C9172D" w:rsidRPr="000E231E">
              <w:t>he CBD and South East Light Rail, the Arthur Phillip High School</w:t>
            </w:r>
            <w:r w:rsidR="007A559C" w:rsidRPr="000E231E">
              <w:t xml:space="preserve">, </w:t>
            </w:r>
            <w:r w:rsidR="00C9172D" w:rsidRPr="000E231E">
              <w:t>the WestConnex M8</w:t>
            </w:r>
            <w:r w:rsidR="007A559C" w:rsidRPr="000E231E">
              <w:t xml:space="preserve"> and North</w:t>
            </w:r>
            <w:r w:rsidR="00BF78A3">
              <w:t>C</w:t>
            </w:r>
            <w:r w:rsidR="007A559C" w:rsidRPr="000E231E">
              <w:t>onnex</w:t>
            </w:r>
            <w:r w:rsidR="00C9172D" w:rsidRPr="000E231E">
              <w:t xml:space="preserve"> </w:t>
            </w:r>
            <w:r w:rsidR="003814E3">
              <w:t xml:space="preserve">are </w:t>
            </w:r>
            <w:r w:rsidR="00E26144">
              <w:t>now</w:t>
            </w:r>
            <w:r w:rsidR="003814E3">
              <w:t xml:space="preserve"> complete </w:t>
            </w:r>
            <w:r w:rsidR="00D712DC">
              <w:t>and open</w:t>
            </w:r>
            <w:r w:rsidR="007A559C" w:rsidRPr="000E231E">
              <w:t>.</w:t>
            </w:r>
            <w:r w:rsidR="00E26144">
              <w:t xml:space="preserve"> </w:t>
            </w:r>
            <w:r w:rsidR="0067210E">
              <w:t>For the first time citizens in Sydney have a</w:t>
            </w:r>
            <w:r w:rsidR="007D21F9">
              <w:t>ccess to a</w:t>
            </w:r>
            <w:r w:rsidR="0067210E">
              <w:t xml:space="preserve"> </w:t>
            </w:r>
            <w:r w:rsidR="007D21F9">
              <w:t xml:space="preserve">fast </w:t>
            </w:r>
            <w:r w:rsidR="0067210E">
              <w:t>m</w:t>
            </w:r>
            <w:r w:rsidR="00E26144">
              <w:t>etro</w:t>
            </w:r>
            <w:r w:rsidR="0067210E">
              <w:t xml:space="preserve"> </w:t>
            </w:r>
            <w:r w:rsidR="007D21F9">
              <w:t xml:space="preserve">rail service </w:t>
            </w:r>
            <w:r w:rsidR="0067210E">
              <w:t>–</w:t>
            </w:r>
            <w:r w:rsidR="00B70A00">
              <w:t xml:space="preserve"> </w:t>
            </w:r>
            <w:r w:rsidR="00B70A00" w:rsidRPr="00B70A00">
              <w:t>Sydney Metro Northwest</w:t>
            </w:r>
            <w:r w:rsidR="007D21F9">
              <w:t>.</w:t>
            </w:r>
          </w:p>
          <w:p w14:paraId="47709798" w14:textId="073DFCF6" w:rsidR="00F16A9A" w:rsidRDefault="00C66765" w:rsidP="00A0273A">
            <w:pPr>
              <w:pStyle w:val="BodyTextBox"/>
            </w:pPr>
            <w:r>
              <w:t>Chart 5.4 shows how g</w:t>
            </w:r>
            <w:r w:rsidR="00AC60D6">
              <w:t>eneral government</w:t>
            </w:r>
            <w:r w:rsidR="00400A5C">
              <w:t xml:space="preserve"> sector capital expenditure has increased substantially since 2000-01</w:t>
            </w:r>
            <w:r w:rsidR="008A2139">
              <w:t xml:space="preserve">. </w:t>
            </w:r>
            <w:r w:rsidR="00526953">
              <w:t>Since 2011, active balance sheet management</w:t>
            </w:r>
            <w:r w:rsidR="00D42660">
              <w:t>,</w:t>
            </w:r>
            <w:r w:rsidR="00526953">
              <w:t xml:space="preserve"> supported by the Government’s successful asset recycling program</w:t>
            </w:r>
            <w:r w:rsidR="00D42660">
              <w:t>,</w:t>
            </w:r>
            <w:r w:rsidR="008A2139" w:rsidDel="00E85B99">
              <w:t xml:space="preserve"> </w:t>
            </w:r>
            <w:r w:rsidR="00160A4C">
              <w:t>has allowed</w:t>
            </w:r>
            <w:r w:rsidR="002D7335">
              <w:t xml:space="preserve"> the Government to deliver a record infrastructure </w:t>
            </w:r>
            <w:r w:rsidR="00160A4C">
              <w:t xml:space="preserve">pipeline. </w:t>
            </w:r>
            <w:r w:rsidR="00663C05">
              <w:t xml:space="preserve">This </w:t>
            </w:r>
            <w:r w:rsidR="001D3E22">
              <w:t xml:space="preserve">balance sheet </w:t>
            </w:r>
            <w:r w:rsidR="00663C05">
              <w:t xml:space="preserve">strength </w:t>
            </w:r>
            <w:r w:rsidR="001D3E22">
              <w:t xml:space="preserve">and </w:t>
            </w:r>
            <w:r w:rsidR="00663C05">
              <w:t xml:space="preserve">the </w:t>
            </w:r>
            <w:r w:rsidR="001D3E22">
              <w:t>us</w:t>
            </w:r>
            <w:r w:rsidR="00663C05">
              <w:t>e</w:t>
            </w:r>
            <w:r w:rsidR="001D3E22">
              <w:t xml:space="preserve"> </w:t>
            </w:r>
            <w:r w:rsidR="00663C05">
              <w:t>of</w:t>
            </w:r>
            <w:r w:rsidR="001D3E22">
              <w:t xml:space="preserve"> operating surpluses</w:t>
            </w:r>
            <w:r w:rsidR="00663C05">
              <w:t xml:space="preserve"> means</w:t>
            </w:r>
            <w:r w:rsidR="001D3E22">
              <w:t xml:space="preserve"> borrowings </w:t>
            </w:r>
            <w:r w:rsidR="00663C05">
              <w:t xml:space="preserve">are </w:t>
            </w:r>
            <w:r w:rsidR="001D3E22">
              <w:t>maintained at manageable levels (</w:t>
            </w:r>
            <w:r w:rsidR="001D3E22" w:rsidRPr="004D7022">
              <w:t xml:space="preserve">see </w:t>
            </w:r>
            <w:r w:rsidR="001D3E22" w:rsidRPr="00615C42">
              <w:t xml:space="preserve">Box </w:t>
            </w:r>
            <w:r w:rsidR="004D7022" w:rsidRPr="00615C42">
              <w:t>3.4</w:t>
            </w:r>
            <w:r w:rsidR="001D3E22" w:rsidRPr="00615C42">
              <w:t xml:space="preserve"> in </w:t>
            </w:r>
            <w:r w:rsidR="008C4FFA" w:rsidRPr="004D7022">
              <w:t>Chapter</w:t>
            </w:r>
            <w:r w:rsidR="00D42660">
              <w:t> </w:t>
            </w:r>
            <w:r w:rsidR="004D7022" w:rsidRPr="004D7022">
              <w:t>3</w:t>
            </w:r>
            <w:r w:rsidR="001D3E22" w:rsidRPr="004D7022">
              <w:t>).</w:t>
            </w:r>
          </w:p>
          <w:p w14:paraId="5AB84CBD" w14:textId="68208DE9" w:rsidR="00771E52" w:rsidRPr="00975327" w:rsidRDefault="00771E52" w:rsidP="00615C42">
            <w:pPr>
              <w:pStyle w:val="Chart5x"/>
            </w:pPr>
            <w:r w:rsidRPr="00975327">
              <w:t xml:space="preserve">General </w:t>
            </w:r>
            <w:r w:rsidR="00C40D5F">
              <w:t>g</w:t>
            </w:r>
            <w:r w:rsidRPr="00975327">
              <w:t xml:space="preserve">overnment </w:t>
            </w:r>
            <w:r w:rsidR="00C40D5F">
              <w:t xml:space="preserve">sector </w:t>
            </w:r>
            <w:r w:rsidRPr="00975327">
              <w:t>capital expenditure since 2000-01</w:t>
            </w:r>
          </w:p>
          <w:p w14:paraId="4E13B54A" w14:textId="7ADBA2DC" w:rsidR="00B40E46" w:rsidRPr="007A559C" w:rsidRDefault="009F66B1" w:rsidP="00A0273A">
            <w:pPr>
              <w:pStyle w:val="BodyTextBox"/>
            </w:pPr>
            <w:r>
              <w:drawing>
                <wp:inline distT="0" distB="0" distL="0" distR="0" wp14:anchorId="5703C9CE" wp14:editId="73B18174">
                  <wp:extent cx="5983605" cy="2170430"/>
                  <wp:effectExtent l="0" t="0" r="0" b="1270"/>
                  <wp:docPr id="10" name="Chart 10" descr="Chart 5.4: General government sector capital expenditure since 2000-01">
                    <a:extLst xmlns:a="http://schemas.openxmlformats.org/drawingml/2006/main">
                      <a:ext uri="{FF2B5EF4-FFF2-40B4-BE49-F238E27FC236}">
                        <a16:creationId xmlns:a16="http://schemas.microsoft.com/office/drawing/2014/main" id="{5A570120-42F6-4C5E-AE71-8EA3091CEF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tc>
      </w:tr>
      <w:tr w:rsidR="006E666D" w:rsidRPr="00650002" w14:paraId="41F60CA5" w14:textId="77777777" w:rsidTr="00650002">
        <w:trPr>
          <w:trHeight w:val="286"/>
        </w:trPr>
        <w:tc>
          <w:tcPr>
            <w:tcW w:w="9639" w:type="dxa"/>
            <w:shd w:val="pct5" w:color="auto" w:fill="auto"/>
          </w:tcPr>
          <w:p w14:paraId="34552841" w14:textId="77777777" w:rsidR="006E666D" w:rsidRPr="00650002" w:rsidRDefault="006E666D" w:rsidP="00650002">
            <w:pPr>
              <w:pStyle w:val="BoxHeading"/>
              <w:numPr>
                <w:ilvl w:val="0"/>
                <w:numId w:val="0"/>
              </w:numPr>
              <w:rPr>
                <w:sz w:val="16"/>
                <w:szCs w:val="16"/>
              </w:rPr>
            </w:pPr>
          </w:p>
        </w:tc>
      </w:tr>
    </w:tbl>
    <w:p w14:paraId="3ACC0FD3" w14:textId="2B623B0B" w:rsidR="0085487E" w:rsidRDefault="0085487E">
      <w:pPr>
        <w:pStyle w:val="BodyText"/>
      </w:pPr>
    </w:p>
    <w:p w14:paraId="134112C1" w14:textId="77777777" w:rsidR="0085487E" w:rsidRDefault="0085487E">
      <w:pPr>
        <w:spacing w:after="200" w:line="276" w:lineRule="auto"/>
        <w:rPr>
          <w:rFonts w:ascii="Arial" w:hAnsi="Arial" w:cs="Arial"/>
          <w:sz w:val="23"/>
          <w:lang w:val="en-AU"/>
        </w:rPr>
      </w:pPr>
      <w:r>
        <w:br w:type="page"/>
      </w:r>
    </w:p>
    <w:p w14:paraId="184FBCEB" w14:textId="2489331D" w:rsidR="00C7623E" w:rsidRPr="008A28F7" w:rsidRDefault="00EC7B68">
      <w:pPr>
        <w:pStyle w:val="BodyText"/>
        <w:rPr>
          <w:color w:val="4F4F4F"/>
          <w:kern w:val="28"/>
          <w:sz w:val="22"/>
          <w:szCs w:val="22"/>
        </w:rPr>
      </w:pPr>
      <w:r>
        <w:t xml:space="preserve">As a share of </w:t>
      </w:r>
      <w:r w:rsidR="00627317">
        <w:t>GSP</w:t>
      </w:r>
      <w:r>
        <w:t>, g</w:t>
      </w:r>
      <w:r w:rsidR="007B4299" w:rsidRPr="007641D2">
        <w:t xml:space="preserve">eneral government capital expenditure </w:t>
      </w:r>
      <w:r w:rsidR="00577B10">
        <w:t xml:space="preserve">has </w:t>
      </w:r>
      <w:r w:rsidR="007B4299" w:rsidRPr="007641D2">
        <w:t xml:space="preserve">increased from </w:t>
      </w:r>
      <w:r w:rsidR="00EE5AFB">
        <w:t>1.3</w:t>
      </w:r>
      <w:r w:rsidR="007B4299" w:rsidRPr="007641D2">
        <w:t> per cent in 201</w:t>
      </w:r>
      <w:r w:rsidR="0031456A" w:rsidRPr="007641D2">
        <w:t>1</w:t>
      </w:r>
      <w:r w:rsidR="007B4299" w:rsidRPr="007641D2">
        <w:t>-1</w:t>
      </w:r>
      <w:r w:rsidR="0031456A" w:rsidRPr="007641D2">
        <w:t>2</w:t>
      </w:r>
      <w:r w:rsidR="007B4299" w:rsidRPr="007641D2">
        <w:t xml:space="preserve"> to </w:t>
      </w:r>
      <w:r w:rsidR="00EE5AFB" w:rsidRPr="00615C42">
        <w:t>3.</w:t>
      </w:r>
      <w:r w:rsidR="008D0DF2">
        <w:t>4</w:t>
      </w:r>
      <w:r w:rsidR="007B4299" w:rsidRPr="007641D2">
        <w:t xml:space="preserve"> per cent</w:t>
      </w:r>
      <w:r w:rsidR="0059691D" w:rsidRPr="007641D2">
        <w:rPr>
          <w:rStyle w:val="FootnoteReference"/>
        </w:rPr>
        <w:footnoteReference w:id="12"/>
      </w:r>
      <w:r w:rsidR="007B4299" w:rsidRPr="007641D2">
        <w:t xml:space="preserve"> in </w:t>
      </w:r>
      <w:r w:rsidR="00295E66">
        <w:t>2020-21</w:t>
      </w:r>
      <w:r w:rsidR="007B4299" w:rsidRPr="007641D2">
        <w:t xml:space="preserve"> </w:t>
      </w:r>
      <w:r w:rsidR="00B40E46">
        <w:t xml:space="preserve">and remains higher than the average of other </w:t>
      </w:r>
      <w:r w:rsidR="009079A5">
        <w:t>s</w:t>
      </w:r>
      <w:r w:rsidR="00B40E46">
        <w:t xml:space="preserve">tates and </w:t>
      </w:r>
      <w:r w:rsidR="009079A5">
        <w:t>t</w:t>
      </w:r>
      <w:r w:rsidR="00B40E46">
        <w:t>erritories</w:t>
      </w:r>
      <w:r w:rsidR="00373A0B">
        <w:t xml:space="preserve"> </w:t>
      </w:r>
      <w:r w:rsidR="007B4299" w:rsidRPr="007641D2">
        <w:t xml:space="preserve">(Chart </w:t>
      </w:r>
      <w:r w:rsidR="00756267" w:rsidRPr="00615C42">
        <w:t>5</w:t>
      </w:r>
      <w:r w:rsidR="007B4299" w:rsidRPr="00615C42">
        <w:t>.</w:t>
      </w:r>
      <w:r w:rsidR="00D80CAF">
        <w:t>5</w:t>
      </w:r>
      <w:r w:rsidR="007B4299" w:rsidRPr="007641D2">
        <w:t>).</w:t>
      </w:r>
    </w:p>
    <w:p w14:paraId="6CD38D8A" w14:textId="591FD48D" w:rsidR="00D20CBB" w:rsidRPr="007641D2" w:rsidRDefault="009D2011" w:rsidP="00E55FC1">
      <w:pPr>
        <w:pStyle w:val="Chart5x"/>
        <w:rPr>
          <w:rFonts w:cs="Arial"/>
        </w:rPr>
      </w:pPr>
      <w:r w:rsidRPr="007641D2">
        <w:rPr>
          <w:rFonts w:cs="Arial"/>
        </w:rPr>
        <w:t>G</w:t>
      </w:r>
      <w:r w:rsidR="00E2712F" w:rsidRPr="007641D2">
        <w:rPr>
          <w:rFonts w:cs="Arial"/>
        </w:rPr>
        <w:t xml:space="preserve">eneral government sector capital </w:t>
      </w:r>
      <w:r w:rsidR="00E2712F" w:rsidRPr="00D117BC">
        <w:rPr>
          <w:rFonts w:cs="Arial"/>
        </w:rPr>
        <w:t xml:space="preserve">spending relative to </w:t>
      </w:r>
      <w:r w:rsidR="00E2712F" w:rsidRPr="00615C42">
        <w:rPr>
          <w:rFonts w:cs="Arial"/>
        </w:rPr>
        <w:t>GSP</w:t>
      </w:r>
      <w:r w:rsidR="00322247" w:rsidRPr="00D117BC">
        <w:rPr>
          <w:rFonts w:cs="Arial"/>
          <w:vertAlign w:val="superscript"/>
        </w:rPr>
        <w:t>(a</w:t>
      </w:r>
      <w:r w:rsidR="00322247" w:rsidRPr="007641D2">
        <w:rPr>
          <w:rFonts w:cs="Arial"/>
          <w:vertAlign w:val="superscript"/>
        </w:rPr>
        <w:t>)</w:t>
      </w:r>
    </w:p>
    <w:p w14:paraId="5ED78B1E" w14:textId="352A1D69" w:rsidR="00E26AB4" w:rsidRPr="00E26AB4" w:rsidRDefault="00F445A9" w:rsidP="00E26AB4">
      <w:pPr>
        <w:rPr>
          <w:sz w:val="24"/>
          <w:szCs w:val="24"/>
          <w:lang w:val="en-AU" w:eastAsia="en-AU"/>
        </w:rPr>
      </w:pPr>
      <w:r w:rsidRPr="007641D2">
        <w:rPr>
          <w:rFonts w:ascii="Arial" w:hAnsi="Arial" w:cs="Arial"/>
        </w:rPr>
        <w:t xml:space="preserve"> </w:t>
      </w:r>
      <w:r w:rsidR="006A3355" w:rsidRPr="006A3355">
        <w:rPr>
          <w:noProof/>
        </w:rPr>
        <w:t xml:space="preserve"> </w:t>
      </w:r>
      <w:r w:rsidR="006A3355">
        <w:rPr>
          <w:noProof/>
        </w:rPr>
        <w:drawing>
          <wp:inline distT="0" distB="0" distL="0" distR="0" wp14:anchorId="79453FC3" wp14:editId="2DCE5440">
            <wp:extent cx="6120765" cy="2477770"/>
            <wp:effectExtent l="0" t="0" r="0" b="0"/>
            <wp:docPr id="3" name="Chart 3" descr="Chart 5.5: General government sector capital spending relative to GSP(a)">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674BE51" w14:textId="77777777" w:rsidR="005107B2" w:rsidRPr="007641D2" w:rsidRDefault="005107B2" w:rsidP="005107B2">
      <w:pPr>
        <w:rPr>
          <w:rFonts w:ascii="Arial" w:hAnsi="Arial" w:cs="Arial"/>
          <w:sz w:val="12"/>
        </w:rPr>
      </w:pPr>
    </w:p>
    <w:p w14:paraId="67B5E55E" w14:textId="1DEC58FD" w:rsidR="005107B2" w:rsidRPr="007641D2" w:rsidRDefault="005107B2" w:rsidP="00D80CAF">
      <w:pPr>
        <w:widowControl w:val="0"/>
        <w:numPr>
          <w:ilvl w:val="0"/>
          <w:numId w:val="40"/>
        </w:numPr>
        <w:tabs>
          <w:tab w:val="left" w:pos="382"/>
          <w:tab w:val="right" w:pos="4196"/>
          <w:tab w:val="right" w:pos="5046"/>
          <w:tab w:val="right" w:pos="5897"/>
          <w:tab w:val="right" w:pos="6747"/>
          <w:tab w:val="right" w:pos="7598"/>
        </w:tabs>
        <w:autoSpaceDE w:val="0"/>
        <w:autoSpaceDN w:val="0"/>
        <w:spacing w:after="120"/>
        <w:rPr>
          <w:rFonts w:ascii="Arial" w:hAnsi="Arial" w:cs="Arial"/>
          <w:sz w:val="17"/>
          <w:szCs w:val="17"/>
        </w:rPr>
      </w:pPr>
      <w:r w:rsidRPr="007641D2">
        <w:rPr>
          <w:rFonts w:ascii="Arial" w:hAnsi="Arial" w:cs="Arial"/>
          <w:sz w:val="17"/>
          <w:szCs w:val="17"/>
        </w:rPr>
        <w:t>General government sector – purchases of non-financial assets</w:t>
      </w:r>
      <w:r w:rsidR="008F4621" w:rsidRPr="007641D2">
        <w:rPr>
          <w:rFonts w:ascii="Arial" w:hAnsi="Arial" w:cs="Arial"/>
          <w:sz w:val="17"/>
          <w:szCs w:val="17"/>
        </w:rPr>
        <w:t xml:space="preserve"> per the cash flow statement</w:t>
      </w:r>
      <w:r w:rsidRPr="007641D2">
        <w:rPr>
          <w:rFonts w:ascii="Arial" w:hAnsi="Arial" w:cs="Arial"/>
          <w:sz w:val="17"/>
          <w:szCs w:val="17"/>
        </w:rPr>
        <w:t>, percentage of GSP. For consistency with other states, assets acquired through finance leases are excluded.</w:t>
      </w:r>
    </w:p>
    <w:p w14:paraId="04686C4C" w14:textId="04E4798C" w:rsidR="005107B2" w:rsidRPr="007641D2" w:rsidRDefault="005107B2" w:rsidP="00E55FC1">
      <w:pPr>
        <w:spacing w:before="120" w:after="120"/>
        <w:rPr>
          <w:rFonts w:ascii="Arial" w:hAnsi="Arial" w:cs="Arial"/>
          <w:i/>
          <w:color w:val="4F4F4F"/>
          <w:sz w:val="17"/>
          <w:szCs w:val="17"/>
        </w:rPr>
      </w:pPr>
      <w:r w:rsidRPr="007641D2">
        <w:rPr>
          <w:rFonts w:ascii="Arial" w:hAnsi="Arial" w:cs="Arial"/>
          <w:i/>
          <w:color w:val="4F4F4F"/>
          <w:sz w:val="17"/>
          <w:szCs w:val="17"/>
        </w:rPr>
        <w:t>Source: ABS cat no. 5</w:t>
      </w:r>
      <w:r w:rsidR="00040585" w:rsidRPr="007641D2">
        <w:rPr>
          <w:rFonts w:ascii="Arial" w:hAnsi="Arial" w:cs="Arial"/>
          <w:i/>
          <w:color w:val="4F4F4F"/>
          <w:sz w:val="17"/>
          <w:szCs w:val="17"/>
        </w:rPr>
        <w:t>2</w:t>
      </w:r>
      <w:r w:rsidRPr="007641D2">
        <w:rPr>
          <w:rFonts w:ascii="Arial" w:hAnsi="Arial" w:cs="Arial"/>
          <w:i/>
          <w:color w:val="4F4F4F"/>
          <w:sz w:val="17"/>
          <w:szCs w:val="17"/>
        </w:rPr>
        <w:t>20.0 and 5512.0 for years 200</w:t>
      </w:r>
      <w:r w:rsidR="00985006" w:rsidRPr="007641D2">
        <w:rPr>
          <w:rFonts w:ascii="Arial" w:hAnsi="Arial" w:cs="Arial"/>
          <w:i/>
          <w:color w:val="4F4F4F"/>
          <w:sz w:val="17"/>
          <w:szCs w:val="17"/>
        </w:rPr>
        <w:t>2</w:t>
      </w:r>
      <w:r w:rsidRPr="007641D2">
        <w:rPr>
          <w:rFonts w:ascii="Arial" w:hAnsi="Arial" w:cs="Arial"/>
          <w:i/>
          <w:color w:val="4F4F4F"/>
          <w:sz w:val="17"/>
          <w:szCs w:val="17"/>
        </w:rPr>
        <w:t>-0</w:t>
      </w:r>
      <w:r w:rsidR="00985006" w:rsidRPr="007641D2">
        <w:rPr>
          <w:rFonts w:ascii="Arial" w:hAnsi="Arial" w:cs="Arial"/>
          <w:i/>
          <w:color w:val="4F4F4F"/>
          <w:sz w:val="17"/>
          <w:szCs w:val="17"/>
        </w:rPr>
        <w:t>3</w:t>
      </w:r>
      <w:r w:rsidRPr="007641D2">
        <w:rPr>
          <w:rFonts w:ascii="Arial" w:hAnsi="Arial" w:cs="Arial"/>
          <w:i/>
          <w:color w:val="4F4F4F"/>
          <w:sz w:val="17"/>
          <w:szCs w:val="17"/>
        </w:rPr>
        <w:t xml:space="preserve"> to </w:t>
      </w:r>
      <w:r w:rsidR="00EB3897">
        <w:rPr>
          <w:rFonts w:ascii="Arial" w:hAnsi="Arial" w:cs="Arial"/>
          <w:i/>
          <w:color w:val="4F4F4F"/>
          <w:sz w:val="17"/>
          <w:szCs w:val="17"/>
        </w:rPr>
        <w:t>2018-19</w:t>
      </w:r>
      <w:r w:rsidRPr="007641D2">
        <w:rPr>
          <w:rFonts w:ascii="Arial" w:hAnsi="Arial" w:cs="Arial"/>
          <w:i/>
          <w:color w:val="4F4F4F"/>
          <w:sz w:val="17"/>
          <w:szCs w:val="17"/>
        </w:rPr>
        <w:t xml:space="preserve">. State Budget papers and NSW Treasury calculations for </w:t>
      </w:r>
      <w:r w:rsidR="00EB3897">
        <w:rPr>
          <w:rFonts w:ascii="Arial" w:hAnsi="Arial" w:cs="Arial"/>
          <w:i/>
          <w:color w:val="4F4F4F"/>
          <w:sz w:val="17"/>
          <w:szCs w:val="17"/>
        </w:rPr>
        <w:t>2019-20</w:t>
      </w:r>
      <w:r w:rsidRPr="007641D2">
        <w:rPr>
          <w:rFonts w:ascii="Arial" w:hAnsi="Arial" w:cs="Arial"/>
          <w:i/>
          <w:color w:val="4F4F4F"/>
          <w:sz w:val="17"/>
          <w:szCs w:val="17"/>
        </w:rPr>
        <w:t xml:space="preserve"> and </w:t>
      </w:r>
      <w:r w:rsidR="00EB3897">
        <w:rPr>
          <w:rFonts w:ascii="Arial" w:hAnsi="Arial" w:cs="Arial"/>
          <w:i/>
          <w:color w:val="4F4F4F"/>
          <w:sz w:val="17"/>
          <w:szCs w:val="17"/>
        </w:rPr>
        <w:t>2020-21</w:t>
      </w:r>
      <w:r w:rsidRPr="007641D2">
        <w:rPr>
          <w:rFonts w:ascii="Arial" w:hAnsi="Arial" w:cs="Arial"/>
          <w:i/>
          <w:color w:val="4F4F4F"/>
          <w:sz w:val="17"/>
          <w:szCs w:val="17"/>
        </w:rPr>
        <w:t>.</w:t>
      </w:r>
    </w:p>
    <w:p w14:paraId="63FA5D89" w14:textId="782C27F6" w:rsidR="00F90480" w:rsidRPr="007641D2" w:rsidRDefault="00993FE3" w:rsidP="002B1CA4">
      <w:pPr>
        <w:pStyle w:val="Heading2"/>
        <w:rPr>
          <w:rFonts w:ascii="Arial" w:hAnsi="Arial" w:cs="Arial"/>
        </w:rPr>
      </w:pPr>
      <w:r>
        <w:rPr>
          <w:rFonts w:ascii="Arial" w:hAnsi="Arial" w:cs="Arial"/>
        </w:rPr>
        <w:t>Functional classification of government expenditure</w:t>
      </w:r>
      <w:r w:rsidR="005A4465" w:rsidRPr="007641D2">
        <w:rPr>
          <w:rFonts w:ascii="Arial" w:hAnsi="Arial" w:cs="Arial"/>
        </w:rPr>
        <w:t xml:space="preserve"> (C</w:t>
      </w:r>
      <w:r w:rsidR="00FB3160" w:rsidRPr="007641D2">
        <w:rPr>
          <w:rFonts w:ascii="Arial" w:hAnsi="Arial" w:cs="Arial"/>
        </w:rPr>
        <w:t>O</w:t>
      </w:r>
      <w:r w:rsidR="005A4465" w:rsidRPr="007641D2">
        <w:rPr>
          <w:rFonts w:ascii="Arial" w:hAnsi="Arial" w:cs="Arial"/>
        </w:rPr>
        <w:t>FOG-A)</w:t>
      </w:r>
    </w:p>
    <w:p w14:paraId="68B07D2F" w14:textId="4C17AC7A" w:rsidR="004A1484" w:rsidRPr="007641D2" w:rsidRDefault="28D72C3D">
      <w:pPr>
        <w:pStyle w:val="BodyText"/>
      </w:pPr>
      <w:r>
        <w:t xml:space="preserve">This section </w:t>
      </w:r>
      <w:r w:rsidR="008C1369">
        <w:t xml:space="preserve">provides advice on </w:t>
      </w:r>
      <w:r w:rsidR="2D4DC321">
        <w:t xml:space="preserve">NSW </w:t>
      </w:r>
      <w:r w:rsidR="5E825D7F">
        <w:t xml:space="preserve">Budget </w:t>
      </w:r>
      <w:r w:rsidR="02B736C7">
        <w:t>spend</w:t>
      </w:r>
      <w:r w:rsidR="5D20B673">
        <w:t xml:space="preserve">ing </w:t>
      </w:r>
      <w:r w:rsidR="2AF69E14">
        <w:t xml:space="preserve">according to </w:t>
      </w:r>
      <w:r>
        <w:t xml:space="preserve">the </w:t>
      </w:r>
      <w:r w:rsidR="20B446B8">
        <w:t xml:space="preserve">categories in the </w:t>
      </w:r>
      <w:r>
        <w:t>international standard ‘</w:t>
      </w:r>
      <w:r w:rsidR="007D7E95">
        <w:t xml:space="preserve">Classification of </w:t>
      </w:r>
      <w:r w:rsidR="000E7B05">
        <w:t xml:space="preserve">the </w:t>
      </w:r>
      <w:r w:rsidR="007D7E95">
        <w:t>Functions of Government – Australia</w:t>
      </w:r>
      <w:r w:rsidR="75764E8A">
        <w:t>’</w:t>
      </w:r>
      <w:r w:rsidR="007D7E95">
        <w:t xml:space="preserve"> (C</w:t>
      </w:r>
      <w:r w:rsidR="00FB3160">
        <w:t>O</w:t>
      </w:r>
      <w:r w:rsidR="007D7E95">
        <w:t>FOG-A)</w:t>
      </w:r>
      <w:r w:rsidR="00884C86">
        <w:t>. Further information on COFOG-A can be found at the Australian Bureau of Stat</w:t>
      </w:r>
      <w:r w:rsidR="3649FE8B">
        <w:t>istics</w:t>
      </w:r>
      <w:r w:rsidR="00884C86">
        <w:t xml:space="preserve"> website.</w:t>
      </w:r>
    </w:p>
    <w:p w14:paraId="37BBDCEA" w14:textId="21F24E63" w:rsidR="000B5947" w:rsidRPr="00D2703B" w:rsidRDefault="004A1484">
      <w:pPr>
        <w:pStyle w:val="BodyText"/>
      </w:pPr>
      <w:r>
        <w:t>C</w:t>
      </w:r>
      <w:r w:rsidR="3EE368F5">
        <w:t>O</w:t>
      </w:r>
      <w:r>
        <w:t>FOG-A classification is a</w:t>
      </w:r>
      <w:r w:rsidR="502177D0">
        <w:t>n international standard</w:t>
      </w:r>
      <w:r w:rsidR="006D04E8">
        <w:t>, which allows for benchmarking and comparisons to be undertaken across jurisdictions</w:t>
      </w:r>
      <w:r w:rsidR="709F36AC">
        <w:t>.</w:t>
      </w:r>
      <w:r w:rsidR="04D895B3">
        <w:t xml:space="preserve"> </w:t>
      </w:r>
      <w:r w:rsidR="270C3116">
        <w:t>Its sub</w:t>
      </w:r>
      <w:r w:rsidR="04D895B3">
        <w:t xml:space="preserve">categories are different to </w:t>
      </w:r>
      <w:r>
        <w:t xml:space="preserve">the </w:t>
      </w:r>
      <w:r w:rsidR="01772101" w:rsidRPr="00615C42">
        <w:t>37</w:t>
      </w:r>
      <w:r w:rsidR="00013930" w:rsidRPr="00615C42">
        <w:t> </w:t>
      </w:r>
      <w:r w:rsidR="5DF439DE" w:rsidRPr="0055718F">
        <w:t>S</w:t>
      </w:r>
      <w:r w:rsidRPr="0055718F">
        <w:t xml:space="preserve">tate </w:t>
      </w:r>
      <w:r w:rsidR="5DF439DE" w:rsidRPr="0055718F">
        <w:t>O</w:t>
      </w:r>
      <w:r w:rsidRPr="0055718F">
        <w:t>utcomes</w:t>
      </w:r>
      <w:r w:rsidR="2ACC510B" w:rsidRPr="0055718F">
        <w:t xml:space="preserve"> and </w:t>
      </w:r>
      <w:r w:rsidR="5A8B1B84" w:rsidRPr="0055718F">
        <w:t>includes</w:t>
      </w:r>
      <w:r w:rsidR="5A8B1B84">
        <w:t xml:space="preserve"> </w:t>
      </w:r>
      <w:r w:rsidR="3371A72D">
        <w:t>item</w:t>
      </w:r>
      <w:r w:rsidR="2ACC510B">
        <w:t xml:space="preserve">s, </w:t>
      </w:r>
      <w:r w:rsidR="13C8A324">
        <w:t xml:space="preserve">such as </w:t>
      </w:r>
      <w:r w:rsidR="2ACC510B">
        <w:t xml:space="preserve">defence, </w:t>
      </w:r>
      <w:r w:rsidR="2D3550BC">
        <w:t>which are less</w:t>
      </w:r>
      <w:r w:rsidR="2ACC510B">
        <w:t xml:space="preserve"> </w:t>
      </w:r>
      <w:r w:rsidR="582C75FB">
        <w:t xml:space="preserve">relevant </w:t>
      </w:r>
      <w:r w:rsidR="2ACC510B">
        <w:t>t</w:t>
      </w:r>
      <w:r w:rsidR="70EC36FA">
        <w:t xml:space="preserve">o </w:t>
      </w:r>
      <w:r w:rsidR="7C02A111">
        <w:t>New</w:t>
      </w:r>
      <w:r w:rsidR="003728AF">
        <w:t> </w:t>
      </w:r>
      <w:r w:rsidR="7C02A111">
        <w:t>South Wales service delivery priorities</w:t>
      </w:r>
      <w:r w:rsidR="6AC4D25F">
        <w:t xml:space="preserve">. </w:t>
      </w:r>
      <w:r w:rsidR="5FC4656A">
        <w:t>The expenditure data discussed below</w:t>
      </w:r>
      <w:r w:rsidR="006D04E8">
        <w:t xml:space="preserve"> is presented on a general government sector eliminated basis and</w:t>
      </w:r>
      <w:r w:rsidR="5FC4656A">
        <w:t xml:space="preserve"> will vary from the data presented on a </w:t>
      </w:r>
      <w:r w:rsidR="5FC4656A" w:rsidRPr="00D2703B">
        <w:t xml:space="preserve">cluster and State Outcome basis in </w:t>
      </w:r>
      <w:r w:rsidR="5FC4656A" w:rsidRPr="00615C42">
        <w:t>Budget Paper No. </w:t>
      </w:r>
      <w:r w:rsidR="003A02DA" w:rsidRPr="00615C42">
        <w:t>2</w:t>
      </w:r>
      <w:r w:rsidR="5FC4656A" w:rsidRPr="00615C42">
        <w:t xml:space="preserve"> </w:t>
      </w:r>
      <w:r w:rsidR="00890845">
        <w:rPr>
          <w:i/>
        </w:rPr>
        <w:t>Outcomes Statement</w:t>
      </w:r>
      <w:r w:rsidR="5FC4656A" w:rsidRPr="00D2703B">
        <w:t>.</w:t>
      </w:r>
    </w:p>
    <w:p w14:paraId="64BC4470" w14:textId="75124D40" w:rsidR="000B5947" w:rsidRPr="007641D2" w:rsidRDefault="00AE4104">
      <w:pPr>
        <w:pStyle w:val="BodyText"/>
      </w:pPr>
      <w:r w:rsidRPr="00D2703B">
        <w:t>T</w:t>
      </w:r>
      <w:r w:rsidR="6AC4D25F" w:rsidRPr="00D2703B">
        <w:t xml:space="preserve">he </w:t>
      </w:r>
      <w:r w:rsidR="68B2C946" w:rsidRPr="00D2703B">
        <w:t xml:space="preserve">37 </w:t>
      </w:r>
      <w:r w:rsidR="6AC4D25F" w:rsidRPr="00D2703B">
        <w:t>State Outcomes</w:t>
      </w:r>
      <w:r w:rsidR="7000A32F" w:rsidRPr="00D2703B">
        <w:t xml:space="preserve"> </w:t>
      </w:r>
      <w:r w:rsidRPr="00D2703B">
        <w:t xml:space="preserve">presented in Budget Paper No. </w:t>
      </w:r>
      <w:r w:rsidR="003728AF">
        <w:t>2</w:t>
      </w:r>
      <w:r w:rsidRPr="00D2703B">
        <w:t xml:space="preserve"> </w:t>
      </w:r>
      <w:r w:rsidRPr="00D80CAF">
        <w:rPr>
          <w:i/>
        </w:rPr>
        <w:t xml:space="preserve">Outcomes </w:t>
      </w:r>
      <w:r w:rsidR="00890845">
        <w:rPr>
          <w:i/>
        </w:rPr>
        <w:t>Statement</w:t>
      </w:r>
      <w:r w:rsidRPr="00D80CAF">
        <w:rPr>
          <w:i/>
        </w:rPr>
        <w:t xml:space="preserve"> </w:t>
      </w:r>
      <w:r w:rsidR="7000A32F" w:rsidRPr="00D2703B">
        <w:t>categori</w:t>
      </w:r>
      <w:r w:rsidR="517761F3" w:rsidRPr="00D2703B">
        <w:t>s</w:t>
      </w:r>
      <w:r w:rsidR="7000A32F" w:rsidRPr="00D2703B">
        <w:t xml:space="preserve">e expenditure with a greater level of consideration to </w:t>
      </w:r>
      <w:r w:rsidR="51D5D663" w:rsidRPr="00D2703B">
        <w:t xml:space="preserve">the </w:t>
      </w:r>
      <w:r w:rsidR="03AFE4A9" w:rsidRPr="00D2703B">
        <w:t xml:space="preserve">services delivered by the </w:t>
      </w:r>
      <w:r w:rsidR="0EAFE705" w:rsidRPr="00D2703B">
        <w:t>NSW</w:t>
      </w:r>
      <w:r w:rsidR="003728AF">
        <w:t> </w:t>
      </w:r>
      <w:r w:rsidR="0EAFE705" w:rsidRPr="00D2703B">
        <w:t xml:space="preserve">Government and the priorities </w:t>
      </w:r>
      <w:r w:rsidR="3D2B6440" w:rsidRPr="00D2703B">
        <w:t>of</w:t>
      </w:r>
      <w:r w:rsidR="0EAFE705" w:rsidRPr="00D2703B">
        <w:t xml:space="preserve"> </w:t>
      </w:r>
      <w:r w:rsidR="736371C5" w:rsidRPr="00D2703B">
        <w:t xml:space="preserve">our </w:t>
      </w:r>
      <w:r w:rsidR="0EAFE705" w:rsidRPr="00D2703B">
        <w:t xml:space="preserve">citizens. </w:t>
      </w:r>
      <w:r w:rsidR="37F0216C" w:rsidRPr="00D2703B">
        <w:t xml:space="preserve">Analysis on State Outcomes can be found in </w:t>
      </w:r>
      <w:r w:rsidR="32E69AC8" w:rsidRPr="00615C42">
        <w:t>Budget Paper No. </w:t>
      </w:r>
      <w:r w:rsidR="003A02DA" w:rsidRPr="00615C42">
        <w:t>2</w:t>
      </w:r>
      <w:r w:rsidR="450AB226" w:rsidRPr="00615C42">
        <w:t xml:space="preserve"> </w:t>
      </w:r>
      <w:r w:rsidR="635C2BFD" w:rsidRPr="00615C42">
        <w:rPr>
          <w:i/>
        </w:rPr>
        <w:t xml:space="preserve">Outcomes </w:t>
      </w:r>
      <w:r w:rsidR="00890845">
        <w:rPr>
          <w:i/>
        </w:rPr>
        <w:t>Statement</w:t>
      </w:r>
      <w:r w:rsidR="0BA0F28E" w:rsidRPr="00D2703B">
        <w:t>.</w:t>
      </w:r>
    </w:p>
    <w:p w14:paraId="31150766" w14:textId="77777777" w:rsidR="0022474B" w:rsidRDefault="0022474B">
      <w:pPr>
        <w:spacing w:after="200" w:line="276" w:lineRule="auto"/>
        <w:rPr>
          <w:rFonts w:ascii="Arial Bold" w:hAnsi="Arial Bold"/>
          <w:b/>
          <w:kern w:val="28"/>
          <w:sz w:val="25"/>
          <w:szCs w:val="36"/>
          <w:lang w:val="en-AU"/>
        </w:rPr>
      </w:pPr>
      <w:r>
        <w:br w:type="page"/>
      </w:r>
    </w:p>
    <w:p w14:paraId="5A5EC232" w14:textId="57B0B4CD" w:rsidR="00E357E2" w:rsidRPr="00E357E2" w:rsidRDefault="00E357E2" w:rsidP="00E357E2">
      <w:pPr>
        <w:pStyle w:val="Heading4"/>
      </w:pPr>
      <w:r>
        <w:t xml:space="preserve">Recurrent </w:t>
      </w:r>
      <w:r w:rsidR="004D4AA1">
        <w:t>and capital</w:t>
      </w:r>
      <w:r>
        <w:t xml:space="preserve"> expenditure by COFOG-A</w:t>
      </w:r>
    </w:p>
    <w:p w14:paraId="640D9BFC" w14:textId="7919EF97" w:rsidR="00D67908" w:rsidRPr="00D2703B" w:rsidRDefault="002661E5">
      <w:pPr>
        <w:pStyle w:val="BodyText"/>
      </w:pPr>
      <w:r w:rsidRPr="00D2703B">
        <w:t xml:space="preserve">Total recurrent expenditure in 2020-21 is </w:t>
      </w:r>
      <w:r w:rsidR="00884C6B" w:rsidRPr="00D2703B">
        <w:t>$9</w:t>
      </w:r>
      <w:r w:rsidR="003D1529" w:rsidRPr="00D2703B">
        <w:t>8.</w:t>
      </w:r>
      <w:r w:rsidR="00C71457" w:rsidRPr="00615C42">
        <w:t>1</w:t>
      </w:r>
      <w:r w:rsidR="00884C6B" w:rsidRPr="00D2703B">
        <w:t xml:space="preserve"> billion. </w:t>
      </w:r>
      <w:r w:rsidR="00ED0EA1" w:rsidRPr="00D2703B">
        <w:t>In New South Wales, four categories make up 7</w:t>
      </w:r>
      <w:r w:rsidR="00A36A40" w:rsidRPr="00D2703B">
        <w:t>1.1</w:t>
      </w:r>
      <w:r w:rsidR="00ED0EA1" w:rsidRPr="00D2703B">
        <w:t xml:space="preserve"> per cent of expenditure – </w:t>
      </w:r>
      <w:r w:rsidR="00F9414A" w:rsidRPr="00D2703B">
        <w:t xml:space="preserve">health, education, </w:t>
      </w:r>
      <w:r w:rsidR="005C7266" w:rsidRPr="00D2703B">
        <w:t>transp</w:t>
      </w:r>
      <w:r w:rsidR="00647570" w:rsidRPr="00D2703B">
        <w:t>o</w:t>
      </w:r>
      <w:r w:rsidR="005C7266" w:rsidRPr="00D2703B">
        <w:t>r</w:t>
      </w:r>
      <w:r w:rsidR="00647570" w:rsidRPr="00D2703B">
        <w:t>t</w:t>
      </w:r>
      <w:r w:rsidR="00C81B0D" w:rsidRPr="00D2703B">
        <w:t xml:space="preserve"> and</w:t>
      </w:r>
      <w:r w:rsidR="00417049" w:rsidRPr="00D2703B">
        <w:t xml:space="preserve"> </w:t>
      </w:r>
      <w:r w:rsidR="00BB70FC" w:rsidRPr="00D2703B">
        <w:t>public</w:t>
      </w:r>
      <w:r w:rsidR="00CD69F4" w:rsidRPr="00D2703B">
        <w:t xml:space="preserve"> </w:t>
      </w:r>
      <w:r w:rsidR="00BB70FC" w:rsidRPr="00D2703B">
        <w:t>order and safety</w:t>
      </w:r>
      <w:r w:rsidR="00AA47E6" w:rsidRPr="00D2703B">
        <w:t xml:space="preserve"> (see Chart </w:t>
      </w:r>
      <w:r w:rsidR="00AA47E6" w:rsidRPr="00615C42">
        <w:t>5.</w:t>
      </w:r>
      <w:r w:rsidR="00D2703B" w:rsidRPr="00D2703B">
        <w:t>6</w:t>
      </w:r>
      <w:r w:rsidR="00AA47E6" w:rsidRPr="00D2703B">
        <w:t>)</w:t>
      </w:r>
      <w:r w:rsidR="00F9414A" w:rsidRPr="00D2703B">
        <w:t>.</w:t>
      </w:r>
    </w:p>
    <w:p w14:paraId="76E8CF5A" w14:textId="73097900" w:rsidR="008C68AE" w:rsidRPr="007641D2" w:rsidDel="00D67908" w:rsidRDefault="008C68AE">
      <w:pPr>
        <w:pStyle w:val="BodyText"/>
      </w:pPr>
      <w:r w:rsidRPr="00D2703B" w:rsidDel="00D67908">
        <w:t>Total capital expenditure in 2020-21 is $</w:t>
      </w:r>
      <w:r w:rsidRPr="00615C42" w:rsidDel="00D67908">
        <w:t>22.6</w:t>
      </w:r>
      <w:r w:rsidRPr="00D2703B" w:rsidDel="00D67908">
        <w:t xml:space="preserve"> billion. Transport, health and education represent </w:t>
      </w:r>
      <w:r w:rsidRPr="00615C42">
        <w:t>78.</w:t>
      </w:r>
      <w:r w:rsidRPr="00615C42" w:rsidDel="00D67908">
        <w:t>4</w:t>
      </w:r>
      <w:r w:rsidRPr="00D2703B" w:rsidDel="00D67908">
        <w:t xml:space="preserve"> per cent of the total capital expenditure budget in 2020-21 (see </w:t>
      </w:r>
      <w:r w:rsidRPr="00615C42" w:rsidDel="00D67908">
        <w:t>Chart 5.</w:t>
      </w:r>
      <w:r w:rsidR="00D2703B" w:rsidRPr="00D2703B">
        <w:t>7</w:t>
      </w:r>
      <w:r w:rsidRPr="00D2703B" w:rsidDel="00D67908">
        <w:t>).</w:t>
      </w:r>
    </w:p>
    <w:p w14:paraId="0546D702" w14:textId="4092AB5D" w:rsidR="004C1DDF" w:rsidRPr="00615C42" w:rsidRDefault="008C68AE">
      <w:pPr>
        <w:pStyle w:val="BodyText"/>
      </w:pPr>
      <w:r w:rsidRPr="005A1795" w:rsidDel="00D67908">
        <w:t xml:space="preserve">For further information on the Government’s infrastructure program, refer to </w:t>
      </w:r>
      <w:r w:rsidRPr="00D2703B" w:rsidDel="00D67908">
        <w:t xml:space="preserve">Budget Paper No. 3 </w:t>
      </w:r>
      <w:r w:rsidRPr="00D2703B" w:rsidDel="00D67908">
        <w:rPr>
          <w:i/>
        </w:rPr>
        <w:t>Infrastructure Statement</w:t>
      </w:r>
      <w:r w:rsidRPr="00D2703B" w:rsidDel="00D67908">
        <w:t>.</w:t>
      </w:r>
    </w:p>
    <w:p w14:paraId="285FC0AA" w14:textId="19ED9E2A" w:rsidR="00E00A77" w:rsidRPr="00753D2D" w:rsidRDefault="00D67908" w:rsidP="00A0273A">
      <w:pPr>
        <w:pStyle w:val="Chart5x"/>
        <w:keepNext/>
        <w:keepLines/>
        <w:ind w:left="357" w:hanging="357"/>
        <w:rPr>
          <w:rFonts w:cs="Arial"/>
        </w:rPr>
      </w:pPr>
      <w:r w:rsidRPr="00817A1D">
        <w:rPr>
          <w:rFonts w:cs="Arial"/>
        </w:rPr>
        <w:t>$98.</w:t>
      </w:r>
      <w:r w:rsidR="00A36A40" w:rsidRPr="00817A1D">
        <w:rPr>
          <w:rFonts w:cs="Arial"/>
        </w:rPr>
        <w:t>1</w:t>
      </w:r>
      <w:r w:rsidRPr="00817A1D">
        <w:rPr>
          <w:rFonts w:cs="Arial"/>
        </w:rPr>
        <w:t xml:space="preserve"> billion in recurrent expenditure</w:t>
      </w:r>
      <w:r w:rsidR="009B6783" w:rsidRPr="00817A1D">
        <w:rPr>
          <w:rFonts w:cs="Arial"/>
        </w:rPr>
        <w:t>,</w:t>
      </w:r>
      <w:r w:rsidRPr="00817A1D">
        <w:rPr>
          <w:rFonts w:cs="Arial"/>
        </w:rPr>
        <w:t xml:space="preserve"> by COFO</w:t>
      </w:r>
      <w:r w:rsidR="003728AF">
        <w:rPr>
          <w:rFonts w:cs="Arial"/>
        </w:rPr>
        <w:t>G</w:t>
      </w:r>
      <w:r w:rsidRPr="00817A1D">
        <w:rPr>
          <w:rFonts w:cs="Arial"/>
        </w:rPr>
        <w:t>-A category (</w:t>
      </w:r>
      <w:r w:rsidR="003838D0" w:rsidRPr="00817A1D">
        <w:rPr>
          <w:rFonts w:cs="Arial"/>
        </w:rPr>
        <w:t>2020-21</w:t>
      </w:r>
      <w:r w:rsidRPr="00817A1D">
        <w:rPr>
          <w:rFonts w:cs="Arial"/>
        </w:rPr>
        <w:t>)</w:t>
      </w:r>
      <w:r w:rsidR="007D7E95" w:rsidRPr="00817A1D">
        <w:rPr>
          <w:rFonts w:cs="Arial"/>
        </w:rPr>
        <w:t xml:space="preserve"> </w:t>
      </w:r>
    </w:p>
    <w:p w14:paraId="39F4FD55" w14:textId="4955D818" w:rsidR="00117AC3" w:rsidRDefault="000A419D" w:rsidP="00615C42">
      <w:pPr>
        <w:spacing w:after="200" w:line="276" w:lineRule="auto"/>
        <w:jc w:val="center"/>
        <w:rPr>
          <w:rFonts w:ascii="Arial Bold" w:hAnsi="Arial Bold"/>
          <w:b/>
          <w:kern w:val="28"/>
          <w:sz w:val="25"/>
          <w:szCs w:val="36"/>
          <w:lang w:val="en-AU"/>
        </w:rPr>
      </w:pPr>
      <w:r>
        <w:rPr>
          <w:noProof/>
        </w:rPr>
        <w:drawing>
          <wp:inline distT="0" distB="0" distL="0" distR="0" wp14:anchorId="7A3F1A2F" wp14:editId="58F1D118">
            <wp:extent cx="5058174" cy="3450359"/>
            <wp:effectExtent l="0" t="0" r="0" b="0"/>
            <wp:docPr id="1" name="Chart 1" descr="Chart 5.6: $98.1 billion in recurrent expenditure, by COFOG-A category (2020-21) ">
              <a:extLst xmlns:a="http://schemas.openxmlformats.org/drawingml/2006/main">
                <a:ext uri="{FF2B5EF4-FFF2-40B4-BE49-F238E27FC236}">
                  <a16:creationId xmlns:a16="http://schemas.microsoft.com/office/drawing/2014/main" id="{6906B7FD-CEB8-49AF-BFA0-CE1709925D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29A9A184" w14:textId="2386DD06" w:rsidR="00F90480" w:rsidRPr="007641D2" w:rsidRDefault="00A9655E" w:rsidP="00615C42">
      <w:pPr>
        <w:pStyle w:val="Chart5x"/>
        <w:rPr>
          <w:rFonts w:cs="Arial"/>
        </w:rPr>
      </w:pPr>
      <w:r>
        <w:rPr>
          <w:rFonts w:cs="Arial"/>
        </w:rPr>
        <w:t>$22.6 billion in</w:t>
      </w:r>
      <w:r w:rsidRPr="007641D2">
        <w:rPr>
          <w:rFonts w:cs="Arial"/>
        </w:rPr>
        <w:t xml:space="preserve"> capital expenditure</w:t>
      </w:r>
      <w:r>
        <w:rPr>
          <w:rFonts w:cs="Arial"/>
        </w:rPr>
        <w:t xml:space="preserve">, by </w:t>
      </w:r>
      <w:r w:rsidRPr="007641D2">
        <w:rPr>
          <w:rFonts w:cs="Arial"/>
        </w:rPr>
        <w:t xml:space="preserve">COFOG-A </w:t>
      </w:r>
      <w:r>
        <w:rPr>
          <w:rFonts w:cs="Arial"/>
        </w:rPr>
        <w:t>category (2020-21)</w:t>
      </w:r>
    </w:p>
    <w:p w14:paraId="1FB5A979" w14:textId="59932B52" w:rsidR="003B70AA" w:rsidRDefault="00A36A40" w:rsidP="00615C42">
      <w:pPr>
        <w:spacing w:after="200" w:line="276" w:lineRule="auto"/>
        <w:jc w:val="center"/>
        <w:rPr>
          <w:rFonts w:ascii="Arial" w:hAnsi="Arial" w:cs="Arial"/>
        </w:rPr>
      </w:pPr>
      <w:r>
        <w:rPr>
          <w:noProof/>
        </w:rPr>
        <w:drawing>
          <wp:inline distT="0" distB="0" distL="0" distR="0" wp14:anchorId="42D937AC" wp14:editId="7E51ADF4">
            <wp:extent cx="5251938" cy="3241431"/>
            <wp:effectExtent l="0" t="0" r="0" b="0"/>
            <wp:docPr id="12" name="Chart 12" descr="Chart 5.7: $22.6 billion in capital expenditure, by COFOG-A category (2020-21)">
              <a:extLst xmlns:a="http://schemas.openxmlformats.org/drawingml/2006/main">
                <a:ext uri="{FF2B5EF4-FFF2-40B4-BE49-F238E27FC236}">
                  <a16:creationId xmlns:a16="http://schemas.microsoft.com/office/drawing/2014/main" id="{4E61BC72-AC67-4733-8712-6994D2788B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F0DB804" w14:textId="19F93A57" w:rsidR="00611E38" w:rsidRDefault="00611E38" w:rsidP="00615C42">
      <w:pPr>
        <w:spacing w:after="200" w:line="276" w:lineRule="auto"/>
        <w:jc w:val="center"/>
        <w:rPr>
          <w:rFonts w:ascii="Arial" w:hAnsi="Arial" w:cs="Arial"/>
          <w:b/>
          <w:kern w:val="28"/>
          <w:sz w:val="26"/>
          <w:szCs w:val="36"/>
          <w:lang w:val="en-AU"/>
        </w:rPr>
      </w:pPr>
    </w:p>
    <w:p w14:paraId="121EFE9A" w14:textId="50A6AA4C" w:rsidR="00F90480" w:rsidRPr="007641D2" w:rsidRDefault="00EA1250" w:rsidP="00965753">
      <w:pPr>
        <w:pStyle w:val="Heading3"/>
        <w:spacing w:before="0"/>
        <w:rPr>
          <w:rFonts w:ascii="Arial" w:hAnsi="Arial" w:cs="Arial"/>
        </w:rPr>
      </w:pPr>
      <w:r>
        <w:rPr>
          <w:rFonts w:ascii="Arial" w:hAnsi="Arial" w:cs="Arial"/>
        </w:rPr>
        <w:t>Analysis of expenditure by COFOG-A category</w:t>
      </w:r>
      <w:r w:rsidR="006861B5" w:rsidRPr="007641D2">
        <w:rPr>
          <w:rFonts w:ascii="Arial" w:hAnsi="Arial" w:cs="Arial"/>
        </w:rPr>
        <w:t xml:space="preserve"> </w:t>
      </w:r>
    </w:p>
    <w:p w14:paraId="46142123" w14:textId="014D8814" w:rsidR="00E94BA3" w:rsidRPr="007641D2" w:rsidRDefault="00E94BA3" w:rsidP="0029186A">
      <w:pPr>
        <w:pStyle w:val="Heading4"/>
        <w:rPr>
          <w:rFonts w:ascii="Arial" w:hAnsi="Arial" w:cs="Arial"/>
          <w:i/>
        </w:rPr>
      </w:pPr>
      <w:r w:rsidRPr="007641D2">
        <w:rPr>
          <w:rFonts w:ascii="Arial" w:hAnsi="Arial" w:cs="Arial"/>
        </w:rPr>
        <w:t>Health</w:t>
      </w:r>
    </w:p>
    <w:p w14:paraId="2A4964FC" w14:textId="013FD19E" w:rsidR="00602440" w:rsidRDefault="00536C7A">
      <w:pPr>
        <w:pStyle w:val="BodyText"/>
      </w:pPr>
      <w:r w:rsidRPr="00D2703B">
        <w:t>Recurrent health expenses for 2020-21 are expected to be $</w:t>
      </w:r>
      <w:r w:rsidR="00C03785" w:rsidRPr="00615C42">
        <w:t>2</w:t>
      </w:r>
      <w:r w:rsidR="00A36A40" w:rsidRPr="00615C42">
        <w:t>6.1</w:t>
      </w:r>
      <w:r w:rsidRPr="00D2703B">
        <w:t xml:space="preserve"> billion, representing </w:t>
      </w:r>
      <w:r w:rsidR="00BC7DDA" w:rsidRPr="00615C42">
        <w:t>2</w:t>
      </w:r>
      <w:r w:rsidR="00064792" w:rsidRPr="00615C42">
        <w:t>6</w:t>
      </w:r>
      <w:r w:rsidRPr="00615C42">
        <w:t>.</w:t>
      </w:r>
      <w:r w:rsidR="00A36A40" w:rsidRPr="00615C42">
        <w:t>6</w:t>
      </w:r>
      <w:r w:rsidRPr="00D2703B">
        <w:t> per cent of total recurrent expenses. This is a $</w:t>
      </w:r>
      <w:r w:rsidR="00A74F9D" w:rsidRPr="00615C42">
        <w:t>2</w:t>
      </w:r>
      <w:r w:rsidRPr="00615C42">
        <w:t>.</w:t>
      </w:r>
      <w:r w:rsidR="00A36A40" w:rsidRPr="00615C42">
        <w:t>7</w:t>
      </w:r>
      <w:r w:rsidRPr="00D2703B">
        <w:t> </w:t>
      </w:r>
      <w:r w:rsidR="00DB4621" w:rsidRPr="00D2703B">
        <w:t xml:space="preserve">billion </w:t>
      </w:r>
      <w:r w:rsidRPr="00615C42">
        <w:t>increase</w:t>
      </w:r>
      <w:r w:rsidRPr="00D2703B">
        <w:t xml:space="preserve"> from 2019</w:t>
      </w:r>
      <w:r w:rsidRPr="00D2703B">
        <w:noBreakHyphen/>
        <w:t>20</w:t>
      </w:r>
      <w:r w:rsidR="00E90F02" w:rsidRPr="00D2703B">
        <w:t>.</w:t>
      </w:r>
    </w:p>
    <w:p w14:paraId="094F0F6D" w14:textId="6F979255" w:rsidR="00536C7A" w:rsidRDefault="00602440">
      <w:pPr>
        <w:pStyle w:val="BodyText"/>
      </w:pPr>
      <w:r>
        <w:t xml:space="preserve">The 2020-21 Budget includes spending </w:t>
      </w:r>
      <w:r w:rsidR="00F545F0">
        <w:t>to provide</w:t>
      </w:r>
      <w:r>
        <w:t xml:space="preserve"> high-quality care in public hospitals, ambulance and emergency health services, mental health services, as well as funding for recovery measures and for the continued public health response to the COVID-19 pandemic.</w:t>
      </w:r>
    </w:p>
    <w:p w14:paraId="2BF56DED" w14:textId="08333BB9" w:rsidR="001F5727" w:rsidRDefault="00536C7A" w:rsidP="00615C42">
      <w:pPr>
        <w:pStyle w:val="Default"/>
      </w:pPr>
      <w:r w:rsidRPr="00D2703B">
        <w:rPr>
          <w:rFonts w:ascii="Arial" w:hAnsi="Arial" w:cs="Arial"/>
          <w:sz w:val="23"/>
          <w:szCs w:val="23"/>
        </w:rPr>
        <w:t>Capital expenditure for health in 2020-21 is $</w:t>
      </w:r>
      <w:r w:rsidR="002711B6" w:rsidRPr="00615C42">
        <w:rPr>
          <w:rFonts w:ascii="Arial" w:hAnsi="Arial" w:cs="Arial"/>
          <w:sz w:val="23"/>
          <w:szCs w:val="23"/>
        </w:rPr>
        <w:t>2</w:t>
      </w:r>
      <w:r w:rsidRPr="00615C42">
        <w:rPr>
          <w:rFonts w:ascii="Arial" w:hAnsi="Arial" w:cs="Arial"/>
          <w:sz w:val="23"/>
          <w:szCs w:val="23"/>
        </w:rPr>
        <w:t>.</w:t>
      </w:r>
      <w:r w:rsidR="002711B6" w:rsidRPr="00615C42">
        <w:rPr>
          <w:rFonts w:ascii="Arial" w:hAnsi="Arial" w:cs="Arial"/>
          <w:sz w:val="23"/>
          <w:szCs w:val="23"/>
        </w:rPr>
        <w:t>6</w:t>
      </w:r>
      <w:r w:rsidRPr="00D2703B">
        <w:rPr>
          <w:rFonts w:ascii="Arial" w:hAnsi="Arial" w:cs="Arial"/>
          <w:sz w:val="23"/>
          <w:szCs w:val="23"/>
        </w:rPr>
        <w:t xml:space="preserve"> billion, or </w:t>
      </w:r>
      <w:r w:rsidR="002711B6" w:rsidRPr="00615C42">
        <w:rPr>
          <w:rFonts w:ascii="Arial" w:hAnsi="Arial" w:cs="Arial"/>
          <w:sz w:val="23"/>
          <w:szCs w:val="23"/>
        </w:rPr>
        <w:t>11</w:t>
      </w:r>
      <w:r w:rsidRPr="00615C42">
        <w:rPr>
          <w:rFonts w:ascii="Arial" w:hAnsi="Arial" w:cs="Arial"/>
          <w:sz w:val="23"/>
          <w:szCs w:val="23"/>
        </w:rPr>
        <w:t>.</w:t>
      </w:r>
      <w:r w:rsidR="002711B6" w:rsidRPr="00615C42">
        <w:rPr>
          <w:rFonts w:ascii="Arial" w:hAnsi="Arial" w:cs="Arial"/>
          <w:sz w:val="23"/>
          <w:szCs w:val="23"/>
        </w:rPr>
        <w:t>5</w:t>
      </w:r>
      <w:r w:rsidRPr="00D2703B">
        <w:rPr>
          <w:rFonts w:ascii="Arial" w:hAnsi="Arial" w:cs="Arial"/>
          <w:sz w:val="23"/>
          <w:szCs w:val="23"/>
        </w:rPr>
        <w:t xml:space="preserve"> per cent of total 2020-21 GGS capital expenditure. This is an </w:t>
      </w:r>
      <w:r w:rsidRPr="00615C42">
        <w:rPr>
          <w:rFonts w:ascii="Arial" w:hAnsi="Arial" w:cs="Arial"/>
          <w:sz w:val="23"/>
          <w:szCs w:val="23"/>
        </w:rPr>
        <w:t>increase</w:t>
      </w:r>
      <w:r w:rsidRPr="00D2703B">
        <w:rPr>
          <w:rFonts w:ascii="Arial" w:hAnsi="Arial" w:cs="Arial"/>
          <w:sz w:val="23"/>
          <w:szCs w:val="23"/>
        </w:rPr>
        <w:t xml:space="preserve"> of $</w:t>
      </w:r>
      <w:r w:rsidR="00DF4493" w:rsidRPr="00615C42">
        <w:rPr>
          <w:rFonts w:ascii="Arial" w:hAnsi="Arial" w:cs="Arial"/>
          <w:sz w:val="23"/>
          <w:szCs w:val="23"/>
        </w:rPr>
        <w:t>73</w:t>
      </w:r>
      <w:r w:rsidRPr="00615C42">
        <w:rPr>
          <w:rFonts w:ascii="Arial" w:hAnsi="Arial" w:cs="Arial"/>
          <w:sz w:val="23"/>
          <w:szCs w:val="23"/>
        </w:rPr>
        <w:t>.</w:t>
      </w:r>
      <w:r w:rsidR="00DF4493" w:rsidRPr="00D2703B">
        <w:rPr>
          <w:rFonts w:ascii="Arial" w:hAnsi="Arial" w:cs="Arial"/>
          <w:sz w:val="23"/>
          <w:szCs w:val="23"/>
        </w:rPr>
        <w:t>4 </w:t>
      </w:r>
      <w:r w:rsidRPr="00D2703B">
        <w:rPr>
          <w:rFonts w:ascii="Arial" w:hAnsi="Arial" w:cs="Arial"/>
          <w:sz w:val="23"/>
          <w:szCs w:val="23"/>
        </w:rPr>
        <w:t>million since 2019</w:t>
      </w:r>
      <w:r w:rsidRPr="00D2703B">
        <w:rPr>
          <w:rFonts w:ascii="Arial" w:hAnsi="Arial" w:cs="Arial"/>
          <w:sz w:val="23"/>
          <w:szCs w:val="23"/>
        </w:rPr>
        <w:noBreakHyphen/>
        <w:t>20</w:t>
      </w:r>
      <w:r w:rsidR="0008024F" w:rsidRPr="00D2703B">
        <w:rPr>
          <w:rFonts w:ascii="Arial" w:hAnsi="Arial" w:cs="Arial"/>
          <w:sz w:val="23"/>
          <w:szCs w:val="23"/>
        </w:rPr>
        <w:t>.</w:t>
      </w:r>
      <w:r w:rsidRPr="00D2703B">
        <w:rPr>
          <w:rFonts w:ascii="Arial" w:hAnsi="Arial" w:cs="Arial"/>
          <w:sz w:val="23"/>
          <w:szCs w:val="23"/>
        </w:rPr>
        <w:t xml:space="preserve"> </w:t>
      </w:r>
      <w:r w:rsidR="0030462F" w:rsidRPr="00D2703B">
        <w:rPr>
          <w:rFonts w:ascii="Arial" w:hAnsi="Arial" w:cs="Arial"/>
          <w:sz w:val="23"/>
          <w:szCs w:val="23"/>
        </w:rPr>
        <w:t>This</w:t>
      </w:r>
      <w:r w:rsidRPr="00D2703B">
        <w:rPr>
          <w:rFonts w:ascii="Arial" w:hAnsi="Arial" w:cs="Arial"/>
          <w:sz w:val="23"/>
          <w:szCs w:val="23"/>
        </w:rPr>
        <w:t xml:space="preserve"> is </w:t>
      </w:r>
      <w:r w:rsidRPr="00615C42">
        <w:rPr>
          <w:rFonts w:ascii="Arial" w:hAnsi="Arial" w:cs="Arial"/>
          <w:sz w:val="23"/>
          <w:szCs w:val="23"/>
        </w:rPr>
        <w:t>largely attributable to the continued delivery and acceleration of hospital and health infrastructure</w:t>
      </w:r>
      <w:r w:rsidR="0030462F" w:rsidRPr="00D2703B">
        <w:rPr>
          <w:rFonts w:ascii="Arial" w:hAnsi="Arial" w:cs="Arial"/>
          <w:sz w:val="23"/>
          <w:szCs w:val="23"/>
        </w:rPr>
        <w:t xml:space="preserve"> projects, such as the redevelopments of the Campbelltown, Coffs Harbour, Goulburn, Maitland, Nepean, Randwick, Royal Prince Alfred, St George, Sydney Children’s Hospital Randwick, Tweed and Wyong hospitals.</w:t>
      </w:r>
    </w:p>
    <w:p w14:paraId="1547AD77" w14:textId="1B6C7C9E" w:rsidR="001E6A7E" w:rsidRPr="007641D2" w:rsidRDefault="00E94BA3" w:rsidP="0029186A">
      <w:pPr>
        <w:pStyle w:val="Heading4"/>
        <w:rPr>
          <w:rFonts w:ascii="Arial" w:hAnsi="Arial" w:cs="Arial"/>
          <w:b w:val="0"/>
          <w:i/>
          <w:sz w:val="26"/>
        </w:rPr>
      </w:pPr>
      <w:r w:rsidRPr="007641D2">
        <w:rPr>
          <w:rFonts w:ascii="Arial" w:hAnsi="Arial" w:cs="Arial"/>
        </w:rPr>
        <w:t>Education</w:t>
      </w:r>
    </w:p>
    <w:p w14:paraId="709D33FE" w14:textId="1C5AE0B0" w:rsidR="00D047E2" w:rsidRDefault="00D047E2">
      <w:pPr>
        <w:pStyle w:val="BodyText"/>
      </w:pPr>
      <w:r w:rsidRPr="00D2703B">
        <w:t>Recurrent</w:t>
      </w:r>
      <w:r w:rsidR="00995349" w:rsidRPr="00D2703B">
        <w:t xml:space="preserve"> education</w:t>
      </w:r>
      <w:r w:rsidR="004F6458" w:rsidRPr="00D2703B">
        <w:t xml:space="preserve"> </w:t>
      </w:r>
      <w:r w:rsidRPr="00D2703B">
        <w:t xml:space="preserve">expenses </w:t>
      </w:r>
      <w:r w:rsidR="00995349" w:rsidRPr="00D2703B">
        <w:t xml:space="preserve">in </w:t>
      </w:r>
      <w:r w:rsidR="000C5BF6" w:rsidRPr="00D2703B">
        <w:t>2020-21</w:t>
      </w:r>
      <w:r w:rsidR="00995349" w:rsidRPr="00D2703B">
        <w:t xml:space="preserve"> are expected to be $</w:t>
      </w:r>
      <w:r w:rsidR="00E42CA5" w:rsidRPr="00615C42">
        <w:t>1</w:t>
      </w:r>
      <w:r w:rsidR="00A36A40" w:rsidRPr="00615C42">
        <w:t>9.2</w:t>
      </w:r>
      <w:r w:rsidR="00995349" w:rsidRPr="00D2703B">
        <w:t xml:space="preserve"> billion, or </w:t>
      </w:r>
      <w:r w:rsidR="00DE1192" w:rsidRPr="00615C42">
        <w:t>1</w:t>
      </w:r>
      <w:r w:rsidR="00A36A40" w:rsidRPr="00615C42">
        <w:t>9.6</w:t>
      </w:r>
      <w:r w:rsidR="007303FB" w:rsidRPr="00D2703B">
        <w:t> </w:t>
      </w:r>
      <w:r w:rsidR="00995349" w:rsidRPr="00D2703B">
        <w:t>per</w:t>
      </w:r>
      <w:r w:rsidR="007303FB" w:rsidRPr="00D2703B">
        <w:t> </w:t>
      </w:r>
      <w:r w:rsidR="00995349" w:rsidRPr="00D2703B">
        <w:t xml:space="preserve">cent of total recurrent </w:t>
      </w:r>
      <w:r w:rsidR="00D84A6A" w:rsidRPr="00D2703B">
        <w:t>expenses</w:t>
      </w:r>
      <w:r w:rsidR="00995349" w:rsidRPr="00D2703B">
        <w:t>.</w:t>
      </w:r>
    </w:p>
    <w:p w14:paraId="59E09AEC" w14:textId="78934605" w:rsidR="00A11D82" w:rsidRPr="007641D2" w:rsidRDefault="0099354B">
      <w:pPr>
        <w:pStyle w:val="BodyText"/>
      </w:pPr>
      <w:r w:rsidRPr="007641D2">
        <w:t xml:space="preserve">This </w:t>
      </w:r>
      <w:r w:rsidR="005237B8" w:rsidRPr="007641D2">
        <w:t>covers</w:t>
      </w:r>
      <w:r w:rsidR="00823E0E" w:rsidRPr="007641D2">
        <w:t xml:space="preserve"> investments in pre</w:t>
      </w:r>
      <w:r w:rsidR="00823E0E" w:rsidRPr="007641D2">
        <w:noBreakHyphen/>
        <w:t>primary, primary</w:t>
      </w:r>
      <w:r w:rsidR="00CE768E" w:rsidRPr="007641D2">
        <w:t>, secondary, technical and tertiary education</w:t>
      </w:r>
      <w:r w:rsidR="00327BAD" w:rsidRPr="007641D2">
        <w:t xml:space="preserve"> and</w:t>
      </w:r>
      <w:r w:rsidR="000631B4" w:rsidRPr="007641D2">
        <w:t xml:space="preserve"> </w:t>
      </w:r>
      <w:r w:rsidR="00136F03" w:rsidRPr="007641D2">
        <w:t xml:space="preserve">teacher </w:t>
      </w:r>
      <w:r w:rsidR="002B4432" w:rsidRPr="007641D2">
        <w:t>training</w:t>
      </w:r>
      <w:r w:rsidR="00D728EA" w:rsidRPr="007641D2">
        <w:t xml:space="preserve">. </w:t>
      </w:r>
      <w:r w:rsidR="00D047E2">
        <w:t>Th</w:t>
      </w:r>
      <w:r w:rsidR="00637179">
        <w:t>is</w:t>
      </w:r>
      <w:r w:rsidR="00D047E2">
        <w:t xml:space="preserve"> includes additional funding to address workforce challenges, through providing redeployment pathways and expanding training opportunities to support displaced workers impacted by COVID-19. </w:t>
      </w:r>
    </w:p>
    <w:p w14:paraId="18A43AA9" w14:textId="7141D011" w:rsidR="000B27BD" w:rsidRPr="007641D2" w:rsidRDefault="00995349">
      <w:pPr>
        <w:pStyle w:val="BodyText"/>
      </w:pPr>
      <w:r w:rsidRPr="00D2703B">
        <w:t xml:space="preserve">Education capital expenditure for </w:t>
      </w:r>
      <w:r w:rsidR="000C5BF6" w:rsidRPr="00D2703B">
        <w:t>2020-21</w:t>
      </w:r>
      <w:r w:rsidRPr="00D2703B">
        <w:t xml:space="preserve"> is expected to be $</w:t>
      </w:r>
      <w:r w:rsidR="00BD5A55" w:rsidRPr="00615C42">
        <w:t>2.5</w:t>
      </w:r>
      <w:r w:rsidR="00CD410C" w:rsidRPr="00D2703B">
        <w:t> </w:t>
      </w:r>
      <w:r w:rsidRPr="00D2703B">
        <w:t xml:space="preserve">billion, representing </w:t>
      </w:r>
      <w:r w:rsidR="00BD5A55" w:rsidRPr="00615C42">
        <w:t>11.0</w:t>
      </w:r>
      <w:r w:rsidR="007303FB" w:rsidRPr="00D2703B">
        <w:t> </w:t>
      </w:r>
      <w:r w:rsidRPr="00D2703B">
        <w:t xml:space="preserve">per cent of total </w:t>
      </w:r>
      <w:r w:rsidR="00B27FB8" w:rsidRPr="00D2703B">
        <w:t xml:space="preserve">GGS </w:t>
      </w:r>
      <w:r w:rsidRPr="00D2703B">
        <w:t>capital expenditure.</w:t>
      </w:r>
      <w:r w:rsidR="00E21C8D" w:rsidRPr="00D2703B">
        <w:t xml:space="preserve"> </w:t>
      </w:r>
      <w:r w:rsidR="00D047E2" w:rsidRPr="00D2703B">
        <w:t>This continues the Government’s record schools infrastructure program, including</w:t>
      </w:r>
      <w:r w:rsidR="0008024F" w:rsidRPr="00D2703B">
        <w:t xml:space="preserve"> </w:t>
      </w:r>
      <w:r w:rsidR="00AA2204">
        <w:t xml:space="preserve">new funding for </w:t>
      </w:r>
      <w:r w:rsidR="0008024F" w:rsidRPr="00D2703B">
        <w:t xml:space="preserve">the </w:t>
      </w:r>
      <w:r w:rsidR="00DF61C8" w:rsidRPr="00D2703B">
        <w:t xml:space="preserve">upgrades </w:t>
      </w:r>
      <w:r w:rsidR="0008024F" w:rsidRPr="00D2703B">
        <w:t xml:space="preserve">of North Sydney Public School and Carlingford West Public School, as well as for the build of new </w:t>
      </w:r>
      <w:r w:rsidR="00347601" w:rsidRPr="00D2703B">
        <w:t xml:space="preserve">primary </w:t>
      </w:r>
      <w:r w:rsidR="0008024F" w:rsidRPr="00D2703B">
        <w:t xml:space="preserve">schools in Murrumbateman, </w:t>
      </w:r>
      <w:proofErr w:type="spellStart"/>
      <w:r w:rsidR="0008024F" w:rsidRPr="00D2703B">
        <w:t>Googong</w:t>
      </w:r>
      <w:proofErr w:type="spellEnd"/>
      <w:r w:rsidR="0008024F" w:rsidRPr="00D2703B">
        <w:t xml:space="preserve"> and Edmondson Park. It also includes funding for the rebuild of Moruya High School in </w:t>
      </w:r>
      <w:r w:rsidR="00A019DF" w:rsidRPr="00D2703B">
        <w:t>r</w:t>
      </w:r>
      <w:r w:rsidR="0008024F" w:rsidRPr="00D2703B">
        <w:t xml:space="preserve">egional </w:t>
      </w:r>
      <w:r w:rsidR="00A019DF" w:rsidRPr="00D2703B">
        <w:t>New South Wales</w:t>
      </w:r>
      <w:r w:rsidR="0008024F" w:rsidRPr="00D2703B">
        <w:t>.</w:t>
      </w:r>
    </w:p>
    <w:p w14:paraId="210AD8FA" w14:textId="7BBADB5D" w:rsidR="005A6961" w:rsidRPr="007641D2" w:rsidRDefault="005A6961" w:rsidP="0029186A">
      <w:pPr>
        <w:pStyle w:val="Heading4"/>
        <w:rPr>
          <w:rFonts w:ascii="Arial" w:hAnsi="Arial" w:cs="Arial"/>
          <w:i/>
        </w:rPr>
      </w:pPr>
      <w:r w:rsidRPr="007641D2">
        <w:rPr>
          <w:rFonts w:ascii="Arial" w:hAnsi="Arial" w:cs="Arial"/>
        </w:rPr>
        <w:t>Transport</w:t>
      </w:r>
    </w:p>
    <w:p w14:paraId="56203D9A" w14:textId="23D735FD" w:rsidR="00E90F02" w:rsidRDefault="005E1D1A" w:rsidP="009517E2">
      <w:pPr>
        <w:pStyle w:val="BodyText"/>
      </w:pPr>
      <w:r w:rsidRPr="00D2703B">
        <w:t>Within the transport COFOG-A classification, recurrent expenditure in 2020-21 is expected to comprise of $</w:t>
      </w:r>
      <w:r w:rsidR="00475132" w:rsidRPr="00615C42">
        <w:t>15</w:t>
      </w:r>
      <w:r w:rsidRPr="00615C42">
        <w:t>.</w:t>
      </w:r>
      <w:r w:rsidR="00A36A40" w:rsidRPr="00D2703B">
        <w:t>1</w:t>
      </w:r>
      <w:r w:rsidRPr="00D2703B">
        <w:t xml:space="preserve"> billion, which is </w:t>
      </w:r>
      <w:r w:rsidR="00475132" w:rsidRPr="00615C42">
        <w:t>1</w:t>
      </w:r>
      <w:r w:rsidR="00A36A40" w:rsidRPr="00615C42">
        <w:t>5</w:t>
      </w:r>
      <w:r w:rsidRPr="00615C42">
        <w:t>.</w:t>
      </w:r>
      <w:r w:rsidR="00A36A40" w:rsidRPr="00D2703B">
        <w:t>4</w:t>
      </w:r>
      <w:r w:rsidRPr="00D2703B">
        <w:t xml:space="preserve"> per cent of total recurrent expenditure. This is an </w:t>
      </w:r>
      <w:r w:rsidRPr="00615C42">
        <w:t>increase</w:t>
      </w:r>
      <w:r w:rsidRPr="00D2703B">
        <w:t xml:space="preserve"> of </w:t>
      </w:r>
      <w:r w:rsidR="00A01CB1" w:rsidRPr="00D2703B">
        <w:t>3</w:t>
      </w:r>
      <w:r w:rsidR="00A36A40" w:rsidRPr="00615C42">
        <w:t>2</w:t>
      </w:r>
      <w:r w:rsidR="00A01CB1" w:rsidRPr="00D2703B">
        <w:t>.</w:t>
      </w:r>
      <w:r w:rsidR="00A36A40" w:rsidRPr="00D2703B">
        <w:t>7</w:t>
      </w:r>
      <w:r w:rsidRPr="00D2703B">
        <w:t xml:space="preserve"> per cent from transport recurrent expenditure in 2019-20 of $</w:t>
      </w:r>
      <w:r w:rsidR="00E511A7" w:rsidRPr="00615C42">
        <w:t>11</w:t>
      </w:r>
      <w:r w:rsidRPr="00615C42">
        <w:t>.</w:t>
      </w:r>
      <w:r w:rsidR="00E511A7" w:rsidRPr="00D2703B">
        <w:t>4 </w:t>
      </w:r>
      <w:r w:rsidR="00D62F6D" w:rsidRPr="00D2703B">
        <w:t>b</w:t>
      </w:r>
      <w:r w:rsidRPr="00D2703B">
        <w:t xml:space="preserve">illion. </w:t>
      </w:r>
      <w:r w:rsidR="00E90F02" w:rsidRPr="00D2703B">
        <w:t>This spending covers the delivery of services and maintaining service levels across the transport system, including on roads, trains, buses, ferries and light rails.</w:t>
      </w:r>
    </w:p>
    <w:p w14:paraId="1194EF04" w14:textId="4A4DA407" w:rsidR="00D76704" w:rsidRDefault="005E1D1A" w:rsidP="009517E2">
      <w:pPr>
        <w:pStyle w:val="BodyText"/>
      </w:pPr>
      <w:r w:rsidRPr="00D2703B">
        <w:t xml:space="preserve">Transport capital expenditure </w:t>
      </w:r>
      <w:r w:rsidR="0029743E" w:rsidRPr="00D2703B">
        <w:t xml:space="preserve">in </w:t>
      </w:r>
      <w:r w:rsidR="000C5BF6" w:rsidRPr="00D2703B">
        <w:t>2020-21</w:t>
      </w:r>
      <w:r w:rsidR="0029743E" w:rsidRPr="00D2703B">
        <w:t xml:space="preserve"> is $</w:t>
      </w:r>
      <w:r w:rsidR="0060012C" w:rsidRPr="00615C42">
        <w:t>12.7</w:t>
      </w:r>
      <w:r w:rsidR="00765F0C" w:rsidRPr="00D2703B">
        <w:t> </w:t>
      </w:r>
      <w:r w:rsidR="0029743E" w:rsidRPr="00D2703B">
        <w:t xml:space="preserve">billion, or </w:t>
      </w:r>
      <w:r w:rsidR="0060012C" w:rsidRPr="00615C42">
        <w:t>55.9</w:t>
      </w:r>
      <w:r w:rsidR="0029743E" w:rsidRPr="00D2703B">
        <w:t> per cent of total capital expenditure</w:t>
      </w:r>
      <w:r w:rsidR="00E8703A" w:rsidRPr="00D2703B">
        <w:t>.</w:t>
      </w:r>
      <w:r w:rsidR="00A3722B" w:rsidRPr="00D2703B">
        <w:t xml:space="preserve"> </w:t>
      </w:r>
      <w:r w:rsidR="00FB3759" w:rsidRPr="00D2703B">
        <w:t xml:space="preserve">The Government continues to deliver major capital transport projects such as Sydney Metro West, </w:t>
      </w:r>
      <w:r w:rsidR="00F27C90" w:rsidRPr="00D2703B">
        <w:t xml:space="preserve">Sydney Metro – Western Sydney Airport, </w:t>
      </w:r>
      <w:r w:rsidR="00FB3759" w:rsidRPr="00D2703B">
        <w:t xml:space="preserve">Warringah Freeway </w:t>
      </w:r>
      <w:r w:rsidR="00943AB5" w:rsidRPr="00D2703B">
        <w:t>Upgrade</w:t>
      </w:r>
      <w:r w:rsidR="00FB3759" w:rsidRPr="00D2703B">
        <w:t xml:space="preserve"> and the Western Harbour Tunnel</w:t>
      </w:r>
      <w:r w:rsidR="00020E0E">
        <w:t>,</w:t>
      </w:r>
      <w:r w:rsidR="00FB3759" w:rsidRPr="00D2703B">
        <w:t xml:space="preserve"> and Pacific Highway </w:t>
      </w:r>
      <w:r w:rsidR="00CF1D76">
        <w:t xml:space="preserve">Upgrade </w:t>
      </w:r>
      <w:r w:rsidR="00FB3759" w:rsidRPr="00D2703B">
        <w:t>- Woolgoolga to Ballina.</w:t>
      </w:r>
    </w:p>
    <w:p w14:paraId="44320BE6" w14:textId="77777777" w:rsidR="0070596C" w:rsidRPr="005E1D1A" w:rsidRDefault="0070596C" w:rsidP="005E1D1A">
      <w:pPr>
        <w:pStyle w:val="Default"/>
        <w:rPr>
          <w:rFonts w:ascii="Arial" w:hAnsi="Arial" w:cs="Arial"/>
          <w:szCs w:val="23"/>
        </w:rPr>
      </w:pPr>
    </w:p>
    <w:p w14:paraId="4B145177" w14:textId="188FA47D" w:rsidR="00E705BA" w:rsidRPr="00F43DF5" w:rsidRDefault="0007089C" w:rsidP="00F43DF5">
      <w:pPr>
        <w:pStyle w:val="Chart5x"/>
        <w:keepNext/>
        <w:keepLines/>
        <w:tabs>
          <w:tab w:val="clear" w:pos="0"/>
        </w:tabs>
        <w:ind w:left="1304" w:hanging="1304"/>
        <w:rPr>
          <w:rFonts w:cs="Arial"/>
        </w:rPr>
      </w:pPr>
      <w:r>
        <w:rPr>
          <w:rFonts w:cs="Arial"/>
        </w:rPr>
        <w:t>General government recurrent and capital expenditure by function</w:t>
      </w:r>
      <w:r w:rsidR="00C917D8">
        <w:rPr>
          <w:rFonts w:cs="Arial"/>
        </w:rPr>
        <w:t xml:space="preserve"> </w:t>
      </w:r>
      <w:r w:rsidR="00AC3B66">
        <w:rPr>
          <w:rFonts w:cs="Arial"/>
          <w:vertAlign w:val="superscript"/>
        </w:rPr>
        <w:t>(a</w:t>
      </w:r>
      <w:r w:rsidR="00425AF6" w:rsidRPr="007641D2">
        <w:rPr>
          <w:rFonts w:cs="Arial"/>
          <w:vertAlign w:val="superscript"/>
        </w:rPr>
        <w:t>)</w:t>
      </w:r>
      <w:r w:rsidR="00055A9A" w:rsidRPr="007641D2">
        <w:rPr>
          <w:rFonts w:cs="Arial"/>
          <w:vertAlign w:val="superscript"/>
        </w:rPr>
        <w:t>(b)</w:t>
      </w:r>
    </w:p>
    <w:p w14:paraId="704F86F6" w14:textId="3ACE46A8" w:rsidR="006B7BDB" w:rsidRPr="00F43DF5" w:rsidRDefault="00625BB2" w:rsidP="00556916">
      <w:pPr>
        <w:pStyle w:val="Chart5x"/>
        <w:keepNext/>
        <w:keepLines/>
        <w:numPr>
          <w:ilvl w:val="0"/>
          <w:numId w:val="0"/>
        </w:numPr>
        <w:tabs>
          <w:tab w:val="clear" w:pos="0"/>
        </w:tabs>
        <w:jc w:val="center"/>
        <w:rPr>
          <w:rFonts w:cs="Arial"/>
        </w:rPr>
      </w:pPr>
      <w:r>
        <w:rPr>
          <w:noProof/>
        </w:rPr>
        <w:drawing>
          <wp:inline distT="0" distB="0" distL="0" distR="0" wp14:anchorId="296A9FB1" wp14:editId="67417B47">
            <wp:extent cx="5572760" cy="3286664"/>
            <wp:effectExtent l="0" t="0" r="0" b="0"/>
            <wp:docPr id="15" name="Chart 15" descr="Chart 5.8: General government recurrent and capital expenditure by function (a)(b)">
              <a:extLst xmlns:a="http://schemas.openxmlformats.org/drawingml/2006/main">
                <a:ext uri="{FF2B5EF4-FFF2-40B4-BE49-F238E27FC236}">
                  <a16:creationId xmlns:a16="http://schemas.microsoft.com/office/drawing/2014/main" id="{A0575B44-2470-47F8-9372-3AEED133B8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C9BF66E" w14:textId="5CEEB356" w:rsidR="0042190C" w:rsidRPr="00615C42" w:rsidRDefault="00D151F1" w:rsidP="009150C2">
      <w:pPr>
        <w:widowControl w:val="0"/>
        <w:numPr>
          <w:ilvl w:val="0"/>
          <w:numId w:val="11"/>
        </w:numPr>
        <w:tabs>
          <w:tab w:val="left" w:pos="382"/>
          <w:tab w:val="right" w:pos="4196"/>
          <w:tab w:val="right" w:pos="5046"/>
          <w:tab w:val="right" w:pos="5897"/>
          <w:tab w:val="right" w:pos="6747"/>
          <w:tab w:val="right" w:pos="7598"/>
        </w:tabs>
        <w:autoSpaceDE w:val="0"/>
        <w:autoSpaceDN w:val="0"/>
        <w:spacing w:before="120" w:after="120"/>
        <w:rPr>
          <w:rFonts w:ascii="Arial" w:hAnsi="Arial" w:cs="Arial"/>
          <w:sz w:val="17"/>
          <w:szCs w:val="17"/>
        </w:rPr>
      </w:pPr>
      <w:r w:rsidRPr="00615C42">
        <w:rPr>
          <w:rFonts w:ascii="Arial" w:hAnsi="Arial" w:cs="Arial"/>
          <w:sz w:val="17"/>
          <w:szCs w:val="17"/>
        </w:rPr>
        <w:t>The C</w:t>
      </w:r>
      <w:r w:rsidR="00FB3160" w:rsidRPr="00615C42">
        <w:rPr>
          <w:rFonts w:ascii="Arial" w:hAnsi="Arial" w:cs="Arial"/>
          <w:sz w:val="17"/>
          <w:szCs w:val="17"/>
        </w:rPr>
        <w:t>O</w:t>
      </w:r>
      <w:r w:rsidRPr="00615C42">
        <w:rPr>
          <w:rFonts w:ascii="Arial" w:hAnsi="Arial" w:cs="Arial"/>
          <w:sz w:val="17"/>
          <w:szCs w:val="17"/>
        </w:rPr>
        <w:t>FOG</w:t>
      </w:r>
      <w:r w:rsidR="001A003D" w:rsidRPr="00615C42">
        <w:rPr>
          <w:rFonts w:ascii="Arial" w:hAnsi="Arial" w:cs="Arial"/>
          <w:sz w:val="17"/>
          <w:szCs w:val="17"/>
        </w:rPr>
        <w:t>-A</w:t>
      </w:r>
      <w:r w:rsidRPr="00615C42">
        <w:rPr>
          <w:rFonts w:ascii="Arial" w:hAnsi="Arial" w:cs="Arial"/>
          <w:sz w:val="17"/>
          <w:szCs w:val="17"/>
        </w:rPr>
        <w:t xml:space="preserve"> framework has replaced the former Government </w:t>
      </w:r>
      <w:r w:rsidR="002125F8" w:rsidRPr="00615C42">
        <w:rPr>
          <w:rFonts w:ascii="Arial" w:hAnsi="Arial" w:cs="Arial"/>
          <w:sz w:val="17"/>
          <w:szCs w:val="17"/>
        </w:rPr>
        <w:t>Purpos</w:t>
      </w:r>
      <w:bookmarkStart w:id="2" w:name="_GoBack"/>
      <w:bookmarkEnd w:id="2"/>
      <w:r w:rsidR="002125F8" w:rsidRPr="00615C42">
        <w:rPr>
          <w:rFonts w:ascii="Arial" w:hAnsi="Arial" w:cs="Arial"/>
          <w:sz w:val="17"/>
          <w:szCs w:val="17"/>
        </w:rPr>
        <w:t>e</w:t>
      </w:r>
      <w:r w:rsidRPr="00615C42">
        <w:rPr>
          <w:rFonts w:ascii="Arial" w:hAnsi="Arial" w:cs="Arial"/>
          <w:sz w:val="17"/>
          <w:szCs w:val="17"/>
        </w:rPr>
        <w:t xml:space="preserve"> Classification framework under the new ABS GFS Manual. This</w:t>
      </w:r>
      <w:r w:rsidR="000109B2" w:rsidRPr="00615C42">
        <w:rPr>
          <w:rFonts w:ascii="Arial" w:hAnsi="Arial" w:cs="Arial"/>
          <w:sz w:val="17"/>
          <w:szCs w:val="17"/>
        </w:rPr>
        <w:t xml:space="preserve"> was implemented for the first time in the </w:t>
      </w:r>
      <w:r w:rsidR="00647415" w:rsidRPr="00615C42">
        <w:rPr>
          <w:rFonts w:ascii="Arial" w:hAnsi="Arial" w:cs="Arial"/>
          <w:sz w:val="17"/>
          <w:szCs w:val="17"/>
        </w:rPr>
        <w:t>2017-18</w:t>
      </w:r>
      <w:r w:rsidR="000109B2" w:rsidRPr="00615C42">
        <w:rPr>
          <w:rFonts w:ascii="Arial" w:hAnsi="Arial" w:cs="Arial"/>
          <w:sz w:val="17"/>
          <w:szCs w:val="17"/>
        </w:rPr>
        <w:t xml:space="preserve"> Budget. </w:t>
      </w:r>
      <w:r w:rsidR="0010178B" w:rsidRPr="00615C42">
        <w:rPr>
          <w:rFonts w:ascii="Arial" w:hAnsi="Arial" w:cs="Arial"/>
          <w:sz w:val="17"/>
          <w:szCs w:val="17"/>
        </w:rPr>
        <w:t>Appendix A1</w:t>
      </w:r>
      <w:r w:rsidR="000109B2" w:rsidRPr="00615C42">
        <w:rPr>
          <w:rFonts w:ascii="Arial" w:hAnsi="Arial" w:cs="Arial"/>
          <w:sz w:val="17"/>
          <w:szCs w:val="17"/>
        </w:rPr>
        <w:t xml:space="preserve"> </w:t>
      </w:r>
      <w:r w:rsidR="007B613F" w:rsidRPr="00615C42">
        <w:rPr>
          <w:rFonts w:ascii="Arial" w:hAnsi="Arial" w:cs="Arial"/>
          <w:sz w:val="17"/>
          <w:szCs w:val="17"/>
        </w:rPr>
        <w:t xml:space="preserve">of this Budget Paper provides </w:t>
      </w:r>
      <w:r w:rsidR="009F610D" w:rsidRPr="00615C42">
        <w:rPr>
          <w:rFonts w:ascii="Arial" w:hAnsi="Arial" w:cs="Arial"/>
          <w:sz w:val="17"/>
          <w:szCs w:val="17"/>
        </w:rPr>
        <w:t xml:space="preserve">further information on </w:t>
      </w:r>
      <w:r w:rsidR="001A2B49" w:rsidRPr="00615C42">
        <w:rPr>
          <w:rFonts w:ascii="Arial" w:hAnsi="Arial" w:cs="Arial"/>
          <w:sz w:val="17"/>
          <w:szCs w:val="17"/>
        </w:rPr>
        <w:t xml:space="preserve">the </w:t>
      </w:r>
      <w:r w:rsidR="009F610D" w:rsidRPr="00615C42">
        <w:rPr>
          <w:rFonts w:ascii="Arial" w:hAnsi="Arial" w:cs="Arial"/>
          <w:sz w:val="17"/>
          <w:szCs w:val="17"/>
        </w:rPr>
        <w:t>Uniform Presentation Framework and COFOG-A</w:t>
      </w:r>
      <w:r w:rsidR="00FB3160" w:rsidRPr="00615C42">
        <w:rPr>
          <w:rFonts w:ascii="Arial" w:hAnsi="Arial" w:cs="Arial"/>
          <w:sz w:val="17"/>
          <w:szCs w:val="17"/>
        </w:rPr>
        <w:t xml:space="preserve"> functions</w:t>
      </w:r>
      <w:r w:rsidR="007B613F" w:rsidRPr="00615C42">
        <w:rPr>
          <w:rFonts w:ascii="Arial" w:hAnsi="Arial" w:cs="Arial"/>
          <w:sz w:val="17"/>
          <w:szCs w:val="17"/>
        </w:rPr>
        <w:t>.</w:t>
      </w:r>
      <w:r w:rsidR="000109B2" w:rsidRPr="00615C42">
        <w:rPr>
          <w:rFonts w:ascii="Arial" w:hAnsi="Arial" w:cs="Arial"/>
          <w:sz w:val="17"/>
          <w:szCs w:val="17"/>
        </w:rPr>
        <w:t xml:space="preserve"> </w:t>
      </w:r>
    </w:p>
    <w:p w14:paraId="24341908" w14:textId="3D96E2AE" w:rsidR="00E97109" w:rsidRPr="00615C42" w:rsidRDefault="00FF7757" w:rsidP="009150C2">
      <w:pPr>
        <w:widowControl w:val="0"/>
        <w:numPr>
          <w:ilvl w:val="0"/>
          <w:numId w:val="11"/>
        </w:numPr>
        <w:tabs>
          <w:tab w:val="left" w:pos="382"/>
          <w:tab w:val="right" w:pos="4196"/>
          <w:tab w:val="right" w:pos="5046"/>
          <w:tab w:val="right" w:pos="5897"/>
          <w:tab w:val="right" w:pos="6747"/>
          <w:tab w:val="right" w:pos="7598"/>
        </w:tabs>
        <w:autoSpaceDE w:val="0"/>
        <w:autoSpaceDN w:val="0"/>
        <w:spacing w:before="120" w:after="120"/>
        <w:rPr>
          <w:rFonts w:ascii="Arial" w:hAnsi="Arial" w:cs="Arial"/>
          <w:sz w:val="17"/>
          <w:szCs w:val="17"/>
        </w:rPr>
      </w:pPr>
      <w:r w:rsidRPr="00615C42">
        <w:rPr>
          <w:rFonts w:ascii="Arial" w:hAnsi="Arial" w:cs="Arial"/>
          <w:sz w:val="17"/>
          <w:szCs w:val="17"/>
        </w:rPr>
        <w:t>Figures for 2020-21 are budget forecasts</w:t>
      </w:r>
      <w:r w:rsidR="005F40F8">
        <w:rPr>
          <w:rFonts w:ascii="Arial" w:hAnsi="Arial" w:cs="Arial"/>
          <w:sz w:val="17"/>
          <w:szCs w:val="17"/>
        </w:rPr>
        <w:t>.</w:t>
      </w:r>
    </w:p>
    <w:p w14:paraId="75EE47CE" w14:textId="281A5A60" w:rsidR="001E589E" w:rsidRDefault="001E589E" w:rsidP="009517E2">
      <w:pPr>
        <w:pStyle w:val="BodyText"/>
      </w:pPr>
      <w:r w:rsidRPr="00D2703B">
        <w:t xml:space="preserve">Chart </w:t>
      </w:r>
      <w:r w:rsidRPr="00615C42">
        <w:t>5.</w:t>
      </w:r>
      <w:r w:rsidR="00D2703B" w:rsidRPr="00D2703B">
        <w:t>8</w:t>
      </w:r>
      <w:r w:rsidRPr="00D2703B">
        <w:t xml:space="preserve"> illustrates the Government’s focus on delivering core services within the education, health and transport policy areas, with recurrent </w:t>
      </w:r>
      <w:r w:rsidR="006731B0">
        <w:t xml:space="preserve">and capital </w:t>
      </w:r>
      <w:r w:rsidRPr="00D2703B">
        <w:t>expenditure totalling $</w:t>
      </w:r>
      <w:r w:rsidR="00625BB2" w:rsidRPr="00D2703B">
        <w:t>268.9</w:t>
      </w:r>
      <w:r w:rsidR="001869BA" w:rsidRPr="00D2703B">
        <w:t> </w:t>
      </w:r>
      <w:r w:rsidRPr="00D2703B">
        <w:t>billion since 201</w:t>
      </w:r>
      <w:r w:rsidR="00625BB2" w:rsidRPr="00D2703B">
        <w:t>7</w:t>
      </w:r>
      <w:r w:rsidRPr="00D2703B">
        <w:t>-1</w:t>
      </w:r>
      <w:r w:rsidR="00625BB2" w:rsidRPr="00D2703B">
        <w:t>8</w:t>
      </w:r>
      <w:r w:rsidRPr="00D2703B">
        <w:t>. The Government’s expenditure on education, health and transport has increased from $</w:t>
      </w:r>
      <w:r w:rsidRPr="00615C42">
        <w:t>5</w:t>
      </w:r>
      <w:r w:rsidR="00625BB2" w:rsidRPr="00615C42">
        <w:t>7</w:t>
      </w:r>
      <w:r w:rsidRPr="00615C42">
        <w:t>.</w:t>
      </w:r>
      <w:r w:rsidR="00625BB2" w:rsidRPr="00D2703B">
        <w:t>6</w:t>
      </w:r>
      <w:r w:rsidRPr="00D2703B">
        <w:t xml:space="preserve"> billion in 201</w:t>
      </w:r>
      <w:r w:rsidR="00625BB2" w:rsidRPr="00D2703B">
        <w:t>7</w:t>
      </w:r>
      <w:r w:rsidRPr="00D2703B">
        <w:t>-1</w:t>
      </w:r>
      <w:r w:rsidR="00625BB2" w:rsidRPr="00D2703B">
        <w:t>8</w:t>
      </w:r>
      <w:r w:rsidRPr="00D2703B">
        <w:t xml:space="preserve"> to $</w:t>
      </w:r>
      <w:r w:rsidRPr="00615C42">
        <w:t>68.</w:t>
      </w:r>
      <w:r w:rsidR="00625BB2" w:rsidRPr="00D2703B">
        <w:t>2</w:t>
      </w:r>
      <w:r w:rsidRPr="00D2703B">
        <w:t xml:space="preserve"> billion in 2019-20. This is forecast to further increase to $</w:t>
      </w:r>
      <w:r w:rsidRPr="00615C42">
        <w:t>78.</w:t>
      </w:r>
      <w:r w:rsidR="00625BB2" w:rsidRPr="00D2703B">
        <w:t>1</w:t>
      </w:r>
      <w:r w:rsidRPr="00D2703B">
        <w:t xml:space="preserve"> billion in 2020-21.</w:t>
      </w:r>
    </w:p>
    <w:p w14:paraId="734B9D09" w14:textId="3FB4B574" w:rsidR="00964D05" w:rsidRPr="007641D2" w:rsidRDefault="00964D05" w:rsidP="00964D05">
      <w:pPr>
        <w:pStyle w:val="Heading4"/>
        <w:rPr>
          <w:rFonts w:ascii="Arial" w:hAnsi="Arial" w:cs="Arial"/>
          <w:i/>
          <w:szCs w:val="25"/>
        </w:rPr>
      </w:pPr>
      <w:bookmarkStart w:id="3" w:name="_Hlk55560873"/>
      <w:r w:rsidRPr="007641D2">
        <w:rPr>
          <w:rFonts w:ascii="Arial" w:hAnsi="Arial" w:cs="Arial"/>
          <w:szCs w:val="25"/>
        </w:rPr>
        <w:t>Public order and safety</w:t>
      </w:r>
    </w:p>
    <w:p w14:paraId="36D4616C" w14:textId="5D2B78F6" w:rsidR="00964D05" w:rsidRPr="00956DC3" w:rsidRDefault="00964D05" w:rsidP="009517E2">
      <w:pPr>
        <w:pStyle w:val="BodyText"/>
      </w:pPr>
      <w:r w:rsidRPr="00D2703B">
        <w:t xml:space="preserve">The 2020-21 Budget provides </w:t>
      </w:r>
      <w:r w:rsidRPr="00615C42">
        <w:t>$</w:t>
      </w:r>
      <w:r w:rsidR="009C2C98" w:rsidRPr="00615C42">
        <w:t>9.</w:t>
      </w:r>
      <w:r w:rsidR="00625BB2" w:rsidRPr="00D2703B">
        <w:t>4</w:t>
      </w:r>
      <w:r w:rsidRPr="00D2703B">
        <w:t xml:space="preserve"> billion in recurrent expenditure on the public order and safety government function, making up </w:t>
      </w:r>
      <w:r w:rsidR="009C2C98" w:rsidRPr="00D2703B">
        <w:t>9.</w:t>
      </w:r>
      <w:r w:rsidR="00625BB2" w:rsidRPr="00D2703B">
        <w:t>6</w:t>
      </w:r>
      <w:r w:rsidRPr="00D2703B">
        <w:t> per cent of total recurrent expenditure. Recurrent expenditure in 2020-21 is largely attributable to maintaining services for courts, prisons, fire and civil protections and police. It also includes support for border operations and hotel quarantining programs.</w:t>
      </w:r>
    </w:p>
    <w:p w14:paraId="0CAA4F85" w14:textId="39F750F3" w:rsidR="00964D05" w:rsidRPr="007641D2" w:rsidRDefault="00964D05" w:rsidP="009517E2">
      <w:pPr>
        <w:pStyle w:val="BodyText"/>
        <w:rPr>
          <w:b/>
          <w:kern w:val="28"/>
          <w:sz w:val="25"/>
          <w:szCs w:val="36"/>
        </w:rPr>
      </w:pPr>
      <w:r w:rsidRPr="00D2703B">
        <w:t>Capital spending on public order and safety is forecast to be $</w:t>
      </w:r>
      <w:r w:rsidRPr="00615C42">
        <w:t>1.4 billion</w:t>
      </w:r>
      <w:r w:rsidRPr="00D2703B">
        <w:t xml:space="preserve">, or </w:t>
      </w:r>
      <w:r w:rsidRPr="00615C42">
        <w:t>6.0</w:t>
      </w:r>
      <w:r w:rsidRPr="00D2703B">
        <w:t> per cent of total 2020-21 capital expenditure. This includes the continuation of the Prison Bed Capacity Program, a range of capital upgrades across the criminal justice network.</w:t>
      </w:r>
    </w:p>
    <w:p w14:paraId="4660BED0" w14:textId="6582E5D6" w:rsidR="0070275E" w:rsidRPr="007641D2" w:rsidRDefault="0070275E" w:rsidP="0070275E">
      <w:pPr>
        <w:pStyle w:val="Heading4"/>
        <w:rPr>
          <w:rFonts w:ascii="Arial" w:hAnsi="Arial" w:cs="Arial"/>
          <w:i/>
        </w:rPr>
      </w:pPr>
      <w:r w:rsidRPr="007641D2">
        <w:rPr>
          <w:rFonts w:ascii="Arial" w:hAnsi="Arial" w:cs="Arial"/>
        </w:rPr>
        <w:t xml:space="preserve">General </w:t>
      </w:r>
      <w:r w:rsidR="002360CB" w:rsidRPr="007641D2">
        <w:rPr>
          <w:rFonts w:ascii="Arial" w:hAnsi="Arial" w:cs="Arial"/>
        </w:rPr>
        <w:t>p</w:t>
      </w:r>
      <w:r w:rsidRPr="007641D2">
        <w:rPr>
          <w:rFonts w:ascii="Arial" w:hAnsi="Arial" w:cs="Arial"/>
        </w:rPr>
        <w:t xml:space="preserve">ublic </w:t>
      </w:r>
      <w:r w:rsidR="002360CB" w:rsidRPr="007641D2">
        <w:rPr>
          <w:rFonts w:ascii="Arial" w:hAnsi="Arial" w:cs="Arial"/>
        </w:rPr>
        <w:t>s</w:t>
      </w:r>
      <w:r w:rsidRPr="007641D2">
        <w:rPr>
          <w:rFonts w:ascii="Arial" w:hAnsi="Arial" w:cs="Arial"/>
        </w:rPr>
        <w:t>ervice</w:t>
      </w:r>
      <w:r w:rsidR="001955AE" w:rsidRPr="007641D2">
        <w:rPr>
          <w:rFonts w:ascii="Arial" w:hAnsi="Arial" w:cs="Arial"/>
        </w:rPr>
        <w:t>s</w:t>
      </w:r>
    </w:p>
    <w:p w14:paraId="5CEB399D" w14:textId="24BA1504" w:rsidR="00E5272F" w:rsidRPr="00056743" w:rsidRDefault="00E5272F" w:rsidP="009517E2">
      <w:pPr>
        <w:pStyle w:val="BodyText"/>
      </w:pPr>
      <w:r w:rsidRPr="00056743">
        <w:t>The Government will spend an estimated $</w:t>
      </w:r>
      <w:r w:rsidR="00625BB2" w:rsidRPr="00056743">
        <w:t>7.2</w:t>
      </w:r>
      <w:r w:rsidRPr="00056743">
        <w:t xml:space="preserve"> billion in 2020-21 on recurrent services within general public services, representing </w:t>
      </w:r>
      <w:r w:rsidR="00625BB2" w:rsidRPr="00615C42">
        <w:t>7.3</w:t>
      </w:r>
      <w:r w:rsidRPr="00056743">
        <w:t xml:space="preserve"> per cent of total recurrent expenditure. Th</w:t>
      </w:r>
      <w:r w:rsidR="00E029E1" w:rsidRPr="00056743">
        <w:t>is</w:t>
      </w:r>
      <w:r w:rsidRPr="00056743">
        <w:t xml:space="preserve"> include</w:t>
      </w:r>
      <w:r w:rsidR="00E029E1" w:rsidRPr="00056743">
        <w:t>s</w:t>
      </w:r>
      <w:r w:rsidRPr="00056743">
        <w:t xml:space="preserve"> </w:t>
      </w:r>
      <w:r w:rsidR="0067717C" w:rsidRPr="00056743">
        <w:t xml:space="preserve">the delivery of </w:t>
      </w:r>
      <w:r w:rsidRPr="00056743">
        <w:t>bushfire response</w:t>
      </w:r>
      <w:r w:rsidR="00DA5CB5" w:rsidRPr="00056743">
        <w:t xml:space="preserve"> measures</w:t>
      </w:r>
      <w:r w:rsidRPr="00056743">
        <w:t>, land tax concessions, small business recovery grants, digital voucher scheme, and the Jobs Plus program to support job creation and business growth.</w:t>
      </w:r>
    </w:p>
    <w:p w14:paraId="29373303" w14:textId="71645211" w:rsidR="00BF0590" w:rsidRPr="00E442F4" w:rsidRDefault="00E54DF1" w:rsidP="009517E2">
      <w:pPr>
        <w:pStyle w:val="BodyText"/>
      </w:pPr>
      <w:r w:rsidRPr="00056743">
        <w:t>C</w:t>
      </w:r>
      <w:r w:rsidR="00820BE3" w:rsidRPr="00056743">
        <w:t xml:space="preserve">apital </w:t>
      </w:r>
      <w:r w:rsidR="00340EC1" w:rsidRPr="00056743">
        <w:t xml:space="preserve">expenditure </w:t>
      </w:r>
      <w:r w:rsidRPr="00056743">
        <w:t xml:space="preserve">in general public services </w:t>
      </w:r>
      <w:r w:rsidR="00641268" w:rsidRPr="00056743">
        <w:t>is $</w:t>
      </w:r>
      <w:r w:rsidR="006A0889" w:rsidRPr="00615C42">
        <w:t>1</w:t>
      </w:r>
      <w:r w:rsidR="00641268" w:rsidRPr="00615C42">
        <w:t>.</w:t>
      </w:r>
      <w:r w:rsidR="006A0889" w:rsidRPr="00615C42">
        <w:t>3</w:t>
      </w:r>
      <w:r w:rsidR="00641268" w:rsidRPr="00056743">
        <w:t xml:space="preserve"> billion in </w:t>
      </w:r>
      <w:r w:rsidR="009A06BB" w:rsidRPr="00056743">
        <w:t>2020-21</w:t>
      </w:r>
      <w:r w:rsidR="00340EC1" w:rsidRPr="00056743">
        <w:t>.</w:t>
      </w:r>
      <w:bookmarkEnd w:id="3"/>
    </w:p>
    <w:p w14:paraId="128375BD" w14:textId="47F627BE" w:rsidR="005A6961" w:rsidRPr="007641D2" w:rsidRDefault="005A6961" w:rsidP="0029186A">
      <w:pPr>
        <w:pStyle w:val="Heading4"/>
        <w:rPr>
          <w:rFonts w:ascii="Arial" w:hAnsi="Arial" w:cs="Arial"/>
          <w:i/>
          <w:szCs w:val="25"/>
        </w:rPr>
      </w:pPr>
      <w:bookmarkStart w:id="4" w:name="_Hlk55571802"/>
      <w:r w:rsidRPr="007641D2">
        <w:rPr>
          <w:rFonts w:ascii="Arial" w:hAnsi="Arial" w:cs="Arial"/>
          <w:szCs w:val="25"/>
        </w:rPr>
        <w:t xml:space="preserve">Social </w:t>
      </w:r>
      <w:r w:rsidR="00DE5384" w:rsidRPr="007641D2">
        <w:rPr>
          <w:rFonts w:ascii="Arial" w:hAnsi="Arial" w:cs="Arial"/>
          <w:szCs w:val="25"/>
        </w:rPr>
        <w:t>p</w:t>
      </w:r>
      <w:r w:rsidRPr="007641D2">
        <w:rPr>
          <w:rFonts w:ascii="Arial" w:hAnsi="Arial" w:cs="Arial"/>
          <w:szCs w:val="25"/>
        </w:rPr>
        <w:t>rotection</w:t>
      </w:r>
    </w:p>
    <w:p w14:paraId="11B72228" w14:textId="7C904224" w:rsidR="00096E4E" w:rsidRPr="00B95370" w:rsidRDefault="001F1D0D">
      <w:pPr>
        <w:pStyle w:val="BodyText"/>
      </w:pPr>
      <w:r w:rsidRPr="00B95370">
        <w:t xml:space="preserve">The Government is </w:t>
      </w:r>
      <w:r w:rsidR="00B9605E" w:rsidRPr="00B95370">
        <w:t xml:space="preserve">committed </w:t>
      </w:r>
      <w:r w:rsidRPr="00B95370">
        <w:t>to protect</w:t>
      </w:r>
      <w:r w:rsidR="0071101F" w:rsidRPr="00B95370">
        <w:t>ing</w:t>
      </w:r>
      <w:r w:rsidRPr="00B95370">
        <w:t xml:space="preserve"> the vulnerable, break</w:t>
      </w:r>
      <w:r w:rsidR="00462E35" w:rsidRPr="00B95370">
        <w:t>ing</w:t>
      </w:r>
      <w:r w:rsidRPr="00B95370">
        <w:t xml:space="preserve"> the cycles of disadvantage and support</w:t>
      </w:r>
      <w:r w:rsidR="003C00C0" w:rsidRPr="00B95370">
        <w:t>ing</w:t>
      </w:r>
      <w:r w:rsidRPr="00B95370">
        <w:t xml:space="preserve"> people with disabilit</w:t>
      </w:r>
      <w:r w:rsidR="00D37C66" w:rsidRPr="00B95370">
        <w:t>ies</w:t>
      </w:r>
      <w:r w:rsidR="00D02AE7" w:rsidRPr="00B95370">
        <w:t>.</w:t>
      </w:r>
    </w:p>
    <w:p w14:paraId="1579310D" w14:textId="2EADB21C" w:rsidR="00606631" w:rsidRPr="00B95370" w:rsidRDefault="00606631">
      <w:pPr>
        <w:pStyle w:val="BodyText"/>
      </w:pPr>
      <w:r w:rsidRPr="00B95370">
        <w:t xml:space="preserve">In 2020-21, social protection recurrent expenses represent </w:t>
      </w:r>
      <w:r w:rsidR="00625BB2" w:rsidRPr="00615C42">
        <w:t>9.0</w:t>
      </w:r>
      <w:r w:rsidRPr="00B95370">
        <w:t> per cent of total GGS expenditure</w:t>
      </w:r>
      <w:r w:rsidR="002B27FB" w:rsidRPr="00B95370">
        <w:t xml:space="preserve"> at $</w:t>
      </w:r>
      <w:r w:rsidR="0067029F" w:rsidRPr="00615C42">
        <w:t>8</w:t>
      </w:r>
      <w:r w:rsidR="002B27FB" w:rsidRPr="00615C42">
        <w:t>.</w:t>
      </w:r>
      <w:r w:rsidR="00625BB2" w:rsidRPr="00B95370">
        <w:t>9</w:t>
      </w:r>
      <w:r w:rsidR="002B27FB" w:rsidRPr="00B95370">
        <w:t> billion</w:t>
      </w:r>
      <w:r w:rsidRPr="00B95370">
        <w:t>.</w:t>
      </w:r>
      <w:r w:rsidR="004F3FD6" w:rsidRPr="00B95370">
        <w:t xml:space="preserve"> This includes the establishment of a Social Sector Transformation Fund to support charities and social enterprises, continuation of Out of Home Care support packages and contributions to the National Disability Insurance Scheme. </w:t>
      </w:r>
    </w:p>
    <w:p w14:paraId="0D9C17F5" w14:textId="6E05EFC4" w:rsidR="001138FB" w:rsidRPr="007641D2" w:rsidRDefault="001138FB">
      <w:pPr>
        <w:pStyle w:val="BodyText"/>
      </w:pPr>
      <w:r w:rsidRPr="00B95370">
        <w:t xml:space="preserve">Capital </w:t>
      </w:r>
      <w:r w:rsidR="00340EC1" w:rsidRPr="00B95370">
        <w:t xml:space="preserve">investment for social protection </w:t>
      </w:r>
      <w:r w:rsidRPr="00B95370">
        <w:t>in 20</w:t>
      </w:r>
      <w:r w:rsidR="006C51B6" w:rsidRPr="00B95370">
        <w:t>20</w:t>
      </w:r>
      <w:r w:rsidRPr="00B95370">
        <w:t>-2</w:t>
      </w:r>
      <w:r w:rsidR="006C51B6" w:rsidRPr="00B95370">
        <w:t>1</w:t>
      </w:r>
      <w:r w:rsidRPr="00B95370">
        <w:t xml:space="preserve"> is $</w:t>
      </w:r>
      <w:r w:rsidR="00D02AE7" w:rsidRPr="00615C42">
        <w:t>208.3</w:t>
      </w:r>
      <w:r w:rsidRPr="00B95370">
        <w:t xml:space="preserve"> million</w:t>
      </w:r>
      <w:r w:rsidR="00D02AE7" w:rsidRPr="00B95370">
        <w:t>, an increase of $121.6</w:t>
      </w:r>
      <w:r w:rsidR="00692E77">
        <w:t> </w:t>
      </w:r>
      <w:r w:rsidR="00D02AE7" w:rsidRPr="00B95370">
        <w:t>million from 2019-20. This increase is largely attributable to Aboriginal Housing Office maintenance and capital works.</w:t>
      </w:r>
    </w:p>
    <w:bookmarkEnd w:id="4"/>
    <w:p w14:paraId="7A4AD173" w14:textId="2E36A121" w:rsidR="005A6961" w:rsidRPr="007641D2" w:rsidDel="00D53491" w:rsidRDefault="00EE4AD5" w:rsidP="0029186A">
      <w:pPr>
        <w:pStyle w:val="Heading4"/>
        <w:rPr>
          <w:rFonts w:ascii="Arial" w:hAnsi="Arial" w:cs="Arial"/>
          <w:i/>
        </w:rPr>
      </w:pPr>
      <w:r w:rsidRPr="007641D2">
        <w:rPr>
          <w:rFonts w:ascii="Arial" w:hAnsi="Arial" w:cs="Arial"/>
        </w:rPr>
        <w:t xml:space="preserve">Economic </w:t>
      </w:r>
      <w:r w:rsidR="009C357D" w:rsidRPr="007641D2">
        <w:rPr>
          <w:rFonts w:ascii="Arial" w:hAnsi="Arial" w:cs="Arial"/>
        </w:rPr>
        <w:t>a</w:t>
      </w:r>
      <w:r w:rsidRPr="007641D2">
        <w:rPr>
          <w:rFonts w:ascii="Arial" w:hAnsi="Arial" w:cs="Arial"/>
        </w:rPr>
        <w:t>ffairs</w:t>
      </w:r>
    </w:p>
    <w:p w14:paraId="4C52B668" w14:textId="3C49D0DF" w:rsidR="006A545F" w:rsidRPr="003B5FE7" w:rsidRDefault="00D61A2C">
      <w:pPr>
        <w:pStyle w:val="BodyText"/>
      </w:pPr>
      <w:r w:rsidRPr="00B95370" w:rsidDel="00D53491">
        <w:t>The Government will spend an estimated $</w:t>
      </w:r>
      <w:r w:rsidR="00625BB2" w:rsidRPr="00615C42">
        <w:t>6</w:t>
      </w:r>
      <w:r w:rsidR="009E7BCB" w:rsidRPr="00615C42">
        <w:t>.</w:t>
      </w:r>
      <w:r w:rsidR="00625BB2" w:rsidRPr="00615C42">
        <w:t>8</w:t>
      </w:r>
      <w:r w:rsidRPr="00B95370" w:rsidDel="00D53491">
        <w:t xml:space="preserve"> billion in </w:t>
      </w:r>
      <w:r w:rsidR="009E7BCB" w:rsidRPr="00B95370">
        <w:t xml:space="preserve">recurrent </w:t>
      </w:r>
      <w:r w:rsidR="009674A3" w:rsidRPr="00B95370">
        <w:t xml:space="preserve">expenses in </w:t>
      </w:r>
      <w:r w:rsidR="008E3A42" w:rsidRPr="00B95370">
        <w:t>2020-21</w:t>
      </w:r>
      <w:r w:rsidRPr="00B95370" w:rsidDel="00D53491">
        <w:t xml:space="preserve"> on </w:t>
      </w:r>
      <w:r w:rsidR="007848E0" w:rsidRPr="00B95370">
        <w:t>economic</w:t>
      </w:r>
      <w:r w:rsidR="000E135D" w:rsidRPr="00B95370">
        <w:t xml:space="preserve"> affairs</w:t>
      </w:r>
      <w:r w:rsidR="009674A3" w:rsidRPr="00B95370">
        <w:t xml:space="preserve"> and a further </w:t>
      </w:r>
      <w:r w:rsidR="00160892" w:rsidRPr="00B95370">
        <w:t>$</w:t>
      </w:r>
      <w:r w:rsidR="006A545F" w:rsidRPr="00B95370">
        <w:t>1.1</w:t>
      </w:r>
      <w:r w:rsidR="00160892" w:rsidRPr="00B95370">
        <w:t xml:space="preserve"> </w:t>
      </w:r>
      <w:r w:rsidR="006A545F" w:rsidRPr="00B95370">
        <w:t xml:space="preserve">billion </w:t>
      </w:r>
      <w:r w:rsidR="00160892" w:rsidRPr="00B95370">
        <w:t>in capital</w:t>
      </w:r>
      <w:r w:rsidR="000E135D" w:rsidRPr="00B95370">
        <w:t xml:space="preserve">. </w:t>
      </w:r>
      <w:r w:rsidR="006A545F" w:rsidRPr="00B95370">
        <w:t>This represents a $</w:t>
      </w:r>
      <w:r w:rsidR="00821F14" w:rsidRPr="00615C42">
        <w:t>1</w:t>
      </w:r>
      <w:r w:rsidR="006A545F" w:rsidRPr="00615C42">
        <w:t>.</w:t>
      </w:r>
      <w:r w:rsidR="00625BB2" w:rsidRPr="00B95370">
        <w:t>5</w:t>
      </w:r>
      <w:r w:rsidR="006A545F" w:rsidRPr="00B95370">
        <w:t xml:space="preserve"> billion </w:t>
      </w:r>
      <w:r w:rsidR="006A545F" w:rsidRPr="00615C42">
        <w:t>increase</w:t>
      </w:r>
      <w:r w:rsidR="006A545F" w:rsidRPr="00B95370">
        <w:t xml:space="preserve"> in recurrent expenses from 2019-20 or </w:t>
      </w:r>
      <w:r w:rsidR="00625BB2" w:rsidRPr="00B95370">
        <w:t>28.3</w:t>
      </w:r>
      <w:r w:rsidR="006A545F" w:rsidRPr="00B95370">
        <w:t xml:space="preserve"> per cent, and a $1.0 billion </w:t>
      </w:r>
      <w:r w:rsidR="006A545F" w:rsidRPr="00615C42">
        <w:t>increase</w:t>
      </w:r>
      <w:r w:rsidR="006A545F" w:rsidRPr="00B95370">
        <w:t xml:space="preserve"> in capital expenses from 2019-20.</w:t>
      </w:r>
    </w:p>
    <w:p w14:paraId="6BB766DF" w14:textId="481DB3C2" w:rsidR="000E135D" w:rsidRPr="007641D2" w:rsidRDefault="000E135D">
      <w:pPr>
        <w:pStyle w:val="BodyText"/>
      </w:pPr>
      <w:r w:rsidRPr="007641D2">
        <w:t>This functional classification includes expenditure in the following areas:</w:t>
      </w:r>
    </w:p>
    <w:p w14:paraId="12AA146C" w14:textId="7E2B91DB" w:rsidR="00C70891" w:rsidRPr="007641D2" w:rsidRDefault="007848E0">
      <w:pPr>
        <w:pStyle w:val="Bullet1"/>
      </w:pPr>
      <w:r w:rsidRPr="007641D2">
        <w:t>commercial and labour affairs</w:t>
      </w:r>
    </w:p>
    <w:p w14:paraId="6ED67048" w14:textId="688767C1" w:rsidR="00C70891" w:rsidRPr="007641D2" w:rsidRDefault="007848E0">
      <w:pPr>
        <w:pStyle w:val="Bullet1"/>
      </w:pPr>
      <w:r w:rsidRPr="007641D2">
        <w:t>agricultu</w:t>
      </w:r>
      <w:r w:rsidR="00492DF7" w:rsidRPr="007641D2">
        <w:t>re, forestry, fishing and hunting</w:t>
      </w:r>
    </w:p>
    <w:p w14:paraId="15DEDC81" w14:textId="2DA45837" w:rsidR="00C70891" w:rsidRPr="007641D2" w:rsidRDefault="00492DF7">
      <w:pPr>
        <w:pStyle w:val="Bullet1"/>
      </w:pPr>
      <w:r w:rsidRPr="007641D2">
        <w:t>fuel and energy</w:t>
      </w:r>
    </w:p>
    <w:p w14:paraId="4F540F41" w14:textId="5D601AEE" w:rsidR="00C70891" w:rsidRPr="007641D2" w:rsidRDefault="00492DF7">
      <w:pPr>
        <w:pStyle w:val="Bullet1"/>
      </w:pPr>
      <w:r w:rsidRPr="007641D2">
        <w:t>mining, manufacturing</w:t>
      </w:r>
      <w:r w:rsidR="0022777B" w:rsidRPr="007641D2" w:rsidDel="00D53491">
        <w:t xml:space="preserve"> </w:t>
      </w:r>
      <w:r w:rsidR="0041367B" w:rsidRPr="007641D2">
        <w:t>and construction</w:t>
      </w:r>
      <w:r w:rsidR="00F15E1A">
        <w:t>s</w:t>
      </w:r>
    </w:p>
    <w:p w14:paraId="5F15A289" w14:textId="660FDF28" w:rsidR="00D63670" w:rsidRPr="007641D2" w:rsidRDefault="0041367B">
      <w:pPr>
        <w:pStyle w:val="Bullet1"/>
      </w:pPr>
      <w:r w:rsidRPr="007641D2">
        <w:t>communication</w:t>
      </w:r>
    </w:p>
    <w:p w14:paraId="3FE89829" w14:textId="09F0FA9E" w:rsidR="00D63670" w:rsidRPr="007641D2" w:rsidRDefault="0041367B">
      <w:pPr>
        <w:pStyle w:val="Bullet1"/>
      </w:pPr>
      <w:r w:rsidRPr="007641D2">
        <w:t>other industries</w:t>
      </w:r>
    </w:p>
    <w:p w14:paraId="3D1621C4" w14:textId="3A5F15CD" w:rsidR="00DE09AD" w:rsidRPr="003B5FE7" w:rsidRDefault="0041367B" w:rsidP="00615C42">
      <w:pPr>
        <w:pStyle w:val="Bullet1"/>
      </w:pPr>
      <w:r w:rsidRPr="007641D2">
        <w:t>research and development</w:t>
      </w:r>
      <w:r w:rsidR="005872D2" w:rsidRPr="007641D2" w:rsidDel="00D53491">
        <w:t xml:space="preserve">. </w:t>
      </w:r>
    </w:p>
    <w:sectPr w:rsidR="00DE09AD" w:rsidRPr="003B5FE7" w:rsidSect="00C21953">
      <w:headerReference w:type="even" r:id="rId19"/>
      <w:headerReference w:type="default" r:id="rId20"/>
      <w:footerReference w:type="even" r:id="rId21"/>
      <w:footerReference w:type="default" r:id="rId22"/>
      <w:headerReference w:type="first" r:id="rId23"/>
      <w:footerReference w:type="first" r:id="rId24"/>
      <w:pgSz w:w="11907" w:h="16840" w:code="9"/>
      <w:pgMar w:top="1134" w:right="1134" w:bottom="567" w:left="1134" w:header="454" w:footer="454"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A2D66E" w14:textId="77777777" w:rsidR="009948FD" w:rsidRDefault="009948FD" w:rsidP="007563DF">
      <w:r>
        <w:separator/>
      </w:r>
    </w:p>
  </w:endnote>
  <w:endnote w:type="continuationSeparator" w:id="0">
    <w:p w14:paraId="3AEBF17F" w14:textId="77777777" w:rsidR="009948FD" w:rsidRDefault="009948FD" w:rsidP="007563DF">
      <w:r>
        <w:continuationSeparator/>
      </w:r>
    </w:p>
  </w:endnote>
  <w:endnote w:type="continuationNotice" w:id="1">
    <w:p w14:paraId="7226D7D6" w14:textId="77777777" w:rsidR="009948FD" w:rsidRDefault="009948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955F9" w14:textId="6F06ADC5" w:rsidR="002700B7" w:rsidRDefault="002700B7" w:rsidP="000D08E8">
    <w:pPr>
      <w:pBdr>
        <w:top w:val="single" w:sz="4" w:space="4" w:color="auto"/>
      </w:pBdr>
      <w:tabs>
        <w:tab w:val="right" w:pos="9639"/>
      </w:tabs>
      <w:rPr>
        <w:lang w:val="en-AU"/>
      </w:rPr>
    </w:pPr>
    <w:r>
      <w:rPr>
        <w:rFonts w:ascii="Arial" w:hAnsi="Arial" w:cs="Arial"/>
        <w:sz w:val="18"/>
        <w:szCs w:val="18"/>
      </w:rPr>
      <w:t>5</w:t>
    </w:r>
    <w:r w:rsidRPr="009548A3">
      <w:rPr>
        <w:rFonts w:ascii="Arial" w:hAnsi="Arial" w:cs="Arial"/>
        <w:sz w:val="18"/>
        <w:szCs w:val="18"/>
      </w:rPr>
      <w:t xml:space="preserve"> - </w:t>
    </w:r>
    <w:r w:rsidRPr="009548A3">
      <w:rPr>
        <w:rFonts w:ascii="Arial" w:hAnsi="Arial" w:cs="Arial"/>
        <w:sz w:val="18"/>
        <w:szCs w:val="18"/>
      </w:rPr>
      <w:fldChar w:fldCharType="begin"/>
    </w:r>
    <w:r w:rsidRPr="009548A3">
      <w:rPr>
        <w:rFonts w:ascii="Arial" w:hAnsi="Arial" w:cs="Arial"/>
        <w:sz w:val="18"/>
        <w:szCs w:val="18"/>
      </w:rPr>
      <w:instrText xml:space="preserve"> PAGE   \* MERGEFORMAT </w:instrText>
    </w:r>
    <w:r w:rsidRPr="009548A3">
      <w:rPr>
        <w:rFonts w:ascii="Arial" w:hAnsi="Arial" w:cs="Arial"/>
        <w:sz w:val="18"/>
        <w:szCs w:val="18"/>
      </w:rPr>
      <w:fldChar w:fldCharType="separate"/>
    </w:r>
    <w:r>
      <w:rPr>
        <w:rFonts w:ascii="Arial" w:hAnsi="Arial" w:cs="Arial"/>
        <w:noProof/>
        <w:sz w:val="18"/>
        <w:szCs w:val="18"/>
      </w:rPr>
      <w:t>12</w:t>
    </w:r>
    <w:r w:rsidRPr="009548A3">
      <w:rPr>
        <w:rFonts w:ascii="Arial" w:hAnsi="Arial" w:cs="Arial"/>
        <w:noProof/>
        <w:sz w:val="18"/>
        <w:szCs w:val="18"/>
      </w:rPr>
      <w:fldChar w:fldCharType="end"/>
    </w:r>
    <w:r w:rsidRPr="009548A3">
      <w:rPr>
        <w:rFonts w:ascii="Arial" w:hAnsi="Arial" w:cs="Arial"/>
        <w:noProof/>
        <w:sz w:val="18"/>
        <w:szCs w:val="18"/>
      </w:rPr>
      <w:tab/>
    </w:r>
    <w:r w:rsidRPr="009548A3">
      <w:rPr>
        <w:rFonts w:ascii="Arial" w:hAnsi="Arial" w:cs="Arial"/>
        <w:sz w:val="18"/>
        <w:szCs w:val="18"/>
      </w:rPr>
      <w:t xml:space="preserve">Budget Statement </w:t>
    </w:r>
    <w:r w:rsidR="00B0402C">
      <w:rPr>
        <w:rFonts w:ascii="Arial" w:hAnsi="Arial" w:cs="Arial"/>
        <w:sz w:val="18"/>
        <w:szCs w:val="18"/>
      </w:rPr>
      <w:t>2020-21</w:t>
    </w:r>
    <w:r w:rsidR="00C43187" w:rsidDel="00C43187">
      <w:rPr>
        <w:sz w:val="12"/>
        <w:szCs w:val="12"/>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0AF35" w14:textId="1C72913C" w:rsidR="002700B7" w:rsidRDefault="002700B7" w:rsidP="000D08E8">
    <w:pPr>
      <w:pBdr>
        <w:top w:val="single" w:sz="4" w:space="4" w:color="auto"/>
      </w:pBdr>
      <w:tabs>
        <w:tab w:val="right" w:pos="9639"/>
      </w:tabs>
      <w:rPr>
        <w:rFonts w:ascii="Arial" w:hAnsi="Arial" w:cs="Arial"/>
        <w:sz w:val="18"/>
        <w:szCs w:val="18"/>
      </w:rPr>
    </w:pPr>
    <w:r w:rsidRPr="00C70A26">
      <w:rPr>
        <w:rFonts w:ascii="Arial" w:hAnsi="Arial" w:cs="Arial"/>
        <w:sz w:val="18"/>
        <w:szCs w:val="18"/>
      </w:rPr>
      <w:t xml:space="preserve">Budget Statement </w:t>
    </w:r>
    <w:r w:rsidR="00B0402C">
      <w:rPr>
        <w:rFonts w:ascii="Arial" w:hAnsi="Arial" w:cs="Arial"/>
        <w:sz w:val="18"/>
        <w:szCs w:val="18"/>
      </w:rPr>
      <w:t>2020-21</w:t>
    </w:r>
    <w:r w:rsidRPr="00C70A26">
      <w:rPr>
        <w:rFonts w:ascii="Arial" w:hAnsi="Arial" w:cs="Arial"/>
        <w:sz w:val="18"/>
        <w:szCs w:val="18"/>
      </w:rPr>
      <w:tab/>
    </w:r>
    <w:r>
      <w:rPr>
        <w:rFonts w:ascii="Arial" w:hAnsi="Arial" w:cs="Arial"/>
        <w:sz w:val="18"/>
        <w:szCs w:val="18"/>
      </w:rPr>
      <w:t>5</w:t>
    </w:r>
    <w:r w:rsidRPr="00C70A26">
      <w:rPr>
        <w:rFonts w:ascii="Arial" w:hAnsi="Arial" w:cs="Arial"/>
        <w:sz w:val="18"/>
        <w:szCs w:val="18"/>
      </w:rPr>
      <w:t xml:space="preserve"> - </w:t>
    </w:r>
    <w:r w:rsidRPr="00C70A26">
      <w:rPr>
        <w:rFonts w:ascii="Arial" w:hAnsi="Arial" w:cs="Arial"/>
        <w:sz w:val="18"/>
        <w:szCs w:val="18"/>
      </w:rPr>
      <w:fldChar w:fldCharType="begin"/>
    </w:r>
    <w:r w:rsidRPr="00C70A26">
      <w:rPr>
        <w:rFonts w:ascii="Arial" w:hAnsi="Arial" w:cs="Arial"/>
        <w:sz w:val="18"/>
        <w:szCs w:val="18"/>
      </w:rPr>
      <w:instrText xml:space="preserve"> PAGE   \* MERGEFORMAT </w:instrText>
    </w:r>
    <w:r w:rsidRPr="00C70A26">
      <w:rPr>
        <w:rFonts w:ascii="Arial" w:hAnsi="Arial" w:cs="Arial"/>
        <w:sz w:val="18"/>
        <w:szCs w:val="18"/>
      </w:rPr>
      <w:fldChar w:fldCharType="separate"/>
    </w:r>
    <w:r>
      <w:rPr>
        <w:rFonts w:ascii="Arial" w:hAnsi="Arial" w:cs="Arial"/>
        <w:noProof/>
        <w:sz w:val="18"/>
        <w:szCs w:val="18"/>
      </w:rPr>
      <w:t>11</w:t>
    </w:r>
    <w:r w:rsidRPr="00C70A26">
      <w:rPr>
        <w:rFonts w:ascii="Arial" w:hAnsi="Arial"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675BCB" w14:textId="0D861315" w:rsidR="002700B7" w:rsidRDefault="002700B7" w:rsidP="00012000">
    <w:pPr>
      <w:pBdr>
        <w:top w:val="single" w:sz="4" w:space="4" w:color="auto"/>
      </w:pBdr>
      <w:tabs>
        <w:tab w:val="right" w:pos="9639"/>
      </w:tabs>
      <w:rPr>
        <w:rFonts w:ascii="Arial" w:hAnsi="Arial" w:cs="Arial"/>
        <w:noProof/>
        <w:sz w:val="18"/>
        <w:szCs w:val="18"/>
      </w:rPr>
    </w:pPr>
    <w:r w:rsidRPr="009548A3">
      <w:rPr>
        <w:rFonts w:ascii="Arial" w:hAnsi="Arial" w:cs="Arial"/>
        <w:sz w:val="18"/>
        <w:szCs w:val="18"/>
      </w:rPr>
      <w:t xml:space="preserve">Budget Statement </w:t>
    </w:r>
    <w:r w:rsidR="00B0402C">
      <w:rPr>
        <w:rFonts w:ascii="Arial" w:hAnsi="Arial" w:cs="Arial"/>
        <w:sz w:val="18"/>
        <w:szCs w:val="18"/>
      </w:rPr>
      <w:t>2020-21</w:t>
    </w:r>
    <w:r w:rsidRPr="009548A3">
      <w:rPr>
        <w:rFonts w:ascii="Arial" w:hAnsi="Arial" w:cs="Arial"/>
        <w:sz w:val="18"/>
        <w:szCs w:val="18"/>
      </w:rPr>
      <w:tab/>
    </w:r>
    <w:r>
      <w:rPr>
        <w:rFonts w:ascii="Arial" w:hAnsi="Arial" w:cs="Arial"/>
        <w:sz w:val="18"/>
        <w:szCs w:val="18"/>
      </w:rPr>
      <w:t>5</w:t>
    </w:r>
    <w:r w:rsidRPr="009548A3">
      <w:rPr>
        <w:rFonts w:ascii="Arial" w:hAnsi="Arial" w:cs="Arial"/>
        <w:sz w:val="18"/>
        <w:szCs w:val="18"/>
      </w:rPr>
      <w:t xml:space="preserve"> - </w:t>
    </w:r>
    <w:r w:rsidRPr="009548A3">
      <w:rPr>
        <w:rFonts w:ascii="Arial" w:hAnsi="Arial" w:cs="Arial"/>
        <w:sz w:val="18"/>
        <w:szCs w:val="18"/>
      </w:rPr>
      <w:fldChar w:fldCharType="begin"/>
    </w:r>
    <w:r w:rsidRPr="009548A3">
      <w:rPr>
        <w:rFonts w:ascii="Arial" w:hAnsi="Arial" w:cs="Arial"/>
        <w:sz w:val="18"/>
        <w:szCs w:val="18"/>
      </w:rPr>
      <w:instrText xml:space="preserve"> PAGE   \* MERGEFORMAT </w:instrText>
    </w:r>
    <w:r w:rsidRPr="009548A3">
      <w:rPr>
        <w:rFonts w:ascii="Arial" w:hAnsi="Arial" w:cs="Arial"/>
        <w:sz w:val="18"/>
        <w:szCs w:val="18"/>
      </w:rPr>
      <w:fldChar w:fldCharType="separate"/>
    </w:r>
    <w:r>
      <w:rPr>
        <w:rFonts w:ascii="Arial" w:hAnsi="Arial" w:cs="Arial"/>
        <w:noProof/>
        <w:sz w:val="18"/>
        <w:szCs w:val="18"/>
      </w:rPr>
      <w:t>1</w:t>
    </w:r>
    <w:r w:rsidRPr="009548A3">
      <w:rPr>
        <w:rFonts w:ascii="Arial" w:hAnsi="Arial" w:cs="Arial"/>
        <w:noProof/>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0643C22" w14:textId="77777777" w:rsidR="009948FD" w:rsidRDefault="009948FD" w:rsidP="007563DF">
      <w:r>
        <w:separator/>
      </w:r>
    </w:p>
  </w:footnote>
  <w:footnote w:type="continuationSeparator" w:id="0">
    <w:p w14:paraId="7FE5940D" w14:textId="77777777" w:rsidR="009948FD" w:rsidRDefault="009948FD" w:rsidP="007563DF">
      <w:r>
        <w:continuationSeparator/>
      </w:r>
    </w:p>
  </w:footnote>
  <w:footnote w:type="continuationNotice" w:id="1">
    <w:p w14:paraId="7E4BA59D" w14:textId="77777777" w:rsidR="009948FD" w:rsidRDefault="009948FD"/>
  </w:footnote>
  <w:footnote w:id="2">
    <w:p w14:paraId="1A08B1A4" w14:textId="17D009A1" w:rsidR="0015169B" w:rsidRPr="00A46DA5" w:rsidRDefault="0015169B" w:rsidP="00A0273A">
      <w:pPr>
        <w:pStyle w:val="FootnoteText"/>
        <w:spacing w:before="0" w:after="0"/>
        <w:ind w:hanging="283"/>
        <w:rPr>
          <w:rFonts w:ascii="Arial" w:hAnsi="Arial" w:cs="Arial"/>
          <w:i w:val="0"/>
          <w:szCs w:val="16"/>
          <w:lang w:val="en-AU"/>
        </w:rPr>
      </w:pPr>
      <w:r w:rsidRPr="00A46DA5">
        <w:rPr>
          <w:rStyle w:val="FootnoteReference"/>
          <w:rFonts w:ascii="Arial" w:hAnsi="Arial" w:cs="Arial"/>
          <w:i w:val="0"/>
        </w:rPr>
        <w:footnoteRef/>
      </w:r>
      <w:r w:rsidRPr="00A0273A">
        <w:rPr>
          <w:rStyle w:val="FootnoteReference"/>
          <w:rFonts w:ascii="Arial" w:hAnsi="Arial" w:cs="Arial"/>
        </w:rPr>
        <w:tab/>
      </w:r>
      <w:r w:rsidR="00A46DA5">
        <w:rPr>
          <w:rStyle w:val="FootnoteReference"/>
          <w:rFonts w:ascii="Arial" w:hAnsi="Arial" w:cs="Arial"/>
          <w:i w:val="0"/>
          <w:vertAlign w:val="baseline"/>
        </w:rPr>
        <w:t>I</w:t>
      </w:r>
      <w:r w:rsidR="00173BE3" w:rsidRPr="00EE50FF">
        <w:rPr>
          <w:rStyle w:val="FootnoteReference"/>
          <w:rFonts w:ascii="Arial" w:hAnsi="Arial" w:cs="Arial"/>
          <w:i w:val="0"/>
          <w:szCs w:val="16"/>
          <w:vertAlign w:val="baseline"/>
        </w:rPr>
        <w:t>nclude</w:t>
      </w:r>
      <w:r w:rsidR="00BF0CD1">
        <w:rPr>
          <w:rFonts w:ascii="Arial" w:hAnsi="Arial" w:cs="Arial"/>
          <w:i w:val="0"/>
          <w:szCs w:val="16"/>
        </w:rPr>
        <w:t>s</w:t>
      </w:r>
      <w:r w:rsidR="00173BE3" w:rsidRPr="00EE50FF">
        <w:rPr>
          <w:rStyle w:val="FootnoteReference"/>
          <w:rFonts w:ascii="Arial" w:hAnsi="Arial" w:cs="Arial"/>
          <w:i w:val="0"/>
          <w:szCs w:val="16"/>
          <w:vertAlign w:val="baseline"/>
        </w:rPr>
        <w:t xml:space="preserve"> Commonwealth </w:t>
      </w:r>
      <w:r w:rsidR="00AE628B" w:rsidRPr="00EE50FF">
        <w:rPr>
          <w:rStyle w:val="FootnoteReference"/>
          <w:rFonts w:ascii="Arial" w:hAnsi="Arial" w:cs="Arial"/>
          <w:i w:val="0"/>
          <w:szCs w:val="16"/>
          <w:vertAlign w:val="baseline"/>
        </w:rPr>
        <w:t>c</w:t>
      </w:r>
      <w:r w:rsidR="00173BE3" w:rsidRPr="00EE50FF">
        <w:rPr>
          <w:rStyle w:val="FootnoteReference"/>
          <w:rFonts w:ascii="Arial" w:hAnsi="Arial" w:cs="Arial"/>
          <w:i w:val="0"/>
          <w:szCs w:val="16"/>
          <w:vertAlign w:val="baseline"/>
        </w:rPr>
        <w:t>ontributions</w:t>
      </w:r>
      <w:r w:rsidR="00AE628B" w:rsidRPr="00753D2D">
        <w:rPr>
          <w:rStyle w:val="FootnoteReference"/>
          <w:rFonts w:ascii="Arial" w:hAnsi="Arial" w:cs="Arial"/>
          <w:i w:val="0"/>
          <w:szCs w:val="16"/>
          <w:vertAlign w:val="baseline"/>
        </w:rPr>
        <w:t xml:space="preserve"> and investments that do not have an impact on </w:t>
      </w:r>
      <w:r w:rsidR="000A161D" w:rsidRPr="00753D2D">
        <w:rPr>
          <w:rFonts w:ascii="Arial" w:hAnsi="Arial" w:cs="Arial"/>
          <w:i w:val="0"/>
          <w:szCs w:val="16"/>
        </w:rPr>
        <w:t xml:space="preserve">general government </w:t>
      </w:r>
      <w:r w:rsidR="00AE628B" w:rsidRPr="00A46DA5">
        <w:rPr>
          <w:rStyle w:val="FootnoteReference"/>
          <w:rFonts w:ascii="Arial" w:hAnsi="Arial" w:cs="Arial"/>
          <w:i w:val="0"/>
          <w:szCs w:val="16"/>
          <w:vertAlign w:val="baseline"/>
        </w:rPr>
        <w:t>expenditure</w:t>
      </w:r>
      <w:r w:rsidR="00173BE3" w:rsidRPr="00A46DA5">
        <w:rPr>
          <w:rStyle w:val="FootnoteReference"/>
          <w:rFonts w:ascii="Arial" w:hAnsi="Arial" w:cs="Arial"/>
          <w:i w:val="0"/>
          <w:szCs w:val="16"/>
          <w:vertAlign w:val="baseline"/>
        </w:rPr>
        <w:t>.</w:t>
      </w:r>
    </w:p>
  </w:footnote>
  <w:footnote w:id="3">
    <w:p w14:paraId="33E760B6" w14:textId="7799CA4C" w:rsidR="00A46DA5" w:rsidRPr="00A0273A" w:rsidRDefault="00A46DA5" w:rsidP="00A0273A">
      <w:pPr>
        <w:pStyle w:val="FootnoteText"/>
        <w:spacing w:before="0" w:after="0"/>
        <w:ind w:hanging="283"/>
        <w:rPr>
          <w:rFonts w:ascii="Arial" w:hAnsi="Arial" w:cs="Arial"/>
          <w:i w:val="0"/>
          <w:iCs/>
          <w:lang w:val="en-AU"/>
        </w:rPr>
      </w:pPr>
      <w:r w:rsidRPr="00A0273A">
        <w:rPr>
          <w:rStyle w:val="FootnoteReference"/>
          <w:rFonts w:ascii="Arial" w:hAnsi="Arial" w:cs="Arial"/>
          <w:i w:val="0"/>
        </w:rPr>
        <w:footnoteRef/>
      </w:r>
      <w:r w:rsidRPr="00A0273A">
        <w:rPr>
          <w:rStyle w:val="FootnoteReference"/>
          <w:rFonts w:ascii="Arial" w:hAnsi="Arial" w:cs="Arial"/>
        </w:rPr>
        <w:t xml:space="preserve"> </w:t>
      </w:r>
      <w:r w:rsidRPr="00EE50FF">
        <w:rPr>
          <w:rStyle w:val="FootnoteReference"/>
          <w:rFonts w:ascii="Arial" w:hAnsi="Arial" w:cs="Arial"/>
        </w:rPr>
        <w:tab/>
      </w:r>
      <w:r w:rsidRPr="00A0273A">
        <w:rPr>
          <w:rStyle w:val="FootnoteReference"/>
          <w:rFonts w:ascii="Arial" w:hAnsi="Arial" w:cs="Arial"/>
          <w:i w:val="0"/>
          <w:iCs/>
          <w:vertAlign w:val="baseline"/>
        </w:rPr>
        <w:t>Include</w:t>
      </w:r>
      <w:r w:rsidRPr="00A0273A">
        <w:rPr>
          <w:rFonts w:ascii="Arial" w:hAnsi="Arial" w:cs="Arial"/>
          <w:i w:val="0"/>
          <w:iCs/>
        </w:rPr>
        <w:t>s</w:t>
      </w:r>
      <w:r w:rsidRPr="00A0273A">
        <w:rPr>
          <w:rStyle w:val="FootnoteReference"/>
          <w:rFonts w:ascii="Arial" w:hAnsi="Arial" w:cs="Arial"/>
          <w:i w:val="0"/>
          <w:iCs/>
          <w:vertAlign w:val="baseline"/>
        </w:rPr>
        <w:t xml:space="preserve"> revenue, recurrent and capital expenditure impacts, and </w:t>
      </w:r>
      <w:r w:rsidR="00BF0CD1" w:rsidRPr="00A0273A">
        <w:rPr>
          <w:rStyle w:val="FootnoteReference"/>
          <w:rFonts w:ascii="Arial" w:hAnsi="Arial" w:cs="Arial"/>
          <w:i w:val="0"/>
          <w:iCs/>
          <w:vertAlign w:val="baseline"/>
        </w:rPr>
        <w:t>i</w:t>
      </w:r>
      <w:r w:rsidR="00BF0CD1" w:rsidRPr="00A0273A">
        <w:rPr>
          <w:rFonts w:ascii="Arial" w:hAnsi="Arial" w:cs="Arial"/>
          <w:i w:val="0"/>
          <w:iCs/>
        </w:rPr>
        <w:t>mpacts</w:t>
      </w:r>
      <w:r w:rsidRPr="00A0273A">
        <w:rPr>
          <w:rStyle w:val="FootnoteReference"/>
          <w:rFonts w:ascii="Arial" w:hAnsi="Arial" w:cs="Arial"/>
          <w:i w:val="0"/>
          <w:iCs/>
          <w:vertAlign w:val="baseline"/>
        </w:rPr>
        <w:t xml:space="preserve"> outside the general government sector.</w:t>
      </w:r>
    </w:p>
  </w:footnote>
  <w:footnote w:id="4">
    <w:p w14:paraId="0D9B3D35" w14:textId="346141AD" w:rsidR="0015169B" w:rsidRPr="00A0273A" w:rsidRDefault="0015169B" w:rsidP="00A0273A">
      <w:pPr>
        <w:pStyle w:val="FootnoteText"/>
        <w:spacing w:before="0" w:after="0"/>
        <w:ind w:left="681" w:hanging="284"/>
        <w:rPr>
          <w:rFonts w:ascii="Arial" w:hAnsi="Arial" w:cs="Arial"/>
          <w:lang w:val="en-AU"/>
        </w:rPr>
      </w:pPr>
      <w:r w:rsidRPr="00A0273A">
        <w:rPr>
          <w:rStyle w:val="FootnoteReference"/>
          <w:rFonts w:ascii="Arial" w:hAnsi="Arial" w:cs="Arial"/>
          <w:i w:val="0"/>
          <w:iCs/>
        </w:rPr>
        <w:footnoteRef/>
      </w:r>
      <w:r w:rsidRPr="00A0273A">
        <w:rPr>
          <w:rFonts w:ascii="Arial" w:hAnsi="Arial" w:cs="Arial"/>
          <w:i w:val="0"/>
          <w:iCs/>
        </w:rPr>
        <w:t xml:space="preserve"> </w:t>
      </w:r>
      <w:r w:rsidR="00C43187">
        <w:rPr>
          <w:rFonts w:ascii="Arial" w:hAnsi="Arial" w:cs="Arial"/>
          <w:i w:val="0"/>
          <w:iCs/>
        </w:rPr>
        <w:tab/>
      </w:r>
      <w:r w:rsidR="00D74D07">
        <w:rPr>
          <w:rStyle w:val="FootnoteReference"/>
          <w:rFonts w:ascii="Arial" w:hAnsi="Arial" w:cs="Arial"/>
          <w:i w:val="0"/>
          <w:iCs/>
          <w:vertAlign w:val="baseline"/>
        </w:rPr>
        <w:t>I</w:t>
      </w:r>
      <w:r w:rsidR="00D74D07" w:rsidRPr="00645E81">
        <w:rPr>
          <w:rStyle w:val="FootnoteReference"/>
          <w:rFonts w:ascii="Arial" w:hAnsi="Arial" w:cs="Arial"/>
          <w:i w:val="0"/>
          <w:iCs/>
          <w:vertAlign w:val="baseline"/>
        </w:rPr>
        <w:t>nclude</w:t>
      </w:r>
      <w:r w:rsidR="00D74D07">
        <w:rPr>
          <w:rFonts w:ascii="Arial" w:hAnsi="Arial" w:cs="Arial"/>
          <w:i w:val="0"/>
          <w:iCs/>
        </w:rPr>
        <w:t>s</w:t>
      </w:r>
      <w:r w:rsidR="00D74D07" w:rsidRPr="00645E81">
        <w:rPr>
          <w:rStyle w:val="FootnoteReference"/>
          <w:rFonts w:ascii="Arial" w:hAnsi="Arial" w:cs="Arial"/>
          <w:i w:val="0"/>
          <w:iCs/>
          <w:vertAlign w:val="baseline"/>
        </w:rPr>
        <w:t xml:space="preserve"> revenue, recurrent and capital expenditure impacts, and impacts outside the general government sector.</w:t>
      </w:r>
    </w:p>
  </w:footnote>
  <w:footnote w:id="5">
    <w:p w14:paraId="014153CE" w14:textId="55AC8236" w:rsidR="00165D8F" w:rsidRPr="00753D2D" w:rsidRDefault="00165D8F" w:rsidP="00A0273A">
      <w:pPr>
        <w:pStyle w:val="FootnoteText"/>
        <w:spacing w:before="0" w:after="0"/>
        <w:ind w:left="681" w:hanging="284"/>
        <w:rPr>
          <w:rFonts w:ascii="Arial" w:hAnsi="Arial" w:cs="Arial"/>
          <w:lang w:val="en-AU"/>
        </w:rPr>
      </w:pPr>
      <w:r w:rsidRPr="00EE50FF">
        <w:rPr>
          <w:rStyle w:val="FootnoteReference"/>
          <w:rFonts w:ascii="Arial" w:hAnsi="Arial" w:cs="Arial"/>
          <w:i w:val="0"/>
        </w:rPr>
        <w:footnoteRef/>
      </w:r>
      <w:r w:rsidRPr="00EE50FF">
        <w:rPr>
          <w:rFonts w:ascii="Arial" w:hAnsi="Arial" w:cs="Arial"/>
          <w:i w:val="0"/>
        </w:rPr>
        <w:t xml:space="preserve"> </w:t>
      </w:r>
      <w:r w:rsidR="00C43187">
        <w:rPr>
          <w:rFonts w:ascii="Arial" w:hAnsi="Arial" w:cs="Arial"/>
          <w:i w:val="0"/>
        </w:rPr>
        <w:tab/>
      </w:r>
      <w:r w:rsidRPr="00753D2D">
        <w:rPr>
          <w:rFonts w:ascii="Arial" w:hAnsi="Arial" w:cs="Arial"/>
          <w:i w:val="0"/>
        </w:rPr>
        <w:t>Figures are</w:t>
      </w:r>
      <w:r w:rsidR="00A76D98" w:rsidRPr="00753D2D">
        <w:rPr>
          <w:rFonts w:ascii="Arial" w:hAnsi="Arial" w:cs="Arial"/>
          <w:i w:val="0"/>
        </w:rPr>
        <w:t xml:space="preserve"> for recurrent and capital expenditure</w:t>
      </w:r>
      <w:r w:rsidRPr="00753D2D">
        <w:rPr>
          <w:rFonts w:ascii="Arial" w:hAnsi="Arial" w:cs="Arial"/>
          <w:i w:val="0"/>
        </w:rPr>
        <w:t xml:space="preserve"> over five years to 2023-24.</w:t>
      </w:r>
    </w:p>
  </w:footnote>
  <w:footnote w:id="6">
    <w:p w14:paraId="0796390E" w14:textId="6B8ED549" w:rsidR="005D0CDE" w:rsidRPr="00A0273A" w:rsidRDefault="00413700" w:rsidP="00A0273A">
      <w:pPr>
        <w:pStyle w:val="FootnoteText"/>
        <w:spacing w:before="0" w:after="0"/>
        <w:ind w:left="681" w:hanging="284"/>
        <w:rPr>
          <w:rStyle w:val="FootnoteReference"/>
          <w:rFonts w:ascii="Arial" w:hAnsi="Arial" w:cs="Arial"/>
          <w:i w:val="0"/>
          <w:vertAlign w:val="baseline"/>
        </w:rPr>
      </w:pPr>
      <w:r w:rsidRPr="009A07DE">
        <w:rPr>
          <w:rStyle w:val="FootnoteReference"/>
          <w:rFonts w:ascii="Arial" w:hAnsi="Arial" w:cs="Arial"/>
          <w:i w:val="0"/>
          <w:iCs/>
        </w:rPr>
        <w:t xml:space="preserve">5 </w:t>
      </w:r>
      <w:r w:rsidR="00A3523E" w:rsidRPr="009A07DE">
        <w:rPr>
          <w:rFonts w:ascii="Arial" w:hAnsi="Arial" w:cs="Arial"/>
        </w:rPr>
        <w:tab/>
      </w:r>
      <w:r w:rsidR="005D0CDE" w:rsidRPr="009A07DE">
        <w:rPr>
          <w:rStyle w:val="FootnoteReference"/>
          <w:rFonts w:ascii="Arial" w:hAnsi="Arial" w:cs="Arial"/>
          <w:i w:val="0"/>
          <w:vertAlign w:val="baseline"/>
        </w:rPr>
        <w:t>Figures are for recurrent and capital expenditure over five years to 2023-24.</w:t>
      </w:r>
    </w:p>
  </w:footnote>
  <w:footnote w:id="7">
    <w:p w14:paraId="11B2F236" w14:textId="61994402" w:rsidR="0022474B" w:rsidRPr="00A0273A" w:rsidRDefault="0022474B"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Pr="00A0273A">
        <w:rPr>
          <w:rStyle w:val="FootnoteReference"/>
          <w:rFonts w:ascii="Arial" w:hAnsi="Arial" w:cs="Arial"/>
          <w:i w:val="0"/>
        </w:rPr>
        <w:t xml:space="preserve"> </w:t>
      </w:r>
      <w:r w:rsidR="00A3523E" w:rsidRPr="00A0273A">
        <w:rPr>
          <w:rFonts w:ascii="Arial" w:hAnsi="Arial" w:cs="Arial"/>
          <w:i w:val="0"/>
        </w:rPr>
        <w:tab/>
      </w:r>
      <w:r w:rsidRPr="00A0273A">
        <w:rPr>
          <w:rStyle w:val="FootnoteReference"/>
          <w:rFonts w:ascii="Arial" w:hAnsi="Arial" w:cs="Arial"/>
          <w:i w:val="0"/>
          <w:vertAlign w:val="baseline"/>
        </w:rPr>
        <w:t>Includes depreciation expenses and expenditure associate</w:t>
      </w:r>
      <w:r w:rsidR="00803ED3" w:rsidRPr="00A0273A">
        <w:rPr>
          <w:rStyle w:val="FootnoteReference"/>
          <w:rFonts w:ascii="Arial" w:hAnsi="Arial" w:cs="Arial"/>
          <w:i w:val="0"/>
          <w:vertAlign w:val="baseline"/>
        </w:rPr>
        <w:t>d with Commonwealth co-contributions.</w:t>
      </w:r>
      <w:r w:rsidR="003C40E9" w:rsidRPr="00A0273A">
        <w:rPr>
          <w:rStyle w:val="FootnoteReference"/>
          <w:rFonts w:ascii="Arial" w:hAnsi="Arial" w:cs="Arial"/>
          <w:i w:val="0"/>
          <w:vertAlign w:val="baseline"/>
        </w:rPr>
        <w:t xml:space="preserve"> Excludes measures identified as both bushfire response and COVID-19 stimulus and support measures.</w:t>
      </w:r>
    </w:p>
  </w:footnote>
  <w:footnote w:id="8">
    <w:p w14:paraId="6E609389" w14:textId="60CDAB07" w:rsidR="00441AD0" w:rsidRPr="00A0273A" w:rsidRDefault="00441AD0"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00A3523E" w:rsidRPr="00A0273A">
        <w:rPr>
          <w:rFonts w:ascii="Arial" w:hAnsi="Arial" w:cs="Arial"/>
          <w:i w:val="0"/>
        </w:rPr>
        <w:tab/>
      </w:r>
      <w:r w:rsidR="00FD58C2" w:rsidRPr="00A0273A">
        <w:rPr>
          <w:rStyle w:val="FootnoteReference"/>
          <w:rFonts w:ascii="Arial" w:hAnsi="Arial" w:cs="Arial"/>
          <w:i w:val="0"/>
          <w:vertAlign w:val="baseline"/>
        </w:rPr>
        <w:t>Further</w:t>
      </w:r>
      <w:r w:rsidR="00C02968" w:rsidRPr="00A0273A">
        <w:rPr>
          <w:rStyle w:val="FootnoteReference"/>
          <w:rFonts w:ascii="Arial" w:hAnsi="Arial" w:cs="Arial"/>
          <w:i w:val="0"/>
          <w:vertAlign w:val="baseline"/>
        </w:rPr>
        <w:t xml:space="preserve"> bushfire response measures </w:t>
      </w:r>
      <w:r w:rsidR="00FD58C2" w:rsidRPr="00A0273A">
        <w:rPr>
          <w:rStyle w:val="FootnoteReference"/>
          <w:rFonts w:ascii="Arial" w:hAnsi="Arial" w:cs="Arial"/>
          <w:i w:val="0"/>
          <w:vertAlign w:val="baseline"/>
        </w:rPr>
        <w:t xml:space="preserve">have capital expenditure impacts and </w:t>
      </w:r>
      <w:r w:rsidR="00C02968" w:rsidRPr="00A0273A">
        <w:rPr>
          <w:rStyle w:val="FootnoteReference"/>
          <w:rFonts w:ascii="Arial" w:hAnsi="Arial" w:cs="Arial"/>
          <w:i w:val="0"/>
          <w:vertAlign w:val="baseline"/>
        </w:rPr>
        <w:t>impact</w:t>
      </w:r>
      <w:r w:rsidR="00FD58C2" w:rsidRPr="00A0273A">
        <w:rPr>
          <w:rStyle w:val="FootnoteReference"/>
          <w:rFonts w:ascii="Arial" w:hAnsi="Arial" w:cs="Arial"/>
          <w:i w:val="0"/>
          <w:vertAlign w:val="baseline"/>
        </w:rPr>
        <w:t>s</w:t>
      </w:r>
      <w:r w:rsidR="00C02968" w:rsidRPr="00A0273A">
        <w:rPr>
          <w:rStyle w:val="FootnoteReference"/>
          <w:rFonts w:ascii="Arial" w:hAnsi="Arial" w:cs="Arial"/>
          <w:i w:val="0"/>
          <w:vertAlign w:val="baseline"/>
        </w:rPr>
        <w:t xml:space="preserve"> outside the general government sector.</w:t>
      </w:r>
    </w:p>
  </w:footnote>
  <w:footnote w:id="9">
    <w:p w14:paraId="4A0E2C7E" w14:textId="7353B1DF" w:rsidR="000B1A8D" w:rsidRPr="00A0273A" w:rsidRDefault="000B1A8D"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Pr="00A0273A">
        <w:rPr>
          <w:rStyle w:val="FootnoteReference"/>
          <w:rFonts w:ascii="Arial" w:hAnsi="Arial" w:cs="Arial"/>
          <w:i w:val="0"/>
          <w:vertAlign w:val="baseline"/>
        </w:rPr>
        <w:t xml:space="preserve"> </w:t>
      </w:r>
      <w:r w:rsidR="00725745" w:rsidRPr="00A0273A">
        <w:rPr>
          <w:rStyle w:val="FootnoteReference"/>
          <w:rFonts w:ascii="Arial" w:hAnsi="Arial" w:cs="Arial"/>
          <w:i w:val="0"/>
          <w:vertAlign w:val="baseline"/>
        </w:rPr>
        <w:tab/>
      </w:r>
      <w:r w:rsidR="000A161D" w:rsidRPr="00A0273A">
        <w:rPr>
          <w:rStyle w:val="FootnoteReference"/>
          <w:rFonts w:ascii="Arial" w:hAnsi="Arial" w:cs="Arial"/>
          <w:i w:val="0"/>
          <w:vertAlign w:val="baseline"/>
        </w:rPr>
        <w:t xml:space="preserve">Bushfire response measures include Commonwealth contributions and investments that do not have an impact on general government expenditure. </w:t>
      </w:r>
      <w:r w:rsidR="0080091C" w:rsidRPr="00A0273A">
        <w:rPr>
          <w:rStyle w:val="FootnoteReference"/>
          <w:rFonts w:ascii="Arial" w:hAnsi="Arial" w:cs="Arial"/>
          <w:i w:val="0"/>
          <w:vertAlign w:val="baseline"/>
        </w:rPr>
        <w:t xml:space="preserve">Includes $349.0 million over five years for Crown Lands fencing repair and the Bushfire Industry Recovery Package, which are also included as COVID-19 </w:t>
      </w:r>
      <w:r w:rsidR="000A161D" w:rsidRPr="00A0273A">
        <w:rPr>
          <w:rStyle w:val="FootnoteReference"/>
          <w:rFonts w:ascii="Arial" w:hAnsi="Arial" w:cs="Arial"/>
          <w:i w:val="0"/>
          <w:vertAlign w:val="baseline"/>
        </w:rPr>
        <w:t>stimulus and support</w:t>
      </w:r>
      <w:r w:rsidR="0080091C" w:rsidRPr="00A0273A">
        <w:rPr>
          <w:rStyle w:val="FootnoteReference"/>
          <w:rFonts w:ascii="Arial" w:hAnsi="Arial" w:cs="Arial"/>
          <w:i w:val="0"/>
          <w:vertAlign w:val="baseline"/>
        </w:rPr>
        <w:t xml:space="preserve"> measures.</w:t>
      </w:r>
    </w:p>
  </w:footnote>
  <w:footnote w:id="10">
    <w:p w14:paraId="1F9C23EF" w14:textId="0695C88B" w:rsidR="003F607E" w:rsidRPr="00A0273A" w:rsidRDefault="003F607E"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Pr="00A0273A">
        <w:rPr>
          <w:rStyle w:val="FootnoteReference"/>
          <w:rFonts w:ascii="Arial" w:hAnsi="Arial" w:cs="Arial"/>
          <w:i w:val="0"/>
          <w:vertAlign w:val="baseline"/>
        </w:rPr>
        <w:t xml:space="preserve"> </w:t>
      </w:r>
      <w:r w:rsidRPr="00A0273A">
        <w:rPr>
          <w:rStyle w:val="FootnoteReference"/>
          <w:rFonts w:ascii="Arial" w:hAnsi="Arial" w:cs="Arial"/>
          <w:i w:val="0"/>
          <w:vertAlign w:val="baseline"/>
        </w:rPr>
        <w:tab/>
        <w:t xml:space="preserve">Figure for the response to the NSW Bushfire Inquiry to 2023-24 is $168.3 million. </w:t>
      </w:r>
    </w:p>
  </w:footnote>
  <w:footnote w:id="11">
    <w:p w14:paraId="0CD166F5" w14:textId="3B3B1E37" w:rsidR="003F607E" w:rsidRPr="00A0273A" w:rsidRDefault="003F607E"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Pr="00A0273A">
        <w:rPr>
          <w:rStyle w:val="FootnoteReference"/>
          <w:rFonts w:ascii="Arial" w:hAnsi="Arial" w:cs="Arial"/>
          <w:i w:val="0"/>
          <w:vertAlign w:val="baseline"/>
        </w:rPr>
        <w:tab/>
        <w:t>Figure to 2023-24 is $147.7 million.</w:t>
      </w:r>
    </w:p>
  </w:footnote>
  <w:footnote w:id="12">
    <w:p w14:paraId="62A5583C" w14:textId="577D379D" w:rsidR="002700B7" w:rsidRPr="00A0273A" w:rsidRDefault="002700B7" w:rsidP="00A0273A">
      <w:pPr>
        <w:pStyle w:val="FootnoteText"/>
        <w:spacing w:before="0" w:after="0"/>
        <w:ind w:left="681" w:hanging="284"/>
        <w:rPr>
          <w:rStyle w:val="FootnoteReference"/>
          <w:rFonts w:ascii="Arial" w:hAnsi="Arial" w:cs="Arial"/>
          <w:i w:val="0"/>
          <w:vertAlign w:val="baseline"/>
        </w:rPr>
      </w:pPr>
      <w:r w:rsidRPr="00A0273A">
        <w:rPr>
          <w:rStyle w:val="FootnoteReference"/>
          <w:rFonts w:ascii="Arial" w:hAnsi="Arial" w:cs="Arial"/>
          <w:i w:val="0"/>
        </w:rPr>
        <w:footnoteRef/>
      </w:r>
      <w:r w:rsidRPr="00A0273A">
        <w:rPr>
          <w:rStyle w:val="FootnoteReference"/>
          <w:rFonts w:ascii="Arial" w:hAnsi="Arial" w:cs="Arial"/>
          <w:i w:val="0"/>
          <w:vertAlign w:val="baseline"/>
        </w:rPr>
        <w:t xml:space="preserve"> </w:t>
      </w:r>
      <w:r w:rsidRPr="00A0273A">
        <w:rPr>
          <w:rStyle w:val="FootnoteReference"/>
          <w:rFonts w:ascii="Arial" w:hAnsi="Arial" w:cs="Arial"/>
          <w:i w:val="0"/>
          <w:vertAlign w:val="baseline"/>
        </w:rPr>
        <w:tab/>
        <w:t>Calculated as purchases of non-financial assets per the cash flow statement. For consistency with other states, assets acquired through finance leases are excluded.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FF8AD4" w14:textId="77777777" w:rsidR="002700B7" w:rsidRPr="003628E4" w:rsidRDefault="002700B7" w:rsidP="00F765FB">
    <w:pPr>
      <w:pBdr>
        <w:bottom w:val="single" w:sz="4" w:space="4" w:color="auto"/>
      </w:pBdr>
      <w:rPr>
        <w:rFonts w:ascii="Arial" w:eastAsia="Calibri" w:hAnsi="Arial" w:cs="Arial"/>
        <w:sz w:val="18"/>
        <w:szCs w:val="18"/>
      </w:rPr>
    </w:pPr>
    <w:r w:rsidRPr="003628E4">
      <w:rPr>
        <w:rFonts w:ascii="Arial" w:eastAsia="Calibri" w:hAnsi="Arial" w:cs="Arial"/>
        <w:sz w:val="18"/>
        <w:szCs w:val="18"/>
      </w:rPr>
      <w:t>Expenditure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ECAE4" w14:textId="77777777" w:rsidR="002700B7" w:rsidRPr="003628E4" w:rsidRDefault="002700B7" w:rsidP="00F765FB">
    <w:pPr>
      <w:pBdr>
        <w:bottom w:val="single" w:sz="4" w:space="4" w:color="auto"/>
      </w:pBdr>
      <w:jc w:val="right"/>
      <w:rPr>
        <w:rFonts w:ascii="Arial" w:eastAsia="Calibri" w:hAnsi="Arial" w:cs="Arial"/>
        <w:sz w:val="18"/>
        <w:szCs w:val="18"/>
      </w:rPr>
    </w:pPr>
    <w:r w:rsidRPr="003628E4">
      <w:rPr>
        <w:rFonts w:ascii="Arial" w:eastAsia="Calibri" w:hAnsi="Arial" w:cs="Arial"/>
        <w:sz w:val="18"/>
        <w:szCs w:val="18"/>
      </w:rPr>
      <w:t>Expenditure</w:t>
    </w:r>
  </w:p>
  <w:p w14:paraId="250A7428" w14:textId="77777777" w:rsidR="002700B7" w:rsidRDefault="002700B7"/>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7EB8EC" w14:textId="77777777" w:rsidR="002700B7" w:rsidRDefault="002700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A1C20"/>
    <w:multiLevelType w:val="hybridMultilevel"/>
    <w:tmpl w:val="77FEC972"/>
    <w:lvl w:ilvl="0" w:tplc="B720BFAE">
      <w:start w:val="1"/>
      <w:numFmt w:val="bullet"/>
      <w:lvlText w:val=""/>
      <w:lvlJc w:val="left"/>
      <w:pPr>
        <w:ind w:left="720" w:hanging="360"/>
      </w:pPr>
      <w:rPr>
        <w:rFonts w:ascii="Symbol" w:hAnsi="Symbol" w:hint="default"/>
        <w:b/>
        <w:i w:val="0"/>
      </w:rPr>
    </w:lvl>
    <w:lvl w:ilvl="1" w:tplc="F38C0BD0">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44B6C83"/>
    <w:multiLevelType w:val="hybridMultilevel"/>
    <w:tmpl w:val="9CA284A0"/>
    <w:lvl w:ilvl="0" w:tplc="8828EC16">
      <w:start w:val="1"/>
      <w:numFmt w:val="lowerLetter"/>
      <w:lvlText w:val="(%1)"/>
      <w:lvlJc w:val="left"/>
      <w:pPr>
        <w:ind w:left="720" w:hanging="360"/>
      </w:pPr>
      <w:rPr>
        <w:rFonts w:ascii="Arial" w:hAnsi="Arial" w:hint="default"/>
        <w:sz w:val="17"/>
        <w:szCs w:val="17"/>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55B20BB"/>
    <w:multiLevelType w:val="hybridMultilevel"/>
    <w:tmpl w:val="748C890E"/>
    <w:lvl w:ilvl="0" w:tplc="981E2CB2">
      <w:start w:val="1"/>
      <w:numFmt w:val="decimal"/>
      <w:pStyle w:val="Chart5x"/>
      <w:lvlText w:val="Chart 5.%1:"/>
      <w:lvlJc w:val="left"/>
      <w:pPr>
        <w:ind w:left="360" w:hanging="360"/>
      </w:pPr>
      <w:rPr>
        <w:rFonts w:ascii="Arial" w:hAnsi="Arial" w:hint="default"/>
        <w:b w:val="0"/>
        <w:i/>
        <w:caps w:val="0"/>
        <w:color w:val="57514D"/>
        <w:sz w:val="22"/>
        <w:u w:val="none"/>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5DE5882"/>
    <w:multiLevelType w:val="hybridMultilevel"/>
    <w:tmpl w:val="022A7A84"/>
    <w:lvl w:ilvl="0" w:tplc="E2B4A8B0">
      <w:start w:val="1"/>
      <w:numFmt w:val="bullet"/>
      <w:pStyle w:val="Bullet3"/>
      <w:lvlText w:val=""/>
      <w:lvlJc w:val="left"/>
      <w:pPr>
        <w:tabs>
          <w:tab w:val="num" w:pos="1276"/>
        </w:tabs>
        <w:ind w:left="1276" w:hanging="425"/>
      </w:pPr>
      <w:rPr>
        <w:rFonts w:ascii="Symbol" w:hAnsi="Symbol" w:hint="default"/>
        <w:sz w:val="22"/>
      </w:rPr>
    </w:lvl>
    <w:lvl w:ilvl="1" w:tplc="D09CA14E">
      <w:numFmt w:val="decimal"/>
      <w:lvlText w:val=""/>
      <w:lvlJc w:val="left"/>
    </w:lvl>
    <w:lvl w:ilvl="2" w:tplc="AF4807F4">
      <w:numFmt w:val="decimal"/>
      <w:lvlText w:val=""/>
      <w:lvlJc w:val="left"/>
    </w:lvl>
    <w:lvl w:ilvl="3" w:tplc="66DA2E46">
      <w:numFmt w:val="decimal"/>
      <w:lvlText w:val=""/>
      <w:lvlJc w:val="left"/>
    </w:lvl>
    <w:lvl w:ilvl="4" w:tplc="943E938A">
      <w:numFmt w:val="decimal"/>
      <w:lvlText w:val=""/>
      <w:lvlJc w:val="left"/>
    </w:lvl>
    <w:lvl w:ilvl="5" w:tplc="C3C4B8D8">
      <w:numFmt w:val="decimal"/>
      <w:lvlText w:val=""/>
      <w:lvlJc w:val="left"/>
    </w:lvl>
    <w:lvl w:ilvl="6" w:tplc="A4FA856A">
      <w:numFmt w:val="decimal"/>
      <w:lvlText w:val=""/>
      <w:lvlJc w:val="left"/>
    </w:lvl>
    <w:lvl w:ilvl="7" w:tplc="9A6251A8">
      <w:numFmt w:val="decimal"/>
      <w:lvlText w:val=""/>
      <w:lvlJc w:val="left"/>
    </w:lvl>
    <w:lvl w:ilvl="8" w:tplc="F500B37E">
      <w:numFmt w:val="decimal"/>
      <w:lvlText w:val=""/>
      <w:lvlJc w:val="left"/>
    </w:lvl>
  </w:abstractNum>
  <w:abstractNum w:abstractNumId="4" w15:restartNumberingAfterBreak="0">
    <w:nsid w:val="06650499"/>
    <w:multiLevelType w:val="hybridMultilevel"/>
    <w:tmpl w:val="6BC6F724"/>
    <w:lvl w:ilvl="0" w:tplc="C1BCC590">
      <w:start w:val="1"/>
      <w:numFmt w:val="bullet"/>
      <w:pStyle w:val="Bullet1"/>
      <w:lvlText w:val=""/>
      <w:lvlJc w:val="left"/>
      <w:pPr>
        <w:ind w:left="720" w:hanging="360"/>
      </w:pPr>
      <w:rPr>
        <w:rFonts w:ascii="Symbol" w:hAnsi="Symbol" w:hint="default"/>
        <w:sz w:val="23"/>
        <w:szCs w:val="2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77010C0"/>
    <w:multiLevelType w:val="hybridMultilevel"/>
    <w:tmpl w:val="FAE60410"/>
    <w:lvl w:ilvl="0" w:tplc="30DCC9BE">
      <w:start w:val="1"/>
      <w:numFmt w:val="decimal"/>
      <w:pStyle w:val="Heading2"/>
      <w:lvlText w:val="5.%1"/>
      <w:lvlJc w:val="left"/>
      <w:pPr>
        <w:ind w:left="360" w:hanging="360"/>
      </w:pPr>
      <w:rPr>
        <w:rFonts w:ascii="Arial Bold" w:hAnsi="Arial Bold" w:hint="default"/>
        <w:b/>
        <w:i w:val="0"/>
        <w:color w:val="53C8E9"/>
        <w:sz w:val="2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8013E37"/>
    <w:multiLevelType w:val="hybridMultilevel"/>
    <w:tmpl w:val="17E86B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253DD0"/>
    <w:multiLevelType w:val="hybridMultilevel"/>
    <w:tmpl w:val="0C5C7C2E"/>
    <w:lvl w:ilvl="0" w:tplc="0C090001">
      <w:start w:val="1"/>
      <w:numFmt w:val="bullet"/>
      <w:lvlText w:val=""/>
      <w:lvlJc w:val="left"/>
      <w:pPr>
        <w:ind w:left="788" w:hanging="360"/>
      </w:pPr>
      <w:rPr>
        <w:rFonts w:ascii="Symbol" w:hAnsi="Symbol" w:hint="default"/>
      </w:rPr>
    </w:lvl>
    <w:lvl w:ilvl="1" w:tplc="0C090003" w:tentative="1">
      <w:start w:val="1"/>
      <w:numFmt w:val="bullet"/>
      <w:lvlText w:val="o"/>
      <w:lvlJc w:val="left"/>
      <w:pPr>
        <w:ind w:left="1508" w:hanging="360"/>
      </w:pPr>
      <w:rPr>
        <w:rFonts w:ascii="Courier New" w:hAnsi="Courier New" w:cs="Courier New" w:hint="default"/>
      </w:rPr>
    </w:lvl>
    <w:lvl w:ilvl="2" w:tplc="0C090005" w:tentative="1">
      <w:start w:val="1"/>
      <w:numFmt w:val="bullet"/>
      <w:lvlText w:val=""/>
      <w:lvlJc w:val="left"/>
      <w:pPr>
        <w:ind w:left="2228" w:hanging="360"/>
      </w:pPr>
      <w:rPr>
        <w:rFonts w:ascii="Wingdings" w:hAnsi="Wingdings" w:hint="default"/>
      </w:rPr>
    </w:lvl>
    <w:lvl w:ilvl="3" w:tplc="0C090001" w:tentative="1">
      <w:start w:val="1"/>
      <w:numFmt w:val="bullet"/>
      <w:lvlText w:val=""/>
      <w:lvlJc w:val="left"/>
      <w:pPr>
        <w:ind w:left="2948" w:hanging="360"/>
      </w:pPr>
      <w:rPr>
        <w:rFonts w:ascii="Symbol" w:hAnsi="Symbol" w:hint="default"/>
      </w:rPr>
    </w:lvl>
    <w:lvl w:ilvl="4" w:tplc="0C090003" w:tentative="1">
      <w:start w:val="1"/>
      <w:numFmt w:val="bullet"/>
      <w:lvlText w:val="o"/>
      <w:lvlJc w:val="left"/>
      <w:pPr>
        <w:ind w:left="3668" w:hanging="360"/>
      </w:pPr>
      <w:rPr>
        <w:rFonts w:ascii="Courier New" w:hAnsi="Courier New" w:cs="Courier New" w:hint="default"/>
      </w:rPr>
    </w:lvl>
    <w:lvl w:ilvl="5" w:tplc="0C090005" w:tentative="1">
      <w:start w:val="1"/>
      <w:numFmt w:val="bullet"/>
      <w:lvlText w:val=""/>
      <w:lvlJc w:val="left"/>
      <w:pPr>
        <w:ind w:left="4388" w:hanging="360"/>
      </w:pPr>
      <w:rPr>
        <w:rFonts w:ascii="Wingdings" w:hAnsi="Wingdings" w:hint="default"/>
      </w:rPr>
    </w:lvl>
    <w:lvl w:ilvl="6" w:tplc="0C090001" w:tentative="1">
      <w:start w:val="1"/>
      <w:numFmt w:val="bullet"/>
      <w:lvlText w:val=""/>
      <w:lvlJc w:val="left"/>
      <w:pPr>
        <w:ind w:left="5108" w:hanging="360"/>
      </w:pPr>
      <w:rPr>
        <w:rFonts w:ascii="Symbol" w:hAnsi="Symbol" w:hint="default"/>
      </w:rPr>
    </w:lvl>
    <w:lvl w:ilvl="7" w:tplc="0C090003" w:tentative="1">
      <w:start w:val="1"/>
      <w:numFmt w:val="bullet"/>
      <w:lvlText w:val="o"/>
      <w:lvlJc w:val="left"/>
      <w:pPr>
        <w:ind w:left="5828" w:hanging="360"/>
      </w:pPr>
      <w:rPr>
        <w:rFonts w:ascii="Courier New" w:hAnsi="Courier New" w:cs="Courier New" w:hint="default"/>
      </w:rPr>
    </w:lvl>
    <w:lvl w:ilvl="8" w:tplc="0C090005" w:tentative="1">
      <w:start w:val="1"/>
      <w:numFmt w:val="bullet"/>
      <w:lvlText w:val=""/>
      <w:lvlJc w:val="left"/>
      <w:pPr>
        <w:ind w:left="6548" w:hanging="360"/>
      </w:pPr>
      <w:rPr>
        <w:rFonts w:ascii="Wingdings" w:hAnsi="Wingdings" w:hint="default"/>
      </w:rPr>
    </w:lvl>
  </w:abstractNum>
  <w:abstractNum w:abstractNumId="8" w15:restartNumberingAfterBreak="0">
    <w:nsid w:val="0D6217C1"/>
    <w:multiLevelType w:val="hybridMultilevel"/>
    <w:tmpl w:val="7C3A3320"/>
    <w:lvl w:ilvl="0" w:tplc="C8FE5B44">
      <w:start w:val="1"/>
      <w:numFmt w:val="lowerLetter"/>
      <w:lvlText w:val="(%1)"/>
      <w:lvlJc w:val="left"/>
      <w:pPr>
        <w:ind w:left="360" w:hanging="360"/>
      </w:pPr>
      <w:rPr>
        <w:rFonts w:ascii="Arial" w:hAnsi="Arial" w:hint="default"/>
        <w:sz w:val="17"/>
        <w:szCs w:val="17"/>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 w15:restartNumberingAfterBreak="0">
    <w:nsid w:val="0DCB4AFF"/>
    <w:multiLevelType w:val="hybridMultilevel"/>
    <w:tmpl w:val="C4CC58DA"/>
    <w:lvl w:ilvl="0" w:tplc="54B061C6">
      <w:start w:val="1"/>
      <w:numFmt w:val="bullet"/>
      <w:pStyle w:val="ListBullet1"/>
      <w:lvlText w:val=""/>
      <w:lvlJc w:val="left"/>
      <w:pPr>
        <w:tabs>
          <w:tab w:val="num" w:pos="454"/>
        </w:tabs>
        <w:ind w:left="454" w:hanging="454"/>
      </w:pPr>
      <w:rPr>
        <w:rFonts w:ascii="Symbol" w:hAnsi="Symbol" w:hint="default"/>
      </w:rPr>
    </w:lvl>
    <w:lvl w:ilvl="1" w:tplc="5A70E5E4">
      <w:numFmt w:val="bullet"/>
      <w:lvlText w:val="-"/>
      <w:lvlJc w:val="left"/>
      <w:pPr>
        <w:tabs>
          <w:tab w:val="num" w:pos="1440"/>
        </w:tabs>
        <w:ind w:left="1440" w:hanging="360"/>
      </w:pPr>
      <w:rPr>
        <w:rFonts w:ascii="Arial" w:eastAsia="Times New Roman" w:hAnsi="Arial" w:cs="Aria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17E4323"/>
    <w:multiLevelType w:val="hybridMultilevel"/>
    <w:tmpl w:val="C0B0B8A4"/>
    <w:lvl w:ilvl="0" w:tplc="FFFFFFFF">
      <w:start w:val="1"/>
      <w:numFmt w:val="decimal"/>
      <w:pStyle w:val="Table2X"/>
      <w:lvlText w:val="Table 1.%1:"/>
      <w:lvlJc w:val="left"/>
      <w:pPr>
        <w:ind w:left="360" w:hanging="360"/>
      </w:pPr>
      <w:rPr>
        <w:b w:val="0"/>
        <w:i/>
        <w:caps w:val="0"/>
        <w:color w:val="4F4F4F"/>
        <w:sz w:val="22"/>
        <w:u w:val="none"/>
      </w:rPr>
    </w:lvl>
    <w:lvl w:ilvl="1" w:tplc="0C090019">
      <w:start w:val="1"/>
      <w:numFmt w:val="lowerLetter"/>
      <w:lvlText w:val="(%2)"/>
      <w:lvlJc w:val="left"/>
      <w:pPr>
        <w:tabs>
          <w:tab w:val="num" w:pos="1440"/>
        </w:tabs>
        <w:ind w:left="1440" w:hanging="360"/>
      </w:pPr>
      <w:rPr>
        <w:rFonts w:hint="default"/>
      </w:r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1" w15:restartNumberingAfterBreak="0">
    <w:nsid w:val="127833DA"/>
    <w:multiLevelType w:val="hybridMultilevel"/>
    <w:tmpl w:val="D11EE830"/>
    <w:lvl w:ilvl="0" w:tplc="1E0AEB28">
      <w:start w:val="1"/>
      <w:numFmt w:val="decimal"/>
      <w:pStyle w:val="Table5X"/>
      <w:lvlText w:val="Table 5.%1:"/>
      <w:lvlJc w:val="left"/>
      <w:pPr>
        <w:ind w:left="952" w:hanging="360"/>
      </w:pPr>
      <w:rPr>
        <w:rFonts w:ascii="Arial" w:hAnsi="Arial" w:hint="default"/>
        <w:b w:val="0"/>
        <w:i/>
        <w:caps w:val="0"/>
        <w:color w:val="57514D"/>
        <w:sz w:val="22"/>
        <w:u w:val="none"/>
      </w:rPr>
    </w:lvl>
    <w:lvl w:ilvl="1" w:tplc="0C090019" w:tentative="1">
      <w:start w:val="1"/>
      <w:numFmt w:val="lowerLetter"/>
      <w:lvlText w:val="%2."/>
      <w:lvlJc w:val="left"/>
      <w:pPr>
        <w:ind w:left="-520" w:hanging="360"/>
      </w:pPr>
    </w:lvl>
    <w:lvl w:ilvl="2" w:tplc="0C09001B" w:tentative="1">
      <w:start w:val="1"/>
      <w:numFmt w:val="lowerRoman"/>
      <w:lvlText w:val="%3."/>
      <w:lvlJc w:val="right"/>
      <w:pPr>
        <w:ind w:left="200" w:hanging="180"/>
      </w:pPr>
    </w:lvl>
    <w:lvl w:ilvl="3" w:tplc="0C09000F" w:tentative="1">
      <w:start w:val="1"/>
      <w:numFmt w:val="decimal"/>
      <w:lvlText w:val="%4."/>
      <w:lvlJc w:val="left"/>
      <w:pPr>
        <w:ind w:left="920" w:hanging="360"/>
      </w:pPr>
    </w:lvl>
    <w:lvl w:ilvl="4" w:tplc="0C090019" w:tentative="1">
      <w:start w:val="1"/>
      <w:numFmt w:val="lowerLetter"/>
      <w:lvlText w:val="%5."/>
      <w:lvlJc w:val="left"/>
      <w:pPr>
        <w:ind w:left="1640" w:hanging="360"/>
      </w:pPr>
    </w:lvl>
    <w:lvl w:ilvl="5" w:tplc="0C09001B" w:tentative="1">
      <w:start w:val="1"/>
      <w:numFmt w:val="lowerRoman"/>
      <w:lvlText w:val="%6."/>
      <w:lvlJc w:val="right"/>
      <w:pPr>
        <w:ind w:left="2360" w:hanging="180"/>
      </w:pPr>
    </w:lvl>
    <w:lvl w:ilvl="6" w:tplc="0C09000F" w:tentative="1">
      <w:start w:val="1"/>
      <w:numFmt w:val="decimal"/>
      <w:lvlText w:val="%7."/>
      <w:lvlJc w:val="left"/>
      <w:pPr>
        <w:ind w:left="3080" w:hanging="360"/>
      </w:pPr>
    </w:lvl>
    <w:lvl w:ilvl="7" w:tplc="0C090019" w:tentative="1">
      <w:start w:val="1"/>
      <w:numFmt w:val="lowerLetter"/>
      <w:lvlText w:val="%8."/>
      <w:lvlJc w:val="left"/>
      <w:pPr>
        <w:ind w:left="3800" w:hanging="360"/>
      </w:pPr>
    </w:lvl>
    <w:lvl w:ilvl="8" w:tplc="0C09001B" w:tentative="1">
      <w:start w:val="1"/>
      <w:numFmt w:val="lowerRoman"/>
      <w:lvlText w:val="%9."/>
      <w:lvlJc w:val="right"/>
      <w:pPr>
        <w:ind w:left="4520" w:hanging="180"/>
      </w:pPr>
    </w:lvl>
  </w:abstractNum>
  <w:abstractNum w:abstractNumId="12" w15:restartNumberingAfterBreak="0">
    <w:nsid w:val="1CBC7FB0"/>
    <w:multiLevelType w:val="hybridMultilevel"/>
    <w:tmpl w:val="AFC81E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3" w15:restartNumberingAfterBreak="0">
    <w:nsid w:val="213B051B"/>
    <w:multiLevelType w:val="hybridMultilevel"/>
    <w:tmpl w:val="7C5EBBDA"/>
    <w:lvl w:ilvl="0" w:tplc="3AD216DE">
      <w:start w:val="1"/>
      <w:numFmt w:val="bullet"/>
      <w:pStyle w:val="Bullet1inabox"/>
      <w:lvlText w:val=""/>
      <w:lvlJc w:val="left"/>
      <w:pPr>
        <w:ind w:left="720" w:hanging="360"/>
      </w:pPr>
      <w:rPr>
        <w:rFonts w:ascii="Symbol" w:hAnsi="Symbol" w:hint="default"/>
        <w:color w:val="008EB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4EC2C7C"/>
    <w:multiLevelType w:val="hybridMultilevel"/>
    <w:tmpl w:val="DDF81798"/>
    <w:lvl w:ilvl="0" w:tplc="58AC4A48">
      <w:start w:val="1"/>
      <w:numFmt w:val="lowerLetter"/>
      <w:lvlText w:val="(%1)"/>
      <w:lvlJc w:val="left"/>
      <w:pPr>
        <w:ind w:left="360" w:hanging="360"/>
      </w:pPr>
      <w:rPr>
        <w:rFonts w:ascii="Arial" w:hAnsi="Arial" w:hint="default"/>
        <w:sz w:val="16"/>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 w15:restartNumberingAfterBreak="0">
    <w:nsid w:val="25D76DFB"/>
    <w:multiLevelType w:val="hybridMultilevel"/>
    <w:tmpl w:val="B56091CC"/>
    <w:lvl w:ilvl="0" w:tplc="D314209E">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27E24A1E"/>
    <w:multiLevelType w:val="hybridMultilevel"/>
    <w:tmpl w:val="09984F54"/>
    <w:lvl w:ilvl="0" w:tplc="B6EC0530">
      <w:start w:val="1"/>
      <w:numFmt w:val="bullet"/>
      <w:lvlText w:val=""/>
      <w:lvlJc w:val="left"/>
      <w:pPr>
        <w:ind w:left="1440" w:hanging="360"/>
      </w:pPr>
      <w:rPr>
        <w:rFonts w:ascii="Symbol" w:hAnsi="Symbol" w:hint="default"/>
        <w:sz w:val="23"/>
        <w:szCs w:val="23"/>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15:restartNumberingAfterBreak="0">
    <w:nsid w:val="2A500AEE"/>
    <w:multiLevelType w:val="hybridMultilevel"/>
    <w:tmpl w:val="20D6F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51C3F47"/>
    <w:multiLevelType w:val="hybridMultilevel"/>
    <w:tmpl w:val="AB2C42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9" w15:restartNumberingAfterBreak="0">
    <w:nsid w:val="3DF944FB"/>
    <w:multiLevelType w:val="hybridMultilevel"/>
    <w:tmpl w:val="96863882"/>
    <w:lvl w:ilvl="0" w:tplc="CC86A644">
      <w:start w:val="1"/>
      <w:numFmt w:val="bullet"/>
      <w:pStyle w:val="Bullet4"/>
      <w:lvlText w:val=""/>
      <w:lvlJc w:val="left"/>
      <w:pPr>
        <w:tabs>
          <w:tab w:val="num" w:pos="1701"/>
        </w:tabs>
        <w:ind w:left="1701" w:hanging="425"/>
      </w:pPr>
      <w:rPr>
        <w:rFonts w:ascii="Symbol" w:hAnsi="Symbol" w:hint="default"/>
        <w:sz w:val="22"/>
      </w:rPr>
    </w:lvl>
    <w:lvl w:ilvl="1" w:tplc="F928273C">
      <w:numFmt w:val="decimal"/>
      <w:lvlText w:val=""/>
      <w:lvlJc w:val="left"/>
    </w:lvl>
    <w:lvl w:ilvl="2" w:tplc="9302527A">
      <w:numFmt w:val="decimal"/>
      <w:lvlText w:val=""/>
      <w:lvlJc w:val="left"/>
    </w:lvl>
    <w:lvl w:ilvl="3" w:tplc="9E56C062">
      <w:numFmt w:val="decimal"/>
      <w:lvlText w:val=""/>
      <w:lvlJc w:val="left"/>
    </w:lvl>
    <w:lvl w:ilvl="4" w:tplc="0F826CF4">
      <w:numFmt w:val="decimal"/>
      <w:lvlText w:val=""/>
      <w:lvlJc w:val="left"/>
    </w:lvl>
    <w:lvl w:ilvl="5" w:tplc="2ED06F6C">
      <w:numFmt w:val="decimal"/>
      <w:lvlText w:val=""/>
      <w:lvlJc w:val="left"/>
    </w:lvl>
    <w:lvl w:ilvl="6" w:tplc="F5A2DE1C">
      <w:numFmt w:val="decimal"/>
      <w:lvlText w:val=""/>
      <w:lvlJc w:val="left"/>
    </w:lvl>
    <w:lvl w:ilvl="7" w:tplc="8472A1A4">
      <w:numFmt w:val="decimal"/>
      <w:lvlText w:val=""/>
      <w:lvlJc w:val="left"/>
    </w:lvl>
    <w:lvl w:ilvl="8" w:tplc="9370A9AC">
      <w:numFmt w:val="decimal"/>
      <w:lvlText w:val=""/>
      <w:lvlJc w:val="left"/>
    </w:lvl>
  </w:abstractNum>
  <w:abstractNum w:abstractNumId="20" w15:restartNumberingAfterBreak="0">
    <w:nsid w:val="432527AF"/>
    <w:multiLevelType w:val="hybridMultilevel"/>
    <w:tmpl w:val="B324E350"/>
    <w:lvl w:ilvl="0" w:tplc="F1D4DEA0">
      <w:start w:val="1"/>
      <w:numFmt w:val="bullet"/>
      <w:lvlText w:val=""/>
      <w:lvlJc w:val="left"/>
      <w:pPr>
        <w:ind w:left="360" w:hanging="360"/>
      </w:pPr>
      <w:rPr>
        <w:rFonts w:ascii="Symbol" w:hAnsi="Symbol" w:hint="default"/>
        <w:color w:val="auto"/>
        <w:sz w:val="23"/>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41E728C"/>
    <w:multiLevelType w:val="hybridMultilevel"/>
    <w:tmpl w:val="46160B16"/>
    <w:lvl w:ilvl="0" w:tplc="CE6E021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9795CAD"/>
    <w:multiLevelType w:val="hybridMultilevel"/>
    <w:tmpl w:val="F0A449B0"/>
    <w:lvl w:ilvl="0" w:tplc="56EAC62C">
      <w:start w:val="1"/>
      <w:numFmt w:val="decimal"/>
      <w:pStyle w:val="Box71BoxHeading"/>
      <w:lvlText w:val="Box 7.%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4ABE0FD9"/>
    <w:multiLevelType w:val="hybridMultilevel"/>
    <w:tmpl w:val="394A2CA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523E56FC"/>
    <w:multiLevelType w:val="hybridMultilevel"/>
    <w:tmpl w:val="711A6508"/>
    <w:lvl w:ilvl="0" w:tplc="0C090001">
      <w:start w:val="1"/>
      <w:numFmt w:val="bullet"/>
      <w:lvlText w:val=""/>
      <w:lvlJc w:val="left"/>
      <w:pPr>
        <w:ind w:left="720" w:hanging="360"/>
      </w:pPr>
      <w:rPr>
        <w:rFonts w:ascii="Symbol" w:hAnsi="Symbol" w:hint="default"/>
        <w:color w:val="008EB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2BD70C2"/>
    <w:multiLevelType w:val="hybridMultilevel"/>
    <w:tmpl w:val="AE2EC04A"/>
    <w:lvl w:ilvl="0" w:tplc="4B206FBC">
      <w:start w:val="1"/>
      <w:numFmt w:val="bullet"/>
      <w:pStyle w:val="Bullet2"/>
      <w:lvlText w:val="–"/>
      <w:lvlJc w:val="left"/>
      <w:pPr>
        <w:tabs>
          <w:tab w:val="num" w:pos="785"/>
        </w:tabs>
        <w:ind w:left="785" w:hanging="360"/>
      </w:pPr>
      <w:rPr>
        <w:rFonts w:ascii="Lucida Sans" w:hAnsi="Lucida Sans" w:hint="default"/>
        <w:color w:val="0A7CB9"/>
        <w:sz w:val="24"/>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6AB6BDF"/>
    <w:multiLevelType w:val="hybridMultilevel"/>
    <w:tmpl w:val="A3B60798"/>
    <w:lvl w:ilvl="0" w:tplc="B19C2B78">
      <w:start w:val="1"/>
      <w:numFmt w:val="decimal"/>
      <w:pStyle w:val="BoxHeading"/>
      <w:lvlText w:val="Box 5.%1:"/>
      <w:lvlJc w:val="left"/>
      <w:pPr>
        <w:ind w:left="1778" w:hanging="360"/>
      </w:pPr>
      <w:rPr>
        <w:rFonts w:ascii="Arial Bold" w:hAnsi="Arial Bold" w:hint="default"/>
        <w:b/>
        <w:i w:val="0"/>
        <w:sz w:val="23"/>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66BA4881"/>
    <w:multiLevelType w:val="hybridMultilevel"/>
    <w:tmpl w:val="966423C0"/>
    <w:lvl w:ilvl="0" w:tplc="CAA0D456">
      <w:start w:val="1"/>
      <w:numFmt w:val="bullet"/>
      <w:lvlText w:val=""/>
      <w:lvlJc w:val="left"/>
      <w:pPr>
        <w:tabs>
          <w:tab w:val="num" w:pos="720"/>
        </w:tabs>
        <w:ind w:left="720" w:hanging="360"/>
      </w:pPr>
      <w:rPr>
        <w:rFonts w:ascii="Symbol" w:hAnsi="Symbol" w:hint="default"/>
        <w:sz w:val="20"/>
      </w:rPr>
    </w:lvl>
    <w:lvl w:ilvl="1" w:tplc="8A380C54" w:tentative="1">
      <w:start w:val="1"/>
      <w:numFmt w:val="bullet"/>
      <w:lvlText w:val=""/>
      <w:lvlJc w:val="left"/>
      <w:pPr>
        <w:tabs>
          <w:tab w:val="num" w:pos="1440"/>
        </w:tabs>
        <w:ind w:left="1440" w:hanging="360"/>
      </w:pPr>
      <w:rPr>
        <w:rFonts w:ascii="Symbol" w:hAnsi="Symbol" w:hint="default"/>
        <w:sz w:val="20"/>
      </w:rPr>
    </w:lvl>
    <w:lvl w:ilvl="2" w:tplc="39806104" w:tentative="1">
      <w:start w:val="1"/>
      <w:numFmt w:val="bullet"/>
      <w:lvlText w:val=""/>
      <w:lvlJc w:val="left"/>
      <w:pPr>
        <w:tabs>
          <w:tab w:val="num" w:pos="2160"/>
        </w:tabs>
        <w:ind w:left="2160" w:hanging="360"/>
      </w:pPr>
      <w:rPr>
        <w:rFonts w:ascii="Symbol" w:hAnsi="Symbol" w:hint="default"/>
        <w:sz w:val="20"/>
      </w:rPr>
    </w:lvl>
    <w:lvl w:ilvl="3" w:tplc="468257C8" w:tentative="1">
      <w:start w:val="1"/>
      <w:numFmt w:val="bullet"/>
      <w:lvlText w:val=""/>
      <w:lvlJc w:val="left"/>
      <w:pPr>
        <w:tabs>
          <w:tab w:val="num" w:pos="2880"/>
        </w:tabs>
        <w:ind w:left="2880" w:hanging="360"/>
      </w:pPr>
      <w:rPr>
        <w:rFonts w:ascii="Symbol" w:hAnsi="Symbol" w:hint="default"/>
        <w:sz w:val="20"/>
      </w:rPr>
    </w:lvl>
    <w:lvl w:ilvl="4" w:tplc="2C4E23F0" w:tentative="1">
      <w:start w:val="1"/>
      <w:numFmt w:val="bullet"/>
      <w:lvlText w:val=""/>
      <w:lvlJc w:val="left"/>
      <w:pPr>
        <w:tabs>
          <w:tab w:val="num" w:pos="3600"/>
        </w:tabs>
        <w:ind w:left="3600" w:hanging="360"/>
      </w:pPr>
      <w:rPr>
        <w:rFonts w:ascii="Symbol" w:hAnsi="Symbol" w:hint="default"/>
        <w:sz w:val="20"/>
      </w:rPr>
    </w:lvl>
    <w:lvl w:ilvl="5" w:tplc="0F36CC6A" w:tentative="1">
      <w:start w:val="1"/>
      <w:numFmt w:val="bullet"/>
      <w:lvlText w:val=""/>
      <w:lvlJc w:val="left"/>
      <w:pPr>
        <w:tabs>
          <w:tab w:val="num" w:pos="4320"/>
        </w:tabs>
        <w:ind w:left="4320" w:hanging="360"/>
      </w:pPr>
      <w:rPr>
        <w:rFonts w:ascii="Symbol" w:hAnsi="Symbol" w:hint="default"/>
        <w:sz w:val="20"/>
      </w:rPr>
    </w:lvl>
    <w:lvl w:ilvl="6" w:tplc="AFD87640" w:tentative="1">
      <w:start w:val="1"/>
      <w:numFmt w:val="bullet"/>
      <w:lvlText w:val=""/>
      <w:lvlJc w:val="left"/>
      <w:pPr>
        <w:tabs>
          <w:tab w:val="num" w:pos="5040"/>
        </w:tabs>
        <w:ind w:left="5040" w:hanging="360"/>
      </w:pPr>
      <w:rPr>
        <w:rFonts w:ascii="Symbol" w:hAnsi="Symbol" w:hint="default"/>
        <w:sz w:val="20"/>
      </w:rPr>
    </w:lvl>
    <w:lvl w:ilvl="7" w:tplc="DABC1E56" w:tentative="1">
      <w:start w:val="1"/>
      <w:numFmt w:val="bullet"/>
      <w:lvlText w:val=""/>
      <w:lvlJc w:val="left"/>
      <w:pPr>
        <w:tabs>
          <w:tab w:val="num" w:pos="5760"/>
        </w:tabs>
        <w:ind w:left="5760" w:hanging="360"/>
      </w:pPr>
      <w:rPr>
        <w:rFonts w:ascii="Symbol" w:hAnsi="Symbol" w:hint="default"/>
        <w:sz w:val="20"/>
      </w:rPr>
    </w:lvl>
    <w:lvl w:ilvl="8" w:tplc="36D4CE2C"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67B734FF"/>
    <w:multiLevelType w:val="hybridMultilevel"/>
    <w:tmpl w:val="AF4EE796"/>
    <w:lvl w:ilvl="0" w:tplc="12B65888">
      <w:start w:val="1"/>
      <w:numFmt w:val="lowerLetter"/>
      <w:lvlText w:val="(%1)"/>
      <w:lvlJc w:val="left"/>
      <w:pPr>
        <w:ind w:left="720" w:hanging="360"/>
      </w:pPr>
      <w:rPr>
        <w:rFonts w:ascii="Arial" w:hAnsi="Arial" w:hint="default"/>
        <w:sz w:val="16"/>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CCC0B38"/>
    <w:multiLevelType w:val="hybridMultilevel"/>
    <w:tmpl w:val="466C29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7710719D"/>
    <w:multiLevelType w:val="hybridMultilevel"/>
    <w:tmpl w:val="8EF013C8"/>
    <w:lvl w:ilvl="0" w:tplc="2C04ECB8">
      <w:start w:val="1"/>
      <w:numFmt w:val="bullet"/>
      <w:lvlText w:val=""/>
      <w:lvlJc w:val="left"/>
      <w:pPr>
        <w:ind w:left="720" w:hanging="360"/>
      </w:pPr>
      <w:rPr>
        <w:rFonts w:ascii="Symbol" w:hAnsi="Symbol" w:hint="default"/>
        <w:b/>
        <w:i w:val="0"/>
        <w:color w:val="008EBA"/>
        <w:sz w:val="23"/>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7FB2333"/>
    <w:multiLevelType w:val="hybridMultilevel"/>
    <w:tmpl w:val="FD7E746A"/>
    <w:lvl w:ilvl="0" w:tplc="716CCCE2">
      <w:start w:val="1"/>
      <w:numFmt w:val="bullet"/>
      <w:lvlText w:val=""/>
      <w:lvlJc w:val="left"/>
      <w:pPr>
        <w:ind w:left="360" w:hanging="360"/>
      </w:pPr>
      <w:rPr>
        <w:rFonts w:ascii="Symbol" w:hAnsi="Symbol" w:hint="default"/>
        <w:sz w:val="23"/>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78CD2A28"/>
    <w:multiLevelType w:val="hybridMultilevel"/>
    <w:tmpl w:val="A882F0F4"/>
    <w:lvl w:ilvl="0" w:tplc="45E61D12">
      <w:start w:val="6"/>
      <w:numFmt w:val="bullet"/>
      <w:pStyle w:val="Bullet2inabox"/>
      <w:lvlText w:val="-"/>
      <w:lvlJc w:val="left"/>
      <w:pPr>
        <w:ind w:left="720" w:hanging="360"/>
      </w:pPr>
      <w:rPr>
        <w:rFonts w:ascii="Arial" w:hAnsi="Arial" w:hint="default"/>
        <w:color w:val="008EB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EE56C3D"/>
    <w:multiLevelType w:val="hybridMultilevel"/>
    <w:tmpl w:val="EB26B012"/>
    <w:lvl w:ilvl="0" w:tplc="30A8E716">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25"/>
  </w:num>
  <w:num w:numId="2">
    <w:abstractNumId w:val="3"/>
  </w:num>
  <w:num w:numId="3">
    <w:abstractNumId w:val="19"/>
  </w:num>
  <w:num w:numId="4">
    <w:abstractNumId w:val="9"/>
  </w:num>
  <w:num w:numId="5">
    <w:abstractNumId w:val="5"/>
  </w:num>
  <w:num w:numId="6">
    <w:abstractNumId w:val="1"/>
  </w:num>
  <w:num w:numId="7">
    <w:abstractNumId w:val="20"/>
  </w:num>
  <w:num w:numId="8">
    <w:abstractNumId w:val="26"/>
  </w:num>
  <w:num w:numId="9">
    <w:abstractNumId w:val="11"/>
  </w:num>
  <w:num w:numId="10">
    <w:abstractNumId w:val="2"/>
  </w:num>
  <w:num w:numId="11">
    <w:abstractNumId w:val="28"/>
  </w:num>
  <w:num w:numId="12">
    <w:abstractNumId w:val="15"/>
  </w:num>
  <w:num w:numId="13">
    <w:abstractNumId w:val="32"/>
  </w:num>
  <w:num w:numId="14">
    <w:abstractNumId w:val="7"/>
  </w:num>
  <w:num w:numId="15">
    <w:abstractNumId w:val="15"/>
  </w:num>
  <w:num w:numId="16">
    <w:abstractNumId w:val="15"/>
  </w:num>
  <w:num w:numId="17">
    <w:abstractNumId w:val="15"/>
  </w:num>
  <w:num w:numId="18">
    <w:abstractNumId w:val="15"/>
  </w:num>
  <w:num w:numId="19">
    <w:abstractNumId w:val="15"/>
  </w:num>
  <w:num w:numId="20">
    <w:abstractNumId w:val="29"/>
  </w:num>
  <w:num w:numId="21">
    <w:abstractNumId w:val="31"/>
  </w:num>
  <w:num w:numId="22">
    <w:abstractNumId w:val="10"/>
  </w:num>
  <w:num w:numId="23">
    <w:abstractNumId w:val="0"/>
  </w:num>
  <w:num w:numId="24">
    <w:abstractNumId w:val="21"/>
  </w:num>
  <w:num w:numId="25">
    <w:abstractNumId w:val="6"/>
  </w:num>
  <w:num w:numId="26">
    <w:abstractNumId w:val="12"/>
  </w:num>
  <w:num w:numId="27">
    <w:abstractNumId w:val="27"/>
  </w:num>
  <w:num w:numId="28">
    <w:abstractNumId w:val="17"/>
  </w:num>
  <w:num w:numId="29">
    <w:abstractNumId w:val="24"/>
  </w:num>
  <w:num w:numId="30">
    <w:abstractNumId w:val="30"/>
  </w:num>
  <w:num w:numId="31">
    <w:abstractNumId w:val="4"/>
  </w:num>
  <w:num w:numId="32">
    <w:abstractNumId w:val="33"/>
  </w:num>
  <w:num w:numId="33">
    <w:abstractNumId w:val="23"/>
  </w:num>
  <w:num w:numId="34">
    <w:abstractNumId w:val="16"/>
  </w:num>
  <w:num w:numId="35">
    <w:abstractNumId w:val="13"/>
  </w:num>
  <w:num w:numId="36">
    <w:abstractNumId w:val="18"/>
  </w:num>
  <w:num w:numId="37">
    <w:abstractNumId w:val="18"/>
  </w:num>
  <w:num w:numId="38">
    <w:abstractNumId w:val="22"/>
  </w:num>
  <w:num w:numId="39">
    <w:abstractNumId w:val="8"/>
  </w:num>
  <w:num w:numId="40">
    <w:abstractNumId w:val="1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20"/>
  <w:evenAndOddHeaders/>
  <w:characterSpacingControl w:val="doNotCompress"/>
  <w:savePreviewPicture/>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63DF"/>
    <w:rsid w:val="000001A6"/>
    <w:rsid w:val="00000247"/>
    <w:rsid w:val="0000026D"/>
    <w:rsid w:val="000004B5"/>
    <w:rsid w:val="00000578"/>
    <w:rsid w:val="0000061F"/>
    <w:rsid w:val="0000088C"/>
    <w:rsid w:val="00000C5C"/>
    <w:rsid w:val="00000DB1"/>
    <w:rsid w:val="00000E7F"/>
    <w:rsid w:val="00000F4A"/>
    <w:rsid w:val="00000F81"/>
    <w:rsid w:val="00000F9B"/>
    <w:rsid w:val="00000FB5"/>
    <w:rsid w:val="00000FF8"/>
    <w:rsid w:val="00001065"/>
    <w:rsid w:val="000010B9"/>
    <w:rsid w:val="00001335"/>
    <w:rsid w:val="000013C2"/>
    <w:rsid w:val="00001A21"/>
    <w:rsid w:val="00001A8D"/>
    <w:rsid w:val="00001AB5"/>
    <w:rsid w:val="00001C15"/>
    <w:rsid w:val="00001C51"/>
    <w:rsid w:val="00001DCD"/>
    <w:rsid w:val="00001FA6"/>
    <w:rsid w:val="0000202F"/>
    <w:rsid w:val="000020F4"/>
    <w:rsid w:val="000023CC"/>
    <w:rsid w:val="00002426"/>
    <w:rsid w:val="000024C9"/>
    <w:rsid w:val="0000254C"/>
    <w:rsid w:val="000025EC"/>
    <w:rsid w:val="0000261E"/>
    <w:rsid w:val="0000268B"/>
    <w:rsid w:val="000026EE"/>
    <w:rsid w:val="000027CA"/>
    <w:rsid w:val="00002A3A"/>
    <w:rsid w:val="00002AA9"/>
    <w:rsid w:val="00002CD6"/>
    <w:rsid w:val="00002EA6"/>
    <w:rsid w:val="00003019"/>
    <w:rsid w:val="0000302A"/>
    <w:rsid w:val="00003118"/>
    <w:rsid w:val="00003264"/>
    <w:rsid w:val="000033F0"/>
    <w:rsid w:val="000034FE"/>
    <w:rsid w:val="000035F3"/>
    <w:rsid w:val="0000368B"/>
    <w:rsid w:val="00003719"/>
    <w:rsid w:val="0000374A"/>
    <w:rsid w:val="00003796"/>
    <w:rsid w:val="0000391E"/>
    <w:rsid w:val="000039E1"/>
    <w:rsid w:val="00003B6A"/>
    <w:rsid w:val="00004141"/>
    <w:rsid w:val="000041FA"/>
    <w:rsid w:val="000043F4"/>
    <w:rsid w:val="000044A9"/>
    <w:rsid w:val="0000477B"/>
    <w:rsid w:val="000047DD"/>
    <w:rsid w:val="0000486E"/>
    <w:rsid w:val="000048A1"/>
    <w:rsid w:val="000049E2"/>
    <w:rsid w:val="00004A0F"/>
    <w:rsid w:val="00004A2B"/>
    <w:rsid w:val="00004D1B"/>
    <w:rsid w:val="00004DD9"/>
    <w:rsid w:val="00004DF2"/>
    <w:rsid w:val="00004E23"/>
    <w:rsid w:val="0000501D"/>
    <w:rsid w:val="000051E8"/>
    <w:rsid w:val="00005648"/>
    <w:rsid w:val="000056A9"/>
    <w:rsid w:val="0000577F"/>
    <w:rsid w:val="00005826"/>
    <w:rsid w:val="00005827"/>
    <w:rsid w:val="00005831"/>
    <w:rsid w:val="00005850"/>
    <w:rsid w:val="00005865"/>
    <w:rsid w:val="0000588E"/>
    <w:rsid w:val="0000597D"/>
    <w:rsid w:val="00005D3B"/>
    <w:rsid w:val="00005E3C"/>
    <w:rsid w:val="00006085"/>
    <w:rsid w:val="000060B0"/>
    <w:rsid w:val="00006167"/>
    <w:rsid w:val="0000635A"/>
    <w:rsid w:val="00006507"/>
    <w:rsid w:val="00006544"/>
    <w:rsid w:val="00006583"/>
    <w:rsid w:val="000067C8"/>
    <w:rsid w:val="000068AF"/>
    <w:rsid w:val="00006B91"/>
    <w:rsid w:val="00006E4F"/>
    <w:rsid w:val="00006ED8"/>
    <w:rsid w:val="00006F5A"/>
    <w:rsid w:val="00006F8F"/>
    <w:rsid w:val="00006FE4"/>
    <w:rsid w:val="00006FF6"/>
    <w:rsid w:val="0000717B"/>
    <w:rsid w:val="000072A2"/>
    <w:rsid w:val="000072FB"/>
    <w:rsid w:val="0000733F"/>
    <w:rsid w:val="0000763E"/>
    <w:rsid w:val="000076A7"/>
    <w:rsid w:val="00007A1D"/>
    <w:rsid w:val="00007AA7"/>
    <w:rsid w:val="00007AD3"/>
    <w:rsid w:val="00007B3E"/>
    <w:rsid w:val="00007B98"/>
    <w:rsid w:val="00007BBA"/>
    <w:rsid w:val="00007C2D"/>
    <w:rsid w:val="00007CCF"/>
    <w:rsid w:val="00007E6D"/>
    <w:rsid w:val="00010215"/>
    <w:rsid w:val="0001041B"/>
    <w:rsid w:val="00010548"/>
    <w:rsid w:val="00010695"/>
    <w:rsid w:val="000106D1"/>
    <w:rsid w:val="0001075F"/>
    <w:rsid w:val="00010861"/>
    <w:rsid w:val="00010875"/>
    <w:rsid w:val="00010919"/>
    <w:rsid w:val="00010976"/>
    <w:rsid w:val="000109B2"/>
    <w:rsid w:val="000109D8"/>
    <w:rsid w:val="00010C9D"/>
    <w:rsid w:val="00010D8D"/>
    <w:rsid w:val="00010DC0"/>
    <w:rsid w:val="00010E91"/>
    <w:rsid w:val="00010F44"/>
    <w:rsid w:val="00010F6D"/>
    <w:rsid w:val="00011038"/>
    <w:rsid w:val="0001117D"/>
    <w:rsid w:val="00011656"/>
    <w:rsid w:val="00011662"/>
    <w:rsid w:val="0001169E"/>
    <w:rsid w:val="0001172C"/>
    <w:rsid w:val="000117F7"/>
    <w:rsid w:val="00011979"/>
    <w:rsid w:val="00011992"/>
    <w:rsid w:val="00011A09"/>
    <w:rsid w:val="00011C43"/>
    <w:rsid w:val="00011D08"/>
    <w:rsid w:val="00011ED7"/>
    <w:rsid w:val="00012000"/>
    <w:rsid w:val="000123A5"/>
    <w:rsid w:val="000125A6"/>
    <w:rsid w:val="0001276C"/>
    <w:rsid w:val="00012811"/>
    <w:rsid w:val="00012819"/>
    <w:rsid w:val="000128A8"/>
    <w:rsid w:val="00012A31"/>
    <w:rsid w:val="00012A9B"/>
    <w:rsid w:val="00012C8B"/>
    <w:rsid w:val="00012F38"/>
    <w:rsid w:val="0001314C"/>
    <w:rsid w:val="000132A8"/>
    <w:rsid w:val="00013421"/>
    <w:rsid w:val="00013451"/>
    <w:rsid w:val="000135D0"/>
    <w:rsid w:val="00013633"/>
    <w:rsid w:val="0001383E"/>
    <w:rsid w:val="000138B8"/>
    <w:rsid w:val="00013930"/>
    <w:rsid w:val="00013BD4"/>
    <w:rsid w:val="00013D7C"/>
    <w:rsid w:val="00013DDC"/>
    <w:rsid w:val="00013E16"/>
    <w:rsid w:val="00013EC2"/>
    <w:rsid w:val="00013F11"/>
    <w:rsid w:val="00013F71"/>
    <w:rsid w:val="00013F79"/>
    <w:rsid w:val="00014000"/>
    <w:rsid w:val="0001401F"/>
    <w:rsid w:val="00014131"/>
    <w:rsid w:val="00014209"/>
    <w:rsid w:val="00014254"/>
    <w:rsid w:val="000144A2"/>
    <w:rsid w:val="00014648"/>
    <w:rsid w:val="000146D1"/>
    <w:rsid w:val="000146F5"/>
    <w:rsid w:val="000147E4"/>
    <w:rsid w:val="00014A0D"/>
    <w:rsid w:val="00014B40"/>
    <w:rsid w:val="00014B51"/>
    <w:rsid w:val="00014BEF"/>
    <w:rsid w:val="00014C54"/>
    <w:rsid w:val="00014E71"/>
    <w:rsid w:val="00014FC4"/>
    <w:rsid w:val="00015327"/>
    <w:rsid w:val="0001541C"/>
    <w:rsid w:val="000155AE"/>
    <w:rsid w:val="0001566D"/>
    <w:rsid w:val="00015670"/>
    <w:rsid w:val="00015A95"/>
    <w:rsid w:val="00015B34"/>
    <w:rsid w:val="00015B65"/>
    <w:rsid w:val="00015CEA"/>
    <w:rsid w:val="00016053"/>
    <w:rsid w:val="00016079"/>
    <w:rsid w:val="00016186"/>
    <w:rsid w:val="00016187"/>
    <w:rsid w:val="00016218"/>
    <w:rsid w:val="00016333"/>
    <w:rsid w:val="0001640D"/>
    <w:rsid w:val="00016454"/>
    <w:rsid w:val="00016474"/>
    <w:rsid w:val="00016516"/>
    <w:rsid w:val="00016858"/>
    <w:rsid w:val="00016A7D"/>
    <w:rsid w:val="00016BEF"/>
    <w:rsid w:val="00016CA8"/>
    <w:rsid w:val="00016D63"/>
    <w:rsid w:val="00016D7E"/>
    <w:rsid w:val="00016EFD"/>
    <w:rsid w:val="00016FF7"/>
    <w:rsid w:val="000170B8"/>
    <w:rsid w:val="000170DD"/>
    <w:rsid w:val="00017157"/>
    <w:rsid w:val="0001733A"/>
    <w:rsid w:val="00017351"/>
    <w:rsid w:val="00017436"/>
    <w:rsid w:val="000174C9"/>
    <w:rsid w:val="0001761C"/>
    <w:rsid w:val="00017620"/>
    <w:rsid w:val="00017769"/>
    <w:rsid w:val="000178AF"/>
    <w:rsid w:val="000178D1"/>
    <w:rsid w:val="00017902"/>
    <w:rsid w:val="00017A70"/>
    <w:rsid w:val="00017F69"/>
    <w:rsid w:val="00017FDE"/>
    <w:rsid w:val="00020008"/>
    <w:rsid w:val="000200FE"/>
    <w:rsid w:val="000203AF"/>
    <w:rsid w:val="0002041C"/>
    <w:rsid w:val="000204FF"/>
    <w:rsid w:val="00020D4B"/>
    <w:rsid w:val="00020DCB"/>
    <w:rsid w:val="00020E0E"/>
    <w:rsid w:val="000212B9"/>
    <w:rsid w:val="0002139D"/>
    <w:rsid w:val="000214E9"/>
    <w:rsid w:val="000216D1"/>
    <w:rsid w:val="000218A1"/>
    <w:rsid w:val="000219AF"/>
    <w:rsid w:val="00021A75"/>
    <w:rsid w:val="00021B63"/>
    <w:rsid w:val="00021C82"/>
    <w:rsid w:val="00021CA9"/>
    <w:rsid w:val="00021CBD"/>
    <w:rsid w:val="00021EF3"/>
    <w:rsid w:val="00021FFE"/>
    <w:rsid w:val="00022335"/>
    <w:rsid w:val="00022344"/>
    <w:rsid w:val="0002280B"/>
    <w:rsid w:val="00022973"/>
    <w:rsid w:val="00022A33"/>
    <w:rsid w:val="00022BA7"/>
    <w:rsid w:val="00022C7E"/>
    <w:rsid w:val="00023040"/>
    <w:rsid w:val="000230E8"/>
    <w:rsid w:val="0002336D"/>
    <w:rsid w:val="00023536"/>
    <w:rsid w:val="00023596"/>
    <w:rsid w:val="0002393E"/>
    <w:rsid w:val="00023945"/>
    <w:rsid w:val="0002396A"/>
    <w:rsid w:val="00023988"/>
    <w:rsid w:val="00023EF3"/>
    <w:rsid w:val="0002406D"/>
    <w:rsid w:val="0002429B"/>
    <w:rsid w:val="000242A9"/>
    <w:rsid w:val="000242AB"/>
    <w:rsid w:val="0002432C"/>
    <w:rsid w:val="0002452B"/>
    <w:rsid w:val="00024747"/>
    <w:rsid w:val="000247BA"/>
    <w:rsid w:val="000247FE"/>
    <w:rsid w:val="00024890"/>
    <w:rsid w:val="00024E6C"/>
    <w:rsid w:val="00024ED6"/>
    <w:rsid w:val="000250AC"/>
    <w:rsid w:val="000252C1"/>
    <w:rsid w:val="00025367"/>
    <w:rsid w:val="0002549E"/>
    <w:rsid w:val="00025511"/>
    <w:rsid w:val="00025632"/>
    <w:rsid w:val="00025689"/>
    <w:rsid w:val="00025AEE"/>
    <w:rsid w:val="00025C68"/>
    <w:rsid w:val="00026121"/>
    <w:rsid w:val="000263FD"/>
    <w:rsid w:val="00026609"/>
    <w:rsid w:val="00026649"/>
    <w:rsid w:val="00026720"/>
    <w:rsid w:val="00026771"/>
    <w:rsid w:val="000268A0"/>
    <w:rsid w:val="0002698A"/>
    <w:rsid w:val="00026CC4"/>
    <w:rsid w:val="00026D0B"/>
    <w:rsid w:val="00026D86"/>
    <w:rsid w:val="00026FCB"/>
    <w:rsid w:val="00027296"/>
    <w:rsid w:val="0002733A"/>
    <w:rsid w:val="000273B3"/>
    <w:rsid w:val="000273BE"/>
    <w:rsid w:val="000273C2"/>
    <w:rsid w:val="00027929"/>
    <w:rsid w:val="000279B7"/>
    <w:rsid w:val="00027A5D"/>
    <w:rsid w:val="00027A63"/>
    <w:rsid w:val="00027CBB"/>
    <w:rsid w:val="00027DAF"/>
    <w:rsid w:val="00030041"/>
    <w:rsid w:val="00030076"/>
    <w:rsid w:val="000301ED"/>
    <w:rsid w:val="000301F7"/>
    <w:rsid w:val="00030318"/>
    <w:rsid w:val="0003033F"/>
    <w:rsid w:val="000304D4"/>
    <w:rsid w:val="00030558"/>
    <w:rsid w:val="00030797"/>
    <w:rsid w:val="000308A8"/>
    <w:rsid w:val="000308E9"/>
    <w:rsid w:val="00030A41"/>
    <w:rsid w:val="00030ACD"/>
    <w:rsid w:val="00030B9C"/>
    <w:rsid w:val="00030D0E"/>
    <w:rsid w:val="00030D44"/>
    <w:rsid w:val="00030ED6"/>
    <w:rsid w:val="00030EF7"/>
    <w:rsid w:val="00031045"/>
    <w:rsid w:val="00031070"/>
    <w:rsid w:val="000310E1"/>
    <w:rsid w:val="000311C8"/>
    <w:rsid w:val="000311DA"/>
    <w:rsid w:val="0003122F"/>
    <w:rsid w:val="00031283"/>
    <w:rsid w:val="000312DE"/>
    <w:rsid w:val="000313AE"/>
    <w:rsid w:val="0003166F"/>
    <w:rsid w:val="000316E7"/>
    <w:rsid w:val="00031706"/>
    <w:rsid w:val="00031893"/>
    <w:rsid w:val="00031949"/>
    <w:rsid w:val="00031AC6"/>
    <w:rsid w:val="00031B67"/>
    <w:rsid w:val="00031BDE"/>
    <w:rsid w:val="00031C73"/>
    <w:rsid w:val="00031DB4"/>
    <w:rsid w:val="00031E12"/>
    <w:rsid w:val="00031E2B"/>
    <w:rsid w:val="00031F2A"/>
    <w:rsid w:val="000320B7"/>
    <w:rsid w:val="000322AC"/>
    <w:rsid w:val="00032367"/>
    <w:rsid w:val="0003259D"/>
    <w:rsid w:val="000326ED"/>
    <w:rsid w:val="0003271E"/>
    <w:rsid w:val="0003291A"/>
    <w:rsid w:val="0003299A"/>
    <w:rsid w:val="00032A06"/>
    <w:rsid w:val="00032AB7"/>
    <w:rsid w:val="00032B5D"/>
    <w:rsid w:val="00032D3B"/>
    <w:rsid w:val="00032D7A"/>
    <w:rsid w:val="00032DFD"/>
    <w:rsid w:val="00032F0A"/>
    <w:rsid w:val="00032F0C"/>
    <w:rsid w:val="00032F8E"/>
    <w:rsid w:val="00033009"/>
    <w:rsid w:val="000330B7"/>
    <w:rsid w:val="000330BD"/>
    <w:rsid w:val="0003333A"/>
    <w:rsid w:val="000333FC"/>
    <w:rsid w:val="000335AA"/>
    <w:rsid w:val="0003376E"/>
    <w:rsid w:val="000337CF"/>
    <w:rsid w:val="000337D4"/>
    <w:rsid w:val="0003382D"/>
    <w:rsid w:val="00033B1D"/>
    <w:rsid w:val="00033B40"/>
    <w:rsid w:val="00033E2E"/>
    <w:rsid w:val="00033EBA"/>
    <w:rsid w:val="00033F4F"/>
    <w:rsid w:val="00033F79"/>
    <w:rsid w:val="00034077"/>
    <w:rsid w:val="00034105"/>
    <w:rsid w:val="0003421D"/>
    <w:rsid w:val="00034644"/>
    <w:rsid w:val="0003482E"/>
    <w:rsid w:val="00034922"/>
    <w:rsid w:val="00034ADD"/>
    <w:rsid w:val="00034B66"/>
    <w:rsid w:val="00034C26"/>
    <w:rsid w:val="00034D00"/>
    <w:rsid w:val="00034E16"/>
    <w:rsid w:val="00034F76"/>
    <w:rsid w:val="00035049"/>
    <w:rsid w:val="00035084"/>
    <w:rsid w:val="000350DB"/>
    <w:rsid w:val="0003513C"/>
    <w:rsid w:val="000352F6"/>
    <w:rsid w:val="00035534"/>
    <w:rsid w:val="000355C2"/>
    <w:rsid w:val="00035642"/>
    <w:rsid w:val="000356AC"/>
    <w:rsid w:val="00035713"/>
    <w:rsid w:val="000357D7"/>
    <w:rsid w:val="00035CAF"/>
    <w:rsid w:val="00035CE3"/>
    <w:rsid w:val="00035D06"/>
    <w:rsid w:val="00035E40"/>
    <w:rsid w:val="00035EEE"/>
    <w:rsid w:val="0003615D"/>
    <w:rsid w:val="000361B2"/>
    <w:rsid w:val="000361D2"/>
    <w:rsid w:val="00036206"/>
    <w:rsid w:val="00036259"/>
    <w:rsid w:val="00036474"/>
    <w:rsid w:val="0003653E"/>
    <w:rsid w:val="00036660"/>
    <w:rsid w:val="000367EA"/>
    <w:rsid w:val="00036952"/>
    <w:rsid w:val="00036992"/>
    <w:rsid w:val="00036C3D"/>
    <w:rsid w:val="00036D06"/>
    <w:rsid w:val="00036D6B"/>
    <w:rsid w:val="00037232"/>
    <w:rsid w:val="0003724B"/>
    <w:rsid w:val="0003771C"/>
    <w:rsid w:val="00037983"/>
    <w:rsid w:val="00037A80"/>
    <w:rsid w:val="00037C95"/>
    <w:rsid w:val="00037CA4"/>
    <w:rsid w:val="00037CD1"/>
    <w:rsid w:val="00037D95"/>
    <w:rsid w:val="0004012E"/>
    <w:rsid w:val="00040408"/>
    <w:rsid w:val="000404FD"/>
    <w:rsid w:val="00040530"/>
    <w:rsid w:val="00040585"/>
    <w:rsid w:val="000405DB"/>
    <w:rsid w:val="00040713"/>
    <w:rsid w:val="000408BF"/>
    <w:rsid w:val="00040A2C"/>
    <w:rsid w:val="00040ACD"/>
    <w:rsid w:val="00040B4D"/>
    <w:rsid w:val="00040C2E"/>
    <w:rsid w:val="00040EB7"/>
    <w:rsid w:val="00040EED"/>
    <w:rsid w:val="00040FCF"/>
    <w:rsid w:val="00040FD1"/>
    <w:rsid w:val="0004103F"/>
    <w:rsid w:val="000411CF"/>
    <w:rsid w:val="00041412"/>
    <w:rsid w:val="000414FE"/>
    <w:rsid w:val="0004155B"/>
    <w:rsid w:val="000415CC"/>
    <w:rsid w:val="000416ED"/>
    <w:rsid w:val="000417EE"/>
    <w:rsid w:val="000418A4"/>
    <w:rsid w:val="00041915"/>
    <w:rsid w:val="0004198C"/>
    <w:rsid w:val="00041A55"/>
    <w:rsid w:val="00041D27"/>
    <w:rsid w:val="00041E22"/>
    <w:rsid w:val="00041F53"/>
    <w:rsid w:val="00042231"/>
    <w:rsid w:val="00042387"/>
    <w:rsid w:val="0004262B"/>
    <w:rsid w:val="00042718"/>
    <w:rsid w:val="00042965"/>
    <w:rsid w:val="00042C33"/>
    <w:rsid w:val="0004300B"/>
    <w:rsid w:val="000430A7"/>
    <w:rsid w:val="000431C0"/>
    <w:rsid w:val="00043265"/>
    <w:rsid w:val="0004340D"/>
    <w:rsid w:val="000434B9"/>
    <w:rsid w:val="000435DD"/>
    <w:rsid w:val="00043601"/>
    <w:rsid w:val="00043615"/>
    <w:rsid w:val="0004363E"/>
    <w:rsid w:val="00043694"/>
    <w:rsid w:val="000436EA"/>
    <w:rsid w:val="0004380C"/>
    <w:rsid w:val="00043956"/>
    <w:rsid w:val="00043A34"/>
    <w:rsid w:val="00043B3D"/>
    <w:rsid w:val="00043C13"/>
    <w:rsid w:val="00043E67"/>
    <w:rsid w:val="00043F79"/>
    <w:rsid w:val="00044019"/>
    <w:rsid w:val="000440B8"/>
    <w:rsid w:val="000440D0"/>
    <w:rsid w:val="0004410D"/>
    <w:rsid w:val="000444CF"/>
    <w:rsid w:val="00044501"/>
    <w:rsid w:val="000445D1"/>
    <w:rsid w:val="00044ABA"/>
    <w:rsid w:val="00044EC2"/>
    <w:rsid w:val="00044EEF"/>
    <w:rsid w:val="00045075"/>
    <w:rsid w:val="000450AE"/>
    <w:rsid w:val="0004527B"/>
    <w:rsid w:val="000453DD"/>
    <w:rsid w:val="0004543E"/>
    <w:rsid w:val="00045716"/>
    <w:rsid w:val="0004574F"/>
    <w:rsid w:val="00045756"/>
    <w:rsid w:val="00045936"/>
    <w:rsid w:val="00045A37"/>
    <w:rsid w:val="00045AE3"/>
    <w:rsid w:val="00045C67"/>
    <w:rsid w:val="00045C74"/>
    <w:rsid w:val="00045C77"/>
    <w:rsid w:val="00045D2F"/>
    <w:rsid w:val="00045E1E"/>
    <w:rsid w:val="00046487"/>
    <w:rsid w:val="000467AB"/>
    <w:rsid w:val="00046932"/>
    <w:rsid w:val="00046A9E"/>
    <w:rsid w:val="00046BBF"/>
    <w:rsid w:val="00046C10"/>
    <w:rsid w:val="00046CA8"/>
    <w:rsid w:val="00046F91"/>
    <w:rsid w:val="00047097"/>
    <w:rsid w:val="000470F3"/>
    <w:rsid w:val="0004737F"/>
    <w:rsid w:val="000473D3"/>
    <w:rsid w:val="00047520"/>
    <w:rsid w:val="00047599"/>
    <w:rsid w:val="000475AF"/>
    <w:rsid w:val="0004764B"/>
    <w:rsid w:val="00047669"/>
    <w:rsid w:val="00047745"/>
    <w:rsid w:val="00047A3A"/>
    <w:rsid w:val="00047EA0"/>
    <w:rsid w:val="00047EBF"/>
    <w:rsid w:val="00047FA1"/>
    <w:rsid w:val="00050193"/>
    <w:rsid w:val="0005037F"/>
    <w:rsid w:val="0005043D"/>
    <w:rsid w:val="0005075D"/>
    <w:rsid w:val="000507A5"/>
    <w:rsid w:val="00050AC6"/>
    <w:rsid w:val="00050CB7"/>
    <w:rsid w:val="00050CD9"/>
    <w:rsid w:val="00050DC4"/>
    <w:rsid w:val="00050DF5"/>
    <w:rsid w:val="00050E9F"/>
    <w:rsid w:val="00050EDA"/>
    <w:rsid w:val="00050F3B"/>
    <w:rsid w:val="00051174"/>
    <w:rsid w:val="000511AD"/>
    <w:rsid w:val="00051207"/>
    <w:rsid w:val="00051277"/>
    <w:rsid w:val="00051471"/>
    <w:rsid w:val="000514A2"/>
    <w:rsid w:val="000515F1"/>
    <w:rsid w:val="0005162A"/>
    <w:rsid w:val="000517DC"/>
    <w:rsid w:val="0005181F"/>
    <w:rsid w:val="000518BF"/>
    <w:rsid w:val="0005190B"/>
    <w:rsid w:val="00051B98"/>
    <w:rsid w:val="00051E56"/>
    <w:rsid w:val="00051E5D"/>
    <w:rsid w:val="00051F95"/>
    <w:rsid w:val="00051FE9"/>
    <w:rsid w:val="00052008"/>
    <w:rsid w:val="0005200A"/>
    <w:rsid w:val="00052178"/>
    <w:rsid w:val="000521EF"/>
    <w:rsid w:val="000524EC"/>
    <w:rsid w:val="00052523"/>
    <w:rsid w:val="00052B49"/>
    <w:rsid w:val="00052E9E"/>
    <w:rsid w:val="00053136"/>
    <w:rsid w:val="0005329D"/>
    <w:rsid w:val="000532D5"/>
    <w:rsid w:val="00053391"/>
    <w:rsid w:val="00053412"/>
    <w:rsid w:val="0005363C"/>
    <w:rsid w:val="00053865"/>
    <w:rsid w:val="0005389F"/>
    <w:rsid w:val="000538FE"/>
    <w:rsid w:val="00053A3C"/>
    <w:rsid w:val="00053B56"/>
    <w:rsid w:val="00053BFC"/>
    <w:rsid w:val="00053DCF"/>
    <w:rsid w:val="00053EC5"/>
    <w:rsid w:val="00053ECC"/>
    <w:rsid w:val="0005403C"/>
    <w:rsid w:val="00054239"/>
    <w:rsid w:val="00054431"/>
    <w:rsid w:val="00054784"/>
    <w:rsid w:val="000547D3"/>
    <w:rsid w:val="00054939"/>
    <w:rsid w:val="000549C9"/>
    <w:rsid w:val="00054CBB"/>
    <w:rsid w:val="00054CD6"/>
    <w:rsid w:val="00054DA1"/>
    <w:rsid w:val="00054E7F"/>
    <w:rsid w:val="00055421"/>
    <w:rsid w:val="0005560C"/>
    <w:rsid w:val="000558A2"/>
    <w:rsid w:val="00055A9A"/>
    <w:rsid w:val="00055C32"/>
    <w:rsid w:val="00056012"/>
    <w:rsid w:val="00056070"/>
    <w:rsid w:val="00056138"/>
    <w:rsid w:val="00056594"/>
    <w:rsid w:val="00056598"/>
    <w:rsid w:val="000565A5"/>
    <w:rsid w:val="00056743"/>
    <w:rsid w:val="000567ED"/>
    <w:rsid w:val="0005682B"/>
    <w:rsid w:val="00056ADA"/>
    <w:rsid w:val="00056C71"/>
    <w:rsid w:val="00056EF9"/>
    <w:rsid w:val="00056F1F"/>
    <w:rsid w:val="00057031"/>
    <w:rsid w:val="0005703F"/>
    <w:rsid w:val="00057075"/>
    <w:rsid w:val="000571E4"/>
    <w:rsid w:val="00057251"/>
    <w:rsid w:val="0005725F"/>
    <w:rsid w:val="0005730F"/>
    <w:rsid w:val="000573B5"/>
    <w:rsid w:val="00057498"/>
    <w:rsid w:val="000574C4"/>
    <w:rsid w:val="000574FE"/>
    <w:rsid w:val="00057505"/>
    <w:rsid w:val="000575FB"/>
    <w:rsid w:val="000577CA"/>
    <w:rsid w:val="0005780E"/>
    <w:rsid w:val="000579A9"/>
    <w:rsid w:val="00057B06"/>
    <w:rsid w:val="00057C20"/>
    <w:rsid w:val="00057C44"/>
    <w:rsid w:val="0006004C"/>
    <w:rsid w:val="000601C8"/>
    <w:rsid w:val="000602AB"/>
    <w:rsid w:val="000603DB"/>
    <w:rsid w:val="00060515"/>
    <w:rsid w:val="00060518"/>
    <w:rsid w:val="000605E0"/>
    <w:rsid w:val="0006061A"/>
    <w:rsid w:val="0006063E"/>
    <w:rsid w:val="00060681"/>
    <w:rsid w:val="000607E8"/>
    <w:rsid w:val="00060AA7"/>
    <w:rsid w:val="00060B6B"/>
    <w:rsid w:val="00060D30"/>
    <w:rsid w:val="00060D37"/>
    <w:rsid w:val="0006111F"/>
    <w:rsid w:val="00061244"/>
    <w:rsid w:val="0006125E"/>
    <w:rsid w:val="000612CA"/>
    <w:rsid w:val="000612E6"/>
    <w:rsid w:val="00061393"/>
    <w:rsid w:val="000613E7"/>
    <w:rsid w:val="00061692"/>
    <w:rsid w:val="000619EE"/>
    <w:rsid w:val="00061A3E"/>
    <w:rsid w:val="00061AFC"/>
    <w:rsid w:val="00061BAC"/>
    <w:rsid w:val="00061C25"/>
    <w:rsid w:val="00061DDD"/>
    <w:rsid w:val="00061E21"/>
    <w:rsid w:val="00061E29"/>
    <w:rsid w:val="00061F69"/>
    <w:rsid w:val="000620F1"/>
    <w:rsid w:val="00062351"/>
    <w:rsid w:val="000627E1"/>
    <w:rsid w:val="00062909"/>
    <w:rsid w:val="000629D1"/>
    <w:rsid w:val="000629E2"/>
    <w:rsid w:val="00062A47"/>
    <w:rsid w:val="00062BC5"/>
    <w:rsid w:val="00062C2A"/>
    <w:rsid w:val="00062DBD"/>
    <w:rsid w:val="000630F6"/>
    <w:rsid w:val="000631B4"/>
    <w:rsid w:val="000634D8"/>
    <w:rsid w:val="00063A46"/>
    <w:rsid w:val="00063B38"/>
    <w:rsid w:val="00063C66"/>
    <w:rsid w:val="00063D65"/>
    <w:rsid w:val="00063DD4"/>
    <w:rsid w:val="00063E85"/>
    <w:rsid w:val="00063F0B"/>
    <w:rsid w:val="00063FAE"/>
    <w:rsid w:val="000642BC"/>
    <w:rsid w:val="000642FC"/>
    <w:rsid w:val="0006455F"/>
    <w:rsid w:val="00064792"/>
    <w:rsid w:val="00064A60"/>
    <w:rsid w:val="00064C3F"/>
    <w:rsid w:val="00064D4E"/>
    <w:rsid w:val="00064E08"/>
    <w:rsid w:val="00064E2F"/>
    <w:rsid w:val="00065010"/>
    <w:rsid w:val="0006507F"/>
    <w:rsid w:val="00065462"/>
    <w:rsid w:val="0006551D"/>
    <w:rsid w:val="000655D8"/>
    <w:rsid w:val="000657BB"/>
    <w:rsid w:val="000658BB"/>
    <w:rsid w:val="000659B4"/>
    <w:rsid w:val="000660D3"/>
    <w:rsid w:val="0006624F"/>
    <w:rsid w:val="000662B2"/>
    <w:rsid w:val="00066409"/>
    <w:rsid w:val="00066491"/>
    <w:rsid w:val="000664E2"/>
    <w:rsid w:val="00066821"/>
    <w:rsid w:val="0006693F"/>
    <w:rsid w:val="00066AF8"/>
    <w:rsid w:val="00066C34"/>
    <w:rsid w:val="00066CF7"/>
    <w:rsid w:val="00066E0C"/>
    <w:rsid w:val="00066E4D"/>
    <w:rsid w:val="00067066"/>
    <w:rsid w:val="00067205"/>
    <w:rsid w:val="000672F4"/>
    <w:rsid w:val="000674E6"/>
    <w:rsid w:val="0006757D"/>
    <w:rsid w:val="000675DD"/>
    <w:rsid w:val="000676AC"/>
    <w:rsid w:val="000676D1"/>
    <w:rsid w:val="00067909"/>
    <w:rsid w:val="00067A95"/>
    <w:rsid w:val="00067AA8"/>
    <w:rsid w:val="00067AD3"/>
    <w:rsid w:val="00067BDC"/>
    <w:rsid w:val="00067D12"/>
    <w:rsid w:val="00070027"/>
    <w:rsid w:val="00070053"/>
    <w:rsid w:val="000700E0"/>
    <w:rsid w:val="0007020F"/>
    <w:rsid w:val="000705AA"/>
    <w:rsid w:val="00070667"/>
    <w:rsid w:val="0007072C"/>
    <w:rsid w:val="0007082F"/>
    <w:rsid w:val="0007089C"/>
    <w:rsid w:val="000709ED"/>
    <w:rsid w:val="00070B2D"/>
    <w:rsid w:val="00070C63"/>
    <w:rsid w:val="00070D41"/>
    <w:rsid w:val="00070E37"/>
    <w:rsid w:val="00070ECA"/>
    <w:rsid w:val="000710C9"/>
    <w:rsid w:val="00071204"/>
    <w:rsid w:val="000714C9"/>
    <w:rsid w:val="000714EB"/>
    <w:rsid w:val="0007174F"/>
    <w:rsid w:val="00071877"/>
    <w:rsid w:val="00071904"/>
    <w:rsid w:val="00071CE7"/>
    <w:rsid w:val="00071CEF"/>
    <w:rsid w:val="00071F4C"/>
    <w:rsid w:val="00071FD3"/>
    <w:rsid w:val="00071FD9"/>
    <w:rsid w:val="0007216F"/>
    <w:rsid w:val="000722C0"/>
    <w:rsid w:val="0007230E"/>
    <w:rsid w:val="00072346"/>
    <w:rsid w:val="00072422"/>
    <w:rsid w:val="00072733"/>
    <w:rsid w:val="00072828"/>
    <w:rsid w:val="000728F8"/>
    <w:rsid w:val="00072AD3"/>
    <w:rsid w:val="00072BE4"/>
    <w:rsid w:val="00072BF5"/>
    <w:rsid w:val="00072C52"/>
    <w:rsid w:val="00072E53"/>
    <w:rsid w:val="00072ED5"/>
    <w:rsid w:val="00072F5A"/>
    <w:rsid w:val="000730D1"/>
    <w:rsid w:val="00073149"/>
    <w:rsid w:val="000731A8"/>
    <w:rsid w:val="00073271"/>
    <w:rsid w:val="000732A3"/>
    <w:rsid w:val="000733E9"/>
    <w:rsid w:val="0007373F"/>
    <w:rsid w:val="00073866"/>
    <w:rsid w:val="0007393C"/>
    <w:rsid w:val="000739E6"/>
    <w:rsid w:val="00073C47"/>
    <w:rsid w:val="00073D15"/>
    <w:rsid w:val="00073E20"/>
    <w:rsid w:val="00073E52"/>
    <w:rsid w:val="000740D5"/>
    <w:rsid w:val="000744E6"/>
    <w:rsid w:val="00074704"/>
    <w:rsid w:val="000747E6"/>
    <w:rsid w:val="0007488E"/>
    <w:rsid w:val="00074A2E"/>
    <w:rsid w:val="00074A83"/>
    <w:rsid w:val="00074A93"/>
    <w:rsid w:val="00074AD1"/>
    <w:rsid w:val="00074C5D"/>
    <w:rsid w:val="00074DB4"/>
    <w:rsid w:val="00075159"/>
    <w:rsid w:val="0007527A"/>
    <w:rsid w:val="0007549E"/>
    <w:rsid w:val="00075558"/>
    <w:rsid w:val="0007558D"/>
    <w:rsid w:val="00075639"/>
    <w:rsid w:val="00075649"/>
    <w:rsid w:val="000756E6"/>
    <w:rsid w:val="000756EE"/>
    <w:rsid w:val="00075D90"/>
    <w:rsid w:val="00075E72"/>
    <w:rsid w:val="00075F41"/>
    <w:rsid w:val="00075F87"/>
    <w:rsid w:val="00075FC6"/>
    <w:rsid w:val="00075FC7"/>
    <w:rsid w:val="0007636C"/>
    <w:rsid w:val="0007669B"/>
    <w:rsid w:val="000766D4"/>
    <w:rsid w:val="00076747"/>
    <w:rsid w:val="00076796"/>
    <w:rsid w:val="00076B20"/>
    <w:rsid w:val="00076B38"/>
    <w:rsid w:val="00076CC1"/>
    <w:rsid w:val="00076D21"/>
    <w:rsid w:val="00076D51"/>
    <w:rsid w:val="00076DE8"/>
    <w:rsid w:val="00076EAA"/>
    <w:rsid w:val="00076F6E"/>
    <w:rsid w:val="0007708E"/>
    <w:rsid w:val="000770B0"/>
    <w:rsid w:val="00077249"/>
    <w:rsid w:val="000773F1"/>
    <w:rsid w:val="000773FF"/>
    <w:rsid w:val="00077532"/>
    <w:rsid w:val="000776FA"/>
    <w:rsid w:val="000777E3"/>
    <w:rsid w:val="00077839"/>
    <w:rsid w:val="000778F6"/>
    <w:rsid w:val="00077999"/>
    <w:rsid w:val="00077A0B"/>
    <w:rsid w:val="00077AF3"/>
    <w:rsid w:val="00077B84"/>
    <w:rsid w:val="00077BE9"/>
    <w:rsid w:val="00077D09"/>
    <w:rsid w:val="00080002"/>
    <w:rsid w:val="00080061"/>
    <w:rsid w:val="000800BE"/>
    <w:rsid w:val="00080115"/>
    <w:rsid w:val="0008019E"/>
    <w:rsid w:val="0008024F"/>
    <w:rsid w:val="000802BA"/>
    <w:rsid w:val="000803F2"/>
    <w:rsid w:val="00080553"/>
    <w:rsid w:val="00080719"/>
    <w:rsid w:val="000807B5"/>
    <w:rsid w:val="0008095C"/>
    <w:rsid w:val="000809CC"/>
    <w:rsid w:val="00080A32"/>
    <w:rsid w:val="00080A82"/>
    <w:rsid w:val="00080AE9"/>
    <w:rsid w:val="00080C7E"/>
    <w:rsid w:val="00080E7C"/>
    <w:rsid w:val="0008128C"/>
    <w:rsid w:val="000814E9"/>
    <w:rsid w:val="000816EA"/>
    <w:rsid w:val="00081988"/>
    <w:rsid w:val="00081CD2"/>
    <w:rsid w:val="00081E6F"/>
    <w:rsid w:val="00081EDB"/>
    <w:rsid w:val="00081FCD"/>
    <w:rsid w:val="00082198"/>
    <w:rsid w:val="000824E7"/>
    <w:rsid w:val="000824EA"/>
    <w:rsid w:val="00082585"/>
    <w:rsid w:val="00082752"/>
    <w:rsid w:val="000829A4"/>
    <w:rsid w:val="000829F8"/>
    <w:rsid w:val="00082A47"/>
    <w:rsid w:val="00082A6B"/>
    <w:rsid w:val="00082AB3"/>
    <w:rsid w:val="00082B9B"/>
    <w:rsid w:val="00082D85"/>
    <w:rsid w:val="00082F38"/>
    <w:rsid w:val="00083195"/>
    <w:rsid w:val="0008324E"/>
    <w:rsid w:val="00083405"/>
    <w:rsid w:val="000836BC"/>
    <w:rsid w:val="000836C7"/>
    <w:rsid w:val="00083756"/>
    <w:rsid w:val="0008383A"/>
    <w:rsid w:val="00083910"/>
    <w:rsid w:val="00083B23"/>
    <w:rsid w:val="00083BA2"/>
    <w:rsid w:val="0008410F"/>
    <w:rsid w:val="00084160"/>
    <w:rsid w:val="00084169"/>
    <w:rsid w:val="000841E8"/>
    <w:rsid w:val="000842B0"/>
    <w:rsid w:val="000846EC"/>
    <w:rsid w:val="00084714"/>
    <w:rsid w:val="000849A1"/>
    <w:rsid w:val="00084AC4"/>
    <w:rsid w:val="00084B4A"/>
    <w:rsid w:val="00084E0C"/>
    <w:rsid w:val="00084F40"/>
    <w:rsid w:val="00084FCA"/>
    <w:rsid w:val="0008505D"/>
    <w:rsid w:val="0008508D"/>
    <w:rsid w:val="00085094"/>
    <w:rsid w:val="000851F9"/>
    <w:rsid w:val="000853A5"/>
    <w:rsid w:val="0008549F"/>
    <w:rsid w:val="000854BF"/>
    <w:rsid w:val="0008556A"/>
    <w:rsid w:val="00085595"/>
    <w:rsid w:val="000856AA"/>
    <w:rsid w:val="00085829"/>
    <w:rsid w:val="00085830"/>
    <w:rsid w:val="000859AF"/>
    <w:rsid w:val="00085BD3"/>
    <w:rsid w:val="00085D7F"/>
    <w:rsid w:val="00085DC3"/>
    <w:rsid w:val="00085E0C"/>
    <w:rsid w:val="00085E35"/>
    <w:rsid w:val="00085E83"/>
    <w:rsid w:val="00085F63"/>
    <w:rsid w:val="000860BC"/>
    <w:rsid w:val="00086545"/>
    <w:rsid w:val="000867B4"/>
    <w:rsid w:val="000869E2"/>
    <w:rsid w:val="000869EE"/>
    <w:rsid w:val="000869FC"/>
    <w:rsid w:val="00086A1D"/>
    <w:rsid w:val="00086B06"/>
    <w:rsid w:val="00086B61"/>
    <w:rsid w:val="00086BBB"/>
    <w:rsid w:val="00086CD3"/>
    <w:rsid w:val="00086DEF"/>
    <w:rsid w:val="00086E5A"/>
    <w:rsid w:val="00086F2F"/>
    <w:rsid w:val="000871D2"/>
    <w:rsid w:val="00087284"/>
    <w:rsid w:val="000872CE"/>
    <w:rsid w:val="0008740A"/>
    <w:rsid w:val="00087546"/>
    <w:rsid w:val="00087597"/>
    <w:rsid w:val="000875C9"/>
    <w:rsid w:val="000875F0"/>
    <w:rsid w:val="000876E5"/>
    <w:rsid w:val="00087775"/>
    <w:rsid w:val="000878F9"/>
    <w:rsid w:val="00087A31"/>
    <w:rsid w:val="00087AC8"/>
    <w:rsid w:val="00087BA5"/>
    <w:rsid w:val="00087C16"/>
    <w:rsid w:val="00087CB6"/>
    <w:rsid w:val="00087D40"/>
    <w:rsid w:val="00087FB5"/>
    <w:rsid w:val="0009005F"/>
    <w:rsid w:val="00090238"/>
    <w:rsid w:val="00090248"/>
    <w:rsid w:val="000902CA"/>
    <w:rsid w:val="000905A9"/>
    <w:rsid w:val="000905E5"/>
    <w:rsid w:val="0009064A"/>
    <w:rsid w:val="000906FC"/>
    <w:rsid w:val="000908CF"/>
    <w:rsid w:val="00090B24"/>
    <w:rsid w:val="000911BE"/>
    <w:rsid w:val="00091368"/>
    <w:rsid w:val="00091450"/>
    <w:rsid w:val="00091475"/>
    <w:rsid w:val="00091494"/>
    <w:rsid w:val="00091509"/>
    <w:rsid w:val="000915A2"/>
    <w:rsid w:val="000916F6"/>
    <w:rsid w:val="000917CB"/>
    <w:rsid w:val="00091906"/>
    <w:rsid w:val="00091926"/>
    <w:rsid w:val="00091ABC"/>
    <w:rsid w:val="00091B69"/>
    <w:rsid w:val="00091D3D"/>
    <w:rsid w:val="00091DFC"/>
    <w:rsid w:val="00091EC4"/>
    <w:rsid w:val="00091FED"/>
    <w:rsid w:val="000924A3"/>
    <w:rsid w:val="00092723"/>
    <w:rsid w:val="000927DC"/>
    <w:rsid w:val="00092917"/>
    <w:rsid w:val="00092A19"/>
    <w:rsid w:val="00092AC1"/>
    <w:rsid w:val="00092CB5"/>
    <w:rsid w:val="00092D4B"/>
    <w:rsid w:val="00092D7E"/>
    <w:rsid w:val="00092E73"/>
    <w:rsid w:val="00093150"/>
    <w:rsid w:val="0009333A"/>
    <w:rsid w:val="0009336E"/>
    <w:rsid w:val="000935FE"/>
    <w:rsid w:val="00093626"/>
    <w:rsid w:val="0009379B"/>
    <w:rsid w:val="00093884"/>
    <w:rsid w:val="00093957"/>
    <w:rsid w:val="000939D3"/>
    <w:rsid w:val="00093A38"/>
    <w:rsid w:val="00093B7F"/>
    <w:rsid w:val="00093C3D"/>
    <w:rsid w:val="00093CD3"/>
    <w:rsid w:val="00093E1C"/>
    <w:rsid w:val="00093FA8"/>
    <w:rsid w:val="00093FBB"/>
    <w:rsid w:val="0009415C"/>
    <w:rsid w:val="000942AE"/>
    <w:rsid w:val="00094337"/>
    <w:rsid w:val="00094619"/>
    <w:rsid w:val="00094707"/>
    <w:rsid w:val="0009471A"/>
    <w:rsid w:val="00094757"/>
    <w:rsid w:val="000948DB"/>
    <w:rsid w:val="00094A58"/>
    <w:rsid w:val="00094A66"/>
    <w:rsid w:val="00094AB5"/>
    <w:rsid w:val="00094BB7"/>
    <w:rsid w:val="00094BF1"/>
    <w:rsid w:val="00094C6C"/>
    <w:rsid w:val="00094DC3"/>
    <w:rsid w:val="00094E87"/>
    <w:rsid w:val="000950F7"/>
    <w:rsid w:val="000950FD"/>
    <w:rsid w:val="0009514F"/>
    <w:rsid w:val="000952D5"/>
    <w:rsid w:val="0009538D"/>
    <w:rsid w:val="000954B2"/>
    <w:rsid w:val="00095503"/>
    <w:rsid w:val="000955A1"/>
    <w:rsid w:val="0009570D"/>
    <w:rsid w:val="00095891"/>
    <w:rsid w:val="00095A4C"/>
    <w:rsid w:val="00095B1B"/>
    <w:rsid w:val="00095B4E"/>
    <w:rsid w:val="00095BE7"/>
    <w:rsid w:val="00095DE9"/>
    <w:rsid w:val="00095E47"/>
    <w:rsid w:val="0009603C"/>
    <w:rsid w:val="000960F6"/>
    <w:rsid w:val="0009647C"/>
    <w:rsid w:val="00096703"/>
    <w:rsid w:val="000967CB"/>
    <w:rsid w:val="000967D1"/>
    <w:rsid w:val="00096CC8"/>
    <w:rsid w:val="00096D59"/>
    <w:rsid w:val="00096E4E"/>
    <w:rsid w:val="00096FE9"/>
    <w:rsid w:val="00097060"/>
    <w:rsid w:val="000971F9"/>
    <w:rsid w:val="000972A8"/>
    <w:rsid w:val="000973FF"/>
    <w:rsid w:val="000974D4"/>
    <w:rsid w:val="0009767D"/>
    <w:rsid w:val="00097842"/>
    <w:rsid w:val="000978B8"/>
    <w:rsid w:val="00097970"/>
    <w:rsid w:val="00097B65"/>
    <w:rsid w:val="00097C84"/>
    <w:rsid w:val="00097D65"/>
    <w:rsid w:val="00097DC1"/>
    <w:rsid w:val="000A015F"/>
    <w:rsid w:val="000A0328"/>
    <w:rsid w:val="000A03D6"/>
    <w:rsid w:val="000A0482"/>
    <w:rsid w:val="000A048B"/>
    <w:rsid w:val="000A0578"/>
    <w:rsid w:val="000A05EA"/>
    <w:rsid w:val="000A0699"/>
    <w:rsid w:val="000A0732"/>
    <w:rsid w:val="000A07CE"/>
    <w:rsid w:val="000A089F"/>
    <w:rsid w:val="000A0974"/>
    <w:rsid w:val="000A098B"/>
    <w:rsid w:val="000A0A02"/>
    <w:rsid w:val="000A0A67"/>
    <w:rsid w:val="000A0ADA"/>
    <w:rsid w:val="000A0C4E"/>
    <w:rsid w:val="000A0CFF"/>
    <w:rsid w:val="000A0DA6"/>
    <w:rsid w:val="000A0E0D"/>
    <w:rsid w:val="000A0E5F"/>
    <w:rsid w:val="000A0EA2"/>
    <w:rsid w:val="000A0EF1"/>
    <w:rsid w:val="000A1093"/>
    <w:rsid w:val="000A10B2"/>
    <w:rsid w:val="000A120F"/>
    <w:rsid w:val="000A1386"/>
    <w:rsid w:val="000A1387"/>
    <w:rsid w:val="000A13BF"/>
    <w:rsid w:val="000A13E1"/>
    <w:rsid w:val="000A1441"/>
    <w:rsid w:val="000A15ED"/>
    <w:rsid w:val="000A15FD"/>
    <w:rsid w:val="000A161D"/>
    <w:rsid w:val="000A166C"/>
    <w:rsid w:val="000A17CB"/>
    <w:rsid w:val="000A19DE"/>
    <w:rsid w:val="000A1A39"/>
    <w:rsid w:val="000A1A9D"/>
    <w:rsid w:val="000A1B7B"/>
    <w:rsid w:val="000A1DAC"/>
    <w:rsid w:val="000A1E72"/>
    <w:rsid w:val="000A1FDF"/>
    <w:rsid w:val="000A208A"/>
    <w:rsid w:val="000A2218"/>
    <w:rsid w:val="000A22D6"/>
    <w:rsid w:val="000A2374"/>
    <w:rsid w:val="000A24BD"/>
    <w:rsid w:val="000A260A"/>
    <w:rsid w:val="000A2684"/>
    <w:rsid w:val="000A295B"/>
    <w:rsid w:val="000A2D03"/>
    <w:rsid w:val="000A2D95"/>
    <w:rsid w:val="000A2DBB"/>
    <w:rsid w:val="000A3046"/>
    <w:rsid w:val="000A3077"/>
    <w:rsid w:val="000A31E0"/>
    <w:rsid w:val="000A332B"/>
    <w:rsid w:val="000A3431"/>
    <w:rsid w:val="000A36BF"/>
    <w:rsid w:val="000A371F"/>
    <w:rsid w:val="000A3976"/>
    <w:rsid w:val="000A3A5E"/>
    <w:rsid w:val="000A3CC0"/>
    <w:rsid w:val="000A3CF8"/>
    <w:rsid w:val="000A3D14"/>
    <w:rsid w:val="000A3E8A"/>
    <w:rsid w:val="000A419D"/>
    <w:rsid w:val="000A439A"/>
    <w:rsid w:val="000A43BF"/>
    <w:rsid w:val="000A4431"/>
    <w:rsid w:val="000A4477"/>
    <w:rsid w:val="000A461E"/>
    <w:rsid w:val="000A4846"/>
    <w:rsid w:val="000A487B"/>
    <w:rsid w:val="000A4882"/>
    <w:rsid w:val="000A4A50"/>
    <w:rsid w:val="000A4BAB"/>
    <w:rsid w:val="000A4BC0"/>
    <w:rsid w:val="000A4DA0"/>
    <w:rsid w:val="000A4E2B"/>
    <w:rsid w:val="000A4E73"/>
    <w:rsid w:val="000A4EF3"/>
    <w:rsid w:val="000A4FA6"/>
    <w:rsid w:val="000A521C"/>
    <w:rsid w:val="000A5327"/>
    <w:rsid w:val="000A538D"/>
    <w:rsid w:val="000A543F"/>
    <w:rsid w:val="000A5669"/>
    <w:rsid w:val="000A569A"/>
    <w:rsid w:val="000A579F"/>
    <w:rsid w:val="000A587A"/>
    <w:rsid w:val="000A59E3"/>
    <w:rsid w:val="000A5B0A"/>
    <w:rsid w:val="000A5B0B"/>
    <w:rsid w:val="000A5B21"/>
    <w:rsid w:val="000A5B4D"/>
    <w:rsid w:val="000A5CE4"/>
    <w:rsid w:val="000A5D83"/>
    <w:rsid w:val="000A5EE5"/>
    <w:rsid w:val="000A5F57"/>
    <w:rsid w:val="000A5FAB"/>
    <w:rsid w:val="000A63F0"/>
    <w:rsid w:val="000A6482"/>
    <w:rsid w:val="000A6531"/>
    <w:rsid w:val="000A655E"/>
    <w:rsid w:val="000A6689"/>
    <w:rsid w:val="000A670D"/>
    <w:rsid w:val="000A67CF"/>
    <w:rsid w:val="000A67D1"/>
    <w:rsid w:val="000A6812"/>
    <w:rsid w:val="000A685D"/>
    <w:rsid w:val="000A68CF"/>
    <w:rsid w:val="000A6967"/>
    <w:rsid w:val="000A69D1"/>
    <w:rsid w:val="000A6A82"/>
    <w:rsid w:val="000A6C93"/>
    <w:rsid w:val="000A71DF"/>
    <w:rsid w:val="000A7302"/>
    <w:rsid w:val="000A7423"/>
    <w:rsid w:val="000A7513"/>
    <w:rsid w:val="000A75EA"/>
    <w:rsid w:val="000A767B"/>
    <w:rsid w:val="000A76D4"/>
    <w:rsid w:val="000A7800"/>
    <w:rsid w:val="000A788E"/>
    <w:rsid w:val="000A7946"/>
    <w:rsid w:val="000A79C7"/>
    <w:rsid w:val="000A7AAA"/>
    <w:rsid w:val="000A7CC7"/>
    <w:rsid w:val="000A7CED"/>
    <w:rsid w:val="000B0065"/>
    <w:rsid w:val="000B00BF"/>
    <w:rsid w:val="000B01E5"/>
    <w:rsid w:val="000B01FB"/>
    <w:rsid w:val="000B02B9"/>
    <w:rsid w:val="000B02FB"/>
    <w:rsid w:val="000B0312"/>
    <w:rsid w:val="000B037B"/>
    <w:rsid w:val="000B03A7"/>
    <w:rsid w:val="000B0447"/>
    <w:rsid w:val="000B04DF"/>
    <w:rsid w:val="000B0536"/>
    <w:rsid w:val="000B0561"/>
    <w:rsid w:val="000B05CA"/>
    <w:rsid w:val="000B06CB"/>
    <w:rsid w:val="000B07C9"/>
    <w:rsid w:val="000B0819"/>
    <w:rsid w:val="000B0C2F"/>
    <w:rsid w:val="000B0CCA"/>
    <w:rsid w:val="000B0D1A"/>
    <w:rsid w:val="000B0DC1"/>
    <w:rsid w:val="000B10DB"/>
    <w:rsid w:val="000B1110"/>
    <w:rsid w:val="000B113F"/>
    <w:rsid w:val="000B1414"/>
    <w:rsid w:val="000B1587"/>
    <w:rsid w:val="000B16E5"/>
    <w:rsid w:val="000B1945"/>
    <w:rsid w:val="000B1A8D"/>
    <w:rsid w:val="000B1BC4"/>
    <w:rsid w:val="000B1BEC"/>
    <w:rsid w:val="000B1CC5"/>
    <w:rsid w:val="000B1D05"/>
    <w:rsid w:val="000B1D4B"/>
    <w:rsid w:val="000B1D77"/>
    <w:rsid w:val="000B1EEF"/>
    <w:rsid w:val="000B1F09"/>
    <w:rsid w:val="000B1FC4"/>
    <w:rsid w:val="000B1FF8"/>
    <w:rsid w:val="000B22F0"/>
    <w:rsid w:val="000B256A"/>
    <w:rsid w:val="000B2580"/>
    <w:rsid w:val="000B26D0"/>
    <w:rsid w:val="000B27BD"/>
    <w:rsid w:val="000B2830"/>
    <w:rsid w:val="000B29C9"/>
    <w:rsid w:val="000B2A8A"/>
    <w:rsid w:val="000B2BAE"/>
    <w:rsid w:val="000B2D59"/>
    <w:rsid w:val="000B2E1F"/>
    <w:rsid w:val="000B2E6F"/>
    <w:rsid w:val="000B2EB1"/>
    <w:rsid w:val="000B2F3A"/>
    <w:rsid w:val="000B30C1"/>
    <w:rsid w:val="000B31FA"/>
    <w:rsid w:val="000B329C"/>
    <w:rsid w:val="000B3312"/>
    <w:rsid w:val="000B3316"/>
    <w:rsid w:val="000B361B"/>
    <w:rsid w:val="000B3709"/>
    <w:rsid w:val="000B379C"/>
    <w:rsid w:val="000B38EB"/>
    <w:rsid w:val="000B3A4F"/>
    <w:rsid w:val="000B3BD7"/>
    <w:rsid w:val="000B3D1E"/>
    <w:rsid w:val="000B41EF"/>
    <w:rsid w:val="000B433B"/>
    <w:rsid w:val="000B4457"/>
    <w:rsid w:val="000B46AC"/>
    <w:rsid w:val="000B476A"/>
    <w:rsid w:val="000B47F8"/>
    <w:rsid w:val="000B483C"/>
    <w:rsid w:val="000B48B5"/>
    <w:rsid w:val="000B49E8"/>
    <w:rsid w:val="000B4C0F"/>
    <w:rsid w:val="000B4C71"/>
    <w:rsid w:val="000B4CA1"/>
    <w:rsid w:val="000B4D0E"/>
    <w:rsid w:val="000B4DEC"/>
    <w:rsid w:val="000B4E1A"/>
    <w:rsid w:val="000B4FE3"/>
    <w:rsid w:val="000B50CE"/>
    <w:rsid w:val="000B520C"/>
    <w:rsid w:val="000B5225"/>
    <w:rsid w:val="000B5475"/>
    <w:rsid w:val="000B54DD"/>
    <w:rsid w:val="000B55B2"/>
    <w:rsid w:val="000B5699"/>
    <w:rsid w:val="000B569A"/>
    <w:rsid w:val="000B57B2"/>
    <w:rsid w:val="000B5947"/>
    <w:rsid w:val="000B5CDE"/>
    <w:rsid w:val="000B5D10"/>
    <w:rsid w:val="000B5DB1"/>
    <w:rsid w:val="000B5F39"/>
    <w:rsid w:val="000B5F6F"/>
    <w:rsid w:val="000B6020"/>
    <w:rsid w:val="000B6181"/>
    <w:rsid w:val="000B61E2"/>
    <w:rsid w:val="000B61F6"/>
    <w:rsid w:val="000B6239"/>
    <w:rsid w:val="000B62C0"/>
    <w:rsid w:val="000B6445"/>
    <w:rsid w:val="000B660C"/>
    <w:rsid w:val="000B671A"/>
    <w:rsid w:val="000B6724"/>
    <w:rsid w:val="000B6856"/>
    <w:rsid w:val="000B6AE1"/>
    <w:rsid w:val="000B6B09"/>
    <w:rsid w:val="000B6B20"/>
    <w:rsid w:val="000B6C0D"/>
    <w:rsid w:val="000B6E91"/>
    <w:rsid w:val="000B6EC1"/>
    <w:rsid w:val="000B71E5"/>
    <w:rsid w:val="000B72BD"/>
    <w:rsid w:val="000B7401"/>
    <w:rsid w:val="000B7560"/>
    <w:rsid w:val="000B7596"/>
    <w:rsid w:val="000B797C"/>
    <w:rsid w:val="000B79DE"/>
    <w:rsid w:val="000B7A3F"/>
    <w:rsid w:val="000B7AA2"/>
    <w:rsid w:val="000B7AE5"/>
    <w:rsid w:val="000B7B0C"/>
    <w:rsid w:val="000C025D"/>
    <w:rsid w:val="000C02C6"/>
    <w:rsid w:val="000C0311"/>
    <w:rsid w:val="000C0353"/>
    <w:rsid w:val="000C0392"/>
    <w:rsid w:val="000C060C"/>
    <w:rsid w:val="000C0707"/>
    <w:rsid w:val="000C0715"/>
    <w:rsid w:val="000C0830"/>
    <w:rsid w:val="000C092E"/>
    <w:rsid w:val="000C0ABD"/>
    <w:rsid w:val="000C0C47"/>
    <w:rsid w:val="000C0C5E"/>
    <w:rsid w:val="000C0D1D"/>
    <w:rsid w:val="000C10E4"/>
    <w:rsid w:val="000C1175"/>
    <w:rsid w:val="000C1347"/>
    <w:rsid w:val="000C17CE"/>
    <w:rsid w:val="000C1C4E"/>
    <w:rsid w:val="000C1C8A"/>
    <w:rsid w:val="000C1E13"/>
    <w:rsid w:val="000C1E71"/>
    <w:rsid w:val="000C1EA6"/>
    <w:rsid w:val="000C1EE4"/>
    <w:rsid w:val="000C1F4E"/>
    <w:rsid w:val="000C2006"/>
    <w:rsid w:val="000C2289"/>
    <w:rsid w:val="000C2503"/>
    <w:rsid w:val="000C260B"/>
    <w:rsid w:val="000C27CC"/>
    <w:rsid w:val="000C286B"/>
    <w:rsid w:val="000C2AA1"/>
    <w:rsid w:val="000C2ABE"/>
    <w:rsid w:val="000C2BC3"/>
    <w:rsid w:val="000C2D77"/>
    <w:rsid w:val="000C2E2D"/>
    <w:rsid w:val="000C2F99"/>
    <w:rsid w:val="000C339A"/>
    <w:rsid w:val="000C3474"/>
    <w:rsid w:val="000C355F"/>
    <w:rsid w:val="000C37A9"/>
    <w:rsid w:val="000C39CB"/>
    <w:rsid w:val="000C39DD"/>
    <w:rsid w:val="000C3A3B"/>
    <w:rsid w:val="000C3A9F"/>
    <w:rsid w:val="000C3DBA"/>
    <w:rsid w:val="000C3DD4"/>
    <w:rsid w:val="000C3E15"/>
    <w:rsid w:val="000C3F5B"/>
    <w:rsid w:val="000C422F"/>
    <w:rsid w:val="000C4289"/>
    <w:rsid w:val="000C4362"/>
    <w:rsid w:val="000C4410"/>
    <w:rsid w:val="000C4494"/>
    <w:rsid w:val="000C44DE"/>
    <w:rsid w:val="000C44FB"/>
    <w:rsid w:val="000C47EE"/>
    <w:rsid w:val="000C4862"/>
    <w:rsid w:val="000C48CF"/>
    <w:rsid w:val="000C48DE"/>
    <w:rsid w:val="000C4A50"/>
    <w:rsid w:val="000C4AC1"/>
    <w:rsid w:val="000C4BA8"/>
    <w:rsid w:val="000C4C7C"/>
    <w:rsid w:val="000C4E02"/>
    <w:rsid w:val="000C4F37"/>
    <w:rsid w:val="000C50D0"/>
    <w:rsid w:val="000C53FD"/>
    <w:rsid w:val="000C53FF"/>
    <w:rsid w:val="000C556A"/>
    <w:rsid w:val="000C5641"/>
    <w:rsid w:val="000C5650"/>
    <w:rsid w:val="000C57F4"/>
    <w:rsid w:val="000C588A"/>
    <w:rsid w:val="000C5BF6"/>
    <w:rsid w:val="000C5D5B"/>
    <w:rsid w:val="000C5D69"/>
    <w:rsid w:val="000C5F61"/>
    <w:rsid w:val="000C60FE"/>
    <w:rsid w:val="000C61CE"/>
    <w:rsid w:val="000C624C"/>
    <w:rsid w:val="000C627C"/>
    <w:rsid w:val="000C628E"/>
    <w:rsid w:val="000C6329"/>
    <w:rsid w:val="000C642F"/>
    <w:rsid w:val="000C6433"/>
    <w:rsid w:val="000C64B9"/>
    <w:rsid w:val="000C6550"/>
    <w:rsid w:val="000C6553"/>
    <w:rsid w:val="000C6814"/>
    <w:rsid w:val="000C68F5"/>
    <w:rsid w:val="000C694E"/>
    <w:rsid w:val="000C6D39"/>
    <w:rsid w:val="000C6E62"/>
    <w:rsid w:val="000C6E63"/>
    <w:rsid w:val="000C720D"/>
    <w:rsid w:val="000C72A5"/>
    <w:rsid w:val="000C73B9"/>
    <w:rsid w:val="000C73ED"/>
    <w:rsid w:val="000C74D9"/>
    <w:rsid w:val="000C7511"/>
    <w:rsid w:val="000C771B"/>
    <w:rsid w:val="000C792C"/>
    <w:rsid w:val="000D0096"/>
    <w:rsid w:val="000D0138"/>
    <w:rsid w:val="000D031D"/>
    <w:rsid w:val="000D0562"/>
    <w:rsid w:val="000D07CC"/>
    <w:rsid w:val="000D0888"/>
    <w:rsid w:val="000D08E8"/>
    <w:rsid w:val="000D0990"/>
    <w:rsid w:val="000D0A37"/>
    <w:rsid w:val="000D0B5D"/>
    <w:rsid w:val="000D0C53"/>
    <w:rsid w:val="000D0C5A"/>
    <w:rsid w:val="000D0CCE"/>
    <w:rsid w:val="000D0D3E"/>
    <w:rsid w:val="000D0E11"/>
    <w:rsid w:val="000D0E2D"/>
    <w:rsid w:val="000D0EE4"/>
    <w:rsid w:val="000D1002"/>
    <w:rsid w:val="000D114C"/>
    <w:rsid w:val="000D1241"/>
    <w:rsid w:val="000D14D7"/>
    <w:rsid w:val="000D1884"/>
    <w:rsid w:val="000D1BDA"/>
    <w:rsid w:val="000D1C3B"/>
    <w:rsid w:val="000D1D78"/>
    <w:rsid w:val="000D1D79"/>
    <w:rsid w:val="000D1D83"/>
    <w:rsid w:val="000D1E0B"/>
    <w:rsid w:val="000D203E"/>
    <w:rsid w:val="000D21C2"/>
    <w:rsid w:val="000D21C7"/>
    <w:rsid w:val="000D21E1"/>
    <w:rsid w:val="000D2209"/>
    <w:rsid w:val="000D226A"/>
    <w:rsid w:val="000D22AC"/>
    <w:rsid w:val="000D2469"/>
    <w:rsid w:val="000D24C3"/>
    <w:rsid w:val="000D2726"/>
    <w:rsid w:val="000D2737"/>
    <w:rsid w:val="000D27C0"/>
    <w:rsid w:val="000D281A"/>
    <w:rsid w:val="000D2BE4"/>
    <w:rsid w:val="000D2C34"/>
    <w:rsid w:val="000D2E11"/>
    <w:rsid w:val="000D2EBF"/>
    <w:rsid w:val="000D2F99"/>
    <w:rsid w:val="000D350C"/>
    <w:rsid w:val="000D35C2"/>
    <w:rsid w:val="000D3694"/>
    <w:rsid w:val="000D3850"/>
    <w:rsid w:val="000D3CC2"/>
    <w:rsid w:val="000D3DA5"/>
    <w:rsid w:val="000D414C"/>
    <w:rsid w:val="000D4305"/>
    <w:rsid w:val="000D4408"/>
    <w:rsid w:val="000D44EE"/>
    <w:rsid w:val="000D47CC"/>
    <w:rsid w:val="000D48E6"/>
    <w:rsid w:val="000D4933"/>
    <w:rsid w:val="000D4A25"/>
    <w:rsid w:val="000D4B75"/>
    <w:rsid w:val="000D4B9C"/>
    <w:rsid w:val="000D4EE8"/>
    <w:rsid w:val="000D4FBB"/>
    <w:rsid w:val="000D5030"/>
    <w:rsid w:val="000D546A"/>
    <w:rsid w:val="000D5635"/>
    <w:rsid w:val="000D5650"/>
    <w:rsid w:val="000D56AF"/>
    <w:rsid w:val="000D56D7"/>
    <w:rsid w:val="000D5777"/>
    <w:rsid w:val="000D5B48"/>
    <w:rsid w:val="000D5B57"/>
    <w:rsid w:val="000D5C4C"/>
    <w:rsid w:val="000D6168"/>
    <w:rsid w:val="000D61BE"/>
    <w:rsid w:val="000D621B"/>
    <w:rsid w:val="000D63EA"/>
    <w:rsid w:val="000D6491"/>
    <w:rsid w:val="000D655B"/>
    <w:rsid w:val="000D6869"/>
    <w:rsid w:val="000D6975"/>
    <w:rsid w:val="000D69A2"/>
    <w:rsid w:val="000D6D96"/>
    <w:rsid w:val="000D6E01"/>
    <w:rsid w:val="000D6E74"/>
    <w:rsid w:val="000D6F94"/>
    <w:rsid w:val="000D72C0"/>
    <w:rsid w:val="000D73BE"/>
    <w:rsid w:val="000D75C6"/>
    <w:rsid w:val="000D76E9"/>
    <w:rsid w:val="000D77F6"/>
    <w:rsid w:val="000D7920"/>
    <w:rsid w:val="000D79B0"/>
    <w:rsid w:val="000D7A75"/>
    <w:rsid w:val="000D7E68"/>
    <w:rsid w:val="000D7E77"/>
    <w:rsid w:val="000D7EA2"/>
    <w:rsid w:val="000E0095"/>
    <w:rsid w:val="000E015D"/>
    <w:rsid w:val="000E0172"/>
    <w:rsid w:val="000E0245"/>
    <w:rsid w:val="000E04B1"/>
    <w:rsid w:val="000E0663"/>
    <w:rsid w:val="000E0705"/>
    <w:rsid w:val="000E084F"/>
    <w:rsid w:val="000E08DB"/>
    <w:rsid w:val="000E0BD0"/>
    <w:rsid w:val="000E0C06"/>
    <w:rsid w:val="000E0CCE"/>
    <w:rsid w:val="000E0CF1"/>
    <w:rsid w:val="000E0D5E"/>
    <w:rsid w:val="000E0E45"/>
    <w:rsid w:val="000E0F09"/>
    <w:rsid w:val="000E0FAD"/>
    <w:rsid w:val="000E135D"/>
    <w:rsid w:val="000E1499"/>
    <w:rsid w:val="000E14EC"/>
    <w:rsid w:val="000E1513"/>
    <w:rsid w:val="000E15D0"/>
    <w:rsid w:val="000E15DD"/>
    <w:rsid w:val="000E188E"/>
    <w:rsid w:val="000E1A8F"/>
    <w:rsid w:val="000E1B9B"/>
    <w:rsid w:val="000E1CD4"/>
    <w:rsid w:val="000E1CF9"/>
    <w:rsid w:val="000E20AC"/>
    <w:rsid w:val="000E2233"/>
    <w:rsid w:val="000E22B8"/>
    <w:rsid w:val="000E231E"/>
    <w:rsid w:val="000E23A5"/>
    <w:rsid w:val="000E23CF"/>
    <w:rsid w:val="000E2AF7"/>
    <w:rsid w:val="000E2C38"/>
    <w:rsid w:val="000E2C3D"/>
    <w:rsid w:val="000E2DE1"/>
    <w:rsid w:val="000E2EDF"/>
    <w:rsid w:val="000E2F40"/>
    <w:rsid w:val="000E2FA0"/>
    <w:rsid w:val="000E2FAC"/>
    <w:rsid w:val="000E2FB7"/>
    <w:rsid w:val="000E359B"/>
    <w:rsid w:val="000E361A"/>
    <w:rsid w:val="000E3797"/>
    <w:rsid w:val="000E3847"/>
    <w:rsid w:val="000E390B"/>
    <w:rsid w:val="000E3976"/>
    <w:rsid w:val="000E3AE4"/>
    <w:rsid w:val="000E3CD6"/>
    <w:rsid w:val="000E3F0F"/>
    <w:rsid w:val="000E401A"/>
    <w:rsid w:val="000E42CF"/>
    <w:rsid w:val="000E4350"/>
    <w:rsid w:val="000E4385"/>
    <w:rsid w:val="000E43E7"/>
    <w:rsid w:val="000E4412"/>
    <w:rsid w:val="000E451F"/>
    <w:rsid w:val="000E452F"/>
    <w:rsid w:val="000E4B32"/>
    <w:rsid w:val="000E4BEC"/>
    <w:rsid w:val="000E4CAF"/>
    <w:rsid w:val="000E4E59"/>
    <w:rsid w:val="000E4FFD"/>
    <w:rsid w:val="000E522B"/>
    <w:rsid w:val="000E5345"/>
    <w:rsid w:val="000E55A1"/>
    <w:rsid w:val="000E57CB"/>
    <w:rsid w:val="000E58AD"/>
    <w:rsid w:val="000E5923"/>
    <w:rsid w:val="000E5946"/>
    <w:rsid w:val="000E5962"/>
    <w:rsid w:val="000E5996"/>
    <w:rsid w:val="000E5AC4"/>
    <w:rsid w:val="000E5BAA"/>
    <w:rsid w:val="000E5BDC"/>
    <w:rsid w:val="000E5BDF"/>
    <w:rsid w:val="000E5C85"/>
    <w:rsid w:val="000E5DA4"/>
    <w:rsid w:val="000E5E0B"/>
    <w:rsid w:val="000E5EBE"/>
    <w:rsid w:val="000E5F58"/>
    <w:rsid w:val="000E5F5A"/>
    <w:rsid w:val="000E61B4"/>
    <w:rsid w:val="000E6259"/>
    <w:rsid w:val="000E6408"/>
    <w:rsid w:val="000E65B2"/>
    <w:rsid w:val="000E661C"/>
    <w:rsid w:val="000E666C"/>
    <w:rsid w:val="000E66E9"/>
    <w:rsid w:val="000E69A2"/>
    <w:rsid w:val="000E6AAC"/>
    <w:rsid w:val="000E6D74"/>
    <w:rsid w:val="000E6E0F"/>
    <w:rsid w:val="000E7004"/>
    <w:rsid w:val="000E70CF"/>
    <w:rsid w:val="000E71F6"/>
    <w:rsid w:val="000E7390"/>
    <w:rsid w:val="000E73A9"/>
    <w:rsid w:val="000E74CC"/>
    <w:rsid w:val="000E7770"/>
    <w:rsid w:val="000E79C3"/>
    <w:rsid w:val="000E79F8"/>
    <w:rsid w:val="000E7A2C"/>
    <w:rsid w:val="000E7B05"/>
    <w:rsid w:val="000E7C05"/>
    <w:rsid w:val="000E7C7C"/>
    <w:rsid w:val="000E7CE7"/>
    <w:rsid w:val="000E7DDB"/>
    <w:rsid w:val="000E7EF8"/>
    <w:rsid w:val="000F0045"/>
    <w:rsid w:val="000F00D1"/>
    <w:rsid w:val="000F012E"/>
    <w:rsid w:val="000F01D1"/>
    <w:rsid w:val="000F07AC"/>
    <w:rsid w:val="000F0861"/>
    <w:rsid w:val="000F092C"/>
    <w:rsid w:val="000F0A86"/>
    <w:rsid w:val="000F0BB8"/>
    <w:rsid w:val="000F0BEB"/>
    <w:rsid w:val="000F0CFC"/>
    <w:rsid w:val="000F0E97"/>
    <w:rsid w:val="000F1126"/>
    <w:rsid w:val="000F12CF"/>
    <w:rsid w:val="000F15F4"/>
    <w:rsid w:val="000F176C"/>
    <w:rsid w:val="000F1796"/>
    <w:rsid w:val="000F184F"/>
    <w:rsid w:val="000F1954"/>
    <w:rsid w:val="000F19FF"/>
    <w:rsid w:val="000F1ACB"/>
    <w:rsid w:val="000F1B8F"/>
    <w:rsid w:val="000F1DA2"/>
    <w:rsid w:val="000F1E62"/>
    <w:rsid w:val="000F2008"/>
    <w:rsid w:val="000F21A4"/>
    <w:rsid w:val="000F21EA"/>
    <w:rsid w:val="000F222B"/>
    <w:rsid w:val="000F223F"/>
    <w:rsid w:val="000F22D7"/>
    <w:rsid w:val="000F271C"/>
    <w:rsid w:val="000F27DC"/>
    <w:rsid w:val="000F2889"/>
    <w:rsid w:val="000F28F1"/>
    <w:rsid w:val="000F2C82"/>
    <w:rsid w:val="000F2D6B"/>
    <w:rsid w:val="000F31BE"/>
    <w:rsid w:val="000F3485"/>
    <w:rsid w:val="000F34E3"/>
    <w:rsid w:val="000F3575"/>
    <w:rsid w:val="000F3685"/>
    <w:rsid w:val="000F3723"/>
    <w:rsid w:val="000F3927"/>
    <w:rsid w:val="000F3976"/>
    <w:rsid w:val="000F3ADB"/>
    <w:rsid w:val="000F3BD7"/>
    <w:rsid w:val="000F3CDB"/>
    <w:rsid w:val="000F3E0B"/>
    <w:rsid w:val="000F3E58"/>
    <w:rsid w:val="000F3EEB"/>
    <w:rsid w:val="000F3F58"/>
    <w:rsid w:val="000F41DE"/>
    <w:rsid w:val="000F428B"/>
    <w:rsid w:val="000F432D"/>
    <w:rsid w:val="000F4459"/>
    <w:rsid w:val="000F45EA"/>
    <w:rsid w:val="000F461B"/>
    <w:rsid w:val="000F4899"/>
    <w:rsid w:val="000F48B4"/>
    <w:rsid w:val="000F4ECB"/>
    <w:rsid w:val="000F5006"/>
    <w:rsid w:val="000F5388"/>
    <w:rsid w:val="000F558E"/>
    <w:rsid w:val="000F55B0"/>
    <w:rsid w:val="000F5616"/>
    <w:rsid w:val="000F5620"/>
    <w:rsid w:val="000F597B"/>
    <w:rsid w:val="000F5EA1"/>
    <w:rsid w:val="000F5EAB"/>
    <w:rsid w:val="000F5F94"/>
    <w:rsid w:val="000F601E"/>
    <w:rsid w:val="000F6026"/>
    <w:rsid w:val="000F60DF"/>
    <w:rsid w:val="000F6192"/>
    <w:rsid w:val="000F63AD"/>
    <w:rsid w:val="000F6412"/>
    <w:rsid w:val="000F6497"/>
    <w:rsid w:val="000F65E4"/>
    <w:rsid w:val="000F6830"/>
    <w:rsid w:val="000F6971"/>
    <w:rsid w:val="000F697F"/>
    <w:rsid w:val="000F6AA6"/>
    <w:rsid w:val="000F6ABA"/>
    <w:rsid w:val="000F6B1C"/>
    <w:rsid w:val="000F6C5F"/>
    <w:rsid w:val="000F6D45"/>
    <w:rsid w:val="000F6E29"/>
    <w:rsid w:val="000F7024"/>
    <w:rsid w:val="000F706E"/>
    <w:rsid w:val="000F70C0"/>
    <w:rsid w:val="000F7296"/>
    <w:rsid w:val="000F741B"/>
    <w:rsid w:val="000F79CA"/>
    <w:rsid w:val="000F7A3E"/>
    <w:rsid w:val="000F7B63"/>
    <w:rsid w:val="000F7B70"/>
    <w:rsid w:val="00100398"/>
    <w:rsid w:val="001004B0"/>
    <w:rsid w:val="0010073D"/>
    <w:rsid w:val="0010086E"/>
    <w:rsid w:val="00100A10"/>
    <w:rsid w:val="00100A19"/>
    <w:rsid w:val="00100B60"/>
    <w:rsid w:val="00100CA5"/>
    <w:rsid w:val="00100DB3"/>
    <w:rsid w:val="00100DFF"/>
    <w:rsid w:val="00100E4F"/>
    <w:rsid w:val="00100EB8"/>
    <w:rsid w:val="0010107D"/>
    <w:rsid w:val="00101287"/>
    <w:rsid w:val="001013B2"/>
    <w:rsid w:val="001014CD"/>
    <w:rsid w:val="001015B8"/>
    <w:rsid w:val="00101613"/>
    <w:rsid w:val="0010163E"/>
    <w:rsid w:val="0010163F"/>
    <w:rsid w:val="00101750"/>
    <w:rsid w:val="0010178B"/>
    <w:rsid w:val="0010178C"/>
    <w:rsid w:val="001017F7"/>
    <w:rsid w:val="001018FD"/>
    <w:rsid w:val="00101957"/>
    <w:rsid w:val="00101DB1"/>
    <w:rsid w:val="00101E6B"/>
    <w:rsid w:val="00101E74"/>
    <w:rsid w:val="0010204E"/>
    <w:rsid w:val="001020F3"/>
    <w:rsid w:val="00102181"/>
    <w:rsid w:val="001024AA"/>
    <w:rsid w:val="001026F1"/>
    <w:rsid w:val="0010285E"/>
    <w:rsid w:val="001029DF"/>
    <w:rsid w:val="00102A5B"/>
    <w:rsid w:val="00102CBA"/>
    <w:rsid w:val="00102E8B"/>
    <w:rsid w:val="00102FE0"/>
    <w:rsid w:val="00103011"/>
    <w:rsid w:val="0010315D"/>
    <w:rsid w:val="00103532"/>
    <w:rsid w:val="0010390C"/>
    <w:rsid w:val="00103B09"/>
    <w:rsid w:val="001040EC"/>
    <w:rsid w:val="001042B5"/>
    <w:rsid w:val="001042C7"/>
    <w:rsid w:val="001045D3"/>
    <w:rsid w:val="00104604"/>
    <w:rsid w:val="0010472C"/>
    <w:rsid w:val="001047AF"/>
    <w:rsid w:val="00104BAD"/>
    <w:rsid w:val="00104DA0"/>
    <w:rsid w:val="00104DAD"/>
    <w:rsid w:val="00104F7A"/>
    <w:rsid w:val="00104FF9"/>
    <w:rsid w:val="001051B0"/>
    <w:rsid w:val="001052DF"/>
    <w:rsid w:val="0010530C"/>
    <w:rsid w:val="0010536D"/>
    <w:rsid w:val="001053FB"/>
    <w:rsid w:val="00105499"/>
    <w:rsid w:val="001058C8"/>
    <w:rsid w:val="0010595E"/>
    <w:rsid w:val="00105A24"/>
    <w:rsid w:val="00105B6F"/>
    <w:rsid w:val="00105C57"/>
    <w:rsid w:val="00105E10"/>
    <w:rsid w:val="00105E5A"/>
    <w:rsid w:val="00105FB9"/>
    <w:rsid w:val="00105FE6"/>
    <w:rsid w:val="001063EC"/>
    <w:rsid w:val="0010651D"/>
    <w:rsid w:val="00106802"/>
    <w:rsid w:val="00106A5B"/>
    <w:rsid w:val="00106CBE"/>
    <w:rsid w:val="00106DF0"/>
    <w:rsid w:val="00106DF7"/>
    <w:rsid w:val="00106E36"/>
    <w:rsid w:val="00106FA2"/>
    <w:rsid w:val="00106FB4"/>
    <w:rsid w:val="00107110"/>
    <w:rsid w:val="001071F8"/>
    <w:rsid w:val="0010722B"/>
    <w:rsid w:val="0010731B"/>
    <w:rsid w:val="001074BF"/>
    <w:rsid w:val="00107617"/>
    <w:rsid w:val="0010768D"/>
    <w:rsid w:val="001076CD"/>
    <w:rsid w:val="00107924"/>
    <w:rsid w:val="00107C74"/>
    <w:rsid w:val="00107DD3"/>
    <w:rsid w:val="00110223"/>
    <w:rsid w:val="00110349"/>
    <w:rsid w:val="0011044A"/>
    <w:rsid w:val="00110523"/>
    <w:rsid w:val="0011081C"/>
    <w:rsid w:val="00110920"/>
    <w:rsid w:val="00110C4B"/>
    <w:rsid w:val="00110C84"/>
    <w:rsid w:val="00110C88"/>
    <w:rsid w:val="00110CFA"/>
    <w:rsid w:val="001112B4"/>
    <w:rsid w:val="001116EE"/>
    <w:rsid w:val="0011185F"/>
    <w:rsid w:val="00111865"/>
    <w:rsid w:val="00111CEC"/>
    <w:rsid w:val="00111D02"/>
    <w:rsid w:val="00111E3D"/>
    <w:rsid w:val="0011236C"/>
    <w:rsid w:val="001123F7"/>
    <w:rsid w:val="0011256B"/>
    <w:rsid w:val="001126B2"/>
    <w:rsid w:val="0011283F"/>
    <w:rsid w:val="00112984"/>
    <w:rsid w:val="00112B19"/>
    <w:rsid w:val="00112B71"/>
    <w:rsid w:val="00112C12"/>
    <w:rsid w:val="00112C73"/>
    <w:rsid w:val="00112FF4"/>
    <w:rsid w:val="00113458"/>
    <w:rsid w:val="00113661"/>
    <w:rsid w:val="001138FB"/>
    <w:rsid w:val="0011394A"/>
    <w:rsid w:val="00113C51"/>
    <w:rsid w:val="00113C6C"/>
    <w:rsid w:val="00113CE6"/>
    <w:rsid w:val="00113D06"/>
    <w:rsid w:val="00113D23"/>
    <w:rsid w:val="00113DA5"/>
    <w:rsid w:val="00113DAE"/>
    <w:rsid w:val="00113DDB"/>
    <w:rsid w:val="00113FF5"/>
    <w:rsid w:val="00114207"/>
    <w:rsid w:val="00114294"/>
    <w:rsid w:val="001144FF"/>
    <w:rsid w:val="001146B5"/>
    <w:rsid w:val="00114729"/>
    <w:rsid w:val="00114772"/>
    <w:rsid w:val="00114A6C"/>
    <w:rsid w:val="00114D03"/>
    <w:rsid w:val="00114E75"/>
    <w:rsid w:val="00115298"/>
    <w:rsid w:val="0011533F"/>
    <w:rsid w:val="001154FE"/>
    <w:rsid w:val="0011557B"/>
    <w:rsid w:val="001157E4"/>
    <w:rsid w:val="00115A09"/>
    <w:rsid w:val="00115D26"/>
    <w:rsid w:val="00115D8B"/>
    <w:rsid w:val="00115F2D"/>
    <w:rsid w:val="0011611B"/>
    <w:rsid w:val="00116436"/>
    <w:rsid w:val="001165A2"/>
    <w:rsid w:val="00116649"/>
    <w:rsid w:val="001166A8"/>
    <w:rsid w:val="001166FA"/>
    <w:rsid w:val="001167C8"/>
    <w:rsid w:val="00116883"/>
    <w:rsid w:val="00116A94"/>
    <w:rsid w:val="00116DE5"/>
    <w:rsid w:val="00116E3A"/>
    <w:rsid w:val="00117091"/>
    <w:rsid w:val="0011709B"/>
    <w:rsid w:val="00117118"/>
    <w:rsid w:val="00117289"/>
    <w:rsid w:val="001175FC"/>
    <w:rsid w:val="0011798A"/>
    <w:rsid w:val="00117A61"/>
    <w:rsid w:val="00117AC3"/>
    <w:rsid w:val="00117C54"/>
    <w:rsid w:val="00117CAA"/>
    <w:rsid w:val="00117F16"/>
    <w:rsid w:val="001200EB"/>
    <w:rsid w:val="001201C2"/>
    <w:rsid w:val="0012067F"/>
    <w:rsid w:val="001207C2"/>
    <w:rsid w:val="00120A73"/>
    <w:rsid w:val="00120ACD"/>
    <w:rsid w:val="00120B0D"/>
    <w:rsid w:val="00120BA4"/>
    <w:rsid w:val="00120BD7"/>
    <w:rsid w:val="00120BE1"/>
    <w:rsid w:val="00120D31"/>
    <w:rsid w:val="00120D6E"/>
    <w:rsid w:val="00120D7E"/>
    <w:rsid w:val="00120D8E"/>
    <w:rsid w:val="00120E01"/>
    <w:rsid w:val="00120FCC"/>
    <w:rsid w:val="001210F6"/>
    <w:rsid w:val="001210FD"/>
    <w:rsid w:val="001211A6"/>
    <w:rsid w:val="001214DD"/>
    <w:rsid w:val="00121564"/>
    <w:rsid w:val="00121636"/>
    <w:rsid w:val="00121674"/>
    <w:rsid w:val="001216FE"/>
    <w:rsid w:val="00121746"/>
    <w:rsid w:val="00121795"/>
    <w:rsid w:val="001217B7"/>
    <w:rsid w:val="00121878"/>
    <w:rsid w:val="00121AE0"/>
    <w:rsid w:val="00121D83"/>
    <w:rsid w:val="001221B0"/>
    <w:rsid w:val="00122320"/>
    <w:rsid w:val="001225AD"/>
    <w:rsid w:val="001226C1"/>
    <w:rsid w:val="001227C1"/>
    <w:rsid w:val="00122A1D"/>
    <w:rsid w:val="00122B98"/>
    <w:rsid w:val="00122D82"/>
    <w:rsid w:val="00122DCA"/>
    <w:rsid w:val="00122E00"/>
    <w:rsid w:val="00122F76"/>
    <w:rsid w:val="00123075"/>
    <w:rsid w:val="001231EF"/>
    <w:rsid w:val="00123380"/>
    <w:rsid w:val="00123485"/>
    <w:rsid w:val="001235FB"/>
    <w:rsid w:val="00123A06"/>
    <w:rsid w:val="00123AAC"/>
    <w:rsid w:val="00123AF2"/>
    <w:rsid w:val="00123E74"/>
    <w:rsid w:val="00123FE0"/>
    <w:rsid w:val="00124007"/>
    <w:rsid w:val="001240F4"/>
    <w:rsid w:val="00124307"/>
    <w:rsid w:val="001243AF"/>
    <w:rsid w:val="00124613"/>
    <w:rsid w:val="0012494B"/>
    <w:rsid w:val="001249C1"/>
    <w:rsid w:val="00124B53"/>
    <w:rsid w:val="00124BA4"/>
    <w:rsid w:val="00124C60"/>
    <w:rsid w:val="00124CC5"/>
    <w:rsid w:val="00124DC5"/>
    <w:rsid w:val="00124FA1"/>
    <w:rsid w:val="00124FFA"/>
    <w:rsid w:val="00125000"/>
    <w:rsid w:val="00125007"/>
    <w:rsid w:val="00125042"/>
    <w:rsid w:val="00125482"/>
    <w:rsid w:val="00125876"/>
    <w:rsid w:val="00125978"/>
    <w:rsid w:val="001259DD"/>
    <w:rsid w:val="00125D66"/>
    <w:rsid w:val="00125DBA"/>
    <w:rsid w:val="00125E1E"/>
    <w:rsid w:val="00125E52"/>
    <w:rsid w:val="00125F16"/>
    <w:rsid w:val="00125F9D"/>
    <w:rsid w:val="00125FDD"/>
    <w:rsid w:val="00126419"/>
    <w:rsid w:val="001265C0"/>
    <w:rsid w:val="00126870"/>
    <w:rsid w:val="00126985"/>
    <w:rsid w:val="00126FCD"/>
    <w:rsid w:val="0012704F"/>
    <w:rsid w:val="00127149"/>
    <w:rsid w:val="00127178"/>
    <w:rsid w:val="00127270"/>
    <w:rsid w:val="001273BF"/>
    <w:rsid w:val="00127440"/>
    <w:rsid w:val="0012756C"/>
    <w:rsid w:val="00127604"/>
    <w:rsid w:val="00127670"/>
    <w:rsid w:val="001276F1"/>
    <w:rsid w:val="00127BE6"/>
    <w:rsid w:val="00127C70"/>
    <w:rsid w:val="00127D5E"/>
    <w:rsid w:val="00127DBD"/>
    <w:rsid w:val="00127E92"/>
    <w:rsid w:val="00127EFA"/>
    <w:rsid w:val="001304CF"/>
    <w:rsid w:val="0013051A"/>
    <w:rsid w:val="00130616"/>
    <w:rsid w:val="001307F9"/>
    <w:rsid w:val="001308B0"/>
    <w:rsid w:val="00130C02"/>
    <w:rsid w:val="00130DDE"/>
    <w:rsid w:val="00130E58"/>
    <w:rsid w:val="00130F18"/>
    <w:rsid w:val="0013147C"/>
    <w:rsid w:val="00131539"/>
    <w:rsid w:val="00131586"/>
    <w:rsid w:val="001315FD"/>
    <w:rsid w:val="001316B8"/>
    <w:rsid w:val="001316CC"/>
    <w:rsid w:val="00131963"/>
    <w:rsid w:val="00131C94"/>
    <w:rsid w:val="00131E44"/>
    <w:rsid w:val="00131FDC"/>
    <w:rsid w:val="001320D0"/>
    <w:rsid w:val="00132162"/>
    <w:rsid w:val="0013216F"/>
    <w:rsid w:val="00132211"/>
    <w:rsid w:val="0013267C"/>
    <w:rsid w:val="001326D6"/>
    <w:rsid w:val="00132737"/>
    <w:rsid w:val="001327D9"/>
    <w:rsid w:val="00132ADA"/>
    <w:rsid w:val="00132AE6"/>
    <w:rsid w:val="00132B4F"/>
    <w:rsid w:val="00132BED"/>
    <w:rsid w:val="00132F28"/>
    <w:rsid w:val="00132FDD"/>
    <w:rsid w:val="001332B8"/>
    <w:rsid w:val="001333BE"/>
    <w:rsid w:val="00133490"/>
    <w:rsid w:val="00133499"/>
    <w:rsid w:val="00133565"/>
    <w:rsid w:val="001335BC"/>
    <w:rsid w:val="0013362C"/>
    <w:rsid w:val="001336E6"/>
    <w:rsid w:val="0013379B"/>
    <w:rsid w:val="001337CE"/>
    <w:rsid w:val="001338BD"/>
    <w:rsid w:val="00133C77"/>
    <w:rsid w:val="00133DE7"/>
    <w:rsid w:val="00133EE6"/>
    <w:rsid w:val="00133F44"/>
    <w:rsid w:val="001340EE"/>
    <w:rsid w:val="00134154"/>
    <w:rsid w:val="0013416E"/>
    <w:rsid w:val="001343BE"/>
    <w:rsid w:val="001344AF"/>
    <w:rsid w:val="0013466C"/>
    <w:rsid w:val="00134A60"/>
    <w:rsid w:val="00134B3C"/>
    <w:rsid w:val="00134DAF"/>
    <w:rsid w:val="00134DD2"/>
    <w:rsid w:val="00134E18"/>
    <w:rsid w:val="00134E40"/>
    <w:rsid w:val="0013508D"/>
    <w:rsid w:val="0013530C"/>
    <w:rsid w:val="0013554B"/>
    <w:rsid w:val="001357EE"/>
    <w:rsid w:val="001359AA"/>
    <w:rsid w:val="00135BA3"/>
    <w:rsid w:val="00135BB7"/>
    <w:rsid w:val="00135C41"/>
    <w:rsid w:val="00135C92"/>
    <w:rsid w:val="00135D20"/>
    <w:rsid w:val="00135E0B"/>
    <w:rsid w:val="00135E15"/>
    <w:rsid w:val="00135F9C"/>
    <w:rsid w:val="0013605F"/>
    <w:rsid w:val="001360DD"/>
    <w:rsid w:val="00136113"/>
    <w:rsid w:val="0013674A"/>
    <w:rsid w:val="0013681C"/>
    <w:rsid w:val="001368D4"/>
    <w:rsid w:val="00136900"/>
    <w:rsid w:val="00136B38"/>
    <w:rsid w:val="00136B3F"/>
    <w:rsid w:val="00136D3D"/>
    <w:rsid w:val="00136F03"/>
    <w:rsid w:val="00136F4F"/>
    <w:rsid w:val="00137028"/>
    <w:rsid w:val="00137115"/>
    <w:rsid w:val="0013711C"/>
    <w:rsid w:val="001371C7"/>
    <w:rsid w:val="001371F7"/>
    <w:rsid w:val="0013724B"/>
    <w:rsid w:val="00137287"/>
    <w:rsid w:val="00137391"/>
    <w:rsid w:val="001373D8"/>
    <w:rsid w:val="00137449"/>
    <w:rsid w:val="0013768F"/>
    <w:rsid w:val="001376CC"/>
    <w:rsid w:val="0013773A"/>
    <w:rsid w:val="00137B8C"/>
    <w:rsid w:val="00137ECE"/>
    <w:rsid w:val="00137FCA"/>
    <w:rsid w:val="0014039E"/>
    <w:rsid w:val="0014084A"/>
    <w:rsid w:val="0014086C"/>
    <w:rsid w:val="001409A0"/>
    <w:rsid w:val="00140AED"/>
    <w:rsid w:val="00140C38"/>
    <w:rsid w:val="00140CAB"/>
    <w:rsid w:val="00140DDB"/>
    <w:rsid w:val="001410CB"/>
    <w:rsid w:val="001410F4"/>
    <w:rsid w:val="001411AA"/>
    <w:rsid w:val="001411BE"/>
    <w:rsid w:val="0014132F"/>
    <w:rsid w:val="00141460"/>
    <w:rsid w:val="001418B0"/>
    <w:rsid w:val="00141912"/>
    <w:rsid w:val="00141913"/>
    <w:rsid w:val="0014194A"/>
    <w:rsid w:val="00141A0B"/>
    <w:rsid w:val="00141C1A"/>
    <w:rsid w:val="00141CA6"/>
    <w:rsid w:val="00141F6F"/>
    <w:rsid w:val="001420CA"/>
    <w:rsid w:val="0014230A"/>
    <w:rsid w:val="0014245B"/>
    <w:rsid w:val="00142565"/>
    <w:rsid w:val="00142620"/>
    <w:rsid w:val="00142624"/>
    <w:rsid w:val="0014263D"/>
    <w:rsid w:val="001426C8"/>
    <w:rsid w:val="00142A19"/>
    <w:rsid w:val="00142A93"/>
    <w:rsid w:val="00142B2C"/>
    <w:rsid w:val="00142BCD"/>
    <w:rsid w:val="00142CBD"/>
    <w:rsid w:val="00142DBB"/>
    <w:rsid w:val="001430AA"/>
    <w:rsid w:val="001430DB"/>
    <w:rsid w:val="001430EF"/>
    <w:rsid w:val="001431A1"/>
    <w:rsid w:val="001431C2"/>
    <w:rsid w:val="00143258"/>
    <w:rsid w:val="001432DA"/>
    <w:rsid w:val="00143356"/>
    <w:rsid w:val="0014340D"/>
    <w:rsid w:val="0014363E"/>
    <w:rsid w:val="001436C3"/>
    <w:rsid w:val="0014372A"/>
    <w:rsid w:val="00143762"/>
    <w:rsid w:val="00143851"/>
    <w:rsid w:val="001438B2"/>
    <w:rsid w:val="00143922"/>
    <w:rsid w:val="00143C22"/>
    <w:rsid w:val="00143CDB"/>
    <w:rsid w:val="00143D0F"/>
    <w:rsid w:val="00143E26"/>
    <w:rsid w:val="00143F20"/>
    <w:rsid w:val="00144192"/>
    <w:rsid w:val="00144205"/>
    <w:rsid w:val="00144232"/>
    <w:rsid w:val="001442AA"/>
    <w:rsid w:val="001442F2"/>
    <w:rsid w:val="00144624"/>
    <w:rsid w:val="001446DA"/>
    <w:rsid w:val="00144744"/>
    <w:rsid w:val="00144749"/>
    <w:rsid w:val="001447EB"/>
    <w:rsid w:val="00144AFD"/>
    <w:rsid w:val="00144BBA"/>
    <w:rsid w:val="00144E80"/>
    <w:rsid w:val="00144E96"/>
    <w:rsid w:val="00144F17"/>
    <w:rsid w:val="001450E8"/>
    <w:rsid w:val="001451D8"/>
    <w:rsid w:val="00145200"/>
    <w:rsid w:val="00145603"/>
    <w:rsid w:val="00145712"/>
    <w:rsid w:val="001457C6"/>
    <w:rsid w:val="001458C2"/>
    <w:rsid w:val="00145BA8"/>
    <w:rsid w:val="00145C20"/>
    <w:rsid w:val="00145D22"/>
    <w:rsid w:val="00145D23"/>
    <w:rsid w:val="00145DB9"/>
    <w:rsid w:val="00145EAB"/>
    <w:rsid w:val="00145F77"/>
    <w:rsid w:val="001460FA"/>
    <w:rsid w:val="00146364"/>
    <w:rsid w:val="00146800"/>
    <w:rsid w:val="00146815"/>
    <w:rsid w:val="00146A7B"/>
    <w:rsid w:val="00146B3E"/>
    <w:rsid w:val="00146C50"/>
    <w:rsid w:val="00146E38"/>
    <w:rsid w:val="00146FD4"/>
    <w:rsid w:val="0014703A"/>
    <w:rsid w:val="00147149"/>
    <w:rsid w:val="001471F1"/>
    <w:rsid w:val="001474AE"/>
    <w:rsid w:val="001474EA"/>
    <w:rsid w:val="0014753B"/>
    <w:rsid w:val="001475F3"/>
    <w:rsid w:val="00147668"/>
    <w:rsid w:val="001479B1"/>
    <w:rsid w:val="00147A67"/>
    <w:rsid w:val="00147D7D"/>
    <w:rsid w:val="00147DA8"/>
    <w:rsid w:val="00147DDF"/>
    <w:rsid w:val="00147DF7"/>
    <w:rsid w:val="00147F85"/>
    <w:rsid w:val="001503AC"/>
    <w:rsid w:val="00150729"/>
    <w:rsid w:val="001507CF"/>
    <w:rsid w:val="00150914"/>
    <w:rsid w:val="00150A02"/>
    <w:rsid w:val="00150A0D"/>
    <w:rsid w:val="00150AC2"/>
    <w:rsid w:val="00150D5B"/>
    <w:rsid w:val="00150FBB"/>
    <w:rsid w:val="0015103B"/>
    <w:rsid w:val="001510AD"/>
    <w:rsid w:val="001515F9"/>
    <w:rsid w:val="0015167D"/>
    <w:rsid w:val="0015169B"/>
    <w:rsid w:val="00151720"/>
    <w:rsid w:val="001517D2"/>
    <w:rsid w:val="00151916"/>
    <w:rsid w:val="001519E3"/>
    <w:rsid w:val="00151A7F"/>
    <w:rsid w:val="00151B43"/>
    <w:rsid w:val="00151CD1"/>
    <w:rsid w:val="00151E8D"/>
    <w:rsid w:val="00151F68"/>
    <w:rsid w:val="00151F89"/>
    <w:rsid w:val="00151F96"/>
    <w:rsid w:val="00152218"/>
    <w:rsid w:val="00152303"/>
    <w:rsid w:val="00152304"/>
    <w:rsid w:val="00152357"/>
    <w:rsid w:val="001523A6"/>
    <w:rsid w:val="00152521"/>
    <w:rsid w:val="001526E1"/>
    <w:rsid w:val="00152715"/>
    <w:rsid w:val="001527FB"/>
    <w:rsid w:val="00152A5E"/>
    <w:rsid w:val="00152A9C"/>
    <w:rsid w:val="00152B91"/>
    <w:rsid w:val="00152D07"/>
    <w:rsid w:val="00152DE3"/>
    <w:rsid w:val="00152E3F"/>
    <w:rsid w:val="001530FA"/>
    <w:rsid w:val="0015345F"/>
    <w:rsid w:val="00153825"/>
    <w:rsid w:val="00153A57"/>
    <w:rsid w:val="00153A5C"/>
    <w:rsid w:val="00153AA8"/>
    <w:rsid w:val="00153CE9"/>
    <w:rsid w:val="00153D87"/>
    <w:rsid w:val="00153E6A"/>
    <w:rsid w:val="00153EE7"/>
    <w:rsid w:val="00153EEC"/>
    <w:rsid w:val="00153F2B"/>
    <w:rsid w:val="00153F8D"/>
    <w:rsid w:val="00154334"/>
    <w:rsid w:val="00154355"/>
    <w:rsid w:val="001543E7"/>
    <w:rsid w:val="001546D9"/>
    <w:rsid w:val="00154C61"/>
    <w:rsid w:val="00154FA2"/>
    <w:rsid w:val="001551E0"/>
    <w:rsid w:val="001557DC"/>
    <w:rsid w:val="00155AA7"/>
    <w:rsid w:val="00155C2C"/>
    <w:rsid w:val="00155D19"/>
    <w:rsid w:val="00155E02"/>
    <w:rsid w:val="001560FD"/>
    <w:rsid w:val="00156288"/>
    <w:rsid w:val="0015629E"/>
    <w:rsid w:val="001564A4"/>
    <w:rsid w:val="001564F5"/>
    <w:rsid w:val="00156589"/>
    <w:rsid w:val="0015688C"/>
    <w:rsid w:val="0015690B"/>
    <w:rsid w:val="00156988"/>
    <w:rsid w:val="00156B7F"/>
    <w:rsid w:val="00156B97"/>
    <w:rsid w:val="00156C65"/>
    <w:rsid w:val="00156E12"/>
    <w:rsid w:val="00156E15"/>
    <w:rsid w:val="00156E30"/>
    <w:rsid w:val="00157047"/>
    <w:rsid w:val="001573A9"/>
    <w:rsid w:val="00157638"/>
    <w:rsid w:val="00157854"/>
    <w:rsid w:val="001578B3"/>
    <w:rsid w:val="001578E1"/>
    <w:rsid w:val="0015795C"/>
    <w:rsid w:val="00157A28"/>
    <w:rsid w:val="00157AFD"/>
    <w:rsid w:val="00157B44"/>
    <w:rsid w:val="00157B6F"/>
    <w:rsid w:val="00157CBB"/>
    <w:rsid w:val="00157D65"/>
    <w:rsid w:val="00157DEF"/>
    <w:rsid w:val="00157DFA"/>
    <w:rsid w:val="0016015A"/>
    <w:rsid w:val="001602E5"/>
    <w:rsid w:val="0016034D"/>
    <w:rsid w:val="001604B1"/>
    <w:rsid w:val="001604B9"/>
    <w:rsid w:val="00160619"/>
    <w:rsid w:val="0016079D"/>
    <w:rsid w:val="00160888"/>
    <w:rsid w:val="00160892"/>
    <w:rsid w:val="001608AB"/>
    <w:rsid w:val="001608EE"/>
    <w:rsid w:val="00160A4C"/>
    <w:rsid w:val="00160B6D"/>
    <w:rsid w:val="00160D29"/>
    <w:rsid w:val="00160DC4"/>
    <w:rsid w:val="00160DE8"/>
    <w:rsid w:val="00160EAC"/>
    <w:rsid w:val="00161119"/>
    <w:rsid w:val="0016117F"/>
    <w:rsid w:val="001611EA"/>
    <w:rsid w:val="001614A0"/>
    <w:rsid w:val="00161571"/>
    <w:rsid w:val="00161723"/>
    <w:rsid w:val="001617C1"/>
    <w:rsid w:val="001617E3"/>
    <w:rsid w:val="001617F2"/>
    <w:rsid w:val="00161822"/>
    <w:rsid w:val="001618AA"/>
    <w:rsid w:val="00161AD9"/>
    <w:rsid w:val="00161C7D"/>
    <w:rsid w:val="00161E05"/>
    <w:rsid w:val="00161F1B"/>
    <w:rsid w:val="00162007"/>
    <w:rsid w:val="00162008"/>
    <w:rsid w:val="00162072"/>
    <w:rsid w:val="00162099"/>
    <w:rsid w:val="001622F0"/>
    <w:rsid w:val="001624F9"/>
    <w:rsid w:val="001625A9"/>
    <w:rsid w:val="00162652"/>
    <w:rsid w:val="00162878"/>
    <w:rsid w:val="00162C10"/>
    <w:rsid w:val="00162C71"/>
    <w:rsid w:val="00162EBD"/>
    <w:rsid w:val="00162F3F"/>
    <w:rsid w:val="001631F9"/>
    <w:rsid w:val="00163399"/>
    <w:rsid w:val="0016344C"/>
    <w:rsid w:val="001635D2"/>
    <w:rsid w:val="00163A5D"/>
    <w:rsid w:val="00163DE2"/>
    <w:rsid w:val="00163E05"/>
    <w:rsid w:val="00163E07"/>
    <w:rsid w:val="00163F17"/>
    <w:rsid w:val="00163FD3"/>
    <w:rsid w:val="001641ED"/>
    <w:rsid w:val="0016443B"/>
    <w:rsid w:val="00164546"/>
    <w:rsid w:val="0016457C"/>
    <w:rsid w:val="0016481D"/>
    <w:rsid w:val="00164822"/>
    <w:rsid w:val="001649BB"/>
    <w:rsid w:val="00164B97"/>
    <w:rsid w:val="00164C1E"/>
    <w:rsid w:val="00164C46"/>
    <w:rsid w:val="001651D8"/>
    <w:rsid w:val="0016527C"/>
    <w:rsid w:val="001653CA"/>
    <w:rsid w:val="0016562C"/>
    <w:rsid w:val="00165647"/>
    <w:rsid w:val="0016576A"/>
    <w:rsid w:val="001657AD"/>
    <w:rsid w:val="001657FC"/>
    <w:rsid w:val="00165859"/>
    <w:rsid w:val="001658D3"/>
    <w:rsid w:val="00165A1A"/>
    <w:rsid w:val="00165B5C"/>
    <w:rsid w:val="00165C34"/>
    <w:rsid w:val="00165D8F"/>
    <w:rsid w:val="00165EC9"/>
    <w:rsid w:val="0016600A"/>
    <w:rsid w:val="001668F5"/>
    <w:rsid w:val="00166D5E"/>
    <w:rsid w:val="00167383"/>
    <w:rsid w:val="001673DE"/>
    <w:rsid w:val="00167485"/>
    <w:rsid w:val="00167559"/>
    <w:rsid w:val="00167723"/>
    <w:rsid w:val="001679FE"/>
    <w:rsid w:val="00167C8A"/>
    <w:rsid w:val="00167CA8"/>
    <w:rsid w:val="00170028"/>
    <w:rsid w:val="0017004E"/>
    <w:rsid w:val="00170093"/>
    <w:rsid w:val="001700C0"/>
    <w:rsid w:val="0017027D"/>
    <w:rsid w:val="001703C8"/>
    <w:rsid w:val="00170577"/>
    <w:rsid w:val="001705F2"/>
    <w:rsid w:val="00170705"/>
    <w:rsid w:val="001707DF"/>
    <w:rsid w:val="001708A9"/>
    <w:rsid w:val="00170951"/>
    <w:rsid w:val="00170ABC"/>
    <w:rsid w:val="0017111E"/>
    <w:rsid w:val="001716C2"/>
    <w:rsid w:val="00171A14"/>
    <w:rsid w:val="00171A47"/>
    <w:rsid w:val="00171AB5"/>
    <w:rsid w:val="00171B0F"/>
    <w:rsid w:val="00171B74"/>
    <w:rsid w:val="00171DC3"/>
    <w:rsid w:val="00171EBC"/>
    <w:rsid w:val="00171FBB"/>
    <w:rsid w:val="00172038"/>
    <w:rsid w:val="00172175"/>
    <w:rsid w:val="001722B4"/>
    <w:rsid w:val="001722E2"/>
    <w:rsid w:val="00172394"/>
    <w:rsid w:val="001724F5"/>
    <w:rsid w:val="00172533"/>
    <w:rsid w:val="00172696"/>
    <w:rsid w:val="00172728"/>
    <w:rsid w:val="001728F6"/>
    <w:rsid w:val="001729CB"/>
    <w:rsid w:val="00172AEF"/>
    <w:rsid w:val="00172C9C"/>
    <w:rsid w:val="00172ECE"/>
    <w:rsid w:val="00172F66"/>
    <w:rsid w:val="00172FDB"/>
    <w:rsid w:val="001731D8"/>
    <w:rsid w:val="001734F2"/>
    <w:rsid w:val="00173564"/>
    <w:rsid w:val="001735E3"/>
    <w:rsid w:val="001736AE"/>
    <w:rsid w:val="00173728"/>
    <w:rsid w:val="001737F8"/>
    <w:rsid w:val="00173858"/>
    <w:rsid w:val="00173A54"/>
    <w:rsid w:val="00173AE2"/>
    <w:rsid w:val="00173BE3"/>
    <w:rsid w:val="00173C6D"/>
    <w:rsid w:val="00173ED2"/>
    <w:rsid w:val="00174179"/>
    <w:rsid w:val="00174300"/>
    <w:rsid w:val="001745CF"/>
    <w:rsid w:val="00174652"/>
    <w:rsid w:val="00174673"/>
    <w:rsid w:val="00174749"/>
    <w:rsid w:val="0017493C"/>
    <w:rsid w:val="00174FAD"/>
    <w:rsid w:val="001751B6"/>
    <w:rsid w:val="001752B0"/>
    <w:rsid w:val="001753CB"/>
    <w:rsid w:val="0017553E"/>
    <w:rsid w:val="00175676"/>
    <w:rsid w:val="00175A2A"/>
    <w:rsid w:val="00175AEA"/>
    <w:rsid w:val="00175CA2"/>
    <w:rsid w:val="00175F6D"/>
    <w:rsid w:val="00176191"/>
    <w:rsid w:val="0017655F"/>
    <w:rsid w:val="00176565"/>
    <w:rsid w:val="00176610"/>
    <w:rsid w:val="0017665B"/>
    <w:rsid w:val="001766AE"/>
    <w:rsid w:val="001766DC"/>
    <w:rsid w:val="0017686F"/>
    <w:rsid w:val="00176B64"/>
    <w:rsid w:val="00176BCA"/>
    <w:rsid w:val="00176D88"/>
    <w:rsid w:val="001770FF"/>
    <w:rsid w:val="001772CE"/>
    <w:rsid w:val="00177341"/>
    <w:rsid w:val="00177407"/>
    <w:rsid w:val="001774BB"/>
    <w:rsid w:val="00177533"/>
    <w:rsid w:val="00177B17"/>
    <w:rsid w:val="00177B26"/>
    <w:rsid w:val="00177CC2"/>
    <w:rsid w:val="00177F4C"/>
    <w:rsid w:val="0018001A"/>
    <w:rsid w:val="001803D2"/>
    <w:rsid w:val="00180569"/>
    <w:rsid w:val="00180593"/>
    <w:rsid w:val="00180616"/>
    <w:rsid w:val="0018091E"/>
    <w:rsid w:val="00180940"/>
    <w:rsid w:val="001809FC"/>
    <w:rsid w:val="00180D3B"/>
    <w:rsid w:val="00180FB0"/>
    <w:rsid w:val="001810C2"/>
    <w:rsid w:val="001811B9"/>
    <w:rsid w:val="001813E2"/>
    <w:rsid w:val="001814D9"/>
    <w:rsid w:val="0018167E"/>
    <w:rsid w:val="001818AA"/>
    <w:rsid w:val="001818CD"/>
    <w:rsid w:val="0018191C"/>
    <w:rsid w:val="00181930"/>
    <w:rsid w:val="0018195A"/>
    <w:rsid w:val="00181A87"/>
    <w:rsid w:val="00181A96"/>
    <w:rsid w:val="00181D91"/>
    <w:rsid w:val="00181DFC"/>
    <w:rsid w:val="00181F14"/>
    <w:rsid w:val="00181FA9"/>
    <w:rsid w:val="001823B8"/>
    <w:rsid w:val="001825F4"/>
    <w:rsid w:val="00182897"/>
    <w:rsid w:val="0018294B"/>
    <w:rsid w:val="001829A7"/>
    <w:rsid w:val="00182E16"/>
    <w:rsid w:val="00182E29"/>
    <w:rsid w:val="00183055"/>
    <w:rsid w:val="00183139"/>
    <w:rsid w:val="001831F4"/>
    <w:rsid w:val="001833CB"/>
    <w:rsid w:val="00183443"/>
    <w:rsid w:val="0018349E"/>
    <w:rsid w:val="00183530"/>
    <w:rsid w:val="0018374B"/>
    <w:rsid w:val="001837A2"/>
    <w:rsid w:val="001838CB"/>
    <w:rsid w:val="0018390F"/>
    <w:rsid w:val="00183A95"/>
    <w:rsid w:val="00183BFB"/>
    <w:rsid w:val="00183C6C"/>
    <w:rsid w:val="00183D45"/>
    <w:rsid w:val="00183E10"/>
    <w:rsid w:val="00183F3C"/>
    <w:rsid w:val="00184026"/>
    <w:rsid w:val="00184109"/>
    <w:rsid w:val="0018426B"/>
    <w:rsid w:val="00184298"/>
    <w:rsid w:val="001842E8"/>
    <w:rsid w:val="00184328"/>
    <w:rsid w:val="001844C9"/>
    <w:rsid w:val="00184636"/>
    <w:rsid w:val="00184994"/>
    <w:rsid w:val="00184A7C"/>
    <w:rsid w:val="00184AB9"/>
    <w:rsid w:val="00184B49"/>
    <w:rsid w:val="00184D07"/>
    <w:rsid w:val="00184E14"/>
    <w:rsid w:val="00185370"/>
    <w:rsid w:val="00185382"/>
    <w:rsid w:val="00185457"/>
    <w:rsid w:val="001855C1"/>
    <w:rsid w:val="0018564F"/>
    <w:rsid w:val="00185B2A"/>
    <w:rsid w:val="00185BD0"/>
    <w:rsid w:val="00185E92"/>
    <w:rsid w:val="00185FC5"/>
    <w:rsid w:val="00186267"/>
    <w:rsid w:val="00186303"/>
    <w:rsid w:val="00186624"/>
    <w:rsid w:val="00186857"/>
    <w:rsid w:val="001869BA"/>
    <w:rsid w:val="00186A0D"/>
    <w:rsid w:val="00186A82"/>
    <w:rsid w:val="00186AD0"/>
    <w:rsid w:val="00186E4F"/>
    <w:rsid w:val="00186F0F"/>
    <w:rsid w:val="00186F4C"/>
    <w:rsid w:val="00187130"/>
    <w:rsid w:val="00187193"/>
    <w:rsid w:val="00187398"/>
    <w:rsid w:val="001873C7"/>
    <w:rsid w:val="001873EC"/>
    <w:rsid w:val="00187691"/>
    <w:rsid w:val="00187B26"/>
    <w:rsid w:val="00187BC5"/>
    <w:rsid w:val="00187D25"/>
    <w:rsid w:val="00187D42"/>
    <w:rsid w:val="00187F33"/>
    <w:rsid w:val="00187FB1"/>
    <w:rsid w:val="0019021B"/>
    <w:rsid w:val="001902A6"/>
    <w:rsid w:val="001904EB"/>
    <w:rsid w:val="001906BE"/>
    <w:rsid w:val="001907A7"/>
    <w:rsid w:val="001907B6"/>
    <w:rsid w:val="001907CF"/>
    <w:rsid w:val="001908C6"/>
    <w:rsid w:val="00190929"/>
    <w:rsid w:val="0019092D"/>
    <w:rsid w:val="00190AFD"/>
    <w:rsid w:val="00190D8F"/>
    <w:rsid w:val="00190DC0"/>
    <w:rsid w:val="00190E00"/>
    <w:rsid w:val="00190E2C"/>
    <w:rsid w:val="00190F07"/>
    <w:rsid w:val="00190F8B"/>
    <w:rsid w:val="00191010"/>
    <w:rsid w:val="001910BA"/>
    <w:rsid w:val="001911AD"/>
    <w:rsid w:val="001912C9"/>
    <w:rsid w:val="00191699"/>
    <w:rsid w:val="00191811"/>
    <w:rsid w:val="00191938"/>
    <w:rsid w:val="00191941"/>
    <w:rsid w:val="00191AB0"/>
    <w:rsid w:val="00191C02"/>
    <w:rsid w:val="00191FC8"/>
    <w:rsid w:val="00191FCB"/>
    <w:rsid w:val="00192095"/>
    <w:rsid w:val="001920CC"/>
    <w:rsid w:val="001922A6"/>
    <w:rsid w:val="00192301"/>
    <w:rsid w:val="00192322"/>
    <w:rsid w:val="001924C0"/>
    <w:rsid w:val="001924EB"/>
    <w:rsid w:val="00192515"/>
    <w:rsid w:val="001926B6"/>
    <w:rsid w:val="00192BFF"/>
    <w:rsid w:val="00192CD8"/>
    <w:rsid w:val="00192D46"/>
    <w:rsid w:val="00192D91"/>
    <w:rsid w:val="00192FD4"/>
    <w:rsid w:val="00192FEF"/>
    <w:rsid w:val="001930A0"/>
    <w:rsid w:val="00193190"/>
    <w:rsid w:val="00193222"/>
    <w:rsid w:val="00193233"/>
    <w:rsid w:val="001934B3"/>
    <w:rsid w:val="00193506"/>
    <w:rsid w:val="00193609"/>
    <w:rsid w:val="00193625"/>
    <w:rsid w:val="0019363F"/>
    <w:rsid w:val="00193765"/>
    <w:rsid w:val="00193985"/>
    <w:rsid w:val="00193D86"/>
    <w:rsid w:val="00193EC8"/>
    <w:rsid w:val="0019405C"/>
    <w:rsid w:val="00194230"/>
    <w:rsid w:val="00194268"/>
    <w:rsid w:val="00194279"/>
    <w:rsid w:val="00194359"/>
    <w:rsid w:val="001943DB"/>
    <w:rsid w:val="001945B8"/>
    <w:rsid w:val="0019472E"/>
    <w:rsid w:val="00194833"/>
    <w:rsid w:val="00194886"/>
    <w:rsid w:val="001948B2"/>
    <w:rsid w:val="00194ADB"/>
    <w:rsid w:val="00194B6F"/>
    <w:rsid w:val="00194B88"/>
    <w:rsid w:val="00194B98"/>
    <w:rsid w:val="00194D02"/>
    <w:rsid w:val="00194DA2"/>
    <w:rsid w:val="00194EDF"/>
    <w:rsid w:val="00194EFB"/>
    <w:rsid w:val="00194F58"/>
    <w:rsid w:val="00194FE2"/>
    <w:rsid w:val="001950B9"/>
    <w:rsid w:val="001950EA"/>
    <w:rsid w:val="00195185"/>
    <w:rsid w:val="001955AE"/>
    <w:rsid w:val="001955BF"/>
    <w:rsid w:val="00195730"/>
    <w:rsid w:val="00195978"/>
    <w:rsid w:val="00195C90"/>
    <w:rsid w:val="00195D84"/>
    <w:rsid w:val="00195E4A"/>
    <w:rsid w:val="00195F74"/>
    <w:rsid w:val="00195F96"/>
    <w:rsid w:val="0019602B"/>
    <w:rsid w:val="0019609D"/>
    <w:rsid w:val="00196117"/>
    <w:rsid w:val="00196216"/>
    <w:rsid w:val="00196234"/>
    <w:rsid w:val="00196273"/>
    <w:rsid w:val="001963E4"/>
    <w:rsid w:val="00196432"/>
    <w:rsid w:val="001964D9"/>
    <w:rsid w:val="0019650C"/>
    <w:rsid w:val="00196AEC"/>
    <w:rsid w:val="00196D46"/>
    <w:rsid w:val="00196D9B"/>
    <w:rsid w:val="00196EC0"/>
    <w:rsid w:val="00196F9A"/>
    <w:rsid w:val="00197060"/>
    <w:rsid w:val="00197162"/>
    <w:rsid w:val="001971B7"/>
    <w:rsid w:val="001973A5"/>
    <w:rsid w:val="00197570"/>
    <w:rsid w:val="0019765F"/>
    <w:rsid w:val="001978FA"/>
    <w:rsid w:val="00197AB7"/>
    <w:rsid w:val="00197AF3"/>
    <w:rsid w:val="00197C0C"/>
    <w:rsid w:val="00197C98"/>
    <w:rsid w:val="00197CB3"/>
    <w:rsid w:val="00197CE4"/>
    <w:rsid w:val="00197DDD"/>
    <w:rsid w:val="001A003D"/>
    <w:rsid w:val="001A003E"/>
    <w:rsid w:val="001A008B"/>
    <w:rsid w:val="001A00BE"/>
    <w:rsid w:val="001A0295"/>
    <w:rsid w:val="001A05A6"/>
    <w:rsid w:val="001A0602"/>
    <w:rsid w:val="001A0618"/>
    <w:rsid w:val="001A06F5"/>
    <w:rsid w:val="001A074D"/>
    <w:rsid w:val="001A079C"/>
    <w:rsid w:val="001A08D3"/>
    <w:rsid w:val="001A09E3"/>
    <w:rsid w:val="001A0A2F"/>
    <w:rsid w:val="001A0AD4"/>
    <w:rsid w:val="001A0AD5"/>
    <w:rsid w:val="001A0B76"/>
    <w:rsid w:val="001A0BB5"/>
    <w:rsid w:val="001A0D1D"/>
    <w:rsid w:val="001A0D85"/>
    <w:rsid w:val="001A0FA7"/>
    <w:rsid w:val="001A0FFD"/>
    <w:rsid w:val="001A1414"/>
    <w:rsid w:val="001A1484"/>
    <w:rsid w:val="001A1495"/>
    <w:rsid w:val="001A15B2"/>
    <w:rsid w:val="001A160F"/>
    <w:rsid w:val="001A17A4"/>
    <w:rsid w:val="001A1AAB"/>
    <w:rsid w:val="001A1C4A"/>
    <w:rsid w:val="001A1CF0"/>
    <w:rsid w:val="001A1D41"/>
    <w:rsid w:val="001A1FB6"/>
    <w:rsid w:val="001A214B"/>
    <w:rsid w:val="001A21B7"/>
    <w:rsid w:val="001A21DF"/>
    <w:rsid w:val="001A2578"/>
    <w:rsid w:val="001A25E9"/>
    <w:rsid w:val="001A2779"/>
    <w:rsid w:val="001A2A35"/>
    <w:rsid w:val="001A2ACD"/>
    <w:rsid w:val="001A2B49"/>
    <w:rsid w:val="001A2C73"/>
    <w:rsid w:val="001A2CA6"/>
    <w:rsid w:val="001A2D9F"/>
    <w:rsid w:val="001A2DB0"/>
    <w:rsid w:val="001A305A"/>
    <w:rsid w:val="001A3191"/>
    <w:rsid w:val="001A31BD"/>
    <w:rsid w:val="001A3268"/>
    <w:rsid w:val="001A338A"/>
    <w:rsid w:val="001A3403"/>
    <w:rsid w:val="001A34B0"/>
    <w:rsid w:val="001A3578"/>
    <w:rsid w:val="001A36B4"/>
    <w:rsid w:val="001A3752"/>
    <w:rsid w:val="001A380E"/>
    <w:rsid w:val="001A386C"/>
    <w:rsid w:val="001A38D2"/>
    <w:rsid w:val="001A3930"/>
    <w:rsid w:val="001A3959"/>
    <w:rsid w:val="001A3A30"/>
    <w:rsid w:val="001A3AFE"/>
    <w:rsid w:val="001A3C0A"/>
    <w:rsid w:val="001A3F59"/>
    <w:rsid w:val="001A3FDB"/>
    <w:rsid w:val="001A401B"/>
    <w:rsid w:val="001A4138"/>
    <w:rsid w:val="001A4146"/>
    <w:rsid w:val="001A418A"/>
    <w:rsid w:val="001A43F1"/>
    <w:rsid w:val="001A4477"/>
    <w:rsid w:val="001A450D"/>
    <w:rsid w:val="001A45F7"/>
    <w:rsid w:val="001A4794"/>
    <w:rsid w:val="001A48A5"/>
    <w:rsid w:val="001A49B0"/>
    <w:rsid w:val="001A4A50"/>
    <w:rsid w:val="001A4AA1"/>
    <w:rsid w:val="001A4B0F"/>
    <w:rsid w:val="001A51A9"/>
    <w:rsid w:val="001A52AD"/>
    <w:rsid w:val="001A57D7"/>
    <w:rsid w:val="001A57FE"/>
    <w:rsid w:val="001A5CBC"/>
    <w:rsid w:val="001A605B"/>
    <w:rsid w:val="001A6149"/>
    <w:rsid w:val="001A617E"/>
    <w:rsid w:val="001A650C"/>
    <w:rsid w:val="001A6524"/>
    <w:rsid w:val="001A6565"/>
    <w:rsid w:val="001A656B"/>
    <w:rsid w:val="001A6618"/>
    <w:rsid w:val="001A67F1"/>
    <w:rsid w:val="001A68D5"/>
    <w:rsid w:val="001A68EF"/>
    <w:rsid w:val="001A69AA"/>
    <w:rsid w:val="001A6A63"/>
    <w:rsid w:val="001A6F3B"/>
    <w:rsid w:val="001A70C5"/>
    <w:rsid w:val="001A73E5"/>
    <w:rsid w:val="001A7430"/>
    <w:rsid w:val="001A7638"/>
    <w:rsid w:val="001A789A"/>
    <w:rsid w:val="001A79E0"/>
    <w:rsid w:val="001A7BF1"/>
    <w:rsid w:val="001A7BF4"/>
    <w:rsid w:val="001A7C43"/>
    <w:rsid w:val="001A7CF6"/>
    <w:rsid w:val="001A7DC2"/>
    <w:rsid w:val="001A7F71"/>
    <w:rsid w:val="001B0093"/>
    <w:rsid w:val="001B017F"/>
    <w:rsid w:val="001B01B2"/>
    <w:rsid w:val="001B01F1"/>
    <w:rsid w:val="001B024F"/>
    <w:rsid w:val="001B0562"/>
    <w:rsid w:val="001B06AD"/>
    <w:rsid w:val="001B097C"/>
    <w:rsid w:val="001B09FD"/>
    <w:rsid w:val="001B0AAF"/>
    <w:rsid w:val="001B0BE8"/>
    <w:rsid w:val="001B0C45"/>
    <w:rsid w:val="001B0FEA"/>
    <w:rsid w:val="001B1121"/>
    <w:rsid w:val="001B1179"/>
    <w:rsid w:val="001B12DD"/>
    <w:rsid w:val="001B1384"/>
    <w:rsid w:val="001B149D"/>
    <w:rsid w:val="001B1511"/>
    <w:rsid w:val="001B153A"/>
    <w:rsid w:val="001B157D"/>
    <w:rsid w:val="001B169C"/>
    <w:rsid w:val="001B1798"/>
    <w:rsid w:val="001B17E3"/>
    <w:rsid w:val="001B1874"/>
    <w:rsid w:val="001B1A94"/>
    <w:rsid w:val="001B1B37"/>
    <w:rsid w:val="001B1BEB"/>
    <w:rsid w:val="001B1E27"/>
    <w:rsid w:val="001B1F07"/>
    <w:rsid w:val="001B1FB6"/>
    <w:rsid w:val="001B20DC"/>
    <w:rsid w:val="001B22E1"/>
    <w:rsid w:val="001B23A1"/>
    <w:rsid w:val="001B23DD"/>
    <w:rsid w:val="001B2495"/>
    <w:rsid w:val="001B255C"/>
    <w:rsid w:val="001B2562"/>
    <w:rsid w:val="001B25AE"/>
    <w:rsid w:val="001B264D"/>
    <w:rsid w:val="001B27EC"/>
    <w:rsid w:val="001B2966"/>
    <w:rsid w:val="001B29E3"/>
    <w:rsid w:val="001B2D4F"/>
    <w:rsid w:val="001B2E2A"/>
    <w:rsid w:val="001B2F8C"/>
    <w:rsid w:val="001B3142"/>
    <w:rsid w:val="001B31E1"/>
    <w:rsid w:val="001B32D1"/>
    <w:rsid w:val="001B33B2"/>
    <w:rsid w:val="001B3757"/>
    <w:rsid w:val="001B38CA"/>
    <w:rsid w:val="001B3A56"/>
    <w:rsid w:val="001B3B16"/>
    <w:rsid w:val="001B3B56"/>
    <w:rsid w:val="001B3C9B"/>
    <w:rsid w:val="001B3CE7"/>
    <w:rsid w:val="001B3DA8"/>
    <w:rsid w:val="001B409F"/>
    <w:rsid w:val="001B40D0"/>
    <w:rsid w:val="001B436E"/>
    <w:rsid w:val="001B43DC"/>
    <w:rsid w:val="001B4464"/>
    <w:rsid w:val="001B48DE"/>
    <w:rsid w:val="001B4939"/>
    <w:rsid w:val="001B4954"/>
    <w:rsid w:val="001B4B5C"/>
    <w:rsid w:val="001B4CD5"/>
    <w:rsid w:val="001B4D4A"/>
    <w:rsid w:val="001B4D9E"/>
    <w:rsid w:val="001B4E49"/>
    <w:rsid w:val="001B50ED"/>
    <w:rsid w:val="001B54EB"/>
    <w:rsid w:val="001B5A3F"/>
    <w:rsid w:val="001B5A49"/>
    <w:rsid w:val="001B5B4D"/>
    <w:rsid w:val="001B5D8B"/>
    <w:rsid w:val="001B5E11"/>
    <w:rsid w:val="001B61F0"/>
    <w:rsid w:val="001B6373"/>
    <w:rsid w:val="001B69BE"/>
    <w:rsid w:val="001B69CB"/>
    <w:rsid w:val="001B6DA7"/>
    <w:rsid w:val="001B71C4"/>
    <w:rsid w:val="001B747A"/>
    <w:rsid w:val="001B7585"/>
    <w:rsid w:val="001B7696"/>
    <w:rsid w:val="001B76FD"/>
    <w:rsid w:val="001B797C"/>
    <w:rsid w:val="001B7C0E"/>
    <w:rsid w:val="001B7C37"/>
    <w:rsid w:val="001B7DAD"/>
    <w:rsid w:val="001B7EB9"/>
    <w:rsid w:val="001C008E"/>
    <w:rsid w:val="001C00DF"/>
    <w:rsid w:val="001C00FA"/>
    <w:rsid w:val="001C02A4"/>
    <w:rsid w:val="001C0523"/>
    <w:rsid w:val="001C069F"/>
    <w:rsid w:val="001C076A"/>
    <w:rsid w:val="001C0967"/>
    <w:rsid w:val="001C0A70"/>
    <w:rsid w:val="001C0BB4"/>
    <w:rsid w:val="001C0C9D"/>
    <w:rsid w:val="001C0D27"/>
    <w:rsid w:val="001C0D71"/>
    <w:rsid w:val="001C0E72"/>
    <w:rsid w:val="001C0FB6"/>
    <w:rsid w:val="001C10DF"/>
    <w:rsid w:val="001C115A"/>
    <w:rsid w:val="001C121F"/>
    <w:rsid w:val="001C13E8"/>
    <w:rsid w:val="001C1456"/>
    <w:rsid w:val="001C18EA"/>
    <w:rsid w:val="001C19D4"/>
    <w:rsid w:val="001C1A80"/>
    <w:rsid w:val="001C1B3F"/>
    <w:rsid w:val="001C1C63"/>
    <w:rsid w:val="001C1F64"/>
    <w:rsid w:val="001C1F78"/>
    <w:rsid w:val="001C22EC"/>
    <w:rsid w:val="001C22FE"/>
    <w:rsid w:val="001C239C"/>
    <w:rsid w:val="001C23D4"/>
    <w:rsid w:val="001C2472"/>
    <w:rsid w:val="001C256A"/>
    <w:rsid w:val="001C272E"/>
    <w:rsid w:val="001C2A70"/>
    <w:rsid w:val="001C2B82"/>
    <w:rsid w:val="001C2C6A"/>
    <w:rsid w:val="001C31C7"/>
    <w:rsid w:val="001C32E5"/>
    <w:rsid w:val="001C359E"/>
    <w:rsid w:val="001C360B"/>
    <w:rsid w:val="001C361E"/>
    <w:rsid w:val="001C365C"/>
    <w:rsid w:val="001C372C"/>
    <w:rsid w:val="001C37E8"/>
    <w:rsid w:val="001C3AE0"/>
    <w:rsid w:val="001C3DA0"/>
    <w:rsid w:val="001C3E94"/>
    <w:rsid w:val="001C3F3D"/>
    <w:rsid w:val="001C40E7"/>
    <w:rsid w:val="001C416C"/>
    <w:rsid w:val="001C4228"/>
    <w:rsid w:val="001C433E"/>
    <w:rsid w:val="001C4377"/>
    <w:rsid w:val="001C441C"/>
    <w:rsid w:val="001C4466"/>
    <w:rsid w:val="001C44AA"/>
    <w:rsid w:val="001C4551"/>
    <w:rsid w:val="001C47EB"/>
    <w:rsid w:val="001C48DB"/>
    <w:rsid w:val="001C4A6D"/>
    <w:rsid w:val="001C4ADC"/>
    <w:rsid w:val="001C4B3E"/>
    <w:rsid w:val="001C4EAD"/>
    <w:rsid w:val="001C501F"/>
    <w:rsid w:val="001C51CB"/>
    <w:rsid w:val="001C5450"/>
    <w:rsid w:val="001C57C9"/>
    <w:rsid w:val="001C57DB"/>
    <w:rsid w:val="001C5B61"/>
    <w:rsid w:val="001C5CA8"/>
    <w:rsid w:val="001C5DAE"/>
    <w:rsid w:val="001C5E80"/>
    <w:rsid w:val="001C5F7F"/>
    <w:rsid w:val="001C634F"/>
    <w:rsid w:val="001C6557"/>
    <w:rsid w:val="001C68F0"/>
    <w:rsid w:val="001C6C5D"/>
    <w:rsid w:val="001C6F91"/>
    <w:rsid w:val="001C7157"/>
    <w:rsid w:val="001C7224"/>
    <w:rsid w:val="001C7230"/>
    <w:rsid w:val="001C7258"/>
    <w:rsid w:val="001C7641"/>
    <w:rsid w:val="001C778E"/>
    <w:rsid w:val="001C7965"/>
    <w:rsid w:val="001C7AC9"/>
    <w:rsid w:val="001C7CC5"/>
    <w:rsid w:val="001C7E45"/>
    <w:rsid w:val="001C7F35"/>
    <w:rsid w:val="001D005C"/>
    <w:rsid w:val="001D00E9"/>
    <w:rsid w:val="001D0114"/>
    <w:rsid w:val="001D022E"/>
    <w:rsid w:val="001D027F"/>
    <w:rsid w:val="001D03D5"/>
    <w:rsid w:val="001D05DA"/>
    <w:rsid w:val="001D08D4"/>
    <w:rsid w:val="001D091A"/>
    <w:rsid w:val="001D0B69"/>
    <w:rsid w:val="001D0D83"/>
    <w:rsid w:val="001D0E82"/>
    <w:rsid w:val="001D0E9C"/>
    <w:rsid w:val="001D0EF6"/>
    <w:rsid w:val="001D0F5D"/>
    <w:rsid w:val="001D103A"/>
    <w:rsid w:val="001D1090"/>
    <w:rsid w:val="001D13F2"/>
    <w:rsid w:val="001D1794"/>
    <w:rsid w:val="001D17C6"/>
    <w:rsid w:val="001D1BD7"/>
    <w:rsid w:val="001D1C59"/>
    <w:rsid w:val="001D1E06"/>
    <w:rsid w:val="001D1FD7"/>
    <w:rsid w:val="001D217E"/>
    <w:rsid w:val="001D21C4"/>
    <w:rsid w:val="001D22CB"/>
    <w:rsid w:val="001D232E"/>
    <w:rsid w:val="001D25ED"/>
    <w:rsid w:val="001D2671"/>
    <w:rsid w:val="001D2755"/>
    <w:rsid w:val="001D289B"/>
    <w:rsid w:val="001D2929"/>
    <w:rsid w:val="001D293F"/>
    <w:rsid w:val="001D29BE"/>
    <w:rsid w:val="001D2A8E"/>
    <w:rsid w:val="001D2C9C"/>
    <w:rsid w:val="001D2CD1"/>
    <w:rsid w:val="001D2D18"/>
    <w:rsid w:val="001D2E63"/>
    <w:rsid w:val="001D2E77"/>
    <w:rsid w:val="001D2EE2"/>
    <w:rsid w:val="001D3144"/>
    <w:rsid w:val="001D3152"/>
    <w:rsid w:val="001D3355"/>
    <w:rsid w:val="001D34CD"/>
    <w:rsid w:val="001D3506"/>
    <w:rsid w:val="001D367E"/>
    <w:rsid w:val="001D3683"/>
    <w:rsid w:val="001D3688"/>
    <w:rsid w:val="001D38F4"/>
    <w:rsid w:val="001D38F5"/>
    <w:rsid w:val="001D3D07"/>
    <w:rsid w:val="001D3D2E"/>
    <w:rsid w:val="001D3E14"/>
    <w:rsid w:val="001D3E22"/>
    <w:rsid w:val="001D3EFF"/>
    <w:rsid w:val="001D3FA2"/>
    <w:rsid w:val="001D40D4"/>
    <w:rsid w:val="001D40DE"/>
    <w:rsid w:val="001D417A"/>
    <w:rsid w:val="001D41A8"/>
    <w:rsid w:val="001D4214"/>
    <w:rsid w:val="001D42F7"/>
    <w:rsid w:val="001D4343"/>
    <w:rsid w:val="001D435D"/>
    <w:rsid w:val="001D4495"/>
    <w:rsid w:val="001D4714"/>
    <w:rsid w:val="001D477E"/>
    <w:rsid w:val="001D47BC"/>
    <w:rsid w:val="001D4B93"/>
    <w:rsid w:val="001D4C8D"/>
    <w:rsid w:val="001D4DDA"/>
    <w:rsid w:val="001D5353"/>
    <w:rsid w:val="001D5380"/>
    <w:rsid w:val="001D55F5"/>
    <w:rsid w:val="001D5865"/>
    <w:rsid w:val="001D5C4F"/>
    <w:rsid w:val="001D5DC7"/>
    <w:rsid w:val="001D5F45"/>
    <w:rsid w:val="001D61C3"/>
    <w:rsid w:val="001D6216"/>
    <w:rsid w:val="001D625B"/>
    <w:rsid w:val="001D6344"/>
    <w:rsid w:val="001D6796"/>
    <w:rsid w:val="001D6836"/>
    <w:rsid w:val="001D68D7"/>
    <w:rsid w:val="001D68F8"/>
    <w:rsid w:val="001D697D"/>
    <w:rsid w:val="001D6994"/>
    <w:rsid w:val="001D699B"/>
    <w:rsid w:val="001D69A1"/>
    <w:rsid w:val="001D702D"/>
    <w:rsid w:val="001D750C"/>
    <w:rsid w:val="001D77A4"/>
    <w:rsid w:val="001D77AC"/>
    <w:rsid w:val="001D79B7"/>
    <w:rsid w:val="001D7AAF"/>
    <w:rsid w:val="001D7ABB"/>
    <w:rsid w:val="001D7EC5"/>
    <w:rsid w:val="001D7FFD"/>
    <w:rsid w:val="001E0037"/>
    <w:rsid w:val="001E00D5"/>
    <w:rsid w:val="001E0273"/>
    <w:rsid w:val="001E035C"/>
    <w:rsid w:val="001E0477"/>
    <w:rsid w:val="001E0566"/>
    <w:rsid w:val="001E0891"/>
    <w:rsid w:val="001E097F"/>
    <w:rsid w:val="001E0AC4"/>
    <w:rsid w:val="001E0B66"/>
    <w:rsid w:val="001E0B84"/>
    <w:rsid w:val="001E0D40"/>
    <w:rsid w:val="001E0E60"/>
    <w:rsid w:val="001E0E7D"/>
    <w:rsid w:val="001E104C"/>
    <w:rsid w:val="001E105E"/>
    <w:rsid w:val="001E10F1"/>
    <w:rsid w:val="001E12A8"/>
    <w:rsid w:val="001E12F1"/>
    <w:rsid w:val="001E14B8"/>
    <w:rsid w:val="001E151E"/>
    <w:rsid w:val="001E1792"/>
    <w:rsid w:val="001E183C"/>
    <w:rsid w:val="001E19BA"/>
    <w:rsid w:val="001E1B11"/>
    <w:rsid w:val="001E1C35"/>
    <w:rsid w:val="001E1CF9"/>
    <w:rsid w:val="001E1D4A"/>
    <w:rsid w:val="001E1DED"/>
    <w:rsid w:val="001E1ED8"/>
    <w:rsid w:val="001E1FB5"/>
    <w:rsid w:val="001E1FC0"/>
    <w:rsid w:val="001E1FF6"/>
    <w:rsid w:val="001E2002"/>
    <w:rsid w:val="001E2114"/>
    <w:rsid w:val="001E22F1"/>
    <w:rsid w:val="001E2374"/>
    <w:rsid w:val="001E26B9"/>
    <w:rsid w:val="001E27B0"/>
    <w:rsid w:val="001E283C"/>
    <w:rsid w:val="001E28E1"/>
    <w:rsid w:val="001E293A"/>
    <w:rsid w:val="001E2A32"/>
    <w:rsid w:val="001E2A7E"/>
    <w:rsid w:val="001E2C0B"/>
    <w:rsid w:val="001E2CE7"/>
    <w:rsid w:val="001E2F19"/>
    <w:rsid w:val="001E3212"/>
    <w:rsid w:val="001E3367"/>
    <w:rsid w:val="001E33EB"/>
    <w:rsid w:val="001E3606"/>
    <w:rsid w:val="001E3716"/>
    <w:rsid w:val="001E3818"/>
    <w:rsid w:val="001E38A3"/>
    <w:rsid w:val="001E3929"/>
    <w:rsid w:val="001E3AF4"/>
    <w:rsid w:val="001E3C85"/>
    <w:rsid w:val="001E3F6E"/>
    <w:rsid w:val="001E3FB9"/>
    <w:rsid w:val="001E416D"/>
    <w:rsid w:val="001E41C1"/>
    <w:rsid w:val="001E43B0"/>
    <w:rsid w:val="001E45E1"/>
    <w:rsid w:val="001E46BB"/>
    <w:rsid w:val="001E4788"/>
    <w:rsid w:val="001E48FA"/>
    <w:rsid w:val="001E4D47"/>
    <w:rsid w:val="001E4E05"/>
    <w:rsid w:val="001E4EE8"/>
    <w:rsid w:val="001E4F2A"/>
    <w:rsid w:val="001E4F64"/>
    <w:rsid w:val="001E50DA"/>
    <w:rsid w:val="001E52EC"/>
    <w:rsid w:val="001E5531"/>
    <w:rsid w:val="001E583E"/>
    <w:rsid w:val="001E584A"/>
    <w:rsid w:val="001E589E"/>
    <w:rsid w:val="001E5ADA"/>
    <w:rsid w:val="001E5BE5"/>
    <w:rsid w:val="001E5D96"/>
    <w:rsid w:val="001E5E61"/>
    <w:rsid w:val="001E5EB2"/>
    <w:rsid w:val="001E5EFD"/>
    <w:rsid w:val="001E5FE1"/>
    <w:rsid w:val="001E60C4"/>
    <w:rsid w:val="001E6181"/>
    <w:rsid w:val="001E6343"/>
    <w:rsid w:val="001E6516"/>
    <w:rsid w:val="001E6618"/>
    <w:rsid w:val="001E664C"/>
    <w:rsid w:val="001E6765"/>
    <w:rsid w:val="001E67A9"/>
    <w:rsid w:val="001E67CE"/>
    <w:rsid w:val="001E684E"/>
    <w:rsid w:val="001E68D3"/>
    <w:rsid w:val="001E697B"/>
    <w:rsid w:val="001E6A7E"/>
    <w:rsid w:val="001E6D01"/>
    <w:rsid w:val="001E6D3C"/>
    <w:rsid w:val="001E6D97"/>
    <w:rsid w:val="001E6EA5"/>
    <w:rsid w:val="001E6FB4"/>
    <w:rsid w:val="001E7172"/>
    <w:rsid w:val="001E7357"/>
    <w:rsid w:val="001E7453"/>
    <w:rsid w:val="001E7489"/>
    <w:rsid w:val="001E74D2"/>
    <w:rsid w:val="001E7546"/>
    <w:rsid w:val="001E7A08"/>
    <w:rsid w:val="001E7A95"/>
    <w:rsid w:val="001E7B26"/>
    <w:rsid w:val="001E7ED2"/>
    <w:rsid w:val="001E7FB6"/>
    <w:rsid w:val="001F00A2"/>
    <w:rsid w:val="001F0293"/>
    <w:rsid w:val="001F0454"/>
    <w:rsid w:val="001F0578"/>
    <w:rsid w:val="001F0610"/>
    <w:rsid w:val="001F067C"/>
    <w:rsid w:val="001F0745"/>
    <w:rsid w:val="001F07A2"/>
    <w:rsid w:val="001F0900"/>
    <w:rsid w:val="001F09E7"/>
    <w:rsid w:val="001F0A93"/>
    <w:rsid w:val="001F0B29"/>
    <w:rsid w:val="001F0BC0"/>
    <w:rsid w:val="001F0D70"/>
    <w:rsid w:val="001F0F05"/>
    <w:rsid w:val="001F10BF"/>
    <w:rsid w:val="001F1134"/>
    <w:rsid w:val="001F11BA"/>
    <w:rsid w:val="001F128E"/>
    <w:rsid w:val="001F141C"/>
    <w:rsid w:val="001F14A5"/>
    <w:rsid w:val="001F151F"/>
    <w:rsid w:val="001F1529"/>
    <w:rsid w:val="001F160A"/>
    <w:rsid w:val="001F16D7"/>
    <w:rsid w:val="001F16E2"/>
    <w:rsid w:val="001F1834"/>
    <w:rsid w:val="001F188A"/>
    <w:rsid w:val="001F18C8"/>
    <w:rsid w:val="001F191E"/>
    <w:rsid w:val="001F19F5"/>
    <w:rsid w:val="001F1ACC"/>
    <w:rsid w:val="001F1CD9"/>
    <w:rsid w:val="001F1D0D"/>
    <w:rsid w:val="001F1FC8"/>
    <w:rsid w:val="001F204B"/>
    <w:rsid w:val="001F2059"/>
    <w:rsid w:val="001F2065"/>
    <w:rsid w:val="001F212B"/>
    <w:rsid w:val="001F21ED"/>
    <w:rsid w:val="001F221B"/>
    <w:rsid w:val="001F2294"/>
    <w:rsid w:val="001F233C"/>
    <w:rsid w:val="001F243C"/>
    <w:rsid w:val="001F2488"/>
    <w:rsid w:val="001F272B"/>
    <w:rsid w:val="001F27CA"/>
    <w:rsid w:val="001F283C"/>
    <w:rsid w:val="001F2989"/>
    <w:rsid w:val="001F2996"/>
    <w:rsid w:val="001F29C9"/>
    <w:rsid w:val="001F2A13"/>
    <w:rsid w:val="001F2A31"/>
    <w:rsid w:val="001F2B5D"/>
    <w:rsid w:val="001F2B83"/>
    <w:rsid w:val="001F2BC6"/>
    <w:rsid w:val="001F2C13"/>
    <w:rsid w:val="001F2C38"/>
    <w:rsid w:val="001F2C8B"/>
    <w:rsid w:val="001F2CBB"/>
    <w:rsid w:val="001F2CCE"/>
    <w:rsid w:val="001F2D0C"/>
    <w:rsid w:val="001F3191"/>
    <w:rsid w:val="001F31C5"/>
    <w:rsid w:val="001F31DA"/>
    <w:rsid w:val="001F3262"/>
    <w:rsid w:val="001F32BC"/>
    <w:rsid w:val="001F32CC"/>
    <w:rsid w:val="001F3380"/>
    <w:rsid w:val="001F3575"/>
    <w:rsid w:val="001F37AD"/>
    <w:rsid w:val="001F3A4B"/>
    <w:rsid w:val="001F3B06"/>
    <w:rsid w:val="001F3C00"/>
    <w:rsid w:val="001F3D4E"/>
    <w:rsid w:val="001F3DBE"/>
    <w:rsid w:val="001F3FE3"/>
    <w:rsid w:val="001F4046"/>
    <w:rsid w:val="001F40B2"/>
    <w:rsid w:val="001F40D1"/>
    <w:rsid w:val="001F426A"/>
    <w:rsid w:val="001F4285"/>
    <w:rsid w:val="001F4341"/>
    <w:rsid w:val="001F43FE"/>
    <w:rsid w:val="001F45EF"/>
    <w:rsid w:val="001F460E"/>
    <w:rsid w:val="001F4862"/>
    <w:rsid w:val="001F48D4"/>
    <w:rsid w:val="001F48D8"/>
    <w:rsid w:val="001F492C"/>
    <w:rsid w:val="001F49E4"/>
    <w:rsid w:val="001F4A53"/>
    <w:rsid w:val="001F4AE4"/>
    <w:rsid w:val="001F4E39"/>
    <w:rsid w:val="001F4F2A"/>
    <w:rsid w:val="001F5121"/>
    <w:rsid w:val="001F518A"/>
    <w:rsid w:val="001F52E0"/>
    <w:rsid w:val="001F5320"/>
    <w:rsid w:val="001F53B4"/>
    <w:rsid w:val="001F541A"/>
    <w:rsid w:val="001F54FB"/>
    <w:rsid w:val="001F55D8"/>
    <w:rsid w:val="001F5727"/>
    <w:rsid w:val="001F5A65"/>
    <w:rsid w:val="001F5A6E"/>
    <w:rsid w:val="001F5AD3"/>
    <w:rsid w:val="001F5AF1"/>
    <w:rsid w:val="001F5FB2"/>
    <w:rsid w:val="001F6270"/>
    <w:rsid w:val="001F62AC"/>
    <w:rsid w:val="001F6479"/>
    <w:rsid w:val="001F651F"/>
    <w:rsid w:val="001F679A"/>
    <w:rsid w:val="001F67DC"/>
    <w:rsid w:val="001F6862"/>
    <w:rsid w:val="001F6B5A"/>
    <w:rsid w:val="001F6BC7"/>
    <w:rsid w:val="001F6CF7"/>
    <w:rsid w:val="001F6F5C"/>
    <w:rsid w:val="001F6F9F"/>
    <w:rsid w:val="001F701C"/>
    <w:rsid w:val="001F7079"/>
    <w:rsid w:val="001F71BA"/>
    <w:rsid w:val="001F72E6"/>
    <w:rsid w:val="001F7317"/>
    <w:rsid w:val="001F736F"/>
    <w:rsid w:val="001F73A5"/>
    <w:rsid w:val="001F73FB"/>
    <w:rsid w:val="001F74B8"/>
    <w:rsid w:val="001F764C"/>
    <w:rsid w:val="001F7657"/>
    <w:rsid w:val="001F7790"/>
    <w:rsid w:val="001F7947"/>
    <w:rsid w:val="001F798C"/>
    <w:rsid w:val="001F7BAF"/>
    <w:rsid w:val="001F7BCA"/>
    <w:rsid w:val="001F7DB4"/>
    <w:rsid w:val="001F7E79"/>
    <w:rsid w:val="001F7E81"/>
    <w:rsid w:val="001F7EBF"/>
    <w:rsid w:val="001F7F55"/>
    <w:rsid w:val="002000D2"/>
    <w:rsid w:val="00200228"/>
    <w:rsid w:val="00200321"/>
    <w:rsid w:val="00200340"/>
    <w:rsid w:val="002004D5"/>
    <w:rsid w:val="00200547"/>
    <w:rsid w:val="002007DC"/>
    <w:rsid w:val="0020087A"/>
    <w:rsid w:val="00200B91"/>
    <w:rsid w:val="00201004"/>
    <w:rsid w:val="0020121C"/>
    <w:rsid w:val="0020126A"/>
    <w:rsid w:val="002013C4"/>
    <w:rsid w:val="0020144A"/>
    <w:rsid w:val="0020152A"/>
    <w:rsid w:val="002015B5"/>
    <w:rsid w:val="00201699"/>
    <w:rsid w:val="002017EC"/>
    <w:rsid w:val="00201B6A"/>
    <w:rsid w:val="00201B80"/>
    <w:rsid w:val="00201C8E"/>
    <w:rsid w:val="00201CB4"/>
    <w:rsid w:val="00201D8A"/>
    <w:rsid w:val="00201E24"/>
    <w:rsid w:val="0020208E"/>
    <w:rsid w:val="00202196"/>
    <w:rsid w:val="002021C6"/>
    <w:rsid w:val="0020232D"/>
    <w:rsid w:val="0020245A"/>
    <w:rsid w:val="00202659"/>
    <w:rsid w:val="002028E3"/>
    <w:rsid w:val="002028F5"/>
    <w:rsid w:val="00202A29"/>
    <w:rsid w:val="00202A51"/>
    <w:rsid w:val="00202F86"/>
    <w:rsid w:val="00202FF6"/>
    <w:rsid w:val="002030CC"/>
    <w:rsid w:val="00203121"/>
    <w:rsid w:val="0020321F"/>
    <w:rsid w:val="00203406"/>
    <w:rsid w:val="00203540"/>
    <w:rsid w:val="002035C8"/>
    <w:rsid w:val="002035EF"/>
    <w:rsid w:val="00203796"/>
    <w:rsid w:val="00203805"/>
    <w:rsid w:val="0020398B"/>
    <w:rsid w:val="002039E2"/>
    <w:rsid w:val="00203AF3"/>
    <w:rsid w:val="00203D3B"/>
    <w:rsid w:val="00203F6A"/>
    <w:rsid w:val="00204136"/>
    <w:rsid w:val="0020433B"/>
    <w:rsid w:val="002043A6"/>
    <w:rsid w:val="00204561"/>
    <w:rsid w:val="00204832"/>
    <w:rsid w:val="00204867"/>
    <w:rsid w:val="00204945"/>
    <w:rsid w:val="00204A0A"/>
    <w:rsid w:val="00204A2E"/>
    <w:rsid w:val="00204A79"/>
    <w:rsid w:val="00204D54"/>
    <w:rsid w:val="00204E71"/>
    <w:rsid w:val="00205065"/>
    <w:rsid w:val="00205158"/>
    <w:rsid w:val="002051A7"/>
    <w:rsid w:val="002052D3"/>
    <w:rsid w:val="002056D7"/>
    <w:rsid w:val="002058CB"/>
    <w:rsid w:val="002058E4"/>
    <w:rsid w:val="00205A0B"/>
    <w:rsid w:val="00205A38"/>
    <w:rsid w:val="00205A99"/>
    <w:rsid w:val="00205AC6"/>
    <w:rsid w:val="00205AC8"/>
    <w:rsid w:val="00205BF3"/>
    <w:rsid w:val="00205CF6"/>
    <w:rsid w:val="00205DF8"/>
    <w:rsid w:val="00205E52"/>
    <w:rsid w:val="00205FA9"/>
    <w:rsid w:val="002062AF"/>
    <w:rsid w:val="00206406"/>
    <w:rsid w:val="0020651E"/>
    <w:rsid w:val="00206774"/>
    <w:rsid w:val="00206783"/>
    <w:rsid w:val="002067F8"/>
    <w:rsid w:val="002068D3"/>
    <w:rsid w:val="002068E3"/>
    <w:rsid w:val="00206B23"/>
    <w:rsid w:val="00206B2B"/>
    <w:rsid w:val="00206C79"/>
    <w:rsid w:val="00206CA6"/>
    <w:rsid w:val="00206F2F"/>
    <w:rsid w:val="002070EB"/>
    <w:rsid w:val="0020722D"/>
    <w:rsid w:val="0020726D"/>
    <w:rsid w:val="00207296"/>
    <w:rsid w:val="00207547"/>
    <w:rsid w:val="00207556"/>
    <w:rsid w:val="0020761A"/>
    <w:rsid w:val="00207741"/>
    <w:rsid w:val="002078D8"/>
    <w:rsid w:val="002078E4"/>
    <w:rsid w:val="00207A36"/>
    <w:rsid w:val="00207A83"/>
    <w:rsid w:val="00207B91"/>
    <w:rsid w:val="00207D1C"/>
    <w:rsid w:val="00207DAB"/>
    <w:rsid w:val="00207DAD"/>
    <w:rsid w:val="00207E55"/>
    <w:rsid w:val="00207FC6"/>
    <w:rsid w:val="0021019E"/>
    <w:rsid w:val="00210210"/>
    <w:rsid w:val="00210244"/>
    <w:rsid w:val="00210282"/>
    <w:rsid w:val="002104E9"/>
    <w:rsid w:val="00210658"/>
    <w:rsid w:val="002107A2"/>
    <w:rsid w:val="00210B83"/>
    <w:rsid w:val="00210BBC"/>
    <w:rsid w:val="00210CC4"/>
    <w:rsid w:val="00210E6E"/>
    <w:rsid w:val="00210F2E"/>
    <w:rsid w:val="00210FD8"/>
    <w:rsid w:val="00211149"/>
    <w:rsid w:val="002115B9"/>
    <w:rsid w:val="002115FD"/>
    <w:rsid w:val="00211633"/>
    <w:rsid w:val="00211BB3"/>
    <w:rsid w:val="00211BDA"/>
    <w:rsid w:val="00211C43"/>
    <w:rsid w:val="00211C8F"/>
    <w:rsid w:val="00211F27"/>
    <w:rsid w:val="00211F94"/>
    <w:rsid w:val="0021224F"/>
    <w:rsid w:val="0021237F"/>
    <w:rsid w:val="0021240C"/>
    <w:rsid w:val="002125F8"/>
    <w:rsid w:val="00212666"/>
    <w:rsid w:val="0021289E"/>
    <w:rsid w:val="00212F1A"/>
    <w:rsid w:val="0021313C"/>
    <w:rsid w:val="002131D7"/>
    <w:rsid w:val="00213232"/>
    <w:rsid w:val="002132F7"/>
    <w:rsid w:val="002133A3"/>
    <w:rsid w:val="002133E2"/>
    <w:rsid w:val="00213422"/>
    <w:rsid w:val="00213628"/>
    <w:rsid w:val="00213632"/>
    <w:rsid w:val="00213661"/>
    <w:rsid w:val="00213844"/>
    <w:rsid w:val="002139D3"/>
    <w:rsid w:val="00213DC6"/>
    <w:rsid w:val="00213DEC"/>
    <w:rsid w:val="00213DFC"/>
    <w:rsid w:val="00213FCE"/>
    <w:rsid w:val="00213FF5"/>
    <w:rsid w:val="00214105"/>
    <w:rsid w:val="0021431A"/>
    <w:rsid w:val="0021431F"/>
    <w:rsid w:val="002144B2"/>
    <w:rsid w:val="00214591"/>
    <w:rsid w:val="002145EA"/>
    <w:rsid w:val="0021495B"/>
    <w:rsid w:val="00214969"/>
    <w:rsid w:val="00214AEC"/>
    <w:rsid w:val="00214C05"/>
    <w:rsid w:val="00214D3B"/>
    <w:rsid w:val="00214D8A"/>
    <w:rsid w:val="00214D91"/>
    <w:rsid w:val="00214DCB"/>
    <w:rsid w:val="00214E16"/>
    <w:rsid w:val="00215407"/>
    <w:rsid w:val="0021557A"/>
    <w:rsid w:val="00215808"/>
    <w:rsid w:val="00215D40"/>
    <w:rsid w:val="00215E52"/>
    <w:rsid w:val="00215FBF"/>
    <w:rsid w:val="00216266"/>
    <w:rsid w:val="002163BE"/>
    <w:rsid w:val="00216677"/>
    <w:rsid w:val="002166FC"/>
    <w:rsid w:val="002167C0"/>
    <w:rsid w:val="00216866"/>
    <w:rsid w:val="00216AD6"/>
    <w:rsid w:val="00216B7A"/>
    <w:rsid w:val="00216E49"/>
    <w:rsid w:val="00216E58"/>
    <w:rsid w:val="00216F90"/>
    <w:rsid w:val="002170DC"/>
    <w:rsid w:val="00217101"/>
    <w:rsid w:val="00217201"/>
    <w:rsid w:val="00217208"/>
    <w:rsid w:val="00217472"/>
    <w:rsid w:val="00217612"/>
    <w:rsid w:val="00217718"/>
    <w:rsid w:val="00217784"/>
    <w:rsid w:val="002177E6"/>
    <w:rsid w:val="00217891"/>
    <w:rsid w:val="00217A4F"/>
    <w:rsid w:val="00217D30"/>
    <w:rsid w:val="00217EBA"/>
    <w:rsid w:val="0022025D"/>
    <w:rsid w:val="002202D1"/>
    <w:rsid w:val="002202F5"/>
    <w:rsid w:val="00220446"/>
    <w:rsid w:val="00220544"/>
    <w:rsid w:val="0022069A"/>
    <w:rsid w:val="002206FD"/>
    <w:rsid w:val="0022087B"/>
    <w:rsid w:val="002208A2"/>
    <w:rsid w:val="002208BE"/>
    <w:rsid w:val="00220A1C"/>
    <w:rsid w:val="00220CBD"/>
    <w:rsid w:val="00220CEC"/>
    <w:rsid w:val="00220E51"/>
    <w:rsid w:val="00220E68"/>
    <w:rsid w:val="00221091"/>
    <w:rsid w:val="00221899"/>
    <w:rsid w:val="0022191D"/>
    <w:rsid w:val="0022193A"/>
    <w:rsid w:val="00221AD5"/>
    <w:rsid w:val="00221B2E"/>
    <w:rsid w:val="00221CD3"/>
    <w:rsid w:val="00221E54"/>
    <w:rsid w:val="00221F02"/>
    <w:rsid w:val="00221FCE"/>
    <w:rsid w:val="002221B8"/>
    <w:rsid w:val="002222BB"/>
    <w:rsid w:val="002222BE"/>
    <w:rsid w:val="00222330"/>
    <w:rsid w:val="00222637"/>
    <w:rsid w:val="00222676"/>
    <w:rsid w:val="002227BC"/>
    <w:rsid w:val="002229B7"/>
    <w:rsid w:val="00222A0B"/>
    <w:rsid w:val="00222B93"/>
    <w:rsid w:val="00222CDB"/>
    <w:rsid w:val="00222E0C"/>
    <w:rsid w:val="0022302B"/>
    <w:rsid w:val="00223182"/>
    <w:rsid w:val="002231BE"/>
    <w:rsid w:val="00223669"/>
    <w:rsid w:val="002237E2"/>
    <w:rsid w:val="002238FA"/>
    <w:rsid w:val="00223946"/>
    <w:rsid w:val="00223AB6"/>
    <w:rsid w:val="00223C90"/>
    <w:rsid w:val="00223CD8"/>
    <w:rsid w:val="00223CFA"/>
    <w:rsid w:val="00223E31"/>
    <w:rsid w:val="00224225"/>
    <w:rsid w:val="00224289"/>
    <w:rsid w:val="0022428E"/>
    <w:rsid w:val="00224354"/>
    <w:rsid w:val="0022439E"/>
    <w:rsid w:val="00224409"/>
    <w:rsid w:val="0022474B"/>
    <w:rsid w:val="00224947"/>
    <w:rsid w:val="00224984"/>
    <w:rsid w:val="002249A0"/>
    <w:rsid w:val="00224DBB"/>
    <w:rsid w:val="00224F4B"/>
    <w:rsid w:val="00225415"/>
    <w:rsid w:val="002256A2"/>
    <w:rsid w:val="002256BB"/>
    <w:rsid w:val="00225746"/>
    <w:rsid w:val="002257DA"/>
    <w:rsid w:val="00225902"/>
    <w:rsid w:val="00225E33"/>
    <w:rsid w:val="00225FEA"/>
    <w:rsid w:val="00225FF3"/>
    <w:rsid w:val="002261C9"/>
    <w:rsid w:val="0022636B"/>
    <w:rsid w:val="00226982"/>
    <w:rsid w:val="00226AB8"/>
    <w:rsid w:val="00226D6E"/>
    <w:rsid w:val="00226E2E"/>
    <w:rsid w:val="00226EB3"/>
    <w:rsid w:val="00226F9F"/>
    <w:rsid w:val="0022706F"/>
    <w:rsid w:val="002270AB"/>
    <w:rsid w:val="002270B0"/>
    <w:rsid w:val="002271CE"/>
    <w:rsid w:val="0022725C"/>
    <w:rsid w:val="0022736B"/>
    <w:rsid w:val="0022749F"/>
    <w:rsid w:val="00227522"/>
    <w:rsid w:val="0022762A"/>
    <w:rsid w:val="0022777B"/>
    <w:rsid w:val="0022794C"/>
    <w:rsid w:val="00227C46"/>
    <w:rsid w:val="00227DF5"/>
    <w:rsid w:val="00227F6C"/>
    <w:rsid w:val="002305C4"/>
    <w:rsid w:val="00230741"/>
    <w:rsid w:val="002307F4"/>
    <w:rsid w:val="00230844"/>
    <w:rsid w:val="00230861"/>
    <w:rsid w:val="002309D2"/>
    <w:rsid w:val="00230ADC"/>
    <w:rsid w:val="00230E3B"/>
    <w:rsid w:val="0023102E"/>
    <w:rsid w:val="00231049"/>
    <w:rsid w:val="002311D0"/>
    <w:rsid w:val="0023125C"/>
    <w:rsid w:val="002313FC"/>
    <w:rsid w:val="00231400"/>
    <w:rsid w:val="002317D7"/>
    <w:rsid w:val="002317DA"/>
    <w:rsid w:val="0023181A"/>
    <w:rsid w:val="00231C29"/>
    <w:rsid w:val="00231C2A"/>
    <w:rsid w:val="00231C50"/>
    <w:rsid w:val="00231D95"/>
    <w:rsid w:val="00231E65"/>
    <w:rsid w:val="00231EB4"/>
    <w:rsid w:val="0023226A"/>
    <w:rsid w:val="00232275"/>
    <w:rsid w:val="00232425"/>
    <w:rsid w:val="002324D5"/>
    <w:rsid w:val="0023270C"/>
    <w:rsid w:val="002327C8"/>
    <w:rsid w:val="00232862"/>
    <w:rsid w:val="00232AA0"/>
    <w:rsid w:val="00232D6E"/>
    <w:rsid w:val="00232FAD"/>
    <w:rsid w:val="00233112"/>
    <w:rsid w:val="002332E5"/>
    <w:rsid w:val="00233420"/>
    <w:rsid w:val="0023361F"/>
    <w:rsid w:val="002336A2"/>
    <w:rsid w:val="0023380A"/>
    <w:rsid w:val="0023388F"/>
    <w:rsid w:val="0023390E"/>
    <w:rsid w:val="0023392C"/>
    <w:rsid w:val="00233B5E"/>
    <w:rsid w:val="00233C6B"/>
    <w:rsid w:val="00233CC8"/>
    <w:rsid w:val="00233E58"/>
    <w:rsid w:val="00233EAC"/>
    <w:rsid w:val="00234270"/>
    <w:rsid w:val="002343BB"/>
    <w:rsid w:val="002343D3"/>
    <w:rsid w:val="00234477"/>
    <w:rsid w:val="0023468B"/>
    <w:rsid w:val="002348A2"/>
    <w:rsid w:val="00234947"/>
    <w:rsid w:val="00234C21"/>
    <w:rsid w:val="00234D22"/>
    <w:rsid w:val="00234DD4"/>
    <w:rsid w:val="00234EEF"/>
    <w:rsid w:val="00234FAC"/>
    <w:rsid w:val="00235134"/>
    <w:rsid w:val="00235146"/>
    <w:rsid w:val="002351CB"/>
    <w:rsid w:val="0023550F"/>
    <w:rsid w:val="002355DE"/>
    <w:rsid w:val="0023565A"/>
    <w:rsid w:val="00235703"/>
    <w:rsid w:val="00235717"/>
    <w:rsid w:val="002357B4"/>
    <w:rsid w:val="00235984"/>
    <w:rsid w:val="00235AAC"/>
    <w:rsid w:val="00235D73"/>
    <w:rsid w:val="0023601D"/>
    <w:rsid w:val="00236054"/>
    <w:rsid w:val="002360CB"/>
    <w:rsid w:val="002361DA"/>
    <w:rsid w:val="00236274"/>
    <w:rsid w:val="00236288"/>
    <w:rsid w:val="0023661C"/>
    <w:rsid w:val="0023672C"/>
    <w:rsid w:val="00236748"/>
    <w:rsid w:val="00236765"/>
    <w:rsid w:val="002367DC"/>
    <w:rsid w:val="00236938"/>
    <w:rsid w:val="00236C20"/>
    <w:rsid w:val="00236E8C"/>
    <w:rsid w:val="00236F6B"/>
    <w:rsid w:val="00236FBF"/>
    <w:rsid w:val="00237030"/>
    <w:rsid w:val="00237046"/>
    <w:rsid w:val="002373F3"/>
    <w:rsid w:val="00237664"/>
    <w:rsid w:val="002376F9"/>
    <w:rsid w:val="0023784C"/>
    <w:rsid w:val="00237B67"/>
    <w:rsid w:val="00237D6E"/>
    <w:rsid w:val="00237E79"/>
    <w:rsid w:val="00237F0E"/>
    <w:rsid w:val="00237F39"/>
    <w:rsid w:val="002400A4"/>
    <w:rsid w:val="002401DE"/>
    <w:rsid w:val="00240205"/>
    <w:rsid w:val="00240410"/>
    <w:rsid w:val="00240479"/>
    <w:rsid w:val="002407DB"/>
    <w:rsid w:val="00240827"/>
    <w:rsid w:val="00240851"/>
    <w:rsid w:val="002409F6"/>
    <w:rsid w:val="00240AFD"/>
    <w:rsid w:val="00240B5F"/>
    <w:rsid w:val="00240BBA"/>
    <w:rsid w:val="00240DCE"/>
    <w:rsid w:val="00240E7A"/>
    <w:rsid w:val="00240E94"/>
    <w:rsid w:val="0024101C"/>
    <w:rsid w:val="002411C1"/>
    <w:rsid w:val="00241274"/>
    <w:rsid w:val="00241374"/>
    <w:rsid w:val="00241452"/>
    <w:rsid w:val="00241662"/>
    <w:rsid w:val="002417A8"/>
    <w:rsid w:val="002417AC"/>
    <w:rsid w:val="00241812"/>
    <w:rsid w:val="00241825"/>
    <w:rsid w:val="00241A91"/>
    <w:rsid w:val="00241FAF"/>
    <w:rsid w:val="002420A4"/>
    <w:rsid w:val="00242196"/>
    <w:rsid w:val="00242231"/>
    <w:rsid w:val="00242591"/>
    <w:rsid w:val="00242778"/>
    <w:rsid w:val="002427AF"/>
    <w:rsid w:val="002427F6"/>
    <w:rsid w:val="00242825"/>
    <w:rsid w:val="00242964"/>
    <w:rsid w:val="00242982"/>
    <w:rsid w:val="00242A05"/>
    <w:rsid w:val="00242A16"/>
    <w:rsid w:val="00242B7C"/>
    <w:rsid w:val="00242C15"/>
    <w:rsid w:val="00242D1D"/>
    <w:rsid w:val="00242E59"/>
    <w:rsid w:val="00242FE0"/>
    <w:rsid w:val="0024303A"/>
    <w:rsid w:val="002434FF"/>
    <w:rsid w:val="0024358D"/>
    <w:rsid w:val="002435CE"/>
    <w:rsid w:val="002436E8"/>
    <w:rsid w:val="00243784"/>
    <w:rsid w:val="00243929"/>
    <w:rsid w:val="00243B0F"/>
    <w:rsid w:val="00243BB1"/>
    <w:rsid w:val="00243CDF"/>
    <w:rsid w:val="00243E55"/>
    <w:rsid w:val="00243F61"/>
    <w:rsid w:val="00243F8C"/>
    <w:rsid w:val="002441E8"/>
    <w:rsid w:val="0024425F"/>
    <w:rsid w:val="0024426B"/>
    <w:rsid w:val="002442DD"/>
    <w:rsid w:val="0024456D"/>
    <w:rsid w:val="00244582"/>
    <w:rsid w:val="002445A6"/>
    <w:rsid w:val="002445B9"/>
    <w:rsid w:val="0024489B"/>
    <w:rsid w:val="00244A6C"/>
    <w:rsid w:val="00244C4A"/>
    <w:rsid w:val="00244C71"/>
    <w:rsid w:val="0024505E"/>
    <w:rsid w:val="00245130"/>
    <w:rsid w:val="002451F7"/>
    <w:rsid w:val="002451F9"/>
    <w:rsid w:val="00245304"/>
    <w:rsid w:val="00245405"/>
    <w:rsid w:val="00245546"/>
    <w:rsid w:val="002455F6"/>
    <w:rsid w:val="0024565F"/>
    <w:rsid w:val="00245712"/>
    <w:rsid w:val="002459A3"/>
    <w:rsid w:val="00245D10"/>
    <w:rsid w:val="00245E8F"/>
    <w:rsid w:val="00245FCD"/>
    <w:rsid w:val="0024607D"/>
    <w:rsid w:val="002460C5"/>
    <w:rsid w:val="00246481"/>
    <w:rsid w:val="002464B9"/>
    <w:rsid w:val="00246561"/>
    <w:rsid w:val="0024661C"/>
    <w:rsid w:val="00246665"/>
    <w:rsid w:val="00246A94"/>
    <w:rsid w:val="00246B35"/>
    <w:rsid w:val="00246B65"/>
    <w:rsid w:val="00246CB4"/>
    <w:rsid w:val="00246E65"/>
    <w:rsid w:val="00246ED0"/>
    <w:rsid w:val="00246FCE"/>
    <w:rsid w:val="002473E3"/>
    <w:rsid w:val="002473E6"/>
    <w:rsid w:val="002476DD"/>
    <w:rsid w:val="00247758"/>
    <w:rsid w:val="00247774"/>
    <w:rsid w:val="002477BA"/>
    <w:rsid w:val="002477DC"/>
    <w:rsid w:val="00247F45"/>
    <w:rsid w:val="00247F83"/>
    <w:rsid w:val="00247FC0"/>
    <w:rsid w:val="002500FF"/>
    <w:rsid w:val="00250134"/>
    <w:rsid w:val="002501A9"/>
    <w:rsid w:val="002501EE"/>
    <w:rsid w:val="002505EF"/>
    <w:rsid w:val="00250924"/>
    <w:rsid w:val="00250974"/>
    <w:rsid w:val="002509DD"/>
    <w:rsid w:val="00250AC6"/>
    <w:rsid w:val="00250AE3"/>
    <w:rsid w:val="00250BA2"/>
    <w:rsid w:val="00250CA8"/>
    <w:rsid w:val="00250E5D"/>
    <w:rsid w:val="00250F0B"/>
    <w:rsid w:val="00250F6B"/>
    <w:rsid w:val="00250F8C"/>
    <w:rsid w:val="00250FAD"/>
    <w:rsid w:val="00250FC6"/>
    <w:rsid w:val="00251112"/>
    <w:rsid w:val="00251252"/>
    <w:rsid w:val="00251278"/>
    <w:rsid w:val="002513EA"/>
    <w:rsid w:val="00251659"/>
    <w:rsid w:val="002516E5"/>
    <w:rsid w:val="00251872"/>
    <w:rsid w:val="00251A85"/>
    <w:rsid w:val="00251AD2"/>
    <w:rsid w:val="00251AD7"/>
    <w:rsid w:val="00251C9D"/>
    <w:rsid w:val="00251CD3"/>
    <w:rsid w:val="002521BC"/>
    <w:rsid w:val="002521BD"/>
    <w:rsid w:val="002522EA"/>
    <w:rsid w:val="002523A4"/>
    <w:rsid w:val="002525CC"/>
    <w:rsid w:val="00252695"/>
    <w:rsid w:val="00252886"/>
    <w:rsid w:val="002528BE"/>
    <w:rsid w:val="002528F5"/>
    <w:rsid w:val="00252900"/>
    <w:rsid w:val="0025291C"/>
    <w:rsid w:val="00252A3D"/>
    <w:rsid w:val="00252BBB"/>
    <w:rsid w:val="00252D7D"/>
    <w:rsid w:val="00252D9A"/>
    <w:rsid w:val="00252DB3"/>
    <w:rsid w:val="00252E15"/>
    <w:rsid w:val="00252F13"/>
    <w:rsid w:val="002530CA"/>
    <w:rsid w:val="0025332E"/>
    <w:rsid w:val="0025342B"/>
    <w:rsid w:val="00253542"/>
    <w:rsid w:val="00253594"/>
    <w:rsid w:val="00253680"/>
    <w:rsid w:val="0025369B"/>
    <w:rsid w:val="002536E7"/>
    <w:rsid w:val="0025382A"/>
    <w:rsid w:val="002539BE"/>
    <w:rsid w:val="00253A5C"/>
    <w:rsid w:val="00253B07"/>
    <w:rsid w:val="00253BC4"/>
    <w:rsid w:val="00253BF9"/>
    <w:rsid w:val="00253DFD"/>
    <w:rsid w:val="00253E09"/>
    <w:rsid w:val="00253E65"/>
    <w:rsid w:val="00253F6D"/>
    <w:rsid w:val="0025407F"/>
    <w:rsid w:val="00254194"/>
    <w:rsid w:val="0025421C"/>
    <w:rsid w:val="00254231"/>
    <w:rsid w:val="00254264"/>
    <w:rsid w:val="00254300"/>
    <w:rsid w:val="00254366"/>
    <w:rsid w:val="00254428"/>
    <w:rsid w:val="00254698"/>
    <w:rsid w:val="002549A2"/>
    <w:rsid w:val="00254B1D"/>
    <w:rsid w:val="00254B3D"/>
    <w:rsid w:val="00254B92"/>
    <w:rsid w:val="00254F66"/>
    <w:rsid w:val="002551F4"/>
    <w:rsid w:val="0025522F"/>
    <w:rsid w:val="00255276"/>
    <w:rsid w:val="00255283"/>
    <w:rsid w:val="002552DB"/>
    <w:rsid w:val="00255340"/>
    <w:rsid w:val="002553CF"/>
    <w:rsid w:val="002555D9"/>
    <w:rsid w:val="002555FA"/>
    <w:rsid w:val="0025560B"/>
    <w:rsid w:val="00255A83"/>
    <w:rsid w:val="00255EE3"/>
    <w:rsid w:val="00255F7A"/>
    <w:rsid w:val="00255FFD"/>
    <w:rsid w:val="00256060"/>
    <w:rsid w:val="002561B3"/>
    <w:rsid w:val="002561BA"/>
    <w:rsid w:val="0025629A"/>
    <w:rsid w:val="002562CA"/>
    <w:rsid w:val="00256801"/>
    <w:rsid w:val="002568ED"/>
    <w:rsid w:val="002569FB"/>
    <w:rsid w:val="00256C56"/>
    <w:rsid w:val="00256F7A"/>
    <w:rsid w:val="002570B9"/>
    <w:rsid w:val="002570E0"/>
    <w:rsid w:val="0025717B"/>
    <w:rsid w:val="00257194"/>
    <w:rsid w:val="002574DC"/>
    <w:rsid w:val="002575A9"/>
    <w:rsid w:val="002575ED"/>
    <w:rsid w:val="0025798D"/>
    <w:rsid w:val="00257AE8"/>
    <w:rsid w:val="00257DA2"/>
    <w:rsid w:val="00257FD2"/>
    <w:rsid w:val="00260149"/>
    <w:rsid w:val="002602E8"/>
    <w:rsid w:val="00260301"/>
    <w:rsid w:val="002603D5"/>
    <w:rsid w:val="00260407"/>
    <w:rsid w:val="00260777"/>
    <w:rsid w:val="002607D9"/>
    <w:rsid w:val="00260B4D"/>
    <w:rsid w:val="00260F92"/>
    <w:rsid w:val="00260FDD"/>
    <w:rsid w:val="00261142"/>
    <w:rsid w:val="00261165"/>
    <w:rsid w:val="002612F2"/>
    <w:rsid w:val="00261385"/>
    <w:rsid w:val="0026177D"/>
    <w:rsid w:val="00261834"/>
    <w:rsid w:val="00261943"/>
    <w:rsid w:val="00261A11"/>
    <w:rsid w:val="00261A2D"/>
    <w:rsid w:val="00261BD2"/>
    <w:rsid w:val="00261BF4"/>
    <w:rsid w:val="00261CD6"/>
    <w:rsid w:val="00261D0B"/>
    <w:rsid w:val="00261DBE"/>
    <w:rsid w:val="00262239"/>
    <w:rsid w:val="002622FF"/>
    <w:rsid w:val="00262386"/>
    <w:rsid w:val="0026244A"/>
    <w:rsid w:val="00262574"/>
    <w:rsid w:val="0026285D"/>
    <w:rsid w:val="00262ABE"/>
    <w:rsid w:val="00262CF2"/>
    <w:rsid w:val="00262E19"/>
    <w:rsid w:val="00262FB4"/>
    <w:rsid w:val="00262FBE"/>
    <w:rsid w:val="0026370D"/>
    <w:rsid w:val="002638B8"/>
    <w:rsid w:val="00263944"/>
    <w:rsid w:val="002639FE"/>
    <w:rsid w:val="00263BBC"/>
    <w:rsid w:val="00263CBD"/>
    <w:rsid w:val="00263D8A"/>
    <w:rsid w:val="00263DD3"/>
    <w:rsid w:val="002640F3"/>
    <w:rsid w:val="002644CA"/>
    <w:rsid w:val="0026454A"/>
    <w:rsid w:val="0026463B"/>
    <w:rsid w:val="0026469F"/>
    <w:rsid w:val="002646AC"/>
    <w:rsid w:val="002646E0"/>
    <w:rsid w:val="002648DE"/>
    <w:rsid w:val="00264AA2"/>
    <w:rsid w:val="00264B95"/>
    <w:rsid w:val="00264CB3"/>
    <w:rsid w:val="00264E0D"/>
    <w:rsid w:val="00264ED0"/>
    <w:rsid w:val="00265392"/>
    <w:rsid w:val="002653A3"/>
    <w:rsid w:val="00265498"/>
    <w:rsid w:val="002654B2"/>
    <w:rsid w:val="002654D2"/>
    <w:rsid w:val="0026551B"/>
    <w:rsid w:val="002656D4"/>
    <w:rsid w:val="002657D8"/>
    <w:rsid w:val="002658C2"/>
    <w:rsid w:val="002658D8"/>
    <w:rsid w:val="00265CAB"/>
    <w:rsid w:val="00265CAE"/>
    <w:rsid w:val="00265DE5"/>
    <w:rsid w:val="002660C5"/>
    <w:rsid w:val="00266145"/>
    <w:rsid w:val="00266168"/>
    <w:rsid w:val="002661E5"/>
    <w:rsid w:val="00266433"/>
    <w:rsid w:val="002665AE"/>
    <w:rsid w:val="00266B05"/>
    <w:rsid w:val="00266B76"/>
    <w:rsid w:val="00266D08"/>
    <w:rsid w:val="00267099"/>
    <w:rsid w:val="0026713B"/>
    <w:rsid w:val="0026722F"/>
    <w:rsid w:val="0026726B"/>
    <w:rsid w:val="002672DD"/>
    <w:rsid w:val="002673D6"/>
    <w:rsid w:val="00267728"/>
    <w:rsid w:val="002677BA"/>
    <w:rsid w:val="002678C5"/>
    <w:rsid w:val="002679B0"/>
    <w:rsid w:val="00267B68"/>
    <w:rsid w:val="00267B8D"/>
    <w:rsid w:val="00267BD8"/>
    <w:rsid w:val="00267C8A"/>
    <w:rsid w:val="00267C96"/>
    <w:rsid w:val="00267D63"/>
    <w:rsid w:val="00267F69"/>
    <w:rsid w:val="002700B7"/>
    <w:rsid w:val="002701D1"/>
    <w:rsid w:val="0027034F"/>
    <w:rsid w:val="00270429"/>
    <w:rsid w:val="00270535"/>
    <w:rsid w:val="00270700"/>
    <w:rsid w:val="00270762"/>
    <w:rsid w:val="00270815"/>
    <w:rsid w:val="002709C1"/>
    <w:rsid w:val="00270CB5"/>
    <w:rsid w:val="00270D15"/>
    <w:rsid w:val="002711B6"/>
    <w:rsid w:val="002711BD"/>
    <w:rsid w:val="00271449"/>
    <w:rsid w:val="002714A3"/>
    <w:rsid w:val="0027169D"/>
    <w:rsid w:val="002717AB"/>
    <w:rsid w:val="002717DE"/>
    <w:rsid w:val="0027181B"/>
    <w:rsid w:val="002718E0"/>
    <w:rsid w:val="00271981"/>
    <w:rsid w:val="002719A6"/>
    <w:rsid w:val="002719AB"/>
    <w:rsid w:val="00271A9E"/>
    <w:rsid w:val="00271BBD"/>
    <w:rsid w:val="00271BEE"/>
    <w:rsid w:val="00271C0F"/>
    <w:rsid w:val="00271CC9"/>
    <w:rsid w:val="00271F7E"/>
    <w:rsid w:val="0027200B"/>
    <w:rsid w:val="002720B7"/>
    <w:rsid w:val="002720CF"/>
    <w:rsid w:val="0027213E"/>
    <w:rsid w:val="00272285"/>
    <w:rsid w:val="002722D0"/>
    <w:rsid w:val="002722EA"/>
    <w:rsid w:val="00272438"/>
    <w:rsid w:val="00272689"/>
    <w:rsid w:val="002727EC"/>
    <w:rsid w:val="00272906"/>
    <w:rsid w:val="00272B81"/>
    <w:rsid w:val="00272B99"/>
    <w:rsid w:val="00272B9F"/>
    <w:rsid w:val="00272C1D"/>
    <w:rsid w:val="0027319B"/>
    <w:rsid w:val="00273225"/>
    <w:rsid w:val="00273254"/>
    <w:rsid w:val="0027327F"/>
    <w:rsid w:val="0027333B"/>
    <w:rsid w:val="002733E6"/>
    <w:rsid w:val="0027352A"/>
    <w:rsid w:val="00273603"/>
    <w:rsid w:val="00273697"/>
    <w:rsid w:val="002737CB"/>
    <w:rsid w:val="002737DE"/>
    <w:rsid w:val="002739CE"/>
    <w:rsid w:val="00273A5C"/>
    <w:rsid w:val="00273C29"/>
    <w:rsid w:val="00273EA3"/>
    <w:rsid w:val="00273FA6"/>
    <w:rsid w:val="002740E7"/>
    <w:rsid w:val="0027419D"/>
    <w:rsid w:val="002745BF"/>
    <w:rsid w:val="00274BCF"/>
    <w:rsid w:val="00274D12"/>
    <w:rsid w:val="00274DF5"/>
    <w:rsid w:val="00274E31"/>
    <w:rsid w:val="00274E8A"/>
    <w:rsid w:val="00274F47"/>
    <w:rsid w:val="00274FB7"/>
    <w:rsid w:val="00274FD4"/>
    <w:rsid w:val="002750D4"/>
    <w:rsid w:val="002751AF"/>
    <w:rsid w:val="002751D2"/>
    <w:rsid w:val="00275207"/>
    <w:rsid w:val="002752DF"/>
    <w:rsid w:val="002753CA"/>
    <w:rsid w:val="002753DB"/>
    <w:rsid w:val="002753ED"/>
    <w:rsid w:val="0027547C"/>
    <w:rsid w:val="00275608"/>
    <w:rsid w:val="00275682"/>
    <w:rsid w:val="002756D1"/>
    <w:rsid w:val="002756FB"/>
    <w:rsid w:val="002758F4"/>
    <w:rsid w:val="00275A78"/>
    <w:rsid w:val="00275B1B"/>
    <w:rsid w:val="00275B6E"/>
    <w:rsid w:val="00275B8F"/>
    <w:rsid w:val="00275C10"/>
    <w:rsid w:val="00275D48"/>
    <w:rsid w:val="00275F4A"/>
    <w:rsid w:val="00276031"/>
    <w:rsid w:val="002760D9"/>
    <w:rsid w:val="00276255"/>
    <w:rsid w:val="0027640C"/>
    <w:rsid w:val="00276776"/>
    <w:rsid w:val="0027692C"/>
    <w:rsid w:val="002769DA"/>
    <w:rsid w:val="00276C37"/>
    <w:rsid w:val="00276C97"/>
    <w:rsid w:val="00276E4B"/>
    <w:rsid w:val="00277232"/>
    <w:rsid w:val="00277269"/>
    <w:rsid w:val="002773B5"/>
    <w:rsid w:val="002774B9"/>
    <w:rsid w:val="002775EA"/>
    <w:rsid w:val="0027765D"/>
    <w:rsid w:val="00277696"/>
    <w:rsid w:val="0027778E"/>
    <w:rsid w:val="0027779F"/>
    <w:rsid w:val="002777D3"/>
    <w:rsid w:val="0027791B"/>
    <w:rsid w:val="002779C5"/>
    <w:rsid w:val="00277B0C"/>
    <w:rsid w:val="00277E62"/>
    <w:rsid w:val="00277F00"/>
    <w:rsid w:val="002803BE"/>
    <w:rsid w:val="0028047F"/>
    <w:rsid w:val="00280539"/>
    <w:rsid w:val="0028055C"/>
    <w:rsid w:val="0028058D"/>
    <w:rsid w:val="0028060D"/>
    <w:rsid w:val="0028067D"/>
    <w:rsid w:val="002807E0"/>
    <w:rsid w:val="00280831"/>
    <w:rsid w:val="00280A02"/>
    <w:rsid w:val="00280A81"/>
    <w:rsid w:val="00280D28"/>
    <w:rsid w:val="00280D8C"/>
    <w:rsid w:val="00280D92"/>
    <w:rsid w:val="00280E80"/>
    <w:rsid w:val="00280ED9"/>
    <w:rsid w:val="00280EE3"/>
    <w:rsid w:val="00280F1F"/>
    <w:rsid w:val="00280FD5"/>
    <w:rsid w:val="002811DB"/>
    <w:rsid w:val="002811F1"/>
    <w:rsid w:val="002813CC"/>
    <w:rsid w:val="00281455"/>
    <w:rsid w:val="00281483"/>
    <w:rsid w:val="00281508"/>
    <w:rsid w:val="0028170B"/>
    <w:rsid w:val="002818BA"/>
    <w:rsid w:val="002819B9"/>
    <w:rsid w:val="00281AA5"/>
    <w:rsid w:val="00281C6C"/>
    <w:rsid w:val="00281DAF"/>
    <w:rsid w:val="00281ED9"/>
    <w:rsid w:val="00281FBF"/>
    <w:rsid w:val="0028205C"/>
    <w:rsid w:val="0028233B"/>
    <w:rsid w:val="002823C7"/>
    <w:rsid w:val="00282536"/>
    <w:rsid w:val="002826F0"/>
    <w:rsid w:val="002828FA"/>
    <w:rsid w:val="002829C0"/>
    <w:rsid w:val="002829EF"/>
    <w:rsid w:val="00282C57"/>
    <w:rsid w:val="00282D0D"/>
    <w:rsid w:val="00282F33"/>
    <w:rsid w:val="00282F6D"/>
    <w:rsid w:val="002831EB"/>
    <w:rsid w:val="002833F3"/>
    <w:rsid w:val="002836B6"/>
    <w:rsid w:val="00283779"/>
    <w:rsid w:val="0028391F"/>
    <w:rsid w:val="00283A52"/>
    <w:rsid w:val="00283CEA"/>
    <w:rsid w:val="002840AA"/>
    <w:rsid w:val="0028452F"/>
    <w:rsid w:val="00284939"/>
    <w:rsid w:val="00284A80"/>
    <w:rsid w:val="00284DC8"/>
    <w:rsid w:val="00284E61"/>
    <w:rsid w:val="00284EAB"/>
    <w:rsid w:val="00285603"/>
    <w:rsid w:val="00285647"/>
    <w:rsid w:val="002856D0"/>
    <w:rsid w:val="00285944"/>
    <w:rsid w:val="00285B0F"/>
    <w:rsid w:val="00285BA9"/>
    <w:rsid w:val="00285D24"/>
    <w:rsid w:val="0028607A"/>
    <w:rsid w:val="0028611B"/>
    <w:rsid w:val="002862D5"/>
    <w:rsid w:val="00286307"/>
    <w:rsid w:val="0028632B"/>
    <w:rsid w:val="0028633A"/>
    <w:rsid w:val="002864FD"/>
    <w:rsid w:val="0028666F"/>
    <w:rsid w:val="002866A6"/>
    <w:rsid w:val="0028679D"/>
    <w:rsid w:val="00286969"/>
    <w:rsid w:val="00286C47"/>
    <w:rsid w:val="00286CA6"/>
    <w:rsid w:val="00286F85"/>
    <w:rsid w:val="002873BF"/>
    <w:rsid w:val="002874D2"/>
    <w:rsid w:val="0028767F"/>
    <w:rsid w:val="0028779C"/>
    <w:rsid w:val="00287813"/>
    <w:rsid w:val="002878B6"/>
    <w:rsid w:val="002878C2"/>
    <w:rsid w:val="002878CA"/>
    <w:rsid w:val="00287911"/>
    <w:rsid w:val="002879D3"/>
    <w:rsid w:val="002879DC"/>
    <w:rsid w:val="00287B66"/>
    <w:rsid w:val="00287CE3"/>
    <w:rsid w:val="00287F05"/>
    <w:rsid w:val="00287FDD"/>
    <w:rsid w:val="0029011D"/>
    <w:rsid w:val="002905AD"/>
    <w:rsid w:val="00290600"/>
    <w:rsid w:val="00290747"/>
    <w:rsid w:val="002908DE"/>
    <w:rsid w:val="002908F7"/>
    <w:rsid w:val="00290AFE"/>
    <w:rsid w:val="00290B39"/>
    <w:rsid w:val="00290CE5"/>
    <w:rsid w:val="00290DEB"/>
    <w:rsid w:val="00291100"/>
    <w:rsid w:val="0029117E"/>
    <w:rsid w:val="0029129B"/>
    <w:rsid w:val="00291310"/>
    <w:rsid w:val="002913F9"/>
    <w:rsid w:val="002917AE"/>
    <w:rsid w:val="002917F0"/>
    <w:rsid w:val="0029186A"/>
    <w:rsid w:val="00291906"/>
    <w:rsid w:val="00291ABE"/>
    <w:rsid w:val="00291DD0"/>
    <w:rsid w:val="00291E2E"/>
    <w:rsid w:val="00292046"/>
    <w:rsid w:val="00292545"/>
    <w:rsid w:val="00292639"/>
    <w:rsid w:val="00292706"/>
    <w:rsid w:val="00292733"/>
    <w:rsid w:val="0029278A"/>
    <w:rsid w:val="00292798"/>
    <w:rsid w:val="00292AF0"/>
    <w:rsid w:val="00292C39"/>
    <w:rsid w:val="00292D44"/>
    <w:rsid w:val="00292D92"/>
    <w:rsid w:val="00292DE3"/>
    <w:rsid w:val="00292E6F"/>
    <w:rsid w:val="00293044"/>
    <w:rsid w:val="002931A3"/>
    <w:rsid w:val="00293235"/>
    <w:rsid w:val="002932DA"/>
    <w:rsid w:val="0029352E"/>
    <w:rsid w:val="002935A6"/>
    <w:rsid w:val="002935B6"/>
    <w:rsid w:val="002937BD"/>
    <w:rsid w:val="0029385E"/>
    <w:rsid w:val="00293A46"/>
    <w:rsid w:val="00293B7C"/>
    <w:rsid w:val="00293C9D"/>
    <w:rsid w:val="00293E0E"/>
    <w:rsid w:val="00293F6C"/>
    <w:rsid w:val="00293F90"/>
    <w:rsid w:val="0029405D"/>
    <w:rsid w:val="002941AD"/>
    <w:rsid w:val="0029426F"/>
    <w:rsid w:val="0029436F"/>
    <w:rsid w:val="0029457A"/>
    <w:rsid w:val="00294595"/>
    <w:rsid w:val="00294828"/>
    <w:rsid w:val="00294841"/>
    <w:rsid w:val="00294891"/>
    <w:rsid w:val="002948FF"/>
    <w:rsid w:val="002949E0"/>
    <w:rsid w:val="00294AE0"/>
    <w:rsid w:val="00294D5B"/>
    <w:rsid w:val="00294D7B"/>
    <w:rsid w:val="00294E42"/>
    <w:rsid w:val="00294E7E"/>
    <w:rsid w:val="00295075"/>
    <w:rsid w:val="00295236"/>
    <w:rsid w:val="002952C2"/>
    <w:rsid w:val="002952F7"/>
    <w:rsid w:val="00295363"/>
    <w:rsid w:val="00295474"/>
    <w:rsid w:val="00295555"/>
    <w:rsid w:val="002955D4"/>
    <w:rsid w:val="002955EA"/>
    <w:rsid w:val="0029561E"/>
    <w:rsid w:val="00295695"/>
    <w:rsid w:val="002959A6"/>
    <w:rsid w:val="00295AC0"/>
    <w:rsid w:val="00295AE8"/>
    <w:rsid w:val="00295CA4"/>
    <w:rsid w:val="00295D70"/>
    <w:rsid w:val="00295E66"/>
    <w:rsid w:val="00295E6D"/>
    <w:rsid w:val="00295F2F"/>
    <w:rsid w:val="002960B8"/>
    <w:rsid w:val="002960F3"/>
    <w:rsid w:val="00296108"/>
    <w:rsid w:val="002961DF"/>
    <w:rsid w:val="002962A4"/>
    <w:rsid w:val="00296324"/>
    <w:rsid w:val="0029656E"/>
    <w:rsid w:val="002966F7"/>
    <w:rsid w:val="0029687A"/>
    <w:rsid w:val="002968B8"/>
    <w:rsid w:val="00296C82"/>
    <w:rsid w:val="0029725E"/>
    <w:rsid w:val="00297396"/>
    <w:rsid w:val="00297427"/>
    <w:rsid w:val="0029743E"/>
    <w:rsid w:val="002974F0"/>
    <w:rsid w:val="00297643"/>
    <w:rsid w:val="0029765E"/>
    <w:rsid w:val="00297A60"/>
    <w:rsid w:val="00297B88"/>
    <w:rsid w:val="00297BB5"/>
    <w:rsid w:val="00297BF5"/>
    <w:rsid w:val="00297F29"/>
    <w:rsid w:val="00297F67"/>
    <w:rsid w:val="00297F8C"/>
    <w:rsid w:val="00297FA3"/>
    <w:rsid w:val="002A02A9"/>
    <w:rsid w:val="002A02B7"/>
    <w:rsid w:val="002A0475"/>
    <w:rsid w:val="002A0650"/>
    <w:rsid w:val="002A06E5"/>
    <w:rsid w:val="002A07AE"/>
    <w:rsid w:val="002A0938"/>
    <w:rsid w:val="002A0A1F"/>
    <w:rsid w:val="002A0A5E"/>
    <w:rsid w:val="002A0B72"/>
    <w:rsid w:val="002A0E2E"/>
    <w:rsid w:val="002A1509"/>
    <w:rsid w:val="002A165C"/>
    <w:rsid w:val="002A1945"/>
    <w:rsid w:val="002A195F"/>
    <w:rsid w:val="002A198B"/>
    <w:rsid w:val="002A1AC7"/>
    <w:rsid w:val="002A1B41"/>
    <w:rsid w:val="002A1C55"/>
    <w:rsid w:val="002A1E2D"/>
    <w:rsid w:val="002A1FD3"/>
    <w:rsid w:val="002A22A8"/>
    <w:rsid w:val="002A22C2"/>
    <w:rsid w:val="002A2418"/>
    <w:rsid w:val="002A241B"/>
    <w:rsid w:val="002A25B9"/>
    <w:rsid w:val="002A265F"/>
    <w:rsid w:val="002A26D7"/>
    <w:rsid w:val="002A27F5"/>
    <w:rsid w:val="002A2809"/>
    <w:rsid w:val="002A2862"/>
    <w:rsid w:val="002A2B1F"/>
    <w:rsid w:val="002A2B7F"/>
    <w:rsid w:val="002A2E8C"/>
    <w:rsid w:val="002A3294"/>
    <w:rsid w:val="002A335A"/>
    <w:rsid w:val="002A33C3"/>
    <w:rsid w:val="002A34C2"/>
    <w:rsid w:val="002A357D"/>
    <w:rsid w:val="002A3596"/>
    <w:rsid w:val="002A35A9"/>
    <w:rsid w:val="002A368C"/>
    <w:rsid w:val="002A3997"/>
    <w:rsid w:val="002A3AD2"/>
    <w:rsid w:val="002A3B8A"/>
    <w:rsid w:val="002A3D61"/>
    <w:rsid w:val="002A3DDB"/>
    <w:rsid w:val="002A3F5E"/>
    <w:rsid w:val="002A4289"/>
    <w:rsid w:val="002A43B7"/>
    <w:rsid w:val="002A4617"/>
    <w:rsid w:val="002A4837"/>
    <w:rsid w:val="002A4B54"/>
    <w:rsid w:val="002A4B8A"/>
    <w:rsid w:val="002A4BA8"/>
    <w:rsid w:val="002A4BE7"/>
    <w:rsid w:val="002A4C86"/>
    <w:rsid w:val="002A4E15"/>
    <w:rsid w:val="002A4ED2"/>
    <w:rsid w:val="002A5184"/>
    <w:rsid w:val="002A51A8"/>
    <w:rsid w:val="002A51E2"/>
    <w:rsid w:val="002A54D8"/>
    <w:rsid w:val="002A55B5"/>
    <w:rsid w:val="002A56BF"/>
    <w:rsid w:val="002A589B"/>
    <w:rsid w:val="002A58DB"/>
    <w:rsid w:val="002A58FE"/>
    <w:rsid w:val="002A59AD"/>
    <w:rsid w:val="002A5A36"/>
    <w:rsid w:val="002A5A68"/>
    <w:rsid w:val="002A5B82"/>
    <w:rsid w:val="002A5C48"/>
    <w:rsid w:val="002A5D11"/>
    <w:rsid w:val="002A5E2F"/>
    <w:rsid w:val="002A6317"/>
    <w:rsid w:val="002A635C"/>
    <w:rsid w:val="002A636F"/>
    <w:rsid w:val="002A6373"/>
    <w:rsid w:val="002A653F"/>
    <w:rsid w:val="002A66A2"/>
    <w:rsid w:val="002A6805"/>
    <w:rsid w:val="002A6951"/>
    <w:rsid w:val="002A6B22"/>
    <w:rsid w:val="002A6D64"/>
    <w:rsid w:val="002A6D7B"/>
    <w:rsid w:val="002A6EE1"/>
    <w:rsid w:val="002A6EFA"/>
    <w:rsid w:val="002A6FE0"/>
    <w:rsid w:val="002A70B7"/>
    <w:rsid w:val="002A7360"/>
    <w:rsid w:val="002A7384"/>
    <w:rsid w:val="002A758B"/>
    <w:rsid w:val="002A777C"/>
    <w:rsid w:val="002A77AF"/>
    <w:rsid w:val="002A77F8"/>
    <w:rsid w:val="002A7861"/>
    <w:rsid w:val="002A78F4"/>
    <w:rsid w:val="002B006F"/>
    <w:rsid w:val="002B03B5"/>
    <w:rsid w:val="002B03B6"/>
    <w:rsid w:val="002B049B"/>
    <w:rsid w:val="002B0687"/>
    <w:rsid w:val="002B07DA"/>
    <w:rsid w:val="002B098C"/>
    <w:rsid w:val="002B0B77"/>
    <w:rsid w:val="002B0B82"/>
    <w:rsid w:val="002B0E3A"/>
    <w:rsid w:val="002B116F"/>
    <w:rsid w:val="002B132E"/>
    <w:rsid w:val="002B138E"/>
    <w:rsid w:val="002B14D2"/>
    <w:rsid w:val="002B14DB"/>
    <w:rsid w:val="002B14E7"/>
    <w:rsid w:val="002B19E6"/>
    <w:rsid w:val="002B1A22"/>
    <w:rsid w:val="002B1A62"/>
    <w:rsid w:val="002B1AB6"/>
    <w:rsid w:val="002B1B13"/>
    <w:rsid w:val="002B1BCC"/>
    <w:rsid w:val="002B1C37"/>
    <w:rsid w:val="002B1C59"/>
    <w:rsid w:val="002B1CA4"/>
    <w:rsid w:val="002B1D78"/>
    <w:rsid w:val="002B1E5B"/>
    <w:rsid w:val="002B1EF2"/>
    <w:rsid w:val="002B1F0E"/>
    <w:rsid w:val="002B1F13"/>
    <w:rsid w:val="002B2242"/>
    <w:rsid w:val="002B25F1"/>
    <w:rsid w:val="002B27EE"/>
    <w:rsid w:val="002B27FB"/>
    <w:rsid w:val="002B2819"/>
    <w:rsid w:val="002B2870"/>
    <w:rsid w:val="002B28BD"/>
    <w:rsid w:val="002B28F0"/>
    <w:rsid w:val="002B2A58"/>
    <w:rsid w:val="002B2AA7"/>
    <w:rsid w:val="002B2B17"/>
    <w:rsid w:val="002B2C13"/>
    <w:rsid w:val="002B2D16"/>
    <w:rsid w:val="002B2DBB"/>
    <w:rsid w:val="002B2E7B"/>
    <w:rsid w:val="002B3228"/>
    <w:rsid w:val="002B3265"/>
    <w:rsid w:val="002B33F3"/>
    <w:rsid w:val="002B34ED"/>
    <w:rsid w:val="002B3815"/>
    <w:rsid w:val="002B38E8"/>
    <w:rsid w:val="002B3BE0"/>
    <w:rsid w:val="002B3BF8"/>
    <w:rsid w:val="002B3C54"/>
    <w:rsid w:val="002B3DC6"/>
    <w:rsid w:val="002B4103"/>
    <w:rsid w:val="002B426F"/>
    <w:rsid w:val="002B4329"/>
    <w:rsid w:val="002B4432"/>
    <w:rsid w:val="002B445D"/>
    <w:rsid w:val="002B4639"/>
    <w:rsid w:val="002B46A0"/>
    <w:rsid w:val="002B472C"/>
    <w:rsid w:val="002B4744"/>
    <w:rsid w:val="002B47D1"/>
    <w:rsid w:val="002B484A"/>
    <w:rsid w:val="002B48D9"/>
    <w:rsid w:val="002B4BA2"/>
    <w:rsid w:val="002B4CC0"/>
    <w:rsid w:val="002B4CC1"/>
    <w:rsid w:val="002B4D05"/>
    <w:rsid w:val="002B5108"/>
    <w:rsid w:val="002B5176"/>
    <w:rsid w:val="002B51FC"/>
    <w:rsid w:val="002B5317"/>
    <w:rsid w:val="002B537C"/>
    <w:rsid w:val="002B53FE"/>
    <w:rsid w:val="002B553A"/>
    <w:rsid w:val="002B560A"/>
    <w:rsid w:val="002B586C"/>
    <w:rsid w:val="002B5874"/>
    <w:rsid w:val="002B5980"/>
    <w:rsid w:val="002B5A25"/>
    <w:rsid w:val="002B5A59"/>
    <w:rsid w:val="002B5AE8"/>
    <w:rsid w:val="002B5B9D"/>
    <w:rsid w:val="002B5BA6"/>
    <w:rsid w:val="002B5F56"/>
    <w:rsid w:val="002B601D"/>
    <w:rsid w:val="002B6367"/>
    <w:rsid w:val="002B6381"/>
    <w:rsid w:val="002B6516"/>
    <w:rsid w:val="002B6587"/>
    <w:rsid w:val="002B66EB"/>
    <w:rsid w:val="002B677B"/>
    <w:rsid w:val="002B6923"/>
    <w:rsid w:val="002B6999"/>
    <w:rsid w:val="002B6E9A"/>
    <w:rsid w:val="002B6EB0"/>
    <w:rsid w:val="002B713B"/>
    <w:rsid w:val="002B7183"/>
    <w:rsid w:val="002B736B"/>
    <w:rsid w:val="002B7448"/>
    <w:rsid w:val="002B7A19"/>
    <w:rsid w:val="002B7B94"/>
    <w:rsid w:val="002B7BBC"/>
    <w:rsid w:val="002B7C6B"/>
    <w:rsid w:val="002B7E7B"/>
    <w:rsid w:val="002B7F27"/>
    <w:rsid w:val="002C0147"/>
    <w:rsid w:val="002C0333"/>
    <w:rsid w:val="002C0357"/>
    <w:rsid w:val="002C04B4"/>
    <w:rsid w:val="002C065C"/>
    <w:rsid w:val="002C07C8"/>
    <w:rsid w:val="002C0835"/>
    <w:rsid w:val="002C0A74"/>
    <w:rsid w:val="002C0B16"/>
    <w:rsid w:val="002C0C4D"/>
    <w:rsid w:val="002C0CE5"/>
    <w:rsid w:val="002C0ED4"/>
    <w:rsid w:val="002C0F55"/>
    <w:rsid w:val="002C0F8D"/>
    <w:rsid w:val="002C0FE7"/>
    <w:rsid w:val="002C0FF0"/>
    <w:rsid w:val="002C10BC"/>
    <w:rsid w:val="002C1153"/>
    <w:rsid w:val="002C1207"/>
    <w:rsid w:val="002C14D9"/>
    <w:rsid w:val="002C1553"/>
    <w:rsid w:val="002C15A6"/>
    <w:rsid w:val="002C1617"/>
    <w:rsid w:val="002C1802"/>
    <w:rsid w:val="002C18CB"/>
    <w:rsid w:val="002C1C29"/>
    <w:rsid w:val="002C1C95"/>
    <w:rsid w:val="002C1CFB"/>
    <w:rsid w:val="002C1DAE"/>
    <w:rsid w:val="002C1EEB"/>
    <w:rsid w:val="002C1F8E"/>
    <w:rsid w:val="002C1FB3"/>
    <w:rsid w:val="002C2042"/>
    <w:rsid w:val="002C21DE"/>
    <w:rsid w:val="002C22CA"/>
    <w:rsid w:val="002C2307"/>
    <w:rsid w:val="002C235C"/>
    <w:rsid w:val="002C23B8"/>
    <w:rsid w:val="002C2527"/>
    <w:rsid w:val="002C2549"/>
    <w:rsid w:val="002C26A5"/>
    <w:rsid w:val="002C2723"/>
    <w:rsid w:val="002C2773"/>
    <w:rsid w:val="002C2873"/>
    <w:rsid w:val="002C2928"/>
    <w:rsid w:val="002C2958"/>
    <w:rsid w:val="002C29FC"/>
    <w:rsid w:val="002C2A00"/>
    <w:rsid w:val="002C2D25"/>
    <w:rsid w:val="002C2D83"/>
    <w:rsid w:val="002C2E03"/>
    <w:rsid w:val="002C2F0E"/>
    <w:rsid w:val="002C2F73"/>
    <w:rsid w:val="002C2F9F"/>
    <w:rsid w:val="002C3118"/>
    <w:rsid w:val="002C3233"/>
    <w:rsid w:val="002C34C2"/>
    <w:rsid w:val="002C3648"/>
    <w:rsid w:val="002C36B7"/>
    <w:rsid w:val="002C36FC"/>
    <w:rsid w:val="002C3940"/>
    <w:rsid w:val="002C397E"/>
    <w:rsid w:val="002C3A53"/>
    <w:rsid w:val="002C3AD3"/>
    <w:rsid w:val="002C3DA1"/>
    <w:rsid w:val="002C3E32"/>
    <w:rsid w:val="002C3EB1"/>
    <w:rsid w:val="002C3F1C"/>
    <w:rsid w:val="002C4000"/>
    <w:rsid w:val="002C403D"/>
    <w:rsid w:val="002C4382"/>
    <w:rsid w:val="002C43CE"/>
    <w:rsid w:val="002C4487"/>
    <w:rsid w:val="002C470A"/>
    <w:rsid w:val="002C47EC"/>
    <w:rsid w:val="002C4822"/>
    <w:rsid w:val="002C488B"/>
    <w:rsid w:val="002C4C19"/>
    <w:rsid w:val="002C4CD9"/>
    <w:rsid w:val="002C4DEF"/>
    <w:rsid w:val="002C4EAD"/>
    <w:rsid w:val="002C52B9"/>
    <w:rsid w:val="002C5303"/>
    <w:rsid w:val="002C540A"/>
    <w:rsid w:val="002C5467"/>
    <w:rsid w:val="002C550A"/>
    <w:rsid w:val="002C55AE"/>
    <w:rsid w:val="002C56B1"/>
    <w:rsid w:val="002C58E9"/>
    <w:rsid w:val="002C58F9"/>
    <w:rsid w:val="002C5979"/>
    <w:rsid w:val="002C5C27"/>
    <w:rsid w:val="002C5EC9"/>
    <w:rsid w:val="002C5FE5"/>
    <w:rsid w:val="002C6188"/>
    <w:rsid w:val="002C6421"/>
    <w:rsid w:val="002C647A"/>
    <w:rsid w:val="002C64AF"/>
    <w:rsid w:val="002C64C0"/>
    <w:rsid w:val="002C66FB"/>
    <w:rsid w:val="002C69E8"/>
    <w:rsid w:val="002C6B18"/>
    <w:rsid w:val="002C6CE5"/>
    <w:rsid w:val="002C6EE9"/>
    <w:rsid w:val="002C6FA6"/>
    <w:rsid w:val="002C718D"/>
    <w:rsid w:val="002C72CE"/>
    <w:rsid w:val="002C7480"/>
    <w:rsid w:val="002C78B7"/>
    <w:rsid w:val="002C799A"/>
    <w:rsid w:val="002C7A1B"/>
    <w:rsid w:val="002C7A54"/>
    <w:rsid w:val="002C7A97"/>
    <w:rsid w:val="002C7AD6"/>
    <w:rsid w:val="002C7B35"/>
    <w:rsid w:val="002C7B7B"/>
    <w:rsid w:val="002C7C21"/>
    <w:rsid w:val="002C7F73"/>
    <w:rsid w:val="002C7F80"/>
    <w:rsid w:val="002C7FE6"/>
    <w:rsid w:val="002D016F"/>
    <w:rsid w:val="002D0699"/>
    <w:rsid w:val="002D0799"/>
    <w:rsid w:val="002D07DA"/>
    <w:rsid w:val="002D086D"/>
    <w:rsid w:val="002D09C0"/>
    <w:rsid w:val="002D0E07"/>
    <w:rsid w:val="002D0E49"/>
    <w:rsid w:val="002D0E5D"/>
    <w:rsid w:val="002D1044"/>
    <w:rsid w:val="002D10BA"/>
    <w:rsid w:val="002D1223"/>
    <w:rsid w:val="002D1261"/>
    <w:rsid w:val="002D145E"/>
    <w:rsid w:val="002D1556"/>
    <w:rsid w:val="002D17D7"/>
    <w:rsid w:val="002D1890"/>
    <w:rsid w:val="002D194C"/>
    <w:rsid w:val="002D1B46"/>
    <w:rsid w:val="002D1D68"/>
    <w:rsid w:val="002D1DB2"/>
    <w:rsid w:val="002D1EF4"/>
    <w:rsid w:val="002D1FCC"/>
    <w:rsid w:val="002D242D"/>
    <w:rsid w:val="002D2494"/>
    <w:rsid w:val="002D24AE"/>
    <w:rsid w:val="002D24E8"/>
    <w:rsid w:val="002D267C"/>
    <w:rsid w:val="002D2775"/>
    <w:rsid w:val="002D2936"/>
    <w:rsid w:val="002D29F3"/>
    <w:rsid w:val="002D2B03"/>
    <w:rsid w:val="002D2C20"/>
    <w:rsid w:val="002D3123"/>
    <w:rsid w:val="002D33CA"/>
    <w:rsid w:val="002D3401"/>
    <w:rsid w:val="002D36D8"/>
    <w:rsid w:val="002D3810"/>
    <w:rsid w:val="002D385E"/>
    <w:rsid w:val="002D3A2C"/>
    <w:rsid w:val="002D3CD5"/>
    <w:rsid w:val="002D3E39"/>
    <w:rsid w:val="002D3EA4"/>
    <w:rsid w:val="002D3EED"/>
    <w:rsid w:val="002D3FE8"/>
    <w:rsid w:val="002D4611"/>
    <w:rsid w:val="002D46D0"/>
    <w:rsid w:val="002D4738"/>
    <w:rsid w:val="002D484E"/>
    <w:rsid w:val="002D492D"/>
    <w:rsid w:val="002D4B29"/>
    <w:rsid w:val="002D4D60"/>
    <w:rsid w:val="002D4F4B"/>
    <w:rsid w:val="002D4F6A"/>
    <w:rsid w:val="002D5099"/>
    <w:rsid w:val="002D5103"/>
    <w:rsid w:val="002D5180"/>
    <w:rsid w:val="002D5192"/>
    <w:rsid w:val="002D53AF"/>
    <w:rsid w:val="002D5535"/>
    <w:rsid w:val="002D5605"/>
    <w:rsid w:val="002D58B2"/>
    <w:rsid w:val="002D5928"/>
    <w:rsid w:val="002D593B"/>
    <w:rsid w:val="002D59C9"/>
    <w:rsid w:val="002D5A54"/>
    <w:rsid w:val="002D5B06"/>
    <w:rsid w:val="002D5B59"/>
    <w:rsid w:val="002D5E05"/>
    <w:rsid w:val="002D6033"/>
    <w:rsid w:val="002D6249"/>
    <w:rsid w:val="002D6434"/>
    <w:rsid w:val="002D65BC"/>
    <w:rsid w:val="002D65CB"/>
    <w:rsid w:val="002D65EF"/>
    <w:rsid w:val="002D69CA"/>
    <w:rsid w:val="002D69E2"/>
    <w:rsid w:val="002D69E8"/>
    <w:rsid w:val="002D6CDC"/>
    <w:rsid w:val="002D6D61"/>
    <w:rsid w:val="002D6E2E"/>
    <w:rsid w:val="002D6EE0"/>
    <w:rsid w:val="002D6F62"/>
    <w:rsid w:val="002D6F6A"/>
    <w:rsid w:val="002D7016"/>
    <w:rsid w:val="002D71C3"/>
    <w:rsid w:val="002D7207"/>
    <w:rsid w:val="002D7335"/>
    <w:rsid w:val="002D73DC"/>
    <w:rsid w:val="002D7408"/>
    <w:rsid w:val="002D7453"/>
    <w:rsid w:val="002D74A3"/>
    <w:rsid w:val="002D754B"/>
    <w:rsid w:val="002D75A1"/>
    <w:rsid w:val="002D75D6"/>
    <w:rsid w:val="002D766A"/>
    <w:rsid w:val="002D77F4"/>
    <w:rsid w:val="002D7853"/>
    <w:rsid w:val="002D79CA"/>
    <w:rsid w:val="002D7DF8"/>
    <w:rsid w:val="002D7EC8"/>
    <w:rsid w:val="002D7F0E"/>
    <w:rsid w:val="002D7F60"/>
    <w:rsid w:val="002D7FD4"/>
    <w:rsid w:val="002E01BA"/>
    <w:rsid w:val="002E0239"/>
    <w:rsid w:val="002E052B"/>
    <w:rsid w:val="002E0570"/>
    <w:rsid w:val="002E06B5"/>
    <w:rsid w:val="002E0908"/>
    <w:rsid w:val="002E0931"/>
    <w:rsid w:val="002E0A67"/>
    <w:rsid w:val="002E0B12"/>
    <w:rsid w:val="002E0B17"/>
    <w:rsid w:val="002E0CE9"/>
    <w:rsid w:val="002E0CF7"/>
    <w:rsid w:val="002E0DFD"/>
    <w:rsid w:val="002E0E18"/>
    <w:rsid w:val="002E0EAE"/>
    <w:rsid w:val="002E0EE0"/>
    <w:rsid w:val="002E1053"/>
    <w:rsid w:val="002E12E8"/>
    <w:rsid w:val="002E1318"/>
    <w:rsid w:val="002E1428"/>
    <w:rsid w:val="002E14EE"/>
    <w:rsid w:val="002E1711"/>
    <w:rsid w:val="002E171E"/>
    <w:rsid w:val="002E1AE5"/>
    <w:rsid w:val="002E1C9A"/>
    <w:rsid w:val="002E1CB3"/>
    <w:rsid w:val="002E1E14"/>
    <w:rsid w:val="002E1F8C"/>
    <w:rsid w:val="002E2174"/>
    <w:rsid w:val="002E2642"/>
    <w:rsid w:val="002E26A6"/>
    <w:rsid w:val="002E26DD"/>
    <w:rsid w:val="002E26E9"/>
    <w:rsid w:val="002E29C8"/>
    <w:rsid w:val="002E2B6B"/>
    <w:rsid w:val="002E2BBF"/>
    <w:rsid w:val="002E2DE7"/>
    <w:rsid w:val="002E2E31"/>
    <w:rsid w:val="002E2E55"/>
    <w:rsid w:val="002E312D"/>
    <w:rsid w:val="002E3337"/>
    <w:rsid w:val="002E3550"/>
    <w:rsid w:val="002E3584"/>
    <w:rsid w:val="002E35B1"/>
    <w:rsid w:val="002E360A"/>
    <w:rsid w:val="002E378B"/>
    <w:rsid w:val="002E37C1"/>
    <w:rsid w:val="002E383C"/>
    <w:rsid w:val="002E3848"/>
    <w:rsid w:val="002E38A7"/>
    <w:rsid w:val="002E39F2"/>
    <w:rsid w:val="002E3B8C"/>
    <w:rsid w:val="002E3BAD"/>
    <w:rsid w:val="002E3C90"/>
    <w:rsid w:val="002E3C98"/>
    <w:rsid w:val="002E43A5"/>
    <w:rsid w:val="002E43E4"/>
    <w:rsid w:val="002E451D"/>
    <w:rsid w:val="002E47D1"/>
    <w:rsid w:val="002E485F"/>
    <w:rsid w:val="002E48DB"/>
    <w:rsid w:val="002E4967"/>
    <w:rsid w:val="002E4AB6"/>
    <w:rsid w:val="002E4CA3"/>
    <w:rsid w:val="002E50D8"/>
    <w:rsid w:val="002E52DA"/>
    <w:rsid w:val="002E5396"/>
    <w:rsid w:val="002E57C6"/>
    <w:rsid w:val="002E5942"/>
    <w:rsid w:val="002E5A9F"/>
    <w:rsid w:val="002E5B5B"/>
    <w:rsid w:val="002E5BFE"/>
    <w:rsid w:val="002E5E3F"/>
    <w:rsid w:val="002E5F05"/>
    <w:rsid w:val="002E5F91"/>
    <w:rsid w:val="002E6084"/>
    <w:rsid w:val="002E608E"/>
    <w:rsid w:val="002E60BB"/>
    <w:rsid w:val="002E6BF4"/>
    <w:rsid w:val="002E6D30"/>
    <w:rsid w:val="002E6D50"/>
    <w:rsid w:val="002E6EE9"/>
    <w:rsid w:val="002E6FF3"/>
    <w:rsid w:val="002E7169"/>
    <w:rsid w:val="002E7247"/>
    <w:rsid w:val="002E730D"/>
    <w:rsid w:val="002E7403"/>
    <w:rsid w:val="002E740E"/>
    <w:rsid w:val="002E741F"/>
    <w:rsid w:val="002E755A"/>
    <w:rsid w:val="002E7572"/>
    <w:rsid w:val="002E7A30"/>
    <w:rsid w:val="002E7A7C"/>
    <w:rsid w:val="002E7ABC"/>
    <w:rsid w:val="002E7AD4"/>
    <w:rsid w:val="002E7CEB"/>
    <w:rsid w:val="002E7F25"/>
    <w:rsid w:val="002F007A"/>
    <w:rsid w:val="002F010E"/>
    <w:rsid w:val="002F0368"/>
    <w:rsid w:val="002F03F5"/>
    <w:rsid w:val="002F0479"/>
    <w:rsid w:val="002F05A8"/>
    <w:rsid w:val="002F063E"/>
    <w:rsid w:val="002F0668"/>
    <w:rsid w:val="002F072D"/>
    <w:rsid w:val="002F085F"/>
    <w:rsid w:val="002F0882"/>
    <w:rsid w:val="002F08AE"/>
    <w:rsid w:val="002F0F10"/>
    <w:rsid w:val="002F1022"/>
    <w:rsid w:val="002F1554"/>
    <w:rsid w:val="002F157E"/>
    <w:rsid w:val="002F15F9"/>
    <w:rsid w:val="002F192E"/>
    <w:rsid w:val="002F197E"/>
    <w:rsid w:val="002F1A41"/>
    <w:rsid w:val="002F1B1E"/>
    <w:rsid w:val="002F1C8A"/>
    <w:rsid w:val="002F1CC2"/>
    <w:rsid w:val="002F1D67"/>
    <w:rsid w:val="002F1F51"/>
    <w:rsid w:val="002F20A7"/>
    <w:rsid w:val="002F2100"/>
    <w:rsid w:val="002F2150"/>
    <w:rsid w:val="002F220C"/>
    <w:rsid w:val="002F2313"/>
    <w:rsid w:val="002F242B"/>
    <w:rsid w:val="002F2479"/>
    <w:rsid w:val="002F24B4"/>
    <w:rsid w:val="002F25E6"/>
    <w:rsid w:val="002F272E"/>
    <w:rsid w:val="002F2748"/>
    <w:rsid w:val="002F27CB"/>
    <w:rsid w:val="002F2CB1"/>
    <w:rsid w:val="002F2DD1"/>
    <w:rsid w:val="002F2FF4"/>
    <w:rsid w:val="002F3057"/>
    <w:rsid w:val="002F329C"/>
    <w:rsid w:val="002F3605"/>
    <w:rsid w:val="002F36D5"/>
    <w:rsid w:val="002F37A2"/>
    <w:rsid w:val="002F3864"/>
    <w:rsid w:val="002F3AB1"/>
    <w:rsid w:val="002F3BE0"/>
    <w:rsid w:val="002F3C79"/>
    <w:rsid w:val="002F3E0A"/>
    <w:rsid w:val="002F3FEE"/>
    <w:rsid w:val="002F4121"/>
    <w:rsid w:val="002F4268"/>
    <w:rsid w:val="002F4305"/>
    <w:rsid w:val="002F4318"/>
    <w:rsid w:val="002F4341"/>
    <w:rsid w:val="002F4366"/>
    <w:rsid w:val="002F4619"/>
    <w:rsid w:val="002F4641"/>
    <w:rsid w:val="002F47AF"/>
    <w:rsid w:val="002F47C1"/>
    <w:rsid w:val="002F47D8"/>
    <w:rsid w:val="002F4937"/>
    <w:rsid w:val="002F4A39"/>
    <w:rsid w:val="002F4C1B"/>
    <w:rsid w:val="002F4CA3"/>
    <w:rsid w:val="002F4EAF"/>
    <w:rsid w:val="002F4EF6"/>
    <w:rsid w:val="002F5013"/>
    <w:rsid w:val="002F501E"/>
    <w:rsid w:val="002F50AE"/>
    <w:rsid w:val="002F51D6"/>
    <w:rsid w:val="002F5328"/>
    <w:rsid w:val="002F5604"/>
    <w:rsid w:val="002F5698"/>
    <w:rsid w:val="002F572B"/>
    <w:rsid w:val="002F5873"/>
    <w:rsid w:val="002F598E"/>
    <w:rsid w:val="002F59E8"/>
    <w:rsid w:val="002F5AF3"/>
    <w:rsid w:val="002F5BD3"/>
    <w:rsid w:val="002F5CB1"/>
    <w:rsid w:val="002F5CC2"/>
    <w:rsid w:val="002F5E14"/>
    <w:rsid w:val="002F5E64"/>
    <w:rsid w:val="002F5EC5"/>
    <w:rsid w:val="002F6125"/>
    <w:rsid w:val="002F6136"/>
    <w:rsid w:val="002F62BE"/>
    <w:rsid w:val="002F633C"/>
    <w:rsid w:val="002F6475"/>
    <w:rsid w:val="002F6608"/>
    <w:rsid w:val="002F6A78"/>
    <w:rsid w:val="002F6AB4"/>
    <w:rsid w:val="002F6B34"/>
    <w:rsid w:val="002F6CFA"/>
    <w:rsid w:val="002F6D65"/>
    <w:rsid w:val="002F6ED1"/>
    <w:rsid w:val="002F6ED7"/>
    <w:rsid w:val="002F6FFB"/>
    <w:rsid w:val="002F71B4"/>
    <w:rsid w:val="002F728E"/>
    <w:rsid w:val="002F72B7"/>
    <w:rsid w:val="002F7458"/>
    <w:rsid w:val="002F74C7"/>
    <w:rsid w:val="002F74DF"/>
    <w:rsid w:val="002F7524"/>
    <w:rsid w:val="002F75D1"/>
    <w:rsid w:val="002F75F6"/>
    <w:rsid w:val="002F75F8"/>
    <w:rsid w:val="002F77CE"/>
    <w:rsid w:val="002F7A98"/>
    <w:rsid w:val="002F7C11"/>
    <w:rsid w:val="002F7C21"/>
    <w:rsid w:val="002F7CDF"/>
    <w:rsid w:val="002F7E4B"/>
    <w:rsid w:val="002F7E6E"/>
    <w:rsid w:val="002F7F14"/>
    <w:rsid w:val="002F7F71"/>
    <w:rsid w:val="00300034"/>
    <w:rsid w:val="003000D8"/>
    <w:rsid w:val="00300165"/>
    <w:rsid w:val="003001FC"/>
    <w:rsid w:val="00300391"/>
    <w:rsid w:val="00300397"/>
    <w:rsid w:val="00300534"/>
    <w:rsid w:val="00300557"/>
    <w:rsid w:val="003007F6"/>
    <w:rsid w:val="00300847"/>
    <w:rsid w:val="00300996"/>
    <w:rsid w:val="003009F5"/>
    <w:rsid w:val="00300BD0"/>
    <w:rsid w:val="00300EF3"/>
    <w:rsid w:val="00300EFC"/>
    <w:rsid w:val="00300FF9"/>
    <w:rsid w:val="0030101E"/>
    <w:rsid w:val="0030101F"/>
    <w:rsid w:val="00301164"/>
    <w:rsid w:val="00301264"/>
    <w:rsid w:val="00301319"/>
    <w:rsid w:val="0030141A"/>
    <w:rsid w:val="0030141C"/>
    <w:rsid w:val="00301443"/>
    <w:rsid w:val="003015F4"/>
    <w:rsid w:val="00301625"/>
    <w:rsid w:val="00301994"/>
    <w:rsid w:val="003019FE"/>
    <w:rsid w:val="00301A95"/>
    <w:rsid w:val="00301AE2"/>
    <w:rsid w:val="00301C2C"/>
    <w:rsid w:val="00301CB2"/>
    <w:rsid w:val="00301CB5"/>
    <w:rsid w:val="00301D2C"/>
    <w:rsid w:val="00301D85"/>
    <w:rsid w:val="00301E93"/>
    <w:rsid w:val="00301EEF"/>
    <w:rsid w:val="00302022"/>
    <w:rsid w:val="00302462"/>
    <w:rsid w:val="003027D7"/>
    <w:rsid w:val="003027EF"/>
    <w:rsid w:val="003029AC"/>
    <w:rsid w:val="00302AC8"/>
    <w:rsid w:val="00303034"/>
    <w:rsid w:val="0030312D"/>
    <w:rsid w:val="0030342E"/>
    <w:rsid w:val="0030362E"/>
    <w:rsid w:val="003036E2"/>
    <w:rsid w:val="003036F7"/>
    <w:rsid w:val="00303783"/>
    <w:rsid w:val="00303A7D"/>
    <w:rsid w:val="00303D3F"/>
    <w:rsid w:val="00303D5A"/>
    <w:rsid w:val="00303DE4"/>
    <w:rsid w:val="003040F1"/>
    <w:rsid w:val="00304140"/>
    <w:rsid w:val="00304152"/>
    <w:rsid w:val="003041DB"/>
    <w:rsid w:val="0030441D"/>
    <w:rsid w:val="0030462F"/>
    <w:rsid w:val="00304711"/>
    <w:rsid w:val="00304787"/>
    <w:rsid w:val="00304A84"/>
    <w:rsid w:val="00304A95"/>
    <w:rsid w:val="00304ACA"/>
    <w:rsid w:val="00304B0F"/>
    <w:rsid w:val="00304B66"/>
    <w:rsid w:val="00304CC8"/>
    <w:rsid w:val="00304E4B"/>
    <w:rsid w:val="00304FCB"/>
    <w:rsid w:val="003052DF"/>
    <w:rsid w:val="00305368"/>
    <w:rsid w:val="003054AE"/>
    <w:rsid w:val="003054DA"/>
    <w:rsid w:val="00305562"/>
    <w:rsid w:val="00305629"/>
    <w:rsid w:val="003059C8"/>
    <w:rsid w:val="003059CF"/>
    <w:rsid w:val="00305A2D"/>
    <w:rsid w:val="00305AD4"/>
    <w:rsid w:val="00305AFC"/>
    <w:rsid w:val="00305BF5"/>
    <w:rsid w:val="00305E14"/>
    <w:rsid w:val="00305F6D"/>
    <w:rsid w:val="00306185"/>
    <w:rsid w:val="003061B1"/>
    <w:rsid w:val="003062DB"/>
    <w:rsid w:val="00306307"/>
    <w:rsid w:val="00306367"/>
    <w:rsid w:val="003064F9"/>
    <w:rsid w:val="003065D6"/>
    <w:rsid w:val="0030660C"/>
    <w:rsid w:val="0030662D"/>
    <w:rsid w:val="003067BB"/>
    <w:rsid w:val="00306C6E"/>
    <w:rsid w:val="00306D60"/>
    <w:rsid w:val="00306FB2"/>
    <w:rsid w:val="003074BA"/>
    <w:rsid w:val="0030759A"/>
    <w:rsid w:val="0030775A"/>
    <w:rsid w:val="0030779F"/>
    <w:rsid w:val="003077FC"/>
    <w:rsid w:val="00307947"/>
    <w:rsid w:val="00307CCE"/>
    <w:rsid w:val="00307E67"/>
    <w:rsid w:val="00307ED1"/>
    <w:rsid w:val="00310088"/>
    <w:rsid w:val="003101AB"/>
    <w:rsid w:val="003101D1"/>
    <w:rsid w:val="003102FA"/>
    <w:rsid w:val="0031034B"/>
    <w:rsid w:val="0031049B"/>
    <w:rsid w:val="003106B0"/>
    <w:rsid w:val="003106B1"/>
    <w:rsid w:val="003109FA"/>
    <w:rsid w:val="00310A17"/>
    <w:rsid w:val="00310B33"/>
    <w:rsid w:val="00310B6F"/>
    <w:rsid w:val="00310C18"/>
    <w:rsid w:val="00310CC1"/>
    <w:rsid w:val="00310CEA"/>
    <w:rsid w:val="00310D12"/>
    <w:rsid w:val="00310D3C"/>
    <w:rsid w:val="00310FB6"/>
    <w:rsid w:val="0031101F"/>
    <w:rsid w:val="003111F5"/>
    <w:rsid w:val="00311506"/>
    <w:rsid w:val="003115DF"/>
    <w:rsid w:val="003117C8"/>
    <w:rsid w:val="00311995"/>
    <w:rsid w:val="003119B5"/>
    <w:rsid w:val="00311B0C"/>
    <w:rsid w:val="00311B5F"/>
    <w:rsid w:val="00311B9C"/>
    <w:rsid w:val="00311C14"/>
    <w:rsid w:val="00311F93"/>
    <w:rsid w:val="00312009"/>
    <w:rsid w:val="0031205A"/>
    <w:rsid w:val="00312318"/>
    <w:rsid w:val="00312491"/>
    <w:rsid w:val="00312499"/>
    <w:rsid w:val="003125B1"/>
    <w:rsid w:val="00312679"/>
    <w:rsid w:val="00312725"/>
    <w:rsid w:val="00312803"/>
    <w:rsid w:val="00312886"/>
    <w:rsid w:val="00312887"/>
    <w:rsid w:val="00312910"/>
    <w:rsid w:val="00312967"/>
    <w:rsid w:val="00312AF1"/>
    <w:rsid w:val="00312B32"/>
    <w:rsid w:val="00312C6F"/>
    <w:rsid w:val="00312D07"/>
    <w:rsid w:val="00312E6A"/>
    <w:rsid w:val="00312E8A"/>
    <w:rsid w:val="0031300A"/>
    <w:rsid w:val="003130E3"/>
    <w:rsid w:val="003132D4"/>
    <w:rsid w:val="00313793"/>
    <w:rsid w:val="00313831"/>
    <w:rsid w:val="00313846"/>
    <w:rsid w:val="00313AA1"/>
    <w:rsid w:val="00313B21"/>
    <w:rsid w:val="00313CD0"/>
    <w:rsid w:val="00313D9D"/>
    <w:rsid w:val="00313F72"/>
    <w:rsid w:val="0031408C"/>
    <w:rsid w:val="00314135"/>
    <w:rsid w:val="00314170"/>
    <w:rsid w:val="00314345"/>
    <w:rsid w:val="0031456A"/>
    <w:rsid w:val="0031462F"/>
    <w:rsid w:val="00314735"/>
    <w:rsid w:val="00314784"/>
    <w:rsid w:val="0031478D"/>
    <w:rsid w:val="003147AD"/>
    <w:rsid w:val="003147F3"/>
    <w:rsid w:val="00314860"/>
    <w:rsid w:val="0031498B"/>
    <w:rsid w:val="00314A59"/>
    <w:rsid w:val="00314A6D"/>
    <w:rsid w:val="00314C73"/>
    <w:rsid w:val="00314D12"/>
    <w:rsid w:val="00314D15"/>
    <w:rsid w:val="00314F03"/>
    <w:rsid w:val="00314F4D"/>
    <w:rsid w:val="00314FFB"/>
    <w:rsid w:val="003150F9"/>
    <w:rsid w:val="003151A9"/>
    <w:rsid w:val="003152A8"/>
    <w:rsid w:val="0031534A"/>
    <w:rsid w:val="00315410"/>
    <w:rsid w:val="003154C8"/>
    <w:rsid w:val="0031560A"/>
    <w:rsid w:val="00315801"/>
    <w:rsid w:val="00315815"/>
    <w:rsid w:val="00315B16"/>
    <w:rsid w:val="00315D70"/>
    <w:rsid w:val="00315E57"/>
    <w:rsid w:val="00315F4C"/>
    <w:rsid w:val="003160A7"/>
    <w:rsid w:val="00316229"/>
    <w:rsid w:val="003162DC"/>
    <w:rsid w:val="00316394"/>
    <w:rsid w:val="003163AA"/>
    <w:rsid w:val="00316432"/>
    <w:rsid w:val="0031657E"/>
    <w:rsid w:val="003165DB"/>
    <w:rsid w:val="00316610"/>
    <w:rsid w:val="0031667E"/>
    <w:rsid w:val="00316788"/>
    <w:rsid w:val="003168C0"/>
    <w:rsid w:val="003168F5"/>
    <w:rsid w:val="00316940"/>
    <w:rsid w:val="00316D0D"/>
    <w:rsid w:val="00316D6E"/>
    <w:rsid w:val="00317131"/>
    <w:rsid w:val="003171DD"/>
    <w:rsid w:val="003173EF"/>
    <w:rsid w:val="00317555"/>
    <w:rsid w:val="0031755F"/>
    <w:rsid w:val="00317590"/>
    <w:rsid w:val="003175AE"/>
    <w:rsid w:val="003176BB"/>
    <w:rsid w:val="0031790A"/>
    <w:rsid w:val="003179D4"/>
    <w:rsid w:val="00317A03"/>
    <w:rsid w:val="00317BB3"/>
    <w:rsid w:val="00317C75"/>
    <w:rsid w:val="00317E92"/>
    <w:rsid w:val="00317EC0"/>
    <w:rsid w:val="00320095"/>
    <w:rsid w:val="00320151"/>
    <w:rsid w:val="0032028F"/>
    <w:rsid w:val="003203B1"/>
    <w:rsid w:val="0032046F"/>
    <w:rsid w:val="003205C0"/>
    <w:rsid w:val="0032076B"/>
    <w:rsid w:val="0032078C"/>
    <w:rsid w:val="003207E9"/>
    <w:rsid w:val="003207F6"/>
    <w:rsid w:val="0032087F"/>
    <w:rsid w:val="00320881"/>
    <w:rsid w:val="00320C44"/>
    <w:rsid w:val="00320DE4"/>
    <w:rsid w:val="00320E9C"/>
    <w:rsid w:val="00320F60"/>
    <w:rsid w:val="00321025"/>
    <w:rsid w:val="00321076"/>
    <w:rsid w:val="00321096"/>
    <w:rsid w:val="00321099"/>
    <w:rsid w:val="00321495"/>
    <w:rsid w:val="003216A6"/>
    <w:rsid w:val="0032176E"/>
    <w:rsid w:val="0032179E"/>
    <w:rsid w:val="00321959"/>
    <w:rsid w:val="003219BD"/>
    <w:rsid w:val="00321A74"/>
    <w:rsid w:val="00321A7C"/>
    <w:rsid w:val="00321D66"/>
    <w:rsid w:val="00322041"/>
    <w:rsid w:val="00322247"/>
    <w:rsid w:val="0032238B"/>
    <w:rsid w:val="003224AE"/>
    <w:rsid w:val="0032272A"/>
    <w:rsid w:val="00322821"/>
    <w:rsid w:val="003229A6"/>
    <w:rsid w:val="00322A32"/>
    <w:rsid w:val="00322A7F"/>
    <w:rsid w:val="00322C3E"/>
    <w:rsid w:val="00322D64"/>
    <w:rsid w:val="00323073"/>
    <w:rsid w:val="0032339D"/>
    <w:rsid w:val="003233DA"/>
    <w:rsid w:val="00323610"/>
    <w:rsid w:val="0032362F"/>
    <w:rsid w:val="00323680"/>
    <w:rsid w:val="00323742"/>
    <w:rsid w:val="00323747"/>
    <w:rsid w:val="00323896"/>
    <w:rsid w:val="00323BC8"/>
    <w:rsid w:val="00323BEB"/>
    <w:rsid w:val="00323C7C"/>
    <w:rsid w:val="003240C2"/>
    <w:rsid w:val="003240C3"/>
    <w:rsid w:val="003240FA"/>
    <w:rsid w:val="00324153"/>
    <w:rsid w:val="003241FD"/>
    <w:rsid w:val="00324333"/>
    <w:rsid w:val="003243EA"/>
    <w:rsid w:val="00324662"/>
    <w:rsid w:val="0032467D"/>
    <w:rsid w:val="00324780"/>
    <w:rsid w:val="003248CD"/>
    <w:rsid w:val="003248D6"/>
    <w:rsid w:val="00324B75"/>
    <w:rsid w:val="00324B8F"/>
    <w:rsid w:val="00324E61"/>
    <w:rsid w:val="00325024"/>
    <w:rsid w:val="003251F6"/>
    <w:rsid w:val="00325241"/>
    <w:rsid w:val="00325455"/>
    <w:rsid w:val="00325B39"/>
    <w:rsid w:val="00325E33"/>
    <w:rsid w:val="00325F33"/>
    <w:rsid w:val="00325F88"/>
    <w:rsid w:val="00325FF7"/>
    <w:rsid w:val="00326163"/>
    <w:rsid w:val="0032635D"/>
    <w:rsid w:val="003263BB"/>
    <w:rsid w:val="00326435"/>
    <w:rsid w:val="003264F8"/>
    <w:rsid w:val="00326AA1"/>
    <w:rsid w:val="00326C76"/>
    <w:rsid w:val="00326D38"/>
    <w:rsid w:val="00326F30"/>
    <w:rsid w:val="00326F54"/>
    <w:rsid w:val="00327423"/>
    <w:rsid w:val="00327643"/>
    <w:rsid w:val="0032765E"/>
    <w:rsid w:val="00327729"/>
    <w:rsid w:val="00327776"/>
    <w:rsid w:val="00327A7A"/>
    <w:rsid w:val="00327A92"/>
    <w:rsid w:val="00327B4D"/>
    <w:rsid w:val="00327BAD"/>
    <w:rsid w:val="00327D2C"/>
    <w:rsid w:val="00327E72"/>
    <w:rsid w:val="0033002E"/>
    <w:rsid w:val="00330144"/>
    <w:rsid w:val="003301F0"/>
    <w:rsid w:val="003303A8"/>
    <w:rsid w:val="00330610"/>
    <w:rsid w:val="00330778"/>
    <w:rsid w:val="003307A3"/>
    <w:rsid w:val="0033080B"/>
    <w:rsid w:val="00330859"/>
    <w:rsid w:val="00330A28"/>
    <w:rsid w:val="00330ADC"/>
    <w:rsid w:val="00330AF1"/>
    <w:rsid w:val="00330B08"/>
    <w:rsid w:val="00330BF0"/>
    <w:rsid w:val="00330D43"/>
    <w:rsid w:val="00330F13"/>
    <w:rsid w:val="00331025"/>
    <w:rsid w:val="00331038"/>
    <w:rsid w:val="003312A3"/>
    <w:rsid w:val="0033145D"/>
    <w:rsid w:val="00331533"/>
    <w:rsid w:val="003316CB"/>
    <w:rsid w:val="003317BF"/>
    <w:rsid w:val="003317E8"/>
    <w:rsid w:val="003318E4"/>
    <w:rsid w:val="00331BE6"/>
    <w:rsid w:val="00331D50"/>
    <w:rsid w:val="00331DA6"/>
    <w:rsid w:val="00331ED8"/>
    <w:rsid w:val="003321EF"/>
    <w:rsid w:val="003324E8"/>
    <w:rsid w:val="003324ED"/>
    <w:rsid w:val="00332502"/>
    <w:rsid w:val="003325D7"/>
    <w:rsid w:val="00332728"/>
    <w:rsid w:val="003327AD"/>
    <w:rsid w:val="003327DE"/>
    <w:rsid w:val="00332A39"/>
    <w:rsid w:val="00332A56"/>
    <w:rsid w:val="00332A7D"/>
    <w:rsid w:val="00332CA8"/>
    <w:rsid w:val="00332ECE"/>
    <w:rsid w:val="00332F69"/>
    <w:rsid w:val="00333035"/>
    <w:rsid w:val="0033310D"/>
    <w:rsid w:val="00333390"/>
    <w:rsid w:val="003334E9"/>
    <w:rsid w:val="00333519"/>
    <w:rsid w:val="0033357A"/>
    <w:rsid w:val="003335E9"/>
    <w:rsid w:val="003336D8"/>
    <w:rsid w:val="00333BA8"/>
    <w:rsid w:val="00333C11"/>
    <w:rsid w:val="00333C3C"/>
    <w:rsid w:val="00333DAB"/>
    <w:rsid w:val="00333ED8"/>
    <w:rsid w:val="00333F12"/>
    <w:rsid w:val="003340C9"/>
    <w:rsid w:val="003341D3"/>
    <w:rsid w:val="003341E6"/>
    <w:rsid w:val="0033439C"/>
    <w:rsid w:val="0033439E"/>
    <w:rsid w:val="00334479"/>
    <w:rsid w:val="00334548"/>
    <w:rsid w:val="003346D2"/>
    <w:rsid w:val="00334A68"/>
    <w:rsid w:val="00334ACC"/>
    <w:rsid w:val="00334AD2"/>
    <w:rsid w:val="00334AE3"/>
    <w:rsid w:val="00334D15"/>
    <w:rsid w:val="00334D5B"/>
    <w:rsid w:val="00334DAE"/>
    <w:rsid w:val="00334E0B"/>
    <w:rsid w:val="00334E7B"/>
    <w:rsid w:val="00334EF2"/>
    <w:rsid w:val="003350AC"/>
    <w:rsid w:val="003350FA"/>
    <w:rsid w:val="003351ED"/>
    <w:rsid w:val="003353A6"/>
    <w:rsid w:val="00335417"/>
    <w:rsid w:val="003356AF"/>
    <w:rsid w:val="00335775"/>
    <w:rsid w:val="003358C4"/>
    <w:rsid w:val="003358D3"/>
    <w:rsid w:val="0033598D"/>
    <w:rsid w:val="00335A00"/>
    <w:rsid w:val="00335F5B"/>
    <w:rsid w:val="00336113"/>
    <w:rsid w:val="00336167"/>
    <w:rsid w:val="003361E1"/>
    <w:rsid w:val="00336357"/>
    <w:rsid w:val="00336416"/>
    <w:rsid w:val="003365B9"/>
    <w:rsid w:val="00336632"/>
    <w:rsid w:val="0033669F"/>
    <w:rsid w:val="00336829"/>
    <w:rsid w:val="00336A92"/>
    <w:rsid w:val="00336B70"/>
    <w:rsid w:val="00336CF7"/>
    <w:rsid w:val="0033708D"/>
    <w:rsid w:val="0033760D"/>
    <w:rsid w:val="003378F3"/>
    <w:rsid w:val="00337A1C"/>
    <w:rsid w:val="00337A34"/>
    <w:rsid w:val="00337B65"/>
    <w:rsid w:val="00337B8B"/>
    <w:rsid w:val="00337C0E"/>
    <w:rsid w:val="00337C9A"/>
    <w:rsid w:val="00337E9E"/>
    <w:rsid w:val="00337EB6"/>
    <w:rsid w:val="00337F37"/>
    <w:rsid w:val="00337F87"/>
    <w:rsid w:val="00337FEE"/>
    <w:rsid w:val="00340102"/>
    <w:rsid w:val="003402A2"/>
    <w:rsid w:val="003402AD"/>
    <w:rsid w:val="00340486"/>
    <w:rsid w:val="00340774"/>
    <w:rsid w:val="00340889"/>
    <w:rsid w:val="003408C7"/>
    <w:rsid w:val="003408EB"/>
    <w:rsid w:val="00340918"/>
    <w:rsid w:val="00340991"/>
    <w:rsid w:val="00340D55"/>
    <w:rsid w:val="00340EC1"/>
    <w:rsid w:val="00340FD4"/>
    <w:rsid w:val="003410DD"/>
    <w:rsid w:val="00341148"/>
    <w:rsid w:val="00341307"/>
    <w:rsid w:val="003413A2"/>
    <w:rsid w:val="003413F2"/>
    <w:rsid w:val="00341613"/>
    <w:rsid w:val="003416AC"/>
    <w:rsid w:val="00341856"/>
    <w:rsid w:val="00341AB1"/>
    <w:rsid w:val="00341D63"/>
    <w:rsid w:val="00341F0F"/>
    <w:rsid w:val="00341F3A"/>
    <w:rsid w:val="00341F5C"/>
    <w:rsid w:val="00342044"/>
    <w:rsid w:val="00342254"/>
    <w:rsid w:val="003425D9"/>
    <w:rsid w:val="00342746"/>
    <w:rsid w:val="00342814"/>
    <w:rsid w:val="00342B51"/>
    <w:rsid w:val="00342C1F"/>
    <w:rsid w:val="00342FE5"/>
    <w:rsid w:val="003430B3"/>
    <w:rsid w:val="0034318F"/>
    <w:rsid w:val="003432AE"/>
    <w:rsid w:val="003433CB"/>
    <w:rsid w:val="003436AE"/>
    <w:rsid w:val="00343848"/>
    <w:rsid w:val="0034387A"/>
    <w:rsid w:val="00343ABD"/>
    <w:rsid w:val="00343AEF"/>
    <w:rsid w:val="00343B15"/>
    <w:rsid w:val="00343BB5"/>
    <w:rsid w:val="00343BCC"/>
    <w:rsid w:val="00343CFB"/>
    <w:rsid w:val="00343DBA"/>
    <w:rsid w:val="00343EAA"/>
    <w:rsid w:val="0034401C"/>
    <w:rsid w:val="00344106"/>
    <w:rsid w:val="00344745"/>
    <w:rsid w:val="00344850"/>
    <w:rsid w:val="00344971"/>
    <w:rsid w:val="003449B0"/>
    <w:rsid w:val="00344C0D"/>
    <w:rsid w:val="00344CB6"/>
    <w:rsid w:val="00344D52"/>
    <w:rsid w:val="003450DE"/>
    <w:rsid w:val="00345367"/>
    <w:rsid w:val="003456BF"/>
    <w:rsid w:val="00345714"/>
    <w:rsid w:val="003457CC"/>
    <w:rsid w:val="00345810"/>
    <w:rsid w:val="0034582A"/>
    <w:rsid w:val="003459C2"/>
    <w:rsid w:val="00345AC8"/>
    <w:rsid w:val="00345BAE"/>
    <w:rsid w:val="00345EEB"/>
    <w:rsid w:val="00346187"/>
    <w:rsid w:val="00346409"/>
    <w:rsid w:val="003465B3"/>
    <w:rsid w:val="0034663A"/>
    <w:rsid w:val="003466B7"/>
    <w:rsid w:val="003466F5"/>
    <w:rsid w:val="003467CA"/>
    <w:rsid w:val="00346B25"/>
    <w:rsid w:val="00346D14"/>
    <w:rsid w:val="00346E56"/>
    <w:rsid w:val="00346F4B"/>
    <w:rsid w:val="00347024"/>
    <w:rsid w:val="003470C3"/>
    <w:rsid w:val="003473A4"/>
    <w:rsid w:val="00347439"/>
    <w:rsid w:val="003474C0"/>
    <w:rsid w:val="003474F1"/>
    <w:rsid w:val="00347578"/>
    <w:rsid w:val="00347601"/>
    <w:rsid w:val="0034774B"/>
    <w:rsid w:val="003477F5"/>
    <w:rsid w:val="00347916"/>
    <w:rsid w:val="00347974"/>
    <w:rsid w:val="00347995"/>
    <w:rsid w:val="00347A69"/>
    <w:rsid w:val="00347A7D"/>
    <w:rsid w:val="00347B05"/>
    <w:rsid w:val="00347D01"/>
    <w:rsid w:val="00347D46"/>
    <w:rsid w:val="00347DF4"/>
    <w:rsid w:val="00347E01"/>
    <w:rsid w:val="00347E6B"/>
    <w:rsid w:val="00347FC2"/>
    <w:rsid w:val="00350160"/>
    <w:rsid w:val="003502A6"/>
    <w:rsid w:val="00350559"/>
    <w:rsid w:val="00350620"/>
    <w:rsid w:val="00350627"/>
    <w:rsid w:val="00350657"/>
    <w:rsid w:val="00350853"/>
    <w:rsid w:val="00350896"/>
    <w:rsid w:val="003508CB"/>
    <w:rsid w:val="00350981"/>
    <w:rsid w:val="003509C6"/>
    <w:rsid w:val="00350AD8"/>
    <w:rsid w:val="00350B93"/>
    <w:rsid w:val="00350BC2"/>
    <w:rsid w:val="00350C6D"/>
    <w:rsid w:val="00350CC3"/>
    <w:rsid w:val="00350D72"/>
    <w:rsid w:val="00350D85"/>
    <w:rsid w:val="00350E13"/>
    <w:rsid w:val="0035103C"/>
    <w:rsid w:val="003510B9"/>
    <w:rsid w:val="00351222"/>
    <w:rsid w:val="00351367"/>
    <w:rsid w:val="00351568"/>
    <w:rsid w:val="003518C9"/>
    <w:rsid w:val="00351920"/>
    <w:rsid w:val="00351993"/>
    <w:rsid w:val="00351A33"/>
    <w:rsid w:val="00351C34"/>
    <w:rsid w:val="00351CE2"/>
    <w:rsid w:val="00351E09"/>
    <w:rsid w:val="00351E54"/>
    <w:rsid w:val="00351EB3"/>
    <w:rsid w:val="003521FE"/>
    <w:rsid w:val="003524C3"/>
    <w:rsid w:val="003527EB"/>
    <w:rsid w:val="00352BDC"/>
    <w:rsid w:val="00352D35"/>
    <w:rsid w:val="00352F0C"/>
    <w:rsid w:val="00353007"/>
    <w:rsid w:val="00353051"/>
    <w:rsid w:val="0035316A"/>
    <w:rsid w:val="00353315"/>
    <w:rsid w:val="00353455"/>
    <w:rsid w:val="00353587"/>
    <w:rsid w:val="003536E0"/>
    <w:rsid w:val="00353774"/>
    <w:rsid w:val="0035393A"/>
    <w:rsid w:val="00353AD9"/>
    <w:rsid w:val="00353B0C"/>
    <w:rsid w:val="00353CA0"/>
    <w:rsid w:val="00353DA6"/>
    <w:rsid w:val="0035405F"/>
    <w:rsid w:val="0035412F"/>
    <w:rsid w:val="0035414C"/>
    <w:rsid w:val="00354279"/>
    <w:rsid w:val="0035428D"/>
    <w:rsid w:val="003542FF"/>
    <w:rsid w:val="0035474F"/>
    <w:rsid w:val="003549EC"/>
    <w:rsid w:val="00354A23"/>
    <w:rsid w:val="00354AB8"/>
    <w:rsid w:val="00354AFE"/>
    <w:rsid w:val="00354B71"/>
    <w:rsid w:val="00354D26"/>
    <w:rsid w:val="003551B4"/>
    <w:rsid w:val="003552D2"/>
    <w:rsid w:val="00355352"/>
    <w:rsid w:val="0035549F"/>
    <w:rsid w:val="003555D1"/>
    <w:rsid w:val="00355690"/>
    <w:rsid w:val="003556F3"/>
    <w:rsid w:val="0035573A"/>
    <w:rsid w:val="00355790"/>
    <w:rsid w:val="00355861"/>
    <w:rsid w:val="003558EB"/>
    <w:rsid w:val="0035592F"/>
    <w:rsid w:val="00355A4C"/>
    <w:rsid w:val="00355BF2"/>
    <w:rsid w:val="00355D2B"/>
    <w:rsid w:val="00355EE3"/>
    <w:rsid w:val="00356201"/>
    <w:rsid w:val="00356480"/>
    <w:rsid w:val="0035648F"/>
    <w:rsid w:val="003564A5"/>
    <w:rsid w:val="00356517"/>
    <w:rsid w:val="00356664"/>
    <w:rsid w:val="00356666"/>
    <w:rsid w:val="0035669E"/>
    <w:rsid w:val="003566E2"/>
    <w:rsid w:val="0035670E"/>
    <w:rsid w:val="00356721"/>
    <w:rsid w:val="00356786"/>
    <w:rsid w:val="003567B2"/>
    <w:rsid w:val="00356845"/>
    <w:rsid w:val="00356994"/>
    <w:rsid w:val="00356B2D"/>
    <w:rsid w:val="00356C53"/>
    <w:rsid w:val="00356E97"/>
    <w:rsid w:val="00356F9E"/>
    <w:rsid w:val="00356FE1"/>
    <w:rsid w:val="00357216"/>
    <w:rsid w:val="003573F4"/>
    <w:rsid w:val="003574C5"/>
    <w:rsid w:val="00357509"/>
    <w:rsid w:val="00357977"/>
    <w:rsid w:val="003579B4"/>
    <w:rsid w:val="003579BE"/>
    <w:rsid w:val="00357B3B"/>
    <w:rsid w:val="00357BF7"/>
    <w:rsid w:val="00357C44"/>
    <w:rsid w:val="00357D86"/>
    <w:rsid w:val="00357F9B"/>
    <w:rsid w:val="00360268"/>
    <w:rsid w:val="00360327"/>
    <w:rsid w:val="003605B4"/>
    <w:rsid w:val="003607A7"/>
    <w:rsid w:val="00360A10"/>
    <w:rsid w:val="00360DF7"/>
    <w:rsid w:val="003610B6"/>
    <w:rsid w:val="003610BA"/>
    <w:rsid w:val="0036118F"/>
    <w:rsid w:val="0036119E"/>
    <w:rsid w:val="0036134F"/>
    <w:rsid w:val="003614BF"/>
    <w:rsid w:val="00361526"/>
    <w:rsid w:val="00361704"/>
    <w:rsid w:val="00361A1E"/>
    <w:rsid w:val="00361A27"/>
    <w:rsid w:val="00361A3D"/>
    <w:rsid w:val="00361A68"/>
    <w:rsid w:val="00361BE5"/>
    <w:rsid w:val="00361DED"/>
    <w:rsid w:val="00361E5D"/>
    <w:rsid w:val="00361EB5"/>
    <w:rsid w:val="003620E8"/>
    <w:rsid w:val="00362309"/>
    <w:rsid w:val="003623BB"/>
    <w:rsid w:val="0036254F"/>
    <w:rsid w:val="003625E7"/>
    <w:rsid w:val="00362871"/>
    <w:rsid w:val="003628E4"/>
    <w:rsid w:val="00362987"/>
    <w:rsid w:val="00362D08"/>
    <w:rsid w:val="00362D15"/>
    <w:rsid w:val="00362E8B"/>
    <w:rsid w:val="00362F74"/>
    <w:rsid w:val="00362F79"/>
    <w:rsid w:val="0036303B"/>
    <w:rsid w:val="00363083"/>
    <w:rsid w:val="00363196"/>
    <w:rsid w:val="0036335F"/>
    <w:rsid w:val="00363397"/>
    <w:rsid w:val="00363455"/>
    <w:rsid w:val="00363487"/>
    <w:rsid w:val="00363578"/>
    <w:rsid w:val="0036385A"/>
    <w:rsid w:val="00363873"/>
    <w:rsid w:val="00363B5F"/>
    <w:rsid w:val="00363BA0"/>
    <w:rsid w:val="00363F33"/>
    <w:rsid w:val="00364309"/>
    <w:rsid w:val="00364522"/>
    <w:rsid w:val="003648B3"/>
    <w:rsid w:val="003648B9"/>
    <w:rsid w:val="00364C0B"/>
    <w:rsid w:val="00364D7B"/>
    <w:rsid w:val="00364E5C"/>
    <w:rsid w:val="00364EAC"/>
    <w:rsid w:val="00364EF4"/>
    <w:rsid w:val="00364FA0"/>
    <w:rsid w:val="0036518F"/>
    <w:rsid w:val="003651B2"/>
    <w:rsid w:val="00365520"/>
    <w:rsid w:val="00365637"/>
    <w:rsid w:val="00365650"/>
    <w:rsid w:val="00365683"/>
    <w:rsid w:val="003656C6"/>
    <w:rsid w:val="003656E4"/>
    <w:rsid w:val="00365CD7"/>
    <w:rsid w:val="00365D85"/>
    <w:rsid w:val="00365F06"/>
    <w:rsid w:val="00365F92"/>
    <w:rsid w:val="003660DB"/>
    <w:rsid w:val="003662CF"/>
    <w:rsid w:val="00366659"/>
    <w:rsid w:val="0036677D"/>
    <w:rsid w:val="00366C10"/>
    <w:rsid w:val="00366DC6"/>
    <w:rsid w:val="00366ED2"/>
    <w:rsid w:val="00367106"/>
    <w:rsid w:val="00367136"/>
    <w:rsid w:val="00367148"/>
    <w:rsid w:val="00367263"/>
    <w:rsid w:val="0036739D"/>
    <w:rsid w:val="003674C7"/>
    <w:rsid w:val="0036765E"/>
    <w:rsid w:val="003676D9"/>
    <w:rsid w:val="00367921"/>
    <w:rsid w:val="00367B41"/>
    <w:rsid w:val="00367C7C"/>
    <w:rsid w:val="00367E0A"/>
    <w:rsid w:val="00367F5C"/>
    <w:rsid w:val="003704DA"/>
    <w:rsid w:val="003705BF"/>
    <w:rsid w:val="0037069A"/>
    <w:rsid w:val="003706DF"/>
    <w:rsid w:val="00370800"/>
    <w:rsid w:val="00370AF7"/>
    <w:rsid w:val="00370B98"/>
    <w:rsid w:val="00370BB9"/>
    <w:rsid w:val="00370D13"/>
    <w:rsid w:val="00371122"/>
    <w:rsid w:val="00371139"/>
    <w:rsid w:val="003714D9"/>
    <w:rsid w:val="00371730"/>
    <w:rsid w:val="003717CD"/>
    <w:rsid w:val="00371811"/>
    <w:rsid w:val="00371878"/>
    <w:rsid w:val="003719AA"/>
    <w:rsid w:val="003719F5"/>
    <w:rsid w:val="00371CEB"/>
    <w:rsid w:val="0037209D"/>
    <w:rsid w:val="003722D6"/>
    <w:rsid w:val="00372311"/>
    <w:rsid w:val="00372337"/>
    <w:rsid w:val="00372814"/>
    <w:rsid w:val="00372864"/>
    <w:rsid w:val="003728AF"/>
    <w:rsid w:val="00372941"/>
    <w:rsid w:val="00372B1B"/>
    <w:rsid w:val="00372DD1"/>
    <w:rsid w:val="00372F77"/>
    <w:rsid w:val="00372F9C"/>
    <w:rsid w:val="00373034"/>
    <w:rsid w:val="003733DC"/>
    <w:rsid w:val="00373413"/>
    <w:rsid w:val="0037372E"/>
    <w:rsid w:val="00373768"/>
    <w:rsid w:val="003739A9"/>
    <w:rsid w:val="00373A0B"/>
    <w:rsid w:val="00373A5A"/>
    <w:rsid w:val="00373BB1"/>
    <w:rsid w:val="00373C38"/>
    <w:rsid w:val="00373C7A"/>
    <w:rsid w:val="00373D34"/>
    <w:rsid w:val="00373E36"/>
    <w:rsid w:val="003741D5"/>
    <w:rsid w:val="003743EB"/>
    <w:rsid w:val="003744D4"/>
    <w:rsid w:val="00374669"/>
    <w:rsid w:val="003746BF"/>
    <w:rsid w:val="003747DD"/>
    <w:rsid w:val="003747EA"/>
    <w:rsid w:val="00374832"/>
    <w:rsid w:val="003748B2"/>
    <w:rsid w:val="00374A73"/>
    <w:rsid w:val="00374C19"/>
    <w:rsid w:val="00374EDC"/>
    <w:rsid w:val="003750F7"/>
    <w:rsid w:val="0037517E"/>
    <w:rsid w:val="003751D7"/>
    <w:rsid w:val="00375279"/>
    <w:rsid w:val="003752D8"/>
    <w:rsid w:val="0037536D"/>
    <w:rsid w:val="003754E5"/>
    <w:rsid w:val="0037553B"/>
    <w:rsid w:val="0037560F"/>
    <w:rsid w:val="00375833"/>
    <w:rsid w:val="00375B59"/>
    <w:rsid w:val="00375BB6"/>
    <w:rsid w:val="00375C01"/>
    <w:rsid w:val="00375EC9"/>
    <w:rsid w:val="00375F7E"/>
    <w:rsid w:val="0037611E"/>
    <w:rsid w:val="0037626A"/>
    <w:rsid w:val="0037629E"/>
    <w:rsid w:val="003762A3"/>
    <w:rsid w:val="00376331"/>
    <w:rsid w:val="0037639E"/>
    <w:rsid w:val="003764FA"/>
    <w:rsid w:val="0037653C"/>
    <w:rsid w:val="003765F1"/>
    <w:rsid w:val="00376658"/>
    <w:rsid w:val="003767C1"/>
    <w:rsid w:val="00376B7B"/>
    <w:rsid w:val="00376BE1"/>
    <w:rsid w:val="00376C95"/>
    <w:rsid w:val="00376CD7"/>
    <w:rsid w:val="00376E03"/>
    <w:rsid w:val="00376E7D"/>
    <w:rsid w:val="00376F35"/>
    <w:rsid w:val="00377132"/>
    <w:rsid w:val="00377554"/>
    <w:rsid w:val="003776E2"/>
    <w:rsid w:val="00377808"/>
    <w:rsid w:val="00377BFB"/>
    <w:rsid w:val="00377CD9"/>
    <w:rsid w:val="00377F8B"/>
    <w:rsid w:val="0038022B"/>
    <w:rsid w:val="00380250"/>
    <w:rsid w:val="00380524"/>
    <w:rsid w:val="00380743"/>
    <w:rsid w:val="00380898"/>
    <w:rsid w:val="00380BF3"/>
    <w:rsid w:val="00380CC0"/>
    <w:rsid w:val="003811DE"/>
    <w:rsid w:val="00381217"/>
    <w:rsid w:val="003812CF"/>
    <w:rsid w:val="003814E3"/>
    <w:rsid w:val="003814E7"/>
    <w:rsid w:val="003816B0"/>
    <w:rsid w:val="00381729"/>
    <w:rsid w:val="0038174A"/>
    <w:rsid w:val="003818C6"/>
    <w:rsid w:val="003819FF"/>
    <w:rsid w:val="00381BA1"/>
    <w:rsid w:val="00381CAF"/>
    <w:rsid w:val="00381E05"/>
    <w:rsid w:val="00381E8B"/>
    <w:rsid w:val="00381F6B"/>
    <w:rsid w:val="00381FA3"/>
    <w:rsid w:val="0038208B"/>
    <w:rsid w:val="0038250D"/>
    <w:rsid w:val="00382883"/>
    <w:rsid w:val="003828C5"/>
    <w:rsid w:val="00382A63"/>
    <w:rsid w:val="00382F2C"/>
    <w:rsid w:val="00382F37"/>
    <w:rsid w:val="00382FBE"/>
    <w:rsid w:val="00383088"/>
    <w:rsid w:val="00383111"/>
    <w:rsid w:val="0038313D"/>
    <w:rsid w:val="0038321F"/>
    <w:rsid w:val="00383283"/>
    <w:rsid w:val="0038328E"/>
    <w:rsid w:val="003833AC"/>
    <w:rsid w:val="0038346B"/>
    <w:rsid w:val="003835F5"/>
    <w:rsid w:val="003836B3"/>
    <w:rsid w:val="003838D0"/>
    <w:rsid w:val="003839BA"/>
    <w:rsid w:val="00383B2C"/>
    <w:rsid w:val="00383C8F"/>
    <w:rsid w:val="00383D3B"/>
    <w:rsid w:val="00383FD9"/>
    <w:rsid w:val="003841B9"/>
    <w:rsid w:val="003842AB"/>
    <w:rsid w:val="0038437B"/>
    <w:rsid w:val="00384440"/>
    <w:rsid w:val="00384716"/>
    <w:rsid w:val="00384790"/>
    <w:rsid w:val="00384A85"/>
    <w:rsid w:val="00384B9E"/>
    <w:rsid w:val="00384EFB"/>
    <w:rsid w:val="00384F13"/>
    <w:rsid w:val="00384F3F"/>
    <w:rsid w:val="00384F79"/>
    <w:rsid w:val="00384F9C"/>
    <w:rsid w:val="00384FB7"/>
    <w:rsid w:val="003850C0"/>
    <w:rsid w:val="00385122"/>
    <w:rsid w:val="00385154"/>
    <w:rsid w:val="00385195"/>
    <w:rsid w:val="00385384"/>
    <w:rsid w:val="00385417"/>
    <w:rsid w:val="0038541D"/>
    <w:rsid w:val="003854D7"/>
    <w:rsid w:val="00385501"/>
    <w:rsid w:val="0038552E"/>
    <w:rsid w:val="00385706"/>
    <w:rsid w:val="00385C34"/>
    <w:rsid w:val="00385C3D"/>
    <w:rsid w:val="00385DD5"/>
    <w:rsid w:val="00385E7F"/>
    <w:rsid w:val="00385EFD"/>
    <w:rsid w:val="00385F62"/>
    <w:rsid w:val="00385FB2"/>
    <w:rsid w:val="003860D1"/>
    <w:rsid w:val="00386230"/>
    <w:rsid w:val="0038629B"/>
    <w:rsid w:val="00386425"/>
    <w:rsid w:val="00386540"/>
    <w:rsid w:val="00386901"/>
    <w:rsid w:val="0038690F"/>
    <w:rsid w:val="00386CA4"/>
    <w:rsid w:val="00386CC3"/>
    <w:rsid w:val="00386D54"/>
    <w:rsid w:val="00386DF2"/>
    <w:rsid w:val="0038722F"/>
    <w:rsid w:val="003872E2"/>
    <w:rsid w:val="00387375"/>
    <w:rsid w:val="0038737D"/>
    <w:rsid w:val="00387426"/>
    <w:rsid w:val="0038744E"/>
    <w:rsid w:val="0038745F"/>
    <w:rsid w:val="00387506"/>
    <w:rsid w:val="003875E2"/>
    <w:rsid w:val="0038766A"/>
    <w:rsid w:val="00387678"/>
    <w:rsid w:val="003876ED"/>
    <w:rsid w:val="0038772B"/>
    <w:rsid w:val="003877E0"/>
    <w:rsid w:val="00387810"/>
    <w:rsid w:val="00387A97"/>
    <w:rsid w:val="00387C1E"/>
    <w:rsid w:val="00387F20"/>
    <w:rsid w:val="00390200"/>
    <w:rsid w:val="00390313"/>
    <w:rsid w:val="00390657"/>
    <w:rsid w:val="00390724"/>
    <w:rsid w:val="00390AA5"/>
    <w:rsid w:val="00390B8C"/>
    <w:rsid w:val="00390D75"/>
    <w:rsid w:val="00390F20"/>
    <w:rsid w:val="003910A9"/>
    <w:rsid w:val="00391146"/>
    <w:rsid w:val="00391179"/>
    <w:rsid w:val="00391235"/>
    <w:rsid w:val="003913C3"/>
    <w:rsid w:val="00391428"/>
    <w:rsid w:val="0039162F"/>
    <w:rsid w:val="00391695"/>
    <w:rsid w:val="00391796"/>
    <w:rsid w:val="00391CAC"/>
    <w:rsid w:val="00391CBB"/>
    <w:rsid w:val="00391ECF"/>
    <w:rsid w:val="00391F5A"/>
    <w:rsid w:val="00391FF2"/>
    <w:rsid w:val="00392452"/>
    <w:rsid w:val="0039247A"/>
    <w:rsid w:val="003924FC"/>
    <w:rsid w:val="003925BE"/>
    <w:rsid w:val="00392981"/>
    <w:rsid w:val="00392F99"/>
    <w:rsid w:val="00393097"/>
    <w:rsid w:val="0039338E"/>
    <w:rsid w:val="0039339B"/>
    <w:rsid w:val="003933CD"/>
    <w:rsid w:val="0039349E"/>
    <w:rsid w:val="00393949"/>
    <w:rsid w:val="00393A1E"/>
    <w:rsid w:val="00393AAA"/>
    <w:rsid w:val="00393AFA"/>
    <w:rsid w:val="00393BB9"/>
    <w:rsid w:val="00393D1C"/>
    <w:rsid w:val="00393DBF"/>
    <w:rsid w:val="00393E46"/>
    <w:rsid w:val="00393FB1"/>
    <w:rsid w:val="00394364"/>
    <w:rsid w:val="0039437F"/>
    <w:rsid w:val="00394681"/>
    <w:rsid w:val="00394722"/>
    <w:rsid w:val="00394746"/>
    <w:rsid w:val="003948BA"/>
    <w:rsid w:val="003948C2"/>
    <w:rsid w:val="00394977"/>
    <w:rsid w:val="003949FA"/>
    <w:rsid w:val="00394D8B"/>
    <w:rsid w:val="00394F03"/>
    <w:rsid w:val="00395011"/>
    <w:rsid w:val="0039507B"/>
    <w:rsid w:val="00395556"/>
    <w:rsid w:val="0039558E"/>
    <w:rsid w:val="003956C7"/>
    <w:rsid w:val="003957A4"/>
    <w:rsid w:val="00395A4D"/>
    <w:rsid w:val="00395BCA"/>
    <w:rsid w:val="00395C55"/>
    <w:rsid w:val="00395C92"/>
    <w:rsid w:val="003961B4"/>
    <w:rsid w:val="00396395"/>
    <w:rsid w:val="00396488"/>
    <w:rsid w:val="00396496"/>
    <w:rsid w:val="0039649F"/>
    <w:rsid w:val="003964E1"/>
    <w:rsid w:val="0039658F"/>
    <w:rsid w:val="00396751"/>
    <w:rsid w:val="003967AB"/>
    <w:rsid w:val="003969A8"/>
    <w:rsid w:val="00396A50"/>
    <w:rsid w:val="00396B44"/>
    <w:rsid w:val="00396E72"/>
    <w:rsid w:val="003971CD"/>
    <w:rsid w:val="0039720D"/>
    <w:rsid w:val="0039723C"/>
    <w:rsid w:val="003972C0"/>
    <w:rsid w:val="003972D3"/>
    <w:rsid w:val="003974B0"/>
    <w:rsid w:val="0039761A"/>
    <w:rsid w:val="0039779A"/>
    <w:rsid w:val="003977FE"/>
    <w:rsid w:val="00397C8C"/>
    <w:rsid w:val="00397DF9"/>
    <w:rsid w:val="003A018C"/>
    <w:rsid w:val="003A02DA"/>
    <w:rsid w:val="003A036D"/>
    <w:rsid w:val="003A03DE"/>
    <w:rsid w:val="003A04B4"/>
    <w:rsid w:val="003A09AE"/>
    <w:rsid w:val="003A0A6F"/>
    <w:rsid w:val="003A0B1E"/>
    <w:rsid w:val="003A0DC1"/>
    <w:rsid w:val="003A0F6F"/>
    <w:rsid w:val="003A1251"/>
    <w:rsid w:val="003A15C0"/>
    <w:rsid w:val="003A16B7"/>
    <w:rsid w:val="003A16B9"/>
    <w:rsid w:val="003A16C2"/>
    <w:rsid w:val="003A172C"/>
    <w:rsid w:val="003A186F"/>
    <w:rsid w:val="003A1A6E"/>
    <w:rsid w:val="003A1BA4"/>
    <w:rsid w:val="003A2163"/>
    <w:rsid w:val="003A233C"/>
    <w:rsid w:val="003A2485"/>
    <w:rsid w:val="003A270D"/>
    <w:rsid w:val="003A279A"/>
    <w:rsid w:val="003A287E"/>
    <w:rsid w:val="003A297F"/>
    <w:rsid w:val="003A2B50"/>
    <w:rsid w:val="003A3614"/>
    <w:rsid w:val="003A36A6"/>
    <w:rsid w:val="003A36AC"/>
    <w:rsid w:val="003A371D"/>
    <w:rsid w:val="003A3868"/>
    <w:rsid w:val="003A3A9B"/>
    <w:rsid w:val="003A3C26"/>
    <w:rsid w:val="003A3D1E"/>
    <w:rsid w:val="003A3F8B"/>
    <w:rsid w:val="003A3FAD"/>
    <w:rsid w:val="003A408A"/>
    <w:rsid w:val="003A418B"/>
    <w:rsid w:val="003A44A2"/>
    <w:rsid w:val="003A451B"/>
    <w:rsid w:val="003A453D"/>
    <w:rsid w:val="003A4714"/>
    <w:rsid w:val="003A47C0"/>
    <w:rsid w:val="003A4C3C"/>
    <w:rsid w:val="003A5388"/>
    <w:rsid w:val="003A5496"/>
    <w:rsid w:val="003A54E3"/>
    <w:rsid w:val="003A5507"/>
    <w:rsid w:val="003A565E"/>
    <w:rsid w:val="003A5A0B"/>
    <w:rsid w:val="003A5A98"/>
    <w:rsid w:val="003A5B2D"/>
    <w:rsid w:val="003A5B49"/>
    <w:rsid w:val="003A5BC2"/>
    <w:rsid w:val="003A5C0B"/>
    <w:rsid w:val="003A5C5A"/>
    <w:rsid w:val="003A5D1B"/>
    <w:rsid w:val="003A5FD8"/>
    <w:rsid w:val="003A60D2"/>
    <w:rsid w:val="003A617A"/>
    <w:rsid w:val="003A6276"/>
    <w:rsid w:val="003A6391"/>
    <w:rsid w:val="003A6521"/>
    <w:rsid w:val="003A6664"/>
    <w:rsid w:val="003A66D2"/>
    <w:rsid w:val="003A66F4"/>
    <w:rsid w:val="003A67E9"/>
    <w:rsid w:val="003A67F0"/>
    <w:rsid w:val="003A691E"/>
    <w:rsid w:val="003A69E4"/>
    <w:rsid w:val="003A6A1D"/>
    <w:rsid w:val="003A6A35"/>
    <w:rsid w:val="003A6C97"/>
    <w:rsid w:val="003A6D4C"/>
    <w:rsid w:val="003A6E65"/>
    <w:rsid w:val="003A6ED0"/>
    <w:rsid w:val="003A6FE1"/>
    <w:rsid w:val="003A702D"/>
    <w:rsid w:val="003A732C"/>
    <w:rsid w:val="003A769C"/>
    <w:rsid w:val="003A769D"/>
    <w:rsid w:val="003A76E5"/>
    <w:rsid w:val="003A777F"/>
    <w:rsid w:val="003A7B58"/>
    <w:rsid w:val="003A7C1E"/>
    <w:rsid w:val="003A7CEE"/>
    <w:rsid w:val="003A7DF9"/>
    <w:rsid w:val="003A7ED0"/>
    <w:rsid w:val="003A7F4F"/>
    <w:rsid w:val="003B0048"/>
    <w:rsid w:val="003B01DD"/>
    <w:rsid w:val="003B01E5"/>
    <w:rsid w:val="003B03D1"/>
    <w:rsid w:val="003B03D7"/>
    <w:rsid w:val="003B0623"/>
    <w:rsid w:val="003B06D7"/>
    <w:rsid w:val="003B071E"/>
    <w:rsid w:val="003B078C"/>
    <w:rsid w:val="003B0867"/>
    <w:rsid w:val="003B08D1"/>
    <w:rsid w:val="003B0A04"/>
    <w:rsid w:val="003B0C0B"/>
    <w:rsid w:val="003B0C79"/>
    <w:rsid w:val="003B0CAA"/>
    <w:rsid w:val="003B0E99"/>
    <w:rsid w:val="003B1105"/>
    <w:rsid w:val="003B1156"/>
    <w:rsid w:val="003B117F"/>
    <w:rsid w:val="003B119A"/>
    <w:rsid w:val="003B133D"/>
    <w:rsid w:val="003B13C7"/>
    <w:rsid w:val="003B1421"/>
    <w:rsid w:val="003B15AE"/>
    <w:rsid w:val="003B15E1"/>
    <w:rsid w:val="003B1660"/>
    <w:rsid w:val="003B1748"/>
    <w:rsid w:val="003B18AC"/>
    <w:rsid w:val="003B18CE"/>
    <w:rsid w:val="003B1C98"/>
    <w:rsid w:val="003B1E6A"/>
    <w:rsid w:val="003B1F03"/>
    <w:rsid w:val="003B209A"/>
    <w:rsid w:val="003B209E"/>
    <w:rsid w:val="003B2354"/>
    <w:rsid w:val="003B23DB"/>
    <w:rsid w:val="003B23F7"/>
    <w:rsid w:val="003B240C"/>
    <w:rsid w:val="003B26F9"/>
    <w:rsid w:val="003B2998"/>
    <w:rsid w:val="003B2ABE"/>
    <w:rsid w:val="003B2D07"/>
    <w:rsid w:val="003B2D5E"/>
    <w:rsid w:val="003B2EF2"/>
    <w:rsid w:val="003B311B"/>
    <w:rsid w:val="003B32A4"/>
    <w:rsid w:val="003B3491"/>
    <w:rsid w:val="003B3937"/>
    <w:rsid w:val="003B3B0A"/>
    <w:rsid w:val="003B3C9D"/>
    <w:rsid w:val="003B3DC8"/>
    <w:rsid w:val="003B3E31"/>
    <w:rsid w:val="003B3EB4"/>
    <w:rsid w:val="003B3EDE"/>
    <w:rsid w:val="003B3F63"/>
    <w:rsid w:val="003B3F7C"/>
    <w:rsid w:val="003B4137"/>
    <w:rsid w:val="003B4146"/>
    <w:rsid w:val="003B46F4"/>
    <w:rsid w:val="003B470E"/>
    <w:rsid w:val="003B4711"/>
    <w:rsid w:val="003B48FC"/>
    <w:rsid w:val="003B4E70"/>
    <w:rsid w:val="003B4E71"/>
    <w:rsid w:val="003B4F04"/>
    <w:rsid w:val="003B4F26"/>
    <w:rsid w:val="003B4FCC"/>
    <w:rsid w:val="003B5192"/>
    <w:rsid w:val="003B523E"/>
    <w:rsid w:val="003B536C"/>
    <w:rsid w:val="003B577D"/>
    <w:rsid w:val="003B57B4"/>
    <w:rsid w:val="003B57CB"/>
    <w:rsid w:val="003B58CA"/>
    <w:rsid w:val="003B58D2"/>
    <w:rsid w:val="003B5901"/>
    <w:rsid w:val="003B5A2E"/>
    <w:rsid w:val="003B5B40"/>
    <w:rsid w:val="003B5BD8"/>
    <w:rsid w:val="003B5C23"/>
    <w:rsid w:val="003B5D53"/>
    <w:rsid w:val="003B5DC7"/>
    <w:rsid w:val="003B5F61"/>
    <w:rsid w:val="003B5FE7"/>
    <w:rsid w:val="003B6282"/>
    <w:rsid w:val="003B66A5"/>
    <w:rsid w:val="003B68A3"/>
    <w:rsid w:val="003B68A5"/>
    <w:rsid w:val="003B68C3"/>
    <w:rsid w:val="003B69A7"/>
    <w:rsid w:val="003B69CC"/>
    <w:rsid w:val="003B6AB4"/>
    <w:rsid w:val="003B6F76"/>
    <w:rsid w:val="003B70AA"/>
    <w:rsid w:val="003B7243"/>
    <w:rsid w:val="003B72AD"/>
    <w:rsid w:val="003B75FB"/>
    <w:rsid w:val="003B771E"/>
    <w:rsid w:val="003B7B11"/>
    <w:rsid w:val="003C0069"/>
    <w:rsid w:val="003C00C0"/>
    <w:rsid w:val="003C00E2"/>
    <w:rsid w:val="003C013A"/>
    <w:rsid w:val="003C0198"/>
    <w:rsid w:val="003C019D"/>
    <w:rsid w:val="003C02FC"/>
    <w:rsid w:val="003C02FF"/>
    <w:rsid w:val="003C03E6"/>
    <w:rsid w:val="003C06B5"/>
    <w:rsid w:val="003C08EF"/>
    <w:rsid w:val="003C094F"/>
    <w:rsid w:val="003C0A57"/>
    <w:rsid w:val="003C0FCF"/>
    <w:rsid w:val="003C107E"/>
    <w:rsid w:val="003C1570"/>
    <w:rsid w:val="003C16F8"/>
    <w:rsid w:val="003C1A8E"/>
    <w:rsid w:val="003C2081"/>
    <w:rsid w:val="003C210B"/>
    <w:rsid w:val="003C212A"/>
    <w:rsid w:val="003C215B"/>
    <w:rsid w:val="003C21C3"/>
    <w:rsid w:val="003C23C2"/>
    <w:rsid w:val="003C2490"/>
    <w:rsid w:val="003C2496"/>
    <w:rsid w:val="003C24D0"/>
    <w:rsid w:val="003C25BF"/>
    <w:rsid w:val="003C25F0"/>
    <w:rsid w:val="003C2615"/>
    <w:rsid w:val="003C2751"/>
    <w:rsid w:val="003C279D"/>
    <w:rsid w:val="003C2815"/>
    <w:rsid w:val="003C2AF1"/>
    <w:rsid w:val="003C2C73"/>
    <w:rsid w:val="003C2CB8"/>
    <w:rsid w:val="003C2EDF"/>
    <w:rsid w:val="003C2EF1"/>
    <w:rsid w:val="003C321B"/>
    <w:rsid w:val="003C321E"/>
    <w:rsid w:val="003C366F"/>
    <w:rsid w:val="003C37BC"/>
    <w:rsid w:val="003C39A2"/>
    <w:rsid w:val="003C3C1C"/>
    <w:rsid w:val="003C3C22"/>
    <w:rsid w:val="003C3D7D"/>
    <w:rsid w:val="003C3F3C"/>
    <w:rsid w:val="003C3FE4"/>
    <w:rsid w:val="003C408E"/>
    <w:rsid w:val="003C40E9"/>
    <w:rsid w:val="003C417D"/>
    <w:rsid w:val="003C41A1"/>
    <w:rsid w:val="003C41C0"/>
    <w:rsid w:val="003C429A"/>
    <w:rsid w:val="003C4482"/>
    <w:rsid w:val="003C45A9"/>
    <w:rsid w:val="003C4880"/>
    <w:rsid w:val="003C4949"/>
    <w:rsid w:val="003C4B2C"/>
    <w:rsid w:val="003C4B7D"/>
    <w:rsid w:val="003C4F16"/>
    <w:rsid w:val="003C4FBF"/>
    <w:rsid w:val="003C504A"/>
    <w:rsid w:val="003C5261"/>
    <w:rsid w:val="003C52E7"/>
    <w:rsid w:val="003C5673"/>
    <w:rsid w:val="003C59E1"/>
    <w:rsid w:val="003C5ADF"/>
    <w:rsid w:val="003C5B5D"/>
    <w:rsid w:val="003C5B91"/>
    <w:rsid w:val="003C5BEC"/>
    <w:rsid w:val="003C5C99"/>
    <w:rsid w:val="003C5DB1"/>
    <w:rsid w:val="003C5DDE"/>
    <w:rsid w:val="003C5E12"/>
    <w:rsid w:val="003C5E5D"/>
    <w:rsid w:val="003C6312"/>
    <w:rsid w:val="003C6636"/>
    <w:rsid w:val="003C678A"/>
    <w:rsid w:val="003C6877"/>
    <w:rsid w:val="003C68BC"/>
    <w:rsid w:val="003C693E"/>
    <w:rsid w:val="003C6A45"/>
    <w:rsid w:val="003C6C36"/>
    <w:rsid w:val="003C6C8C"/>
    <w:rsid w:val="003C6DCD"/>
    <w:rsid w:val="003C6EEF"/>
    <w:rsid w:val="003C7017"/>
    <w:rsid w:val="003C72A2"/>
    <w:rsid w:val="003C7495"/>
    <w:rsid w:val="003C7526"/>
    <w:rsid w:val="003C75F4"/>
    <w:rsid w:val="003C7930"/>
    <w:rsid w:val="003C7940"/>
    <w:rsid w:val="003C7AF8"/>
    <w:rsid w:val="003C7B0D"/>
    <w:rsid w:val="003C7C53"/>
    <w:rsid w:val="003C7D43"/>
    <w:rsid w:val="003C7DEF"/>
    <w:rsid w:val="003C7FCC"/>
    <w:rsid w:val="003D00F9"/>
    <w:rsid w:val="003D02DD"/>
    <w:rsid w:val="003D0432"/>
    <w:rsid w:val="003D0757"/>
    <w:rsid w:val="003D0785"/>
    <w:rsid w:val="003D082F"/>
    <w:rsid w:val="003D0D0C"/>
    <w:rsid w:val="003D0D28"/>
    <w:rsid w:val="003D0F12"/>
    <w:rsid w:val="003D0F5D"/>
    <w:rsid w:val="003D0F6A"/>
    <w:rsid w:val="003D0F8F"/>
    <w:rsid w:val="003D10F9"/>
    <w:rsid w:val="003D1442"/>
    <w:rsid w:val="003D14C9"/>
    <w:rsid w:val="003D14E4"/>
    <w:rsid w:val="003D1529"/>
    <w:rsid w:val="003D164C"/>
    <w:rsid w:val="003D1752"/>
    <w:rsid w:val="003D1981"/>
    <w:rsid w:val="003D19F6"/>
    <w:rsid w:val="003D1ACC"/>
    <w:rsid w:val="003D1B13"/>
    <w:rsid w:val="003D1B8E"/>
    <w:rsid w:val="003D1C39"/>
    <w:rsid w:val="003D1C3A"/>
    <w:rsid w:val="003D1C55"/>
    <w:rsid w:val="003D1D48"/>
    <w:rsid w:val="003D1DEF"/>
    <w:rsid w:val="003D1EE1"/>
    <w:rsid w:val="003D1F00"/>
    <w:rsid w:val="003D1FFC"/>
    <w:rsid w:val="003D20E0"/>
    <w:rsid w:val="003D2228"/>
    <w:rsid w:val="003D2456"/>
    <w:rsid w:val="003D261F"/>
    <w:rsid w:val="003D2657"/>
    <w:rsid w:val="003D27B2"/>
    <w:rsid w:val="003D2A05"/>
    <w:rsid w:val="003D2A6E"/>
    <w:rsid w:val="003D2ADC"/>
    <w:rsid w:val="003D2B59"/>
    <w:rsid w:val="003D2DB9"/>
    <w:rsid w:val="003D2E60"/>
    <w:rsid w:val="003D2EC3"/>
    <w:rsid w:val="003D3050"/>
    <w:rsid w:val="003D308F"/>
    <w:rsid w:val="003D3136"/>
    <w:rsid w:val="003D313E"/>
    <w:rsid w:val="003D3242"/>
    <w:rsid w:val="003D324D"/>
    <w:rsid w:val="003D358E"/>
    <w:rsid w:val="003D3A15"/>
    <w:rsid w:val="003D3A2B"/>
    <w:rsid w:val="003D3A69"/>
    <w:rsid w:val="003D3E4B"/>
    <w:rsid w:val="003D3EDE"/>
    <w:rsid w:val="003D3FFD"/>
    <w:rsid w:val="003D42CB"/>
    <w:rsid w:val="003D42E0"/>
    <w:rsid w:val="003D430C"/>
    <w:rsid w:val="003D4399"/>
    <w:rsid w:val="003D46E8"/>
    <w:rsid w:val="003D478E"/>
    <w:rsid w:val="003D47C9"/>
    <w:rsid w:val="003D4E33"/>
    <w:rsid w:val="003D4E83"/>
    <w:rsid w:val="003D5187"/>
    <w:rsid w:val="003D518B"/>
    <w:rsid w:val="003D525C"/>
    <w:rsid w:val="003D53B1"/>
    <w:rsid w:val="003D53EF"/>
    <w:rsid w:val="003D550E"/>
    <w:rsid w:val="003D5551"/>
    <w:rsid w:val="003D5577"/>
    <w:rsid w:val="003D566C"/>
    <w:rsid w:val="003D57DA"/>
    <w:rsid w:val="003D58CF"/>
    <w:rsid w:val="003D5C75"/>
    <w:rsid w:val="003D5CC0"/>
    <w:rsid w:val="003D5E8A"/>
    <w:rsid w:val="003D5EC9"/>
    <w:rsid w:val="003D5F51"/>
    <w:rsid w:val="003D6017"/>
    <w:rsid w:val="003D6041"/>
    <w:rsid w:val="003D615A"/>
    <w:rsid w:val="003D64AD"/>
    <w:rsid w:val="003D6542"/>
    <w:rsid w:val="003D671C"/>
    <w:rsid w:val="003D6727"/>
    <w:rsid w:val="003D6730"/>
    <w:rsid w:val="003D6783"/>
    <w:rsid w:val="003D6AD1"/>
    <w:rsid w:val="003D6B7E"/>
    <w:rsid w:val="003D6BF7"/>
    <w:rsid w:val="003D6C2E"/>
    <w:rsid w:val="003D6EC1"/>
    <w:rsid w:val="003D6F07"/>
    <w:rsid w:val="003D6F48"/>
    <w:rsid w:val="003D706F"/>
    <w:rsid w:val="003D710A"/>
    <w:rsid w:val="003D730D"/>
    <w:rsid w:val="003D731A"/>
    <w:rsid w:val="003D73D9"/>
    <w:rsid w:val="003D78F1"/>
    <w:rsid w:val="003D7936"/>
    <w:rsid w:val="003D79E3"/>
    <w:rsid w:val="003D79F3"/>
    <w:rsid w:val="003D7B35"/>
    <w:rsid w:val="003D7C07"/>
    <w:rsid w:val="003D7CC4"/>
    <w:rsid w:val="003D7D09"/>
    <w:rsid w:val="003D7D91"/>
    <w:rsid w:val="003D7F02"/>
    <w:rsid w:val="003E00F8"/>
    <w:rsid w:val="003E0119"/>
    <w:rsid w:val="003E017F"/>
    <w:rsid w:val="003E0191"/>
    <w:rsid w:val="003E01E6"/>
    <w:rsid w:val="003E0338"/>
    <w:rsid w:val="003E038D"/>
    <w:rsid w:val="003E0464"/>
    <w:rsid w:val="003E072C"/>
    <w:rsid w:val="003E0A74"/>
    <w:rsid w:val="003E0B04"/>
    <w:rsid w:val="003E0DD6"/>
    <w:rsid w:val="003E0E29"/>
    <w:rsid w:val="003E0E53"/>
    <w:rsid w:val="003E0F26"/>
    <w:rsid w:val="003E0F8D"/>
    <w:rsid w:val="003E0FCB"/>
    <w:rsid w:val="003E117D"/>
    <w:rsid w:val="003E11B3"/>
    <w:rsid w:val="003E12B0"/>
    <w:rsid w:val="003E1407"/>
    <w:rsid w:val="003E1472"/>
    <w:rsid w:val="003E1508"/>
    <w:rsid w:val="003E1ACB"/>
    <w:rsid w:val="003E1D23"/>
    <w:rsid w:val="003E1D67"/>
    <w:rsid w:val="003E1EE6"/>
    <w:rsid w:val="003E1FC6"/>
    <w:rsid w:val="003E205E"/>
    <w:rsid w:val="003E212A"/>
    <w:rsid w:val="003E2231"/>
    <w:rsid w:val="003E238D"/>
    <w:rsid w:val="003E249D"/>
    <w:rsid w:val="003E25FB"/>
    <w:rsid w:val="003E26B0"/>
    <w:rsid w:val="003E26BA"/>
    <w:rsid w:val="003E26D9"/>
    <w:rsid w:val="003E271C"/>
    <w:rsid w:val="003E2730"/>
    <w:rsid w:val="003E2A1F"/>
    <w:rsid w:val="003E2B52"/>
    <w:rsid w:val="003E2CCE"/>
    <w:rsid w:val="003E2D4A"/>
    <w:rsid w:val="003E2D82"/>
    <w:rsid w:val="003E2F1B"/>
    <w:rsid w:val="003E2F33"/>
    <w:rsid w:val="003E2F3F"/>
    <w:rsid w:val="003E2F75"/>
    <w:rsid w:val="003E3132"/>
    <w:rsid w:val="003E325A"/>
    <w:rsid w:val="003E32DE"/>
    <w:rsid w:val="003E33C0"/>
    <w:rsid w:val="003E343C"/>
    <w:rsid w:val="003E3528"/>
    <w:rsid w:val="003E3761"/>
    <w:rsid w:val="003E38D0"/>
    <w:rsid w:val="003E3A00"/>
    <w:rsid w:val="003E3AA1"/>
    <w:rsid w:val="003E3B0A"/>
    <w:rsid w:val="003E3B15"/>
    <w:rsid w:val="003E3B5C"/>
    <w:rsid w:val="003E3CDB"/>
    <w:rsid w:val="003E4057"/>
    <w:rsid w:val="003E4146"/>
    <w:rsid w:val="003E42B6"/>
    <w:rsid w:val="003E42F7"/>
    <w:rsid w:val="003E43C3"/>
    <w:rsid w:val="003E4403"/>
    <w:rsid w:val="003E44CC"/>
    <w:rsid w:val="003E498B"/>
    <w:rsid w:val="003E4DF5"/>
    <w:rsid w:val="003E4F34"/>
    <w:rsid w:val="003E5270"/>
    <w:rsid w:val="003E542A"/>
    <w:rsid w:val="003E54AF"/>
    <w:rsid w:val="003E5523"/>
    <w:rsid w:val="003E5552"/>
    <w:rsid w:val="003E56D5"/>
    <w:rsid w:val="003E5729"/>
    <w:rsid w:val="003E5AA6"/>
    <w:rsid w:val="003E5C1C"/>
    <w:rsid w:val="003E5C29"/>
    <w:rsid w:val="003E5E5A"/>
    <w:rsid w:val="003E5F3B"/>
    <w:rsid w:val="003E612E"/>
    <w:rsid w:val="003E620C"/>
    <w:rsid w:val="003E6211"/>
    <w:rsid w:val="003E6239"/>
    <w:rsid w:val="003E62A0"/>
    <w:rsid w:val="003E66B6"/>
    <w:rsid w:val="003E69AB"/>
    <w:rsid w:val="003E6AAA"/>
    <w:rsid w:val="003E6BE4"/>
    <w:rsid w:val="003E6BEF"/>
    <w:rsid w:val="003E6D46"/>
    <w:rsid w:val="003E6DFA"/>
    <w:rsid w:val="003E6E00"/>
    <w:rsid w:val="003E6E8C"/>
    <w:rsid w:val="003E72DB"/>
    <w:rsid w:val="003E73CA"/>
    <w:rsid w:val="003E778E"/>
    <w:rsid w:val="003E7BD0"/>
    <w:rsid w:val="003E7C0E"/>
    <w:rsid w:val="003E7C52"/>
    <w:rsid w:val="003E7D60"/>
    <w:rsid w:val="003E7EA2"/>
    <w:rsid w:val="003F004A"/>
    <w:rsid w:val="003F013A"/>
    <w:rsid w:val="003F01FE"/>
    <w:rsid w:val="003F02B3"/>
    <w:rsid w:val="003F03A7"/>
    <w:rsid w:val="003F03F0"/>
    <w:rsid w:val="003F06FE"/>
    <w:rsid w:val="003F07AD"/>
    <w:rsid w:val="003F07BE"/>
    <w:rsid w:val="003F0817"/>
    <w:rsid w:val="003F08D7"/>
    <w:rsid w:val="003F0B50"/>
    <w:rsid w:val="003F0D27"/>
    <w:rsid w:val="003F0E2D"/>
    <w:rsid w:val="003F0E9F"/>
    <w:rsid w:val="003F10FE"/>
    <w:rsid w:val="003F115D"/>
    <w:rsid w:val="003F12B6"/>
    <w:rsid w:val="003F150A"/>
    <w:rsid w:val="003F16E9"/>
    <w:rsid w:val="003F1759"/>
    <w:rsid w:val="003F18A8"/>
    <w:rsid w:val="003F1927"/>
    <w:rsid w:val="003F1B25"/>
    <w:rsid w:val="003F1CF9"/>
    <w:rsid w:val="003F1E26"/>
    <w:rsid w:val="003F1ED9"/>
    <w:rsid w:val="003F1F8C"/>
    <w:rsid w:val="003F210C"/>
    <w:rsid w:val="003F2280"/>
    <w:rsid w:val="003F2334"/>
    <w:rsid w:val="003F240D"/>
    <w:rsid w:val="003F245A"/>
    <w:rsid w:val="003F276F"/>
    <w:rsid w:val="003F2B00"/>
    <w:rsid w:val="003F2E0F"/>
    <w:rsid w:val="003F2E83"/>
    <w:rsid w:val="003F2F80"/>
    <w:rsid w:val="003F3060"/>
    <w:rsid w:val="003F30F9"/>
    <w:rsid w:val="003F317E"/>
    <w:rsid w:val="003F3226"/>
    <w:rsid w:val="003F322C"/>
    <w:rsid w:val="003F32E0"/>
    <w:rsid w:val="003F331E"/>
    <w:rsid w:val="003F33B0"/>
    <w:rsid w:val="003F3505"/>
    <w:rsid w:val="003F3569"/>
    <w:rsid w:val="003F3C71"/>
    <w:rsid w:val="003F3C85"/>
    <w:rsid w:val="003F3EE5"/>
    <w:rsid w:val="003F3F7C"/>
    <w:rsid w:val="003F3FA8"/>
    <w:rsid w:val="003F4016"/>
    <w:rsid w:val="003F4091"/>
    <w:rsid w:val="003F4181"/>
    <w:rsid w:val="003F41B2"/>
    <w:rsid w:val="003F41E6"/>
    <w:rsid w:val="003F4275"/>
    <w:rsid w:val="003F42C6"/>
    <w:rsid w:val="003F4414"/>
    <w:rsid w:val="003F484C"/>
    <w:rsid w:val="003F48EF"/>
    <w:rsid w:val="003F493F"/>
    <w:rsid w:val="003F494D"/>
    <w:rsid w:val="003F4AA0"/>
    <w:rsid w:val="003F4ABE"/>
    <w:rsid w:val="003F4C26"/>
    <w:rsid w:val="003F4C2A"/>
    <w:rsid w:val="003F4DA2"/>
    <w:rsid w:val="003F52CD"/>
    <w:rsid w:val="003F5377"/>
    <w:rsid w:val="003F545D"/>
    <w:rsid w:val="003F5463"/>
    <w:rsid w:val="003F565A"/>
    <w:rsid w:val="003F56BD"/>
    <w:rsid w:val="003F56F0"/>
    <w:rsid w:val="003F588B"/>
    <w:rsid w:val="003F58C5"/>
    <w:rsid w:val="003F5A42"/>
    <w:rsid w:val="003F5C63"/>
    <w:rsid w:val="003F5D96"/>
    <w:rsid w:val="003F5E2E"/>
    <w:rsid w:val="003F5EAE"/>
    <w:rsid w:val="003F607E"/>
    <w:rsid w:val="003F61D2"/>
    <w:rsid w:val="003F6418"/>
    <w:rsid w:val="003F65EB"/>
    <w:rsid w:val="003F6892"/>
    <w:rsid w:val="003F69AF"/>
    <w:rsid w:val="003F6A8A"/>
    <w:rsid w:val="003F6B43"/>
    <w:rsid w:val="003F6B44"/>
    <w:rsid w:val="003F6DFA"/>
    <w:rsid w:val="003F6E80"/>
    <w:rsid w:val="003F6F7C"/>
    <w:rsid w:val="003F6F81"/>
    <w:rsid w:val="003F6FE5"/>
    <w:rsid w:val="003F703A"/>
    <w:rsid w:val="003F7082"/>
    <w:rsid w:val="003F716A"/>
    <w:rsid w:val="003F71B4"/>
    <w:rsid w:val="003F728E"/>
    <w:rsid w:val="003F7353"/>
    <w:rsid w:val="003F74A7"/>
    <w:rsid w:val="003F74AD"/>
    <w:rsid w:val="003F7504"/>
    <w:rsid w:val="003F7744"/>
    <w:rsid w:val="003F7822"/>
    <w:rsid w:val="003F7842"/>
    <w:rsid w:val="003F793D"/>
    <w:rsid w:val="003F795B"/>
    <w:rsid w:val="003F7DF0"/>
    <w:rsid w:val="003F7FD2"/>
    <w:rsid w:val="00400014"/>
    <w:rsid w:val="004000BB"/>
    <w:rsid w:val="004003F4"/>
    <w:rsid w:val="0040044B"/>
    <w:rsid w:val="0040045E"/>
    <w:rsid w:val="0040083A"/>
    <w:rsid w:val="00400875"/>
    <w:rsid w:val="00400877"/>
    <w:rsid w:val="00400924"/>
    <w:rsid w:val="00400A5C"/>
    <w:rsid w:val="00400C83"/>
    <w:rsid w:val="00400DC8"/>
    <w:rsid w:val="00400E3B"/>
    <w:rsid w:val="004015A3"/>
    <w:rsid w:val="004015BE"/>
    <w:rsid w:val="00401602"/>
    <w:rsid w:val="0040171E"/>
    <w:rsid w:val="004017AD"/>
    <w:rsid w:val="004017F4"/>
    <w:rsid w:val="0040180D"/>
    <w:rsid w:val="00401914"/>
    <w:rsid w:val="00401BD9"/>
    <w:rsid w:val="00401C10"/>
    <w:rsid w:val="00401F5A"/>
    <w:rsid w:val="00402040"/>
    <w:rsid w:val="00402045"/>
    <w:rsid w:val="004020A1"/>
    <w:rsid w:val="004020A2"/>
    <w:rsid w:val="004023F9"/>
    <w:rsid w:val="00402494"/>
    <w:rsid w:val="004024BE"/>
    <w:rsid w:val="00402583"/>
    <w:rsid w:val="004025DD"/>
    <w:rsid w:val="0040270C"/>
    <w:rsid w:val="0040272C"/>
    <w:rsid w:val="00402826"/>
    <w:rsid w:val="00402948"/>
    <w:rsid w:val="00402A08"/>
    <w:rsid w:val="00402C44"/>
    <w:rsid w:val="00402C76"/>
    <w:rsid w:val="00402D53"/>
    <w:rsid w:val="00402D96"/>
    <w:rsid w:val="00402F19"/>
    <w:rsid w:val="00402F28"/>
    <w:rsid w:val="00402F47"/>
    <w:rsid w:val="004030E0"/>
    <w:rsid w:val="00403351"/>
    <w:rsid w:val="004033A8"/>
    <w:rsid w:val="00403429"/>
    <w:rsid w:val="0040344C"/>
    <w:rsid w:val="004039D6"/>
    <w:rsid w:val="00403A13"/>
    <w:rsid w:val="00403C3F"/>
    <w:rsid w:val="00404176"/>
    <w:rsid w:val="004041C0"/>
    <w:rsid w:val="0040431B"/>
    <w:rsid w:val="004043B5"/>
    <w:rsid w:val="004045D7"/>
    <w:rsid w:val="00404B35"/>
    <w:rsid w:val="00404CAD"/>
    <w:rsid w:val="00404F1D"/>
    <w:rsid w:val="00405226"/>
    <w:rsid w:val="0040528A"/>
    <w:rsid w:val="00405357"/>
    <w:rsid w:val="004053D4"/>
    <w:rsid w:val="0040571C"/>
    <w:rsid w:val="00405980"/>
    <w:rsid w:val="00405AE8"/>
    <w:rsid w:val="00405B00"/>
    <w:rsid w:val="0040604E"/>
    <w:rsid w:val="00406189"/>
    <w:rsid w:val="004061B2"/>
    <w:rsid w:val="00406311"/>
    <w:rsid w:val="00406338"/>
    <w:rsid w:val="0040652D"/>
    <w:rsid w:val="00406656"/>
    <w:rsid w:val="00406790"/>
    <w:rsid w:val="004068DF"/>
    <w:rsid w:val="0040691A"/>
    <w:rsid w:val="004069E1"/>
    <w:rsid w:val="00406A15"/>
    <w:rsid w:val="00406A23"/>
    <w:rsid w:val="00406A9A"/>
    <w:rsid w:val="00406ABC"/>
    <w:rsid w:val="00406B17"/>
    <w:rsid w:val="00406CAD"/>
    <w:rsid w:val="00406DF1"/>
    <w:rsid w:val="00407238"/>
    <w:rsid w:val="0040753B"/>
    <w:rsid w:val="00407677"/>
    <w:rsid w:val="00407702"/>
    <w:rsid w:val="00407732"/>
    <w:rsid w:val="0040777E"/>
    <w:rsid w:val="004078D0"/>
    <w:rsid w:val="004078D3"/>
    <w:rsid w:val="0040795A"/>
    <w:rsid w:val="00407C22"/>
    <w:rsid w:val="00407D71"/>
    <w:rsid w:val="00407F39"/>
    <w:rsid w:val="004101A4"/>
    <w:rsid w:val="0041046F"/>
    <w:rsid w:val="004104FB"/>
    <w:rsid w:val="00410964"/>
    <w:rsid w:val="00410B3E"/>
    <w:rsid w:val="00410BD1"/>
    <w:rsid w:val="00410C65"/>
    <w:rsid w:val="00410EB3"/>
    <w:rsid w:val="0041101C"/>
    <w:rsid w:val="0041105D"/>
    <w:rsid w:val="004111D8"/>
    <w:rsid w:val="00411256"/>
    <w:rsid w:val="00411476"/>
    <w:rsid w:val="00411520"/>
    <w:rsid w:val="00411551"/>
    <w:rsid w:val="004116CB"/>
    <w:rsid w:val="004117B8"/>
    <w:rsid w:val="00411980"/>
    <w:rsid w:val="00411BD1"/>
    <w:rsid w:val="00411BF1"/>
    <w:rsid w:val="00411C25"/>
    <w:rsid w:val="00411EA1"/>
    <w:rsid w:val="004120CC"/>
    <w:rsid w:val="004120D3"/>
    <w:rsid w:val="00412148"/>
    <w:rsid w:val="00412155"/>
    <w:rsid w:val="004122D4"/>
    <w:rsid w:val="0041234A"/>
    <w:rsid w:val="004123FC"/>
    <w:rsid w:val="004125BD"/>
    <w:rsid w:val="00412841"/>
    <w:rsid w:val="00412870"/>
    <w:rsid w:val="004128C4"/>
    <w:rsid w:val="00412BCF"/>
    <w:rsid w:val="00412C9A"/>
    <w:rsid w:val="00412CE5"/>
    <w:rsid w:val="00412DA7"/>
    <w:rsid w:val="00412DB3"/>
    <w:rsid w:val="00412F04"/>
    <w:rsid w:val="00412F54"/>
    <w:rsid w:val="00412F71"/>
    <w:rsid w:val="00412F7D"/>
    <w:rsid w:val="0041324A"/>
    <w:rsid w:val="004132C8"/>
    <w:rsid w:val="00413319"/>
    <w:rsid w:val="004134AC"/>
    <w:rsid w:val="0041367B"/>
    <w:rsid w:val="00413700"/>
    <w:rsid w:val="00413791"/>
    <w:rsid w:val="00413A2E"/>
    <w:rsid w:val="00413A54"/>
    <w:rsid w:val="00413A5D"/>
    <w:rsid w:val="00413E23"/>
    <w:rsid w:val="00413F75"/>
    <w:rsid w:val="00414305"/>
    <w:rsid w:val="00414440"/>
    <w:rsid w:val="00414448"/>
    <w:rsid w:val="00414479"/>
    <w:rsid w:val="00414569"/>
    <w:rsid w:val="00414612"/>
    <w:rsid w:val="004147CA"/>
    <w:rsid w:val="0041486D"/>
    <w:rsid w:val="0041499A"/>
    <w:rsid w:val="00414A69"/>
    <w:rsid w:val="00414ACF"/>
    <w:rsid w:val="00414BF7"/>
    <w:rsid w:val="00414DC2"/>
    <w:rsid w:val="0041513D"/>
    <w:rsid w:val="00415173"/>
    <w:rsid w:val="00415690"/>
    <w:rsid w:val="0041569C"/>
    <w:rsid w:val="004156A6"/>
    <w:rsid w:val="004156D6"/>
    <w:rsid w:val="004157B4"/>
    <w:rsid w:val="004157F1"/>
    <w:rsid w:val="0041582D"/>
    <w:rsid w:val="004158BD"/>
    <w:rsid w:val="0041597F"/>
    <w:rsid w:val="00415989"/>
    <w:rsid w:val="00415BEF"/>
    <w:rsid w:val="00415C2D"/>
    <w:rsid w:val="00415D2C"/>
    <w:rsid w:val="00415D97"/>
    <w:rsid w:val="00415E80"/>
    <w:rsid w:val="00415EB8"/>
    <w:rsid w:val="0041608A"/>
    <w:rsid w:val="004161B3"/>
    <w:rsid w:val="004161C9"/>
    <w:rsid w:val="00416208"/>
    <w:rsid w:val="00416275"/>
    <w:rsid w:val="00416356"/>
    <w:rsid w:val="00416513"/>
    <w:rsid w:val="00416589"/>
    <w:rsid w:val="004167F5"/>
    <w:rsid w:val="00416931"/>
    <w:rsid w:val="004169B0"/>
    <w:rsid w:val="00416A1C"/>
    <w:rsid w:val="00416AEC"/>
    <w:rsid w:val="00416AF1"/>
    <w:rsid w:val="00416B23"/>
    <w:rsid w:val="00416BAC"/>
    <w:rsid w:val="00416C89"/>
    <w:rsid w:val="00416D79"/>
    <w:rsid w:val="00416E4D"/>
    <w:rsid w:val="00416F65"/>
    <w:rsid w:val="00417049"/>
    <w:rsid w:val="004170D3"/>
    <w:rsid w:val="004170FA"/>
    <w:rsid w:val="0041741E"/>
    <w:rsid w:val="00417445"/>
    <w:rsid w:val="00417491"/>
    <w:rsid w:val="004174CC"/>
    <w:rsid w:val="004175CC"/>
    <w:rsid w:val="0041770F"/>
    <w:rsid w:val="00417804"/>
    <w:rsid w:val="004179FF"/>
    <w:rsid w:val="00417A40"/>
    <w:rsid w:val="00417CA4"/>
    <w:rsid w:val="00420005"/>
    <w:rsid w:val="00420128"/>
    <w:rsid w:val="004201F8"/>
    <w:rsid w:val="00420209"/>
    <w:rsid w:val="0042022D"/>
    <w:rsid w:val="00420249"/>
    <w:rsid w:val="004202AD"/>
    <w:rsid w:val="004204DB"/>
    <w:rsid w:val="00420541"/>
    <w:rsid w:val="004205D5"/>
    <w:rsid w:val="004205FE"/>
    <w:rsid w:val="0042068D"/>
    <w:rsid w:val="0042068E"/>
    <w:rsid w:val="004206ED"/>
    <w:rsid w:val="00420862"/>
    <w:rsid w:val="004208E8"/>
    <w:rsid w:val="00420906"/>
    <w:rsid w:val="00420973"/>
    <w:rsid w:val="00420B85"/>
    <w:rsid w:val="00420C2B"/>
    <w:rsid w:val="00420C6C"/>
    <w:rsid w:val="00420CE2"/>
    <w:rsid w:val="00420F27"/>
    <w:rsid w:val="00420F55"/>
    <w:rsid w:val="00421003"/>
    <w:rsid w:val="00421043"/>
    <w:rsid w:val="00421173"/>
    <w:rsid w:val="004211F1"/>
    <w:rsid w:val="0042134A"/>
    <w:rsid w:val="0042136D"/>
    <w:rsid w:val="0042163C"/>
    <w:rsid w:val="004217B1"/>
    <w:rsid w:val="004217E8"/>
    <w:rsid w:val="004218D2"/>
    <w:rsid w:val="0042190C"/>
    <w:rsid w:val="004219B5"/>
    <w:rsid w:val="00421AB2"/>
    <w:rsid w:val="00421B7E"/>
    <w:rsid w:val="00421F57"/>
    <w:rsid w:val="004220BA"/>
    <w:rsid w:val="0042212F"/>
    <w:rsid w:val="00422130"/>
    <w:rsid w:val="0042228A"/>
    <w:rsid w:val="00422995"/>
    <w:rsid w:val="00422A7A"/>
    <w:rsid w:val="00422B2A"/>
    <w:rsid w:val="00422C49"/>
    <w:rsid w:val="00422C65"/>
    <w:rsid w:val="00422C7B"/>
    <w:rsid w:val="0042301E"/>
    <w:rsid w:val="00423237"/>
    <w:rsid w:val="00423372"/>
    <w:rsid w:val="004233C2"/>
    <w:rsid w:val="004234A9"/>
    <w:rsid w:val="00423548"/>
    <w:rsid w:val="004235CA"/>
    <w:rsid w:val="004238CF"/>
    <w:rsid w:val="004239C9"/>
    <w:rsid w:val="00423A5D"/>
    <w:rsid w:val="00423A9A"/>
    <w:rsid w:val="00423C19"/>
    <w:rsid w:val="00423CFA"/>
    <w:rsid w:val="00423D52"/>
    <w:rsid w:val="004240D1"/>
    <w:rsid w:val="004243BE"/>
    <w:rsid w:val="004244D0"/>
    <w:rsid w:val="00424660"/>
    <w:rsid w:val="0042475B"/>
    <w:rsid w:val="004247E0"/>
    <w:rsid w:val="004248C5"/>
    <w:rsid w:val="00424C2F"/>
    <w:rsid w:val="00424E45"/>
    <w:rsid w:val="00424FEB"/>
    <w:rsid w:val="00425054"/>
    <w:rsid w:val="00425410"/>
    <w:rsid w:val="00425464"/>
    <w:rsid w:val="00425498"/>
    <w:rsid w:val="00425640"/>
    <w:rsid w:val="00425649"/>
    <w:rsid w:val="0042583C"/>
    <w:rsid w:val="0042587A"/>
    <w:rsid w:val="00425AF6"/>
    <w:rsid w:val="00425D39"/>
    <w:rsid w:val="00425D5B"/>
    <w:rsid w:val="00425D78"/>
    <w:rsid w:val="00425F6A"/>
    <w:rsid w:val="00426285"/>
    <w:rsid w:val="0042651D"/>
    <w:rsid w:val="00426547"/>
    <w:rsid w:val="0042671E"/>
    <w:rsid w:val="00426757"/>
    <w:rsid w:val="00426855"/>
    <w:rsid w:val="004269BF"/>
    <w:rsid w:val="00426B6D"/>
    <w:rsid w:val="0042721A"/>
    <w:rsid w:val="004277B5"/>
    <w:rsid w:val="004277F8"/>
    <w:rsid w:val="004279B6"/>
    <w:rsid w:val="00427A05"/>
    <w:rsid w:val="00427A7C"/>
    <w:rsid w:val="00427D32"/>
    <w:rsid w:val="00427E32"/>
    <w:rsid w:val="00427E53"/>
    <w:rsid w:val="00427FB2"/>
    <w:rsid w:val="0043004E"/>
    <w:rsid w:val="00430079"/>
    <w:rsid w:val="00430355"/>
    <w:rsid w:val="0043047B"/>
    <w:rsid w:val="004305B6"/>
    <w:rsid w:val="004308B4"/>
    <w:rsid w:val="00430900"/>
    <w:rsid w:val="00430A3F"/>
    <w:rsid w:val="00430E68"/>
    <w:rsid w:val="004310BD"/>
    <w:rsid w:val="00431140"/>
    <w:rsid w:val="00431207"/>
    <w:rsid w:val="0043123F"/>
    <w:rsid w:val="004312EE"/>
    <w:rsid w:val="00431359"/>
    <w:rsid w:val="00431575"/>
    <w:rsid w:val="004315D6"/>
    <w:rsid w:val="00431773"/>
    <w:rsid w:val="00432056"/>
    <w:rsid w:val="00432079"/>
    <w:rsid w:val="004322F9"/>
    <w:rsid w:val="004323F4"/>
    <w:rsid w:val="004324C4"/>
    <w:rsid w:val="00432623"/>
    <w:rsid w:val="00432637"/>
    <w:rsid w:val="00432638"/>
    <w:rsid w:val="00432921"/>
    <w:rsid w:val="004329FF"/>
    <w:rsid w:val="00432B4D"/>
    <w:rsid w:val="00432CCA"/>
    <w:rsid w:val="00432FB7"/>
    <w:rsid w:val="00433033"/>
    <w:rsid w:val="004331A0"/>
    <w:rsid w:val="004332A2"/>
    <w:rsid w:val="004332B5"/>
    <w:rsid w:val="004332F0"/>
    <w:rsid w:val="0043342F"/>
    <w:rsid w:val="004334C4"/>
    <w:rsid w:val="004334DF"/>
    <w:rsid w:val="004335DA"/>
    <w:rsid w:val="00433701"/>
    <w:rsid w:val="0043394D"/>
    <w:rsid w:val="00433B0D"/>
    <w:rsid w:val="00433C6E"/>
    <w:rsid w:val="00433C80"/>
    <w:rsid w:val="00433D4A"/>
    <w:rsid w:val="00433D97"/>
    <w:rsid w:val="0043410E"/>
    <w:rsid w:val="0043413D"/>
    <w:rsid w:val="0043417E"/>
    <w:rsid w:val="00434476"/>
    <w:rsid w:val="0043465F"/>
    <w:rsid w:val="0043486F"/>
    <w:rsid w:val="004349FA"/>
    <w:rsid w:val="00434A09"/>
    <w:rsid w:val="00434A8F"/>
    <w:rsid w:val="00434B48"/>
    <w:rsid w:val="00434B79"/>
    <w:rsid w:val="00434BF3"/>
    <w:rsid w:val="00434BF4"/>
    <w:rsid w:val="00434C41"/>
    <w:rsid w:val="00434ED6"/>
    <w:rsid w:val="0043501A"/>
    <w:rsid w:val="0043541C"/>
    <w:rsid w:val="004354EC"/>
    <w:rsid w:val="004356D0"/>
    <w:rsid w:val="004356FE"/>
    <w:rsid w:val="00435730"/>
    <w:rsid w:val="0043593E"/>
    <w:rsid w:val="0043594B"/>
    <w:rsid w:val="004359A0"/>
    <w:rsid w:val="004359B9"/>
    <w:rsid w:val="00435A3E"/>
    <w:rsid w:val="00435C32"/>
    <w:rsid w:val="00435E0A"/>
    <w:rsid w:val="00435EE4"/>
    <w:rsid w:val="00435F3A"/>
    <w:rsid w:val="0043621D"/>
    <w:rsid w:val="004362AA"/>
    <w:rsid w:val="00436399"/>
    <w:rsid w:val="00436549"/>
    <w:rsid w:val="00436573"/>
    <w:rsid w:val="00436582"/>
    <w:rsid w:val="004365A6"/>
    <w:rsid w:val="00436ABC"/>
    <w:rsid w:val="00436D23"/>
    <w:rsid w:val="00436D43"/>
    <w:rsid w:val="00436F46"/>
    <w:rsid w:val="00436F69"/>
    <w:rsid w:val="004371AE"/>
    <w:rsid w:val="004373BF"/>
    <w:rsid w:val="004379EF"/>
    <w:rsid w:val="00437A39"/>
    <w:rsid w:val="00437A53"/>
    <w:rsid w:val="00437A82"/>
    <w:rsid w:val="00437B36"/>
    <w:rsid w:val="00437DB5"/>
    <w:rsid w:val="00437DF4"/>
    <w:rsid w:val="00437F95"/>
    <w:rsid w:val="0044020C"/>
    <w:rsid w:val="004403E2"/>
    <w:rsid w:val="00440403"/>
    <w:rsid w:val="004407E3"/>
    <w:rsid w:val="004407FA"/>
    <w:rsid w:val="0044080F"/>
    <w:rsid w:val="00440A92"/>
    <w:rsid w:val="00440AD5"/>
    <w:rsid w:val="00440BC9"/>
    <w:rsid w:val="00440BEF"/>
    <w:rsid w:val="00440C40"/>
    <w:rsid w:val="00440D33"/>
    <w:rsid w:val="00440F4A"/>
    <w:rsid w:val="00440F70"/>
    <w:rsid w:val="00440F78"/>
    <w:rsid w:val="00441263"/>
    <w:rsid w:val="0044155A"/>
    <w:rsid w:val="004418F4"/>
    <w:rsid w:val="00441917"/>
    <w:rsid w:val="0044196E"/>
    <w:rsid w:val="00441AAF"/>
    <w:rsid w:val="00441AD0"/>
    <w:rsid w:val="00441ADF"/>
    <w:rsid w:val="00441B2C"/>
    <w:rsid w:val="00441C82"/>
    <w:rsid w:val="00441C87"/>
    <w:rsid w:val="00441E3F"/>
    <w:rsid w:val="00441F36"/>
    <w:rsid w:val="00442054"/>
    <w:rsid w:val="004420D0"/>
    <w:rsid w:val="00442270"/>
    <w:rsid w:val="00442467"/>
    <w:rsid w:val="0044258B"/>
    <w:rsid w:val="00442693"/>
    <w:rsid w:val="004426BE"/>
    <w:rsid w:val="00442905"/>
    <w:rsid w:val="00442D57"/>
    <w:rsid w:val="00442D93"/>
    <w:rsid w:val="00442E8A"/>
    <w:rsid w:val="00442F54"/>
    <w:rsid w:val="00442F74"/>
    <w:rsid w:val="00442FC6"/>
    <w:rsid w:val="0044303F"/>
    <w:rsid w:val="0044319C"/>
    <w:rsid w:val="00443605"/>
    <w:rsid w:val="00443738"/>
    <w:rsid w:val="0044381E"/>
    <w:rsid w:val="004439D3"/>
    <w:rsid w:val="00443AA1"/>
    <w:rsid w:val="00443BB2"/>
    <w:rsid w:val="00443E32"/>
    <w:rsid w:val="00443EA8"/>
    <w:rsid w:val="00443FA9"/>
    <w:rsid w:val="004440A7"/>
    <w:rsid w:val="004440AE"/>
    <w:rsid w:val="004441A1"/>
    <w:rsid w:val="004441B6"/>
    <w:rsid w:val="00444341"/>
    <w:rsid w:val="00444374"/>
    <w:rsid w:val="004443D9"/>
    <w:rsid w:val="00444400"/>
    <w:rsid w:val="0044445E"/>
    <w:rsid w:val="00444555"/>
    <w:rsid w:val="004446C6"/>
    <w:rsid w:val="0044478E"/>
    <w:rsid w:val="0044484F"/>
    <w:rsid w:val="00444951"/>
    <w:rsid w:val="004449EC"/>
    <w:rsid w:val="00444A35"/>
    <w:rsid w:val="00444CDE"/>
    <w:rsid w:val="00444EE7"/>
    <w:rsid w:val="00445160"/>
    <w:rsid w:val="004452F1"/>
    <w:rsid w:val="00445371"/>
    <w:rsid w:val="00445390"/>
    <w:rsid w:val="004453EE"/>
    <w:rsid w:val="004454C9"/>
    <w:rsid w:val="0044550A"/>
    <w:rsid w:val="004457AB"/>
    <w:rsid w:val="00445B68"/>
    <w:rsid w:val="00445BC1"/>
    <w:rsid w:val="00445FD3"/>
    <w:rsid w:val="0044608F"/>
    <w:rsid w:val="00446106"/>
    <w:rsid w:val="004462E9"/>
    <w:rsid w:val="004464C3"/>
    <w:rsid w:val="004465D2"/>
    <w:rsid w:val="00446677"/>
    <w:rsid w:val="00446698"/>
    <w:rsid w:val="004468B0"/>
    <w:rsid w:val="00446CF8"/>
    <w:rsid w:val="00446E34"/>
    <w:rsid w:val="00446F0F"/>
    <w:rsid w:val="00446F37"/>
    <w:rsid w:val="0044708B"/>
    <w:rsid w:val="0044709E"/>
    <w:rsid w:val="004472E0"/>
    <w:rsid w:val="00447370"/>
    <w:rsid w:val="004474A3"/>
    <w:rsid w:val="00447774"/>
    <w:rsid w:val="00447780"/>
    <w:rsid w:val="00447799"/>
    <w:rsid w:val="00447899"/>
    <w:rsid w:val="004478D4"/>
    <w:rsid w:val="00447975"/>
    <w:rsid w:val="00447C42"/>
    <w:rsid w:val="00447D03"/>
    <w:rsid w:val="00447E98"/>
    <w:rsid w:val="00447EAF"/>
    <w:rsid w:val="00447F3B"/>
    <w:rsid w:val="004500F7"/>
    <w:rsid w:val="004501DE"/>
    <w:rsid w:val="004503A5"/>
    <w:rsid w:val="004504C8"/>
    <w:rsid w:val="00450868"/>
    <w:rsid w:val="00450891"/>
    <w:rsid w:val="00450935"/>
    <w:rsid w:val="004509CB"/>
    <w:rsid w:val="00450B0B"/>
    <w:rsid w:val="00450BBB"/>
    <w:rsid w:val="00450BBD"/>
    <w:rsid w:val="00450BBE"/>
    <w:rsid w:val="00450C7A"/>
    <w:rsid w:val="00450D3D"/>
    <w:rsid w:val="00450E1B"/>
    <w:rsid w:val="004510AA"/>
    <w:rsid w:val="00451142"/>
    <w:rsid w:val="00451203"/>
    <w:rsid w:val="004514A5"/>
    <w:rsid w:val="004515A2"/>
    <w:rsid w:val="00451798"/>
    <w:rsid w:val="004519B2"/>
    <w:rsid w:val="00451A9E"/>
    <w:rsid w:val="00451B98"/>
    <w:rsid w:val="00451D3C"/>
    <w:rsid w:val="00451FEA"/>
    <w:rsid w:val="00452136"/>
    <w:rsid w:val="0045221F"/>
    <w:rsid w:val="0045234E"/>
    <w:rsid w:val="0045285C"/>
    <w:rsid w:val="00452AEA"/>
    <w:rsid w:val="00452B27"/>
    <w:rsid w:val="00452D03"/>
    <w:rsid w:val="00452D22"/>
    <w:rsid w:val="00452D78"/>
    <w:rsid w:val="00452E0E"/>
    <w:rsid w:val="00452EBB"/>
    <w:rsid w:val="00452FA7"/>
    <w:rsid w:val="00453060"/>
    <w:rsid w:val="004530F2"/>
    <w:rsid w:val="0045315C"/>
    <w:rsid w:val="00453283"/>
    <w:rsid w:val="0045334B"/>
    <w:rsid w:val="004536CE"/>
    <w:rsid w:val="004536E5"/>
    <w:rsid w:val="00453777"/>
    <w:rsid w:val="004538D2"/>
    <w:rsid w:val="00453951"/>
    <w:rsid w:val="0045396B"/>
    <w:rsid w:val="004539E1"/>
    <w:rsid w:val="00453B23"/>
    <w:rsid w:val="00453C24"/>
    <w:rsid w:val="0045411D"/>
    <w:rsid w:val="00454186"/>
    <w:rsid w:val="0045444B"/>
    <w:rsid w:val="0045446D"/>
    <w:rsid w:val="00454508"/>
    <w:rsid w:val="00454513"/>
    <w:rsid w:val="004545EC"/>
    <w:rsid w:val="004547BF"/>
    <w:rsid w:val="004548E4"/>
    <w:rsid w:val="00454A35"/>
    <w:rsid w:val="00454D25"/>
    <w:rsid w:val="0045521D"/>
    <w:rsid w:val="0045530F"/>
    <w:rsid w:val="00455392"/>
    <w:rsid w:val="00455A58"/>
    <w:rsid w:val="00455A70"/>
    <w:rsid w:val="00455CAF"/>
    <w:rsid w:val="00455D54"/>
    <w:rsid w:val="00455F0D"/>
    <w:rsid w:val="00456018"/>
    <w:rsid w:val="0045610D"/>
    <w:rsid w:val="004562AC"/>
    <w:rsid w:val="00456460"/>
    <w:rsid w:val="004564D7"/>
    <w:rsid w:val="004564E4"/>
    <w:rsid w:val="0045659C"/>
    <w:rsid w:val="00456708"/>
    <w:rsid w:val="00456742"/>
    <w:rsid w:val="004567B3"/>
    <w:rsid w:val="004569C4"/>
    <w:rsid w:val="00456ABC"/>
    <w:rsid w:val="00456B22"/>
    <w:rsid w:val="00456BDA"/>
    <w:rsid w:val="00456C28"/>
    <w:rsid w:val="00456C75"/>
    <w:rsid w:val="00456F36"/>
    <w:rsid w:val="00456F86"/>
    <w:rsid w:val="0045710F"/>
    <w:rsid w:val="00457123"/>
    <w:rsid w:val="004571A4"/>
    <w:rsid w:val="004575B9"/>
    <w:rsid w:val="004575F1"/>
    <w:rsid w:val="00457675"/>
    <w:rsid w:val="00457852"/>
    <w:rsid w:val="004579E5"/>
    <w:rsid w:val="00457C60"/>
    <w:rsid w:val="00457F52"/>
    <w:rsid w:val="00457FD5"/>
    <w:rsid w:val="00460007"/>
    <w:rsid w:val="0046023E"/>
    <w:rsid w:val="00460310"/>
    <w:rsid w:val="004603B8"/>
    <w:rsid w:val="004604DF"/>
    <w:rsid w:val="00460574"/>
    <w:rsid w:val="004605A3"/>
    <w:rsid w:val="00460639"/>
    <w:rsid w:val="00460765"/>
    <w:rsid w:val="0046082D"/>
    <w:rsid w:val="0046086C"/>
    <w:rsid w:val="004608DC"/>
    <w:rsid w:val="004609BC"/>
    <w:rsid w:val="00460C2D"/>
    <w:rsid w:val="00460D97"/>
    <w:rsid w:val="00460F88"/>
    <w:rsid w:val="0046101C"/>
    <w:rsid w:val="004611E2"/>
    <w:rsid w:val="004611EB"/>
    <w:rsid w:val="004612B0"/>
    <w:rsid w:val="0046131D"/>
    <w:rsid w:val="0046137D"/>
    <w:rsid w:val="004613DC"/>
    <w:rsid w:val="0046153C"/>
    <w:rsid w:val="004616CE"/>
    <w:rsid w:val="00461779"/>
    <w:rsid w:val="00461912"/>
    <w:rsid w:val="004619B9"/>
    <w:rsid w:val="00461A45"/>
    <w:rsid w:val="00461AA3"/>
    <w:rsid w:val="00461BE2"/>
    <w:rsid w:val="00461C5F"/>
    <w:rsid w:val="00461D11"/>
    <w:rsid w:val="00461E12"/>
    <w:rsid w:val="00461E1B"/>
    <w:rsid w:val="00461F18"/>
    <w:rsid w:val="004621F0"/>
    <w:rsid w:val="00462296"/>
    <w:rsid w:val="004622DF"/>
    <w:rsid w:val="00462533"/>
    <w:rsid w:val="004628A9"/>
    <w:rsid w:val="004629AE"/>
    <w:rsid w:val="004629B9"/>
    <w:rsid w:val="004629D0"/>
    <w:rsid w:val="00462A2E"/>
    <w:rsid w:val="00462AE6"/>
    <w:rsid w:val="00462CC3"/>
    <w:rsid w:val="00462DB0"/>
    <w:rsid w:val="00462E35"/>
    <w:rsid w:val="00463020"/>
    <w:rsid w:val="00463223"/>
    <w:rsid w:val="0046365F"/>
    <w:rsid w:val="004636EF"/>
    <w:rsid w:val="0046383A"/>
    <w:rsid w:val="004638C1"/>
    <w:rsid w:val="004639FF"/>
    <w:rsid w:val="00463A46"/>
    <w:rsid w:val="00463C0B"/>
    <w:rsid w:val="00463C27"/>
    <w:rsid w:val="00463C39"/>
    <w:rsid w:val="00463CEB"/>
    <w:rsid w:val="004641C6"/>
    <w:rsid w:val="0046423D"/>
    <w:rsid w:val="004642B4"/>
    <w:rsid w:val="0046448C"/>
    <w:rsid w:val="0046469A"/>
    <w:rsid w:val="00464E42"/>
    <w:rsid w:val="00464EE5"/>
    <w:rsid w:val="00464F2B"/>
    <w:rsid w:val="0046506E"/>
    <w:rsid w:val="004651B1"/>
    <w:rsid w:val="00465376"/>
    <w:rsid w:val="00465518"/>
    <w:rsid w:val="00465647"/>
    <w:rsid w:val="0046564E"/>
    <w:rsid w:val="00465B1F"/>
    <w:rsid w:val="00465BFC"/>
    <w:rsid w:val="00465DF2"/>
    <w:rsid w:val="00465FDF"/>
    <w:rsid w:val="00465FE7"/>
    <w:rsid w:val="0046634E"/>
    <w:rsid w:val="0046652B"/>
    <w:rsid w:val="004667CA"/>
    <w:rsid w:val="00466873"/>
    <w:rsid w:val="00466939"/>
    <w:rsid w:val="00466A5B"/>
    <w:rsid w:val="00466A88"/>
    <w:rsid w:val="00466B88"/>
    <w:rsid w:val="00466DCB"/>
    <w:rsid w:val="00466E63"/>
    <w:rsid w:val="00466F30"/>
    <w:rsid w:val="00466FA3"/>
    <w:rsid w:val="0046701B"/>
    <w:rsid w:val="00467090"/>
    <w:rsid w:val="00467177"/>
    <w:rsid w:val="0046757D"/>
    <w:rsid w:val="004675A2"/>
    <w:rsid w:val="004675E4"/>
    <w:rsid w:val="00467646"/>
    <w:rsid w:val="0046776B"/>
    <w:rsid w:val="00467975"/>
    <w:rsid w:val="00467BF7"/>
    <w:rsid w:val="00467C71"/>
    <w:rsid w:val="00467D99"/>
    <w:rsid w:val="00467DFB"/>
    <w:rsid w:val="00467E2C"/>
    <w:rsid w:val="00467E46"/>
    <w:rsid w:val="004701E9"/>
    <w:rsid w:val="00470232"/>
    <w:rsid w:val="00470411"/>
    <w:rsid w:val="00470676"/>
    <w:rsid w:val="00470718"/>
    <w:rsid w:val="00470AA0"/>
    <w:rsid w:val="00470B0F"/>
    <w:rsid w:val="00470E05"/>
    <w:rsid w:val="00470E0B"/>
    <w:rsid w:val="00470E3B"/>
    <w:rsid w:val="00470E8D"/>
    <w:rsid w:val="00470EA7"/>
    <w:rsid w:val="004711EB"/>
    <w:rsid w:val="00471383"/>
    <w:rsid w:val="0047146E"/>
    <w:rsid w:val="004714D6"/>
    <w:rsid w:val="00471526"/>
    <w:rsid w:val="004715CF"/>
    <w:rsid w:val="0047160A"/>
    <w:rsid w:val="0047160C"/>
    <w:rsid w:val="0047161C"/>
    <w:rsid w:val="00471683"/>
    <w:rsid w:val="0047169E"/>
    <w:rsid w:val="0047174A"/>
    <w:rsid w:val="00471765"/>
    <w:rsid w:val="0047199F"/>
    <w:rsid w:val="00471B03"/>
    <w:rsid w:val="00471C29"/>
    <w:rsid w:val="00471CD6"/>
    <w:rsid w:val="00471D76"/>
    <w:rsid w:val="00471DA4"/>
    <w:rsid w:val="00471EAF"/>
    <w:rsid w:val="00471F66"/>
    <w:rsid w:val="004721A9"/>
    <w:rsid w:val="004721E2"/>
    <w:rsid w:val="00472439"/>
    <w:rsid w:val="0047244F"/>
    <w:rsid w:val="00472567"/>
    <w:rsid w:val="004726FC"/>
    <w:rsid w:val="0047281E"/>
    <w:rsid w:val="00472929"/>
    <w:rsid w:val="00472A93"/>
    <w:rsid w:val="00472D82"/>
    <w:rsid w:val="00472F5D"/>
    <w:rsid w:val="00472FB7"/>
    <w:rsid w:val="004733E8"/>
    <w:rsid w:val="004734D7"/>
    <w:rsid w:val="004736CB"/>
    <w:rsid w:val="004738C8"/>
    <w:rsid w:val="004738EC"/>
    <w:rsid w:val="00473A98"/>
    <w:rsid w:val="00473B90"/>
    <w:rsid w:val="00473E03"/>
    <w:rsid w:val="0047404A"/>
    <w:rsid w:val="0047405D"/>
    <w:rsid w:val="00474162"/>
    <w:rsid w:val="00474225"/>
    <w:rsid w:val="00474314"/>
    <w:rsid w:val="00474524"/>
    <w:rsid w:val="0047466B"/>
    <w:rsid w:val="00474927"/>
    <w:rsid w:val="00474F19"/>
    <w:rsid w:val="00474F38"/>
    <w:rsid w:val="00475055"/>
    <w:rsid w:val="00475132"/>
    <w:rsid w:val="00475190"/>
    <w:rsid w:val="00475808"/>
    <w:rsid w:val="00475895"/>
    <w:rsid w:val="00475972"/>
    <w:rsid w:val="00475C04"/>
    <w:rsid w:val="00475D65"/>
    <w:rsid w:val="00475EAD"/>
    <w:rsid w:val="00475FA5"/>
    <w:rsid w:val="0047607D"/>
    <w:rsid w:val="0047630A"/>
    <w:rsid w:val="00476361"/>
    <w:rsid w:val="0047657A"/>
    <w:rsid w:val="0047670F"/>
    <w:rsid w:val="00476759"/>
    <w:rsid w:val="0047698D"/>
    <w:rsid w:val="00476A17"/>
    <w:rsid w:val="00476AF2"/>
    <w:rsid w:val="00476BF3"/>
    <w:rsid w:val="00476C19"/>
    <w:rsid w:val="00476CA5"/>
    <w:rsid w:val="00476D81"/>
    <w:rsid w:val="00476DA4"/>
    <w:rsid w:val="00476DAC"/>
    <w:rsid w:val="00476EC2"/>
    <w:rsid w:val="00477013"/>
    <w:rsid w:val="00477459"/>
    <w:rsid w:val="0047757F"/>
    <w:rsid w:val="0047761D"/>
    <w:rsid w:val="00477779"/>
    <w:rsid w:val="00477781"/>
    <w:rsid w:val="00477AA8"/>
    <w:rsid w:val="00477AB6"/>
    <w:rsid w:val="00477AF1"/>
    <w:rsid w:val="00477CD0"/>
    <w:rsid w:val="00477DA3"/>
    <w:rsid w:val="00477E7C"/>
    <w:rsid w:val="00477FB1"/>
    <w:rsid w:val="004800AB"/>
    <w:rsid w:val="00480310"/>
    <w:rsid w:val="0048045A"/>
    <w:rsid w:val="00480642"/>
    <w:rsid w:val="0048084F"/>
    <w:rsid w:val="00480906"/>
    <w:rsid w:val="0048098A"/>
    <w:rsid w:val="00480A0D"/>
    <w:rsid w:val="00480A56"/>
    <w:rsid w:val="00480C20"/>
    <w:rsid w:val="00480CF4"/>
    <w:rsid w:val="00480EA7"/>
    <w:rsid w:val="00480F5F"/>
    <w:rsid w:val="00480FD7"/>
    <w:rsid w:val="0048100D"/>
    <w:rsid w:val="00481211"/>
    <w:rsid w:val="00481254"/>
    <w:rsid w:val="00481541"/>
    <w:rsid w:val="0048174E"/>
    <w:rsid w:val="004817A7"/>
    <w:rsid w:val="004817B9"/>
    <w:rsid w:val="004818D9"/>
    <w:rsid w:val="00481C52"/>
    <w:rsid w:val="00481EDE"/>
    <w:rsid w:val="00481FBC"/>
    <w:rsid w:val="0048220A"/>
    <w:rsid w:val="00482218"/>
    <w:rsid w:val="00482280"/>
    <w:rsid w:val="004822C6"/>
    <w:rsid w:val="004822D0"/>
    <w:rsid w:val="0048243A"/>
    <w:rsid w:val="004824BE"/>
    <w:rsid w:val="004824D1"/>
    <w:rsid w:val="004825ED"/>
    <w:rsid w:val="004825EF"/>
    <w:rsid w:val="00482606"/>
    <w:rsid w:val="00482A20"/>
    <w:rsid w:val="00482A36"/>
    <w:rsid w:val="00482C40"/>
    <w:rsid w:val="00482C7D"/>
    <w:rsid w:val="00482E0C"/>
    <w:rsid w:val="00482E92"/>
    <w:rsid w:val="00483045"/>
    <w:rsid w:val="0048317A"/>
    <w:rsid w:val="00483234"/>
    <w:rsid w:val="0048326E"/>
    <w:rsid w:val="0048327B"/>
    <w:rsid w:val="004835DE"/>
    <w:rsid w:val="00483609"/>
    <w:rsid w:val="0048379D"/>
    <w:rsid w:val="00483E79"/>
    <w:rsid w:val="00484312"/>
    <w:rsid w:val="0048434F"/>
    <w:rsid w:val="00484358"/>
    <w:rsid w:val="004843B7"/>
    <w:rsid w:val="00484608"/>
    <w:rsid w:val="004846CE"/>
    <w:rsid w:val="00484728"/>
    <w:rsid w:val="0048479D"/>
    <w:rsid w:val="00484A3A"/>
    <w:rsid w:val="00484B3A"/>
    <w:rsid w:val="00484BA6"/>
    <w:rsid w:val="00484CD4"/>
    <w:rsid w:val="00484E19"/>
    <w:rsid w:val="00484E40"/>
    <w:rsid w:val="00485250"/>
    <w:rsid w:val="00485290"/>
    <w:rsid w:val="00485322"/>
    <w:rsid w:val="00485348"/>
    <w:rsid w:val="004854D2"/>
    <w:rsid w:val="00485712"/>
    <w:rsid w:val="00485766"/>
    <w:rsid w:val="004857E6"/>
    <w:rsid w:val="00485E35"/>
    <w:rsid w:val="00485E89"/>
    <w:rsid w:val="00485FB2"/>
    <w:rsid w:val="00486040"/>
    <w:rsid w:val="0048640A"/>
    <w:rsid w:val="004864C1"/>
    <w:rsid w:val="004864CD"/>
    <w:rsid w:val="00486548"/>
    <w:rsid w:val="0048669E"/>
    <w:rsid w:val="0048689A"/>
    <w:rsid w:val="004868DD"/>
    <w:rsid w:val="00486A46"/>
    <w:rsid w:val="00486D99"/>
    <w:rsid w:val="00486DB6"/>
    <w:rsid w:val="00486E62"/>
    <w:rsid w:val="00486EA9"/>
    <w:rsid w:val="00486F38"/>
    <w:rsid w:val="00486FCE"/>
    <w:rsid w:val="004870B8"/>
    <w:rsid w:val="00487112"/>
    <w:rsid w:val="0048716D"/>
    <w:rsid w:val="004871AA"/>
    <w:rsid w:val="0048722E"/>
    <w:rsid w:val="0048728F"/>
    <w:rsid w:val="0048738C"/>
    <w:rsid w:val="00487422"/>
    <w:rsid w:val="0048742E"/>
    <w:rsid w:val="00487678"/>
    <w:rsid w:val="00487679"/>
    <w:rsid w:val="004878D1"/>
    <w:rsid w:val="00487A45"/>
    <w:rsid w:val="00487C18"/>
    <w:rsid w:val="00487D53"/>
    <w:rsid w:val="00487DC1"/>
    <w:rsid w:val="00487DF9"/>
    <w:rsid w:val="00490051"/>
    <w:rsid w:val="00490223"/>
    <w:rsid w:val="004902AF"/>
    <w:rsid w:val="004902E2"/>
    <w:rsid w:val="0049061D"/>
    <w:rsid w:val="00490685"/>
    <w:rsid w:val="004906DC"/>
    <w:rsid w:val="00490808"/>
    <w:rsid w:val="00490AC1"/>
    <w:rsid w:val="00490BB5"/>
    <w:rsid w:val="00490CE4"/>
    <w:rsid w:val="00490D70"/>
    <w:rsid w:val="00490DED"/>
    <w:rsid w:val="00490E57"/>
    <w:rsid w:val="00490E9C"/>
    <w:rsid w:val="00490F21"/>
    <w:rsid w:val="0049115F"/>
    <w:rsid w:val="0049124F"/>
    <w:rsid w:val="00491355"/>
    <w:rsid w:val="00491452"/>
    <w:rsid w:val="00491902"/>
    <w:rsid w:val="00491908"/>
    <w:rsid w:val="00491D84"/>
    <w:rsid w:val="00491DDE"/>
    <w:rsid w:val="00491E0E"/>
    <w:rsid w:val="00491F5D"/>
    <w:rsid w:val="00492069"/>
    <w:rsid w:val="00492089"/>
    <w:rsid w:val="00492246"/>
    <w:rsid w:val="00492256"/>
    <w:rsid w:val="004923AF"/>
    <w:rsid w:val="004923D3"/>
    <w:rsid w:val="004923FC"/>
    <w:rsid w:val="0049254B"/>
    <w:rsid w:val="004925CF"/>
    <w:rsid w:val="004926CD"/>
    <w:rsid w:val="00492758"/>
    <w:rsid w:val="00492871"/>
    <w:rsid w:val="0049294C"/>
    <w:rsid w:val="00492B82"/>
    <w:rsid w:val="00492CB1"/>
    <w:rsid w:val="00492D11"/>
    <w:rsid w:val="00492DD5"/>
    <w:rsid w:val="00492DF7"/>
    <w:rsid w:val="004930A0"/>
    <w:rsid w:val="004931B0"/>
    <w:rsid w:val="0049334D"/>
    <w:rsid w:val="00493357"/>
    <w:rsid w:val="00493362"/>
    <w:rsid w:val="00493422"/>
    <w:rsid w:val="004939CF"/>
    <w:rsid w:val="00493A74"/>
    <w:rsid w:val="00493ABA"/>
    <w:rsid w:val="00493AFA"/>
    <w:rsid w:val="00493F08"/>
    <w:rsid w:val="00493F0C"/>
    <w:rsid w:val="004942A0"/>
    <w:rsid w:val="0049442E"/>
    <w:rsid w:val="00494466"/>
    <w:rsid w:val="00494571"/>
    <w:rsid w:val="00494663"/>
    <w:rsid w:val="004946D1"/>
    <w:rsid w:val="00494704"/>
    <w:rsid w:val="004948F0"/>
    <w:rsid w:val="00494A2F"/>
    <w:rsid w:val="00494C37"/>
    <w:rsid w:val="00494D57"/>
    <w:rsid w:val="00494F3E"/>
    <w:rsid w:val="004950C7"/>
    <w:rsid w:val="0049526E"/>
    <w:rsid w:val="0049529D"/>
    <w:rsid w:val="004955B1"/>
    <w:rsid w:val="00495706"/>
    <w:rsid w:val="00495717"/>
    <w:rsid w:val="00495809"/>
    <w:rsid w:val="00495ABF"/>
    <w:rsid w:val="00495AC8"/>
    <w:rsid w:val="00495B8E"/>
    <w:rsid w:val="00495BCC"/>
    <w:rsid w:val="00495CD5"/>
    <w:rsid w:val="00495E66"/>
    <w:rsid w:val="00495E76"/>
    <w:rsid w:val="00495EA7"/>
    <w:rsid w:val="004963A3"/>
    <w:rsid w:val="0049642E"/>
    <w:rsid w:val="004964AC"/>
    <w:rsid w:val="004965AC"/>
    <w:rsid w:val="004965DA"/>
    <w:rsid w:val="0049674E"/>
    <w:rsid w:val="0049685F"/>
    <w:rsid w:val="0049697F"/>
    <w:rsid w:val="00496B30"/>
    <w:rsid w:val="00496F8F"/>
    <w:rsid w:val="00496FE0"/>
    <w:rsid w:val="0049721D"/>
    <w:rsid w:val="00497221"/>
    <w:rsid w:val="00497231"/>
    <w:rsid w:val="004972B8"/>
    <w:rsid w:val="004973AA"/>
    <w:rsid w:val="0049765A"/>
    <w:rsid w:val="004976A6"/>
    <w:rsid w:val="0049783B"/>
    <w:rsid w:val="00497C8D"/>
    <w:rsid w:val="00497DCF"/>
    <w:rsid w:val="00497F9B"/>
    <w:rsid w:val="004A00D1"/>
    <w:rsid w:val="004A01C3"/>
    <w:rsid w:val="004A0275"/>
    <w:rsid w:val="004A045F"/>
    <w:rsid w:val="004A0490"/>
    <w:rsid w:val="004A04E0"/>
    <w:rsid w:val="004A0742"/>
    <w:rsid w:val="004A0C6E"/>
    <w:rsid w:val="004A0DBB"/>
    <w:rsid w:val="004A0DBC"/>
    <w:rsid w:val="004A0DFC"/>
    <w:rsid w:val="004A0E57"/>
    <w:rsid w:val="004A0F5B"/>
    <w:rsid w:val="004A108C"/>
    <w:rsid w:val="004A1432"/>
    <w:rsid w:val="004A1484"/>
    <w:rsid w:val="004A174E"/>
    <w:rsid w:val="004A1C96"/>
    <w:rsid w:val="004A1E08"/>
    <w:rsid w:val="004A1E73"/>
    <w:rsid w:val="004A2021"/>
    <w:rsid w:val="004A2119"/>
    <w:rsid w:val="004A211A"/>
    <w:rsid w:val="004A234C"/>
    <w:rsid w:val="004A235E"/>
    <w:rsid w:val="004A2528"/>
    <w:rsid w:val="004A257B"/>
    <w:rsid w:val="004A2593"/>
    <w:rsid w:val="004A2621"/>
    <w:rsid w:val="004A2664"/>
    <w:rsid w:val="004A2AA2"/>
    <w:rsid w:val="004A2C88"/>
    <w:rsid w:val="004A2DE7"/>
    <w:rsid w:val="004A2F40"/>
    <w:rsid w:val="004A2FBA"/>
    <w:rsid w:val="004A2FE9"/>
    <w:rsid w:val="004A3161"/>
    <w:rsid w:val="004A32B3"/>
    <w:rsid w:val="004A3371"/>
    <w:rsid w:val="004A3373"/>
    <w:rsid w:val="004A34A3"/>
    <w:rsid w:val="004A34F2"/>
    <w:rsid w:val="004A35CD"/>
    <w:rsid w:val="004A3708"/>
    <w:rsid w:val="004A3ADB"/>
    <w:rsid w:val="004A3B5E"/>
    <w:rsid w:val="004A3BE8"/>
    <w:rsid w:val="004A3CAC"/>
    <w:rsid w:val="004A3DD5"/>
    <w:rsid w:val="004A3E3D"/>
    <w:rsid w:val="004A3F41"/>
    <w:rsid w:val="004A439B"/>
    <w:rsid w:val="004A441B"/>
    <w:rsid w:val="004A44CD"/>
    <w:rsid w:val="004A4527"/>
    <w:rsid w:val="004A4744"/>
    <w:rsid w:val="004A4A17"/>
    <w:rsid w:val="004A4AD0"/>
    <w:rsid w:val="004A4C45"/>
    <w:rsid w:val="004A4C57"/>
    <w:rsid w:val="004A4D9E"/>
    <w:rsid w:val="004A4E86"/>
    <w:rsid w:val="004A4FF7"/>
    <w:rsid w:val="004A5011"/>
    <w:rsid w:val="004A51C4"/>
    <w:rsid w:val="004A531D"/>
    <w:rsid w:val="004A5325"/>
    <w:rsid w:val="004A53E0"/>
    <w:rsid w:val="004A5421"/>
    <w:rsid w:val="004A5422"/>
    <w:rsid w:val="004A55C5"/>
    <w:rsid w:val="004A566C"/>
    <w:rsid w:val="004A5694"/>
    <w:rsid w:val="004A5794"/>
    <w:rsid w:val="004A59CB"/>
    <w:rsid w:val="004A5B34"/>
    <w:rsid w:val="004A5E3F"/>
    <w:rsid w:val="004A6331"/>
    <w:rsid w:val="004A635D"/>
    <w:rsid w:val="004A64A8"/>
    <w:rsid w:val="004A65A7"/>
    <w:rsid w:val="004A66E0"/>
    <w:rsid w:val="004A678E"/>
    <w:rsid w:val="004A694B"/>
    <w:rsid w:val="004A6A28"/>
    <w:rsid w:val="004A6AF1"/>
    <w:rsid w:val="004A6B08"/>
    <w:rsid w:val="004A6C21"/>
    <w:rsid w:val="004A6CA3"/>
    <w:rsid w:val="004A6CEC"/>
    <w:rsid w:val="004A6FB2"/>
    <w:rsid w:val="004A779D"/>
    <w:rsid w:val="004A79A6"/>
    <w:rsid w:val="004A7B0A"/>
    <w:rsid w:val="004A7C68"/>
    <w:rsid w:val="004A7DBA"/>
    <w:rsid w:val="004B02F0"/>
    <w:rsid w:val="004B0363"/>
    <w:rsid w:val="004B0457"/>
    <w:rsid w:val="004B07D0"/>
    <w:rsid w:val="004B0894"/>
    <w:rsid w:val="004B0A80"/>
    <w:rsid w:val="004B0B4A"/>
    <w:rsid w:val="004B0B55"/>
    <w:rsid w:val="004B0B76"/>
    <w:rsid w:val="004B0BB9"/>
    <w:rsid w:val="004B0C80"/>
    <w:rsid w:val="004B0DD6"/>
    <w:rsid w:val="004B0E3C"/>
    <w:rsid w:val="004B1470"/>
    <w:rsid w:val="004B180D"/>
    <w:rsid w:val="004B19BC"/>
    <w:rsid w:val="004B1CB3"/>
    <w:rsid w:val="004B21B0"/>
    <w:rsid w:val="004B21B7"/>
    <w:rsid w:val="004B2284"/>
    <w:rsid w:val="004B242E"/>
    <w:rsid w:val="004B2518"/>
    <w:rsid w:val="004B2904"/>
    <w:rsid w:val="004B2A1F"/>
    <w:rsid w:val="004B2BA3"/>
    <w:rsid w:val="004B2CB5"/>
    <w:rsid w:val="004B2D83"/>
    <w:rsid w:val="004B2D94"/>
    <w:rsid w:val="004B2E8B"/>
    <w:rsid w:val="004B2FFE"/>
    <w:rsid w:val="004B3193"/>
    <w:rsid w:val="004B3472"/>
    <w:rsid w:val="004B3713"/>
    <w:rsid w:val="004B3719"/>
    <w:rsid w:val="004B384B"/>
    <w:rsid w:val="004B3871"/>
    <w:rsid w:val="004B3C02"/>
    <w:rsid w:val="004B3DA1"/>
    <w:rsid w:val="004B3E09"/>
    <w:rsid w:val="004B3E6F"/>
    <w:rsid w:val="004B3F3B"/>
    <w:rsid w:val="004B403C"/>
    <w:rsid w:val="004B4248"/>
    <w:rsid w:val="004B431D"/>
    <w:rsid w:val="004B451D"/>
    <w:rsid w:val="004B4907"/>
    <w:rsid w:val="004B4932"/>
    <w:rsid w:val="004B4A75"/>
    <w:rsid w:val="004B4A88"/>
    <w:rsid w:val="004B4D79"/>
    <w:rsid w:val="004B4E34"/>
    <w:rsid w:val="004B4EB7"/>
    <w:rsid w:val="004B4FFC"/>
    <w:rsid w:val="004B50B3"/>
    <w:rsid w:val="004B517D"/>
    <w:rsid w:val="004B524C"/>
    <w:rsid w:val="004B5281"/>
    <w:rsid w:val="004B53A6"/>
    <w:rsid w:val="004B5481"/>
    <w:rsid w:val="004B54FC"/>
    <w:rsid w:val="004B552C"/>
    <w:rsid w:val="004B5698"/>
    <w:rsid w:val="004B598C"/>
    <w:rsid w:val="004B59C2"/>
    <w:rsid w:val="004B59C6"/>
    <w:rsid w:val="004B5A1F"/>
    <w:rsid w:val="004B5AEA"/>
    <w:rsid w:val="004B5DD8"/>
    <w:rsid w:val="004B5FF4"/>
    <w:rsid w:val="004B60F5"/>
    <w:rsid w:val="004B61E5"/>
    <w:rsid w:val="004B61F7"/>
    <w:rsid w:val="004B675A"/>
    <w:rsid w:val="004B675D"/>
    <w:rsid w:val="004B6835"/>
    <w:rsid w:val="004B6924"/>
    <w:rsid w:val="004B6C7B"/>
    <w:rsid w:val="004B6CA9"/>
    <w:rsid w:val="004B6FB1"/>
    <w:rsid w:val="004B708C"/>
    <w:rsid w:val="004B7106"/>
    <w:rsid w:val="004B723F"/>
    <w:rsid w:val="004B725F"/>
    <w:rsid w:val="004B736E"/>
    <w:rsid w:val="004B73FF"/>
    <w:rsid w:val="004B74DB"/>
    <w:rsid w:val="004B7577"/>
    <w:rsid w:val="004B769F"/>
    <w:rsid w:val="004B771B"/>
    <w:rsid w:val="004B785A"/>
    <w:rsid w:val="004B798D"/>
    <w:rsid w:val="004B7A3D"/>
    <w:rsid w:val="004B7BEA"/>
    <w:rsid w:val="004B7D30"/>
    <w:rsid w:val="004B7D95"/>
    <w:rsid w:val="004C0355"/>
    <w:rsid w:val="004C0578"/>
    <w:rsid w:val="004C06D2"/>
    <w:rsid w:val="004C07D8"/>
    <w:rsid w:val="004C07FE"/>
    <w:rsid w:val="004C0935"/>
    <w:rsid w:val="004C094D"/>
    <w:rsid w:val="004C0B0B"/>
    <w:rsid w:val="004C0BF3"/>
    <w:rsid w:val="004C0CBB"/>
    <w:rsid w:val="004C0DE9"/>
    <w:rsid w:val="004C107B"/>
    <w:rsid w:val="004C10FF"/>
    <w:rsid w:val="004C1209"/>
    <w:rsid w:val="004C1338"/>
    <w:rsid w:val="004C149E"/>
    <w:rsid w:val="004C14E9"/>
    <w:rsid w:val="004C1567"/>
    <w:rsid w:val="004C16EF"/>
    <w:rsid w:val="004C1858"/>
    <w:rsid w:val="004C18FE"/>
    <w:rsid w:val="004C1A14"/>
    <w:rsid w:val="004C1BDF"/>
    <w:rsid w:val="004C1C6B"/>
    <w:rsid w:val="004C1CD6"/>
    <w:rsid w:val="004C1CF1"/>
    <w:rsid w:val="004C1DBA"/>
    <w:rsid w:val="004C1DDF"/>
    <w:rsid w:val="004C1E1C"/>
    <w:rsid w:val="004C1FE3"/>
    <w:rsid w:val="004C202D"/>
    <w:rsid w:val="004C20A7"/>
    <w:rsid w:val="004C2115"/>
    <w:rsid w:val="004C21A9"/>
    <w:rsid w:val="004C241F"/>
    <w:rsid w:val="004C248F"/>
    <w:rsid w:val="004C2A08"/>
    <w:rsid w:val="004C2AB2"/>
    <w:rsid w:val="004C2BB7"/>
    <w:rsid w:val="004C2C4D"/>
    <w:rsid w:val="004C2CA9"/>
    <w:rsid w:val="004C2CAE"/>
    <w:rsid w:val="004C2D2A"/>
    <w:rsid w:val="004C2D57"/>
    <w:rsid w:val="004C2DB7"/>
    <w:rsid w:val="004C2F98"/>
    <w:rsid w:val="004C3262"/>
    <w:rsid w:val="004C3269"/>
    <w:rsid w:val="004C3378"/>
    <w:rsid w:val="004C34F6"/>
    <w:rsid w:val="004C353A"/>
    <w:rsid w:val="004C365B"/>
    <w:rsid w:val="004C3937"/>
    <w:rsid w:val="004C3A1D"/>
    <w:rsid w:val="004C3ACB"/>
    <w:rsid w:val="004C3B37"/>
    <w:rsid w:val="004C3BF2"/>
    <w:rsid w:val="004C3FD0"/>
    <w:rsid w:val="004C4042"/>
    <w:rsid w:val="004C40F1"/>
    <w:rsid w:val="004C40F5"/>
    <w:rsid w:val="004C421D"/>
    <w:rsid w:val="004C4331"/>
    <w:rsid w:val="004C43F0"/>
    <w:rsid w:val="004C44B0"/>
    <w:rsid w:val="004C4506"/>
    <w:rsid w:val="004C4699"/>
    <w:rsid w:val="004C4799"/>
    <w:rsid w:val="004C4B51"/>
    <w:rsid w:val="004C4CD1"/>
    <w:rsid w:val="004C4EB2"/>
    <w:rsid w:val="004C5013"/>
    <w:rsid w:val="004C5121"/>
    <w:rsid w:val="004C51CC"/>
    <w:rsid w:val="004C51EA"/>
    <w:rsid w:val="004C5359"/>
    <w:rsid w:val="004C5403"/>
    <w:rsid w:val="004C548B"/>
    <w:rsid w:val="004C5650"/>
    <w:rsid w:val="004C58BA"/>
    <w:rsid w:val="004C58EE"/>
    <w:rsid w:val="004C5B4F"/>
    <w:rsid w:val="004C5C54"/>
    <w:rsid w:val="004C5CE0"/>
    <w:rsid w:val="004C5DF0"/>
    <w:rsid w:val="004C626E"/>
    <w:rsid w:val="004C6445"/>
    <w:rsid w:val="004C6A9D"/>
    <w:rsid w:val="004C6BB0"/>
    <w:rsid w:val="004C6C28"/>
    <w:rsid w:val="004C6C55"/>
    <w:rsid w:val="004C6C63"/>
    <w:rsid w:val="004C6DFF"/>
    <w:rsid w:val="004C6F30"/>
    <w:rsid w:val="004C7039"/>
    <w:rsid w:val="004C7198"/>
    <w:rsid w:val="004C71E5"/>
    <w:rsid w:val="004C7506"/>
    <w:rsid w:val="004C76F4"/>
    <w:rsid w:val="004C782C"/>
    <w:rsid w:val="004D02CC"/>
    <w:rsid w:val="004D0421"/>
    <w:rsid w:val="004D044D"/>
    <w:rsid w:val="004D0616"/>
    <w:rsid w:val="004D06A7"/>
    <w:rsid w:val="004D06AB"/>
    <w:rsid w:val="004D0787"/>
    <w:rsid w:val="004D07D5"/>
    <w:rsid w:val="004D09DD"/>
    <w:rsid w:val="004D0A64"/>
    <w:rsid w:val="004D0ABA"/>
    <w:rsid w:val="004D0C5D"/>
    <w:rsid w:val="004D0E1F"/>
    <w:rsid w:val="004D0EF8"/>
    <w:rsid w:val="004D0FEB"/>
    <w:rsid w:val="004D1229"/>
    <w:rsid w:val="004D1338"/>
    <w:rsid w:val="004D1434"/>
    <w:rsid w:val="004D1473"/>
    <w:rsid w:val="004D1494"/>
    <w:rsid w:val="004D1749"/>
    <w:rsid w:val="004D17C4"/>
    <w:rsid w:val="004D1825"/>
    <w:rsid w:val="004D1834"/>
    <w:rsid w:val="004D1862"/>
    <w:rsid w:val="004D191F"/>
    <w:rsid w:val="004D1983"/>
    <w:rsid w:val="004D1BC0"/>
    <w:rsid w:val="004D20D2"/>
    <w:rsid w:val="004D22C3"/>
    <w:rsid w:val="004D240A"/>
    <w:rsid w:val="004D248B"/>
    <w:rsid w:val="004D24D5"/>
    <w:rsid w:val="004D2532"/>
    <w:rsid w:val="004D2740"/>
    <w:rsid w:val="004D29FA"/>
    <w:rsid w:val="004D2A0C"/>
    <w:rsid w:val="004D2A7F"/>
    <w:rsid w:val="004D2C41"/>
    <w:rsid w:val="004D2E4F"/>
    <w:rsid w:val="004D2FA0"/>
    <w:rsid w:val="004D2FA8"/>
    <w:rsid w:val="004D3185"/>
    <w:rsid w:val="004D3195"/>
    <w:rsid w:val="004D3342"/>
    <w:rsid w:val="004D33B9"/>
    <w:rsid w:val="004D3531"/>
    <w:rsid w:val="004D35D9"/>
    <w:rsid w:val="004D3619"/>
    <w:rsid w:val="004D366D"/>
    <w:rsid w:val="004D3908"/>
    <w:rsid w:val="004D3948"/>
    <w:rsid w:val="004D3C5D"/>
    <w:rsid w:val="004D3D40"/>
    <w:rsid w:val="004D3FD3"/>
    <w:rsid w:val="004D4004"/>
    <w:rsid w:val="004D401F"/>
    <w:rsid w:val="004D40AA"/>
    <w:rsid w:val="004D4104"/>
    <w:rsid w:val="004D4154"/>
    <w:rsid w:val="004D439B"/>
    <w:rsid w:val="004D43AD"/>
    <w:rsid w:val="004D4444"/>
    <w:rsid w:val="004D4866"/>
    <w:rsid w:val="004D48E4"/>
    <w:rsid w:val="004D4A9B"/>
    <w:rsid w:val="004D4AA1"/>
    <w:rsid w:val="004D4ADB"/>
    <w:rsid w:val="004D4C7C"/>
    <w:rsid w:val="004D4CB6"/>
    <w:rsid w:val="004D4CE9"/>
    <w:rsid w:val="004D4EFA"/>
    <w:rsid w:val="004D50E8"/>
    <w:rsid w:val="004D51E7"/>
    <w:rsid w:val="004D5253"/>
    <w:rsid w:val="004D548A"/>
    <w:rsid w:val="004D57A5"/>
    <w:rsid w:val="004D57DB"/>
    <w:rsid w:val="004D5805"/>
    <w:rsid w:val="004D58A7"/>
    <w:rsid w:val="004D5911"/>
    <w:rsid w:val="004D5B15"/>
    <w:rsid w:val="004D5C3E"/>
    <w:rsid w:val="004D5F21"/>
    <w:rsid w:val="004D5F89"/>
    <w:rsid w:val="004D60F0"/>
    <w:rsid w:val="004D6518"/>
    <w:rsid w:val="004D6579"/>
    <w:rsid w:val="004D6975"/>
    <w:rsid w:val="004D6A09"/>
    <w:rsid w:val="004D6A6E"/>
    <w:rsid w:val="004D6BA4"/>
    <w:rsid w:val="004D6D2B"/>
    <w:rsid w:val="004D7022"/>
    <w:rsid w:val="004D706B"/>
    <w:rsid w:val="004D7297"/>
    <w:rsid w:val="004D72ED"/>
    <w:rsid w:val="004D73A3"/>
    <w:rsid w:val="004D74D9"/>
    <w:rsid w:val="004D7721"/>
    <w:rsid w:val="004D788A"/>
    <w:rsid w:val="004D78E5"/>
    <w:rsid w:val="004D79ED"/>
    <w:rsid w:val="004D7C4A"/>
    <w:rsid w:val="004D7C6A"/>
    <w:rsid w:val="004D7CCF"/>
    <w:rsid w:val="004D7CE2"/>
    <w:rsid w:val="004D7E5A"/>
    <w:rsid w:val="004D7EFA"/>
    <w:rsid w:val="004D7F7C"/>
    <w:rsid w:val="004E00C0"/>
    <w:rsid w:val="004E0193"/>
    <w:rsid w:val="004E019C"/>
    <w:rsid w:val="004E06F4"/>
    <w:rsid w:val="004E0869"/>
    <w:rsid w:val="004E0A36"/>
    <w:rsid w:val="004E0A5C"/>
    <w:rsid w:val="004E0BDC"/>
    <w:rsid w:val="004E0C5F"/>
    <w:rsid w:val="004E0CCD"/>
    <w:rsid w:val="004E0D10"/>
    <w:rsid w:val="004E113D"/>
    <w:rsid w:val="004E1195"/>
    <w:rsid w:val="004E1575"/>
    <w:rsid w:val="004E1672"/>
    <w:rsid w:val="004E176F"/>
    <w:rsid w:val="004E17AD"/>
    <w:rsid w:val="004E185F"/>
    <w:rsid w:val="004E1947"/>
    <w:rsid w:val="004E19C0"/>
    <w:rsid w:val="004E1ADC"/>
    <w:rsid w:val="004E1B06"/>
    <w:rsid w:val="004E1FDB"/>
    <w:rsid w:val="004E20E5"/>
    <w:rsid w:val="004E217D"/>
    <w:rsid w:val="004E21BD"/>
    <w:rsid w:val="004E22F3"/>
    <w:rsid w:val="004E23C6"/>
    <w:rsid w:val="004E254C"/>
    <w:rsid w:val="004E270C"/>
    <w:rsid w:val="004E2769"/>
    <w:rsid w:val="004E28BE"/>
    <w:rsid w:val="004E299A"/>
    <w:rsid w:val="004E29BB"/>
    <w:rsid w:val="004E2A10"/>
    <w:rsid w:val="004E2A93"/>
    <w:rsid w:val="004E2AE7"/>
    <w:rsid w:val="004E2BB2"/>
    <w:rsid w:val="004E2D53"/>
    <w:rsid w:val="004E2D86"/>
    <w:rsid w:val="004E2E3F"/>
    <w:rsid w:val="004E30BE"/>
    <w:rsid w:val="004E326C"/>
    <w:rsid w:val="004E33C4"/>
    <w:rsid w:val="004E345C"/>
    <w:rsid w:val="004E376F"/>
    <w:rsid w:val="004E3926"/>
    <w:rsid w:val="004E3AC3"/>
    <w:rsid w:val="004E3B84"/>
    <w:rsid w:val="004E3BAA"/>
    <w:rsid w:val="004E3BE1"/>
    <w:rsid w:val="004E3E1B"/>
    <w:rsid w:val="004E3E6F"/>
    <w:rsid w:val="004E3FAA"/>
    <w:rsid w:val="004E4053"/>
    <w:rsid w:val="004E409D"/>
    <w:rsid w:val="004E420D"/>
    <w:rsid w:val="004E4308"/>
    <w:rsid w:val="004E43C8"/>
    <w:rsid w:val="004E43E4"/>
    <w:rsid w:val="004E45CB"/>
    <w:rsid w:val="004E477C"/>
    <w:rsid w:val="004E47D3"/>
    <w:rsid w:val="004E47DB"/>
    <w:rsid w:val="004E47F2"/>
    <w:rsid w:val="004E485F"/>
    <w:rsid w:val="004E4869"/>
    <w:rsid w:val="004E48EE"/>
    <w:rsid w:val="004E4942"/>
    <w:rsid w:val="004E49D7"/>
    <w:rsid w:val="004E4C18"/>
    <w:rsid w:val="004E4F0D"/>
    <w:rsid w:val="004E4FF2"/>
    <w:rsid w:val="004E51F5"/>
    <w:rsid w:val="004E5515"/>
    <w:rsid w:val="004E55DD"/>
    <w:rsid w:val="004E55EB"/>
    <w:rsid w:val="004E568C"/>
    <w:rsid w:val="004E58F9"/>
    <w:rsid w:val="004E5B12"/>
    <w:rsid w:val="004E5C88"/>
    <w:rsid w:val="004E5F03"/>
    <w:rsid w:val="004E6190"/>
    <w:rsid w:val="004E62C5"/>
    <w:rsid w:val="004E645B"/>
    <w:rsid w:val="004E6601"/>
    <w:rsid w:val="004E6658"/>
    <w:rsid w:val="004E686A"/>
    <w:rsid w:val="004E6AE8"/>
    <w:rsid w:val="004E6BAC"/>
    <w:rsid w:val="004E6BCE"/>
    <w:rsid w:val="004E6CDB"/>
    <w:rsid w:val="004E6DA8"/>
    <w:rsid w:val="004E6F12"/>
    <w:rsid w:val="004E707C"/>
    <w:rsid w:val="004E70A0"/>
    <w:rsid w:val="004E7415"/>
    <w:rsid w:val="004E742E"/>
    <w:rsid w:val="004E7833"/>
    <w:rsid w:val="004E78B7"/>
    <w:rsid w:val="004E7E0A"/>
    <w:rsid w:val="004E7E21"/>
    <w:rsid w:val="004E7F9C"/>
    <w:rsid w:val="004F002D"/>
    <w:rsid w:val="004F0081"/>
    <w:rsid w:val="004F0265"/>
    <w:rsid w:val="004F028B"/>
    <w:rsid w:val="004F04E3"/>
    <w:rsid w:val="004F0504"/>
    <w:rsid w:val="004F0508"/>
    <w:rsid w:val="004F05F1"/>
    <w:rsid w:val="004F0767"/>
    <w:rsid w:val="004F0C6D"/>
    <w:rsid w:val="004F0DE3"/>
    <w:rsid w:val="004F0E40"/>
    <w:rsid w:val="004F0E99"/>
    <w:rsid w:val="004F0EE1"/>
    <w:rsid w:val="004F0FA2"/>
    <w:rsid w:val="004F0FE2"/>
    <w:rsid w:val="004F1071"/>
    <w:rsid w:val="004F1105"/>
    <w:rsid w:val="004F11A1"/>
    <w:rsid w:val="004F1364"/>
    <w:rsid w:val="004F140B"/>
    <w:rsid w:val="004F17BC"/>
    <w:rsid w:val="004F17C4"/>
    <w:rsid w:val="004F17D4"/>
    <w:rsid w:val="004F183E"/>
    <w:rsid w:val="004F1A8B"/>
    <w:rsid w:val="004F1B87"/>
    <w:rsid w:val="004F1BA4"/>
    <w:rsid w:val="004F1BCB"/>
    <w:rsid w:val="004F207F"/>
    <w:rsid w:val="004F23DD"/>
    <w:rsid w:val="004F2677"/>
    <w:rsid w:val="004F2716"/>
    <w:rsid w:val="004F2801"/>
    <w:rsid w:val="004F28D8"/>
    <w:rsid w:val="004F2D1B"/>
    <w:rsid w:val="004F2D24"/>
    <w:rsid w:val="004F2E9E"/>
    <w:rsid w:val="004F2EDE"/>
    <w:rsid w:val="004F2EF4"/>
    <w:rsid w:val="004F3197"/>
    <w:rsid w:val="004F319B"/>
    <w:rsid w:val="004F31C1"/>
    <w:rsid w:val="004F3300"/>
    <w:rsid w:val="004F3308"/>
    <w:rsid w:val="004F3430"/>
    <w:rsid w:val="004F3769"/>
    <w:rsid w:val="004F37DE"/>
    <w:rsid w:val="004F38BE"/>
    <w:rsid w:val="004F3946"/>
    <w:rsid w:val="004F3A4D"/>
    <w:rsid w:val="004F3C90"/>
    <w:rsid w:val="004F3E80"/>
    <w:rsid w:val="004F3F36"/>
    <w:rsid w:val="004F3FD6"/>
    <w:rsid w:val="004F3FE4"/>
    <w:rsid w:val="004F3FFB"/>
    <w:rsid w:val="004F4087"/>
    <w:rsid w:val="004F4094"/>
    <w:rsid w:val="004F40AE"/>
    <w:rsid w:val="004F4111"/>
    <w:rsid w:val="004F41E0"/>
    <w:rsid w:val="004F4204"/>
    <w:rsid w:val="004F432B"/>
    <w:rsid w:val="004F448E"/>
    <w:rsid w:val="004F44E4"/>
    <w:rsid w:val="004F4541"/>
    <w:rsid w:val="004F45E2"/>
    <w:rsid w:val="004F475A"/>
    <w:rsid w:val="004F4831"/>
    <w:rsid w:val="004F485D"/>
    <w:rsid w:val="004F498A"/>
    <w:rsid w:val="004F4B3A"/>
    <w:rsid w:val="004F4E4A"/>
    <w:rsid w:val="004F4F84"/>
    <w:rsid w:val="004F4F91"/>
    <w:rsid w:val="004F52D4"/>
    <w:rsid w:val="004F5428"/>
    <w:rsid w:val="004F55BB"/>
    <w:rsid w:val="004F55FC"/>
    <w:rsid w:val="004F57DD"/>
    <w:rsid w:val="004F5976"/>
    <w:rsid w:val="004F5A0C"/>
    <w:rsid w:val="004F5B7E"/>
    <w:rsid w:val="004F5D91"/>
    <w:rsid w:val="004F5DA2"/>
    <w:rsid w:val="004F5E81"/>
    <w:rsid w:val="004F5EF5"/>
    <w:rsid w:val="004F6059"/>
    <w:rsid w:val="004F60C0"/>
    <w:rsid w:val="004F6458"/>
    <w:rsid w:val="004F65A3"/>
    <w:rsid w:val="004F6822"/>
    <w:rsid w:val="004F6AAE"/>
    <w:rsid w:val="004F6B2D"/>
    <w:rsid w:val="004F6BE2"/>
    <w:rsid w:val="004F6C3C"/>
    <w:rsid w:val="004F6C83"/>
    <w:rsid w:val="004F6CC8"/>
    <w:rsid w:val="004F6E42"/>
    <w:rsid w:val="004F706A"/>
    <w:rsid w:val="004F7162"/>
    <w:rsid w:val="004F72F0"/>
    <w:rsid w:val="004F78DC"/>
    <w:rsid w:val="004F7E48"/>
    <w:rsid w:val="004F7F3F"/>
    <w:rsid w:val="004F7FF6"/>
    <w:rsid w:val="00500026"/>
    <w:rsid w:val="005000CC"/>
    <w:rsid w:val="005003C2"/>
    <w:rsid w:val="005003D7"/>
    <w:rsid w:val="00500417"/>
    <w:rsid w:val="005004B0"/>
    <w:rsid w:val="0050058F"/>
    <w:rsid w:val="0050063F"/>
    <w:rsid w:val="0050064B"/>
    <w:rsid w:val="005006E1"/>
    <w:rsid w:val="005007D4"/>
    <w:rsid w:val="0050082B"/>
    <w:rsid w:val="00500A50"/>
    <w:rsid w:val="00500ACD"/>
    <w:rsid w:val="00500B6B"/>
    <w:rsid w:val="00500E86"/>
    <w:rsid w:val="00500FC0"/>
    <w:rsid w:val="0050105C"/>
    <w:rsid w:val="0050116D"/>
    <w:rsid w:val="00501319"/>
    <w:rsid w:val="00501357"/>
    <w:rsid w:val="005014FE"/>
    <w:rsid w:val="0050154A"/>
    <w:rsid w:val="0050179F"/>
    <w:rsid w:val="005017E6"/>
    <w:rsid w:val="0050182A"/>
    <w:rsid w:val="00501868"/>
    <w:rsid w:val="00501A1A"/>
    <w:rsid w:val="00501AE4"/>
    <w:rsid w:val="00501B3E"/>
    <w:rsid w:val="00501CD8"/>
    <w:rsid w:val="00501E18"/>
    <w:rsid w:val="00501FE0"/>
    <w:rsid w:val="00502071"/>
    <w:rsid w:val="00502371"/>
    <w:rsid w:val="005025C5"/>
    <w:rsid w:val="005026CA"/>
    <w:rsid w:val="00502BBF"/>
    <w:rsid w:val="00502C8E"/>
    <w:rsid w:val="00502DB0"/>
    <w:rsid w:val="00502DDF"/>
    <w:rsid w:val="00502E39"/>
    <w:rsid w:val="00502ECD"/>
    <w:rsid w:val="00502F11"/>
    <w:rsid w:val="005030E1"/>
    <w:rsid w:val="00503125"/>
    <w:rsid w:val="005031A5"/>
    <w:rsid w:val="0050323E"/>
    <w:rsid w:val="0050324D"/>
    <w:rsid w:val="00503389"/>
    <w:rsid w:val="00503788"/>
    <w:rsid w:val="0050383C"/>
    <w:rsid w:val="0050388D"/>
    <w:rsid w:val="005038FB"/>
    <w:rsid w:val="00503958"/>
    <w:rsid w:val="005039B2"/>
    <w:rsid w:val="005039FB"/>
    <w:rsid w:val="00503C42"/>
    <w:rsid w:val="00503C96"/>
    <w:rsid w:val="00503DC3"/>
    <w:rsid w:val="00503F97"/>
    <w:rsid w:val="005042B8"/>
    <w:rsid w:val="005042C3"/>
    <w:rsid w:val="00504709"/>
    <w:rsid w:val="005047AC"/>
    <w:rsid w:val="00504903"/>
    <w:rsid w:val="005049DA"/>
    <w:rsid w:val="00504A88"/>
    <w:rsid w:val="00504D20"/>
    <w:rsid w:val="00504E1D"/>
    <w:rsid w:val="00504EFE"/>
    <w:rsid w:val="00505095"/>
    <w:rsid w:val="005050A7"/>
    <w:rsid w:val="005050B4"/>
    <w:rsid w:val="0050528C"/>
    <w:rsid w:val="0050531D"/>
    <w:rsid w:val="00505673"/>
    <w:rsid w:val="0050571F"/>
    <w:rsid w:val="00505865"/>
    <w:rsid w:val="0050592B"/>
    <w:rsid w:val="00505A01"/>
    <w:rsid w:val="00505A12"/>
    <w:rsid w:val="00505C5B"/>
    <w:rsid w:val="00505D74"/>
    <w:rsid w:val="00505F36"/>
    <w:rsid w:val="005060D6"/>
    <w:rsid w:val="00506121"/>
    <w:rsid w:val="00506189"/>
    <w:rsid w:val="005061D5"/>
    <w:rsid w:val="005062A0"/>
    <w:rsid w:val="005062A4"/>
    <w:rsid w:val="005063E5"/>
    <w:rsid w:val="0050654B"/>
    <w:rsid w:val="00506A27"/>
    <w:rsid w:val="00506A49"/>
    <w:rsid w:val="00506AED"/>
    <w:rsid w:val="00506C8F"/>
    <w:rsid w:val="00506D5E"/>
    <w:rsid w:val="00506FD3"/>
    <w:rsid w:val="005070DD"/>
    <w:rsid w:val="005071A8"/>
    <w:rsid w:val="00507273"/>
    <w:rsid w:val="005072E2"/>
    <w:rsid w:val="0050761E"/>
    <w:rsid w:val="005078AC"/>
    <w:rsid w:val="00507988"/>
    <w:rsid w:val="00507AC4"/>
    <w:rsid w:val="00507B04"/>
    <w:rsid w:val="00507BC9"/>
    <w:rsid w:val="00507C68"/>
    <w:rsid w:val="005104A3"/>
    <w:rsid w:val="00510506"/>
    <w:rsid w:val="00510525"/>
    <w:rsid w:val="005105EF"/>
    <w:rsid w:val="005107B2"/>
    <w:rsid w:val="00510A0C"/>
    <w:rsid w:val="00510AFA"/>
    <w:rsid w:val="00510ECB"/>
    <w:rsid w:val="00511057"/>
    <w:rsid w:val="00511091"/>
    <w:rsid w:val="005112AC"/>
    <w:rsid w:val="005112BD"/>
    <w:rsid w:val="005112EB"/>
    <w:rsid w:val="00511417"/>
    <w:rsid w:val="005115A2"/>
    <w:rsid w:val="0051168C"/>
    <w:rsid w:val="005116A7"/>
    <w:rsid w:val="005117DF"/>
    <w:rsid w:val="00511962"/>
    <w:rsid w:val="00511969"/>
    <w:rsid w:val="00511AA5"/>
    <w:rsid w:val="00511E12"/>
    <w:rsid w:val="00511E20"/>
    <w:rsid w:val="00511ECC"/>
    <w:rsid w:val="00511EF7"/>
    <w:rsid w:val="00511F48"/>
    <w:rsid w:val="00512041"/>
    <w:rsid w:val="00512248"/>
    <w:rsid w:val="00512263"/>
    <w:rsid w:val="00512341"/>
    <w:rsid w:val="005123CE"/>
    <w:rsid w:val="00512469"/>
    <w:rsid w:val="00512667"/>
    <w:rsid w:val="005126DF"/>
    <w:rsid w:val="00512A4A"/>
    <w:rsid w:val="00512A84"/>
    <w:rsid w:val="00512F26"/>
    <w:rsid w:val="00512F78"/>
    <w:rsid w:val="00513216"/>
    <w:rsid w:val="0051327E"/>
    <w:rsid w:val="005133C3"/>
    <w:rsid w:val="005133E6"/>
    <w:rsid w:val="00513476"/>
    <w:rsid w:val="005134D8"/>
    <w:rsid w:val="0051354B"/>
    <w:rsid w:val="00513582"/>
    <w:rsid w:val="005135BA"/>
    <w:rsid w:val="00513622"/>
    <w:rsid w:val="0051395B"/>
    <w:rsid w:val="0051398D"/>
    <w:rsid w:val="00513A13"/>
    <w:rsid w:val="00513D5C"/>
    <w:rsid w:val="00513E6E"/>
    <w:rsid w:val="00513F23"/>
    <w:rsid w:val="00513F57"/>
    <w:rsid w:val="00513FE5"/>
    <w:rsid w:val="0051422C"/>
    <w:rsid w:val="00514286"/>
    <w:rsid w:val="00514354"/>
    <w:rsid w:val="005143C0"/>
    <w:rsid w:val="00514525"/>
    <w:rsid w:val="00514596"/>
    <w:rsid w:val="005147DD"/>
    <w:rsid w:val="0051487C"/>
    <w:rsid w:val="00514969"/>
    <w:rsid w:val="005149FF"/>
    <w:rsid w:val="00514EDA"/>
    <w:rsid w:val="0051521A"/>
    <w:rsid w:val="005153C7"/>
    <w:rsid w:val="005157CD"/>
    <w:rsid w:val="00515848"/>
    <w:rsid w:val="00515863"/>
    <w:rsid w:val="00515BE6"/>
    <w:rsid w:val="00515C42"/>
    <w:rsid w:val="00515C5B"/>
    <w:rsid w:val="00515F8E"/>
    <w:rsid w:val="00515FA4"/>
    <w:rsid w:val="00515FAC"/>
    <w:rsid w:val="00515FAF"/>
    <w:rsid w:val="00515FB6"/>
    <w:rsid w:val="005161E6"/>
    <w:rsid w:val="00516301"/>
    <w:rsid w:val="00516854"/>
    <w:rsid w:val="005168AB"/>
    <w:rsid w:val="00516AD0"/>
    <w:rsid w:val="00516D75"/>
    <w:rsid w:val="00516DAE"/>
    <w:rsid w:val="00516E8F"/>
    <w:rsid w:val="00516EB0"/>
    <w:rsid w:val="00516F53"/>
    <w:rsid w:val="005170A4"/>
    <w:rsid w:val="005170B2"/>
    <w:rsid w:val="005171BD"/>
    <w:rsid w:val="005172C5"/>
    <w:rsid w:val="0051732C"/>
    <w:rsid w:val="00517362"/>
    <w:rsid w:val="005174D3"/>
    <w:rsid w:val="00517608"/>
    <w:rsid w:val="00517932"/>
    <w:rsid w:val="00517F5B"/>
    <w:rsid w:val="0052010D"/>
    <w:rsid w:val="00520145"/>
    <w:rsid w:val="00520655"/>
    <w:rsid w:val="0052079E"/>
    <w:rsid w:val="005208D5"/>
    <w:rsid w:val="00520A71"/>
    <w:rsid w:val="00520A85"/>
    <w:rsid w:val="00520DBE"/>
    <w:rsid w:val="00520DD5"/>
    <w:rsid w:val="00520E9B"/>
    <w:rsid w:val="00520F92"/>
    <w:rsid w:val="00520FC9"/>
    <w:rsid w:val="00521287"/>
    <w:rsid w:val="00521546"/>
    <w:rsid w:val="005215B7"/>
    <w:rsid w:val="00521609"/>
    <w:rsid w:val="00521825"/>
    <w:rsid w:val="00521AC1"/>
    <w:rsid w:val="00521B2E"/>
    <w:rsid w:val="00521B68"/>
    <w:rsid w:val="00521BB3"/>
    <w:rsid w:val="00521C2F"/>
    <w:rsid w:val="00521CF5"/>
    <w:rsid w:val="00521DA7"/>
    <w:rsid w:val="00521E71"/>
    <w:rsid w:val="00521F6C"/>
    <w:rsid w:val="005220D2"/>
    <w:rsid w:val="0052224F"/>
    <w:rsid w:val="0052230E"/>
    <w:rsid w:val="00522324"/>
    <w:rsid w:val="005224C8"/>
    <w:rsid w:val="0052279A"/>
    <w:rsid w:val="0052280D"/>
    <w:rsid w:val="005228A9"/>
    <w:rsid w:val="005228AB"/>
    <w:rsid w:val="00522925"/>
    <w:rsid w:val="00522974"/>
    <w:rsid w:val="00522AB5"/>
    <w:rsid w:val="00522AE7"/>
    <w:rsid w:val="00522BCA"/>
    <w:rsid w:val="00522F63"/>
    <w:rsid w:val="00522FA4"/>
    <w:rsid w:val="0052322C"/>
    <w:rsid w:val="00523294"/>
    <w:rsid w:val="005234FA"/>
    <w:rsid w:val="005236AB"/>
    <w:rsid w:val="00523710"/>
    <w:rsid w:val="0052372E"/>
    <w:rsid w:val="005237AF"/>
    <w:rsid w:val="005237B8"/>
    <w:rsid w:val="00523A60"/>
    <w:rsid w:val="00523C69"/>
    <w:rsid w:val="00523F33"/>
    <w:rsid w:val="00523FC6"/>
    <w:rsid w:val="00523FF8"/>
    <w:rsid w:val="005240AA"/>
    <w:rsid w:val="0052410D"/>
    <w:rsid w:val="00524541"/>
    <w:rsid w:val="0052468B"/>
    <w:rsid w:val="005246AE"/>
    <w:rsid w:val="00524719"/>
    <w:rsid w:val="00524825"/>
    <w:rsid w:val="00524B34"/>
    <w:rsid w:val="00524B4D"/>
    <w:rsid w:val="00524BCB"/>
    <w:rsid w:val="00524BD1"/>
    <w:rsid w:val="00524CF7"/>
    <w:rsid w:val="00524DFE"/>
    <w:rsid w:val="00525336"/>
    <w:rsid w:val="00525348"/>
    <w:rsid w:val="005253D6"/>
    <w:rsid w:val="005253E9"/>
    <w:rsid w:val="00525484"/>
    <w:rsid w:val="00525A3F"/>
    <w:rsid w:val="00525ACC"/>
    <w:rsid w:val="00525DE5"/>
    <w:rsid w:val="00526024"/>
    <w:rsid w:val="00526075"/>
    <w:rsid w:val="005263D4"/>
    <w:rsid w:val="005265C8"/>
    <w:rsid w:val="0052665D"/>
    <w:rsid w:val="00526806"/>
    <w:rsid w:val="00526953"/>
    <w:rsid w:val="00526CB8"/>
    <w:rsid w:val="00526ED7"/>
    <w:rsid w:val="0052715E"/>
    <w:rsid w:val="0052722D"/>
    <w:rsid w:val="005272C6"/>
    <w:rsid w:val="005273BA"/>
    <w:rsid w:val="0052753A"/>
    <w:rsid w:val="00527585"/>
    <w:rsid w:val="005277EA"/>
    <w:rsid w:val="0052782D"/>
    <w:rsid w:val="0052792D"/>
    <w:rsid w:val="005279ED"/>
    <w:rsid w:val="00527B53"/>
    <w:rsid w:val="00527FA4"/>
    <w:rsid w:val="00527FE1"/>
    <w:rsid w:val="0053007B"/>
    <w:rsid w:val="00530141"/>
    <w:rsid w:val="005302B1"/>
    <w:rsid w:val="00530649"/>
    <w:rsid w:val="005306A2"/>
    <w:rsid w:val="005308B7"/>
    <w:rsid w:val="00530B9E"/>
    <w:rsid w:val="00530CB3"/>
    <w:rsid w:val="00530CF3"/>
    <w:rsid w:val="00530E1B"/>
    <w:rsid w:val="00530E5F"/>
    <w:rsid w:val="00530E73"/>
    <w:rsid w:val="00530F8D"/>
    <w:rsid w:val="00530FFA"/>
    <w:rsid w:val="00531064"/>
    <w:rsid w:val="005310E0"/>
    <w:rsid w:val="005312DA"/>
    <w:rsid w:val="0053145D"/>
    <w:rsid w:val="005314F4"/>
    <w:rsid w:val="00531878"/>
    <w:rsid w:val="00531A31"/>
    <w:rsid w:val="00531AC8"/>
    <w:rsid w:val="00531AED"/>
    <w:rsid w:val="00531F5D"/>
    <w:rsid w:val="00531FC5"/>
    <w:rsid w:val="00532029"/>
    <w:rsid w:val="0053202E"/>
    <w:rsid w:val="00532064"/>
    <w:rsid w:val="005321C5"/>
    <w:rsid w:val="005322C4"/>
    <w:rsid w:val="00532723"/>
    <w:rsid w:val="00532781"/>
    <w:rsid w:val="005328EE"/>
    <w:rsid w:val="005329B1"/>
    <w:rsid w:val="00532A05"/>
    <w:rsid w:val="00532A57"/>
    <w:rsid w:val="00532AD1"/>
    <w:rsid w:val="00532E7A"/>
    <w:rsid w:val="00532EB7"/>
    <w:rsid w:val="005330DB"/>
    <w:rsid w:val="00533283"/>
    <w:rsid w:val="00533390"/>
    <w:rsid w:val="005333ED"/>
    <w:rsid w:val="0053340D"/>
    <w:rsid w:val="005334C3"/>
    <w:rsid w:val="005335DF"/>
    <w:rsid w:val="0053362D"/>
    <w:rsid w:val="005336C2"/>
    <w:rsid w:val="00533A66"/>
    <w:rsid w:val="00533B39"/>
    <w:rsid w:val="00533CAB"/>
    <w:rsid w:val="00533F77"/>
    <w:rsid w:val="00533F81"/>
    <w:rsid w:val="00533FC7"/>
    <w:rsid w:val="00534049"/>
    <w:rsid w:val="00534511"/>
    <w:rsid w:val="00534552"/>
    <w:rsid w:val="00534686"/>
    <w:rsid w:val="005346CD"/>
    <w:rsid w:val="0053478C"/>
    <w:rsid w:val="005347F3"/>
    <w:rsid w:val="00534856"/>
    <w:rsid w:val="005349EF"/>
    <w:rsid w:val="00534BA9"/>
    <w:rsid w:val="00534BB5"/>
    <w:rsid w:val="00534CEE"/>
    <w:rsid w:val="00534D72"/>
    <w:rsid w:val="00534ED7"/>
    <w:rsid w:val="00534EEF"/>
    <w:rsid w:val="00535398"/>
    <w:rsid w:val="005354CA"/>
    <w:rsid w:val="005354EB"/>
    <w:rsid w:val="005354F9"/>
    <w:rsid w:val="005354FA"/>
    <w:rsid w:val="0053552C"/>
    <w:rsid w:val="00535816"/>
    <w:rsid w:val="00535AE3"/>
    <w:rsid w:val="00535B21"/>
    <w:rsid w:val="00535B81"/>
    <w:rsid w:val="00535C19"/>
    <w:rsid w:val="00535E0D"/>
    <w:rsid w:val="00535E5F"/>
    <w:rsid w:val="0053607B"/>
    <w:rsid w:val="005361D5"/>
    <w:rsid w:val="00536778"/>
    <w:rsid w:val="00536A71"/>
    <w:rsid w:val="00536C72"/>
    <w:rsid w:val="00536C7A"/>
    <w:rsid w:val="00536D2F"/>
    <w:rsid w:val="00536E61"/>
    <w:rsid w:val="0053708F"/>
    <w:rsid w:val="00537437"/>
    <w:rsid w:val="005375DC"/>
    <w:rsid w:val="00537620"/>
    <w:rsid w:val="005376B9"/>
    <w:rsid w:val="00537707"/>
    <w:rsid w:val="00537BC5"/>
    <w:rsid w:val="00537C0A"/>
    <w:rsid w:val="00537C1A"/>
    <w:rsid w:val="00537CF0"/>
    <w:rsid w:val="00537D0D"/>
    <w:rsid w:val="00537D10"/>
    <w:rsid w:val="005400EF"/>
    <w:rsid w:val="005402B5"/>
    <w:rsid w:val="0054039C"/>
    <w:rsid w:val="0054043F"/>
    <w:rsid w:val="005404C1"/>
    <w:rsid w:val="0054080C"/>
    <w:rsid w:val="005408A7"/>
    <w:rsid w:val="00540B60"/>
    <w:rsid w:val="00540C10"/>
    <w:rsid w:val="00540C4A"/>
    <w:rsid w:val="00540C5A"/>
    <w:rsid w:val="00540CAB"/>
    <w:rsid w:val="00540CB7"/>
    <w:rsid w:val="00540F69"/>
    <w:rsid w:val="00541021"/>
    <w:rsid w:val="0054102C"/>
    <w:rsid w:val="005410B0"/>
    <w:rsid w:val="005412A9"/>
    <w:rsid w:val="005418BC"/>
    <w:rsid w:val="005418D2"/>
    <w:rsid w:val="00541996"/>
    <w:rsid w:val="00541A6A"/>
    <w:rsid w:val="00541B3A"/>
    <w:rsid w:val="00541C74"/>
    <w:rsid w:val="00541E3C"/>
    <w:rsid w:val="00542036"/>
    <w:rsid w:val="00542067"/>
    <w:rsid w:val="00542083"/>
    <w:rsid w:val="00542179"/>
    <w:rsid w:val="00542187"/>
    <w:rsid w:val="0054242A"/>
    <w:rsid w:val="00542541"/>
    <w:rsid w:val="0054265E"/>
    <w:rsid w:val="005426EE"/>
    <w:rsid w:val="0054275F"/>
    <w:rsid w:val="00542837"/>
    <w:rsid w:val="00542873"/>
    <w:rsid w:val="005428AA"/>
    <w:rsid w:val="00542956"/>
    <w:rsid w:val="00542BCB"/>
    <w:rsid w:val="00542ED8"/>
    <w:rsid w:val="0054310A"/>
    <w:rsid w:val="0054319E"/>
    <w:rsid w:val="00543445"/>
    <w:rsid w:val="00543502"/>
    <w:rsid w:val="00543620"/>
    <w:rsid w:val="005436BA"/>
    <w:rsid w:val="005437CB"/>
    <w:rsid w:val="00543823"/>
    <w:rsid w:val="005438A2"/>
    <w:rsid w:val="00543A34"/>
    <w:rsid w:val="00543A94"/>
    <w:rsid w:val="00543B3F"/>
    <w:rsid w:val="00543DC0"/>
    <w:rsid w:val="00543E98"/>
    <w:rsid w:val="00543E99"/>
    <w:rsid w:val="00543F99"/>
    <w:rsid w:val="00543FF0"/>
    <w:rsid w:val="005440B2"/>
    <w:rsid w:val="00544198"/>
    <w:rsid w:val="00544265"/>
    <w:rsid w:val="00544345"/>
    <w:rsid w:val="00544404"/>
    <w:rsid w:val="00544B8A"/>
    <w:rsid w:val="00544E5F"/>
    <w:rsid w:val="00544FB6"/>
    <w:rsid w:val="00544FD5"/>
    <w:rsid w:val="005451FF"/>
    <w:rsid w:val="005452CC"/>
    <w:rsid w:val="005453CA"/>
    <w:rsid w:val="00545494"/>
    <w:rsid w:val="005454CC"/>
    <w:rsid w:val="00545873"/>
    <w:rsid w:val="00545C89"/>
    <w:rsid w:val="00545E91"/>
    <w:rsid w:val="005460C9"/>
    <w:rsid w:val="00546116"/>
    <w:rsid w:val="0054615D"/>
    <w:rsid w:val="0054625C"/>
    <w:rsid w:val="0054652D"/>
    <w:rsid w:val="005465F7"/>
    <w:rsid w:val="0054667C"/>
    <w:rsid w:val="005466E3"/>
    <w:rsid w:val="00546A3F"/>
    <w:rsid w:val="00546C0C"/>
    <w:rsid w:val="00546C52"/>
    <w:rsid w:val="00546DB4"/>
    <w:rsid w:val="00546F05"/>
    <w:rsid w:val="00547009"/>
    <w:rsid w:val="0054723E"/>
    <w:rsid w:val="0054723F"/>
    <w:rsid w:val="005474A9"/>
    <w:rsid w:val="005475E2"/>
    <w:rsid w:val="00547662"/>
    <w:rsid w:val="005476A4"/>
    <w:rsid w:val="005476D5"/>
    <w:rsid w:val="0054771A"/>
    <w:rsid w:val="005478F9"/>
    <w:rsid w:val="00547A82"/>
    <w:rsid w:val="00547B9E"/>
    <w:rsid w:val="00547DE7"/>
    <w:rsid w:val="00547FCD"/>
    <w:rsid w:val="00550018"/>
    <w:rsid w:val="005501BD"/>
    <w:rsid w:val="00550442"/>
    <w:rsid w:val="0055060F"/>
    <w:rsid w:val="0055070C"/>
    <w:rsid w:val="005508F3"/>
    <w:rsid w:val="005509FF"/>
    <w:rsid w:val="00550AD8"/>
    <w:rsid w:val="00550D63"/>
    <w:rsid w:val="00550F22"/>
    <w:rsid w:val="00550FE3"/>
    <w:rsid w:val="00551411"/>
    <w:rsid w:val="0055163C"/>
    <w:rsid w:val="00551650"/>
    <w:rsid w:val="005516FD"/>
    <w:rsid w:val="00551828"/>
    <w:rsid w:val="005518BC"/>
    <w:rsid w:val="005518F4"/>
    <w:rsid w:val="00551E4C"/>
    <w:rsid w:val="00552075"/>
    <w:rsid w:val="00552146"/>
    <w:rsid w:val="00552187"/>
    <w:rsid w:val="00552192"/>
    <w:rsid w:val="00552360"/>
    <w:rsid w:val="00552396"/>
    <w:rsid w:val="005523D7"/>
    <w:rsid w:val="00552512"/>
    <w:rsid w:val="0055251A"/>
    <w:rsid w:val="00552798"/>
    <w:rsid w:val="005528FE"/>
    <w:rsid w:val="005529B3"/>
    <w:rsid w:val="00552AC7"/>
    <w:rsid w:val="00552B47"/>
    <w:rsid w:val="00552BF1"/>
    <w:rsid w:val="00552D98"/>
    <w:rsid w:val="00552D9D"/>
    <w:rsid w:val="00552FC2"/>
    <w:rsid w:val="00553048"/>
    <w:rsid w:val="0055307D"/>
    <w:rsid w:val="0055342C"/>
    <w:rsid w:val="00553529"/>
    <w:rsid w:val="0055361B"/>
    <w:rsid w:val="0055367E"/>
    <w:rsid w:val="00553949"/>
    <w:rsid w:val="00553A06"/>
    <w:rsid w:val="00553D7C"/>
    <w:rsid w:val="00553F0A"/>
    <w:rsid w:val="005542C5"/>
    <w:rsid w:val="005543A7"/>
    <w:rsid w:val="005543D5"/>
    <w:rsid w:val="0055452F"/>
    <w:rsid w:val="00554561"/>
    <w:rsid w:val="00554613"/>
    <w:rsid w:val="00554698"/>
    <w:rsid w:val="00554780"/>
    <w:rsid w:val="005548DE"/>
    <w:rsid w:val="00554B92"/>
    <w:rsid w:val="00554C18"/>
    <w:rsid w:val="00554FD2"/>
    <w:rsid w:val="0055507F"/>
    <w:rsid w:val="00555278"/>
    <w:rsid w:val="00555333"/>
    <w:rsid w:val="00555363"/>
    <w:rsid w:val="0055545F"/>
    <w:rsid w:val="005557A5"/>
    <w:rsid w:val="00555897"/>
    <w:rsid w:val="00555988"/>
    <w:rsid w:val="005559BF"/>
    <w:rsid w:val="00555A52"/>
    <w:rsid w:val="00555B4A"/>
    <w:rsid w:val="00555B5F"/>
    <w:rsid w:val="00555E0A"/>
    <w:rsid w:val="00555E57"/>
    <w:rsid w:val="00555F4A"/>
    <w:rsid w:val="0055603A"/>
    <w:rsid w:val="0055623C"/>
    <w:rsid w:val="00556400"/>
    <w:rsid w:val="00556517"/>
    <w:rsid w:val="00556598"/>
    <w:rsid w:val="005565E7"/>
    <w:rsid w:val="005567A7"/>
    <w:rsid w:val="005567ED"/>
    <w:rsid w:val="005568E4"/>
    <w:rsid w:val="005568F6"/>
    <w:rsid w:val="00556916"/>
    <w:rsid w:val="00556954"/>
    <w:rsid w:val="00556971"/>
    <w:rsid w:val="005569B8"/>
    <w:rsid w:val="00556A0F"/>
    <w:rsid w:val="00556A2A"/>
    <w:rsid w:val="00556CD6"/>
    <w:rsid w:val="00556CF3"/>
    <w:rsid w:val="00556DD5"/>
    <w:rsid w:val="00556E78"/>
    <w:rsid w:val="00556EE0"/>
    <w:rsid w:val="00557043"/>
    <w:rsid w:val="0055712F"/>
    <w:rsid w:val="0055718F"/>
    <w:rsid w:val="005571AA"/>
    <w:rsid w:val="005571EF"/>
    <w:rsid w:val="00557382"/>
    <w:rsid w:val="005573DC"/>
    <w:rsid w:val="005573E5"/>
    <w:rsid w:val="00557425"/>
    <w:rsid w:val="005575B4"/>
    <w:rsid w:val="005575D8"/>
    <w:rsid w:val="00557656"/>
    <w:rsid w:val="005576D8"/>
    <w:rsid w:val="0055780A"/>
    <w:rsid w:val="00557854"/>
    <w:rsid w:val="0055793C"/>
    <w:rsid w:val="00557952"/>
    <w:rsid w:val="00557BB8"/>
    <w:rsid w:val="00557C40"/>
    <w:rsid w:val="00557C4E"/>
    <w:rsid w:val="00557DE0"/>
    <w:rsid w:val="0056003A"/>
    <w:rsid w:val="00560098"/>
    <w:rsid w:val="005600D8"/>
    <w:rsid w:val="00560116"/>
    <w:rsid w:val="00560240"/>
    <w:rsid w:val="005603B3"/>
    <w:rsid w:val="00560400"/>
    <w:rsid w:val="00560408"/>
    <w:rsid w:val="00560530"/>
    <w:rsid w:val="00560BCD"/>
    <w:rsid w:val="00560F05"/>
    <w:rsid w:val="00560F1E"/>
    <w:rsid w:val="0056100A"/>
    <w:rsid w:val="0056110C"/>
    <w:rsid w:val="00561141"/>
    <w:rsid w:val="00561152"/>
    <w:rsid w:val="005611A0"/>
    <w:rsid w:val="005615FD"/>
    <w:rsid w:val="00561790"/>
    <w:rsid w:val="005619C4"/>
    <w:rsid w:val="0056203C"/>
    <w:rsid w:val="005621CB"/>
    <w:rsid w:val="0056245C"/>
    <w:rsid w:val="00562510"/>
    <w:rsid w:val="0056251E"/>
    <w:rsid w:val="00562AAB"/>
    <w:rsid w:val="00562BC1"/>
    <w:rsid w:val="00562DF2"/>
    <w:rsid w:val="00562E21"/>
    <w:rsid w:val="00562EB5"/>
    <w:rsid w:val="00562FBF"/>
    <w:rsid w:val="0056300B"/>
    <w:rsid w:val="00563219"/>
    <w:rsid w:val="00563403"/>
    <w:rsid w:val="005634EA"/>
    <w:rsid w:val="005635F3"/>
    <w:rsid w:val="005637A2"/>
    <w:rsid w:val="005637A6"/>
    <w:rsid w:val="005637E3"/>
    <w:rsid w:val="005638C7"/>
    <w:rsid w:val="00563B57"/>
    <w:rsid w:val="00563DAA"/>
    <w:rsid w:val="00563F45"/>
    <w:rsid w:val="005640A9"/>
    <w:rsid w:val="005640F4"/>
    <w:rsid w:val="0056412A"/>
    <w:rsid w:val="00564258"/>
    <w:rsid w:val="005643C0"/>
    <w:rsid w:val="005645AF"/>
    <w:rsid w:val="0056462E"/>
    <w:rsid w:val="005646CC"/>
    <w:rsid w:val="005647E7"/>
    <w:rsid w:val="00564C17"/>
    <w:rsid w:val="00564C51"/>
    <w:rsid w:val="00564C8E"/>
    <w:rsid w:val="00564CB9"/>
    <w:rsid w:val="00564D26"/>
    <w:rsid w:val="00564D44"/>
    <w:rsid w:val="00564E43"/>
    <w:rsid w:val="00564F49"/>
    <w:rsid w:val="00564F63"/>
    <w:rsid w:val="00564FE8"/>
    <w:rsid w:val="0056500F"/>
    <w:rsid w:val="00565031"/>
    <w:rsid w:val="00565095"/>
    <w:rsid w:val="00565132"/>
    <w:rsid w:val="0056521F"/>
    <w:rsid w:val="0056539B"/>
    <w:rsid w:val="005653AA"/>
    <w:rsid w:val="0056544A"/>
    <w:rsid w:val="00565474"/>
    <w:rsid w:val="005654FC"/>
    <w:rsid w:val="00565550"/>
    <w:rsid w:val="00565653"/>
    <w:rsid w:val="005657F2"/>
    <w:rsid w:val="00565A07"/>
    <w:rsid w:val="00565B4E"/>
    <w:rsid w:val="00565B86"/>
    <w:rsid w:val="00565BF1"/>
    <w:rsid w:val="00565F1F"/>
    <w:rsid w:val="0056634A"/>
    <w:rsid w:val="005666A5"/>
    <w:rsid w:val="005667E0"/>
    <w:rsid w:val="0056682B"/>
    <w:rsid w:val="00566851"/>
    <w:rsid w:val="00566880"/>
    <w:rsid w:val="005668C4"/>
    <w:rsid w:val="00566910"/>
    <w:rsid w:val="00566A50"/>
    <w:rsid w:val="00566A6E"/>
    <w:rsid w:val="00566A94"/>
    <w:rsid w:val="00566AA3"/>
    <w:rsid w:val="00566DEA"/>
    <w:rsid w:val="00566E02"/>
    <w:rsid w:val="00566E76"/>
    <w:rsid w:val="00566F02"/>
    <w:rsid w:val="00566F7D"/>
    <w:rsid w:val="00566FCD"/>
    <w:rsid w:val="0056705D"/>
    <w:rsid w:val="0056706E"/>
    <w:rsid w:val="005671E7"/>
    <w:rsid w:val="0056772A"/>
    <w:rsid w:val="00567810"/>
    <w:rsid w:val="00567933"/>
    <w:rsid w:val="005679AD"/>
    <w:rsid w:val="00567A5D"/>
    <w:rsid w:val="00567AA7"/>
    <w:rsid w:val="00567B55"/>
    <w:rsid w:val="00567BCA"/>
    <w:rsid w:val="00567BD3"/>
    <w:rsid w:val="00567C44"/>
    <w:rsid w:val="00567CCA"/>
    <w:rsid w:val="00567E79"/>
    <w:rsid w:val="00567FBC"/>
    <w:rsid w:val="005700EC"/>
    <w:rsid w:val="0057025F"/>
    <w:rsid w:val="005702D7"/>
    <w:rsid w:val="005702F3"/>
    <w:rsid w:val="005702F6"/>
    <w:rsid w:val="005703B6"/>
    <w:rsid w:val="005703E3"/>
    <w:rsid w:val="005705F8"/>
    <w:rsid w:val="00570622"/>
    <w:rsid w:val="00570727"/>
    <w:rsid w:val="00570771"/>
    <w:rsid w:val="00570894"/>
    <w:rsid w:val="0057097E"/>
    <w:rsid w:val="005709B3"/>
    <w:rsid w:val="00570F09"/>
    <w:rsid w:val="00570F5F"/>
    <w:rsid w:val="00570FFC"/>
    <w:rsid w:val="00571464"/>
    <w:rsid w:val="0057154C"/>
    <w:rsid w:val="00571735"/>
    <w:rsid w:val="00571748"/>
    <w:rsid w:val="00571760"/>
    <w:rsid w:val="005717FB"/>
    <w:rsid w:val="005718B3"/>
    <w:rsid w:val="00571BF2"/>
    <w:rsid w:val="00571C25"/>
    <w:rsid w:val="00571EAD"/>
    <w:rsid w:val="00572151"/>
    <w:rsid w:val="00572285"/>
    <w:rsid w:val="005722EB"/>
    <w:rsid w:val="00572577"/>
    <w:rsid w:val="00572675"/>
    <w:rsid w:val="005726D8"/>
    <w:rsid w:val="00572747"/>
    <w:rsid w:val="00572758"/>
    <w:rsid w:val="005728D0"/>
    <w:rsid w:val="00572D73"/>
    <w:rsid w:val="00572E04"/>
    <w:rsid w:val="00572E71"/>
    <w:rsid w:val="00573246"/>
    <w:rsid w:val="0057338C"/>
    <w:rsid w:val="005733A3"/>
    <w:rsid w:val="005736F4"/>
    <w:rsid w:val="0057398B"/>
    <w:rsid w:val="00573D05"/>
    <w:rsid w:val="00573E7C"/>
    <w:rsid w:val="00574213"/>
    <w:rsid w:val="005742E2"/>
    <w:rsid w:val="005743A4"/>
    <w:rsid w:val="005743C7"/>
    <w:rsid w:val="0057463E"/>
    <w:rsid w:val="005746EC"/>
    <w:rsid w:val="0057470F"/>
    <w:rsid w:val="00574AE0"/>
    <w:rsid w:val="00574B17"/>
    <w:rsid w:val="00574B41"/>
    <w:rsid w:val="00574DA4"/>
    <w:rsid w:val="00574EF9"/>
    <w:rsid w:val="00574F29"/>
    <w:rsid w:val="00575009"/>
    <w:rsid w:val="00575032"/>
    <w:rsid w:val="005750EF"/>
    <w:rsid w:val="0057518B"/>
    <w:rsid w:val="00575214"/>
    <w:rsid w:val="00575589"/>
    <w:rsid w:val="005757AD"/>
    <w:rsid w:val="00575B39"/>
    <w:rsid w:val="00575C75"/>
    <w:rsid w:val="00575C7B"/>
    <w:rsid w:val="00575D3F"/>
    <w:rsid w:val="00575ED5"/>
    <w:rsid w:val="00575FB6"/>
    <w:rsid w:val="00576141"/>
    <w:rsid w:val="0057633C"/>
    <w:rsid w:val="00576642"/>
    <w:rsid w:val="005767CA"/>
    <w:rsid w:val="005768CB"/>
    <w:rsid w:val="005769A4"/>
    <w:rsid w:val="00576AC9"/>
    <w:rsid w:val="00576CCC"/>
    <w:rsid w:val="00576D6F"/>
    <w:rsid w:val="00576D9B"/>
    <w:rsid w:val="00576EF6"/>
    <w:rsid w:val="0057729D"/>
    <w:rsid w:val="005774C0"/>
    <w:rsid w:val="0057755B"/>
    <w:rsid w:val="00577647"/>
    <w:rsid w:val="005777C9"/>
    <w:rsid w:val="005778EF"/>
    <w:rsid w:val="005778FD"/>
    <w:rsid w:val="00577960"/>
    <w:rsid w:val="00577B10"/>
    <w:rsid w:val="00577BBB"/>
    <w:rsid w:val="00577E6A"/>
    <w:rsid w:val="00580125"/>
    <w:rsid w:val="00580180"/>
    <w:rsid w:val="005801B1"/>
    <w:rsid w:val="005802D9"/>
    <w:rsid w:val="00580319"/>
    <w:rsid w:val="00580324"/>
    <w:rsid w:val="005803AA"/>
    <w:rsid w:val="00580633"/>
    <w:rsid w:val="00580B48"/>
    <w:rsid w:val="00580BEB"/>
    <w:rsid w:val="00580BF2"/>
    <w:rsid w:val="00580D8F"/>
    <w:rsid w:val="00581067"/>
    <w:rsid w:val="00581085"/>
    <w:rsid w:val="005810E9"/>
    <w:rsid w:val="005813E2"/>
    <w:rsid w:val="005813FF"/>
    <w:rsid w:val="005814E7"/>
    <w:rsid w:val="005815C7"/>
    <w:rsid w:val="005817F7"/>
    <w:rsid w:val="00581817"/>
    <w:rsid w:val="00581902"/>
    <w:rsid w:val="00581909"/>
    <w:rsid w:val="00581A05"/>
    <w:rsid w:val="00581A06"/>
    <w:rsid w:val="00581A7A"/>
    <w:rsid w:val="00581C9B"/>
    <w:rsid w:val="00581D8A"/>
    <w:rsid w:val="00581DDC"/>
    <w:rsid w:val="00581E2A"/>
    <w:rsid w:val="00581F20"/>
    <w:rsid w:val="00582015"/>
    <w:rsid w:val="005820D3"/>
    <w:rsid w:val="00582274"/>
    <w:rsid w:val="00582301"/>
    <w:rsid w:val="005824DF"/>
    <w:rsid w:val="005825C7"/>
    <w:rsid w:val="0058265B"/>
    <w:rsid w:val="005827D3"/>
    <w:rsid w:val="005827D5"/>
    <w:rsid w:val="00582BC5"/>
    <w:rsid w:val="00582C88"/>
    <w:rsid w:val="00582C90"/>
    <w:rsid w:val="00582E1D"/>
    <w:rsid w:val="00582F40"/>
    <w:rsid w:val="00582F7B"/>
    <w:rsid w:val="00583990"/>
    <w:rsid w:val="00584051"/>
    <w:rsid w:val="005840BD"/>
    <w:rsid w:val="00584470"/>
    <w:rsid w:val="00584731"/>
    <w:rsid w:val="00584CD7"/>
    <w:rsid w:val="00584D15"/>
    <w:rsid w:val="00584DB4"/>
    <w:rsid w:val="005852EF"/>
    <w:rsid w:val="0058536F"/>
    <w:rsid w:val="00585384"/>
    <w:rsid w:val="0058547B"/>
    <w:rsid w:val="00585563"/>
    <w:rsid w:val="005858C2"/>
    <w:rsid w:val="0058592B"/>
    <w:rsid w:val="0058597C"/>
    <w:rsid w:val="00585A00"/>
    <w:rsid w:val="00585AC6"/>
    <w:rsid w:val="00585B1A"/>
    <w:rsid w:val="00585CF0"/>
    <w:rsid w:val="00585F4E"/>
    <w:rsid w:val="00586195"/>
    <w:rsid w:val="0058632E"/>
    <w:rsid w:val="0058647D"/>
    <w:rsid w:val="0058650F"/>
    <w:rsid w:val="0058655B"/>
    <w:rsid w:val="00586866"/>
    <w:rsid w:val="00586B47"/>
    <w:rsid w:val="00586C50"/>
    <w:rsid w:val="00586C74"/>
    <w:rsid w:val="00586DF2"/>
    <w:rsid w:val="00587017"/>
    <w:rsid w:val="00587067"/>
    <w:rsid w:val="00587124"/>
    <w:rsid w:val="00587179"/>
    <w:rsid w:val="00587218"/>
    <w:rsid w:val="005872C5"/>
    <w:rsid w:val="005872D2"/>
    <w:rsid w:val="00587438"/>
    <w:rsid w:val="00587465"/>
    <w:rsid w:val="005874E0"/>
    <w:rsid w:val="00587688"/>
    <w:rsid w:val="00587875"/>
    <w:rsid w:val="00587A0A"/>
    <w:rsid w:val="00587B88"/>
    <w:rsid w:val="00587C01"/>
    <w:rsid w:val="00587EB1"/>
    <w:rsid w:val="00587F5B"/>
    <w:rsid w:val="005900A6"/>
    <w:rsid w:val="005900BD"/>
    <w:rsid w:val="00590138"/>
    <w:rsid w:val="0059022F"/>
    <w:rsid w:val="00590868"/>
    <w:rsid w:val="00590AE1"/>
    <w:rsid w:val="00590B13"/>
    <w:rsid w:val="00590B90"/>
    <w:rsid w:val="00590B9E"/>
    <w:rsid w:val="00590D4F"/>
    <w:rsid w:val="00590E0B"/>
    <w:rsid w:val="00591031"/>
    <w:rsid w:val="00591125"/>
    <w:rsid w:val="005911A9"/>
    <w:rsid w:val="0059145B"/>
    <w:rsid w:val="0059175F"/>
    <w:rsid w:val="005917A5"/>
    <w:rsid w:val="00591873"/>
    <w:rsid w:val="00591923"/>
    <w:rsid w:val="005919FE"/>
    <w:rsid w:val="00591B3B"/>
    <w:rsid w:val="00591B8C"/>
    <w:rsid w:val="00591B97"/>
    <w:rsid w:val="00591BA8"/>
    <w:rsid w:val="00591CE5"/>
    <w:rsid w:val="00591DE5"/>
    <w:rsid w:val="00591F01"/>
    <w:rsid w:val="00592113"/>
    <w:rsid w:val="00592144"/>
    <w:rsid w:val="005922D0"/>
    <w:rsid w:val="0059268D"/>
    <w:rsid w:val="00592707"/>
    <w:rsid w:val="00592769"/>
    <w:rsid w:val="00592A3D"/>
    <w:rsid w:val="00592B84"/>
    <w:rsid w:val="00592D44"/>
    <w:rsid w:val="00592E2E"/>
    <w:rsid w:val="00592F3F"/>
    <w:rsid w:val="00592FAA"/>
    <w:rsid w:val="00593024"/>
    <w:rsid w:val="0059321E"/>
    <w:rsid w:val="0059339D"/>
    <w:rsid w:val="005934DD"/>
    <w:rsid w:val="005935B3"/>
    <w:rsid w:val="005935D7"/>
    <w:rsid w:val="0059370C"/>
    <w:rsid w:val="005937A4"/>
    <w:rsid w:val="0059380D"/>
    <w:rsid w:val="005938D9"/>
    <w:rsid w:val="00593960"/>
    <w:rsid w:val="005939E9"/>
    <w:rsid w:val="00593C03"/>
    <w:rsid w:val="00594141"/>
    <w:rsid w:val="0059420F"/>
    <w:rsid w:val="005943F5"/>
    <w:rsid w:val="00594632"/>
    <w:rsid w:val="0059481C"/>
    <w:rsid w:val="00594884"/>
    <w:rsid w:val="00594909"/>
    <w:rsid w:val="0059497E"/>
    <w:rsid w:val="00594A82"/>
    <w:rsid w:val="00594CEC"/>
    <w:rsid w:val="00594DF1"/>
    <w:rsid w:val="00594F3D"/>
    <w:rsid w:val="00595044"/>
    <w:rsid w:val="0059545C"/>
    <w:rsid w:val="00595577"/>
    <w:rsid w:val="00595699"/>
    <w:rsid w:val="0059573A"/>
    <w:rsid w:val="00595CA5"/>
    <w:rsid w:val="00596192"/>
    <w:rsid w:val="005961B4"/>
    <w:rsid w:val="00596265"/>
    <w:rsid w:val="005962CF"/>
    <w:rsid w:val="00596489"/>
    <w:rsid w:val="005967B7"/>
    <w:rsid w:val="0059688D"/>
    <w:rsid w:val="005968B9"/>
    <w:rsid w:val="0059691D"/>
    <w:rsid w:val="00596A43"/>
    <w:rsid w:val="00596CD4"/>
    <w:rsid w:val="00596CF6"/>
    <w:rsid w:val="00596EA0"/>
    <w:rsid w:val="00596EBB"/>
    <w:rsid w:val="00597030"/>
    <w:rsid w:val="005971D6"/>
    <w:rsid w:val="00597299"/>
    <w:rsid w:val="00597424"/>
    <w:rsid w:val="00597A63"/>
    <w:rsid w:val="00597D4F"/>
    <w:rsid w:val="00597EDC"/>
    <w:rsid w:val="00597FDA"/>
    <w:rsid w:val="005A00EC"/>
    <w:rsid w:val="005A0114"/>
    <w:rsid w:val="005A017E"/>
    <w:rsid w:val="005A0325"/>
    <w:rsid w:val="005A0362"/>
    <w:rsid w:val="005A041E"/>
    <w:rsid w:val="005A076F"/>
    <w:rsid w:val="005A089B"/>
    <w:rsid w:val="005A0C05"/>
    <w:rsid w:val="005A0DD7"/>
    <w:rsid w:val="005A0E36"/>
    <w:rsid w:val="005A0E75"/>
    <w:rsid w:val="005A0EEF"/>
    <w:rsid w:val="005A0F8C"/>
    <w:rsid w:val="005A103C"/>
    <w:rsid w:val="005A1275"/>
    <w:rsid w:val="005A1328"/>
    <w:rsid w:val="005A1386"/>
    <w:rsid w:val="005A13ED"/>
    <w:rsid w:val="005A1411"/>
    <w:rsid w:val="005A175D"/>
    <w:rsid w:val="005A1795"/>
    <w:rsid w:val="005A17F1"/>
    <w:rsid w:val="005A1859"/>
    <w:rsid w:val="005A1867"/>
    <w:rsid w:val="005A195E"/>
    <w:rsid w:val="005A19E9"/>
    <w:rsid w:val="005A1A3E"/>
    <w:rsid w:val="005A1A55"/>
    <w:rsid w:val="005A1BAF"/>
    <w:rsid w:val="005A1C76"/>
    <w:rsid w:val="005A1F66"/>
    <w:rsid w:val="005A2181"/>
    <w:rsid w:val="005A23F0"/>
    <w:rsid w:val="005A2407"/>
    <w:rsid w:val="005A244E"/>
    <w:rsid w:val="005A2478"/>
    <w:rsid w:val="005A24E1"/>
    <w:rsid w:val="005A25DB"/>
    <w:rsid w:val="005A265F"/>
    <w:rsid w:val="005A2A52"/>
    <w:rsid w:val="005A2AC6"/>
    <w:rsid w:val="005A2AC7"/>
    <w:rsid w:val="005A2CAE"/>
    <w:rsid w:val="005A2CC6"/>
    <w:rsid w:val="005A2CD1"/>
    <w:rsid w:val="005A2E13"/>
    <w:rsid w:val="005A2E33"/>
    <w:rsid w:val="005A2E44"/>
    <w:rsid w:val="005A3117"/>
    <w:rsid w:val="005A3220"/>
    <w:rsid w:val="005A336C"/>
    <w:rsid w:val="005A33D7"/>
    <w:rsid w:val="005A34E8"/>
    <w:rsid w:val="005A352D"/>
    <w:rsid w:val="005A362F"/>
    <w:rsid w:val="005A3972"/>
    <w:rsid w:val="005A3994"/>
    <w:rsid w:val="005A3B99"/>
    <w:rsid w:val="005A3C8B"/>
    <w:rsid w:val="005A3CF0"/>
    <w:rsid w:val="005A3DBF"/>
    <w:rsid w:val="005A3E18"/>
    <w:rsid w:val="005A3ECA"/>
    <w:rsid w:val="005A3F82"/>
    <w:rsid w:val="005A3FD7"/>
    <w:rsid w:val="005A4049"/>
    <w:rsid w:val="005A40F7"/>
    <w:rsid w:val="005A42FC"/>
    <w:rsid w:val="005A439A"/>
    <w:rsid w:val="005A4465"/>
    <w:rsid w:val="005A4492"/>
    <w:rsid w:val="005A455F"/>
    <w:rsid w:val="005A4672"/>
    <w:rsid w:val="005A47B8"/>
    <w:rsid w:val="005A4873"/>
    <w:rsid w:val="005A4925"/>
    <w:rsid w:val="005A49FD"/>
    <w:rsid w:val="005A4C15"/>
    <w:rsid w:val="005A4E00"/>
    <w:rsid w:val="005A4E2A"/>
    <w:rsid w:val="005A4E4D"/>
    <w:rsid w:val="005A4EB1"/>
    <w:rsid w:val="005A5045"/>
    <w:rsid w:val="005A5169"/>
    <w:rsid w:val="005A527C"/>
    <w:rsid w:val="005A5644"/>
    <w:rsid w:val="005A56A7"/>
    <w:rsid w:val="005A58BB"/>
    <w:rsid w:val="005A5968"/>
    <w:rsid w:val="005A5A2F"/>
    <w:rsid w:val="005A5ACC"/>
    <w:rsid w:val="005A5EAE"/>
    <w:rsid w:val="005A5EEC"/>
    <w:rsid w:val="005A6077"/>
    <w:rsid w:val="005A62AE"/>
    <w:rsid w:val="005A62B1"/>
    <w:rsid w:val="005A6462"/>
    <w:rsid w:val="005A6493"/>
    <w:rsid w:val="005A654C"/>
    <w:rsid w:val="005A657A"/>
    <w:rsid w:val="005A678D"/>
    <w:rsid w:val="005A6813"/>
    <w:rsid w:val="005A6961"/>
    <w:rsid w:val="005A6996"/>
    <w:rsid w:val="005A69C6"/>
    <w:rsid w:val="005A6B6E"/>
    <w:rsid w:val="005A6BF5"/>
    <w:rsid w:val="005A6C7A"/>
    <w:rsid w:val="005A6E00"/>
    <w:rsid w:val="005A703A"/>
    <w:rsid w:val="005A7281"/>
    <w:rsid w:val="005A72C5"/>
    <w:rsid w:val="005A762F"/>
    <w:rsid w:val="005A78CE"/>
    <w:rsid w:val="005A7962"/>
    <w:rsid w:val="005A79D3"/>
    <w:rsid w:val="005A7B93"/>
    <w:rsid w:val="005A7D8E"/>
    <w:rsid w:val="005A7DE9"/>
    <w:rsid w:val="005A7DF1"/>
    <w:rsid w:val="005A7E34"/>
    <w:rsid w:val="005A7F7C"/>
    <w:rsid w:val="005A7FBF"/>
    <w:rsid w:val="005B00FE"/>
    <w:rsid w:val="005B017D"/>
    <w:rsid w:val="005B02FE"/>
    <w:rsid w:val="005B0322"/>
    <w:rsid w:val="005B03C9"/>
    <w:rsid w:val="005B0709"/>
    <w:rsid w:val="005B07D7"/>
    <w:rsid w:val="005B07FE"/>
    <w:rsid w:val="005B08B9"/>
    <w:rsid w:val="005B092E"/>
    <w:rsid w:val="005B093D"/>
    <w:rsid w:val="005B0C27"/>
    <w:rsid w:val="005B0C59"/>
    <w:rsid w:val="005B0C5D"/>
    <w:rsid w:val="005B0D77"/>
    <w:rsid w:val="005B0ECC"/>
    <w:rsid w:val="005B10F0"/>
    <w:rsid w:val="005B15C5"/>
    <w:rsid w:val="005B15F4"/>
    <w:rsid w:val="005B18DE"/>
    <w:rsid w:val="005B1BF8"/>
    <w:rsid w:val="005B1E2A"/>
    <w:rsid w:val="005B2227"/>
    <w:rsid w:val="005B24A1"/>
    <w:rsid w:val="005B278D"/>
    <w:rsid w:val="005B28DF"/>
    <w:rsid w:val="005B2B13"/>
    <w:rsid w:val="005B2BA0"/>
    <w:rsid w:val="005B2C28"/>
    <w:rsid w:val="005B2C3C"/>
    <w:rsid w:val="005B2D6F"/>
    <w:rsid w:val="005B2F95"/>
    <w:rsid w:val="005B311F"/>
    <w:rsid w:val="005B3273"/>
    <w:rsid w:val="005B3278"/>
    <w:rsid w:val="005B33CC"/>
    <w:rsid w:val="005B38CA"/>
    <w:rsid w:val="005B3BE9"/>
    <w:rsid w:val="005B3D4A"/>
    <w:rsid w:val="005B3FCA"/>
    <w:rsid w:val="005B3FE8"/>
    <w:rsid w:val="005B40CA"/>
    <w:rsid w:val="005B4123"/>
    <w:rsid w:val="005B4272"/>
    <w:rsid w:val="005B452D"/>
    <w:rsid w:val="005B4683"/>
    <w:rsid w:val="005B46C5"/>
    <w:rsid w:val="005B471E"/>
    <w:rsid w:val="005B4865"/>
    <w:rsid w:val="005B4DAA"/>
    <w:rsid w:val="005B4E19"/>
    <w:rsid w:val="005B4F82"/>
    <w:rsid w:val="005B5012"/>
    <w:rsid w:val="005B5062"/>
    <w:rsid w:val="005B5151"/>
    <w:rsid w:val="005B51D5"/>
    <w:rsid w:val="005B52F2"/>
    <w:rsid w:val="005B56AB"/>
    <w:rsid w:val="005B59F3"/>
    <w:rsid w:val="005B5BA6"/>
    <w:rsid w:val="005B5CAE"/>
    <w:rsid w:val="005B5D64"/>
    <w:rsid w:val="005B6050"/>
    <w:rsid w:val="005B60A4"/>
    <w:rsid w:val="005B61D4"/>
    <w:rsid w:val="005B62B8"/>
    <w:rsid w:val="005B6363"/>
    <w:rsid w:val="005B6367"/>
    <w:rsid w:val="005B6370"/>
    <w:rsid w:val="005B65DF"/>
    <w:rsid w:val="005B66B5"/>
    <w:rsid w:val="005B6715"/>
    <w:rsid w:val="005B6770"/>
    <w:rsid w:val="005B6972"/>
    <w:rsid w:val="005B697D"/>
    <w:rsid w:val="005B6A1E"/>
    <w:rsid w:val="005B6B51"/>
    <w:rsid w:val="005B6CA7"/>
    <w:rsid w:val="005B6E3C"/>
    <w:rsid w:val="005B6E62"/>
    <w:rsid w:val="005B6FB5"/>
    <w:rsid w:val="005B7065"/>
    <w:rsid w:val="005B70C8"/>
    <w:rsid w:val="005B7228"/>
    <w:rsid w:val="005B7285"/>
    <w:rsid w:val="005B7367"/>
    <w:rsid w:val="005B76B0"/>
    <w:rsid w:val="005B76B4"/>
    <w:rsid w:val="005B76DF"/>
    <w:rsid w:val="005B7772"/>
    <w:rsid w:val="005B79D7"/>
    <w:rsid w:val="005B7B3C"/>
    <w:rsid w:val="005B7BF3"/>
    <w:rsid w:val="005B7C01"/>
    <w:rsid w:val="005B7C76"/>
    <w:rsid w:val="005C0115"/>
    <w:rsid w:val="005C01D4"/>
    <w:rsid w:val="005C02EF"/>
    <w:rsid w:val="005C04DA"/>
    <w:rsid w:val="005C0520"/>
    <w:rsid w:val="005C0608"/>
    <w:rsid w:val="005C0927"/>
    <w:rsid w:val="005C0AA7"/>
    <w:rsid w:val="005C0B35"/>
    <w:rsid w:val="005C0DB7"/>
    <w:rsid w:val="005C11DD"/>
    <w:rsid w:val="005C11EB"/>
    <w:rsid w:val="005C123D"/>
    <w:rsid w:val="005C146E"/>
    <w:rsid w:val="005C1581"/>
    <w:rsid w:val="005C160B"/>
    <w:rsid w:val="005C1733"/>
    <w:rsid w:val="005C173D"/>
    <w:rsid w:val="005C17C0"/>
    <w:rsid w:val="005C1835"/>
    <w:rsid w:val="005C1887"/>
    <w:rsid w:val="005C1A3A"/>
    <w:rsid w:val="005C1A74"/>
    <w:rsid w:val="005C1B5B"/>
    <w:rsid w:val="005C1BE9"/>
    <w:rsid w:val="005C1C72"/>
    <w:rsid w:val="005C1D8A"/>
    <w:rsid w:val="005C1E0B"/>
    <w:rsid w:val="005C1E41"/>
    <w:rsid w:val="005C1F06"/>
    <w:rsid w:val="005C1F22"/>
    <w:rsid w:val="005C2046"/>
    <w:rsid w:val="005C2054"/>
    <w:rsid w:val="005C21A4"/>
    <w:rsid w:val="005C2261"/>
    <w:rsid w:val="005C2441"/>
    <w:rsid w:val="005C255D"/>
    <w:rsid w:val="005C25E5"/>
    <w:rsid w:val="005C26F6"/>
    <w:rsid w:val="005C2788"/>
    <w:rsid w:val="005C29A2"/>
    <w:rsid w:val="005C29C3"/>
    <w:rsid w:val="005C2A70"/>
    <w:rsid w:val="005C2B4D"/>
    <w:rsid w:val="005C2BD4"/>
    <w:rsid w:val="005C2D7B"/>
    <w:rsid w:val="005C2E0F"/>
    <w:rsid w:val="005C2E86"/>
    <w:rsid w:val="005C2F47"/>
    <w:rsid w:val="005C3285"/>
    <w:rsid w:val="005C3287"/>
    <w:rsid w:val="005C32F0"/>
    <w:rsid w:val="005C337B"/>
    <w:rsid w:val="005C34DE"/>
    <w:rsid w:val="005C3529"/>
    <w:rsid w:val="005C3549"/>
    <w:rsid w:val="005C3719"/>
    <w:rsid w:val="005C3971"/>
    <w:rsid w:val="005C407C"/>
    <w:rsid w:val="005C4114"/>
    <w:rsid w:val="005C42C5"/>
    <w:rsid w:val="005C44C9"/>
    <w:rsid w:val="005C451A"/>
    <w:rsid w:val="005C4848"/>
    <w:rsid w:val="005C4926"/>
    <w:rsid w:val="005C49E0"/>
    <w:rsid w:val="005C4A11"/>
    <w:rsid w:val="005C4C47"/>
    <w:rsid w:val="005C4CC4"/>
    <w:rsid w:val="005C51F6"/>
    <w:rsid w:val="005C52B3"/>
    <w:rsid w:val="005C537F"/>
    <w:rsid w:val="005C53DB"/>
    <w:rsid w:val="005C557F"/>
    <w:rsid w:val="005C55BB"/>
    <w:rsid w:val="005C55D5"/>
    <w:rsid w:val="005C568B"/>
    <w:rsid w:val="005C5930"/>
    <w:rsid w:val="005C59FD"/>
    <w:rsid w:val="005C5E37"/>
    <w:rsid w:val="005C5E90"/>
    <w:rsid w:val="005C5EC8"/>
    <w:rsid w:val="005C6169"/>
    <w:rsid w:val="005C6307"/>
    <w:rsid w:val="005C650B"/>
    <w:rsid w:val="005C6658"/>
    <w:rsid w:val="005C66F2"/>
    <w:rsid w:val="005C6873"/>
    <w:rsid w:val="005C69BF"/>
    <w:rsid w:val="005C6A8C"/>
    <w:rsid w:val="005C6ED3"/>
    <w:rsid w:val="005C6F45"/>
    <w:rsid w:val="005C7266"/>
    <w:rsid w:val="005C729D"/>
    <w:rsid w:val="005C73A7"/>
    <w:rsid w:val="005C7466"/>
    <w:rsid w:val="005C74C4"/>
    <w:rsid w:val="005C75B3"/>
    <w:rsid w:val="005C7682"/>
    <w:rsid w:val="005C7786"/>
    <w:rsid w:val="005C7896"/>
    <w:rsid w:val="005C7936"/>
    <w:rsid w:val="005C7AA4"/>
    <w:rsid w:val="005C7AB8"/>
    <w:rsid w:val="005C7AF9"/>
    <w:rsid w:val="005C7B68"/>
    <w:rsid w:val="005C7D1D"/>
    <w:rsid w:val="005C7ECD"/>
    <w:rsid w:val="005C7EFF"/>
    <w:rsid w:val="005C7FF4"/>
    <w:rsid w:val="005D0011"/>
    <w:rsid w:val="005D00DA"/>
    <w:rsid w:val="005D02CA"/>
    <w:rsid w:val="005D050F"/>
    <w:rsid w:val="005D0653"/>
    <w:rsid w:val="005D06C4"/>
    <w:rsid w:val="005D08A6"/>
    <w:rsid w:val="005D0982"/>
    <w:rsid w:val="005D0A32"/>
    <w:rsid w:val="005D0BAE"/>
    <w:rsid w:val="005D0CD6"/>
    <w:rsid w:val="005D0CD8"/>
    <w:rsid w:val="005D0CDE"/>
    <w:rsid w:val="005D0CFB"/>
    <w:rsid w:val="005D0D23"/>
    <w:rsid w:val="005D0E01"/>
    <w:rsid w:val="005D0FCC"/>
    <w:rsid w:val="005D0FFB"/>
    <w:rsid w:val="005D10AB"/>
    <w:rsid w:val="005D113C"/>
    <w:rsid w:val="005D153C"/>
    <w:rsid w:val="005D15AB"/>
    <w:rsid w:val="005D15CA"/>
    <w:rsid w:val="005D173C"/>
    <w:rsid w:val="005D1A4B"/>
    <w:rsid w:val="005D1AAF"/>
    <w:rsid w:val="005D1AEE"/>
    <w:rsid w:val="005D1B2E"/>
    <w:rsid w:val="005D1C04"/>
    <w:rsid w:val="005D1E1A"/>
    <w:rsid w:val="005D1F0E"/>
    <w:rsid w:val="005D214D"/>
    <w:rsid w:val="005D2180"/>
    <w:rsid w:val="005D23AB"/>
    <w:rsid w:val="005D23ED"/>
    <w:rsid w:val="005D241F"/>
    <w:rsid w:val="005D24F3"/>
    <w:rsid w:val="005D2663"/>
    <w:rsid w:val="005D2725"/>
    <w:rsid w:val="005D2810"/>
    <w:rsid w:val="005D2F17"/>
    <w:rsid w:val="005D3340"/>
    <w:rsid w:val="005D335F"/>
    <w:rsid w:val="005D382D"/>
    <w:rsid w:val="005D3850"/>
    <w:rsid w:val="005D38D7"/>
    <w:rsid w:val="005D39FF"/>
    <w:rsid w:val="005D3AED"/>
    <w:rsid w:val="005D3B10"/>
    <w:rsid w:val="005D3B1D"/>
    <w:rsid w:val="005D3C5A"/>
    <w:rsid w:val="005D3CF1"/>
    <w:rsid w:val="005D3E14"/>
    <w:rsid w:val="005D4054"/>
    <w:rsid w:val="005D4241"/>
    <w:rsid w:val="005D4300"/>
    <w:rsid w:val="005D481C"/>
    <w:rsid w:val="005D4872"/>
    <w:rsid w:val="005D491E"/>
    <w:rsid w:val="005D5316"/>
    <w:rsid w:val="005D564D"/>
    <w:rsid w:val="005D5655"/>
    <w:rsid w:val="005D56C9"/>
    <w:rsid w:val="005D57E1"/>
    <w:rsid w:val="005D5D50"/>
    <w:rsid w:val="005D5FDA"/>
    <w:rsid w:val="005D60F4"/>
    <w:rsid w:val="005D6164"/>
    <w:rsid w:val="005D61B8"/>
    <w:rsid w:val="005D61EB"/>
    <w:rsid w:val="005D62BD"/>
    <w:rsid w:val="005D634C"/>
    <w:rsid w:val="005D63B2"/>
    <w:rsid w:val="005D64FB"/>
    <w:rsid w:val="005D6696"/>
    <w:rsid w:val="005D6C34"/>
    <w:rsid w:val="005D6CC9"/>
    <w:rsid w:val="005D6EFF"/>
    <w:rsid w:val="005D6F7A"/>
    <w:rsid w:val="005D6FAF"/>
    <w:rsid w:val="005D712C"/>
    <w:rsid w:val="005D7177"/>
    <w:rsid w:val="005D7837"/>
    <w:rsid w:val="005D7863"/>
    <w:rsid w:val="005D7A48"/>
    <w:rsid w:val="005E00BA"/>
    <w:rsid w:val="005E017D"/>
    <w:rsid w:val="005E0188"/>
    <w:rsid w:val="005E01DC"/>
    <w:rsid w:val="005E031E"/>
    <w:rsid w:val="005E04EC"/>
    <w:rsid w:val="005E0596"/>
    <w:rsid w:val="005E069C"/>
    <w:rsid w:val="005E0994"/>
    <w:rsid w:val="005E09B1"/>
    <w:rsid w:val="005E0A3A"/>
    <w:rsid w:val="005E0A9B"/>
    <w:rsid w:val="005E0AD2"/>
    <w:rsid w:val="005E0EA2"/>
    <w:rsid w:val="005E0F06"/>
    <w:rsid w:val="005E12D5"/>
    <w:rsid w:val="005E15F5"/>
    <w:rsid w:val="005E1663"/>
    <w:rsid w:val="005E16C3"/>
    <w:rsid w:val="005E184D"/>
    <w:rsid w:val="005E1BB2"/>
    <w:rsid w:val="005E1D1A"/>
    <w:rsid w:val="005E1FAE"/>
    <w:rsid w:val="005E2010"/>
    <w:rsid w:val="005E2267"/>
    <w:rsid w:val="005E27A7"/>
    <w:rsid w:val="005E287A"/>
    <w:rsid w:val="005E2A11"/>
    <w:rsid w:val="005E2A25"/>
    <w:rsid w:val="005E2A58"/>
    <w:rsid w:val="005E2D38"/>
    <w:rsid w:val="005E2D77"/>
    <w:rsid w:val="005E2DBD"/>
    <w:rsid w:val="005E2DF1"/>
    <w:rsid w:val="005E2E81"/>
    <w:rsid w:val="005E2F0D"/>
    <w:rsid w:val="005E30A0"/>
    <w:rsid w:val="005E327E"/>
    <w:rsid w:val="005E3322"/>
    <w:rsid w:val="005E33FD"/>
    <w:rsid w:val="005E341B"/>
    <w:rsid w:val="005E34CE"/>
    <w:rsid w:val="005E34EE"/>
    <w:rsid w:val="005E3E66"/>
    <w:rsid w:val="005E401E"/>
    <w:rsid w:val="005E425B"/>
    <w:rsid w:val="005E4313"/>
    <w:rsid w:val="005E4486"/>
    <w:rsid w:val="005E4822"/>
    <w:rsid w:val="005E482B"/>
    <w:rsid w:val="005E483F"/>
    <w:rsid w:val="005E497A"/>
    <w:rsid w:val="005E4B31"/>
    <w:rsid w:val="005E4D72"/>
    <w:rsid w:val="005E522B"/>
    <w:rsid w:val="005E5349"/>
    <w:rsid w:val="005E5798"/>
    <w:rsid w:val="005E58C5"/>
    <w:rsid w:val="005E58FD"/>
    <w:rsid w:val="005E59BA"/>
    <w:rsid w:val="005E5D74"/>
    <w:rsid w:val="005E5DDF"/>
    <w:rsid w:val="005E63E1"/>
    <w:rsid w:val="005E6766"/>
    <w:rsid w:val="005E6884"/>
    <w:rsid w:val="005E688E"/>
    <w:rsid w:val="005E690E"/>
    <w:rsid w:val="005E6A9A"/>
    <w:rsid w:val="005E6B3C"/>
    <w:rsid w:val="005E6B56"/>
    <w:rsid w:val="005E6B66"/>
    <w:rsid w:val="005E6C3D"/>
    <w:rsid w:val="005E6CB1"/>
    <w:rsid w:val="005E6CFE"/>
    <w:rsid w:val="005E6ECC"/>
    <w:rsid w:val="005E6EE1"/>
    <w:rsid w:val="005E7074"/>
    <w:rsid w:val="005E7177"/>
    <w:rsid w:val="005E721E"/>
    <w:rsid w:val="005E74E1"/>
    <w:rsid w:val="005E7602"/>
    <w:rsid w:val="005E7627"/>
    <w:rsid w:val="005E7801"/>
    <w:rsid w:val="005E78CD"/>
    <w:rsid w:val="005E79C1"/>
    <w:rsid w:val="005E7A59"/>
    <w:rsid w:val="005E7B05"/>
    <w:rsid w:val="005E7D09"/>
    <w:rsid w:val="005E7E08"/>
    <w:rsid w:val="005E7E0A"/>
    <w:rsid w:val="005E7E2E"/>
    <w:rsid w:val="005E7FDC"/>
    <w:rsid w:val="005F0189"/>
    <w:rsid w:val="005F0218"/>
    <w:rsid w:val="005F032E"/>
    <w:rsid w:val="005F053C"/>
    <w:rsid w:val="005F0544"/>
    <w:rsid w:val="005F0675"/>
    <w:rsid w:val="005F088D"/>
    <w:rsid w:val="005F0AB3"/>
    <w:rsid w:val="005F0BEF"/>
    <w:rsid w:val="005F0DCC"/>
    <w:rsid w:val="005F0FC9"/>
    <w:rsid w:val="005F1077"/>
    <w:rsid w:val="005F111D"/>
    <w:rsid w:val="005F1244"/>
    <w:rsid w:val="005F128E"/>
    <w:rsid w:val="005F1565"/>
    <w:rsid w:val="005F1567"/>
    <w:rsid w:val="005F1A18"/>
    <w:rsid w:val="005F1C6D"/>
    <w:rsid w:val="005F1D56"/>
    <w:rsid w:val="005F1F73"/>
    <w:rsid w:val="005F1F7B"/>
    <w:rsid w:val="005F1FDE"/>
    <w:rsid w:val="005F214C"/>
    <w:rsid w:val="005F2162"/>
    <w:rsid w:val="005F2167"/>
    <w:rsid w:val="005F22A9"/>
    <w:rsid w:val="005F22B8"/>
    <w:rsid w:val="005F26AE"/>
    <w:rsid w:val="005F27CC"/>
    <w:rsid w:val="005F28F0"/>
    <w:rsid w:val="005F2A66"/>
    <w:rsid w:val="005F2A8F"/>
    <w:rsid w:val="005F2ACF"/>
    <w:rsid w:val="005F2B57"/>
    <w:rsid w:val="005F2BA6"/>
    <w:rsid w:val="005F2BC9"/>
    <w:rsid w:val="005F2C53"/>
    <w:rsid w:val="005F2D1B"/>
    <w:rsid w:val="005F2D70"/>
    <w:rsid w:val="005F2E74"/>
    <w:rsid w:val="005F30D4"/>
    <w:rsid w:val="005F3205"/>
    <w:rsid w:val="005F3250"/>
    <w:rsid w:val="005F329E"/>
    <w:rsid w:val="005F3458"/>
    <w:rsid w:val="005F35CA"/>
    <w:rsid w:val="005F35D7"/>
    <w:rsid w:val="005F367F"/>
    <w:rsid w:val="005F36C7"/>
    <w:rsid w:val="005F36D3"/>
    <w:rsid w:val="005F3852"/>
    <w:rsid w:val="005F39FB"/>
    <w:rsid w:val="005F3A39"/>
    <w:rsid w:val="005F3B7C"/>
    <w:rsid w:val="005F3DBA"/>
    <w:rsid w:val="005F40F8"/>
    <w:rsid w:val="005F411A"/>
    <w:rsid w:val="005F41B1"/>
    <w:rsid w:val="005F4412"/>
    <w:rsid w:val="005F4450"/>
    <w:rsid w:val="005F4454"/>
    <w:rsid w:val="005F4622"/>
    <w:rsid w:val="005F4644"/>
    <w:rsid w:val="005F4745"/>
    <w:rsid w:val="005F4758"/>
    <w:rsid w:val="005F4978"/>
    <w:rsid w:val="005F4B3E"/>
    <w:rsid w:val="005F4CA4"/>
    <w:rsid w:val="005F4D24"/>
    <w:rsid w:val="005F4EE2"/>
    <w:rsid w:val="005F504D"/>
    <w:rsid w:val="005F50C2"/>
    <w:rsid w:val="005F50D4"/>
    <w:rsid w:val="005F5253"/>
    <w:rsid w:val="005F5436"/>
    <w:rsid w:val="005F5512"/>
    <w:rsid w:val="005F56D9"/>
    <w:rsid w:val="005F5A0E"/>
    <w:rsid w:val="005F5A5C"/>
    <w:rsid w:val="005F5B72"/>
    <w:rsid w:val="005F5CB6"/>
    <w:rsid w:val="005F5FBD"/>
    <w:rsid w:val="005F5FEC"/>
    <w:rsid w:val="005F620F"/>
    <w:rsid w:val="005F6273"/>
    <w:rsid w:val="005F6277"/>
    <w:rsid w:val="005F63AC"/>
    <w:rsid w:val="005F674B"/>
    <w:rsid w:val="005F676E"/>
    <w:rsid w:val="005F6951"/>
    <w:rsid w:val="005F6C5B"/>
    <w:rsid w:val="005F70EC"/>
    <w:rsid w:val="005F72CB"/>
    <w:rsid w:val="005F732E"/>
    <w:rsid w:val="005F73F0"/>
    <w:rsid w:val="005F7482"/>
    <w:rsid w:val="005F74DB"/>
    <w:rsid w:val="005F7693"/>
    <w:rsid w:val="005F7709"/>
    <w:rsid w:val="005F7730"/>
    <w:rsid w:val="005F7792"/>
    <w:rsid w:val="005F78A2"/>
    <w:rsid w:val="005F7938"/>
    <w:rsid w:val="005F7CB8"/>
    <w:rsid w:val="005F7DC5"/>
    <w:rsid w:val="00600113"/>
    <w:rsid w:val="0060012C"/>
    <w:rsid w:val="00600248"/>
    <w:rsid w:val="006002AF"/>
    <w:rsid w:val="0060035E"/>
    <w:rsid w:val="00600567"/>
    <w:rsid w:val="00600592"/>
    <w:rsid w:val="00600743"/>
    <w:rsid w:val="006007C8"/>
    <w:rsid w:val="006008A1"/>
    <w:rsid w:val="00600A09"/>
    <w:rsid w:val="00600BF3"/>
    <w:rsid w:val="00600BFD"/>
    <w:rsid w:val="00600C90"/>
    <w:rsid w:val="00600D32"/>
    <w:rsid w:val="0060112C"/>
    <w:rsid w:val="006012AB"/>
    <w:rsid w:val="00601360"/>
    <w:rsid w:val="0060154E"/>
    <w:rsid w:val="0060165E"/>
    <w:rsid w:val="006017C7"/>
    <w:rsid w:val="00601912"/>
    <w:rsid w:val="0060196F"/>
    <w:rsid w:val="00601CA0"/>
    <w:rsid w:val="00601E10"/>
    <w:rsid w:val="00601E35"/>
    <w:rsid w:val="00601EBE"/>
    <w:rsid w:val="00601F63"/>
    <w:rsid w:val="0060208F"/>
    <w:rsid w:val="006023BC"/>
    <w:rsid w:val="006023D0"/>
    <w:rsid w:val="00602440"/>
    <w:rsid w:val="00602597"/>
    <w:rsid w:val="006026D3"/>
    <w:rsid w:val="0060292D"/>
    <w:rsid w:val="00602A22"/>
    <w:rsid w:val="00602AAD"/>
    <w:rsid w:val="00602B6B"/>
    <w:rsid w:val="00602D48"/>
    <w:rsid w:val="00602F1C"/>
    <w:rsid w:val="006035DB"/>
    <w:rsid w:val="00603662"/>
    <w:rsid w:val="006037A2"/>
    <w:rsid w:val="0060388D"/>
    <w:rsid w:val="00603948"/>
    <w:rsid w:val="00603952"/>
    <w:rsid w:val="00603976"/>
    <w:rsid w:val="006039C0"/>
    <w:rsid w:val="00603A75"/>
    <w:rsid w:val="00603CD9"/>
    <w:rsid w:val="00603DFB"/>
    <w:rsid w:val="00603E0A"/>
    <w:rsid w:val="00603EBF"/>
    <w:rsid w:val="00603EC3"/>
    <w:rsid w:val="00604125"/>
    <w:rsid w:val="006041B8"/>
    <w:rsid w:val="006044CB"/>
    <w:rsid w:val="006045BE"/>
    <w:rsid w:val="006046B4"/>
    <w:rsid w:val="0060489E"/>
    <w:rsid w:val="006048C7"/>
    <w:rsid w:val="00604A9A"/>
    <w:rsid w:val="00604AFB"/>
    <w:rsid w:val="00604B77"/>
    <w:rsid w:val="00604D11"/>
    <w:rsid w:val="00604DD2"/>
    <w:rsid w:val="00604DF4"/>
    <w:rsid w:val="00605377"/>
    <w:rsid w:val="006055F7"/>
    <w:rsid w:val="00605666"/>
    <w:rsid w:val="006057D1"/>
    <w:rsid w:val="006057ED"/>
    <w:rsid w:val="006058E6"/>
    <w:rsid w:val="00605A03"/>
    <w:rsid w:val="00605A4A"/>
    <w:rsid w:val="00605C01"/>
    <w:rsid w:val="00605F22"/>
    <w:rsid w:val="00605FFA"/>
    <w:rsid w:val="0060602B"/>
    <w:rsid w:val="0060607B"/>
    <w:rsid w:val="00606239"/>
    <w:rsid w:val="0060625E"/>
    <w:rsid w:val="0060631C"/>
    <w:rsid w:val="00606413"/>
    <w:rsid w:val="006064F3"/>
    <w:rsid w:val="00606631"/>
    <w:rsid w:val="006067BA"/>
    <w:rsid w:val="00606960"/>
    <w:rsid w:val="0060696F"/>
    <w:rsid w:val="006069DF"/>
    <w:rsid w:val="00606A2E"/>
    <w:rsid w:val="00606B9D"/>
    <w:rsid w:val="00606C8D"/>
    <w:rsid w:val="00606CB9"/>
    <w:rsid w:val="00606CBF"/>
    <w:rsid w:val="00606F1F"/>
    <w:rsid w:val="00607056"/>
    <w:rsid w:val="006072F3"/>
    <w:rsid w:val="006074EB"/>
    <w:rsid w:val="006076A3"/>
    <w:rsid w:val="006078B3"/>
    <w:rsid w:val="0060796B"/>
    <w:rsid w:val="00607EF6"/>
    <w:rsid w:val="00607FDB"/>
    <w:rsid w:val="00610094"/>
    <w:rsid w:val="006100A2"/>
    <w:rsid w:val="006100AC"/>
    <w:rsid w:val="006100FD"/>
    <w:rsid w:val="00610568"/>
    <w:rsid w:val="006107D2"/>
    <w:rsid w:val="006107F4"/>
    <w:rsid w:val="00610839"/>
    <w:rsid w:val="006108FB"/>
    <w:rsid w:val="0061092C"/>
    <w:rsid w:val="00610ACB"/>
    <w:rsid w:val="00610B63"/>
    <w:rsid w:val="00610C15"/>
    <w:rsid w:val="00610D26"/>
    <w:rsid w:val="00610FD8"/>
    <w:rsid w:val="00611118"/>
    <w:rsid w:val="006111F9"/>
    <w:rsid w:val="006111FC"/>
    <w:rsid w:val="0061147B"/>
    <w:rsid w:val="00611673"/>
    <w:rsid w:val="0061199D"/>
    <w:rsid w:val="00611B5C"/>
    <w:rsid w:val="00611BE3"/>
    <w:rsid w:val="00611E38"/>
    <w:rsid w:val="00611E5F"/>
    <w:rsid w:val="00611E7C"/>
    <w:rsid w:val="00611EDC"/>
    <w:rsid w:val="006122BD"/>
    <w:rsid w:val="006123AC"/>
    <w:rsid w:val="0061255D"/>
    <w:rsid w:val="00612574"/>
    <w:rsid w:val="006125AD"/>
    <w:rsid w:val="006126B6"/>
    <w:rsid w:val="006128BF"/>
    <w:rsid w:val="00612A23"/>
    <w:rsid w:val="00612A3F"/>
    <w:rsid w:val="00612B1C"/>
    <w:rsid w:val="00612E83"/>
    <w:rsid w:val="00612F79"/>
    <w:rsid w:val="0061326B"/>
    <w:rsid w:val="00613365"/>
    <w:rsid w:val="00613655"/>
    <w:rsid w:val="0061386C"/>
    <w:rsid w:val="006138DF"/>
    <w:rsid w:val="00613BB4"/>
    <w:rsid w:val="00613DE5"/>
    <w:rsid w:val="00613EA7"/>
    <w:rsid w:val="00614062"/>
    <w:rsid w:val="0061427D"/>
    <w:rsid w:val="00614730"/>
    <w:rsid w:val="006147F4"/>
    <w:rsid w:val="00614965"/>
    <w:rsid w:val="00614D36"/>
    <w:rsid w:val="00614DC1"/>
    <w:rsid w:val="00614DC3"/>
    <w:rsid w:val="00614F83"/>
    <w:rsid w:val="00614FA2"/>
    <w:rsid w:val="006150E8"/>
    <w:rsid w:val="00615180"/>
    <w:rsid w:val="00615189"/>
    <w:rsid w:val="006153FF"/>
    <w:rsid w:val="0061544D"/>
    <w:rsid w:val="00615596"/>
    <w:rsid w:val="006155A1"/>
    <w:rsid w:val="006155E2"/>
    <w:rsid w:val="006155F9"/>
    <w:rsid w:val="00615647"/>
    <w:rsid w:val="00615917"/>
    <w:rsid w:val="0061594D"/>
    <w:rsid w:val="00615AC5"/>
    <w:rsid w:val="00615ACE"/>
    <w:rsid w:val="00615B7F"/>
    <w:rsid w:val="00615B90"/>
    <w:rsid w:val="00615C33"/>
    <w:rsid w:val="00615C42"/>
    <w:rsid w:val="00615C53"/>
    <w:rsid w:val="00615D87"/>
    <w:rsid w:val="00616139"/>
    <w:rsid w:val="006161C7"/>
    <w:rsid w:val="006161D7"/>
    <w:rsid w:val="006162D8"/>
    <w:rsid w:val="00616452"/>
    <w:rsid w:val="006166F3"/>
    <w:rsid w:val="00616762"/>
    <w:rsid w:val="00616A2D"/>
    <w:rsid w:val="00616BC7"/>
    <w:rsid w:val="00616C4D"/>
    <w:rsid w:val="00616C62"/>
    <w:rsid w:val="00616E01"/>
    <w:rsid w:val="00616EFB"/>
    <w:rsid w:val="0061702D"/>
    <w:rsid w:val="00617035"/>
    <w:rsid w:val="00617257"/>
    <w:rsid w:val="006172B8"/>
    <w:rsid w:val="006172C0"/>
    <w:rsid w:val="006175DF"/>
    <w:rsid w:val="00617AA2"/>
    <w:rsid w:val="00617AE7"/>
    <w:rsid w:val="00617CAB"/>
    <w:rsid w:val="00617DD1"/>
    <w:rsid w:val="00617DF6"/>
    <w:rsid w:val="00617F62"/>
    <w:rsid w:val="006202C0"/>
    <w:rsid w:val="0062042A"/>
    <w:rsid w:val="0062045F"/>
    <w:rsid w:val="00620521"/>
    <w:rsid w:val="00620540"/>
    <w:rsid w:val="006206C3"/>
    <w:rsid w:val="00620742"/>
    <w:rsid w:val="0062074B"/>
    <w:rsid w:val="00620A31"/>
    <w:rsid w:val="00620C2C"/>
    <w:rsid w:val="00620C5F"/>
    <w:rsid w:val="00620F45"/>
    <w:rsid w:val="00620FEB"/>
    <w:rsid w:val="00621084"/>
    <w:rsid w:val="00621373"/>
    <w:rsid w:val="006213EF"/>
    <w:rsid w:val="00621432"/>
    <w:rsid w:val="006214F9"/>
    <w:rsid w:val="0062168D"/>
    <w:rsid w:val="006218F8"/>
    <w:rsid w:val="00621998"/>
    <w:rsid w:val="00621A74"/>
    <w:rsid w:val="00621ABC"/>
    <w:rsid w:val="00621B8D"/>
    <w:rsid w:val="00621BEA"/>
    <w:rsid w:val="00621BF8"/>
    <w:rsid w:val="00621DE7"/>
    <w:rsid w:val="00621F05"/>
    <w:rsid w:val="00621F20"/>
    <w:rsid w:val="00621FC0"/>
    <w:rsid w:val="0062202C"/>
    <w:rsid w:val="00622054"/>
    <w:rsid w:val="0062245F"/>
    <w:rsid w:val="006225A4"/>
    <w:rsid w:val="006225A7"/>
    <w:rsid w:val="006225E4"/>
    <w:rsid w:val="00622666"/>
    <w:rsid w:val="006226FA"/>
    <w:rsid w:val="00622739"/>
    <w:rsid w:val="006227BC"/>
    <w:rsid w:val="006227DE"/>
    <w:rsid w:val="0062283D"/>
    <w:rsid w:val="006228C3"/>
    <w:rsid w:val="006228C5"/>
    <w:rsid w:val="00622AEA"/>
    <w:rsid w:val="00622BD2"/>
    <w:rsid w:val="00622C97"/>
    <w:rsid w:val="00622D7B"/>
    <w:rsid w:val="00622DAA"/>
    <w:rsid w:val="00622E2F"/>
    <w:rsid w:val="00622E4A"/>
    <w:rsid w:val="00622F71"/>
    <w:rsid w:val="00622FC4"/>
    <w:rsid w:val="00623039"/>
    <w:rsid w:val="0062303D"/>
    <w:rsid w:val="00623046"/>
    <w:rsid w:val="00623061"/>
    <w:rsid w:val="006231B5"/>
    <w:rsid w:val="006232EC"/>
    <w:rsid w:val="006233B0"/>
    <w:rsid w:val="00623486"/>
    <w:rsid w:val="006238CE"/>
    <w:rsid w:val="00623AC0"/>
    <w:rsid w:val="00623CB0"/>
    <w:rsid w:val="00623CB2"/>
    <w:rsid w:val="00623D37"/>
    <w:rsid w:val="00623F75"/>
    <w:rsid w:val="00623FE4"/>
    <w:rsid w:val="0062400E"/>
    <w:rsid w:val="00624273"/>
    <w:rsid w:val="00624282"/>
    <w:rsid w:val="006242B0"/>
    <w:rsid w:val="006243B6"/>
    <w:rsid w:val="006245FD"/>
    <w:rsid w:val="0062465C"/>
    <w:rsid w:val="00624680"/>
    <w:rsid w:val="0062475B"/>
    <w:rsid w:val="0062479F"/>
    <w:rsid w:val="00624837"/>
    <w:rsid w:val="00624913"/>
    <w:rsid w:val="00624AC1"/>
    <w:rsid w:val="00624ACD"/>
    <w:rsid w:val="00624AD0"/>
    <w:rsid w:val="00624D00"/>
    <w:rsid w:val="00624D46"/>
    <w:rsid w:val="00624D48"/>
    <w:rsid w:val="00624E02"/>
    <w:rsid w:val="00624FEA"/>
    <w:rsid w:val="006250D3"/>
    <w:rsid w:val="0062512F"/>
    <w:rsid w:val="00625269"/>
    <w:rsid w:val="00625299"/>
    <w:rsid w:val="00625342"/>
    <w:rsid w:val="00625348"/>
    <w:rsid w:val="00625395"/>
    <w:rsid w:val="00625955"/>
    <w:rsid w:val="00625A14"/>
    <w:rsid w:val="00625AB3"/>
    <w:rsid w:val="00625B7A"/>
    <w:rsid w:val="00625BB2"/>
    <w:rsid w:val="00625C73"/>
    <w:rsid w:val="00625D32"/>
    <w:rsid w:val="00625F1C"/>
    <w:rsid w:val="0062619A"/>
    <w:rsid w:val="006263FC"/>
    <w:rsid w:val="006264BA"/>
    <w:rsid w:val="006264CE"/>
    <w:rsid w:val="00626522"/>
    <w:rsid w:val="006265D5"/>
    <w:rsid w:val="006266FF"/>
    <w:rsid w:val="00626845"/>
    <w:rsid w:val="00626882"/>
    <w:rsid w:val="00626884"/>
    <w:rsid w:val="006268BB"/>
    <w:rsid w:val="00626B17"/>
    <w:rsid w:val="00626F01"/>
    <w:rsid w:val="00626F87"/>
    <w:rsid w:val="0062702D"/>
    <w:rsid w:val="00627048"/>
    <w:rsid w:val="006271C3"/>
    <w:rsid w:val="00627317"/>
    <w:rsid w:val="0062748F"/>
    <w:rsid w:val="00627588"/>
    <w:rsid w:val="006275C6"/>
    <w:rsid w:val="006276A0"/>
    <w:rsid w:val="006276AA"/>
    <w:rsid w:val="006278B9"/>
    <w:rsid w:val="006279A8"/>
    <w:rsid w:val="00627CF2"/>
    <w:rsid w:val="00627DFB"/>
    <w:rsid w:val="00627E71"/>
    <w:rsid w:val="006301E8"/>
    <w:rsid w:val="0063035D"/>
    <w:rsid w:val="0063047B"/>
    <w:rsid w:val="006305BC"/>
    <w:rsid w:val="0063086A"/>
    <w:rsid w:val="006308B6"/>
    <w:rsid w:val="006309D9"/>
    <w:rsid w:val="00630AAE"/>
    <w:rsid w:val="00630AF4"/>
    <w:rsid w:val="00630DBA"/>
    <w:rsid w:val="00630E6B"/>
    <w:rsid w:val="006311E4"/>
    <w:rsid w:val="0063120D"/>
    <w:rsid w:val="00631552"/>
    <w:rsid w:val="006315CA"/>
    <w:rsid w:val="006316AB"/>
    <w:rsid w:val="00631713"/>
    <w:rsid w:val="00631762"/>
    <w:rsid w:val="00631C01"/>
    <w:rsid w:val="00631C74"/>
    <w:rsid w:val="00631C95"/>
    <w:rsid w:val="00631D8E"/>
    <w:rsid w:val="006320BF"/>
    <w:rsid w:val="0063218D"/>
    <w:rsid w:val="006322BF"/>
    <w:rsid w:val="00632319"/>
    <w:rsid w:val="00632432"/>
    <w:rsid w:val="006324FC"/>
    <w:rsid w:val="00632661"/>
    <w:rsid w:val="006326F5"/>
    <w:rsid w:val="00632729"/>
    <w:rsid w:val="00632861"/>
    <w:rsid w:val="006328C6"/>
    <w:rsid w:val="006329DC"/>
    <w:rsid w:val="006329FE"/>
    <w:rsid w:val="00632C14"/>
    <w:rsid w:val="00632CC0"/>
    <w:rsid w:val="00632E84"/>
    <w:rsid w:val="00633015"/>
    <w:rsid w:val="006330CD"/>
    <w:rsid w:val="006333D3"/>
    <w:rsid w:val="00633504"/>
    <w:rsid w:val="0063377C"/>
    <w:rsid w:val="0063390C"/>
    <w:rsid w:val="0063409A"/>
    <w:rsid w:val="006340D7"/>
    <w:rsid w:val="00634129"/>
    <w:rsid w:val="00634166"/>
    <w:rsid w:val="006341D1"/>
    <w:rsid w:val="006342A4"/>
    <w:rsid w:val="00634456"/>
    <w:rsid w:val="00634666"/>
    <w:rsid w:val="006347B6"/>
    <w:rsid w:val="00634815"/>
    <w:rsid w:val="00634841"/>
    <w:rsid w:val="006348EC"/>
    <w:rsid w:val="00634A11"/>
    <w:rsid w:val="00634AED"/>
    <w:rsid w:val="00634AF4"/>
    <w:rsid w:val="00634B94"/>
    <w:rsid w:val="00634D23"/>
    <w:rsid w:val="00634E18"/>
    <w:rsid w:val="006351AB"/>
    <w:rsid w:val="00635284"/>
    <w:rsid w:val="006354C2"/>
    <w:rsid w:val="00635525"/>
    <w:rsid w:val="00635B3F"/>
    <w:rsid w:val="00635BDB"/>
    <w:rsid w:val="00635C2C"/>
    <w:rsid w:val="00635CB8"/>
    <w:rsid w:val="00635D0C"/>
    <w:rsid w:val="00635D89"/>
    <w:rsid w:val="00635DD5"/>
    <w:rsid w:val="00635DEB"/>
    <w:rsid w:val="00635DF4"/>
    <w:rsid w:val="00635E64"/>
    <w:rsid w:val="00635ECF"/>
    <w:rsid w:val="00635F5B"/>
    <w:rsid w:val="00635F68"/>
    <w:rsid w:val="00636160"/>
    <w:rsid w:val="0063623C"/>
    <w:rsid w:val="00636303"/>
    <w:rsid w:val="00636441"/>
    <w:rsid w:val="006364E0"/>
    <w:rsid w:val="006364F7"/>
    <w:rsid w:val="00636716"/>
    <w:rsid w:val="00636838"/>
    <w:rsid w:val="0063694E"/>
    <w:rsid w:val="00636CB5"/>
    <w:rsid w:val="00636CB6"/>
    <w:rsid w:val="00636D81"/>
    <w:rsid w:val="00636F9E"/>
    <w:rsid w:val="00636FE3"/>
    <w:rsid w:val="00637179"/>
    <w:rsid w:val="006371F0"/>
    <w:rsid w:val="006375BB"/>
    <w:rsid w:val="0063768F"/>
    <w:rsid w:val="006377BA"/>
    <w:rsid w:val="00637838"/>
    <w:rsid w:val="00637B80"/>
    <w:rsid w:val="00637BCD"/>
    <w:rsid w:val="00637CAB"/>
    <w:rsid w:val="00637D29"/>
    <w:rsid w:val="00637E1E"/>
    <w:rsid w:val="00637F29"/>
    <w:rsid w:val="00640001"/>
    <w:rsid w:val="00640079"/>
    <w:rsid w:val="0064039B"/>
    <w:rsid w:val="00640618"/>
    <w:rsid w:val="00640641"/>
    <w:rsid w:val="00640790"/>
    <w:rsid w:val="006409B3"/>
    <w:rsid w:val="00640AC4"/>
    <w:rsid w:val="00640B82"/>
    <w:rsid w:val="00640BDC"/>
    <w:rsid w:val="00640C96"/>
    <w:rsid w:val="00640D52"/>
    <w:rsid w:val="00640D87"/>
    <w:rsid w:val="00640DD4"/>
    <w:rsid w:val="00640E73"/>
    <w:rsid w:val="006410AD"/>
    <w:rsid w:val="00641206"/>
    <w:rsid w:val="00641268"/>
    <w:rsid w:val="0064162C"/>
    <w:rsid w:val="00641715"/>
    <w:rsid w:val="006417CC"/>
    <w:rsid w:val="00641AFD"/>
    <w:rsid w:val="00641C80"/>
    <w:rsid w:val="00641F46"/>
    <w:rsid w:val="00642046"/>
    <w:rsid w:val="0064223F"/>
    <w:rsid w:val="00642311"/>
    <w:rsid w:val="006423DC"/>
    <w:rsid w:val="006425B9"/>
    <w:rsid w:val="00642633"/>
    <w:rsid w:val="006426E9"/>
    <w:rsid w:val="006427A8"/>
    <w:rsid w:val="0064280D"/>
    <w:rsid w:val="006428D7"/>
    <w:rsid w:val="00642942"/>
    <w:rsid w:val="006429F3"/>
    <w:rsid w:val="00642DFA"/>
    <w:rsid w:val="00642FAB"/>
    <w:rsid w:val="00643124"/>
    <w:rsid w:val="006431F1"/>
    <w:rsid w:val="00643253"/>
    <w:rsid w:val="00643351"/>
    <w:rsid w:val="00643354"/>
    <w:rsid w:val="00643431"/>
    <w:rsid w:val="00643650"/>
    <w:rsid w:val="006437AB"/>
    <w:rsid w:val="0064388E"/>
    <w:rsid w:val="006438D2"/>
    <w:rsid w:val="00643AA6"/>
    <w:rsid w:val="00643ACF"/>
    <w:rsid w:val="00643D4D"/>
    <w:rsid w:val="00643DCE"/>
    <w:rsid w:val="00643E37"/>
    <w:rsid w:val="00643FDF"/>
    <w:rsid w:val="0064420E"/>
    <w:rsid w:val="00644251"/>
    <w:rsid w:val="006442EB"/>
    <w:rsid w:val="006442F1"/>
    <w:rsid w:val="00644421"/>
    <w:rsid w:val="0064447D"/>
    <w:rsid w:val="00644504"/>
    <w:rsid w:val="0064458C"/>
    <w:rsid w:val="006445DA"/>
    <w:rsid w:val="00644662"/>
    <w:rsid w:val="006446A7"/>
    <w:rsid w:val="006446CD"/>
    <w:rsid w:val="0064484D"/>
    <w:rsid w:val="006449C5"/>
    <w:rsid w:val="006449FF"/>
    <w:rsid w:val="00644ECD"/>
    <w:rsid w:val="00644F53"/>
    <w:rsid w:val="00644FA5"/>
    <w:rsid w:val="00644FDA"/>
    <w:rsid w:val="00645240"/>
    <w:rsid w:val="006452FC"/>
    <w:rsid w:val="00645458"/>
    <w:rsid w:val="006455A9"/>
    <w:rsid w:val="0064574E"/>
    <w:rsid w:val="006459F9"/>
    <w:rsid w:val="00645A2C"/>
    <w:rsid w:val="00645C46"/>
    <w:rsid w:val="00645DBC"/>
    <w:rsid w:val="00645EE6"/>
    <w:rsid w:val="00646044"/>
    <w:rsid w:val="006460C9"/>
    <w:rsid w:val="00646447"/>
    <w:rsid w:val="00646542"/>
    <w:rsid w:val="0064661A"/>
    <w:rsid w:val="00646847"/>
    <w:rsid w:val="006468AA"/>
    <w:rsid w:val="00646985"/>
    <w:rsid w:val="006470EB"/>
    <w:rsid w:val="006473B0"/>
    <w:rsid w:val="00647415"/>
    <w:rsid w:val="00647438"/>
    <w:rsid w:val="006474E2"/>
    <w:rsid w:val="00647570"/>
    <w:rsid w:val="0064768B"/>
    <w:rsid w:val="006476DB"/>
    <w:rsid w:val="006477AD"/>
    <w:rsid w:val="00647DBA"/>
    <w:rsid w:val="00647EC1"/>
    <w:rsid w:val="00647ECB"/>
    <w:rsid w:val="00647EF5"/>
    <w:rsid w:val="00650002"/>
    <w:rsid w:val="0065009C"/>
    <w:rsid w:val="006501D6"/>
    <w:rsid w:val="006502C5"/>
    <w:rsid w:val="006502CE"/>
    <w:rsid w:val="00650556"/>
    <w:rsid w:val="00650665"/>
    <w:rsid w:val="0065069E"/>
    <w:rsid w:val="006506BE"/>
    <w:rsid w:val="006506C1"/>
    <w:rsid w:val="006506F2"/>
    <w:rsid w:val="0065099E"/>
    <w:rsid w:val="006509D3"/>
    <w:rsid w:val="00650A7F"/>
    <w:rsid w:val="00650BCA"/>
    <w:rsid w:val="00650D0C"/>
    <w:rsid w:val="00650F42"/>
    <w:rsid w:val="00650F54"/>
    <w:rsid w:val="00651217"/>
    <w:rsid w:val="00651269"/>
    <w:rsid w:val="0065126D"/>
    <w:rsid w:val="006513A1"/>
    <w:rsid w:val="006513F6"/>
    <w:rsid w:val="0065144C"/>
    <w:rsid w:val="006515D4"/>
    <w:rsid w:val="00651666"/>
    <w:rsid w:val="00651684"/>
    <w:rsid w:val="006516C0"/>
    <w:rsid w:val="0065178A"/>
    <w:rsid w:val="00651B66"/>
    <w:rsid w:val="00651C6D"/>
    <w:rsid w:val="00651D30"/>
    <w:rsid w:val="00651E7A"/>
    <w:rsid w:val="00651EB1"/>
    <w:rsid w:val="00652167"/>
    <w:rsid w:val="00652410"/>
    <w:rsid w:val="0065274D"/>
    <w:rsid w:val="00652770"/>
    <w:rsid w:val="00652802"/>
    <w:rsid w:val="006528FA"/>
    <w:rsid w:val="0065291B"/>
    <w:rsid w:val="00652A17"/>
    <w:rsid w:val="00652D07"/>
    <w:rsid w:val="00652DAE"/>
    <w:rsid w:val="00652DBD"/>
    <w:rsid w:val="0065307C"/>
    <w:rsid w:val="006530B5"/>
    <w:rsid w:val="006531C7"/>
    <w:rsid w:val="00653228"/>
    <w:rsid w:val="006533AF"/>
    <w:rsid w:val="00653444"/>
    <w:rsid w:val="00653516"/>
    <w:rsid w:val="006536BD"/>
    <w:rsid w:val="00653849"/>
    <w:rsid w:val="006538C1"/>
    <w:rsid w:val="006538D7"/>
    <w:rsid w:val="00653AED"/>
    <w:rsid w:val="00653C2E"/>
    <w:rsid w:val="00653E15"/>
    <w:rsid w:val="00653FE0"/>
    <w:rsid w:val="0065408D"/>
    <w:rsid w:val="0065414C"/>
    <w:rsid w:val="00654403"/>
    <w:rsid w:val="006546DF"/>
    <w:rsid w:val="00654789"/>
    <w:rsid w:val="00654848"/>
    <w:rsid w:val="006549FD"/>
    <w:rsid w:val="006549FF"/>
    <w:rsid w:val="00654DE4"/>
    <w:rsid w:val="00654E39"/>
    <w:rsid w:val="00654EC5"/>
    <w:rsid w:val="00654FCD"/>
    <w:rsid w:val="0065503C"/>
    <w:rsid w:val="006551E1"/>
    <w:rsid w:val="006551FA"/>
    <w:rsid w:val="00655277"/>
    <w:rsid w:val="00655391"/>
    <w:rsid w:val="006553FD"/>
    <w:rsid w:val="00655454"/>
    <w:rsid w:val="00655495"/>
    <w:rsid w:val="0065550F"/>
    <w:rsid w:val="00655775"/>
    <w:rsid w:val="006558F9"/>
    <w:rsid w:val="00655920"/>
    <w:rsid w:val="00655A68"/>
    <w:rsid w:val="00655AB8"/>
    <w:rsid w:val="00655B6B"/>
    <w:rsid w:val="00655C07"/>
    <w:rsid w:val="00655E65"/>
    <w:rsid w:val="00655E68"/>
    <w:rsid w:val="00655EDC"/>
    <w:rsid w:val="00655FA0"/>
    <w:rsid w:val="006562A9"/>
    <w:rsid w:val="0065636F"/>
    <w:rsid w:val="00656796"/>
    <w:rsid w:val="00656911"/>
    <w:rsid w:val="00656A4F"/>
    <w:rsid w:val="00656A72"/>
    <w:rsid w:val="00656BAC"/>
    <w:rsid w:val="00656C4A"/>
    <w:rsid w:val="00656D39"/>
    <w:rsid w:val="00656EA1"/>
    <w:rsid w:val="00656F1A"/>
    <w:rsid w:val="006574BC"/>
    <w:rsid w:val="0065752F"/>
    <w:rsid w:val="00657569"/>
    <w:rsid w:val="0065756A"/>
    <w:rsid w:val="00657581"/>
    <w:rsid w:val="00657669"/>
    <w:rsid w:val="00657840"/>
    <w:rsid w:val="006579DD"/>
    <w:rsid w:val="00657AF1"/>
    <w:rsid w:val="00657BD4"/>
    <w:rsid w:val="00657C2B"/>
    <w:rsid w:val="00657D8F"/>
    <w:rsid w:val="00657F8D"/>
    <w:rsid w:val="0066049A"/>
    <w:rsid w:val="006605B5"/>
    <w:rsid w:val="006605EF"/>
    <w:rsid w:val="00660AB9"/>
    <w:rsid w:val="00660AD3"/>
    <w:rsid w:val="00660D0C"/>
    <w:rsid w:val="00660D87"/>
    <w:rsid w:val="00660DD0"/>
    <w:rsid w:val="00660E04"/>
    <w:rsid w:val="0066109B"/>
    <w:rsid w:val="006610F0"/>
    <w:rsid w:val="006612CE"/>
    <w:rsid w:val="006612E3"/>
    <w:rsid w:val="00661323"/>
    <w:rsid w:val="00661429"/>
    <w:rsid w:val="006614C5"/>
    <w:rsid w:val="00661550"/>
    <w:rsid w:val="00661601"/>
    <w:rsid w:val="00661664"/>
    <w:rsid w:val="00661850"/>
    <w:rsid w:val="00661A7A"/>
    <w:rsid w:val="00661A9E"/>
    <w:rsid w:val="00661D87"/>
    <w:rsid w:val="00661E89"/>
    <w:rsid w:val="00661FCB"/>
    <w:rsid w:val="00661FF8"/>
    <w:rsid w:val="00662074"/>
    <w:rsid w:val="0066215B"/>
    <w:rsid w:val="0066217B"/>
    <w:rsid w:val="00662265"/>
    <w:rsid w:val="00662301"/>
    <w:rsid w:val="0066231D"/>
    <w:rsid w:val="006623A3"/>
    <w:rsid w:val="00662494"/>
    <w:rsid w:val="00662573"/>
    <w:rsid w:val="00662690"/>
    <w:rsid w:val="0066273F"/>
    <w:rsid w:val="00662849"/>
    <w:rsid w:val="00662A52"/>
    <w:rsid w:val="00662AB7"/>
    <w:rsid w:val="00662BCC"/>
    <w:rsid w:val="00662D4B"/>
    <w:rsid w:val="006631B2"/>
    <w:rsid w:val="00663360"/>
    <w:rsid w:val="006633A9"/>
    <w:rsid w:val="006633E3"/>
    <w:rsid w:val="006636B4"/>
    <w:rsid w:val="006637CA"/>
    <w:rsid w:val="00663852"/>
    <w:rsid w:val="00663855"/>
    <w:rsid w:val="00663C05"/>
    <w:rsid w:val="00663C4F"/>
    <w:rsid w:val="00663CD0"/>
    <w:rsid w:val="00663CF4"/>
    <w:rsid w:val="00663DF1"/>
    <w:rsid w:val="00663EBD"/>
    <w:rsid w:val="00663F6C"/>
    <w:rsid w:val="00663FBE"/>
    <w:rsid w:val="00663FE1"/>
    <w:rsid w:val="006640D4"/>
    <w:rsid w:val="0066419D"/>
    <w:rsid w:val="0066425B"/>
    <w:rsid w:val="00664807"/>
    <w:rsid w:val="00664876"/>
    <w:rsid w:val="006648C7"/>
    <w:rsid w:val="00664A01"/>
    <w:rsid w:val="00664B1F"/>
    <w:rsid w:val="00664DC1"/>
    <w:rsid w:val="00664E92"/>
    <w:rsid w:val="00664FC9"/>
    <w:rsid w:val="00664FDE"/>
    <w:rsid w:val="00664FE3"/>
    <w:rsid w:val="00665048"/>
    <w:rsid w:val="0066505F"/>
    <w:rsid w:val="006652B4"/>
    <w:rsid w:val="006652D5"/>
    <w:rsid w:val="0066537A"/>
    <w:rsid w:val="006653E5"/>
    <w:rsid w:val="006654EB"/>
    <w:rsid w:val="006655B5"/>
    <w:rsid w:val="00665653"/>
    <w:rsid w:val="006659A6"/>
    <w:rsid w:val="006659D8"/>
    <w:rsid w:val="00665AE9"/>
    <w:rsid w:val="00665B65"/>
    <w:rsid w:val="00665CBA"/>
    <w:rsid w:val="00665DE5"/>
    <w:rsid w:val="00665E47"/>
    <w:rsid w:val="00665E52"/>
    <w:rsid w:val="00665E5F"/>
    <w:rsid w:val="00665ED0"/>
    <w:rsid w:val="00665F94"/>
    <w:rsid w:val="0066603A"/>
    <w:rsid w:val="006660AB"/>
    <w:rsid w:val="00666170"/>
    <w:rsid w:val="00666345"/>
    <w:rsid w:val="006664FE"/>
    <w:rsid w:val="00666B36"/>
    <w:rsid w:val="00666C51"/>
    <w:rsid w:val="00666CB4"/>
    <w:rsid w:val="00666E7C"/>
    <w:rsid w:val="00666F58"/>
    <w:rsid w:val="00666FBD"/>
    <w:rsid w:val="006674DB"/>
    <w:rsid w:val="006675F3"/>
    <w:rsid w:val="0066771B"/>
    <w:rsid w:val="0066785F"/>
    <w:rsid w:val="00667A1A"/>
    <w:rsid w:val="00667A5A"/>
    <w:rsid w:val="00667C2F"/>
    <w:rsid w:val="00667C57"/>
    <w:rsid w:val="00667ECA"/>
    <w:rsid w:val="0067009C"/>
    <w:rsid w:val="006701F6"/>
    <w:rsid w:val="0067029F"/>
    <w:rsid w:val="006702A3"/>
    <w:rsid w:val="006702E8"/>
    <w:rsid w:val="006704D5"/>
    <w:rsid w:val="00670955"/>
    <w:rsid w:val="0067098D"/>
    <w:rsid w:val="00670A13"/>
    <w:rsid w:val="00670A8E"/>
    <w:rsid w:val="00670AB5"/>
    <w:rsid w:val="00670C03"/>
    <w:rsid w:val="00670CFF"/>
    <w:rsid w:val="00670F7A"/>
    <w:rsid w:val="00671322"/>
    <w:rsid w:val="0067143B"/>
    <w:rsid w:val="0067149F"/>
    <w:rsid w:val="006714BB"/>
    <w:rsid w:val="006715C6"/>
    <w:rsid w:val="00671866"/>
    <w:rsid w:val="0067187C"/>
    <w:rsid w:val="00671DA2"/>
    <w:rsid w:val="00671E62"/>
    <w:rsid w:val="00671ED1"/>
    <w:rsid w:val="00671EEC"/>
    <w:rsid w:val="00672038"/>
    <w:rsid w:val="0067210E"/>
    <w:rsid w:val="00672260"/>
    <w:rsid w:val="006723C1"/>
    <w:rsid w:val="00672495"/>
    <w:rsid w:val="00672777"/>
    <w:rsid w:val="00672903"/>
    <w:rsid w:val="0067295B"/>
    <w:rsid w:val="00672A3D"/>
    <w:rsid w:val="00672BB1"/>
    <w:rsid w:val="00672EA2"/>
    <w:rsid w:val="00672EB3"/>
    <w:rsid w:val="00672FFE"/>
    <w:rsid w:val="00673086"/>
    <w:rsid w:val="0067311C"/>
    <w:rsid w:val="006731B0"/>
    <w:rsid w:val="006731B7"/>
    <w:rsid w:val="006732CB"/>
    <w:rsid w:val="006735EE"/>
    <w:rsid w:val="0067368A"/>
    <w:rsid w:val="006736C5"/>
    <w:rsid w:val="00673964"/>
    <w:rsid w:val="00673B2F"/>
    <w:rsid w:val="00673B32"/>
    <w:rsid w:val="00673CC3"/>
    <w:rsid w:val="00673DA8"/>
    <w:rsid w:val="00673F2C"/>
    <w:rsid w:val="0067403D"/>
    <w:rsid w:val="00674062"/>
    <w:rsid w:val="00674074"/>
    <w:rsid w:val="00674212"/>
    <w:rsid w:val="00674318"/>
    <w:rsid w:val="0067435D"/>
    <w:rsid w:val="00674362"/>
    <w:rsid w:val="0067444A"/>
    <w:rsid w:val="006744A7"/>
    <w:rsid w:val="006744B7"/>
    <w:rsid w:val="00674537"/>
    <w:rsid w:val="00674703"/>
    <w:rsid w:val="0067472B"/>
    <w:rsid w:val="006747BD"/>
    <w:rsid w:val="006747D2"/>
    <w:rsid w:val="0067490B"/>
    <w:rsid w:val="006749C6"/>
    <w:rsid w:val="00674AAF"/>
    <w:rsid w:val="00674CBA"/>
    <w:rsid w:val="00674DB1"/>
    <w:rsid w:val="00674E9E"/>
    <w:rsid w:val="00674FC2"/>
    <w:rsid w:val="006750BA"/>
    <w:rsid w:val="00675486"/>
    <w:rsid w:val="00675527"/>
    <w:rsid w:val="006755F0"/>
    <w:rsid w:val="00675600"/>
    <w:rsid w:val="0067595A"/>
    <w:rsid w:val="00675A9C"/>
    <w:rsid w:val="00675B53"/>
    <w:rsid w:val="00675B54"/>
    <w:rsid w:val="00675BC1"/>
    <w:rsid w:val="00675C6D"/>
    <w:rsid w:val="00675D1C"/>
    <w:rsid w:val="0067603F"/>
    <w:rsid w:val="00676270"/>
    <w:rsid w:val="00676518"/>
    <w:rsid w:val="00676521"/>
    <w:rsid w:val="006765F8"/>
    <w:rsid w:val="006766ED"/>
    <w:rsid w:val="006767DE"/>
    <w:rsid w:val="006768F0"/>
    <w:rsid w:val="0067690D"/>
    <w:rsid w:val="00676C97"/>
    <w:rsid w:val="00676DA8"/>
    <w:rsid w:val="00676DF4"/>
    <w:rsid w:val="00676E91"/>
    <w:rsid w:val="0067705F"/>
    <w:rsid w:val="0067717C"/>
    <w:rsid w:val="006772F7"/>
    <w:rsid w:val="0067773F"/>
    <w:rsid w:val="00677985"/>
    <w:rsid w:val="00677AE2"/>
    <w:rsid w:val="00677C65"/>
    <w:rsid w:val="00677D6E"/>
    <w:rsid w:val="00677DEE"/>
    <w:rsid w:val="00677EA2"/>
    <w:rsid w:val="00677EE8"/>
    <w:rsid w:val="00677F9D"/>
    <w:rsid w:val="006800B2"/>
    <w:rsid w:val="0068039E"/>
    <w:rsid w:val="006804AE"/>
    <w:rsid w:val="0068086C"/>
    <w:rsid w:val="00680CCD"/>
    <w:rsid w:val="00680D23"/>
    <w:rsid w:val="00680F45"/>
    <w:rsid w:val="00680F79"/>
    <w:rsid w:val="00681250"/>
    <w:rsid w:val="00681600"/>
    <w:rsid w:val="00681697"/>
    <w:rsid w:val="00681873"/>
    <w:rsid w:val="006818AB"/>
    <w:rsid w:val="00681AAA"/>
    <w:rsid w:val="00681B75"/>
    <w:rsid w:val="00681C0C"/>
    <w:rsid w:val="00681C94"/>
    <w:rsid w:val="00681CA1"/>
    <w:rsid w:val="00681CB1"/>
    <w:rsid w:val="00681F2C"/>
    <w:rsid w:val="00681F8D"/>
    <w:rsid w:val="0068210E"/>
    <w:rsid w:val="0068238D"/>
    <w:rsid w:val="006823C4"/>
    <w:rsid w:val="006824F9"/>
    <w:rsid w:val="0068252E"/>
    <w:rsid w:val="006825DC"/>
    <w:rsid w:val="0068263C"/>
    <w:rsid w:val="006827CA"/>
    <w:rsid w:val="006828A2"/>
    <w:rsid w:val="0068295F"/>
    <w:rsid w:val="00682AE3"/>
    <w:rsid w:val="00682D61"/>
    <w:rsid w:val="00682E7B"/>
    <w:rsid w:val="00683030"/>
    <w:rsid w:val="0068318C"/>
    <w:rsid w:val="006835C2"/>
    <w:rsid w:val="0068361E"/>
    <w:rsid w:val="006838D8"/>
    <w:rsid w:val="006838F0"/>
    <w:rsid w:val="00683A39"/>
    <w:rsid w:val="00683A89"/>
    <w:rsid w:val="00683AFD"/>
    <w:rsid w:val="00683B8C"/>
    <w:rsid w:val="00683BBC"/>
    <w:rsid w:val="00683C6F"/>
    <w:rsid w:val="00683D14"/>
    <w:rsid w:val="00683EA4"/>
    <w:rsid w:val="00683ED7"/>
    <w:rsid w:val="00683F6C"/>
    <w:rsid w:val="0068408E"/>
    <w:rsid w:val="0068414E"/>
    <w:rsid w:val="006841A0"/>
    <w:rsid w:val="006841A7"/>
    <w:rsid w:val="00684219"/>
    <w:rsid w:val="00684283"/>
    <w:rsid w:val="006842F3"/>
    <w:rsid w:val="0068437C"/>
    <w:rsid w:val="006843B7"/>
    <w:rsid w:val="006844A6"/>
    <w:rsid w:val="006844FB"/>
    <w:rsid w:val="0068468F"/>
    <w:rsid w:val="00684944"/>
    <w:rsid w:val="00684AA8"/>
    <w:rsid w:val="00684B64"/>
    <w:rsid w:val="00685127"/>
    <w:rsid w:val="006851A9"/>
    <w:rsid w:val="00685254"/>
    <w:rsid w:val="0068530B"/>
    <w:rsid w:val="00685357"/>
    <w:rsid w:val="0068538C"/>
    <w:rsid w:val="0068541D"/>
    <w:rsid w:val="00685572"/>
    <w:rsid w:val="0068574F"/>
    <w:rsid w:val="006857E3"/>
    <w:rsid w:val="006858F2"/>
    <w:rsid w:val="0068598D"/>
    <w:rsid w:val="006859C1"/>
    <w:rsid w:val="00685B97"/>
    <w:rsid w:val="00685CBF"/>
    <w:rsid w:val="00685F32"/>
    <w:rsid w:val="00685F65"/>
    <w:rsid w:val="006861B5"/>
    <w:rsid w:val="0068634B"/>
    <w:rsid w:val="00686458"/>
    <w:rsid w:val="00686495"/>
    <w:rsid w:val="00686680"/>
    <w:rsid w:val="006866E5"/>
    <w:rsid w:val="00686766"/>
    <w:rsid w:val="00686866"/>
    <w:rsid w:val="00686A9D"/>
    <w:rsid w:val="00686AD9"/>
    <w:rsid w:val="00686BC9"/>
    <w:rsid w:val="00686C5D"/>
    <w:rsid w:val="00686D5E"/>
    <w:rsid w:val="006870F8"/>
    <w:rsid w:val="006871A9"/>
    <w:rsid w:val="0068786E"/>
    <w:rsid w:val="00687DB4"/>
    <w:rsid w:val="00687E3C"/>
    <w:rsid w:val="00687E81"/>
    <w:rsid w:val="00687EAC"/>
    <w:rsid w:val="0069003A"/>
    <w:rsid w:val="006902C2"/>
    <w:rsid w:val="0069042E"/>
    <w:rsid w:val="0069048E"/>
    <w:rsid w:val="00690536"/>
    <w:rsid w:val="006905C0"/>
    <w:rsid w:val="006905C9"/>
    <w:rsid w:val="0069070F"/>
    <w:rsid w:val="00690781"/>
    <w:rsid w:val="00690B31"/>
    <w:rsid w:val="00690BC9"/>
    <w:rsid w:val="00690C14"/>
    <w:rsid w:val="00690D4C"/>
    <w:rsid w:val="00690D78"/>
    <w:rsid w:val="0069108A"/>
    <w:rsid w:val="00691139"/>
    <w:rsid w:val="0069156B"/>
    <w:rsid w:val="00691B6C"/>
    <w:rsid w:val="00691C84"/>
    <w:rsid w:val="00691E2C"/>
    <w:rsid w:val="00691F34"/>
    <w:rsid w:val="00691F55"/>
    <w:rsid w:val="00691F7E"/>
    <w:rsid w:val="00692054"/>
    <w:rsid w:val="00692147"/>
    <w:rsid w:val="006922F5"/>
    <w:rsid w:val="00692459"/>
    <w:rsid w:val="00692504"/>
    <w:rsid w:val="0069267E"/>
    <w:rsid w:val="0069267F"/>
    <w:rsid w:val="006929C2"/>
    <w:rsid w:val="00692B93"/>
    <w:rsid w:val="00692E77"/>
    <w:rsid w:val="00692FA2"/>
    <w:rsid w:val="00693107"/>
    <w:rsid w:val="0069315A"/>
    <w:rsid w:val="0069316C"/>
    <w:rsid w:val="0069323E"/>
    <w:rsid w:val="0069342B"/>
    <w:rsid w:val="0069348C"/>
    <w:rsid w:val="006934EC"/>
    <w:rsid w:val="00693519"/>
    <w:rsid w:val="00693578"/>
    <w:rsid w:val="006938CD"/>
    <w:rsid w:val="006938E2"/>
    <w:rsid w:val="00693B1A"/>
    <w:rsid w:val="00693B23"/>
    <w:rsid w:val="00693B67"/>
    <w:rsid w:val="00693BD8"/>
    <w:rsid w:val="00693C53"/>
    <w:rsid w:val="00693E15"/>
    <w:rsid w:val="00693EDD"/>
    <w:rsid w:val="00693FAA"/>
    <w:rsid w:val="006941F6"/>
    <w:rsid w:val="006943DE"/>
    <w:rsid w:val="0069443A"/>
    <w:rsid w:val="0069449D"/>
    <w:rsid w:val="006945EA"/>
    <w:rsid w:val="006946AF"/>
    <w:rsid w:val="006946C1"/>
    <w:rsid w:val="006949A9"/>
    <w:rsid w:val="006949EE"/>
    <w:rsid w:val="00694AB8"/>
    <w:rsid w:val="00694B4F"/>
    <w:rsid w:val="00694C2C"/>
    <w:rsid w:val="00694C4E"/>
    <w:rsid w:val="00694E1A"/>
    <w:rsid w:val="00694E37"/>
    <w:rsid w:val="00694F96"/>
    <w:rsid w:val="00695197"/>
    <w:rsid w:val="006951AF"/>
    <w:rsid w:val="006953F6"/>
    <w:rsid w:val="00695529"/>
    <w:rsid w:val="00695775"/>
    <w:rsid w:val="00695777"/>
    <w:rsid w:val="0069588A"/>
    <w:rsid w:val="006958C5"/>
    <w:rsid w:val="00695E47"/>
    <w:rsid w:val="00695EE0"/>
    <w:rsid w:val="00696112"/>
    <w:rsid w:val="00696143"/>
    <w:rsid w:val="00696241"/>
    <w:rsid w:val="006963A2"/>
    <w:rsid w:val="0069647E"/>
    <w:rsid w:val="00696524"/>
    <w:rsid w:val="00696612"/>
    <w:rsid w:val="00696BC8"/>
    <w:rsid w:val="00696C61"/>
    <w:rsid w:val="00696C9F"/>
    <w:rsid w:val="00696CA2"/>
    <w:rsid w:val="00696D3F"/>
    <w:rsid w:val="00696E65"/>
    <w:rsid w:val="00696FEF"/>
    <w:rsid w:val="00697093"/>
    <w:rsid w:val="006970A7"/>
    <w:rsid w:val="00697122"/>
    <w:rsid w:val="006972C2"/>
    <w:rsid w:val="006974CC"/>
    <w:rsid w:val="00697542"/>
    <w:rsid w:val="00697AAE"/>
    <w:rsid w:val="00697C82"/>
    <w:rsid w:val="00697DCE"/>
    <w:rsid w:val="00697E44"/>
    <w:rsid w:val="00697FAF"/>
    <w:rsid w:val="006A00B0"/>
    <w:rsid w:val="006A0243"/>
    <w:rsid w:val="006A0493"/>
    <w:rsid w:val="006A0544"/>
    <w:rsid w:val="006A06F2"/>
    <w:rsid w:val="006A0889"/>
    <w:rsid w:val="006A099F"/>
    <w:rsid w:val="006A0ADE"/>
    <w:rsid w:val="006A0F64"/>
    <w:rsid w:val="006A0F73"/>
    <w:rsid w:val="006A102B"/>
    <w:rsid w:val="006A104E"/>
    <w:rsid w:val="006A1273"/>
    <w:rsid w:val="006A15FC"/>
    <w:rsid w:val="006A1640"/>
    <w:rsid w:val="006A17AF"/>
    <w:rsid w:val="006A18D9"/>
    <w:rsid w:val="006A1C1C"/>
    <w:rsid w:val="006A1DB8"/>
    <w:rsid w:val="006A2010"/>
    <w:rsid w:val="006A2208"/>
    <w:rsid w:val="006A2432"/>
    <w:rsid w:val="006A2577"/>
    <w:rsid w:val="006A261F"/>
    <w:rsid w:val="006A27E2"/>
    <w:rsid w:val="006A2A67"/>
    <w:rsid w:val="006A2F0B"/>
    <w:rsid w:val="006A2F38"/>
    <w:rsid w:val="006A2F42"/>
    <w:rsid w:val="006A2FFE"/>
    <w:rsid w:val="006A3096"/>
    <w:rsid w:val="006A3137"/>
    <w:rsid w:val="006A3190"/>
    <w:rsid w:val="006A32A6"/>
    <w:rsid w:val="006A3346"/>
    <w:rsid w:val="006A3355"/>
    <w:rsid w:val="006A33F6"/>
    <w:rsid w:val="006A348E"/>
    <w:rsid w:val="006A34B6"/>
    <w:rsid w:val="006A35D5"/>
    <w:rsid w:val="006A38D3"/>
    <w:rsid w:val="006A38E0"/>
    <w:rsid w:val="006A3915"/>
    <w:rsid w:val="006A39A0"/>
    <w:rsid w:val="006A3A66"/>
    <w:rsid w:val="006A3A94"/>
    <w:rsid w:val="006A3E1B"/>
    <w:rsid w:val="006A3E77"/>
    <w:rsid w:val="006A3E7D"/>
    <w:rsid w:val="006A4075"/>
    <w:rsid w:val="006A4182"/>
    <w:rsid w:val="006A4375"/>
    <w:rsid w:val="006A43CA"/>
    <w:rsid w:val="006A44CE"/>
    <w:rsid w:val="006A46C1"/>
    <w:rsid w:val="006A4725"/>
    <w:rsid w:val="006A4842"/>
    <w:rsid w:val="006A4848"/>
    <w:rsid w:val="006A4863"/>
    <w:rsid w:val="006A4AC4"/>
    <w:rsid w:val="006A4AE7"/>
    <w:rsid w:val="006A4B87"/>
    <w:rsid w:val="006A4BE2"/>
    <w:rsid w:val="006A4BF4"/>
    <w:rsid w:val="006A4CBD"/>
    <w:rsid w:val="006A4DDD"/>
    <w:rsid w:val="006A4FB7"/>
    <w:rsid w:val="006A5374"/>
    <w:rsid w:val="006A53C7"/>
    <w:rsid w:val="006A545F"/>
    <w:rsid w:val="006A553D"/>
    <w:rsid w:val="006A5671"/>
    <w:rsid w:val="006A57FA"/>
    <w:rsid w:val="006A5915"/>
    <w:rsid w:val="006A5C3D"/>
    <w:rsid w:val="006A5C57"/>
    <w:rsid w:val="006A5C7A"/>
    <w:rsid w:val="006A5ED5"/>
    <w:rsid w:val="006A5F3C"/>
    <w:rsid w:val="006A5F86"/>
    <w:rsid w:val="006A6323"/>
    <w:rsid w:val="006A63A3"/>
    <w:rsid w:val="006A6742"/>
    <w:rsid w:val="006A67BE"/>
    <w:rsid w:val="006A6906"/>
    <w:rsid w:val="006A6B1B"/>
    <w:rsid w:val="006A6CC9"/>
    <w:rsid w:val="006A6D61"/>
    <w:rsid w:val="006A6DC0"/>
    <w:rsid w:val="006A6F08"/>
    <w:rsid w:val="006A6F0A"/>
    <w:rsid w:val="006A7091"/>
    <w:rsid w:val="006A7182"/>
    <w:rsid w:val="006A7349"/>
    <w:rsid w:val="006A7575"/>
    <w:rsid w:val="006A75A9"/>
    <w:rsid w:val="006A771F"/>
    <w:rsid w:val="006A78C6"/>
    <w:rsid w:val="006A7DB9"/>
    <w:rsid w:val="006A7EF6"/>
    <w:rsid w:val="006B00A8"/>
    <w:rsid w:val="006B023E"/>
    <w:rsid w:val="006B0248"/>
    <w:rsid w:val="006B05FC"/>
    <w:rsid w:val="006B077B"/>
    <w:rsid w:val="006B0846"/>
    <w:rsid w:val="006B0893"/>
    <w:rsid w:val="006B0C47"/>
    <w:rsid w:val="006B0CFA"/>
    <w:rsid w:val="006B0D77"/>
    <w:rsid w:val="006B0DD1"/>
    <w:rsid w:val="006B1090"/>
    <w:rsid w:val="006B151F"/>
    <w:rsid w:val="006B1586"/>
    <w:rsid w:val="006B1628"/>
    <w:rsid w:val="006B1687"/>
    <w:rsid w:val="006B1825"/>
    <w:rsid w:val="006B18CA"/>
    <w:rsid w:val="006B1A8D"/>
    <w:rsid w:val="006B1B58"/>
    <w:rsid w:val="006B1E31"/>
    <w:rsid w:val="006B1ED5"/>
    <w:rsid w:val="006B2520"/>
    <w:rsid w:val="006B2821"/>
    <w:rsid w:val="006B28C1"/>
    <w:rsid w:val="006B293E"/>
    <w:rsid w:val="006B2A50"/>
    <w:rsid w:val="006B2AE5"/>
    <w:rsid w:val="006B2B96"/>
    <w:rsid w:val="006B2DFD"/>
    <w:rsid w:val="006B2E66"/>
    <w:rsid w:val="006B2F16"/>
    <w:rsid w:val="006B2F19"/>
    <w:rsid w:val="006B2F25"/>
    <w:rsid w:val="006B2F40"/>
    <w:rsid w:val="006B2F75"/>
    <w:rsid w:val="006B301E"/>
    <w:rsid w:val="006B3698"/>
    <w:rsid w:val="006B3AB8"/>
    <w:rsid w:val="006B3B31"/>
    <w:rsid w:val="006B3D74"/>
    <w:rsid w:val="006B40A5"/>
    <w:rsid w:val="006B4182"/>
    <w:rsid w:val="006B42C5"/>
    <w:rsid w:val="006B43A2"/>
    <w:rsid w:val="006B448E"/>
    <w:rsid w:val="006B466F"/>
    <w:rsid w:val="006B468E"/>
    <w:rsid w:val="006B4712"/>
    <w:rsid w:val="006B4771"/>
    <w:rsid w:val="006B4CAC"/>
    <w:rsid w:val="006B4CF5"/>
    <w:rsid w:val="006B4E0D"/>
    <w:rsid w:val="006B4EFB"/>
    <w:rsid w:val="006B4FBE"/>
    <w:rsid w:val="006B5039"/>
    <w:rsid w:val="006B5191"/>
    <w:rsid w:val="006B51F3"/>
    <w:rsid w:val="006B552C"/>
    <w:rsid w:val="006B564F"/>
    <w:rsid w:val="006B5709"/>
    <w:rsid w:val="006B5895"/>
    <w:rsid w:val="006B5923"/>
    <w:rsid w:val="006B5A36"/>
    <w:rsid w:val="006B5BB0"/>
    <w:rsid w:val="006B5C49"/>
    <w:rsid w:val="006B5E71"/>
    <w:rsid w:val="006B63E3"/>
    <w:rsid w:val="006B6512"/>
    <w:rsid w:val="006B6638"/>
    <w:rsid w:val="006B6844"/>
    <w:rsid w:val="006B6866"/>
    <w:rsid w:val="006B6917"/>
    <w:rsid w:val="006B6939"/>
    <w:rsid w:val="006B6969"/>
    <w:rsid w:val="006B6B0F"/>
    <w:rsid w:val="006B6DD1"/>
    <w:rsid w:val="006B70C8"/>
    <w:rsid w:val="006B70D9"/>
    <w:rsid w:val="006B72E6"/>
    <w:rsid w:val="006B74E9"/>
    <w:rsid w:val="006B7605"/>
    <w:rsid w:val="006B765D"/>
    <w:rsid w:val="006B76AB"/>
    <w:rsid w:val="006B7880"/>
    <w:rsid w:val="006B78B9"/>
    <w:rsid w:val="006B79B3"/>
    <w:rsid w:val="006B79E7"/>
    <w:rsid w:val="006B7A5D"/>
    <w:rsid w:val="006B7AA7"/>
    <w:rsid w:val="006B7B02"/>
    <w:rsid w:val="006B7B39"/>
    <w:rsid w:val="006B7B83"/>
    <w:rsid w:val="006B7BDB"/>
    <w:rsid w:val="006B7C80"/>
    <w:rsid w:val="006B7D16"/>
    <w:rsid w:val="006B7D7D"/>
    <w:rsid w:val="006B7DEA"/>
    <w:rsid w:val="006B7E4C"/>
    <w:rsid w:val="006B7FCF"/>
    <w:rsid w:val="006C01E1"/>
    <w:rsid w:val="006C0283"/>
    <w:rsid w:val="006C03F7"/>
    <w:rsid w:val="006C060E"/>
    <w:rsid w:val="006C068E"/>
    <w:rsid w:val="006C0A6C"/>
    <w:rsid w:val="006C0ADF"/>
    <w:rsid w:val="006C0B90"/>
    <w:rsid w:val="006C0C3B"/>
    <w:rsid w:val="006C0CF5"/>
    <w:rsid w:val="006C0D75"/>
    <w:rsid w:val="006C0DBB"/>
    <w:rsid w:val="006C0EF8"/>
    <w:rsid w:val="006C0F67"/>
    <w:rsid w:val="006C1082"/>
    <w:rsid w:val="006C117B"/>
    <w:rsid w:val="006C12A0"/>
    <w:rsid w:val="006C1307"/>
    <w:rsid w:val="006C1439"/>
    <w:rsid w:val="006C1457"/>
    <w:rsid w:val="006C148E"/>
    <w:rsid w:val="006C1585"/>
    <w:rsid w:val="006C1592"/>
    <w:rsid w:val="006C168A"/>
    <w:rsid w:val="006C1825"/>
    <w:rsid w:val="006C19D6"/>
    <w:rsid w:val="006C1AA5"/>
    <w:rsid w:val="006C1C12"/>
    <w:rsid w:val="006C1DFD"/>
    <w:rsid w:val="006C2074"/>
    <w:rsid w:val="006C2280"/>
    <w:rsid w:val="006C22DF"/>
    <w:rsid w:val="006C23DF"/>
    <w:rsid w:val="006C23F7"/>
    <w:rsid w:val="006C2427"/>
    <w:rsid w:val="006C2596"/>
    <w:rsid w:val="006C25B1"/>
    <w:rsid w:val="006C261C"/>
    <w:rsid w:val="006C2835"/>
    <w:rsid w:val="006C2868"/>
    <w:rsid w:val="006C29DC"/>
    <w:rsid w:val="006C2ADE"/>
    <w:rsid w:val="006C2AE7"/>
    <w:rsid w:val="006C2B46"/>
    <w:rsid w:val="006C2B66"/>
    <w:rsid w:val="006C2EEB"/>
    <w:rsid w:val="006C3272"/>
    <w:rsid w:val="006C327E"/>
    <w:rsid w:val="006C330A"/>
    <w:rsid w:val="006C341E"/>
    <w:rsid w:val="006C34A4"/>
    <w:rsid w:val="006C34C3"/>
    <w:rsid w:val="006C36D5"/>
    <w:rsid w:val="006C3707"/>
    <w:rsid w:val="006C3773"/>
    <w:rsid w:val="006C38AA"/>
    <w:rsid w:val="006C398A"/>
    <w:rsid w:val="006C3ABB"/>
    <w:rsid w:val="006C3B2E"/>
    <w:rsid w:val="006C3EDC"/>
    <w:rsid w:val="006C412C"/>
    <w:rsid w:val="006C418A"/>
    <w:rsid w:val="006C42BE"/>
    <w:rsid w:val="006C45DF"/>
    <w:rsid w:val="006C4711"/>
    <w:rsid w:val="006C4A0B"/>
    <w:rsid w:val="006C4D90"/>
    <w:rsid w:val="006C4F3C"/>
    <w:rsid w:val="006C5036"/>
    <w:rsid w:val="006C51B6"/>
    <w:rsid w:val="006C55BF"/>
    <w:rsid w:val="006C55F7"/>
    <w:rsid w:val="006C5703"/>
    <w:rsid w:val="006C59AF"/>
    <w:rsid w:val="006C5F07"/>
    <w:rsid w:val="006C606D"/>
    <w:rsid w:val="006C6170"/>
    <w:rsid w:val="006C634A"/>
    <w:rsid w:val="006C6695"/>
    <w:rsid w:val="006C671A"/>
    <w:rsid w:val="006C692C"/>
    <w:rsid w:val="006C6C55"/>
    <w:rsid w:val="006C6CCE"/>
    <w:rsid w:val="006C6CE6"/>
    <w:rsid w:val="006C6D52"/>
    <w:rsid w:val="006C6E9B"/>
    <w:rsid w:val="006C6EB2"/>
    <w:rsid w:val="006C7184"/>
    <w:rsid w:val="006C72D1"/>
    <w:rsid w:val="006C738A"/>
    <w:rsid w:val="006C739B"/>
    <w:rsid w:val="006C7483"/>
    <w:rsid w:val="006C759F"/>
    <w:rsid w:val="006C76F8"/>
    <w:rsid w:val="006C7995"/>
    <w:rsid w:val="006C7A0E"/>
    <w:rsid w:val="006C7F81"/>
    <w:rsid w:val="006D00B4"/>
    <w:rsid w:val="006D0114"/>
    <w:rsid w:val="006D0199"/>
    <w:rsid w:val="006D0384"/>
    <w:rsid w:val="006D04A2"/>
    <w:rsid w:val="006D04E8"/>
    <w:rsid w:val="006D0740"/>
    <w:rsid w:val="006D08C5"/>
    <w:rsid w:val="006D0967"/>
    <w:rsid w:val="006D0C8F"/>
    <w:rsid w:val="006D0E71"/>
    <w:rsid w:val="006D0E7D"/>
    <w:rsid w:val="006D0EF3"/>
    <w:rsid w:val="006D105B"/>
    <w:rsid w:val="006D1144"/>
    <w:rsid w:val="006D11CB"/>
    <w:rsid w:val="006D18A9"/>
    <w:rsid w:val="006D1A93"/>
    <w:rsid w:val="006D1B5F"/>
    <w:rsid w:val="006D1B89"/>
    <w:rsid w:val="006D1D2F"/>
    <w:rsid w:val="006D1D51"/>
    <w:rsid w:val="006D1E70"/>
    <w:rsid w:val="006D1E7B"/>
    <w:rsid w:val="006D1F15"/>
    <w:rsid w:val="006D1FFA"/>
    <w:rsid w:val="006D2255"/>
    <w:rsid w:val="006D253B"/>
    <w:rsid w:val="006D258C"/>
    <w:rsid w:val="006D272B"/>
    <w:rsid w:val="006D288B"/>
    <w:rsid w:val="006D29DB"/>
    <w:rsid w:val="006D2B6E"/>
    <w:rsid w:val="006D2B94"/>
    <w:rsid w:val="006D2C07"/>
    <w:rsid w:val="006D2C6B"/>
    <w:rsid w:val="006D2C9D"/>
    <w:rsid w:val="006D2CD5"/>
    <w:rsid w:val="006D2D04"/>
    <w:rsid w:val="006D2D22"/>
    <w:rsid w:val="006D2D59"/>
    <w:rsid w:val="006D2DC3"/>
    <w:rsid w:val="006D2DC5"/>
    <w:rsid w:val="006D2EC1"/>
    <w:rsid w:val="006D2FD2"/>
    <w:rsid w:val="006D300A"/>
    <w:rsid w:val="006D31C1"/>
    <w:rsid w:val="006D3231"/>
    <w:rsid w:val="006D32B8"/>
    <w:rsid w:val="006D3585"/>
    <w:rsid w:val="006D3713"/>
    <w:rsid w:val="006D3741"/>
    <w:rsid w:val="006D38D4"/>
    <w:rsid w:val="006D3A1F"/>
    <w:rsid w:val="006D3C54"/>
    <w:rsid w:val="006D3EC3"/>
    <w:rsid w:val="006D3F84"/>
    <w:rsid w:val="006D4642"/>
    <w:rsid w:val="006D46F4"/>
    <w:rsid w:val="006D4925"/>
    <w:rsid w:val="006D493A"/>
    <w:rsid w:val="006D4959"/>
    <w:rsid w:val="006D4966"/>
    <w:rsid w:val="006D4978"/>
    <w:rsid w:val="006D4995"/>
    <w:rsid w:val="006D4B09"/>
    <w:rsid w:val="006D4CA2"/>
    <w:rsid w:val="006D4D4E"/>
    <w:rsid w:val="006D4F14"/>
    <w:rsid w:val="006D517A"/>
    <w:rsid w:val="006D52BC"/>
    <w:rsid w:val="006D5319"/>
    <w:rsid w:val="006D5433"/>
    <w:rsid w:val="006D5535"/>
    <w:rsid w:val="006D5558"/>
    <w:rsid w:val="006D559D"/>
    <w:rsid w:val="006D5614"/>
    <w:rsid w:val="006D56EF"/>
    <w:rsid w:val="006D56F1"/>
    <w:rsid w:val="006D5DC4"/>
    <w:rsid w:val="006D5E9E"/>
    <w:rsid w:val="006D5FB8"/>
    <w:rsid w:val="006D6093"/>
    <w:rsid w:val="006D63A2"/>
    <w:rsid w:val="006D6400"/>
    <w:rsid w:val="006D644E"/>
    <w:rsid w:val="006D650F"/>
    <w:rsid w:val="006D65A2"/>
    <w:rsid w:val="006D69A4"/>
    <w:rsid w:val="006D6B5B"/>
    <w:rsid w:val="006D6B9B"/>
    <w:rsid w:val="006D6B9F"/>
    <w:rsid w:val="006D6E3D"/>
    <w:rsid w:val="006D6F7D"/>
    <w:rsid w:val="006D7211"/>
    <w:rsid w:val="006D7493"/>
    <w:rsid w:val="006D74CE"/>
    <w:rsid w:val="006D75F6"/>
    <w:rsid w:val="006D777D"/>
    <w:rsid w:val="006D784C"/>
    <w:rsid w:val="006D7A37"/>
    <w:rsid w:val="006D7B57"/>
    <w:rsid w:val="006D7C0D"/>
    <w:rsid w:val="006D7CCE"/>
    <w:rsid w:val="006D7D50"/>
    <w:rsid w:val="006D7D68"/>
    <w:rsid w:val="006E005F"/>
    <w:rsid w:val="006E00BC"/>
    <w:rsid w:val="006E058B"/>
    <w:rsid w:val="006E07AF"/>
    <w:rsid w:val="006E0990"/>
    <w:rsid w:val="006E09D6"/>
    <w:rsid w:val="006E0A45"/>
    <w:rsid w:val="006E0DE0"/>
    <w:rsid w:val="006E0E8D"/>
    <w:rsid w:val="006E0EA2"/>
    <w:rsid w:val="006E10B9"/>
    <w:rsid w:val="006E1249"/>
    <w:rsid w:val="006E12ED"/>
    <w:rsid w:val="006E13C4"/>
    <w:rsid w:val="006E13E7"/>
    <w:rsid w:val="006E141C"/>
    <w:rsid w:val="006E14E7"/>
    <w:rsid w:val="006E1A4E"/>
    <w:rsid w:val="006E1A79"/>
    <w:rsid w:val="006E1C06"/>
    <w:rsid w:val="006E1E76"/>
    <w:rsid w:val="006E2245"/>
    <w:rsid w:val="006E26E9"/>
    <w:rsid w:val="006E27C4"/>
    <w:rsid w:val="006E27E2"/>
    <w:rsid w:val="006E2B07"/>
    <w:rsid w:val="006E2B20"/>
    <w:rsid w:val="006E2C53"/>
    <w:rsid w:val="006E2C96"/>
    <w:rsid w:val="006E2DD6"/>
    <w:rsid w:val="006E3067"/>
    <w:rsid w:val="006E313C"/>
    <w:rsid w:val="006E3155"/>
    <w:rsid w:val="006E31E7"/>
    <w:rsid w:val="006E331E"/>
    <w:rsid w:val="006E352A"/>
    <w:rsid w:val="006E369F"/>
    <w:rsid w:val="006E3754"/>
    <w:rsid w:val="006E3A99"/>
    <w:rsid w:val="006E3CBD"/>
    <w:rsid w:val="006E3CC8"/>
    <w:rsid w:val="006E3F58"/>
    <w:rsid w:val="006E4032"/>
    <w:rsid w:val="006E419A"/>
    <w:rsid w:val="006E46EF"/>
    <w:rsid w:val="006E4762"/>
    <w:rsid w:val="006E484E"/>
    <w:rsid w:val="006E4AE4"/>
    <w:rsid w:val="006E4AEB"/>
    <w:rsid w:val="006E4BA1"/>
    <w:rsid w:val="006E505C"/>
    <w:rsid w:val="006E5060"/>
    <w:rsid w:val="006E51E4"/>
    <w:rsid w:val="006E5300"/>
    <w:rsid w:val="006E5337"/>
    <w:rsid w:val="006E55C1"/>
    <w:rsid w:val="006E56AF"/>
    <w:rsid w:val="006E56DE"/>
    <w:rsid w:val="006E57D5"/>
    <w:rsid w:val="006E59F8"/>
    <w:rsid w:val="006E59F9"/>
    <w:rsid w:val="006E5A72"/>
    <w:rsid w:val="006E5AEA"/>
    <w:rsid w:val="006E5E80"/>
    <w:rsid w:val="006E61C9"/>
    <w:rsid w:val="006E62F0"/>
    <w:rsid w:val="006E63F8"/>
    <w:rsid w:val="006E6438"/>
    <w:rsid w:val="006E6453"/>
    <w:rsid w:val="006E6464"/>
    <w:rsid w:val="006E6494"/>
    <w:rsid w:val="006E65E9"/>
    <w:rsid w:val="006E666D"/>
    <w:rsid w:val="006E681A"/>
    <w:rsid w:val="006E683C"/>
    <w:rsid w:val="006E6A63"/>
    <w:rsid w:val="006E6A9F"/>
    <w:rsid w:val="006E6D0C"/>
    <w:rsid w:val="006E6E8F"/>
    <w:rsid w:val="006E7087"/>
    <w:rsid w:val="006E70F1"/>
    <w:rsid w:val="006E712C"/>
    <w:rsid w:val="006E7260"/>
    <w:rsid w:val="006E726F"/>
    <w:rsid w:val="006E74C4"/>
    <w:rsid w:val="006E7580"/>
    <w:rsid w:val="006E7689"/>
    <w:rsid w:val="006E7C3C"/>
    <w:rsid w:val="006E7C93"/>
    <w:rsid w:val="006E7C9D"/>
    <w:rsid w:val="006E7CB3"/>
    <w:rsid w:val="006E7E07"/>
    <w:rsid w:val="006E7EE2"/>
    <w:rsid w:val="006F0029"/>
    <w:rsid w:val="006F005F"/>
    <w:rsid w:val="006F0326"/>
    <w:rsid w:val="006F04C9"/>
    <w:rsid w:val="006F058C"/>
    <w:rsid w:val="006F075B"/>
    <w:rsid w:val="006F0B26"/>
    <w:rsid w:val="006F0BF7"/>
    <w:rsid w:val="006F0CC0"/>
    <w:rsid w:val="006F0D06"/>
    <w:rsid w:val="006F0F1D"/>
    <w:rsid w:val="006F0FB4"/>
    <w:rsid w:val="006F0FB6"/>
    <w:rsid w:val="006F100F"/>
    <w:rsid w:val="006F1039"/>
    <w:rsid w:val="006F1720"/>
    <w:rsid w:val="006F1B22"/>
    <w:rsid w:val="006F1B53"/>
    <w:rsid w:val="006F1B74"/>
    <w:rsid w:val="006F1BDA"/>
    <w:rsid w:val="006F1BF5"/>
    <w:rsid w:val="006F1CBD"/>
    <w:rsid w:val="006F1D05"/>
    <w:rsid w:val="006F1D55"/>
    <w:rsid w:val="006F1E72"/>
    <w:rsid w:val="006F21E8"/>
    <w:rsid w:val="006F21F6"/>
    <w:rsid w:val="006F22C4"/>
    <w:rsid w:val="006F2350"/>
    <w:rsid w:val="006F264C"/>
    <w:rsid w:val="006F265E"/>
    <w:rsid w:val="006F274F"/>
    <w:rsid w:val="006F2811"/>
    <w:rsid w:val="006F2858"/>
    <w:rsid w:val="006F28E3"/>
    <w:rsid w:val="006F2A7E"/>
    <w:rsid w:val="006F2AC7"/>
    <w:rsid w:val="006F2B07"/>
    <w:rsid w:val="006F2B44"/>
    <w:rsid w:val="006F2CFA"/>
    <w:rsid w:val="006F2E0F"/>
    <w:rsid w:val="006F2ECE"/>
    <w:rsid w:val="006F3004"/>
    <w:rsid w:val="006F3017"/>
    <w:rsid w:val="006F3123"/>
    <w:rsid w:val="006F3189"/>
    <w:rsid w:val="006F31C8"/>
    <w:rsid w:val="006F35A6"/>
    <w:rsid w:val="006F35B5"/>
    <w:rsid w:val="006F3615"/>
    <w:rsid w:val="006F3706"/>
    <w:rsid w:val="006F37A9"/>
    <w:rsid w:val="006F3A07"/>
    <w:rsid w:val="006F3A8A"/>
    <w:rsid w:val="006F3C96"/>
    <w:rsid w:val="006F3CB3"/>
    <w:rsid w:val="006F3DC4"/>
    <w:rsid w:val="006F3FD6"/>
    <w:rsid w:val="006F455F"/>
    <w:rsid w:val="006F471A"/>
    <w:rsid w:val="006F4792"/>
    <w:rsid w:val="006F47C1"/>
    <w:rsid w:val="006F4807"/>
    <w:rsid w:val="006F48BB"/>
    <w:rsid w:val="006F499A"/>
    <w:rsid w:val="006F49A5"/>
    <w:rsid w:val="006F4A29"/>
    <w:rsid w:val="006F4AD2"/>
    <w:rsid w:val="006F4BD5"/>
    <w:rsid w:val="006F4DD2"/>
    <w:rsid w:val="006F4FB7"/>
    <w:rsid w:val="006F5007"/>
    <w:rsid w:val="006F5018"/>
    <w:rsid w:val="006F50FC"/>
    <w:rsid w:val="006F51C3"/>
    <w:rsid w:val="006F539D"/>
    <w:rsid w:val="006F55A4"/>
    <w:rsid w:val="006F55CE"/>
    <w:rsid w:val="006F5688"/>
    <w:rsid w:val="006F58BF"/>
    <w:rsid w:val="006F5949"/>
    <w:rsid w:val="006F5A2C"/>
    <w:rsid w:val="006F5C24"/>
    <w:rsid w:val="006F5C95"/>
    <w:rsid w:val="006F5CB5"/>
    <w:rsid w:val="006F5D0D"/>
    <w:rsid w:val="006F5F70"/>
    <w:rsid w:val="006F603C"/>
    <w:rsid w:val="006F61FE"/>
    <w:rsid w:val="006F62DB"/>
    <w:rsid w:val="006F646C"/>
    <w:rsid w:val="006F656C"/>
    <w:rsid w:val="006F68AA"/>
    <w:rsid w:val="006F690C"/>
    <w:rsid w:val="006F6A55"/>
    <w:rsid w:val="006F6A9F"/>
    <w:rsid w:val="006F6CC3"/>
    <w:rsid w:val="006F6E9D"/>
    <w:rsid w:val="006F6EC7"/>
    <w:rsid w:val="006F6FBB"/>
    <w:rsid w:val="006F7051"/>
    <w:rsid w:val="006F722D"/>
    <w:rsid w:val="006F72BC"/>
    <w:rsid w:val="006F7466"/>
    <w:rsid w:val="006F7583"/>
    <w:rsid w:val="006F7586"/>
    <w:rsid w:val="006F7612"/>
    <w:rsid w:val="006F7620"/>
    <w:rsid w:val="006F7676"/>
    <w:rsid w:val="006F76BD"/>
    <w:rsid w:val="006F77B2"/>
    <w:rsid w:val="006F77D7"/>
    <w:rsid w:val="006F7936"/>
    <w:rsid w:val="006F7A33"/>
    <w:rsid w:val="006F7A7E"/>
    <w:rsid w:val="006F7B1D"/>
    <w:rsid w:val="006F7B40"/>
    <w:rsid w:val="006F7B8C"/>
    <w:rsid w:val="006F7B9D"/>
    <w:rsid w:val="006F7D95"/>
    <w:rsid w:val="006F7DE2"/>
    <w:rsid w:val="006F7E43"/>
    <w:rsid w:val="006F7F78"/>
    <w:rsid w:val="007001E9"/>
    <w:rsid w:val="00700390"/>
    <w:rsid w:val="00700394"/>
    <w:rsid w:val="007005CA"/>
    <w:rsid w:val="007007A3"/>
    <w:rsid w:val="00700923"/>
    <w:rsid w:val="00700961"/>
    <w:rsid w:val="00700996"/>
    <w:rsid w:val="00700A5E"/>
    <w:rsid w:val="00700BB2"/>
    <w:rsid w:val="00700C68"/>
    <w:rsid w:val="00700F1D"/>
    <w:rsid w:val="00700FDF"/>
    <w:rsid w:val="00701069"/>
    <w:rsid w:val="007012E6"/>
    <w:rsid w:val="007012E9"/>
    <w:rsid w:val="007013BD"/>
    <w:rsid w:val="00701415"/>
    <w:rsid w:val="00701485"/>
    <w:rsid w:val="007014FE"/>
    <w:rsid w:val="00701A05"/>
    <w:rsid w:val="00701A31"/>
    <w:rsid w:val="00701AAE"/>
    <w:rsid w:val="00701B04"/>
    <w:rsid w:val="00701D61"/>
    <w:rsid w:val="00701D8C"/>
    <w:rsid w:val="00701E74"/>
    <w:rsid w:val="00701FCD"/>
    <w:rsid w:val="00702003"/>
    <w:rsid w:val="00702020"/>
    <w:rsid w:val="00702058"/>
    <w:rsid w:val="00702104"/>
    <w:rsid w:val="00702387"/>
    <w:rsid w:val="00702388"/>
    <w:rsid w:val="00702443"/>
    <w:rsid w:val="007024D0"/>
    <w:rsid w:val="00702637"/>
    <w:rsid w:val="0070275E"/>
    <w:rsid w:val="007029B5"/>
    <w:rsid w:val="00702A76"/>
    <w:rsid w:val="00702AE4"/>
    <w:rsid w:val="00702BB6"/>
    <w:rsid w:val="00702F83"/>
    <w:rsid w:val="00703040"/>
    <w:rsid w:val="0070318F"/>
    <w:rsid w:val="0070322B"/>
    <w:rsid w:val="00703276"/>
    <w:rsid w:val="0070332A"/>
    <w:rsid w:val="007033F9"/>
    <w:rsid w:val="0070344D"/>
    <w:rsid w:val="00703629"/>
    <w:rsid w:val="00703782"/>
    <w:rsid w:val="007038BE"/>
    <w:rsid w:val="00703973"/>
    <w:rsid w:val="007039A3"/>
    <w:rsid w:val="00703B18"/>
    <w:rsid w:val="00703B31"/>
    <w:rsid w:val="00703BB0"/>
    <w:rsid w:val="00703C9C"/>
    <w:rsid w:val="00703CD7"/>
    <w:rsid w:val="00703D1D"/>
    <w:rsid w:val="00703D42"/>
    <w:rsid w:val="00703E69"/>
    <w:rsid w:val="0070432C"/>
    <w:rsid w:val="007043B9"/>
    <w:rsid w:val="0070468E"/>
    <w:rsid w:val="007046CD"/>
    <w:rsid w:val="00704BC7"/>
    <w:rsid w:val="00704BF2"/>
    <w:rsid w:val="00704CC8"/>
    <w:rsid w:val="00704E86"/>
    <w:rsid w:val="00704ED5"/>
    <w:rsid w:val="00704EFF"/>
    <w:rsid w:val="00705107"/>
    <w:rsid w:val="0070522F"/>
    <w:rsid w:val="00705563"/>
    <w:rsid w:val="0070563A"/>
    <w:rsid w:val="00705775"/>
    <w:rsid w:val="007057AA"/>
    <w:rsid w:val="0070596C"/>
    <w:rsid w:val="007059A7"/>
    <w:rsid w:val="00705ADB"/>
    <w:rsid w:val="00705CC7"/>
    <w:rsid w:val="00705D27"/>
    <w:rsid w:val="00705FF4"/>
    <w:rsid w:val="007060C4"/>
    <w:rsid w:val="007061EE"/>
    <w:rsid w:val="007062A5"/>
    <w:rsid w:val="00706564"/>
    <w:rsid w:val="00706761"/>
    <w:rsid w:val="00706882"/>
    <w:rsid w:val="007068C1"/>
    <w:rsid w:val="007068CA"/>
    <w:rsid w:val="00706970"/>
    <w:rsid w:val="00706BD4"/>
    <w:rsid w:val="00706EA5"/>
    <w:rsid w:val="0070708B"/>
    <w:rsid w:val="007070FE"/>
    <w:rsid w:val="00707317"/>
    <w:rsid w:val="00707341"/>
    <w:rsid w:val="007073EB"/>
    <w:rsid w:val="007073EF"/>
    <w:rsid w:val="007078A4"/>
    <w:rsid w:val="007079BC"/>
    <w:rsid w:val="00707A72"/>
    <w:rsid w:val="00707BEF"/>
    <w:rsid w:val="00707C01"/>
    <w:rsid w:val="00707F96"/>
    <w:rsid w:val="00707FEA"/>
    <w:rsid w:val="00710118"/>
    <w:rsid w:val="0071011E"/>
    <w:rsid w:val="007102DA"/>
    <w:rsid w:val="00710546"/>
    <w:rsid w:val="00710ADB"/>
    <w:rsid w:val="00710C69"/>
    <w:rsid w:val="00710C6D"/>
    <w:rsid w:val="00710D6B"/>
    <w:rsid w:val="00710EA8"/>
    <w:rsid w:val="00710F13"/>
    <w:rsid w:val="00710F93"/>
    <w:rsid w:val="00711013"/>
    <w:rsid w:val="0071101F"/>
    <w:rsid w:val="0071106D"/>
    <w:rsid w:val="00711133"/>
    <w:rsid w:val="00711199"/>
    <w:rsid w:val="007113AE"/>
    <w:rsid w:val="00711579"/>
    <w:rsid w:val="007115EC"/>
    <w:rsid w:val="0071176E"/>
    <w:rsid w:val="00711839"/>
    <w:rsid w:val="007118A4"/>
    <w:rsid w:val="00711921"/>
    <w:rsid w:val="00711983"/>
    <w:rsid w:val="00711C2B"/>
    <w:rsid w:val="00711DA6"/>
    <w:rsid w:val="00711E90"/>
    <w:rsid w:val="00711E93"/>
    <w:rsid w:val="00711F40"/>
    <w:rsid w:val="007121A0"/>
    <w:rsid w:val="007122FD"/>
    <w:rsid w:val="00712373"/>
    <w:rsid w:val="007123A2"/>
    <w:rsid w:val="00712622"/>
    <w:rsid w:val="00712692"/>
    <w:rsid w:val="007126A6"/>
    <w:rsid w:val="0071283B"/>
    <w:rsid w:val="0071289F"/>
    <w:rsid w:val="007129F4"/>
    <w:rsid w:val="00712BB4"/>
    <w:rsid w:val="00712BFC"/>
    <w:rsid w:val="00712C49"/>
    <w:rsid w:val="00712D14"/>
    <w:rsid w:val="00712D3B"/>
    <w:rsid w:val="00712D4A"/>
    <w:rsid w:val="00712DBC"/>
    <w:rsid w:val="00712EF3"/>
    <w:rsid w:val="00712FD1"/>
    <w:rsid w:val="007130B9"/>
    <w:rsid w:val="0071324D"/>
    <w:rsid w:val="00713708"/>
    <w:rsid w:val="00713748"/>
    <w:rsid w:val="0071379A"/>
    <w:rsid w:val="007139F0"/>
    <w:rsid w:val="00713A03"/>
    <w:rsid w:val="00713CD1"/>
    <w:rsid w:val="00713CF4"/>
    <w:rsid w:val="00713F07"/>
    <w:rsid w:val="00713F1D"/>
    <w:rsid w:val="00713F3B"/>
    <w:rsid w:val="00713F4B"/>
    <w:rsid w:val="00713F7A"/>
    <w:rsid w:val="00713F9C"/>
    <w:rsid w:val="0071428B"/>
    <w:rsid w:val="00714300"/>
    <w:rsid w:val="00714462"/>
    <w:rsid w:val="007144CE"/>
    <w:rsid w:val="0071452B"/>
    <w:rsid w:val="00714562"/>
    <w:rsid w:val="007147A4"/>
    <w:rsid w:val="0071483A"/>
    <w:rsid w:val="007148C6"/>
    <w:rsid w:val="00714927"/>
    <w:rsid w:val="00714A50"/>
    <w:rsid w:val="00714B8D"/>
    <w:rsid w:val="00714C11"/>
    <w:rsid w:val="00714D22"/>
    <w:rsid w:val="00714E43"/>
    <w:rsid w:val="007152FF"/>
    <w:rsid w:val="007153B8"/>
    <w:rsid w:val="007153F4"/>
    <w:rsid w:val="00715483"/>
    <w:rsid w:val="007154F0"/>
    <w:rsid w:val="00715511"/>
    <w:rsid w:val="007159B0"/>
    <w:rsid w:val="00715ABC"/>
    <w:rsid w:val="00715C4D"/>
    <w:rsid w:val="00715CAD"/>
    <w:rsid w:val="00715D92"/>
    <w:rsid w:val="00715EBC"/>
    <w:rsid w:val="00715FC3"/>
    <w:rsid w:val="00715FED"/>
    <w:rsid w:val="0071601F"/>
    <w:rsid w:val="00716082"/>
    <w:rsid w:val="007160D7"/>
    <w:rsid w:val="007162D1"/>
    <w:rsid w:val="00716386"/>
    <w:rsid w:val="007163DF"/>
    <w:rsid w:val="007164D2"/>
    <w:rsid w:val="007165F3"/>
    <w:rsid w:val="007165F8"/>
    <w:rsid w:val="0071689A"/>
    <w:rsid w:val="00716925"/>
    <w:rsid w:val="00716A17"/>
    <w:rsid w:val="00716C37"/>
    <w:rsid w:val="00716F90"/>
    <w:rsid w:val="00717198"/>
    <w:rsid w:val="00717326"/>
    <w:rsid w:val="0071747C"/>
    <w:rsid w:val="00717483"/>
    <w:rsid w:val="007176E6"/>
    <w:rsid w:val="0071775A"/>
    <w:rsid w:val="00717837"/>
    <w:rsid w:val="007179B4"/>
    <w:rsid w:val="00717A09"/>
    <w:rsid w:val="00717B5B"/>
    <w:rsid w:val="00717B7B"/>
    <w:rsid w:val="00717EE8"/>
    <w:rsid w:val="00717F27"/>
    <w:rsid w:val="007200FE"/>
    <w:rsid w:val="00720433"/>
    <w:rsid w:val="0072070F"/>
    <w:rsid w:val="00720715"/>
    <w:rsid w:val="00720716"/>
    <w:rsid w:val="007207EA"/>
    <w:rsid w:val="00720808"/>
    <w:rsid w:val="00720865"/>
    <w:rsid w:val="0072096A"/>
    <w:rsid w:val="00720A3A"/>
    <w:rsid w:val="00720E92"/>
    <w:rsid w:val="00720FDC"/>
    <w:rsid w:val="0072103C"/>
    <w:rsid w:val="007211E5"/>
    <w:rsid w:val="00721233"/>
    <w:rsid w:val="00721278"/>
    <w:rsid w:val="00721297"/>
    <w:rsid w:val="007216B1"/>
    <w:rsid w:val="00721782"/>
    <w:rsid w:val="00721841"/>
    <w:rsid w:val="00721860"/>
    <w:rsid w:val="0072196D"/>
    <w:rsid w:val="00721A48"/>
    <w:rsid w:val="00721A49"/>
    <w:rsid w:val="00721B59"/>
    <w:rsid w:val="00721C31"/>
    <w:rsid w:val="00721FEA"/>
    <w:rsid w:val="0072217F"/>
    <w:rsid w:val="00722298"/>
    <w:rsid w:val="0072229B"/>
    <w:rsid w:val="007222D0"/>
    <w:rsid w:val="00722804"/>
    <w:rsid w:val="00722DAB"/>
    <w:rsid w:val="00722DEF"/>
    <w:rsid w:val="00722E55"/>
    <w:rsid w:val="00723004"/>
    <w:rsid w:val="00723056"/>
    <w:rsid w:val="007232C1"/>
    <w:rsid w:val="0072336A"/>
    <w:rsid w:val="0072354A"/>
    <w:rsid w:val="007236C3"/>
    <w:rsid w:val="007236CC"/>
    <w:rsid w:val="00723789"/>
    <w:rsid w:val="007237B7"/>
    <w:rsid w:val="007237C7"/>
    <w:rsid w:val="0072381D"/>
    <w:rsid w:val="00723913"/>
    <w:rsid w:val="00723ACB"/>
    <w:rsid w:val="00723B74"/>
    <w:rsid w:val="00723CAE"/>
    <w:rsid w:val="00723DD6"/>
    <w:rsid w:val="00723E43"/>
    <w:rsid w:val="00723E90"/>
    <w:rsid w:val="00723EB6"/>
    <w:rsid w:val="00723F93"/>
    <w:rsid w:val="007240F1"/>
    <w:rsid w:val="007241BE"/>
    <w:rsid w:val="00724232"/>
    <w:rsid w:val="00724286"/>
    <w:rsid w:val="007242AD"/>
    <w:rsid w:val="007242BB"/>
    <w:rsid w:val="007245C7"/>
    <w:rsid w:val="00724734"/>
    <w:rsid w:val="0072476E"/>
    <w:rsid w:val="007247BD"/>
    <w:rsid w:val="0072493E"/>
    <w:rsid w:val="0072495A"/>
    <w:rsid w:val="007249DF"/>
    <w:rsid w:val="00724BA5"/>
    <w:rsid w:val="00724C54"/>
    <w:rsid w:val="00725186"/>
    <w:rsid w:val="0072538B"/>
    <w:rsid w:val="007253DB"/>
    <w:rsid w:val="007255F3"/>
    <w:rsid w:val="0072572D"/>
    <w:rsid w:val="00725745"/>
    <w:rsid w:val="007257A8"/>
    <w:rsid w:val="00725925"/>
    <w:rsid w:val="00725928"/>
    <w:rsid w:val="00725D1B"/>
    <w:rsid w:val="00725E46"/>
    <w:rsid w:val="0072615D"/>
    <w:rsid w:val="007261C8"/>
    <w:rsid w:val="0072624A"/>
    <w:rsid w:val="00726463"/>
    <w:rsid w:val="00726566"/>
    <w:rsid w:val="007267EF"/>
    <w:rsid w:val="007269A3"/>
    <w:rsid w:val="007269DC"/>
    <w:rsid w:val="00726A5B"/>
    <w:rsid w:val="00726DD3"/>
    <w:rsid w:val="007270A1"/>
    <w:rsid w:val="00727178"/>
    <w:rsid w:val="00727362"/>
    <w:rsid w:val="00727423"/>
    <w:rsid w:val="007274A3"/>
    <w:rsid w:val="007274E6"/>
    <w:rsid w:val="00727523"/>
    <w:rsid w:val="00727573"/>
    <w:rsid w:val="00727782"/>
    <w:rsid w:val="007277E2"/>
    <w:rsid w:val="00727839"/>
    <w:rsid w:val="0072783B"/>
    <w:rsid w:val="00727DF4"/>
    <w:rsid w:val="00727E92"/>
    <w:rsid w:val="00727ED4"/>
    <w:rsid w:val="00727ED5"/>
    <w:rsid w:val="00727F3A"/>
    <w:rsid w:val="007303FB"/>
    <w:rsid w:val="0073055C"/>
    <w:rsid w:val="00730744"/>
    <w:rsid w:val="00730AF4"/>
    <w:rsid w:val="00730BF6"/>
    <w:rsid w:val="00730FC2"/>
    <w:rsid w:val="0073124E"/>
    <w:rsid w:val="00731C2D"/>
    <w:rsid w:val="00731D79"/>
    <w:rsid w:val="00731F74"/>
    <w:rsid w:val="00731F81"/>
    <w:rsid w:val="00731FE4"/>
    <w:rsid w:val="00732596"/>
    <w:rsid w:val="00732743"/>
    <w:rsid w:val="007328B0"/>
    <w:rsid w:val="00732BC7"/>
    <w:rsid w:val="00732C6A"/>
    <w:rsid w:val="00732E33"/>
    <w:rsid w:val="00732F1F"/>
    <w:rsid w:val="00732FA7"/>
    <w:rsid w:val="007331B4"/>
    <w:rsid w:val="00733209"/>
    <w:rsid w:val="0073333F"/>
    <w:rsid w:val="00733708"/>
    <w:rsid w:val="0073378A"/>
    <w:rsid w:val="007339A8"/>
    <w:rsid w:val="00733A44"/>
    <w:rsid w:val="00733BC8"/>
    <w:rsid w:val="00733C92"/>
    <w:rsid w:val="00733D3F"/>
    <w:rsid w:val="00733D41"/>
    <w:rsid w:val="00733D79"/>
    <w:rsid w:val="00733DE5"/>
    <w:rsid w:val="00733EA2"/>
    <w:rsid w:val="00733EC1"/>
    <w:rsid w:val="00733EC8"/>
    <w:rsid w:val="00733EDA"/>
    <w:rsid w:val="00733F33"/>
    <w:rsid w:val="007342C0"/>
    <w:rsid w:val="007342D0"/>
    <w:rsid w:val="00734335"/>
    <w:rsid w:val="007343BA"/>
    <w:rsid w:val="007343DC"/>
    <w:rsid w:val="0073467F"/>
    <w:rsid w:val="00734743"/>
    <w:rsid w:val="00734827"/>
    <w:rsid w:val="0073487B"/>
    <w:rsid w:val="00734A02"/>
    <w:rsid w:val="00734C08"/>
    <w:rsid w:val="00734E4F"/>
    <w:rsid w:val="00734EEE"/>
    <w:rsid w:val="007350FA"/>
    <w:rsid w:val="007351CD"/>
    <w:rsid w:val="00735402"/>
    <w:rsid w:val="00735525"/>
    <w:rsid w:val="00735710"/>
    <w:rsid w:val="0073571C"/>
    <w:rsid w:val="00735856"/>
    <w:rsid w:val="007358EB"/>
    <w:rsid w:val="007359B4"/>
    <w:rsid w:val="00735AC6"/>
    <w:rsid w:val="00735BD3"/>
    <w:rsid w:val="00735C79"/>
    <w:rsid w:val="00735D8C"/>
    <w:rsid w:val="00735DD9"/>
    <w:rsid w:val="00735EF6"/>
    <w:rsid w:val="00735F36"/>
    <w:rsid w:val="0073632C"/>
    <w:rsid w:val="00736779"/>
    <w:rsid w:val="007369E8"/>
    <w:rsid w:val="007369F0"/>
    <w:rsid w:val="00736A84"/>
    <w:rsid w:val="00736AA9"/>
    <w:rsid w:val="00736B3C"/>
    <w:rsid w:val="00736D06"/>
    <w:rsid w:val="00736E7D"/>
    <w:rsid w:val="00736FEF"/>
    <w:rsid w:val="0073710A"/>
    <w:rsid w:val="0073711E"/>
    <w:rsid w:val="00737157"/>
    <w:rsid w:val="007371EF"/>
    <w:rsid w:val="00737203"/>
    <w:rsid w:val="00737278"/>
    <w:rsid w:val="0073753D"/>
    <w:rsid w:val="007375E0"/>
    <w:rsid w:val="0073776A"/>
    <w:rsid w:val="0073790A"/>
    <w:rsid w:val="00737936"/>
    <w:rsid w:val="00737AB7"/>
    <w:rsid w:val="00737AE2"/>
    <w:rsid w:val="00737D8B"/>
    <w:rsid w:val="00737E8A"/>
    <w:rsid w:val="00737FFB"/>
    <w:rsid w:val="00740123"/>
    <w:rsid w:val="00740343"/>
    <w:rsid w:val="0074036E"/>
    <w:rsid w:val="007404B5"/>
    <w:rsid w:val="007406F7"/>
    <w:rsid w:val="00740A1F"/>
    <w:rsid w:val="00740C24"/>
    <w:rsid w:val="00740E68"/>
    <w:rsid w:val="00740EE2"/>
    <w:rsid w:val="00741483"/>
    <w:rsid w:val="00741697"/>
    <w:rsid w:val="0074187D"/>
    <w:rsid w:val="00741A87"/>
    <w:rsid w:val="00741B1C"/>
    <w:rsid w:val="00741C35"/>
    <w:rsid w:val="00741C48"/>
    <w:rsid w:val="00741DFE"/>
    <w:rsid w:val="0074200C"/>
    <w:rsid w:val="00742191"/>
    <w:rsid w:val="00742198"/>
    <w:rsid w:val="00742234"/>
    <w:rsid w:val="00742246"/>
    <w:rsid w:val="00742287"/>
    <w:rsid w:val="00742458"/>
    <w:rsid w:val="007426DF"/>
    <w:rsid w:val="007428A1"/>
    <w:rsid w:val="00742923"/>
    <w:rsid w:val="00742BA7"/>
    <w:rsid w:val="00742C51"/>
    <w:rsid w:val="00742D42"/>
    <w:rsid w:val="00742FAA"/>
    <w:rsid w:val="0074310A"/>
    <w:rsid w:val="0074348F"/>
    <w:rsid w:val="0074349F"/>
    <w:rsid w:val="007436F7"/>
    <w:rsid w:val="00743806"/>
    <w:rsid w:val="00743931"/>
    <w:rsid w:val="0074396C"/>
    <w:rsid w:val="007439E6"/>
    <w:rsid w:val="00743A4B"/>
    <w:rsid w:val="00743B7A"/>
    <w:rsid w:val="00743BE7"/>
    <w:rsid w:val="00743C87"/>
    <w:rsid w:val="00743DD8"/>
    <w:rsid w:val="00743E1B"/>
    <w:rsid w:val="007440D8"/>
    <w:rsid w:val="007440E2"/>
    <w:rsid w:val="007442F2"/>
    <w:rsid w:val="0074446E"/>
    <w:rsid w:val="0074485F"/>
    <w:rsid w:val="00744A59"/>
    <w:rsid w:val="00744A7F"/>
    <w:rsid w:val="00744B4B"/>
    <w:rsid w:val="00744C67"/>
    <w:rsid w:val="007451C5"/>
    <w:rsid w:val="007453C5"/>
    <w:rsid w:val="0074542B"/>
    <w:rsid w:val="0074545E"/>
    <w:rsid w:val="007454B2"/>
    <w:rsid w:val="00745509"/>
    <w:rsid w:val="00745673"/>
    <w:rsid w:val="007456EF"/>
    <w:rsid w:val="00745A27"/>
    <w:rsid w:val="00745A54"/>
    <w:rsid w:val="00745AE1"/>
    <w:rsid w:val="00745BA4"/>
    <w:rsid w:val="00745CEE"/>
    <w:rsid w:val="00745EA5"/>
    <w:rsid w:val="00745EAD"/>
    <w:rsid w:val="00745EF0"/>
    <w:rsid w:val="0074611E"/>
    <w:rsid w:val="00746185"/>
    <w:rsid w:val="00746197"/>
    <w:rsid w:val="007461FA"/>
    <w:rsid w:val="0074620F"/>
    <w:rsid w:val="007462A9"/>
    <w:rsid w:val="007463C2"/>
    <w:rsid w:val="00746573"/>
    <w:rsid w:val="007465BE"/>
    <w:rsid w:val="007465EB"/>
    <w:rsid w:val="00746998"/>
    <w:rsid w:val="00746AD6"/>
    <w:rsid w:val="00746BE6"/>
    <w:rsid w:val="00746D6E"/>
    <w:rsid w:val="00746EAB"/>
    <w:rsid w:val="00746F08"/>
    <w:rsid w:val="00746F26"/>
    <w:rsid w:val="0074704B"/>
    <w:rsid w:val="00747158"/>
    <w:rsid w:val="00747323"/>
    <w:rsid w:val="00747556"/>
    <w:rsid w:val="007476DB"/>
    <w:rsid w:val="007476ED"/>
    <w:rsid w:val="007478B1"/>
    <w:rsid w:val="00747923"/>
    <w:rsid w:val="00747A00"/>
    <w:rsid w:val="00747DBA"/>
    <w:rsid w:val="00747DD8"/>
    <w:rsid w:val="00747DFF"/>
    <w:rsid w:val="00747EC8"/>
    <w:rsid w:val="00747ED6"/>
    <w:rsid w:val="00750075"/>
    <w:rsid w:val="00750169"/>
    <w:rsid w:val="00750219"/>
    <w:rsid w:val="00750229"/>
    <w:rsid w:val="007502DD"/>
    <w:rsid w:val="00750311"/>
    <w:rsid w:val="007503F5"/>
    <w:rsid w:val="007506E2"/>
    <w:rsid w:val="007507BE"/>
    <w:rsid w:val="00750825"/>
    <w:rsid w:val="007508C3"/>
    <w:rsid w:val="007508D9"/>
    <w:rsid w:val="0075091F"/>
    <w:rsid w:val="00750ACC"/>
    <w:rsid w:val="00750C40"/>
    <w:rsid w:val="00750D9F"/>
    <w:rsid w:val="00750DCB"/>
    <w:rsid w:val="00751764"/>
    <w:rsid w:val="007519B3"/>
    <w:rsid w:val="00751A2C"/>
    <w:rsid w:val="00751A9E"/>
    <w:rsid w:val="00751D5C"/>
    <w:rsid w:val="00751FDD"/>
    <w:rsid w:val="00752299"/>
    <w:rsid w:val="00752410"/>
    <w:rsid w:val="007524D4"/>
    <w:rsid w:val="007524DE"/>
    <w:rsid w:val="0075267E"/>
    <w:rsid w:val="007527FC"/>
    <w:rsid w:val="007529E0"/>
    <w:rsid w:val="007529F6"/>
    <w:rsid w:val="00752AE8"/>
    <w:rsid w:val="00752B04"/>
    <w:rsid w:val="00752B07"/>
    <w:rsid w:val="00752C1D"/>
    <w:rsid w:val="00752DC4"/>
    <w:rsid w:val="00752E5B"/>
    <w:rsid w:val="00752F6A"/>
    <w:rsid w:val="00753061"/>
    <w:rsid w:val="007530EC"/>
    <w:rsid w:val="00753126"/>
    <w:rsid w:val="00753142"/>
    <w:rsid w:val="007533A4"/>
    <w:rsid w:val="00753407"/>
    <w:rsid w:val="0075342B"/>
    <w:rsid w:val="00753597"/>
    <w:rsid w:val="007535C8"/>
    <w:rsid w:val="007539B4"/>
    <w:rsid w:val="00753ABF"/>
    <w:rsid w:val="00753ADC"/>
    <w:rsid w:val="00753C2E"/>
    <w:rsid w:val="00753D2D"/>
    <w:rsid w:val="00753ECD"/>
    <w:rsid w:val="00753F10"/>
    <w:rsid w:val="00753FA5"/>
    <w:rsid w:val="00754020"/>
    <w:rsid w:val="007540DA"/>
    <w:rsid w:val="00754167"/>
    <w:rsid w:val="007541AC"/>
    <w:rsid w:val="00754247"/>
    <w:rsid w:val="007543E9"/>
    <w:rsid w:val="007547EC"/>
    <w:rsid w:val="0075492C"/>
    <w:rsid w:val="00754A93"/>
    <w:rsid w:val="00754B4B"/>
    <w:rsid w:val="00754D30"/>
    <w:rsid w:val="00754DAE"/>
    <w:rsid w:val="00754EF7"/>
    <w:rsid w:val="0075505E"/>
    <w:rsid w:val="007553D2"/>
    <w:rsid w:val="00755465"/>
    <w:rsid w:val="00755E66"/>
    <w:rsid w:val="00755F33"/>
    <w:rsid w:val="00755F8B"/>
    <w:rsid w:val="00756187"/>
    <w:rsid w:val="00756267"/>
    <w:rsid w:val="00756376"/>
    <w:rsid w:val="00756388"/>
    <w:rsid w:val="007563DF"/>
    <w:rsid w:val="00756515"/>
    <w:rsid w:val="0075653A"/>
    <w:rsid w:val="00756625"/>
    <w:rsid w:val="00756729"/>
    <w:rsid w:val="0075676E"/>
    <w:rsid w:val="00756841"/>
    <w:rsid w:val="00756B08"/>
    <w:rsid w:val="00756B75"/>
    <w:rsid w:val="00756BAA"/>
    <w:rsid w:val="00756C2A"/>
    <w:rsid w:val="00756DBF"/>
    <w:rsid w:val="00756E06"/>
    <w:rsid w:val="00756E6E"/>
    <w:rsid w:val="00756EA6"/>
    <w:rsid w:val="007570F8"/>
    <w:rsid w:val="0075739D"/>
    <w:rsid w:val="007574B5"/>
    <w:rsid w:val="0075770D"/>
    <w:rsid w:val="0075781C"/>
    <w:rsid w:val="00757836"/>
    <w:rsid w:val="007578D3"/>
    <w:rsid w:val="00757931"/>
    <w:rsid w:val="007579D1"/>
    <w:rsid w:val="00757A98"/>
    <w:rsid w:val="00757ADF"/>
    <w:rsid w:val="00757BDE"/>
    <w:rsid w:val="00757C05"/>
    <w:rsid w:val="00757C24"/>
    <w:rsid w:val="00757CDB"/>
    <w:rsid w:val="007602FF"/>
    <w:rsid w:val="007603B9"/>
    <w:rsid w:val="007604AB"/>
    <w:rsid w:val="0076069A"/>
    <w:rsid w:val="00760812"/>
    <w:rsid w:val="00760C01"/>
    <w:rsid w:val="007610FC"/>
    <w:rsid w:val="0076138A"/>
    <w:rsid w:val="00761490"/>
    <w:rsid w:val="007614D9"/>
    <w:rsid w:val="0076186E"/>
    <w:rsid w:val="00761946"/>
    <w:rsid w:val="007619DA"/>
    <w:rsid w:val="007619FD"/>
    <w:rsid w:val="00761C27"/>
    <w:rsid w:val="00761C6F"/>
    <w:rsid w:val="00761C89"/>
    <w:rsid w:val="00761D08"/>
    <w:rsid w:val="00761D48"/>
    <w:rsid w:val="00761ECF"/>
    <w:rsid w:val="0076205C"/>
    <w:rsid w:val="007622EB"/>
    <w:rsid w:val="007623B7"/>
    <w:rsid w:val="00762478"/>
    <w:rsid w:val="00762E4B"/>
    <w:rsid w:val="00762E66"/>
    <w:rsid w:val="00762F58"/>
    <w:rsid w:val="00763236"/>
    <w:rsid w:val="007634D5"/>
    <w:rsid w:val="0076355C"/>
    <w:rsid w:val="00763584"/>
    <w:rsid w:val="007636F5"/>
    <w:rsid w:val="007636F9"/>
    <w:rsid w:val="007639AE"/>
    <w:rsid w:val="007639FF"/>
    <w:rsid w:val="00763B84"/>
    <w:rsid w:val="00763CCB"/>
    <w:rsid w:val="00763DB7"/>
    <w:rsid w:val="0076413C"/>
    <w:rsid w:val="007641D2"/>
    <w:rsid w:val="00764270"/>
    <w:rsid w:val="007642C3"/>
    <w:rsid w:val="0076459B"/>
    <w:rsid w:val="0076466B"/>
    <w:rsid w:val="00764740"/>
    <w:rsid w:val="0076478F"/>
    <w:rsid w:val="00764798"/>
    <w:rsid w:val="00764962"/>
    <w:rsid w:val="00764A3F"/>
    <w:rsid w:val="00764A68"/>
    <w:rsid w:val="00764AEA"/>
    <w:rsid w:val="00764B2B"/>
    <w:rsid w:val="00764F16"/>
    <w:rsid w:val="00764F75"/>
    <w:rsid w:val="00764FD4"/>
    <w:rsid w:val="00765293"/>
    <w:rsid w:val="00765314"/>
    <w:rsid w:val="00765395"/>
    <w:rsid w:val="00765426"/>
    <w:rsid w:val="007654F8"/>
    <w:rsid w:val="007655B6"/>
    <w:rsid w:val="00765632"/>
    <w:rsid w:val="00765762"/>
    <w:rsid w:val="007657E0"/>
    <w:rsid w:val="00765BFF"/>
    <w:rsid w:val="00765C5D"/>
    <w:rsid w:val="00765DAC"/>
    <w:rsid w:val="00765E00"/>
    <w:rsid w:val="00765F0C"/>
    <w:rsid w:val="0076616C"/>
    <w:rsid w:val="00766519"/>
    <w:rsid w:val="00766545"/>
    <w:rsid w:val="007666D7"/>
    <w:rsid w:val="0076678C"/>
    <w:rsid w:val="0076681D"/>
    <w:rsid w:val="00766A34"/>
    <w:rsid w:val="00766B5D"/>
    <w:rsid w:val="00766CDE"/>
    <w:rsid w:val="00766D04"/>
    <w:rsid w:val="00766DA2"/>
    <w:rsid w:val="00767039"/>
    <w:rsid w:val="00767112"/>
    <w:rsid w:val="007674AF"/>
    <w:rsid w:val="0076750C"/>
    <w:rsid w:val="00767537"/>
    <w:rsid w:val="00767552"/>
    <w:rsid w:val="0076755B"/>
    <w:rsid w:val="007676F2"/>
    <w:rsid w:val="00767790"/>
    <w:rsid w:val="0076787C"/>
    <w:rsid w:val="00767A3E"/>
    <w:rsid w:val="00767A80"/>
    <w:rsid w:val="00767BC2"/>
    <w:rsid w:val="00767DED"/>
    <w:rsid w:val="00767DFC"/>
    <w:rsid w:val="0077012C"/>
    <w:rsid w:val="00770477"/>
    <w:rsid w:val="007705AE"/>
    <w:rsid w:val="00770674"/>
    <w:rsid w:val="0077068B"/>
    <w:rsid w:val="007706D1"/>
    <w:rsid w:val="00770B9A"/>
    <w:rsid w:val="00770BDC"/>
    <w:rsid w:val="00770C03"/>
    <w:rsid w:val="00770CE7"/>
    <w:rsid w:val="00770D62"/>
    <w:rsid w:val="00770E75"/>
    <w:rsid w:val="00770F41"/>
    <w:rsid w:val="00771282"/>
    <w:rsid w:val="0077132F"/>
    <w:rsid w:val="007715B6"/>
    <w:rsid w:val="007715DF"/>
    <w:rsid w:val="00771922"/>
    <w:rsid w:val="00771925"/>
    <w:rsid w:val="00771ABE"/>
    <w:rsid w:val="00771B2C"/>
    <w:rsid w:val="00771C32"/>
    <w:rsid w:val="00771C9F"/>
    <w:rsid w:val="00771D51"/>
    <w:rsid w:val="00771D87"/>
    <w:rsid w:val="00771E52"/>
    <w:rsid w:val="00771F5F"/>
    <w:rsid w:val="0077205B"/>
    <w:rsid w:val="0077209B"/>
    <w:rsid w:val="00772178"/>
    <w:rsid w:val="0077266F"/>
    <w:rsid w:val="007729D1"/>
    <w:rsid w:val="00772A01"/>
    <w:rsid w:val="00772D86"/>
    <w:rsid w:val="00772D88"/>
    <w:rsid w:val="00772E55"/>
    <w:rsid w:val="00772E72"/>
    <w:rsid w:val="00772FC5"/>
    <w:rsid w:val="00773175"/>
    <w:rsid w:val="00773190"/>
    <w:rsid w:val="007731B0"/>
    <w:rsid w:val="0077349D"/>
    <w:rsid w:val="00773588"/>
    <w:rsid w:val="0077372B"/>
    <w:rsid w:val="0077397C"/>
    <w:rsid w:val="00773A3A"/>
    <w:rsid w:val="00773AEB"/>
    <w:rsid w:val="00773BB6"/>
    <w:rsid w:val="00773D05"/>
    <w:rsid w:val="00773DB2"/>
    <w:rsid w:val="00773E56"/>
    <w:rsid w:val="007740A8"/>
    <w:rsid w:val="00774126"/>
    <w:rsid w:val="007743DB"/>
    <w:rsid w:val="007743F1"/>
    <w:rsid w:val="007744E1"/>
    <w:rsid w:val="007745C7"/>
    <w:rsid w:val="007748D7"/>
    <w:rsid w:val="00775002"/>
    <w:rsid w:val="00775327"/>
    <w:rsid w:val="007754F3"/>
    <w:rsid w:val="00775850"/>
    <w:rsid w:val="007758CD"/>
    <w:rsid w:val="00775D3F"/>
    <w:rsid w:val="00775ED4"/>
    <w:rsid w:val="007761F7"/>
    <w:rsid w:val="0077629D"/>
    <w:rsid w:val="00776568"/>
    <w:rsid w:val="00776760"/>
    <w:rsid w:val="0077681D"/>
    <w:rsid w:val="00776B36"/>
    <w:rsid w:val="00776C83"/>
    <w:rsid w:val="00776DB9"/>
    <w:rsid w:val="00776E32"/>
    <w:rsid w:val="007771F2"/>
    <w:rsid w:val="0077721D"/>
    <w:rsid w:val="007772F0"/>
    <w:rsid w:val="0077751F"/>
    <w:rsid w:val="00777596"/>
    <w:rsid w:val="00777611"/>
    <w:rsid w:val="00777913"/>
    <w:rsid w:val="00777A1C"/>
    <w:rsid w:val="00777A2A"/>
    <w:rsid w:val="00777B24"/>
    <w:rsid w:val="00777B68"/>
    <w:rsid w:val="00777D82"/>
    <w:rsid w:val="00780090"/>
    <w:rsid w:val="0078012A"/>
    <w:rsid w:val="007801CA"/>
    <w:rsid w:val="00780635"/>
    <w:rsid w:val="007808A5"/>
    <w:rsid w:val="00780CB3"/>
    <w:rsid w:val="00780D0E"/>
    <w:rsid w:val="00780E5F"/>
    <w:rsid w:val="00780E6E"/>
    <w:rsid w:val="00780EAE"/>
    <w:rsid w:val="00781024"/>
    <w:rsid w:val="007810B0"/>
    <w:rsid w:val="0078118E"/>
    <w:rsid w:val="007812DD"/>
    <w:rsid w:val="007815BF"/>
    <w:rsid w:val="007816F5"/>
    <w:rsid w:val="007816FD"/>
    <w:rsid w:val="00781720"/>
    <w:rsid w:val="00781799"/>
    <w:rsid w:val="007817C5"/>
    <w:rsid w:val="00781896"/>
    <w:rsid w:val="00781A22"/>
    <w:rsid w:val="00781A6B"/>
    <w:rsid w:val="00781B8F"/>
    <w:rsid w:val="00781F52"/>
    <w:rsid w:val="007820BC"/>
    <w:rsid w:val="00782114"/>
    <w:rsid w:val="00782128"/>
    <w:rsid w:val="0078216B"/>
    <w:rsid w:val="0078231C"/>
    <w:rsid w:val="007823EE"/>
    <w:rsid w:val="007826E7"/>
    <w:rsid w:val="007828B7"/>
    <w:rsid w:val="00782993"/>
    <w:rsid w:val="00782A4A"/>
    <w:rsid w:val="00782C8C"/>
    <w:rsid w:val="00782CA4"/>
    <w:rsid w:val="0078302B"/>
    <w:rsid w:val="00783050"/>
    <w:rsid w:val="007830A2"/>
    <w:rsid w:val="007830C2"/>
    <w:rsid w:val="00783149"/>
    <w:rsid w:val="00783237"/>
    <w:rsid w:val="00783282"/>
    <w:rsid w:val="007832D5"/>
    <w:rsid w:val="0078344D"/>
    <w:rsid w:val="00783469"/>
    <w:rsid w:val="00783612"/>
    <w:rsid w:val="00783757"/>
    <w:rsid w:val="0078383C"/>
    <w:rsid w:val="00783861"/>
    <w:rsid w:val="00783B2B"/>
    <w:rsid w:val="00783B54"/>
    <w:rsid w:val="00783B8C"/>
    <w:rsid w:val="00784003"/>
    <w:rsid w:val="00784083"/>
    <w:rsid w:val="007840A7"/>
    <w:rsid w:val="00784174"/>
    <w:rsid w:val="00784404"/>
    <w:rsid w:val="007844C0"/>
    <w:rsid w:val="007846EA"/>
    <w:rsid w:val="007848E0"/>
    <w:rsid w:val="00784A40"/>
    <w:rsid w:val="00785088"/>
    <w:rsid w:val="00785115"/>
    <w:rsid w:val="00785233"/>
    <w:rsid w:val="0078527E"/>
    <w:rsid w:val="007852CD"/>
    <w:rsid w:val="007853B3"/>
    <w:rsid w:val="00785543"/>
    <w:rsid w:val="0078560D"/>
    <w:rsid w:val="0078579D"/>
    <w:rsid w:val="007857A7"/>
    <w:rsid w:val="0078593F"/>
    <w:rsid w:val="00785B84"/>
    <w:rsid w:val="00785CCA"/>
    <w:rsid w:val="00785D99"/>
    <w:rsid w:val="00785F9D"/>
    <w:rsid w:val="00785FDB"/>
    <w:rsid w:val="00785FF1"/>
    <w:rsid w:val="0078607A"/>
    <w:rsid w:val="007860BE"/>
    <w:rsid w:val="00786203"/>
    <w:rsid w:val="00786472"/>
    <w:rsid w:val="00786516"/>
    <w:rsid w:val="00786632"/>
    <w:rsid w:val="00786777"/>
    <w:rsid w:val="00786814"/>
    <w:rsid w:val="007868EE"/>
    <w:rsid w:val="0078696D"/>
    <w:rsid w:val="0078696E"/>
    <w:rsid w:val="00786A4B"/>
    <w:rsid w:val="00786A56"/>
    <w:rsid w:val="00786A7E"/>
    <w:rsid w:val="00786B04"/>
    <w:rsid w:val="00786B34"/>
    <w:rsid w:val="00786C46"/>
    <w:rsid w:val="00786E65"/>
    <w:rsid w:val="00786EF3"/>
    <w:rsid w:val="00786F89"/>
    <w:rsid w:val="00787054"/>
    <w:rsid w:val="00787104"/>
    <w:rsid w:val="00787132"/>
    <w:rsid w:val="00787183"/>
    <w:rsid w:val="007872B4"/>
    <w:rsid w:val="007875D7"/>
    <w:rsid w:val="007875FA"/>
    <w:rsid w:val="00787916"/>
    <w:rsid w:val="00787AC6"/>
    <w:rsid w:val="00787AF0"/>
    <w:rsid w:val="00787DB6"/>
    <w:rsid w:val="00787EA4"/>
    <w:rsid w:val="00787F70"/>
    <w:rsid w:val="00790036"/>
    <w:rsid w:val="00790047"/>
    <w:rsid w:val="0079006C"/>
    <w:rsid w:val="00790284"/>
    <w:rsid w:val="007902D4"/>
    <w:rsid w:val="007903BB"/>
    <w:rsid w:val="00790454"/>
    <w:rsid w:val="007904A0"/>
    <w:rsid w:val="00790568"/>
    <w:rsid w:val="007906D3"/>
    <w:rsid w:val="007906E4"/>
    <w:rsid w:val="0079097D"/>
    <w:rsid w:val="00790B91"/>
    <w:rsid w:val="00790BAA"/>
    <w:rsid w:val="00790CCE"/>
    <w:rsid w:val="00790E32"/>
    <w:rsid w:val="00790FA4"/>
    <w:rsid w:val="00791030"/>
    <w:rsid w:val="00791134"/>
    <w:rsid w:val="0079118A"/>
    <w:rsid w:val="00791295"/>
    <w:rsid w:val="007915A9"/>
    <w:rsid w:val="0079163B"/>
    <w:rsid w:val="007916FF"/>
    <w:rsid w:val="0079175E"/>
    <w:rsid w:val="00791795"/>
    <w:rsid w:val="007917B0"/>
    <w:rsid w:val="007917E8"/>
    <w:rsid w:val="00791871"/>
    <w:rsid w:val="007919B8"/>
    <w:rsid w:val="007919CA"/>
    <w:rsid w:val="00791A84"/>
    <w:rsid w:val="00791CCD"/>
    <w:rsid w:val="007921D7"/>
    <w:rsid w:val="00792317"/>
    <w:rsid w:val="00792344"/>
    <w:rsid w:val="007923A2"/>
    <w:rsid w:val="007923BB"/>
    <w:rsid w:val="007926DE"/>
    <w:rsid w:val="00792773"/>
    <w:rsid w:val="0079277B"/>
    <w:rsid w:val="00792C04"/>
    <w:rsid w:val="00792DBD"/>
    <w:rsid w:val="007930C0"/>
    <w:rsid w:val="007930F4"/>
    <w:rsid w:val="007932F0"/>
    <w:rsid w:val="007933CA"/>
    <w:rsid w:val="007934ED"/>
    <w:rsid w:val="0079355F"/>
    <w:rsid w:val="00793570"/>
    <w:rsid w:val="00793629"/>
    <w:rsid w:val="0079363A"/>
    <w:rsid w:val="007936E2"/>
    <w:rsid w:val="0079374A"/>
    <w:rsid w:val="007938D0"/>
    <w:rsid w:val="007938F9"/>
    <w:rsid w:val="00793BC6"/>
    <w:rsid w:val="00793BD2"/>
    <w:rsid w:val="00793C5D"/>
    <w:rsid w:val="00793DFC"/>
    <w:rsid w:val="0079437A"/>
    <w:rsid w:val="007944AF"/>
    <w:rsid w:val="007944DF"/>
    <w:rsid w:val="00794590"/>
    <w:rsid w:val="00794847"/>
    <w:rsid w:val="00794946"/>
    <w:rsid w:val="00794947"/>
    <w:rsid w:val="00794A4F"/>
    <w:rsid w:val="00794B74"/>
    <w:rsid w:val="00794C95"/>
    <w:rsid w:val="00794E91"/>
    <w:rsid w:val="00794FE5"/>
    <w:rsid w:val="00794FF1"/>
    <w:rsid w:val="007954A2"/>
    <w:rsid w:val="0079551A"/>
    <w:rsid w:val="00795566"/>
    <w:rsid w:val="0079574B"/>
    <w:rsid w:val="00795786"/>
    <w:rsid w:val="0079589C"/>
    <w:rsid w:val="00795AF8"/>
    <w:rsid w:val="00795D10"/>
    <w:rsid w:val="00795E44"/>
    <w:rsid w:val="00795EC4"/>
    <w:rsid w:val="007960C7"/>
    <w:rsid w:val="007960DF"/>
    <w:rsid w:val="00796237"/>
    <w:rsid w:val="00796457"/>
    <w:rsid w:val="007964E6"/>
    <w:rsid w:val="0079655E"/>
    <w:rsid w:val="00796618"/>
    <w:rsid w:val="007968FF"/>
    <w:rsid w:val="0079695D"/>
    <w:rsid w:val="0079696A"/>
    <w:rsid w:val="00796A2B"/>
    <w:rsid w:val="00796C87"/>
    <w:rsid w:val="00796E9A"/>
    <w:rsid w:val="00796FE5"/>
    <w:rsid w:val="0079708D"/>
    <w:rsid w:val="007970D0"/>
    <w:rsid w:val="00797329"/>
    <w:rsid w:val="0079748C"/>
    <w:rsid w:val="00797495"/>
    <w:rsid w:val="007974EB"/>
    <w:rsid w:val="00797501"/>
    <w:rsid w:val="00797673"/>
    <w:rsid w:val="0079769D"/>
    <w:rsid w:val="007976A9"/>
    <w:rsid w:val="007977B4"/>
    <w:rsid w:val="0079787D"/>
    <w:rsid w:val="00797A9F"/>
    <w:rsid w:val="00797AC5"/>
    <w:rsid w:val="00797D7B"/>
    <w:rsid w:val="00797E5E"/>
    <w:rsid w:val="00797EA2"/>
    <w:rsid w:val="007A0543"/>
    <w:rsid w:val="007A055C"/>
    <w:rsid w:val="007A0652"/>
    <w:rsid w:val="007A08EE"/>
    <w:rsid w:val="007A0B6D"/>
    <w:rsid w:val="007A0B88"/>
    <w:rsid w:val="007A0BC2"/>
    <w:rsid w:val="007A0BD1"/>
    <w:rsid w:val="007A0C52"/>
    <w:rsid w:val="007A0CDE"/>
    <w:rsid w:val="007A0DD8"/>
    <w:rsid w:val="007A0E53"/>
    <w:rsid w:val="007A0F7D"/>
    <w:rsid w:val="007A1380"/>
    <w:rsid w:val="007A13FE"/>
    <w:rsid w:val="007A1570"/>
    <w:rsid w:val="007A157F"/>
    <w:rsid w:val="007A1592"/>
    <w:rsid w:val="007A15BB"/>
    <w:rsid w:val="007A167D"/>
    <w:rsid w:val="007A18D6"/>
    <w:rsid w:val="007A1951"/>
    <w:rsid w:val="007A1A57"/>
    <w:rsid w:val="007A1AAF"/>
    <w:rsid w:val="007A1B8B"/>
    <w:rsid w:val="007A2122"/>
    <w:rsid w:val="007A23EE"/>
    <w:rsid w:val="007A2A50"/>
    <w:rsid w:val="007A2B94"/>
    <w:rsid w:val="007A2C6E"/>
    <w:rsid w:val="007A2D69"/>
    <w:rsid w:val="007A2DA6"/>
    <w:rsid w:val="007A2DF3"/>
    <w:rsid w:val="007A3081"/>
    <w:rsid w:val="007A30EC"/>
    <w:rsid w:val="007A31C5"/>
    <w:rsid w:val="007A32E5"/>
    <w:rsid w:val="007A373A"/>
    <w:rsid w:val="007A374D"/>
    <w:rsid w:val="007A3818"/>
    <w:rsid w:val="007A381D"/>
    <w:rsid w:val="007A3878"/>
    <w:rsid w:val="007A3AAE"/>
    <w:rsid w:val="007A3DC6"/>
    <w:rsid w:val="007A3DE7"/>
    <w:rsid w:val="007A3E8B"/>
    <w:rsid w:val="007A3F50"/>
    <w:rsid w:val="007A3FEB"/>
    <w:rsid w:val="007A4002"/>
    <w:rsid w:val="007A412B"/>
    <w:rsid w:val="007A43CD"/>
    <w:rsid w:val="007A43F3"/>
    <w:rsid w:val="007A481A"/>
    <w:rsid w:val="007A4846"/>
    <w:rsid w:val="007A48B0"/>
    <w:rsid w:val="007A4916"/>
    <w:rsid w:val="007A497F"/>
    <w:rsid w:val="007A49A2"/>
    <w:rsid w:val="007A4A9F"/>
    <w:rsid w:val="007A4ABB"/>
    <w:rsid w:val="007A4AE8"/>
    <w:rsid w:val="007A4C51"/>
    <w:rsid w:val="007A4D2C"/>
    <w:rsid w:val="007A4D51"/>
    <w:rsid w:val="007A4EC9"/>
    <w:rsid w:val="007A4FDF"/>
    <w:rsid w:val="007A53BC"/>
    <w:rsid w:val="007A53F2"/>
    <w:rsid w:val="007A5419"/>
    <w:rsid w:val="007A559C"/>
    <w:rsid w:val="007A5610"/>
    <w:rsid w:val="007A56A2"/>
    <w:rsid w:val="007A5738"/>
    <w:rsid w:val="007A5753"/>
    <w:rsid w:val="007A57A8"/>
    <w:rsid w:val="007A5837"/>
    <w:rsid w:val="007A597E"/>
    <w:rsid w:val="007A5A24"/>
    <w:rsid w:val="007A5B87"/>
    <w:rsid w:val="007A5C70"/>
    <w:rsid w:val="007A5D08"/>
    <w:rsid w:val="007A5D33"/>
    <w:rsid w:val="007A5F54"/>
    <w:rsid w:val="007A5F5F"/>
    <w:rsid w:val="007A6099"/>
    <w:rsid w:val="007A60EB"/>
    <w:rsid w:val="007A6144"/>
    <w:rsid w:val="007A644A"/>
    <w:rsid w:val="007A646A"/>
    <w:rsid w:val="007A66B7"/>
    <w:rsid w:val="007A69DA"/>
    <w:rsid w:val="007A69EC"/>
    <w:rsid w:val="007A6A1D"/>
    <w:rsid w:val="007A6ADF"/>
    <w:rsid w:val="007A6C02"/>
    <w:rsid w:val="007A6D42"/>
    <w:rsid w:val="007A6EAD"/>
    <w:rsid w:val="007A6EB9"/>
    <w:rsid w:val="007A70A2"/>
    <w:rsid w:val="007A7263"/>
    <w:rsid w:val="007A7275"/>
    <w:rsid w:val="007A7315"/>
    <w:rsid w:val="007A753C"/>
    <w:rsid w:val="007A75EA"/>
    <w:rsid w:val="007A7607"/>
    <w:rsid w:val="007A767C"/>
    <w:rsid w:val="007A76BD"/>
    <w:rsid w:val="007A76C1"/>
    <w:rsid w:val="007A78B6"/>
    <w:rsid w:val="007A7940"/>
    <w:rsid w:val="007A796C"/>
    <w:rsid w:val="007A7A2F"/>
    <w:rsid w:val="007A7AA6"/>
    <w:rsid w:val="007A7AA7"/>
    <w:rsid w:val="007A7B13"/>
    <w:rsid w:val="007A7DD1"/>
    <w:rsid w:val="007A7ECE"/>
    <w:rsid w:val="007B0154"/>
    <w:rsid w:val="007B0164"/>
    <w:rsid w:val="007B03E0"/>
    <w:rsid w:val="007B0638"/>
    <w:rsid w:val="007B0672"/>
    <w:rsid w:val="007B0686"/>
    <w:rsid w:val="007B0867"/>
    <w:rsid w:val="007B0A59"/>
    <w:rsid w:val="007B0A9B"/>
    <w:rsid w:val="007B0BD3"/>
    <w:rsid w:val="007B0BDF"/>
    <w:rsid w:val="007B0C8A"/>
    <w:rsid w:val="007B0CAB"/>
    <w:rsid w:val="007B0D47"/>
    <w:rsid w:val="007B0D59"/>
    <w:rsid w:val="007B0D81"/>
    <w:rsid w:val="007B1243"/>
    <w:rsid w:val="007B1364"/>
    <w:rsid w:val="007B1445"/>
    <w:rsid w:val="007B1568"/>
    <w:rsid w:val="007B1620"/>
    <w:rsid w:val="007B1934"/>
    <w:rsid w:val="007B1CAB"/>
    <w:rsid w:val="007B1CF6"/>
    <w:rsid w:val="007B1D38"/>
    <w:rsid w:val="007B1F11"/>
    <w:rsid w:val="007B1F15"/>
    <w:rsid w:val="007B1F5A"/>
    <w:rsid w:val="007B1FE3"/>
    <w:rsid w:val="007B2022"/>
    <w:rsid w:val="007B2039"/>
    <w:rsid w:val="007B206E"/>
    <w:rsid w:val="007B20BA"/>
    <w:rsid w:val="007B234A"/>
    <w:rsid w:val="007B237D"/>
    <w:rsid w:val="007B23C1"/>
    <w:rsid w:val="007B2432"/>
    <w:rsid w:val="007B24CB"/>
    <w:rsid w:val="007B2570"/>
    <w:rsid w:val="007B27B7"/>
    <w:rsid w:val="007B27CB"/>
    <w:rsid w:val="007B296E"/>
    <w:rsid w:val="007B29E9"/>
    <w:rsid w:val="007B29F1"/>
    <w:rsid w:val="007B2A14"/>
    <w:rsid w:val="007B2D38"/>
    <w:rsid w:val="007B2DEB"/>
    <w:rsid w:val="007B2DEF"/>
    <w:rsid w:val="007B3525"/>
    <w:rsid w:val="007B3603"/>
    <w:rsid w:val="007B37EE"/>
    <w:rsid w:val="007B38F2"/>
    <w:rsid w:val="007B3C51"/>
    <w:rsid w:val="007B3C53"/>
    <w:rsid w:val="007B3C8F"/>
    <w:rsid w:val="007B3CC3"/>
    <w:rsid w:val="007B3DC8"/>
    <w:rsid w:val="007B3E54"/>
    <w:rsid w:val="007B4299"/>
    <w:rsid w:val="007B43E1"/>
    <w:rsid w:val="007B43EF"/>
    <w:rsid w:val="007B445B"/>
    <w:rsid w:val="007B450B"/>
    <w:rsid w:val="007B456B"/>
    <w:rsid w:val="007B463B"/>
    <w:rsid w:val="007B4873"/>
    <w:rsid w:val="007B4CC1"/>
    <w:rsid w:val="007B4E68"/>
    <w:rsid w:val="007B532A"/>
    <w:rsid w:val="007B5618"/>
    <w:rsid w:val="007B576F"/>
    <w:rsid w:val="007B5A70"/>
    <w:rsid w:val="007B5AC3"/>
    <w:rsid w:val="007B5B8F"/>
    <w:rsid w:val="007B5C8E"/>
    <w:rsid w:val="007B5E55"/>
    <w:rsid w:val="007B6066"/>
    <w:rsid w:val="007B6086"/>
    <w:rsid w:val="007B60CF"/>
    <w:rsid w:val="007B613F"/>
    <w:rsid w:val="007B6516"/>
    <w:rsid w:val="007B655D"/>
    <w:rsid w:val="007B6715"/>
    <w:rsid w:val="007B6726"/>
    <w:rsid w:val="007B6805"/>
    <w:rsid w:val="007B6A3C"/>
    <w:rsid w:val="007B6B13"/>
    <w:rsid w:val="007B6B71"/>
    <w:rsid w:val="007B6BAA"/>
    <w:rsid w:val="007B6BE5"/>
    <w:rsid w:val="007B6C11"/>
    <w:rsid w:val="007B6ED9"/>
    <w:rsid w:val="007B7212"/>
    <w:rsid w:val="007B7294"/>
    <w:rsid w:val="007B7316"/>
    <w:rsid w:val="007B7816"/>
    <w:rsid w:val="007B78B5"/>
    <w:rsid w:val="007B7D8D"/>
    <w:rsid w:val="007B7EEE"/>
    <w:rsid w:val="007B7FB8"/>
    <w:rsid w:val="007C0148"/>
    <w:rsid w:val="007C03C2"/>
    <w:rsid w:val="007C03F3"/>
    <w:rsid w:val="007C0472"/>
    <w:rsid w:val="007C04AA"/>
    <w:rsid w:val="007C0601"/>
    <w:rsid w:val="007C064D"/>
    <w:rsid w:val="007C07C7"/>
    <w:rsid w:val="007C0820"/>
    <w:rsid w:val="007C0917"/>
    <w:rsid w:val="007C0986"/>
    <w:rsid w:val="007C0D46"/>
    <w:rsid w:val="007C0EF0"/>
    <w:rsid w:val="007C1022"/>
    <w:rsid w:val="007C1220"/>
    <w:rsid w:val="007C12F6"/>
    <w:rsid w:val="007C130C"/>
    <w:rsid w:val="007C148D"/>
    <w:rsid w:val="007C14BA"/>
    <w:rsid w:val="007C18F3"/>
    <w:rsid w:val="007C1968"/>
    <w:rsid w:val="007C19DA"/>
    <w:rsid w:val="007C1A2E"/>
    <w:rsid w:val="007C1A81"/>
    <w:rsid w:val="007C1D08"/>
    <w:rsid w:val="007C1D18"/>
    <w:rsid w:val="007C1E42"/>
    <w:rsid w:val="007C2017"/>
    <w:rsid w:val="007C2157"/>
    <w:rsid w:val="007C21DB"/>
    <w:rsid w:val="007C22C4"/>
    <w:rsid w:val="007C2685"/>
    <w:rsid w:val="007C27CF"/>
    <w:rsid w:val="007C28A1"/>
    <w:rsid w:val="007C2905"/>
    <w:rsid w:val="007C2BB7"/>
    <w:rsid w:val="007C2CF5"/>
    <w:rsid w:val="007C2F96"/>
    <w:rsid w:val="007C2FCC"/>
    <w:rsid w:val="007C3036"/>
    <w:rsid w:val="007C3170"/>
    <w:rsid w:val="007C3308"/>
    <w:rsid w:val="007C3497"/>
    <w:rsid w:val="007C34DD"/>
    <w:rsid w:val="007C3511"/>
    <w:rsid w:val="007C3634"/>
    <w:rsid w:val="007C36CE"/>
    <w:rsid w:val="007C3907"/>
    <w:rsid w:val="007C3976"/>
    <w:rsid w:val="007C3F00"/>
    <w:rsid w:val="007C40C2"/>
    <w:rsid w:val="007C4185"/>
    <w:rsid w:val="007C4232"/>
    <w:rsid w:val="007C42EB"/>
    <w:rsid w:val="007C4518"/>
    <w:rsid w:val="007C4610"/>
    <w:rsid w:val="007C47EF"/>
    <w:rsid w:val="007C49C2"/>
    <w:rsid w:val="007C4AF2"/>
    <w:rsid w:val="007C4C46"/>
    <w:rsid w:val="007C4EB1"/>
    <w:rsid w:val="007C5027"/>
    <w:rsid w:val="007C51CE"/>
    <w:rsid w:val="007C52FB"/>
    <w:rsid w:val="007C539A"/>
    <w:rsid w:val="007C552C"/>
    <w:rsid w:val="007C564E"/>
    <w:rsid w:val="007C56D6"/>
    <w:rsid w:val="007C578F"/>
    <w:rsid w:val="007C57A6"/>
    <w:rsid w:val="007C5807"/>
    <w:rsid w:val="007C5843"/>
    <w:rsid w:val="007C5A59"/>
    <w:rsid w:val="007C5AEA"/>
    <w:rsid w:val="007C5AFD"/>
    <w:rsid w:val="007C5B41"/>
    <w:rsid w:val="007C5EFA"/>
    <w:rsid w:val="007C604C"/>
    <w:rsid w:val="007C6294"/>
    <w:rsid w:val="007C62DF"/>
    <w:rsid w:val="007C64DB"/>
    <w:rsid w:val="007C6521"/>
    <w:rsid w:val="007C6524"/>
    <w:rsid w:val="007C6799"/>
    <w:rsid w:val="007C6813"/>
    <w:rsid w:val="007C6AC3"/>
    <w:rsid w:val="007C6B3A"/>
    <w:rsid w:val="007C6B7F"/>
    <w:rsid w:val="007C6B96"/>
    <w:rsid w:val="007C6BAB"/>
    <w:rsid w:val="007C6CC6"/>
    <w:rsid w:val="007C6D77"/>
    <w:rsid w:val="007C6E96"/>
    <w:rsid w:val="007C6F02"/>
    <w:rsid w:val="007C7122"/>
    <w:rsid w:val="007C727C"/>
    <w:rsid w:val="007C72C2"/>
    <w:rsid w:val="007C73EF"/>
    <w:rsid w:val="007C745D"/>
    <w:rsid w:val="007C747A"/>
    <w:rsid w:val="007C74B7"/>
    <w:rsid w:val="007C7569"/>
    <w:rsid w:val="007C78E5"/>
    <w:rsid w:val="007C7B33"/>
    <w:rsid w:val="007C7BBC"/>
    <w:rsid w:val="007C7C9B"/>
    <w:rsid w:val="007C7CB4"/>
    <w:rsid w:val="007C7DC5"/>
    <w:rsid w:val="007C7E47"/>
    <w:rsid w:val="007C7E65"/>
    <w:rsid w:val="007D0381"/>
    <w:rsid w:val="007D039D"/>
    <w:rsid w:val="007D03DC"/>
    <w:rsid w:val="007D06E2"/>
    <w:rsid w:val="007D085A"/>
    <w:rsid w:val="007D0AD5"/>
    <w:rsid w:val="007D0BB3"/>
    <w:rsid w:val="007D0C03"/>
    <w:rsid w:val="007D0D5C"/>
    <w:rsid w:val="007D0F4A"/>
    <w:rsid w:val="007D10EA"/>
    <w:rsid w:val="007D1304"/>
    <w:rsid w:val="007D1379"/>
    <w:rsid w:val="007D1438"/>
    <w:rsid w:val="007D16B7"/>
    <w:rsid w:val="007D1933"/>
    <w:rsid w:val="007D1A21"/>
    <w:rsid w:val="007D1A56"/>
    <w:rsid w:val="007D1C48"/>
    <w:rsid w:val="007D1CE5"/>
    <w:rsid w:val="007D1CFA"/>
    <w:rsid w:val="007D1F53"/>
    <w:rsid w:val="007D1F8B"/>
    <w:rsid w:val="007D2135"/>
    <w:rsid w:val="007D21CF"/>
    <w:rsid w:val="007D21F9"/>
    <w:rsid w:val="007D2420"/>
    <w:rsid w:val="007D255D"/>
    <w:rsid w:val="007D2562"/>
    <w:rsid w:val="007D25F5"/>
    <w:rsid w:val="007D2674"/>
    <w:rsid w:val="007D26E6"/>
    <w:rsid w:val="007D2723"/>
    <w:rsid w:val="007D282D"/>
    <w:rsid w:val="007D28EB"/>
    <w:rsid w:val="007D2948"/>
    <w:rsid w:val="007D29AC"/>
    <w:rsid w:val="007D2D17"/>
    <w:rsid w:val="007D2F0E"/>
    <w:rsid w:val="007D2F4F"/>
    <w:rsid w:val="007D302A"/>
    <w:rsid w:val="007D3107"/>
    <w:rsid w:val="007D318F"/>
    <w:rsid w:val="007D31C4"/>
    <w:rsid w:val="007D331A"/>
    <w:rsid w:val="007D335E"/>
    <w:rsid w:val="007D33FF"/>
    <w:rsid w:val="007D3409"/>
    <w:rsid w:val="007D3574"/>
    <w:rsid w:val="007D3616"/>
    <w:rsid w:val="007D368D"/>
    <w:rsid w:val="007D371E"/>
    <w:rsid w:val="007D37AF"/>
    <w:rsid w:val="007D3943"/>
    <w:rsid w:val="007D3B46"/>
    <w:rsid w:val="007D3BD8"/>
    <w:rsid w:val="007D3C60"/>
    <w:rsid w:val="007D3D05"/>
    <w:rsid w:val="007D3EE6"/>
    <w:rsid w:val="007D3F87"/>
    <w:rsid w:val="007D42BE"/>
    <w:rsid w:val="007D42F5"/>
    <w:rsid w:val="007D449B"/>
    <w:rsid w:val="007D4625"/>
    <w:rsid w:val="007D4651"/>
    <w:rsid w:val="007D474C"/>
    <w:rsid w:val="007D4872"/>
    <w:rsid w:val="007D4955"/>
    <w:rsid w:val="007D4B32"/>
    <w:rsid w:val="007D4BC0"/>
    <w:rsid w:val="007D4BE9"/>
    <w:rsid w:val="007D4C7A"/>
    <w:rsid w:val="007D4CEA"/>
    <w:rsid w:val="007D4D99"/>
    <w:rsid w:val="007D4DBD"/>
    <w:rsid w:val="007D4EF3"/>
    <w:rsid w:val="007D5069"/>
    <w:rsid w:val="007D50AB"/>
    <w:rsid w:val="007D514F"/>
    <w:rsid w:val="007D52E5"/>
    <w:rsid w:val="007D5371"/>
    <w:rsid w:val="007D54A2"/>
    <w:rsid w:val="007D5600"/>
    <w:rsid w:val="007D5736"/>
    <w:rsid w:val="007D57AD"/>
    <w:rsid w:val="007D57B3"/>
    <w:rsid w:val="007D57B4"/>
    <w:rsid w:val="007D582B"/>
    <w:rsid w:val="007D5AE4"/>
    <w:rsid w:val="007D5C3A"/>
    <w:rsid w:val="007D5D59"/>
    <w:rsid w:val="007D6250"/>
    <w:rsid w:val="007D6255"/>
    <w:rsid w:val="007D62E5"/>
    <w:rsid w:val="007D6368"/>
    <w:rsid w:val="007D64B3"/>
    <w:rsid w:val="007D64D7"/>
    <w:rsid w:val="007D65B8"/>
    <w:rsid w:val="007D66BE"/>
    <w:rsid w:val="007D66D4"/>
    <w:rsid w:val="007D6731"/>
    <w:rsid w:val="007D67A8"/>
    <w:rsid w:val="007D68D3"/>
    <w:rsid w:val="007D6998"/>
    <w:rsid w:val="007D6A6F"/>
    <w:rsid w:val="007D6CEC"/>
    <w:rsid w:val="007D700D"/>
    <w:rsid w:val="007D73A2"/>
    <w:rsid w:val="007D7568"/>
    <w:rsid w:val="007D767A"/>
    <w:rsid w:val="007D77A4"/>
    <w:rsid w:val="007D77EB"/>
    <w:rsid w:val="007D7AC3"/>
    <w:rsid w:val="007D7C55"/>
    <w:rsid w:val="007D7E3A"/>
    <w:rsid w:val="007D7E95"/>
    <w:rsid w:val="007D7ED4"/>
    <w:rsid w:val="007D7F75"/>
    <w:rsid w:val="007E001B"/>
    <w:rsid w:val="007E005B"/>
    <w:rsid w:val="007E00F5"/>
    <w:rsid w:val="007E0280"/>
    <w:rsid w:val="007E02EA"/>
    <w:rsid w:val="007E030A"/>
    <w:rsid w:val="007E0444"/>
    <w:rsid w:val="007E0528"/>
    <w:rsid w:val="007E063C"/>
    <w:rsid w:val="007E06FF"/>
    <w:rsid w:val="007E0758"/>
    <w:rsid w:val="007E0778"/>
    <w:rsid w:val="007E085F"/>
    <w:rsid w:val="007E0B42"/>
    <w:rsid w:val="007E0CAC"/>
    <w:rsid w:val="007E1006"/>
    <w:rsid w:val="007E1096"/>
    <w:rsid w:val="007E1156"/>
    <w:rsid w:val="007E1173"/>
    <w:rsid w:val="007E125A"/>
    <w:rsid w:val="007E1298"/>
    <w:rsid w:val="007E149B"/>
    <w:rsid w:val="007E156E"/>
    <w:rsid w:val="007E1672"/>
    <w:rsid w:val="007E1968"/>
    <w:rsid w:val="007E1B6E"/>
    <w:rsid w:val="007E1BD5"/>
    <w:rsid w:val="007E1D2A"/>
    <w:rsid w:val="007E1D48"/>
    <w:rsid w:val="007E1EA3"/>
    <w:rsid w:val="007E1EC7"/>
    <w:rsid w:val="007E2003"/>
    <w:rsid w:val="007E226C"/>
    <w:rsid w:val="007E2427"/>
    <w:rsid w:val="007E2444"/>
    <w:rsid w:val="007E25D0"/>
    <w:rsid w:val="007E2655"/>
    <w:rsid w:val="007E28F0"/>
    <w:rsid w:val="007E29B1"/>
    <w:rsid w:val="007E2D2E"/>
    <w:rsid w:val="007E3318"/>
    <w:rsid w:val="007E3356"/>
    <w:rsid w:val="007E3377"/>
    <w:rsid w:val="007E3716"/>
    <w:rsid w:val="007E37CD"/>
    <w:rsid w:val="007E38E1"/>
    <w:rsid w:val="007E3A4D"/>
    <w:rsid w:val="007E3CE2"/>
    <w:rsid w:val="007E4234"/>
    <w:rsid w:val="007E44F7"/>
    <w:rsid w:val="007E4691"/>
    <w:rsid w:val="007E4760"/>
    <w:rsid w:val="007E4938"/>
    <w:rsid w:val="007E49F9"/>
    <w:rsid w:val="007E49FE"/>
    <w:rsid w:val="007E4AE4"/>
    <w:rsid w:val="007E4BDA"/>
    <w:rsid w:val="007E4C5A"/>
    <w:rsid w:val="007E4E5C"/>
    <w:rsid w:val="007E4ED2"/>
    <w:rsid w:val="007E4ED7"/>
    <w:rsid w:val="007E4EE8"/>
    <w:rsid w:val="007E4F1A"/>
    <w:rsid w:val="007E4F44"/>
    <w:rsid w:val="007E505B"/>
    <w:rsid w:val="007E5197"/>
    <w:rsid w:val="007E51C9"/>
    <w:rsid w:val="007E5216"/>
    <w:rsid w:val="007E5287"/>
    <w:rsid w:val="007E533B"/>
    <w:rsid w:val="007E5351"/>
    <w:rsid w:val="007E53AA"/>
    <w:rsid w:val="007E54C2"/>
    <w:rsid w:val="007E5544"/>
    <w:rsid w:val="007E559E"/>
    <w:rsid w:val="007E5716"/>
    <w:rsid w:val="007E5782"/>
    <w:rsid w:val="007E5926"/>
    <w:rsid w:val="007E5A20"/>
    <w:rsid w:val="007E5B50"/>
    <w:rsid w:val="007E5C73"/>
    <w:rsid w:val="007E5CED"/>
    <w:rsid w:val="007E5DC8"/>
    <w:rsid w:val="007E6255"/>
    <w:rsid w:val="007E62CC"/>
    <w:rsid w:val="007E62EB"/>
    <w:rsid w:val="007E63AE"/>
    <w:rsid w:val="007E6468"/>
    <w:rsid w:val="007E65BA"/>
    <w:rsid w:val="007E6726"/>
    <w:rsid w:val="007E67EF"/>
    <w:rsid w:val="007E6854"/>
    <w:rsid w:val="007E6954"/>
    <w:rsid w:val="007E6B4F"/>
    <w:rsid w:val="007E6CF2"/>
    <w:rsid w:val="007E6D71"/>
    <w:rsid w:val="007E6F70"/>
    <w:rsid w:val="007E7065"/>
    <w:rsid w:val="007E71F0"/>
    <w:rsid w:val="007E7380"/>
    <w:rsid w:val="007E7560"/>
    <w:rsid w:val="007E7626"/>
    <w:rsid w:val="007E773F"/>
    <w:rsid w:val="007E7748"/>
    <w:rsid w:val="007E7781"/>
    <w:rsid w:val="007E7897"/>
    <w:rsid w:val="007E7945"/>
    <w:rsid w:val="007E7CAC"/>
    <w:rsid w:val="007E7D4C"/>
    <w:rsid w:val="007E7DE1"/>
    <w:rsid w:val="007F00A7"/>
    <w:rsid w:val="007F0129"/>
    <w:rsid w:val="007F03A5"/>
    <w:rsid w:val="007F0660"/>
    <w:rsid w:val="007F06E1"/>
    <w:rsid w:val="007F0787"/>
    <w:rsid w:val="007F07D9"/>
    <w:rsid w:val="007F0815"/>
    <w:rsid w:val="007F09AC"/>
    <w:rsid w:val="007F09F8"/>
    <w:rsid w:val="007F0A0A"/>
    <w:rsid w:val="007F0A91"/>
    <w:rsid w:val="007F0AC9"/>
    <w:rsid w:val="007F0BA0"/>
    <w:rsid w:val="007F0C13"/>
    <w:rsid w:val="007F0C7F"/>
    <w:rsid w:val="007F0CC8"/>
    <w:rsid w:val="007F0CEE"/>
    <w:rsid w:val="007F0F1B"/>
    <w:rsid w:val="007F0FBF"/>
    <w:rsid w:val="007F1009"/>
    <w:rsid w:val="007F1222"/>
    <w:rsid w:val="007F133E"/>
    <w:rsid w:val="007F1356"/>
    <w:rsid w:val="007F13CF"/>
    <w:rsid w:val="007F1585"/>
    <w:rsid w:val="007F16C6"/>
    <w:rsid w:val="007F184B"/>
    <w:rsid w:val="007F1AE5"/>
    <w:rsid w:val="007F1BD3"/>
    <w:rsid w:val="007F1EDF"/>
    <w:rsid w:val="007F202B"/>
    <w:rsid w:val="007F20CD"/>
    <w:rsid w:val="007F2201"/>
    <w:rsid w:val="007F2246"/>
    <w:rsid w:val="007F22A7"/>
    <w:rsid w:val="007F23D7"/>
    <w:rsid w:val="007F2489"/>
    <w:rsid w:val="007F264A"/>
    <w:rsid w:val="007F2760"/>
    <w:rsid w:val="007F2A21"/>
    <w:rsid w:val="007F2BEB"/>
    <w:rsid w:val="007F2C19"/>
    <w:rsid w:val="007F2EC9"/>
    <w:rsid w:val="007F2ECB"/>
    <w:rsid w:val="007F2FE8"/>
    <w:rsid w:val="007F31D4"/>
    <w:rsid w:val="007F3477"/>
    <w:rsid w:val="007F36DF"/>
    <w:rsid w:val="007F38A7"/>
    <w:rsid w:val="007F38D6"/>
    <w:rsid w:val="007F3932"/>
    <w:rsid w:val="007F3A5E"/>
    <w:rsid w:val="007F3E5A"/>
    <w:rsid w:val="007F3F3E"/>
    <w:rsid w:val="007F3F6C"/>
    <w:rsid w:val="007F40CE"/>
    <w:rsid w:val="007F4170"/>
    <w:rsid w:val="007F434E"/>
    <w:rsid w:val="007F453E"/>
    <w:rsid w:val="007F45A6"/>
    <w:rsid w:val="007F46CA"/>
    <w:rsid w:val="007F4A70"/>
    <w:rsid w:val="007F4ACA"/>
    <w:rsid w:val="007F4C0E"/>
    <w:rsid w:val="007F4EC2"/>
    <w:rsid w:val="007F4F3A"/>
    <w:rsid w:val="007F506D"/>
    <w:rsid w:val="007F50BF"/>
    <w:rsid w:val="007F52C2"/>
    <w:rsid w:val="007F5320"/>
    <w:rsid w:val="007F5546"/>
    <w:rsid w:val="007F55D3"/>
    <w:rsid w:val="007F563A"/>
    <w:rsid w:val="007F5875"/>
    <w:rsid w:val="007F59AA"/>
    <w:rsid w:val="007F5B15"/>
    <w:rsid w:val="007F5BB9"/>
    <w:rsid w:val="007F5E52"/>
    <w:rsid w:val="007F5E8A"/>
    <w:rsid w:val="007F5EBC"/>
    <w:rsid w:val="007F5FE5"/>
    <w:rsid w:val="007F60C0"/>
    <w:rsid w:val="007F6125"/>
    <w:rsid w:val="007F615A"/>
    <w:rsid w:val="007F6195"/>
    <w:rsid w:val="007F62D7"/>
    <w:rsid w:val="007F63EE"/>
    <w:rsid w:val="007F660D"/>
    <w:rsid w:val="007F6685"/>
    <w:rsid w:val="007F674B"/>
    <w:rsid w:val="007F67D0"/>
    <w:rsid w:val="007F6915"/>
    <w:rsid w:val="007F6933"/>
    <w:rsid w:val="007F6967"/>
    <w:rsid w:val="007F6B49"/>
    <w:rsid w:val="007F6DD7"/>
    <w:rsid w:val="007F6FE3"/>
    <w:rsid w:val="007F6FE6"/>
    <w:rsid w:val="007F709D"/>
    <w:rsid w:val="007F70EA"/>
    <w:rsid w:val="007F733A"/>
    <w:rsid w:val="007F73D6"/>
    <w:rsid w:val="007F74ED"/>
    <w:rsid w:val="007F7578"/>
    <w:rsid w:val="007F76A8"/>
    <w:rsid w:val="007F77FC"/>
    <w:rsid w:val="007F784C"/>
    <w:rsid w:val="007F7B67"/>
    <w:rsid w:val="007F7C3A"/>
    <w:rsid w:val="007F7CF1"/>
    <w:rsid w:val="007F7DB3"/>
    <w:rsid w:val="007F7DCE"/>
    <w:rsid w:val="007F7E23"/>
    <w:rsid w:val="007F7F49"/>
    <w:rsid w:val="0080007D"/>
    <w:rsid w:val="00800149"/>
    <w:rsid w:val="008006D2"/>
    <w:rsid w:val="008007CF"/>
    <w:rsid w:val="00800819"/>
    <w:rsid w:val="0080091C"/>
    <w:rsid w:val="00800DF2"/>
    <w:rsid w:val="00800E3A"/>
    <w:rsid w:val="00801189"/>
    <w:rsid w:val="008011D8"/>
    <w:rsid w:val="00801331"/>
    <w:rsid w:val="0080134D"/>
    <w:rsid w:val="008013F3"/>
    <w:rsid w:val="00801436"/>
    <w:rsid w:val="0080147F"/>
    <w:rsid w:val="0080156A"/>
    <w:rsid w:val="00801667"/>
    <w:rsid w:val="008017AA"/>
    <w:rsid w:val="0080195F"/>
    <w:rsid w:val="008019BA"/>
    <w:rsid w:val="00801A0C"/>
    <w:rsid w:val="00801A7D"/>
    <w:rsid w:val="00801A9C"/>
    <w:rsid w:val="00801C8D"/>
    <w:rsid w:val="00801E27"/>
    <w:rsid w:val="00801E2E"/>
    <w:rsid w:val="00802163"/>
    <w:rsid w:val="00802463"/>
    <w:rsid w:val="0080281D"/>
    <w:rsid w:val="00802A71"/>
    <w:rsid w:val="00802C06"/>
    <w:rsid w:val="00802DD4"/>
    <w:rsid w:val="00803011"/>
    <w:rsid w:val="0080305E"/>
    <w:rsid w:val="00803080"/>
    <w:rsid w:val="008030CC"/>
    <w:rsid w:val="0080316F"/>
    <w:rsid w:val="008031E6"/>
    <w:rsid w:val="0080332D"/>
    <w:rsid w:val="0080338B"/>
    <w:rsid w:val="00803627"/>
    <w:rsid w:val="00803774"/>
    <w:rsid w:val="00803BF3"/>
    <w:rsid w:val="00803E8C"/>
    <w:rsid w:val="00803ED3"/>
    <w:rsid w:val="00803FB1"/>
    <w:rsid w:val="0080401D"/>
    <w:rsid w:val="0080401E"/>
    <w:rsid w:val="008042B5"/>
    <w:rsid w:val="008042F5"/>
    <w:rsid w:val="008044F8"/>
    <w:rsid w:val="008045EF"/>
    <w:rsid w:val="00804666"/>
    <w:rsid w:val="008046EC"/>
    <w:rsid w:val="008047B2"/>
    <w:rsid w:val="008048C9"/>
    <w:rsid w:val="00804952"/>
    <w:rsid w:val="00804A21"/>
    <w:rsid w:val="00804C4F"/>
    <w:rsid w:val="00804E68"/>
    <w:rsid w:val="00804EEC"/>
    <w:rsid w:val="00805149"/>
    <w:rsid w:val="0080514B"/>
    <w:rsid w:val="0080525C"/>
    <w:rsid w:val="008053C6"/>
    <w:rsid w:val="00805536"/>
    <w:rsid w:val="008055D3"/>
    <w:rsid w:val="008057DE"/>
    <w:rsid w:val="0080580C"/>
    <w:rsid w:val="008059E7"/>
    <w:rsid w:val="00805A8C"/>
    <w:rsid w:val="00805B7D"/>
    <w:rsid w:val="00805C15"/>
    <w:rsid w:val="00805C7C"/>
    <w:rsid w:val="00805CFF"/>
    <w:rsid w:val="00805E10"/>
    <w:rsid w:val="00805E20"/>
    <w:rsid w:val="00805F02"/>
    <w:rsid w:val="0080626D"/>
    <w:rsid w:val="00806387"/>
    <w:rsid w:val="0080638F"/>
    <w:rsid w:val="00806455"/>
    <w:rsid w:val="008065E0"/>
    <w:rsid w:val="008065E3"/>
    <w:rsid w:val="00806C45"/>
    <w:rsid w:val="00806C92"/>
    <w:rsid w:val="00806CCE"/>
    <w:rsid w:val="00806DAF"/>
    <w:rsid w:val="008073B4"/>
    <w:rsid w:val="00807771"/>
    <w:rsid w:val="008079D3"/>
    <w:rsid w:val="00807A1B"/>
    <w:rsid w:val="00807AA7"/>
    <w:rsid w:val="00807BE7"/>
    <w:rsid w:val="00807E55"/>
    <w:rsid w:val="00810122"/>
    <w:rsid w:val="008106CD"/>
    <w:rsid w:val="0081079A"/>
    <w:rsid w:val="00810809"/>
    <w:rsid w:val="00810872"/>
    <w:rsid w:val="0081087B"/>
    <w:rsid w:val="008108C5"/>
    <w:rsid w:val="00810902"/>
    <w:rsid w:val="0081097C"/>
    <w:rsid w:val="00810A21"/>
    <w:rsid w:val="00810BC5"/>
    <w:rsid w:val="00810D8A"/>
    <w:rsid w:val="00810E32"/>
    <w:rsid w:val="00810E7F"/>
    <w:rsid w:val="00810F3D"/>
    <w:rsid w:val="00810FB3"/>
    <w:rsid w:val="00811198"/>
    <w:rsid w:val="008114FD"/>
    <w:rsid w:val="00811673"/>
    <w:rsid w:val="008116BC"/>
    <w:rsid w:val="00811807"/>
    <w:rsid w:val="00811828"/>
    <w:rsid w:val="0081185C"/>
    <w:rsid w:val="00811865"/>
    <w:rsid w:val="00811931"/>
    <w:rsid w:val="00811BA0"/>
    <w:rsid w:val="00811D07"/>
    <w:rsid w:val="008120F8"/>
    <w:rsid w:val="008122AB"/>
    <w:rsid w:val="008122BC"/>
    <w:rsid w:val="008122D4"/>
    <w:rsid w:val="00812479"/>
    <w:rsid w:val="00812693"/>
    <w:rsid w:val="008126B1"/>
    <w:rsid w:val="00812773"/>
    <w:rsid w:val="0081291C"/>
    <w:rsid w:val="0081291F"/>
    <w:rsid w:val="008129BC"/>
    <w:rsid w:val="00812AA1"/>
    <w:rsid w:val="00812C76"/>
    <w:rsid w:val="00812EBB"/>
    <w:rsid w:val="0081301D"/>
    <w:rsid w:val="00813128"/>
    <w:rsid w:val="008132C1"/>
    <w:rsid w:val="00813409"/>
    <w:rsid w:val="008134CF"/>
    <w:rsid w:val="0081350E"/>
    <w:rsid w:val="008136C0"/>
    <w:rsid w:val="00813B63"/>
    <w:rsid w:val="00813BE2"/>
    <w:rsid w:val="00813F5F"/>
    <w:rsid w:val="008140C1"/>
    <w:rsid w:val="00814237"/>
    <w:rsid w:val="008143E5"/>
    <w:rsid w:val="0081447F"/>
    <w:rsid w:val="00814569"/>
    <w:rsid w:val="008145EC"/>
    <w:rsid w:val="008145F0"/>
    <w:rsid w:val="008146B1"/>
    <w:rsid w:val="008148A4"/>
    <w:rsid w:val="00814AC4"/>
    <w:rsid w:val="00814B75"/>
    <w:rsid w:val="00814C63"/>
    <w:rsid w:val="00814CE0"/>
    <w:rsid w:val="00814D4F"/>
    <w:rsid w:val="00814E97"/>
    <w:rsid w:val="00814FB7"/>
    <w:rsid w:val="00814FD7"/>
    <w:rsid w:val="00815264"/>
    <w:rsid w:val="00815513"/>
    <w:rsid w:val="0081555C"/>
    <w:rsid w:val="0081556C"/>
    <w:rsid w:val="0081575B"/>
    <w:rsid w:val="00815914"/>
    <w:rsid w:val="00815A95"/>
    <w:rsid w:val="00815EFA"/>
    <w:rsid w:val="00815F1E"/>
    <w:rsid w:val="00815FE3"/>
    <w:rsid w:val="00816128"/>
    <w:rsid w:val="00816278"/>
    <w:rsid w:val="0081627D"/>
    <w:rsid w:val="00816328"/>
    <w:rsid w:val="00816467"/>
    <w:rsid w:val="00816570"/>
    <w:rsid w:val="008165CC"/>
    <w:rsid w:val="00816829"/>
    <w:rsid w:val="0081682D"/>
    <w:rsid w:val="008168A9"/>
    <w:rsid w:val="00816AA5"/>
    <w:rsid w:val="00816B40"/>
    <w:rsid w:val="00816BEF"/>
    <w:rsid w:val="00816CBA"/>
    <w:rsid w:val="00816DEA"/>
    <w:rsid w:val="00816E0A"/>
    <w:rsid w:val="00816E2D"/>
    <w:rsid w:val="00816F96"/>
    <w:rsid w:val="008172EC"/>
    <w:rsid w:val="008173F4"/>
    <w:rsid w:val="008174DC"/>
    <w:rsid w:val="0081750A"/>
    <w:rsid w:val="00817669"/>
    <w:rsid w:val="00817841"/>
    <w:rsid w:val="008178D4"/>
    <w:rsid w:val="00817A1D"/>
    <w:rsid w:val="00817A97"/>
    <w:rsid w:val="00817C85"/>
    <w:rsid w:val="00817D5E"/>
    <w:rsid w:val="00817D7A"/>
    <w:rsid w:val="00817E04"/>
    <w:rsid w:val="00817F20"/>
    <w:rsid w:val="00820026"/>
    <w:rsid w:val="0082009F"/>
    <w:rsid w:val="00820411"/>
    <w:rsid w:val="00820BBF"/>
    <w:rsid w:val="00820BE3"/>
    <w:rsid w:val="00820CC7"/>
    <w:rsid w:val="00820D2E"/>
    <w:rsid w:val="00820D99"/>
    <w:rsid w:val="00820DDD"/>
    <w:rsid w:val="00820EF3"/>
    <w:rsid w:val="0082113C"/>
    <w:rsid w:val="00821217"/>
    <w:rsid w:val="00821220"/>
    <w:rsid w:val="008212C6"/>
    <w:rsid w:val="0082140D"/>
    <w:rsid w:val="0082156E"/>
    <w:rsid w:val="00821610"/>
    <w:rsid w:val="0082190F"/>
    <w:rsid w:val="00821C92"/>
    <w:rsid w:val="00821D89"/>
    <w:rsid w:val="00821D97"/>
    <w:rsid w:val="00821EAF"/>
    <w:rsid w:val="00821EED"/>
    <w:rsid w:val="00821F09"/>
    <w:rsid w:val="00821F14"/>
    <w:rsid w:val="00821F2E"/>
    <w:rsid w:val="00821FB0"/>
    <w:rsid w:val="0082204C"/>
    <w:rsid w:val="00822063"/>
    <w:rsid w:val="00822078"/>
    <w:rsid w:val="008220DC"/>
    <w:rsid w:val="008221D5"/>
    <w:rsid w:val="00822295"/>
    <w:rsid w:val="008222F9"/>
    <w:rsid w:val="00822423"/>
    <w:rsid w:val="00822524"/>
    <w:rsid w:val="008226C0"/>
    <w:rsid w:val="008226E2"/>
    <w:rsid w:val="00822818"/>
    <w:rsid w:val="0082282C"/>
    <w:rsid w:val="0082291D"/>
    <w:rsid w:val="00822B27"/>
    <w:rsid w:val="00822DB8"/>
    <w:rsid w:val="00822F4C"/>
    <w:rsid w:val="00822F6A"/>
    <w:rsid w:val="00823019"/>
    <w:rsid w:val="0082323D"/>
    <w:rsid w:val="00823268"/>
    <w:rsid w:val="00823341"/>
    <w:rsid w:val="0082345B"/>
    <w:rsid w:val="0082371B"/>
    <w:rsid w:val="00823795"/>
    <w:rsid w:val="0082389A"/>
    <w:rsid w:val="008238AE"/>
    <w:rsid w:val="0082390D"/>
    <w:rsid w:val="00823993"/>
    <w:rsid w:val="00823AF5"/>
    <w:rsid w:val="00823E0E"/>
    <w:rsid w:val="00824046"/>
    <w:rsid w:val="0082426F"/>
    <w:rsid w:val="008242A8"/>
    <w:rsid w:val="008243D2"/>
    <w:rsid w:val="00824505"/>
    <w:rsid w:val="00824507"/>
    <w:rsid w:val="0082464C"/>
    <w:rsid w:val="00824C9E"/>
    <w:rsid w:val="00824D03"/>
    <w:rsid w:val="00824DAC"/>
    <w:rsid w:val="0082522E"/>
    <w:rsid w:val="0082546D"/>
    <w:rsid w:val="00825493"/>
    <w:rsid w:val="00825524"/>
    <w:rsid w:val="0082554F"/>
    <w:rsid w:val="0082564B"/>
    <w:rsid w:val="0082579E"/>
    <w:rsid w:val="0082594F"/>
    <w:rsid w:val="00825A9E"/>
    <w:rsid w:val="00825C4F"/>
    <w:rsid w:val="00825C71"/>
    <w:rsid w:val="00825EBC"/>
    <w:rsid w:val="00825F75"/>
    <w:rsid w:val="00826038"/>
    <w:rsid w:val="008261F0"/>
    <w:rsid w:val="008262EA"/>
    <w:rsid w:val="00826440"/>
    <w:rsid w:val="008264CA"/>
    <w:rsid w:val="0082662C"/>
    <w:rsid w:val="008267EF"/>
    <w:rsid w:val="00826A81"/>
    <w:rsid w:val="00826BEA"/>
    <w:rsid w:val="00826FEC"/>
    <w:rsid w:val="00827009"/>
    <w:rsid w:val="00827157"/>
    <w:rsid w:val="008274AC"/>
    <w:rsid w:val="008274C7"/>
    <w:rsid w:val="00827530"/>
    <w:rsid w:val="0082753D"/>
    <w:rsid w:val="0082759C"/>
    <w:rsid w:val="008275E0"/>
    <w:rsid w:val="008275E8"/>
    <w:rsid w:val="0082768B"/>
    <w:rsid w:val="008278B5"/>
    <w:rsid w:val="00827D35"/>
    <w:rsid w:val="00827FF8"/>
    <w:rsid w:val="008302AA"/>
    <w:rsid w:val="0083030D"/>
    <w:rsid w:val="008303D7"/>
    <w:rsid w:val="00830580"/>
    <w:rsid w:val="008305C1"/>
    <w:rsid w:val="0083065C"/>
    <w:rsid w:val="008307E4"/>
    <w:rsid w:val="008308CA"/>
    <w:rsid w:val="00830B0D"/>
    <w:rsid w:val="00830DF4"/>
    <w:rsid w:val="00830E22"/>
    <w:rsid w:val="00830FD2"/>
    <w:rsid w:val="0083104F"/>
    <w:rsid w:val="00831225"/>
    <w:rsid w:val="00831337"/>
    <w:rsid w:val="00831374"/>
    <w:rsid w:val="008313EE"/>
    <w:rsid w:val="0083146D"/>
    <w:rsid w:val="008314FE"/>
    <w:rsid w:val="00831609"/>
    <w:rsid w:val="008316D7"/>
    <w:rsid w:val="00831745"/>
    <w:rsid w:val="0083177C"/>
    <w:rsid w:val="00831AD9"/>
    <w:rsid w:val="00831B85"/>
    <w:rsid w:val="00831BB5"/>
    <w:rsid w:val="00831C7B"/>
    <w:rsid w:val="00831DEF"/>
    <w:rsid w:val="00831FF8"/>
    <w:rsid w:val="008321DD"/>
    <w:rsid w:val="00832224"/>
    <w:rsid w:val="0083225E"/>
    <w:rsid w:val="00832517"/>
    <w:rsid w:val="008325F5"/>
    <w:rsid w:val="0083282E"/>
    <w:rsid w:val="00832922"/>
    <w:rsid w:val="00832949"/>
    <w:rsid w:val="00832AC0"/>
    <w:rsid w:val="00832C81"/>
    <w:rsid w:val="00832F62"/>
    <w:rsid w:val="0083305B"/>
    <w:rsid w:val="008330D3"/>
    <w:rsid w:val="008331BD"/>
    <w:rsid w:val="008331E3"/>
    <w:rsid w:val="00833378"/>
    <w:rsid w:val="00833453"/>
    <w:rsid w:val="00833509"/>
    <w:rsid w:val="008335E9"/>
    <w:rsid w:val="00833780"/>
    <w:rsid w:val="00833DAB"/>
    <w:rsid w:val="00833E1A"/>
    <w:rsid w:val="00833F00"/>
    <w:rsid w:val="0083416A"/>
    <w:rsid w:val="008341C1"/>
    <w:rsid w:val="008342A6"/>
    <w:rsid w:val="00834331"/>
    <w:rsid w:val="0083439E"/>
    <w:rsid w:val="00834463"/>
    <w:rsid w:val="008345E5"/>
    <w:rsid w:val="00834840"/>
    <w:rsid w:val="00834C6F"/>
    <w:rsid w:val="00834EA9"/>
    <w:rsid w:val="00834EF7"/>
    <w:rsid w:val="00835118"/>
    <w:rsid w:val="00835145"/>
    <w:rsid w:val="0083515D"/>
    <w:rsid w:val="008351B8"/>
    <w:rsid w:val="008356E3"/>
    <w:rsid w:val="00835839"/>
    <w:rsid w:val="00835869"/>
    <w:rsid w:val="00835874"/>
    <w:rsid w:val="00835975"/>
    <w:rsid w:val="008359C9"/>
    <w:rsid w:val="00835B9D"/>
    <w:rsid w:val="00835BB0"/>
    <w:rsid w:val="00835BEF"/>
    <w:rsid w:val="00835D5E"/>
    <w:rsid w:val="00835D6B"/>
    <w:rsid w:val="00835DED"/>
    <w:rsid w:val="00835E1E"/>
    <w:rsid w:val="00835E89"/>
    <w:rsid w:val="00835F68"/>
    <w:rsid w:val="00835F73"/>
    <w:rsid w:val="00835F9B"/>
    <w:rsid w:val="00836051"/>
    <w:rsid w:val="00836250"/>
    <w:rsid w:val="00836346"/>
    <w:rsid w:val="008363FE"/>
    <w:rsid w:val="0083655E"/>
    <w:rsid w:val="008365AB"/>
    <w:rsid w:val="00836664"/>
    <w:rsid w:val="00836864"/>
    <w:rsid w:val="0083690C"/>
    <w:rsid w:val="008369CA"/>
    <w:rsid w:val="00836ABF"/>
    <w:rsid w:val="00836E27"/>
    <w:rsid w:val="00836FFD"/>
    <w:rsid w:val="0083737C"/>
    <w:rsid w:val="0083742F"/>
    <w:rsid w:val="00837449"/>
    <w:rsid w:val="00837517"/>
    <w:rsid w:val="00837927"/>
    <w:rsid w:val="00837A42"/>
    <w:rsid w:val="00837ABD"/>
    <w:rsid w:val="00837B74"/>
    <w:rsid w:val="00837C06"/>
    <w:rsid w:val="0084006A"/>
    <w:rsid w:val="008400DF"/>
    <w:rsid w:val="0084019E"/>
    <w:rsid w:val="00840355"/>
    <w:rsid w:val="00840372"/>
    <w:rsid w:val="00840457"/>
    <w:rsid w:val="0084048E"/>
    <w:rsid w:val="008406D9"/>
    <w:rsid w:val="0084074A"/>
    <w:rsid w:val="0084079E"/>
    <w:rsid w:val="008407AA"/>
    <w:rsid w:val="008407EB"/>
    <w:rsid w:val="00840835"/>
    <w:rsid w:val="008408A0"/>
    <w:rsid w:val="00840D26"/>
    <w:rsid w:val="00840D2C"/>
    <w:rsid w:val="00840DCD"/>
    <w:rsid w:val="00840EB5"/>
    <w:rsid w:val="00840F4B"/>
    <w:rsid w:val="00841164"/>
    <w:rsid w:val="008412F5"/>
    <w:rsid w:val="0084147A"/>
    <w:rsid w:val="008414AF"/>
    <w:rsid w:val="00841697"/>
    <w:rsid w:val="008419FC"/>
    <w:rsid w:val="00841A66"/>
    <w:rsid w:val="00841AC0"/>
    <w:rsid w:val="00841B82"/>
    <w:rsid w:val="00841E3D"/>
    <w:rsid w:val="00841E8E"/>
    <w:rsid w:val="00841EAE"/>
    <w:rsid w:val="00841F88"/>
    <w:rsid w:val="00841F96"/>
    <w:rsid w:val="00841FDC"/>
    <w:rsid w:val="008420BF"/>
    <w:rsid w:val="0084217B"/>
    <w:rsid w:val="008422F4"/>
    <w:rsid w:val="008425C5"/>
    <w:rsid w:val="008428C4"/>
    <w:rsid w:val="0084293B"/>
    <w:rsid w:val="00842AEF"/>
    <w:rsid w:val="00842C81"/>
    <w:rsid w:val="00842D24"/>
    <w:rsid w:val="00842E03"/>
    <w:rsid w:val="00842E8E"/>
    <w:rsid w:val="008430CF"/>
    <w:rsid w:val="00843297"/>
    <w:rsid w:val="00843387"/>
    <w:rsid w:val="008433C6"/>
    <w:rsid w:val="00843457"/>
    <w:rsid w:val="008435C6"/>
    <w:rsid w:val="0084368A"/>
    <w:rsid w:val="008436BE"/>
    <w:rsid w:val="008437C6"/>
    <w:rsid w:val="0084396D"/>
    <w:rsid w:val="008439D8"/>
    <w:rsid w:val="00843A02"/>
    <w:rsid w:val="00843A19"/>
    <w:rsid w:val="00843A2E"/>
    <w:rsid w:val="00843A8C"/>
    <w:rsid w:val="00843B1B"/>
    <w:rsid w:val="00843C5E"/>
    <w:rsid w:val="00843EB1"/>
    <w:rsid w:val="0084432A"/>
    <w:rsid w:val="00844466"/>
    <w:rsid w:val="0084454A"/>
    <w:rsid w:val="00844B32"/>
    <w:rsid w:val="00844C0E"/>
    <w:rsid w:val="00844E1E"/>
    <w:rsid w:val="00845428"/>
    <w:rsid w:val="008454AA"/>
    <w:rsid w:val="00845935"/>
    <w:rsid w:val="00845B87"/>
    <w:rsid w:val="00845D8D"/>
    <w:rsid w:val="00845E1B"/>
    <w:rsid w:val="00845E43"/>
    <w:rsid w:val="00845EBC"/>
    <w:rsid w:val="00845F36"/>
    <w:rsid w:val="00845FED"/>
    <w:rsid w:val="0084603E"/>
    <w:rsid w:val="0084614E"/>
    <w:rsid w:val="00846216"/>
    <w:rsid w:val="00846379"/>
    <w:rsid w:val="008463C4"/>
    <w:rsid w:val="008464E2"/>
    <w:rsid w:val="00846592"/>
    <w:rsid w:val="008466AB"/>
    <w:rsid w:val="008468BC"/>
    <w:rsid w:val="00846A04"/>
    <w:rsid w:val="00846AE0"/>
    <w:rsid w:val="00846C78"/>
    <w:rsid w:val="00846DC2"/>
    <w:rsid w:val="00846ECC"/>
    <w:rsid w:val="00846F8A"/>
    <w:rsid w:val="008470EC"/>
    <w:rsid w:val="0084768E"/>
    <w:rsid w:val="008476C0"/>
    <w:rsid w:val="00847751"/>
    <w:rsid w:val="008477D9"/>
    <w:rsid w:val="008478CE"/>
    <w:rsid w:val="00847986"/>
    <w:rsid w:val="00847A81"/>
    <w:rsid w:val="00847B73"/>
    <w:rsid w:val="00847BD7"/>
    <w:rsid w:val="00847BFA"/>
    <w:rsid w:val="00847CDA"/>
    <w:rsid w:val="00850163"/>
    <w:rsid w:val="00850435"/>
    <w:rsid w:val="008506DB"/>
    <w:rsid w:val="008507A8"/>
    <w:rsid w:val="00850801"/>
    <w:rsid w:val="0085084E"/>
    <w:rsid w:val="00850C24"/>
    <w:rsid w:val="00850C97"/>
    <w:rsid w:val="00850D8D"/>
    <w:rsid w:val="00850E0C"/>
    <w:rsid w:val="00850E60"/>
    <w:rsid w:val="00850E79"/>
    <w:rsid w:val="00850EF7"/>
    <w:rsid w:val="00850F01"/>
    <w:rsid w:val="00850F7E"/>
    <w:rsid w:val="00851554"/>
    <w:rsid w:val="0085174E"/>
    <w:rsid w:val="008518E6"/>
    <w:rsid w:val="00851A1B"/>
    <w:rsid w:val="00851A9F"/>
    <w:rsid w:val="00851B9B"/>
    <w:rsid w:val="00851C38"/>
    <w:rsid w:val="00851D08"/>
    <w:rsid w:val="00851D09"/>
    <w:rsid w:val="00851FDC"/>
    <w:rsid w:val="0085201A"/>
    <w:rsid w:val="008521E8"/>
    <w:rsid w:val="00852232"/>
    <w:rsid w:val="0085233D"/>
    <w:rsid w:val="00852358"/>
    <w:rsid w:val="00852464"/>
    <w:rsid w:val="00852530"/>
    <w:rsid w:val="008525BD"/>
    <w:rsid w:val="008525C7"/>
    <w:rsid w:val="008525E2"/>
    <w:rsid w:val="0085267A"/>
    <w:rsid w:val="0085275B"/>
    <w:rsid w:val="008528F0"/>
    <w:rsid w:val="0085291F"/>
    <w:rsid w:val="00852AA1"/>
    <w:rsid w:val="00852B8B"/>
    <w:rsid w:val="00852BDB"/>
    <w:rsid w:val="00852FD3"/>
    <w:rsid w:val="0085307A"/>
    <w:rsid w:val="00853145"/>
    <w:rsid w:val="008531AE"/>
    <w:rsid w:val="008531E9"/>
    <w:rsid w:val="008531EE"/>
    <w:rsid w:val="0085320D"/>
    <w:rsid w:val="008532EB"/>
    <w:rsid w:val="00853345"/>
    <w:rsid w:val="008533F7"/>
    <w:rsid w:val="008534C1"/>
    <w:rsid w:val="00853506"/>
    <w:rsid w:val="0085371A"/>
    <w:rsid w:val="0085378C"/>
    <w:rsid w:val="00853905"/>
    <w:rsid w:val="00853961"/>
    <w:rsid w:val="008539AE"/>
    <w:rsid w:val="00853D64"/>
    <w:rsid w:val="008541C4"/>
    <w:rsid w:val="00854236"/>
    <w:rsid w:val="008542A8"/>
    <w:rsid w:val="00854663"/>
    <w:rsid w:val="0085471E"/>
    <w:rsid w:val="0085487E"/>
    <w:rsid w:val="0085489A"/>
    <w:rsid w:val="008549C9"/>
    <w:rsid w:val="00854C00"/>
    <w:rsid w:val="00854CF8"/>
    <w:rsid w:val="00854DE9"/>
    <w:rsid w:val="00854E76"/>
    <w:rsid w:val="00855024"/>
    <w:rsid w:val="008551E9"/>
    <w:rsid w:val="00855309"/>
    <w:rsid w:val="0085544C"/>
    <w:rsid w:val="00855642"/>
    <w:rsid w:val="00855779"/>
    <w:rsid w:val="008557F5"/>
    <w:rsid w:val="00855948"/>
    <w:rsid w:val="00855973"/>
    <w:rsid w:val="008559D5"/>
    <w:rsid w:val="008559D8"/>
    <w:rsid w:val="00855B95"/>
    <w:rsid w:val="00855DAE"/>
    <w:rsid w:val="00855DC5"/>
    <w:rsid w:val="00855E49"/>
    <w:rsid w:val="00855EC9"/>
    <w:rsid w:val="00855F95"/>
    <w:rsid w:val="0085641C"/>
    <w:rsid w:val="00856532"/>
    <w:rsid w:val="008566C1"/>
    <w:rsid w:val="0085683F"/>
    <w:rsid w:val="00856949"/>
    <w:rsid w:val="0085697F"/>
    <w:rsid w:val="00856985"/>
    <w:rsid w:val="008569A2"/>
    <w:rsid w:val="00856A85"/>
    <w:rsid w:val="00856AB6"/>
    <w:rsid w:val="00856BE1"/>
    <w:rsid w:val="00856D5B"/>
    <w:rsid w:val="00857094"/>
    <w:rsid w:val="008570E3"/>
    <w:rsid w:val="0085739E"/>
    <w:rsid w:val="00857415"/>
    <w:rsid w:val="008575EF"/>
    <w:rsid w:val="008576C2"/>
    <w:rsid w:val="0085779D"/>
    <w:rsid w:val="008578F3"/>
    <w:rsid w:val="00857B24"/>
    <w:rsid w:val="00857CA5"/>
    <w:rsid w:val="00857E1D"/>
    <w:rsid w:val="008600B5"/>
    <w:rsid w:val="008600F7"/>
    <w:rsid w:val="0086012E"/>
    <w:rsid w:val="00860192"/>
    <w:rsid w:val="008603A0"/>
    <w:rsid w:val="0086050E"/>
    <w:rsid w:val="00860531"/>
    <w:rsid w:val="008606B4"/>
    <w:rsid w:val="00860840"/>
    <w:rsid w:val="0086090E"/>
    <w:rsid w:val="00860A43"/>
    <w:rsid w:val="00860A6F"/>
    <w:rsid w:val="00860B6C"/>
    <w:rsid w:val="00860D0C"/>
    <w:rsid w:val="00860DAF"/>
    <w:rsid w:val="00860EB1"/>
    <w:rsid w:val="00860F2F"/>
    <w:rsid w:val="008610C0"/>
    <w:rsid w:val="00861241"/>
    <w:rsid w:val="008612B0"/>
    <w:rsid w:val="00861319"/>
    <w:rsid w:val="00861435"/>
    <w:rsid w:val="0086144D"/>
    <w:rsid w:val="008614FA"/>
    <w:rsid w:val="00861724"/>
    <w:rsid w:val="008618A3"/>
    <w:rsid w:val="00861D9F"/>
    <w:rsid w:val="0086201A"/>
    <w:rsid w:val="008620B7"/>
    <w:rsid w:val="00862230"/>
    <w:rsid w:val="008623C5"/>
    <w:rsid w:val="00862414"/>
    <w:rsid w:val="00862418"/>
    <w:rsid w:val="00862500"/>
    <w:rsid w:val="00862552"/>
    <w:rsid w:val="00862740"/>
    <w:rsid w:val="008628F6"/>
    <w:rsid w:val="008629A4"/>
    <w:rsid w:val="00862B7D"/>
    <w:rsid w:val="00862BDE"/>
    <w:rsid w:val="00862C22"/>
    <w:rsid w:val="00862D6F"/>
    <w:rsid w:val="00862D97"/>
    <w:rsid w:val="00862E81"/>
    <w:rsid w:val="00862ED3"/>
    <w:rsid w:val="0086302D"/>
    <w:rsid w:val="008630E9"/>
    <w:rsid w:val="008633E5"/>
    <w:rsid w:val="008635D0"/>
    <w:rsid w:val="0086363D"/>
    <w:rsid w:val="00863906"/>
    <w:rsid w:val="00863AD6"/>
    <w:rsid w:val="00863BB6"/>
    <w:rsid w:val="00863C31"/>
    <w:rsid w:val="00863C45"/>
    <w:rsid w:val="00863E4A"/>
    <w:rsid w:val="0086400F"/>
    <w:rsid w:val="0086418A"/>
    <w:rsid w:val="008644AB"/>
    <w:rsid w:val="008644D7"/>
    <w:rsid w:val="00864549"/>
    <w:rsid w:val="008645D5"/>
    <w:rsid w:val="0086460F"/>
    <w:rsid w:val="00864640"/>
    <w:rsid w:val="00864685"/>
    <w:rsid w:val="00864770"/>
    <w:rsid w:val="008648DF"/>
    <w:rsid w:val="00864A5B"/>
    <w:rsid w:val="00864A65"/>
    <w:rsid w:val="00864B4C"/>
    <w:rsid w:val="00864D58"/>
    <w:rsid w:val="00864D6F"/>
    <w:rsid w:val="00864E2F"/>
    <w:rsid w:val="00864EF1"/>
    <w:rsid w:val="00864F64"/>
    <w:rsid w:val="0086517B"/>
    <w:rsid w:val="00865220"/>
    <w:rsid w:val="008653CC"/>
    <w:rsid w:val="008653D1"/>
    <w:rsid w:val="00865453"/>
    <w:rsid w:val="008655FC"/>
    <w:rsid w:val="008656AD"/>
    <w:rsid w:val="00865851"/>
    <w:rsid w:val="00865959"/>
    <w:rsid w:val="0086597D"/>
    <w:rsid w:val="00865E14"/>
    <w:rsid w:val="00865EED"/>
    <w:rsid w:val="00865F20"/>
    <w:rsid w:val="00866001"/>
    <w:rsid w:val="00866038"/>
    <w:rsid w:val="008663C3"/>
    <w:rsid w:val="008663DB"/>
    <w:rsid w:val="00866734"/>
    <w:rsid w:val="008668A4"/>
    <w:rsid w:val="0086695A"/>
    <w:rsid w:val="00866AE1"/>
    <w:rsid w:val="00866C06"/>
    <w:rsid w:val="00866DEE"/>
    <w:rsid w:val="00866F40"/>
    <w:rsid w:val="00866F89"/>
    <w:rsid w:val="00867213"/>
    <w:rsid w:val="00867353"/>
    <w:rsid w:val="008673F1"/>
    <w:rsid w:val="008674E2"/>
    <w:rsid w:val="008676CE"/>
    <w:rsid w:val="008676E6"/>
    <w:rsid w:val="0086775B"/>
    <w:rsid w:val="00867AB4"/>
    <w:rsid w:val="00867C44"/>
    <w:rsid w:val="00867D84"/>
    <w:rsid w:val="00867E1E"/>
    <w:rsid w:val="00867E56"/>
    <w:rsid w:val="00867F05"/>
    <w:rsid w:val="00867FA4"/>
    <w:rsid w:val="00870076"/>
    <w:rsid w:val="008700D2"/>
    <w:rsid w:val="0087019B"/>
    <w:rsid w:val="008702E1"/>
    <w:rsid w:val="00870406"/>
    <w:rsid w:val="00870576"/>
    <w:rsid w:val="008706D3"/>
    <w:rsid w:val="00870766"/>
    <w:rsid w:val="00870771"/>
    <w:rsid w:val="00870819"/>
    <w:rsid w:val="008708CF"/>
    <w:rsid w:val="008708DE"/>
    <w:rsid w:val="00870940"/>
    <w:rsid w:val="00870A4E"/>
    <w:rsid w:val="00870C16"/>
    <w:rsid w:val="00870D48"/>
    <w:rsid w:val="00870E0A"/>
    <w:rsid w:val="00870FAA"/>
    <w:rsid w:val="00871016"/>
    <w:rsid w:val="00871052"/>
    <w:rsid w:val="00871062"/>
    <w:rsid w:val="008711EB"/>
    <w:rsid w:val="00871667"/>
    <w:rsid w:val="008716A4"/>
    <w:rsid w:val="00871701"/>
    <w:rsid w:val="00871846"/>
    <w:rsid w:val="008719EC"/>
    <w:rsid w:val="00871A05"/>
    <w:rsid w:val="00871A37"/>
    <w:rsid w:val="00871B02"/>
    <w:rsid w:val="00871B4C"/>
    <w:rsid w:val="00871B60"/>
    <w:rsid w:val="00871E28"/>
    <w:rsid w:val="0087207C"/>
    <w:rsid w:val="0087208B"/>
    <w:rsid w:val="00872126"/>
    <w:rsid w:val="0087238E"/>
    <w:rsid w:val="0087244A"/>
    <w:rsid w:val="0087252C"/>
    <w:rsid w:val="00872A5B"/>
    <w:rsid w:val="00872EF9"/>
    <w:rsid w:val="0087302C"/>
    <w:rsid w:val="008730EC"/>
    <w:rsid w:val="0087321C"/>
    <w:rsid w:val="008732B6"/>
    <w:rsid w:val="0087331E"/>
    <w:rsid w:val="008733A6"/>
    <w:rsid w:val="0087342B"/>
    <w:rsid w:val="008734AE"/>
    <w:rsid w:val="0087354A"/>
    <w:rsid w:val="008736E4"/>
    <w:rsid w:val="008737E4"/>
    <w:rsid w:val="00873988"/>
    <w:rsid w:val="00873B00"/>
    <w:rsid w:val="00873C18"/>
    <w:rsid w:val="00873C41"/>
    <w:rsid w:val="00873CB5"/>
    <w:rsid w:val="00873CDE"/>
    <w:rsid w:val="00873E18"/>
    <w:rsid w:val="00874031"/>
    <w:rsid w:val="008740D0"/>
    <w:rsid w:val="0087412C"/>
    <w:rsid w:val="008741B7"/>
    <w:rsid w:val="008741EC"/>
    <w:rsid w:val="00874331"/>
    <w:rsid w:val="0087446D"/>
    <w:rsid w:val="00874570"/>
    <w:rsid w:val="0087468C"/>
    <w:rsid w:val="00874828"/>
    <w:rsid w:val="00874928"/>
    <w:rsid w:val="0087492C"/>
    <w:rsid w:val="00874B86"/>
    <w:rsid w:val="00874C3F"/>
    <w:rsid w:val="00874CEE"/>
    <w:rsid w:val="0087521F"/>
    <w:rsid w:val="00875250"/>
    <w:rsid w:val="0087527E"/>
    <w:rsid w:val="00875307"/>
    <w:rsid w:val="008754D0"/>
    <w:rsid w:val="008754F0"/>
    <w:rsid w:val="0087555A"/>
    <w:rsid w:val="008755B4"/>
    <w:rsid w:val="00875657"/>
    <w:rsid w:val="0087572A"/>
    <w:rsid w:val="008757F7"/>
    <w:rsid w:val="00875A33"/>
    <w:rsid w:val="00875AD7"/>
    <w:rsid w:val="00875AF0"/>
    <w:rsid w:val="00875B7C"/>
    <w:rsid w:val="00875BCC"/>
    <w:rsid w:val="00875F87"/>
    <w:rsid w:val="00875FB6"/>
    <w:rsid w:val="00876084"/>
    <w:rsid w:val="0087620F"/>
    <w:rsid w:val="0087629B"/>
    <w:rsid w:val="008762A5"/>
    <w:rsid w:val="00876337"/>
    <w:rsid w:val="00876376"/>
    <w:rsid w:val="008763E0"/>
    <w:rsid w:val="00876401"/>
    <w:rsid w:val="00876435"/>
    <w:rsid w:val="00876626"/>
    <w:rsid w:val="00876805"/>
    <w:rsid w:val="00876861"/>
    <w:rsid w:val="00876A87"/>
    <w:rsid w:val="00876B9D"/>
    <w:rsid w:val="00876CA4"/>
    <w:rsid w:val="00876CDD"/>
    <w:rsid w:val="00877152"/>
    <w:rsid w:val="008772C8"/>
    <w:rsid w:val="008772D4"/>
    <w:rsid w:val="008772D6"/>
    <w:rsid w:val="00877338"/>
    <w:rsid w:val="008773A0"/>
    <w:rsid w:val="008773A8"/>
    <w:rsid w:val="008773BF"/>
    <w:rsid w:val="00877689"/>
    <w:rsid w:val="008776EA"/>
    <w:rsid w:val="0087777B"/>
    <w:rsid w:val="008777CC"/>
    <w:rsid w:val="00877866"/>
    <w:rsid w:val="00877869"/>
    <w:rsid w:val="008778E0"/>
    <w:rsid w:val="008778FB"/>
    <w:rsid w:val="00877C5E"/>
    <w:rsid w:val="00877C5F"/>
    <w:rsid w:val="00877CC7"/>
    <w:rsid w:val="00877D26"/>
    <w:rsid w:val="00877D70"/>
    <w:rsid w:val="00877D89"/>
    <w:rsid w:val="00877DEB"/>
    <w:rsid w:val="0088003F"/>
    <w:rsid w:val="00880105"/>
    <w:rsid w:val="0088025F"/>
    <w:rsid w:val="008803A1"/>
    <w:rsid w:val="0088044D"/>
    <w:rsid w:val="00880490"/>
    <w:rsid w:val="008806B5"/>
    <w:rsid w:val="00880721"/>
    <w:rsid w:val="00880737"/>
    <w:rsid w:val="00880A26"/>
    <w:rsid w:val="00880C54"/>
    <w:rsid w:val="00880D3E"/>
    <w:rsid w:val="00880EEF"/>
    <w:rsid w:val="00880EF6"/>
    <w:rsid w:val="00881180"/>
    <w:rsid w:val="0088138B"/>
    <w:rsid w:val="008813A6"/>
    <w:rsid w:val="0088149C"/>
    <w:rsid w:val="0088150C"/>
    <w:rsid w:val="0088175A"/>
    <w:rsid w:val="008819FA"/>
    <w:rsid w:val="00881B4A"/>
    <w:rsid w:val="00881B9A"/>
    <w:rsid w:val="00881C8E"/>
    <w:rsid w:val="00881CDC"/>
    <w:rsid w:val="00881CFA"/>
    <w:rsid w:val="00881D02"/>
    <w:rsid w:val="00881D0C"/>
    <w:rsid w:val="00881D11"/>
    <w:rsid w:val="00881D15"/>
    <w:rsid w:val="00881EFD"/>
    <w:rsid w:val="00882063"/>
    <w:rsid w:val="008820EC"/>
    <w:rsid w:val="008821AB"/>
    <w:rsid w:val="0088228B"/>
    <w:rsid w:val="008823A8"/>
    <w:rsid w:val="0088248B"/>
    <w:rsid w:val="00882576"/>
    <w:rsid w:val="00882609"/>
    <w:rsid w:val="008826D6"/>
    <w:rsid w:val="0088283A"/>
    <w:rsid w:val="00882888"/>
    <w:rsid w:val="00882926"/>
    <w:rsid w:val="00882BBD"/>
    <w:rsid w:val="00882BC6"/>
    <w:rsid w:val="00882CDC"/>
    <w:rsid w:val="00882FE9"/>
    <w:rsid w:val="008834BB"/>
    <w:rsid w:val="0088350E"/>
    <w:rsid w:val="00883731"/>
    <w:rsid w:val="0088373F"/>
    <w:rsid w:val="00883886"/>
    <w:rsid w:val="00883B5F"/>
    <w:rsid w:val="00883CA3"/>
    <w:rsid w:val="00883D54"/>
    <w:rsid w:val="00884078"/>
    <w:rsid w:val="00884079"/>
    <w:rsid w:val="00884159"/>
    <w:rsid w:val="0088426E"/>
    <w:rsid w:val="008842F3"/>
    <w:rsid w:val="0088432A"/>
    <w:rsid w:val="0088434B"/>
    <w:rsid w:val="008844EA"/>
    <w:rsid w:val="00884594"/>
    <w:rsid w:val="00884681"/>
    <w:rsid w:val="0088480D"/>
    <w:rsid w:val="0088481C"/>
    <w:rsid w:val="00884968"/>
    <w:rsid w:val="008849EC"/>
    <w:rsid w:val="00884BCD"/>
    <w:rsid w:val="00884C1C"/>
    <w:rsid w:val="00884C6B"/>
    <w:rsid w:val="00884C86"/>
    <w:rsid w:val="00884EB1"/>
    <w:rsid w:val="00885222"/>
    <w:rsid w:val="008852B5"/>
    <w:rsid w:val="00885329"/>
    <w:rsid w:val="008853A1"/>
    <w:rsid w:val="008853C9"/>
    <w:rsid w:val="0088559A"/>
    <w:rsid w:val="008855A7"/>
    <w:rsid w:val="00885747"/>
    <w:rsid w:val="008857DC"/>
    <w:rsid w:val="00885902"/>
    <w:rsid w:val="00885B67"/>
    <w:rsid w:val="00885C7E"/>
    <w:rsid w:val="00885D6E"/>
    <w:rsid w:val="00885ECE"/>
    <w:rsid w:val="00885F6C"/>
    <w:rsid w:val="008861E7"/>
    <w:rsid w:val="00886589"/>
    <w:rsid w:val="008865A8"/>
    <w:rsid w:val="00886659"/>
    <w:rsid w:val="0088688F"/>
    <w:rsid w:val="00886984"/>
    <w:rsid w:val="00886B7E"/>
    <w:rsid w:val="00886E5C"/>
    <w:rsid w:val="00886EA2"/>
    <w:rsid w:val="00886ECF"/>
    <w:rsid w:val="00887092"/>
    <w:rsid w:val="00887151"/>
    <w:rsid w:val="0088739A"/>
    <w:rsid w:val="008874A7"/>
    <w:rsid w:val="00887603"/>
    <w:rsid w:val="008876D3"/>
    <w:rsid w:val="008877C9"/>
    <w:rsid w:val="008878CA"/>
    <w:rsid w:val="00887966"/>
    <w:rsid w:val="00887B96"/>
    <w:rsid w:val="00887CDE"/>
    <w:rsid w:val="00887F9A"/>
    <w:rsid w:val="0089018A"/>
    <w:rsid w:val="008901DE"/>
    <w:rsid w:val="00890381"/>
    <w:rsid w:val="008905F9"/>
    <w:rsid w:val="008906FC"/>
    <w:rsid w:val="00890722"/>
    <w:rsid w:val="00890845"/>
    <w:rsid w:val="008909B0"/>
    <w:rsid w:val="00890A39"/>
    <w:rsid w:val="00890BA6"/>
    <w:rsid w:val="00890BB0"/>
    <w:rsid w:val="00890D9E"/>
    <w:rsid w:val="00890E17"/>
    <w:rsid w:val="00890E87"/>
    <w:rsid w:val="00890F67"/>
    <w:rsid w:val="00891207"/>
    <w:rsid w:val="00891227"/>
    <w:rsid w:val="00891231"/>
    <w:rsid w:val="008912BB"/>
    <w:rsid w:val="00891869"/>
    <w:rsid w:val="00891914"/>
    <w:rsid w:val="0089193E"/>
    <w:rsid w:val="00891B7B"/>
    <w:rsid w:val="00891D03"/>
    <w:rsid w:val="00891D8E"/>
    <w:rsid w:val="0089213A"/>
    <w:rsid w:val="00892156"/>
    <w:rsid w:val="00892365"/>
    <w:rsid w:val="008924E3"/>
    <w:rsid w:val="00892540"/>
    <w:rsid w:val="00892C0D"/>
    <w:rsid w:val="00892C58"/>
    <w:rsid w:val="00892C8C"/>
    <w:rsid w:val="00892FC1"/>
    <w:rsid w:val="00892FF3"/>
    <w:rsid w:val="00893194"/>
    <w:rsid w:val="0089330F"/>
    <w:rsid w:val="0089352B"/>
    <w:rsid w:val="00893702"/>
    <w:rsid w:val="00893719"/>
    <w:rsid w:val="008938DD"/>
    <w:rsid w:val="008939C5"/>
    <w:rsid w:val="00893AA7"/>
    <w:rsid w:val="00893AB0"/>
    <w:rsid w:val="00893EF6"/>
    <w:rsid w:val="00894009"/>
    <w:rsid w:val="0089415C"/>
    <w:rsid w:val="00894221"/>
    <w:rsid w:val="00894283"/>
    <w:rsid w:val="008943D1"/>
    <w:rsid w:val="0089449B"/>
    <w:rsid w:val="008945F2"/>
    <w:rsid w:val="00894A3A"/>
    <w:rsid w:val="00894BB1"/>
    <w:rsid w:val="00894C0B"/>
    <w:rsid w:val="00894CC3"/>
    <w:rsid w:val="00894D4C"/>
    <w:rsid w:val="00894D81"/>
    <w:rsid w:val="00894E37"/>
    <w:rsid w:val="00894F45"/>
    <w:rsid w:val="00895214"/>
    <w:rsid w:val="008954CE"/>
    <w:rsid w:val="008955C2"/>
    <w:rsid w:val="0089585F"/>
    <w:rsid w:val="00895A6C"/>
    <w:rsid w:val="00895E24"/>
    <w:rsid w:val="00895EAF"/>
    <w:rsid w:val="00895EC0"/>
    <w:rsid w:val="00895F4D"/>
    <w:rsid w:val="00895F9C"/>
    <w:rsid w:val="0089635B"/>
    <w:rsid w:val="00896466"/>
    <w:rsid w:val="00896504"/>
    <w:rsid w:val="008965FD"/>
    <w:rsid w:val="00896607"/>
    <w:rsid w:val="008966BE"/>
    <w:rsid w:val="00896717"/>
    <w:rsid w:val="00896755"/>
    <w:rsid w:val="00896B7B"/>
    <w:rsid w:val="00896D52"/>
    <w:rsid w:val="00897052"/>
    <w:rsid w:val="00897081"/>
    <w:rsid w:val="0089708F"/>
    <w:rsid w:val="0089719E"/>
    <w:rsid w:val="008976E2"/>
    <w:rsid w:val="00897759"/>
    <w:rsid w:val="00897897"/>
    <w:rsid w:val="00897A09"/>
    <w:rsid w:val="00897CDE"/>
    <w:rsid w:val="00897E69"/>
    <w:rsid w:val="008A002D"/>
    <w:rsid w:val="008A044B"/>
    <w:rsid w:val="008A04CF"/>
    <w:rsid w:val="008A0525"/>
    <w:rsid w:val="008A0B39"/>
    <w:rsid w:val="008A0B40"/>
    <w:rsid w:val="008A0B71"/>
    <w:rsid w:val="008A0C88"/>
    <w:rsid w:val="008A0D4F"/>
    <w:rsid w:val="008A0D67"/>
    <w:rsid w:val="008A1270"/>
    <w:rsid w:val="008A1397"/>
    <w:rsid w:val="008A1547"/>
    <w:rsid w:val="008A1650"/>
    <w:rsid w:val="008A1846"/>
    <w:rsid w:val="008A18A1"/>
    <w:rsid w:val="008A1982"/>
    <w:rsid w:val="008A1A10"/>
    <w:rsid w:val="008A1A27"/>
    <w:rsid w:val="008A1B63"/>
    <w:rsid w:val="008A1C53"/>
    <w:rsid w:val="008A1CBB"/>
    <w:rsid w:val="008A1F4E"/>
    <w:rsid w:val="008A1F87"/>
    <w:rsid w:val="008A1FE3"/>
    <w:rsid w:val="008A2139"/>
    <w:rsid w:val="008A2142"/>
    <w:rsid w:val="008A2189"/>
    <w:rsid w:val="008A21DE"/>
    <w:rsid w:val="008A2328"/>
    <w:rsid w:val="008A241F"/>
    <w:rsid w:val="008A24D0"/>
    <w:rsid w:val="008A26EC"/>
    <w:rsid w:val="008A2703"/>
    <w:rsid w:val="008A2725"/>
    <w:rsid w:val="008A2884"/>
    <w:rsid w:val="008A28F7"/>
    <w:rsid w:val="008A2A60"/>
    <w:rsid w:val="008A2DC2"/>
    <w:rsid w:val="008A2DD0"/>
    <w:rsid w:val="008A31FA"/>
    <w:rsid w:val="008A322F"/>
    <w:rsid w:val="008A323C"/>
    <w:rsid w:val="008A3264"/>
    <w:rsid w:val="008A3296"/>
    <w:rsid w:val="008A331F"/>
    <w:rsid w:val="008A3529"/>
    <w:rsid w:val="008A376B"/>
    <w:rsid w:val="008A3A77"/>
    <w:rsid w:val="008A3B27"/>
    <w:rsid w:val="008A3B9C"/>
    <w:rsid w:val="008A3E45"/>
    <w:rsid w:val="008A3FE1"/>
    <w:rsid w:val="008A401E"/>
    <w:rsid w:val="008A4119"/>
    <w:rsid w:val="008A419E"/>
    <w:rsid w:val="008A42E6"/>
    <w:rsid w:val="008A44B8"/>
    <w:rsid w:val="008A4582"/>
    <w:rsid w:val="008A4739"/>
    <w:rsid w:val="008A476E"/>
    <w:rsid w:val="008A509A"/>
    <w:rsid w:val="008A52C7"/>
    <w:rsid w:val="008A5401"/>
    <w:rsid w:val="008A56D4"/>
    <w:rsid w:val="008A57AE"/>
    <w:rsid w:val="008A581E"/>
    <w:rsid w:val="008A5846"/>
    <w:rsid w:val="008A58CC"/>
    <w:rsid w:val="008A594D"/>
    <w:rsid w:val="008A5994"/>
    <w:rsid w:val="008A5A25"/>
    <w:rsid w:val="008A5ACA"/>
    <w:rsid w:val="008A5B19"/>
    <w:rsid w:val="008A5B6F"/>
    <w:rsid w:val="008A5C60"/>
    <w:rsid w:val="008A5D9C"/>
    <w:rsid w:val="008A5E07"/>
    <w:rsid w:val="008A5EC0"/>
    <w:rsid w:val="008A5F66"/>
    <w:rsid w:val="008A607D"/>
    <w:rsid w:val="008A6098"/>
    <w:rsid w:val="008A6104"/>
    <w:rsid w:val="008A6172"/>
    <w:rsid w:val="008A61E6"/>
    <w:rsid w:val="008A628D"/>
    <w:rsid w:val="008A6327"/>
    <w:rsid w:val="008A635C"/>
    <w:rsid w:val="008A63D2"/>
    <w:rsid w:val="008A64A1"/>
    <w:rsid w:val="008A678F"/>
    <w:rsid w:val="008A6A95"/>
    <w:rsid w:val="008A6AAB"/>
    <w:rsid w:val="008A6AC4"/>
    <w:rsid w:val="008A6BC4"/>
    <w:rsid w:val="008A6C05"/>
    <w:rsid w:val="008A6E75"/>
    <w:rsid w:val="008A727E"/>
    <w:rsid w:val="008A73A4"/>
    <w:rsid w:val="008A76BE"/>
    <w:rsid w:val="008A775A"/>
    <w:rsid w:val="008A790F"/>
    <w:rsid w:val="008A79C5"/>
    <w:rsid w:val="008A7A5C"/>
    <w:rsid w:val="008A7E19"/>
    <w:rsid w:val="008A7E79"/>
    <w:rsid w:val="008A7F27"/>
    <w:rsid w:val="008B025A"/>
    <w:rsid w:val="008B046F"/>
    <w:rsid w:val="008B0650"/>
    <w:rsid w:val="008B076C"/>
    <w:rsid w:val="008B087E"/>
    <w:rsid w:val="008B0A52"/>
    <w:rsid w:val="008B0B97"/>
    <w:rsid w:val="008B0C70"/>
    <w:rsid w:val="008B0F28"/>
    <w:rsid w:val="008B108A"/>
    <w:rsid w:val="008B13BF"/>
    <w:rsid w:val="008B1501"/>
    <w:rsid w:val="008B1532"/>
    <w:rsid w:val="008B17C4"/>
    <w:rsid w:val="008B17FF"/>
    <w:rsid w:val="008B1961"/>
    <w:rsid w:val="008B19FD"/>
    <w:rsid w:val="008B1B1E"/>
    <w:rsid w:val="008B1BA6"/>
    <w:rsid w:val="008B1C67"/>
    <w:rsid w:val="008B1E81"/>
    <w:rsid w:val="008B1F92"/>
    <w:rsid w:val="008B2233"/>
    <w:rsid w:val="008B2299"/>
    <w:rsid w:val="008B2582"/>
    <w:rsid w:val="008B267A"/>
    <w:rsid w:val="008B272C"/>
    <w:rsid w:val="008B27C5"/>
    <w:rsid w:val="008B2880"/>
    <w:rsid w:val="008B2919"/>
    <w:rsid w:val="008B2A9B"/>
    <w:rsid w:val="008B2D1A"/>
    <w:rsid w:val="008B2D2B"/>
    <w:rsid w:val="008B2D4D"/>
    <w:rsid w:val="008B2D58"/>
    <w:rsid w:val="008B2D6F"/>
    <w:rsid w:val="008B2DAE"/>
    <w:rsid w:val="008B2DFC"/>
    <w:rsid w:val="008B2E73"/>
    <w:rsid w:val="008B2EA8"/>
    <w:rsid w:val="008B3245"/>
    <w:rsid w:val="008B3389"/>
    <w:rsid w:val="008B348F"/>
    <w:rsid w:val="008B3546"/>
    <w:rsid w:val="008B37BF"/>
    <w:rsid w:val="008B3969"/>
    <w:rsid w:val="008B3AF2"/>
    <w:rsid w:val="008B3BA7"/>
    <w:rsid w:val="008B3D83"/>
    <w:rsid w:val="008B3E77"/>
    <w:rsid w:val="008B3E89"/>
    <w:rsid w:val="008B3F6D"/>
    <w:rsid w:val="008B409A"/>
    <w:rsid w:val="008B40C1"/>
    <w:rsid w:val="008B4363"/>
    <w:rsid w:val="008B43D4"/>
    <w:rsid w:val="008B4614"/>
    <w:rsid w:val="008B4642"/>
    <w:rsid w:val="008B4764"/>
    <w:rsid w:val="008B4797"/>
    <w:rsid w:val="008B49AB"/>
    <w:rsid w:val="008B4A93"/>
    <w:rsid w:val="008B4C98"/>
    <w:rsid w:val="008B4CAD"/>
    <w:rsid w:val="008B4F8F"/>
    <w:rsid w:val="008B5113"/>
    <w:rsid w:val="008B5148"/>
    <w:rsid w:val="008B5200"/>
    <w:rsid w:val="008B542D"/>
    <w:rsid w:val="008B5861"/>
    <w:rsid w:val="008B5869"/>
    <w:rsid w:val="008B5AAA"/>
    <w:rsid w:val="008B5D5F"/>
    <w:rsid w:val="008B5E12"/>
    <w:rsid w:val="008B603A"/>
    <w:rsid w:val="008B6063"/>
    <w:rsid w:val="008B6069"/>
    <w:rsid w:val="008B6097"/>
    <w:rsid w:val="008B63DA"/>
    <w:rsid w:val="008B646A"/>
    <w:rsid w:val="008B6489"/>
    <w:rsid w:val="008B659E"/>
    <w:rsid w:val="008B65E6"/>
    <w:rsid w:val="008B681F"/>
    <w:rsid w:val="008B69B5"/>
    <w:rsid w:val="008B6AF8"/>
    <w:rsid w:val="008B6BD0"/>
    <w:rsid w:val="008B6BE0"/>
    <w:rsid w:val="008B6F10"/>
    <w:rsid w:val="008B6F7D"/>
    <w:rsid w:val="008B6F9B"/>
    <w:rsid w:val="008B71A6"/>
    <w:rsid w:val="008B7297"/>
    <w:rsid w:val="008B7421"/>
    <w:rsid w:val="008B74A4"/>
    <w:rsid w:val="008B74FF"/>
    <w:rsid w:val="008B754E"/>
    <w:rsid w:val="008B76BF"/>
    <w:rsid w:val="008B7739"/>
    <w:rsid w:val="008B780B"/>
    <w:rsid w:val="008B78EC"/>
    <w:rsid w:val="008B7945"/>
    <w:rsid w:val="008B7B5D"/>
    <w:rsid w:val="008B7C70"/>
    <w:rsid w:val="008B7C7C"/>
    <w:rsid w:val="008B7CB7"/>
    <w:rsid w:val="008B7CEC"/>
    <w:rsid w:val="008C0106"/>
    <w:rsid w:val="008C019C"/>
    <w:rsid w:val="008C0580"/>
    <w:rsid w:val="008C098C"/>
    <w:rsid w:val="008C09FB"/>
    <w:rsid w:val="008C0C19"/>
    <w:rsid w:val="008C0DBA"/>
    <w:rsid w:val="008C0F90"/>
    <w:rsid w:val="008C0FF7"/>
    <w:rsid w:val="008C1062"/>
    <w:rsid w:val="008C11F2"/>
    <w:rsid w:val="008C133D"/>
    <w:rsid w:val="008C1369"/>
    <w:rsid w:val="008C1666"/>
    <w:rsid w:val="008C1851"/>
    <w:rsid w:val="008C1857"/>
    <w:rsid w:val="008C189E"/>
    <w:rsid w:val="008C1951"/>
    <w:rsid w:val="008C198E"/>
    <w:rsid w:val="008C1E08"/>
    <w:rsid w:val="008C1E4F"/>
    <w:rsid w:val="008C1EEB"/>
    <w:rsid w:val="008C21AA"/>
    <w:rsid w:val="008C21D1"/>
    <w:rsid w:val="008C223A"/>
    <w:rsid w:val="008C2310"/>
    <w:rsid w:val="008C2454"/>
    <w:rsid w:val="008C24D7"/>
    <w:rsid w:val="008C27B4"/>
    <w:rsid w:val="008C2A3D"/>
    <w:rsid w:val="008C2A44"/>
    <w:rsid w:val="008C2C04"/>
    <w:rsid w:val="008C2C59"/>
    <w:rsid w:val="008C2C93"/>
    <w:rsid w:val="008C2D65"/>
    <w:rsid w:val="008C2D94"/>
    <w:rsid w:val="008C2F0A"/>
    <w:rsid w:val="008C3414"/>
    <w:rsid w:val="008C3563"/>
    <w:rsid w:val="008C3585"/>
    <w:rsid w:val="008C3647"/>
    <w:rsid w:val="008C3847"/>
    <w:rsid w:val="008C3A69"/>
    <w:rsid w:val="008C3E26"/>
    <w:rsid w:val="008C3E50"/>
    <w:rsid w:val="008C3F5B"/>
    <w:rsid w:val="008C3FB2"/>
    <w:rsid w:val="008C42FB"/>
    <w:rsid w:val="008C449E"/>
    <w:rsid w:val="008C45BB"/>
    <w:rsid w:val="008C4603"/>
    <w:rsid w:val="008C4695"/>
    <w:rsid w:val="008C4745"/>
    <w:rsid w:val="008C4ABF"/>
    <w:rsid w:val="008C4BE3"/>
    <w:rsid w:val="008C4C47"/>
    <w:rsid w:val="008C4D29"/>
    <w:rsid w:val="008C4E32"/>
    <w:rsid w:val="008C4E88"/>
    <w:rsid w:val="008C4FFA"/>
    <w:rsid w:val="008C5087"/>
    <w:rsid w:val="008C5121"/>
    <w:rsid w:val="008C52D3"/>
    <w:rsid w:val="008C5317"/>
    <w:rsid w:val="008C54EF"/>
    <w:rsid w:val="008C550A"/>
    <w:rsid w:val="008C553F"/>
    <w:rsid w:val="008C55DC"/>
    <w:rsid w:val="008C577E"/>
    <w:rsid w:val="008C57FB"/>
    <w:rsid w:val="008C587E"/>
    <w:rsid w:val="008C5970"/>
    <w:rsid w:val="008C5DF2"/>
    <w:rsid w:val="008C61CD"/>
    <w:rsid w:val="008C6279"/>
    <w:rsid w:val="008C632C"/>
    <w:rsid w:val="008C6392"/>
    <w:rsid w:val="008C653F"/>
    <w:rsid w:val="008C6684"/>
    <w:rsid w:val="008C66FC"/>
    <w:rsid w:val="008C6878"/>
    <w:rsid w:val="008C6894"/>
    <w:rsid w:val="008C68AE"/>
    <w:rsid w:val="008C6A86"/>
    <w:rsid w:val="008C6BBC"/>
    <w:rsid w:val="008C6C62"/>
    <w:rsid w:val="008C6C76"/>
    <w:rsid w:val="008C6CAD"/>
    <w:rsid w:val="008C6CDB"/>
    <w:rsid w:val="008C6D1A"/>
    <w:rsid w:val="008C6DAD"/>
    <w:rsid w:val="008C6E5A"/>
    <w:rsid w:val="008C6E7F"/>
    <w:rsid w:val="008C70E4"/>
    <w:rsid w:val="008C70F6"/>
    <w:rsid w:val="008C7736"/>
    <w:rsid w:val="008C77A0"/>
    <w:rsid w:val="008C793A"/>
    <w:rsid w:val="008C79C5"/>
    <w:rsid w:val="008C7BD8"/>
    <w:rsid w:val="008C7CD7"/>
    <w:rsid w:val="008C7D36"/>
    <w:rsid w:val="008C7D37"/>
    <w:rsid w:val="008C7E69"/>
    <w:rsid w:val="008C7E8E"/>
    <w:rsid w:val="008C7EC6"/>
    <w:rsid w:val="008C7EEC"/>
    <w:rsid w:val="008C7F1C"/>
    <w:rsid w:val="008C7F57"/>
    <w:rsid w:val="008C7FAC"/>
    <w:rsid w:val="008D01C8"/>
    <w:rsid w:val="008D01F9"/>
    <w:rsid w:val="008D02A2"/>
    <w:rsid w:val="008D02AD"/>
    <w:rsid w:val="008D041C"/>
    <w:rsid w:val="008D049E"/>
    <w:rsid w:val="008D06B4"/>
    <w:rsid w:val="008D07CB"/>
    <w:rsid w:val="008D0A34"/>
    <w:rsid w:val="008D0B38"/>
    <w:rsid w:val="008D0D71"/>
    <w:rsid w:val="008D0D8B"/>
    <w:rsid w:val="008D0DF2"/>
    <w:rsid w:val="008D104C"/>
    <w:rsid w:val="008D1137"/>
    <w:rsid w:val="008D115C"/>
    <w:rsid w:val="008D12A7"/>
    <w:rsid w:val="008D1323"/>
    <w:rsid w:val="008D1340"/>
    <w:rsid w:val="008D140E"/>
    <w:rsid w:val="008D1509"/>
    <w:rsid w:val="008D1566"/>
    <w:rsid w:val="008D15E5"/>
    <w:rsid w:val="008D1600"/>
    <w:rsid w:val="008D171D"/>
    <w:rsid w:val="008D1DCB"/>
    <w:rsid w:val="008D1DED"/>
    <w:rsid w:val="008D20A1"/>
    <w:rsid w:val="008D2326"/>
    <w:rsid w:val="008D2407"/>
    <w:rsid w:val="008D2581"/>
    <w:rsid w:val="008D2773"/>
    <w:rsid w:val="008D2891"/>
    <w:rsid w:val="008D28B1"/>
    <w:rsid w:val="008D297F"/>
    <w:rsid w:val="008D29D0"/>
    <w:rsid w:val="008D29E8"/>
    <w:rsid w:val="008D2A3F"/>
    <w:rsid w:val="008D2AA5"/>
    <w:rsid w:val="008D2AF0"/>
    <w:rsid w:val="008D2B93"/>
    <w:rsid w:val="008D2C3B"/>
    <w:rsid w:val="008D2DBA"/>
    <w:rsid w:val="008D2DBE"/>
    <w:rsid w:val="008D2F48"/>
    <w:rsid w:val="008D3090"/>
    <w:rsid w:val="008D3200"/>
    <w:rsid w:val="008D3611"/>
    <w:rsid w:val="008D37B1"/>
    <w:rsid w:val="008D3864"/>
    <w:rsid w:val="008D39C1"/>
    <w:rsid w:val="008D3A07"/>
    <w:rsid w:val="008D3A12"/>
    <w:rsid w:val="008D3AE1"/>
    <w:rsid w:val="008D3BDB"/>
    <w:rsid w:val="008D3C98"/>
    <w:rsid w:val="008D3EFF"/>
    <w:rsid w:val="008D3F0C"/>
    <w:rsid w:val="008D423F"/>
    <w:rsid w:val="008D4718"/>
    <w:rsid w:val="008D49A3"/>
    <w:rsid w:val="008D4B26"/>
    <w:rsid w:val="008D4C5C"/>
    <w:rsid w:val="008D4C63"/>
    <w:rsid w:val="008D4CF9"/>
    <w:rsid w:val="008D4D42"/>
    <w:rsid w:val="008D4E5F"/>
    <w:rsid w:val="008D4EE4"/>
    <w:rsid w:val="008D50BD"/>
    <w:rsid w:val="008D5102"/>
    <w:rsid w:val="008D5260"/>
    <w:rsid w:val="008D5276"/>
    <w:rsid w:val="008D55A9"/>
    <w:rsid w:val="008D55BB"/>
    <w:rsid w:val="008D5611"/>
    <w:rsid w:val="008D56FD"/>
    <w:rsid w:val="008D5786"/>
    <w:rsid w:val="008D5AAF"/>
    <w:rsid w:val="008D5B6A"/>
    <w:rsid w:val="008D5BB7"/>
    <w:rsid w:val="008D5CD3"/>
    <w:rsid w:val="008D5E2A"/>
    <w:rsid w:val="008D5E5F"/>
    <w:rsid w:val="008D5F4D"/>
    <w:rsid w:val="008D603F"/>
    <w:rsid w:val="008D622E"/>
    <w:rsid w:val="008D64E8"/>
    <w:rsid w:val="008D68C4"/>
    <w:rsid w:val="008D6947"/>
    <w:rsid w:val="008D6AD3"/>
    <w:rsid w:val="008D6E85"/>
    <w:rsid w:val="008D6FE2"/>
    <w:rsid w:val="008D754A"/>
    <w:rsid w:val="008D7698"/>
    <w:rsid w:val="008D7861"/>
    <w:rsid w:val="008D7924"/>
    <w:rsid w:val="008D79E7"/>
    <w:rsid w:val="008D7FE6"/>
    <w:rsid w:val="008E04F8"/>
    <w:rsid w:val="008E0610"/>
    <w:rsid w:val="008E0668"/>
    <w:rsid w:val="008E079E"/>
    <w:rsid w:val="008E07E1"/>
    <w:rsid w:val="008E0844"/>
    <w:rsid w:val="008E08E6"/>
    <w:rsid w:val="008E0A84"/>
    <w:rsid w:val="008E0D81"/>
    <w:rsid w:val="008E0F0D"/>
    <w:rsid w:val="008E0F0E"/>
    <w:rsid w:val="008E0F53"/>
    <w:rsid w:val="008E0F8D"/>
    <w:rsid w:val="008E1016"/>
    <w:rsid w:val="008E10BF"/>
    <w:rsid w:val="008E1264"/>
    <w:rsid w:val="008E1467"/>
    <w:rsid w:val="008E1583"/>
    <w:rsid w:val="008E161D"/>
    <w:rsid w:val="008E1836"/>
    <w:rsid w:val="008E1931"/>
    <w:rsid w:val="008E19C1"/>
    <w:rsid w:val="008E1BDF"/>
    <w:rsid w:val="008E1C24"/>
    <w:rsid w:val="008E2033"/>
    <w:rsid w:val="008E20A4"/>
    <w:rsid w:val="008E2181"/>
    <w:rsid w:val="008E2347"/>
    <w:rsid w:val="008E256C"/>
    <w:rsid w:val="008E263C"/>
    <w:rsid w:val="008E2A02"/>
    <w:rsid w:val="008E2A1F"/>
    <w:rsid w:val="008E2B3B"/>
    <w:rsid w:val="008E2C0E"/>
    <w:rsid w:val="008E2E43"/>
    <w:rsid w:val="008E2E4F"/>
    <w:rsid w:val="008E2EF1"/>
    <w:rsid w:val="008E3280"/>
    <w:rsid w:val="008E36F0"/>
    <w:rsid w:val="008E371A"/>
    <w:rsid w:val="008E374E"/>
    <w:rsid w:val="008E37E8"/>
    <w:rsid w:val="008E393B"/>
    <w:rsid w:val="008E396B"/>
    <w:rsid w:val="008E3A42"/>
    <w:rsid w:val="008E3C66"/>
    <w:rsid w:val="008E3E4B"/>
    <w:rsid w:val="008E4177"/>
    <w:rsid w:val="008E41E8"/>
    <w:rsid w:val="008E4560"/>
    <w:rsid w:val="008E4613"/>
    <w:rsid w:val="008E4619"/>
    <w:rsid w:val="008E487D"/>
    <w:rsid w:val="008E4909"/>
    <w:rsid w:val="008E4BB4"/>
    <w:rsid w:val="008E4BCC"/>
    <w:rsid w:val="008E4C09"/>
    <w:rsid w:val="008E4E8F"/>
    <w:rsid w:val="008E4F16"/>
    <w:rsid w:val="008E4F91"/>
    <w:rsid w:val="008E5045"/>
    <w:rsid w:val="008E5069"/>
    <w:rsid w:val="008E51EE"/>
    <w:rsid w:val="008E52BF"/>
    <w:rsid w:val="008E531A"/>
    <w:rsid w:val="008E536E"/>
    <w:rsid w:val="008E54FF"/>
    <w:rsid w:val="008E5538"/>
    <w:rsid w:val="008E568F"/>
    <w:rsid w:val="008E570A"/>
    <w:rsid w:val="008E5A19"/>
    <w:rsid w:val="008E5D2D"/>
    <w:rsid w:val="008E5DD1"/>
    <w:rsid w:val="008E5DFF"/>
    <w:rsid w:val="008E5E12"/>
    <w:rsid w:val="008E5FDD"/>
    <w:rsid w:val="008E5FDE"/>
    <w:rsid w:val="008E6262"/>
    <w:rsid w:val="008E633B"/>
    <w:rsid w:val="008E64D6"/>
    <w:rsid w:val="008E669F"/>
    <w:rsid w:val="008E695A"/>
    <w:rsid w:val="008E6A88"/>
    <w:rsid w:val="008E6C68"/>
    <w:rsid w:val="008E6E31"/>
    <w:rsid w:val="008E6EE2"/>
    <w:rsid w:val="008E6F7D"/>
    <w:rsid w:val="008E6F94"/>
    <w:rsid w:val="008E6FB4"/>
    <w:rsid w:val="008E7003"/>
    <w:rsid w:val="008E7085"/>
    <w:rsid w:val="008E726C"/>
    <w:rsid w:val="008E7290"/>
    <w:rsid w:val="008E74F6"/>
    <w:rsid w:val="008E7697"/>
    <w:rsid w:val="008E7853"/>
    <w:rsid w:val="008E785D"/>
    <w:rsid w:val="008E78DB"/>
    <w:rsid w:val="008E7929"/>
    <w:rsid w:val="008E7945"/>
    <w:rsid w:val="008E7AC6"/>
    <w:rsid w:val="008E7B87"/>
    <w:rsid w:val="008E7CE5"/>
    <w:rsid w:val="008E7D19"/>
    <w:rsid w:val="008E7F4D"/>
    <w:rsid w:val="008E7FC8"/>
    <w:rsid w:val="008F0010"/>
    <w:rsid w:val="008F0329"/>
    <w:rsid w:val="008F0568"/>
    <w:rsid w:val="008F067B"/>
    <w:rsid w:val="008F0828"/>
    <w:rsid w:val="008F0C90"/>
    <w:rsid w:val="008F0C91"/>
    <w:rsid w:val="008F0D41"/>
    <w:rsid w:val="008F1006"/>
    <w:rsid w:val="008F1044"/>
    <w:rsid w:val="008F10CD"/>
    <w:rsid w:val="008F10D8"/>
    <w:rsid w:val="008F11EF"/>
    <w:rsid w:val="008F127F"/>
    <w:rsid w:val="008F1530"/>
    <w:rsid w:val="008F1641"/>
    <w:rsid w:val="008F186C"/>
    <w:rsid w:val="008F18C8"/>
    <w:rsid w:val="008F190A"/>
    <w:rsid w:val="008F1A44"/>
    <w:rsid w:val="008F1CBB"/>
    <w:rsid w:val="008F1EE4"/>
    <w:rsid w:val="008F1FF6"/>
    <w:rsid w:val="008F23D3"/>
    <w:rsid w:val="008F2410"/>
    <w:rsid w:val="008F2500"/>
    <w:rsid w:val="008F25A0"/>
    <w:rsid w:val="008F277C"/>
    <w:rsid w:val="008F27AB"/>
    <w:rsid w:val="008F2849"/>
    <w:rsid w:val="008F28E4"/>
    <w:rsid w:val="008F2D60"/>
    <w:rsid w:val="008F2D79"/>
    <w:rsid w:val="008F2D8D"/>
    <w:rsid w:val="008F313B"/>
    <w:rsid w:val="008F3184"/>
    <w:rsid w:val="008F331E"/>
    <w:rsid w:val="008F3567"/>
    <w:rsid w:val="008F3660"/>
    <w:rsid w:val="008F37DA"/>
    <w:rsid w:val="008F37EE"/>
    <w:rsid w:val="008F38A3"/>
    <w:rsid w:val="008F39B4"/>
    <w:rsid w:val="008F39D5"/>
    <w:rsid w:val="008F3B22"/>
    <w:rsid w:val="008F3BF2"/>
    <w:rsid w:val="008F3D2F"/>
    <w:rsid w:val="008F3DBC"/>
    <w:rsid w:val="008F3FF8"/>
    <w:rsid w:val="008F40F3"/>
    <w:rsid w:val="008F4441"/>
    <w:rsid w:val="008F447A"/>
    <w:rsid w:val="008F4482"/>
    <w:rsid w:val="008F4621"/>
    <w:rsid w:val="008F4674"/>
    <w:rsid w:val="008F48BB"/>
    <w:rsid w:val="008F4971"/>
    <w:rsid w:val="008F4A44"/>
    <w:rsid w:val="008F4C84"/>
    <w:rsid w:val="008F4CE6"/>
    <w:rsid w:val="008F4D78"/>
    <w:rsid w:val="008F4E67"/>
    <w:rsid w:val="008F4EC1"/>
    <w:rsid w:val="008F528D"/>
    <w:rsid w:val="008F52D3"/>
    <w:rsid w:val="008F5379"/>
    <w:rsid w:val="008F552C"/>
    <w:rsid w:val="008F561C"/>
    <w:rsid w:val="008F572E"/>
    <w:rsid w:val="008F584E"/>
    <w:rsid w:val="008F5866"/>
    <w:rsid w:val="008F5973"/>
    <w:rsid w:val="008F598D"/>
    <w:rsid w:val="008F5B29"/>
    <w:rsid w:val="008F5E65"/>
    <w:rsid w:val="008F5F78"/>
    <w:rsid w:val="008F5FB0"/>
    <w:rsid w:val="008F62A5"/>
    <w:rsid w:val="008F62B2"/>
    <w:rsid w:val="008F6340"/>
    <w:rsid w:val="008F63D2"/>
    <w:rsid w:val="008F64B6"/>
    <w:rsid w:val="008F64D8"/>
    <w:rsid w:val="008F658A"/>
    <w:rsid w:val="008F664A"/>
    <w:rsid w:val="008F6812"/>
    <w:rsid w:val="008F68F8"/>
    <w:rsid w:val="008F6979"/>
    <w:rsid w:val="008F69CE"/>
    <w:rsid w:val="008F6B0C"/>
    <w:rsid w:val="008F6C31"/>
    <w:rsid w:val="008F6E17"/>
    <w:rsid w:val="008F7046"/>
    <w:rsid w:val="008F7072"/>
    <w:rsid w:val="008F7185"/>
    <w:rsid w:val="008F72C3"/>
    <w:rsid w:val="008F740E"/>
    <w:rsid w:val="008F7582"/>
    <w:rsid w:val="008F7960"/>
    <w:rsid w:val="008F7A88"/>
    <w:rsid w:val="008F7CF8"/>
    <w:rsid w:val="008F7D92"/>
    <w:rsid w:val="008F7EC3"/>
    <w:rsid w:val="0090035B"/>
    <w:rsid w:val="009003D3"/>
    <w:rsid w:val="00900484"/>
    <w:rsid w:val="009005E4"/>
    <w:rsid w:val="00900617"/>
    <w:rsid w:val="00900B2A"/>
    <w:rsid w:val="00900C7B"/>
    <w:rsid w:val="00900D31"/>
    <w:rsid w:val="00900DF8"/>
    <w:rsid w:val="0090103A"/>
    <w:rsid w:val="009012CD"/>
    <w:rsid w:val="009016C8"/>
    <w:rsid w:val="00901AEC"/>
    <w:rsid w:val="00901CB5"/>
    <w:rsid w:val="00901CFA"/>
    <w:rsid w:val="00901DC2"/>
    <w:rsid w:val="00902045"/>
    <w:rsid w:val="00902100"/>
    <w:rsid w:val="0090214D"/>
    <w:rsid w:val="009023F4"/>
    <w:rsid w:val="00902446"/>
    <w:rsid w:val="00902617"/>
    <w:rsid w:val="00902ADC"/>
    <w:rsid w:val="00902C55"/>
    <w:rsid w:val="00902CE0"/>
    <w:rsid w:val="0090301D"/>
    <w:rsid w:val="00903118"/>
    <w:rsid w:val="009031CC"/>
    <w:rsid w:val="00903267"/>
    <w:rsid w:val="00903292"/>
    <w:rsid w:val="00903364"/>
    <w:rsid w:val="0090340C"/>
    <w:rsid w:val="00903428"/>
    <w:rsid w:val="00903662"/>
    <w:rsid w:val="009036E4"/>
    <w:rsid w:val="00903734"/>
    <w:rsid w:val="009038D9"/>
    <w:rsid w:val="00903A3C"/>
    <w:rsid w:val="00903D0B"/>
    <w:rsid w:val="00903EF8"/>
    <w:rsid w:val="0090424B"/>
    <w:rsid w:val="00904525"/>
    <w:rsid w:val="009045B9"/>
    <w:rsid w:val="009045D0"/>
    <w:rsid w:val="009045E0"/>
    <w:rsid w:val="00904706"/>
    <w:rsid w:val="0090470C"/>
    <w:rsid w:val="00904A39"/>
    <w:rsid w:val="00904B51"/>
    <w:rsid w:val="00904C79"/>
    <w:rsid w:val="00904D71"/>
    <w:rsid w:val="009052CB"/>
    <w:rsid w:val="009054B1"/>
    <w:rsid w:val="00905581"/>
    <w:rsid w:val="00905688"/>
    <w:rsid w:val="009056EA"/>
    <w:rsid w:val="00905925"/>
    <w:rsid w:val="00905A2E"/>
    <w:rsid w:val="00905A9B"/>
    <w:rsid w:val="00905D91"/>
    <w:rsid w:val="00905F0C"/>
    <w:rsid w:val="00905F13"/>
    <w:rsid w:val="00905F96"/>
    <w:rsid w:val="00905FB9"/>
    <w:rsid w:val="009060DA"/>
    <w:rsid w:val="009062AF"/>
    <w:rsid w:val="009062D1"/>
    <w:rsid w:val="00906309"/>
    <w:rsid w:val="009064CE"/>
    <w:rsid w:val="00906649"/>
    <w:rsid w:val="0090669C"/>
    <w:rsid w:val="009067D4"/>
    <w:rsid w:val="009068B0"/>
    <w:rsid w:val="00906B54"/>
    <w:rsid w:val="00906B7C"/>
    <w:rsid w:val="00906D44"/>
    <w:rsid w:val="00906F89"/>
    <w:rsid w:val="00906F8A"/>
    <w:rsid w:val="009071D4"/>
    <w:rsid w:val="00907226"/>
    <w:rsid w:val="009074D5"/>
    <w:rsid w:val="00907599"/>
    <w:rsid w:val="0090759D"/>
    <w:rsid w:val="009076D5"/>
    <w:rsid w:val="009078EA"/>
    <w:rsid w:val="009079A5"/>
    <w:rsid w:val="009079BA"/>
    <w:rsid w:val="00907AEB"/>
    <w:rsid w:val="00907BBD"/>
    <w:rsid w:val="00907C51"/>
    <w:rsid w:val="00907E8C"/>
    <w:rsid w:val="00907F30"/>
    <w:rsid w:val="009101CF"/>
    <w:rsid w:val="00910293"/>
    <w:rsid w:val="00910335"/>
    <w:rsid w:val="009107A6"/>
    <w:rsid w:val="00910BF8"/>
    <w:rsid w:val="00910DCE"/>
    <w:rsid w:val="00911034"/>
    <w:rsid w:val="009112EF"/>
    <w:rsid w:val="009118EF"/>
    <w:rsid w:val="00911A61"/>
    <w:rsid w:val="00911A89"/>
    <w:rsid w:val="00911BB5"/>
    <w:rsid w:val="00911BCB"/>
    <w:rsid w:val="00911CA2"/>
    <w:rsid w:val="00911D60"/>
    <w:rsid w:val="00911FBD"/>
    <w:rsid w:val="0091215D"/>
    <w:rsid w:val="0091225F"/>
    <w:rsid w:val="00912298"/>
    <w:rsid w:val="009122AB"/>
    <w:rsid w:val="00912341"/>
    <w:rsid w:val="00912552"/>
    <w:rsid w:val="009126ED"/>
    <w:rsid w:val="00912797"/>
    <w:rsid w:val="009127F0"/>
    <w:rsid w:val="00912989"/>
    <w:rsid w:val="00912A3F"/>
    <w:rsid w:val="00912A54"/>
    <w:rsid w:val="00912B37"/>
    <w:rsid w:val="00912B3B"/>
    <w:rsid w:val="00912CF2"/>
    <w:rsid w:val="00912E36"/>
    <w:rsid w:val="00912E6E"/>
    <w:rsid w:val="009131D1"/>
    <w:rsid w:val="00913379"/>
    <w:rsid w:val="00913688"/>
    <w:rsid w:val="00913901"/>
    <w:rsid w:val="00913A6C"/>
    <w:rsid w:val="00913A8F"/>
    <w:rsid w:val="00913C63"/>
    <w:rsid w:val="00913E2D"/>
    <w:rsid w:val="00913F39"/>
    <w:rsid w:val="00913F9F"/>
    <w:rsid w:val="00913FB2"/>
    <w:rsid w:val="0091404C"/>
    <w:rsid w:val="0091410E"/>
    <w:rsid w:val="00914371"/>
    <w:rsid w:val="0091467B"/>
    <w:rsid w:val="00914848"/>
    <w:rsid w:val="00914872"/>
    <w:rsid w:val="009149A1"/>
    <w:rsid w:val="00914BF5"/>
    <w:rsid w:val="00914C7C"/>
    <w:rsid w:val="00914DEB"/>
    <w:rsid w:val="00914E1D"/>
    <w:rsid w:val="0091506B"/>
    <w:rsid w:val="0091507C"/>
    <w:rsid w:val="009150C2"/>
    <w:rsid w:val="00915166"/>
    <w:rsid w:val="009153FB"/>
    <w:rsid w:val="009155A4"/>
    <w:rsid w:val="00915636"/>
    <w:rsid w:val="0091563F"/>
    <w:rsid w:val="009156D8"/>
    <w:rsid w:val="0091572B"/>
    <w:rsid w:val="0091595F"/>
    <w:rsid w:val="009159E0"/>
    <w:rsid w:val="00915AC1"/>
    <w:rsid w:val="00915B45"/>
    <w:rsid w:val="00915B80"/>
    <w:rsid w:val="00916044"/>
    <w:rsid w:val="009160AD"/>
    <w:rsid w:val="009160C1"/>
    <w:rsid w:val="00916250"/>
    <w:rsid w:val="00916472"/>
    <w:rsid w:val="00916555"/>
    <w:rsid w:val="009168AD"/>
    <w:rsid w:val="00916BFA"/>
    <w:rsid w:val="00916C48"/>
    <w:rsid w:val="00916C99"/>
    <w:rsid w:val="00916F19"/>
    <w:rsid w:val="00916F84"/>
    <w:rsid w:val="00917006"/>
    <w:rsid w:val="00917089"/>
    <w:rsid w:val="00917093"/>
    <w:rsid w:val="0091716A"/>
    <w:rsid w:val="00917209"/>
    <w:rsid w:val="0091722D"/>
    <w:rsid w:val="009172F4"/>
    <w:rsid w:val="00917440"/>
    <w:rsid w:val="0091748B"/>
    <w:rsid w:val="009174F5"/>
    <w:rsid w:val="009178A1"/>
    <w:rsid w:val="009178F2"/>
    <w:rsid w:val="009179F0"/>
    <w:rsid w:val="00917AB9"/>
    <w:rsid w:val="00917BE0"/>
    <w:rsid w:val="00917E82"/>
    <w:rsid w:val="00917E98"/>
    <w:rsid w:val="00920265"/>
    <w:rsid w:val="009204FE"/>
    <w:rsid w:val="0092072A"/>
    <w:rsid w:val="0092073A"/>
    <w:rsid w:val="009207B4"/>
    <w:rsid w:val="009208C6"/>
    <w:rsid w:val="00920951"/>
    <w:rsid w:val="009209F9"/>
    <w:rsid w:val="00920A09"/>
    <w:rsid w:val="00920B48"/>
    <w:rsid w:val="00920BF3"/>
    <w:rsid w:val="00920D6B"/>
    <w:rsid w:val="00920D84"/>
    <w:rsid w:val="00920F0C"/>
    <w:rsid w:val="00920F18"/>
    <w:rsid w:val="00920FB1"/>
    <w:rsid w:val="009210CC"/>
    <w:rsid w:val="00921283"/>
    <w:rsid w:val="00921540"/>
    <w:rsid w:val="009216CE"/>
    <w:rsid w:val="0092171D"/>
    <w:rsid w:val="00921987"/>
    <w:rsid w:val="00921A35"/>
    <w:rsid w:val="00921B49"/>
    <w:rsid w:val="00921BF0"/>
    <w:rsid w:val="00921CBE"/>
    <w:rsid w:val="00921D3C"/>
    <w:rsid w:val="00921E69"/>
    <w:rsid w:val="00922155"/>
    <w:rsid w:val="009221BB"/>
    <w:rsid w:val="00922239"/>
    <w:rsid w:val="009222CA"/>
    <w:rsid w:val="00922308"/>
    <w:rsid w:val="009224BF"/>
    <w:rsid w:val="00922595"/>
    <w:rsid w:val="00922607"/>
    <w:rsid w:val="0092261A"/>
    <w:rsid w:val="00922627"/>
    <w:rsid w:val="009226BF"/>
    <w:rsid w:val="009229DE"/>
    <w:rsid w:val="00922A2A"/>
    <w:rsid w:val="00922AEE"/>
    <w:rsid w:val="00922D3C"/>
    <w:rsid w:val="00922ED0"/>
    <w:rsid w:val="00923012"/>
    <w:rsid w:val="00923060"/>
    <w:rsid w:val="00923277"/>
    <w:rsid w:val="009232A0"/>
    <w:rsid w:val="009232B5"/>
    <w:rsid w:val="009232E0"/>
    <w:rsid w:val="009233E4"/>
    <w:rsid w:val="00923481"/>
    <w:rsid w:val="00923575"/>
    <w:rsid w:val="009235A6"/>
    <w:rsid w:val="009235CD"/>
    <w:rsid w:val="00923930"/>
    <w:rsid w:val="00923B02"/>
    <w:rsid w:val="00923B06"/>
    <w:rsid w:val="00923F57"/>
    <w:rsid w:val="00923F6B"/>
    <w:rsid w:val="00923FE4"/>
    <w:rsid w:val="00924007"/>
    <w:rsid w:val="009241DD"/>
    <w:rsid w:val="0092433E"/>
    <w:rsid w:val="009243BD"/>
    <w:rsid w:val="00924759"/>
    <w:rsid w:val="0092483C"/>
    <w:rsid w:val="00924870"/>
    <w:rsid w:val="009248BB"/>
    <w:rsid w:val="00924B15"/>
    <w:rsid w:val="00924E42"/>
    <w:rsid w:val="00924FAF"/>
    <w:rsid w:val="00925110"/>
    <w:rsid w:val="00925121"/>
    <w:rsid w:val="009253B3"/>
    <w:rsid w:val="00925440"/>
    <w:rsid w:val="009254F0"/>
    <w:rsid w:val="009256B8"/>
    <w:rsid w:val="0092574D"/>
    <w:rsid w:val="00925813"/>
    <w:rsid w:val="0092586E"/>
    <w:rsid w:val="00925A50"/>
    <w:rsid w:val="00925CC1"/>
    <w:rsid w:val="00925D70"/>
    <w:rsid w:val="00925E2E"/>
    <w:rsid w:val="00926118"/>
    <w:rsid w:val="009261DE"/>
    <w:rsid w:val="00926727"/>
    <w:rsid w:val="00926739"/>
    <w:rsid w:val="009267DB"/>
    <w:rsid w:val="009268D3"/>
    <w:rsid w:val="0092696F"/>
    <w:rsid w:val="0092698D"/>
    <w:rsid w:val="00926A1F"/>
    <w:rsid w:val="00926AE1"/>
    <w:rsid w:val="00926C26"/>
    <w:rsid w:val="00926CFD"/>
    <w:rsid w:val="00926DAC"/>
    <w:rsid w:val="00927392"/>
    <w:rsid w:val="00927435"/>
    <w:rsid w:val="0092744A"/>
    <w:rsid w:val="009275BE"/>
    <w:rsid w:val="00927600"/>
    <w:rsid w:val="009276A9"/>
    <w:rsid w:val="009278B3"/>
    <w:rsid w:val="00927952"/>
    <w:rsid w:val="00927D7A"/>
    <w:rsid w:val="00927D85"/>
    <w:rsid w:val="00927E39"/>
    <w:rsid w:val="00927EBE"/>
    <w:rsid w:val="00930105"/>
    <w:rsid w:val="0093012A"/>
    <w:rsid w:val="0093033E"/>
    <w:rsid w:val="0093094E"/>
    <w:rsid w:val="00930B72"/>
    <w:rsid w:val="00930C49"/>
    <w:rsid w:val="00930C4D"/>
    <w:rsid w:val="00930D64"/>
    <w:rsid w:val="00930D99"/>
    <w:rsid w:val="00930DFA"/>
    <w:rsid w:val="00930ECE"/>
    <w:rsid w:val="00930FEB"/>
    <w:rsid w:val="009313CB"/>
    <w:rsid w:val="009314A1"/>
    <w:rsid w:val="00931549"/>
    <w:rsid w:val="00931848"/>
    <w:rsid w:val="009318E5"/>
    <w:rsid w:val="00931962"/>
    <w:rsid w:val="009319CC"/>
    <w:rsid w:val="00931C7F"/>
    <w:rsid w:val="00931C89"/>
    <w:rsid w:val="00931CF6"/>
    <w:rsid w:val="00931DD0"/>
    <w:rsid w:val="00931FD7"/>
    <w:rsid w:val="00932356"/>
    <w:rsid w:val="0093236D"/>
    <w:rsid w:val="0093243F"/>
    <w:rsid w:val="009324A7"/>
    <w:rsid w:val="009325C6"/>
    <w:rsid w:val="0093261B"/>
    <w:rsid w:val="009326A6"/>
    <w:rsid w:val="009326DF"/>
    <w:rsid w:val="0093282A"/>
    <w:rsid w:val="00932ABD"/>
    <w:rsid w:val="00932BF1"/>
    <w:rsid w:val="009332C0"/>
    <w:rsid w:val="00933352"/>
    <w:rsid w:val="009333E2"/>
    <w:rsid w:val="00933553"/>
    <w:rsid w:val="009336DC"/>
    <w:rsid w:val="00933720"/>
    <w:rsid w:val="009338A2"/>
    <w:rsid w:val="0093391E"/>
    <w:rsid w:val="00933BBC"/>
    <w:rsid w:val="00933E32"/>
    <w:rsid w:val="00933F77"/>
    <w:rsid w:val="009342A4"/>
    <w:rsid w:val="009342D2"/>
    <w:rsid w:val="00934409"/>
    <w:rsid w:val="0093444F"/>
    <w:rsid w:val="0093449E"/>
    <w:rsid w:val="00934752"/>
    <w:rsid w:val="00934A38"/>
    <w:rsid w:val="00934A39"/>
    <w:rsid w:val="00934A69"/>
    <w:rsid w:val="00934AAC"/>
    <w:rsid w:val="00934DAB"/>
    <w:rsid w:val="009350A8"/>
    <w:rsid w:val="00935102"/>
    <w:rsid w:val="00935645"/>
    <w:rsid w:val="0093570C"/>
    <w:rsid w:val="0093576D"/>
    <w:rsid w:val="00935906"/>
    <w:rsid w:val="00935B93"/>
    <w:rsid w:val="00935CB5"/>
    <w:rsid w:val="00935CB6"/>
    <w:rsid w:val="00935D1C"/>
    <w:rsid w:val="00935D2C"/>
    <w:rsid w:val="00935E90"/>
    <w:rsid w:val="00935FC9"/>
    <w:rsid w:val="009360BC"/>
    <w:rsid w:val="00936164"/>
    <w:rsid w:val="009363EC"/>
    <w:rsid w:val="009364ED"/>
    <w:rsid w:val="00936746"/>
    <w:rsid w:val="009367B3"/>
    <w:rsid w:val="00936967"/>
    <w:rsid w:val="009369D3"/>
    <w:rsid w:val="009369F0"/>
    <w:rsid w:val="00936B1F"/>
    <w:rsid w:val="00936FAF"/>
    <w:rsid w:val="0093710C"/>
    <w:rsid w:val="009373C3"/>
    <w:rsid w:val="00937485"/>
    <w:rsid w:val="009374EF"/>
    <w:rsid w:val="00937664"/>
    <w:rsid w:val="0093776F"/>
    <w:rsid w:val="009379CD"/>
    <w:rsid w:val="00937A58"/>
    <w:rsid w:val="00937A79"/>
    <w:rsid w:val="00937C08"/>
    <w:rsid w:val="00937DB8"/>
    <w:rsid w:val="0094025C"/>
    <w:rsid w:val="00940315"/>
    <w:rsid w:val="009405CB"/>
    <w:rsid w:val="00940811"/>
    <w:rsid w:val="009409E5"/>
    <w:rsid w:val="00940A6A"/>
    <w:rsid w:val="00940C53"/>
    <w:rsid w:val="00940C72"/>
    <w:rsid w:val="00940D3D"/>
    <w:rsid w:val="00940DD8"/>
    <w:rsid w:val="00941030"/>
    <w:rsid w:val="00941069"/>
    <w:rsid w:val="00941785"/>
    <w:rsid w:val="00941A73"/>
    <w:rsid w:val="00941C34"/>
    <w:rsid w:val="00941C58"/>
    <w:rsid w:val="00941C78"/>
    <w:rsid w:val="00941E18"/>
    <w:rsid w:val="00941F0F"/>
    <w:rsid w:val="00942021"/>
    <w:rsid w:val="0094202B"/>
    <w:rsid w:val="0094213D"/>
    <w:rsid w:val="009422BD"/>
    <w:rsid w:val="00942353"/>
    <w:rsid w:val="00942417"/>
    <w:rsid w:val="00942650"/>
    <w:rsid w:val="009427E0"/>
    <w:rsid w:val="009427E8"/>
    <w:rsid w:val="00942843"/>
    <w:rsid w:val="009428A6"/>
    <w:rsid w:val="00942BBA"/>
    <w:rsid w:val="00942C2B"/>
    <w:rsid w:val="00942DC6"/>
    <w:rsid w:val="00942DD1"/>
    <w:rsid w:val="00942E0C"/>
    <w:rsid w:val="00942FFE"/>
    <w:rsid w:val="00943161"/>
    <w:rsid w:val="0094317E"/>
    <w:rsid w:val="0094371B"/>
    <w:rsid w:val="0094381B"/>
    <w:rsid w:val="00943AB5"/>
    <w:rsid w:val="00943AFA"/>
    <w:rsid w:val="00943B72"/>
    <w:rsid w:val="00943DEE"/>
    <w:rsid w:val="00943EAE"/>
    <w:rsid w:val="00943F84"/>
    <w:rsid w:val="00943FB7"/>
    <w:rsid w:val="009441A8"/>
    <w:rsid w:val="0094439F"/>
    <w:rsid w:val="009443DB"/>
    <w:rsid w:val="009444F1"/>
    <w:rsid w:val="00944576"/>
    <w:rsid w:val="00944725"/>
    <w:rsid w:val="00944734"/>
    <w:rsid w:val="0094486F"/>
    <w:rsid w:val="009448C3"/>
    <w:rsid w:val="009449BE"/>
    <w:rsid w:val="009449E6"/>
    <w:rsid w:val="00944BE9"/>
    <w:rsid w:val="00944E33"/>
    <w:rsid w:val="00945176"/>
    <w:rsid w:val="009455DA"/>
    <w:rsid w:val="009456A2"/>
    <w:rsid w:val="009456BA"/>
    <w:rsid w:val="009456CC"/>
    <w:rsid w:val="00945A23"/>
    <w:rsid w:val="00945CF5"/>
    <w:rsid w:val="00945CFA"/>
    <w:rsid w:val="00945E51"/>
    <w:rsid w:val="0094603E"/>
    <w:rsid w:val="009462C3"/>
    <w:rsid w:val="009465BB"/>
    <w:rsid w:val="0094672D"/>
    <w:rsid w:val="009467F9"/>
    <w:rsid w:val="00946858"/>
    <w:rsid w:val="00946AE2"/>
    <w:rsid w:val="00946BA3"/>
    <w:rsid w:val="00946BCF"/>
    <w:rsid w:val="00946D5F"/>
    <w:rsid w:val="00946D9A"/>
    <w:rsid w:val="00946DCE"/>
    <w:rsid w:val="00946E00"/>
    <w:rsid w:val="0094705C"/>
    <w:rsid w:val="00947093"/>
    <w:rsid w:val="0094734A"/>
    <w:rsid w:val="0094744E"/>
    <w:rsid w:val="0094756A"/>
    <w:rsid w:val="00947B3D"/>
    <w:rsid w:val="00947D16"/>
    <w:rsid w:val="00947EE2"/>
    <w:rsid w:val="00947F45"/>
    <w:rsid w:val="009500DA"/>
    <w:rsid w:val="009502F9"/>
    <w:rsid w:val="009503CF"/>
    <w:rsid w:val="00950637"/>
    <w:rsid w:val="009506F5"/>
    <w:rsid w:val="0095072A"/>
    <w:rsid w:val="0095075D"/>
    <w:rsid w:val="0095077E"/>
    <w:rsid w:val="009507D1"/>
    <w:rsid w:val="00950A32"/>
    <w:rsid w:val="00950B65"/>
    <w:rsid w:val="00950DB9"/>
    <w:rsid w:val="00950E92"/>
    <w:rsid w:val="00951080"/>
    <w:rsid w:val="009510DE"/>
    <w:rsid w:val="0095130F"/>
    <w:rsid w:val="009515FC"/>
    <w:rsid w:val="00951716"/>
    <w:rsid w:val="00951769"/>
    <w:rsid w:val="009517E2"/>
    <w:rsid w:val="00951890"/>
    <w:rsid w:val="00951BAB"/>
    <w:rsid w:val="00951EF5"/>
    <w:rsid w:val="0095200C"/>
    <w:rsid w:val="00952078"/>
    <w:rsid w:val="00952115"/>
    <w:rsid w:val="009523EC"/>
    <w:rsid w:val="00952555"/>
    <w:rsid w:val="009525BA"/>
    <w:rsid w:val="0095263E"/>
    <w:rsid w:val="009527E0"/>
    <w:rsid w:val="00952909"/>
    <w:rsid w:val="00952A00"/>
    <w:rsid w:val="00952A43"/>
    <w:rsid w:val="00952B01"/>
    <w:rsid w:val="00952BEC"/>
    <w:rsid w:val="00952C1A"/>
    <w:rsid w:val="00952F75"/>
    <w:rsid w:val="009532C2"/>
    <w:rsid w:val="009532EA"/>
    <w:rsid w:val="009532EF"/>
    <w:rsid w:val="009536AF"/>
    <w:rsid w:val="00953876"/>
    <w:rsid w:val="00953B0C"/>
    <w:rsid w:val="00953B7A"/>
    <w:rsid w:val="00953C7F"/>
    <w:rsid w:val="00953C96"/>
    <w:rsid w:val="00953D53"/>
    <w:rsid w:val="00953D9B"/>
    <w:rsid w:val="00953DFA"/>
    <w:rsid w:val="00953ECB"/>
    <w:rsid w:val="00953F71"/>
    <w:rsid w:val="00954175"/>
    <w:rsid w:val="00954409"/>
    <w:rsid w:val="009545D9"/>
    <w:rsid w:val="009546BA"/>
    <w:rsid w:val="009546DC"/>
    <w:rsid w:val="0095479B"/>
    <w:rsid w:val="009547AB"/>
    <w:rsid w:val="009548A3"/>
    <w:rsid w:val="00954A5B"/>
    <w:rsid w:val="00954AAF"/>
    <w:rsid w:val="00954BCC"/>
    <w:rsid w:val="00954C40"/>
    <w:rsid w:val="00954DF5"/>
    <w:rsid w:val="00954F84"/>
    <w:rsid w:val="0095508C"/>
    <w:rsid w:val="009550E2"/>
    <w:rsid w:val="00955132"/>
    <w:rsid w:val="00955221"/>
    <w:rsid w:val="00955670"/>
    <w:rsid w:val="0095575D"/>
    <w:rsid w:val="00955790"/>
    <w:rsid w:val="0095592C"/>
    <w:rsid w:val="00955B8D"/>
    <w:rsid w:val="00955C19"/>
    <w:rsid w:val="00955DC1"/>
    <w:rsid w:val="00955DE3"/>
    <w:rsid w:val="00955F26"/>
    <w:rsid w:val="00955F74"/>
    <w:rsid w:val="00955F98"/>
    <w:rsid w:val="00956029"/>
    <w:rsid w:val="00956088"/>
    <w:rsid w:val="009561E6"/>
    <w:rsid w:val="0095625D"/>
    <w:rsid w:val="0095632B"/>
    <w:rsid w:val="009563BA"/>
    <w:rsid w:val="00956437"/>
    <w:rsid w:val="0095682C"/>
    <w:rsid w:val="00956A39"/>
    <w:rsid w:val="00956A59"/>
    <w:rsid w:val="00956AF0"/>
    <w:rsid w:val="00956CCA"/>
    <w:rsid w:val="00956DB4"/>
    <w:rsid w:val="00956DD3"/>
    <w:rsid w:val="00957101"/>
    <w:rsid w:val="009571C4"/>
    <w:rsid w:val="009573C5"/>
    <w:rsid w:val="009574B1"/>
    <w:rsid w:val="009574E3"/>
    <w:rsid w:val="00957762"/>
    <w:rsid w:val="00957ABC"/>
    <w:rsid w:val="00957F71"/>
    <w:rsid w:val="00957FA5"/>
    <w:rsid w:val="00957FC7"/>
    <w:rsid w:val="00960191"/>
    <w:rsid w:val="00960386"/>
    <w:rsid w:val="0096071D"/>
    <w:rsid w:val="0096081F"/>
    <w:rsid w:val="00960862"/>
    <w:rsid w:val="00960C20"/>
    <w:rsid w:val="00960CDE"/>
    <w:rsid w:val="00960D8C"/>
    <w:rsid w:val="00960E8E"/>
    <w:rsid w:val="00960EBF"/>
    <w:rsid w:val="00960F26"/>
    <w:rsid w:val="00960F95"/>
    <w:rsid w:val="00960FE1"/>
    <w:rsid w:val="00961078"/>
    <w:rsid w:val="009612A9"/>
    <w:rsid w:val="0096139B"/>
    <w:rsid w:val="00961436"/>
    <w:rsid w:val="009614AA"/>
    <w:rsid w:val="00961555"/>
    <w:rsid w:val="009615FF"/>
    <w:rsid w:val="009617EA"/>
    <w:rsid w:val="00961909"/>
    <w:rsid w:val="00961C1C"/>
    <w:rsid w:val="00961D39"/>
    <w:rsid w:val="00961DC5"/>
    <w:rsid w:val="00961E70"/>
    <w:rsid w:val="00961F26"/>
    <w:rsid w:val="009621C6"/>
    <w:rsid w:val="0096239F"/>
    <w:rsid w:val="009624AE"/>
    <w:rsid w:val="009624F9"/>
    <w:rsid w:val="00962958"/>
    <w:rsid w:val="009629C8"/>
    <w:rsid w:val="009629D3"/>
    <w:rsid w:val="009629E9"/>
    <w:rsid w:val="00962B77"/>
    <w:rsid w:val="0096300B"/>
    <w:rsid w:val="00963148"/>
    <w:rsid w:val="00963157"/>
    <w:rsid w:val="009633D4"/>
    <w:rsid w:val="009634E0"/>
    <w:rsid w:val="0096357A"/>
    <w:rsid w:val="00963655"/>
    <w:rsid w:val="00963703"/>
    <w:rsid w:val="0096373A"/>
    <w:rsid w:val="0096378F"/>
    <w:rsid w:val="00963952"/>
    <w:rsid w:val="00963F0A"/>
    <w:rsid w:val="00964055"/>
    <w:rsid w:val="0096436F"/>
    <w:rsid w:val="00964395"/>
    <w:rsid w:val="009643E5"/>
    <w:rsid w:val="00964742"/>
    <w:rsid w:val="009648CB"/>
    <w:rsid w:val="00964913"/>
    <w:rsid w:val="00964934"/>
    <w:rsid w:val="00964A15"/>
    <w:rsid w:val="00964B08"/>
    <w:rsid w:val="00964C90"/>
    <w:rsid w:val="00964D05"/>
    <w:rsid w:val="00964F80"/>
    <w:rsid w:val="009653A6"/>
    <w:rsid w:val="00965428"/>
    <w:rsid w:val="009654FA"/>
    <w:rsid w:val="00965575"/>
    <w:rsid w:val="00965753"/>
    <w:rsid w:val="00965757"/>
    <w:rsid w:val="00965849"/>
    <w:rsid w:val="00965B89"/>
    <w:rsid w:val="00965C41"/>
    <w:rsid w:val="00965C73"/>
    <w:rsid w:val="00965D96"/>
    <w:rsid w:val="00965DD8"/>
    <w:rsid w:val="009660B6"/>
    <w:rsid w:val="0096613A"/>
    <w:rsid w:val="00966148"/>
    <w:rsid w:val="00966254"/>
    <w:rsid w:val="0096665C"/>
    <w:rsid w:val="00966AA2"/>
    <w:rsid w:val="00966E8A"/>
    <w:rsid w:val="00966E9E"/>
    <w:rsid w:val="00966F06"/>
    <w:rsid w:val="00967235"/>
    <w:rsid w:val="00967295"/>
    <w:rsid w:val="009672D2"/>
    <w:rsid w:val="00967367"/>
    <w:rsid w:val="009674A3"/>
    <w:rsid w:val="00967559"/>
    <w:rsid w:val="009676FD"/>
    <w:rsid w:val="00967AC3"/>
    <w:rsid w:val="00967AD5"/>
    <w:rsid w:val="00967B75"/>
    <w:rsid w:val="00967E07"/>
    <w:rsid w:val="0097023D"/>
    <w:rsid w:val="0097027E"/>
    <w:rsid w:val="009703AC"/>
    <w:rsid w:val="00970436"/>
    <w:rsid w:val="00970568"/>
    <w:rsid w:val="009706F4"/>
    <w:rsid w:val="009707FD"/>
    <w:rsid w:val="0097097E"/>
    <w:rsid w:val="00970A74"/>
    <w:rsid w:val="00970B1C"/>
    <w:rsid w:val="00970C4B"/>
    <w:rsid w:val="00970DA8"/>
    <w:rsid w:val="00970F61"/>
    <w:rsid w:val="0097101A"/>
    <w:rsid w:val="0097133D"/>
    <w:rsid w:val="0097140D"/>
    <w:rsid w:val="009714EE"/>
    <w:rsid w:val="009715EA"/>
    <w:rsid w:val="0097181F"/>
    <w:rsid w:val="009718F3"/>
    <w:rsid w:val="00971A41"/>
    <w:rsid w:val="00971B63"/>
    <w:rsid w:val="00971B92"/>
    <w:rsid w:val="00971CE8"/>
    <w:rsid w:val="00971CF7"/>
    <w:rsid w:val="00971D9C"/>
    <w:rsid w:val="00971EE4"/>
    <w:rsid w:val="00971F56"/>
    <w:rsid w:val="00972000"/>
    <w:rsid w:val="00972056"/>
    <w:rsid w:val="009720B8"/>
    <w:rsid w:val="0097227C"/>
    <w:rsid w:val="009722BD"/>
    <w:rsid w:val="009726E2"/>
    <w:rsid w:val="00972725"/>
    <w:rsid w:val="0097296E"/>
    <w:rsid w:val="00972AD9"/>
    <w:rsid w:val="00972B04"/>
    <w:rsid w:val="00972B21"/>
    <w:rsid w:val="00972DC4"/>
    <w:rsid w:val="00972DD3"/>
    <w:rsid w:val="00972EA0"/>
    <w:rsid w:val="00972FEC"/>
    <w:rsid w:val="009730AA"/>
    <w:rsid w:val="00973159"/>
    <w:rsid w:val="0097341C"/>
    <w:rsid w:val="009734DF"/>
    <w:rsid w:val="009736B1"/>
    <w:rsid w:val="009737E1"/>
    <w:rsid w:val="0097382E"/>
    <w:rsid w:val="0097386E"/>
    <w:rsid w:val="009738F2"/>
    <w:rsid w:val="0097394D"/>
    <w:rsid w:val="00973EB3"/>
    <w:rsid w:val="00973F5D"/>
    <w:rsid w:val="00974003"/>
    <w:rsid w:val="00974142"/>
    <w:rsid w:val="00974186"/>
    <w:rsid w:val="009741DC"/>
    <w:rsid w:val="00974526"/>
    <w:rsid w:val="0097462B"/>
    <w:rsid w:val="00974650"/>
    <w:rsid w:val="0097478F"/>
    <w:rsid w:val="009748D9"/>
    <w:rsid w:val="00974951"/>
    <w:rsid w:val="00974A34"/>
    <w:rsid w:val="00974ADB"/>
    <w:rsid w:val="00974C72"/>
    <w:rsid w:val="00974D04"/>
    <w:rsid w:val="00974D23"/>
    <w:rsid w:val="00974E25"/>
    <w:rsid w:val="00974EAB"/>
    <w:rsid w:val="00974F93"/>
    <w:rsid w:val="0097503F"/>
    <w:rsid w:val="009751CD"/>
    <w:rsid w:val="00975327"/>
    <w:rsid w:val="009754EF"/>
    <w:rsid w:val="009755E2"/>
    <w:rsid w:val="009755F1"/>
    <w:rsid w:val="00975657"/>
    <w:rsid w:val="00975731"/>
    <w:rsid w:val="00975919"/>
    <w:rsid w:val="0097592D"/>
    <w:rsid w:val="00975A9A"/>
    <w:rsid w:val="009761CC"/>
    <w:rsid w:val="00976210"/>
    <w:rsid w:val="009762A1"/>
    <w:rsid w:val="00976472"/>
    <w:rsid w:val="009764B2"/>
    <w:rsid w:val="00976534"/>
    <w:rsid w:val="00976636"/>
    <w:rsid w:val="00976816"/>
    <w:rsid w:val="009768B1"/>
    <w:rsid w:val="00976C91"/>
    <w:rsid w:val="00976C99"/>
    <w:rsid w:val="00976FCB"/>
    <w:rsid w:val="0097712D"/>
    <w:rsid w:val="00977177"/>
    <w:rsid w:val="009771AD"/>
    <w:rsid w:val="009771F7"/>
    <w:rsid w:val="009772E0"/>
    <w:rsid w:val="009772EE"/>
    <w:rsid w:val="009773FD"/>
    <w:rsid w:val="009773FE"/>
    <w:rsid w:val="0097748D"/>
    <w:rsid w:val="0097765A"/>
    <w:rsid w:val="00977772"/>
    <w:rsid w:val="00977A0D"/>
    <w:rsid w:val="00977ABD"/>
    <w:rsid w:val="00977E4C"/>
    <w:rsid w:val="00977FAD"/>
    <w:rsid w:val="00977FB2"/>
    <w:rsid w:val="00980348"/>
    <w:rsid w:val="009803D5"/>
    <w:rsid w:val="0098049E"/>
    <w:rsid w:val="00980531"/>
    <w:rsid w:val="00980568"/>
    <w:rsid w:val="009805C6"/>
    <w:rsid w:val="009809EF"/>
    <w:rsid w:val="00980A06"/>
    <w:rsid w:val="00980AFF"/>
    <w:rsid w:val="00980C0F"/>
    <w:rsid w:val="00980D36"/>
    <w:rsid w:val="00980DE3"/>
    <w:rsid w:val="00980E01"/>
    <w:rsid w:val="00980FFD"/>
    <w:rsid w:val="00981187"/>
    <w:rsid w:val="009811DA"/>
    <w:rsid w:val="00981208"/>
    <w:rsid w:val="0098127B"/>
    <w:rsid w:val="00981438"/>
    <w:rsid w:val="00981550"/>
    <w:rsid w:val="009816B6"/>
    <w:rsid w:val="00981878"/>
    <w:rsid w:val="0098189E"/>
    <w:rsid w:val="0098198A"/>
    <w:rsid w:val="00981998"/>
    <w:rsid w:val="009819C9"/>
    <w:rsid w:val="00981C51"/>
    <w:rsid w:val="00981DD4"/>
    <w:rsid w:val="00982077"/>
    <w:rsid w:val="009823A4"/>
    <w:rsid w:val="009825A0"/>
    <w:rsid w:val="00982613"/>
    <w:rsid w:val="009826D6"/>
    <w:rsid w:val="009827D4"/>
    <w:rsid w:val="009827EE"/>
    <w:rsid w:val="00982864"/>
    <w:rsid w:val="009829BA"/>
    <w:rsid w:val="00982B3F"/>
    <w:rsid w:val="00982BD0"/>
    <w:rsid w:val="00982D41"/>
    <w:rsid w:val="00982D9F"/>
    <w:rsid w:val="00982F0B"/>
    <w:rsid w:val="00982FEB"/>
    <w:rsid w:val="00983134"/>
    <w:rsid w:val="0098317E"/>
    <w:rsid w:val="0098321B"/>
    <w:rsid w:val="00983603"/>
    <w:rsid w:val="00983951"/>
    <w:rsid w:val="00983B89"/>
    <w:rsid w:val="00983CE9"/>
    <w:rsid w:val="00983DD9"/>
    <w:rsid w:val="00983DF4"/>
    <w:rsid w:val="00983F6A"/>
    <w:rsid w:val="00984055"/>
    <w:rsid w:val="0098416A"/>
    <w:rsid w:val="009845BF"/>
    <w:rsid w:val="0098465C"/>
    <w:rsid w:val="00984696"/>
    <w:rsid w:val="009847B8"/>
    <w:rsid w:val="009847C5"/>
    <w:rsid w:val="00984B4D"/>
    <w:rsid w:val="00984C14"/>
    <w:rsid w:val="00984C51"/>
    <w:rsid w:val="00984D39"/>
    <w:rsid w:val="00984D3E"/>
    <w:rsid w:val="00984FCD"/>
    <w:rsid w:val="00985006"/>
    <w:rsid w:val="00985040"/>
    <w:rsid w:val="009850FF"/>
    <w:rsid w:val="00985316"/>
    <w:rsid w:val="00985455"/>
    <w:rsid w:val="009854BE"/>
    <w:rsid w:val="00985511"/>
    <w:rsid w:val="00985901"/>
    <w:rsid w:val="00985BC5"/>
    <w:rsid w:val="00985C23"/>
    <w:rsid w:val="00985C2A"/>
    <w:rsid w:val="00985F06"/>
    <w:rsid w:val="00985F7F"/>
    <w:rsid w:val="00985FC2"/>
    <w:rsid w:val="0098620A"/>
    <w:rsid w:val="00986245"/>
    <w:rsid w:val="009862D7"/>
    <w:rsid w:val="009865DC"/>
    <w:rsid w:val="00986601"/>
    <w:rsid w:val="009866CF"/>
    <w:rsid w:val="00986D2B"/>
    <w:rsid w:val="00986EBA"/>
    <w:rsid w:val="00987497"/>
    <w:rsid w:val="009874CE"/>
    <w:rsid w:val="00987995"/>
    <w:rsid w:val="00987B5C"/>
    <w:rsid w:val="00987BD4"/>
    <w:rsid w:val="00987C30"/>
    <w:rsid w:val="00987C33"/>
    <w:rsid w:val="00987CBC"/>
    <w:rsid w:val="00987D28"/>
    <w:rsid w:val="0099004F"/>
    <w:rsid w:val="009901D6"/>
    <w:rsid w:val="009902BB"/>
    <w:rsid w:val="009902C8"/>
    <w:rsid w:val="00990304"/>
    <w:rsid w:val="009903E2"/>
    <w:rsid w:val="00990596"/>
    <w:rsid w:val="00990744"/>
    <w:rsid w:val="009907DF"/>
    <w:rsid w:val="009907FA"/>
    <w:rsid w:val="009908C2"/>
    <w:rsid w:val="009908E2"/>
    <w:rsid w:val="00990926"/>
    <w:rsid w:val="00990956"/>
    <w:rsid w:val="009909E7"/>
    <w:rsid w:val="00990CCF"/>
    <w:rsid w:val="00990CDF"/>
    <w:rsid w:val="00990E9B"/>
    <w:rsid w:val="0099105D"/>
    <w:rsid w:val="0099122D"/>
    <w:rsid w:val="0099131E"/>
    <w:rsid w:val="00991432"/>
    <w:rsid w:val="009914BB"/>
    <w:rsid w:val="00991551"/>
    <w:rsid w:val="00991662"/>
    <w:rsid w:val="009916DA"/>
    <w:rsid w:val="00991752"/>
    <w:rsid w:val="009917F3"/>
    <w:rsid w:val="00991973"/>
    <w:rsid w:val="00991995"/>
    <w:rsid w:val="00991AB7"/>
    <w:rsid w:val="00991C77"/>
    <w:rsid w:val="00991DFB"/>
    <w:rsid w:val="00991E24"/>
    <w:rsid w:val="00991E75"/>
    <w:rsid w:val="00992148"/>
    <w:rsid w:val="00992289"/>
    <w:rsid w:val="009923CA"/>
    <w:rsid w:val="009923D3"/>
    <w:rsid w:val="0099253C"/>
    <w:rsid w:val="00992569"/>
    <w:rsid w:val="0099282D"/>
    <w:rsid w:val="00992965"/>
    <w:rsid w:val="00992A92"/>
    <w:rsid w:val="00992C43"/>
    <w:rsid w:val="00992C78"/>
    <w:rsid w:val="00992D6A"/>
    <w:rsid w:val="00992DC6"/>
    <w:rsid w:val="00992E23"/>
    <w:rsid w:val="00992F79"/>
    <w:rsid w:val="009933A5"/>
    <w:rsid w:val="00993435"/>
    <w:rsid w:val="009934B6"/>
    <w:rsid w:val="0099354B"/>
    <w:rsid w:val="0099368A"/>
    <w:rsid w:val="00993931"/>
    <w:rsid w:val="00993985"/>
    <w:rsid w:val="00993A46"/>
    <w:rsid w:val="00993BD8"/>
    <w:rsid w:val="00993C62"/>
    <w:rsid w:val="00993DA6"/>
    <w:rsid w:val="00993E6D"/>
    <w:rsid w:val="00993E76"/>
    <w:rsid w:val="00993FE3"/>
    <w:rsid w:val="00994054"/>
    <w:rsid w:val="009940A4"/>
    <w:rsid w:val="00994122"/>
    <w:rsid w:val="009942A0"/>
    <w:rsid w:val="0099443C"/>
    <w:rsid w:val="009944EC"/>
    <w:rsid w:val="00994734"/>
    <w:rsid w:val="00994780"/>
    <w:rsid w:val="009947B7"/>
    <w:rsid w:val="009948FD"/>
    <w:rsid w:val="00994994"/>
    <w:rsid w:val="00994A2C"/>
    <w:rsid w:val="00994C9F"/>
    <w:rsid w:val="00994D57"/>
    <w:rsid w:val="00994D83"/>
    <w:rsid w:val="00994E46"/>
    <w:rsid w:val="00994E80"/>
    <w:rsid w:val="00994FD6"/>
    <w:rsid w:val="009951AA"/>
    <w:rsid w:val="0099527C"/>
    <w:rsid w:val="00995349"/>
    <w:rsid w:val="00995385"/>
    <w:rsid w:val="009956AE"/>
    <w:rsid w:val="009956C5"/>
    <w:rsid w:val="009956FA"/>
    <w:rsid w:val="00995A62"/>
    <w:rsid w:val="00995AC7"/>
    <w:rsid w:val="00995AFE"/>
    <w:rsid w:val="00995BDF"/>
    <w:rsid w:val="00995C11"/>
    <w:rsid w:val="00995D11"/>
    <w:rsid w:val="00995EF0"/>
    <w:rsid w:val="009961FA"/>
    <w:rsid w:val="00996302"/>
    <w:rsid w:val="00996689"/>
    <w:rsid w:val="00996789"/>
    <w:rsid w:val="00996B76"/>
    <w:rsid w:val="00996C27"/>
    <w:rsid w:val="00996E12"/>
    <w:rsid w:val="009970CC"/>
    <w:rsid w:val="00997136"/>
    <w:rsid w:val="00997142"/>
    <w:rsid w:val="00997337"/>
    <w:rsid w:val="00997620"/>
    <w:rsid w:val="00997696"/>
    <w:rsid w:val="009978FB"/>
    <w:rsid w:val="0099797B"/>
    <w:rsid w:val="00997A5A"/>
    <w:rsid w:val="00997B38"/>
    <w:rsid w:val="00997B9D"/>
    <w:rsid w:val="00997C11"/>
    <w:rsid w:val="00997CBC"/>
    <w:rsid w:val="00997DB0"/>
    <w:rsid w:val="00997F12"/>
    <w:rsid w:val="00997F1D"/>
    <w:rsid w:val="00997F5D"/>
    <w:rsid w:val="009A0241"/>
    <w:rsid w:val="009A02F8"/>
    <w:rsid w:val="009A03FD"/>
    <w:rsid w:val="009A062E"/>
    <w:rsid w:val="009A06BB"/>
    <w:rsid w:val="009A06E1"/>
    <w:rsid w:val="009A07DE"/>
    <w:rsid w:val="009A0804"/>
    <w:rsid w:val="009A08A9"/>
    <w:rsid w:val="009A09C2"/>
    <w:rsid w:val="009A0A05"/>
    <w:rsid w:val="009A0A7C"/>
    <w:rsid w:val="009A0B2C"/>
    <w:rsid w:val="009A0E50"/>
    <w:rsid w:val="009A0E6E"/>
    <w:rsid w:val="009A1023"/>
    <w:rsid w:val="009A10D0"/>
    <w:rsid w:val="009A111C"/>
    <w:rsid w:val="009A1214"/>
    <w:rsid w:val="009A1225"/>
    <w:rsid w:val="009A1290"/>
    <w:rsid w:val="009A152D"/>
    <w:rsid w:val="009A1565"/>
    <w:rsid w:val="009A159D"/>
    <w:rsid w:val="009A15A7"/>
    <w:rsid w:val="009A16BA"/>
    <w:rsid w:val="009A18DE"/>
    <w:rsid w:val="009A19E6"/>
    <w:rsid w:val="009A1ADE"/>
    <w:rsid w:val="009A1DDC"/>
    <w:rsid w:val="009A1E3A"/>
    <w:rsid w:val="009A1E96"/>
    <w:rsid w:val="009A1FF8"/>
    <w:rsid w:val="009A21B6"/>
    <w:rsid w:val="009A21E9"/>
    <w:rsid w:val="009A253B"/>
    <w:rsid w:val="009A256B"/>
    <w:rsid w:val="009A2648"/>
    <w:rsid w:val="009A280B"/>
    <w:rsid w:val="009A2958"/>
    <w:rsid w:val="009A2AC6"/>
    <w:rsid w:val="009A2B9C"/>
    <w:rsid w:val="009A2D76"/>
    <w:rsid w:val="009A2D8C"/>
    <w:rsid w:val="009A2E5A"/>
    <w:rsid w:val="009A2E78"/>
    <w:rsid w:val="009A2E96"/>
    <w:rsid w:val="009A3224"/>
    <w:rsid w:val="009A322A"/>
    <w:rsid w:val="009A3457"/>
    <w:rsid w:val="009A351E"/>
    <w:rsid w:val="009A36AB"/>
    <w:rsid w:val="009A39A3"/>
    <w:rsid w:val="009A3A0A"/>
    <w:rsid w:val="009A3A48"/>
    <w:rsid w:val="009A3B1E"/>
    <w:rsid w:val="009A3D68"/>
    <w:rsid w:val="009A3DF1"/>
    <w:rsid w:val="009A3E57"/>
    <w:rsid w:val="009A412C"/>
    <w:rsid w:val="009A41D8"/>
    <w:rsid w:val="009A4517"/>
    <w:rsid w:val="009A4697"/>
    <w:rsid w:val="009A490D"/>
    <w:rsid w:val="009A4961"/>
    <w:rsid w:val="009A4997"/>
    <w:rsid w:val="009A49B5"/>
    <w:rsid w:val="009A4A15"/>
    <w:rsid w:val="009A4A20"/>
    <w:rsid w:val="009A4C0D"/>
    <w:rsid w:val="009A4D66"/>
    <w:rsid w:val="009A4D79"/>
    <w:rsid w:val="009A4F77"/>
    <w:rsid w:val="009A4F7A"/>
    <w:rsid w:val="009A50E9"/>
    <w:rsid w:val="009A5508"/>
    <w:rsid w:val="009A569F"/>
    <w:rsid w:val="009A576A"/>
    <w:rsid w:val="009A59FA"/>
    <w:rsid w:val="009A5A57"/>
    <w:rsid w:val="009A5A78"/>
    <w:rsid w:val="009A5DAD"/>
    <w:rsid w:val="009A5E9D"/>
    <w:rsid w:val="009A5FFD"/>
    <w:rsid w:val="009A60E6"/>
    <w:rsid w:val="009A65CB"/>
    <w:rsid w:val="009A664C"/>
    <w:rsid w:val="009A666B"/>
    <w:rsid w:val="009A685C"/>
    <w:rsid w:val="009A68CB"/>
    <w:rsid w:val="009A6A36"/>
    <w:rsid w:val="009A6E24"/>
    <w:rsid w:val="009A6E95"/>
    <w:rsid w:val="009A6ECD"/>
    <w:rsid w:val="009A6ED0"/>
    <w:rsid w:val="009A6ED6"/>
    <w:rsid w:val="009A6FD1"/>
    <w:rsid w:val="009A7304"/>
    <w:rsid w:val="009A7484"/>
    <w:rsid w:val="009A7607"/>
    <w:rsid w:val="009A760D"/>
    <w:rsid w:val="009A7721"/>
    <w:rsid w:val="009A7914"/>
    <w:rsid w:val="009A7A90"/>
    <w:rsid w:val="009A7BEA"/>
    <w:rsid w:val="009A7C2B"/>
    <w:rsid w:val="009A7D57"/>
    <w:rsid w:val="009A7E84"/>
    <w:rsid w:val="009B002E"/>
    <w:rsid w:val="009B0088"/>
    <w:rsid w:val="009B0229"/>
    <w:rsid w:val="009B0356"/>
    <w:rsid w:val="009B0477"/>
    <w:rsid w:val="009B0780"/>
    <w:rsid w:val="009B0861"/>
    <w:rsid w:val="009B091B"/>
    <w:rsid w:val="009B0926"/>
    <w:rsid w:val="009B0EDB"/>
    <w:rsid w:val="009B125A"/>
    <w:rsid w:val="009B12D5"/>
    <w:rsid w:val="009B136E"/>
    <w:rsid w:val="009B145C"/>
    <w:rsid w:val="009B14E8"/>
    <w:rsid w:val="009B183E"/>
    <w:rsid w:val="009B1934"/>
    <w:rsid w:val="009B19C2"/>
    <w:rsid w:val="009B1B42"/>
    <w:rsid w:val="009B1CAD"/>
    <w:rsid w:val="009B1E4D"/>
    <w:rsid w:val="009B1E9D"/>
    <w:rsid w:val="009B1F61"/>
    <w:rsid w:val="009B2273"/>
    <w:rsid w:val="009B2274"/>
    <w:rsid w:val="009B2320"/>
    <w:rsid w:val="009B24B0"/>
    <w:rsid w:val="009B260E"/>
    <w:rsid w:val="009B2735"/>
    <w:rsid w:val="009B28D9"/>
    <w:rsid w:val="009B2935"/>
    <w:rsid w:val="009B2AEE"/>
    <w:rsid w:val="009B2C9A"/>
    <w:rsid w:val="009B2EF8"/>
    <w:rsid w:val="009B2F20"/>
    <w:rsid w:val="009B2F3C"/>
    <w:rsid w:val="009B2FCA"/>
    <w:rsid w:val="009B31EC"/>
    <w:rsid w:val="009B3242"/>
    <w:rsid w:val="009B324A"/>
    <w:rsid w:val="009B33FB"/>
    <w:rsid w:val="009B36F7"/>
    <w:rsid w:val="009B3B5C"/>
    <w:rsid w:val="009B3C5D"/>
    <w:rsid w:val="009B3CE8"/>
    <w:rsid w:val="009B3D61"/>
    <w:rsid w:val="009B3DCA"/>
    <w:rsid w:val="009B3FD2"/>
    <w:rsid w:val="009B407D"/>
    <w:rsid w:val="009B425B"/>
    <w:rsid w:val="009B43A7"/>
    <w:rsid w:val="009B4550"/>
    <w:rsid w:val="009B45EE"/>
    <w:rsid w:val="009B487B"/>
    <w:rsid w:val="009B4C6D"/>
    <w:rsid w:val="009B4D8B"/>
    <w:rsid w:val="009B4DB1"/>
    <w:rsid w:val="009B4DBA"/>
    <w:rsid w:val="009B4E58"/>
    <w:rsid w:val="009B4EAD"/>
    <w:rsid w:val="009B4EDA"/>
    <w:rsid w:val="009B4F27"/>
    <w:rsid w:val="009B51A5"/>
    <w:rsid w:val="009B52C9"/>
    <w:rsid w:val="009B5312"/>
    <w:rsid w:val="009B533F"/>
    <w:rsid w:val="009B5378"/>
    <w:rsid w:val="009B53C8"/>
    <w:rsid w:val="009B5660"/>
    <w:rsid w:val="009B5733"/>
    <w:rsid w:val="009B57A9"/>
    <w:rsid w:val="009B5858"/>
    <w:rsid w:val="009B593C"/>
    <w:rsid w:val="009B5952"/>
    <w:rsid w:val="009B5E39"/>
    <w:rsid w:val="009B618C"/>
    <w:rsid w:val="009B61CC"/>
    <w:rsid w:val="009B667D"/>
    <w:rsid w:val="009B6783"/>
    <w:rsid w:val="009B686C"/>
    <w:rsid w:val="009B69D3"/>
    <w:rsid w:val="009B6CB7"/>
    <w:rsid w:val="009B6D18"/>
    <w:rsid w:val="009B7105"/>
    <w:rsid w:val="009B72B0"/>
    <w:rsid w:val="009B747B"/>
    <w:rsid w:val="009B75FD"/>
    <w:rsid w:val="009B76B8"/>
    <w:rsid w:val="009B774B"/>
    <w:rsid w:val="009B77E8"/>
    <w:rsid w:val="009B7843"/>
    <w:rsid w:val="009B78B9"/>
    <w:rsid w:val="009B794E"/>
    <w:rsid w:val="009B7A29"/>
    <w:rsid w:val="009B7A9C"/>
    <w:rsid w:val="009B7AAF"/>
    <w:rsid w:val="009B7BE0"/>
    <w:rsid w:val="009B7BF2"/>
    <w:rsid w:val="009B7E74"/>
    <w:rsid w:val="009B7F36"/>
    <w:rsid w:val="009B7F83"/>
    <w:rsid w:val="009C01A0"/>
    <w:rsid w:val="009C032D"/>
    <w:rsid w:val="009C040E"/>
    <w:rsid w:val="009C0441"/>
    <w:rsid w:val="009C051E"/>
    <w:rsid w:val="009C052B"/>
    <w:rsid w:val="009C05E2"/>
    <w:rsid w:val="009C069A"/>
    <w:rsid w:val="009C0782"/>
    <w:rsid w:val="009C07DB"/>
    <w:rsid w:val="009C0896"/>
    <w:rsid w:val="009C08A8"/>
    <w:rsid w:val="009C0957"/>
    <w:rsid w:val="009C09DA"/>
    <w:rsid w:val="009C0A3B"/>
    <w:rsid w:val="009C0B2E"/>
    <w:rsid w:val="009C0D51"/>
    <w:rsid w:val="009C0E7D"/>
    <w:rsid w:val="009C0EF9"/>
    <w:rsid w:val="009C10A1"/>
    <w:rsid w:val="009C1171"/>
    <w:rsid w:val="009C11D5"/>
    <w:rsid w:val="009C1234"/>
    <w:rsid w:val="009C132F"/>
    <w:rsid w:val="009C133A"/>
    <w:rsid w:val="009C13FA"/>
    <w:rsid w:val="009C153D"/>
    <w:rsid w:val="009C1928"/>
    <w:rsid w:val="009C1B18"/>
    <w:rsid w:val="009C1B61"/>
    <w:rsid w:val="009C1BC0"/>
    <w:rsid w:val="009C1BE5"/>
    <w:rsid w:val="009C1DFE"/>
    <w:rsid w:val="009C213E"/>
    <w:rsid w:val="009C2410"/>
    <w:rsid w:val="009C25E3"/>
    <w:rsid w:val="009C262F"/>
    <w:rsid w:val="009C269D"/>
    <w:rsid w:val="009C2A4E"/>
    <w:rsid w:val="009C2C98"/>
    <w:rsid w:val="009C2EAF"/>
    <w:rsid w:val="009C313D"/>
    <w:rsid w:val="009C3188"/>
    <w:rsid w:val="009C3229"/>
    <w:rsid w:val="009C33C7"/>
    <w:rsid w:val="009C33F3"/>
    <w:rsid w:val="009C3404"/>
    <w:rsid w:val="009C3438"/>
    <w:rsid w:val="009C348A"/>
    <w:rsid w:val="009C3490"/>
    <w:rsid w:val="009C357D"/>
    <w:rsid w:val="009C35C1"/>
    <w:rsid w:val="009C384D"/>
    <w:rsid w:val="009C38B5"/>
    <w:rsid w:val="009C394A"/>
    <w:rsid w:val="009C39C8"/>
    <w:rsid w:val="009C3A80"/>
    <w:rsid w:val="009C3D77"/>
    <w:rsid w:val="009C40D6"/>
    <w:rsid w:val="009C42A4"/>
    <w:rsid w:val="009C42C3"/>
    <w:rsid w:val="009C44A4"/>
    <w:rsid w:val="009C4685"/>
    <w:rsid w:val="009C46C0"/>
    <w:rsid w:val="009C485A"/>
    <w:rsid w:val="009C48CC"/>
    <w:rsid w:val="009C49EE"/>
    <w:rsid w:val="009C4EAC"/>
    <w:rsid w:val="009C5163"/>
    <w:rsid w:val="009C5300"/>
    <w:rsid w:val="009C54CF"/>
    <w:rsid w:val="009C5839"/>
    <w:rsid w:val="009C584C"/>
    <w:rsid w:val="009C58AF"/>
    <w:rsid w:val="009C5AF7"/>
    <w:rsid w:val="009C5BFF"/>
    <w:rsid w:val="009C5C6F"/>
    <w:rsid w:val="009C5DD9"/>
    <w:rsid w:val="009C5F50"/>
    <w:rsid w:val="009C5F83"/>
    <w:rsid w:val="009C647D"/>
    <w:rsid w:val="009C64E0"/>
    <w:rsid w:val="009C660F"/>
    <w:rsid w:val="009C6863"/>
    <w:rsid w:val="009C692C"/>
    <w:rsid w:val="009C6B0B"/>
    <w:rsid w:val="009C6BD2"/>
    <w:rsid w:val="009C6C4B"/>
    <w:rsid w:val="009C6E47"/>
    <w:rsid w:val="009C6EF3"/>
    <w:rsid w:val="009C6FC9"/>
    <w:rsid w:val="009C7172"/>
    <w:rsid w:val="009C7253"/>
    <w:rsid w:val="009C7350"/>
    <w:rsid w:val="009C7501"/>
    <w:rsid w:val="009C7A43"/>
    <w:rsid w:val="009C7BAA"/>
    <w:rsid w:val="009C7C47"/>
    <w:rsid w:val="009C7D42"/>
    <w:rsid w:val="009C7FE4"/>
    <w:rsid w:val="009D0285"/>
    <w:rsid w:val="009D040C"/>
    <w:rsid w:val="009D0600"/>
    <w:rsid w:val="009D0666"/>
    <w:rsid w:val="009D091E"/>
    <w:rsid w:val="009D09A4"/>
    <w:rsid w:val="009D0A19"/>
    <w:rsid w:val="009D0A8A"/>
    <w:rsid w:val="009D0A9A"/>
    <w:rsid w:val="009D0B99"/>
    <w:rsid w:val="009D0BF9"/>
    <w:rsid w:val="009D0C9A"/>
    <w:rsid w:val="009D0CBD"/>
    <w:rsid w:val="009D0DA5"/>
    <w:rsid w:val="009D0E91"/>
    <w:rsid w:val="009D0EAE"/>
    <w:rsid w:val="009D0EC1"/>
    <w:rsid w:val="009D10C6"/>
    <w:rsid w:val="009D1261"/>
    <w:rsid w:val="009D129C"/>
    <w:rsid w:val="009D16DF"/>
    <w:rsid w:val="009D17A3"/>
    <w:rsid w:val="009D18B3"/>
    <w:rsid w:val="009D18D1"/>
    <w:rsid w:val="009D19E4"/>
    <w:rsid w:val="009D1A8A"/>
    <w:rsid w:val="009D1DBA"/>
    <w:rsid w:val="009D2011"/>
    <w:rsid w:val="009D2066"/>
    <w:rsid w:val="009D23E1"/>
    <w:rsid w:val="009D2418"/>
    <w:rsid w:val="009D2515"/>
    <w:rsid w:val="009D2869"/>
    <w:rsid w:val="009D2893"/>
    <w:rsid w:val="009D28D9"/>
    <w:rsid w:val="009D2C2B"/>
    <w:rsid w:val="009D2FB1"/>
    <w:rsid w:val="009D31A8"/>
    <w:rsid w:val="009D3261"/>
    <w:rsid w:val="009D3360"/>
    <w:rsid w:val="009D33AC"/>
    <w:rsid w:val="009D354A"/>
    <w:rsid w:val="009D3655"/>
    <w:rsid w:val="009D377F"/>
    <w:rsid w:val="009D3786"/>
    <w:rsid w:val="009D3824"/>
    <w:rsid w:val="009D382C"/>
    <w:rsid w:val="009D3A54"/>
    <w:rsid w:val="009D3B15"/>
    <w:rsid w:val="009D3B52"/>
    <w:rsid w:val="009D3C16"/>
    <w:rsid w:val="009D3C18"/>
    <w:rsid w:val="009D3CDF"/>
    <w:rsid w:val="009D3D93"/>
    <w:rsid w:val="009D3D9D"/>
    <w:rsid w:val="009D3E7C"/>
    <w:rsid w:val="009D3E95"/>
    <w:rsid w:val="009D3F79"/>
    <w:rsid w:val="009D415D"/>
    <w:rsid w:val="009D4217"/>
    <w:rsid w:val="009D424C"/>
    <w:rsid w:val="009D42EF"/>
    <w:rsid w:val="009D4508"/>
    <w:rsid w:val="009D455C"/>
    <w:rsid w:val="009D45B8"/>
    <w:rsid w:val="009D477D"/>
    <w:rsid w:val="009D4862"/>
    <w:rsid w:val="009D4953"/>
    <w:rsid w:val="009D4C44"/>
    <w:rsid w:val="009D4D5E"/>
    <w:rsid w:val="009D4F51"/>
    <w:rsid w:val="009D4F67"/>
    <w:rsid w:val="009D51F4"/>
    <w:rsid w:val="009D5464"/>
    <w:rsid w:val="009D54DA"/>
    <w:rsid w:val="009D54FD"/>
    <w:rsid w:val="009D56F6"/>
    <w:rsid w:val="009D58CE"/>
    <w:rsid w:val="009D58DC"/>
    <w:rsid w:val="009D5AFA"/>
    <w:rsid w:val="009D5B15"/>
    <w:rsid w:val="009D5F54"/>
    <w:rsid w:val="009D60BF"/>
    <w:rsid w:val="009D614E"/>
    <w:rsid w:val="009D61DA"/>
    <w:rsid w:val="009D63AF"/>
    <w:rsid w:val="009D63E8"/>
    <w:rsid w:val="009D643D"/>
    <w:rsid w:val="009D6520"/>
    <w:rsid w:val="009D66DB"/>
    <w:rsid w:val="009D6918"/>
    <w:rsid w:val="009D6AC0"/>
    <w:rsid w:val="009D6BE2"/>
    <w:rsid w:val="009D6C6C"/>
    <w:rsid w:val="009D6C9D"/>
    <w:rsid w:val="009D6CB3"/>
    <w:rsid w:val="009D6DE4"/>
    <w:rsid w:val="009D6E2D"/>
    <w:rsid w:val="009D6F4C"/>
    <w:rsid w:val="009D706B"/>
    <w:rsid w:val="009D7194"/>
    <w:rsid w:val="009D723A"/>
    <w:rsid w:val="009D725F"/>
    <w:rsid w:val="009D74CA"/>
    <w:rsid w:val="009D7518"/>
    <w:rsid w:val="009D752A"/>
    <w:rsid w:val="009D75B1"/>
    <w:rsid w:val="009D75C1"/>
    <w:rsid w:val="009D7864"/>
    <w:rsid w:val="009D79C8"/>
    <w:rsid w:val="009D7AFE"/>
    <w:rsid w:val="009D7B22"/>
    <w:rsid w:val="009D7B9B"/>
    <w:rsid w:val="009D7BFE"/>
    <w:rsid w:val="009D7C89"/>
    <w:rsid w:val="009D7D10"/>
    <w:rsid w:val="009D7E89"/>
    <w:rsid w:val="009D7EA1"/>
    <w:rsid w:val="009E0239"/>
    <w:rsid w:val="009E031F"/>
    <w:rsid w:val="009E03E1"/>
    <w:rsid w:val="009E044C"/>
    <w:rsid w:val="009E04E5"/>
    <w:rsid w:val="009E0508"/>
    <w:rsid w:val="009E05FF"/>
    <w:rsid w:val="009E0691"/>
    <w:rsid w:val="009E081F"/>
    <w:rsid w:val="009E08EC"/>
    <w:rsid w:val="009E0AC7"/>
    <w:rsid w:val="009E0B52"/>
    <w:rsid w:val="009E0CC1"/>
    <w:rsid w:val="009E0D0A"/>
    <w:rsid w:val="009E0D91"/>
    <w:rsid w:val="009E0F83"/>
    <w:rsid w:val="009E101C"/>
    <w:rsid w:val="009E10E7"/>
    <w:rsid w:val="009E127E"/>
    <w:rsid w:val="009E12AD"/>
    <w:rsid w:val="009E1653"/>
    <w:rsid w:val="009E176C"/>
    <w:rsid w:val="009E1899"/>
    <w:rsid w:val="009E1C2C"/>
    <w:rsid w:val="009E1DF7"/>
    <w:rsid w:val="009E1E3F"/>
    <w:rsid w:val="009E2001"/>
    <w:rsid w:val="009E20DD"/>
    <w:rsid w:val="009E24A0"/>
    <w:rsid w:val="009E2501"/>
    <w:rsid w:val="009E2579"/>
    <w:rsid w:val="009E26C4"/>
    <w:rsid w:val="009E26DD"/>
    <w:rsid w:val="009E2719"/>
    <w:rsid w:val="009E2764"/>
    <w:rsid w:val="009E290E"/>
    <w:rsid w:val="009E299A"/>
    <w:rsid w:val="009E2C6A"/>
    <w:rsid w:val="009E2D63"/>
    <w:rsid w:val="009E2DE0"/>
    <w:rsid w:val="009E2E67"/>
    <w:rsid w:val="009E31DF"/>
    <w:rsid w:val="009E3381"/>
    <w:rsid w:val="009E359F"/>
    <w:rsid w:val="009E3904"/>
    <w:rsid w:val="009E3D22"/>
    <w:rsid w:val="009E4059"/>
    <w:rsid w:val="009E406B"/>
    <w:rsid w:val="009E4094"/>
    <w:rsid w:val="009E4151"/>
    <w:rsid w:val="009E41CD"/>
    <w:rsid w:val="009E4216"/>
    <w:rsid w:val="009E42A6"/>
    <w:rsid w:val="009E44E7"/>
    <w:rsid w:val="009E4587"/>
    <w:rsid w:val="009E485B"/>
    <w:rsid w:val="009E48EA"/>
    <w:rsid w:val="009E4927"/>
    <w:rsid w:val="009E4A08"/>
    <w:rsid w:val="009E4A5B"/>
    <w:rsid w:val="009E4C09"/>
    <w:rsid w:val="009E4D2E"/>
    <w:rsid w:val="009E4F15"/>
    <w:rsid w:val="009E4FC7"/>
    <w:rsid w:val="009E518C"/>
    <w:rsid w:val="009E5190"/>
    <w:rsid w:val="009E54F9"/>
    <w:rsid w:val="009E5765"/>
    <w:rsid w:val="009E5A54"/>
    <w:rsid w:val="009E5C15"/>
    <w:rsid w:val="009E5CA1"/>
    <w:rsid w:val="009E5D67"/>
    <w:rsid w:val="009E5DEB"/>
    <w:rsid w:val="009E5ED5"/>
    <w:rsid w:val="009E5F40"/>
    <w:rsid w:val="009E60DA"/>
    <w:rsid w:val="009E6295"/>
    <w:rsid w:val="009E62BE"/>
    <w:rsid w:val="009E62E2"/>
    <w:rsid w:val="009E641D"/>
    <w:rsid w:val="009E6717"/>
    <w:rsid w:val="009E6742"/>
    <w:rsid w:val="009E677D"/>
    <w:rsid w:val="009E6840"/>
    <w:rsid w:val="009E684C"/>
    <w:rsid w:val="009E69E5"/>
    <w:rsid w:val="009E6A77"/>
    <w:rsid w:val="009E6AEB"/>
    <w:rsid w:val="009E6BE4"/>
    <w:rsid w:val="009E6C59"/>
    <w:rsid w:val="009E6D53"/>
    <w:rsid w:val="009E6D64"/>
    <w:rsid w:val="009E6E88"/>
    <w:rsid w:val="009E6F56"/>
    <w:rsid w:val="009E7013"/>
    <w:rsid w:val="009E708B"/>
    <w:rsid w:val="009E7197"/>
    <w:rsid w:val="009E71BD"/>
    <w:rsid w:val="009E71C9"/>
    <w:rsid w:val="009E71DF"/>
    <w:rsid w:val="009E71F6"/>
    <w:rsid w:val="009E741E"/>
    <w:rsid w:val="009E7744"/>
    <w:rsid w:val="009E7972"/>
    <w:rsid w:val="009E798C"/>
    <w:rsid w:val="009E7A76"/>
    <w:rsid w:val="009E7BCB"/>
    <w:rsid w:val="009E7CDA"/>
    <w:rsid w:val="009F00A5"/>
    <w:rsid w:val="009F0172"/>
    <w:rsid w:val="009F0197"/>
    <w:rsid w:val="009F0283"/>
    <w:rsid w:val="009F031B"/>
    <w:rsid w:val="009F0473"/>
    <w:rsid w:val="009F0553"/>
    <w:rsid w:val="009F06C0"/>
    <w:rsid w:val="009F0752"/>
    <w:rsid w:val="009F085A"/>
    <w:rsid w:val="009F0C7E"/>
    <w:rsid w:val="009F1071"/>
    <w:rsid w:val="009F10E2"/>
    <w:rsid w:val="009F1262"/>
    <w:rsid w:val="009F12DA"/>
    <w:rsid w:val="009F12FF"/>
    <w:rsid w:val="009F1359"/>
    <w:rsid w:val="009F14CA"/>
    <w:rsid w:val="009F1683"/>
    <w:rsid w:val="009F16A0"/>
    <w:rsid w:val="009F18D1"/>
    <w:rsid w:val="009F1A38"/>
    <w:rsid w:val="009F1A7D"/>
    <w:rsid w:val="009F1AC1"/>
    <w:rsid w:val="009F1ADF"/>
    <w:rsid w:val="009F1ED2"/>
    <w:rsid w:val="009F1F78"/>
    <w:rsid w:val="009F20DE"/>
    <w:rsid w:val="009F249F"/>
    <w:rsid w:val="009F2586"/>
    <w:rsid w:val="009F29BB"/>
    <w:rsid w:val="009F29D4"/>
    <w:rsid w:val="009F2B5E"/>
    <w:rsid w:val="009F2BD9"/>
    <w:rsid w:val="009F2C2E"/>
    <w:rsid w:val="009F2CDF"/>
    <w:rsid w:val="009F2DE4"/>
    <w:rsid w:val="009F2E9A"/>
    <w:rsid w:val="009F30E9"/>
    <w:rsid w:val="009F30F8"/>
    <w:rsid w:val="009F3321"/>
    <w:rsid w:val="009F35A6"/>
    <w:rsid w:val="009F3656"/>
    <w:rsid w:val="009F37B4"/>
    <w:rsid w:val="009F3885"/>
    <w:rsid w:val="009F38AF"/>
    <w:rsid w:val="009F3AC8"/>
    <w:rsid w:val="009F3DDE"/>
    <w:rsid w:val="009F3FEF"/>
    <w:rsid w:val="009F401F"/>
    <w:rsid w:val="009F408F"/>
    <w:rsid w:val="009F41A7"/>
    <w:rsid w:val="009F423C"/>
    <w:rsid w:val="009F424E"/>
    <w:rsid w:val="009F4288"/>
    <w:rsid w:val="009F442B"/>
    <w:rsid w:val="009F48CB"/>
    <w:rsid w:val="009F48F9"/>
    <w:rsid w:val="009F499E"/>
    <w:rsid w:val="009F4AA0"/>
    <w:rsid w:val="009F4C4B"/>
    <w:rsid w:val="009F4C5C"/>
    <w:rsid w:val="009F4CB6"/>
    <w:rsid w:val="009F4DF7"/>
    <w:rsid w:val="009F4EFE"/>
    <w:rsid w:val="009F4F68"/>
    <w:rsid w:val="009F530A"/>
    <w:rsid w:val="009F5971"/>
    <w:rsid w:val="009F5BB5"/>
    <w:rsid w:val="009F5EAB"/>
    <w:rsid w:val="009F5EB1"/>
    <w:rsid w:val="009F5FD0"/>
    <w:rsid w:val="009F6037"/>
    <w:rsid w:val="009F6042"/>
    <w:rsid w:val="009F610D"/>
    <w:rsid w:val="009F6501"/>
    <w:rsid w:val="009F65B2"/>
    <w:rsid w:val="009F66B1"/>
    <w:rsid w:val="009F66E9"/>
    <w:rsid w:val="009F675E"/>
    <w:rsid w:val="009F6779"/>
    <w:rsid w:val="009F68FC"/>
    <w:rsid w:val="009F6961"/>
    <w:rsid w:val="009F6A23"/>
    <w:rsid w:val="009F6A56"/>
    <w:rsid w:val="009F6C00"/>
    <w:rsid w:val="009F6D45"/>
    <w:rsid w:val="009F6E2B"/>
    <w:rsid w:val="009F7026"/>
    <w:rsid w:val="009F716C"/>
    <w:rsid w:val="009F730E"/>
    <w:rsid w:val="009F74E9"/>
    <w:rsid w:val="009F74EE"/>
    <w:rsid w:val="009F7617"/>
    <w:rsid w:val="009F772E"/>
    <w:rsid w:val="009F7785"/>
    <w:rsid w:val="009F798A"/>
    <w:rsid w:val="009F79EA"/>
    <w:rsid w:val="009F7A5D"/>
    <w:rsid w:val="009F7BE8"/>
    <w:rsid w:val="009F7CF5"/>
    <w:rsid w:val="009F7DA9"/>
    <w:rsid w:val="009F7F70"/>
    <w:rsid w:val="00A0000D"/>
    <w:rsid w:val="00A00041"/>
    <w:rsid w:val="00A0013F"/>
    <w:rsid w:val="00A00229"/>
    <w:rsid w:val="00A00337"/>
    <w:rsid w:val="00A0044B"/>
    <w:rsid w:val="00A00494"/>
    <w:rsid w:val="00A004BA"/>
    <w:rsid w:val="00A00568"/>
    <w:rsid w:val="00A00598"/>
    <w:rsid w:val="00A005B8"/>
    <w:rsid w:val="00A0076C"/>
    <w:rsid w:val="00A00776"/>
    <w:rsid w:val="00A007A7"/>
    <w:rsid w:val="00A00A47"/>
    <w:rsid w:val="00A00B80"/>
    <w:rsid w:val="00A00C54"/>
    <w:rsid w:val="00A00D46"/>
    <w:rsid w:val="00A00EF2"/>
    <w:rsid w:val="00A0118C"/>
    <w:rsid w:val="00A013EB"/>
    <w:rsid w:val="00A01568"/>
    <w:rsid w:val="00A01570"/>
    <w:rsid w:val="00A0161D"/>
    <w:rsid w:val="00A01670"/>
    <w:rsid w:val="00A017BA"/>
    <w:rsid w:val="00A019DF"/>
    <w:rsid w:val="00A01B9E"/>
    <w:rsid w:val="00A01CB1"/>
    <w:rsid w:val="00A01CCE"/>
    <w:rsid w:val="00A01F74"/>
    <w:rsid w:val="00A01FAA"/>
    <w:rsid w:val="00A01FDE"/>
    <w:rsid w:val="00A02088"/>
    <w:rsid w:val="00A020BC"/>
    <w:rsid w:val="00A0218B"/>
    <w:rsid w:val="00A02315"/>
    <w:rsid w:val="00A0233A"/>
    <w:rsid w:val="00A0248F"/>
    <w:rsid w:val="00A0257B"/>
    <w:rsid w:val="00A025B3"/>
    <w:rsid w:val="00A0273A"/>
    <w:rsid w:val="00A0278D"/>
    <w:rsid w:val="00A0282E"/>
    <w:rsid w:val="00A028F8"/>
    <w:rsid w:val="00A02966"/>
    <w:rsid w:val="00A02BF2"/>
    <w:rsid w:val="00A02C1F"/>
    <w:rsid w:val="00A02EE7"/>
    <w:rsid w:val="00A030AE"/>
    <w:rsid w:val="00A030DA"/>
    <w:rsid w:val="00A03326"/>
    <w:rsid w:val="00A0352A"/>
    <w:rsid w:val="00A037B7"/>
    <w:rsid w:val="00A03A72"/>
    <w:rsid w:val="00A03B5B"/>
    <w:rsid w:val="00A03BB6"/>
    <w:rsid w:val="00A03C16"/>
    <w:rsid w:val="00A03C35"/>
    <w:rsid w:val="00A03C72"/>
    <w:rsid w:val="00A03D8E"/>
    <w:rsid w:val="00A03E62"/>
    <w:rsid w:val="00A03FC4"/>
    <w:rsid w:val="00A043BB"/>
    <w:rsid w:val="00A043C9"/>
    <w:rsid w:val="00A046F2"/>
    <w:rsid w:val="00A04723"/>
    <w:rsid w:val="00A04777"/>
    <w:rsid w:val="00A04810"/>
    <w:rsid w:val="00A04945"/>
    <w:rsid w:val="00A04A75"/>
    <w:rsid w:val="00A04A90"/>
    <w:rsid w:val="00A04AF0"/>
    <w:rsid w:val="00A04B3F"/>
    <w:rsid w:val="00A04C22"/>
    <w:rsid w:val="00A04C75"/>
    <w:rsid w:val="00A04E77"/>
    <w:rsid w:val="00A04EE5"/>
    <w:rsid w:val="00A04F2A"/>
    <w:rsid w:val="00A050DE"/>
    <w:rsid w:val="00A0520A"/>
    <w:rsid w:val="00A0523A"/>
    <w:rsid w:val="00A05552"/>
    <w:rsid w:val="00A057F4"/>
    <w:rsid w:val="00A05815"/>
    <w:rsid w:val="00A0589D"/>
    <w:rsid w:val="00A0592F"/>
    <w:rsid w:val="00A059BB"/>
    <w:rsid w:val="00A05A66"/>
    <w:rsid w:val="00A05BE2"/>
    <w:rsid w:val="00A05D7F"/>
    <w:rsid w:val="00A05E94"/>
    <w:rsid w:val="00A05F63"/>
    <w:rsid w:val="00A05F90"/>
    <w:rsid w:val="00A06323"/>
    <w:rsid w:val="00A0654B"/>
    <w:rsid w:val="00A06555"/>
    <w:rsid w:val="00A06748"/>
    <w:rsid w:val="00A067CA"/>
    <w:rsid w:val="00A06BA8"/>
    <w:rsid w:val="00A06D16"/>
    <w:rsid w:val="00A06D6C"/>
    <w:rsid w:val="00A06E4F"/>
    <w:rsid w:val="00A0745D"/>
    <w:rsid w:val="00A07606"/>
    <w:rsid w:val="00A07723"/>
    <w:rsid w:val="00A077F7"/>
    <w:rsid w:val="00A07B43"/>
    <w:rsid w:val="00A07BF8"/>
    <w:rsid w:val="00A07D07"/>
    <w:rsid w:val="00A07EDD"/>
    <w:rsid w:val="00A1009E"/>
    <w:rsid w:val="00A103D5"/>
    <w:rsid w:val="00A10456"/>
    <w:rsid w:val="00A104BB"/>
    <w:rsid w:val="00A10515"/>
    <w:rsid w:val="00A10587"/>
    <w:rsid w:val="00A105FA"/>
    <w:rsid w:val="00A107FD"/>
    <w:rsid w:val="00A10838"/>
    <w:rsid w:val="00A10843"/>
    <w:rsid w:val="00A10A02"/>
    <w:rsid w:val="00A10A24"/>
    <w:rsid w:val="00A10C4B"/>
    <w:rsid w:val="00A10D7E"/>
    <w:rsid w:val="00A10E62"/>
    <w:rsid w:val="00A10EB6"/>
    <w:rsid w:val="00A10F1B"/>
    <w:rsid w:val="00A10F57"/>
    <w:rsid w:val="00A1136B"/>
    <w:rsid w:val="00A114C8"/>
    <w:rsid w:val="00A1159D"/>
    <w:rsid w:val="00A1176C"/>
    <w:rsid w:val="00A1177A"/>
    <w:rsid w:val="00A11883"/>
    <w:rsid w:val="00A118A3"/>
    <w:rsid w:val="00A11A9C"/>
    <w:rsid w:val="00A11C79"/>
    <w:rsid w:val="00A11D24"/>
    <w:rsid w:val="00A11D82"/>
    <w:rsid w:val="00A11EC4"/>
    <w:rsid w:val="00A11ED0"/>
    <w:rsid w:val="00A1204B"/>
    <w:rsid w:val="00A120DB"/>
    <w:rsid w:val="00A120E8"/>
    <w:rsid w:val="00A1212B"/>
    <w:rsid w:val="00A12281"/>
    <w:rsid w:val="00A1245D"/>
    <w:rsid w:val="00A124F1"/>
    <w:rsid w:val="00A124FC"/>
    <w:rsid w:val="00A12527"/>
    <w:rsid w:val="00A12563"/>
    <w:rsid w:val="00A1268D"/>
    <w:rsid w:val="00A12754"/>
    <w:rsid w:val="00A1296E"/>
    <w:rsid w:val="00A129C7"/>
    <w:rsid w:val="00A12A1C"/>
    <w:rsid w:val="00A12BFC"/>
    <w:rsid w:val="00A12C77"/>
    <w:rsid w:val="00A12C8E"/>
    <w:rsid w:val="00A12E3C"/>
    <w:rsid w:val="00A12FCB"/>
    <w:rsid w:val="00A13192"/>
    <w:rsid w:val="00A131D1"/>
    <w:rsid w:val="00A136FC"/>
    <w:rsid w:val="00A137CC"/>
    <w:rsid w:val="00A13866"/>
    <w:rsid w:val="00A138FA"/>
    <w:rsid w:val="00A13D41"/>
    <w:rsid w:val="00A13E3A"/>
    <w:rsid w:val="00A13E3B"/>
    <w:rsid w:val="00A13EE5"/>
    <w:rsid w:val="00A14037"/>
    <w:rsid w:val="00A14383"/>
    <w:rsid w:val="00A14600"/>
    <w:rsid w:val="00A14612"/>
    <w:rsid w:val="00A14649"/>
    <w:rsid w:val="00A14686"/>
    <w:rsid w:val="00A146D8"/>
    <w:rsid w:val="00A147E8"/>
    <w:rsid w:val="00A1482B"/>
    <w:rsid w:val="00A1490F"/>
    <w:rsid w:val="00A14952"/>
    <w:rsid w:val="00A14981"/>
    <w:rsid w:val="00A1498A"/>
    <w:rsid w:val="00A149D0"/>
    <w:rsid w:val="00A14AB1"/>
    <w:rsid w:val="00A14ED6"/>
    <w:rsid w:val="00A1518F"/>
    <w:rsid w:val="00A151D7"/>
    <w:rsid w:val="00A15331"/>
    <w:rsid w:val="00A15384"/>
    <w:rsid w:val="00A15441"/>
    <w:rsid w:val="00A15464"/>
    <w:rsid w:val="00A154C0"/>
    <w:rsid w:val="00A1568E"/>
    <w:rsid w:val="00A15739"/>
    <w:rsid w:val="00A15B62"/>
    <w:rsid w:val="00A15B78"/>
    <w:rsid w:val="00A15FBE"/>
    <w:rsid w:val="00A16354"/>
    <w:rsid w:val="00A16505"/>
    <w:rsid w:val="00A16544"/>
    <w:rsid w:val="00A165D8"/>
    <w:rsid w:val="00A1663C"/>
    <w:rsid w:val="00A16744"/>
    <w:rsid w:val="00A1687B"/>
    <w:rsid w:val="00A16B21"/>
    <w:rsid w:val="00A16C4C"/>
    <w:rsid w:val="00A16F27"/>
    <w:rsid w:val="00A16FC6"/>
    <w:rsid w:val="00A1710C"/>
    <w:rsid w:val="00A171F4"/>
    <w:rsid w:val="00A17326"/>
    <w:rsid w:val="00A17362"/>
    <w:rsid w:val="00A173D2"/>
    <w:rsid w:val="00A1746B"/>
    <w:rsid w:val="00A174AE"/>
    <w:rsid w:val="00A176D7"/>
    <w:rsid w:val="00A1777C"/>
    <w:rsid w:val="00A178C2"/>
    <w:rsid w:val="00A17983"/>
    <w:rsid w:val="00A17C52"/>
    <w:rsid w:val="00A17E68"/>
    <w:rsid w:val="00A17F17"/>
    <w:rsid w:val="00A17FD9"/>
    <w:rsid w:val="00A20054"/>
    <w:rsid w:val="00A200B7"/>
    <w:rsid w:val="00A20331"/>
    <w:rsid w:val="00A20441"/>
    <w:rsid w:val="00A20640"/>
    <w:rsid w:val="00A20847"/>
    <w:rsid w:val="00A208D8"/>
    <w:rsid w:val="00A20944"/>
    <w:rsid w:val="00A20A8B"/>
    <w:rsid w:val="00A20C60"/>
    <w:rsid w:val="00A20D64"/>
    <w:rsid w:val="00A20EF2"/>
    <w:rsid w:val="00A20F92"/>
    <w:rsid w:val="00A2107F"/>
    <w:rsid w:val="00A2120F"/>
    <w:rsid w:val="00A2129A"/>
    <w:rsid w:val="00A21578"/>
    <w:rsid w:val="00A2168E"/>
    <w:rsid w:val="00A21713"/>
    <w:rsid w:val="00A2176F"/>
    <w:rsid w:val="00A219BE"/>
    <w:rsid w:val="00A219FF"/>
    <w:rsid w:val="00A21DB5"/>
    <w:rsid w:val="00A21DD0"/>
    <w:rsid w:val="00A21E67"/>
    <w:rsid w:val="00A2247A"/>
    <w:rsid w:val="00A2288C"/>
    <w:rsid w:val="00A228C0"/>
    <w:rsid w:val="00A22AD8"/>
    <w:rsid w:val="00A22B93"/>
    <w:rsid w:val="00A22BA4"/>
    <w:rsid w:val="00A22D4D"/>
    <w:rsid w:val="00A22E0C"/>
    <w:rsid w:val="00A231F8"/>
    <w:rsid w:val="00A2328D"/>
    <w:rsid w:val="00A23298"/>
    <w:rsid w:val="00A233AB"/>
    <w:rsid w:val="00A234FD"/>
    <w:rsid w:val="00A238A5"/>
    <w:rsid w:val="00A239D8"/>
    <w:rsid w:val="00A23C26"/>
    <w:rsid w:val="00A23D6D"/>
    <w:rsid w:val="00A23D73"/>
    <w:rsid w:val="00A23E59"/>
    <w:rsid w:val="00A23E7F"/>
    <w:rsid w:val="00A23ECB"/>
    <w:rsid w:val="00A243DB"/>
    <w:rsid w:val="00A24629"/>
    <w:rsid w:val="00A2464E"/>
    <w:rsid w:val="00A24680"/>
    <w:rsid w:val="00A24A3D"/>
    <w:rsid w:val="00A24B7A"/>
    <w:rsid w:val="00A24B9E"/>
    <w:rsid w:val="00A24C7C"/>
    <w:rsid w:val="00A24CE1"/>
    <w:rsid w:val="00A24CFA"/>
    <w:rsid w:val="00A24D3B"/>
    <w:rsid w:val="00A24E54"/>
    <w:rsid w:val="00A24E60"/>
    <w:rsid w:val="00A24EC3"/>
    <w:rsid w:val="00A24F9E"/>
    <w:rsid w:val="00A252D9"/>
    <w:rsid w:val="00A25646"/>
    <w:rsid w:val="00A2572F"/>
    <w:rsid w:val="00A259BC"/>
    <w:rsid w:val="00A25ADE"/>
    <w:rsid w:val="00A25C17"/>
    <w:rsid w:val="00A25CAA"/>
    <w:rsid w:val="00A25DCD"/>
    <w:rsid w:val="00A25E49"/>
    <w:rsid w:val="00A25F88"/>
    <w:rsid w:val="00A25FB9"/>
    <w:rsid w:val="00A26058"/>
    <w:rsid w:val="00A260EB"/>
    <w:rsid w:val="00A2631E"/>
    <w:rsid w:val="00A26841"/>
    <w:rsid w:val="00A26944"/>
    <w:rsid w:val="00A26B1F"/>
    <w:rsid w:val="00A27098"/>
    <w:rsid w:val="00A270B0"/>
    <w:rsid w:val="00A272E0"/>
    <w:rsid w:val="00A27508"/>
    <w:rsid w:val="00A27539"/>
    <w:rsid w:val="00A27592"/>
    <w:rsid w:val="00A2769B"/>
    <w:rsid w:val="00A276F8"/>
    <w:rsid w:val="00A2779F"/>
    <w:rsid w:val="00A27802"/>
    <w:rsid w:val="00A278BC"/>
    <w:rsid w:val="00A278BF"/>
    <w:rsid w:val="00A27944"/>
    <w:rsid w:val="00A27BBD"/>
    <w:rsid w:val="00A27C38"/>
    <w:rsid w:val="00A27F16"/>
    <w:rsid w:val="00A27F17"/>
    <w:rsid w:val="00A3026D"/>
    <w:rsid w:val="00A302DE"/>
    <w:rsid w:val="00A3033A"/>
    <w:rsid w:val="00A307F9"/>
    <w:rsid w:val="00A3094D"/>
    <w:rsid w:val="00A30BF4"/>
    <w:rsid w:val="00A30C90"/>
    <w:rsid w:val="00A30CCE"/>
    <w:rsid w:val="00A30F57"/>
    <w:rsid w:val="00A30FB4"/>
    <w:rsid w:val="00A3104F"/>
    <w:rsid w:val="00A3150B"/>
    <w:rsid w:val="00A315FA"/>
    <w:rsid w:val="00A317A9"/>
    <w:rsid w:val="00A317BC"/>
    <w:rsid w:val="00A31800"/>
    <w:rsid w:val="00A318AF"/>
    <w:rsid w:val="00A31955"/>
    <w:rsid w:val="00A31BCC"/>
    <w:rsid w:val="00A31CC5"/>
    <w:rsid w:val="00A31D7C"/>
    <w:rsid w:val="00A320C3"/>
    <w:rsid w:val="00A3221D"/>
    <w:rsid w:val="00A325B5"/>
    <w:rsid w:val="00A327F3"/>
    <w:rsid w:val="00A328D8"/>
    <w:rsid w:val="00A32A0F"/>
    <w:rsid w:val="00A32D43"/>
    <w:rsid w:val="00A32F71"/>
    <w:rsid w:val="00A33012"/>
    <w:rsid w:val="00A3306B"/>
    <w:rsid w:val="00A33075"/>
    <w:rsid w:val="00A331C8"/>
    <w:rsid w:val="00A334D6"/>
    <w:rsid w:val="00A3354D"/>
    <w:rsid w:val="00A33793"/>
    <w:rsid w:val="00A337A6"/>
    <w:rsid w:val="00A337E1"/>
    <w:rsid w:val="00A3388A"/>
    <w:rsid w:val="00A338CB"/>
    <w:rsid w:val="00A33B83"/>
    <w:rsid w:val="00A33E2D"/>
    <w:rsid w:val="00A33F10"/>
    <w:rsid w:val="00A33F40"/>
    <w:rsid w:val="00A33FE2"/>
    <w:rsid w:val="00A3413B"/>
    <w:rsid w:val="00A34231"/>
    <w:rsid w:val="00A34266"/>
    <w:rsid w:val="00A3432A"/>
    <w:rsid w:val="00A34344"/>
    <w:rsid w:val="00A34AFC"/>
    <w:rsid w:val="00A34B51"/>
    <w:rsid w:val="00A34C81"/>
    <w:rsid w:val="00A34E21"/>
    <w:rsid w:val="00A3500E"/>
    <w:rsid w:val="00A350E6"/>
    <w:rsid w:val="00A351CC"/>
    <w:rsid w:val="00A3523E"/>
    <w:rsid w:val="00A352BF"/>
    <w:rsid w:val="00A35316"/>
    <w:rsid w:val="00A3575B"/>
    <w:rsid w:val="00A359A3"/>
    <w:rsid w:val="00A35B9D"/>
    <w:rsid w:val="00A35BC6"/>
    <w:rsid w:val="00A35F4D"/>
    <w:rsid w:val="00A360FC"/>
    <w:rsid w:val="00A361A0"/>
    <w:rsid w:val="00A36203"/>
    <w:rsid w:val="00A363D7"/>
    <w:rsid w:val="00A365DA"/>
    <w:rsid w:val="00A36759"/>
    <w:rsid w:val="00A369F3"/>
    <w:rsid w:val="00A36A40"/>
    <w:rsid w:val="00A36A99"/>
    <w:rsid w:val="00A36B53"/>
    <w:rsid w:val="00A36BE2"/>
    <w:rsid w:val="00A36C82"/>
    <w:rsid w:val="00A36CCA"/>
    <w:rsid w:val="00A36CFA"/>
    <w:rsid w:val="00A36ECD"/>
    <w:rsid w:val="00A36F1A"/>
    <w:rsid w:val="00A371AF"/>
    <w:rsid w:val="00A3722B"/>
    <w:rsid w:val="00A373CE"/>
    <w:rsid w:val="00A37410"/>
    <w:rsid w:val="00A37597"/>
    <w:rsid w:val="00A37670"/>
    <w:rsid w:val="00A3784C"/>
    <w:rsid w:val="00A37A3B"/>
    <w:rsid w:val="00A37AF1"/>
    <w:rsid w:val="00A37C0F"/>
    <w:rsid w:val="00A37C9C"/>
    <w:rsid w:val="00A37F82"/>
    <w:rsid w:val="00A4039E"/>
    <w:rsid w:val="00A4040F"/>
    <w:rsid w:val="00A404DF"/>
    <w:rsid w:val="00A40711"/>
    <w:rsid w:val="00A4074F"/>
    <w:rsid w:val="00A40939"/>
    <w:rsid w:val="00A4095E"/>
    <w:rsid w:val="00A40B20"/>
    <w:rsid w:val="00A40B4B"/>
    <w:rsid w:val="00A40B7A"/>
    <w:rsid w:val="00A40BC2"/>
    <w:rsid w:val="00A40D65"/>
    <w:rsid w:val="00A40D70"/>
    <w:rsid w:val="00A40E27"/>
    <w:rsid w:val="00A40E41"/>
    <w:rsid w:val="00A40E45"/>
    <w:rsid w:val="00A40E70"/>
    <w:rsid w:val="00A40F45"/>
    <w:rsid w:val="00A4117E"/>
    <w:rsid w:val="00A411EE"/>
    <w:rsid w:val="00A41323"/>
    <w:rsid w:val="00A41403"/>
    <w:rsid w:val="00A4140F"/>
    <w:rsid w:val="00A4157C"/>
    <w:rsid w:val="00A415E6"/>
    <w:rsid w:val="00A41656"/>
    <w:rsid w:val="00A41861"/>
    <w:rsid w:val="00A41C67"/>
    <w:rsid w:val="00A41CA7"/>
    <w:rsid w:val="00A41FBB"/>
    <w:rsid w:val="00A4207C"/>
    <w:rsid w:val="00A420CD"/>
    <w:rsid w:val="00A4229A"/>
    <w:rsid w:val="00A422D2"/>
    <w:rsid w:val="00A425D7"/>
    <w:rsid w:val="00A426C1"/>
    <w:rsid w:val="00A42757"/>
    <w:rsid w:val="00A42783"/>
    <w:rsid w:val="00A427F2"/>
    <w:rsid w:val="00A42819"/>
    <w:rsid w:val="00A42BA8"/>
    <w:rsid w:val="00A42BBB"/>
    <w:rsid w:val="00A42D3C"/>
    <w:rsid w:val="00A42D55"/>
    <w:rsid w:val="00A42FFE"/>
    <w:rsid w:val="00A43170"/>
    <w:rsid w:val="00A43174"/>
    <w:rsid w:val="00A4327D"/>
    <w:rsid w:val="00A432AE"/>
    <w:rsid w:val="00A433E3"/>
    <w:rsid w:val="00A4342A"/>
    <w:rsid w:val="00A4353B"/>
    <w:rsid w:val="00A43833"/>
    <w:rsid w:val="00A43957"/>
    <w:rsid w:val="00A4398D"/>
    <w:rsid w:val="00A439D6"/>
    <w:rsid w:val="00A43A1C"/>
    <w:rsid w:val="00A43A43"/>
    <w:rsid w:val="00A43EE2"/>
    <w:rsid w:val="00A44026"/>
    <w:rsid w:val="00A4432C"/>
    <w:rsid w:val="00A44350"/>
    <w:rsid w:val="00A444D7"/>
    <w:rsid w:val="00A44512"/>
    <w:rsid w:val="00A44524"/>
    <w:rsid w:val="00A44787"/>
    <w:rsid w:val="00A4489F"/>
    <w:rsid w:val="00A44C04"/>
    <w:rsid w:val="00A44C20"/>
    <w:rsid w:val="00A44E41"/>
    <w:rsid w:val="00A44E7B"/>
    <w:rsid w:val="00A44EF8"/>
    <w:rsid w:val="00A44F5B"/>
    <w:rsid w:val="00A44F9B"/>
    <w:rsid w:val="00A44FB5"/>
    <w:rsid w:val="00A4502E"/>
    <w:rsid w:val="00A4506B"/>
    <w:rsid w:val="00A45128"/>
    <w:rsid w:val="00A45225"/>
    <w:rsid w:val="00A45226"/>
    <w:rsid w:val="00A452BE"/>
    <w:rsid w:val="00A455EF"/>
    <w:rsid w:val="00A456FD"/>
    <w:rsid w:val="00A45744"/>
    <w:rsid w:val="00A4578D"/>
    <w:rsid w:val="00A45791"/>
    <w:rsid w:val="00A45D3F"/>
    <w:rsid w:val="00A45E30"/>
    <w:rsid w:val="00A46084"/>
    <w:rsid w:val="00A46086"/>
    <w:rsid w:val="00A4609A"/>
    <w:rsid w:val="00A460A2"/>
    <w:rsid w:val="00A461F1"/>
    <w:rsid w:val="00A46218"/>
    <w:rsid w:val="00A4630B"/>
    <w:rsid w:val="00A463D5"/>
    <w:rsid w:val="00A46465"/>
    <w:rsid w:val="00A46610"/>
    <w:rsid w:val="00A46A2B"/>
    <w:rsid w:val="00A46BDE"/>
    <w:rsid w:val="00A46C2D"/>
    <w:rsid w:val="00A46C5E"/>
    <w:rsid w:val="00A46DA5"/>
    <w:rsid w:val="00A46E5E"/>
    <w:rsid w:val="00A46F3F"/>
    <w:rsid w:val="00A47175"/>
    <w:rsid w:val="00A47237"/>
    <w:rsid w:val="00A4762D"/>
    <w:rsid w:val="00A47640"/>
    <w:rsid w:val="00A47A78"/>
    <w:rsid w:val="00A47AB8"/>
    <w:rsid w:val="00A47B59"/>
    <w:rsid w:val="00A47BC0"/>
    <w:rsid w:val="00A47C00"/>
    <w:rsid w:val="00A47E91"/>
    <w:rsid w:val="00A47ECE"/>
    <w:rsid w:val="00A50101"/>
    <w:rsid w:val="00A50361"/>
    <w:rsid w:val="00A503F8"/>
    <w:rsid w:val="00A5050D"/>
    <w:rsid w:val="00A50588"/>
    <w:rsid w:val="00A505C7"/>
    <w:rsid w:val="00A50755"/>
    <w:rsid w:val="00A507B7"/>
    <w:rsid w:val="00A50835"/>
    <w:rsid w:val="00A508BD"/>
    <w:rsid w:val="00A50A0A"/>
    <w:rsid w:val="00A50C55"/>
    <w:rsid w:val="00A50F1D"/>
    <w:rsid w:val="00A50F5E"/>
    <w:rsid w:val="00A50F8A"/>
    <w:rsid w:val="00A5103F"/>
    <w:rsid w:val="00A5106F"/>
    <w:rsid w:val="00A511D1"/>
    <w:rsid w:val="00A511D8"/>
    <w:rsid w:val="00A5127B"/>
    <w:rsid w:val="00A512C7"/>
    <w:rsid w:val="00A512ED"/>
    <w:rsid w:val="00A515BE"/>
    <w:rsid w:val="00A51807"/>
    <w:rsid w:val="00A518D3"/>
    <w:rsid w:val="00A51A19"/>
    <w:rsid w:val="00A51A39"/>
    <w:rsid w:val="00A51A8C"/>
    <w:rsid w:val="00A51B16"/>
    <w:rsid w:val="00A51C7F"/>
    <w:rsid w:val="00A51EF1"/>
    <w:rsid w:val="00A51F52"/>
    <w:rsid w:val="00A51FB2"/>
    <w:rsid w:val="00A520EE"/>
    <w:rsid w:val="00A52239"/>
    <w:rsid w:val="00A52296"/>
    <w:rsid w:val="00A52383"/>
    <w:rsid w:val="00A523FD"/>
    <w:rsid w:val="00A524AD"/>
    <w:rsid w:val="00A52644"/>
    <w:rsid w:val="00A52772"/>
    <w:rsid w:val="00A528A3"/>
    <w:rsid w:val="00A528ED"/>
    <w:rsid w:val="00A528FB"/>
    <w:rsid w:val="00A529C0"/>
    <w:rsid w:val="00A529C7"/>
    <w:rsid w:val="00A52A15"/>
    <w:rsid w:val="00A52A1D"/>
    <w:rsid w:val="00A52A3E"/>
    <w:rsid w:val="00A52A80"/>
    <w:rsid w:val="00A52AF5"/>
    <w:rsid w:val="00A52DA2"/>
    <w:rsid w:val="00A52E56"/>
    <w:rsid w:val="00A530A1"/>
    <w:rsid w:val="00A53286"/>
    <w:rsid w:val="00A5345C"/>
    <w:rsid w:val="00A5350D"/>
    <w:rsid w:val="00A538EB"/>
    <w:rsid w:val="00A539A3"/>
    <w:rsid w:val="00A539C1"/>
    <w:rsid w:val="00A53AA0"/>
    <w:rsid w:val="00A53B8D"/>
    <w:rsid w:val="00A53E89"/>
    <w:rsid w:val="00A54161"/>
    <w:rsid w:val="00A54270"/>
    <w:rsid w:val="00A54277"/>
    <w:rsid w:val="00A54361"/>
    <w:rsid w:val="00A543D6"/>
    <w:rsid w:val="00A54496"/>
    <w:rsid w:val="00A54A38"/>
    <w:rsid w:val="00A54C7E"/>
    <w:rsid w:val="00A54D4E"/>
    <w:rsid w:val="00A54E2C"/>
    <w:rsid w:val="00A54E50"/>
    <w:rsid w:val="00A54EA5"/>
    <w:rsid w:val="00A54F79"/>
    <w:rsid w:val="00A550D1"/>
    <w:rsid w:val="00A550F7"/>
    <w:rsid w:val="00A551CD"/>
    <w:rsid w:val="00A552BA"/>
    <w:rsid w:val="00A55367"/>
    <w:rsid w:val="00A553C2"/>
    <w:rsid w:val="00A553F7"/>
    <w:rsid w:val="00A55415"/>
    <w:rsid w:val="00A55514"/>
    <w:rsid w:val="00A5553D"/>
    <w:rsid w:val="00A55642"/>
    <w:rsid w:val="00A556B3"/>
    <w:rsid w:val="00A55742"/>
    <w:rsid w:val="00A557A0"/>
    <w:rsid w:val="00A557B6"/>
    <w:rsid w:val="00A55993"/>
    <w:rsid w:val="00A55CE7"/>
    <w:rsid w:val="00A55E88"/>
    <w:rsid w:val="00A55EDD"/>
    <w:rsid w:val="00A55F41"/>
    <w:rsid w:val="00A55FA0"/>
    <w:rsid w:val="00A55FAB"/>
    <w:rsid w:val="00A560B9"/>
    <w:rsid w:val="00A562EA"/>
    <w:rsid w:val="00A56356"/>
    <w:rsid w:val="00A56411"/>
    <w:rsid w:val="00A564E5"/>
    <w:rsid w:val="00A5670A"/>
    <w:rsid w:val="00A5673C"/>
    <w:rsid w:val="00A56756"/>
    <w:rsid w:val="00A5689A"/>
    <w:rsid w:val="00A5694F"/>
    <w:rsid w:val="00A56D37"/>
    <w:rsid w:val="00A56E85"/>
    <w:rsid w:val="00A56FAC"/>
    <w:rsid w:val="00A570C7"/>
    <w:rsid w:val="00A57286"/>
    <w:rsid w:val="00A573FE"/>
    <w:rsid w:val="00A57401"/>
    <w:rsid w:val="00A576C9"/>
    <w:rsid w:val="00A576D5"/>
    <w:rsid w:val="00A57876"/>
    <w:rsid w:val="00A57B74"/>
    <w:rsid w:val="00A57C26"/>
    <w:rsid w:val="00A57CAD"/>
    <w:rsid w:val="00A57CD1"/>
    <w:rsid w:val="00A57E72"/>
    <w:rsid w:val="00A57EAE"/>
    <w:rsid w:val="00A57EC1"/>
    <w:rsid w:val="00A60336"/>
    <w:rsid w:val="00A60476"/>
    <w:rsid w:val="00A60518"/>
    <w:rsid w:val="00A60668"/>
    <w:rsid w:val="00A606FE"/>
    <w:rsid w:val="00A6073A"/>
    <w:rsid w:val="00A60869"/>
    <w:rsid w:val="00A60915"/>
    <w:rsid w:val="00A60B44"/>
    <w:rsid w:val="00A60C61"/>
    <w:rsid w:val="00A60CEE"/>
    <w:rsid w:val="00A60DBC"/>
    <w:rsid w:val="00A60DF4"/>
    <w:rsid w:val="00A60F45"/>
    <w:rsid w:val="00A61106"/>
    <w:rsid w:val="00A61115"/>
    <w:rsid w:val="00A61139"/>
    <w:rsid w:val="00A613D8"/>
    <w:rsid w:val="00A61439"/>
    <w:rsid w:val="00A615F4"/>
    <w:rsid w:val="00A61A41"/>
    <w:rsid w:val="00A61D7F"/>
    <w:rsid w:val="00A61E6A"/>
    <w:rsid w:val="00A61F12"/>
    <w:rsid w:val="00A62021"/>
    <w:rsid w:val="00A620BF"/>
    <w:rsid w:val="00A625B6"/>
    <w:rsid w:val="00A625C1"/>
    <w:rsid w:val="00A626C5"/>
    <w:rsid w:val="00A627EC"/>
    <w:rsid w:val="00A62846"/>
    <w:rsid w:val="00A62BE3"/>
    <w:rsid w:val="00A62BF6"/>
    <w:rsid w:val="00A62E67"/>
    <w:rsid w:val="00A62F06"/>
    <w:rsid w:val="00A62F35"/>
    <w:rsid w:val="00A62FBE"/>
    <w:rsid w:val="00A63022"/>
    <w:rsid w:val="00A6319E"/>
    <w:rsid w:val="00A63518"/>
    <w:rsid w:val="00A63519"/>
    <w:rsid w:val="00A6352A"/>
    <w:rsid w:val="00A635BF"/>
    <w:rsid w:val="00A63809"/>
    <w:rsid w:val="00A63C84"/>
    <w:rsid w:val="00A63D63"/>
    <w:rsid w:val="00A63DC1"/>
    <w:rsid w:val="00A63DE1"/>
    <w:rsid w:val="00A63F59"/>
    <w:rsid w:val="00A641A9"/>
    <w:rsid w:val="00A641C6"/>
    <w:rsid w:val="00A641DE"/>
    <w:rsid w:val="00A64377"/>
    <w:rsid w:val="00A643A3"/>
    <w:rsid w:val="00A644C5"/>
    <w:rsid w:val="00A644D0"/>
    <w:rsid w:val="00A644E2"/>
    <w:rsid w:val="00A645A7"/>
    <w:rsid w:val="00A645A8"/>
    <w:rsid w:val="00A645B4"/>
    <w:rsid w:val="00A6473F"/>
    <w:rsid w:val="00A647FC"/>
    <w:rsid w:val="00A64828"/>
    <w:rsid w:val="00A64895"/>
    <w:rsid w:val="00A648B7"/>
    <w:rsid w:val="00A649B5"/>
    <w:rsid w:val="00A64BC4"/>
    <w:rsid w:val="00A64D19"/>
    <w:rsid w:val="00A64E50"/>
    <w:rsid w:val="00A64FBA"/>
    <w:rsid w:val="00A65186"/>
    <w:rsid w:val="00A65219"/>
    <w:rsid w:val="00A65224"/>
    <w:rsid w:val="00A657CC"/>
    <w:rsid w:val="00A657E7"/>
    <w:rsid w:val="00A6598D"/>
    <w:rsid w:val="00A65B8B"/>
    <w:rsid w:val="00A65E88"/>
    <w:rsid w:val="00A66183"/>
    <w:rsid w:val="00A661A2"/>
    <w:rsid w:val="00A664B1"/>
    <w:rsid w:val="00A66693"/>
    <w:rsid w:val="00A6670A"/>
    <w:rsid w:val="00A66A05"/>
    <w:rsid w:val="00A66B3B"/>
    <w:rsid w:val="00A66B80"/>
    <w:rsid w:val="00A66D3F"/>
    <w:rsid w:val="00A66F4F"/>
    <w:rsid w:val="00A66FEA"/>
    <w:rsid w:val="00A6701A"/>
    <w:rsid w:val="00A67059"/>
    <w:rsid w:val="00A67098"/>
    <w:rsid w:val="00A6748E"/>
    <w:rsid w:val="00A674A3"/>
    <w:rsid w:val="00A6757E"/>
    <w:rsid w:val="00A675A2"/>
    <w:rsid w:val="00A67682"/>
    <w:rsid w:val="00A67A1B"/>
    <w:rsid w:val="00A67C0E"/>
    <w:rsid w:val="00A67D4B"/>
    <w:rsid w:val="00A67FE6"/>
    <w:rsid w:val="00A701C6"/>
    <w:rsid w:val="00A7020F"/>
    <w:rsid w:val="00A702F4"/>
    <w:rsid w:val="00A7031A"/>
    <w:rsid w:val="00A7053F"/>
    <w:rsid w:val="00A705C8"/>
    <w:rsid w:val="00A70821"/>
    <w:rsid w:val="00A709C3"/>
    <w:rsid w:val="00A70C0B"/>
    <w:rsid w:val="00A70C2F"/>
    <w:rsid w:val="00A70CC1"/>
    <w:rsid w:val="00A70DFA"/>
    <w:rsid w:val="00A70FD4"/>
    <w:rsid w:val="00A7139A"/>
    <w:rsid w:val="00A71471"/>
    <w:rsid w:val="00A715E8"/>
    <w:rsid w:val="00A716B8"/>
    <w:rsid w:val="00A71796"/>
    <w:rsid w:val="00A717A5"/>
    <w:rsid w:val="00A71886"/>
    <w:rsid w:val="00A718A6"/>
    <w:rsid w:val="00A71908"/>
    <w:rsid w:val="00A71A3A"/>
    <w:rsid w:val="00A71BE0"/>
    <w:rsid w:val="00A71BF3"/>
    <w:rsid w:val="00A72092"/>
    <w:rsid w:val="00A721B4"/>
    <w:rsid w:val="00A722AC"/>
    <w:rsid w:val="00A724A8"/>
    <w:rsid w:val="00A724F0"/>
    <w:rsid w:val="00A72590"/>
    <w:rsid w:val="00A72600"/>
    <w:rsid w:val="00A727A5"/>
    <w:rsid w:val="00A72A01"/>
    <w:rsid w:val="00A72BE9"/>
    <w:rsid w:val="00A72BEC"/>
    <w:rsid w:val="00A72D48"/>
    <w:rsid w:val="00A72FA2"/>
    <w:rsid w:val="00A73050"/>
    <w:rsid w:val="00A73195"/>
    <w:rsid w:val="00A7347B"/>
    <w:rsid w:val="00A736F4"/>
    <w:rsid w:val="00A738C0"/>
    <w:rsid w:val="00A7396D"/>
    <w:rsid w:val="00A73A70"/>
    <w:rsid w:val="00A73BF4"/>
    <w:rsid w:val="00A73DBB"/>
    <w:rsid w:val="00A73E23"/>
    <w:rsid w:val="00A73FC4"/>
    <w:rsid w:val="00A7408C"/>
    <w:rsid w:val="00A740BC"/>
    <w:rsid w:val="00A746AE"/>
    <w:rsid w:val="00A74957"/>
    <w:rsid w:val="00A74A0D"/>
    <w:rsid w:val="00A74C35"/>
    <w:rsid w:val="00A74C38"/>
    <w:rsid w:val="00A74D4A"/>
    <w:rsid w:val="00A74E84"/>
    <w:rsid w:val="00A74F9D"/>
    <w:rsid w:val="00A750EE"/>
    <w:rsid w:val="00A7528E"/>
    <w:rsid w:val="00A75759"/>
    <w:rsid w:val="00A757F7"/>
    <w:rsid w:val="00A7593B"/>
    <w:rsid w:val="00A75C36"/>
    <w:rsid w:val="00A75EB9"/>
    <w:rsid w:val="00A75F6F"/>
    <w:rsid w:val="00A75FA5"/>
    <w:rsid w:val="00A76168"/>
    <w:rsid w:val="00A761DE"/>
    <w:rsid w:val="00A76306"/>
    <w:rsid w:val="00A76362"/>
    <w:rsid w:val="00A76487"/>
    <w:rsid w:val="00A7662E"/>
    <w:rsid w:val="00A76679"/>
    <w:rsid w:val="00A7676E"/>
    <w:rsid w:val="00A7686C"/>
    <w:rsid w:val="00A768D8"/>
    <w:rsid w:val="00A76B6E"/>
    <w:rsid w:val="00A76BF4"/>
    <w:rsid w:val="00A76C55"/>
    <w:rsid w:val="00A76C7C"/>
    <w:rsid w:val="00A76CED"/>
    <w:rsid w:val="00A76D98"/>
    <w:rsid w:val="00A76DEE"/>
    <w:rsid w:val="00A77224"/>
    <w:rsid w:val="00A77316"/>
    <w:rsid w:val="00A77374"/>
    <w:rsid w:val="00A77653"/>
    <w:rsid w:val="00A7767C"/>
    <w:rsid w:val="00A776BB"/>
    <w:rsid w:val="00A776D1"/>
    <w:rsid w:val="00A77D64"/>
    <w:rsid w:val="00A77D7C"/>
    <w:rsid w:val="00A77E70"/>
    <w:rsid w:val="00A77F0E"/>
    <w:rsid w:val="00A77FD2"/>
    <w:rsid w:val="00A80073"/>
    <w:rsid w:val="00A800D7"/>
    <w:rsid w:val="00A803B2"/>
    <w:rsid w:val="00A80515"/>
    <w:rsid w:val="00A80583"/>
    <w:rsid w:val="00A807B0"/>
    <w:rsid w:val="00A80817"/>
    <w:rsid w:val="00A8082B"/>
    <w:rsid w:val="00A80943"/>
    <w:rsid w:val="00A80C3C"/>
    <w:rsid w:val="00A8127C"/>
    <w:rsid w:val="00A813D3"/>
    <w:rsid w:val="00A81467"/>
    <w:rsid w:val="00A8162A"/>
    <w:rsid w:val="00A817A5"/>
    <w:rsid w:val="00A819E7"/>
    <w:rsid w:val="00A81C31"/>
    <w:rsid w:val="00A81D0E"/>
    <w:rsid w:val="00A81F40"/>
    <w:rsid w:val="00A821ED"/>
    <w:rsid w:val="00A8225C"/>
    <w:rsid w:val="00A822A5"/>
    <w:rsid w:val="00A822E4"/>
    <w:rsid w:val="00A822F6"/>
    <w:rsid w:val="00A82596"/>
    <w:rsid w:val="00A825D4"/>
    <w:rsid w:val="00A825EE"/>
    <w:rsid w:val="00A827D4"/>
    <w:rsid w:val="00A82871"/>
    <w:rsid w:val="00A8296E"/>
    <w:rsid w:val="00A82AC8"/>
    <w:rsid w:val="00A830AE"/>
    <w:rsid w:val="00A832EA"/>
    <w:rsid w:val="00A83320"/>
    <w:rsid w:val="00A8349F"/>
    <w:rsid w:val="00A83507"/>
    <w:rsid w:val="00A8368C"/>
    <w:rsid w:val="00A837BD"/>
    <w:rsid w:val="00A839F4"/>
    <w:rsid w:val="00A83B7D"/>
    <w:rsid w:val="00A83C96"/>
    <w:rsid w:val="00A83CDE"/>
    <w:rsid w:val="00A83ED0"/>
    <w:rsid w:val="00A83EF7"/>
    <w:rsid w:val="00A83F0A"/>
    <w:rsid w:val="00A83F77"/>
    <w:rsid w:val="00A840C1"/>
    <w:rsid w:val="00A842A5"/>
    <w:rsid w:val="00A8436E"/>
    <w:rsid w:val="00A84459"/>
    <w:rsid w:val="00A847E2"/>
    <w:rsid w:val="00A848BB"/>
    <w:rsid w:val="00A849C0"/>
    <w:rsid w:val="00A84C21"/>
    <w:rsid w:val="00A84F3C"/>
    <w:rsid w:val="00A853B0"/>
    <w:rsid w:val="00A853BA"/>
    <w:rsid w:val="00A85470"/>
    <w:rsid w:val="00A85539"/>
    <w:rsid w:val="00A85560"/>
    <w:rsid w:val="00A85D26"/>
    <w:rsid w:val="00A85D56"/>
    <w:rsid w:val="00A85E2E"/>
    <w:rsid w:val="00A85F01"/>
    <w:rsid w:val="00A85F53"/>
    <w:rsid w:val="00A8617B"/>
    <w:rsid w:val="00A8626D"/>
    <w:rsid w:val="00A8651E"/>
    <w:rsid w:val="00A865E4"/>
    <w:rsid w:val="00A8661F"/>
    <w:rsid w:val="00A86815"/>
    <w:rsid w:val="00A86A3A"/>
    <w:rsid w:val="00A86AC5"/>
    <w:rsid w:val="00A86E18"/>
    <w:rsid w:val="00A87154"/>
    <w:rsid w:val="00A8722D"/>
    <w:rsid w:val="00A87393"/>
    <w:rsid w:val="00A873D4"/>
    <w:rsid w:val="00A873E0"/>
    <w:rsid w:val="00A875D9"/>
    <w:rsid w:val="00A875FC"/>
    <w:rsid w:val="00A87844"/>
    <w:rsid w:val="00A8784D"/>
    <w:rsid w:val="00A87A08"/>
    <w:rsid w:val="00A87A32"/>
    <w:rsid w:val="00A87B4B"/>
    <w:rsid w:val="00A87C41"/>
    <w:rsid w:val="00A87C9C"/>
    <w:rsid w:val="00A9022C"/>
    <w:rsid w:val="00A903CB"/>
    <w:rsid w:val="00A905C3"/>
    <w:rsid w:val="00A90855"/>
    <w:rsid w:val="00A909DA"/>
    <w:rsid w:val="00A90AC6"/>
    <w:rsid w:val="00A90E1F"/>
    <w:rsid w:val="00A91018"/>
    <w:rsid w:val="00A9106A"/>
    <w:rsid w:val="00A91192"/>
    <w:rsid w:val="00A911D2"/>
    <w:rsid w:val="00A91307"/>
    <w:rsid w:val="00A9136F"/>
    <w:rsid w:val="00A916CD"/>
    <w:rsid w:val="00A91858"/>
    <w:rsid w:val="00A91943"/>
    <w:rsid w:val="00A91F48"/>
    <w:rsid w:val="00A91F4E"/>
    <w:rsid w:val="00A920BE"/>
    <w:rsid w:val="00A92209"/>
    <w:rsid w:val="00A9229B"/>
    <w:rsid w:val="00A9229C"/>
    <w:rsid w:val="00A92305"/>
    <w:rsid w:val="00A9239F"/>
    <w:rsid w:val="00A9245A"/>
    <w:rsid w:val="00A925B8"/>
    <w:rsid w:val="00A92633"/>
    <w:rsid w:val="00A927FF"/>
    <w:rsid w:val="00A9288C"/>
    <w:rsid w:val="00A928B7"/>
    <w:rsid w:val="00A92907"/>
    <w:rsid w:val="00A92B91"/>
    <w:rsid w:val="00A92F7A"/>
    <w:rsid w:val="00A9309D"/>
    <w:rsid w:val="00A93133"/>
    <w:rsid w:val="00A9315C"/>
    <w:rsid w:val="00A931C6"/>
    <w:rsid w:val="00A9332B"/>
    <w:rsid w:val="00A93457"/>
    <w:rsid w:val="00A93740"/>
    <w:rsid w:val="00A93852"/>
    <w:rsid w:val="00A93AA3"/>
    <w:rsid w:val="00A93D11"/>
    <w:rsid w:val="00A93E02"/>
    <w:rsid w:val="00A93EE6"/>
    <w:rsid w:val="00A93FEF"/>
    <w:rsid w:val="00A943A7"/>
    <w:rsid w:val="00A94440"/>
    <w:rsid w:val="00A9457E"/>
    <w:rsid w:val="00A945B6"/>
    <w:rsid w:val="00A9482A"/>
    <w:rsid w:val="00A94B51"/>
    <w:rsid w:val="00A94C33"/>
    <w:rsid w:val="00A94CA4"/>
    <w:rsid w:val="00A95018"/>
    <w:rsid w:val="00A954CF"/>
    <w:rsid w:val="00A95669"/>
    <w:rsid w:val="00A9617A"/>
    <w:rsid w:val="00A9622F"/>
    <w:rsid w:val="00A96293"/>
    <w:rsid w:val="00A962C6"/>
    <w:rsid w:val="00A9655E"/>
    <w:rsid w:val="00A96564"/>
    <w:rsid w:val="00A965CB"/>
    <w:rsid w:val="00A967FE"/>
    <w:rsid w:val="00A96948"/>
    <w:rsid w:val="00A96962"/>
    <w:rsid w:val="00A96CE6"/>
    <w:rsid w:val="00A96D83"/>
    <w:rsid w:val="00A96E15"/>
    <w:rsid w:val="00A96F0F"/>
    <w:rsid w:val="00A96FBD"/>
    <w:rsid w:val="00A96FFC"/>
    <w:rsid w:val="00A970CA"/>
    <w:rsid w:val="00A97141"/>
    <w:rsid w:val="00A97161"/>
    <w:rsid w:val="00A9726D"/>
    <w:rsid w:val="00A975A9"/>
    <w:rsid w:val="00A97633"/>
    <w:rsid w:val="00A977E2"/>
    <w:rsid w:val="00A978C1"/>
    <w:rsid w:val="00A97AC3"/>
    <w:rsid w:val="00A97D07"/>
    <w:rsid w:val="00A97F2B"/>
    <w:rsid w:val="00AA0070"/>
    <w:rsid w:val="00AA00C6"/>
    <w:rsid w:val="00AA0195"/>
    <w:rsid w:val="00AA0249"/>
    <w:rsid w:val="00AA028C"/>
    <w:rsid w:val="00AA080A"/>
    <w:rsid w:val="00AA0901"/>
    <w:rsid w:val="00AA0C85"/>
    <w:rsid w:val="00AA0CB7"/>
    <w:rsid w:val="00AA0D43"/>
    <w:rsid w:val="00AA0E15"/>
    <w:rsid w:val="00AA0E19"/>
    <w:rsid w:val="00AA0EEA"/>
    <w:rsid w:val="00AA0FB9"/>
    <w:rsid w:val="00AA10E4"/>
    <w:rsid w:val="00AA10F8"/>
    <w:rsid w:val="00AA113C"/>
    <w:rsid w:val="00AA11DF"/>
    <w:rsid w:val="00AA1387"/>
    <w:rsid w:val="00AA1478"/>
    <w:rsid w:val="00AA14B6"/>
    <w:rsid w:val="00AA182C"/>
    <w:rsid w:val="00AA1928"/>
    <w:rsid w:val="00AA1B24"/>
    <w:rsid w:val="00AA1B4C"/>
    <w:rsid w:val="00AA1C16"/>
    <w:rsid w:val="00AA1C66"/>
    <w:rsid w:val="00AA1CA7"/>
    <w:rsid w:val="00AA1CD3"/>
    <w:rsid w:val="00AA1CDC"/>
    <w:rsid w:val="00AA1D1F"/>
    <w:rsid w:val="00AA1D39"/>
    <w:rsid w:val="00AA1DD4"/>
    <w:rsid w:val="00AA1E21"/>
    <w:rsid w:val="00AA1EAB"/>
    <w:rsid w:val="00AA1F41"/>
    <w:rsid w:val="00AA1F55"/>
    <w:rsid w:val="00AA20F6"/>
    <w:rsid w:val="00AA2116"/>
    <w:rsid w:val="00AA218E"/>
    <w:rsid w:val="00AA2204"/>
    <w:rsid w:val="00AA239C"/>
    <w:rsid w:val="00AA23E3"/>
    <w:rsid w:val="00AA2431"/>
    <w:rsid w:val="00AA256B"/>
    <w:rsid w:val="00AA265C"/>
    <w:rsid w:val="00AA2772"/>
    <w:rsid w:val="00AA27B1"/>
    <w:rsid w:val="00AA2829"/>
    <w:rsid w:val="00AA2893"/>
    <w:rsid w:val="00AA295C"/>
    <w:rsid w:val="00AA2D8A"/>
    <w:rsid w:val="00AA2D9F"/>
    <w:rsid w:val="00AA2EBF"/>
    <w:rsid w:val="00AA3065"/>
    <w:rsid w:val="00AA3073"/>
    <w:rsid w:val="00AA32C9"/>
    <w:rsid w:val="00AA3583"/>
    <w:rsid w:val="00AA3642"/>
    <w:rsid w:val="00AA3686"/>
    <w:rsid w:val="00AA37CE"/>
    <w:rsid w:val="00AA3945"/>
    <w:rsid w:val="00AA39E8"/>
    <w:rsid w:val="00AA3BEF"/>
    <w:rsid w:val="00AA3C7C"/>
    <w:rsid w:val="00AA3D70"/>
    <w:rsid w:val="00AA3EEA"/>
    <w:rsid w:val="00AA402A"/>
    <w:rsid w:val="00AA40B5"/>
    <w:rsid w:val="00AA416A"/>
    <w:rsid w:val="00AA4275"/>
    <w:rsid w:val="00AA45AA"/>
    <w:rsid w:val="00AA47BD"/>
    <w:rsid w:val="00AA47E6"/>
    <w:rsid w:val="00AA4804"/>
    <w:rsid w:val="00AA4BAB"/>
    <w:rsid w:val="00AA5029"/>
    <w:rsid w:val="00AA50D0"/>
    <w:rsid w:val="00AA523F"/>
    <w:rsid w:val="00AA5309"/>
    <w:rsid w:val="00AA551E"/>
    <w:rsid w:val="00AA55DA"/>
    <w:rsid w:val="00AA5717"/>
    <w:rsid w:val="00AA590C"/>
    <w:rsid w:val="00AA59FB"/>
    <w:rsid w:val="00AA5A43"/>
    <w:rsid w:val="00AA5B71"/>
    <w:rsid w:val="00AA5DFB"/>
    <w:rsid w:val="00AA5E3A"/>
    <w:rsid w:val="00AA5E65"/>
    <w:rsid w:val="00AA5E83"/>
    <w:rsid w:val="00AA5E94"/>
    <w:rsid w:val="00AA5F03"/>
    <w:rsid w:val="00AA5F52"/>
    <w:rsid w:val="00AA60D8"/>
    <w:rsid w:val="00AA61A5"/>
    <w:rsid w:val="00AA61AB"/>
    <w:rsid w:val="00AA6226"/>
    <w:rsid w:val="00AA63C6"/>
    <w:rsid w:val="00AA648E"/>
    <w:rsid w:val="00AA64B0"/>
    <w:rsid w:val="00AA6594"/>
    <w:rsid w:val="00AA65AE"/>
    <w:rsid w:val="00AA6620"/>
    <w:rsid w:val="00AA6630"/>
    <w:rsid w:val="00AA6864"/>
    <w:rsid w:val="00AA687A"/>
    <w:rsid w:val="00AA6ABB"/>
    <w:rsid w:val="00AA6D7D"/>
    <w:rsid w:val="00AA6E20"/>
    <w:rsid w:val="00AA6F6B"/>
    <w:rsid w:val="00AA7026"/>
    <w:rsid w:val="00AA7130"/>
    <w:rsid w:val="00AA7153"/>
    <w:rsid w:val="00AA717A"/>
    <w:rsid w:val="00AA71E3"/>
    <w:rsid w:val="00AA73B6"/>
    <w:rsid w:val="00AA7507"/>
    <w:rsid w:val="00AA75BD"/>
    <w:rsid w:val="00AA7606"/>
    <w:rsid w:val="00AA768B"/>
    <w:rsid w:val="00AA7751"/>
    <w:rsid w:val="00AA77D5"/>
    <w:rsid w:val="00AA7999"/>
    <w:rsid w:val="00AA7B5E"/>
    <w:rsid w:val="00AA7BFB"/>
    <w:rsid w:val="00AA7C84"/>
    <w:rsid w:val="00AA7F47"/>
    <w:rsid w:val="00AB0133"/>
    <w:rsid w:val="00AB01C1"/>
    <w:rsid w:val="00AB029C"/>
    <w:rsid w:val="00AB04C8"/>
    <w:rsid w:val="00AB0508"/>
    <w:rsid w:val="00AB05E5"/>
    <w:rsid w:val="00AB06C3"/>
    <w:rsid w:val="00AB0768"/>
    <w:rsid w:val="00AB0971"/>
    <w:rsid w:val="00AB0BD6"/>
    <w:rsid w:val="00AB0C80"/>
    <w:rsid w:val="00AB0CC1"/>
    <w:rsid w:val="00AB0D4F"/>
    <w:rsid w:val="00AB0DDB"/>
    <w:rsid w:val="00AB0EBA"/>
    <w:rsid w:val="00AB116B"/>
    <w:rsid w:val="00AB123F"/>
    <w:rsid w:val="00AB1329"/>
    <w:rsid w:val="00AB13C2"/>
    <w:rsid w:val="00AB1675"/>
    <w:rsid w:val="00AB1759"/>
    <w:rsid w:val="00AB1899"/>
    <w:rsid w:val="00AB18AF"/>
    <w:rsid w:val="00AB18CD"/>
    <w:rsid w:val="00AB1A6B"/>
    <w:rsid w:val="00AB1B23"/>
    <w:rsid w:val="00AB1BEA"/>
    <w:rsid w:val="00AB1CE4"/>
    <w:rsid w:val="00AB1D6D"/>
    <w:rsid w:val="00AB1E24"/>
    <w:rsid w:val="00AB1EA1"/>
    <w:rsid w:val="00AB1EC1"/>
    <w:rsid w:val="00AB1FAB"/>
    <w:rsid w:val="00AB22B8"/>
    <w:rsid w:val="00AB2320"/>
    <w:rsid w:val="00AB2346"/>
    <w:rsid w:val="00AB24C9"/>
    <w:rsid w:val="00AB25D2"/>
    <w:rsid w:val="00AB29D0"/>
    <w:rsid w:val="00AB2C5C"/>
    <w:rsid w:val="00AB2CDC"/>
    <w:rsid w:val="00AB3041"/>
    <w:rsid w:val="00AB32A7"/>
    <w:rsid w:val="00AB339D"/>
    <w:rsid w:val="00AB363C"/>
    <w:rsid w:val="00AB36EF"/>
    <w:rsid w:val="00AB3708"/>
    <w:rsid w:val="00AB38CA"/>
    <w:rsid w:val="00AB3900"/>
    <w:rsid w:val="00AB394D"/>
    <w:rsid w:val="00AB39BC"/>
    <w:rsid w:val="00AB39E8"/>
    <w:rsid w:val="00AB39F6"/>
    <w:rsid w:val="00AB3B93"/>
    <w:rsid w:val="00AB3BDF"/>
    <w:rsid w:val="00AB3C05"/>
    <w:rsid w:val="00AB3CF3"/>
    <w:rsid w:val="00AB3D66"/>
    <w:rsid w:val="00AB3DEF"/>
    <w:rsid w:val="00AB3E09"/>
    <w:rsid w:val="00AB3FF5"/>
    <w:rsid w:val="00AB43E7"/>
    <w:rsid w:val="00AB441A"/>
    <w:rsid w:val="00AB45CC"/>
    <w:rsid w:val="00AB4681"/>
    <w:rsid w:val="00AB47E3"/>
    <w:rsid w:val="00AB4871"/>
    <w:rsid w:val="00AB48AD"/>
    <w:rsid w:val="00AB493C"/>
    <w:rsid w:val="00AB4986"/>
    <w:rsid w:val="00AB4B81"/>
    <w:rsid w:val="00AB4CD0"/>
    <w:rsid w:val="00AB4EC6"/>
    <w:rsid w:val="00AB5161"/>
    <w:rsid w:val="00AB5191"/>
    <w:rsid w:val="00AB52C5"/>
    <w:rsid w:val="00AB532A"/>
    <w:rsid w:val="00AB541C"/>
    <w:rsid w:val="00AB5499"/>
    <w:rsid w:val="00AB55F6"/>
    <w:rsid w:val="00AB5783"/>
    <w:rsid w:val="00AB57D8"/>
    <w:rsid w:val="00AB5839"/>
    <w:rsid w:val="00AB58FC"/>
    <w:rsid w:val="00AB59E6"/>
    <w:rsid w:val="00AB5AEC"/>
    <w:rsid w:val="00AB5B25"/>
    <w:rsid w:val="00AB5BCE"/>
    <w:rsid w:val="00AB5DB0"/>
    <w:rsid w:val="00AB5DB7"/>
    <w:rsid w:val="00AB5F17"/>
    <w:rsid w:val="00AB5F2E"/>
    <w:rsid w:val="00AB60F4"/>
    <w:rsid w:val="00AB61A2"/>
    <w:rsid w:val="00AB631D"/>
    <w:rsid w:val="00AB632C"/>
    <w:rsid w:val="00AB63BA"/>
    <w:rsid w:val="00AB6520"/>
    <w:rsid w:val="00AB66D7"/>
    <w:rsid w:val="00AB672A"/>
    <w:rsid w:val="00AB6823"/>
    <w:rsid w:val="00AB696C"/>
    <w:rsid w:val="00AB6D1F"/>
    <w:rsid w:val="00AB6E67"/>
    <w:rsid w:val="00AB701F"/>
    <w:rsid w:val="00AB709A"/>
    <w:rsid w:val="00AB70FC"/>
    <w:rsid w:val="00AB726D"/>
    <w:rsid w:val="00AB739C"/>
    <w:rsid w:val="00AB73F3"/>
    <w:rsid w:val="00AB7472"/>
    <w:rsid w:val="00AB7698"/>
    <w:rsid w:val="00AB77DB"/>
    <w:rsid w:val="00AB79B9"/>
    <w:rsid w:val="00AB7AF6"/>
    <w:rsid w:val="00AB7B08"/>
    <w:rsid w:val="00AB7B4B"/>
    <w:rsid w:val="00AB7C3F"/>
    <w:rsid w:val="00AB7CC4"/>
    <w:rsid w:val="00AB7CFD"/>
    <w:rsid w:val="00AB7FA7"/>
    <w:rsid w:val="00AC0063"/>
    <w:rsid w:val="00AC0139"/>
    <w:rsid w:val="00AC01FB"/>
    <w:rsid w:val="00AC0284"/>
    <w:rsid w:val="00AC04B3"/>
    <w:rsid w:val="00AC0600"/>
    <w:rsid w:val="00AC06BA"/>
    <w:rsid w:val="00AC0AE6"/>
    <w:rsid w:val="00AC0B8D"/>
    <w:rsid w:val="00AC0BB1"/>
    <w:rsid w:val="00AC0C56"/>
    <w:rsid w:val="00AC0E1B"/>
    <w:rsid w:val="00AC1198"/>
    <w:rsid w:val="00AC11BC"/>
    <w:rsid w:val="00AC121D"/>
    <w:rsid w:val="00AC12C6"/>
    <w:rsid w:val="00AC1323"/>
    <w:rsid w:val="00AC1328"/>
    <w:rsid w:val="00AC1341"/>
    <w:rsid w:val="00AC1655"/>
    <w:rsid w:val="00AC165D"/>
    <w:rsid w:val="00AC16B8"/>
    <w:rsid w:val="00AC179F"/>
    <w:rsid w:val="00AC17B2"/>
    <w:rsid w:val="00AC185E"/>
    <w:rsid w:val="00AC19CE"/>
    <w:rsid w:val="00AC1A04"/>
    <w:rsid w:val="00AC1AEF"/>
    <w:rsid w:val="00AC1B64"/>
    <w:rsid w:val="00AC1C54"/>
    <w:rsid w:val="00AC1D04"/>
    <w:rsid w:val="00AC1FC0"/>
    <w:rsid w:val="00AC20B1"/>
    <w:rsid w:val="00AC2182"/>
    <w:rsid w:val="00AC2A4A"/>
    <w:rsid w:val="00AC2B0C"/>
    <w:rsid w:val="00AC3001"/>
    <w:rsid w:val="00AC344B"/>
    <w:rsid w:val="00AC3522"/>
    <w:rsid w:val="00AC3572"/>
    <w:rsid w:val="00AC35BC"/>
    <w:rsid w:val="00AC3733"/>
    <w:rsid w:val="00AC375C"/>
    <w:rsid w:val="00AC379A"/>
    <w:rsid w:val="00AC37B0"/>
    <w:rsid w:val="00AC3872"/>
    <w:rsid w:val="00AC3907"/>
    <w:rsid w:val="00AC392B"/>
    <w:rsid w:val="00AC3B1A"/>
    <w:rsid w:val="00AC3B24"/>
    <w:rsid w:val="00AC3B27"/>
    <w:rsid w:val="00AC3B66"/>
    <w:rsid w:val="00AC3D5E"/>
    <w:rsid w:val="00AC3E05"/>
    <w:rsid w:val="00AC3F08"/>
    <w:rsid w:val="00AC3F23"/>
    <w:rsid w:val="00AC41BE"/>
    <w:rsid w:val="00AC4289"/>
    <w:rsid w:val="00AC4746"/>
    <w:rsid w:val="00AC4953"/>
    <w:rsid w:val="00AC4C12"/>
    <w:rsid w:val="00AC4C58"/>
    <w:rsid w:val="00AC4D25"/>
    <w:rsid w:val="00AC4E97"/>
    <w:rsid w:val="00AC5113"/>
    <w:rsid w:val="00AC5339"/>
    <w:rsid w:val="00AC5457"/>
    <w:rsid w:val="00AC5461"/>
    <w:rsid w:val="00AC5566"/>
    <w:rsid w:val="00AC561F"/>
    <w:rsid w:val="00AC57A8"/>
    <w:rsid w:val="00AC59CF"/>
    <w:rsid w:val="00AC5B95"/>
    <w:rsid w:val="00AC5E40"/>
    <w:rsid w:val="00AC605B"/>
    <w:rsid w:val="00AC6099"/>
    <w:rsid w:val="00AC60D6"/>
    <w:rsid w:val="00AC6373"/>
    <w:rsid w:val="00AC6693"/>
    <w:rsid w:val="00AC6731"/>
    <w:rsid w:val="00AC6807"/>
    <w:rsid w:val="00AC696B"/>
    <w:rsid w:val="00AC696D"/>
    <w:rsid w:val="00AC6D3D"/>
    <w:rsid w:val="00AC6D63"/>
    <w:rsid w:val="00AC6DD7"/>
    <w:rsid w:val="00AC72AA"/>
    <w:rsid w:val="00AC760A"/>
    <w:rsid w:val="00AC7844"/>
    <w:rsid w:val="00AC7921"/>
    <w:rsid w:val="00AC7987"/>
    <w:rsid w:val="00AC7A51"/>
    <w:rsid w:val="00AC7AAB"/>
    <w:rsid w:val="00AC7AD2"/>
    <w:rsid w:val="00AC7CB9"/>
    <w:rsid w:val="00AC7EC0"/>
    <w:rsid w:val="00AD01F9"/>
    <w:rsid w:val="00AD036E"/>
    <w:rsid w:val="00AD0854"/>
    <w:rsid w:val="00AD089C"/>
    <w:rsid w:val="00AD0969"/>
    <w:rsid w:val="00AD098B"/>
    <w:rsid w:val="00AD0A0F"/>
    <w:rsid w:val="00AD0BE3"/>
    <w:rsid w:val="00AD0C43"/>
    <w:rsid w:val="00AD1264"/>
    <w:rsid w:val="00AD12CF"/>
    <w:rsid w:val="00AD12D5"/>
    <w:rsid w:val="00AD148C"/>
    <w:rsid w:val="00AD14D4"/>
    <w:rsid w:val="00AD15C9"/>
    <w:rsid w:val="00AD15F7"/>
    <w:rsid w:val="00AD16CE"/>
    <w:rsid w:val="00AD1798"/>
    <w:rsid w:val="00AD1804"/>
    <w:rsid w:val="00AD1810"/>
    <w:rsid w:val="00AD191F"/>
    <w:rsid w:val="00AD1B30"/>
    <w:rsid w:val="00AD1CD9"/>
    <w:rsid w:val="00AD1CF1"/>
    <w:rsid w:val="00AD1D3E"/>
    <w:rsid w:val="00AD1ED0"/>
    <w:rsid w:val="00AD21EA"/>
    <w:rsid w:val="00AD22D4"/>
    <w:rsid w:val="00AD2314"/>
    <w:rsid w:val="00AD2329"/>
    <w:rsid w:val="00AD23FC"/>
    <w:rsid w:val="00AD243B"/>
    <w:rsid w:val="00AD245F"/>
    <w:rsid w:val="00AD25F7"/>
    <w:rsid w:val="00AD272B"/>
    <w:rsid w:val="00AD2731"/>
    <w:rsid w:val="00AD292F"/>
    <w:rsid w:val="00AD2984"/>
    <w:rsid w:val="00AD2A6E"/>
    <w:rsid w:val="00AD2A99"/>
    <w:rsid w:val="00AD2BA6"/>
    <w:rsid w:val="00AD2C8B"/>
    <w:rsid w:val="00AD2FA2"/>
    <w:rsid w:val="00AD30C2"/>
    <w:rsid w:val="00AD377A"/>
    <w:rsid w:val="00AD3A1F"/>
    <w:rsid w:val="00AD3B57"/>
    <w:rsid w:val="00AD3D2D"/>
    <w:rsid w:val="00AD3DA5"/>
    <w:rsid w:val="00AD3DEB"/>
    <w:rsid w:val="00AD3EEA"/>
    <w:rsid w:val="00AD4041"/>
    <w:rsid w:val="00AD4184"/>
    <w:rsid w:val="00AD41ED"/>
    <w:rsid w:val="00AD431A"/>
    <w:rsid w:val="00AD4479"/>
    <w:rsid w:val="00AD4552"/>
    <w:rsid w:val="00AD4636"/>
    <w:rsid w:val="00AD479F"/>
    <w:rsid w:val="00AD496C"/>
    <w:rsid w:val="00AD49D2"/>
    <w:rsid w:val="00AD4AB1"/>
    <w:rsid w:val="00AD4BDA"/>
    <w:rsid w:val="00AD4C7E"/>
    <w:rsid w:val="00AD4CE6"/>
    <w:rsid w:val="00AD4D41"/>
    <w:rsid w:val="00AD4D9A"/>
    <w:rsid w:val="00AD4DE1"/>
    <w:rsid w:val="00AD512C"/>
    <w:rsid w:val="00AD5272"/>
    <w:rsid w:val="00AD52AA"/>
    <w:rsid w:val="00AD52DA"/>
    <w:rsid w:val="00AD52E3"/>
    <w:rsid w:val="00AD54EB"/>
    <w:rsid w:val="00AD54F8"/>
    <w:rsid w:val="00AD5594"/>
    <w:rsid w:val="00AD5607"/>
    <w:rsid w:val="00AD56D1"/>
    <w:rsid w:val="00AD57CE"/>
    <w:rsid w:val="00AD58F8"/>
    <w:rsid w:val="00AD59DB"/>
    <w:rsid w:val="00AD5A39"/>
    <w:rsid w:val="00AD5A78"/>
    <w:rsid w:val="00AD5C71"/>
    <w:rsid w:val="00AD5CB2"/>
    <w:rsid w:val="00AD5CB6"/>
    <w:rsid w:val="00AD5D52"/>
    <w:rsid w:val="00AD5DA0"/>
    <w:rsid w:val="00AD5E5B"/>
    <w:rsid w:val="00AD5EBD"/>
    <w:rsid w:val="00AD5EE4"/>
    <w:rsid w:val="00AD603F"/>
    <w:rsid w:val="00AD62BC"/>
    <w:rsid w:val="00AD62DF"/>
    <w:rsid w:val="00AD635C"/>
    <w:rsid w:val="00AD67C7"/>
    <w:rsid w:val="00AD687E"/>
    <w:rsid w:val="00AD688C"/>
    <w:rsid w:val="00AD6E41"/>
    <w:rsid w:val="00AD6F1A"/>
    <w:rsid w:val="00AD6F53"/>
    <w:rsid w:val="00AD6F68"/>
    <w:rsid w:val="00AD702C"/>
    <w:rsid w:val="00AD7039"/>
    <w:rsid w:val="00AD71CC"/>
    <w:rsid w:val="00AD7304"/>
    <w:rsid w:val="00AD752F"/>
    <w:rsid w:val="00AD761D"/>
    <w:rsid w:val="00AD763D"/>
    <w:rsid w:val="00AD78C4"/>
    <w:rsid w:val="00AD7B5D"/>
    <w:rsid w:val="00AD7BA4"/>
    <w:rsid w:val="00AD7C4F"/>
    <w:rsid w:val="00AD7CA9"/>
    <w:rsid w:val="00AD7CF8"/>
    <w:rsid w:val="00AE0058"/>
    <w:rsid w:val="00AE00E4"/>
    <w:rsid w:val="00AE01BE"/>
    <w:rsid w:val="00AE01D7"/>
    <w:rsid w:val="00AE045C"/>
    <w:rsid w:val="00AE058B"/>
    <w:rsid w:val="00AE0625"/>
    <w:rsid w:val="00AE06AB"/>
    <w:rsid w:val="00AE0889"/>
    <w:rsid w:val="00AE0933"/>
    <w:rsid w:val="00AE0D92"/>
    <w:rsid w:val="00AE0E78"/>
    <w:rsid w:val="00AE0F7E"/>
    <w:rsid w:val="00AE10CE"/>
    <w:rsid w:val="00AE119D"/>
    <w:rsid w:val="00AE11DE"/>
    <w:rsid w:val="00AE126B"/>
    <w:rsid w:val="00AE139C"/>
    <w:rsid w:val="00AE13DB"/>
    <w:rsid w:val="00AE186A"/>
    <w:rsid w:val="00AE18B3"/>
    <w:rsid w:val="00AE191E"/>
    <w:rsid w:val="00AE1943"/>
    <w:rsid w:val="00AE19E9"/>
    <w:rsid w:val="00AE1A3E"/>
    <w:rsid w:val="00AE1C5F"/>
    <w:rsid w:val="00AE1D01"/>
    <w:rsid w:val="00AE1FE4"/>
    <w:rsid w:val="00AE2017"/>
    <w:rsid w:val="00AE204A"/>
    <w:rsid w:val="00AE2074"/>
    <w:rsid w:val="00AE2097"/>
    <w:rsid w:val="00AE2208"/>
    <w:rsid w:val="00AE2331"/>
    <w:rsid w:val="00AE250F"/>
    <w:rsid w:val="00AE259D"/>
    <w:rsid w:val="00AE2884"/>
    <w:rsid w:val="00AE28AD"/>
    <w:rsid w:val="00AE2A93"/>
    <w:rsid w:val="00AE2B86"/>
    <w:rsid w:val="00AE2BB0"/>
    <w:rsid w:val="00AE2DCF"/>
    <w:rsid w:val="00AE2F1D"/>
    <w:rsid w:val="00AE3244"/>
    <w:rsid w:val="00AE33B4"/>
    <w:rsid w:val="00AE3516"/>
    <w:rsid w:val="00AE363B"/>
    <w:rsid w:val="00AE377C"/>
    <w:rsid w:val="00AE386F"/>
    <w:rsid w:val="00AE38E2"/>
    <w:rsid w:val="00AE39D9"/>
    <w:rsid w:val="00AE3AE4"/>
    <w:rsid w:val="00AE3C4E"/>
    <w:rsid w:val="00AE3F57"/>
    <w:rsid w:val="00AE4104"/>
    <w:rsid w:val="00AE4174"/>
    <w:rsid w:val="00AE4805"/>
    <w:rsid w:val="00AE482A"/>
    <w:rsid w:val="00AE491B"/>
    <w:rsid w:val="00AE4B02"/>
    <w:rsid w:val="00AE4CC4"/>
    <w:rsid w:val="00AE528C"/>
    <w:rsid w:val="00AE52C5"/>
    <w:rsid w:val="00AE52E1"/>
    <w:rsid w:val="00AE5472"/>
    <w:rsid w:val="00AE54E4"/>
    <w:rsid w:val="00AE56B8"/>
    <w:rsid w:val="00AE57F9"/>
    <w:rsid w:val="00AE5842"/>
    <w:rsid w:val="00AE5C52"/>
    <w:rsid w:val="00AE5CF6"/>
    <w:rsid w:val="00AE6043"/>
    <w:rsid w:val="00AE6051"/>
    <w:rsid w:val="00AE6209"/>
    <w:rsid w:val="00AE6282"/>
    <w:rsid w:val="00AE628B"/>
    <w:rsid w:val="00AE62B6"/>
    <w:rsid w:val="00AE62EC"/>
    <w:rsid w:val="00AE6316"/>
    <w:rsid w:val="00AE6335"/>
    <w:rsid w:val="00AE6347"/>
    <w:rsid w:val="00AE64AC"/>
    <w:rsid w:val="00AE64F8"/>
    <w:rsid w:val="00AE6576"/>
    <w:rsid w:val="00AE6843"/>
    <w:rsid w:val="00AE69A6"/>
    <w:rsid w:val="00AE6DB3"/>
    <w:rsid w:val="00AE6F1A"/>
    <w:rsid w:val="00AE710F"/>
    <w:rsid w:val="00AE7133"/>
    <w:rsid w:val="00AE7148"/>
    <w:rsid w:val="00AE721C"/>
    <w:rsid w:val="00AE7524"/>
    <w:rsid w:val="00AE76D0"/>
    <w:rsid w:val="00AE77EA"/>
    <w:rsid w:val="00AE7898"/>
    <w:rsid w:val="00AE7ADD"/>
    <w:rsid w:val="00AF00DB"/>
    <w:rsid w:val="00AF02AE"/>
    <w:rsid w:val="00AF07D8"/>
    <w:rsid w:val="00AF0824"/>
    <w:rsid w:val="00AF08BA"/>
    <w:rsid w:val="00AF09E1"/>
    <w:rsid w:val="00AF0AF9"/>
    <w:rsid w:val="00AF0DB2"/>
    <w:rsid w:val="00AF0DEF"/>
    <w:rsid w:val="00AF101B"/>
    <w:rsid w:val="00AF1189"/>
    <w:rsid w:val="00AF130D"/>
    <w:rsid w:val="00AF139A"/>
    <w:rsid w:val="00AF1553"/>
    <w:rsid w:val="00AF1690"/>
    <w:rsid w:val="00AF16C8"/>
    <w:rsid w:val="00AF1833"/>
    <w:rsid w:val="00AF1A86"/>
    <w:rsid w:val="00AF1AF2"/>
    <w:rsid w:val="00AF1AF8"/>
    <w:rsid w:val="00AF1B4F"/>
    <w:rsid w:val="00AF1BB3"/>
    <w:rsid w:val="00AF1DA7"/>
    <w:rsid w:val="00AF1EE1"/>
    <w:rsid w:val="00AF1F29"/>
    <w:rsid w:val="00AF2010"/>
    <w:rsid w:val="00AF2282"/>
    <w:rsid w:val="00AF23EF"/>
    <w:rsid w:val="00AF241F"/>
    <w:rsid w:val="00AF29EA"/>
    <w:rsid w:val="00AF2BF6"/>
    <w:rsid w:val="00AF2C6E"/>
    <w:rsid w:val="00AF2C9A"/>
    <w:rsid w:val="00AF2D3C"/>
    <w:rsid w:val="00AF2D8E"/>
    <w:rsid w:val="00AF2E03"/>
    <w:rsid w:val="00AF2E5E"/>
    <w:rsid w:val="00AF303D"/>
    <w:rsid w:val="00AF3277"/>
    <w:rsid w:val="00AF33E7"/>
    <w:rsid w:val="00AF34B8"/>
    <w:rsid w:val="00AF3675"/>
    <w:rsid w:val="00AF388D"/>
    <w:rsid w:val="00AF39DF"/>
    <w:rsid w:val="00AF3AB0"/>
    <w:rsid w:val="00AF3AF0"/>
    <w:rsid w:val="00AF3B3B"/>
    <w:rsid w:val="00AF3F73"/>
    <w:rsid w:val="00AF4231"/>
    <w:rsid w:val="00AF4282"/>
    <w:rsid w:val="00AF42AF"/>
    <w:rsid w:val="00AF43CC"/>
    <w:rsid w:val="00AF43F6"/>
    <w:rsid w:val="00AF4616"/>
    <w:rsid w:val="00AF472E"/>
    <w:rsid w:val="00AF4A92"/>
    <w:rsid w:val="00AF4B3B"/>
    <w:rsid w:val="00AF4C03"/>
    <w:rsid w:val="00AF4EF3"/>
    <w:rsid w:val="00AF509F"/>
    <w:rsid w:val="00AF50DF"/>
    <w:rsid w:val="00AF519B"/>
    <w:rsid w:val="00AF533B"/>
    <w:rsid w:val="00AF5370"/>
    <w:rsid w:val="00AF5733"/>
    <w:rsid w:val="00AF57B1"/>
    <w:rsid w:val="00AF5AE1"/>
    <w:rsid w:val="00AF5BC7"/>
    <w:rsid w:val="00AF5BE8"/>
    <w:rsid w:val="00AF5C4B"/>
    <w:rsid w:val="00AF5C85"/>
    <w:rsid w:val="00AF5D5B"/>
    <w:rsid w:val="00AF5E60"/>
    <w:rsid w:val="00AF60B6"/>
    <w:rsid w:val="00AF60EB"/>
    <w:rsid w:val="00AF61F8"/>
    <w:rsid w:val="00AF63B2"/>
    <w:rsid w:val="00AF64A8"/>
    <w:rsid w:val="00AF669F"/>
    <w:rsid w:val="00AF66E4"/>
    <w:rsid w:val="00AF6750"/>
    <w:rsid w:val="00AF6761"/>
    <w:rsid w:val="00AF67A4"/>
    <w:rsid w:val="00AF69E5"/>
    <w:rsid w:val="00AF6A71"/>
    <w:rsid w:val="00AF6B3B"/>
    <w:rsid w:val="00AF6CB8"/>
    <w:rsid w:val="00AF6D0E"/>
    <w:rsid w:val="00AF6D7A"/>
    <w:rsid w:val="00AF6E91"/>
    <w:rsid w:val="00AF6F3C"/>
    <w:rsid w:val="00AF709F"/>
    <w:rsid w:val="00AF7225"/>
    <w:rsid w:val="00AF7450"/>
    <w:rsid w:val="00AF7667"/>
    <w:rsid w:val="00AF7877"/>
    <w:rsid w:val="00AF7970"/>
    <w:rsid w:val="00AF79D3"/>
    <w:rsid w:val="00AF7E32"/>
    <w:rsid w:val="00AF7FCD"/>
    <w:rsid w:val="00B00328"/>
    <w:rsid w:val="00B00BAC"/>
    <w:rsid w:val="00B00BF0"/>
    <w:rsid w:val="00B00BF5"/>
    <w:rsid w:val="00B00D5D"/>
    <w:rsid w:val="00B00EFE"/>
    <w:rsid w:val="00B01103"/>
    <w:rsid w:val="00B013EE"/>
    <w:rsid w:val="00B017C9"/>
    <w:rsid w:val="00B0190C"/>
    <w:rsid w:val="00B01F5E"/>
    <w:rsid w:val="00B02071"/>
    <w:rsid w:val="00B02242"/>
    <w:rsid w:val="00B0231B"/>
    <w:rsid w:val="00B0263D"/>
    <w:rsid w:val="00B0268D"/>
    <w:rsid w:val="00B0282D"/>
    <w:rsid w:val="00B02868"/>
    <w:rsid w:val="00B02B25"/>
    <w:rsid w:val="00B02B2D"/>
    <w:rsid w:val="00B02B76"/>
    <w:rsid w:val="00B02DA3"/>
    <w:rsid w:val="00B02E5D"/>
    <w:rsid w:val="00B02F51"/>
    <w:rsid w:val="00B02FDE"/>
    <w:rsid w:val="00B02FE3"/>
    <w:rsid w:val="00B03054"/>
    <w:rsid w:val="00B03174"/>
    <w:rsid w:val="00B0318D"/>
    <w:rsid w:val="00B03265"/>
    <w:rsid w:val="00B0347C"/>
    <w:rsid w:val="00B03504"/>
    <w:rsid w:val="00B0363D"/>
    <w:rsid w:val="00B03765"/>
    <w:rsid w:val="00B038EF"/>
    <w:rsid w:val="00B0395C"/>
    <w:rsid w:val="00B039AB"/>
    <w:rsid w:val="00B039AF"/>
    <w:rsid w:val="00B039F1"/>
    <w:rsid w:val="00B03A14"/>
    <w:rsid w:val="00B03DCA"/>
    <w:rsid w:val="00B03E7D"/>
    <w:rsid w:val="00B03FB5"/>
    <w:rsid w:val="00B0402C"/>
    <w:rsid w:val="00B04176"/>
    <w:rsid w:val="00B041CE"/>
    <w:rsid w:val="00B04345"/>
    <w:rsid w:val="00B04817"/>
    <w:rsid w:val="00B04C4D"/>
    <w:rsid w:val="00B04E82"/>
    <w:rsid w:val="00B04EF4"/>
    <w:rsid w:val="00B04F9D"/>
    <w:rsid w:val="00B05044"/>
    <w:rsid w:val="00B051A9"/>
    <w:rsid w:val="00B05312"/>
    <w:rsid w:val="00B0531B"/>
    <w:rsid w:val="00B056B0"/>
    <w:rsid w:val="00B0573C"/>
    <w:rsid w:val="00B05862"/>
    <w:rsid w:val="00B058BB"/>
    <w:rsid w:val="00B0598B"/>
    <w:rsid w:val="00B059B3"/>
    <w:rsid w:val="00B059C8"/>
    <w:rsid w:val="00B05A27"/>
    <w:rsid w:val="00B05C91"/>
    <w:rsid w:val="00B05DC5"/>
    <w:rsid w:val="00B05F45"/>
    <w:rsid w:val="00B06063"/>
    <w:rsid w:val="00B062CD"/>
    <w:rsid w:val="00B064B4"/>
    <w:rsid w:val="00B06657"/>
    <w:rsid w:val="00B06744"/>
    <w:rsid w:val="00B06759"/>
    <w:rsid w:val="00B06777"/>
    <w:rsid w:val="00B0678A"/>
    <w:rsid w:val="00B067A2"/>
    <w:rsid w:val="00B067EB"/>
    <w:rsid w:val="00B0690F"/>
    <w:rsid w:val="00B06C9D"/>
    <w:rsid w:val="00B06EAF"/>
    <w:rsid w:val="00B06F90"/>
    <w:rsid w:val="00B06FCA"/>
    <w:rsid w:val="00B0715E"/>
    <w:rsid w:val="00B07169"/>
    <w:rsid w:val="00B071B0"/>
    <w:rsid w:val="00B07488"/>
    <w:rsid w:val="00B074B6"/>
    <w:rsid w:val="00B07558"/>
    <w:rsid w:val="00B075C3"/>
    <w:rsid w:val="00B0797C"/>
    <w:rsid w:val="00B07A82"/>
    <w:rsid w:val="00B07B6C"/>
    <w:rsid w:val="00B07DD9"/>
    <w:rsid w:val="00B07F67"/>
    <w:rsid w:val="00B10235"/>
    <w:rsid w:val="00B10296"/>
    <w:rsid w:val="00B1051C"/>
    <w:rsid w:val="00B10547"/>
    <w:rsid w:val="00B105CB"/>
    <w:rsid w:val="00B10686"/>
    <w:rsid w:val="00B106D8"/>
    <w:rsid w:val="00B107D7"/>
    <w:rsid w:val="00B1080E"/>
    <w:rsid w:val="00B10A82"/>
    <w:rsid w:val="00B10BD4"/>
    <w:rsid w:val="00B10C36"/>
    <w:rsid w:val="00B10DD0"/>
    <w:rsid w:val="00B10FAC"/>
    <w:rsid w:val="00B11074"/>
    <w:rsid w:val="00B110E1"/>
    <w:rsid w:val="00B11221"/>
    <w:rsid w:val="00B112A2"/>
    <w:rsid w:val="00B11588"/>
    <w:rsid w:val="00B11C19"/>
    <w:rsid w:val="00B11E7E"/>
    <w:rsid w:val="00B12026"/>
    <w:rsid w:val="00B12038"/>
    <w:rsid w:val="00B1232D"/>
    <w:rsid w:val="00B12698"/>
    <w:rsid w:val="00B12B68"/>
    <w:rsid w:val="00B12BC8"/>
    <w:rsid w:val="00B12DD3"/>
    <w:rsid w:val="00B12E0F"/>
    <w:rsid w:val="00B12EE4"/>
    <w:rsid w:val="00B13084"/>
    <w:rsid w:val="00B13396"/>
    <w:rsid w:val="00B13476"/>
    <w:rsid w:val="00B13491"/>
    <w:rsid w:val="00B134BD"/>
    <w:rsid w:val="00B13613"/>
    <w:rsid w:val="00B13706"/>
    <w:rsid w:val="00B1399F"/>
    <w:rsid w:val="00B13AB2"/>
    <w:rsid w:val="00B13D85"/>
    <w:rsid w:val="00B13DF6"/>
    <w:rsid w:val="00B13E6D"/>
    <w:rsid w:val="00B13EDD"/>
    <w:rsid w:val="00B13F1B"/>
    <w:rsid w:val="00B13FA7"/>
    <w:rsid w:val="00B140E8"/>
    <w:rsid w:val="00B140EB"/>
    <w:rsid w:val="00B1417F"/>
    <w:rsid w:val="00B1424A"/>
    <w:rsid w:val="00B143DB"/>
    <w:rsid w:val="00B14573"/>
    <w:rsid w:val="00B14632"/>
    <w:rsid w:val="00B1464F"/>
    <w:rsid w:val="00B14839"/>
    <w:rsid w:val="00B14909"/>
    <w:rsid w:val="00B14A12"/>
    <w:rsid w:val="00B14C03"/>
    <w:rsid w:val="00B150B3"/>
    <w:rsid w:val="00B151E5"/>
    <w:rsid w:val="00B15344"/>
    <w:rsid w:val="00B15404"/>
    <w:rsid w:val="00B154FF"/>
    <w:rsid w:val="00B1554C"/>
    <w:rsid w:val="00B155CA"/>
    <w:rsid w:val="00B158A2"/>
    <w:rsid w:val="00B159C2"/>
    <w:rsid w:val="00B15A2E"/>
    <w:rsid w:val="00B15ABA"/>
    <w:rsid w:val="00B15B16"/>
    <w:rsid w:val="00B15B6A"/>
    <w:rsid w:val="00B15BE8"/>
    <w:rsid w:val="00B15E22"/>
    <w:rsid w:val="00B15FCF"/>
    <w:rsid w:val="00B16186"/>
    <w:rsid w:val="00B161A4"/>
    <w:rsid w:val="00B1624F"/>
    <w:rsid w:val="00B162E9"/>
    <w:rsid w:val="00B165C0"/>
    <w:rsid w:val="00B165D8"/>
    <w:rsid w:val="00B166C2"/>
    <w:rsid w:val="00B1676E"/>
    <w:rsid w:val="00B16CE0"/>
    <w:rsid w:val="00B16D7F"/>
    <w:rsid w:val="00B16E21"/>
    <w:rsid w:val="00B17125"/>
    <w:rsid w:val="00B1732A"/>
    <w:rsid w:val="00B173DC"/>
    <w:rsid w:val="00B175AB"/>
    <w:rsid w:val="00B176CE"/>
    <w:rsid w:val="00B17AD8"/>
    <w:rsid w:val="00B17B08"/>
    <w:rsid w:val="00B17B90"/>
    <w:rsid w:val="00B17CA1"/>
    <w:rsid w:val="00B17CD4"/>
    <w:rsid w:val="00B202AA"/>
    <w:rsid w:val="00B20301"/>
    <w:rsid w:val="00B2061D"/>
    <w:rsid w:val="00B2066C"/>
    <w:rsid w:val="00B20788"/>
    <w:rsid w:val="00B20857"/>
    <w:rsid w:val="00B21176"/>
    <w:rsid w:val="00B2128F"/>
    <w:rsid w:val="00B21440"/>
    <w:rsid w:val="00B2144B"/>
    <w:rsid w:val="00B21516"/>
    <w:rsid w:val="00B21630"/>
    <w:rsid w:val="00B2195F"/>
    <w:rsid w:val="00B21CFD"/>
    <w:rsid w:val="00B21EE0"/>
    <w:rsid w:val="00B21EF3"/>
    <w:rsid w:val="00B21F0C"/>
    <w:rsid w:val="00B2242E"/>
    <w:rsid w:val="00B2261E"/>
    <w:rsid w:val="00B2268C"/>
    <w:rsid w:val="00B226DF"/>
    <w:rsid w:val="00B227E9"/>
    <w:rsid w:val="00B228F9"/>
    <w:rsid w:val="00B22946"/>
    <w:rsid w:val="00B2295D"/>
    <w:rsid w:val="00B22B5A"/>
    <w:rsid w:val="00B22B86"/>
    <w:rsid w:val="00B22CAA"/>
    <w:rsid w:val="00B22D02"/>
    <w:rsid w:val="00B22E7A"/>
    <w:rsid w:val="00B23050"/>
    <w:rsid w:val="00B23068"/>
    <w:rsid w:val="00B2327C"/>
    <w:rsid w:val="00B23548"/>
    <w:rsid w:val="00B23959"/>
    <w:rsid w:val="00B23DBF"/>
    <w:rsid w:val="00B23EC6"/>
    <w:rsid w:val="00B23F12"/>
    <w:rsid w:val="00B24094"/>
    <w:rsid w:val="00B24134"/>
    <w:rsid w:val="00B242AB"/>
    <w:rsid w:val="00B2441A"/>
    <w:rsid w:val="00B24799"/>
    <w:rsid w:val="00B247A0"/>
    <w:rsid w:val="00B24895"/>
    <w:rsid w:val="00B24911"/>
    <w:rsid w:val="00B249F5"/>
    <w:rsid w:val="00B24A21"/>
    <w:rsid w:val="00B24B5E"/>
    <w:rsid w:val="00B24C0F"/>
    <w:rsid w:val="00B24EFB"/>
    <w:rsid w:val="00B24F3C"/>
    <w:rsid w:val="00B25295"/>
    <w:rsid w:val="00B2556D"/>
    <w:rsid w:val="00B25586"/>
    <w:rsid w:val="00B25668"/>
    <w:rsid w:val="00B25A74"/>
    <w:rsid w:val="00B25EC0"/>
    <w:rsid w:val="00B260E8"/>
    <w:rsid w:val="00B26147"/>
    <w:rsid w:val="00B261AB"/>
    <w:rsid w:val="00B262E8"/>
    <w:rsid w:val="00B263E5"/>
    <w:rsid w:val="00B265F6"/>
    <w:rsid w:val="00B267DE"/>
    <w:rsid w:val="00B2689C"/>
    <w:rsid w:val="00B26908"/>
    <w:rsid w:val="00B26B3C"/>
    <w:rsid w:val="00B26B51"/>
    <w:rsid w:val="00B26B6D"/>
    <w:rsid w:val="00B26CA5"/>
    <w:rsid w:val="00B26DBB"/>
    <w:rsid w:val="00B26E0B"/>
    <w:rsid w:val="00B26E69"/>
    <w:rsid w:val="00B27056"/>
    <w:rsid w:val="00B270B6"/>
    <w:rsid w:val="00B270FE"/>
    <w:rsid w:val="00B272E7"/>
    <w:rsid w:val="00B27539"/>
    <w:rsid w:val="00B27582"/>
    <w:rsid w:val="00B276A5"/>
    <w:rsid w:val="00B27776"/>
    <w:rsid w:val="00B27872"/>
    <w:rsid w:val="00B27A3E"/>
    <w:rsid w:val="00B27B5D"/>
    <w:rsid w:val="00B27FB8"/>
    <w:rsid w:val="00B30295"/>
    <w:rsid w:val="00B30A13"/>
    <w:rsid w:val="00B30A8F"/>
    <w:rsid w:val="00B30AA1"/>
    <w:rsid w:val="00B30AA5"/>
    <w:rsid w:val="00B30ABD"/>
    <w:rsid w:val="00B30C9F"/>
    <w:rsid w:val="00B30D95"/>
    <w:rsid w:val="00B30E01"/>
    <w:rsid w:val="00B3121D"/>
    <w:rsid w:val="00B312BD"/>
    <w:rsid w:val="00B31424"/>
    <w:rsid w:val="00B31481"/>
    <w:rsid w:val="00B314CE"/>
    <w:rsid w:val="00B315F3"/>
    <w:rsid w:val="00B3171A"/>
    <w:rsid w:val="00B31751"/>
    <w:rsid w:val="00B31A80"/>
    <w:rsid w:val="00B31AB1"/>
    <w:rsid w:val="00B31ACC"/>
    <w:rsid w:val="00B31C66"/>
    <w:rsid w:val="00B31C90"/>
    <w:rsid w:val="00B31CA2"/>
    <w:rsid w:val="00B31D6C"/>
    <w:rsid w:val="00B31D72"/>
    <w:rsid w:val="00B31EB0"/>
    <w:rsid w:val="00B32169"/>
    <w:rsid w:val="00B321EA"/>
    <w:rsid w:val="00B324A1"/>
    <w:rsid w:val="00B325A4"/>
    <w:rsid w:val="00B326A4"/>
    <w:rsid w:val="00B327C8"/>
    <w:rsid w:val="00B327E4"/>
    <w:rsid w:val="00B3293F"/>
    <w:rsid w:val="00B329D7"/>
    <w:rsid w:val="00B32B11"/>
    <w:rsid w:val="00B32BF8"/>
    <w:rsid w:val="00B32D94"/>
    <w:rsid w:val="00B32DCF"/>
    <w:rsid w:val="00B32DF3"/>
    <w:rsid w:val="00B32FEE"/>
    <w:rsid w:val="00B3305C"/>
    <w:rsid w:val="00B331E7"/>
    <w:rsid w:val="00B3332E"/>
    <w:rsid w:val="00B33512"/>
    <w:rsid w:val="00B3359A"/>
    <w:rsid w:val="00B336F2"/>
    <w:rsid w:val="00B33705"/>
    <w:rsid w:val="00B337E3"/>
    <w:rsid w:val="00B33947"/>
    <w:rsid w:val="00B340CB"/>
    <w:rsid w:val="00B3411F"/>
    <w:rsid w:val="00B34194"/>
    <w:rsid w:val="00B34233"/>
    <w:rsid w:val="00B343BD"/>
    <w:rsid w:val="00B345A7"/>
    <w:rsid w:val="00B34611"/>
    <w:rsid w:val="00B347E3"/>
    <w:rsid w:val="00B34976"/>
    <w:rsid w:val="00B34A3C"/>
    <w:rsid w:val="00B34A4D"/>
    <w:rsid w:val="00B34A9A"/>
    <w:rsid w:val="00B34B51"/>
    <w:rsid w:val="00B34CAC"/>
    <w:rsid w:val="00B34D66"/>
    <w:rsid w:val="00B34DD8"/>
    <w:rsid w:val="00B34E5F"/>
    <w:rsid w:val="00B34F45"/>
    <w:rsid w:val="00B34F62"/>
    <w:rsid w:val="00B34FCF"/>
    <w:rsid w:val="00B35064"/>
    <w:rsid w:val="00B35076"/>
    <w:rsid w:val="00B35126"/>
    <w:rsid w:val="00B3542E"/>
    <w:rsid w:val="00B3543D"/>
    <w:rsid w:val="00B3551A"/>
    <w:rsid w:val="00B3557D"/>
    <w:rsid w:val="00B3562A"/>
    <w:rsid w:val="00B357BC"/>
    <w:rsid w:val="00B3582C"/>
    <w:rsid w:val="00B35B68"/>
    <w:rsid w:val="00B360FB"/>
    <w:rsid w:val="00B36506"/>
    <w:rsid w:val="00B36546"/>
    <w:rsid w:val="00B36886"/>
    <w:rsid w:val="00B369AA"/>
    <w:rsid w:val="00B36A88"/>
    <w:rsid w:val="00B36BA3"/>
    <w:rsid w:val="00B36C08"/>
    <w:rsid w:val="00B3713D"/>
    <w:rsid w:val="00B37305"/>
    <w:rsid w:val="00B3760A"/>
    <w:rsid w:val="00B376E5"/>
    <w:rsid w:val="00B3770F"/>
    <w:rsid w:val="00B37A46"/>
    <w:rsid w:val="00B37AA1"/>
    <w:rsid w:val="00B37B1D"/>
    <w:rsid w:val="00B37B85"/>
    <w:rsid w:val="00B37C7F"/>
    <w:rsid w:val="00B37CCF"/>
    <w:rsid w:val="00B37CF0"/>
    <w:rsid w:val="00B37ED6"/>
    <w:rsid w:val="00B4012C"/>
    <w:rsid w:val="00B40139"/>
    <w:rsid w:val="00B40298"/>
    <w:rsid w:val="00B402FC"/>
    <w:rsid w:val="00B4052B"/>
    <w:rsid w:val="00B40781"/>
    <w:rsid w:val="00B4078B"/>
    <w:rsid w:val="00B4087A"/>
    <w:rsid w:val="00B40919"/>
    <w:rsid w:val="00B40AC0"/>
    <w:rsid w:val="00B40ACB"/>
    <w:rsid w:val="00B40B75"/>
    <w:rsid w:val="00B40E46"/>
    <w:rsid w:val="00B40E60"/>
    <w:rsid w:val="00B40E6E"/>
    <w:rsid w:val="00B40F34"/>
    <w:rsid w:val="00B40F96"/>
    <w:rsid w:val="00B40FA1"/>
    <w:rsid w:val="00B410A9"/>
    <w:rsid w:val="00B410BD"/>
    <w:rsid w:val="00B41555"/>
    <w:rsid w:val="00B41574"/>
    <w:rsid w:val="00B415B2"/>
    <w:rsid w:val="00B415BC"/>
    <w:rsid w:val="00B4185E"/>
    <w:rsid w:val="00B419C1"/>
    <w:rsid w:val="00B41A68"/>
    <w:rsid w:val="00B41A9D"/>
    <w:rsid w:val="00B41AC4"/>
    <w:rsid w:val="00B41B27"/>
    <w:rsid w:val="00B41C8C"/>
    <w:rsid w:val="00B4237E"/>
    <w:rsid w:val="00B42406"/>
    <w:rsid w:val="00B4245F"/>
    <w:rsid w:val="00B425DD"/>
    <w:rsid w:val="00B42614"/>
    <w:rsid w:val="00B427EF"/>
    <w:rsid w:val="00B42880"/>
    <w:rsid w:val="00B42885"/>
    <w:rsid w:val="00B428C3"/>
    <w:rsid w:val="00B42903"/>
    <w:rsid w:val="00B4296C"/>
    <w:rsid w:val="00B42E33"/>
    <w:rsid w:val="00B42E35"/>
    <w:rsid w:val="00B43156"/>
    <w:rsid w:val="00B432E6"/>
    <w:rsid w:val="00B433EC"/>
    <w:rsid w:val="00B4340E"/>
    <w:rsid w:val="00B43787"/>
    <w:rsid w:val="00B437AE"/>
    <w:rsid w:val="00B43913"/>
    <w:rsid w:val="00B4395A"/>
    <w:rsid w:val="00B43AF6"/>
    <w:rsid w:val="00B43C3B"/>
    <w:rsid w:val="00B43DF8"/>
    <w:rsid w:val="00B44062"/>
    <w:rsid w:val="00B44222"/>
    <w:rsid w:val="00B4453C"/>
    <w:rsid w:val="00B44615"/>
    <w:rsid w:val="00B44737"/>
    <w:rsid w:val="00B447DF"/>
    <w:rsid w:val="00B44956"/>
    <w:rsid w:val="00B44998"/>
    <w:rsid w:val="00B44A5B"/>
    <w:rsid w:val="00B44ADE"/>
    <w:rsid w:val="00B44B10"/>
    <w:rsid w:val="00B44B62"/>
    <w:rsid w:val="00B44B6F"/>
    <w:rsid w:val="00B44CD9"/>
    <w:rsid w:val="00B44D09"/>
    <w:rsid w:val="00B44D6A"/>
    <w:rsid w:val="00B44FD6"/>
    <w:rsid w:val="00B45054"/>
    <w:rsid w:val="00B4520D"/>
    <w:rsid w:val="00B45283"/>
    <w:rsid w:val="00B453F8"/>
    <w:rsid w:val="00B45409"/>
    <w:rsid w:val="00B4543D"/>
    <w:rsid w:val="00B454DF"/>
    <w:rsid w:val="00B455FA"/>
    <w:rsid w:val="00B45675"/>
    <w:rsid w:val="00B457DF"/>
    <w:rsid w:val="00B45832"/>
    <w:rsid w:val="00B458CB"/>
    <w:rsid w:val="00B458F0"/>
    <w:rsid w:val="00B45D40"/>
    <w:rsid w:val="00B45E23"/>
    <w:rsid w:val="00B45E9D"/>
    <w:rsid w:val="00B45F2C"/>
    <w:rsid w:val="00B45F36"/>
    <w:rsid w:val="00B45F8A"/>
    <w:rsid w:val="00B4635A"/>
    <w:rsid w:val="00B466E9"/>
    <w:rsid w:val="00B46704"/>
    <w:rsid w:val="00B46A8D"/>
    <w:rsid w:val="00B46B25"/>
    <w:rsid w:val="00B46CE0"/>
    <w:rsid w:val="00B46D5B"/>
    <w:rsid w:val="00B46F50"/>
    <w:rsid w:val="00B471F6"/>
    <w:rsid w:val="00B47260"/>
    <w:rsid w:val="00B472A5"/>
    <w:rsid w:val="00B472E1"/>
    <w:rsid w:val="00B475E4"/>
    <w:rsid w:val="00B4767A"/>
    <w:rsid w:val="00B47B0C"/>
    <w:rsid w:val="00B47C12"/>
    <w:rsid w:val="00B47C19"/>
    <w:rsid w:val="00B47CDA"/>
    <w:rsid w:val="00B47EF6"/>
    <w:rsid w:val="00B47FC3"/>
    <w:rsid w:val="00B5003B"/>
    <w:rsid w:val="00B50089"/>
    <w:rsid w:val="00B50271"/>
    <w:rsid w:val="00B502DA"/>
    <w:rsid w:val="00B504C4"/>
    <w:rsid w:val="00B506FE"/>
    <w:rsid w:val="00B50730"/>
    <w:rsid w:val="00B5079F"/>
    <w:rsid w:val="00B507DD"/>
    <w:rsid w:val="00B5082D"/>
    <w:rsid w:val="00B50A21"/>
    <w:rsid w:val="00B50B52"/>
    <w:rsid w:val="00B50B87"/>
    <w:rsid w:val="00B50C26"/>
    <w:rsid w:val="00B50D91"/>
    <w:rsid w:val="00B50D98"/>
    <w:rsid w:val="00B50E29"/>
    <w:rsid w:val="00B50EDA"/>
    <w:rsid w:val="00B50F4E"/>
    <w:rsid w:val="00B5101B"/>
    <w:rsid w:val="00B51077"/>
    <w:rsid w:val="00B51124"/>
    <w:rsid w:val="00B512EE"/>
    <w:rsid w:val="00B51483"/>
    <w:rsid w:val="00B514D0"/>
    <w:rsid w:val="00B5166D"/>
    <w:rsid w:val="00B5183C"/>
    <w:rsid w:val="00B51845"/>
    <w:rsid w:val="00B51908"/>
    <w:rsid w:val="00B51919"/>
    <w:rsid w:val="00B51A86"/>
    <w:rsid w:val="00B51AB2"/>
    <w:rsid w:val="00B51AFF"/>
    <w:rsid w:val="00B51BFF"/>
    <w:rsid w:val="00B51C0E"/>
    <w:rsid w:val="00B51C68"/>
    <w:rsid w:val="00B51DF6"/>
    <w:rsid w:val="00B51E80"/>
    <w:rsid w:val="00B51F49"/>
    <w:rsid w:val="00B52453"/>
    <w:rsid w:val="00B524E0"/>
    <w:rsid w:val="00B52751"/>
    <w:rsid w:val="00B52777"/>
    <w:rsid w:val="00B5278E"/>
    <w:rsid w:val="00B529E2"/>
    <w:rsid w:val="00B52A51"/>
    <w:rsid w:val="00B52D22"/>
    <w:rsid w:val="00B52D80"/>
    <w:rsid w:val="00B52E97"/>
    <w:rsid w:val="00B52F6F"/>
    <w:rsid w:val="00B52FBF"/>
    <w:rsid w:val="00B530CF"/>
    <w:rsid w:val="00B53107"/>
    <w:rsid w:val="00B531E0"/>
    <w:rsid w:val="00B533F2"/>
    <w:rsid w:val="00B534B2"/>
    <w:rsid w:val="00B536FD"/>
    <w:rsid w:val="00B53893"/>
    <w:rsid w:val="00B53922"/>
    <w:rsid w:val="00B539D3"/>
    <w:rsid w:val="00B53A61"/>
    <w:rsid w:val="00B53C13"/>
    <w:rsid w:val="00B53D4F"/>
    <w:rsid w:val="00B53D5D"/>
    <w:rsid w:val="00B53DF5"/>
    <w:rsid w:val="00B53E26"/>
    <w:rsid w:val="00B53F03"/>
    <w:rsid w:val="00B53F2C"/>
    <w:rsid w:val="00B540B8"/>
    <w:rsid w:val="00B540CF"/>
    <w:rsid w:val="00B5418B"/>
    <w:rsid w:val="00B5419E"/>
    <w:rsid w:val="00B54598"/>
    <w:rsid w:val="00B54645"/>
    <w:rsid w:val="00B546BB"/>
    <w:rsid w:val="00B547E6"/>
    <w:rsid w:val="00B548D6"/>
    <w:rsid w:val="00B549B0"/>
    <w:rsid w:val="00B54B55"/>
    <w:rsid w:val="00B54E4E"/>
    <w:rsid w:val="00B55094"/>
    <w:rsid w:val="00B55162"/>
    <w:rsid w:val="00B5522E"/>
    <w:rsid w:val="00B552BF"/>
    <w:rsid w:val="00B55361"/>
    <w:rsid w:val="00B55388"/>
    <w:rsid w:val="00B554C1"/>
    <w:rsid w:val="00B55511"/>
    <w:rsid w:val="00B55548"/>
    <w:rsid w:val="00B5558E"/>
    <w:rsid w:val="00B5559A"/>
    <w:rsid w:val="00B556E5"/>
    <w:rsid w:val="00B55760"/>
    <w:rsid w:val="00B557D0"/>
    <w:rsid w:val="00B5599B"/>
    <w:rsid w:val="00B559E3"/>
    <w:rsid w:val="00B559F7"/>
    <w:rsid w:val="00B55B11"/>
    <w:rsid w:val="00B55B4A"/>
    <w:rsid w:val="00B55C47"/>
    <w:rsid w:val="00B55E0F"/>
    <w:rsid w:val="00B55F8A"/>
    <w:rsid w:val="00B564D9"/>
    <w:rsid w:val="00B5654B"/>
    <w:rsid w:val="00B565E7"/>
    <w:rsid w:val="00B56987"/>
    <w:rsid w:val="00B569F4"/>
    <w:rsid w:val="00B569FA"/>
    <w:rsid w:val="00B56DEB"/>
    <w:rsid w:val="00B56F94"/>
    <w:rsid w:val="00B57130"/>
    <w:rsid w:val="00B5714E"/>
    <w:rsid w:val="00B57193"/>
    <w:rsid w:val="00B5726B"/>
    <w:rsid w:val="00B57313"/>
    <w:rsid w:val="00B573CC"/>
    <w:rsid w:val="00B5764E"/>
    <w:rsid w:val="00B5776B"/>
    <w:rsid w:val="00B57799"/>
    <w:rsid w:val="00B578CD"/>
    <w:rsid w:val="00B579AE"/>
    <w:rsid w:val="00B57E53"/>
    <w:rsid w:val="00B57E54"/>
    <w:rsid w:val="00B60360"/>
    <w:rsid w:val="00B60629"/>
    <w:rsid w:val="00B6089E"/>
    <w:rsid w:val="00B60AEF"/>
    <w:rsid w:val="00B60CE2"/>
    <w:rsid w:val="00B60D95"/>
    <w:rsid w:val="00B610C6"/>
    <w:rsid w:val="00B610E3"/>
    <w:rsid w:val="00B61170"/>
    <w:rsid w:val="00B6131F"/>
    <w:rsid w:val="00B6132E"/>
    <w:rsid w:val="00B61757"/>
    <w:rsid w:val="00B61868"/>
    <w:rsid w:val="00B618DC"/>
    <w:rsid w:val="00B6195B"/>
    <w:rsid w:val="00B61BB3"/>
    <w:rsid w:val="00B61BF9"/>
    <w:rsid w:val="00B61CF7"/>
    <w:rsid w:val="00B61D65"/>
    <w:rsid w:val="00B61D99"/>
    <w:rsid w:val="00B6201D"/>
    <w:rsid w:val="00B620CF"/>
    <w:rsid w:val="00B621BF"/>
    <w:rsid w:val="00B6234B"/>
    <w:rsid w:val="00B624B5"/>
    <w:rsid w:val="00B625E8"/>
    <w:rsid w:val="00B626BE"/>
    <w:rsid w:val="00B628F6"/>
    <w:rsid w:val="00B62A21"/>
    <w:rsid w:val="00B62A45"/>
    <w:rsid w:val="00B62AA8"/>
    <w:rsid w:val="00B62AE2"/>
    <w:rsid w:val="00B62B3E"/>
    <w:rsid w:val="00B62B85"/>
    <w:rsid w:val="00B62DF2"/>
    <w:rsid w:val="00B62E35"/>
    <w:rsid w:val="00B62ECC"/>
    <w:rsid w:val="00B62F19"/>
    <w:rsid w:val="00B63048"/>
    <w:rsid w:val="00B63051"/>
    <w:rsid w:val="00B630B8"/>
    <w:rsid w:val="00B631A4"/>
    <w:rsid w:val="00B631C6"/>
    <w:rsid w:val="00B635B3"/>
    <w:rsid w:val="00B63668"/>
    <w:rsid w:val="00B6366E"/>
    <w:rsid w:val="00B63690"/>
    <w:rsid w:val="00B636B2"/>
    <w:rsid w:val="00B63756"/>
    <w:rsid w:val="00B639E5"/>
    <w:rsid w:val="00B63A6A"/>
    <w:rsid w:val="00B63A94"/>
    <w:rsid w:val="00B63B66"/>
    <w:rsid w:val="00B63BFB"/>
    <w:rsid w:val="00B63C71"/>
    <w:rsid w:val="00B63CBC"/>
    <w:rsid w:val="00B63D87"/>
    <w:rsid w:val="00B63DB3"/>
    <w:rsid w:val="00B6421F"/>
    <w:rsid w:val="00B6423E"/>
    <w:rsid w:val="00B64270"/>
    <w:rsid w:val="00B642AD"/>
    <w:rsid w:val="00B643FF"/>
    <w:rsid w:val="00B64529"/>
    <w:rsid w:val="00B64839"/>
    <w:rsid w:val="00B648B9"/>
    <w:rsid w:val="00B6496B"/>
    <w:rsid w:val="00B6496E"/>
    <w:rsid w:val="00B64D13"/>
    <w:rsid w:val="00B64E5F"/>
    <w:rsid w:val="00B64E7F"/>
    <w:rsid w:val="00B64EB6"/>
    <w:rsid w:val="00B6588B"/>
    <w:rsid w:val="00B65A7B"/>
    <w:rsid w:val="00B65B0C"/>
    <w:rsid w:val="00B65B48"/>
    <w:rsid w:val="00B65D32"/>
    <w:rsid w:val="00B65E7F"/>
    <w:rsid w:val="00B65E83"/>
    <w:rsid w:val="00B65ECE"/>
    <w:rsid w:val="00B660ED"/>
    <w:rsid w:val="00B661FE"/>
    <w:rsid w:val="00B6642E"/>
    <w:rsid w:val="00B66446"/>
    <w:rsid w:val="00B6648F"/>
    <w:rsid w:val="00B66491"/>
    <w:rsid w:val="00B66493"/>
    <w:rsid w:val="00B6654F"/>
    <w:rsid w:val="00B66A1D"/>
    <w:rsid w:val="00B66A52"/>
    <w:rsid w:val="00B66AC6"/>
    <w:rsid w:val="00B66AF5"/>
    <w:rsid w:val="00B66C86"/>
    <w:rsid w:val="00B66FB2"/>
    <w:rsid w:val="00B6702F"/>
    <w:rsid w:val="00B675BA"/>
    <w:rsid w:val="00B67636"/>
    <w:rsid w:val="00B67797"/>
    <w:rsid w:val="00B678DD"/>
    <w:rsid w:val="00B679BB"/>
    <w:rsid w:val="00B67D21"/>
    <w:rsid w:val="00B67D3B"/>
    <w:rsid w:val="00B67DA5"/>
    <w:rsid w:val="00B67DE0"/>
    <w:rsid w:val="00B67E5F"/>
    <w:rsid w:val="00B70090"/>
    <w:rsid w:val="00B700CB"/>
    <w:rsid w:val="00B70104"/>
    <w:rsid w:val="00B70140"/>
    <w:rsid w:val="00B704BD"/>
    <w:rsid w:val="00B705B5"/>
    <w:rsid w:val="00B70616"/>
    <w:rsid w:val="00B70665"/>
    <w:rsid w:val="00B70A00"/>
    <w:rsid w:val="00B70BA3"/>
    <w:rsid w:val="00B70D02"/>
    <w:rsid w:val="00B70D81"/>
    <w:rsid w:val="00B70E9C"/>
    <w:rsid w:val="00B70FE2"/>
    <w:rsid w:val="00B710DB"/>
    <w:rsid w:val="00B7116A"/>
    <w:rsid w:val="00B7118D"/>
    <w:rsid w:val="00B71358"/>
    <w:rsid w:val="00B7150E"/>
    <w:rsid w:val="00B718A7"/>
    <w:rsid w:val="00B71920"/>
    <w:rsid w:val="00B7194D"/>
    <w:rsid w:val="00B72081"/>
    <w:rsid w:val="00B72122"/>
    <w:rsid w:val="00B72794"/>
    <w:rsid w:val="00B72978"/>
    <w:rsid w:val="00B72A1E"/>
    <w:rsid w:val="00B72B02"/>
    <w:rsid w:val="00B72B5B"/>
    <w:rsid w:val="00B72B62"/>
    <w:rsid w:val="00B72BCA"/>
    <w:rsid w:val="00B72BE9"/>
    <w:rsid w:val="00B72C3B"/>
    <w:rsid w:val="00B72D85"/>
    <w:rsid w:val="00B730C4"/>
    <w:rsid w:val="00B73270"/>
    <w:rsid w:val="00B732EA"/>
    <w:rsid w:val="00B73374"/>
    <w:rsid w:val="00B73382"/>
    <w:rsid w:val="00B735A2"/>
    <w:rsid w:val="00B7365D"/>
    <w:rsid w:val="00B73B08"/>
    <w:rsid w:val="00B73B1D"/>
    <w:rsid w:val="00B73B34"/>
    <w:rsid w:val="00B73BFC"/>
    <w:rsid w:val="00B73D50"/>
    <w:rsid w:val="00B73D81"/>
    <w:rsid w:val="00B73F9A"/>
    <w:rsid w:val="00B7432E"/>
    <w:rsid w:val="00B7444A"/>
    <w:rsid w:val="00B7445D"/>
    <w:rsid w:val="00B744A6"/>
    <w:rsid w:val="00B7456D"/>
    <w:rsid w:val="00B745B0"/>
    <w:rsid w:val="00B74648"/>
    <w:rsid w:val="00B7466C"/>
    <w:rsid w:val="00B74802"/>
    <w:rsid w:val="00B74A70"/>
    <w:rsid w:val="00B74A80"/>
    <w:rsid w:val="00B74C64"/>
    <w:rsid w:val="00B74CEC"/>
    <w:rsid w:val="00B74FF6"/>
    <w:rsid w:val="00B750D9"/>
    <w:rsid w:val="00B753B9"/>
    <w:rsid w:val="00B755B3"/>
    <w:rsid w:val="00B755DA"/>
    <w:rsid w:val="00B75974"/>
    <w:rsid w:val="00B75A5F"/>
    <w:rsid w:val="00B75B23"/>
    <w:rsid w:val="00B75D83"/>
    <w:rsid w:val="00B75F96"/>
    <w:rsid w:val="00B76196"/>
    <w:rsid w:val="00B76233"/>
    <w:rsid w:val="00B764A8"/>
    <w:rsid w:val="00B76538"/>
    <w:rsid w:val="00B7668F"/>
    <w:rsid w:val="00B7670D"/>
    <w:rsid w:val="00B7689E"/>
    <w:rsid w:val="00B76D75"/>
    <w:rsid w:val="00B770C2"/>
    <w:rsid w:val="00B77110"/>
    <w:rsid w:val="00B772FD"/>
    <w:rsid w:val="00B7732A"/>
    <w:rsid w:val="00B7734B"/>
    <w:rsid w:val="00B773D5"/>
    <w:rsid w:val="00B7776E"/>
    <w:rsid w:val="00B777D2"/>
    <w:rsid w:val="00B77805"/>
    <w:rsid w:val="00B7781D"/>
    <w:rsid w:val="00B779F7"/>
    <w:rsid w:val="00B77C03"/>
    <w:rsid w:val="00B77CE6"/>
    <w:rsid w:val="00B77E81"/>
    <w:rsid w:val="00B8005E"/>
    <w:rsid w:val="00B80124"/>
    <w:rsid w:val="00B804E1"/>
    <w:rsid w:val="00B80514"/>
    <w:rsid w:val="00B805B0"/>
    <w:rsid w:val="00B80795"/>
    <w:rsid w:val="00B807A8"/>
    <w:rsid w:val="00B807F2"/>
    <w:rsid w:val="00B8097B"/>
    <w:rsid w:val="00B80B97"/>
    <w:rsid w:val="00B80C00"/>
    <w:rsid w:val="00B80C9D"/>
    <w:rsid w:val="00B80D3F"/>
    <w:rsid w:val="00B80E2E"/>
    <w:rsid w:val="00B80EBB"/>
    <w:rsid w:val="00B80EE9"/>
    <w:rsid w:val="00B80F48"/>
    <w:rsid w:val="00B8117A"/>
    <w:rsid w:val="00B811C9"/>
    <w:rsid w:val="00B81298"/>
    <w:rsid w:val="00B812CE"/>
    <w:rsid w:val="00B815AE"/>
    <w:rsid w:val="00B81634"/>
    <w:rsid w:val="00B81736"/>
    <w:rsid w:val="00B8180D"/>
    <w:rsid w:val="00B81830"/>
    <w:rsid w:val="00B818CD"/>
    <w:rsid w:val="00B81B97"/>
    <w:rsid w:val="00B81BA4"/>
    <w:rsid w:val="00B81D08"/>
    <w:rsid w:val="00B81E83"/>
    <w:rsid w:val="00B81FEE"/>
    <w:rsid w:val="00B820D1"/>
    <w:rsid w:val="00B82829"/>
    <w:rsid w:val="00B8286A"/>
    <w:rsid w:val="00B829A9"/>
    <w:rsid w:val="00B82CB8"/>
    <w:rsid w:val="00B82DC2"/>
    <w:rsid w:val="00B82E3C"/>
    <w:rsid w:val="00B82EC6"/>
    <w:rsid w:val="00B82F33"/>
    <w:rsid w:val="00B82F37"/>
    <w:rsid w:val="00B82F3E"/>
    <w:rsid w:val="00B82FA5"/>
    <w:rsid w:val="00B830FC"/>
    <w:rsid w:val="00B83303"/>
    <w:rsid w:val="00B83308"/>
    <w:rsid w:val="00B83339"/>
    <w:rsid w:val="00B83497"/>
    <w:rsid w:val="00B835E7"/>
    <w:rsid w:val="00B83612"/>
    <w:rsid w:val="00B837EA"/>
    <w:rsid w:val="00B838BD"/>
    <w:rsid w:val="00B83BA1"/>
    <w:rsid w:val="00B83BBD"/>
    <w:rsid w:val="00B83D37"/>
    <w:rsid w:val="00B83D9E"/>
    <w:rsid w:val="00B83E71"/>
    <w:rsid w:val="00B83FD6"/>
    <w:rsid w:val="00B84164"/>
    <w:rsid w:val="00B843B5"/>
    <w:rsid w:val="00B844C3"/>
    <w:rsid w:val="00B84665"/>
    <w:rsid w:val="00B84881"/>
    <w:rsid w:val="00B84C79"/>
    <w:rsid w:val="00B850A8"/>
    <w:rsid w:val="00B85490"/>
    <w:rsid w:val="00B8555F"/>
    <w:rsid w:val="00B85610"/>
    <w:rsid w:val="00B8591E"/>
    <w:rsid w:val="00B8599A"/>
    <w:rsid w:val="00B85C05"/>
    <w:rsid w:val="00B85F38"/>
    <w:rsid w:val="00B8613E"/>
    <w:rsid w:val="00B8625A"/>
    <w:rsid w:val="00B8646B"/>
    <w:rsid w:val="00B865CD"/>
    <w:rsid w:val="00B866E1"/>
    <w:rsid w:val="00B86A2F"/>
    <w:rsid w:val="00B86B08"/>
    <w:rsid w:val="00B86D3E"/>
    <w:rsid w:val="00B86E84"/>
    <w:rsid w:val="00B8716F"/>
    <w:rsid w:val="00B8725A"/>
    <w:rsid w:val="00B872BB"/>
    <w:rsid w:val="00B87339"/>
    <w:rsid w:val="00B873BC"/>
    <w:rsid w:val="00B873F9"/>
    <w:rsid w:val="00B874E2"/>
    <w:rsid w:val="00B874FD"/>
    <w:rsid w:val="00B8762D"/>
    <w:rsid w:val="00B87713"/>
    <w:rsid w:val="00B87728"/>
    <w:rsid w:val="00B8785C"/>
    <w:rsid w:val="00B87ABC"/>
    <w:rsid w:val="00B87B4C"/>
    <w:rsid w:val="00B87CD0"/>
    <w:rsid w:val="00B87D1B"/>
    <w:rsid w:val="00B87D73"/>
    <w:rsid w:val="00B87E78"/>
    <w:rsid w:val="00B87EE5"/>
    <w:rsid w:val="00B87F20"/>
    <w:rsid w:val="00B900C8"/>
    <w:rsid w:val="00B901D5"/>
    <w:rsid w:val="00B901E1"/>
    <w:rsid w:val="00B90213"/>
    <w:rsid w:val="00B902B9"/>
    <w:rsid w:val="00B904E7"/>
    <w:rsid w:val="00B90512"/>
    <w:rsid w:val="00B90580"/>
    <w:rsid w:val="00B905EC"/>
    <w:rsid w:val="00B90AFA"/>
    <w:rsid w:val="00B90BF0"/>
    <w:rsid w:val="00B90D3C"/>
    <w:rsid w:val="00B90D94"/>
    <w:rsid w:val="00B90D9A"/>
    <w:rsid w:val="00B90F34"/>
    <w:rsid w:val="00B9109A"/>
    <w:rsid w:val="00B9136B"/>
    <w:rsid w:val="00B9146D"/>
    <w:rsid w:val="00B91BC9"/>
    <w:rsid w:val="00B91BE7"/>
    <w:rsid w:val="00B91BEB"/>
    <w:rsid w:val="00B91C4A"/>
    <w:rsid w:val="00B91DC2"/>
    <w:rsid w:val="00B92012"/>
    <w:rsid w:val="00B92062"/>
    <w:rsid w:val="00B920AF"/>
    <w:rsid w:val="00B92205"/>
    <w:rsid w:val="00B923DC"/>
    <w:rsid w:val="00B924FF"/>
    <w:rsid w:val="00B927D9"/>
    <w:rsid w:val="00B928F6"/>
    <w:rsid w:val="00B92CC1"/>
    <w:rsid w:val="00B92CE8"/>
    <w:rsid w:val="00B92EA6"/>
    <w:rsid w:val="00B92F4D"/>
    <w:rsid w:val="00B9302F"/>
    <w:rsid w:val="00B93265"/>
    <w:rsid w:val="00B9326C"/>
    <w:rsid w:val="00B93327"/>
    <w:rsid w:val="00B93360"/>
    <w:rsid w:val="00B93442"/>
    <w:rsid w:val="00B93480"/>
    <w:rsid w:val="00B9356E"/>
    <w:rsid w:val="00B93CCE"/>
    <w:rsid w:val="00B93D64"/>
    <w:rsid w:val="00B93E8D"/>
    <w:rsid w:val="00B93EB5"/>
    <w:rsid w:val="00B93F18"/>
    <w:rsid w:val="00B93F3E"/>
    <w:rsid w:val="00B93FE4"/>
    <w:rsid w:val="00B94051"/>
    <w:rsid w:val="00B940B2"/>
    <w:rsid w:val="00B94157"/>
    <w:rsid w:val="00B94250"/>
    <w:rsid w:val="00B94375"/>
    <w:rsid w:val="00B94388"/>
    <w:rsid w:val="00B94417"/>
    <w:rsid w:val="00B946BE"/>
    <w:rsid w:val="00B947B7"/>
    <w:rsid w:val="00B9487B"/>
    <w:rsid w:val="00B94984"/>
    <w:rsid w:val="00B94A48"/>
    <w:rsid w:val="00B94AF3"/>
    <w:rsid w:val="00B94B54"/>
    <w:rsid w:val="00B94DC8"/>
    <w:rsid w:val="00B94E09"/>
    <w:rsid w:val="00B94F70"/>
    <w:rsid w:val="00B95277"/>
    <w:rsid w:val="00B95370"/>
    <w:rsid w:val="00B95477"/>
    <w:rsid w:val="00B95503"/>
    <w:rsid w:val="00B956C1"/>
    <w:rsid w:val="00B956EA"/>
    <w:rsid w:val="00B95885"/>
    <w:rsid w:val="00B9590D"/>
    <w:rsid w:val="00B95E9E"/>
    <w:rsid w:val="00B95F30"/>
    <w:rsid w:val="00B9605E"/>
    <w:rsid w:val="00B9610F"/>
    <w:rsid w:val="00B96194"/>
    <w:rsid w:val="00B964F1"/>
    <w:rsid w:val="00B9654F"/>
    <w:rsid w:val="00B9657D"/>
    <w:rsid w:val="00B965A7"/>
    <w:rsid w:val="00B966A5"/>
    <w:rsid w:val="00B96C9F"/>
    <w:rsid w:val="00B96F5A"/>
    <w:rsid w:val="00B96FE0"/>
    <w:rsid w:val="00B97046"/>
    <w:rsid w:val="00B973DA"/>
    <w:rsid w:val="00B97672"/>
    <w:rsid w:val="00B97761"/>
    <w:rsid w:val="00B979D0"/>
    <w:rsid w:val="00B97B24"/>
    <w:rsid w:val="00B97B5F"/>
    <w:rsid w:val="00B97BAD"/>
    <w:rsid w:val="00B97E2A"/>
    <w:rsid w:val="00B97F19"/>
    <w:rsid w:val="00BA013E"/>
    <w:rsid w:val="00BA01BA"/>
    <w:rsid w:val="00BA02A1"/>
    <w:rsid w:val="00BA0344"/>
    <w:rsid w:val="00BA038B"/>
    <w:rsid w:val="00BA03EB"/>
    <w:rsid w:val="00BA048A"/>
    <w:rsid w:val="00BA0601"/>
    <w:rsid w:val="00BA06DE"/>
    <w:rsid w:val="00BA09FF"/>
    <w:rsid w:val="00BA0A9E"/>
    <w:rsid w:val="00BA0AF0"/>
    <w:rsid w:val="00BA0B8E"/>
    <w:rsid w:val="00BA0BE2"/>
    <w:rsid w:val="00BA0CB9"/>
    <w:rsid w:val="00BA0EBE"/>
    <w:rsid w:val="00BA0F34"/>
    <w:rsid w:val="00BA0F7D"/>
    <w:rsid w:val="00BA106E"/>
    <w:rsid w:val="00BA136C"/>
    <w:rsid w:val="00BA138C"/>
    <w:rsid w:val="00BA13D4"/>
    <w:rsid w:val="00BA14B1"/>
    <w:rsid w:val="00BA15C3"/>
    <w:rsid w:val="00BA15FE"/>
    <w:rsid w:val="00BA1828"/>
    <w:rsid w:val="00BA1979"/>
    <w:rsid w:val="00BA1A46"/>
    <w:rsid w:val="00BA1CB5"/>
    <w:rsid w:val="00BA1D6C"/>
    <w:rsid w:val="00BA1E0C"/>
    <w:rsid w:val="00BA1EB6"/>
    <w:rsid w:val="00BA1FA9"/>
    <w:rsid w:val="00BA1FC4"/>
    <w:rsid w:val="00BA1FE3"/>
    <w:rsid w:val="00BA20A7"/>
    <w:rsid w:val="00BA226E"/>
    <w:rsid w:val="00BA2355"/>
    <w:rsid w:val="00BA24B7"/>
    <w:rsid w:val="00BA2706"/>
    <w:rsid w:val="00BA27A1"/>
    <w:rsid w:val="00BA2843"/>
    <w:rsid w:val="00BA28F7"/>
    <w:rsid w:val="00BA2998"/>
    <w:rsid w:val="00BA29E5"/>
    <w:rsid w:val="00BA2AE8"/>
    <w:rsid w:val="00BA2CBD"/>
    <w:rsid w:val="00BA2DEF"/>
    <w:rsid w:val="00BA2F0F"/>
    <w:rsid w:val="00BA318C"/>
    <w:rsid w:val="00BA3249"/>
    <w:rsid w:val="00BA352E"/>
    <w:rsid w:val="00BA367A"/>
    <w:rsid w:val="00BA37F5"/>
    <w:rsid w:val="00BA38DA"/>
    <w:rsid w:val="00BA3A6C"/>
    <w:rsid w:val="00BA3C93"/>
    <w:rsid w:val="00BA3CBF"/>
    <w:rsid w:val="00BA4171"/>
    <w:rsid w:val="00BA41DA"/>
    <w:rsid w:val="00BA439B"/>
    <w:rsid w:val="00BA4511"/>
    <w:rsid w:val="00BA46AE"/>
    <w:rsid w:val="00BA4C76"/>
    <w:rsid w:val="00BA4CA5"/>
    <w:rsid w:val="00BA4E9C"/>
    <w:rsid w:val="00BA4EB7"/>
    <w:rsid w:val="00BA4ED8"/>
    <w:rsid w:val="00BA4F45"/>
    <w:rsid w:val="00BA5018"/>
    <w:rsid w:val="00BA51E3"/>
    <w:rsid w:val="00BA528D"/>
    <w:rsid w:val="00BA55A6"/>
    <w:rsid w:val="00BA55B5"/>
    <w:rsid w:val="00BA5704"/>
    <w:rsid w:val="00BA58FC"/>
    <w:rsid w:val="00BA5901"/>
    <w:rsid w:val="00BA598B"/>
    <w:rsid w:val="00BA59CC"/>
    <w:rsid w:val="00BA5A05"/>
    <w:rsid w:val="00BA5A40"/>
    <w:rsid w:val="00BA5BC4"/>
    <w:rsid w:val="00BA5D66"/>
    <w:rsid w:val="00BA5DB9"/>
    <w:rsid w:val="00BA5EFC"/>
    <w:rsid w:val="00BA5F8C"/>
    <w:rsid w:val="00BA5F8E"/>
    <w:rsid w:val="00BA5FC9"/>
    <w:rsid w:val="00BA628C"/>
    <w:rsid w:val="00BA62E6"/>
    <w:rsid w:val="00BA6386"/>
    <w:rsid w:val="00BA6429"/>
    <w:rsid w:val="00BA644A"/>
    <w:rsid w:val="00BA663E"/>
    <w:rsid w:val="00BA670F"/>
    <w:rsid w:val="00BA6852"/>
    <w:rsid w:val="00BA68CB"/>
    <w:rsid w:val="00BA69AC"/>
    <w:rsid w:val="00BA6DAC"/>
    <w:rsid w:val="00BA6E73"/>
    <w:rsid w:val="00BA6E7A"/>
    <w:rsid w:val="00BA6FC2"/>
    <w:rsid w:val="00BA71E2"/>
    <w:rsid w:val="00BA7301"/>
    <w:rsid w:val="00BA735C"/>
    <w:rsid w:val="00BA7507"/>
    <w:rsid w:val="00BA7519"/>
    <w:rsid w:val="00BA798F"/>
    <w:rsid w:val="00BA7ABF"/>
    <w:rsid w:val="00BA7B16"/>
    <w:rsid w:val="00BA7BF0"/>
    <w:rsid w:val="00BA7CDD"/>
    <w:rsid w:val="00BA7DFF"/>
    <w:rsid w:val="00BA7FE1"/>
    <w:rsid w:val="00BB00D3"/>
    <w:rsid w:val="00BB00E6"/>
    <w:rsid w:val="00BB0128"/>
    <w:rsid w:val="00BB0194"/>
    <w:rsid w:val="00BB01E3"/>
    <w:rsid w:val="00BB026D"/>
    <w:rsid w:val="00BB0290"/>
    <w:rsid w:val="00BB0415"/>
    <w:rsid w:val="00BB04E2"/>
    <w:rsid w:val="00BB057E"/>
    <w:rsid w:val="00BB0594"/>
    <w:rsid w:val="00BB07CC"/>
    <w:rsid w:val="00BB08CC"/>
    <w:rsid w:val="00BB0F96"/>
    <w:rsid w:val="00BB10B6"/>
    <w:rsid w:val="00BB115F"/>
    <w:rsid w:val="00BB13C4"/>
    <w:rsid w:val="00BB1460"/>
    <w:rsid w:val="00BB1690"/>
    <w:rsid w:val="00BB172D"/>
    <w:rsid w:val="00BB1773"/>
    <w:rsid w:val="00BB1861"/>
    <w:rsid w:val="00BB1893"/>
    <w:rsid w:val="00BB1AFC"/>
    <w:rsid w:val="00BB1B27"/>
    <w:rsid w:val="00BB1B3E"/>
    <w:rsid w:val="00BB1C1F"/>
    <w:rsid w:val="00BB1CE1"/>
    <w:rsid w:val="00BB1D8D"/>
    <w:rsid w:val="00BB2158"/>
    <w:rsid w:val="00BB2223"/>
    <w:rsid w:val="00BB226D"/>
    <w:rsid w:val="00BB229E"/>
    <w:rsid w:val="00BB23BB"/>
    <w:rsid w:val="00BB23C1"/>
    <w:rsid w:val="00BB2785"/>
    <w:rsid w:val="00BB27E6"/>
    <w:rsid w:val="00BB28B8"/>
    <w:rsid w:val="00BB2B38"/>
    <w:rsid w:val="00BB2CDF"/>
    <w:rsid w:val="00BB2D26"/>
    <w:rsid w:val="00BB2E58"/>
    <w:rsid w:val="00BB2FD3"/>
    <w:rsid w:val="00BB304C"/>
    <w:rsid w:val="00BB31EA"/>
    <w:rsid w:val="00BB3267"/>
    <w:rsid w:val="00BB3321"/>
    <w:rsid w:val="00BB3328"/>
    <w:rsid w:val="00BB3490"/>
    <w:rsid w:val="00BB34EA"/>
    <w:rsid w:val="00BB34F4"/>
    <w:rsid w:val="00BB391F"/>
    <w:rsid w:val="00BB3A21"/>
    <w:rsid w:val="00BB3A93"/>
    <w:rsid w:val="00BB3B8B"/>
    <w:rsid w:val="00BB3BE8"/>
    <w:rsid w:val="00BB3BF6"/>
    <w:rsid w:val="00BB3C67"/>
    <w:rsid w:val="00BB3DA8"/>
    <w:rsid w:val="00BB3DE2"/>
    <w:rsid w:val="00BB3F6A"/>
    <w:rsid w:val="00BB449A"/>
    <w:rsid w:val="00BB449F"/>
    <w:rsid w:val="00BB44D7"/>
    <w:rsid w:val="00BB46CB"/>
    <w:rsid w:val="00BB473F"/>
    <w:rsid w:val="00BB47C1"/>
    <w:rsid w:val="00BB495D"/>
    <w:rsid w:val="00BB49A9"/>
    <w:rsid w:val="00BB4C1D"/>
    <w:rsid w:val="00BB4C30"/>
    <w:rsid w:val="00BB4D63"/>
    <w:rsid w:val="00BB4E86"/>
    <w:rsid w:val="00BB4FE0"/>
    <w:rsid w:val="00BB5646"/>
    <w:rsid w:val="00BB56FE"/>
    <w:rsid w:val="00BB5759"/>
    <w:rsid w:val="00BB57EF"/>
    <w:rsid w:val="00BB583B"/>
    <w:rsid w:val="00BB585F"/>
    <w:rsid w:val="00BB5898"/>
    <w:rsid w:val="00BB59F4"/>
    <w:rsid w:val="00BB5BCF"/>
    <w:rsid w:val="00BB5C6F"/>
    <w:rsid w:val="00BB5CD6"/>
    <w:rsid w:val="00BB5E21"/>
    <w:rsid w:val="00BB5ECB"/>
    <w:rsid w:val="00BB5F0E"/>
    <w:rsid w:val="00BB5F2A"/>
    <w:rsid w:val="00BB5F85"/>
    <w:rsid w:val="00BB6017"/>
    <w:rsid w:val="00BB6033"/>
    <w:rsid w:val="00BB6115"/>
    <w:rsid w:val="00BB61EC"/>
    <w:rsid w:val="00BB6222"/>
    <w:rsid w:val="00BB630A"/>
    <w:rsid w:val="00BB6391"/>
    <w:rsid w:val="00BB65A3"/>
    <w:rsid w:val="00BB669C"/>
    <w:rsid w:val="00BB669E"/>
    <w:rsid w:val="00BB66DA"/>
    <w:rsid w:val="00BB6827"/>
    <w:rsid w:val="00BB6B01"/>
    <w:rsid w:val="00BB6BA4"/>
    <w:rsid w:val="00BB6C5D"/>
    <w:rsid w:val="00BB6E09"/>
    <w:rsid w:val="00BB70F0"/>
    <w:rsid w:val="00BB70FC"/>
    <w:rsid w:val="00BB73E9"/>
    <w:rsid w:val="00BB7733"/>
    <w:rsid w:val="00BB7836"/>
    <w:rsid w:val="00BB7AFF"/>
    <w:rsid w:val="00BB7BDB"/>
    <w:rsid w:val="00BB7DE8"/>
    <w:rsid w:val="00BC0056"/>
    <w:rsid w:val="00BC0115"/>
    <w:rsid w:val="00BC011D"/>
    <w:rsid w:val="00BC014A"/>
    <w:rsid w:val="00BC01C9"/>
    <w:rsid w:val="00BC0240"/>
    <w:rsid w:val="00BC0278"/>
    <w:rsid w:val="00BC058D"/>
    <w:rsid w:val="00BC062F"/>
    <w:rsid w:val="00BC06E5"/>
    <w:rsid w:val="00BC0800"/>
    <w:rsid w:val="00BC081E"/>
    <w:rsid w:val="00BC08ED"/>
    <w:rsid w:val="00BC0A67"/>
    <w:rsid w:val="00BC0BB4"/>
    <w:rsid w:val="00BC0C1A"/>
    <w:rsid w:val="00BC0C69"/>
    <w:rsid w:val="00BC0CEF"/>
    <w:rsid w:val="00BC0D3E"/>
    <w:rsid w:val="00BC0EDD"/>
    <w:rsid w:val="00BC122F"/>
    <w:rsid w:val="00BC12F8"/>
    <w:rsid w:val="00BC1556"/>
    <w:rsid w:val="00BC156C"/>
    <w:rsid w:val="00BC1627"/>
    <w:rsid w:val="00BC16D8"/>
    <w:rsid w:val="00BC1722"/>
    <w:rsid w:val="00BC17B7"/>
    <w:rsid w:val="00BC18AE"/>
    <w:rsid w:val="00BC18D4"/>
    <w:rsid w:val="00BC19A5"/>
    <w:rsid w:val="00BC1A56"/>
    <w:rsid w:val="00BC1AE4"/>
    <w:rsid w:val="00BC1B03"/>
    <w:rsid w:val="00BC1C02"/>
    <w:rsid w:val="00BC1C29"/>
    <w:rsid w:val="00BC1E2E"/>
    <w:rsid w:val="00BC1E79"/>
    <w:rsid w:val="00BC20CF"/>
    <w:rsid w:val="00BC21BE"/>
    <w:rsid w:val="00BC2201"/>
    <w:rsid w:val="00BC23EB"/>
    <w:rsid w:val="00BC2445"/>
    <w:rsid w:val="00BC2478"/>
    <w:rsid w:val="00BC249E"/>
    <w:rsid w:val="00BC270E"/>
    <w:rsid w:val="00BC2798"/>
    <w:rsid w:val="00BC297B"/>
    <w:rsid w:val="00BC2A23"/>
    <w:rsid w:val="00BC2CE8"/>
    <w:rsid w:val="00BC2E49"/>
    <w:rsid w:val="00BC2EB0"/>
    <w:rsid w:val="00BC302B"/>
    <w:rsid w:val="00BC3114"/>
    <w:rsid w:val="00BC31B7"/>
    <w:rsid w:val="00BC3219"/>
    <w:rsid w:val="00BC33CA"/>
    <w:rsid w:val="00BC3466"/>
    <w:rsid w:val="00BC3562"/>
    <w:rsid w:val="00BC368E"/>
    <w:rsid w:val="00BC369E"/>
    <w:rsid w:val="00BC36AD"/>
    <w:rsid w:val="00BC37CA"/>
    <w:rsid w:val="00BC38E3"/>
    <w:rsid w:val="00BC39E3"/>
    <w:rsid w:val="00BC3A8A"/>
    <w:rsid w:val="00BC3B7F"/>
    <w:rsid w:val="00BC3CED"/>
    <w:rsid w:val="00BC3DF5"/>
    <w:rsid w:val="00BC3E2F"/>
    <w:rsid w:val="00BC3E95"/>
    <w:rsid w:val="00BC3EA8"/>
    <w:rsid w:val="00BC3F7F"/>
    <w:rsid w:val="00BC4057"/>
    <w:rsid w:val="00BC40F7"/>
    <w:rsid w:val="00BC4123"/>
    <w:rsid w:val="00BC418D"/>
    <w:rsid w:val="00BC446D"/>
    <w:rsid w:val="00BC451D"/>
    <w:rsid w:val="00BC4547"/>
    <w:rsid w:val="00BC4587"/>
    <w:rsid w:val="00BC4679"/>
    <w:rsid w:val="00BC4813"/>
    <w:rsid w:val="00BC490F"/>
    <w:rsid w:val="00BC4972"/>
    <w:rsid w:val="00BC49C7"/>
    <w:rsid w:val="00BC4BD2"/>
    <w:rsid w:val="00BC4D44"/>
    <w:rsid w:val="00BC4DFE"/>
    <w:rsid w:val="00BC4E63"/>
    <w:rsid w:val="00BC4F80"/>
    <w:rsid w:val="00BC5053"/>
    <w:rsid w:val="00BC51B8"/>
    <w:rsid w:val="00BC5241"/>
    <w:rsid w:val="00BC531D"/>
    <w:rsid w:val="00BC5338"/>
    <w:rsid w:val="00BC5597"/>
    <w:rsid w:val="00BC5749"/>
    <w:rsid w:val="00BC588E"/>
    <w:rsid w:val="00BC5953"/>
    <w:rsid w:val="00BC5B5C"/>
    <w:rsid w:val="00BC5C42"/>
    <w:rsid w:val="00BC5F24"/>
    <w:rsid w:val="00BC5F39"/>
    <w:rsid w:val="00BC5FD3"/>
    <w:rsid w:val="00BC637F"/>
    <w:rsid w:val="00BC6399"/>
    <w:rsid w:val="00BC644F"/>
    <w:rsid w:val="00BC6606"/>
    <w:rsid w:val="00BC661A"/>
    <w:rsid w:val="00BC6648"/>
    <w:rsid w:val="00BC6700"/>
    <w:rsid w:val="00BC6794"/>
    <w:rsid w:val="00BC67A4"/>
    <w:rsid w:val="00BC696C"/>
    <w:rsid w:val="00BC6A18"/>
    <w:rsid w:val="00BC6A32"/>
    <w:rsid w:val="00BC6B3E"/>
    <w:rsid w:val="00BC6E4E"/>
    <w:rsid w:val="00BC6E6B"/>
    <w:rsid w:val="00BC737E"/>
    <w:rsid w:val="00BC75AF"/>
    <w:rsid w:val="00BC763A"/>
    <w:rsid w:val="00BC76DB"/>
    <w:rsid w:val="00BC7724"/>
    <w:rsid w:val="00BC7751"/>
    <w:rsid w:val="00BC77F3"/>
    <w:rsid w:val="00BC77FA"/>
    <w:rsid w:val="00BC796B"/>
    <w:rsid w:val="00BC7A49"/>
    <w:rsid w:val="00BC7A4F"/>
    <w:rsid w:val="00BC7AFC"/>
    <w:rsid w:val="00BC7BAB"/>
    <w:rsid w:val="00BC7CAA"/>
    <w:rsid w:val="00BC7CF4"/>
    <w:rsid w:val="00BC7D37"/>
    <w:rsid w:val="00BC7DDA"/>
    <w:rsid w:val="00BC7EA3"/>
    <w:rsid w:val="00BC7F2E"/>
    <w:rsid w:val="00BC7F8E"/>
    <w:rsid w:val="00BD028F"/>
    <w:rsid w:val="00BD03EC"/>
    <w:rsid w:val="00BD0428"/>
    <w:rsid w:val="00BD05C1"/>
    <w:rsid w:val="00BD065C"/>
    <w:rsid w:val="00BD06F7"/>
    <w:rsid w:val="00BD07E6"/>
    <w:rsid w:val="00BD0813"/>
    <w:rsid w:val="00BD0920"/>
    <w:rsid w:val="00BD0A02"/>
    <w:rsid w:val="00BD0A3E"/>
    <w:rsid w:val="00BD0A9E"/>
    <w:rsid w:val="00BD0B04"/>
    <w:rsid w:val="00BD0BB4"/>
    <w:rsid w:val="00BD1090"/>
    <w:rsid w:val="00BD13A4"/>
    <w:rsid w:val="00BD1496"/>
    <w:rsid w:val="00BD149D"/>
    <w:rsid w:val="00BD159D"/>
    <w:rsid w:val="00BD1632"/>
    <w:rsid w:val="00BD1654"/>
    <w:rsid w:val="00BD16C4"/>
    <w:rsid w:val="00BD173A"/>
    <w:rsid w:val="00BD17E8"/>
    <w:rsid w:val="00BD1915"/>
    <w:rsid w:val="00BD1A1E"/>
    <w:rsid w:val="00BD1AC4"/>
    <w:rsid w:val="00BD1E91"/>
    <w:rsid w:val="00BD20A4"/>
    <w:rsid w:val="00BD2217"/>
    <w:rsid w:val="00BD2314"/>
    <w:rsid w:val="00BD2370"/>
    <w:rsid w:val="00BD2378"/>
    <w:rsid w:val="00BD2392"/>
    <w:rsid w:val="00BD2480"/>
    <w:rsid w:val="00BD2580"/>
    <w:rsid w:val="00BD2761"/>
    <w:rsid w:val="00BD27F7"/>
    <w:rsid w:val="00BD295E"/>
    <w:rsid w:val="00BD2BB9"/>
    <w:rsid w:val="00BD2E39"/>
    <w:rsid w:val="00BD31DD"/>
    <w:rsid w:val="00BD33DF"/>
    <w:rsid w:val="00BD3584"/>
    <w:rsid w:val="00BD35E0"/>
    <w:rsid w:val="00BD3798"/>
    <w:rsid w:val="00BD380C"/>
    <w:rsid w:val="00BD39C2"/>
    <w:rsid w:val="00BD39F8"/>
    <w:rsid w:val="00BD3B67"/>
    <w:rsid w:val="00BD3D20"/>
    <w:rsid w:val="00BD3DBC"/>
    <w:rsid w:val="00BD3F66"/>
    <w:rsid w:val="00BD43CA"/>
    <w:rsid w:val="00BD44D2"/>
    <w:rsid w:val="00BD44F9"/>
    <w:rsid w:val="00BD4598"/>
    <w:rsid w:val="00BD4987"/>
    <w:rsid w:val="00BD49AB"/>
    <w:rsid w:val="00BD4BE5"/>
    <w:rsid w:val="00BD4D45"/>
    <w:rsid w:val="00BD4DA9"/>
    <w:rsid w:val="00BD4F18"/>
    <w:rsid w:val="00BD5151"/>
    <w:rsid w:val="00BD52D5"/>
    <w:rsid w:val="00BD54A2"/>
    <w:rsid w:val="00BD54B8"/>
    <w:rsid w:val="00BD5632"/>
    <w:rsid w:val="00BD5702"/>
    <w:rsid w:val="00BD57D1"/>
    <w:rsid w:val="00BD5807"/>
    <w:rsid w:val="00BD58C2"/>
    <w:rsid w:val="00BD592B"/>
    <w:rsid w:val="00BD5A30"/>
    <w:rsid w:val="00BD5A55"/>
    <w:rsid w:val="00BD5BB8"/>
    <w:rsid w:val="00BD5CB9"/>
    <w:rsid w:val="00BD5DFC"/>
    <w:rsid w:val="00BD5EAB"/>
    <w:rsid w:val="00BD5F24"/>
    <w:rsid w:val="00BD5FCF"/>
    <w:rsid w:val="00BD6046"/>
    <w:rsid w:val="00BD6131"/>
    <w:rsid w:val="00BD6134"/>
    <w:rsid w:val="00BD632E"/>
    <w:rsid w:val="00BD639A"/>
    <w:rsid w:val="00BD67CF"/>
    <w:rsid w:val="00BD6944"/>
    <w:rsid w:val="00BD698A"/>
    <w:rsid w:val="00BD6BD7"/>
    <w:rsid w:val="00BD71C6"/>
    <w:rsid w:val="00BD71DC"/>
    <w:rsid w:val="00BD733B"/>
    <w:rsid w:val="00BD73BD"/>
    <w:rsid w:val="00BD73FA"/>
    <w:rsid w:val="00BD7C27"/>
    <w:rsid w:val="00BD7DCD"/>
    <w:rsid w:val="00BD7E81"/>
    <w:rsid w:val="00BD7F8F"/>
    <w:rsid w:val="00BE0044"/>
    <w:rsid w:val="00BE0279"/>
    <w:rsid w:val="00BE03C2"/>
    <w:rsid w:val="00BE073C"/>
    <w:rsid w:val="00BE0899"/>
    <w:rsid w:val="00BE08EF"/>
    <w:rsid w:val="00BE0C1D"/>
    <w:rsid w:val="00BE0D0B"/>
    <w:rsid w:val="00BE0D9C"/>
    <w:rsid w:val="00BE0E19"/>
    <w:rsid w:val="00BE0E37"/>
    <w:rsid w:val="00BE0EE5"/>
    <w:rsid w:val="00BE0F22"/>
    <w:rsid w:val="00BE0F29"/>
    <w:rsid w:val="00BE0F97"/>
    <w:rsid w:val="00BE10B6"/>
    <w:rsid w:val="00BE1246"/>
    <w:rsid w:val="00BE127F"/>
    <w:rsid w:val="00BE14B2"/>
    <w:rsid w:val="00BE152B"/>
    <w:rsid w:val="00BE164D"/>
    <w:rsid w:val="00BE1763"/>
    <w:rsid w:val="00BE17A3"/>
    <w:rsid w:val="00BE1929"/>
    <w:rsid w:val="00BE1AB5"/>
    <w:rsid w:val="00BE1C01"/>
    <w:rsid w:val="00BE1C6C"/>
    <w:rsid w:val="00BE2186"/>
    <w:rsid w:val="00BE218D"/>
    <w:rsid w:val="00BE24B8"/>
    <w:rsid w:val="00BE259A"/>
    <w:rsid w:val="00BE269B"/>
    <w:rsid w:val="00BE278D"/>
    <w:rsid w:val="00BE2AE4"/>
    <w:rsid w:val="00BE2C42"/>
    <w:rsid w:val="00BE3020"/>
    <w:rsid w:val="00BE30B4"/>
    <w:rsid w:val="00BE30D8"/>
    <w:rsid w:val="00BE31CD"/>
    <w:rsid w:val="00BE32AA"/>
    <w:rsid w:val="00BE33C1"/>
    <w:rsid w:val="00BE3528"/>
    <w:rsid w:val="00BE383D"/>
    <w:rsid w:val="00BE388E"/>
    <w:rsid w:val="00BE39DB"/>
    <w:rsid w:val="00BE3A17"/>
    <w:rsid w:val="00BE3A1B"/>
    <w:rsid w:val="00BE3B60"/>
    <w:rsid w:val="00BE3F5C"/>
    <w:rsid w:val="00BE43DD"/>
    <w:rsid w:val="00BE4490"/>
    <w:rsid w:val="00BE44A1"/>
    <w:rsid w:val="00BE45B9"/>
    <w:rsid w:val="00BE46B9"/>
    <w:rsid w:val="00BE4807"/>
    <w:rsid w:val="00BE4A35"/>
    <w:rsid w:val="00BE4CFA"/>
    <w:rsid w:val="00BE4D36"/>
    <w:rsid w:val="00BE4D8E"/>
    <w:rsid w:val="00BE4D9B"/>
    <w:rsid w:val="00BE4DC2"/>
    <w:rsid w:val="00BE4E79"/>
    <w:rsid w:val="00BE4EDC"/>
    <w:rsid w:val="00BE4F31"/>
    <w:rsid w:val="00BE4F9A"/>
    <w:rsid w:val="00BE5194"/>
    <w:rsid w:val="00BE5238"/>
    <w:rsid w:val="00BE5636"/>
    <w:rsid w:val="00BE5729"/>
    <w:rsid w:val="00BE5735"/>
    <w:rsid w:val="00BE598B"/>
    <w:rsid w:val="00BE5AB2"/>
    <w:rsid w:val="00BE5C87"/>
    <w:rsid w:val="00BE5DE7"/>
    <w:rsid w:val="00BE5E05"/>
    <w:rsid w:val="00BE6091"/>
    <w:rsid w:val="00BE60F7"/>
    <w:rsid w:val="00BE6404"/>
    <w:rsid w:val="00BE65F8"/>
    <w:rsid w:val="00BE69CE"/>
    <w:rsid w:val="00BE6A26"/>
    <w:rsid w:val="00BE6AF3"/>
    <w:rsid w:val="00BE6B42"/>
    <w:rsid w:val="00BE6BDC"/>
    <w:rsid w:val="00BE707A"/>
    <w:rsid w:val="00BE70C3"/>
    <w:rsid w:val="00BE7202"/>
    <w:rsid w:val="00BE723D"/>
    <w:rsid w:val="00BE726E"/>
    <w:rsid w:val="00BE727D"/>
    <w:rsid w:val="00BE73E2"/>
    <w:rsid w:val="00BE74F9"/>
    <w:rsid w:val="00BE7675"/>
    <w:rsid w:val="00BE76A6"/>
    <w:rsid w:val="00BE7B32"/>
    <w:rsid w:val="00BE7C21"/>
    <w:rsid w:val="00BE7D4A"/>
    <w:rsid w:val="00BE7D62"/>
    <w:rsid w:val="00BE7DA2"/>
    <w:rsid w:val="00BE7DB3"/>
    <w:rsid w:val="00BE7EF4"/>
    <w:rsid w:val="00BF00CA"/>
    <w:rsid w:val="00BF0196"/>
    <w:rsid w:val="00BF037F"/>
    <w:rsid w:val="00BF039A"/>
    <w:rsid w:val="00BF0590"/>
    <w:rsid w:val="00BF0B0D"/>
    <w:rsid w:val="00BF0CD1"/>
    <w:rsid w:val="00BF0CE1"/>
    <w:rsid w:val="00BF0D90"/>
    <w:rsid w:val="00BF0E70"/>
    <w:rsid w:val="00BF0FEF"/>
    <w:rsid w:val="00BF1075"/>
    <w:rsid w:val="00BF1099"/>
    <w:rsid w:val="00BF12EA"/>
    <w:rsid w:val="00BF13FF"/>
    <w:rsid w:val="00BF1424"/>
    <w:rsid w:val="00BF1510"/>
    <w:rsid w:val="00BF1661"/>
    <w:rsid w:val="00BF16A3"/>
    <w:rsid w:val="00BF181D"/>
    <w:rsid w:val="00BF1A68"/>
    <w:rsid w:val="00BF1C5E"/>
    <w:rsid w:val="00BF1C97"/>
    <w:rsid w:val="00BF1E6F"/>
    <w:rsid w:val="00BF22AF"/>
    <w:rsid w:val="00BF24C2"/>
    <w:rsid w:val="00BF25CA"/>
    <w:rsid w:val="00BF262F"/>
    <w:rsid w:val="00BF26BF"/>
    <w:rsid w:val="00BF271F"/>
    <w:rsid w:val="00BF2859"/>
    <w:rsid w:val="00BF2A18"/>
    <w:rsid w:val="00BF2A74"/>
    <w:rsid w:val="00BF2ACB"/>
    <w:rsid w:val="00BF2B1D"/>
    <w:rsid w:val="00BF2B62"/>
    <w:rsid w:val="00BF2E47"/>
    <w:rsid w:val="00BF2F6A"/>
    <w:rsid w:val="00BF3224"/>
    <w:rsid w:val="00BF3295"/>
    <w:rsid w:val="00BF3376"/>
    <w:rsid w:val="00BF33C2"/>
    <w:rsid w:val="00BF354E"/>
    <w:rsid w:val="00BF3A1B"/>
    <w:rsid w:val="00BF3C9E"/>
    <w:rsid w:val="00BF3D98"/>
    <w:rsid w:val="00BF3F95"/>
    <w:rsid w:val="00BF404B"/>
    <w:rsid w:val="00BF4211"/>
    <w:rsid w:val="00BF42E4"/>
    <w:rsid w:val="00BF44C9"/>
    <w:rsid w:val="00BF44E0"/>
    <w:rsid w:val="00BF4598"/>
    <w:rsid w:val="00BF4897"/>
    <w:rsid w:val="00BF4979"/>
    <w:rsid w:val="00BF4A53"/>
    <w:rsid w:val="00BF4A86"/>
    <w:rsid w:val="00BF4C3B"/>
    <w:rsid w:val="00BF4D4B"/>
    <w:rsid w:val="00BF4D81"/>
    <w:rsid w:val="00BF5174"/>
    <w:rsid w:val="00BF51CA"/>
    <w:rsid w:val="00BF534B"/>
    <w:rsid w:val="00BF538B"/>
    <w:rsid w:val="00BF5664"/>
    <w:rsid w:val="00BF576F"/>
    <w:rsid w:val="00BF58AD"/>
    <w:rsid w:val="00BF5C65"/>
    <w:rsid w:val="00BF5D5F"/>
    <w:rsid w:val="00BF5D6A"/>
    <w:rsid w:val="00BF5D72"/>
    <w:rsid w:val="00BF5EED"/>
    <w:rsid w:val="00BF5EF3"/>
    <w:rsid w:val="00BF5FA0"/>
    <w:rsid w:val="00BF6005"/>
    <w:rsid w:val="00BF64BF"/>
    <w:rsid w:val="00BF657D"/>
    <w:rsid w:val="00BF66B1"/>
    <w:rsid w:val="00BF6780"/>
    <w:rsid w:val="00BF67A1"/>
    <w:rsid w:val="00BF6A42"/>
    <w:rsid w:val="00BF6CD7"/>
    <w:rsid w:val="00BF6DA0"/>
    <w:rsid w:val="00BF6DBA"/>
    <w:rsid w:val="00BF6E31"/>
    <w:rsid w:val="00BF6FFA"/>
    <w:rsid w:val="00BF7049"/>
    <w:rsid w:val="00BF71D6"/>
    <w:rsid w:val="00BF7397"/>
    <w:rsid w:val="00BF7671"/>
    <w:rsid w:val="00BF76CF"/>
    <w:rsid w:val="00BF7765"/>
    <w:rsid w:val="00BF778C"/>
    <w:rsid w:val="00BF78A3"/>
    <w:rsid w:val="00BF7940"/>
    <w:rsid w:val="00BF7A1B"/>
    <w:rsid w:val="00BF7DCA"/>
    <w:rsid w:val="00C0007D"/>
    <w:rsid w:val="00C0024B"/>
    <w:rsid w:val="00C00459"/>
    <w:rsid w:val="00C0046A"/>
    <w:rsid w:val="00C0048C"/>
    <w:rsid w:val="00C00589"/>
    <w:rsid w:val="00C00A1A"/>
    <w:rsid w:val="00C00C69"/>
    <w:rsid w:val="00C00E93"/>
    <w:rsid w:val="00C00F22"/>
    <w:rsid w:val="00C00FEE"/>
    <w:rsid w:val="00C01052"/>
    <w:rsid w:val="00C010A0"/>
    <w:rsid w:val="00C011FF"/>
    <w:rsid w:val="00C01293"/>
    <w:rsid w:val="00C015E1"/>
    <w:rsid w:val="00C01721"/>
    <w:rsid w:val="00C01A7D"/>
    <w:rsid w:val="00C01AB4"/>
    <w:rsid w:val="00C01D37"/>
    <w:rsid w:val="00C01FDA"/>
    <w:rsid w:val="00C024F8"/>
    <w:rsid w:val="00C025E0"/>
    <w:rsid w:val="00C026C7"/>
    <w:rsid w:val="00C027EF"/>
    <w:rsid w:val="00C02800"/>
    <w:rsid w:val="00C02844"/>
    <w:rsid w:val="00C02968"/>
    <w:rsid w:val="00C029D2"/>
    <w:rsid w:val="00C02C51"/>
    <w:rsid w:val="00C02F3D"/>
    <w:rsid w:val="00C02FD4"/>
    <w:rsid w:val="00C0303C"/>
    <w:rsid w:val="00C032F7"/>
    <w:rsid w:val="00C034E9"/>
    <w:rsid w:val="00C035BE"/>
    <w:rsid w:val="00C03759"/>
    <w:rsid w:val="00C0377D"/>
    <w:rsid w:val="00C03785"/>
    <w:rsid w:val="00C0383A"/>
    <w:rsid w:val="00C03A12"/>
    <w:rsid w:val="00C03DC2"/>
    <w:rsid w:val="00C0403C"/>
    <w:rsid w:val="00C043C4"/>
    <w:rsid w:val="00C04458"/>
    <w:rsid w:val="00C04573"/>
    <w:rsid w:val="00C046A6"/>
    <w:rsid w:val="00C04783"/>
    <w:rsid w:val="00C04865"/>
    <w:rsid w:val="00C04B0F"/>
    <w:rsid w:val="00C04B76"/>
    <w:rsid w:val="00C04BA8"/>
    <w:rsid w:val="00C04D0E"/>
    <w:rsid w:val="00C04D1E"/>
    <w:rsid w:val="00C04D6C"/>
    <w:rsid w:val="00C0506F"/>
    <w:rsid w:val="00C0512B"/>
    <w:rsid w:val="00C053D4"/>
    <w:rsid w:val="00C05455"/>
    <w:rsid w:val="00C05510"/>
    <w:rsid w:val="00C057CD"/>
    <w:rsid w:val="00C058BB"/>
    <w:rsid w:val="00C05AAF"/>
    <w:rsid w:val="00C05AC9"/>
    <w:rsid w:val="00C05C5F"/>
    <w:rsid w:val="00C05DD2"/>
    <w:rsid w:val="00C060CE"/>
    <w:rsid w:val="00C060EB"/>
    <w:rsid w:val="00C0634C"/>
    <w:rsid w:val="00C063CC"/>
    <w:rsid w:val="00C06550"/>
    <w:rsid w:val="00C068B0"/>
    <w:rsid w:val="00C06904"/>
    <w:rsid w:val="00C06905"/>
    <w:rsid w:val="00C06961"/>
    <w:rsid w:val="00C069E7"/>
    <w:rsid w:val="00C06AC5"/>
    <w:rsid w:val="00C06B5E"/>
    <w:rsid w:val="00C06B5F"/>
    <w:rsid w:val="00C06C49"/>
    <w:rsid w:val="00C06C7D"/>
    <w:rsid w:val="00C072DF"/>
    <w:rsid w:val="00C074C0"/>
    <w:rsid w:val="00C0755A"/>
    <w:rsid w:val="00C07571"/>
    <w:rsid w:val="00C07935"/>
    <w:rsid w:val="00C07940"/>
    <w:rsid w:val="00C079A7"/>
    <w:rsid w:val="00C079DD"/>
    <w:rsid w:val="00C07AE0"/>
    <w:rsid w:val="00C07B69"/>
    <w:rsid w:val="00C07B85"/>
    <w:rsid w:val="00C07B9B"/>
    <w:rsid w:val="00C07DD7"/>
    <w:rsid w:val="00C07F65"/>
    <w:rsid w:val="00C07F98"/>
    <w:rsid w:val="00C07FE8"/>
    <w:rsid w:val="00C1006F"/>
    <w:rsid w:val="00C1025B"/>
    <w:rsid w:val="00C10633"/>
    <w:rsid w:val="00C106ED"/>
    <w:rsid w:val="00C1073F"/>
    <w:rsid w:val="00C107E0"/>
    <w:rsid w:val="00C109DA"/>
    <w:rsid w:val="00C10F5E"/>
    <w:rsid w:val="00C110BC"/>
    <w:rsid w:val="00C110E3"/>
    <w:rsid w:val="00C11381"/>
    <w:rsid w:val="00C1141A"/>
    <w:rsid w:val="00C115C4"/>
    <w:rsid w:val="00C117A3"/>
    <w:rsid w:val="00C117EC"/>
    <w:rsid w:val="00C11839"/>
    <w:rsid w:val="00C11844"/>
    <w:rsid w:val="00C11864"/>
    <w:rsid w:val="00C11A14"/>
    <w:rsid w:val="00C11B5C"/>
    <w:rsid w:val="00C11CBF"/>
    <w:rsid w:val="00C11D62"/>
    <w:rsid w:val="00C11DD4"/>
    <w:rsid w:val="00C11F2A"/>
    <w:rsid w:val="00C12015"/>
    <w:rsid w:val="00C1211B"/>
    <w:rsid w:val="00C122E4"/>
    <w:rsid w:val="00C12362"/>
    <w:rsid w:val="00C12513"/>
    <w:rsid w:val="00C12631"/>
    <w:rsid w:val="00C127DC"/>
    <w:rsid w:val="00C12821"/>
    <w:rsid w:val="00C12827"/>
    <w:rsid w:val="00C129B1"/>
    <w:rsid w:val="00C12AAB"/>
    <w:rsid w:val="00C12BD1"/>
    <w:rsid w:val="00C12BF3"/>
    <w:rsid w:val="00C12D31"/>
    <w:rsid w:val="00C12D6C"/>
    <w:rsid w:val="00C12E5B"/>
    <w:rsid w:val="00C12E80"/>
    <w:rsid w:val="00C12EB5"/>
    <w:rsid w:val="00C12EB9"/>
    <w:rsid w:val="00C12F1D"/>
    <w:rsid w:val="00C13083"/>
    <w:rsid w:val="00C130BA"/>
    <w:rsid w:val="00C1320C"/>
    <w:rsid w:val="00C13299"/>
    <w:rsid w:val="00C1333D"/>
    <w:rsid w:val="00C13510"/>
    <w:rsid w:val="00C13666"/>
    <w:rsid w:val="00C13680"/>
    <w:rsid w:val="00C1373E"/>
    <w:rsid w:val="00C138AA"/>
    <w:rsid w:val="00C1392A"/>
    <w:rsid w:val="00C13B9F"/>
    <w:rsid w:val="00C13C14"/>
    <w:rsid w:val="00C13F9B"/>
    <w:rsid w:val="00C13FB2"/>
    <w:rsid w:val="00C14091"/>
    <w:rsid w:val="00C14127"/>
    <w:rsid w:val="00C1447B"/>
    <w:rsid w:val="00C14670"/>
    <w:rsid w:val="00C14723"/>
    <w:rsid w:val="00C1479C"/>
    <w:rsid w:val="00C149F1"/>
    <w:rsid w:val="00C14DEA"/>
    <w:rsid w:val="00C14EE8"/>
    <w:rsid w:val="00C15010"/>
    <w:rsid w:val="00C1507A"/>
    <w:rsid w:val="00C150D6"/>
    <w:rsid w:val="00C15291"/>
    <w:rsid w:val="00C152D6"/>
    <w:rsid w:val="00C15550"/>
    <w:rsid w:val="00C15569"/>
    <w:rsid w:val="00C15572"/>
    <w:rsid w:val="00C15666"/>
    <w:rsid w:val="00C156B7"/>
    <w:rsid w:val="00C15826"/>
    <w:rsid w:val="00C158D3"/>
    <w:rsid w:val="00C15A35"/>
    <w:rsid w:val="00C15B0A"/>
    <w:rsid w:val="00C15CFC"/>
    <w:rsid w:val="00C15D7A"/>
    <w:rsid w:val="00C162B8"/>
    <w:rsid w:val="00C162C5"/>
    <w:rsid w:val="00C163D8"/>
    <w:rsid w:val="00C163E8"/>
    <w:rsid w:val="00C1647A"/>
    <w:rsid w:val="00C1647F"/>
    <w:rsid w:val="00C164DB"/>
    <w:rsid w:val="00C165E6"/>
    <w:rsid w:val="00C1698A"/>
    <w:rsid w:val="00C169C0"/>
    <w:rsid w:val="00C16AFC"/>
    <w:rsid w:val="00C16B1D"/>
    <w:rsid w:val="00C16B77"/>
    <w:rsid w:val="00C16BF8"/>
    <w:rsid w:val="00C16C1C"/>
    <w:rsid w:val="00C16EBE"/>
    <w:rsid w:val="00C16EED"/>
    <w:rsid w:val="00C16F6D"/>
    <w:rsid w:val="00C16FA7"/>
    <w:rsid w:val="00C16FD9"/>
    <w:rsid w:val="00C1722D"/>
    <w:rsid w:val="00C173BE"/>
    <w:rsid w:val="00C17485"/>
    <w:rsid w:val="00C174D1"/>
    <w:rsid w:val="00C175EE"/>
    <w:rsid w:val="00C17758"/>
    <w:rsid w:val="00C177B1"/>
    <w:rsid w:val="00C17930"/>
    <w:rsid w:val="00C17F6C"/>
    <w:rsid w:val="00C2002C"/>
    <w:rsid w:val="00C200F1"/>
    <w:rsid w:val="00C20283"/>
    <w:rsid w:val="00C202EC"/>
    <w:rsid w:val="00C20356"/>
    <w:rsid w:val="00C2035D"/>
    <w:rsid w:val="00C205AE"/>
    <w:rsid w:val="00C205EA"/>
    <w:rsid w:val="00C206BF"/>
    <w:rsid w:val="00C20775"/>
    <w:rsid w:val="00C207AF"/>
    <w:rsid w:val="00C207FB"/>
    <w:rsid w:val="00C20A80"/>
    <w:rsid w:val="00C20B5C"/>
    <w:rsid w:val="00C20B85"/>
    <w:rsid w:val="00C20C6F"/>
    <w:rsid w:val="00C20DFA"/>
    <w:rsid w:val="00C20ED5"/>
    <w:rsid w:val="00C20F35"/>
    <w:rsid w:val="00C20F60"/>
    <w:rsid w:val="00C213B0"/>
    <w:rsid w:val="00C213E0"/>
    <w:rsid w:val="00C21852"/>
    <w:rsid w:val="00C21872"/>
    <w:rsid w:val="00C21881"/>
    <w:rsid w:val="00C21953"/>
    <w:rsid w:val="00C21C19"/>
    <w:rsid w:val="00C21C2D"/>
    <w:rsid w:val="00C21D78"/>
    <w:rsid w:val="00C21EE7"/>
    <w:rsid w:val="00C21F0B"/>
    <w:rsid w:val="00C21F16"/>
    <w:rsid w:val="00C2241E"/>
    <w:rsid w:val="00C2272A"/>
    <w:rsid w:val="00C2273E"/>
    <w:rsid w:val="00C229D1"/>
    <w:rsid w:val="00C22AF9"/>
    <w:rsid w:val="00C22CB9"/>
    <w:rsid w:val="00C22EF5"/>
    <w:rsid w:val="00C23432"/>
    <w:rsid w:val="00C239DE"/>
    <w:rsid w:val="00C23C7B"/>
    <w:rsid w:val="00C23D2F"/>
    <w:rsid w:val="00C23D3A"/>
    <w:rsid w:val="00C23E48"/>
    <w:rsid w:val="00C23EA4"/>
    <w:rsid w:val="00C23F78"/>
    <w:rsid w:val="00C23F9C"/>
    <w:rsid w:val="00C2414D"/>
    <w:rsid w:val="00C24379"/>
    <w:rsid w:val="00C2465B"/>
    <w:rsid w:val="00C2477F"/>
    <w:rsid w:val="00C24801"/>
    <w:rsid w:val="00C24823"/>
    <w:rsid w:val="00C248D3"/>
    <w:rsid w:val="00C248D7"/>
    <w:rsid w:val="00C24ACE"/>
    <w:rsid w:val="00C24C54"/>
    <w:rsid w:val="00C24D51"/>
    <w:rsid w:val="00C24E76"/>
    <w:rsid w:val="00C25059"/>
    <w:rsid w:val="00C2507F"/>
    <w:rsid w:val="00C25097"/>
    <w:rsid w:val="00C2523A"/>
    <w:rsid w:val="00C25287"/>
    <w:rsid w:val="00C25291"/>
    <w:rsid w:val="00C25484"/>
    <w:rsid w:val="00C254F5"/>
    <w:rsid w:val="00C25560"/>
    <w:rsid w:val="00C25601"/>
    <w:rsid w:val="00C256CA"/>
    <w:rsid w:val="00C2570A"/>
    <w:rsid w:val="00C25A3D"/>
    <w:rsid w:val="00C25C27"/>
    <w:rsid w:val="00C25E6C"/>
    <w:rsid w:val="00C25E75"/>
    <w:rsid w:val="00C25F2B"/>
    <w:rsid w:val="00C260C4"/>
    <w:rsid w:val="00C2622C"/>
    <w:rsid w:val="00C262D9"/>
    <w:rsid w:val="00C2684E"/>
    <w:rsid w:val="00C26856"/>
    <w:rsid w:val="00C268F6"/>
    <w:rsid w:val="00C26901"/>
    <w:rsid w:val="00C26A66"/>
    <w:rsid w:val="00C26A8A"/>
    <w:rsid w:val="00C26D8B"/>
    <w:rsid w:val="00C26F8B"/>
    <w:rsid w:val="00C26FE3"/>
    <w:rsid w:val="00C270F8"/>
    <w:rsid w:val="00C27209"/>
    <w:rsid w:val="00C2745D"/>
    <w:rsid w:val="00C2764E"/>
    <w:rsid w:val="00C27684"/>
    <w:rsid w:val="00C27740"/>
    <w:rsid w:val="00C2775C"/>
    <w:rsid w:val="00C279D6"/>
    <w:rsid w:val="00C27D33"/>
    <w:rsid w:val="00C27D38"/>
    <w:rsid w:val="00C27DDC"/>
    <w:rsid w:val="00C27EFB"/>
    <w:rsid w:val="00C30075"/>
    <w:rsid w:val="00C3017F"/>
    <w:rsid w:val="00C302AC"/>
    <w:rsid w:val="00C3038A"/>
    <w:rsid w:val="00C303D1"/>
    <w:rsid w:val="00C30409"/>
    <w:rsid w:val="00C30482"/>
    <w:rsid w:val="00C30701"/>
    <w:rsid w:val="00C30896"/>
    <w:rsid w:val="00C309E3"/>
    <w:rsid w:val="00C30A13"/>
    <w:rsid w:val="00C30C30"/>
    <w:rsid w:val="00C30D28"/>
    <w:rsid w:val="00C30F07"/>
    <w:rsid w:val="00C30F13"/>
    <w:rsid w:val="00C30FFD"/>
    <w:rsid w:val="00C311E8"/>
    <w:rsid w:val="00C311F2"/>
    <w:rsid w:val="00C3154A"/>
    <w:rsid w:val="00C315AA"/>
    <w:rsid w:val="00C317F6"/>
    <w:rsid w:val="00C319FB"/>
    <w:rsid w:val="00C31A7D"/>
    <w:rsid w:val="00C31AB7"/>
    <w:rsid w:val="00C31ADD"/>
    <w:rsid w:val="00C31F4F"/>
    <w:rsid w:val="00C31FC4"/>
    <w:rsid w:val="00C32046"/>
    <w:rsid w:val="00C32279"/>
    <w:rsid w:val="00C322E7"/>
    <w:rsid w:val="00C323E9"/>
    <w:rsid w:val="00C3243B"/>
    <w:rsid w:val="00C324CD"/>
    <w:rsid w:val="00C32601"/>
    <w:rsid w:val="00C327E0"/>
    <w:rsid w:val="00C32B6A"/>
    <w:rsid w:val="00C32B92"/>
    <w:rsid w:val="00C32BAC"/>
    <w:rsid w:val="00C32C68"/>
    <w:rsid w:val="00C32D4D"/>
    <w:rsid w:val="00C32E4B"/>
    <w:rsid w:val="00C32F6B"/>
    <w:rsid w:val="00C32F8E"/>
    <w:rsid w:val="00C33008"/>
    <w:rsid w:val="00C33014"/>
    <w:rsid w:val="00C3306A"/>
    <w:rsid w:val="00C330EB"/>
    <w:rsid w:val="00C33103"/>
    <w:rsid w:val="00C332C9"/>
    <w:rsid w:val="00C334E1"/>
    <w:rsid w:val="00C3357A"/>
    <w:rsid w:val="00C3357F"/>
    <w:rsid w:val="00C336FD"/>
    <w:rsid w:val="00C337C2"/>
    <w:rsid w:val="00C337E4"/>
    <w:rsid w:val="00C338A0"/>
    <w:rsid w:val="00C33C55"/>
    <w:rsid w:val="00C33EA8"/>
    <w:rsid w:val="00C33ED8"/>
    <w:rsid w:val="00C33F43"/>
    <w:rsid w:val="00C33FCF"/>
    <w:rsid w:val="00C3402D"/>
    <w:rsid w:val="00C34094"/>
    <w:rsid w:val="00C343D8"/>
    <w:rsid w:val="00C3448C"/>
    <w:rsid w:val="00C34502"/>
    <w:rsid w:val="00C34721"/>
    <w:rsid w:val="00C34806"/>
    <w:rsid w:val="00C34843"/>
    <w:rsid w:val="00C3496A"/>
    <w:rsid w:val="00C34BFB"/>
    <w:rsid w:val="00C34D52"/>
    <w:rsid w:val="00C351B7"/>
    <w:rsid w:val="00C353C7"/>
    <w:rsid w:val="00C35425"/>
    <w:rsid w:val="00C35501"/>
    <w:rsid w:val="00C355AF"/>
    <w:rsid w:val="00C35942"/>
    <w:rsid w:val="00C35984"/>
    <w:rsid w:val="00C35B64"/>
    <w:rsid w:val="00C35C09"/>
    <w:rsid w:val="00C35C7F"/>
    <w:rsid w:val="00C35F4C"/>
    <w:rsid w:val="00C35FB7"/>
    <w:rsid w:val="00C35FE0"/>
    <w:rsid w:val="00C361D4"/>
    <w:rsid w:val="00C363F8"/>
    <w:rsid w:val="00C36600"/>
    <w:rsid w:val="00C366DD"/>
    <w:rsid w:val="00C3670E"/>
    <w:rsid w:val="00C367E3"/>
    <w:rsid w:val="00C36AE3"/>
    <w:rsid w:val="00C36B3B"/>
    <w:rsid w:val="00C36B68"/>
    <w:rsid w:val="00C36C61"/>
    <w:rsid w:val="00C36CCE"/>
    <w:rsid w:val="00C36D92"/>
    <w:rsid w:val="00C36F52"/>
    <w:rsid w:val="00C37170"/>
    <w:rsid w:val="00C371EA"/>
    <w:rsid w:val="00C371EB"/>
    <w:rsid w:val="00C37329"/>
    <w:rsid w:val="00C3735B"/>
    <w:rsid w:val="00C37447"/>
    <w:rsid w:val="00C37483"/>
    <w:rsid w:val="00C374C8"/>
    <w:rsid w:val="00C377F5"/>
    <w:rsid w:val="00C3781D"/>
    <w:rsid w:val="00C3783C"/>
    <w:rsid w:val="00C37A00"/>
    <w:rsid w:val="00C37A1A"/>
    <w:rsid w:val="00C37BC9"/>
    <w:rsid w:val="00C37D3A"/>
    <w:rsid w:val="00C37E13"/>
    <w:rsid w:val="00C37FB7"/>
    <w:rsid w:val="00C40154"/>
    <w:rsid w:val="00C404CD"/>
    <w:rsid w:val="00C4051A"/>
    <w:rsid w:val="00C4052E"/>
    <w:rsid w:val="00C406C5"/>
    <w:rsid w:val="00C406DD"/>
    <w:rsid w:val="00C408EE"/>
    <w:rsid w:val="00C409B5"/>
    <w:rsid w:val="00C409D3"/>
    <w:rsid w:val="00C40AE6"/>
    <w:rsid w:val="00C40B3E"/>
    <w:rsid w:val="00C40D4C"/>
    <w:rsid w:val="00C40D5F"/>
    <w:rsid w:val="00C40E2D"/>
    <w:rsid w:val="00C40EE1"/>
    <w:rsid w:val="00C41124"/>
    <w:rsid w:val="00C41284"/>
    <w:rsid w:val="00C4142F"/>
    <w:rsid w:val="00C415BE"/>
    <w:rsid w:val="00C4175A"/>
    <w:rsid w:val="00C41830"/>
    <w:rsid w:val="00C41A3A"/>
    <w:rsid w:val="00C41EB3"/>
    <w:rsid w:val="00C41FD0"/>
    <w:rsid w:val="00C42092"/>
    <w:rsid w:val="00C42099"/>
    <w:rsid w:val="00C420BA"/>
    <w:rsid w:val="00C4216C"/>
    <w:rsid w:val="00C42215"/>
    <w:rsid w:val="00C422B7"/>
    <w:rsid w:val="00C423ED"/>
    <w:rsid w:val="00C4261E"/>
    <w:rsid w:val="00C42701"/>
    <w:rsid w:val="00C4271E"/>
    <w:rsid w:val="00C42754"/>
    <w:rsid w:val="00C4283F"/>
    <w:rsid w:val="00C429DB"/>
    <w:rsid w:val="00C42B47"/>
    <w:rsid w:val="00C42FF9"/>
    <w:rsid w:val="00C43187"/>
    <w:rsid w:val="00C431C3"/>
    <w:rsid w:val="00C432D8"/>
    <w:rsid w:val="00C43361"/>
    <w:rsid w:val="00C433B4"/>
    <w:rsid w:val="00C43473"/>
    <w:rsid w:val="00C434DA"/>
    <w:rsid w:val="00C434F0"/>
    <w:rsid w:val="00C4354C"/>
    <w:rsid w:val="00C438E9"/>
    <w:rsid w:val="00C4393F"/>
    <w:rsid w:val="00C43A1C"/>
    <w:rsid w:val="00C43D1C"/>
    <w:rsid w:val="00C43DF3"/>
    <w:rsid w:val="00C43E47"/>
    <w:rsid w:val="00C43F6A"/>
    <w:rsid w:val="00C440B0"/>
    <w:rsid w:val="00C4423A"/>
    <w:rsid w:val="00C44288"/>
    <w:rsid w:val="00C447A9"/>
    <w:rsid w:val="00C44979"/>
    <w:rsid w:val="00C44A50"/>
    <w:rsid w:val="00C44D5D"/>
    <w:rsid w:val="00C44F9B"/>
    <w:rsid w:val="00C44FBA"/>
    <w:rsid w:val="00C45023"/>
    <w:rsid w:val="00C4506F"/>
    <w:rsid w:val="00C451A7"/>
    <w:rsid w:val="00C452C2"/>
    <w:rsid w:val="00C452C6"/>
    <w:rsid w:val="00C455DD"/>
    <w:rsid w:val="00C45658"/>
    <w:rsid w:val="00C4565C"/>
    <w:rsid w:val="00C456F0"/>
    <w:rsid w:val="00C45705"/>
    <w:rsid w:val="00C4578B"/>
    <w:rsid w:val="00C45902"/>
    <w:rsid w:val="00C459F4"/>
    <w:rsid w:val="00C45A3E"/>
    <w:rsid w:val="00C45A5C"/>
    <w:rsid w:val="00C45B1C"/>
    <w:rsid w:val="00C45DB7"/>
    <w:rsid w:val="00C45E6F"/>
    <w:rsid w:val="00C465DE"/>
    <w:rsid w:val="00C46636"/>
    <w:rsid w:val="00C46A9D"/>
    <w:rsid w:val="00C46CEA"/>
    <w:rsid w:val="00C46D8C"/>
    <w:rsid w:val="00C46E88"/>
    <w:rsid w:val="00C46EB6"/>
    <w:rsid w:val="00C47157"/>
    <w:rsid w:val="00C47160"/>
    <w:rsid w:val="00C47404"/>
    <w:rsid w:val="00C4747C"/>
    <w:rsid w:val="00C4755C"/>
    <w:rsid w:val="00C475BB"/>
    <w:rsid w:val="00C4798F"/>
    <w:rsid w:val="00C47B66"/>
    <w:rsid w:val="00C47DC9"/>
    <w:rsid w:val="00C47E21"/>
    <w:rsid w:val="00C47F1F"/>
    <w:rsid w:val="00C50003"/>
    <w:rsid w:val="00C5009D"/>
    <w:rsid w:val="00C50178"/>
    <w:rsid w:val="00C50280"/>
    <w:rsid w:val="00C502D8"/>
    <w:rsid w:val="00C502EA"/>
    <w:rsid w:val="00C50798"/>
    <w:rsid w:val="00C507F3"/>
    <w:rsid w:val="00C50C87"/>
    <w:rsid w:val="00C50D32"/>
    <w:rsid w:val="00C50DC4"/>
    <w:rsid w:val="00C50E67"/>
    <w:rsid w:val="00C50EB9"/>
    <w:rsid w:val="00C50F12"/>
    <w:rsid w:val="00C50F20"/>
    <w:rsid w:val="00C5101D"/>
    <w:rsid w:val="00C51087"/>
    <w:rsid w:val="00C510F4"/>
    <w:rsid w:val="00C51147"/>
    <w:rsid w:val="00C511F0"/>
    <w:rsid w:val="00C512B9"/>
    <w:rsid w:val="00C51362"/>
    <w:rsid w:val="00C51630"/>
    <w:rsid w:val="00C516D1"/>
    <w:rsid w:val="00C51741"/>
    <w:rsid w:val="00C51788"/>
    <w:rsid w:val="00C5183E"/>
    <w:rsid w:val="00C518B8"/>
    <w:rsid w:val="00C51965"/>
    <w:rsid w:val="00C51B5B"/>
    <w:rsid w:val="00C51CDA"/>
    <w:rsid w:val="00C51CE5"/>
    <w:rsid w:val="00C51DB0"/>
    <w:rsid w:val="00C51E6E"/>
    <w:rsid w:val="00C51FC9"/>
    <w:rsid w:val="00C52063"/>
    <w:rsid w:val="00C520D6"/>
    <w:rsid w:val="00C52129"/>
    <w:rsid w:val="00C5222F"/>
    <w:rsid w:val="00C522BC"/>
    <w:rsid w:val="00C52684"/>
    <w:rsid w:val="00C526EF"/>
    <w:rsid w:val="00C52779"/>
    <w:rsid w:val="00C527B7"/>
    <w:rsid w:val="00C52870"/>
    <w:rsid w:val="00C528CE"/>
    <w:rsid w:val="00C529AE"/>
    <w:rsid w:val="00C52A58"/>
    <w:rsid w:val="00C52A77"/>
    <w:rsid w:val="00C52C30"/>
    <w:rsid w:val="00C52CB0"/>
    <w:rsid w:val="00C530D4"/>
    <w:rsid w:val="00C53179"/>
    <w:rsid w:val="00C53198"/>
    <w:rsid w:val="00C532DB"/>
    <w:rsid w:val="00C53358"/>
    <w:rsid w:val="00C535B3"/>
    <w:rsid w:val="00C536B1"/>
    <w:rsid w:val="00C537FF"/>
    <w:rsid w:val="00C5381C"/>
    <w:rsid w:val="00C5397D"/>
    <w:rsid w:val="00C53B1F"/>
    <w:rsid w:val="00C53D76"/>
    <w:rsid w:val="00C53DCB"/>
    <w:rsid w:val="00C53E6C"/>
    <w:rsid w:val="00C53F20"/>
    <w:rsid w:val="00C53F82"/>
    <w:rsid w:val="00C53F95"/>
    <w:rsid w:val="00C53FE8"/>
    <w:rsid w:val="00C54059"/>
    <w:rsid w:val="00C54253"/>
    <w:rsid w:val="00C542AA"/>
    <w:rsid w:val="00C54345"/>
    <w:rsid w:val="00C54491"/>
    <w:rsid w:val="00C544EB"/>
    <w:rsid w:val="00C545EF"/>
    <w:rsid w:val="00C54685"/>
    <w:rsid w:val="00C546ED"/>
    <w:rsid w:val="00C5480F"/>
    <w:rsid w:val="00C5489A"/>
    <w:rsid w:val="00C548BC"/>
    <w:rsid w:val="00C54929"/>
    <w:rsid w:val="00C549CE"/>
    <w:rsid w:val="00C54B59"/>
    <w:rsid w:val="00C54CA5"/>
    <w:rsid w:val="00C55003"/>
    <w:rsid w:val="00C55097"/>
    <w:rsid w:val="00C55187"/>
    <w:rsid w:val="00C55195"/>
    <w:rsid w:val="00C551C6"/>
    <w:rsid w:val="00C55629"/>
    <w:rsid w:val="00C557FA"/>
    <w:rsid w:val="00C55CA7"/>
    <w:rsid w:val="00C55CBE"/>
    <w:rsid w:val="00C55DA7"/>
    <w:rsid w:val="00C55F68"/>
    <w:rsid w:val="00C56094"/>
    <w:rsid w:val="00C562A7"/>
    <w:rsid w:val="00C56551"/>
    <w:rsid w:val="00C5663E"/>
    <w:rsid w:val="00C569FC"/>
    <w:rsid w:val="00C56C56"/>
    <w:rsid w:val="00C56D1B"/>
    <w:rsid w:val="00C56F4C"/>
    <w:rsid w:val="00C57200"/>
    <w:rsid w:val="00C572D7"/>
    <w:rsid w:val="00C57392"/>
    <w:rsid w:val="00C5745D"/>
    <w:rsid w:val="00C577B4"/>
    <w:rsid w:val="00C57A2B"/>
    <w:rsid w:val="00C57A81"/>
    <w:rsid w:val="00C57AB7"/>
    <w:rsid w:val="00C57AEF"/>
    <w:rsid w:val="00C57B98"/>
    <w:rsid w:val="00C57D35"/>
    <w:rsid w:val="00C57D6D"/>
    <w:rsid w:val="00C57DFB"/>
    <w:rsid w:val="00C57F42"/>
    <w:rsid w:val="00C57FE1"/>
    <w:rsid w:val="00C60010"/>
    <w:rsid w:val="00C6007E"/>
    <w:rsid w:val="00C6017C"/>
    <w:rsid w:val="00C60527"/>
    <w:rsid w:val="00C6053D"/>
    <w:rsid w:val="00C605D7"/>
    <w:rsid w:val="00C60852"/>
    <w:rsid w:val="00C60B42"/>
    <w:rsid w:val="00C60BB5"/>
    <w:rsid w:val="00C60C75"/>
    <w:rsid w:val="00C60C82"/>
    <w:rsid w:val="00C60D7F"/>
    <w:rsid w:val="00C60F94"/>
    <w:rsid w:val="00C60FDE"/>
    <w:rsid w:val="00C613AC"/>
    <w:rsid w:val="00C6151E"/>
    <w:rsid w:val="00C61715"/>
    <w:rsid w:val="00C61755"/>
    <w:rsid w:val="00C61A60"/>
    <w:rsid w:val="00C61A8D"/>
    <w:rsid w:val="00C61CB6"/>
    <w:rsid w:val="00C61CFE"/>
    <w:rsid w:val="00C61D1D"/>
    <w:rsid w:val="00C61FDD"/>
    <w:rsid w:val="00C62140"/>
    <w:rsid w:val="00C62362"/>
    <w:rsid w:val="00C6241E"/>
    <w:rsid w:val="00C625D8"/>
    <w:rsid w:val="00C626CE"/>
    <w:rsid w:val="00C62880"/>
    <w:rsid w:val="00C62AE8"/>
    <w:rsid w:val="00C63225"/>
    <w:rsid w:val="00C63281"/>
    <w:rsid w:val="00C634DA"/>
    <w:rsid w:val="00C63513"/>
    <w:rsid w:val="00C635BC"/>
    <w:rsid w:val="00C638FF"/>
    <w:rsid w:val="00C63A76"/>
    <w:rsid w:val="00C63A8D"/>
    <w:rsid w:val="00C63BB2"/>
    <w:rsid w:val="00C63C04"/>
    <w:rsid w:val="00C642AB"/>
    <w:rsid w:val="00C6430A"/>
    <w:rsid w:val="00C6441C"/>
    <w:rsid w:val="00C64570"/>
    <w:rsid w:val="00C64658"/>
    <w:rsid w:val="00C6465C"/>
    <w:rsid w:val="00C64726"/>
    <w:rsid w:val="00C648AE"/>
    <w:rsid w:val="00C64902"/>
    <w:rsid w:val="00C6495F"/>
    <w:rsid w:val="00C64A1E"/>
    <w:rsid w:val="00C64A3E"/>
    <w:rsid w:val="00C64A65"/>
    <w:rsid w:val="00C64A94"/>
    <w:rsid w:val="00C64F98"/>
    <w:rsid w:val="00C65038"/>
    <w:rsid w:val="00C65118"/>
    <w:rsid w:val="00C6520A"/>
    <w:rsid w:val="00C6590C"/>
    <w:rsid w:val="00C65B22"/>
    <w:rsid w:val="00C65BE6"/>
    <w:rsid w:val="00C65CA4"/>
    <w:rsid w:val="00C65CCC"/>
    <w:rsid w:val="00C660FC"/>
    <w:rsid w:val="00C66103"/>
    <w:rsid w:val="00C66147"/>
    <w:rsid w:val="00C66402"/>
    <w:rsid w:val="00C66752"/>
    <w:rsid w:val="00C66765"/>
    <w:rsid w:val="00C66954"/>
    <w:rsid w:val="00C6696E"/>
    <w:rsid w:val="00C66A5F"/>
    <w:rsid w:val="00C66B12"/>
    <w:rsid w:val="00C66D1E"/>
    <w:rsid w:val="00C66DCA"/>
    <w:rsid w:val="00C66ED3"/>
    <w:rsid w:val="00C670FA"/>
    <w:rsid w:val="00C67839"/>
    <w:rsid w:val="00C678DA"/>
    <w:rsid w:val="00C6798B"/>
    <w:rsid w:val="00C67A8B"/>
    <w:rsid w:val="00C67BCD"/>
    <w:rsid w:val="00C67C9D"/>
    <w:rsid w:val="00C70041"/>
    <w:rsid w:val="00C702B8"/>
    <w:rsid w:val="00C70471"/>
    <w:rsid w:val="00C70596"/>
    <w:rsid w:val="00C70784"/>
    <w:rsid w:val="00C70787"/>
    <w:rsid w:val="00C70813"/>
    <w:rsid w:val="00C7082F"/>
    <w:rsid w:val="00C70891"/>
    <w:rsid w:val="00C708E7"/>
    <w:rsid w:val="00C7092B"/>
    <w:rsid w:val="00C70A26"/>
    <w:rsid w:val="00C70A34"/>
    <w:rsid w:val="00C70AE5"/>
    <w:rsid w:val="00C70CC0"/>
    <w:rsid w:val="00C70E2C"/>
    <w:rsid w:val="00C70E58"/>
    <w:rsid w:val="00C70F10"/>
    <w:rsid w:val="00C71054"/>
    <w:rsid w:val="00C710D8"/>
    <w:rsid w:val="00C71160"/>
    <w:rsid w:val="00C71257"/>
    <w:rsid w:val="00C712FB"/>
    <w:rsid w:val="00C71328"/>
    <w:rsid w:val="00C71457"/>
    <w:rsid w:val="00C715EA"/>
    <w:rsid w:val="00C717A5"/>
    <w:rsid w:val="00C717F5"/>
    <w:rsid w:val="00C7189A"/>
    <w:rsid w:val="00C71CAE"/>
    <w:rsid w:val="00C71CD3"/>
    <w:rsid w:val="00C71E55"/>
    <w:rsid w:val="00C71FF7"/>
    <w:rsid w:val="00C72176"/>
    <w:rsid w:val="00C7218A"/>
    <w:rsid w:val="00C72287"/>
    <w:rsid w:val="00C7248B"/>
    <w:rsid w:val="00C72563"/>
    <w:rsid w:val="00C72585"/>
    <w:rsid w:val="00C7260E"/>
    <w:rsid w:val="00C72717"/>
    <w:rsid w:val="00C72DBC"/>
    <w:rsid w:val="00C72E71"/>
    <w:rsid w:val="00C72FA6"/>
    <w:rsid w:val="00C7305E"/>
    <w:rsid w:val="00C7310D"/>
    <w:rsid w:val="00C732C6"/>
    <w:rsid w:val="00C73301"/>
    <w:rsid w:val="00C73397"/>
    <w:rsid w:val="00C734D7"/>
    <w:rsid w:val="00C73688"/>
    <w:rsid w:val="00C737A2"/>
    <w:rsid w:val="00C73C19"/>
    <w:rsid w:val="00C73C45"/>
    <w:rsid w:val="00C73D13"/>
    <w:rsid w:val="00C741A2"/>
    <w:rsid w:val="00C741B4"/>
    <w:rsid w:val="00C741FB"/>
    <w:rsid w:val="00C74285"/>
    <w:rsid w:val="00C743A8"/>
    <w:rsid w:val="00C743E2"/>
    <w:rsid w:val="00C74412"/>
    <w:rsid w:val="00C74435"/>
    <w:rsid w:val="00C74529"/>
    <w:rsid w:val="00C74550"/>
    <w:rsid w:val="00C74601"/>
    <w:rsid w:val="00C7460F"/>
    <w:rsid w:val="00C74656"/>
    <w:rsid w:val="00C747C2"/>
    <w:rsid w:val="00C749AD"/>
    <w:rsid w:val="00C74B3C"/>
    <w:rsid w:val="00C74B42"/>
    <w:rsid w:val="00C74DCC"/>
    <w:rsid w:val="00C74E05"/>
    <w:rsid w:val="00C751F9"/>
    <w:rsid w:val="00C75231"/>
    <w:rsid w:val="00C75329"/>
    <w:rsid w:val="00C75393"/>
    <w:rsid w:val="00C7561F"/>
    <w:rsid w:val="00C75702"/>
    <w:rsid w:val="00C75795"/>
    <w:rsid w:val="00C758F1"/>
    <w:rsid w:val="00C759EB"/>
    <w:rsid w:val="00C75B04"/>
    <w:rsid w:val="00C75D62"/>
    <w:rsid w:val="00C75F0B"/>
    <w:rsid w:val="00C75F5C"/>
    <w:rsid w:val="00C75FD8"/>
    <w:rsid w:val="00C761FD"/>
    <w:rsid w:val="00C76232"/>
    <w:rsid w:val="00C7623E"/>
    <w:rsid w:val="00C7630D"/>
    <w:rsid w:val="00C76357"/>
    <w:rsid w:val="00C7635F"/>
    <w:rsid w:val="00C76377"/>
    <w:rsid w:val="00C763C1"/>
    <w:rsid w:val="00C76501"/>
    <w:rsid w:val="00C7682B"/>
    <w:rsid w:val="00C7684F"/>
    <w:rsid w:val="00C76857"/>
    <w:rsid w:val="00C76933"/>
    <w:rsid w:val="00C769D3"/>
    <w:rsid w:val="00C76B87"/>
    <w:rsid w:val="00C76DFC"/>
    <w:rsid w:val="00C76E62"/>
    <w:rsid w:val="00C76EEB"/>
    <w:rsid w:val="00C76F5A"/>
    <w:rsid w:val="00C773D2"/>
    <w:rsid w:val="00C7765C"/>
    <w:rsid w:val="00C77715"/>
    <w:rsid w:val="00C77721"/>
    <w:rsid w:val="00C778E1"/>
    <w:rsid w:val="00C77994"/>
    <w:rsid w:val="00C77A07"/>
    <w:rsid w:val="00C77A61"/>
    <w:rsid w:val="00C77B43"/>
    <w:rsid w:val="00C77D27"/>
    <w:rsid w:val="00C77E58"/>
    <w:rsid w:val="00C77E73"/>
    <w:rsid w:val="00C77F84"/>
    <w:rsid w:val="00C80150"/>
    <w:rsid w:val="00C8026A"/>
    <w:rsid w:val="00C804D8"/>
    <w:rsid w:val="00C807A3"/>
    <w:rsid w:val="00C80AAE"/>
    <w:rsid w:val="00C80B38"/>
    <w:rsid w:val="00C80B7D"/>
    <w:rsid w:val="00C811FF"/>
    <w:rsid w:val="00C81551"/>
    <w:rsid w:val="00C815DE"/>
    <w:rsid w:val="00C816C8"/>
    <w:rsid w:val="00C81751"/>
    <w:rsid w:val="00C8186A"/>
    <w:rsid w:val="00C8199B"/>
    <w:rsid w:val="00C819F1"/>
    <w:rsid w:val="00C81B0D"/>
    <w:rsid w:val="00C81B45"/>
    <w:rsid w:val="00C81B57"/>
    <w:rsid w:val="00C81C8D"/>
    <w:rsid w:val="00C81CA1"/>
    <w:rsid w:val="00C81E26"/>
    <w:rsid w:val="00C81E5E"/>
    <w:rsid w:val="00C81FDD"/>
    <w:rsid w:val="00C820EF"/>
    <w:rsid w:val="00C823C1"/>
    <w:rsid w:val="00C823CC"/>
    <w:rsid w:val="00C82770"/>
    <w:rsid w:val="00C828EE"/>
    <w:rsid w:val="00C82A9F"/>
    <w:rsid w:val="00C82D29"/>
    <w:rsid w:val="00C82D5D"/>
    <w:rsid w:val="00C82EF9"/>
    <w:rsid w:val="00C82FB9"/>
    <w:rsid w:val="00C8310A"/>
    <w:rsid w:val="00C83120"/>
    <w:rsid w:val="00C8313F"/>
    <w:rsid w:val="00C832A2"/>
    <w:rsid w:val="00C832B7"/>
    <w:rsid w:val="00C83336"/>
    <w:rsid w:val="00C83446"/>
    <w:rsid w:val="00C834D7"/>
    <w:rsid w:val="00C834EB"/>
    <w:rsid w:val="00C83601"/>
    <w:rsid w:val="00C8383E"/>
    <w:rsid w:val="00C8395A"/>
    <w:rsid w:val="00C83A32"/>
    <w:rsid w:val="00C83B62"/>
    <w:rsid w:val="00C83BD0"/>
    <w:rsid w:val="00C83CC6"/>
    <w:rsid w:val="00C83D10"/>
    <w:rsid w:val="00C83D91"/>
    <w:rsid w:val="00C8402F"/>
    <w:rsid w:val="00C840F4"/>
    <w:rsid w:val="00C8417F"/>
    <w:rsid w:val="00C8446E"/>
    <w:rsid w:val="00C844CE"/>
    <w:rsid w:val="00C84871"/>
    <w:rsid w:val="00C84945"/>
    <w:rsid w:val="00C84955"/>
    <w:rsid w:val="00C84C90"/>
    <w:rsid w:val="00C84DE2"/>
    <w:rsid w:val="00C850C7"/>
    <w:rsid w:val="00C8516B"/>
    <w:rsid w:val="00C851BB"/>
    <w:rsid w:val="00C85307"/>
    <w:rsid w:val="00C85345"/>
    <w:rsid w:val="00C85362"/>
    <w:rsid w:val="00C85390"/>
    <w:rsid w:val="00C85472"/>
    <w:rsid w:val="00C856BB"/>
    <w:rsid w:val="00C8585B"/>
    <w:rsid w:val="00C85880"/>
    <w:rsid w:val="00C85ACD"/>
    <w:rsid w:val="00C85BD3"/>
    <w:rsid w:val="00C85C9F"/>
    <w:rsid w:val="00C85CC9"/>
    <w:rsid w:val="00C86056"/>
    <w:rsid w:val="00C860A0"/>
    <w:rsid w:val="00C860B3"/>
    <w:rsid w:val="00C8613D"/>
    <w:rsid w:val="00C8624D"/>
    <w:rsid w:val="00C86354"/>
    <w:rsid w:val="00C8653C"/>
    <w:rsid w:val="00C8665C"/>
    <w:rsid w:val="00C866F4"/>
    <w:rsid w:val="00C867E8"/>
    <w:rsid w:val="00C86808"/>
    <w:rsid w:val="00C868D3"/>
    <w:rsid w:val="00C86962"/>
    <w:rsid w:val="00C869C9"/>
    <w:rsid w:val="00C86A1B"/>
    <w:rsid w:val="00C86A6A"/>
    <w:rsid w:val="00C86CDA"/>
    <w:rsid w:val="00C86E2F"/>
    <w:rsid w:val="00C86F98"/>
    <w:rsid w:val="00C86FEE"/>
    <w:rsid w:val="00C872A0"/>
    <w:rsid w:val="00C873C6"/>
    <w:rsid w:val="00C87469"/>
    <w:rsid w:val="00C87695"/>
    <w:rsid w:val="00C876CE"/>
    <w:rsid w:val="00C879CA"/>
    <w:rsid w:val="00C87A02"/>
    <w:rsid w:val="00C87B33"/>
    <w:rsid w:val="00C90046"/>
    <w:rsid w:val="00C9004B"/>
    <w:rsid w:val="00C9011E"/>
    <w:rsid w:val="00C90300"/>
    <w:rsid w:val="00C90A32"/>
    <w:rsid w:val="00C90CB3"/>
    <w:rsid w:val="00C90EB6"/>
    <w:rsid w:val="00C90F06"/>
    <w:rsid w:val="00C90F29"/>
    <w:rsid w:val="00C90F69"/>
    <w:rsid w:val="00C910D6"/>
    <w:rsid w:val="00C9119F"/>
    <w:rsid w:val="00C9124F"/>
    <w:rsid w:val="00C91265"/>
    <w:rsid w:val="00C9137B"/>
    <w:rsid w:val="00C9165E"/>
    <w:rsid w:val="00C9172D"/>
    <w:rsid w:val="00C91756"/>
    <w:rsid w:val="00C917D8"/>
    <w:rsid w:val="00C9183A"/>
    <w:rsid w:val="00C919D2"/>
    <w:rsid w:val="00C91C1F"/>
    <w:rsid w:val="00C91CAA"/>
    <w:rsid w:val="00C91CDD"/>
    <w:rsid w:val="00C91E15"/>
    <w:rsid w:val="00C921C0"/>
    <w:rsid w:val="00C9222C"/>
    <w:rsid w:val="00C9229D"/>
    <w:rsid w:val="00C92452"/>
    <w:rsid w:val="00C9246E"/>
    <w:rsid w:val="00C92906"/>
    <w:rsid w:val="00C92A07"/>
    <w:rsid w:val="00C92DB6"/>
    <w:rsid w:val="00C931C6"/>
    <w:rsid w:val="00C931E1"/>
    <w:rsid w:val="00C93461"/>
    <w:rsid w:val="00C93563"/>
    <w:rsid w:val="00C93590"/>
    <w:rsid w:val="00C936CD"/>
    <w:rsid w:val="00C9373D"/>
    <w:rsid w:val="00C9377B"/>
    <w:rsid w:val="00C937A7"/>
    <w:rsid w:val="00C93838"/>
    <w:rsid w:val="00C93D72"/>
    <w:rsid w:val="00C93FDC"/>
    <w:rsid w:val="00C94130"/>
    <w:rsid w:val="00C942AC"/>
    <w:rsid w:val="00C94411"/>
    <w:rsid w:val="00C94539"/>
    <w:rsid w:val="00C945A1"/>
    <w:rsid w:val="00C94695"/>
    <w:rsid w:val="00C94ACE"/>
    <w:rsid w:val="00C94ADD"/>
    <w:rsid w:val="00C94B80"/>
    <w:rsid w:val="00C94BF1"/>
    <w:rsid w:val="00C94BF5"/>
    <w:rsid w:val="00C94C2A"/>
    <w:rsid w:val="00C94C97"/>
    <w:rsid w:val="00C94D65"/>
    <w:rsid w:val="00C95131"/>
    <w:rsid w:val="00C9527B"/>
    <w:rsid w:val="00C95642"/>
    <w:rsid w:val="00C9565E"/>
    <w:rsid w:val="00C9578B"/>
    <w:rsid w:val="00C95799"/>
    <w:rsid w:val="00C9589F"/>
    <w:rsid w:val="00C9595E"/>
    <w:rsid w:val="00C959D7"/>
    <w:rsid w:val="00C95FA0"/>
    <w:rsid w:val="00C9621B"/>
    <w:rsid w:val="00C963D2"/>
    <w:rsid w:val="00C96589"/>
    <w:rsid w:val="00C966BF"/>
    <w:rsid w:val="00C967BC"/>
    <w:rsid w:val="00C968B6"/>
    <w:rsid w:val="00C968FD"/>
    <w:rsid w:val="00C96B10"/>
    <w:rsid w:val="00C96C68"/>
    <w:rsid w:val="00C96D25"/>
    <w:rsid w:val="00C96EAF"/>
    <w:rsid w:val="00C96EB8"/>
    <w:rsid w:val="00C96EE4"/>
    <w:rsid w:val="00C96F2A"/>
    <w:rsid w:val="00C96F91"/>
    <w:rsid w:val="00C97161"/>
    <w:rsid w:val="00C97277"/>
    <w:rsid w:val="00C97452"/>
    <w:rsid w:val="00C9750B"/>
    <w:rsid w:val="00C9792A"/>
    <w:rsid w:val="00C97982"/>
    <w:rsid w:val="00C97A39"/>
    <w:rsid w:val="00C97BE7"/>
    <w:rsid w:val="00C97C66"/>
    <w:rsid w:val="00C97FF1"/>
    <w:rsid w:val="00CA0015"/>
    <w:rsid w:val="00CA0138"/>
    <w:rsid w:val="00CA0275"/>
    <w:rsid w:val="00CA051D"/>
    <w:rsid w:val="00CA054E"/>
    <w:rsid w:val="00CA0597"/>
    <w:rsid w:val="00CA064E"/>
    <w:rsid w:val="00CA0688"/>
    <w:rsid w:val="00CA06BD"/>
    <w:rsid w:val="00CA07BC"/>
    <w:rsid w:val="00CA0887"/>
    <w:rsid w:val="00CA08D2"/>
    <w:rsid w:val="00CA0D02"/>
    <w:rsid w:val="00CA11D5"/>
    <w:rsid w:val="00CA11F8"/>
    <w:rsid w:val="00CA11F9"/>
    <w:rsid w:val="00CA12EF"/>
    <w:rsid w:val="00CA16BA"/>
    <w:rsid w:val="00CA16DE"/>
    <w:rsid w:val="00CA170F"/>
    <w:rsid w:val="00CA1750"/>
    <w:rsid w:val="00CA1944"/>
    <w:rsid w:val="00CA19EE"/>
    <w:rsid w:val="00CA1A5B"/>
    <w:rsid w:val="00CA1D34"/>
    <w:rsid w:val="00CA1D87"/>
    <w:rsid w:val="00CA1DCB"/>
    <w:rsid w:val="00CA1DFF"/>
    <w:rsid w:val="00CA1EFC"/>
    <w:rsid w:val="00CA2054"/>
    <w:rsid w:val="00CA2107"/>
    <w:rsid w:val="00CA2133"/>
    <w:rsid w:val="00CA215E"/>
    <w:rsid w:val="00CA26DD"/>
    <w:rsid w:val="00CA2779"/>
    <w:rsid w:val="00CA27B1"/>
    <w:rsid w:val="00CA2C43"/>
    <w:rsid w:val="00CA2C81"/>
    <w:rsid w:val="00CA2EDC"/>
    <w:rsid w:val="00CA319E"/>
    <w:rsid w:val="00CA32C5"/>
    <w:rsid w:val="00CA344D"/>
    <w:rsid w:val="00CA35C7"/>
    <w:rsid w:val="00CA364C"/>
    <w:rsid w:val="00CA3687"/>
    <w:rsid w:val="00CA37C2"/>
    <w:rsid w:val="00CA382D"/>
    <w:rsid w:val="00CA3851"/>
    <w:rsid w:val="00CA3A72"/>
    <w:rsid w:val="00CA3E23"/>
    <w:rsid w:val="00CA4066"/>
    <w:rsid w:val="00CA40A5"/>
    <w:rsid w:val="00CA41BB"/>
    <w:rsid w:val="00CA428F"/>
    <w:rsid w:val="00CA463E"/>
    <w:rsid w:val="00CA4728"/>
    <w:rsid w:val="00CA4A4B"/>
    <w:rsid w:val="00CA4A7D"/>
    <w:rsid w:val="00CA4B1A"/>
    <w:rsid w:val="00CA4D04"/>
    <w:rsid w:val="00CA4D33"/>
    <w:rsid w:val="00CA4DBE"/>
    <w:rsid w:val="00CA4F11"/>
    <w:rsid w:val="00CA4F1D"/>
    <w:rsid w:val="00CA506D"/>
    <w:rsid w:val="00CA5118"/>
    <w:rsid w:val="00CA51EE"/>
    <w:rsid w:val="00CA5311"/>
    <w:rsid w:val="00CA53D2"/>
    <w:rsid w:val="00CA5565"/>
    <w:rsid w:val="00CA561B"/>
    <w:rsid w:val="00CA5633"/>
    <w:rsid w:val="00CA56A5"/>
    <w:rsid w:val="00CA56F5"/>
    <w:rsid w:val="00CA572A"/>
    <w:rsid w:val="00CA57E1"/>
    <w:rsid w:val="00CA5824"/>
    <w:rsid w:val="00CA59C3"/>
    <w:rsid w:val="00CA5E78"/>
    <w:rsid w:val="00CA5F0E"/>
    <w:rsid w:val="00CA604A"/>
    <w:rsid w:val="00CA606D"/>
    <w:rsid w:val="00CA618A"/>
    <w:rsid w:val="00CA61A0"/>
    <w:rsid w:val="00CA6270"/>
    <w:rsid w:val="00CA62B2"/>
    <w:rsid w:val="00CA6377"/>
    <w:rsid w:val="00CA6378"/>
    <w:rsid w:val="00CA64C4"/>
    <w:rsid w:val="00CA661A"/>
    <w:rsid w:val="00CA6716"/>
    <w:rsid w:val="00CA678D"/>
    <w:rsid w:val="00CA68A7"/>
    <w:rsid w:val="00CA6C38"/>
    <w:rsid w:val="00CA6C62"/>
    <w:rsid w:val="00CA6C9D"/>
    <w:rsid w:val="00CA6E0A"/>
    <w:rsid w:val="00CA6EC2"/>
    <w:rsid w:val="00CA6FC3"/>
    <w:rsid w:val="00CA700B"/>
    <w:rsid w:val="00CA710D"/>
    <w:rsid w:val="00CA7244"/>
    <w:rsid w:val="00CA744A"/>
    <w:rsid w:val="00CA77B5"/>
    <w:rsid w:val="00CA7900"/>
    <w:rsid w:val="00CA7A31"/>
    <w:rsid w:val="00CA7B43"/>
    <w:rsid w:val="00CA7B9C"/>
    <w:rsid w:val="00CA7C67"/>
    <w:rsid w:val="00CA7D01"/>
    <w:rsid w:val="00CA7EC9"/>
    <w:rsid w:val="00CB0052"/>
    <w:rsid w:val="00CB00CE"/>
    <w:rsid w:val="00CB0183"/>
    <w:rsid w:val="00CB03C2"/>
    <w:rsid w:val="00CB08EB"/>
    <w:rsid w:val="00CB0971"/>
    <w:rsid w:val="00CB0AC4"/>
    <w:rsid w:val="00CB0AE5"/>
    <w:rsid w:val="00CB0B7A"/>
    <w:rsid w:val="00CB0B81"/>
    <w:rsid w:val="00CB0CCC"/>
    <w:rsid w:val="00CB1233"/>
    <w:rsid w:val="00CB1246"/>
    <w:rsid w:val="00CB134E"/>
    <w:rsid w:val="00CB1437"/>
    <w:rsid w:val="00CB14B7"/>
    <w:rsid w:val="00CB1515"/>
    <w:rsid w:val="00CB152E"/>
    <w:rsid w:val="00CB1649"/>
    <w:rsid w:val="00CB1686"/>
    <w:rsid w:val="00CB1698"/>
    <w:rsid w:val="00CB170E"/>
    <w:rsid w:val="00CB1818"/>
    <w:rsid w:val="00CB1866"/>
    <w:rsid w:val="00CB1959"/>
    <w:rsid w:val="00CB19A1"/>
    <w:rsid w:val="00CB19C4"/>
    <w:rsid w:val="00CB1AC1"/>
    <w:rsid w:val="00CB1C3A"/>
    <w:rsid w:val="00CB1DE9"/>
    <w:rsid w:val="00CB1E79"/>
    <w:rsid w:val="00CB1F06"/>
    <w:rsid w:val="00CB1FED"/>
    <w:rsid w:val="00CB2291"/>
    <w:rsid w:val="00CB246F"/>
    <w:rsid w:val="00CB248A"/>
    <w:rsid w:val="00CB24C5"/>
    <w:rsid w:val="00CB2504"/>
    <w:rsid w:val="00CB2516"/>
    <w:rsid w:val="00CB2692"/>
    <w:rsid w:val="00CB2715"/>
    <w:rsid w:val="00CB284C"/>
    <w:rsid w:val="00CB2A31"/>
    <w:rsid w:val="00CB2C5D"/>
    <w:rsid w:val="00CB300E"/>
    <w:rsid w:val="00CB3097"/>
    <w:rsid w:val="00CB30DA"/>
    <w:rsid w:val="00CB30FD"/>
    <w:rsid w:val="00CB31D9"/>
    <w:rsid w:val="00CB3274"/>
    <w:rsid w:val="00CB32C7"/>
    <w:rsid w:val="00CB3462"/>
    <w:rsid w:val="00CB35DB"/>
    <w:rsid w:val="00CB374E"/>
    <w:rsid w:val="00CB379E"/>
    <w:rsid w:val="00CB380C"/>
    <w:rsid w:val="00CB385A"/>
    <w:rsid w:val="00CB3B45"/>
    <w:rsid w:val="00CB3E47"/>
    <w:rsid w:val="00CB3ED6"/>
    <w:rsid w:val="00CB3FCE"/>
    <w:rsid w:val="00CB40CE"/>
    <w:rsid w:val="00CB40E4"/>
    <w:rsid w:val="00CB4825"/>
    <w:rsid w:val="00CB4903"/>
    <w:rsid w:val="00CB4B49"/>
    <w:rsid w:val="00CB4E56"/>
    <w:rsid w:val="00CB4F86"/>
    <w:rsid w:val="00CB4F95"/>
    <w:rsid w:val="00CB50B6"/>
    <w:rsid w:val="00CB526B"/>
    <w:rsid w:val="00CB5457"/>
    <w:rsid w:val="00CB57C2"/>
    <w:rsid w:val="00CB58AA"/>
    <w:rsid w:val="00CB597B"/>
    <w:rsid w:val="00CB5B17"/>
    <w:rsid w:val="00CB5CAB"/>
    <w:rsid w:val="00CB5D9E"/>
    <w:rsid w:val="00CB5E0F"/>
    <w:rsid w:val="00CB5E49"/>
    <w:rsid w:val="00CB5FFF"/>
    <w:rsid w:val="00CB60FC"/>
    <w:rsid w:val="00CB6136"/>
    <w:rsid w:val="00CB62E8"/>
    <w:rsid w:val="00CB6309"/>
    <w:rsid w:val="00CB6332"/>
    <w:rsid w:val="00CB63FF"/>
    <w:rsid w:val="00CB648F"/>
    <w:rsid w:val="00CB65CD"/>
    <w:rsid w:val="00CB66C4"/>
    <w:rsid w:val="00CB66EA"/>
    <w:rsid w:val="00CB68E7"/>
    <w:rsid w:val="00CB6931"/>
    <w:rsid w:val="00CB69E1"/>
    <w:rsid w:val="00CB6FB4"/>
    <w:rsid w:val="00CB6FE8"/>
    <w:rsid w:val="00CB7049"/>
    <w:rsid w:val="00CB70BB"/>
    <w:rsid w:val="00CB7147"/>
    <w:rsid w:val="00CB724B"/>
    <w:rsid w:val="00CB7306"/>
    <w:rsid w:val="00CB73CD"/>
    <w:rsid w:val="00CB74C9"/>
    <w:rsid w:val="00CB760B"/>
    <w:rsid w:val="00CB7644"/>
    <w:rsid w:val="00CB7837"/>
    <w:rsid w:val="00CB7C5B"/>
    <w:rsid w:val="00CB7C7E"/>
    <w:rsid w:val="00CB7C9D"/>
    <w:rsid w:val="00CB7FB5"/>
    <w:rsid w:val="00CC0218"/>
    <w:rsid w:val="00CC02F3"/>
    <w:rsid w:val="00CC0463"/>
    <w:rsid w:val="00CC04F6"/>
    <w:rsid w:val="00CC073A"/>
    <w:rsid w:val="00CC07E2"/>
    <w:rsid w:val="00CC0AA6"/>
    <w:rsid w:val="00CC0B75"/>
    <w:rsid w:val="00CC0C27"/>
    <w:rsid w:val="00CC0EF4"/>
    <w:rsid w:val="00CC11CF"/>
    <w:rsid w:val="00CC11D4"/>
    <w:rsid w:val="00CC1424"/>
    <w:rsid w:val="00CC1495"/>
    <w:rsid w:val="00CC16B4"/>
    <w:rsid w:val="00CC1772"/>
    <w:rsid w:val="00CC18F3"/>
    <w:rsid w:val="00CC1979"/>
    <w:rsid w:val="00CC1B83"/>
    <w:rsid w:val="00CC1C8F"/>
    <w:rsid w:val="00CC1E15"/>
    <w:rsid w:val="00CC200F"/>
    <w:rsid w:val="00CC215D"/>
    <w:rsid w:val="00CC22A3"/>
    <w:rsid w:val="00CC239E"/>
    <w:rsid w:val="00CC27A6"/>
    <w:rsid w:val="00CC2A6D"/>
    <w:rsid w:val="00CC2B66"/>
    <w:rsid w:val="00CC2BB2"/>
    <w:rsid w:val="00CC2BE4"/>
    <w:rsid w:val="00CC2ED0"/>
    <w:rsid w:val="00CC3093"/>
    <w:rsid w:val="00CC3282"/>
    <w:rsid w:val="00CC32C9"/>
    <w:rsid w:val="00CC32DA"/>
    <w:rsid w:val="00CC3397"/>
    <w:rsid w:val="00CC3519"/>
    <w:rsid w:val="00CC3563"/>
    <w:rsid w:val="00CC35D2"/>
    <w:rsid w:val="00CC35EF"/>
    <w:rsid w:val="00CC363F"/>
    <w:rsid w:val="00CC364D"/>
    <w:rsid w:val="00CC36B0"/>
    <w:rsid w:val="00CC387A"/>
    <w:rsid w:val="00CC390B"/>
    <w:rsid w:val="00CC3A67"/>
    <w:rsid w:val="00CC3B96"/>
    <w:rsid w:val="00CC3DD4"/>
    <w:rsid w:val="00CC3EB2"/>
    <w:rsid w:val="00CC3F24"/>
    <w:rsid w:val="00CC3F37"/>
    <w:rsid w:val="00CC41B3"/>
    <w:rsid w:val="00CC4474"/>
    <w:rsid w:val="00CC44DF"/>
    <w:rsid w:val="00CC450B"/>
    <w:rsid w:val="00CC455C"/>
    <w:rsid w:val="00CC457D"/>
    <w:rsid w:val="00CC470E"/>
    <w:rsid w:val="00CC472A"/>
    <w:rsid w:val="00CC4A6B"/>
    <w:rsid w:val="00CC4ADA"/>
    <w:rsid w:val="00CC4AF0"/>
    <w:rsid w:val="00CC4BB5"/>
    <w:rsid w:val="00CC4BC7"/>
    <w:rsid w:val="00CC4C7D"/>
    <w:rsid w:val="00CC4D28"/>
    <w:rsid w:val="00CC4D44"/>
    <w:rsid w:val="00CC4D64"/>
    <w:rsid w:val="00CC4EDA"/>
    <w:rsid w:val="00CC5049"/>
    <w:rsid w:val="00CC511C"/>
    <w:rsid w:val="00CC5202"/>
    <w:rsid w:val="00CC52D9"/>
    <w:rsid w:val="00CC538A"/>
    <w:rsid w:val="00CC552F"/>
    <w:rsid w:val="00CC5679"/>
    <w:rsid w:val="00CC587A"/>
    <w:rsid w:val="00CC599A"/>
    <w:rsid w:val="00CC5A00"/>
    <w:rsid w:val="00CC5E10"/>
    <w:rsid w:val="00CC5FF9"/>
    <w:rsid w:val="00CC63D1"/>
    <w:rsid w:val="00CC63FC"/>
    <w:rsid w:val="00CC65E5"/>
    <w:rsid w:val="00CC6621"/>
    <w:rsid w:val="00CC6705"/>
    <w:rsid w:val="00CC6919"/>
    <w:rsid w:val="00CC6B44"/>
    <w:rsid w:val="00CC6B5E"/>
    <w:rsid w:val="00CC6D33"/>
    <w:rsid w:val="00CC6D56"/>
    <w:rsid w:val="00CC6E37"/>
    <w:rsid w:val="00CC6E87"/>
    <w:rsid w:val="00CC70E7"/>
    <w:rsid w:val="00CC712A"/>
    <w:rsid w:val="00CC7365"/>
    <w:rsid w:val="00CC7497"/>
    <w:rsid w:val="00CC7531"/>
    <w:rsid w:val="00CC757E"/>
    <w:rsid w:val="00CC7614"/>
    <w:rsid w:val="00CC761C"/>
    <w:rsid w:val="00CC78D1"/>
    <w:rsid w:val="00CC7A50"/>
    <w:rsid w:val="00CC7B13"/>
    <w:rsid w:val="00CC7B7A"/>
    <w:rsid w:val="00CC7B83"/>
    <w:rsid w:val="00CC7CAA"/>
    <w:rsid w:val="00CC7D1C"/>
    <w:rsid w:val="00CC7F53"/>
    <w:rsid w:val="00CC7F55"/>
    <w:rsid w:val="00CC7FF0"/>
    <w:rsid w:val="00CD001B"/>
    <w:rsid w:val="00CD0042"/>
    <w:rsid w:val="00CD00D4"/>
    <w:rsid w:val="00CD0216"/>
    <w:rsid w:val="00CD0313"/>
    <w:rsid w:val="00CD04CB"/>
    <w:rsid w:val="00CD0580"/>
    <w:rsid w:val="00CD0590"/>
    <w:rsid w:val="00CD0671"/>
    <w:rsid w:val="00CD0973"/>
    <w:rsid w:val="00CD0C5F"/>
    <w:rsid w:val="00CD0FEC"/>
    <w:rsid w:val="00CD1089"/>
    <w:rsid w:val="00CD113E"/>
    <w:rsid w:val="00CD13E7"/>
    <w:rsid w:val="00CD157D"/>
    <w:rsid w:val="00CD16D1"/>
    <w:rsid w:val="00CD16D9"/>
    <w:rsid w:val="00CD1836"/>
    <w:rsid w:val="00CD18BD"/>
    <w:rsid w:val="00CD1911"/>
    <w:rsid w:val="00CD19B5"/>
    <w:rsid w:val="00CD1A4F"/>
    <w:rsid w:val="00CD1AD2"/>
    <w:rsid w:val="00CD1B48"/>
    <w:rsid w:val="00CD1CB6"/>
    <w:rsid w:val="00CD1D22"/>
    <w:rsid w:val="00CD1E4B"/>
    <w:rsid w:val="00CD1E5E"/>
    <w:rsid w:val="00CD1E90"/>
    <w:rsid w:val="00CD2170"/>
    <w:rsid w:val="00CD21EB"/>
    <w:rsid w:val="00CD2412"/>
    <w:rsid w:val="00CD24CE"/>
    <w:rsid w:val="00CD27E9"/>
    <w:rsid w:val="00CD29A2"/>
    <w:rsid w:val="00CD2CD0"/>
    <w:rsid w:val="00CD2E78"/>
    <w:rsid w:val="00CD3286"/>
    <w:rsid w:val="00CD363C"/>
    <w:rsid w:val="00CD3771"/>
    <w:rsid w:val="00CD37FC"/>
    <w:rsid w:val="00CD3B30"/>
    <w:rsid w:val="00CD3CD1"/>
    <w:rsid w:val="00CD3DDF"/>
    <w:rsid w:val="00CD3F7C"/>
    <w:rsid w:val="00CD3FB8"/>
    <w:rsid w:val="00CD40AD"/>
    <w:rsid w:val="00CD410C"/>
    <w:rsid w:val="00CD4341"/>
    <w:rsid w:val="00CD43B7"/>
    <w:rsid w:val="00CD43BD"/>
    <w:rsid w:val="00CD43C2"/>
    <w:rsid w:val="00CD4527"/>
    <w:rsid w:val="00CD4C3D"/>
    <w:rsid w:val="00CD4CB1"/>
    <w:rsid w:val="00CD5006"/>
    <w:rsid w:val="00CD50EC"/>
    <w:rsid w:val="00CD523F"/>
    <w:rsid w:val="00CD525E"/>
    <w:rsid w:val="00CD5282"/>
    <w:rsid w:val="00CD5287"/>
    <w:rsid w:val="00CD5295"/>
    <w:rsid w:val="00CD52B5"/>
    <w:rsid w:val="00CD534D"/>
    <w:rsid w:val="00CD5629"/>
    <w:rsid w:val="00CD5639"/>
    <w:rsid w:val="00CD56B8"/>
    <w:rsid w:val="00CD5742"/>
    <w:rsid w:val="00CD5938"/>
    <w:rsid w:val="00CD5A19"/>
    <w:rsid w:val="00CD5B8D"/>
    <w:rsid w:val="00CD5B96"/>
    <w:rsid w:val="00CD5BE3"/>
    <w:rsid w:val="00CD6075"/>
    <w:rsid w:val="00CD60C5"/>
    <w:rsid w:val="00CD61F4"/>
    <w:rsid w:val="00CD630B"/>
    <w:rsid w:val="00CD63AF"/>
    <w:rsid w:val="00CD64E9"/>
    <w:rsid w:val="00CD6669"/>
    <w:rsid w:val="00CD6912"/>
    <w:rsid w:val="00CD691D"/>
    <w:rsid w:val="00CD69F4"/>
    <w:rsid w:val="00CD6B3F"/>
    <w:rsid w:val="00CD6C7E"/>
    <w:rsid w:val="00CD6DA8"/>
    <w:rsid w:val="00CD6F3E"/>
    <w:rsid w:val="00CD7016"/>
    <w:rsid w:val="00CD70A5"/>
    <w:rsid w:val="00CD70E9"/>
    <w:rsid w:val="00CD73E3"/>
    <w:rsid w:val="00CD7443"/>
    <w:rsid w:val="00CD7480"/>
    <w:rsid w:val="00CD74D4"/>
    <w:rsid w:val="00CD759B"/>
    <w:rsid w:val="00CD7642"/>
    <w:rsid w:val="00CD7649"/>
    <w:rsid w:val="00CD7735"/>
    <w:rsid w:val="00CD785A"/>
    <w:rsid w:val="00CD794A"/>
    <w:rsid w:val="00CD79BF"/>
    <w:rsid w:val="00CD79DA"/>
    <w:rsid w:val="00CD7A0A"/>
    <w:rsid w:val="00CD7A65"/>
    <w:rsid w:val="00CD7C74"/>
    <w:rsid w:val="00CD7DEC"/>
    <w:rsid w:val="00CD7F35"/>
    <w:rsid w:val="00CD7F73"/>
    <w:rsid w:val="00CD7F94"/>
    <w:rsid w:val="00CD7FB2"/>
    <w:rsid w:val="00CE03CB"/>
    <w:rsid w:val="00CE0409"/>
    <w:rsid w:val="00CE0514"/>
    <w:rsid w:val="00CE0516"/>
    <w:rsid w:val="00CE05A8"/>
    <w:rsid w:val="00CE09AF"/>
    <w:rsid w:val="00CE0B2C"/>
    <w:rsid w:val="00CE0D0A"/>
    <w:rsid w:val="00CE0D6F"/>
    <w:rsid w:val="00CE0ED1"/>
    <w:rsid w:val="00CE1085"/>
    <w:rsid w:val="00CE10E6"/>
    <w:rsid w:val="00CE1155"/>
    <w:rsid w:val="00CE121A"/>
    <w:rsid w:val="00CE12FD"/>
    <w:rsid w:val="00CE164A"/>
    <w:rsid w:val="00CE179D"/>
    <w:rsid w:val="00CE1C58"/>
    <w:rsid w:val="00CE2161"/>
    <w:rsid w:val="00CE21BE"/>
    <w:rsid w:val="00CE2459"/>
    <w:rsid w:val="00CE24A5"/>
    <w:rsid w:val="00CE2527"/>
    <w:rsid w:val="00CE2552"/>
    <w:rsid w:val="00CE2A28"/>
    <w:rsid w:val="00CE2A68"/>
    <w:rsid w:val="00CE2A72"/>
    <w:rsid w:val="00CE2B67"/>
    <w:rsid w:val="00CE2BF4"/>
    <w:rsid w:val="00CE2C66"/>
    <w:rsid w:val="00CE2D9E"/>
    <w:rsid w:val="00CE327B"/>
    <w:rsid w:val="00CE3685"/>
    <w:rsid w:val="00CE378B"/>
    <w:rsid w:val="00CE38AB"/>
    <w:rsid w:val="00CE3ABF"/>
    <w:rsid w:val="00CE3BA4"/>
    <w:rsid w:val="00CE3BDB"/>
    <w:rsid w:val="00CE3C57"/>
    <w:rsid w:val="00CE3CAD"/>
    <w:rsid w:val="00CE3D3A"/>
    <w:rsid w:val="00CE3E3C"/>
    <w:rsid w:val="00CE3FBF"/>
    <w:rsid w:val="00CE3FD4"/>
    <w:rsid w:val="00CE4092"/>
    <w:rsid w:val="00CE46D8"/>
    <w:rsid w:val="00CE4762"/>
    <w:rsid w:val="00CE4796"/>
    <w:rsid w:val="00CE479F"/>
    <w:rsid w:val="00CE49E8"/>
    <w:rsid w:val="00CE4A95"/>
    <w:rsid w:val="00CE4AC1"/>
    <w:rsid w:val="00CE4C08"/>
    <w:rsid w:val="00CE4F25"/>
    <w:rsid w:val="00CE508B"/>
    <w:rsid w:val="00CE50F6"/>
    <w:rsid w:val="00CE558A"/>
    <w:rsid w:val="00CE5663"/>
    <w:rsid w:val="00CE5932"/>
    <w:rsid w:val="00CE5A2E"/>
    <w:rsid w:val="00CE5B2A"/>
    <w:rsid w:val="00CE5BE5"/>
    <w:rsid w:val="00CE5C1B"/>
    <w:rsid w:val="00CE5C6E"/>
    <w:rsid w:val="00CE5D15"/>
    <w:rsid w:val="00CE5DA2"/>
    <w:rsid w:val="00CE5DC8"/>
    <w:rsid w:val="00CE609A"/>
    <w:rsid w:val="00CE62E3"/>
    <w:rsid w:val="00CE632F"/>
    <w:rsid w:val="00CE6335"/>
    <w:rsid w:val="00CE6375"/>
    <w:rsid w:val="00CE639A"/>
    <w:rsid w:val="00CE641F"/>
    <w:rsid w:val="00CE6424"/>
    <w:rsid w:val="00CE643E"/>
    <w:rsid w:val="00CE654C"/>
    <w:rsid w:val="00CE6552"/>
    <w:rsid w:val="00CE6567"/>
    <w:rsid w:val="00CE66F8"/>
    <w:rsid w:val="00CE69E0"/>
    <w:rsid w:val="00CE6AB0"/>
    <w:rsid w:val="00CE6DC6"/>
    <w:rsid w:val="00CE6F89"/>
    <w:rsid w:val="00CE6F9D"/>
    <w:rsid w:val="00CE7037"/>
    <w:rsid w:val="00CE71BA"/>
    <w:rsid w:val="00CE73E4"/>
    <w:rsid w:val="00CE740D"/>
    <w:rsid w:val="00CE7513"/>
    <w:rsid w:val="00CE768E"/>
    <w:rsid w:val="00CE77A2"/>
    <w:rsid w:val="00CE78D8"/>
    <w:rsid w:val="00CE79A9"/>
    <w:rsid w:val="00CE7A87"/>
    <w:rsid w:val="00CE7CE6"/>
    <w:rsid w:val="00CF007C"/>
    <w:rsid w:val="00CF0104"/>
    <w:rsid w:val="00CF01A6"/>
    <w:rsid w:val="00CF0212"/>
    <w:rsid w:val="00CF0536"/>
    <w:rsid w:val="00CF05AE"/>
    <w:rsid w:val="00CF05DD"/>
    <w:rsid w:val="00CF06AD"/>
    <w:rsid w:val="00CF06EB"/>
    <w:rsid w:val="00CF07D4"/>
    <w:rsid w:val="00CF086D"/>
    <w:rsid w:val="00CF09A8"/>
    <w:rsid w:val="00CF0A6D"/>
    <w:rsid w:val="00CF0B8B"/>
    <w:rsid w:val="00CF0C48"/>
    <w:rsid w:val="00CF0F70"/>
    <w:rsid w:val="00CF0F9A"/>
    <w:rsid w:val="00CF11A7"/>
    <w:rsid w:val="00CF11BB"/>
    <w:rsid w:val="00CF12E1"/>
    <w:rsid w:val="00CF17D4"/>
    <w:rsid w:val="00CF185D"/>
    <w:rsid w:val="00CF195E"/>
    <w:rsid w:val="00CF1A1E"/>
    <w:rsid w:val="00CF1C4F"/>
    <w:rsid w:val="00CF1CA3"/>
    <w:rsid w:val="00CF1CC4"/>
    <w:rsid w:val="00CF1D76"/>
    <w:rsid w:val="00CF1DAF"/>
    <w:rsid w:val="00CF2089"/>
    <w:rsid w:val="00CF237C"/>
    <w:rsid w:val="00CF24E5"/>
    <w:rsid w:val="00CF2633"/>
    <w:rsid w:val="00CF2716"/>
    <w:rsid w:val="00CF282D"/>
    <w:rsid w:val="00CF2873"/>
    <w:rsid w:val="00CF28F7"/>
    <w:rsid w:val="00CF29B8"/>
    <w:rsid w:val="00CF2F9A"/>
    <w:rsid w:val="00CF30E6"/>
    <w:rsid w:val="00CF31EE"/>
    <w:rsid w:val="00CF32AE"/>
    <w:rsid w:val="00CF33CD"/>
    <w:rsid w:val="00CF364F"/>
    <w:rsid w:val="00CF37E4"/>
    <w:rsid w:val="00CF386D"/>
    <w:rsid w:val="00CF38B6"/>
    <w:rsid w:val="00CF3BC5"/>
    <w:rsid w:val="00CF3C27"/>
    <w:rsid w:val="00CF3D35"/>
    <w:rsid w:val="00CF3FE4"/>
    <w:rsid w:val="00CF404F"/>
    <w:rsid w:val="00CF40F0"/>
    <w:rsid w:val="00CF43E5"/>
    <w:rsid w:val="00CF43EE"/>
    <w:rsid w:val="00CF4533"/>
    <w:rsid w:val="00CF4553"/>
    <w:rsid w:val="00CF4661"/>
    <w:rsid w:val="00CF46D0"/>
    <w:rsid w:val="00CF4755"/>
    <w:rsid w:val="00CF4859"/>
    <w:rsid w:val="00CF4A4C"/>
    <w:rsid w:val="00CF4AA1"/>
    <w:rsid w:val="00CF4B49"/>
    <w:rsid w:val="00CF4CDB"/>
    <w:rsid w:val="00CF4DD7"/>
    <w:rsid w:val="00CF4DE2"/>
    <w:rsid w:val="00CF4E34"/>
    <w:rsid w:val="00CF4ED7"/>
    <w:rsid w:val="00CF4F8B"/>
    <w:rsid w:val="00CF4FA0"/>
    <w:rsid w:val="00CF50E7"/>
    <w:rsid w:val="00CF50F3"/>
    <w:rsid w:val="00CF5339"/>
    <w:rsid w:val="00CF53AE"/>
    <w:rsid w:val="00CF53B6"/>
    <w:rsid w:val="00CF5401"/>
    <w:rsid w:val="00CF561B"/>
    <w:rsid w:val="00CF563E"/>
    <w:rsid w:val="00CF57A6"/>
    <w:rsid w:val="00CF57D2"/>
    <w:rsid w:val="00CF5871"/>
    <w:rsid w:val="00CF58F0"/>
    <w:rsid w:val="00CF5E10"/>
    <w:rsid w:val="00CF5FD1"/>
    <w:rsid w:val="00CF609B"/>
    <w:rsid w:val="00CF6316"/>
    <w:rsid w:val="00CF64A5"/>
    <w:rsid w:val="00CF6528"/>
    <w:rsid w:val="00CF65AF"/>
    <w:rsid w:val="00CF6645"/>
    <w:rsid w:val="00CF68F6"/>
    <w:rsid w:val="00CF6A1F"/>
    <w:rsid w:val="00CF6D62"/>
    <w:rsid w:val="00CF6E4F"/>
    <w:rsid w:val="00CF6F13"/>
    <w:rsid w:val="00CF6FC7"/>
    <w:rsid w:val="00CF708C"/>
    <w:rsid w:val="00CF7139"/>
    <w:rsid w:val="00CF7192"/>
    <w:rsid w:val="00CF7542"/>
    <w:rsid w:val="00CF76CF"/>
    <w:rsid w:val="00CF7713"/>
    <w:rsid w:val="00CF784F"/>
    <w:rsid w:val="00CF7980"/>
    <w:rsid w:val="00CF7A9A"/>
    <w:rsid w:val="00CF7CB2"/>
    <w:rsid w:val="00CF7EC1"/>
    <w:rsid w:val="00D00329"/>
    <w:rsid w:val="00D0033D"/>
    <w:rsid w:val="00D00350"/>
    <w:rsid w:val="00D0041C"/>
    <w:rsid w:val="00D00472"/>
    <w:rsid w:val="00D0053E"/>
    <w:rsid w:val="00D009A7"/>
    <w:rsid w:val="00D00B3D"/>
    <w:rsid w:val="00D00C01"/>
    <w:rsid w:val="00D00D33"/>
    <w:rsid w:val="00D00E68"/>
    <w:rsid w:val="00D00F30"/>
    <w:rsid w:val="00D00F86"/>
    <w:rsid w:val="00D01007"/>
    <w:rsid w:val="00D0100C"/>
    <w:rsid w:val="00D0103D"/>
    <w:rsid w:val="00D01093"/>
    <w:rsid w:val="00D010F7"/>
    <w:rsid w:val="00D0116A"/>
    <w:rsid w:val="00D0124C"/>
    <w:rsid w:val="00D01251"/>
    <w:rsid w:val="00D0128F"/>
    <w:rsid w:val="00D01523"/>
    <w:rsid w:val="00D016A4"/>
    <w:rsid w:val="00D016CC"/>
    <w:rsid w:val="00D0171C"/>
    <w:rsid w:val="00D017BC"/>
    <w:rsid w:val="00D01868"/>
    <w:rsid w:val="00D0187E"/>
    <w:rsid w:val="00D0197E"/>
    <w:rsid w:val="00D01CA4"/>
    <w:rsid w:val="00D01EB0"/>
    <w:rsid w:val="00D020A3"/>
    <w:rsid w:val="00D0211E"/>
    <w:rsid w:val="00D0211F"/>
    <w:rsid w:val="00D023FF"/>
    <w:rsid w:val="00D024D7"/>
    <w:rsid w:val="00D025DB"/>
    <w:rsid w:val="00D02737"/>
    <w:rsid w:val="00D02899"/>
    <w:rsid w:val="00D02995"/>
    <w:rsid w:val="00D02AE7"/>
    <w:rsid w:val="00D02CE6"/>
    <w:rsid w:val="00D02DA3"/>
    <w:rsid w:val="00D03358"/>
    <w:rsid w:val="00D03477"/>
    <w:rsid w:val="00D034E1"/>
    <w:rsid w:val="00D0374A"/>
    <w:rsid w:val="00D03A99"/>
    <w:rsid w:val="00D03B9D"/>
    <w:rsid w:val="00D03C03"/>
    <w:rsid w:val="00D03E76"/>
    <w:rsid w:val="00D04146"/>
    <w:rsid w:val="00D04311"/>
    <w:rsid w:val="00D043C7"/>
    <w:rsid w:val="00D0445A"/>
    <w:rsid w:val="00D044FF"/>
    <w:rsid w:val="00D04601"/>
    <w:rsid w:val="00D04642"/>
    <w:rsid w:val="00D046D6"/>
    <w:rsid w:val="00D046E5"/>
    <w:rsid w:val="00D04784"/>
    <w:rsid w:val="00D047E2"/>
    <w:rsid w:val="00D049CF"/>
    <w:rsid w:val="00D04AE6"/>
    <w:rsid w:val="00D04CB3"/>
    <w:rsid w:val="00D04D05"/>
    <w:rsid w:val="00D04F30"/>
    <w:rsid w:val="00D0513B"/>
    <w:rsid w:val="00D05208"/>
    <w:rsid w:val="00D0529D"/>
    <w:rsid w:val="00D05315"/>
    <w:rsid w:val="00D055E2"/>
    <w:rsid w:val="00D05646"/>
    <w:rsid w:val="00D056F4"/>
    <w:rsid w:val="00D05746"/>
    <w:rsid w:val="00D0581A"/>
    <w:rsid w:val="00D0589B"/>
    <w:rsid w:val="00D05997"/>
    <w:rsid w:val="00D05A8D"/>
    <w:rsid w:val="00D05CEF"/>
    <w:rsid w:val="00D05DBE"/>
    <w:rsid w:val="00D05F49"/>
    <w:rsid w:val="00D05F7B"/>
    <w:rsid w:val="00D05FD8"/>
    <w:rsid w:val="00D06017"/>
    <w:rsid w:val="00D060FF"/>
    <w:rsid w:val="00D06106"/>
    <w:rsid w:val="00D062E4"/>
    <w:rsid w:val="00D062E6"/>
    <w:rsid w:val="00D06443"/>
    <w:rsid w:val="00D06455"/>
    <w:rsid w:val="00D06507"/>
    <w:rsid w:val="00D065E1"/>
    <w:rsid w:val="00D0668B"/>
    <w:rsid w:val="00D0689C"/>
    <w:rsid w:val="00D06998"/>
    <w:rsid w:val="00D06AAE"/>
    <w:rsid w:val="00D06B80"/>
    <w:rsid w:val="00D06CAA"/>
    <w:rsid w:val="00D06F6E"/>
    <w:rsid w:val="00D07187"/>
    <w:rsid w:val="00D072D1"/>
    <w:rsid w:val="00D078C6"/>
    <w:rsid w:val="00D078F6"/>
    <w:rsid w:val="00D07B17"/>
    <w:rsid w:val="00D07B2C"/>
    <w:rsid w:val="00D07B9D"/>
    <w:rsid w:val="00D07BCD"/>
    <w:rsid w:val="00D07C39"/>
    <w:rsid w:val="00D07CF7"/>
    <w:rsid w:val="00D07DBF"/>
    <w:rsid w:val="00D07EB5"/>
    <w:rsid w:val="00D1007D"/>
    <w:rsid w:val="00D10092"/>
    <w:rsid w:val="00D1019F"/>
    <w:rsid w:val="00D104A1"/>
    <w:rsid w:val="00D104B8"/>
    <w:rsid w:val="00D104E0"/>
    <w:rsid w:val="00D105B9"/>
    <w:rsid w:val="00D1062B"/>
    <w:rsid w:val="00D106CE"/>
    <w:rsid w:val="00D10716"/>
    <w:rsid w:val="00D107F1"/>
    <w:rsid w:val="00D10846"/>
    <w:rsid w:val="00D109BD"/>
    <w:rsid w:val="00D109F8"/>
    <w:rsid w:val="00D10BE7"/>
    <w:rsid w:val="00D10C86"/>
    <w:rsid w:val="00D10C8F"/>
    <w:rsid w:val="00D10CFE"/>
    <w:rsid w:val="00D10FF0"/>
    <w:rsid w:val="00D1105B"/>
    <w:rsid w:val="00D110FD"/>
    <w:rsid w:val="00D11439"/>
    <w:rsid w:val="00D1170F"/>
    <w:rsid w:val="00D1179B"/>
    <w:rsid w:val="00D117BC"/>
    <w:rsid w:val="00D11A45"/>
    <w:rsid w:val="00D11B23"/>
    <w:rsid w:val="00D11C30"/>
    <w:rsid w:val="00D11E84"/>
    <w:rsid w:val="00D11EA2"/>
    <w:rsid w:val="00D11FA0"/>
    <w:rsid w:val="00D12088"/>
    <w:rsid w:val="00D12409"/>
    <w:rsid w:val="00D125D0"/>
    <w:rsid w:val="00D12675"/>
    <w:rsid w:val="00D126A7"/>
    <w:rsid w:val="00D126EB"/>
    <w:rsid w:val="00D1296E"/>
    <w:rsid w:val="00D12B2D"/>
    <w:rsid w:val="00D12B50"/>
    <w:rsid w:val="00D12C4B"/>
    <w:rsid w:val="00D12D28"/>
    <w:rsid w:val="00D12F23"/>
    <w:rsid w:val="00D1316A"/>
    <w:rsid w:val="00D132E3"/>
    <w:rsid w:val="00D13519"/>
    <w:rsid w:val="00D137C4"/>
    <w:rsid w:val="00D1387E"/>
    <w:rsid w:val="00D138D4"/>
    <w:rsid w:val="00D13A1E"/>
    <w:rsid w:val="00D13AD6"/>
    <w:rsid w:val="00D13B33"/>
    <w:rsid w:val="00D13B37"/>
    <w:rsid w:val="00D13BBA"/>
    <w:rsid w:val="00D13CCF"/>
    <w:rsid w:val="00D13D87"/>
    <w:rsid w:val="00D13EA4"/>
    <w:rsid w:val="00D13EB6"/>
    <w:rsid w:val="00D13F7B"/>
    <w:rsid w:val="00D14168"/>
    <w:rsid w:val="00D144E8"/>
    <w:rsid w:val="00D1452A"/>
    <w:rsid w:val="00D145A4"/>
    <w:rsid w:val="00D1481E"/>
    <w:rsid w:val="00D148F6"/>
    <w:rsid w:val="00D14919"/>
    <w:rsid w:val="00D14A6E"/>
    <w:rsid w:val="00D14BFB"/>
    <w:rsid w:val="00D14FC1"/>
    <w:rsid w:val="00D14FC2"/>
    <w:rsid w:val="00D151F1"/>
    <w:rsid w:val="00D1523C"/>
    <w:rsid w:val="00D1574A"/>
    <w:rsid w:val="00D158AC"/>
    <w:rsid w:val="00D15E2D"/>
    <w:rsid w:val="00D15EEA"/>
    <w:rsid w:val="00D15F17"/>
    <w:rsid w:val="00D1604A"/>
    <w:rsid w:val="00D16061"/>
    <w:rsid w:val="00D1619B"/>
    <w:rsid w:val="00D165C6"/>
    <w:rsid w:val="00D166AD"/>
    <w:rsid w:val="00D166D1"/>
    <w:rsid w:val="00D166D4"/>
    <w:rsid w:val="00D167D7"/>
    <w:rsid w:val="00D16A82"/>
    <w:rsid w:val="00D16B42"/>
    <w:rsid w:val="00D16C8E"/>
    <w:rsid w:val="00D16F56"/>
    <w:rsid w:val="00D171B4"/>
    <w:rsid w:val="00D173ED"/>
    <w:rsid w:val="00D17449"/>
    <w:rsid w:val="00D17451"/>
    <w:rsid w:val="00D17571"/>
    <w:rsid w:val="00D175AB"/>
    <w:rsid w:val="00D176A1"/>
    <w:rsid w:val="00D17742"/>
    <w:rsid w:val="00D177DD"/>
    <w:rsid w:val="00D17950"/>
    <w:rsid w:val="00D179A4"/>
    <w:rsid w:val="00D17A6C"/>
    <w:rsid w:val="00D17ABB"/>
    <w:rsid w:val="00D17C9C"/>
    <w:rsid w:val="00D17CA7"/>
    <w:rsid w:val="00D17D6A"/>
    <w:rsid w:val="00D17DC9"/>
    <w:rsid w:val="00D17FE7"/>
    <w:rsid w:val="00D20037"/>
    <w:rsid w:val="00D20173"/>
    <w:rsid w:val="00D2046C"/>
    <w:rsid w:val="00D204F4"/>
    <w:rsid w:val="00D20553"/>
    <w:rsid w:val="00D206CD"/>
    <w:rsid w:val="00D20708"/>
    <w:rsid w:val="00D207A5"/>
    <w:rsid w:val="00D207B2"/>
    <w:rsid w:val="00D20914"/>
    <w:rsid w:val="00D20BA9"/>
    <w:rsid w:val="00D20BBB"/>
    <w:rsid w:val="00D20CBB"/>
    <w:rsid w:val="00D20D5C"/>
    <w:rsid w:val="00D20D78"/>
    <w:rsid w:val="00D20E04"/>
    <w:rsid w:val="00D20F34"/>
    <w:rsid w:val="00D21244"/>
    <w:rsid w:val="00D21360"/>
    <w:rsid w:val="00D2163A"/>
    <w:rsid w:val="00D21761"/>
    <w:rsid w:val="00D21835"/>
    <w:rsid w:val="00D2190B"/>
    <w:rsid w:val="00D219E9"/>
    <w:rsid w:val="00D21A7F"/>
    <w:rsid w:val="00D21BA5"/>
    <w:rsid w:val="00D21CEF"/>
    <w:rsid w:val="00D21F7F"/>
    <w:rsid w:val="00D21F94"/>
    <w:rsid w:val="00D2200C"/>
    <w:rsid w:val="00D22331"/>
    <w:rsid w:val="00D2234A"/>
    <w:rsid w:val="00D223E8"/>
    <w:rsid w:val="00D223F2"/>
    <w:rsid w:val="00D2250D"/>
    <w:rsid w:val="00D22583"/>
    <w:rsid w:val="00D226D4"/>
    <w:rsid w:val="00D2294E"/>
    <w:rsid w:val="00D22978"/>
    <w:rsid w:val="00D22B32"/>
    <w:rsid w:val="00D22BE4"/>
    <w:rsid w:val="00D22C85"/>
    <w:rsid w:val="00D22D80"/>
    <w:rsid w:val="00D22EC5"/>
    <w:rsid w:val="00D22EF5"/>
    <w:rsid w:val="00D2316F"/>
    <w:rsid w:val="00D23233"/>
    <w:rsid w:val="00D233B7"/>
    <w:rsid w:val="00D23404"/>
    <w:rsid w:val="00D23421"/>
    <w:rsid w:val="00D235E8"/>
    <w:rsid w:val="00D23668"/>
    <w:rsid w:val="00D2370E"/>
    <w:rsid w:val="00D23722"/>
    <w:rsid w:val="00D23B01"/>
    <w:rsid w:val="00D23C22"/>
    <w:rsid w:val="00D23F09"/>
    <w:rsid w:val="00D24054"/>
    <w:rsid w:val="00D244E4"/>
    <w:rsid w:val="00D2471A"/>
    <w:rsid w:val="00D248DF"/>
    <w:rsid w:val="00D249CF"/>
    <w:rsid w:val="00D24ADA"/>
    <w:rsid w:val="00D24BE5"/>
    <w:rsid w:val="00D24C10"/>
    <w:rsid w:val="00D24C7D"/>
    <w:rsid w:val="00D24EB5"/>
    <w:rsid w:val="00D24F29"/>
    <w:rsid w:val="00D2507D"/>
    <w:rsid w:val="00D251EB"/>
    <w:rsid w:val="00D25255"/>
    <w:rsid w:val="00D255D1"/>
    <w:rsid w:val="00D2570D"/>
    <w:rsid w:val="00D258BC"/>
    <w:rsid w:val="00D25932"/>
    <w:rsid w:val="00D259E2"/>
    <w:rsid w:val="00D25AF1"/>
    <w:rsid w:val="00D25B90"/>
    <w:rsid w:val="00D25BEE"/>
    <w:rsid w:val="00D25C06"/>
    <w:rsid w:val="00D25CAA"/>
    <w:rsid w:val="00D25CE7"/>
    <w:rsid w:val="00D25D1D"/>
    <w:rsid w:val="00D25E9D"/>
    <w:rsid w:val="00D25F63"/>
    <w:rsid w:val="00D26040"/>
    <w:rsid w:val="00D260FB"/>
    <w:rsid w:val="00D26198"/>
    <w:rsid w:val="00D2642D"/>
    <w:rsid w:val="00D264FE"/>
    <w:rsid w:val="00D265CD"/>
    <w:rsid w:val="00D2667E"/>
    <w:rsid w:val="00D26738"/>
    <w:rsid w:val="00D2688A"/>
    <w:rsid w:val="00D26911"/>
    <w:rsid w:val="00D26A68"/>
    <w:rsid w:val="00D26ADE"/>
    <w:rsid w:val="00D26BEA"/>
    <w:rsid w:val="00D26C1D"/>
    <w:rsid w:val="00D26CA5"/>
    <w:rsid w:val="00D26CAC"/>
    <w:rsid w:val="00D26DCA"/>
    <w:rsid w:val="00D26F0C"/>
    <w:rsid w:val="00D2703B"/>
    <w:rsid w:val="00D270BC"/>
    <w:rsid w:val="00D271F3"/>
    <w:rsid w:val="00D2738B"/>
    <w:rsid w:val="00D2744E"/>
    <w:rsid w:val="00D274A0"/>
    <w:rsid w:val="00D27580"/>
    <w:rsid w:val="00D275A2"/>
    <w:rsid w:val="00D275A3"/>
    <w:rsid w:val="00D2761E"/>
    <w:rsid w:val="00D27702"/>
    <w:rsid w:val="00D27748"/>
    <w:rsid w:val="00D277BF"/>
    <w:rsid w:val="00D27839"/>
    <w:rsid w:val="00D27C36"/>
    <w:rsid w:val="00D27CDB"/>
    <w:rsid w:val="00D27D7C"/>
    <w:rsid w:val="00D27EBE"/>
    <w:rsid w:val="00D27EC5"/>
    <w:rsid w:val="00D27EFB"/>
    <w:rsid w:val="00D300BF"/>
    <w:rsid w:val="00D30351"/>
    <w:rsid w:val="00D30577"/>
    <w:rsid w:val="00D30621"/>
    <w:rsid w:val="00D306C0"/>
    <w:rsid w:val="00D30729"/>
    <w:rsid w:val="00D308F7"/>
    <w:rsid w:val="00D3098D"/>
    <w:rsid w:val="00D30A67"/>
    <w:rsid w:val="00D30B15"/>
    <w:rsid w:val="00D30BC3"/>
    <w:rsid w:val="00D30BC5"/>
    <w:rsid w:val="00D30BDC"/>
    <w:rsid w:val="00D30C91"/>
    <w:rsid w:val="00D30D47"/>
    <w:rsid w:val="00D30F0C"/>
    <w:rsid w:val="00D30F23"/>
    <w:rsid w:val="00D30FBF"/>
    <w:rsid w:val="00D3102B"/>
    <w:rsid w:val="00D310A9"/>
    <w:rsid w:val="00D310EF"/>
    <w:rsid w:val="00D311CF"/>
    <w:rsid w:val="00D31486"/>
    <w:rsid w:val="00D3148A"/>
    <w:rsid w:val="00D31537"/>
    <w:rsid w:val="00D315EE"/>
    <w:rsid w:val="00D31938"/>
    <w:rsid w:val="00D31A08"/>
    <w:rsid w:val="00D31A0F"/>
    <w:rsid w:val="00D31ABE"/>
    <w:rsid w:val="00D31C6D"/>
    <w:rsid w:val="00D31CF2"/>
    <w:rsid w:val="00D31EB5"/>
    <w:rsid w:val="00D31EBA"/>
    <w:rsid w:val="00D32214"/>
    <w:rsid w:val="00D32359"/>
    <w:rsid w:val="00D32497"/>
    <w:rsid w:val="00D326E9"/>
    <w:rsid w:val="00D32838"/>
    <w:rsid w:val="00D32882"/>
    <w:rsid w:val="00D32A81"/>
    <w:rsid w:val="00D32A9E"/>
    <w:rsid w:val="00D32CF9"/>
    <w:rsid w:val="00D32D01"/>
    <w:rsid w:val="00D32D17"/>
    <w:rsid w:val="00D32DA7"/>
    <w:rsid w:val="00D32DD0"/>
    <w:rsid w:val="00D32EC5"/>
    <w:rsid w:val="00D333C8"/>
    <w:rsid w:val="00D3350F"/>
    <w:rsid w:val="00D336E0"/>
    <w:rsid w:val="00D3379E"/>
    <w:rsid w:val="00D33987"/>
    <w:rsid w:val="00D33B94"/>
    <w:rsid w:val="00D33C03"/>
    <w:rsid w:val="00D34068"/>
    <w:rsid w:val="00D3437A"/>
    <w:rsid w:val="00D34539"/>
    <w:rsid w:val="00D3479A"/>
    <w:rsid w:val="00D347E5"/>
    <w:rsid w:val="00D348D8"/>
    <w:rsid w:val="00D348EC"/>
    <w:rsid w:val="00D34B8D"/>
    <w:rsid w:val="00D34BF4"/>
    <w:rsid w:val="00D34FAB"/>
    <w:rsid w:val="00D35061"/>
    <w:rsid w:val="00D351A2"/>
    <w:rsid w:val="00D3526B"/>
    <w:rsid w:val="00D35581"/>
    <w:rsid w:val="00D3562B"/>
    <w:rsid w:val="00D35856"/>
    <w:rsid w:val="00D358A6"/>
    <w:rsid w:val="00D358FA"/>
    <w:rsid w:val="00D3592A"/>
    <w:rsid w:val="00D3593A"/>
    <w:rsid w:val="00D35ACB"/>
    <w:rsid w:val="00D35EDA"/>
    <w:rsid w:val="00D35F45"/>
    <w:rsid w:val="00D35FF0"/>
    <w:rsid w:val="00D36412"/>
    <w:rsid w:val="00D364BB"/>
    <w:rsid w:val="00D365A4"/>
    <w:rsid w:val="00D366B2"/>
    <w:rsid w:val="00D366B6"/>
    <w:rsid w:val="00D3679B"/>
    <w:rsid w:val="00D36805"/>
    <w:rsid w:val="00D3695B"/>
    <w:rsid w:val="00D36ABC"/>
    <w:rsid w:val="00D36B95"/>
    <w:rsid w:val="00D36C69"/>
    <w:rsid w:val="00D36E38"/>
    <w:rsid w:val="00D370EB"/>
    <w:rsid w:val="00D3722F"/>
    <w:rsid w:val="00D3736A"/>
    <w:rsid w:val="00D3746C"/>
    <w:rsid w:val="00D3752E"/>
    <w:rsid w:val="00D3774B"/>
    <w:rsid w:val="00D3775E"/>
    <w:rsid w:val="00D3786F"/>
    <w:rsid w:val="00D37C20"/>
    <w:rsid w:val="00D37C66"/>
    <w:rsid w:val="00D37D78"/>
    <w:rsid w:val="00D37DAF"/>
    <w:rsid w:val="00D37F22"/>
    <w:rsid w:val="00D37F7D"/>
    <w:rsid w:val="00D37FC5"/>
    <w:rsid w:val="00D4006B"/>
    <w:rsid w:val="00D40153"/>
    <w:rsid w:val="00D403CD"/>
    <w:rsid w:val="00D404C7"/>
    <w:rsid w:val="00D4083A"/>
    <w:rsid w:val="00D40899"/>
    <w:rsid w:val="00D408EF"/>
    <w:rsid w:val="00D40A1C"/>
    <w:rsid w:val="00D40AC6"/>
    <w:rsid w:val="00D40C97"/>
    <w:rsid w:val="00D40EA5"/>
    <w:rsid w:val="00D40F2B"/>
    <w:rsid w:val="00D40F4B"/>
    <w:rsid w:val="00D4123E"/>
    <w:rsid w:val="00D41250"/>
    <w:rsid w:val="00D413A1"/>
    <w:rsid w:val="00D41719"/>
    <w:rsid w:val="00D41759"/>
    <w:rsid w:val="00D41935"/>
    <w:rsid w:val="00D41B74"/>
    <w:rsid w:val="00D41B79"/>
    <w:rsid w:val="00D41BAA"/>
    <w:rsid w:val="00D41C79"/>
    <w:rsid w:val="00D41E10"/>
    <w:rsid w:val="00D4204B"/>
    <w:rsid w:val="00D4219C"/>
    <w:rsid w:val="00D423A2"/>
    <w:rsid w:val="00D425D9"/>
    <w:rsid w:val="00D42660"/>
    <w:rsid w:val="00D42829"/>
    <w:rsid w:val="00D42850"/>
    <w:rsid w:val="00D428C6"/>
    <w:rsid w:val="00D428EF"/>
    <w:rsid w:val="00D42AA5"/>
    <w:rsid w:val="00D42B8C"/>
    <w:rsid w:val="00D42C32"/>
    <w:rsid w:val="00D42C77"/>
    <w:rsid w:val="00D430E7"/>
    <w:rsid w:val="00D430F2"/>
    <w:rsid w:val="00D431DA"/>
    <w:rsid w:val="00D43231"/>
    <w:rsid w:val="00D4327B"/>
    <w:rsid w:val="00D4338D"/>
    <w:rsid w:val="00D4362E"/>
    <w:rsid w:val="00D43648"/>
    <w:rsid w:val="00D43772"/>
    <w:rsid w:val="00D43879"/>
    <w:rsid w:val="00D43A96"/>
    <w:rsid w:val="00D43BA2"/>
    <w:rsid w:val="00D43CCE"/>
    <w:rsid w:val="00D43CFC"/>
    <w:rsid w:val="00D43E7A"/>
    <w:rsid w:val="00D43E9E"/>
    <w:rsid w:val="00D44058"/>
    <w:rsid w:val="00D44215"/>
    <w:rsid w:val="00D445DA"/>
    <w:rsid w:val="00D446AA"/>
    <w:rsid w:val="00D44779"/>
    <w:rsid w:val="00D44A40"/>
    <w:rsid w:val="00D44B62"/>
    <w:rsid w:val="00D44B84"/>
    <w:rsid w:val="00D44BD7"/>
    <w:rsid w:val="00D44CF9"/>
    <w:rsid w:val="00D44DB4"/>
    <w:rsid w:val="00D44E4D"/>
    <w:rsid w:val="00D44ED5"/>
    <w:rsid w:val="00D44EF4"/>
    <w:rsid w:val="00D45132"/>
    <w:rsid w:val="00D4518C"/>
    <w:rsid w:val="00D4539F"/>
    <w:rsid w:val="00D45626"/>
    <w:rsid w:val="00D45814"/>
    <w:rsid w:val="00D45859"/>
    <w:rsid w:val="00D45A17"/>
    <w:rsid w:val="00D45A9A"/>
    <w:rsid w:val="00D45AD0"/>
    <w:rsid w:val="00D45B14"/>
    <w:rsid w:val="00D45F5D"/>
    <w:rsid w:val="00D46030"/>
    <w:rsid w:val="00D461D0"/>
    <w:rsid w:val="00D46287"/>
    <w:rsid w:val="00D4631C"/>
    <w:rsid w:val="00D46355"/>
    <w:rsid w:val="00D46784"/>
    <w:rsid w:val="00D46840"/>
    <w:rsid w:val="00D469F4"/>
    <w:rsid w:val="00D46A0E"/>
    <w:rsid w:val="00D46A8E"/>
    <w:rsid w:val="00D46E18"/>
    <w:rsid w:val="00D46F52"/>
    <w:rsid w:val="00D4700A"/>
    <w:rsid w:val="00D4721E"/>
    <w:rsid w:val="00D47312"/>
    <w:rsid w:val="00D47499"/>
    <w:rsid w:val="00D47559"/>
    <w:rsid w:val="00D475D0"/>
    <w:rsid w:val="00D478B5"/>
    <w:rsid w:val="00D478C2"/>
    <w:rsid w:val="00D47C3B"/>
    <w:rsid w:val="00D47CC5"/>
    <w:rsid w:val="00D47F4B"/>
    <w:rsid w:val="00D5009D"/>
    <w:rsid w:val="00D500C3"/>
    <w:rsid w:val="00D501AF"/>
    <w:rsid w:val="00D5024C"/>
    <w:rsid w:val="00D50650"/>
    <w:rsid w:val="00D50841"/>
    <w:rsid w:val="00D50909"/>
    <w:rsid w:val="00D50937"/>
    <w:rsid w:val="00D509DF"/>
    <w:rsid w:val="00D50A87"/>
    <w:rsid w:val="00D50BCE"/>
    <w:rsid w:val="00D50C38"/>
    <w:rsid w:val="00D50D57"/>
    <w:rsid w:val="00D51006"/>
    <w:rsid w:val="00D510FF"/>
    <w:rsid w:val="00D5111C"/>
    <w:rsid w:val="00D51159"/>
    <w:rsid w:val="00D511A6"/>
    <w:rsid w:val="00D51274"/>
    <w:rsid w:val="00D512DA"/>
    <w:rsid w:val="00D5136B"/>
    <w:rsid w:val="00D51395"/>
    <w:rsid w:val="00D516D7"/>
    <w:rsid w:val="00D5176C"/>
    <w:rsid w:val="00D51B60"/>
    <w:rsid w:val="00D51F03"/>
    <w:rsid w:val="00D51F7A"/>
    <w:rsid w:val="00D51F9D"/>
    <w:rsid w:val="00D5203F"/>
    <w:rsid w:val="00D522AC"/>
    <w:rsid w:val="00D5234F"/>
    <w:rsid w:val="00D523A4"/>
    <w:rsid w:val="00D52486"/>
    <w:rsid w:val="00D524A7"/>
    <w:rsid w:val="00D524E5"/>
    <w:rsid w:val="00D5261F"/>
    <w:rsid w:val="00D5268A"/>
    <w:rsid w:val="00D5283C"/>
    <w:rsid w:val="00D5290E"/>
    <w:rsid w:val="00D5296B"/>
    <w:rsid w:val="00D529C8"/>
    <w:rsid w:val="00D52A86"/>
    <w:rsid w:val="00D52BC4"/>
    <w:rsid w:val="00D52D78"/>
    <w:rsid w:val="00D52E2F"/>
    <w:rsid w:val="00D52FCA"/>
    <w:rsid w:val="00D532B2"/>
    <w:rsid w:val="00D53491"/>
    <w:rsid w:val="00D534CF"/>
    <w:rsid w:val="00D5352A"/>
    <w:rsid w:val="00D53564"/>
    <w:rsid w:val="00D53575"/>
    <w:rsid w:val="00D5357A"/>
    <w:rsid w:val="00D5365C"/>
    <w:rsid w:val="00D5375B"/>
    <w:rsid w:val="00D537C4"/>
    <w:rsid w:val="00D537FC"/>
    <w:rsid w:val="00D53844"/>
    <w:rsid w:val="00D53852"/>
    <w:rsid w:val="00D53950"/>
    <w:rsid w:val="00D53C10"/>
    <w:rsid w:val="00D53C20"/>
    <w:rsid w:val="00D53D8A"/>
    <w:rsid w:val="00D53E2F"/>
    <w:rsid w:val="00D53E59"/>
    <w:rsid w:val="00D540A4"/>
    <w:rsid w:val="00D54199"/>
    <w:rsid w:val="00D541C5"/>
    <w:rsid w:val="00D5425B"/>
    <w:rsid w:val="00D5460B"/>
    <w:rsid w:val="00D54660"/>
    <w:rsid w:val="00D546BE"/>
    <w:rsid w:val="00D546C9"/>
    <w:rsid w:val="00D5481F"/>
    <w:rsid w:val="00D549B9"/>
    <w:rsid w:val="00D54A0D"/>
    <w:rsid w:val="00D54A5A"/>
    <w:rsid w:val="00D54A83"/>
    <w:rsid w:val="00D54CF6"/>
    <w:rsid w:val="00D54D18"/>
    <w:rsid w:val="00D54D98"/>
    <w:rsid w:val="00D54F1D"/>
    <w:rsid w:val="00D5523A"/>
    <w:rsid w:val="00D552C0"/>
    <w:rsid w:val="00D55450"/>
    <w:rsid w:val="00D5552C"/>
    <w:rsid w:val="00D55839"/>
    <w:rsid w:val="00D55866"/>
    <w:rsid w:val="00D5588F"/>
    <w:rsid w:val="00D55B9E"/>
    <w:rsid w:val="00D55BE3"/>
    <w:rsid w:val="00D55D89"/>
    <w:rsid w:val="00D55E56"/>
    <w:rsid w:val="00D561C4"/>
    <w:rsid w:val="00D561F4"/>
    <w:rsid w:val="00D562B9"/>
    <w:rsid w:val="00D562BD"/>
    <w:rsid w:val="00D5632B"/>
    <w:rsid w:val="00D5644D"/>
    <w:rsid w:val="00D56526"/>
    <w:rsid w:val="00D5663B"/>
    <w:rsid w:val="00D567F0"/>
    <w:rsid w:val="00D5682D"/>
    <w:rsid w:val="00D56A60"/>
    <w:rsid w:val="00D56D5B"/>
    <w:rsid w:val="00D56DD9"/>
    <w:rsid w:val="00D57096"/>
    <w:rsid w:val="00D5732D"/>
    <w:rsid w:val="00D57444"/>
    <w:rsid w:val="00D576F6"/>
    <w:rsid w:val="00D57706"/>
    <w:rsid w:val="00D57769"/>
    <w:rsid w:val="00D5795A"/>
    <w:rsid w:val="00D5796C"/>
    <w:rsid w:val="00D57A18"/>
    <w:rsid w:val="00D57A45"/>
    <w:rsid w:val="00D57A83"/>
    <w:rsid w:val="00D57AA0"/>
    <w:rsid w:val="00D57ABE"/>
    <w:rsid w:val="00D57BE5"/>
    <w:rsid w:val="00D57D86"/>
    <w:rsid w:val="00D57DDE"/>
    <w:rsid w:val="00D57E5B"/>
    <w:rsid w:val="00D57F63"/>
    <w:rsid w:val="00D60308"/>
    <w:rsid w:val="00D604EB"/>
    <w:rsid w:val="00D60606"/>
    <w:rsid w:val="00D6060B"/>
    <w:rsid w:val="00D60746"/>
    <w:rsid w:val="00D6086C"/>
    <w:rsid w:val="00D609F4"/>
    <w:rsid w:val="00D60C32"/>
    <w:rsid w:val="00D611C4"/>
    <w:rsid w:val="00D6123A"/>
    <w:rsid w:val="00D616EE"/>
    <w:rsid w:val="00D6170C"/>
    <w:rsid w:val="00D6171F"/>
    <w:rsid w:val="00D6187B"/>
    <w:rsid w:val="00D618B8"/>
    <w:rsid w:val="00D61A2C"/>
    <w:rsid w:val="00D61CF3"/>
    <w:rsid w:val="00D61E92"/>
    <w:rsid w:val="00D61F4A"/>
    <w:rsid w:val="00D6203F"/>
    <w:rsid w:val="00D62063"/>
    <w:rsid w:val="00D62081"/>
    <w:rsid w:val="00D62189"/>
    <w:rsid w:val="00D6218A"/>
    <w:rsid w:val="00D6219B"/>
    <w:rsid w:val="00D623EB"/>
    <w:rsid w:val="00D623F4"/>
    <w:rsid w:val="00D624D0"/>
    <w:rsid w:val="00D62883"/>
    <w:rsid w:val="00D628BD"/>
    <w:rsid w:val="00D6296B"/>
    <w:rsid w:val="00D62982"/>
    <w:rsid w:val="00D62C4B"/>
    <w:rsid w:val="00D62C98"/>
    <w:rsid w:val="00D62D28"/>
    <w:rsid w:val="00D62D61"/>
    <w:rsid w:val="00D62D97"/>
    <w:rsid w:val="00D62F05"/>
    <w:rsid w:val="00D62F6D"/>
    <w:rsid w:val="00D6335A"/>
    <w:rsid w:val="00D63568"/>
    <w:rsid w:val="00D6356D"/>
    <w:rsid w:val="00D635FD"/>
    <w:rsid w:val="00D63670"/>
    <w:rsid w:val="00D637A5"/>
    <w:rsid w:val="00D6380F"/>
    <w:rsid w:val="00D638EA"/>
    <w:rsid w:val="00D63973"/>
    <w:rsid w:val="00D63A2E"/>
    <w:rsid w:val="00D63A73"/>
    <w:rsid w:val="00D63BCB"/>
    <w:rsid w:val="00D63CC9"/>
    <w:rsid w:val="00D63CD4"/>
    <w:rsid w:val="00D641BE"/>
    <w:rsid w:val="00D642BD"/>
    <w:rsid w:val="00D642DD"/>
    <w:rsid w:val="00D64465"/>
    <w:rsid w:val="00D64566"/>
    <w:rsid w:val="00D64583"/>
    <w:rsid w:val="00D649B0"/>
    <w:rsid w:val="00D64B7B"/>
    <w:rsid w:val="00D64B7C"/>
    <w:rsid w:val="00D64FA0"/>
    <w:rsid w:val="00D65072"/>
    <w:rsid w:val="00D6508C"/>
    <w:rsid w:val="00D65257"/>
    <w:rsid w:val="00D65263"/>
    <w:rsid w:val="00D6526D"/>
    <w:rsid w:val="00D65578"/>
    <w:rsid w:val="00D657E1"/>
    <w:rsid w:val="00D65950"/>
    <w:rsid w:val="00D65A23"/>
    <w:rsid w:val="00D65A7B"/>
    <w:rsid w:val="00D65AE8"/>
    <w:rsid w:val="00D65C9F"/>
    <w:rsid w:val="00D65EB8"/>
    <w:rsid w:val="00D65F1F"/>
    <w:rsid w:val="00D65F6A"/>
    <w:rsid w:val="00D66017"/>
    <w:rsid w:val="00D6605F"/>
    <w:rsid w:val="00D66134"/>
    <w:rsid w:val="00D661A6"/>
    <w:rsid w:val="00D662AA"/>
    <w:rsid w:val="00D662BF"/>
    <w:rsid w:val="00D66404"/>
    <w:rsid w:val="00D66519"/>
    <w:rsid w:val="00D66560"/>
    <w:rsid w:val="00D66573"/>
    <w:rsid w:val="00D666BE"/>
    <w:rsid w:val="00D669F1"/>
    <w:rsid w:val="00D66B31"/>
    <w:rsid w:val="00D66C1D"/>
    <w:rsid w:val="00D66D54"/>
    <w:rsid w:val="00D672AA"/>
    <w:rsid w:val="00D67332"/>
    <w:rsid w:val="00D67656"/>
    <w:rsid w:val="00D6766F"/>
    <w:rsid w:val="00D67793"/>
    <w:rsid w:val="00D677BB"/>
    <w:rsid w:val="00D67868"/>
    <w:rsid w:val="00D67908"/>
    <w:rsid w:val="00D67ADE"/>
    <w:rsid w:val="00D67D57"/>
    <w:rsid w:val="00D67EF8"/>
    <w:rsid w:val="00D67F76"/>
    <w:rsid w:val="00D70023"/>
    <w:rsid w:val="00D7025E"/>
    <w:rsid w:val="00D7031B"/>
    <w:rsid w:val="00D7041C"/>
    <w:rsid w:val="00D70790"/>
    <w:rsid w:val="00D707A4"/>
    <w:rsid w:val="00D708CE"/>
    <w:rsid w:val="00D70A9E"/>
    <w:rsid w:val="00D70CE7"/>
    <w:rsid w:val="00D710D4"/>
    <w:rsid w:val="00D71158"/>
    <w:rsid w:val="00D712DC"/>
    <w:rsid w:val="00D71364"/>
    <w:rsid w:val="00D7137D"/>
    <w:rsid w:val="00D713ED"/>
    <w:rsid w:val="00D7143D"/>
    <w:rsid w:val="00D7143E"/>
    <w:rsid w:val="00D71479"/>
    <w:rsid w:val="00D71540"/>
    <w:rsid w:val="00D7162B"/>
    <w:rsid w:val="00D7166F"/>
    <w:rsid w:val="00D716D3"/>
    <w:rsid w:val="00D716E5"/>
    <w:rsid w:val="00D71DA7"/>
    <w:rsid w:val="00D71FC7"/>
    <w:rsid w:val="00D72064"/>
    <w:rsid w:val="00D72330"/>
    <w:rsid w:val="00D72415"/>
    <w:rsid w:val="00D72602"/>
    <w:rsid w:val="00D726E5"/>
    <w:rsid w:val="00D726FA"/>
    <w:rsid w:val="00D7276B"/>
    <w:rsid w:val="00D728D9"/>
    <w:rsid w:val="00D728EA"/>
    <w:rsid w:val="00D72D45"/>
    <w:rsid w:val="00D72E22"/>
    <w:rsid w:val="00D731F9"/>
    <w:rsid w:val="00D733E1"/>
    <w:rsid w:val="00D734DA"/>
    <w:rsid w:val="00D73619"/>
    <w:rsid w:val="00D739E8"/>
    <w:rsid w:val="00D73A34"/>
    <w:rsid w:val="00D73A5E"/>
    <w:rsid w:val="00D73B22"/>
    <w:rsid w:val="00D73D74"/>
    <w:rsid w:val="00D73E0C"/>
    <w:rsid w:val="00D740E6"/>
    <w:rsid w:val="00D74244"/>
    <w:rsid w:val="00D743CA"/>
    <w:rsid w:val="00D745B8"/>
    <w:rsid w:val="00D745DD"/>
    <w:rsid w:val="00D74704"/>
    <w:rsid w:val="00D748B5"/>
    <w:rsid w:val="00D74D07"/>
    <w:rsid w:val="00D74D80"/>
    <w:rsid w:val="00D74EF5"/>
    <w:rsid w:val="00D74F0A"/>
    <w:rsid w:val="00D74F1E"/>
    <w:rsid w:val="00D752DB"/>
    <w:rsid w:val="00D753B6"/>
    <w:rsid w:val="00D753C9"/>
    <w:rsid w:val="00D755EA"/>
    <w:rsid w:val="00D756A2"/>
    <w:rsid w:val="00D756E8"/>
    <w:rsid w:val="00D75B54"/>
    <w:rsid w:val="00D75B78"/>
    <w:rsid w:val="00D75D68"/>
    <w:rsid w:val="00D75E88"/>
    <w:rsid w:val="00D75F00"/>
    <w:rsid w:val="00D75F55"/>
    <w:rsid w:val="00D75F89"/>
    <w:rsid w:val="00D76014"/>
    <w:rsid w:val="00D76230"/>
    <w:rsid w:val="00D763B9"/>
    <w:rsid w:val="00D7640C"/>
    <w:rsid w:val="00D76704"/>
    <w:rsid w:val="00D76804"/>
    <w:rsid w:val="00D76904"/>
    <w:rsid w:val="00D76A9A"/>
    <w:rsid w:val="00D76D95"/>
    <w:rsid w:val="00D76F93"/>
    <w:rsid w:val="00D772F6"/>
    <w:rsid w:val="00D77329"/>
    <w:rsid w:val="00D77463"/>
    <w:rsid w:val="00D77600"/>
    <w:rsid w:val="00D777D2"/>
    <w:rsid w:val="00D778AC"/>
    <w:rsid w:val="00D77931"/>
    <w:rsid w:val="00D77989"/>
    <w:rsid w:val="00D77C7F"/>
    <w:rsid w:val="00D77CC7"/>
    <w:rsid w:val="00D77D34"/>
    <w:rsid w:val="00D77D82"/>
    <w:rsid w:val="00D77F81"/>
    <w:rsid w:val="00D8018B"/>
    <w:rsid w:val="00D8043D"/>
    <w:rsid w:val="00D8071A"/>
    <w:rsid w:val="00D80923"/>
    <w:rsid w:val="00D80926"/>
    <w:rsid w:val="00D809A2"/>
    <w:rsid w:val="00D80AB1"/>
    <w:rsid w:val="00D80AF3"/>
    <w:rsid w:val="00D80CAF"/>
    <w:rsid w:val="00D80D0E"/>
    <w:rsid w:val="00D812A2"/>
    <w:rsid w:val="00D812F2"/>
    <w:rsid w:val="00D81412"/>
    <w:rsid w:val="00D81699"/>
    <w:rsid w:val="00D8191D"/>
    <w:rsid w:val="00D81B63"/>
    <w:rsid w:val="00D81BFB"/>
    <w:rsid w:val="00D81F72"/>
    <w:rsid w:val="00D8215A"/>
    <w:rsid w:val="00D8216C"/>
    <w:rsid w:val="00D8229A"/>
    <w:rsid w:val="00D82785"/>
    <w:rsid w:val="00D827A3"/>
    <w:rsid w:val="00D8281B"/>
    <w:rsid w:val="00D82888"/>
    <w:rsid w:val="00D82AB1"/>
    <w:rsid w:val="00D82B0F"/>
    <w:rsid w:val="00D82C2C"/>
    <w:rsid w:val="00D82FEE"/>
    <w:rsid w:val="00D830C5"/>
    <w:rsid w:val="00D83408"/>
    <w:rsid w:val="00D83533"/>
    <w:rsid w:val="00D8370E"/>
    <w:rsid w:val="00D83731"/>
    <w:rsid w:val="00D83A06"/>
    <w:rsid w:val="00D83C0C"/>
    <w:rsid w:val="00D83CA0"/>
    <w:rsid w:val="00D83DA6"/>
    <w:rsid w:val="00D83DA8"/>
    <w:rsid w:val="00D8427E"/>
    <w:rsid w:val="00D843C2"/>
    <w:rsid w:val="00D843D9"/>
    <w:rsid w:val="00D845D8"/>
    <w:rsid w:val="00D84761"/>
    <w:rsid w:val="00D84780"/>
    <w:rsid w:val="00D848E5"/>
    <w:rsid w:val="00D848EC"/>
    <w:rsid w:val="00D8490C"/>
    <w:rsid w:val="00D84A6A"/>
    <w:rsid w:val="00D84A97"/>
    <w:rsid w:val="00D84B47"/>
    <w:rsid w:val="00D84E82"/>
    <w:rsid w:val="00D84ECE"/>
    <w:rsid w:val="00D85028"/>
    <w:rsid w:val="00D85043"/>
    <w:rsid w:val="00D85060"/>
    <w:rsid w:val="00D8508C"/>
    <w:rsid w:val="00D855F3"/>
    <w:rsid w:val="00D85758"/>
    <w:rsid w:val="00D8578E"/>
    <w:rsid w:val="00D857EC"/>
    <w:rsid w:val="00D859FA"/>
    <w:rsid w:val="00D85D42"/>
    <w:rsid w:val="00D85EB2"/>
    <w:rsid w:val="00D85F70"/>
    <w:rsid w:val="00D85FD7"/>
    <w:rsid w:val="00D860E0"/>
    <w:rsid w:val="00D86262"/>
    <w:rsid w:val="00D862FA"/>
    <w:rsid w:val="00D8638D"/>
    <w:rsid w:val="00D8676B"/>
    <w:rsid w:val="00D868C9"/>
    <w:rsid w:val="00D869B1"/>
    <w:rsid w:val="00D869F7"/>
    <w:rsid w:val="00D86A11"/>
    <w:rsid w:val="00D86ED9"/>
    <w:rsid w:val="00D86EEE"/>
    <w:rsid w:val="00D871A1"/>
    <w:rsid w:val="00D8775F"/>
    <w:rsid w:val="00D8797C"/>
    <w:rsid w:val="00D87A36"/>
    <w:rsid w:val="00D87A7B"/>
    <w:rsid w:val="00D87C8D"/>
    <w:rsid w:val="00D87CD2"/>
    <w:rsid w:val="00D87D11"/>
    <w:rsid w:val="00D87D1A"/>
    <w:rsid w:val="00D87D7D"/>
    <w:rsid w:val="00D87DA1"/>
    <w:rsid w:val="00D87F1F"/>
    <w:rsid w:val="00D87F35"/>
    <w:rsid w:val="00D90101"/>
    <w:rsid w:val="00D90169"/>
    <w:rsid w:val="00D901CC"/>
    <w:rsid w:val="00D9035D"/>
    <w:rsid w:val="00D903BC"/>
    <w:rsid w:val="00D90470"/>
    <w:rsid w:val="00D90508"/>
    <w:rsid w:val="00D906C9"/>
    <w:rsid w:val="00D90C00"/>
    <w:rsid w:val="00D90F2B"/>
    <w:rsid w:val="00D90F3A"/>
    <w:rsid w:val="00D90FB8"/>
    <w:rsid w:val="00D911A8"/>
    <w:rsid w:val="00D91291"/>
    <w:rsid w:val="00D912E0"/>
    <w:rsid w:val="00D913C7"/>
    <w:rsid w:val="00D91477"/>
    <w:rsid w:val="00D914CB"/>
    <w:rsid w:val="00D915B1"/>
    <w:rsid w:val="00D916A8"/>
    <w:rsid w:val="00D9178B"/>
    <w:rsid w:val="00D91923"/>
    <w:rsid w:val="00D91992"/>
    <w:rsid w:val="00D919B1"/>
    <w:rsid w:val="00D91A3D"/>
    <w:rsid w:val="00D91D09"/>
    <w:rsid w:val="00D91E02"/>
    <w:rsid w:val="00D91F40"/>
    <w:rsid w:val="00D92081"/>
    <w:rsid w:val="00D920DD"/>
    <w:rsid w:val="00D9216B"/>
    <w:rsid w:val="00D9216F"/>
    <w:rsid w:val="00D9225F"/>
    <w:rsid w:val="00D9233A"/>
    <w:rsid w:val="00D9262A"/>
    <w:rsid w:val="00D92877"/>
    <w:rsid w:val="00D92960"/>
    <w:rsid w:val="00D92B20"/>
    <w:rsid w:val="00D93107"/>
    <w:rsid w:val="00D93249"/>
    <w:rsid w:val="00D933AC"/>
    <w:rsid w:val="00D93495"/>
    <w:rsid w:val="00D934E0"/>
    <w:rsid w:val="00D93557"/>
    <w:rsid w:val="00D9362F"/>
    <w:rsid w:val="00D9365D"/>
    <w:rsid w:val="00D936E4"/>
    <w:rsid w:val="00D937CB"/>
    <w:rsid w:val="00D937FB"/>
    <w:rsid w:val="00D93864"/>
    <w:rsid w:val="00D938BF"/>
    <w:rsid w:val="00D93B2A"/>
    <w:rsid w:val="00D93C35"/>
    <w:rsid w:val="00D93CBA"/>
    <w:rsid w:val="00D93E05"/>
    <w:rsid w:val="00D93E36"/>
    <w:rsid w:val="00D93ED5"/>
    <w:rsid w:val="00D94004"/>
    <w:rsid w:val="00D94144"/>
    <w:rsid w:val="00D9418D"/>
    <w:rsid w:val="00D942D4"/>
    <w:rsid w:val="00D94446"/>
    <w:rsid w:val="00D9452C"/>
    <w:rsid w:val="00D946CF"/>
    <w:rsid w:val="00D94723"/>
    <w:rsid w:val="00D9474E"/>
    <w:rsid w:val="00D94774"/>
    <w:rsid w:val="00D94B52"/>
    <w:rsid w:val="00D94E92"/>
    <w:rsid w:val="00D94FC2"/>
    <w:rsid w:val="00D94FD5"/>
    <w:rsid w:val="00D9500A"/>
    <w:rsid w:val="00D950AB"/>
    <w:rsid w:val="00D9530C"/>
    <w:rsid w:val="00D95414"/>
    <w:rsid w:val="00D95451"/>
    <w:rsid w:val="00D9549B"/>
    <w:rsid w:val="00D9574A"/>
    <w:rsid w:val="00D95765"/>
    <w:rsid w:val="00D95858"/>
    <w:rsid w:val="00D959D5"/>
    <w:rsid w:val="00D95A1A"/>
    <w:rsid w:val="00D95B73"/>
    <w:rsid w:val="00D95DE6"/>
    <w:rsid w:val="00D95E3F"/>
    <w:rsid w:val="00D96187"/>
    <w:rsid w:val="00D96257"/>
    <w:rsid w:val="00D9635B"/>
    <w:rsid w:val="00D96523"/>
    <w:rsid w:val="00D96603"/>
    <w:rsid w:val="00D96688"/>
    <w:rsid w:val="00D96985"/>
    <w:rsid w:val="00D96B33"/>
    <w:rsid w:val="00D96F1A"/>
    <w:rsid w:val="00D9714F"/>
    <w:rsid w:val="00D976DF"/>
    <w:rsid w:val="00D977AA"/>
    <w:rsid w:val="00D977DF"/>
    <w:rsid w:val="00D97913"/>
    <w:rsid w:val="00D979BE"/>
    <w:rsid w:val="00D97AEE"/>
    <w:rsid w:val="00D97AF3"/>
    <w:rsid w:val="00D97BE5"/>
    <w:rsid w:val="00D97FEF"/>
    <w:rsid w:val="00DA00AC"/>
    <w:rsid w:val="00DA027D"/>
    <w:rsid w:val="00DA02B4"/>
    <w:rsid w:val="00DA02FE"/>
    <w:rsid w:val="00DA02FF"/>
    <w:rsid w:val="00DA049E"/>
    <w:rsid w:val="00DA08F5"/>
    <w:rsid w:val="00DA0A5A"/>
    <w:rsid w:val="00DA0A8D"/>
    <w:rsid w:val="00DA0AAC"/>
    <w:rsid w:val="00DA0C0E"/>
    <w:rsid w:val="00DA0C94"/>
    <w:rsid w:val="00DA0CDF"/>
    <w:rsid w:val="00DA0D1C"/>
    <w:rsid w:val="00DA0EEA"/>
    <w:rsid w:val="00DA10E4"/>
    <w:rsid w:val="00DA1170"/>
    <w:rsid w:val="00DA1240"/>
    <w:rsid w:val="00DA12B4"/>
    <w:rsid w:val="00DA12CE"/>
    <w:rsid w:val="00DA13A5"/>
    <w:rsid w:val="00DA13F1"/>
    <w:rsid w:val="00DA142B"/>
    <w:rsid w:val="00DA1541"/>
    <w:rsid w:val="00DA1725"/>
    <w:rsid w:val="00DA18FC"/>
    <w:rsid w:val="00DA1A27"/>
    <w:rsid w:val="00DA1B6C"/>
    <w:rsid w:val="00DA1B70"/>
    <w:rsid w:val="00DA1CF1"/>
    <w:rsid w:val="00DA1EE9"/>
    <w:rsid w:val="00DA1F96"/>
    <w:rsid w:val="00DA20D8"/>
    <w:rsid w:val="00DA2191"/>
    <w:rsid w:val="00DA219C"/>
    <w:rsid w:val="00DA21CC"/>
    <w:rsid w:val="00DA23F2"/>
    <w:rsid w:val="00DA241F"/>
    <w:rsid w:val="00DA24E2"/>
    <w:rsid w:val="00DA2587"/>
    <w:rsid w:val="00DA25EE"/>
    <w:rsid w:val="00DA25F9"/>
    <w:rsid w:val="00DA2843"/>
    <w:rsid w:val="00DA2937"/>
    <w:rsid w:val="00DA2BFD"/>
    <w:rsid w:val="00DA2C32"/>
    <w:rsid w:val="00DA2F5F"/>
    <w:rsid w:val="00DA36B6"/>
    <w:rsid w:val="00DA3705"/>
    <w:rsid w:val="00DA3733"/>
    <w:rsid w:val="00DA37F0"/>
    <w:rsid w:val="00DA3804"/>
    <w:rsid w:val="00DA3A95"/>
    <w:rsid w:val="00DA3B19"/>
    <w:rsid w:val="00DA3B55"/>
    <w:rsid w:val="00DA3CB4"/>
    <w:rsid w:val="00DA3EB8"/>
    <w:rsid w:val="00DA404B"/>
    <w:rsid w:val="00DA4423"/>
    <w:rsid w:val="00DA4442"/>
    <w:rsid w:val="00DA453B"/>
    <w:rsid w:val="00DA4570"/>
    <w:rsid w:val="00DA45EE"/>
    <w:rsid w:val="00DA477D"/>
    <w:rsid w:val="00DA4926"/>
    <w:rsid w:val="00DA494D"/>
    <w:rsid w:val="00DA49DF"/>
    <w:rsid w:val="00DA49F8"/>
    <w:rsid w:val="00DA4BC4"/>
    <w:rsid w:val="00DA4C69"/>
    <w:rsid w:val="00DA4EBE"/>
    <w:rsid w:val="00DA50D0"/>
    <w:rsid w:val="00DA5121"/>
    <w:rsid w:val="00DA51CC"/>
    <w:rsid w:val="00DA51ED"/>
    <w:rsid w:val="00DA51F9"/>
    <w:rsid w:val="00DA521D"/>
    <w:rsid w:val="00DA5379"/>
    <w:rsid w:val="00DA5399"/>
    <w:rsid w:val="00DA5470"/>
    <w:rsid w:val="00DA559A"/>
    <w:rsid w:val="00DA55B8"/>
    <w:rsid w:val="00DA5712"/>
    <w:rsid w:val="00DA59CC"/>
    <w:rsid w:val="00DA5A5A"/>
    <w:rsid w:val="00DA5B95"/>
    <w:rsid w:val="00DA5C09"/>
    <w:rsid w:val="00DA5CB5"/>
    <w:rsid w:val="00DA5D56"/>
    <w:rsid w:val="00DA5F75"/>
    <w:rsid w:val="00DA6120"/>
    <w:rsid w:val="00DA64D2"/>
    <w:rsid w:val="00DA6563"/>
    <w:rsid w:val="00DA67EF"/>
    <w:rsid w:val="00DA6A51"/>
    <w:rsid w:val="00DA6E43"/>
    <w:rsid w:val="00DA6EB1"/>
    <w:rsid w:val="00DA6F10"/>
    <w:rsid w:val="00DA730B"/>
    <w:rsid w:val="00DA7514"/>
    <w:rsid w:val="00DA7646"/>
    <w:rsid w:val="00DA787C"/>
    <w:rsid w:val="00DA78B8"/>
    <w:rsid w:val="00DA790F"/>
    <w:rsid w:val="00DA793E"/>
    <w:rsid w:val="00DA7A2A"/>
    <w:rsid w:val="00DA7B1F"/>
    <w:rsid w:val="00DA7B34"/>
    <w:rsid w:val="00DA7CD8"/>
    <w:rsid w:val="00DB00DE"/>
    <w:rsid w:val="00DB0214"/>
    <w:rsid w:val="00DB02B0"/>
    <w:rsid w:val="00DB033A"/>
    <w:rsid w:val="00DB0579"/>
    <w:rsid w:val="00DB063E"/>
    <w:rsid w:val="00DB0D48"/>
    <w:rsid w:val="00DB0D9C"/>
    <w:rsid w:val="00DB1102"/>
    <w:rsid w:val="00DB114A"/>
    <w:rsid w:val="00DB11B3"/>
    <w:rsid w:val="00DB12DA"/>
    <w:rsid w:val="00DB1334"/>
    <w:rsid w:val="00DB13E7"/>
    <w:rsid w:val="00DB1480"/>
    <w:rsid w:val="00DB151B"/>
    <w:rsid w:val="00DB1528"/>
    <w:rsid w:val="00DB16F5"/>
    <w:rsid w:val="00DB17A6"/>
    <w:rsid w:val="00DB1814"/>
    <w:rsid w:val="00DB1B4E"/>
    <w:rsid w:val="00DB20E7"/>
    <w:rsid w:val="00DB216F"/>
    <w:rsid w:val="00DB2261"/>
    <w:rsid w:val="00DB2312"/>
    <w:rsid w:val="00DB23AE"/>
    <w:rsid w:val="00DB26B2"/>
    <w:rsid w:val="00DB274E"/>
    <w:rsid w:val="00DB278D"/>
    <w:rsid w:val="00DB2826"/>
    <w:rsid w:val="00DB2933"/>
    <w:rsid w:val="00DB2A1A"/>
    <w:rsid w:val="00DB2B45"/>
    <w:rsid w:val="00DB2B67"/>
    <w:rsid w:val="00DB2B78"/>
    <w:rsid w:val="00DB2F28"/>
    <w:rsid w:val="00DB3081"/>
    <w:rsid w:val="00DB30BF"/>
    <w:rsid w:val="00DB3122"/>
    <w:rsid w:val="00DB320A"/>
    <w:rsid w:val="00DB326F"/>
    <w:rsid w:val="00DB3472"/>
    <w:rsid w:val="00DB34DF"/>
    <w:rsid w:val="00DB34E8"/>
    <w:rsid w:val="00DB3552"/>
    <w:rsid w:val="00DB358C"/>
    <w:rsid w:val="00DB35D2"/>
    <w:rsid w:val="00DB3760"/>
    <w:rsid w:val="00DB37B9"/>
    <w:rsid w:val="00DB37DA"/>
    <w:rsid w:val="00DB385E"/>
    <w:rsid w:val="00DB38CA"/>
    <w:rsid w:val="00DB3A9D"/>
    <w:rsid w:val="00DB3B10"/>
    <w:rsid w:val="00DB3B9D"/>
    <w:rsid w:val="00DB3C75"/>
    <w:rsid w:val="00DB3E14"/>
    <w:rsid w:val="00DB457B"/>
    <w:rsid w:val="00DB4621"/>
    <w:rsid w:val="00DB467E"/>
    <w:rsid w:val="00DB4745"/>
    <w:rsid w:val="00DB4757"/>
    <w:rsid w:val="00DB475F"/>
    <w:rsid w:val="00DB4786"/>
    <w:rsid w:val="00DB47CB"/>
    <w:rsid w:val="00DB4906"/>
    <w:rsid w:val="00DB4ACF"/>
    <w:rsid w:val="00DB4B66"/>
    <w:rsid w:val="00DB4B97"/>
    <w:rsid w:val="00DB4BA3"/>
    <w:rsid w:val="00DB4BE8"/>
    <w:rsid w:val="00DB4DFF"/>
    <w:rsid w:val="00DB4E6C"/>
    <w:rsid w:val="00DB507D"/>
    <w:rsid w:val="00DB50DE"/>
    <w:rsid w:val="00DB548E"/>
    <w:rsid w:val="00DB55C4"/>
    <w:rsid w:val="00DB56D3"/>
    <w:rsid w:val="00DB5C7C"/>
    <w:rsid w:val="00DB5E62"/>
    <w:rsid w:val="00DB5EBA"/>
    <w:rsid w:val="00DB5FED"/>
    <w:rsid w:val="00DB61D4"/>
    <w:rsid w:val="00DB622B"/>
    <w:rsid w:val="00DB62B6"/>
    <w:rsid w:val="00DB64C1"/>
    <w:rsid w:val="00DB650A"/>
    <w:rsid w:val="00DB6933"/>
    <w:rsid w:val="00DB693B"/>
    <w:rsid w:val="00DB6987"/>
    <w:rsid w:val="00DB6C5B"/>
    <w:rsid w:val="00DB6CE0"/>
    <w:rsid w:val="00DB712A"/>
    <w:rsid w:val="00DB723B"/>
    <w:rsid w:val="00DB738E"/>
    <w:rsid w:val="00DB73AC"/>
    <w:rsid w:val="00DB7507"/>
    <w:rsid w:val="00DB7848"/>
    <w:rsid w:val="00DB786B"/>
    <w:rsid w:val="00DB78AF"/>
    <w:rsid w:val="00DB7B2C"/>
    <w:rsid w:val="00DB7C66"/>
    <w:rsid w:val="00DB7CA7"/>
    <w:rsid w:val="00DB7CC4"/>
    <w:rsid w:val="00DB7D27"/>
    <w:rsid w:val="00DB7ED1"/>
    <w:rsid w:val="00DB7EFE"/>
    <w:rsid w:val="00DC0080"/>
    <w:rsid w:val="00DC00C2"/>
    <w:rsid w:val="00DC027F"/>
    <w:rsid w:val="00DC039A"/>
    <w:rsid w:val="00DC05F2"/>
    <w:rsid w:val="00DC0631"/>
    <w:rsid w:val="00DC07EB"/>
    <w:rsid w:val="00DC07FE"/>
    <w:rsid w:val="00DC0848"/>
    <w:rsid w:val="00DC093E"/>
    <w:rsid w:val="00DC0B2A"/>
    <w:rsid w:val="00DC0B5C"/>
    <w:rsid w:val="00DC0C3E"/>
    <w:rsid w:val="00DC0C69"/>
    <w:rsid w:val="00DC10AF"/>
    <w:rsid w:val="00DC1114"/>
    <w:rsid w:val="00DC126A"/>
    <w:rsid w:val="00DC13CA"/>
    <w:rsid w:val="00DC140D"/>
    <w:rsid w:val="00DC141A"/>
    <w:rsid w:val="00DC1440"/>
    <w:rsid w:val="00DC14D3"/>
    <w:rsid w:val="00DC1D5B"/>
    <w:rsid w:val="00DC1DBD"/>
    <w:rsid w:val="00DC1F38"/>
    <w:rsid w:val="00DC1F52"/>
    <w:rsid w:val="00DC2727"/>
    <w:rsid w:val="00DC28CE"/>
    <w:rsid w:val="00DC2993"/>
    <w:rsid w:val="00DC2A46"/>
    <w:rsid w:val="00DC2C51"/>
    <w:rsid w:val="00DC2CD6"/>
    <w:rsid w:val="00DC30D2"/>
    <w:rsid w:val="00DC3214"/>
    <w:rsid w:val="00DC3450"/>
    <w:rsid w:val="00DC355C"/>
    <w:rsid w:val="00DC3894"/>
    <w:rsid w:val="00DC3932"/>
    <w:rsid w:val="00DC3B4C"/>
    <w:rsid w:val="00DC3B79"/>
    <w:rsid w:val="00DC3DF6"/>
    <w:rsid w:val="00DC3F72"/>
    <w:rsid w:val="00DC403F"/>
    <w:rsid w:val="00DC4268"/>
    <w:rsid w:val="00DC4519"/>
    <w:rsid w:val="00DC4619"/>
    <w:rsid w:val="00DC46D9"/>
    <w:rsid w:val="00DC46F8"/>
    <w:rsid w:val="00DC486A"/>
    <w:rsid w:val="00DC4A0A"/>
    <w:rsid w:val="00DC4B83"/>
    <w:rsid w:val="00DC4C7C"/>
    <w:rsid w:val="00DC4E41"/>
    <w:rsid w:val="00DC4EC4"/>
    <w:rsid w:val="00DC4F88"/>
    <w:rsid w:val="00DC4FEF"/>
    <w:rsid w:val="00DC4FF8"/>
    <w:rsid w:val="00DC50F5"/>
    <w:rsid w:val="00DC51BB"/>
    <w:rsid w:val="00DC51CF"/>
    <w:rsid w:val="00DC5200"/>
    <w:rsid w:val="00DC53A0"/>
    <w:rsid w:val="00DC5486"/>
    <w:rsid w:val="00DC548A"/>
    <w:rsid w:val="00DC553A"/>
    <w:rsid w:val="00DC5612"/>
    <w:rsid w:val="00DC56AE"/>
    <w:rsid w:val="00DC56BD"/>
    <w:rsid w:val="00DC56E1"/>
    <w:rsid w:val="00DC5733"/>
    <w:rsid w:val="00DC58DB"/>
    <w:rsid w:val="00DC59CD"/>
    <w:rsid w:val="00DC59DE"/>
    <w:rsid w:val="00DC5A87"/>
    <w:rsid w:val="00DC5B80"/>
    <w:rsid w:val="00DC5D71"/>
    <w:rsid w:val="00DC5E26"/>
    <w:rsid w:val="00DC5FFD"/>
    <w:rsid w:val="00DC6270"/>
    <w:rsid w:val="00DC633B"/>
    <w:rsid w:val="00DC6533"/>
    <w:rsid w:val="00DC6700"/>
    <w:rsid w:val="00DC679B"/>
    <w:rsid w:val="00DC6875"/>
    <w:rsid w:val="00DC6A42"/>
    <w:rsid w:val="00DC6D4E"/>
    <w:rsid w:val="00DC6E39"/>
    <w:rsid w:val="00DC713D"/>
    <w:rsid w:val="00DC732D"/>
    <w:rsid w:val="00DC75FE"/>
    <w:rsid w:val="00DC767D"/>
    <w:rsid w:val="00DC768A"/>
    <w:rsid w:val="00DC7760"/>
    <w:rsid w:val="00DC777F"/>
    <w:rsid w:val="00DC786D"/>
    <w:rsid w:val="00DC7CC6"/>
    <w:rsid w:val="00DC7CCC"/>
    <w:rsid w:val="00DC7D1F"/>
    <w:rsid w:val="00DC7EA0"/>
    <w:rsid w:val="00DC7EC2"/>
    <w:rsid w:val="00DC7F10"/>
    <w:rsid w:val="00DC7FE9"/>
    <w:rsid w:val="00DD01DE"/>
    <w:rsid w:val="00DD023C"/>
    <w:rsid w:val="00DD04FE"/>
    <w:rsid w:val="00DD05EF"/>
    <w:rsid w:val="00DD0692"/>
    <w:rsid w:val="00DD0745"/>
    <w:rsid w:val="00DD077F"/>
    <w:rsid w:val="00DD07AA"/>
    <w:rsid w:val="00DD0823"/>
    <w:rsid w:val="00DD0828"/>
    <w:rsid w:val="00DD08D4"/>
    <w:rsid w:val="00DD08EE"/>
    <w:rsid w:val="00DD09A2"/>
    <w:rsid w:val="00DD0CA1"/>
    <w:rsid w:val="00DD0E67"/>
    <w:rsid w:val="00DD0F64"/>
    <w:rsid w:val="00DD0FF5"/>
    <w:rsid w:val="00DD13E7"/>
    <w:rsid w:val="00DD13FE"/>
    <w:rsid w:val="00DD177D"/>
    <w:rsid w:val="00DD1785"/>
    <w:rsid w:val="00DD1798"/>
    <w:rsid w:val="00DD1ADE"/>
    <w:rsid w:val="00DD1C12"/>
    <w:rsid w:val="00DD1C65"/>
    <w:rsid w:val="00DD1DB0"/>
    <w:rsid w:val="00DD1EC0"/>
    <w:rsid w:val="00DD20C9"/>
    <w:rsid w:val="00DD2260"/>
    <w:rsid w:val="00DD2302"/>
    <w:rsid w:val="00DD24EC"/>
    <w:rsid w:val="00DD2668"/>
    <w:rsid w:val="00DD2687"/>
    <w:rsid w:val="00DD2699"/>
    <w:rsid w:val="00DD27CF"/>
    <w:rsid w:val="00DD28B7"/>
    <w:rsid w:val="00DD2951"/>
    <w:rsid w:val="00DD29E3"/>
    <w:rsid w:val="00DD2A6F"/>
    <w:rsid w:val="00DD2B7E"/>
    <w:rsid w:val="00DD2D3D"/>
    <w:rsid w:val="00DD2F2D"/>
    <w:rsid w:val="00DD2F96"/>
    <w:rsid w:val="00DD3021"/>
    <w:rsid w:val="00DD3107"/>
    <w:rsid w:val="00DD3285"/>
    <w:rsid w:val="00DD3365"/>
    <w:rsid w:val="00DD3395"/>
    <w:rsid w:val="00DD3599"/>
    <w:rsid w:val="00DD3731"/>
    <w:rsid w:val="00DD3848"/>
    <w:rsid w:val="00DD3936"/>
    <w:rsid w:val="00DD3980"/>
    <w:rsid w:val="00DD39CF"/>
    <w:rsid w:val="00DD39DC"/>
    <w:rsid w:val="00DD3AA7"/>
    <w:rsid w:val="00DD3C74"/>
    <w:rsid w:val="00DD3C75"/>
    <w:rsid w:val="00DD3C92"/>
    <w:rsid w:val="00DD3D37"/>
    <w:rsid w:val="00DD3DE4"/>
    <w:rsid w:val="00DD42E2"/>
    <w:rsid w:val="00DD434F"/>
    <w:rsid w:val="00DD4494"/>
    <w:rsid w:val="00DD48A2"/>
    <w:rsid w:val="00DD48FC"/>
    <w:rsid w:val="00DD4994"/>
    <w:rsid w:val="00DD4A62"/>
    <w:rsid w:val="00DD4B6C"/>
    <w:rsid w:val="00DD4C8F"/>
    <w:rsid w:val="00DD4E00"/>
    <w:rsid w:val="00DD5090"/>
    <w:rsid w:val="00DD531E"/>
    <w:rsid w:val="00DD5514"/>
    <w:rsid w:val="00DD5529"/>
    <w:rsid w:val="00DD5835"/>
    <w:rsid w:val="00DD5922"/>
    <w:rsid w:val="00DD592F"/>
    <w:rsid w:val="00DD5A0E"/>
    <w:rsid w:val="00DD5ADB"/>
    <w:rsid w:val="00DD5D58"/>
    <w:rsid w:val="00DD5D96"/>
    <w:rsid w:val="00DD5DF5"/>
    <w:rsid w:val="00DD60F9"/>
    <w:rsid w:val="00DD6258"/>
    <w:rsid w:val="00DD6268"/>
    <w:rsid w:val="00DD635E"/>
    <w:rsid w:val="00DD637D"/>
    <w:rsid w:val="00DD67B6"/>
    <w:rsid w:val="00DD68AB"/>
    <w:rsid w:val="00DD6B65"/>
    <w:rsid w:val="00DD6FEC"/>
    <w:rsid w:val="00DD71C3"/>
    <w:rsid w:val="00DD7203"/>
    <w:rsid w:val="00DD72DB"/>
    <w:rsid w:val="00DD746B"/>
    <w:rsid w:val="00DD7665"/>
    <w:rsid w:val="00DD77C9"/>
    <w:rsid w:val="00DD7AD2"/>
    <w:rsid w:val="00DD7B20"/>
    <w:rsid w:val="00DD7B54"/>
    <w:rsid w:val="00DD7CD0"/>
    <w:rsid w:val="00DD7E30"/>
    <w:rsid w:val="00DE00BB"/>
    <w:rsid w:val="00DE01AC"/>
    <w:rsid w:val="00DE01ED"/>
    <w:rsid w:val="00DE039E"/>
    <w:rsid w:val="00DE04B2"/>
    <w:rsid w:val="00DE0682"/>
    <w:rsid w:val="00DE09AD"/>
    <w:rsid w:val="00DE0B9C"/>
    <w:rsid w:val="00DE0C8E"/>
    <w:rsid w:val="00DE0D3C"/>
    <w:rsid w:val="00DE0ECD"/>
    <w:rsid w:val="00DE0FC1"/>
    <w:rsid w:val="00DE107A"/>
    <w:rsid w:val="00DE10CB"/>
    <w:rsid w:val="00DE1192"/>
    <w:rsid w:val="00DE1227"/>
    <w:rsid w:val="00DE1245"/>
    <w:rsid w:val="00DE1309"/>
    <w:rsid w:val="00DE1478"/>
    <w:rsid w:val="00DE151D"/>
    <w:rsid w:val="00DE153D"/>
    <w:rsid w:val="00DE1570"/>
    <w:rsid w:val="00DE16AD"/>
    <w:rsid w:val="00DE19AE"/>
    <w:rsid w:val="00DE1BA1"/>
    <w:rsid w:val="00DE1FDB"/>
    <w:rsid w:val="00DE2058"/>
    <w:rsid w:val="00DE219A"/>
    <w:rsid w:val="00DE219C"/>
    <w:rsid w:val="00DE2213"/>
    <w:rsid w:val="00DE2582"/>
    <w:rsid w:val="00DE2635"/>
    <w:rsid w:val="00DE2741"/>
    <w:rsid w:val="00DE2778"/>
    <w:rsid w:val="00DE2779"/>
    <w:rsid w:val="00DE28C8"/>
    <w:rsid w:val="00DE2A1A"/>
    <w:rsid w:val="00DE2D17"/>
    <w:rsid w:val="00DE2DDD"/>
    <w:rsid w:val="00DE2F05"/>
    <w:rsid w:val="00DE319F"/>
    <w:rsid w:val="00DE3254"/>
    <w:rsid w:val="00DE33B4"/>
    <w:rsid w:val="00DE33F7"/>
    <w:rsid w:val="00DE344F"/>
    <w:rsid w:val="00DE3462"/>
    <w:rsid w:val="00DE356B"/>
    <w:rsid w:val="00DE36AD"/>
    <w:rsid w:val="00DE3858"/>
    <w:rsid w:val="00DE39FB"/>
    <w:rsid w:val="00DE3A13"/>
    <w:rsid w:val="00DE3B83"/>
    <w:rsid w:val="00DE3C1A"/>
    <w:rsid w:val="00DE3C6B"/>
    <w:rsid w:val="00DE3E4F"/>
    <w:rsid w:val="00DE4028"/>
    <w:rsid w:val="00DE412A"/>
    <w:rsid w:val="00DE4263"/>
    <w:rsid w:val="00DE4297"/>
    <w:rsid w:val="00DE432D"/>
    <w:rsid w:val="00DE44B5"/>
    <w:rsid w:val="00DE4543"/>
    <w:rsid w:val="00DE4572"/>
    <w:rsid w:val="00DE45EF"/>
    <w:rsid w:val="00DE463D"/>
    <w:rsid w:val="00DE46AB"/>
    <w:rsid w:val="00DE4704"/>
    <w:rsid w:val="00DE48AD"/>
    <w:rsid w:val="00DE4A60"/>
    <w:rsid w:val="00DE4A8E"/>
    <w:rsid w:val="00DE4ABC"/>
    <w:rsid w:val="00DE4B6E"/>
    <w:rsid w:val="00DE4CCE"/>
    <w:rsid w:val="00DE4D31"/>
    <w:rsid w:val="00DE4DB6"/>
    <w:rsid w:val="00DE5105"/>
    <w:rsid w:val="00DE5384"/>
    <w:rsid w:val="00DE55A8"/>
    <w:rsid w:val="00DE5A40"/>
    <w:rsid w:val="00DE5A91"/>
    <w:rsid w:val="00DE5C3D"/>
    <w:rsid w:val="00DE5C9D"/>
    <w:rsid w:val="00DE5CC1"/>
    <w:rsid w:val="00DE5D3B"/>
    <w:rsid w:val="00DE5D98"/>
    <w:rsid w:val="00DE5DF1"/>
    <w:rsid w:val="00DE5E8C"/>
    <w:rsid w:val="00DE5EB7"/>
    <w:rsid w:val="00DE5FAD"/>
    <w:rsid w:val="00DE60E7"/>
    <w:rsid w:val="00DE6234"/>
    <w:rsid w:val="00DE6390"/>
    <w:rsid w:val="00DE666B"/>
    <w:rsid w:val="00DE6B18"/>
    <w:rsid w:val="00DE6B1B"/>
    <w:rsid w:val="00DE6EB4"/>
    <w:rsid w:val="00DE6EB7"/>
    <w:rsid w:val="00DE6EC5"/>
    <w:rsid w:val="00DE6F2A"/>
    <w:rsid w:val="00DE700E"/>
    <w:rsid w:val="00DE7211"/>
    <w:rsid w:val="00DE7344"/>
    <w:rsid w:val="00DE7420"/>
    <w:rsid w:val="00DE7449"/>
    <w:rsid w:val="00DE75CD"/>
    <w:rsid w:val="00DE761A"/>
    <w:rsid w:val="00DE77D5"/>
    <w:rsid w:val="00DE795D"/>
    <w:rsid w:val="00DE7A29"/>
    <w:rsid w:val="00DE7DFE"/>
    <w:rsid w:val="00DE7E69"/>
    <w:rsid w:val="00DE7F05"/>
    <w:rsid w:val="00DF0228"/>
    <w:rsid w:val="00DF0255"/>
    <w:rsid w:val="00DF0267"/>
    <w:rsid w:val="00DF03CC"/>
    <w:rsid w:val="00DF055B"/>
    <w:rsid w:val="00DF0CEF"/>
    <w:rsid w:val="00DF0ED6"/>
    <w:rsid w:val="00DF1086"/>
    <w:rsid w:val="00DF11E5"/>
    <w:rsid w:val="00DF12D0"/>
    <w:rsid w:val="00DF1347"/>
    <w:rsid w:val="00DF1361"/>
    <w:rsid w:val="00DF1556"/>
    <w:rsid w:val="00DF15D0"/>
    <w:rsid w:val="00DF1776"/>
    <w:rsid w:val="00DF1851"/>
    <w:rsid w:val="00DF1879"/>
    <w:rsid w:val="00DF1C50"/>
    <w:rsid w:val="00DF1C57"/>
    <w:rsid w:val="00DF1D2F"/>
    <w:rsid w:val="00DF1E5C"/>
    <w:rsid w:val="00DF1F3A"/>
    <w:rsid w:val="00DF205F"/>
    <w:rsid w:val="00DF2190"/>
    <w:rsid w:val="00DF2349"/>
    <w:rsid w:val="00DF24C1"/>
    <w:rsid w:val="00DF24E6"/>
    <w:rsid w:val="00DF27C3"/>
    <w:rsid w:val="00DF27D3"/>
    <w:rsid w:val="00DF2896"/>
    <w:rsid w:val="00DF2908"/>
    <w:rsid w:val="00DF2A1D"/>
    <w:rsid w:val="00DF2A42"/>
    <w:rsid w:val="00DF2AC7"/>
    <w:rsid w:val="00DF2BE7"/>
    <w:rsid w:val="00DF2BF0"/>
    <w:rsid w:val="00DF2D4A"/>
    <w:rsid w:val="00DF2E15"/>
    <w:rsid w:val="00DF2E43"/>
    <w:rsid w:val="00DF2F0C"/>
    <w:rsid w:val="00DF316B"/>
    <w:rsid w:val="00DF348D"/>
    <w:rsid w:val="00DF35DD"/>
    <w:rsid w:val="00DF3631"/>
    <w:rsid w:val="00DF36A4"/>
    <w:rsid w:val="00DF3722"/>
    <w:rsid w:val="00DF37B0"/>
    <w:rsid w:val="00DF3B41"/>
    <w:rsid w:val="00DF3C28"/>
    <w:rsid w:val="00DF3E2F"/>
    <w:rsid w:val="00DF3E4D"/>
    <w:rsid w:val="00DF3F3C"/>
    <w:rsid w:val="00DF41EF"/>
    <w:rsid w:val="00DF4446"/>
    <w:rsid w:val="00DF4490"/>
    <w:rsid w:val="00DF4493"/>
    <w:rsid w:val="00DF449F"/>
    <w:rsid w:val="00DF45C5"/>
    <w:rsid w:val="00DF4640"/>
    <w:rsid w:val="00DF46EC"/>
    <w:rsid w:val="00DF4795"/>
    <w:rsid w:val="00DF494D"/>
    <w:rsid w:val="00DF4955"/>
    <w:rsid w:val="00DF4B0E"/>
    <w:rsid w:val="00DF4C12"/>
    <w:rsid w:val="00DF4E4A"/>
    <w:rsid w:val="00DF4EAA"/>
    <w:rsid w:val="00DF4FE8"/>
    <w:rsid w:val="00DF509D"/>
    <w:rsid w:val="00DF5187"/>
    <w:rsid w:val="00DF54CC"/>
    <w:rsid w:val="00DF550F"/>
    <w:rsid w:val="00DF55E3"/>
    <w:rsid w:val="00DF564F"/>
    <w:rsid w:val="00DF567C"/>
    <w:rsid w:val="00DF59AA"/>
    <w:rsid w:val="00DF5A5C"/>
    <w:rsid w:val="00DF5B5B"/>
    <w:rsid w:val="00DF5B63"/>
    <w:rsid w:val="00DF5DCE"/>
    <w:rsid w:val="00DF610B"/>
    <w:rsid w:val="00DF61BB"/>
    <w:rsid w:val="00DF61C8"/>
    <w:rsid w:val="00DF620A"/>
    <w:rsid w:val="00DF64DF"/>
    <w:rsid w:val="00DF64FF"/>
    <w:rsid w:val="00DF6753"/>
    <w:rsid w:val="00DF67B3"/>
    <w:rsid w:val="00DF67DF"/>
    <w:rsid w:val="00DF6830"/>
    <w:rsid w:val="00DF6923"/>
    <w:rsid w:val="00DF6996"/>
    <w:rsid w:val="00DF6A0F"/>
    <w:rsid w:val="00DF6A43"/>
    <w:rsid w:val="00DF6BDC"/>
    <w:rsid w:val="00DF6C29"/>
    <w:rsid w:val="00DF6C7C"/>
    <w:rsid w:val="00DF6F67"/>
    <w:rsid w:val="00DF719A"/>
    <w:rsid w:val="00DF7382"/>
    <w:rsid w:val="00DF77F3"/>
    <w:rsid w:val="00DF7C19"/>
    <w:rsid w:val="00DF7CA9"/>
    <w:rsid w:val="00DF7D06"/>
    <w:rsid w:val="00DF7D65"/>
    <w:rsid w:val="00DF7DF8"/>
    <w:rsid w:val="00E0012D"/>
    <w:rsid w:val="00E0027A"/>
    <w:rsid w:val="00E00294"/>
    <w:rsid w:val="00E00300"/>
    <w:rsid w:val="00E00373"/>
    <w:rsid w:val="00E0038D"/>
    <w:rsid w:val="00E003B4"/>
    <w:rsid w:val="00E004B3"/>
    <w:rsid w:val="00E004D7"/>
    <w:rsid w:val="00E005CE"/>
    <w:rsid w:val="00E005E5"/>
    <w:rsid w:val="00E0069F"/>
    <w:rsid w:val="00E006D7"/>
    <w:rsid w:val="00E00743"/>
    <w:rsid w:val="00E00793"/>
    <w:rsid w:val="00E00811"/>
    <w:rsid w:val="00E0096F"/>
    <w:rsid w:val="00E00A77"/>
    <w:rsid w:val="00E00A8F"/>
    <w:rsid w:val="00E00B48"/>
    <w:rsid w:val="00E00BF9"/>
    <w:rsid w:val="00E00C41"/>
    <w:rsid w:val="00E00C89"/>
    <w:rsid w:val="00E00D6D"/>
    <w:rsid w:val="00E00E27"/>
    <w:rsid w:val="00E00E97"/>
    <w:rsid w:val="00E00EDE"/>
    <w:rsid w:val="00E00F3A"/>
    <w:rsid w:val="00E00FFA"/>
    <w:rsid w:val="00E01767"/>
    <w:rsid w:val="00E017E8"/>
    <w:rsid w:val="00E018E9"/>
    <w:rsid w:val="00E018EE"/>
    <w:rsid w:val="00E01AF5"/>
    <w:rsid w:val="00E01BBE"/>
    <w:rsid w:val="00E01CC3"/>
    <w:rsid w:val="00E01D47"/>
    <w:rsid w:val="00E01D6C"/>
    <w:rsid w:val="00E01F0C"/>
    <w:rsid w:val="00E01F3D"/>
    <w:rsid w:val="00E02134"/>
    <w:rsid w:val="00E0222C"/>
    <w:rsid w:val="00E0224B"/>
    <w:rsid w:val="00E02285"/>
    <w:rsid w:val="00E02301"/>
    <w:rsid w:val="00E0237C"/>
    <w:rsid w:val="00E023E2"/>
    <w:rsid w:val="00E0247D"/>
    <w:rsid w:val="00E024F6"/>
    <w:rsid w:val="00E02985"/>
    <w:rsid w:val="00E029E1"/>
    <w:rsid w:val="00E02BD4"/>
    <w:rsid w:val="00E02C0D"/>
    <w:rsid w:val="00E02D02"/>
    <w:rsid w:val="00E02DC0"/>
    <w:rsid w:val="00E03081"/>
    <w:rsid w:val="00E03268"/>
    <w:rsid w:val="00E032EB"/>
    <w:rsid w:val="00E03503"/>
    <w:rsid w:val="00E035DA"/>
    <w:rsid w:val="00E036B4"/>
    <w:rsid w:val="00E036CD"/>
    <w:rsid w:val="00E0371D"/>
    <w:rsid w:val="00E0377B"/>
    <w:rsid w:val="00E0382E"/>
    <w:rsid w:val="00E038AD"/>
    <w:rsid w:val="00E0391E"/>
    <w:rsid w:val="00E03921"/>
    <w:rsid w:val="00E03929"/>
    <w:rsid w:val="00E03AA4"/>
    <w:rsid w:val="00E03AD8"/>
    <w:rsid w:val="00E03DC8"/>
    <w:rsid w:val="00E03FE8"/>
    <w:rsid w:val="00E03FF3"/>
    <w:rsid w:val="00E041A3"/>
    <w:rsid w:val="00E04483"/>
    <w:rsid w:val="00E044F4"/>
    <w:rsid w:val="00E049FB"/>
    <w:rsid w:val="00E04DEC"/>
    <w:rsid w:val="00E04F1F"/>
    <w:rsid w:val="00E05083"/>
    <w:rsid w:val="00E05262"/>
    <w:rsid w:val="00E0596A"/>
    <w:rsid w:val="00E05C10"/>
    <w:rsid w:val="00E05C68"/>
    <w:rsid w:val="00E05F05"/>
    <w:rsid w:val="00E0605C"/>
    <w:rsid w:val="00E06307"/>
    <w:rsid w:val="00E0635A"/>
    <w:rsid w:val="00E0644A"/>
    <w:rsid w:val="00E06484"/>
    <w:rsid w:val="00E06507"/>
    <w:rsid w:val="00E06524"/>
    <w:rsid w:val="00E065BF"/>
    <w:rsid w:val="00E06785"/>
    <w:rsid w:val="00E06A44"/>
    <w:rsid w:val="00E06C85"/>
    <w:rsid w:val="00E06ECF"/>
    <w:rsid w:val="00E06FA9"/>
    <w:rsid w:val="00E07022"/>
    <w:rsid w:val="00E070FE"/>
    <w:rsid w:val="00E07679"/>
    <w:rsid w:val="00E079BC"/>
    <w:rsid w:val="00E079F0"/>
    <w:rsid w:val="00E07A98"/>
    <w:rsid w:val="00E07E82"/>
    <w:rsid w:val="00E07F68"/>
    <w:rsid w:val="00E10259"/>
    <w:rsid w:val="00E102BA"/>
    <w:rsid w:val="00E10367"/>
    <w:rsid w:val="00E107EF"/>
    <w:rsid w:val="00E109F7"/>
    <w:rsid w:val="00E10AA4"/>
    <w:rsid w:val="00E10CE7"/>
    <w:rsid w:val="00E10D9F"/>
    <w:rsid w:val="00E11022"/>
    <w:rsid w:val="00E11179"/>
    <w:rsid w:val="00E11234"/>
    <w:rsid w:val="00E1128F"/>
    <w:rsid w:val="00E11290"/>
    <w:rsid w:val="00E11753"/>
    <w:rsid w:val="00E11756"/>
    <w:rsid w:val="00E118E5"/>
    <w:rsid w:val="00E11916"/>
    <w:rsid w:val="00E119D0"/>
    <w:rsid w:val="00E119F4"/>
    <w:rsid w:val="00E11A30"/>
    <w:rsid w:val="00E11B9A"/>
    <w:rsid w:val="00E11CB9"/>
    <w:rsid w:val="00E11CCA"/>
    <w:rsid w:val="00E11F72"/>
    <w:rsid w:val="00E120E5"/>
    <w:rsid w:val="00E12149"/>
    <w:rsid w:val="00E12284"/>
    <w:rsid w:val="00E122B3"/>
    <w:rsid w:val="00E122F5"/>
    <w:rsid w:val="00E1242C"/>
    <w:rsid w:val="00E126AF"/>
    <w:rsid w:val="00E127A2"/>
    <w:rsid w:val="00E128B7"/>
    <w:rsid w:val="00E12A8C"/>
    <w:rsid w:val="00E12B2E"/>
    <w:rsid w:val="00E12C65"/>
    <w:rsid w:val="00E12E80"/>
    <w:rsid w:val="00E1311B"/>
    <w:rsid w:val="00E13122"/>
    <w:rsid w:val="00E131BC"/>
    <w:rsid w:val="00E13464"/>
    <w:rsid w:val="00E135CD"/>
    <w:rsid w:val="00E137B8"/>
    <w:rsid w:val="00E13A55"/>
    <w:rsid w:val="00E13B1C"/>
    <w:rsid w:val="00E14048"/>
    <w:rsid w:val="00E14081"/>
    <w:rsid w:val="00E140F2"/>
    <w:rsid w:val="00E14117"/>
    <w:rsid w:val="00E1417B"/>
    <w:rsid w:val="00E14684"/>
    <w:rsid w:val="00E146E8"/>
    <w:rsid w:val="00E14793"/>
    <w:rsid w:val="00E14939"/>
    <w:rsid w:val="00E149A5"/>
    <w:rsid w:val="00E149D8"/>
    <w:rsid w:val="00E149FA"/>
    <w:rsid w:val="00E14A8A"/>
    <w:rsid w:val="00E14BB3"/>
    <w:rsid w:val="00E14BE3"/>
    <w:rsid w:val="00E14C5C"/>
    <w:rsid w:val="00E14C6A"/>
    <w:rsid w:val="00E1527A"/>
    <w:rsid w:val="00E15465"/>
    <w:rsid w:val="00E15545"/>
    <w:rsid w:val="00E1557F"/>
    <w:rsid w:val="00E1558C"/>
    <w:rsid w:val="00E1562D"/>
    <w:rsid w:val="00E156AE"/>
    <w:rsid w:val="00E15817"/>
    <w:rsid w:val="00E1582C"/>
    <w:rsid w:val="00E158D7"/>
    <w:rsid w:val="00E1590F"/>
    <w:rsid w:val="00E15995"/>
    <w:rsid w:val="00E15C8A"/>
    <w:rsid w:val="00E15C93"/>
    <w:rsid w:val="00E15F09"/>
    <w:rsid w:val="00E1602D"/>
    <w:rsid w:val="00E16371"/>
    <w:rsid w:val="00E1641D"/>
    <w:rsid w:val="00E16534"/>
    <w:rsid w:val="00E168C8"/>
    <w:rsid w:val="00E1699C"/>
    <w:rsid w:val="00E169C9"/>
    <w:rsid w:val="00E16DC6"/>
    <w:rsid w:val="00E16FBA"/>
    <w:rsid w:val="00E16FFE"/>
    <w:rsid w:val="00E1702F"/>
    <w:rsid w:val="00E1706A"/>
    <w:rsid w:val="00E17346"/>
    <w:rsid w:val="00E1766F"/>
    <w:rsid w:val="00E176D0"/>
    <w:rsid w:val="00E17A53"/>
    <w:rsid w:val="00E201E2"/>
    <w:rsid w:val="00E2026D"/>
    <w:rsid w:val="00E20288"/>
    <w:rsid w:val="00E203FE"/>
    <w:rsid w:val="00E204FE"/>
    <w:rsid w:val="00E205EA"/>
    <w:rsid w:val="00E20677"/>
    <w:rsid w:val="00E20715"/>
    <w:rsid w:val="00E20940"/>
    <w:rsid w:val="00E20AD3"/>
    <w:rsid w:val="00E20AED"/>
    <w:rsid w:val="00E20B7A"/>
    <w:rsid w:val="00E20C6B"/>
    <w:rsid w:val="00E20DA0"/>
    <w:rsid w:val="00E20EA9"/>
    <w:rsid w:val="00E20F7D"/>
    <w:rsid w:val="00E21093"/>
    <w:rsid w:val="00E2111F"/>
    <w:rsid w:val="00E21238"/>
    <w:rsid w:val="00E2184E"/>
    <w:rsid w:val="00E21890"/>
    <w:rsid w:val="00E219AA"/>
    <w:rsid w:val="00E21C8D"/>
    <w:rsid w:val="00E21D36"/>
    <w:rsid w:val="00E21ED9"/>
    <w:rsid w:val="00E220F6"/>
    <w:rsid w:val="00E221EA"/>
    <w:rsid w:val="00E22290"/>
    <w:rsid w:val="00E22439"/>
    <w:rsid w:val="00E225DA"/>
    <w:rsid w:val="00E22651"/>
    <w:rsid w:val="00E226F7"/>
    <w:rsid w:val="00E22722"/>
    <w:rsid w:val="00E227E5"/>
    <w:rsid w:val="00E2299C"/>
    <w:rsid w:val="00E22AAE"/>
    <w:rsid w:val="00E22B81"/>
    <w:rsid w:val="00E22BA2"/>
    <w:rsid w:val="00E22C07"/>
    <w:rsid w:val="00E22E89"/>
    <w:rsid w:val="00E23178"/>
    <w:rsid w:val="00E2336B"/>
    <w:rsid w:val="00E2341C"/>
    <w:rsid w:val="00E23598"/>
    <w:rsid w:val="00E23735"/>
    <w:rsid w:val="00E23890"/>
    <w:rsid w:val="00E23A49"/>
    <w:rsid w:val="00E23AA0"/>
    <w:rsid w:val="00E23B46"/>
    <w:rsid w:val="00E23C88"/>
    <w:rsid w:val="00E23D7C"/>
    <w:rsid w:val="00E23DA9"/>
    <w:rsid w:val="00E23F93"/>
    <w:rsid w:val="00E24655"/>
    <w:rsid w:val="00E24682"/>
    <w:rsid w:val="00E24752"/>
    <w:rsid w:val="00E24760"/>
    <w:rsid w:val="00E24939"/>
    <w:rsid w:val="00E249C0"/>
    <w:rsid w:val="00E24A64"/>
    <w:rsid w:val="00E24CE6"/>
    <w:rsid w:val="00E24DA9"/>
    <w:rsid w:val="00E24DC9"/>
    <w:rsid w:val="00E24E6A"/>
    <w:rsid w:val="00E24F46"/>
    <w:rsid w:val="00E24F5D"/>
    <w:rsid w:val="00E24FBF"/>
    <w:rsid w:val="00E2504E"/>
    <w:rsid w:val="00E2545E"/>
    <w:rsid w:val="00E25494"/>
    <w:rsid w:val="00E257A5"/>
    <w:rsid w:val="00E257A9"/>
    <w:rsid w:val="00E25833"/>
    <w:rsid w:val="00E25BB2"/>
    <w:rsid w:val="00E25EEA"/>
    <w:rsid w:val="00E2604B"/>
    <w:rsid w:val="00E260BF"/>
    <w:rsid w:val="00E26144"/>
    <w:rsid w:val="00E26240"/>
    <w:rsid w:val="00E26254"/>
    <w:rsid w:val="00E26256"/>
    <w:rsid w:val="00E26297"/>
    <w:rsid w:val="00E262AB"/>
    <w:rsid w:val="00E2640B"/>
    <w:rsid w:val="00E26451"/>
    <w:rsid w:val="00E264A4"/>
    <w:rsid w:val="00E26564"/>
    <w:rsid w:val="00E26785"/>
    <w:rsid w:val="00E26893"/>
    <w:rsid w:val="00E269DA"/>
    <w:rsid w:val="00E26AB4"/>
    <w:rsid w:val="00E26C3F"/>
    <w:rsid w:val="00E26E91"/>
    <w:rsid w:val="00E26EBB"/>
    <w:rsid w:val="00E26FAD"/>
    <w:rsid w:val="00E26FBC"/>
    <w:rsid w:val="00E27040"/>
    <w:rsid w:val="00E2712F"/>
    <w:rsid w:val="00E27275"/>
    <w:rsid w:val="00E27342"/>
    <w:rsid w:val="00E273A7"/>
    <w:rsid w:val="00E273F5"/>
    <w:rsid w:val="00E2749A"/>
    <w:rsid w:val="00E274F7"/>
    <w:rsid w:val="00E27564"/>
    <w:rsid w:val="00E276BF"/>
    <w:rsid w:val="00E27773"/>
    <w:rsid w:val="00E277A8"/>
    <w:rsid w:val="00E277E8"/>
    <w:rsid w:val="00E27D79"/>
    <w:rsid w:val="00E27DC6"/>
    <w:rsid w:val="00E27F39"/>
    <w:rsid w:val="00E27FC1"/>
    <w:rsid w:val="00E302F6"/>
    <w:rsid w:val="00E3032E"/>
    <w:rsid w:val="00E3076D"/>
    <w:rsid w:val="00E30828"/>
    <w:rsid w:val="00E30AF5"/>
    <w:rsid w:val="00E30B03"/>
    <w:rsid w:val="00E30D7E"/>
    <w:rsid w:val="00E30E9F"/>
    <w:rsid w:val="00E3100B"/>
    <w:rsid w:val="00E31014"/>
    <w:rsid w:val="00E311FA"/>
    <w:rsid w:val="00E312CB"/>
    <w:rsid w:val="00E31457"/>
    <w:rsid w:val="00E314E9"/>
    <w:rsid w:val="00E31690"/>
    <w:rsid w:val="00E31752"/>
    <w:rsid w:val="00E31851"/>
    <w:rsid w:val="00E31861"/>
    <w:rsid w:val="00E31C15"/>
    <w:rsid w:val="00E31C2A"/>
    <w:rsid w:val="00E31CBE"/>
    <w:rsid w:val="00E323AA"/>
    <w:rsid w:val="00E32680"/>
    <w:rsid w:val="00E326A9"/>
    <w:rsid w:val="00E3286B"/>
    <w:rsid w:val="00E32AE9"/>
    <w:rsid w:val="00E32D75"/>
    <w:rsid w:val="00E32E50"/>
    <w:rsid w:val="00E32F78"/>
    <w:rsid w:val="00E33022"/>
    <w:rsid w:val="00E330D4"/>
    <w:rsid w:val="00E33101"/>
    <w:rsid w:val="00E3320C"/>
    <w:rsid w:val="00E333CB"/>
    <w:rsid w:val="00E33408"/>
    <w:rsid w:val="00E33471"/>
    <w:rsid w:val="00E33958"/>
    <w:rsid w:val="00E33C19"/>
    <w:rsid w:val="00E33F16"/>
    <w:rsid w:val="00E340DA"/>
    <w:rsid w:val="00E34302"/>
    <w:rsid w:val="00E34442"/>
    <w:rsid w:val="00E34444"/>
    <w:rsid w:val="00E34555"/>
    <w:rsid w:val="00E348FE"/>
    <w:rsid w:val="00E34BF9"/>
    <w:rsid w:val="00E34C90"/>
    <w:rsid w:val="00E34D1A"/>
    <w:rsid w:val="00E34F76"/>
    <w:rsid w:val="00E350BC"/>
    <w:rsid w:val="00E350F0"/>
    <w:rsid w:val="00E3525F"/>
    <w:rsid w:val="00E353CA"/>
    <w:rsid w:val="00E3543C"/>
    <w:rsid w:val="00E357E2"/>
    <w:rsid w:val="00E358F0"/>
    <w:rsid w:val="00E35923"/>
    <w:rsid w:val="00E35B46"/>
    <w:rsid w:val="00E35CAE"/>
    <w:rsid w:val="00E35DC6"/>
    <w:rsid w:val="00E35DDE"/>
    <w:rsid w:val="00E35F0C"/>
    <w:rsid w:val="00E35FC3"/>
    <w:rsid w:val="00E36631"/>
    <w:rsid w:val="00E36639"/>
    <w:rsid w:val="00E366AF"/>
    <w:rsid w:val="00E3673B"/>
    <w:rsid w:val="00E367F9"/>
    <w:rsid w:val="00E36A4F"/>
    <w:rsid w:val="00E36AC2"/>
    <w:rsid w:val="00E36C05"/>
    <w:rsid w:val="00E36CC3"/>
    <w:rsid w:val="00E36D6F"/>
    <w:rsid w:val="00E36E9B"/>
    <w:rsid w:val="00E36FB6"/>
    <w:rsid w:val="00E3709C"/>
    <w:rsid w:val="00E37242"/>
    <w:rsid w:val="00E37292"/>
    <w:rsid w:val="00E37329"/>
    <w:rsid w:val="00E375D0"/>
    <w:rsid w:val="00E377B0"/>
    <w:rsid w:val="00E37888"/>
    <w:rsid w:val="00E379B8"/>
    <w:rsid w:val="00E37A2A"/>
    <w:rsid w:val="00E37E06"/>
    <w:rsid w:val="00E37E08"/>
    <w:rsid w:val="00E37EE4"/>
    <w:rsid w:val="00E37FD4"/>
    <w:rsid w:val="00E40202"/>
    <w:rsid w:val="00E40251"/>
    <w:rsid w:val="00E4041C"/>
    <w:rsid w:val="00E4073D"/>
    <w:rsid w:val="00E40A5A"/>
    <w:rsid w:val="00E40C0D"/>
    <w:rsid w:val="00E40C8F"/>
    <w:rsid w:val="00E40CD0"/>
    <w:rsid w:val="00E40D0D"/>
    <w:rsid w:val="00E40DF5"/>
    <w:rsid w:val="00E40F28"/>
    <w:rsid w:val="00E410F5"/>
    <w:rsid w:val="00E411F0"/>
    <w:rsid w:val="00E412D3"/>
    <w:rsid w:val="00E41405"/>
    <w:rsid w:val="00E414C2"/>
    <w:rsid w:val="00E414E6"/>
    <w:rsid w:val="00E416AD"/>
    <w:rsid w:val="00E4178A"/>
    <w:rsid w:val="00E41878"/>
    <w:rsid w:val="00E4189E"/>
    <w:rsid w:val="00E418A6"/>
    <w:rsid w:val="00E41912"/>
    <w:rsid w:val="00E41B7A"/>
    <w:rsid w:val="00E41DDD"/>
    <w:rsid w:val="00E4215C"/>
    <w:rsid w:val="00E4226F"/>
    <w:rsid w:val="00E422EB"/>
    <w:rsid w:val="00E42350"/>
    <w:rsid w:val="00E424E4"/>
    <w:rsid w:val="00E427A1"/>
    <w:rsid w:val="00E427F5"/>
    <w:rsid w:val="00E4289E"/>
    <w:rsid w:val="00E42A9D"/>
    <w:rsid w:val="00E42C80"/>
    <w:rsid w:val="00E42C88"/>
    <w:rsid w:val="00E42CA5"/>
    <w:rsid w:val="00E42D21"/>
    <w:rsid w:val="00E42D70"/>
    <w:rsid w:val="00E42E3F"/>
    <w:rsid w:val="00E4304B"/>
    <w:rsid w:val="00E43051"/>
    <w:rsid w:val="00E4308D"/>
    <w:rsid w:val="00E43091"/>
    <w:rsid w:val="00E4312B"/>
    <w:rsid w:val="00E431FC"/>
    <w:rsid w:val="00E432A7"/>
    <w:rsid w:val="00E43325"/>
    <w:rsid w:val="00E43379"/>
    <w:rsid w:val="00E433D1"/>
    <w:rsid w:val="00E43536"/>
    <w:rsid w:val="00E43610"/>
    <w:rsid w:val="00E436DC"/>
    <w:rsid w:val="00E4375F"/>
    <w:rsid w:val="00E43918"/>
    <w:rsid w:val="00E43CAC"/>
    <w:rsid w:val="00E43D0F"/>
    <w:rsid w:val="00E43D72"/>
    <w:rsid w:val="00E43F05"/>
    <w:rsid w:val="00E43F58"/>
    <w:rsid w:val="00E440FD"/>
    <w:rsid w:val="00E442F4"/>
    <w:rsid w:val="00E44602"/>
    <w:rsid w:val="00E4480A"/>
    <w:rsid w:val="00E44981"/>
    <w:rsid w:val="00E44997"/>
    <w:rsid w:val="00E44D83"/>
    <w:rsid w:val="00E44DEA"/>
    <w:rsid w:val="00E44E50"/>
    <w:rsid w:val="00E4508C"/>
    <w:rsid w:val="00E450B2"/>
    <w:rsid w:val="00E4511D"/>
    <w:rsid w:val="00E45157"/>
    <w:rsid w:val="00E451D4"/>
    <w:rsid w:val="00E45277"/>
    <w:rsid w:val="00E45291"/>
    <w:rsid w:val="00E457E9"/>
    <w:rsid w:val="00E45B32"/>
    <w:rsid w:val="00E45BBB"/>
    <w:rsid w:val="00E45C43"/>
    <w:rsid w:val="00E45D0A"/>
    <w:rsid w:val="00E45EA4"/>
    <w:rsid w:val="00E45ED6"/>
    <w:rsid w:val="00E45EF5"/>
    <w:rsid w:val="00E46057"/>
    <w:rsid w:val="00E4614F"/>
    <w:rsid w:val="00E464A1"/>
    <w:rsid w:val="00E467CD"/>
    <w:rsid w:val="00E46937"/>
    <w:rsid w:val="00E46DA0"/>
    <w:rsid w:val="00E46F64"/>
    <w:rsid w:val="00E46F91"/>
    <w:rsid w:val="00E4736B"/>
    <w:rsid w:val="00E473A4"/>
    <w:rsid w:val="00E47467"/>
    <w:rsid w:val="00E47638"/>
    <w:rsid w:val="00E476A8"/>
    <w:rsid w:val="00E47785"/>
    <w:rsid w:val="00E477E4"/>
    <w:rsid w:val="00E478EE"/>
    <w:rsid w:val="00E47912"/>
    <w:rsid w:val="00E47921"/>
    <w:rsid w:val="00E47AE2"/>
    <w:rsid w:val="00E47FF6"/>
    <w:rsid w:val="00E5010B"/>
    <w:rsid w:val="00E50155"/>
    <w:rsid w:val="00E50564"/>
    <w:rsid w:val="00E50840"/>
    <w:rsid w:val="00E50A38"/>
    <w:rsid w:val="00E50AC8"/>
    <w:rsid w:val="00E50B08"/>
    <w:rsid w:val="00E50B85"/>
    <w:rsid w:val="00E50D48"/>
    <w:rsid w:val="00E50E32"/>
    <w:rsid w:val="00E50F6B"/>
    <w:rsid w:val="00E5108B"/>
    <w:rsid w:val="00E511A7"/>
    <w:rsid w:val="00E51205"/>
    <w:rsid w:val="00E512E1"/>
    <w:rsid w:val="00E512EB"/>
    <w:rsid w:val="00E513D7"/>
    <w:rsid w:val="00E513E9"/>
    <w:rsid w:val="00E5141D"/>
    <w:rsid w:val="00E51632"/>
    <w:rsid w:val="00E51666"/>
    <w:rsid w:val="00E516F6"/>
    <w:rsid w:val="00E5182C"/>
    <w:rsid w:val="00E518C2"/>
    <w:rsid w:val="00E519A8"/>
    <w:rsid w:val="00E51A01"/>
    <w:rsid w:val="00E51A1D"/>
    <w:rsid w:val="00E51F1B"/>
    <w:rsid w:val="00E5206E"/>
    <w:rsid w:val="00E520C3"/>
    <w:rsid w:val="00E523E6"/>
    <w:rsid w:val="00E52515"/>
    <w:rsid w:val="00E5255F"/>
    <w:rsid w:val="00E5272F"/>
    <w:rsid w:val="00E5291A"/>
    <w:rsid w:val="00E5293D"/>
    <w:rsid w:val="00E52B4F"/>
    <w:rsid w:val="00E52B60"/>
    <w:rsid w:val="00E52E28"/>
    <w:rsid w:val="00E52EE8"/>
    <w:rsid w:val="00E53196"/>
    <w:rsid w:val="00E5335E"/>
    <w:rsid w:val="00E534B4"/>
    <w:rsid w:val="00E53534"/>
    <w:rsid w:val="00E537CA"/>
    <w:rsid w:val="00E53831"/>
    <w:rsid w:val="00E53ADE"/>
    <w:rsid w:val="00E53B7C"/>
    <w:rsid w:val="00E53BAA"/>
    <w:rsid w:val="00E53C43"/>
    <w:rsid w:val="00E53C97"/>
    <w:rsid w:val="00E53DA4"/>
    <w:rsid w:val="00E53DB7"/>
    <w:rsid w:val="00E53E3D"/>
    <w:rsid w:val="00E53EA7"/>
    <w:rsid w:val="00E53EEC"/>
    <w:rsid w:val="00E53F20"/>
    <w:rsid w:val="00E53F6F"/>
    <w:rsid w:val="00E5400F"/>
    <w:rsid w:val="00E54302"/>
    <w:rsid w:val="00E54376"/>
    <w:rsid w:val="00E54446"/>
    <w:rsid w:val="00E5449F"/>
    <w:rsid w:val="00E545D5"/>
    <w:rsid w:val="00E54677"/>
    <w:rsid w:val="00E549DF"/>
    <w:rsid w:val="00E54A88"/>
    <w:rsid w:val="00E54AAF"/>
    <w:rsid w:val="00E54C0A"/>
    <w:rsid w:val="00E54CF1"/>
    <w:rsid w:val="00E54DF1"/>
    <w:rsid w:val="00E54E5E"/>
    <w:rsid w:val="00E551EC"/>
    <w:rsid w:val="00E552B3"/>
    <w:rsid w:val="00E5534E"/>
    <w:rsid w:val="00E553C0"/>
    <w:rsid w:val="00E553D1"/>
    <w:rsid w:val="00E555B7"/>
    <w:rsid w:val="00E55756"/>
    <w:rsid w:val="00E557B1"/>
    <w:rsid w:val="00E55B32"/>
    <w:rsid w:val="00E55C1E"/>
    <w:rsid w:val="00E55C91"/>
    <w:rsid w:val="00E55CB2"/>
    <w:rsid w:val="00E55D6C"/>
    <w:rsid w:val="00E55DCF"/>
    <w:rsid w:val="00E55FC1"/>
    <w:rsid w:val="00E560FA"/>
    <w:rsid w:val="00E56146"/>
    <w:rsid w:val="00E56240"/>
    <w:rsid w:val="00E5631A"/>
    <w:rsid w:val="00E564A4"/>
    <w:rsid w:val="00E56579"/>
    <w:rsid w:val="00E5658C"/>
    <w:rsid w:val="00E56612"/>
    <w:rsid w:val="00E56AA3"/>
    <w:rsid w:val="00E56B24"/>
    <w:rsid w:val="00E56CE8"/>
    <w:rsid w:val="00E56D21"/>
    <w:rsid w:val="00E56EA4"/>
    <w:rsid w:val="00E56EF1"/>
    <w:rsid w:val="00E56F0D"/>
    <w:rsid w:val="00E56F67"/>
    <w:rsid w:val="00E56F81"/>
    <w:rsid w:val="00E56FF3"/>
    <w:rsid w:val="00E570CB"/>
    <w:rsid w:val="00E57281"/>
    <w:rsid w:val="00E57563"/>
    <w:rsid w:val="00E5757F"/>
    <w:rsid w:val="00E5769C"/>
    <w:rsid w:val="00E576D0"/>
    <w:rsid w:val="00E577D0"/>
    <w:rsid w:val="00E57865"/>
    <w:rsid w:val="00E57A2D"/>
    <w:rsid w:val="00E57C55"/>
    <w:rsid w:val="00E57CBF"/>
    <w:rsid w:val="00E57CE5"/>
    <w:rsid w:val="00E57F22"/>
    <w:rsid w:val="00E57FAB"/>
    <w:rsid w:val="00E6010C"/>
    <w:rsid w:val="00E603A0"/>
    <w:rsid w:val="00E604C7"/>
    <w:rsid w:val="00E604DC"/>
    <w:rsid w:val="00E60568"/>
    <w:rsid w:val="00E60635"/>
    <w:rsid w:val="00E606D9"/>
    <w:rsid w:val="00E607A0"/>
    <w:rsid w:val="00E607BE"/>
    <w:rsid w:val="00E6082B"/>
    <w:rsid w:val="00E60A03"/>
    <w:rsid w:val="00E60AE7"/>
    <w:rsid w:val="00E60BBD"/>
    <w:rsid w:val="00E60CAD"/>
    <w:rsid w:val="00E60D7A"/>
    <w:rsid w:val="00E60F65"/>
    <w:rsid w:val="00E60FF2"/>
    <w:rsid w:val="00E61016"/>
    <w:rsid w:val="00E6130A"/>
    <w:rsid w:val="00E615AB"/>
    <w:rsid w:val="00E61A7F"/>
    <w:rsid w:val="00E61ADE"/>
    <w:rsid w:val="00E61D3C"/>
    <w:rsid w:val="00E61E96"/>
    <w:rsid w:val="00E61F01"/>
    <w:rsid w:val="00E61F16"/>
    <w:rsid w:val="00E61F9B"/>
    <w:rsid w:val="00E62060"/>
    <w:rsid w:val="00E621AC"/>
    <w:rsid w:val="00E621CD"/>
    <w:rsid w:val="00E622D7"/>
    <w:rsid w:val="00E623BA"/>
    <w:rsid w:val="00E6281A"/>
    <w:rsid w:val="00E62885"/>
    <w:rsid w:val="00E62889"/>
    <w:rsid w:val="00E628F0"/>
    <w:rsid w:val="00E62C73"/>
    <w:rsid w:val="00E62CFC"/>
    <w:rsid w:val="00E62D89"/>
    <w:rsid w:val="00E62EAB"/>
    <w:rsid w:val="00E63050"/>
    <w:rsid w:val="00E63155"/>
    <w:rsid w:val="00E63247"/>
    <w:rsid w:val="00E63268"/>
    <w:rsid w:val="00E634E3"/>
    <w:rsid w:val="00E63566"/>
    <w:rsid w:val="00E636A9"/>
    <w:rsid w:val="00E63821"/>
    <w:rsid w:val="00E63872"/>
    <w:rsid w:val="00E639A6"/>
    <w:rsid w:val="00E639B1"/>
    <w:rsid w:val="00E63B45"/>
    <w:rsid w:val="00E63C21"/>
    <w:rsid w:val="00E63C77"/>
    <w:rsid w:val="00E63DB6"/>
    <w:rsid w:val="00E63E18"/>
    <w:rsid w:val="00E63E48"/>
    <w:rsid w:val="00E63ED6"/>
    <w:rsid w:val="00E64021"/>
    <w:rsid w:val="00E64106"/>
    <w:rsid w:val="00E641B9"/>
    <w:rsid w:val="00E6434B"/>
    <w:rsid w:val="00E64397"/>
    <w:rsid w:val="00E6452F"/>
    <w:rsid w:val="00E6457C"/>
    <w:rsid w:val="00E645F3"/>
    <w:rsid w:val="00E646A7"/>
    <w:rsid w:val="00E6473C"/>
    <w:rsid w:val="00E6493E"/>
    <w:rsid w:val="00E64A0E"/>
    <w:rsid w:val="00E64ADF"/>
    <w:rsid w:val="00E64D5E"/>
    <w:rsid w:val="00E64E1F"/>
    <w:rsid w:val="00E64F30"/>
    <w:rsid w:val="00E64F60"/>
    <w:rsid w:val="00E65093"/>
    <w:rsid w:val="00E6522A"/>
    <w:rsid w:val="00E652E5"/>
    <w:rsid w:val="00E65356"/>
    <w:rsid w:val="00E65459"/>
    <w:rsid w:val="00E65823"/>
    <w:rsid w:val="00E65EE9"/>
    <w:rsid w:val="00E6621C"/>
    <w:rsid w:val="00E6658B"/>
    <w:rsid w:val="00E666BF"/>
    <w:rsid w:val="00E6679E"/>
    <w:rsid w:val="00E667AD"/>
    <w:rsid w:val="00E667B9"/>
    <w:rsid w:val="00E667BB"/>
    <w:rsid w:val="00E66926"/>
    <w:rsid w:val="00E66C2F"/>
    <w:rsid w:val="00E66C90"/>
    <w:rsid w:val="00E66CB8"/>
    <w:rsid w:val="00E670BB"/>
    <w:rsid w:val="00E670EF"/>
    <w:rsid w:val="00E6718E"/>
    <w:rsid w:val="00E6719B"/>
    <w:rsid w:val="00E6748A"/>
    <w:rsid w:val="00E674C3"/>
    <w:rsid w:val="00E674E6"/>
    <w:rsid w:val="00E674F5"/>
    <w:rsid w:val="00E67581"/>
    <w:rsid w:val="00E6779C"/>
    <w:rsid w:val="00E67819"/>
    <w:rsid w:val="00E6799D"/>
    <w:rsid w:val="00E67A57"/>
    <w:rsid w:val="00E67ADB"/>
    <w:rsid w:val="00E67CCC"/>
    <w:rsid w:val="00E700DD"/>
    <w:rsid w:val="00E70120"/>
    <w:rsid w:val="00E705BA"/>
    <w:rsid w:val="00E705C3"/>
    <w:rsid w:val="00E7064D"/>
    <w:rsid w:val="00E70732"/>
    <w:rsid w:val="00E70974"/>
    <w:rsid w:val="00E70989"/>
    <w:rsid w:val="00E70A3D"/>
    <w:rsid w:val="00E70A55"/>
    <w:rsid w:val="00E70AC1"/>
    <w:rsid w:val="00E7108D"/>
    <w:rsid w:val="00E71140"/>
    <w:rsid w:val="00E7124D"/>
    <w:rsid w:val="00E71347"/>
    <w:rsid w:val="00E7143B"/>
    <w:rsid w:val="00E7149B"/>
    <w:rsid w:val="00E714A6"/>
    <w:rsid w:val="00E716BB"/>
    <w:rsid w:val="00E717D4"/>
    <w:rsid w:val="00E71A46"/>
    <w:rsid w:val="00E71B61"/>
    <w:rsid w:val="00E71BB8"/>
    <w:rsid w:val="00E71D81"/>
    <w:rsid w:val="00E71E9C"/>
    <w:rsid w:val="00E71F74"/>
    <w:rsid w:val="00E7207C"/>
    <w:rsid w:val="00E720BD"/>
    <w:rsid w:val="00E723E9"/>
    <w:rsid w:val="00E723F7"/>
    <w:rsid w:val="00E725C7"/>
    <w:rsid w:val="00E7290A"/>
    <w:rsid w:val="00E72BB4"/>
    <w:rsid w:val="00E72D27"/>
    <w:rsid w:val="00E72D2E"/>
    <w:rsid w:val="00E730DE"/>
    <w:rsid w:val="00E731C2"/>
    <w:rsid w:val="00E7342E"/>
    <w:rsid w:val="00E737CC"/>
    <w:rsid w:val="00E738CC"/>
    <w:rsid w:val="00E73AA9"/>
    <w:rsid w:val="00E73B26"/>
    <w:rsid w:val="00E73BB5"/>
    <w:rsid w:val="00E73D24"/>
    <w:rsid w:val="00E73E89"/>
    <w:rsid w:val="00E74198"/>
    <w:rsid w:val="00E74455"/>
    <w:rsid w:val="00E7445B"/>
    <w:rsid w:val="00E7445D"/>
    <w:rsid w:val="00E74727"/>
    <w:rsid w:val="00E74883"/>
    <w:rsid w:val="00E74922"/>
    <w:rsid w:val="00E749D4"/>
    <w:rsid w:val="00E74A72"/>
    <w:rsid w:val="00E74AFF"/>
    <w:rsid w:val="00E74CDD"/>
    <w:rsid w:val="00E74E5E"/>
    <w:rsid w:val="00E7501B"/>
    <w:rsid w:val="00E750E0"/>
    <w:rsid w:val="00E75207"/>
    <w:rsid w:val="00E7531C"/>
    <w:rsid w:val="00E753E7"/>
    <w:rsid w:val="00E754AC"/>
    <w:rsid w:val="00E75747"/>
    <w:rsid w:val="00E758DC"/>
    <w:rsid w:val="00E759E2"/>
    <w:rsid w:val="00E75A1B"/>
    <w:rsid w:val="00E75A77"/>
    <w:rsid w:val="00E75AAA"/>
    <w:rsid w:val="00E75B7C"/>
    <w:rsid w:val="00E75B91"/>
    <w:rsid w:val="00E75BE1"/>
    <w:rsid w:val="00E75C13"/>
    <w:rsid w:val="00E75C15"/>
    <w:rsid w:val="00E75C72"/>
    <w:rsid w:val="00E75D5D"/>
    <w:rsid w:val="00E75DEA"/>
    <w:rsid w:val="00E75E13"/>
    <w:rsid w:val="00E75FA4"/>
    <w:rsid w:val="00E76106"/>
    <w:rsid w:val="00E76121"/>
    <w:rsid w:val="00E761B0"/>
    <w:rsid w:val="00E76489"/>
    <w:rsid w:val="00E7683F"/>
    <w:rsid w:val="00E768A6"/>
    <w:rsid w:val="00E7698C"/>
    <w:rsid w:val="00E76AA4"/>
    <w:rsid w:val="00E76AE1"/>
    <w:rsid w:val="00E7703D"/>
    <w:rsid w:val="00E771C3"/>
    <w:rsid w:val="00E77403"/>
    <w:rsid w:val="00E775F6"/>
    <w:rsid w:val="00E776BB"/>
    <w:rsid w:val="00E777ED"/>
    <w:rsid w:val="00E77ADD"/>
    <w:rsid w:val="00E77CF4"/>
    <w:rsid w:val="00E77D8B"/>
    <w:rsid w:val="00E77D98"/>
    <w:rsid w:val="00E77E03"/>
    <w:rsid w:val="00E77E4C"/>
    <w:rsid w:val="00E77E93"/>
    <w:rsid w:val="00E80056"/>
    <w:rsid w:val="00E8015B"/>
    <w:rsid w:val="00E80247"/>
    <w:rsid w:val="00E8026D"/>
    <w:rsid w:val="00E80511"/>
    <w:rsid w:val="00E80557"/>
    <w:rsid w:val="00E80737"/>
    <w:rsid w:val="00E8080F"/>
    <w:rsid w:val="00E809E6"/>
    <w:rsid w:val="00E80A46"/>
    <w:rsid w:val="00E80A9F"/>
    <w:rsid w:val="00E80B19"/>
    <w:rsid w:val="00E80BD8"/>
    <w:rsid w:val="00E80C8A"/>
    <w:rsid w:val="00E80CE7"/>
    <w:rsid w:val="00E80EB9"/>
    <w:rsid w:val="00E81053"/>
    <w:rsid w:val="00E81097"/>
    <w:rsid w:val="00E8120D"/>
    <w:rsid w:val="00E81222"/>
    <w:rsid w:val="00E81253"/>
    <w:rsid w:val="00E814F4"/>
    <w:rsid w:val="00E81531"/>
    <w:rsid w:val="00E81628"/>
    <w:rsid w:val="00E8191B"/>
    <w:rsid w:val="00E8199D"/>
    <w:rsid w:val="00E819A7"/>
    <w:rsid w:val="00E81A49"/>
    <w:rsid w:val="00E81A8F"/>
    <w:rsid w:val="00E81AAB"/>
    <w:rsid w:val="00E81C28"/>
    <w:rsid w:val="00E81C62"/>
    <w:rsid w:val="00E81DDE"/>
    <w:rsid w:val="00E81F3F"/>
    <w:rsid w:val="00E82286"/>
    <w:rsid w:val="00E82323"/>
    <w:rsid w:val="00E82339"/>
    <w:rsid w:val="00E82350"/>
    <w:rsid w:val="00E82438"/>
    <w:rsid w:val="00E82493"/>
    <w:rsid w:val="00E825C8"/>
    <w:rsid w:val="00E8282A"/>
    <w:rsid w:val="00E82941"/>
    <w:rsid w:val="00E82A33"/>
    <w:rsid w:val="00E82A3E"/>
    <w:rsid w:val="00E82ACC"/>
    <w:rsid w:val="00E82B24"/>
    <w:rsid w:val="00E82CF5"/>
    <w:rsid w:val="00E82D04"/>
    <w:rsid w:val="00E82D21"/>
    <w:rsid w:val="00E82F09"/>
    <w:rsid w:val="00E830F6"/>
    <w:rsid w:val="00E8346B"/>
    <w:rsid w:val="00E834EC"/>
    <w:rsid w:val="00E83639"/>
    <w:rsid w:val="00E83863"/>
    <w:rsid w:val="00E8396D"/>
    <w:rsid w:val="00E83A27"/>
    <w:rsid w:val="00E83B5A"/>
    <w:rsid w:val="00E83D13"/>
    <w:rsid w:val="00E83DF4"/>
    <w:rsid w:val="00E8401C"/>
    <w:rsid w:val="00E8438F"/>
    <w:rsid w:val="00E8448B"/>
    <w:rsid w:val="00E84554"/>
    <w:rsid w:val="00E8459D"/>
    <w:rsid w:val="00E845F7"/>
    <w:rsid w:val="00E84742"/>
    <w:rsid w:val="00E847BF"/>
    <w:rsid w:val="00E84862"/>
    <w:rsid w:val="00E849CE"/>
    <w:rsid w:val="00E84A2B"/>
    <w:rsid w:val="00E84A92"/>
    <w:rsid w:val="00E84C09"/>
    <w:rsid w:val="00E84FA3"/>
    <w:rsid w:val="00E85167"/>
    <w:rsid w:val="00E851A3"/>
    <w:rsid w:val="00E851F9"/>
    <w:rsid w:val="00E85317"/>
    <w:rsid w:val="00E8539F"/>
    <w:rsid w:val="00E85417"/>
    <w:rsid w:val="00E85686"/>
    <w:rsid w:val="00E85925"/>
    <w:rsid w:val="00E85A82"/>
    <w:rsid w:val="00E85B06"/>
    <w:rsid w:val="00E85B99"/>
    <w:rsid w:val="00E85BD0"/>
    <w:rsid w:val="00E85D1A"/>
    <w:rsid w:val="00E85DB7"/>
    <w:rsid w:val="00E85E99"/>
    <w:rsid w:val="00E85EC4"/>
    <w:rsid w:val="00E85ECC"/>
    <w:rsid w:val="00E8610A"/>
    <w:rsid w:val="00E8612C"/>
    <w:rsid w:val="00E862F9"/>
    <w:rsid w:val="00E8646D"/>
    <w:rsid w:val="00E8653D"/>
    <w:rsid w:val="00E8686B"/>
    <w:rsid w:val="00E86910"/>
    <w:rsid w:val="00E86D94"/>
    <w:rsid w:val="00E8703A"/>
    <w:rsid w:val="00E8715D"/>
    <w:rsid w:val="00E872FB"/>
    <w:rsid w:val="00E8741B"/>
    <w:rsid w:val="00E8742C"/>
    <w:rsid w:val="00E8750E"/>
    <w:rsid w:val="00E875E9"/>
    <w:rsid w:val="00E87672"/>
    <w:rsid w:val="00E8773D"/>
    <w:rsid w:val="00E8778B"/>
    <w:rsid w:val="00E87904"/>
    <w:rsid w:val="00E87A20"/>
    <w:rsid w:val="00E87BD0"/>
    <w:rsid w:val="00E87C7C"/>
    <w:rsid w:val="00E87E21"/>
    <w:rsid w:val="00E87EF2"/>
    <w:rsid w:val="00E90184"/>
    <w:rsid w:val="00E90383"/>
    <w:rsid w:val="00E9038C"/>
    <w:rsid w:val="00E90402"/>
    <w:rsid w:val="00E9054B"/>
    <w:rsid w:val="00E905EC"/>
    <w:rsid w:val="00E90636"/>
    <w:rsid w:val="00E906D8"/>
    <w:rsid w:val="00E906F2"/>
    <w:rsid w:val="00E907F4"/>
    <w:rsid w:val="00E9080D"/>
    <w:rsid w:val="00E909D8"/>
    <w:rsid w:val="00E90A02"/>
    <w:rsid w:val="00E90C5A"/>
    <w:rsid w:val="00E90DB7"/>
    <w:rsid w:val="00E90E91"/>
    <w:rsid w:val="00E90E93"/>
    <w:rsid w:val="00E90F02"/>
    <w:rsid w:val="00E90F46"/>
    <w:rsid w:val="00E91069"/>
    <w:rsid w:val="00E911D3"/>
    <w:rsid w:val="00E91202"/>
    <w:rsid w:val="00E91313"/>
    <w:rsid w:val="00E91438"/>
    <w:rsid w:val="00E91456"/>
    <w:rsid w:val="00E91511"/>
    <w:rsid w:val="00E9187B"/>
    <w:rsid w:val="00E9188C"/>
    <w:rsid w:val="00E919D7"/>
    <w:rsid w:val="00E91B47"/>
    <w:rsid w:val="00E91CB9"/>
    <w:rsid w:val="00E91D02"/>
    <w:rsid w:val="00E92084"/>
    <w:rsid w:val="00E921EF"/>
    <w:rsid w:val="00E9220F"/>
    <w:rsid w:val="00E92455"/>
    <w:rsid w:val="00E924E4"/>
    <w:rsid w:val="00E924EC"/>
    <w:rsid w:val="00E92513"/>
    <w:rsid w:val="00E9266B"/>
    <w:rsid w:val="00E926CC"/>
    <w:rsid w:val="00E9270E"/>
    <w:rsid w:val="00E927E2"/>
    <w:rsid w:val="00E92831"/>
    <w:rsid w:val="00E92907"/>
    <w:rsid w:val="00E92956"/>
    <w:rsid w:val="00E92A3E"/>
    <w:rsid w:val="00E92C25"/>
    <w:rsid w:val="00E92EE1"/>
    <w:rsid w:val="00E92FEF"/>
    <w:rsid w:val="00E9301A"/>
    <w:rsid w:val="00E9313D"/>
    <w:rsid w:val="00E9320C"/>
    <w:rsid w:val="00E932F4"/>
    <w:rsid w:val="00E9330D"/>
    <w:rsid w:val="00E933BC"/>
    <w:rsid w:val="00E9343A"/>
    <w:rsid w:val="00E9359B"/>
    <w:rsid w:val="00E93923"/>
    <w:rsid w:val="00E93B00"/>
    <w:rsid w:val="00E93BF6"/>
    <w:rsid w:val="00E93C6C"/>
    <w:rsid w:val="00E93CBC"/>
    <w:rsid w:val="00E93CDA"/>
    <w:rsid w:val="00E93D8E"/>
    <w:rsid w:val="00E93DA0"/>
    <w:rsid w:val="00E93DA8"/>
    <w:rsid w:val="00E94276"/>
    <w:rsid w:val="00E94299"/>
    <w:rsid w:val="00E9429D"/>
    <w:rsid w:val="00E943B8"/>
    <w:rsid w:val="00E94429"/>
    <w:rsid w:val="00E94476"/>
    <w:rsid w:val="00E947BB"/>
    <w:rsid w:val="00E947E6"/>
    <w:rsid w:val="00E948FB"/>
    <w:rsid w:val="00E94BA3"/>
    <w:rsid w:val="00E94C82"/>
    <w:rsid w:val="00E94CFC"/>
    <w:rsid w:val="00E94D1A"/>
    <w:rsid w:val="00E94E24"/>
    <w:rsid w:val="00E94E60"/>
    <w:rsid w:val="00E94F1E"/>
    <w:rsid w:val="00E94F34"/>
    <w:rsid w:val="00E94F7D"/>
    <w:rsid w:val="00E94F7E"/>
    <w:rsid w:val="00E9509B"/>
    <w:rsid w:val="00E953F8"/>
    <w:rsid w:val="00E95402"/>
    <w:rsid w:val="00E954C2"/>
    <w:rsid w:val="00E9571B"/>
    <w:rsid w:val="00E95A27"/>
    <w:rsid w:val="00E95B2D"/>
    <w:rsid w:val="00E95E96"/>
    <w:rsid w:val="00E95EB7"/>
    <w:rsid w:val="00E95F3C"/>
    <w:rsid w:val="00E96423"/>
    <w:rsid w:val="00E96658"/>
    <w:rsid w:val="00E96660"/>
    <w:rsid w:val="00E969C2"/>
    <w:rsid w:val="00E96A3C"/>
    <w:rsid w:val="00E96D5E"/>
    <w:rsid w:val="00E9702F"/>
    <w:rsid w:val="00E97091"/>
    <w:rsid w:val="00E97109"/>
    <w:rsid w:val="00E97132"/>
    <w:rsid w:val="00E971C4"/>
    <w:rsid w:val="00E97437"/>
    <w:rsid w:val="00E97850"/>
    <w:rsid w:val="00E97AF5"/>
    <w:rsid w:val="00E97B6A"/>
    <w:rsid w:val="00E97B7A"/>
    <w:rsid w:val="00E97BCD"/>
    <w:rsid w:val="00E97C1D"/>
    <w:rsid w:val="00E97C80"/>
    <w:rsid w:val="00E97CCC"/>
    <w:rsid w:val="00E97EBD"/>
    <w:rsid w:val="00E97ED2"/>
    <w:rsid w:val="00E97FEA"/>
    <w:rsid w:val="00EA0179"/>
    <w:rsid w:val="00EA0353"/>
    <w:rsid w:val="00EA0530"/>
    <w:rsid w:val="00EA0901"/>
    <w:rsid w:val="00EA0965"/>
    <w:rsid w:val="00EA09F7"/>
    <w:rsid w:val="00EA0C1F"/>
    <w:rsid w:val="00EA0C46"/>
    <w:rsid w:val="00EA0D8C"/>
    <w:rsid w:val="00EA0F06"/>
    <w:rsid w:val="00EA1219"/>
    <w:rsid w:val="00EA1250"/>
    <w:rsid w:val="00EA1328"/>
    <w:rsid w:val="00EA14B8"/>
    <w:rsid w:val="00EA1696"/>
    <w:rsid w:val="00EA16C1"/>
    <w:rsid w:val="00EA1747"/>
    <w:rsid w:val="00EA1A1E"/>
    <w:rsid w:val="00EA1B3B"/>
    <w:rsid w:val="00EA1B96"/>
    <w:rsid w:val="00EA20BB"/>
    <w:rsid w:val="00EA22B4"/>
    <w:rsid w:val="00EA25FD"/>
    <w:rsid w:val="00EA2B8C"/>
    <w:rsid w:val="00EA2DA9"/>
    <w:rsid w:val="00EA2E7C"/>
    <w:rsid w:val="00EA3160"/>
    <w:rsid w:val="00EA320B"/>
    <w:rsid w:val="00EA3399"/>
    <w:rsid w:val="00EA34E4"/>
    <w:rsid w:val="00EA350D"/>
    <w:rsid w:val="00EA36E9"/>
    <w:rsid w:val="00EA3874"/>
    <w:rsid w:val="00EA3950"/>
    <w:rsid w:val="00EA3AFC"/>
    <w:rsid w:val="00EA3B52"/>
    <w:rsid w:val="00EA3C76"/>
    <w:rsid w:val="00EA3DF0"/>
    <w:rsid w:val="00EA3DF1"/>
    <w:rsid w:val="00EA3DF5"/>
    <w:rsid w:val="00EA4131"/>
    <w:rsid w:val="00EA41D5"/>
    <w:rsid w:val="00EA4561"/>
    <w:rsid w:val="00EA45C5"/>
    <w:rsid w:val="00EA46C4"/>
    <w:rsid w:val="00EA4723"/>
    <w:rsid w:val="00EA477B"/>
    <w:rsid w:val="00EA479E"/>
    <w:rsid w:val="00EA480A"/>
    <w:rsid w:val="00EA4921"/>
    <w:rsid w:val="00EA4935"/>
    <w:rsid w:val="00EA4A4F"/>
    <w:rsid w:val="00EA4A83"/>
    <w:rsid w:val="00EA4A8C"/>
    <w:rsid w:val="00EA4AB9"/>
    <w:rsid w:val="00EA4DF3"/>
    <w:rsid w:val="00EA5035"/>
    <w:rsid w:val="00EA5050"/>
    <w:rsid w:val="00EA505B"/>
    <w:rsid w:val="00EA5066"/>
    <w:rsid w:val="00EA52A9"/>
    <w:rsid w:val="00EA53EB"/>
    <w:rsid w:val="00EA5496"/>
    <w:rsid w:val="00EA5572"/>
    <w:rsid w:val="00EA5626"/>
    <w:rsid w:val="00EA56D4"/>
    <w:rsid w:val="00EA5950"/>
    <w:rsid w:val="00EA5990"/>
    <w:rsid w:val="00EA5A3A"/>
    <w:rsid w:val="00EA5B59"/>
    <w:rsid w:val="00EA5B67"/>
    <w:rsid w:val="00EA5C3B"/>
    <w:rsid w:val="00EA5CF6"/>
    <w:rsid w:val="00EA5DB2"/>
    <w:rsid w:val="00EA5E87"/>
    <w:rsid w:val="00EA60A1"/>
    <w:rsid w:val="00EA60DF"/>
    <w:rsid w:val="00EA60EF"/>
    <w:rsid w:val="00EA6351"/>
    <w:rsid w:val="00EA6486"/>
    <w:rsid w:val="00EA670A"/>
    <w:rsid w:val="00EA6796"/>
    <w:rsid w:val="00EA67C8"/>
    <w:rsid w:val="00EA6868"/>
    <w:rsid w:val="00EA692C"/>
    <w:rsid w:val="00EA6B00"/>
    <w:rsid w:val="00EA6CD9"/>
    <w:rsid w:val="00EA6E01"/>
    <w:rsid w:val="00EA70D8"/>
    <w:rsid w:val="00EA7130"/>
    <w:rsid w:val="00EA7213"/>
    <w:rsid w:val="00EA7284"/>
    <w:rsid w:val="00EA7336"/>
    <w:rsid w:val="00EA7510"/>
    <w:rsid w:val="00EA7567"/>
    <w:rsid w:val="00EA7593"/>
    <w:rsid w:val="00EA767F"/>
    <w:rsid w:val="00EA76EC"/>
    <w:rsid w:val="00EA78BC"/>
    <w:rsid w:val="00EA797D"/>
    <w:rsid w:val="00EA7AC1"/>
    <w:rsid w:val="00EA7FCC"/>
    <w:rsid w:val="00EB0061"/>
    <w:rsid w:val="00EB022F"/>
    <w:rsid w:val="00EB035B"/>
    <w:rsid w:val="00EB045F"/>
    <w:rsid w:val="00EB054C"/>
    <w:rsid w:val="00EB0586"/>
    <w:rsid w:val="00EB05B7"/>
    <w:rsid w:val="00EB0B4A"/>
    <w:rsid w:val="00EB0D43"/>
    <w:rsid w:val="00EB0D45"/>
    <w:rsid w:val="00EB0ECB"/>
    <w:rsid w:val="00EB1305"/>
    <w:rsid w:val="00EB1329"/>
    <w:rsid w:val="00EB1670"/>
    <w:rsid w:val="00EB1729"/>
    <w:rsid w:val="00EB174D"/>
    <w:rsid w:val="00EB18A2"/>
    <w:rsid w:val="00EB1C29"/>
    <w:rsid w:val="00EB1ECE"/>
    <w:rsid w:val="00EB2135"/>
    <w:rsid w:val="00EB21D5"/>
    <w:rsid w:val="00EB2268"/>
    <w:rsid w:val="00EB22F2"/>
    <w:rsid w:val="00EB2313"/>
    <w:rsid w:val="00EB2355"/>
    <w:rsid w:val="00EB23DB"/>
    <w:rsid w:val="00EB2520"/>
    <w:rsid w:val="00EB25A6"/>
    <w:rsid w:val="00EB2676"/>
    <w:rsid w:val="00EB279F"/>
    <w:rsid w:val="00EB289D"/>
    <w:rsid w:val="00EB2C5B"/>
    <w:rsid w:val="00EB2C67"/>
    <w:rsid w:val="00EB2C7E"/>
    <w:rsid w:val="00EB2C9F"/>
    <w:rsid w:val="00EB2EF3"/>
    <w:rsid w:val="00EB3102"/>
    <w:rsid w:val="00EB31DD"/>
    <w:rsid w:val="00EB321D"/>
    <w:rsid w:val="00EB323B"/>
    <w:rsid w:val="00EB3253"/>
    <w:rsid w:val="00EB3284"/>
    <w:rsid w:val="00EB3312"/>
    <w:rsid w:val="00EB3370"/>
    <w:rsid w:val="00EB344A"/>
    <w:rsid w:val="00EB3457"/>
    <w:rsid w:val="00EB36DA"/>
    <w:rsid w:val="00EB3897"/>
    <w:rsid w:val="00EB3EEE"/>
    <w:rsid w:val="00EB3F8D"/>
    <w:rsid w:val="00EB3FC2"/>
    <w:rsid w:val="00EB41B4"/>
    <w:rsid w:val="00EB43B3"/>
    <w:rsid w:val="00EB4471"/>
    <w:rsid w:val="00EB4524"/>
    <w:rsid w:val="00EB4588"/>
    <w:rsid w:val="00EB45D2"/>
    <w:rsid w:val="00EB4676"/>
    <w:rsid w:val="00EB4951"/>
    <w:rsid w:val="00EB49EF"/>
    <w:rsid w:val="00EB4A3D"/>
    <w:rsid w:val="00EB4B9B"/>
    <w:rsid w:val="00EB4C58"/>
    <w:rsid w:val="00EB4C80"/>
    <w:rsid w:val="00EB4D72"/>
    <w:rsid w:val="00EB4D78"/>
    <w:rsid w:val="00EB4DC8"/>
    <w:rsid w:val="00EB4E4D"/>
    <w:rsid w:val="00EB4FBB"/>
    <w:rsid w:val="00EB5054"/>
    <w:rsid w:val="00EB50A9"/>
    <w:rsid w:val="00EB50DB"/>
    <w:rsid w:val="00EB50E0"/>
    <w:rsid w:val="00EB5219"/>
    <w:rsid w:val="00EB5285"/>
    <w:rsid w:val="00EB52D0"/>
    <w:rsid w:val="00EB53E1"/>
    <w:rsid w:val="00EB5688"/>
    <w:rsid w:val="00EB5690"/>
    <w:rsid w:val="00EB57F3"/>
    <w:rsid w:val="00EB586D"/>
    <w:rsid w:val="00EB5896"/>
    <w:rsid w:val="00EB5A3D"/>
    <w:rsid w:val="00EB5A7A"/>
    <w:rsid w:val="00EB5BA1"/>
    <w:rsid w:val="00EB5BBD"/>
    <w:rsid w:val="00EB5CDF"/>
    <w:rsid w:val="00EB5D1A"/>
    <w:rsid w:val="00EB5ED1"/>
    <w:rsid w:val="00EB5F53"/>
    <w:rsid w:val="00EB5FAA"/>
    <w:rsid w:val="00EB616F"/>
    <w:rsid w:val="00EB621C"/>
    <w:rsid w:val="00EB6507"/>
    <w:rsid w:val="00EB66E0"/>
    <w:rsid w:val="00EB6771"/>
    <w:rsid w:val="00EB68B9"/>
    <w:rsid w:val="00EB6A1D"/>
    <w:rsid w:val="00EB6D5F"/>
    <w:rsid w:val="00EB6EC0"/>
    <w:rsid w:val="00EB714A"/>
    <w:rsid w:val="00EB7223"/>
    <w:rsid w:val="00EB72B8"/>
    <w:rsid w:val="00EB7310"/>
    <w:rsid w:val="00EB7492"/>
    <w:rsid w:val="00EB774A"/>
    <w:rsid w:val="00EB78BB"/>
    <w:rsid w:val="00EB78E6"/>
    <w:rsid w:val="00EB7900"/>
    <w:rsid w:val="00EB79CE"/>
    <w:rsid w:val="00EB7BA7"/>
    <w:rsid w:val="00EB7CC6"/>
    <w:rsid w:val="00EB7CF2"/>
    <w:rsid w:val="00EB7E58"/>
    <w:rsid w:val="00EC0084"/>
    <w:rsid w:val="00EC028A"/>
    <w:rsid w:val="00EC0373"/>
    <w:rsid w:val="00EC043F"/>
    <w:rsid w:val="00EC066D"/>
    <w:rsid w:val="00EC0709"/>
    <w:rsid w:val="00EC07E8"/>
    <w:rsid w:val="00EC08E1"/>
    <w:rsid w:val="00EC09D4"/>
    <w:rsid w:val="00EC0A77"/>
    <w:rsid w:val="00EC0AEB"/>
    <w:rsid w:val="00EC0C74"/>
    <w:rsid w:val="00EC0D09"/>
    <w:rsid w:val="00EC0D22"/>
    <w:rsid w:val="00EC0D6C"/>
    <w:rsid w:val="00EC0E81"/>
    <w:rsid w:val="00EC106C"/>
    <w:rsid w:val="00EC1114"/>
    <w:rsid w:val="00EC12F2"/>
    <w:rsid w:val="00EC165E"/>
    <w:rsid w:val="00EC1822"/>
    <w:rsid w:val="00EC1A41"/>
    <w:rsid w:val="00EC1C0E"/>
    <w:rsid w:val="00EC1D97"/>
    <w:rsid w:val="00EC20C2"/>
    <w:rsid w:val="00EC22DF"/>
    <w:rsid w:val="00EC234A"/>
    <w:rsid w:val="00EC23FF"/>
    <w:rsid w:val="00EC2487"/>
    <w:rsid w:val="00EC271A"/>
    <w:rsid w:val="00EC2909"/>
    <w:rsid w:val="00EC2C4F"/>
    <w:rsid w:val="00EC2C6F"/>
    <w:rsid w:val="00EC3151"/>
    <w:rsid w:val="00EC3188"/>
    <w:rsid w:val="00EC3240"/>
    <w:rsid w:val="00EC32E9"/>
    <w:rsid w:val="00EC3334"/>
    <w:rsid w:val="00EC3416"/>
    <w:rsid w:val="00EC3570"/>
    <w:rsid w:val="00EC35A1"/>
    <w:rsid w:val="00EC36AF"/>
    <w:rsid w:val="00EC375A"/>
    <w:rsid w:val="00EC384A"/>
    <w:rsid w:val="00EC384F"/>
    <w:rsid w:val="00EC3AA9"/>
    <w:rsid w:val="00EC3CBD"/>
    <w:rsid w:val="00EC3E58"/>
    <w:rsid w:val="00EC3E5F"/>
    <w:rsid w:val="00EC3E75"/>
    <w:rsid w:val="00EC3FC1"/>
    <w:rsid w:val="00EC41E2"/>
    <w:rsid w:val="00EC4269"/>
    <w:rsid w:val="00EC4291"/>
    <w:rsid w:val="00EC4424"/>
    <w:rsid w:val="00EC4650"/>
    <w:rsid w:val="00EC4722"/>
    <w:rsid w:val="00EC4784"/>
    <w:rsid w:val="00EC488B"/>
    <w:rsid w:val="00EC4930"/>
    <w:rsid w:val="00EC4CEC"/>
    <w:rsid w:val="00EC4EA0"/>
    <w:rsid w:val="00EC4FB1"/>
    <w:rsid w:val="00EC5088"/>
    <w:rsid w:val="00EC523C"/>
    <w:rsid w:val="00EC527A"/>
    <w:rsid w:val="00EC5837"/>
    <w:rsid w:val="00EC58AE"/>
    <w:rsid w:val="00EC59A4"/>
    <w:rsid w:val="00EC5C01"/>
    <w:rsid w:val="00EC5E75"/>
    <w:rsid w:val="00EC6136"/>
    <w:rsid w:val="00EC6185"/>
    <w:rsid w:val="00EC63F7"/>
    <w:rsid w:val="00EC65E0"/>
    <w:rsid w:val="00EC6637"/>
    <w:rsid w:val="00EC68FD"/>
    <w:rsid w:val="00EC6B00"/>
    <w:rsid w:val="00EC6B84"/>
    <w:rsid w:val="00EC6C19"/>
    <w:rsid w:val="00EC6D16"/>
    <w:rsid w:val="00EC7058"/>
    <w:rsid w:val="00EC73D6"/>
    <w:rsid w:val="00EC756B"/>
    <w:rsid w:val="00EC7615"/>
    <w:rsid w:val="00EC768E"/>
    <w:rsid w:val="00EC77C0"/>
    <w:rsid w:val="00EC77DE"/>
    <w:rsid w:val="00EC7807"/>
    <w:rsid w:val="00EC7881"/>
    <w:rsid w:val="00EC7A03"/>
    <w:rsid w:val="00EC7B68"/>
    <w:rsid w:val="00EC7B82"/>
    <w:rsid w:val="00EC7D13"/>
    <w:rsid w:val="00EC7E6E"/>
    <w:rsid w:val="00ED021C"/>
    <w:rsid w:val="00ED0257"/>
    <w:rsid w:val="00ED02A4"/>
    <w:rsid w:val="00ED0373"/>
    <w:rsid w:val="00ED068D"/>
    <w:rsid w:val="00ED080E"/>
    <w:rsid w:val="00ED094D"/>
    <w:rsid w:val="00ED0ABA"/>
    <w:rsid w:val="00ED0C14"/>
    <w:rsid w:val="00ED0E8F"/>
    <w:rsid w:val="00ED0EA1"/>
    <w:rsid w:val="00ED0FD9"/>
    <w:rsid w:val="00ED0FF9"/>
    <w:rsid w:val="00ED103C"/>
    <w:rsid w:val="00ED118A"/>
    <w:rsid w:val="00ED11C1"/>
    <w:rsid w:val="00ED11DC"/>
    <w:rsid w:val="00ED138D"/>
    <w:rsid w:val="00ED14AD"/>
    <w:rsid w:val="00ED1575"/>
    <w:rsid w:val="00ED15A3"/>
    <w:rsid w:val="00ED1644"/>
    <w:rsid w:val="00ED164F"/>
    <w:rsid w:val="00ED178F"/>
    <w:rsid w:val="00ED18AE"/>
    <w:rsid w:val="00ED1B16"/>
    <w:rsid w:val="00ED1B97"/>
    <w:rsid w:val="00ED1DA1"/>
    <w:rsid w:val="00ED1DF4"/>
    <w:rsid w:val="00ED1F8B"/>
    <w:rsid w:val="00ED1FBD"/>
    <w:rsid w:val="00ED206D"/>
    <w:rsid w:val="00ED20A3"/>
    <w:rsid w:val="00ED20EF"/>
    <w:rsid w:val="00ED2208"/>
    <w:rsid w:val="00ED2400"/>
    <w:rsid w:val="00ED2408"/>
    <w:rsid w:val="00ED2567"/>
    <w:rsid w:val="00ED2609"/>
    <w:rsid w:val="00ED2A36"/>
    <w:rsid w:val="00ED2A82"/>
    <w:rsid w:val="00ED2A8E"/>
    <w:rsid w:val="00ED2CD0"/>
    <w:rsid w:val="00ED2F04"/>
    <w:rsid w:val="00ED2FEF"/>
    <w:rsid w:val="00ED30B6"/>
    <w:rsid w:val="00ED32F2"/>
    <w:rsid w:val="00ED361B"/>
    <w:rsid w:val="00ED3651"/>
    <w:rsid w:val="00ED382A"/>
    <w:rsid w:val="00ED3871"/>
    <w:rsid w:val="00ED3925"/>
    <w:rsid w:val="00ED39F7"/>
    <w:rsid w:val="00ED3B66"/>
    <w:rsid w:val="00ED3CFC"/>
    <w:rsid w:val="00ED3F2C"/>
    <w:rsid w:val="00ED4150"/>
    <w:rsid w:val="00ED4237"/>
    <w:rsid w:val="00ED473C"/>
    <w:rsid w:val="00ED4883"/>
    <w:rsid w:val="00ED489B"/>
    <w:rsid w:val="00ED4A47"/>
    <w:rsid w:val="00ED4BB9"/>
    <w:rsid w:val="00ED4C02"/>
    <w:rsid w:val="00ED4D53"/>
    <w:rsid w:val="00ED4D97"/>
    <w:rsid w:val="00ED4E24"/>
    <w:rsid w:val="00ED4E49"/>
    <w:rsid w:val="00ED515E"/>
    <w:rsid w:val="00ED5241"/>
    <w:rsid w:val="00ED53B7"/>
    <w:rsid w:val="00ED53EA"/>
    <w:rsid w:val="00ED5427"/>
    <w:rsid w:val="00ED54CF"/>
    <w:rsid w:val="00ED56AD"/>
    <w:rsid w:val="00ED580B"/>
    <w:rsid w:val="00ED58D6"/>
    <w:rsid w:val="00ED5A83"/>
    <w:rsid w:val="00ED5C1E"/>
    <w:rsid w:val="00ED5C68"/>
    <w:rsid w:val="00ED5EA8"/>
    <w:rsid w:val="00ED5F52"/>
    <w:rsid w:val="00ED614C"/>
    <w:rsid w:val="00ED618D"/>
    <w:rsid w:val="00ED61A1"/>
    <w:rsid w:val="00ED62CA"/>
    <w:rsid w:val="00ED6317"/>
    <w:rsid w:val="00ED6471"/>
    <w:rsid w:val="00ED6713"/>
    <w:rsid w:val="00ED673A"/>
    <w:rsid w:val="00ED67E9"/>
    <w:rsid w:val="00ED6A0F"/>
    <w:rsid w:val="00ED6A95"/>
    <w:rsid w:val="00ED6CD0"/>
    <w:rsid w:val="00ED6DD2"/>
    <w:rsid w:val="00ED6EBE"/>
    <w:rsid w:val="00ED6FB1"/>
    <w:rsid w:val="00ED710E"/>
    <w:rsid w:val="00ED720F"/>
    <w:rsid w:val="00ED73B4"/>
    <w:rsid w:val="00ED7414"/>
    <w:rsid w:val="00ED7415"/>
    <w:rsid w:val="00ED7616"/>
    <w:rsid w:val="00ED7619"/>
    <w:rsid w:val="00ED769D"/>
    <w:rsid w:val="00ED76A8"/>
    <w:rsid w:val="00ED7985"/>
    <w:rsid w:val="00ED7996"/>
    <w:rsid w:val="00ED7A0B"/>
    <w:rsid w:val="00ED7B3C"/>
    <w:rsid w:val="00ED7D4C"/>
    <w:rsid w:val="00ED7D59"/>
    <w:rsid w:val="00EE0205"/>
    <w:rsid w:val="00EE0275"/>
    <w:rsid w:val="00EE051C"/>
    <w:rsid w:val="00EE0574"/>
    <w:rsid w:val="00EE05F3"/>
    <w:rsid w:val="00EE07A0"/>
    <w:rsid w:val="00EE0AB3"/>
    <w:rsid w:val="00EE0CD0"/>
    <w:rsid w:val="00EE0D3C"/>
    <w:rsid w:val="00EE0EBD"/>
    <w:rsid w:val="00EE0F84"/>
    <w:rsid w:val="00EE12E9"/>
    <w:rsid w:val="00EE1369"/>
    <w:rsid w:val="00EE153F"/>
    <w:rsid w:val="00EE16D1"/>
    <w:rsid w:val="00EE1A6E"/>
    <w:rsid w:val="00EE1A9E"/>
    <w:rsid w:val="00EE1B12"/>
    <w:rsid w:val="00EE204C"/>
    <w:rsid w:val="00EE2503"/>
    <w:rsid w:val="00EE25AD"/>
    <w:rsid w:val="00EE2684"/>
    <w:rsid w:val="00EE26B6"/>
    <w:rsid w:val="00EE28A3"/>
    <w:rsid w:val="00EE2993"/>
    <w:rsid w:val="00EE29A0"/>
    <w:rsid w:val="00EE2A4F"/>
    <w:rsid w:val="00EE2AC1"/>
    <w:rsid w:val="00EE2BC5"/>
    <w:rsid w:val="00EE2BC8"/>
    <w:rsid w:val="00EE2BE6"/>
    <w:rsid w:val="00EE2D9A"/>
    <w:rsid w:val="00EE2E87"/>
    <w:rsid w:val="00EE34C2"/>
    <w:rsid w:val="00EE3719"/>
    <w:rsid w:val="00EE3725"/>
    <w:rsid w:val="00EE37DF"/>
    <w:rsid w:val="00EE39E4"/>
    <w:rsid w:val="00EE3A52"/>
    <w:rsid w:val="00EE3AC8"/>
    <w:rsid w:val="00EE3BD4"/>
    <w:rsid w:val="00EE3C74"/>
    <w:rsid w:val="00EE3FBC"/>
    <w:rsid w:val="00EE4042"/>
    <w:rsid w:val="00EE419E"/>
    <w:rsid w:val="00EE44BB"/>
    <w:rsid w:val="00EE44D4"/>
    <w:rsid w:val="00EE4AD5"/>
    <w:rsid w:val="00EE4C75"/>
    <w:rsid w:val="00EE4DA6"/>
    <w:rsid w:val="00EE4E17"/>
    <w:rsid w:val="00EE4E4F"/>
    <w:rsid w:val="00EE50FF"/>
    <w:rsid w:val="00EE523C"/>
    <w:rsid w:val="00EE529C"/>
    <w:rsid w:val="00EE5659"/>
    <w:rsid w:val="00EE5876"/>
    <w:rsid w:val="00EE5A72"/>
    <w:rsid w:val="00EE5AFB"/>
    <w:rsid w:val="00EE5BC3"/>
    <w:rsid w:val="00EE5D27"/>
    <w:rsid w:val="00EE5D36"/>
    <w:rsid w:val="00EE5D8D"/>
    <w:rsid w:val="00EE5DBF"/>
    <w:rsid w:val="00EE5E54"/>
    <w:rsid w:val="00EE5F3E"/>
    <w:rsid w:val="00EE602E"/>
    <w:rsid w:val="00EE610B"/>
    <w:rsid w:val="00EE6253"/>
    <w:rsid w:val="00EE6522"/>
    <w:rsid w:val="00EE665C"/>
    <w:rsid w:val="00EE676C"/>
    <w:rsid w:val="00EE67EA"/>
    <w:rsid w:val="00EE6B0C"/>
    <w:rsid w:val="00EE6B3D"/>
    <w:rsid w:val="00EE6B8B"/>
    <w:rsid w:val="00EE6E2F"/>
    <w:rsid w:val="00EE6F02"/>
    <w:rsid w:val="00EE6F3D"/>
    <w:rsid w:val="00EE7149"/>
    <w:rsid w:val="00EE716F"/>
    <w:rsid w:val="00EE7273"/>
    <w:rsid w:val="00EE72B9"/>
    <w:rsid w:val="00EE72E0"/>
    <w:rsid w:val="00EE738A"/>
    <w:rsid w:val="00EE73C3"/>
    <w:rsid w:val="00EE750C"/>
    <w:rsid w:val="00EE7613"/>
    <w:rsid w:val="00EE7699"/>
    <w:rsid w:val="00EE76BA"/>
    <w:rsid w:val="00EE783A"/>
    <w:rsid w:val="00EE79FB"/>
    <w:rsid w:val="00EE7A94"/>
    <w:rsid w:val="00EE7B77"/>
    <w:rsid w:val="00EE7E98"/>
    <w:rsid w:val="00EE7FB5"/>
    <w:rsid w:val="00EF0132"/>
    <w:rsid w:val="00EF028A"/>
    <w:rsid w:val="00EF03A0"/>
    <w:rsid w:val="00EF0652"/>
    <w:rsid w:val="00EF06D9"/>
    <w:rsid w:val="00EF089D"/>
    <w:rsid w:val="00EF0973"/>
    <w:rsid w:val="00EF0BA0"/>
    <w:rsid w:val="00EF0C0A"/>
    <w:rsid w:val="00EF0C72"/>
    <w:rsid w:val="00EF0C7D"/>
    <w:rsid w:val="00EF0C91"/>
    <w:rsid w:val="00EF0D96"/>
    <w:rsid w:val="00EF0DB9"/>
    <w:rsid w:val="00EF0E03"/>
    <w:rsid w:val="00EF0E07"/>
    <w:rsid w:val="00EF0E53"/>
    <w:rsid w:val="00EF0F90"/>
    <w:rsid w:val="00EF1111"/>
    <w:rsid w:val="00EF119A"/>
    <w:rsid w:val="00EF11AE"/>
    <w:rsid w:val="00EF11F3"/>
    <w:rsid w:val="00EF1352"/>
    <w:rsid w:val="00EF1380"/>
    <w:rsid w:val="00EF13F7"/>
    <w:rsid w:val="00EF149F"/>
    <w:rsid w:val="00EF151B"/>
    <w:rsid w:val="00EF168D"/>
    <w:rsid w:val="00EF1761"/>
    <w:rsid w:val="00EF186A"/>
    <w:rsid w:val="00EF191C"/>
    <w:rsid w:val="00EF197C"/>
    <w:rsid w:val="00EF1A8A"/>
    <w:rsid w:val="00EF1ACF"/>
    <w:rsid w:val="00EF1B15"/>
    <w:rsid w:val="00EF1C3E"/>
    <w:rsid w:val="00EF1CF9"/>
    <w:rsid w:val="00EF1E7F"/>
    <w:rsid w:val="00EF2107"/>
    <w:rsid w:val="00EF2146"/>
    <w:rsid w:val="00EF2338"/>
    <w:rsid w:val="00EF2343"/>
    <w:rsid w:val="00EF23E3"/>
    <w:rsid w:val="00EF25DD"/>
    <w:rsid w:val="00EF280C"/>
    <w:rsid w:val="00EF2A7B"/>
    <w:rsid w:val="00EF2AE8"/>
    <w:rsid w:val="00EF2AEC"/>
    <w:rsid w:val="00EF2B83"/>
    <w:rsid w:val="00EF2C20"/>
    <w:rsid w:val="00EF2CE6"/>
    <w:rsid w:val="00EF2E53"/>
    <w:rsid w:val="00EF2FF1"/>
    <w:rsid w:val="00EF3077"/>
    <w:rsid w:val="00EF308A"/>
    <w:rsid w:val="00EF314D"/>
    <w:rsid w:val="00EF342C"/>
    <w:rsid w:val="00EF357F"/>
    <w:rsid w:val="00EF358D"/>
    <w:rsid w:val="00EF369B"/>
    <w:rsid w:val="00EF36AC"/>
    <w:rsid w:val="00EF37B4"/>
    <w:rsid w:val="00EF37F2"/>
    <w:rsid w:val="00EF3C8A"/>
    <w:rsid w:val="00EF4050"/>
    <w:rsid w:val="00EF4131"/>
    <w:rsid w:val="00EF4137"/>
    <w:rsid w:val="00EF4208"/>
    <w:rsid w:val="00EF44D6"/>
    <w:rsid w:val="00EF44DF"/>
    <w:rsid w:val="00EF4598"/>
    <w:rsid w:val="00EF4640"/>
    <w:rsid w:val="00EF46E2"/>
    <w:rsid w:val="00EF46EB"/>
    <w:rsid w:val="00EF477F"/>
    <w:rsid w:val="00EF4965"/>
    <w:rsid w:val="00EF4A66"/>
    <w:rsid w:val="00EF4DE6"/>
    <w:rsid w:val="00EF4ECD"/>
    <w:rsid w:val="00EF4F70"/>
    <w:rsid w:val="00EF521E"/>
    <w:rsid w:val="00EF53AB"/>
    <w:rsid w:val="00EF54A3"/>
    <w:rsid w:val="00EF5639"/>
    <w:rsid w:val="00EF56DF"/>
    <w:rsid w:val="00EF5A23"/>
    <w:rsid w:val="00EF5D5A"/>
    <w:rsid w:val="00EF5E3B"/>
    <w:rsid w:val="00EF5E66"/>
    <w:rsid w:val="00EF5EA2"/>
    <w:rsid w:val="00EF60E7"/>
    <w:rsid w:val="00EF6358"/>
    <w:rsid w:val="00EF6555"/>
    <w:rsid w:val="00EF65B7"/>
    <w:rsid w:val="00EF66E7"/>
    <w:rsid w:val="00EF673F"/>
    <w:rsid w:val="00EF68F6"/>
    <w:rsid w:val="00EF6BAA"/>
    <w:rsid w:val="00EF6BE2"/>
    <w:rsid w:val="00EF6CD7"/>
    <w:rsid w:val="00EF6D7C"/>
    <w:rsid w:val="00EF6D8C"/>
    <w:rsid w:val="00EF6F63"/>
    <w:rsid w:val="00EF70AC"/>
    <w:rsid w:val="00EF718D"/>
    <w:rsid w:val="00EF7506"/>
    <w:rsid w:val="00EF757E"/>
    <w:rsid w:val="00EF766C"/>
    <w:rsid w:val="00EF77DC"/>
    <w:rsid w:val="00EF7A5A"/>
    <w:rsid w:val="00EF7A62"/>
    <w:rsid w:val="00EF7A7B"/>
    <w:rsid w:val="00EF7B6B"/>
    <w:rsid w:val="00EF7C7B"/>
    <w:rsid w:val="00EF7D5F"/>
    <w:rsid w:val="00EF7DAF"/>
    <w:rsid w:val="00EF7F20"/>
    <w:rsid w:val="00EF7F93"/>
    <w:rsid w:val="00EF7FEF"/>
    <w:rsid w:val="00F00088"/>
    <w:rsid w:val="00F002CB"/>
    <w:rsid w:val="00F002CF"/>
    <w:rsid w:val="00F0031F"/>
    <w:rsid w:val="00F00488"/>
    <w:rsid w:val="00F00627"/>
    <w:rsid w:val="00F007DF"/>
    <w:rsid w:val="00F00859"/>
    <w:rsid w:val="00F00A92"/>
    <w:rsid w:val="00F00D4C"/>
    <w:rsid w:val="00F0122C"/>
    <w:rsid w:val="00F013AF"/>
    <w:rsid w:val="00F0166C"/>
    <w:rsid w:val="00F0167D"/>
    <w:rsid w:val="00F01AAB"/>
    <w:rsid w:val="00F01AC1"/>
    <w:rsid w:val="00F01B36"/>
    <w:rsid w:val="00F01B3F"/>
    <w:rsid w:val="00F02095"/>
    <w:rsid w:val="00F02104"/>
    <w:rsid w:val="00F0215F"/>
    <w:rsid w:val="00F02165"/>
    <w:rsid w:val="00F021F7"/>
    <w:rsid w:val="00F022F5"/>
    <w:rsid w:val="00F02489"/>
    <w:rsid w:val="00F027A4"/>
    <w:rsid w:val="00F027B5"/>
    <w:rsid w:val="00F027E1"/>
    <w:rsid w:val="00F02E8A"/>
    <w:rsid w:val="00F02F20"/>
    <w:rsid w:val="00F0308C"/>
    <w:rsid w:val="00F03222"/>
    <w:rsid w:val="00F03251"/>
    <w:rsid w:val="00F0346F"/>
    <w:rsid w:val="00F03472"/>
    <w:rsid w:val="00F0350D"/>
    <w:rsid w:val="00F0391B"/>
    <w:rsid w:val="00F03A16"/>
    <w:rsid w:val="00F03AA6"/>
    <w:rsid w:val="00F03C2E"/>
    <w:rsid w:val="00F03C96"/>
    <w:rsid w:val="00F03D36"/>
    <w:rsid w:val="00F03D66"/>
    <w:rsid w:val="00F03E0D"/>
    <w:rsid w:val="00F03EBB"/>
    <w:rsid w:val="00F03F3E"/>
    <w:rsid w:val="00F03FE8"/>
    <w:rsid w:val="00F0418B"/>
    <w:rsid w:val="00F044BC"/>
    <w:rsid w:val="00F046A8"/>
    <w:rsid w:val="00F046ED"/>
    <w:rsid w:val="00F04849"/>
    <w:rsid w:val="00F04851"/>
    <w:rsid w:val="00F0488E"/>
    <w:rsid w:val="00F04AE9"/>
    <w:rsid w:val="00F04B39"/>
    <w:rsid w:val="00F04C11"/>
    <w:rsid w:val="00F04C32"/>
    <w:rsid w:val="00F04C4F"/>
    <w:rsid w:val="00F04DB1"/>
    <w:rsid w:val="00F04FF3"/>
    <w:rsid w:val="00F05044"/>
    <w:rsid w:val="00F05120"/>
    <w:rsid w:val="00F05160"/>
    <w:rsid w:val="00F0519F"/>
    <w:rsid w:val="00F051EA"/>
    <w:rsid w:val="00F052AE"/>
    <w:rsid w:val="00F052B9"/>
    <w:rsid w:val="00F0563E"/>
    <w:rsid w:val="00F056F5"/>
    <w:rsid w:val="00F0572E"/>
    <w:rsid w:val="00F0587A"/>
    <w:rsid w:val="00F05883"/>
    <w:rsid w:val="00F058CA"/>
    <w:rsid w:val="00F05D5B"/>
    <w:rsid w:val="00F05E3B"/>
    <w:rsid w:val="00F05FC2"/>
    <w:rsid w:val="00F066B6"/>
    <w:rsid w:val="00F0678F"/>
    <w:rsid w:val="00F06910"/>
    <w:rsid w:val="00F0692F"/>
    <w:rsid w:val="00F06ABE"/>
    <w:rsid w:val="00F06B6B"/>
    <w:rsid w:val="00F06DC3"/>
    <w:rsid w:val="00F06E0D"/>
    <w:rsid w:val="00F06F0C"/>
    <w:rsid w:val="00F06F3B"/>
    <w:rsid w:val="00F06FAB"/>
    <w:rsid w:val="00F07138"/>
    <w:rsid w:val="00F071F0"/>
    <w:rsid w:val="00F0731A"/>
    <w:rsid w:val="00F07326"/>
    <w:rsid w:val="00F0768B"/>
    <w:rsid w:val="00F0769A"/>
    <w:rsid w:val="00F07948"/>
    <w:rsid w:val="00F07A07"/>
    <w:rsid w:val="00F07A34"/>
    <w:rsid w:val="00F07C30"/>
    <w:rsid w:val="00F10059"/>
    <w:rsid w:val="00F1009B"/>
    <w:rsid w:val="00F100A3"/>
    <w:rsid w:val="00F101D9"/>
    <w:rsid w:val="00F10250"/>
    <w:rsid w:val="00F10368"/>
    <w:rsid w:val="00F10429"/>
    <w:rsid w:val="00F105C3"/>
    <w:rsid w:val="00F105C4"/>
    <w:rsid w:val="00F108FC"/>
    <w:rsid w:val="00F108FF"/>
    <w:rsid w:val="00F10925"/>
    <w:rsid w:val="00F1096E"/>
    <w:rsid w:val="00F10B4C"/>
    <w:rsid w:val="00F10BBC"/>
    <w:rsid w:val="00F10E62"/>
    <w:rsid w:val="00F10EB2"/>
    <w:rsid w:val="00F1110C"/>
    <w:rsid w:val="00F11197"/>
    <w:rsid w:val="00F1132E"/>
    <w:rsid w:val="00F1136F"/>
    <w:rsid w:val="00F11399"/>
    <w:rsid w:val="00F113AE"/>
    <w:rsid w:val="00F113D0"/>
    <w:rsid w:val="00F114CC"/>
    <w:rsid w:val="00F114E1"/>
    <w:rsid w:val="00F115CF"/>
    <w:rsid w:val="00F1175E"/>
    <w:rsid w:val="00F117EB"/>
    <w:rsid w:val="00F11863"/>
    <w:rsid w:val="00F11B3E"/>
    <w:rsid w:val="00F11BE0"/>
    <w:rsid w:val="00F11C04"/>
    <w:rsid w:val="00F11C4B"/>
    <w:rsid w:val="00F11D35"/>
    <w:rsid w:val="00F122AF"/>
    <w:rsid w:val="00F12312"/>
    <w:rsid w:val="00F1240F"/>
    <w:rsid w:val="00F1243D"/>
    <w:rsid w:val="00F12502"/>
    <w:rsid w:val="00F126C7"/>
    <w:rsid w:val="00F1276A"/>
    <w:rsid w:val="00F12876"/>
    <w:rsid w:val="00F128E0"/>
    <w:rsid w:val="00F1290A"/>
    <w:rsid w:val="00F12917"/>
    <w:rsid w:val="00F129FF"/>
    <w:rsid w:val="00F12A6D"/>
    <w:rsid w:val="00F12AB5"/>
    <w:rsid w:val="00F12F36"/>
    <w:rsid w:val="00F1329B"/>
    <w:rsid w:val="00F13438"/>
    <w:rsid w:val="00F136AB"/>
    <w:rsid w:val="00F1380F"/>
    <w:rsid w:val="00F13848"/>
    <w:rsid w:val="00F138B4"/>
    <w:rsid w:val="00F13926"/>
    <w:rsid w:val="00F13C3D"/>
    <w:rsid w:val="00F13CD4"/>
    <w:rsid w:val="00F13FE1"/>
    <w:rsid w:val="00F1411B"/>
    <w:rsid w:val="00F1449A"/>
    <w:rsid w:val="00F144BA"/>
    <w:rsid w:val="00F147E0"/>
    <w:rsid w:val="00F14806"/>
    <w:rsid w:val="00F1481C"/>
    <w:rsid w:val="00F148F7"/>
    <w:rsid w:val="00F14B20"/>
    <w:rsid w:val="00F14DFA"/>
    <w:rsid w:val="00F14F7A"/>
    <w:rsid w:val="00F15244"/>
    <w:rsid w:val="00F154AA"/>
    <w:rsid w:val="00F15520"/>
    <w:rsid w:val="00F15559"/>
    <w:rsid w:val="00F159C5"/>
    <w:rsid w:val="00F15D41"/>
    <w:rsid w:val="00F15DA7"/>
    <w:rsid w:val="00F15E1A"/>
    <w:rsid w:val="00F15E57"/>
    <w:rsid w:val="00F15EB4"/>
    <w:rsid w:val="00F15FC1"/>
    <w:rsid w:val="00F160E1"/>
    <w:rsid w:val="00F160EE"/>
    <w:rsid w:val="00F1620E"/>
    <w:rsid w:val="00F162CC"/>
    <w:rsid w:val="00F16648"/>
    <w:rsid w:val="00F166A0"/>
    <w:rsid w:val="00F167D2"/>
    <w:rsid w:val="00F167E5"/>
    <w:rsid w:val="00F1682C"/>
    <w:rsid w:val="00F1682D"/>
    <w:rsid w:val="00F16891"/>
    <w:rsid w:val="00F169BA"/>
    <w:rsid w:val="00F169EE"/>
    <w:rsid w:val="00F16A9A"/>
    <w:rsid w:val="00F16BB6"/>
    <w:rsid w:val="00F16BC8"/>
    <w:rsid w:val="00F16BF8"/>
    <w:rsid w:val="00F16E14"/>
    <w:rsid w:val="00F16E28"/>
    <w:rsid w:val="00F16E53"/>
    <w:rsid w:val="00F17C17"/>
    <w:rsid w:val="00F17EE5"/>
    <w:rsid w:val="00F2003B"/>
    <w:rsid w:val="00F2006F"/>
    <w:rsid w:val="00F200D1"/>
    <w:rsid w:val="00F2017F"/>
    <w:rsid w:val="00F201D5"/>
    <w:rsid w:val="00F20303"/>
    <w:rsid w:val="00F2032D"/>
    <w:rsid w:val="00F2046F"/>
    <w:rsid w:val="00F20492"/>
    <w:rsid w:val="00F204F4"/>
    <w:rsid w:val="00F208AA"/>
    <w:rsid w:val="00F208AD"/>
    <w:rsid w:val="00F20A69"/>
    <w:rsid w:val="00F20CA6"/>
    <w:rsid w:val="00F20CA9"/>
    <w:rsid w:val="00F20D5D"/>
    <w:rsid w:val="00F20E56"/>
    <w:rsid w:val="00F20EF7"/>
    <w:rsid w:val="00F20F1A"/>
    <w:rsid w:val="00F20F8B"/>
    <w:rsid w:val="00F21200"/>
    <w:rsid w:val="00F21490"/>
    <w:rsid w:val="00F21549"/>
    <w:rsid w:val="00F215BA"/>
    <w:rsid w:val="00F215DD"/>
    <w:rsid w:val="00F21620"/>
    <w:rsid w:val="00F21666"/>
    <w:rsid w:val="00F217AF"/>
    <w:rsid w:val="00F21997"/>
    <w:rsid w:val="00F21BF7"/>
    <w:rsid w:val="00F21C2B"/>
    <w:rsid w:val="00F21D24"/>
    <w:rsid w:val="00F21DF3"/>
    <w:rsid w:val="00F21F55"/>
    <w:rsid w:val="00F22167"/>
    <w:rsid w:val="00F2231A"/>
    <w:rsid w:val="00F2235F"/>
    <w:rsid w:val="00F223C6"/>
    <w:rsid w:val="00F223F7"/>
    <w:rsid w:val="00F224CB"/>
    <w:rsid w:val="00F22515"/>
    <w:rsid w:val="00F22536"/>
    <w:rsid w:val="00F2278D"/>
    <w:rsid w:val="00F22C98"/>
    <w:rsid w:val="00F22CAD"/>
    <w:rsid w:val="00F22D35"/>
    <w:rsid w:val="00F22D5E"/>
    <w:rsid w:val="00F22DC0"/>
    <w:rsid w:val="00F22F2B"/>
    <w:rsid w:val="00F22F6F"/>
    <w:rsid w:val="00F22F88"/>
    <w:rsid w:val="00F231D6"/>
    <w:rsid w:val="00F232C3"/>
    <w:rsid w:val="00F235F6"/>
    <w:rsid w:val="00F237D4"/>
    <w:rsid w:val="00F23A89"/>
    <w:rsid w:val="00F23A91"/>
    <w:rsid w:val="00F23AE0"/>
    <w:rsid w:val="00F23B56"/>
    <w:rsid w:val="00F23D3C"/>
    <w:rsid w:val="00F23D62"/>
    <w:rsid w:val="00F23D7A"/>
    <w:rsid w:val="00F23DED"/>
    <w:rsid w:val="00F23F85"/>
    <w:rsid w:val="00F23F91"/>
    <w:rsid w:val="00F23FEA"/>
    <w:rsid w:val="00F2412A"/>
    <w:rsid w:val="00F243A6"/>
    <w:rsid w:val="00F24444"/>
    <w:rsid w:val="00F2446B"/>
    <w:rsid w:val="00F24698"/>
    <w:rsid w:val="00F246B5"/>
    <w:rsid w:val="00F2481E"/>
    <w:rsid w:val="00F24A56"/>
    <w:rsid w:val="00F24ADB"/>
    <w:rsid w:val="00F24C79"/>
    <w:rsid w:val="00F24CA0"/>
    <w:rsid w:val="00F24FD9"/>
    <w:rsid w:val="00F24FEE"/>
    <w:rsid w:val="00F25602"/>
    <w:rsid w:val="00F25811"/>
    <w:rsid w:val="00F258EA"/>
    <w:rsid w:val="00F25912"/>
    <w:rsid w:val="00F25A07"/>
    <w:rsid w:val="00F25FFD"/>
    <w:rsid w:val="00F26074"/>
    <w:rsid w:val="00F260FA"/>
    <w:rsid w:val="00F26116"/>
    <w:rsid w:val="00F26202"/>
    <w:rsid w:val="00F26283"/>
    <w:rsid w:val="00F26419"/>
    <w:rsid w:val="00F26423"/>
    <w:rsid w:val="00F2655F"/>
    <w:rsid w:val="00F2666B"/>
    <w:rsid w:val="00F2673A"/>
    <w:rsid w:val="00F2678F"/>
    <w:rsid w:val="00F267A9"/>
    <w:rsid w:val="00F267C4"/>
    <w:rsid w:val="00F2697B"/>
    <w:rsid w:val="00F26C99"/>
    <w:rsid w:val="00F26D68"/>
    <w:rsid w:val="00F26DD6"/>
    <w:rsid w:val="00F26FF7"/>
    <w:rsid w:val="00F26FFE"/>
    <w:rsid w:val="00F2700A"/>
    <w:rsid w:val="00F2708B"/>
    <w:rsid w:val="00F27099"/>
    <w:rsid w:val="00F27126"/>
    <w:rsid w:val="00F27186"/>
    <w:rsid w:val="00F271AB"/>
    <w:rsid w:val="00F272EC"/>
    <w:rsid w:val="00F27453"/>
    <w:rsid w:val="00F27BED"/>
    <w:rsid w:val="00F27C90"/>
    <w:rsid w:val="00F27CD7"/>
    <w:rsid w:val="00F27DF7"/>
    <w:rsid w:val="00F27E9D"/>
    <w:rsid w:val="00F27EDE"/>
    <w:rsid w:val="00F27F36"/>
    <w:rsid w:val="00F27FB3"/>
    <w:rsid w:val="00F30010"/>
    <w:rsid w:val="00F3023F"/>
    <w:rsid w:val="00F302CB"/>
    <w:rsid w:val="00F302CD"/>
    <w:rsid w:val="00F30540"/>
    <w:rsid w:val="00F30921"/>
    <w:rsid w:val="00F309DE"/>
    <w:rsid w:val="00F30A81"/>
    <w:rsid w:val="00F30BF8"/>
    <w:rsid w:val="00F30C64"/>
    <w:rsid w:val="00F30CC9"/>
    <w:rsid w:val="00F30D3C"/>
    <w:rsid w:val="00F30D72"/>
    <w:rsid w:val="00F30F16"/>
    <w:rsid w:val="00F31005"/>
    <w:rsid w:val="00F310F1"/>
    <w:rsid w:val="00F3110B"/>
    <w:rsid w:val="00F31264"/>
    <w:rsid w:val="00F31358"/>
    <w:rsid w:val="00F3148D"/>
    <w:rsid w:val="00F315C3"/>
    <w:rsid w:val="00F31B12"/>
    <w:rsid w:val="00F31F83"/>
    <w:rsid w:val="00F32126"/>
    <w:rsid w:val="00F32417"/>
    <w:rsid w:val="00F32647"/>
    <w:rsid w:val="00F32749"/>
    <w:rsid w:val="00F32934"/>
    <w:rsid w:val="00F32B87"/>
    <w:rsid w:val="00F32BCA"/>
    <w:rsid w:val="00F32D25"/>
    <w:rsid w:val="00F32DFF"/>
    <w:rsid w:val="00F32E22"/>
    <w:rsid w:val="00F32E2F"/>
    <w:rsid w:val="00F3310C"/>
    <w:rsid w:val="00F33231"/>
    <w:rsid w:val="00F3334C"/>
    <w:rsid w:val="00F33352"/>
    <w:rsid w:val="00F33461"/>
    <w:rsid w:val="00F335A2"/>
    <w:rsid w:val="00F336CC"/>
    <w:rsid w:val="00F338AF"/>
    <w:rsid w:val="00F339BD"/>
    <w:rsid w:val="00F33A76"/>
    <w:rsid w:val="00F33AC2"/>
    <w:rsid w:val="00F33B61"/>
    <w:rsid w:val="00F33B9A"/>
    <w:rsid w:val="00F33C0A"/>
    <w:rsid w:val="00F33CB4"/>
    <w:rsid w:val="00F33F00"/>
    <w:rsid w:val="00F3410A"/>
    <w:rsid w:val="00F341A0"/>
    <w:rsid w:val="00F342B7"/>
    <w:rsid w:val="00F343A6"/>
    <w:rsid w:val="00F344B9"/>
    <w:rsid w:val="00F34564"/>
    <w:rsid w:val="00F345D9"/>
    <w:rsid w:val="00F34632"/>
    <w:rsid w:val="00F347AE"/>
    <w:rsid w:val="00F34951"/>
    <w:rsid w:val="00F349B3"/>
    <w:rsid w:val="00F34D58"/>
    <w:rsid w:val="00F34FB7"/>
    <w:rsid w:val="00F3516B"/>
    <w:rsid w:val="00F351C5"/>
    <w:rsid w:val="00F352E3"/>
    <w:rsid w:val="00F353FB"/>
    <w:rsid w:val="00F356EB"/>
    <w:rsid w:val="00F35842"/>
    <w:rsid w:val="00F3589D"/>
    <w:rsid w:val="00F358F9"/>
    <w:rsid w:val="00F35B3A"/>
    <w:rsid w:val="00F35BDA"/>
    <w:rsid w:val="00F35C2F"/>
    <w:rsid w:val="00F35D7D"/>
    <w:rsid w:val="00F35E5B"/>
    <w:rsid w:val="00F36061"/>
    <w:rsid w:val="00F36117"/>
    <w:rsid w:val="00F362F3"/>
    <w:rsid w:val="00F3632A"/>
    <w:rsid w:val="00F363A4"/>
    <w:rsid w:val="00F363EA"/>
    <w:rsid w:val="00F36406"/>
    <w:rsid w:val="00F365E1"/>
    <w:rsid w:val="00F3689A"/>
    <w:rsid w:val="00F36A1E"/>
    <w:rsid w:val="00F36AF2"/>
    <w:rsid w:val="00F36B26"/>
    <w:rsid w:val="00F36D32"/>
    <w:rsid w:val="00F36D49"/>
    <w:rsid w:val="00F36F4B"/>
    <w:rsid w:val="00F3700F"/>
    <w:rsid w:val="00F37043"/>
    <w:rsid w:val="00F370DF"/>
    <w:rsid w:val="00F3719F"/>
    <w:rsid w:val="00F371CF"/>
    <w:rsid w:val="00F3724A"/>
    <w:rsid w:val="00F3737E"/>
    <w:rsid w:val="00F37510"/>
    <w:rsid w:val="00F37600"/>
    <w:rsid w:val="00F37770"/>
    <w:rsid w:val="00F377C1"/>
    <w:rsid w:val="00F37914"/>
    <w:rsid w:val="00F379CE"/>
    <w:rsid w:val="00F37A14"/>
    <w:rsid w:val="00F37A77"/>
    <w:rsid w:val="00F37AB3"/>
    <w:rsid w:val="00F37D31"/>
    <w:rsid w:val="00F37E32"/>
    <w:rsid w:val="00F37E3E"/>
    <w:rsid w:val="00F37F31"/>
    <w:rsid w:val="00F4003E"/>
    <w:rsid w:val="00F400C8"/>
    <w:rsid w:val="00F40306"/>
    <w:rsid w:val="00F40457"/>
    <w:rsid w:val="00F4091B"/>
    <w:rsid w:val="00F40B8D"/>
    <w:rsid w:val="00F40BBD"/>
    <w:rsid w:val="00F40C0C"/>
    <w:rsid w:val="00F40C14"/>
    <w:rsid w:val="00F40E3D"/>
    <w:rsid w:val="00F40E57"/>
    <w:rsid w:val="00F40F9B"/>
    <w:rsid w:val="00F41055"/>
    <w:rsid w:val="00F4114B"/>
    <w:rsid w:val="00F41191"/>
    <w:rsid w:val="00F4123F"/>
    <w:rsid w:val="00F41448"/>
    <w:rsid w:val="00F414E7"/>
    <w:rsid w:val="00F414F1"/>
    <w:rsid w:val="00F415AE"/>
    <w:rsid w:val="00F41607"/>
    <w:rsid w:val="00F41644"/>
    <w:rsid w:val="00F41976"/>
    <w:rsid w:val="00F41C4B"/>
    <w:rsid w:val="00F41DB4"/>
    <w:rsid w:val="00F41DD3"/>
    <w:rsid w:val="00F41F17"/>
    <w:rsid w:val="00F41F59"/>
    <w:rsid w:val="00F41F86"/>
    <w:rsid w:val="00F41F93"/>
    <w:rsid w:val="00F421FC"/>
    <w:rsid w:val="00F42328"/>
    <w:rsid w:val="00F42354"/>
    <w:rsid w:val="00F424AE"/>
    <w:rsid w:val="00F42508"/>
    <w:rsid w:val="00F425B3"/>
    <w:rsid w:val="00F42775"/>
    <w:rsid w:val="00F42807"/>
    <w:rsid w:val="00F42855"/>
    <w:rsid w:val="00F429B8"/>
    <w:rsid w:val="00F42C39"/>
    <w:rsid w:val="00F42FD2"/>
    <w:rsid w:val="00F4301D"/>
    <w:rsid w:val="00F430AC"/>
    <w:rsid w:val="00F4312D"/>
    <w:rsid w:val="00F43288"/>
    <w:rsid w:val="00F433BC"/>
    <w:rsid w:val="00F43405"/>
    <w:rsid w:val="00F43633"/>
    <w:rsid w:val="00F43790"/>
    <w:rsid w:val="00F439B2"/>
    <w:rsid w:val="00F43DF5"/>
    <w:rsid w:val="00F43EEC"/>
    <w:rsid w:val="00F43FFC"/>
    <w:rsid w:val="00F44028"/>
    <w:rsid w:val="00F442C2"/>
    <w:rsid w:val="00F443D2"/>
    <w:rsid w:val="00F44559"/>
    <w:rsid w:val="00F445A9"/>
    <w:rsid w:val="00F44628"/>
    <w:rsid w:val="00F4475C"/>
    <w:rsid w:val="00F4498C"/>
    <w:rsid w:val="00F44BAD"/>
    <w:rsid w:val="00F44BC1"/>
    <w:rsid w:val="00F44C8C"/>
    <w:rsid w:val="00F44F9A"/>
    <w:rsid w:val="00F44FE2"/>
    <w:rsid w:val="00F451FC"/>
    <w:rsid w:val="00F452C0"/>
    <w:rsid w:val="00F452C5"/>
    <w:rsid w:val="00F45529"/>
    <w:rsid w:val="00F455CA"/>
    <w:rsid w:val="00F45728"/>
    <w:rsid w:val="00F45878"/>
    <w:rsid w:val="00F45AA2"/>
    <w:rsid w:val="00F45B46"/>
    <w:rsid w:val="00F45D3F"/>
    <w:rsid w:val="00F45FCA"/>
    <w:rsid w:val="00F460F7"/>
    <w:rsid w:val="00F4652A"/>
    <w:rsid w:val="00F465A3"/>
    <w:rsid w:val="00F4682D"/>
    <w:rsid w:val="00F46CF9"/>
    <w:rsid w:val="00F46F8F"/>
    <w:rsid w:val="00F47279"/>
    <w:rsid w:val="00F473D1"/>
    <w:rsid w:val="00F474BB"/>
    <w:rsid w:val="00F4755A"/>
    <w:rsid w:val="00F475F4"/>
    <w:rsid w:val="00F4764C"/>
    <w:rsid w:val="00F476F1"/>
    <w:rsid w:val="00F47796"/>
    <w:rsid w:val="00F4782E"/>
    <w:rsid w:val="00F47B40"/>
    <w:rsid w:val="00F47C84"/>
    <w:rsid w:val="00F47E2A"/>
    <w:rsid w:val="00F47EBF"/>
    <w:rsid w:val="00F47F50"/>
    <w:rsid w:val="00F50125"/>
    <w:rsid w:val="00F50321"/>
    <w:rsid w:val="00F50431"/>
    <w:rsid w:val="00F504A2"/>
    <w:rsid w:val="00F504B4"/>
    <w:rsid w:val="00F5061A"/>
    <w:rsid w:val="00F50693"/>
    <w:rsid w:val="00F50841"/>
    <w:rsid w:val="00F509F5"/>
    <w:rsid w:val="00F50BF2"/>
    <w:rsid w:val="00F50C3B"/>
    <w:rsid w:val="00F50CB2"/>
    <w:rsid w:val="00F50FE0"/>
    <w:rsid w:val="00F51058"/>
    <w:rsid w:val="00F510E0"/>
    <w:rsid w:val="00F511AA"/>
    <w:rsid w:val="00F51281"/>
    <w:rsid w:val="00F512D1"/>
    <w:rsid w:val="00F51316"/>
    <w:rsid w:val="00F519E2"/>
    <w:rsid w:val="00F51A32"/>
    <w:rsid w:val="00F51B62"/>
    <w:rsid w:val="00F51C06"/>
    <w:rsid w:val="00F51C68"/>
    <w:rsid w:val="00F51C77"/>
    <w:rsid w:val="00F51DC8"/>
    <w:rsid w:val="00F51E88"/>
    <w:rsid w:val="00F5205A"/>
    <w:rsid w:val="00F520F5"/>
    <w:rsid w:val="00F523A7"/>
    <w:rsid w:val="00F5243A"/>
    <w:rsid w:val="00F5256A"/>
    <w:rsid w:val="00F52824"/>
    <w:rsid w:val="00F52860"/>
    <w:rsid w:val="00F52A47"/>
    <w:rsid w:val="00F52DD1"/>
    <w:rsid w:val="00F52F39"/>
    <w:rsid w:val="00F52F40"/>
    <w:rsid w:val="00F52F6E"/>
    <w:rsid w:val="00F52FAD"/>
    <w:rsid w:val="00F530C7"/>
    <w:rsid w:val="00F530D0"/>
    <w:rsid w:val="00F5319B"/>
    <w:rsid w:val="00F532BE"/>
    <w:rsid w:val="00F534FC"/>
    <w:rsid w:val="00F53C5E"/>
    <w:rsid w:val="00F53CDA"/>
    <w:rsid w:val="00F53CFA"/>
    <w:rsid w:val="00F53E3E"/>
    <w:rsid w:val="00F53ECB"/>
    <w:rsid w:val="00F53F4C"/>
    <w:rsid w:val="00F54006"/>
    <w:rsid w:val="00F54307"/>
    <w:rsid w:val="00F544C2"/>
    <w:rsid w:val="00F545BB"/>
    <w:rsid w:val="00F545F0"/>
    <w:rsid w:val="00F5477F"/>
    <w:rsid w:val="00F54801"/>
    <w:rsid w:val="00F548A6"/>
    <w:rsid w:val="00F548BC"/>
    <w:rsid w:val="00F5492F"/>
    <w:rsid w:val="00F54A12"/>
    <w:rsid w:val="00F54BE8"/>
    <w:rsid w:val="00F54ECA"/>
    <w:rsid w:val="00F54F63"/>
    <w:rsid w:val="00F55072"/>
    <w:rsid w:val="00F550B7"/>
    <w:rsid w:val="00F5521A"/>
    <w:rsid w:val="00F55278"/>
    <w:rsid w:val="00F55319"/>
    <w:rsid w:val="00F554AA"/>
    <w:rsid w:val="00F5563C"/>
    <w:rsid w:val="00F55772"/>
    <w:rsid w:val="00F55991"/>
    <w:rsid w:val="00F55A34"/>
    <w:rsid w:val="00F55ADF"/>
    <w:rsid w:val="00F55BAB"/>
    <w:rsid w:val="00F55DEA"/>
    <w:rsid w:val="00F561EE"/>
    <w:rsid w:val="00F5624B"/>
    <w:rsid w:val="00F562D4"/>
    <w:rsid w:val="00F5632A"/>
    <w:rsid w:val="00F563F5"/>
    <w:rsid w:val="00F564F7"/>
    <w:rsid w:val="00F56783"/>
    <w:rsid w:val="00F56AC0"/>
    <w:rsid w:val="00F56CA4"/>
    <w:rsid w:val="00F56E31"/>
    <w:rsid w:val="00F56E94"/>
    <w:rsid w:val="00F56F0C"/>
    <w:rsid w:val="00F56F1F"/>
    <w:rsid w:val="00F57074"/>
    <w:rsid w:val="00F5724A"/>
    <w:rsid w:val="00F57413"/>
    <w:rsid w:val="00F57581"/>
    <w:rsid w:val="00F575CF"/>
    <w:rsid w:val="00F57E26"/>
    <w:rsid w:val="00F57F04"/>
    <w:rsid w:val="00F60095"/>
    <w:rsid w:val="00F6018F"/>
    <w:rsid w:val="00F60204"/>
    <w:rsid w:val="00F60370"/>
    <w:rsid w:val="00F603C4"/>
    <w:rsid w:val="00F6081B"/>
    <w:rsid w:val="00F60830"/>
    <w:rsid w:val="00F608E6"/>
    <w:rsid w:val="00F60BE5"/>
    <w:rsid w:val="00F60CEF"/>
    <w:rsid w:val="00F60D97"/>
    <w:rsid w:val="00F60F34"/>
    <w:rsid w:val="00F61003"/>
    <w:rsid w:val="00F61127"/>
    <w:rsid w:val="00F613B6"/>
    <w:rsid w:val="00F61415"/>
    <w:rsid w:val="00F6178D"/>
    <w:rsid w:val="00F6180D"/>
    <w:rsid w:val="00F61A5B"/>
    <w:rsid w:val="00F61AC1"/>
    <w:rsid w:val="00F61C90"/>
    <w:rsid w:val="00F61CEB"/>
    <w:rsid w:val="00F61D2C"/>
    <w:rsid w:val="00F61D33"/>
    <w:rsid w:val="00F61D59"/>
    <w:rsid w:val="00F61DC0"/>
    <w:rsid w:val="00F61DC2"/>
    <w:rsid w:val="00F61E44"/>
    <w:rsid w:val="00F61E47"/>
    <w:rsid w:val="00F61E84"/>
    <w:rsid w:val="00F62111"/>
    <w:rsid w:val="00F624CB"/>
    <w:rsid w:val="00F62572"/>
    <w:rsid w:val="00F62987"/>
    <w:rsid w:val="00F62AEE"/>
    <w:rsid w:val="00F62C8C"/>
    <w:rsid w:val="00F62D0E"/>
    <w:rsid w:val="00F62D76"/>
    <w:rsid w:val="00F6324D"/>
    <w:rsid w:val="00F6340A"/>
    <w:rsid w:val="00F6345D"/>
    <w:rsid w:val="00F635B8"/>
    <w:rsid w:val="00F636C7"/>
    <w:rsid w:val="00F63707"/>
    <w:rsid w:val="00F63A0B"/>
    <w:rsid w:val="00F63CC7"/>
    <w:rsid w:val="00F63D37"/>
    <w:rsid w:val="00F64005"/>
    <w:rsid w:val="00F64112"/>
    <w:rsid w:val="00F6427F"/>
    <w:rsid w:val="00F6445B"/>
    <w:rsid w:val="00F645CA"/>
    <w:rsid w:val="00F646A2"/>
    <w:rsid w:val="00F6478D"/>
    <w:rsid w:val="00F64B9C"/>
    <w:rsid w:val="00F64C51"/>
    <w:rsid w:val="00F64FF8"/>
    <w:rsid w:val="00F651AB"/>
    <w:rsid w:val="00F651C0"/>
    <w:rsid w:val="00F65239"/>
    <w:rsid w:val="00F652EC"/>
    <w:rsid w:val="00F6542C"/>
    <w:rsid w:val="00F65499"/>
    <w:rsid w:val="00F65814"/>
    <w:rsid w:val="00F65887"/>
    <w:rsid w:val="00F658B0"/>
    <w:rsid w:val="00F65919"/>
    <w:rsid w:val="00F65AC3"/>
    <w:rsid w:val="00F65BF4"/>
    <w:rsid w:val="00F65C74"/>
    <w:rsid w:val="00F65CD0"/>
    <w:rsid w:val="00F65D70"/>
    <w:rsid w:val="00F65DB0"/>
    <w:rsid w:val="00F65E07"/>
    <w:rsid w:val="00F65FD1"/>
    <w:rsid w:val="00F660CD"/>
    <w:rsid w:val="00F6632D"/>
    <w:rsid w:val="00F66366"/>
    <w:rsid w:val="00F6637B"/>
    <w:rsid w:val="00F66519"/>
    <w:rsid w:val="00F6652A"/>
    <w:rsid w:val="00F6669E"/>
    <w:rsid w:val="00F6672B"/>
    <w:rsid w:val="00F66A38"/>
    <w:rsid w:val="00F66BB5"/>
    <w:rsid w:val="00F66C42"/>
    <w:rsid w:val="00F66CBB"/>
    <w:rsid w:val="00F66D73"/>
    <w:rsid w:val="00F66ED5"/>
    <w:rsid w:val="00F6704F"/>
    <w:rsid w:val="00F67075"/>
    <w:rsid w:val="00F67189"/>
    <w:rsid w:val="00F6722D"/>
    <w:rsid w:val="00F67382"/>
    <w:rsid w:val="00F676AE"/>
    <w:rsid w:val="00F677AB"/>
    <w:rsid w:val="00F67CB4"/>
    <w:rsid w:val="00F67CB5"/>
    <w:rsid w:val="00F67D0E"/>
    <w:rsid w:val="00F67F63"/>
    <w:rsid w:val="00F700D7"/>
    <w:rsid w:val="00F700F4"/>
    <w:rsid w:val="00F70218"/>
    <w:rsid w:val="00F7028B"/>
    <w:rsid w:val="00F703F1"/>
    <w:rsid w:val="00F70472"/>
    <w:rsid w:val="00F70548"/>
    <w:rsid w:val="00F705CE"/>
    <w:rsid w:val="00F70B4C"/>
    <w:rsid w:val="00F70B4E"/>
    <w:rsid w:val="00F70D3E"/>
    <w:rsid w:val="00F70E78"/>
    <w:rsid w:val="00F70F70"/>
    <w:rsid w:val="00F71079"/>
    <w:rsid w:val="00F711A6"/>
    <w:rsid w:val="00F7126A"/>
    <w:rsid w:val="00F71313"/>
    <w:rsid w:val="00F7133C"/>
    <w:rsid w:val="00F71413"/>
    <w:rsid w:val="00F714D6"/>
    <w:rsid w:val="00F718BE"/>
    <w:rsid w:val="00F71916"/>
    <w:rsid w:val="00F7195E"/>
    <w:rsid w:val="00F71979"/>
    <w:rsid w:val="00F71A1D"/>
    <w:rsid w:val="00F71A6E"/>
    <w:rsid w:val="00F71EBD"/>
    <w:rsid w:val="00F7200F"/>
    <w:rsid w:val="00F72115"/>
    <w:rsid w:val="00F72183"/>
    <w:rsid w:val="00F72605"/>
    <w:rsid w:val="00F7268E"/>
    <w:rsid w:val="00F72786"/>
    <w:rsid w:val="00F729C8"/>
    <w:rsid w:val="00F7304E"/>
    <w:rsid w:val="00F7308A"/>
    <w:rsid w:val="00F73294"/>
    <w:rsid w:val="00F7333B"/>
    <w:rsid w:val="00F73520"/>
    <w:rsid w:val="00F7364F"/>
    <w:rsid w:val="00F738C1"/>
    <w:rsid w:val="00F73935"/>
    <w:rsid w:val="00F73954"/>
    <w:rsid w:val="00F73A59"/>
    <w:rsid w:val="00F73AC7"/>
    <w:rsid w:val="00F73C50"/>
    <w:rsid w:val="00F73FCE"/>
    <w:rsid w:val="00F740EB"/>
    <w:rsid w:val="00F74224"/>
    <w:rsid w:val="00F74297"/>
    <w:rsid w:val="00F74362"/>
    <w:rsid w:val="00F74519"/>
    <w:rsid w:val="00F746BD"/>
    <w:rsid w:val="00F746F4"/>
    <w:rsid w:val="00F74BB3"/>
    <w:rsid w:val="00F74C27"/>
    <w:rsid w:val="00F74C6F"/>
    <w:rsid w:val="00F74EFE"/>
    <w:rsid w:val="00F74F07"/>
    <w:rsid w:val="00F7518E"/>
    <w:rsid w:val="00F751A6"/>
    <w:rsid w:val="00F752CB"/>
    <w:rsid w:val="00F75349"/>
    <w:rsid w:val="00F75498"/>
    <w:rsid w:val="00F754C1"/>
    <w:rsid w:val="00F75782"/>
    <w:rsid w:val="00F7580B"/>
    <w:rsid w:val="00F75833"/>
    <w:rsid w:val="00F75A30"/>
    <w:rsid w:val="00F75B3B"/>
    <w:rsid w:val="00F75C24"/>
    <w:rsid w:val="00F75CA5"/>
    <w:rsid w:val="00F75CBE"/>
    <w:rsid w:val="00F75CE2"/>
    <w:rsid w:val="00F75D22"/>
    <w:rsid w:val="00F75D29"/>
    <w:rsid w:val="00F75E55"/>
    <w:rsid w:val="00F7631C"/>
    <w:rsid w:val="00F7634C"/>
    <w:rsid w:val="00F763D4"/>
    <w:rsid w:val="00F7642E"/>
    <w:rsid w:val="00F76472"/>
    <w:rsid w:val="00F765FB"/>
    <w:rsid w:val="00F76795"/>
    <w:rsid w:val="00F76796"/>
    <w:rsid w:val="00F76829"/>
    <w:rsid w:val="00F7688C"/>
    <w:rsid w:val="00F76D73"/>
    <w:rsid w:val="00F76DF0"/>
    <w:rsid w:val="00F76FC7"/>
    <w:rsid w:val="00F77041"/>
    <w:rsid w:val="00F77042"/>
    <w:rsid w:val="00F771D0"/>
    <w:rsid w:val="00F7744A"/>
    <w:rsid w:val="00F774B6"/>
    <w:rsid w:val="00F77987"/>
    <w:rsid w:val="00F779B5"/>
    <w:rsid w:val="00F77B48"/>
    <w:rsid w:val="00F77BE3"/>
    <w:rsid w:val="00F77DD0"/>
    <w:rsid w:val="00F77E74"/>
    <w:rsid w:val="00F77FC5"/>
    <w:rsid w:val="00F8004F"/>
    <w:rsid w:val="00F80070"/>
    <w:rsid w:val="00F800AD"/>
    <w:rsid w:val="00F800CA"/>
    <w:rsid w:val="00F8023E"/>
    <w:rsid w:val="00F80357"/>
    <w:rsid w:val="00F804E0"/>
    <w:rsid w:val="00F806F8"/>
    <w:rsid w:val="00F80753"/>
    <w:rsid w:val="00F80779"/>
    <w:rsid w:val="00F80803"/>
    <w:rsid w:val="00F8096A"/>
    <w:rsid w:val="00F80995"/>
    <w:rsid w:val="00F809B1"/>
    <w:rsid w:val="00F809E8"/>
    <w:rsid w:val="00F809E9"/>
    <w:rsid w:val="00F80DE3"/>
    <w:rsid w:val="00F80FC4"/>
    <w:rsid w:val="00F81130"/>
    <w:rsid w:val="00F811DF"/>
    <w:rsid w:val="00F81468"/>
    <w:rsid w:val="00F81622"/>
    <w:rsid w:val="00F81634"/>
    <w:rsid w:val="00F8176F"/>
    <w:rsid w:val="00F81804"/>
    <w:rsid w:val="00F818EF"/>
    <w:rsid w:val="00F81924"/>
    <w:rsid w:val="00F8195E"/>
    <w:rsid w:val="00F81961"/>
    <w:rsid w:val="00F819C5"/>
    <w:rsid w:val="00F81B47"/>
    <w:rsid w:val="00F81B6D"/>
    <w:rsid w:val="00F81C35"/>
    <w:rsid w:val="00F81D78"/>
    <w:rsid w:val="00F81E1B"/>
    <w:rsid w:val="00F821A5"/>
    <w:rsid w:val="00F82298"/>
    <w:rsid w:val="00F82397"/>
    <w:rsid w:val="00F823E0"/>
    <w:rsid w:val="00F82549"/>
    <w:rsid w:val="00F8272E"/>
    <w:rsid w:val="00F8272F"/>
    <w:rsid w:val="00F8295F"/>
    <w:rsid w:val="00F8297B"/>
    <w:rsid w:val="00F82B3C"/>
    <w:rsid w:val="00F82BAC"/>
    <w:rsid w:val="00F82CCB"/>
    <w:rsid w:val="00F82D94"/>
    <w:rsid w:val="00F82EE3"/>
    <w:rsid w:val="00F832EA"/>
    <w:rsid w:val="00F83540"/>
    <w:rsid w:val="00F835C7"/>
    <w:rsid w:val="00F836AF"/>
    <w:rsid w:val="00F83700"/>
    <w:rsid w:val="00F83B39"/>
    <w:rsid w:val="00F83BCF"/>
    <w:rsid w:val="00F83BD7"/>
    <w:rsid w:val="00F83EDE"/>
    <w:rsid w:val="00F83F49"/>
    <w:rsid w:val="00F8442A"/>
    <w:rsid w:val="00F84464"/>
    <w:rsid w:val="00F844B7"/>
    <w:rsid w:val="00F8457A"/>
    <w:rsid w:val="00F845A0"/>
    <w:rsid w:val="00F845D1"/>
    <w:rsid w:val="00F84648"/>
    <w:rsid w:val="00F846C9"/>
    <w:rsid w:val="00F847C4"/>
    <w:rsid w:val="00F84A85"/>
    <w:rsid w:val="00F84B46"/>
    <w:rsid w:val="00F84B80"/>
    <w:rsid w:val="00F84C74"/>
    <w:rsid w:val="00F84CDC"/>
    <w:rsid w:val="00F84DF0"/>
    <w:rsid w:val="00F84ED8"/>
    <w:rsid w:val="00F8515B"/>
    <w:rsid w:val="00F85204"/>
    <w:rsid w:val="00F85287"/>
    <w:rsid w:val="00F85496"/>
    <w:rsid w:val="00F85504"/>
    <w:rsid w:val="00F855A1"/>
    <w:rsid w:val="00F85790"/>
    <w:rsid w:val="00F85793"/>
    <w:rsid w:val="00F857C7"/>
    <w:rsid w:val="00F857F5"/>
    <w:rsid w:val="00F8585B"/>
    <w:rsid w:val="00F85869"/>
    <w:rsid w:val="00F858CB"/>
    <w:rsid w:val="00F85DDC"/>
    <w:rsid w:val="00F86039"/>
    <w:rsid w:val="00F860AC"/>
    <w:rsid w:val="00F860E6"/>
    <w:rsid w:val="00F86263"/>
    <w:rsid w:val="00F862F2"/>
    <w:rsid w:val="00F86415"/>
    <w:rsid w:val="00F86582"/>
    <w:rsid w:val="00F8670C"/>
    <w:rsid w:val="00F868F9"/>
    <w:rsid w:val="00F86A90"/>
    <w:rsid w:val="00F86ADC"/>
    <w:rsid w:val="00F86B6C"/>
    <w:rsid w:val="00F86BD8"/>
    <w:rsid w:val="00F86C3E"/>
    <w:rsid w:val="00F86CA5"/>
    <w:rsid w:val="00F86CC0"/>
    <w:rsid w:val="00F86E13"/>
    <w:rsid w:val="00F87102"/>
    <w:rsid w:val="00F871FE"/>
    <w:rsid w:val="00F8725F"/>
    <w:rsid w:val="00F87877"/>
    <w:rsid w:val="00F87965"/>
    <w:rsid w:val="00F87DBD"/>
    <w:rsid w:val="00F87FB2"/>
    <w:rsid w:val="00F90005"/>
    <w:rsid w:val="00F9015E"/>
    <w:rsid w:val="00F9031B"/>
    <w:rsid w:val="00F90461"/>
    <w:rsid w:val="00F90480"/>
    <w:rsid w:val="00F905BA"/>
    <w:rsid w:val="00F908DF"/>
    <w:rsid w:val="00F90A5F"/>
    <w:rsid w:val="00F90EAA"/>
    <w:rsid w:val="00F90F43"/>
    <w:rsid w:val="00F90F62"/>
    <w:rsid w:val="00F91048"/>
    <w:rsid w:val="00F9121B"/>
    <w:rsid w:val="00F9126F"/>
    <w:rsid w:val="00F912E0"/>
    <w:rsid w:val="00F91675"/>
    <w:rsid w:val="00F917FC"/>
    <w:rsid w:val="00F9182E"/>
    <w:rsid w:val="00F91903"/>
    <w:rsid w:val="00F91921"/>
    <w:rsid w:val="00F91946"/>
    <w:rsid w:val="00F9195C"/>
    <w:rsid w:val="00F9197A"/>
    <w:rsid w:val="00F919B6"/>
    <w:rsid w:val="00F91AA8"/>
    <w:rsid w:val="00F91BB6"/>
    <w:rsid w:val="00F91C62"/>
    <w:rsid w:val="00F91C6A"/>
    <w:rsid w:val="00F91CDF"/>
    <w:rsid w:val="00F91E63"/>
    <w:rsid w:val="00F924B1"/>
    <w:rsid w:val="00F925E5"/>
    <w:rsid w:val="00F92603"/>
    <w:rsid w:val="00F926C2"/>
    <w:rsid w:val="00F9277B"/>
    <w:rsid w:val="00F92804"/>
    <w:rsid w:val="00F92B19"/>
    <w:rsid w:val="00F92CD4"/>
    <w:rsid w:val="00F93184"/>
    <w:rsid w:val="00F932D9"/>
    <w:rsid w:val="00F933DD"/>
    <w:rsid w:val="00F934BE"/>
    <w:rsid w:val="00F937E4"/>
    <w:rsid w:val="00F93819"/>
    <w:rsid w:val="00F93A32"/>
    <w:rsid w:val="00F93A4C"/>
    <w:rsid w:val="00F93ABB"/>
    <w:rsid w:val="00F93CEE"/>
    <w:rsid w:val="00F93E22"/>
    <w:rsid w:val="00F93F34"/>
    <w:rsid w:val="00F93FD6"/>
    <w:rsid w:val="00F94009"/>
    <w:rsid w:val="00F9412C"/>
    <w:rsid w:val="00F9414A"/>
    <w:rsid w:val="00F94209"/>
    <w:rsid w:val="00F94332"/>
    <w:rsid w:val="00F94356"/>
    <w:rsid w:val="00F948F2"/>
    <w:rsid w:val="00F94C14"/>
    <w:rsid w:val="00F94C48"/>
    <w:rsid w:val="00F94E88"/>
    <w:rsid w:val="00F94FC7"/>
    <w:rsid w:val="00F9502A"/>
    <w:rsid w:val="00F951BB"/>
    <w:rsid w:val="00F9536B"/>
    <w:rsid w:val="00F956A4"/>
    <w:rsid w:val="00F9573B"/>
    <w:rsid w:val="00F95753"/>
    <w:rsid w:val="00F9583D"/>
    <w:rsid w:val="00F95A7E"/>
    <w:rsid w:val="00F95B54"/>
    <w:rsid w:val="00F95B89"/>
    <w:rsid w:val="00F95B8E"/>
    <w:rsid w:val="00F95BAF"/>
    <w:rsid w:val="00F95C74"/>
    <w:rsid w:val="00F95E31"/>
    <w:rsid w:val="00F95E7A"/>
    <w:rsid w:val="00F96017"/>
    <w:rsid w:val="00F965A8"/>
    <w:rsid w:val="00F965D2"/>
    <w:rsid w:val="00F9681D"/>
    <w:rsid w:val="00F9685B"/>
    <w:rsid w:val="00F96B39"/>
    <w:rsid w:val="00F96C08"/>
    <w:rsid w:val="00F96CEB"/>
    <w:rsid w:val="00F96DDD"/>
    <w:rsid w:val="00F96E82"/>
    <w:rsid w:val="00F9711F"/>
    <w:rsid w:val="00F971E3"/>
    <w:rsid w:val="00F9723B"/>
    <w:rsid w:val="00F97273"/>
    <w:rsid w:val="00F9742D"/>
    <w:rsid w:val="00F974C7"/>
    <w:rsid w:val="00F97516"/>
    <w:rsid w:val="00F9766D"/>
    <w:rsid w:val="00F97A03"/>
    <w:rsid w:val="00F97BB7"/>
    <w:rsid w:val="00F97BD1"/>
    <w:rsid w:val="00F97D05"/>
    <w:rsid w:val="00F97E54"/>
    <w:rsid w:val="00FA00F1"/>
    <w:rsid w:val="00FA014F"/>
    <w:rsid w:val="00FA01FD"/>
    <w:rsid w:val="00FA0574"/>
    <w:rsid w:val="00FA06E6"/>
    <w:rsid w:val="00FA089E"/>
    <w:rsid w:val="00FA0AA2"/>
    <w:rsid w:val="00FA0D4C"/>
    <w:rsid w:val="00FA0F59"/>
    <w:rsid w:val="00FA1084"/>
    <w:rsid w:val="00FA112C"/>
    <w:rsid w:val="00FA114C"/>
    <w:rsid w:val="00FA130F"/>
    <w:rsid w:val="00FA14EE"/>
    <w:rsid w:val="00FA152C"/>
    <w:rsid w:val="00FA15B6"/>
    <w:rsid w:val="00FA1666"/>
    <w:rsid w:val="00FA1680"/>
    <w:rsid w:val="00FA17CB"/>
    <w:rsid w:val="00FA193F"/>
    <w:rsid w:val="00FA19A9"/>
    <w:rsid w:val="00FA19FC"/>
    <w:rsid w:val="00FA1A0A"/>
    <w:rsid w:val="00FA1D4D"/>
    <w:rsid w:val="00FA1E7B"/>
    <w:rsid w:val="00FA1FA1"/>
    <w:rsid w:val="00FA2209"/>
    <w:rsid w:val="00FA23FB"/>
    <w:rsid w:val="00FA254E"/>
    <w:rsid w:val="00FA2718"/>
    <w:rsid w:val="00FA27A3"/>
    <w:rsid w:val="00FA2870"/>
    <w:rsid w:val="00FA2976"/>
    <w:rsid w:val="00FA2A02"/>
    <w:rsid w:val="00FA2AF1"/>
    <w:rsid w:val="00FA2B74"/>
    <w:rsid w:val="00FA304F"/>
    <w:rsid w:val="00FA3183"/>
    <w:rsid w:val="00FA34B4"/>
    <w:rsid w:val="00FA3651"/>
    <w:rsid w:val="00FA36FD"/>
    <w:rsid w:val="00FA38B3"/>
    <w:rsid w:val="00FA38E4"/>
    <w:rsid w:val="00FA3984"/>
    <w:rsid w:val="00FA39D6"/>
    <w:rsid w:val="00FA3A12"/>
    <w:rsid w:val="00FA3F19"/>
    <w:rsid w:val="00FA3FE0"/>
    <w:rsid w:val="00FA443E"/>
    <w:rsid w:val="00FA448C"/>
    <w:rsid w:val="00FA44B3"/>
    <w:rsid w:val="00FA4615"/>
    <w:rsid w:val="00FA4676"/>
    <w:rsid w:val="00FA47E3"/>
    <w:rsid w:val="00FA4B93"/>
    <w:rsid w:val="00FA4BA5"/>
    <w:rsid w:val="00FA4BC8"/>
    <w:rsid w:val="00FA4CD7"/>
    <w:rsid w:val="00FA4D62"/>
    <w:rsid w:val="00FA4EC6"/>
    <w:rsid w:val="00FA5008"/>
    <w:rsid w:val="00FA50C7"/>
    <w:rsid w:val="00FA515B"/>
    <w:rsid w:val="00FA51D4"/>
    <w:rsid w:val="00FA554E"/>
    <w:rsid w:val="00FA55A5"/>
    <w:rsid w:val="00FA562A"/>
    <w:rsid w:val="00FA57FB"/>
    <w:rsid w:val="00FA595F"/>
    <w:rsid w:val="00FA5A53"/>
    <w:rsid w:val="00FA5DE3"/>
    <w:rsid w:val="00FA60CD"/>
    <w:rsid w:val="00FA61F6"/>
    <w:rsid w:val="00FA621F"/>
    <w:rsid w:val="00FA62E9"/>
    <w:rsid w:val="00FA64FB"/>
    <w:rsid w:val="00FA6577"/>
    <w:rsid w:val="00FA6701"/>
    <w:rsid w:val="00FA68E9"/>
    <w:rsid w:val="00FA691E"/>
    <w:rsid w:val="00FA6928"/>
    <w:rsid w:val="00FA694B"/>
    <w:rsid w:val="00FA6B6C"/>
    <w:rsid w:val="00FA6CF8"/>
    <w:rsid w:val="00FA6F43"/>
    <w:rsid w:val="00FA7058"/>
    <w:rsid w:val="00FA73BE"/>
    <w:rsid w:val="00FA7465"/>
    <w:rsid w:val="00FA7528"/>
    <w:rsid w:val="00FA772E"/>
    <w:rsid w:val="00FA7927"/>
    <w:rsid w:val="00FA797E"/>
    <w:rsid w:val="00FA7A44"/>
    <w:rsid w:val="00FA7B21"/>
    <w:rsid w:val="00FA7B5F"/>
    <w:rsid w:val="00FB022B"/>
    <w:rsid w:val="00FB02B2"/>
    <w:rsid w:val="00FB0360"/>
    <w:rsid w:val="00FB03D1"/>
    <w:rsid w:val="00FB0420"/>
    <w:rsid w:val="00FB05B1"/>
    <w:rsid w:val="00FB05CD"/>
    <w:rsid w:val="00FB0726"/>
    <w:rsid w:val="00FB07AD"/>
    <w:rsid w:val="00FB0866"/>
    <w:rsid w:val="00FB0883"/>
    <w:rsid w:val="00FB0B91"/>
    <w:rsid w:val="00FB0D11"/>
    <w:rsid w:val="00FB0F22"/>
    <w:rsid w:val="00FB0FF2"/>
    <w:rsid w:val="00FB1105"/>
    <w:rsid w:val="00FB119D"/>
    <w:rsid w:val="00FB12DC"/>
    <w:rsid w:val="00FB1477"/>
    <w:rsid w:val="00FB1617"/>
    <w:rsid w:val="00FB16B8"/>
    <w:rsid w:val="00FB1B42"/>
    <w:rsid w:val="00FB1B9C"/>
    <w:rsid w:val="00FB1DD7"/>
    <w:rsid w:val="00FB1E66"/>
    <w:rsid w:val="00FB1E70"/>
    <w:rsid w:val="00FB222A"/>
    <w:rsid w:val="00FB2333"/>
    <w:rsid w:val="00FB2353"/>
    <w:rsid w:val="00FB2753"/>
    <w:rsid w:val="00FB2959"/>
    <w:rsid w:val="00FB2A23"/>
    <w:rsid w:val="00FB2A40"/>
    <w:rsid w:val="00FB2A59"/>
    <w:rsid w:val="00FB2C5B"/>
    <w:rsid w:val="00FB2CE4"/>
    <w:rsid w:val="00FB2D18"/>
    <w:rsid w:val="00FB2D19"/>
    <w:rsid w:val="00FB2DCC"/>
    <w:rsid w:val="00FB2E38"/>
    <w:rsid w:val="00FB2EA2"/>
    <w:rsid w:val="00FB2ED4"/>
    <w:rsid w:val="00FB301C"/>
    <w:rsid w:val="00FB3160"/>
    <w:rsid w:val="00FB3236"/>
    <w:rsid w:val="00FB330B"/>
    <w:rsid w:val="00FB3354"/>
    <w:rsid w:val="00FB34D9"/>
    <w:rsid w:val="00FB35ED"/>
    <w:rsid w:val="00FB36ED"/>
    <w:rsid w:val="00FB3759"/>
    <w:rsid w:val="00FB3777"/>
    <w:rsid w:val="00FB3A70"/>
    <w:rsid w:val="00FB3C20"/>
    <w:rsid w:val="00FB3D02"/>
    <w:rsid w:val="00FB3D5D"/>
    <w:rsid w:val="00FB3F70"/>
    <w:rsid w:val="00FB4359"/>
    <w:rsid w:val="00FB4395"/>
    <w:rsid w:val="00FB46FF"/>
    <w:rsid w:val="00FB471F"/>
    <w:rsid w:val="00FB4854"/>
    <w:rsid w:val="00FB4990"/>
    <w:rsid w:val="00FB49C3"/>
    <w:rsid w:val="00FB4A6B"/>
    <w:rsid w:val="00FB4B0F"/>
    <w:rsid w:val="00FB4B40"/>
    <w:rsid w:val="00FB4BA8"/>
    <w:rsid w:val="00FB4E30"/>
    <w:rsid w:val="00FB4FAA"/>
    <w:rsid w:val="00FB4FDF"/>
    <w:rsid w:val="00FB50FB"/>
    <w:rsid w:val="00FB5338"/>
    <w:rsid w:val="00FB56B9"/>
    <w:rsid w:val="00FB56C9"/>
    <w:rsid w:val="00FB56ED"/>
    <w:rsid w:val="00FB57D4"/>
    <w:rsid w:val="00FB57E6"/>
    <w:rsid w:val="00FB596E"/>
    <w:rsid w:val="00FB5976"/>
    <w:rsid w:val="00FB5C9B"/>
    <w:rsid w:val="00FB5D33"/>
    <w:rsid w:val="00FB5D87"/>
    <w:rsid w:val="00FB5DA1"/>
    <w:rsid w:val="00FB5E7A"/>
    <w:rsid w:val="00FB5FF8"/>
    <w:rsid w:val="00FB6001"/>
    <w:rsid w:val="00FB6033"/>
    <w:rsid w:val="00FB606B"/>
    <w:rsid w:val="00FB61A3"/>
    <w:rsid w:val="00FB61FF"/>
    <w:rsid w:val="00FB624A"/>
    <w:rsid w:val="00FB6786"/>
    <w:rsid w:val="00FB67BD"/>
    <w:rsid w:val="00FB69D7"/>
    <w:rsid w:val="00FB6BC8"/>
    <w:rsid w:val="00FB6C06"/>
    <w:rsid w:val="00FB6C62"/>
    <w:rsid w:val="00FB6CEA"/>
    <w:rsid w:val="00FB6DFE"/>
    <w:rsid w:val="00FB6E38"/>
    <w:rsid w:val="00FB722B"/>
    <w:rsid w:val="00FB7489"/>
    <w:rsid w:val="00FB7692"/>
    <w:rsid w:val="00FB76EB"/>
    <w:rsid w:val="00FB776F"/>
    <w:rsid w:val="00FB77DF"/>
    <w:rsid w:val="00FB78FD"/>
    <w:rsid w:val="00FB7C17"/>
    <w:rsid w:val="00FB7CCF"/>
    <w:rsid w:val="00FB7DAA"/>
    <w:rsid w:val="00FC0056"/>
    <w:rsid w:val="00FC0285"/>
    <w:rsid w:val="00FC03BB"/>
    <w:rsid w:val="00FC05A1"/>
    <w:rsid w:val="00FC0613"/>
    <w:rsid w:val="00FC0797"/>
    <w:rsid w:val="00FC096C"/>
    <w:rsid w:val="00FC0C86"/>
    <w:rsid w:val="00FC0EC4"/>
    <w:rsid w:val="00FC0EEA"/>
    <w:rsid w:val="00FC0F7D"/>
    <w:rsid w:val="00FC1239"/>
    <w:rsid w:val="00FC1382"/>
    <w:rsid w:val="00FC1441"/>
    <w:rsid w:val="00FC1835"/>
    <w:rsid w:val="00FC18A7"/>
    <w:rsid w:val="00FC18AD"/>
    <w:rsid w:val="00FC19BD"/>
    <w:rsid w:val="00FC19CC"/>
    <w:rsid w:val="00FC1B8B"/>
    <w:rsid w:val="00FC1BA6"/>
    <w:rsid w:val="00FC1CC8"/>
    <w:rsid w:val="00FC1EF6"/>
    <w:rsid w:val="00FC226F"/>
    <w:rsid w:val="00FC2624"/>
    <w:rsid w:val="00FC2765"/>
    <w:rsid w:val="00FC27DF"/>
    <w:rsid w:val="00FC2850"/>
    <w:rsid w:val="00FC2B09"/>
    <w:rsid w:val="00FC2BAD"/>
    <w:rsid w:val="00FC2D8C"/>
    <w:rsid w:val="00FC2E95"/>
    <w:rsid w:val="00FC3008"/>
    <w:rsid w:val="00FC3258"/>
    <w:rsid w:val="00FC337A"/>
    <w:rsid w:val="00FC3528"/>
    <w:rsid w:val="00FC3535"/>
    <w:rsid w:val="00FC3575"/>
    <w:rsid w:val="00FC38A8"/>
    <w:rsid w:val="00FC3B3E"/>
    <w:rsid w:val="00FC3C3A"/>
    <w:rsid w:val="00FC3CCE"/>
    <w:rsid w:val="00FC3DBF"/>
    <w:rsid w:val="00FC3E08"/>
    <w:rsid w:val="00FC3E76"/>
    <w:rsid w:val="00FC3FE6"/>
    <w:rsid w:val="00FC42DF"/>
    <w:rsid w:val="00FC42EB"/>
    <w:rsid w:val="00FC45EC"/>
    <w:rsid w:val="00FC473D"/>
    <w:rsid w:val="00FC4796"/>
    <w:rsid w:val="00FC483D"/>
    <w:rsid w:val="00FC4885"/>
    <w:rsid w:val="00FC4A21"/>
    <w:rsid w:val="00FC4B6D"/>
    <w:rsid w:val="00FC4B80"/>
    <w:rsid w:val="00FC4BDA"/>
    <w:rsid w:val="00FC4CC9"/>
    <w:rsid w:val="00FC4E55"/>
    <w:rsid w:val="00FC4EEE"/>
    <w:rsid w:val="00FC4F24"/>
    <w:rsid w:val="00FC5231"/>
    <w:rsid w:val="00FC55DF"/>
    <w:rsid w:val="00FC55F1"/>
    <w:rsid w:val="00FC568F"/>
    <w:rsid w:val="00FC576B"/>
    <w:rsid w:val="00FC5877"/>
    <w:rsid w:val="00FC587A"/>
    <w:rsid w:val="00FC5978"/>
    <w:rsid w:val="00FC599F"/>
    <w:rsid w:val="00FC59DE"/>
    <w:rsid w:val="00FC5A31"/>
    <w:rsid w:val="00FC5D01"/>
    <w:rsid w:val="00FC5FD8"/>
    <w:rsid w:val="00FC616B"/>
    <w:rsid w:val="00FC61DC"/>
    <w:rsid w:val="00FC652C"/>
    <w:rsid w:val="00FC660D"/>
    <w:rsid w:val="00FC69B0"/>
    <w:rsid w:val="00FC6A50"/>
    <w:rsid w:val="00FC6BB1"/>
    <w:rsid w:val="00FC6CC7"/>
    <w:rsid w:val="00FC6DE2"/>
    <w:rsid w:val="00FC6F2D"/>
    <w:rsid w:val="00FC6F3A"/>
    <w:rsid w:val="00FC70F6"/>
    <w:rsid w:val="00FC71E2"/>
    <w:rsid w:val="00FC724E"/>
    <w:rsid w:val="00FC729D"/>
    <w:rsid w:val="00FC7405"/>
    <w:rsid w:val="00FC7755"/>
    <w:rsid w:val="00FC775E"/>
    <w:rsid w:val="00FC77E4"/>
    <w:rsid w:val="00FC787F"/>
    <w:rsid w:val="00FC7A5A"/>
    <w:rsid w:val="00FC7E7D"/>
    <w:rsid w:val="00FC7E82"/>
    <w:rsid w:val="00FC7FED"/>
    <w:rsid w:val="00FC7FF3"/>
    <w:rsid w:val="00FD01CF"/>
    <w:rsid w:val="00FD03BB"/>
    <w:rsid w:val="00FD0432"/>
    <w:rsid w:val="00FD045D"/>
    <w:rsid w:val="00FD05D8"/>
    <w:rsid w:val="00FD05EF"/>
    <w:rsid w:val="00FD0CE0"/>
    <w:rsid w:val="00FD0DBA"/>
    <w:rsid w:val="00FD0E84"/>
    <w:rsid w:val="00FD1044"/>
    <w:rsid w:val="00FD1137"/>
    <w:rsid w:val="00FD113E"/>
    <w:rsid w:val="00FD11AD"/>
    <w:rsid w:val="00FD1421"/>
    <w:rsid w:val="00FD152F"/>
    <w:rsid w:val="00FD163B"/>
    <w:rsid w:val="00FD1695"/>
    <w:rsid w:val="00FD177F"/>
    <w:rsid w:val="00FD17C2"/>
    <w:rsid w:val="00FD18B7"/>
    <w:rsid w:val="00FD1F17"/>
    <w:rsid w:val="00FD1FBF"/>
    <w:rsid w:val="00FD2186"/>
    <w:rsid w:val="00FD23B2"/>
    <w:rsid w:val="00FD23BF"/>
    <w:rsid w:val="00FD23FD"/>
    <w:rsid w:val="00FD257A"/>
    <w:rsid w:val="00FD25BC"/>
    <w:rsid w:val="00FD264D"/>
    <w:rsid w:val="00FD2785"/>
    <w:rsid w:val="00FD29FD"/>
    <w:rsid w:val="00FD2A05"/>
    <w:rsid w:val="00FD2ACB"/>
    <w:rsid w:val="00FD2AF9"/>
    <w:rsid w:val="00FD2B14"/>
    <w:rsid w:val="00FD2BA9"/>
    <w:rsid w:val="00FD2BBB"/>
    <w:rsid w:val="00FD2CB6"/>
    <w:rsid w:val="00FD2E39"/>
    <w:rsid w:val="00FD2E76"/>
    <w:rsid w:val="00FD2E9D"/>
    <w:rsid w:val="00FD30F7"/>
    <w:rsid w:val="00FD346A"/>
    <w:rsid w:val="00FD351D"/>
    <w:rsid w:val="00FD3612"/>
    <w:rsid w:val="00FD3667"/>
    <w:rsid w:val="00FD3778"/>
    <w:rsid w:val="00FD37E4"/>
    <w:rsid w:val="00FD3849"/>
    <w:rsid w:val="00FD3AFD"/>
    <w:rsid w:val="00FD3C13"/>
    <w:rsid w:val="00FD3C1A"/>
    <w:rsid w:val="00FD3FA7"/>
    <w:rsid w:val="00FD3FD5"/>
    <w:rsid w:val="00FD41BD"/>
    <w:rsid w:val="00FD4317"/>
    <w:rsid w:val="00FD43B2"/>
    <w:rsid w:val="00FD43C0"/>
    <w:rsid w:val="00FD4435"/>
    <w:rsid w:val="00FD44B6"/>
    <w:rsid w:val="00FD4607"/>
    <w:rsid w:val="00FD465E"/>
    <w:rsid w:val="00FD4666"/>
    <w:rsid w:val="00FD4710"/>
    <w:rsid w:val="00FD4989"/>
    <w:rsid w:val="00FD4991"/>
    <w:rsid w:val="00FD49C9"/>
    <w:rsid w:val="00FD4A61"/>
    <w:rsid w:val="00FD4A8C"/>
    <w:rsid w:val="00FD4B02"/>
    <w:rsid w:val="00FD4B43"/>
    <w:rsid w:val="00FD4E4E"/>
    <w:rsid w:val="00FD4E89"/>
    <w:rsid w:val="00FD4FE3"/>
    <w:rsid w:val="00FD4FF5"/>
    <w:rsid w:val="00FD4FF7"/>
    <w:rsid w:val="00FD503D"/>
    <w:rsid w:val="00FD50FC"/>
    <w:rsid w:val="00FD5369"/>
    <w:rsid w:val="00FD556F"/>
    <w:rsid w:val="00FD5578"/>
    <w:rsid w:val="00FD56BB"/>
    <w:rsid w:val="00FD57B5"/>
    <w:rsid w:val="00FD58C2"/>
    <w:rsid w:val="00FD58E3"/>
    <w:rsid w:val="00FD5A8F"/>
    <w:rsid w:val="00FD5AB5"/>
    <w:rsid w:val="00FD5C6B"/>
    <w:rsid w:val="00FD5E54"/>
    <w:rsid w:val="00FD5FEF"/>
    <w:rsid w:val="00FD6054"/>
    <w:rsid w:val="00FD60A4"/>
    <w:rsid w:val="00FD61E4"/>
    <w:rsid w:val="00FD6343"/>
    <w:rsid w:val="00FD64AF"/>
    <w:rsid w:val="00FD64FA"/>
    <w:rsid w:val="00FD6545"/>
    <w:rsid w:val="00FD668B"/>
    <w:rsid w:val="00FD69E0"/>
    <w:rsid w:val="00FD6A7D"/>
    <w:rsid w:val="00FD6C13"/>
    <w:rsid w:val="00FD6C24"/>
    <w:rsid w:val="00FD6D6B"/>
    <w:rsid w:val="00FD6E3E"/>
    <w:rsid w:val="00FD6ECB"/>
    <w:rsid w:val="00FD71C0"/>
    <w:rsid w:val="00FD7203"/>
    <w:rsid w:val="00FD72C6"/>
    <w:rsid w:val="00FD7388"/>
    <w:rsid w:val="00FD73D2"/>
    <w:rsid w:val="00FD7401"/>
    <w:rsid w:val="00FD754B"/>
    <w:rsid w:val="00FD7677"/>
    <w:rsid w:val="00FD76F1"/>
    <w:rsid w:val="00FD776D"/>
    <w:rsid w:val="00FD77A2"/>
    <w:rsid w:val="00FD79F3"/>
    <w:rsid w:val="00FD7A47"/>
    <w:rsid w:val="00FD7C17"/>
    <w:rsid w:val="00FD7EB4"/>
    <w:rsid w:val="00FE008B"/>
    <w:rsid w:val="00FE00CB"/>
    <w:rsid w:val="00FE022B"/>
    <w:rsid w:val="00FE06D7"/>
    <w:rsid w:val="00FE07A6"/>
    <w:rsid w:val="00FE08A7"/>
    <w:rsid w:val="00FE08CD"/>
    <w:rsid w:val="00FE09B4"/>
    <w:rsid w:val="00FE0B66"/>
    <w:rsid w:val="00FE0D0E"/>
    <w:rsid w:val="00FE0D3E"/>
    <w:rsid w:val="00FE0EC9"/>
    <w:rsid w:val="00FE0F5C"/>
    <w:rsid w:val="00FE13AC"/>
    <w:rsid w:val="00FE1479"/>
    <w:rsid w:val="00FE1636"/>
    <w:rsid w:val="00FE1693"/>
    <w:rsid w:val="00FE17CE"/>
    <w:rsid w:val="00FE1861"/>
    <w:rsid w:val="00FE1A13"/>
    <w:rsid w:val="00FE1A6A"/>
    <w:rsid w:val="00FE1A6B"/>
    <w:rsid w:val="00FE1ABD"/>
    <w:rsid w:val="00FE1F1A"/>
    <w:rsid w:val="00FE207F"/>
    <w:rsid w:val="00FE228F"/>
    <w:rsid w:val="00FE23E3"/>
    <w:rsid w:val="00FE2400"/>
    <w:rsid w:val="00FE2576"/>
    <w:rsid w:val="00FE257A"/>
    <w:rsid w:val="00FE25C9"/>
    <w:rsid w:val="00FE2841"/>
    <w:rsid w:val="00FE286B"/>
    <w:rsid w:val="00FE28D8"/>
    <w:rsid w:val="00FE290D"/>
    <w:rsid w:val="00FE298D"/>
    <w:rsid w:val="00FE2A22"/>
    <w:rsid w:val="00FE2AE1"/>
    <w:rsid w:val="00FE2C66"/>
    <w:rsid w:val="00FE2CAC"/>
    <w:rsid w:val="00FE2D04"/>
    <w:rsid w:val="00FE2D88"/>
    <w:rsid w:val="00FE2DB7"/>
    <w:rsid w:val="00FE2DF4"/>
    <w:rsid w:val="00FE2DFB"/>
    <w:rsid w:val="00FE2F06"/>
    <w:rsid w:val="00FE315F"/>
    <w:rsid w:val="00FE3180"/>
    <w:rsid w:val="00FE327D"/>
    <w:rsid w:val="00FE3300"/>
    <w:rsid w:val="00FE33D0"/>
    <w:rsid w:val="00FE33D7"/>
    <w:rsid w:val="00FE33EA"/>
    <w:rsid w:val="00FE371A"/>
    <w:rsid w:val="00FE3984"/>
    <w:rsid w:val="00FE39ED"/>
    <w:rsid w:val="00FE3A4E"/>
    <w:rsid w:val="00FE3A95"/>
    <w:rsid w:val="00FE3AA0"/>
    <w:rsid w:val="00FE3DD9"/>
    <w:rsid w:val="00FE3DEA"/>
    <w:rsid w:val="00FE3F57"/>
    <w:rsid w:val="00FE3FF3"/>
    <w:rsid w:val="00FE41BC"/>
    <w:rsid w:val="00FE41EF"/>
    <w:rsid w:val="00FE42F5"/>
    <w:rsid w:val="00FE437A"/>
    <w:rsid w:val="00FE4462"/>
    <w:rsid w:val="00FE4499"/>
    <w:rsid w:val="00FE47CA"/>
    <w:rsid w:val="00FE488B"/>
    <w:rsid w:val="00FE489B"/>
    <w:rsid w:val="00FE48D3"/>
    <w:rsid w:val="00FE48E5"/>
    <w:rsid w:val="00FE4CA3"/>
    <w:rsid w:val="00FE4DA6"/>
    <w:rsid w:val="00FE4F71"/>
    <w:rsid w:val="00FE50D8"/>
    <w:rsid w:val="00FE5114"/>
    <w:rsid w:val="00FE519B"/>
    <w:rsid w:val="00FE5271"/>
    <w:rsid w:val="00FE529C"/>
    <w:rsid w:val="00FE52BF"/>
    <w:rsid w:val="00FE53DA"/>
    <w:rsid w:val="00FE5440"/>
    <w:rsid w:val="00FE5478"/>
    <w:rsid w:val="00FE54F8"/>
    <w:rsid w:val="00FE559E"/>
    <w:rsid w:val="00FE55FE"/>
    <w:rsid w:val="00FE575E"/>
    <w:rsid w:val="00FE586A"/>
    <w:rsid w:val="00FE58E3"/>
    <w:rsid w:val="00FE5C29"/>
    <w:rsid w:val="00FE5C76"/>
    <w:rsid w:val="00FE5D11"/>
    <w:rsid w:val="00FE5DE0"/>
    <w:rsid w:val="00FE5E19"/>
    <w:rsid w:val="00FE5E36"/>
    <w:rsid w:val="00FE62EC"/>
    <w:rsid w:val="00FE6338"/>
    <w:rsid w:val="00FE6907"/>
    <w:rsid w:val="00FE691D"/>
    <w:rsid w:val="00FE6C18"/>
    <w:rsid w:val="00FE6CF8"/>
    <w:rsid w:val="00FE6DD3"/>
    <w:rsid w:val="00FE6E5F"/>
    <w:rsid w:val="00FE6F4D"/>
    <w:rsid w:val="00FE6FB1"/>
    <w:rsid w:val="00FE7012"/>
    <w:rsid w:val="00FE707B"/>
    <w:rsid w:val="00FE730A"/>
    <w:rsid w:val="00FE75F1"/>
    <w:rsid w:val="00FE765D"/>
    <w:rsid w:val="00FE76B4"/>
    <w:rsid w:val="00FE771E"/>
    <w:rsid w:val="00FE774B"/>
    <w:rsid w:val="00FE77C3"/>
    <w:rsid w:val="00FE7856"/>
    <w:rsid w:val="00FE796A"/>
    <w:rsid w:val="00FE7AA0"/>
    <w:rsid w:val="00FE7CDC"/>
    <w:rsid w:val="00FE7E2F"/>
    <w:rsid w:val="00FE7E6C"/>
    <w:rsid w:val="00FF00DE"/>
    <w:rsid w:val="00FF0138"/>
    <w:rsid w:val="00FF0397"/>
    <w:rsid w:val="00FF05B7"/>
    <w:rsid w:val="00FF0676"/>
    <w:rsid w:val="00FF0849"/>
    <w:rsid w:val="00FF0870"/>
    <w:rsid w:val="00FF092F"/>
    <w:rsid w:val="00FF0D5D"/>
    <w:rsid w:val="00FF0DF5"/>
    <w:rsid w:val="00FF0E5D"/>
    <w:rsid w:val="00FF0EC1"/>
    <w:rsid w:val="00FF0EE7"/>
    <w:rsid w:val="00FF0F88"/>
    <w:rsid w:val="00FF11D6"/>
    <w:rsid w:val="00FF127C"/>
    <w:rsid w:val="00FF1288"/>
    <w:rsid w:val="00FF1390"/>
    <w:rsid w:val="00FF1654"/>
    <w:rsid w:val="00FF16FD"/>
    <w:rsid w:val="00FF17B8"/>
    <w:rsid w:val="00FF189B"/>
    <w:rsid w:val="00FF1BF9"/>
    <w:rsid w:val="00FF1C00"/>
    <w:rsid w:val="00FF1C02"/>
    <w:rsid w:val="00FF1C97"/>
    <w:rsid w:val="00FF1E3C"/>
    <w:rsid w:val="00FF2071"/>
    <w:rsid w:val="00FF23F8"/>
    <w:rsid w:val="00FF248D"/>
    <w:rsid w:val="00FF2663"/>
    <w:rsid w:val="00FF2818"/>
    <w:rsid w:val="00FF2CE3"/>
    <w:rsid w:val="00FF2D5A"/>
    <w:rsid w:val="00FF2F59"/>
    <w:rsid w:val="00FF2F73"/>
    <w:rsid w:val="00FF2FC8"/>
    <w:rsid w:val="00FF306D"/>
    <w:rsid w:val="00FF307F"/>
    <w:rsid w:val="00FF317B"/>
    <w:rsid w:val="00FF317D"/>
    <w:rsid w:val="00FF329A"/>
    <w:rsid w:val="00FF32F7"/>
    <w:rsid w:val="00FF3397"/>
    <w:rsid w:val="00FF34E9"/>
    <w:rsid w:val="00FF35FB"/>
    <w:rsid w:val="00FF383A"/>
    <w:rsid w:val="00FF3849"/>
    <w:rsid w:val="00FF39E3"/>
    <w:rsid w:val="00FF3A32"/>
    <w:rsid w:val="00FF3B8E"/>
    <w:rsid w:val="00FF3CB0"/>
    <w:rsid w:val="00FF3E3E"/>
    <w:rsid w:val="00FF3F87"/>
    <w:rsid w:val="00FF4106"/>
    <w:rsid w:val="00FF420E"/>
    <w:rsid w:val="00FF4306"/>
    <w:rsid w:val="00FF4307"/>
    <w:rsid w:val="00FF4317"/>
    <w:rsid w:val="00FF441B"/>
    <w:rsid w:val="00FF4641"/>
    <w:rsid w:val="00FF47A0"/>
    <w:rsid w:val="00FF48FF"/>
    <w:rsid w:val="00FF49BD"/>
    <w:rsid w:val="00FF4A3B"/>
    <w:rsid w:val="00FF4D86"/>
    <w:rsid w:val="00FF4E28"/>
    <w:rsid w:val="00FF4E2F"/>
    <w:rsid w:val="00FF4E63"/>
    <w:rsid w:val="00FF5079"/>
    <w:rsid w:val="00FF547D"/>
    <w:rsid w:val="00FF565B"/>
    <w:rsid w:val="00FF567E"/>
    <w:rsid w:val="00FF5685"/>
    <w:rsid w:val="00FF571F"/>
    <w:rsid w:val="00FF587E"/>
    <w:rsid w:val="00FF5953"/>
    <w:rsid w:val="00FF59C6"/>
    <w:rsid w:val="00FF5B12"/>
    <w:rsid w:val="00FF5C2A"/>
    <w:rsid w:val="00FF5CD0"/>
    <w:rsid w:val="00FF5DA3"/>
    <w:rsid w:val="00FF6088"/>
    <w:rsid w:val="00FF60DC"/>
    <w:rsid w:val="00FF622B"/>
    <w:rsid w:val="00FF62C4"/>
    <w:rsid w:val="00FF63FE"/>
    <w:rsid w:val="00FF640D"/>
    <w:rsid w:val="00FF64D3"/>
    <w:rsid w:val="00FF6676"/>
    <w:rsid w:val="00FF66C5"/>
    <w:rsid w:val="00FF67F4"/>
    <w:rsid w:val="00FF695C"/>
    <w:rsid w:val="00FF698E"/>
    <w:rsid w:val="00FF6A3F"/>
    <w:rsid w:val="00FF6A58"/>
    <w:rsid w:val="00FF6BF0"/>
    <w:rsid w:val="00FF6DE7"/>
    <w:rsid w:val="00FF6F15"/>
    <w:rsid w:val="00FF70EE"/>
    <w:rsid w:val="00FF7173"/>
    <w:rsid w:val="00FF71AE"/>
    <w:rsid w:val="00FF723E"/>
    <w:rsid w:val="00FF7384"/>
    <w:rsid w:val="00FF7444"/>
    <w:rsid w:val="00FF74BF"/>
    <w:rsid w:val="00FF7585"/>
    <w:rsid w:val="00FF7591"/>
    <w:rsid w:val="00FF7692"/>
    <w:rsid w:val="00FF76BB"/>
    <w:rsid w:val="00FF76CE"/>
    <w:rsid w:val="00FF7757"/>
    <w:rsid w:val="00FF7978"/>
    <w:rsid w:val="00FF79CD"/>
    <w:rsid w:val="00FF7A58"/>
    <w:rsid w:val="00FF7D0D"/>
    <w:rsid w:val="013199DE"/>
    <w:rsid w:val="01772101"/>
    <w:rsid w:val="01D24815"/>
    <w:rsid w:val="0251D2B5"/>
    <w:rsid w:val="02A2778F"/>
    <w:rsid w:val="02B736C7"/>
    <w:rsid w:val="02F702E7"/>
    <w:rsid w:val="03AFE4A9"/>
    <w:rsid w:val="03FACF41"/>
    <w:rsid w:val="04D895B3"/>
    <w:rsid w:val="050E1264"/>
    <w:rsid w:val="0522BA7A"/>
    <w:rsid w:val="05971190"/>
    <w:rsid w:val="06112BC0"/>
    <w:rsid w:val="061C7008"/>
    <w:rsid w:val="0633C8B5"/>
    <w:rsid w:val="06EA2291"/>
    <w:rsid w:val="07576CA1"/>
    <w:rsid w:val="07D76A1B"/>
    <w:rsid w:val="094216AA"/>
    <w:rsid w:val="09E277CD"/>
    <w:rsid w:val="09FEFE83"/>
    <w:rsid w:val="0ADB6A0E"/>
    <w:rsid w:val="0B72B652"/>
    <w:rsid w:val="0BA0F28E"/>
    <w:rsid w:val="0BE203B4"/>
    <w:rsid w:val="0C92D781"/>
    <w:rsid w:val="0CD13A7C"/>
    <w:rsid w:val="0E800262"/>
    <w:rsid w:val="0EAFE705"/>
    <w:rsid w:val="0F78BCE0"/>
    <w:rsid w:val="0FE06AB3"/>
    <w:rsid w:val="0FEA6A34"/>
    <w:rsid w:val="104B92CC"/>
    <w:rsid w:val="10E917D0"/>
    <w:rsid w:val="112103B3"/>
    <w:rsid w:val="1146AA29"/>
    <w:rsid w:val="11A36CB9"/>
    <w:rsid w:val="1274C95C"/>
    <w:rsid w:val="12D46DA5"/>
    <w:rsid w:val="1312099A"/>
    <w:rsid w:val="132EA713"/>
    <w:rsid w:val="13488041"/>
    <w:rsid w:val="136289E4"/>
    <w:rsid w:val="13C8A324"/>
    <w:rsid w:val="13FD22D8"/>
    <w:rsid w:val="14721B60"/>
    <w:rsid w:val="1522351C"/>
    <w:rsid w:val="15C375E7"/>
    <w:rsid w:val="1614D060"/>
    <w:rsid w:val="1671C707"/>
    <w:rsid w:val="169C180B"/>
    <w:rsid w:val="17119AED"/>
    <w:rsid w:val="1835A138"/>
    <w:rsid w:val="190E0795"/>
    <w:rsid w:val="19118D50"/>
    <w:rsid w:val="19C96BC6"/>
    <w:rsid w:val="19DC4F03"/>
    <w:rsid w:val="1A06F27C"/>
    <w:rsid w:val="1B918E37"/>
    <w:rsid w:val="1D00F1B2"/>
    <w:rsid w:val="1D75BBEF"/>
    <w:rsid w:val="1DFE5F47"/>
    <w:rsid w:val="1E97E1C9"/>
    <w:rsid w:val="1F0907BC"/>
    <w:rsid w:val="1FE00854"/>
    <w:rsid w:val="200AFF0A"/>
    <w:rsid w:val="2079B165"/>
    <w:rsid w:val="20B446B8"/>
    <w:rsid w:val="20B82664"/>
    <w:rsid w:val="213A1ED0"/>
    <w:rsid w:val="226431EF"/>
    <w:rsid w:val="22F47F23"/>
    <w:rsid w:val="23085361"/>
    <w:rsid w:val="230F3F9B"/>
    <w:rsid w:val="23101261"/>
    <w:rsid w:val="231B8B5E"/>
    <w:rsid w:val="240D50B1"/>
    <w:rsid w:val="24FF1BF6"/>
    <w:rsid w:val="25ADE46F"/>
    <w:rsid w:val="2608A99C"/>
    <w:rsid w:val="26420353"/>
    <w:rsid w:val="26A4B0B4"/>
    <w:rsid w:val="27009A7B"/>
    <w:rsid w:val="270C3116"/>
    <w:rsid w:val="2722BD2B"/>
    <w:rsid w:val="276FF07F"/>
    <w:rsid w:val="27900117"/>
    <w:rsid w:val="28D72C3D"/>
    <w:rsid w:val="28F885FF"/>
    <w:rsid w:val="2920FF16"/>
    <w:rsid w:val="2A151FB7"/>
    <w:rsid w:val="2A660734"/>
    <w:rsid w:val="2AADD10D"/>
    <w:rsid w:val="2ACC510B"/>
    <w:rsid w:val="2ADC91DE"/>
    <w:rsid w:val="2AEB1C7F"/>
    <w:rsid w:val="2AF69E14"/>
    <w:rsid w:val="2B00F47C"/>
    <w:rsid w:val="2B233A34"/>
    <w:rsid w:val="2B3920E3"/>
    <w:rsid w:val="2B7CD7BD"/>
    <w:rsid w:val="2BC165CF"/>
    <w:rsid w:val="2D3550BC"/>
    <w:rsid w:val="2D4DC321"/>
    <w:rsid w:val="2F164BB7"/>
    <w:rsid w:val="2F8A3CCC"/>
    <w:rsid w:val="2FC7A129"/>
    <w:rsid w:val="30985906"/>
    <w:rsid w:val="30ABB6EA"/>
    <w:rsid w:val="30BD608D"/>
    <w:rsid w:val="313D9336"/>
    <w:rsid w:val="313DBC6E"/>
    <w:rsid w:val="31C0B8BA"/>
    <w:rsid w:val="32AA0620"/>
    <w:rsid w:val="32E69AC8"/>
    <w:rsid w:val="3371A72D"/>
    <w:rsid w:val="33C4C719"/>
    <w:rsid w:val="34141E3A"/>
    <w:rsid w:val="342CDDBE"/>
    <w:rsid w:val="34690618"/>
    <w:rsid w:val="346F7DE0"/>
    <w:rsid w:val="35023AAA"/>
    <w:rsid w:val="3514FA62"/>
    <w:rsid w:val="353B71CE"/>
    <w:rsid w:val="3546A420"/>
    <w:rsid w:val="354E331B"/>
    <w:rsid w:val="355542AF"/>
    <w:rsid w:val="35964A7E"/>
    <w:rsid w:val="35CA1B0E"/>
    <w:rsid w:val="35F60E43"/>
    <w:rsid w:val="3649FE8B"/>
    <w:rsid w:val="36941826"/>
    <w:rsid w:val="36BDDE02"/>
    <w:rsid w:val="3757DD04"/>
    <w:rsid w:val="37A15976"/>
    <w:rsid w:val="37F0216C"/>
    <w:rsid w:val="381A4769"/>
    <w:rsid w:val="392D4938"/>
    <w:rsid w:val="394120F1"/>
    <w:rsid w:val="3AD9F0CC"/>
    <w:rsid w:val="3AF4859F"/>
    <w:rsid w:val="3B33C28C"/>
    <w:rsid w:val="3B5E4214"/>
    <w:rsid w:val="3CBC8B41"/>
    <w:rsid w:val="3CE39D38"/>
    <w:rsid w:val="3D149198"/>
    <w:rsid w:val="3D2B6440"/>
    <w:rsid w:val="3E254145"/>
    <w:rsid w:val="3E52E0CB"/>
    <w:rsid w:val="3E998D96"/>
    <w:rsid w:val="3EE368F5"/>
    <w:rsid w:val="401823BF"/>
    <w:rsid w:val="404E2045"/>
    <w:rsid w:val="408A83C4"/>
    <w:rsid w:val="40BD46D4"/>
    <w:rsid w:val="4103E1F7"/>
    <w:rsid w:val="4203723D"/>
    <w:rsid w:val="4218C956"/>
    <w:rsid w:val="4270C9C7"/>
    <w:rsid w:val="430FCA0C"/>
    <w:rsid w:val="43857328"/>
    <w:rsid w:val="44410011"/>
    <w:rsid w:val="44431750"/>
    <w:rsid w:val="44754972"/>
    <w:rsid w:val="449958B0"/>
    <w:rsid w:val="450AB226"/>
    <w:rsid w:val="452C1FB7"/>
    <w:rsid w:val="45561C2C"/>
    <w:rsid w:val="457C40D0"/>
    <w:rsid w:val="45BD52FE"/>
    <w:rsid w:val="4737FCA3"/>
    <w:rsid w:val="477C0796"/>
    <w:rsid w:val="47A43F67"/>
    <w:rsid w:val="47A8C3FE"/>
    <w:rsid w:val="482ABFE9"/>
    <w:rsid w:val="48CC8D16"/>
    <w:rsid w:val="49551479"/>
    <w:rsid w:val="4A166218"/>
    <w:rsid w:val="4A48E268"/>
    <w:rsid w:val="4AA5F1E7"/>
    <w:rsid w:val="4B17F9AA"/>
    <w:rsid w:val="4B92412B"/>
    <w:rsid w:val="4B972778"/>
    <w:rsid w:val="4BEB584B"/>
    <w:rsid w:val="4D46AE7C"/>
    <w:rsid w:val="4D625C39"/>
    <w:rsid w:val="4D7ADB66"/>
    <w:rsid w:val="4DFF08A2"/>
    <w:rsid w:val="4E39DF5E"/>
    <w:rsid w:val="4F066EF0"/>
    <w:rsid w:val="502177D0"/>
    <w:rsid w:val="502258A1"/>
    <w:rsid w:val="50956EED"/>
    <w:rsid w:val="5095C5AB"/>
    <w:rsid w:val="515AB5CF"/>
    <w:rsid w:val="517761F3"/>
    <w:rsid w:val="51C1E1F8"/>
    <w:rsid w:val="51D5D663"/>
    <w:rsid w:val="51F30645"/>
    <w:rsid w:val="53188CC2"/>
    <w:rsid w:val="5329D405"/>
    <w:rsid w:val="534A6EF1"/>
    <w:rsid w:val="5353CE83"/>
    <w:rsid w:val="5386F040"/>
    <w:rsid w:val="53AE2C94"/>
    <w:rsid w:val="53AEF027"/>
    <w:rsid w:val="53E23A5B"/>
    <w:rsid w:val="547E5127"/>
    <w:rsid w:val="55ED812D"/>
    <w:rsid w:val="55F74304"/>
    <w:rsid w:val="5608D4D5"/>
    <w:rsid w:val="562C0543"/>
    <w:rsid w:val="568EAC16"/>
    <w:rsid w:val="56D8D139"/>
    <w:rsid w:val="57333511"/>
    <w:rsid w:val="5823547E"/>
    <w:rsid w:val="582C75FB"/>
    <w:rsid w:val="595E785B"/>
    <w:rsid w:val="5997BB39"/>
    <w:rsid w:val="59EA3E7B"/>
    <w:rsid w:val="5A26A912"/>
    <w:rsid w:val="5A35A69A"/>
    <w:rsid w:val="5A41B1D1"/>
    <w:rsid w:val="5A8B1B84"/>
    <w:rsid w:val="5C467C47"/>
    <w:rsid w:val="5D00F56B"/>
    <w:rsid w:val="5D20B673"/>
    <w:rsid w:val="5D30D663"/>
    <w:rsid w:val="5D5E64F9"/>
    <w:rsid w:val="5D8BE50B"/>
    <w:rsid w:val="5DD9B1C9"/>
    <w:rsid w:val="5DF439DE"/>
    <w:rsid w:val="5E825D7F"/>
    <w:rsid w:val="5EB28C97"/>
    <w:rsid w:val="5F56E4DD"/>
    <w:rsid w:val="5FC4656A"/>
    <w:rsid w:val="60965505"/>
    <w:rsid w:val="60D56E50"/>
    <w:rsid w:val="60F7E15F"/>
    <w:rsid w:val="619BFAFB"/>
    <w:rsid w:val="629CEAC1"/>
    <w:rsid w:val="635C2BFD"/>
    <w:rsid w:val="6379B350"/>
    <w:rsid w:val="642D3B22"/>
    <w:rsid w:val="64B111FA"/>
    <w:rsid w:val="668C8E19"/>
    <w:rsid w:val="669BD323"/>
    <w:rsid w:val="6724E0B9"/>
    <w:rsid w:val="67CD0A70"/>
    <w:rsid w:val="6885EC2F"/>
    <w:rsid w:val="68B2C946"/>
    <w:rsid w:val="699A8064"/>
    <w:rsid w:val="699BF599"/>
    <w:rsid w:val="69B3F45E"/>
    <w:rsid w:val="6A61ADFA"/>
    <w:rsid w:val="6AC4D25F"/>
    <w:rsid w:val="6AF596AE"/>
    <w:rsid w:val="6B53A891"/>
    <w:rsid w:val="6C0339B3"/>
    <w:rsid w:val="6C1F94A3"/>
    <w:rsid w:val="6CBD57D9"/>
    <w:rsid w:val="6D1E6231"/>
    <w:rsid w:val="6DF36071"/>
    <w:rsid w:val="6E41B5CB"/>
    <w:rsid w:val="6E4BDE0B"/>
    <w:rsid w:val="6EE33F95"/>
    <w:rsid w:val="6FE171EC"/>
    <w:rsid w:val="7000A32F"/>
    <w:rsid w:val="70576534"/>
    <w:rsid w:val="709F36AC"/>
    <w:rsid w:val="70EC36FA"/>
    <w:rsid w:val="70FACBD1"/>
    <w:rsid w:val="711A3853"/>
    <w:rsid w:val="71ECE6FF"/>
    <w:rsid w:val="7247B7CF"/>
    <w:rsid w:val="72A8B78B"/>
    <w:rsid w:val="72AEDE8B"/>
    <w:rsid w:val="72B94E62"/>
    <w:rsid w:val="736371C5"/>
    <w:rsid w:val="73A53D13"/>
    <w:rsid w:val="73A6B23A"/>
    <w:rsid w:val="74082A1D"/>
    <w:rsid w:val="74B98766"/>
    <w:rsid w:val="74BE79B6"/>
    <w:rsid w:val="75368EA4"/>
    <w:rsid w:val="756CFC0E"/>
    <w:rsid w:val="75764E8A"/>
    <w:rsid w:val="75C67AE9"/>
    <w:rsid w:val="75DB42BD"/>
    <w:rsid w:val="760F8690"/>
    <w:rsid w:val="764E6167"/>
    <w:rsid w:val="769397C5"/>
    <w:rsid w:val="770EDF7D"/>
    <w:rsid w:val="7718B3FF"/>
    <w:rsid w:val="7746201F"/>
    <w:rsid w:val="77CABBCD"/>
    <w:rsid w:val="77D07E47"/>
    <w:rsid w:val="780C2438"/>
    <w:rsid w:val="780D851C"/>
    <w:rsid w:val="783F9F39"/>
    <w:rsid w:val="797996C0"/>
    <w:rsid w:val="7A0CD236"/>
    <w:rsid w:val="7A8FD817"/>
    <w:rsid w:val="7A90BB0F"/>
    <w:rsid w:val="7AA630BC"/>
    <w:rsid w:val="7AEDD882"/>
    <w:rsid w:val="7B1BBBD1"/>
    <w:rsid w:val="7B4E1081"/>
    <w:rsid w:val="7BE36219"/>
    <w:rsid w:val="7C02A111"/>
    <w:rsid w:val="7C4AFDAF"/>
    <w:rsid w:val="7C4EEEBD"/>
    <w:rsid w:val="7CE2D4FB"/>
    <w:rsid w:val="7D2ED233"/>
    <w:rsid w:val="7D5DF20E"/>
    <w:rsid w:val="7D6D66D8"/>
    <w:rsid w:val="7DB08DF8"/>
    <w:rsid w:val="7DD0B8CB"/>
    <w:rsid w:val="7E11FA7D"/>
    <w:rsid w:val="7E74E6D0"/>
    <w:rsid w:val="7F07AEEC"/>
    <w:rsid w:val="7F0B9BE3"/>
    <w:rsid w:val="7F0E84D2"/>
    <w:rsid w:val="7F78AFB0"/>
    <w:rsid w:val="7F934171"/>
    <w:rsid w:val="7F94D72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BCD9162"/>
  <w15:docId w15:val="{1B0C05CC-0B90-4CD8-BBA2-0227B2D44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784C"/>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BodyText"/>
    <w:link w:val="Heading1Char"/>
    <w:qFormat/>
    <w:rsid w:val="00BE5E05"/>
    <w:pPr>
      <w:keepNext/>
      <w:tabs>
        <w:tab w:val="left" w:pos="284"/>
      </w:tabs>
      <w:spacing w:before="600" w:after="360"/>
      <w:outlineLvl w:val="0"/>
    </w:pPr>
    <w:rPr>
      <w:rFonts w:ascii="Arial" w:hAnsi="Arial"/>
      <w:caps/>
      <w:color w:val="00426F"/>
      <w:kern w:val="28"/>
      <w:sz w:val="40"/>
      <w:szCs w:val="36"/>
      <w:lang w:val="en-AU"/>
    </w:rPr>
  </w:style>
  <w:style w:type="paragraph" w:styleId="Heading2">
    <w:name w:val="heading 2"/>
    <w:basedOn w:val="Normal"/>
    <w:next w:val="BodyText"/>
    <w:link w:val="Heading2Char"/>
    <w:qFormat/>
    <w:rsid w:val="00495AC8"/>
    <w:pPr>
      <w:keepNext/>
      <w:widowControl w:val="0"/>
      <w:numPr>
        <w:numId w:val="5"/>
      </w:numPr>
      <w:pBdr>
        <w:bottom w:val="single" w:sz="4" w:space="4" w:color="53C8E9"/>
      </w:pBdr>
      <w:spacing w:before="240" w:after="100"/>
      <w:outlineLvl w:val="1"/>
    </w:pPr>
    <w:rPr>
      <w:rFonts w:ascii="Arial Bold" w:hAnsi="Arial Bold"/>
      <w:b/>
      <w:color w:val="53C8E9"/>
      <w:kern w:val="28"/>
      <w:sz w:val="28"/>
      <w:szCs w:val="36"/>
      <w:lang w:val="en-AU"/>
    </w:rPr>
  </w:style>
  <w:style w:type="paragraph" w:styleId="Heading3">
    <w:name w:val="heading 3"/>
    <w:basedOn w:val="Heading2"/>
    <w:next w:val="BodyText"/>
    <w:link w:val="Heading3Char"/>
    <w:qFormat/>
    <w:rsid w:val="00012000"/>
    <w:pPr>
      <w:numPr>
        <w:numId w:val="0"/>
      </w:numPr>
      <w:pBdr>
        <w:bottom w:val="none" w:sz="0" w:space="0" w:color="auto"/>
      </w:pBdr>
      <w:spacing w:before="320" w:after="120" w:line="240" w:lineRule="atLeast"/>
      <w:outlineLvl w:val="2"/>
    </w:pPr>
    <w:rPr>
      <w:color w:val="auto"/>
      <w:sz w:val="26"/>
    </w:rPr>
  </w:style>
  <w:style w:type="paragraph" w:styleId="Heading4">
    <w:name w:val="heading 4"/>
    <w:basedOn w:val="Heading3"/>
    <w:next w:val="Normal"/>
    <w:link w:val="Heading4Char"/>
    <w:qFormat/>
    <w:rsid w:val="007F784C"/>
    <w:pPr>
      <w:outlineLvl w:val="3"/>
    </w:pPr>
    <w:rPr>
      <w:sz w:val="25"/>
    </w:rPr>
  </w:style>
  <w:style w:type="paragraph" w:styleId="Heading5">
    <w:name w:val="heading 5"/>
    <w:basedOn w:val="Heading4"/>
    <w:next w:val="BodyText"/>
    <w:link w:val="Heading5Char"/>
    <w:qFormat/>
    <w:rsid w:val="007F784C"/>
    <w:pPr>
      <w:spacing w:after="60" w:line="320" w:lineRule="exact"/>
      <w:outlineLvl w:val="4"/>
    </w:pPr>
    <w:rPr>
      <w:b w:val="0"/>
      <w:i/>
      <w:sz w:val="24"/>
    </w:rPr>
  </w:style>
  <w:style w:type="paragraph" w:styleId="Heading6">
    <w:name w:val="heading 6"/>
    <w:basedOn w:val="Heading1"/>
    <w:next w:val="Normal"/>
    <w:link w:val="Heading6Char"/>
    <w:qFormat/>
    <w:rsid w:val="007F784C"/>
    <w:pPr>
      <w:spacing w:before="120"/>
      <w:outlineLvl w:val="5"/>
    </w:pPr>
    <w:rPr>
      <w:rFonts w:ascii="Times New Roman" w:hAnsi="Times New Roman"/>
      <w:b/>
      <w:i/>
      <w:caps w:val="0"/>
      <w:kern w:val="0"/>
      <w:sz w:val="24"/>
    </w:rPr>
  </w:style>
  <w:style w:type="paragraph" w:styleId="Heading7">
    <w:name w:val="heading 7"/>
    <w:basedOn w:val="Heading5"/>
    <w:next w:val="Normal"/>
    <w:link w:val="Heading7Char"/>
    <w:qFormat/>
    <w:rsid w:val="007F784C"/>
    <w:pPr>
      <w:spacing w:before="120"/>
      <w:ind w:left="425"/>
      <w:jc w:val="both"/>
      <w:outlineLvl w:val="6"/>
    </w:pPr>
    <w:rPr>
      <w:i w:val="0"/>
      <w:sz w:val="23"/>
    </w:rPr>
  </w:style>
  <w:style w:type="paragraph" w:styleId="Heading8">
    <w:name w:val="heading 8"/>
    <w:basedOn w:val="Heading7"/>
    <w:next w:val="Normal"/>
    <w:link w:val="Heading8Char"/>
    <w:qFormat/>
    <w:rsid w:val="007F784C"/>
    <w:pPr>
      <w:outlineLvl w:val="7"/>
    </w:pPr>
    <w:rPr>
      <w:i/>
    </w:rPr>
  </w:style>
  <w:style w:type="paragraph" w:styleId="Heading9">
    <w:name w:val="heading 9"/>
    <w:basedOn w:val="Heading8"/>
    <w:next w:val="Normal"/>
    <w:link w:val="Heading9Char"/>
    <w:qFormat/>
    <w:rsid w:val="007F784C"/>
    <w:pPr>
      <w:ind w:left="851"/>
      <w:outlineLvl w:val="8"/>
    </w:pPr>
    <w:rPr>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BE5E05"/>
    <w:rPr>
      <w:rFonts w:ascii="Arial" w:eastAsia="Times New Roman" w:hAnsi="Arial" w:cs="Times New Roman"/>
      <w:caps/>
      <w:color w:val="00426F"/>
      <w:kern w:val="28"/>
      <w:sz w:val="40"/>
      <w:szCs w:val="36"/>
    </w:rPr>
  </w:style>
  <w:style w:type="paragraph" w:styleId="BalloonText">
    <w:name w:val="Balloon Text"/>
    <w:basedOn w:val="Normal"/>
    <w:link w:val="BalloonTextChar"/>
    <w:rsid w:val="007F784C"/>
    <w:rPr>
      <w:rFonts w:ascii="Tahoma" w:hAnsi="Tahoma" w:cs="Tahoma"/>
      <w:sz w:val="16"/>
      <w:szCs w:val="16"/>
    </w:rPr>
  </w:style>
  <w:style w:type="character" w:customStyle="1" w:styleId="BalloonTextChar">
    <w:name w:val="Balloon Text Char"/>
    <w:link w:val="BalloonText"/>
    <w:rsid w:val="007F784C"/>
    <w:rPr>
      <w:rFonts w:ascii="Tahoma" w:eastAsia="Times New Roman" w:hAnsi="Tahoma" w:cs="Tahoma"/>
      <w:sz w:val="16"/>
      <w:szCs w:val="16"/>
      <w:lang w:val="en-US"/>
    </w:rPr>
  </w:style>
  <w:style w:type="paragraph" w:styleId="BodyText">
    <w:name w:val="Body Text"/>
    <w:link w:val="BodyTextChar"/>
    <w:autoRedefine/>
    <w:rsid w:val="00805A8C"/>
    <w:pPr>
      <w:spacing w:before="160" w:after="100" w:line="240" w:lineRule="atLeast"/>
    </w:pPr>
    <w:rPr>
      <w:rFonts w:ascii="Arial" w:eastAsia="Times New Roman" w:hAnsi="Arial" w:cs="Arial"/>
      <w:sz w:val="23"/>
      <w:szCs w:val="20"/>
    </w:rPr>
  </w:style>
  <w:style w:type="character" w:customStyle="1" w:styleId="BodyTextChar">
    <w:name w:val="Body Text Char"/>
    <w:basedOn w:val="DefaultParagraphFont"/>
    <w:link w:val="BodyText"/>
    <w:rsid w:val="00805A8C"/>
    <w:rPr>
      <w:rFonts w:ascii="Arial" w:eastAsia="Times New Roman" w:hAnsi="Arial" w:cs="Arial"/>
      <w:sz w:val="23"/>
      <w:szCs w:val="20"/>
    </w:rPr>
  </w:style>
  <w:style w:type="paragraph" w:customStyle="1" w:styleId="BodyText-Box">
    <w:name w:val="Body Text - Box"/>
    <w:basedOn w:val="BodyText"/>
    <w:autoRedefine/>
    <w:rsid w:val="007F784C"/>
    <w:pPr>
      <w:tabs>
        <w:tab w:val="left" w:pos="567"/>
      </w:tabs>
      <w:spacing w:before="120" w:after="120" w:line="240" w:lineRule="auto"/>
      <w:ind w:right="-143"/>
    </w:pPr>
    <w:rPr>
      <w:rFonts w:ascii="Times New Roman" w:hAnsi="Times New Roman"/>
      <w:color w:val="000000"/>
      <w:sz w:val="21"/>
      <w:szCs w:val="21"/>
      <w:lang w:eastAsia="en-AU"/>
    </w:rPr>
  </w:style>
  <w:style w:type="paragraph" w:customStyle="1" w:styleId="BodyTextBox">
    <w:name w:val="Body Text Box"/>
    <w:basedOn w:val="Normal"/>
    <w:link w:val="BodyTextBoxChar"/>
    <w:autoRedefine/>
    <w:rsid w:val="002D6D61"/>
    <w:pPr>
      <w:spacing w:before="100" w:after="60" w:line="240" w:lineRule="atLeast"/>
    </w:pPr>
    <w:rPr>
      <w:rFonts w:ascii="Arial" w:hAnsi="Arial" w:cs="Arial"/>
      <w:noProof/>
      <w:color w:val="008EBA"/>
      <w:sz w:val="23"/>
      <w:szCs w:val="19"/>
    </w:rPr>
  </w:style>
  <w:style w:type="paragraph" w:customStyle="1" w:styleId="ObjectHeading">
    <w:name w:val="Object Heading"/>
    <w:basedOn w:val="Heading3"/>
    <w:next w:val="Normal"/>
    <w:rsid w:val="007F784C"/>
    <w:pPr>
      <w:tabs>
        <w:tab w:val="left" w:pos="1418"/>
      </w:tabs>
      <w:ind w:left="1418" w:hanging="1418"/>
    </w:pPr>
    <w:rPr>
      <w:kern w:val="0"/>
    </w:rPr>
  </w:style>
  <w:style w:type="paragraph" w:customStyle="1" w:styleId="BoxHeading">
    <w:name w:val="Box Heading"/>
    <w:basedOn w:val="ObjectHeading"/>
    <w:autoRedefine/>
    <w:rsid w:val="00C43187"/>
    <w:pPr>
      <w:numPr>
        <w:numId w:val="8"/>
      </w:numPr>
      <w:tabs>
        <w:tab w:val="clear" w:pos="1418"/>
        <w:tab w:val="left" w:pos="1100"/>
      </w:tabs>
      <w:spacing w:before="80" w:after="60"/>
      <w:ind w:left="1134" w:hanging="1134"/>
    </w:pPr>
    <w:rPr>
      <w:rFonts w:cs="Arial"/>
      <w:sz w:val="23"/>
      <w:szCs w:val="20"/>
      <w:lang w:val="en-US"/>
    </w:rPr>
  </w:style>
  <w:style w:type="paragraph" w:customStyle="1" w:styleId="Bullet1">
    <w:name w:val="Bullet 1"/>
    <w:basedOn w:val="BodyText"/>
    <w:link w:val="Bullet1Char"/>
    <w:autoRedefine/>
    <w:qFormat/>
    <w:rsid w:val="00A7031A"/>
    <w:pPr>
      <w:numPr>
        <w:numId w:val="31"/>
      </w:numPr>
      <w:spacing w:before="120" w:after="80"/>
      <w:ind w:left="360"/>
    </w:pPr>
    <w:rPr>
      <w:rFonts w:eastAsiaTheme="minorHAnsi"/>
    </w:rPr>
  </w:style>
  <w:style w:type="character" w:customStyle="1" w:styleId="Heading2Char">
    <w:name w:val="Heading 2 Char"/>
    <w:link w:val="Heading2"/>
    <w:rsid w:val="00DF0ED6"/>
    <w:rPr>
      <w:rFonts w:ascii="Arial Bold" w:eastAsia="Times New Roman" w:hAnsi="Arial Bold" w:cs="Times New Roman"/>
      <w:b/>
      <w:color w:val="53C8E9"/>
      <w:kern w:val="28"/>
      <w:sz w:val="28"/>
      <w:szCs w:val="36"/>
    </w:rPr>
  </w:style>
  <w:style w:type="character" w:customStyle="1" w:styleId="Bullet1Char">
    <w:name w:val="Bullet 1 Char"/>
    <w:link w:val="Bullet1"/>
    <w:rsid w:val="00A7031A"/>
    <w:rPr>
      <w:rFonts w:ascii="Arial" w:hAnsi="Arial" w:cs="Arial"/>
      <w:sz w:val="23"/>
      <w:szCs w:val="20"/>
    </w:rPr>
  </w:style>
  <w:style w:type="paragraph" w:customStyle="1" w:styleId="Bullet1inabox">
    <w:name w:val="Bullet 1 in a box"/>
    <w:basedOn w:val="Bullet1"/>
    <w:autoRedefine/>
    <w:rsid w:val="00C11839"/>
    <w:pPr>
      <w:numPr>
        <w:numId w:val="35"/>
      </w:numPr>
      <w:spacing w:before="80" w:after="40"/>
      <w:ind w:left="360"/>
    </w:pPr>
    <w:rPr>
      <w:rFonts w:cs="Times New Roman"/>
      <w:color w:val="008EBA"/>
    </w:rPr>
  </w:style>
  <w:style w:type="paragraph" w:customStyle="1" w:styleId="Bullet1Paragraph">
    <w:name w:val="Bullet 1 Paragraph"/>
    <w:basedOn w:val="Normal"/>
    <w:rsid w:val="007F784C"/>
    <w:pPr>
      <w:ind w:left="425"/>
    </w:pPr>
  </w:style>
  <w:style w:type="paragraph" w:customStyle="1" w:styleId="Bullet2">
    <w:name w:val="Bullet 2"/>
    <w:basedOn w:val="Bullet1"/>
    <w:rsid w:val="007F784C"/>
    <w:pPr>
      <w:numPr>
        <w:numId w:val="1"/>
      </w:numPr>
      <w:tabs>
        <w:tab w:val="left" w:pos="851"/>
      </w:tabs>
    </w:pPr>
  </w:style>
  <w:style w:type="paragraph" w:customStyle="1" w:styleId="Bullet2innumberedlist">
    <w:name w:val="Bullet 2 in numbered list"/>
    <w:basedOn w:val="Bullet2"/>
    <w:rsid w:val="007F784C"/>
    <w:pPr>
      <w:numPr>
        <w:numId w:val="0"/>
      </w:numPr>
      <w:tabs>
        <w:tab w:val="num" w:pos="851"/>
      </w:tabs>
      <w:ind w:left="851" w:hanging="426"/>
    </w:pPr>
  </w:style>
  <w:style w:type="paragraph" w:customStyle="1" w:styleId="Bullet2Paragraph">
    <w:name w:val="Bullet 2 Paragraph"/>
    <w:basedOn w:val="Bullet1Paragraph"/>
    <w:rsid w:val="007F784C"/>
    <w:pPr>
      <w:ind w:left="851"/>
    </w:pPr>
  </w:style>
  <w:style w:type="paragraph" w:customStyle="1" w:styleId="Bullet3">
    <w:name w:val="Bullet 3"/>
    <w:basedOn w:val="Bullet2"/>
    <w:rsid w:val="007F784C"/>
    <w:pPr>
      <w:numPr>
        <w:numId w:val="2"/>
      </w:numPr>
    </w:pPr>
  </w:style>
  <w:style w:type="character" w:customStyle="1" w:styleId="Heading3Char">
    <w:name w:val="Heading 3 Char"/>
    <w:link w:val="Heading3"/>
    <w:rsid w:val="00012000"/>
    <w:rPr>
      <w:rFonts w:ascii="Arial Bold" w:eastAsia="Times New Roman" w:hAnsi="Arial Bold" w:cs="Times New Roman"/>
      <w:b/>
      <w:kern w:val="28"/>
      <w:sz w:val="26"/>
      <w:szCs w:val="36"/>
    </w:rPr>
  </w:style>
  <w:style w:type="character" w:customStyle="1" w:styleId="Heading4Char">
    <w:name w:val="Heading 4 Char"/>
    <w:link w:val="Heading4"/>
    <w:rsid w:val="007F784C"/>
    <w:rPr>
      <w:rFonts w:ascii="Arial Bold" w:eastAsia="Times New Roman" w:hAnsi="Arial Bold" w:cs="Times New Roman"/>
      <w:b/>
      <w:kern w:val="28"/>
      <w:sz w:val="25"/>
      <w:szCs w:val="36"/>
    </w:rPr>
  </w:style>
  <w:style w:type="paragraph" w:customStyle="1" w:styleId="Bullet3Paragraph">
    <w:name w:val="Bullet 3 Paragraph"/>
    <w:basedOn w:val="Bullet2Paragraph"/>
    <w:rsid w:val="007F784C"/>
    <w:pPr>
      <w:ind w:left="1276"/>
    </w:pPr>
  </w:style>
  <w:style w:type="paragraph" w:customStyle="1" w:styleId="Bullet4">
    <w:name w:val="Bullet 4"/>
    <w:basedOn w:val="Bullet3"/>
    <w:rsid w:val="007F784C"/>
    <w:pPr>
      <w:numPr>
        <w:numId w:val="3"/>
      </w:numPr>
    </w:pPr>
  </w:style>
  <w:style w:type="paragraph" w:customStyle="1" w:styleId="Bullet4Paragraph">
    <w:name w:val="Bullet 4 Paragraph"/>
    <w:basedOn w:val="Bullet3Paragraph"/>
    <w:rsid w:val="007F784C"/>
    <w:pPr>
      <w:ind w:left="1701"/>
    </w:pPr>
  </w:style>
  <w:style w:type="paragraph" w:customStyle="1" w:styleId="ChapterHeadingStyle">
    <w:name w:val="Chapter Heading Style"/>
    <w:basedOn w:val="Normal"/>
    <w:rsid w:val="007F784C"/>
    <w:pPr>
      <w:keepNext/>
      <w:keepLines/>
      <w:pBdr>
        <w:bottom w:val="threeDEmboss" w:sz="24" w:space="1" w:color="000000"/>
      </w:pBdr>
      <w:tabs>
        <w:tab w:val="left" w:pos="1134"/>
        <w:tab w:val="left" w:pos="2268"/>
      </w:tabs>
      <w:spacing w:after="120"/>
      <w:ind w:left="2268" w:hanging="2268"/>
      <w:outlineLvl w:val="0"/>
    </w:pPr>
    <w:rPr>
      <w:rFonts w:ascii="Tahoma" w:hAnsi="Tahoma"/>
      <w:b/>
      <w:caps/>
      <w:color w:val="000000"/>
      <w:kern w:val="28"/>
      <w:sz w:val="32"/>
      <w:lang w:val="en-AU"/>
    </w:rPr>
  </w:style>
  <w:style w:type="paragraph" w:customStyle="1" w:styleId="ChartHeading">
    <w:name w:val="Chart Heading"/>
    <w:basedOn w:val="Normal"/>
    <w:autoRedefine/>
    <w:rsid w:val="007F784C"/>
    <w:pPr>
      <w:keepNext/>
      <w:widowControl w:val="0"/>
      <w:spacing w:before="240" w:after="120"/>
    </w:pPr>
    <w:rPr>
      <w:rFonts w:ascii="Arial" w:hAnsi="Arial"/>
      <w:b/>
      <w:sz w:val="24"/>
    </w:rPr>
  </w:style>
  <w:style w:type="character" w:styleId="EndnoteReference">
    <w:name w:val="endnote reference"/>
    <w:semiHidden/>
    <w:rsid w:val="007F784C"/>
    <w:rPr>
      <w:i/>
      <w:sz w:val="16"/>
      <w:vertAlign w:val="superscript"/>
    </w:rPr>
  </w:style>
  <w:style w:type="paragraph" w:styleId="Footer">
    <w:name w:val="footer"/>
    <w:basedOn w:val="Normal"/>
    <w:link w:val="FooterChar"/>
    <w:rsid w:val="007F784C"/>
    <w:pPr>
      <w:pBdr>
        <w:top w:val="single" w:sz="4" w:space="1" w:color="auto"/>
      </w:pBdr>
      <w:tabs>
        <w:tab w:val="right" w:pos="7655"/>
      </w:tabs>
    </w:pPr>
    <w:rPr>
      <w:rFonts w:ascii="Arial" w:hAnsi="Arial"/>
      <w:sz w:val="18"/>
    </w:rPr>
  </w:style>
  <w:style w:type="character" w:customStyle="1" w:styleId="FooterChar">
    <w:name w:val="Footer Char"/>
    <w:basedOn w:val="DefaultParagraphFont"/>
    <w:link w:val="Footer"/>
    <w:rsid w:val="007F784C"/>
    <w:rPr>
      <w:rFonts w:ascii="Arial" w:eastAsia="Times New Roman" w:hAnsi="Arial" w:cs="Times New Roman"/>
      <w:sz w:val="18"/>
      <w:szCs w:val="20"/>
      <w:lang w:val="en-US"/>
    </w:rPr>
  </w:style>
  <w:style w:type="character" w:styleId="FootnoteReference">
    <w:name w:val="footnote reference"/>
    <w:semiHidden/>
    <w:rsid w:val="007F784C"/>
    <w:rPr>
      <w:vertAlign w:val="superscript"/>
    </w:rPr>
  </w:style>
  <w:style w:type="paragraph" w:styleId="FootnoteText">
    <w:name w:val="footnote text"/>
    <w:basedOn w:val="Normal"/>
    <w:link w:val="FootnoteTextChar"/>
    <w:semiHidden/>
    <w:rsid w:val="007F784C"/>
    <w:pPr>
      <w:spacing w:before="80" w:after="80"/>
      <w:ind w:left="709" w:hanging="142"/>
    </w:pPr>
    <w:rPr>
      <w:i/>
      <w:sz w:val="16"/>
    </w:rPr>
  </w:style>
  <w:style w:type="character" w:customStyle="1" w:styleId="FootnoteTextChar">
    <w:name w:val="Footnote Text Char"/>
    <w:basedOn w:val="DefaultParagraphFont"/>
    <w:link w:val="FootnoteText"/>
    <w:semiHidden/>
    <w:rsid w:val="007F784C"/>
    <w:rPr>
      <w:rFonts w:ascii="Times New Roman" w:eastAsia="Times New Roman" w:hAnsi="Times New Roman" w:cs="Times New Roman"/>
      <w:i/>
      <w:sz w:val="16"/>
      <w:szCs w:val="20"/>
      <w:lang w:val="en-US"/>
    </w:rPr>
  </w:style>
  <w:style w:type="paragraph" w:styleId="Header">
    <w:name w:val="header"/>
    <w:basedOn w:val="Normal"/>
    <w:link w:val="HeaderChar"/>
    <w:uiPriority w:val="99"/>
    <w:rsid w:val="007F784C"/>
    <w:pPr>
      <w:tabs>
        <w:tab w:val="center" w:pos="4153"/>
        <w:tab w:val="right" w:pos="8306"/>
      </w:tabs>
    </w:pPr>
  </w:style>
  <w:style w:type="character" w:customStyle="1" w:styleId="HeaderChar">
    <w:name w:val="Header Char"/>
    <w:basedOn w:val="DefaultParagraphFont"/>
    <w:link w:val="Header"/>
    <w:uiPriority w:val="99"/>
    <w:rsid w:val="007F784C"/>
    <w:rPr>
      <w:rFonts w:ascii="Times New Roman" w:eastAsia="Times New Roman" w:hAnsi="Times New Roman" w:cs="Times New Roman"/>
      <w:sz w:val="20"/>
      <w:szCs w:val="20"/>
      <w:lang w:val="en-US"/>
    </w:rPr>
  </w:style>
  <w:style w:type="paragraph" w:customStyle="1" w:styleId="Heading1BP2">
    <w:name w:val="Heading 1 BP2"/>
    <w:rsid w:val="007F784C"/>
    <w:pPr>
      <w:keepNext/>
      <w:tabs>
        <w:tab w:val="left" w:pos="284"/>
      </w:tabs>
      <w:spacing w:before="400" w:after="240" w:line="240" w:lineRule="auto"/>
    </w:pPr>
    <w:rPr>
      <w:rFonts w:ascii="Lucida Sans" w:eastAsia="Times New Roman" w:hAnsi="Lucida Sans" w:cs="Times New Roman"/>
      <w:kern w:val="28"/>
      <w:sz w:val="36"/>
      <w:szCs w:val="36"/>
    </w:rPr>
  </w:style>
  <w:style w:type="paragraph" w:customStyle="1" w:styleId="ListBullet1">
    <w:name w:val="List Bullet1"/>
    <w:basedOn w:val="Normal"/>
    <w:autoRedefine/>
    <w:rsid w:val="007F784C"/>
    <w:pPr>
      <w:numPr>
        <w:numId w:val="4"/>
      </w:numPr>
      <w:spacing w:line="360" w:lineRule="auto"/>
    </w:pPr>
    <w:rPr>
      <w:rFonts w:ascii="Arial" w:hAnsi="Arial"/>
      <w:sz w:val="28"/>
      <w:lang w:val="en-AU"/>
    </w:rPr>
  </w:style>
  <w:style w:type="paragraph" w:styleId="NoSpacing">
    <w:name w:val="No Spacing"/>
    <w:basedOn w:val="Normal"/>
    <w:link w:val="NoSpacingChar"/>
    <w:qFormat/>
    <w:rsid w:val="007F784C"/>
  </w:style>
  <w:style w:type="character" w:customStyle="1" w:styleId="NoSpacingChar">
    <w:name w:val="No Spacing Char"/>
    <w:link w:val="NoSpacing"/>
    <w:rsid w:val="007F784C"/>
    <w:rPr>
      <w:rFonts w:ascii="Times New Roman" w:eastAsia="Times New Roman" w:hAnsi="Times New Roman" w:cs="Times New Roman"/>
      <w:sz w:val="20"/>
      <w:szCs w:val="20"/>
      <w:lang w:val="en-US"/>
    </w:rPr>
  </w:style>
  <w:style w:type="paragraph" w:customStyle="1" w:styleId="Object">
    <w:name w:val="Object"/>
    <w:basedOn w:val="Normal"/>
    <w:next w:val="Normal"/>
    <w:rsid w:val="007F784C"/>
    <w:pPr>
      <w:jc w:val="center"/>
    </w:pPr>
  </w:style>
  <w:style w:type="paragraph" w:customStyle="1" w:styleId="ObjectFootnote">
    <w:name w:val="Object Footnote"/>
    <w:basedOn w:val="Object"/>
    <w:next w:val="Normal"/>
    <w:rsid w:val="007F784C"/>
    <w:pPr>
      <w:spacing w:after="60"/>
    </w:pPr>
    <w:rPr>
      <w:i/>
      <w:sz w:val="14"/>
    </w:rPr>
  </w:style>
  <w:style w:type="character" w:customStyle="1" w:styleId="Heading5Char">
    <w:name w:val="Heading 5 Char"/>
    <w:link w:val="Heading5"/>
    <w:rsid w:val="007F784C"/>
    <w:rPr>
      <w:rFonts w:ascii="Arial Bold" w:eastAsia="Times New Roman" w:hAnsi="Arial Bold" w:cs="Times New Roman"/>
      <w:i/>
      <w:kern w:val="28"/>
      <w:sz w:val="24"/>
      <w:szCs w:val="36"/>
    </w:rPr>
  </w:style>
  <w:style w:type="character" w:customStyle="1" w:styleId="Heading6Char">
    <w:name w:val="Heading 6 Char"/>
    <w:link w:val="Heading6"/>
    <w:rsid w:val="007F784C"/>
    <w:rPr>
      <w:rFonts w:ascii="Times New Roman" w:eastAsia="Times New Roman" w:hAnsi="Times New Roman" w:cs="Times New Roman"/>
      <w:b/>
      <w:i/>
      <w:color w:val="1D3278"/>
      <w:sz w:val="24"/>
      <w:szCs w:val="36"/>
    </w:rPr>
  </w:style>
  <w:style w:type="character" w:customStyle="1" w:styleId="Heading7Char">
    <w:name w:val="Heading 7 Char"/>
    <w:link w:val="Heading7"/>
    <w:rsid w:val="007F784C"/>
    <w:rPr>
      <w:rFonts w:ascii="Arial Bold" w:eastAsia="Times New Roman" w:hAnsi="Arial Bold" w:cs="Times New Roman"/>
      <w:kern w:val="28"/>
      <w:sz w:val="23"/>
      <w:szCs w:val="36"/>
    </w:rPr>
  </w:style>
  <w:style w:type="character" w:customStyle="1" w:styleId="Heading8Char">
    <w:name w:val="Heading 8 Char"/>
    <w:link w:val="Heading8"/>
    <w:rsid w:val="007F784C"/>
    <w:rPr>
      <w:rFonts w:ascii="Arial Bold" w:eastAsia="Times New Roman" w:hAnsi="Arial Bold" w:cs="Times New Roman"/>
      <w:i/>
      <w:kern w:val="28"/>
      <w:sz w:val="23"/>
      <w:szCs w:val="36"/>
    </w:rPr>
  </w:style>
  <w:style w:type="character" w:customStyle="1" w:styleId="Heading9Char">
    <w:name w:val="Heading 9 Char"/>
    <w:link w:val="Heading9"/>
    <w:rsid w:val="007F784C"/>
    <w:rPr>
      <w:rFonts w:ascii="Arial Bold" w:eastAsia="Times New Roman" w:hAnsi="Arial Bold" w:cs="Times New Roman"/>
      <w:kern w:val="28"/>
      <w:sz w:val="23"/>
      <w:szCs w:val="36"/>
    </w:rPr>
  </w:style>
  <w:style w:type="paragraph" w:customStyle="1" w:styleId="ObjectFootnotelettered">
    <w:name w:val="Object Footnote lettered"/>
    <w:basedOn w:val="ObjectFootnote"/>
    <w:rsid w:val="007F784C"/>
    <w:pPr>
      <w:tabs>
        <w:tab w:val="left" w:pos="709"/>
      </w:tabs>
      <w:ind w:left="426"/>
      <w:jc w:val="left"/>
    </w:pPr>
  </w:style>
  <w:style w:type="paragraph" w:customStyle="1" w:styleId="ObjectFootnoteleft">
    <w:name w:val="Object Footnote left"/>
    <w:basedOn w:val="ObjectFootnotelettered"/>
    <w:rsid w:val="007F784C"/>
    <w:pPr>
      <w:ind w:left="709" w:hanging="283"/>
    </w:pPr>
  </w:style>
  <w:style w:type="character" w:styleId="PageNumber">
    <w:name w:val="page number"/>
    <w:basedOn w:val="DefaultParagraphFont"/>
    <w:rsid w:val="007F784C"/>
  </w:style>
  <w:style w:type="paragraph" w:customStyle="1" w:styleId="Style211HeadingBold">
    <w:name w:val="Style 2.1.1 Heading + Bold"/>
    <w:basedOn w:val="Normal"/>
    <w:rsid w:val="007F784C"/>
    <w:rPr>
      <w:b/>
      <w:bCs/>
      <w:i/>
      <w:iCs/>
    </w:rPr>
  </w:style>
  <w:style w:type="paragraph" w:customStyle="1" w:styleId="StyleBoxHeadingLeft0Firstline0">
    <w:name w:val="Style Box Heading + Left:  0&quot; First line:  0&quot;"/>
    <w:basedOn w:val="BoxHeading"/>
    <w:autoRedefine/>
    <w:rsid w:val="007F784C"/>
    <w:pPr>
      <w:keepLines/>
      <w:widowControl/>
      <w:tabs>
        <w:tab w:val="left" w:pos="567"/>
        <w:tab w:val="num" w:pos="1276"/>
      </w:tabs>
      <w:spacing w:before="120" w:after="120"/>
      <w:outlineLvl w:val="9"/>
    </w:pPr>
    <w:rPr>
      <w:bCs/>
      <w:color w:val="000000"/>
      <w:lang w:val="en-AU" w:eastAsia="en-AU"/>
    </w:rPr>
  </w:style>
  <w:style w:type="paragraph" w:customStyle="1" w:styleId="StyleName">
    <w:name w:val="Style Name"/>
    <w:basedOn w:val="Normal"/>
    <w:rsid w:val="007F784C"/>
    <w:pPr>
      <w:ind w:left="851" w:hanging="851"/>
      <w:jc w:val="center"/>
    </w:pPr>
    <w:rPr>
      <w:rFonts w:ascii="Arial" w:hAnsi="Arial"/>
      <w:b/>
      <w:i/>
      <w:color w:val="000000"/>
      <w:sz w:val="24"/>
      <w:lang w:val="en-GB" w:eastAsia="en-AU"/>
    </w:rPr>
  </w:style>
  <w:style w:type="paragraph" w:customStyle="1" w:styleId="TableFootnote">
    <w:name w:val="Table Footnote"/>
    <w:basedOn w:val="Normal"/>
    <w:rsid w:val="007F784C"/>
    <w:pPr>
      <w:spacing w:before="60" w:after="60"/>
      <w:ind w:left="284"/>
    </w:pPr>
    <w:rPr>
      <w:rFonts w:ascii="Arial" w:hAnsi="Arial"/>
      <w:i/>
      <w:sz w:val="14"/>
    </w:rPr>
  </w:style>
  <w:style w:type="table" w:styleId="TableGrid">
    <w:name w:val="Table Grid"/>
    <w:basedOn w:val="TableNormal"/>
    <w:rsid w:val="007F784C"/>
    <w:pPr>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563DF"/>
    <w:pPr>
      <w:spacing w:after="0" w:line="240" w:lineRule="auto"/>
    </w:pPr>
    <w:rPr>
      <w:rFonts w:ascii="Times New Roman" w:eastAsia="Times New Roman" w:hAnsi="Times New Roman" w:cs="Times New Roman"/>
      <w:sz w:val="20"/>
      <w:szCs w:val="20"/>
      <w:lang w:val="en-US"/>
    </w:rPr>
  </w:style>
  <w:style w:type="paragraph" w:customStyle="1" w:styleId="Default">
    <w:name w:val="Default"/>
    <w:rsid w:val="00655FA0"/>
    <w:pPr>
      <w:autoSpaceDE w:val="0"/>
      <w:autoSpaceDN w:val="0"/>
      <w:adjustRightInd w:val="0"/>
      <w:spacing w:after="0" w:line="240" w:lineRule="auto"/>
    </w:pPr>
    <w:rPr>
      <w:rFonts w:ascii="Calibri" w:hAnsi="Calibri" w:cs="Calibri"/>
      <w:color w:val="000000"/>
      <w:sz w:val="24"/>
      <w:szCs w:val="24"/>
    </w:rPr>
  </w:style>
  <w:style w:type="paragraph" w:styleId="ListParagraph">
    <w:name w:val="List Paragraph"/>
    <w:basedOn w:val="Normal"/>
    <w:uiPriority w:val="34"/>
    <w:qFormat/>
    <w:rsid w:val="007F563A"/>
    <w:pPr>
      <w:widowControl w:val="0"/>
      <w:tabs>
        <w:tab w:val="right" w:pos="4196"/>
        <w:tab w:val="right" w:pos="5046"/>
        <w:tab w:val="right" w:pos="5897"/>
        <w:tab w:val="right" w:pos="6747"/>
        <w:tab w:val="right" w:pos="7598"/>
      </w:tabs>
      <w:autoSpaceDE w:val="0"/>
      <w:autoSpaceDN w:val="0"/>
      <w:ind w:left="720"/>
      <w:contextualSpacing/>
    </w:pPr>
    <w:rPr>
      <w:rFonts w:ascii="Arial" w:eastAsiaTheme="minorEastAsia" w:hAnsi="Arial" w:cs="Arial"/>
      <w:lang w:val="en-AU" w:eastAsia="en-AU"/>
    </w:rPr>
  </w:style>
  <w:style w:type="character" w:styleId="CommentReference">
    <w:name w:val="annotation reference"/>
    <w:basedOn w:val="DefaultParagraphFont"/>
    <w:uiPriority w:val="99"/>
    <w:unhideWhenUsed/>
    <w:rsid w:val="00E10CE7"/>
    <w:rPr>
      <w:sz w:val="16"/>
      <w:szCs w:val="16"/>
    </w:rPr>
  </w:style>
  <w:style w:type="paragraph" w:styleId="CommentText">
    <w:name w:val="annotation text"/>
    <w:basedOn w:val="Normal"/>
    <w:link w:val="CommentTextChar"/>
    <w:uiPriority w:val="99"/>
    <w:unhideWhenUsed/>
    <w:rsid w:val="00E10CE7"/>
    <w:pPr>
      <w:spacing w:after="160"/>
    </w:pPr>
    <w:rPr>
      <w:rFonts w:asciiTheme="minorHAnsi" w:eastAsiaTheme="minorHAnsi" w:hAnsiTheme="minorHAnsi" w:cstheme="minorBidi"/>
      <w:lang w:val="en-AU"/>
    </w:rPr>
  </w:style>
  <w:style w:type="character" w:customStyle="1" w:styleId="CommentTextChar">
    <w:name w:val="Comment Text Char"/>
    <w:basedOn w:val="DefaultParagraphFont"/>
    <w:link w:val="CommentText"/>
    <w:uiPriority w:val="99"/>
    <w:rsid w:val="00E10CE7"/>
    <w:rPr>
      <w:sz w:val="20"/>
      <w:szCs w:val="20"/>
    </w:rPr>
  </w:style>
  <w:style w:type="paragraph" w:styleId="TOCHeading">
    <w:name w:val="TOC Heading"/>
    <w:basedOn w:val="Heading1"/>
    <w:next w:val="Normal"/>
    <w:uiPriority w:val="39"/>
    <w:unhideWhenUsed/>
    <w:qFormat/>
    <w:rsid w:val="00543823"/>
    <w:pPr>
      <w:keepLines/>
      <w:tabs>
        <w:tab w:val="clear" w:pos="284"/>
      </w:tabs>
      <w:spacing w:before="240" w:after="0" w:line="259" w:lineRule="auto"/>
      <w:outlineLvl w:val="9"/>
    </w:pPr>
    <w:rPr>
      <w:rFonts w:asciiTheme="majorHAnsi" w:eastAsiaTheme="majorEastAsia" w:hAnsiTheme="majorHAnsi" w:cstheme="majorBidi"/>
      <w:caps w:val="0"/>
      <w:color w:val="365F91" w:themeColor="accent1" w:themeShade="BF"/>
      <w:kern w:val="0"/>
      <w:sz w:val="32"/>
      <w:szCs w:val="32"/>
      <w:lang w:val="en-US"/>
    </w:rPr>
  </w:style>
  <w:style w:type="paragraph" w:styleId="TOC1">
    <w:name w:val="toc 1"/>
    <w:basedOn w:val="Normal"/>
    <w:next w:val="Normal"/>
    <w:autoRedefine/>
    <w:uiPriority w:val="39"/>
    <w:unhideWhenUsed/>
    <w:rsid w:val="00543823"/>
    <w:pPr>
      <w:spacing w:after="100"/>
    </w:pPr>
  </w:style>
  <w:style w:type="paragraph" w:styleId="TOC2">
    <w:name w:val="toc 2"/>
    <w:basedOn w:val="Normal"/>
    <w:next w:val="Normal"/>
    <w:autoRedefine/>
    <w:uiPriority w:val="39"/>
    <w:unhideWhenUsed/>
    <w:rsid w:val="00543823"/>
    <w:pPr>
      <w:spacing w:after="100"/>
      <w:ind w:left="200"/>
    </w:pPr>
  </w:style>
  <w:style w:type="paragraph" w:styleId="TOC3">
    <w:name w:val="toc 3"/>
    <w:basedOn w:val="Normal"/>
    <w:next w:val="Normal"/>
    <w:autoRedefine/>
    <w:uiPriority w:val="39"/>
    <w:unhideWhenUsed/>
    <w:rsid w:val="00543823"/>
    <w:pPr>
      <w:spacing w:after="100"/>
      <w:ind w:left="400"/>
    </w:pPr>
  </w:style>
  <w:style w:type="character" w:styleId="Hyperlink">
    <w:name w:val="Hyperlink"/>
    <w:basedOn w:val="DefaultParagraphFont"/>
    <w:uiPriority w:val="99"/>
    <w:unhideWhenUsed/>
    <w:rsid w:val="00543823"/>
    <w:rPr>
      <w:color w:val="0000FF" w:themeColor="hyperlink"/>
      <w:u w:val="single"/>
    </w:rPr>
  </w:style>
  <w:style w:type="paragraph" w:styleId="CommentSubject">
    <w:name w:val="annotation subject"/>
    <w:basedOn w:val="CommentText"/>
    <w:next w:val="CommentText"/>
    <w:link w:val="CommentSubjectChar"/>
    <w:semiHidden/>
    <w:unhideWhenUsed/>
    <w:rsid w:val="00F5521A"/>
    <w:pPr>
      <w:spacing w:after="0"/>
    </w:pPr>
    <w:rPr>
      <w:rFonts w:ascii="Times New Roman" w:eastAsia="Times New Roman" w:hAnsi="Times New Roman" w:cs="Times New Roman"/>
      <w:b/>
      <w:bCs/>
      <w:lang w:val="en-US"/>
    </w:rPr>
  </w:style>
  <w:style w:type="character" w:customStyle="1" w:styleId="CommentSubjectChar">
    <w:name w:val="Comment Subject Char"/>
    <w:basedOn w:val="CommentTextChar"/>
    <w:link w:val="CommentSubject"/>
    <w:semiHidden/>
    <w:rsid w:val="00F5521A"/>
    <w:rPr>
      <w:rFonts w:ascii="Times New Roman" w:eastAsia="Times New Roman" w:hAnsi="Times New Roman" w:cs="Times New Roman"/>
      <w:b/>
      <w:bCs/>
      <w:sz w:val="20"/>
      <w:szCs w:val="20"/>
      <w:lang w:val="en-US"/>
    </w:rPr>
  </w:style>
  <w:style w:type="paragraph" w:styleId="NormalWeb">
    <w:name w:val="Normal (Web)"/>
    <w:basedOn w:val="Normal"/>
    <w:uiPriority w:val="99"/>
    <w:semiHidden/>
    <w:unhideWhenUsed/>
    <w:rsid w:val="0035648F"/>
    <w:pPr>
      <w:spacing w:before="100" w:beforeAutospacing="1" w:after="100" w:afterAutospacing="1"/>
    </w:pPr>
    <w:rPr>
      <w:sz w:val="24"/>
      <w:szCs w:val="24"/>
      <w:lang w:val="en-AU" w:eastAsia="en-AU"/>
    </w:rPr>
  </w:style>
  <w:style w:type="character" w:styleId="Strong">
    <w:name w:val="Strong"/>
    <w:basedOn w:val="DefaultParagraphFont"/>
    <w:uiPriority w:val="22"/>
    <w:qFormat/>
    <w:rsid w:val="0035648F"/>
    <w:rPr>
      <w:b/>
      <w:bCs/>
    </w:rPr>
  </w:style>
  <w:style w:type="character" w:customStyle="1" w:styleId="BodyTextBoxChar">
    <w:name w:val="Body Text Box Char"/>
    <w:link w:val="BodyTextBox"/>
    <w:rsid w:val="002D6D61"/>
    <w:rPr>
      <w:rFonts w:ascii="Arial" w:eastAsia="Times New Roman" w:hAnsi="Arial" w:cs="Arial"/>
      <w:noProof/>
      <w:color w:val="008EBA"/>
      <w:sz w:val="23"/>
      <w:szCs w:val="19"/>
      <w:lang w:val="en-US"/>
    </w:rPr>
  </w:style>
  <w:style w:type="paragraph" w:customStyle="1" w:styleId="Style1">
    <w:name w:val="Style1"/>
    <w:basedOn w:val="Bullet1inabox"/>
    <w:qFormat/>
    <w:rsid w:val="001C272E"/>
  </w:style>
  <w:style w:type="paragraph" w:customStyle="1" w:styleId="Chart5X0">
    <w:name w:val="Chart 5.X"/>
    <w:basedOn w:val="Normal"/>
    <w:next w:val="Normal"/>
    <w:rsid w:val="003D358E"/>
    <w:pPr>
      <w:keepLines/>
      <w:tabs>
        <w:tab w:val="left" w:pos="1304"/>
      </w:tabs>
      <w:spacing w:before="240" w:after="120"/>
    </w:pPr>
    <w:rPr>
      <w:rFonts w:ascii="Arial" w:hAnsi="Arial"/>
      <w:i/>
      <w:color w:val="4F4F4F"/>
      <w:sz w:val="22"/>
    </w:rPr>
  </w:style>
  <w:style w:type="paragraph" w:customStyle="1" w:styleId="Table5X">
    <w:name w:val="Table 5.X"/>
    <w:basedOn w:val="Normal"/>
    <w:rsid w:val="00FE5478"/>
    <w:pPr>
      <w:widowControl w:val="0"/>
      <w:numPr>
        <w:numId w:val="9"/>
      </w:numPr>
      <w:tabs>
        <w:tab w:val="left" w:pos="0"/>
        <w:tab w:val="left" w:pos="1304"/>
      </w:tabs>
      <w:spacing w:before="240" w:after="120"/>
      <w:ind w:left="357" w:hanging="357"/>
    </w:pPr>
    <w:rPr>
      <w:rFonts w:ascii="Arial" w:hAnsi="Arial"/>
      <w:bCs/>
      <w:i/>
      <w:color w:val="4F4F4F"/>
      <w:kern w:val="28"/>
      <w:sz w:val="22"/>
      <w:szCs w:val="22"/>
    </w:rPr>
  </w:style>
  <w:style w:type="paragraph" w:customStyle="1" w:styleId="Chart5x">
    <w:name w:val="Chart 5.x"/>
    <w:basedOn w:val="Table5X"/>
    <w:qFormat/>
    <w:rsid w:val="00D75F55"/>
    <w:pPr>
      <w:numPr>
        <w:numId w:val="10"/>
      </w:numPr>
    </w:pPr>
  </w:style>
  <w:style w:type="paragraph" w:customStyle="1" w:styleId="paragraph">
    <w:name w:val="paragraph"/>
    <w:basedOn w:val="Normal"/>
    <w:rsid w:val="009E7744"/>
    <w:rPr>
      <w:sz w:val="24"/>
      <w:szCs w:val="24"/>
      <w:lang w:val="en-AU" w:eastAsia="zh-CN"/>
    </w:rPr>
  </w:style>
  <w:style w:type="character" w:customStyle="1" w:styleId="normaltextrun1">
    <w:name w:val="normaltextrun1"/>
    <w:basedOn w:val="DefaultParagraphFont"/>
    <w:rsid w:val="009E7744"/>
  </w:style>
  <w:style w:type="character" w:customStyle="1" w:styleId="eop">
    <w:name w:val="eop"/>
    <w:basedOn w:val="DefaultParagraphFont"/>
    <w:rsid w:val="009E7744"/>
  </w:style>
  <w:style w:type="character" w:customStyle="1" w:styleId="superscript">
    <w:name w:val="superscript"/>
    <w:basedOn w:val="DefaultParagraphFont"/>
    <w:rsid w:val="009E7744"/>
  </w:style>
  <w:style w:type="character" w:styleId="Emphasis">
    <w:name w:val="Emphasis"/>
    <w:basedOn w:val="DefaultParagraphFont"/>
    <w:qFormat/>
    <w:rsid w:val="00E64E1F"/>
    <w:rPr>
      <w:i/>
      <w:iCs/>
    </w:rPr>
  </w:style>
  <w:style w:type="character" w:styleId="UnresolvedMention">
    <w:name w:val="Unresolved Mention"/>
    <w:basedOn w:val="DefaultParagraphFont"/>
    <w:uiPriority w:val="99"/>
    <w:unhideWhenUsed/>
    <w:rsid w:val="00820DDD"/>
    <w:rPr>
      <w:color w:val="605E5C"/>
      <w:shd w:val="clear" w:color="auto" w:fill="E1DFDD"/>
    </w:rPr>
  </w:style>
  <w:style w:type="character" w:styleId="Mention">
    <w:name w:val="Mention"/>
    <w:basedOn w:val="DefaultParagraphFont"/>
    <w:uiPriority w:val="99"/>
    <w:unhideWhenUsed/>
    <w:rsid w:val="00820DDD"/>
    <w:rPr>
      <w:color w:val="2B579A"/>
      <w:shd w:val="clear" w:color="auto" w:fill="E1DFDD"/>
    </w:rPr>
  </w:style>
  <w:style w:type="paragraph" w:customStyle="1" w:styleId="Bullet2inabox">
    <w:name w:val="Bullet 2 in a box"/>
    <w:basedOn w:val="Bullet1inabox"/>
    <w:qFormat/>
    <w:rsid w:val="00A47640"/>
    <w:pPr>
      <w:numPr>
        <w:numId w:val="13"/>
      </w:numPr>
    </w:pPr>
  </w:style>
  <w:style w:type="paragraph" w:customStyle="1" w:styleId="HeadinginBox">
    <w:name w:val="Heading in Box"/>
    <w:basedOn w:val="BodyTextBox"/>
    <w:qFormat/>
    <w:rsid w:val="005B017D"/>
    <w:rPr>
      <w:b/>
      <w:bCs/>
      <w:u w:val="single"/>
    </w:rPr>
  </w:style>
  <w:style w:type="paragraph" w:customStyle="1" w:styleId="Table2X">
    <w:name w:val="Table 2.X"/>
    <w:basedOn w:val="Normal"/>
    <w:qFormat/>
    <w:rsid w:val="005B017D"/>
    <w:pPr>
      <w:widowControl w:val="0"/>
      <w:numPr>
        <w:numId w:val="22"/>
      </w:numPr>
      <w:tabs>
        <w:tab w:val="left" w:pos="1304"/>
      </w:tabs>
      <w:spacing w:before="240" w:after="120"/>
    </w:pPr>
    <w:rPr>
      <w:rFonts w:ascii="Arial" w:hAnsi="Arial"/>
      <w:bCs/>
      <w:i/>
      <w:color w:val="4F4F4F"/>
      <w:kern w:val="28"/>
      <w:sz w:val="22"/>
      <w:szCs w:val="22"/>
    </w:rPr>
  </w:style>
  <w:style w:type="character" w:customStyle="1" w:styleId="font1581">
    <w:name w:val="font1581"/>
    <w:basedOn w:val="DefaultParagraphFont"/>
    <w:rsid w:val="003E3AA1"/>
    <w:rPr>
      <w:rFonts w:ascii="Arial" w:hAnsi="Arial" w:cs="Arial" w:hint="default"/>
      <w:b w:val="0"/>
      <w:bCs w:val="0"/>
      <w:i w:val="0"/>
      <w:iCs w:val="0"/>
      <w:strike w:val="0"/>
      <w:dstrike w:val="0"/>
      <w:color w:val="000000"/>
      <w:sz w:val="18"/>
      <w:szCs w:val="18"/>
      <w:u w:val="none"/>
      <w:effect w:val="none"/>
    </w:rPr>
  </w:style>
  <w:style w:type="character" w:customStyle="1" w:styleId="normaltextrun">
    <w:name w:val="normaltextrun"/>
    <w:basedOn w:val="DefaultParagraphFont"/>
    <w:rsid w:val="00F37D31"/>
  </w:style>
  <w:style w:type="paragraph" w:customStyle="1" w:styleId="Box71BoxHeading">
    <w:name w:val="Box 7.1: Box Heading"/>
    <w:basedOn w:val="Normal"/>
    <w:qFormat/>
    <w:rsid w:val="00474225"/>
    <w:pPr>
      <w:numPr>
        <w:numId w:val="38"/>
      </w:numPr>
      <w:tabs>
        <w:tab w:val="left" w:pos="1304"/>
      </w:tabs>
      <w:spacing w:before="80" w:after="60"/>
    </w:pPr>
    <w:rPr>
      <w:rFonts w:ascii="Arial" w:hAnsi="Arial"/>
      <w:b/>
      <w:sz w:val="23"/>
      <w:lang w:val="en-AU"/>
    </w:rPr>
  </w:style>
  <w:style w:type="paragraph" w:styleId="EndnoteText">
    <w:name w:val="endnote text"/>
    <w:basedOn w:val="Normal"/>
    <w:link w:val="EndnoteTextChar"/>
    <w:semiHidden/>
    <w:unhideWhenUsed/>
    <w:rsid w:val="009E3904"/>
  </w:style>
  <w:style w:type="character" w:customStyle="1" w:styleId="EndnoteTextChar">
    <w:name w:val="Endnote Text Char"/>
    <w:basedOn w:val="DefaultParagraphFont"/>
    <w:link w:val="EndnoteText"/>
    <w:semiHidden/>
    <w:rsid w:val="009E3904"/>
    <w:rPr>
      <w:rFonts w:ascii="Times New Roman" w:eastAsia="Times New Roman" w:hAnsi="Times New Roman"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416875">
      <w:bodyDiv w:val="1"/>
      <w:marLeft w:val="0"/>
      <w:marRight w:val="0"/>
      <w:marTop w:val="0"/>
      <w:marBottom w:val="0"/>
      <w:divBdr>
        <w:top w:val="none" w:sz="0" w:space="0" w:color="auto"/>
        <w:left w:val="none" w:sz="0" w:space="0" w:color="auto"/>
        <w:bottom w:val="none" w:sz="0" w:space="0" w:color="auto"/>
        <w:right w:val="none" w:sz="0" w:space="0" w:color="auto"/>
      </w:divBdr>
    </w:div>
    <w:div w:id="14156647">
      <w:bodyDiv w:val="1"/>
      <w:marLeft w:val="0"/>
      <w:marRight w:val="0"/>
      <w:marTop w:val="0"/>
      <w:marBottom w:val="0"/>
      <w:divBdr>
        <w:top w:val="none" w:sz="0" w:space="0" w:color="auto"/>
        <w:left w:val="none" w:sz="0" w:space="0" w:color="auto"/>
        <w:bottom w:val="none" w:sz="0" w:space="0" w:color="auto"/>
        <w:right w:val="none" w:sz="0" w:space="0" w:color="auto"/>
      </w:divBdr>
    </w:div>
    <w:div w:id="71242904">
      <w:bodyDiv w:val="1"/>
      <w:marLeft w:val="0"/>
      <w:marRight w:val="0"/>
      <w:marTop w:val="0"/>
      <w:marBottom w:val="0"/>
      <w:divBdr>
        <w:top w:val="none" w:sz="0" w:space="0" w:color="auto"/>
        <w:left w:val="none" w:sz="0" w:space="0" w:color="auto"/>
        <w:bottom w:val="none" w:sz="0" w:space="0" w:color="auto"/>
        <w:right w:val="none" w:sz="0" w:space="0" w:color="auto"/>
      </w:divBdr>
    </w:div>
    <w:div w:id="71859212">
      <w:bodyDiv w:val="1"/>
      <w:marLeft w:val="0"/>
      <w:marRight w:val="0"/>
      <w:marTop w:val="0"/>
      <w:marBottom w:val="0"/>
      <w:divBdr>
        <w:top w:val="none" w:sz="0" w:space="0" w:color="auto"/>
        <w:left w:val="none" w:sz="0" w:space="0" w:color="auto"/>
        <w:bottom w:val="none" w:sz="0" w:space="0" w:color="auto"/>
        <w:right w:val="none" w:sz="0" w:space="0" w:color="auto"/>
      </w:divBdr>
    </w:div>
    <w:div w:id="74790117">
      <w:bodyDiv w:val="1"/>
      <w:marLeft w:val="0"/>
      <w:marRight w:val="0"/>
      <w:marTop w:val="0"/>
      <w:marBottom w:val="0"/>
      <w:divBdr>
        <w:top w:val="none" w:sz="0" w:space="0" w:color="auto"/>
        <w:left w:val="none" w:sz="0" w:space="0" w:color="auto"/>
        <w:bottom w:val="none" w:sz="0" w:space="0" w:color="auto"/>
        <w:right w:val="none" w:sz="0" w:space="0" w:color="auto"/>
      </w:divBdr>
    </w:div>
    <w:div w:id="82727463">
      <w:bodyDiv w:val="1"/>
      <w:marLeft w:val="0"/>
      <w:marRight w:val="0"/>
      <w:marTop w:val="0"/>
      <w:marBottom w:val="0"/>
      <w:divBdr>
        <w:top w:val="none" w:sz="0" w:space="0" w:color="auto"/>
        <w:left w:val="none" w:sz="0" w:space="0" w:color="auto"/>
        <w:bottom w:val="none" w:sz="0" w:space="0" w:color="auto"/>
        <w:right w:val="none" w:sz="0" w:space="0" w:color="auto"/>
      </w:divBdr>
    </w:div>
    <w:div w:id="117265943">
      <w:bodyDiv w:val="1"/>
      <w:marLeft w:val="0"/>
      <w:marRight w:val="0"/>
      <w:marTop w:val="0"/>
      <w:marBottom w:val="0"/>
      <w:divBdr>
        <w:top w:val="none" w:sz="0" w:space="0" w:color="auto"/>
        <w:left w:val="none" w:sz="0" w:space="0" w:color="auto"/>
        <w:bottom w:val="none" w:sz="0" w:space="0" w:color="auto"/>
        <w:right w:val="none" w:sz="0" w:space="0" w:color="auto"/>
      </w:divBdr>
    </w:div>
    <w:div w:id="128133547">
      <w:bodyDiv w:val="1"/>
      <w:marLeft w:val="0"/>
      <w:marRight w:val="0"/>
      <w:marTop w:val="0"/>
      <w:marBottom w:val="0"/>
      <w:divBdr>
        <w:top w:val="none" w:sz="0" w:space="0" w:color="auto"/>
        <w:left w:val="none" w:sz="0" w:space="0" w:color="auto"/>
        <w:bottom w:val="none" w:sz="0" w:space="0" w:color="auto"/>
        <w:right w:val="none" w:sz="0" w:space="0" w:color="auto"/>
      </w:divBdr>
    </w:div>
    <w:div w:id="131102698">
      <w:bodyDiv w:val="1"/>
      <w:marLeft w:val="0"/>
      <w:marRight w:val="0"/>
      <w:marTop w:val="0"/>
      <w:marBottom w:val="0"/>
      <w:divBdr>
        <w:top w:val="none" w:sz="0" w:space="0" w:color="auto"/>
        <w:left w:val="none" w:sz="0" w:space="0" w:color="auto"/>
        <w:bottom w:val="none" w:sz="0" w:space="0" w:color="auto"/>
        <w:right w:val="none" w:sz="0" w:space="0" w:color="auto"/>
      </w:divBdr>
    </w:div>
    <w:div w:id="132524499">
      <w:bodyDiv w:val="1"/>
      <w:marLeft w:val="0"/>
      <w:marRight w:val="0"/>
      <w:marTop w:val="0"/>
      <w:marBottom w:val="0"/>
      <w:divBdr>
        <w:top w:val="none" w:sz="0" w:space="0" w:color="auto"/>
        <w:left w:val="none" w:sz="0" w:space="0" w:color="auto"/>
        <w:bottom w:val="none" w:sz="0" w:space="0" w:color="auto"/>
        <w:right w:val="none" w:sz="0" w:space="0" w:color="auto"/>
      </w:divBdr>
    </w:div>
    <w:div w:id="148601217">
      <w:bodyDiv w:val="1"/>
      <w:marLeft w:val="0"/>
      <w:marRight w:val="0"/>
      <w:marTop w:val="0"/>
      <w:marBottom w:val="0"/>
      <w:divBdr>
        <w:top w:val="none" w:sz="0" w:space="0" w:color="auto"/>
        <w:left w:val="none" w:sz="0" w:space="0" w:color="auto"/>
        <w:bottom w:val="none" w:sz="0" w:space="0" w:color="auto"/>
        <w:right w:val="none" w:sz="0" w:space="0" w:color="auto"/>
      </w:divBdr>
    </w:div>
    <w:div w:id="158348058">
      <w:bodyDiv w:val="1"/>
      <w:marLeft w:val="0"/>
      <w:marRight w:val="0"/>
      <w:marTop w:val="0"/>
      <w:marBottom w:val="0"/>
      <w:divBdr>
        <w:top w:val="none" w:sz="0" w:space="0" w:color="auto"/>
        <w:left w:val="none" w:sz="0" w:space="0" w:color="auto"/>
        <w:bottom w:val="none" w:sz="0" w:space="0" w:color="auto"/>
        <w:right w:val="none" w:sz="0" w:space="0" w:color="auto"/>
      </w:divBdr>
    </w:div>
    <w:div w:id="168834338">
      <w:bodyDiv w:val="1"/>
      <w:marLeft w:val="0"/>
      <w:marRight w:val="0"/>
      <w:marTop w:val="0"/>
      <w:marBottom w:val="0"/>
      <w:divBdr>
        <w:top w:val="none" w:sz="0" w:space="0" w:color="auto"/>
        <w:left w:val="none" w:sz="0" w:space="0" w:color="auto"/>
        <w:bottom w:val="none" w:sz="0" w:space="0" w:color="auto"/>
        <w:right w:val="none" w:sz="0" w:space="0" w:color="auto"/>
      </w:divBdr>
    </w:div>
    <w:div w:id="187716665">
      <w:bodyDiv w:val="1"/>
      <w:marLeft w:val="0"/>
      <w:marRight w:val="0"/>
      <w:marTop w:val="0"/>
      <w:marBottom w:val="0"/>
      <w:divBdr>
        <w:top w:val="none" w:sz="0" w:space="0" w:color="auto"/>
        <w:left w:val="none" w:sz="0" w:space="0" w:color="auto"/>
        <w:bottom w:val="none" w:sz="0" w:space="0" w:color="auto"/>
        <w:right w:val="none" w:sz="0" w:space="0" w:color="auto"/>
      </w:divBdr>
    </w:div>
    <w:div w:id="189876542">
      <w:bodyDiv w:val="1"/>
      <w:marLeft w:val="0"/>
      <w:marRight w:val="0"/>
      <w:marTop w:val="0"/>
      <w:marBottom w:val="0"/>
      <w:divBdr>
        <w:top w:val="none" w:sz="0" w:space="0" w:color="auto"/>
        <w:left w:val="none" w:sz="0" w:space="0" w:color="auto"/>
        <w:bottom w:val="none" w:sz="0" w:space="0" w:color="auto"/>
        <w:right w:val="none" w:sz="0" w:space="0" w:color="auto"/>
      </w:divBdr>
    </w:div>
    <w:div w:id="226766100">
      <w:bodyDiv w:val="1"/>
      <w:marLeft w:val="0"/>
      <w:marRight w:val="0"/>
      <w:marTop w:val="0"/>
      <w:marBottom w:val="0"/>
      <w:divBdr>
        <w:top w:val="none" w:sz="0" w:space="0" w:color="auto"/>
        <w:left w:val="none" w:sz="0" w:space="0" w:color="auto"/>
        <w:bottom w:val="none" w:sz="0" w:space="0" w:color="auto"/>
        <w:right w:val="none" w:sz="0" w:space="0" w:color="auto"/>
      </w:divBdr>
    </w:div>
    <w:div w:id="264307279">
      <w:bodyDiv w:val="1"/>
      <w:marLeft w:val="0"/>
      <w:marRight w:val="0"/>
      <w:marTop w:val="0"/>
      <w:marBottom w:val="0"/>
      <w:divBdr>
        <w:top w:val="none" w:sz="0" w:space="0" w:color="auto"/>
        <w:left w:val="none" w:sz="0" w:space="0" w:color="auto"/>
        <w:bottom w:val="none" w:sz="0" w:space="0" w:color="auto"/>
        <w:right w:val="none" w:sz="0" w:space="0" w:color="auto"/>
      </w:divBdr>
    </w:div>
    <w:div w:id="325669682">
      <w:bodyDiv w:val="1"/>
      <w:marLeft w:val="0"/>
      <w:marRight w:val="0"/>
      <w:marTop w:val="0"/>
      <w:marBottom w:val="0"/>
      <w:divBdr>
        <w:top w:val="none" w:sz="0" w:space="0" w:color="auto"/>
        <w:left w:val="none" w:sz="0" w:space="0" w:color="auto"/>
        <w:bottom w:val="none" w:sz="0" w:space="0" w:color="auto"/>
        <w:right w:val="none" w:sz="0" w:space="0" w:color="auto"/>
      </w:divBdr>
    </w:div>
    <w:div w:id="328564632">
      <w:bodyDiv w:val="1"/>
      <w:marLeft w:val="0"/>
      <w:marRight w:val="0"/>
      <w:marTop w:val="0"/>
      <w:marBottom w:val="0"/>
      <w:divBdr>
        <w:top w:val="none" w:sz="0" w:space="0" w:color="auto"/>
        <w:left w:val="none" w:sz="0" w:space="0" w:color="auto"/>
        <w:bottom w:val="none" w:sz="0" w:space="0" w:color="auto"/>
        <w:right w:val="none" w:sz="0" w:space="0" w:color="auto"/>
      </w:divBdr>
    </w:div>
    <w:div w:id="335570720">
      <w:bodyDiv w:val="1"/>
      <w:marLeft w:val="0"/>
      <w:marRight w:val="0"/>
      <w:marTop w:val="0"/>
      <w:marBottom w:val="0"/>
      <w:divBdr>
        <w:top w:val="none" w:sz="0" w:space="0" w:color="auto"/>
        <w:left w:val="none" w:sz="0" w:space="0" w:color="auto"/>
        <w:bottom w:val="none" w:sz="0" w:space="0" w:color="auto"/>
        <w:right w:val="none" w:sz="0" w:space="0" w:color="auto"/>
      </w:divBdr>
    </w:div>
    <w:div w:id="337273650">
      <w:bodyDiv w:val="1"/>
      <w:marLeft w:val="0"/>
      <w:marRight w:val="0"/>
      <w:marTop w:val="0"/>
      <w:marBottom w:val="0"/>
      <w:divBdr>
        <w:top w:val="none" w:sz="0" w:space="0" w:color="auto"/>
        <w:left w:val="none" w:sz="0" w:space="0" w:color="auto"/>
        <w:bottom w:val="none" w:sz="0" w:space="0" w:color="auto"/>
        <w:right w:val="none" w:sz="0" w:space="0" w:color="auto"/>
      </w:divBdr>
    </w:div>
    <w:div w:id="342246951">
      <w:bodyDiv w:val="1"/>
      <w:marLeft w:val="0"/>
      <w:marRight w:val="0"/>
      <w:marTop w:val="0"/>
      <w:marBottom w:val="0"/>
      <w:divBdr>
        <w:top w:val="none" w:sz="0" w:space="0" w:color="auto"/>
        <w:left w:val="none" w:sz="0" w:space="0" w:color="auto"/>
        <w:bottom w:val="none" w:sz="0" w:space="0" w:color="auto"/>
        <w:right w:val="none" w:sz="0" w:space="0" w:color="auto"/>
      </w:divBdr>
    </w:div>
    <w:div w:id="355011345">
      <w:bodyDiv w:val="1"/>
      <w:marLeft w:val="0"/>
      <w:marRight w:val="0"/>
      <w:marTop w:val="0"/>
      <w:marBottom w:val="0"/>
      <w:divBdr>
        <w:top w:val="none" w:sz="0" w:space="0" w:color="auto"/>
        <w:left w:val="none" w:sz="0" w:space="0" w:color="auto"/>
        <w:bottom w:val="none" w:sz="0" w:space="0" w:color="auto"/>
        <w:right w:val="none" w:sz="0" w:space="0" w:color="auto"/>
      </w:divBdr>
    </w:div>
    <w:div w:id="397557185">
      <w:bodyDiv w:val="1"/>
      <w:marLeft w:val="0"/>
      <w:marRight w:val="0"/>
      <w:marTop w:val="0"/>
      <w:marBottom w:val="0"/>
      <w:divBdr>
        <w:top w:val="none" w:sz="0" w:space="0" w:color="auto"/>
        <w:left w:val="none" w:sz="0" w:space="0" w:color="auto"/>
        <w:bottom w:val="none" w:sz="0" w:space="0" w:color="auto"/>
        <w:right w:val="none" w:sz="0" w:space="0" w:color="auto"/>
      </w:divBdr>
    </w:div>
    <w:div w:id="417871848">
      <w:bodyDiv w:val="1"/>
      <w:marLeft w:val="0"/>
      <w:marRight w:val="0"/>
      <w:marTop w:val="0"/>
      <w:marBottom w:val="0"/>
      <w:divBdr>
        <w:top w:val="none" w:sz="0" w:space="0" w:color="auto"/>
        <w:left w:val="none" w:sz="0" w:space="0" w:color="auto"/>
        <w:bottom w:val="none" w:sz="0" w:space="0" w:color="auto"/>
        <w:right w:val="none" w:sz="0" w:space="0" w:color="auto"/>
      </w:divBdr>
    </w:div>
    <w:div w:id="429468824">
      <w:bodyDiv w:val="1"/>
      <w:marLeft w:val="0"/>
      <w:marRight w:val="0"/>
      <w:marTop w:val="0"/>
      <w:marBottom w:val="0"/>
      <w:divBdr>
        <w:top w:val="none" w:sz="0" w:space="0" w:color="auto"/>
        <w:left w:val="none" w:sz="0" w:space="0" w:color="auto"/>
        <w:bottom w:val="none" w:sz="0" w:space="0" w:color="auto"/>
        <w:right w:val="none" w:sz="0" w:space="0" w:color="auto"/>
      </w:divBdr>
    </w:div>
    <w:div w:id="457262020">
      <w:bodyDiv w:val="1"/>
      <w:marLeft w:val="0"/>
      <w:marRight w:val="0"/>
      <w:marTop w:val="0"/>
      <w:marBottom w:val="0"/>
      <w:divBdr>
        <w:top w:val="none" w:sz="0" w:space="0" w:color="auto"/>
        <w:left w:val="none" w:sz="0" w:space="0" w:color="auto"/>
        <w:bottom w:val="none" w:sz="0" w:space="0" w:color="auto"/>
        <w:right w:val="none" w:sz="0" w:space="0" w:color="auto"/>
      </w:divBdr>
    </w:div>
    <w:div w:id="519700999">
      <w:bodyDiv w:val="1"/>
      <w:marLeft w:val="0"/>
      <w:marRight w:val="0"/>
      <w:marTop w:val="0"/>
      <w:marBottom w:val="0"/>
      <w:divBdr>
        <w:top w:val="none" w:sz="0" w:space="0" w:color="auto"/>
        <w:left w:val="none" w:sz="0" w:space="0" w:color="auto"/>
        <w:bottom w:val="none" w:sz="0" w:space="0" w:color="auto"/>
        <w:right w:val="none" w:sz="0" w:space="0" w:color="auto"/>
      </w:divBdr>
    </w:div>
    <w:div w:id="551306727">
      <w:bodyDiv w:val="1"/>
      <w:marLeft w:val="0"/>
      <w:marRight w:val="0"/>
      <w:marTop w:val="0"/>
      <w:marBottom w:val="0"/>
      <w:divBdr>
        <w:top w:val="none" w:sz="0" w:space="0" w:color="auto"/>
        <w:left w:val="none" w:sz="0" w:space="0" w:color="auto"/>
        <w:bottom w:val="none" w:sz="0" w:space="0" w:color="auto"/>
        <w:right w:val="none" w:sz="0" w:space="0" w:color="auto"/>
      </w:divBdr>
      <w:divsChild>
        <w:div w:id="1474983488">
          <w:marLeft w:val="0"/>
          <w:marRight w:val="0"/>
          <w:marTop w:val="0"/>
          <w:marBottom w:val="0"/>
          <w:divBdr>
            <w:top w:val="none" w:sz="0" w:space="0" w:color="auto"/>
            <w:left w:val="none" w:sz="0" w:space="0" w:color="auto"/>
            <w:bottom w:val="none" w:sz="0" w:space="0" w:color="auto"/>
            <w:right w:val="none" w:sz="0" w:space="0" w:color="auto"/>
          </w:divBdr>
        </w:div>
      </w:divsChild>
    </w:div>
    <w:div w:id="561644818">
      <w:bodyDiv w:val="1"/>
      <w:marLeft w:val="0"/>
      <w:marRight w:val="0"/>
      <w:marTop w:val="0"/>
      <w:marBottom w:val="0"/>
      <w:divBdr>
        <w:top w:val="none" w:sz="0" w:space="0" w:color="auto"/>
        <w:left w:val="none" w:sz="0" w:space="0" w:color="auto"/>
        <w:bottom w:val="none" w:sz="0" w:space="0" w:color="auto"/>
        <w:right w:val="none" w:sz="0" w:space="0" w:color="auto"/>
      </w:divBdr>
    </w:div>
    <w:div w:id="568735317">
      <w:bodyDiv w:val="1"/>
      <w:marLeft w:val="0"/>
      <w:marRight w:val="0"/>
      <w:marTop w:val="0"/>
      <w:marBottom w:val="0"/>
      <w:divBdr>
        <w:top w:val="none" w:sz="0" w:space="0" w:color="auto"/>
        <w:left w:val="none" w:sz="0" w:space="0" w:color="auto"/>
        <w:bottom w:val="none" w:sz="0" w:space="0" w:color="auto"/>
        <w:right w:val="none" w:sz="0" w:space="0" w:color="auto"/>
      </w:divBdr>
    </w:div>
    <w:div w:id="589310634">
      <w:bodyDiv w:val="1"/>
      <w:marLeft w:val="0"/>
      <w:marRight w:val="0"/>
      <w:marTop w:val="0"/>
      <w:marBottom w:val="0"/>
      <w:divBdr>
        <w:top w:val="none" w:sz="0" w:space="0" w:color="auto"/>
        <w:left w:val="none" w:sz="0" w:space="0" w:color="auto"/>
        <w:bottom w:val="none" w:sz="0" w:space="0" w:color="auto"/>
        <w:right w:val="none" w:sz="0" w:space="0" w:color="auto"/>
      </w:divBdr>
    </w:div>
    <w:div w:id="618217829">
      <w:bodyDiv w:val="1"/>
      <w:marLeft w:val="0"/>
      <w:marRight w:val="0"/>
      <w:marTop w:val="0"/>
      <w:marBottom w:val="0"/>
      <w:divBdr>
        <w:top w:val="none" w:sz="0" w:space="0" w:color="auto"/>
        <w:left w:val="none" w:sz="0" w:space="0" w:color="auto"/>
        <w:bottom w:val="none" w:sz="0" w:space="0" w:color="auto"/>
        <w:right w:val="none" w:sz="0" w:space="0" w:color="auto"/>
      </w:divBdr>
    </w:div>
    <w:div w:id="631132201">
      <w:bodyDiv w:val="1"/>
      <w:marLeft w:val="0"/>
      <w:marRight w:val="0"/>
      <w:marTop w:val="0"/>
      <w:marBottom w:val="0"/>
      <w:divBdr>
        <w:top w:val="none" w:sz="0" w:space="0" w:color="auto"/>
        <w:left w:val="none" w:sz="0" w:space="0" w:color="auto"/>
        <w:bottom w:val="none" w:sz="0" w:space="0" w:color="auto"/>
        <w:right w:val="none" w:sz="0" w:space="0" w:color="auto"/>
      </w:divBdr>
    </w:div>
    <w:div w:id="663437880">
      <w:bodyDiv w:val="1"/>
      <w:marLeft w:val="0"/>
      <w:marRight w:val="0"/>
      <w:marTop w:val="0"/>
      <w:marBottom w:val="0"/>
      <w:divBdr>
        <w:top w:val="none" w:sz="0" w:space="0" w:color="auto"/>
        <w:left w:val="none" w:sz="0" w:space="0" w:color="auto"/>
        <w:bottom w:val="none" w:sz="0" w:space="0" w:color="auto"/>
        <w:right w:val="none" w:sz="0" w:space="0" w:color="auto"/>
      </w:divBdr>
    </w:div>
    <w:div w:id="695040365">
      <w:bodyDiv w:val="1"/>
      <w:marLeft w:val="0"/>
      <w:marRight w:val="0"/>
      <w:marTop w:val="0"/>
      <w:marBottom w:val="0"/>
      <w:divBdr>
        <w:top w:val="none" w:sz="0" w:space="0" w:color="auto"/>
        <w:left w:val="none" w:sz="0" w:space="0" w:color="auto"/>
        <w:bottom w:val="none" w:sz="0" w:space="0" w:color="auto"/>
        <w:right w:val="none" w:sz="0" w:space="0" w:color="auto"/>
      </w:divBdr>
    </w:div>
    <w:div w:id="743261137">
      <w:bodyDiv w:val="1"/>
      <w:marLeft w:val="0"/>
      <w:marRight w:val="0"/>
      <w:marTop w:val="0"/>
      <w:marBottom w:val="0"/>
      <w:divBdr>
        <w:top w:val="none" w:sz="0" w:space="0" w:color="auto"/>
        <w:left w:val="none" w:sz="0" w:space="0" w:color="auto"/>
        <w:bottom w:val="none" w:sz="0" w:space="0" w:color="auto"/>
        <w:right w:val="none" w:sz="0" w:space="0" w:color="auto"/>
      </w:divBdr>
    </w:div>
    <w:div w:id="799569717">
      <w:bodyDiv w:val="1"/>
      <w:marLeft w:val="0"/>
      <w:marRight w:val="0"/>
      <w:marTop w:val="0"/>
      <w:marBottom w:val="0"/>
      <w:divBdr>
        <w:top w:val="none" w:sz="0" w:space="0" w:color="auto"/>
        <w:left w:val="none" w:sz="0" w:space="0" w:color="auto"/>
        <w:bottom w:val="none" w:sz="0" w:space="0" w:color="auto"/>
        <w:right w:val="none" w:sz="0" w:space="0" w:color="auto"/>
      </w:divBdr>
    </w:div>
    <w:div w:id="819081695">
      <w:bodyDiv w:val="1"/>
      <w:marLeft w:val="0"/>
      <w:marRight w:val="0"/>
      <w:marTop w:val="0"/>
      <w:marBottom w:val="0"/>
      <w:divBdr>
        <w:top w:val="none" w:sz="0" w:space="0" w:color="auto"/>
        <w:left w:val="none" w:sz="0" w:space="0" w:color="auto"/>
        <w:bottom w:val="none" w:sz="0" w:space="0" w:color="auto"/>
        <w:right w:val="none" w:sz="0" w:space="0" w:color="auto"/>
      </w:divBdr>
    </w:div>
    <w:div w:id="848912602">
      <w:bodyDiv w:val="1"/>
      <w:marLeft w:val="0"/>
      <w:marRight w:val="0"/>
      <w:marTop w:val="0"/>
      <w:marBottom w:val="0"/>
      <w:divBdr>
        <w:top w:val="none" w:sz="0" w:space="0" w:color="auto"/>
        <w:left w:val="none" w:sz="0" w:space="0" w:color="auto"/>
        <w:bottom w:val="none" w:sz="0" w:space="0" w:color="auto"/>
        <w:right w:val="none" w:sz="0" w:space="0" w:color="auto"/>
      </w:divBdr>
    </w:div>
    <w:div w:id="903024640">
      <w:bodyDiv w:val="1"/>
      <w:marLeft w:val="0"/>
      <w:marRight w:val="0"/>
      <w:marTop w:val="0"/>
      <w:marBottom w:val="0"/>
      <w:divBdr>
        <w:top w:val="none" w:sz="0" w:space="0" w:color="auto"/>
        <w:left w:val="none" w:sz="0" w:space="0" w:color="auto"/>
        <w:bottom w:val="none" w:sz="0" w:space="0" w:color="auto"/>
        <w:right w:val="none" w:sz="0" w:space="0" w:color="auto"/>
      </w:divBdr>
    </w:div>
    <w:div w:id="914167374">
      <w:bodyDiv w:val="1"/>
      <w:marLeft w:val="0"/>
      <w:marRight w:val="0"/>
      <w:marTop w:val="0"/>
      <w:marBottom w:val="0"/>
      <w:divBdr>
        <w:top w:val="none" w:sz="0" w:space="0" w:color="auto"/>
        <w:left w:val="none" w:sz="0" w:space="0" w:color="auto"/>
        <w:bottom w:val="none" w:sz="0" w:space="0" w:color="auto"/>
        <w:right w:val="none" w:sz="0" w:space="0" w:color="auto"/>
      </w:divBdr>
    </w:div>
    <w:div w:id="940449752">
      <w:bodyDiv w:val="1"/>
      <w:marLeft w:val="0"/>
      <w:marRight w:val="0"/>
      <w:marTop w:val="0"/>
      <w:marBottom w:val="0"/>
      <w:divBdr>
        <w:top w:val="none" w:sz="0" w:space="0" w:color="auto"/>
        <w:left w:val="none" w:sz="0" w:space="0" w:color="auto"/>
        <w:bottom w:val="none" w:sz="0" w:space="0" w:color="auto"/>
        <w:right w:val="none" w:sz="0" w:space="0" w:color="auto"/>
      </w:divBdr>
    </w:div>
    <w:div w:id="997656764">
      <w:bodyDiv w:val="1"/>
      <w:marLeft w:val="0"/>
      <w:marRight w:val="0"/>
      <w:marTop w:val="0"/>
      <w:marBottom w:val="0"/>
      <w:divBdr>
        <w:top w:val="none" w:sz="0" w:space="0" w:color="auto"/>
        <w:left w:val="none" w:sz="0" w:space="0" w:color="auto"/>
        <w:bottom w:val="none" w:sz="0" w:space="0" w:color="auto"/>
        <w:right w:val="none" w:sz="0" w:space="0" w:color="auto"/>
      </w:divBdr>
    </w:div>
    <w:div w:id="1012562157">
      <w:bodyDiv w:val="1"/>
      <w:marLeft w:val="0"/>
      <w:marRight w:val="0"/>
      <w:marTop w:val="0"/>
      <w:marBottom w:val="0"/>
      <w:divBdr>
        <w:top w:val="none" w:sz="0" w:space="0" w:color="auto"/>
        <w:left w:val="none" w:sz="0" w:space="0" w:color="auto"/>
        <w:bottom w:val="none" w:sz="0" w:space="0" w:color="auto"/>
        <w:right w:val="none" w:sz="0" w:space="0" w:color="auto"/>
      </w:divBdr>
    </w:div>
    <w:div w:id="1038894524">
      <w:bodyDiv w:val="1"/>
      <w:marLeft w:val="0"/>
      <w:marRight w:val="0"/>
      <w:marTop w:val="0"/>
      <w:marBottom w:val="0"/>
      <w:divBdr>
        <w:top w:val="none" w:sz="0" w:space="0" w:color="auto"/>
        <w:left w:val="none" w:sz="0" w:space="0" w:color="auto"/>
        <w:bottom w:val="none" w:sz="0" w:space="0" w:color="auto"/>
        <w:right w:val="none" w:sz="0" w:space="0" w:color="auto"/>
      </w:divBdr>
    </w:div>
    <w:div w:id="1074158411">
      <w:bodyDiv w:val="1"/>
      <w:marLeft w:val="0"/>
      <w:marRight w:val="0"/>
      <w:marTop w:val="0"/>
      <w:marBottom w:val="0"/>
      <w:divBdr>
        <w:top w:val="none" w:sz="0" w:space="0" w:color="auto"/>
        <w:left w:val="none" w:sz="0" w:space="0" w:color="auto"/>
        <w:bottom w:val="none" w:sz="0" w:space="0" w:color="auto"/>
        <w:right w:val="none" w:sz="0" w:space="0" w:color="auto"/>
      </w:divBdr>
    </w:div>
    <w:div w:id="1078281873">
      <w:bodyDiv w:val="1"/>
      <w:marLeft w:val="0"/>
      <w:marRight w:val="0"/>
      <w:marTop w:val="0"/>
      <w:marBottom w:val="0"/>
      <w:divBdr>
        <w:top w:val="none" w:sz="0" w:space="0" w:color="auto"/>
        <w:left w:val="none" w:sz="0" w:space="0" w:color="auto"/>
        <w:bottom w:val="none" w:sz="0" w:space="0" w:color="auto"/>
        <w:right w:val="none" w:sz="0" w:space="0" w:color="auto"/>
      </w:divBdr>
    </w:div>
    <w:div w:id="1082994825">
      <w:bodyDiv w:val="1"/>
      <w:marLeft w:val="0"/>
      <w:marRight w:val="0"/>
      <w:marTop w:val="0"/>
      <w:marBottom w:val="0"/>
      <w:divBdr>
        <w:top w:val="none" w:sz="0" w:space="0" w:color="auto"/>
        <w:left w:val="none" w:sz="0" w:space="0" w:color="auto"/>
        <w:bottom w:val="none" w:sz="0" w:space="0" w:color="auto"/>
        <w:right w:val="none" w:sz="0" w:space="0" w:color="auto"/>
      </w:divBdr>
    </w:div>
    <w:div w:id="1105731865">
      <w:bodyDiv w:val="1"/>
      <w:marLeft w:val="0"/>
      <w:marRight w:val="0"/>
      <w:marTop w:val="0"/>
      <w:marBottom w:val="0"/>
      <w:divBdr>
        <w:top w:val="none" w:sz="0" w:space="0" w:color="auto"/>
        <w:left w:val="none" w:sz="0" w:space="0" w:color="auto"/>
        <w:bottom w:val="none" w:sz="0" w:space="0" w:color="auto"/>
        <w:right w:val="none" w:sz="0" w:space="0" w:color="auto"/>
      </w:divBdr>
    </w:div>
    <w:div w:id="1117800399">
      <w:bodyDiv w:val="1"/>
      <w:marLeft w:val="0"/>
      <w:marRight w:val="0"/>
      <w:marTop w:val="0"/>
      <w:marBottom w:val="0"/>
      <w:divBdr>
        <w:top w:val="none" w:sz="0" w:space="0" w:color="auto"/>
        <w:left w:val="none" w:sz="0" w:space="0" w:color="auto"/>
        <w:bottom w:val="none" w:sz="0" w:space="0" w:color="auto"/>
        <w:right w:val="none" w:sz="0" w:space="0" w:color="auto"/>
      </w:divBdr>
    </w:div>
    <w:div w:id="1135369815">
      <w:bodyDiv w:val="1"/>
      <w:marLeft w:val="0"/>
      <w:marRight w:val="0"/>
      <w:marTop w:val="0"/>
      <w:marBottom w:val="0"/>
      <w:divBdr>
        <w:top w:val="none" w:sz="0" w:space="0" w:color="auto"/>
        <w:left w:val="none" w:sz="0" w:space="0" w:color="auto"/>
        <w:bottom w:val="none" w:sz="0" w:space="0" w:color="auto"/>
        <w:right w:val="none" w:sz="0" w:space="0" w:color="auto"/>
      </w:divBdr>
    </w:div>
    <w:div w:id="1143502671">
      <w:bodyDiv w:val="1"/>
      <w:marLeft w:val="0"/>
      <w:marRight w:val="0"/>
      <w:marTop w:val="0"/>
      <w:marBottom w:val="0"/>
      <w:divBdr>
        <w:top w:val="none" w:sz="0" w:space="0" w:color="auto"/>
        <w:left w:val="none" w:sz="0" w:space="0" w:color="auto"/>
        <w:bottom w:val="none" w:sz="0" w:space="0" w:color="auto"/>
        <w:right w:val="none" w:sz="0" w:space="0" w:color="auto"/>
      </w:divBdr>
    </w:div>
    <w:div w:id="1148940861">
      <w:bodyDiv w:val="1"/>
      <w:marLeft w:val="0"/>
      <w:marRight w:val="0"/>
      <w:marTop w:val="0"/>
      <w:marBottom w:val="0"/>
      <w:divBdr>
        <w:top w:val="none" w:sz="0" w:space="0" w:color="auto"/>
        <w:left w:val="none" w:sz="0" w:space="0" w:color="auto"/>
        <w:bottom w:val="none" w:sz="0" w:space="0" w:color="auto"/>
        <w:right w:val="none" w:sz="0" w:space="0" w:color="auto"/>
      </w:divBdr>
    </w:div>
    <w:div w:id="1165392274">
      <w:bodyDiv w:val="1"/>
      <w:marLeft w:val="0"/>
      <w:marRight w:val="0"/>
      <w:marTop w:val="0"/>
      <w:marBottom w:val="0"/>
      <w:divBdr>
        <w:top w:val="none" w:sz="0" w:space="0" w:color="auto"/>
        <w:left w:val="none" w:sz="0" w:space="0" w:color="auto"/>
        <w:bottom w:val="none" w:sz="0" w:space="0" w:color="auto"/>
        <w:right w:val="none" w:sz="0" w:space="0" w:color="auto"/>
      </w:divBdr>
    </w:div>
    <w:div w:id="1193304630">
      <w:bodyDiv w:val="1"/>
      <w:marLeft w:val="0"/>
      <w:marRight w:val="0"/>
      <w:marTop w:val="0"/>
      <w:marBottom w:val="0"/>
      <w:divBdr>
        <w:top w:val="none" w:sz="0" w:space="0" w:color="auto"/>
        <w:left w:val="none" w:sz="0" w:space="0" w:color="auto"/>
        <w:bottom w:val="none" w:sz="0" w:space="0" w:color="auto"/>
        <w:right w:val="none" w:sz="0" w:space="0" w:color="auto"/>
      </w:divBdr>
    </w:div>
    <w:div w:id="1237201996">
      <w:bodyDiv w:val="1"/>
      <w:marLeft w:val="0"/>
      <w:marRight w:val="0"/>
      <w:marTop w:val="0"/>
      <w:marBottom w:val="0"/>
      <w:divBdr>
        <w:top w:val="none" w:sz="0" w:space="0" w:color="auto"/>
        <w:left w:val="none" w:sz="0" w:space="0" w:color="auto"/>
        <w:bottom w:val="none" w:sz="0" w:space="0" w:color="auto"/>
        <w:right w:val="none" w:sz="0" w:space="0" w:color="auto"/>
      </w:divBdr>
    </w:div>
    <w:div w:id="1260985167">
      <w:bodyDiv w:val="1"/>
      <w:marLeft w:val="0"/>
      <w:marRight w:val="0"/>
      <w:marTop w:val="0"/>
      <w:marBottom w:val="0"/>
      <w:divBdr>
        <w:top w:val="none" w:sz="0" w:space="0" w:color="auto"/>
        <w:left w:val="none" w:sz="0" w:space="0" w:color="auto"/>
        <w:bottom w:val="none" w:sz="0" w:space="0" w:color="auto"/>
        <w:right w:val="none" w:sz="0" w:space="0" w:color="auto"/>
      </w:divBdr>
    </w:div>
    <w:div w:id="1261987280">
      <w:bodyDiv w:val="1"/>
      <w:marLeft w:val="0"/>
      <w:marRight w:val="0"/>
      <w:marTop w:val="0"/>
      <w:marBottom w:val="0"/>
      <w:divBdr>
        <w:top w:val="none" w:sz="0" w:space="0" w:color="auto"/>
        <w:left w:val="none" w:sz="0" w:space="0" w:color="auto"/>
        <w:bottom w:val="none" w:sz="0" w:space="0" w:color="auto"/>
        <w:right w:val="none" w:sz="0" w:space="0" w:color="auto"/>
      </w:divBdr>
    </w:div>
    <w:div w:id="1279021233">
      <w:bodyDiv w:val="1"/>
      <w:marLeft w:val="0"/>
      <w:marRight w:val="0"/>
      <w:marTop w:val="0"/>
      <w:marBottom w:val="0"/>
      <w:divBdr>
        <w:top w:val="none" w:sz="0" w:space="0" w:color="auto"/>
        <w:left w:val="none" w:sz="0" w:space="0" w:color="auto"/>
        <w:bottom w:val="none" w:sz="0" w:space="0" w:color="auto"/>
        <w:right w:val="none" w:sz="0" w:space="0" w:color="auto"/>
      </w:divBdr>
    </w:div>
    <w:div w:id="1303385259">
      <w:bodyDiv w:val="1"/>
      <w:marLeft w:val="0"/>
      <w:marRight w:val="0"/>
      <w:marTop w:val="0"/>
      <w:marBottom w:val="0"/>
      <w:divBdr>
        <w:top w:val="none" w:sz="0" w:space="0" w:color="auto"/>
        <w:left w:val="none" w:sz="0" w:space="0" w:color="auto"/>
        <w:bottom w:val="none" w:sz="0" w:space="0" w:color="auto"/>
        <w:right w:val="none" w:sz="0" w:space="0" w:color="auto"/>
      </w:divBdr>
    </w:div>
    <w:div w:id="1337532540">
      <w:bodyDiv w:val="1"/>
      <w:marLeft w:val="0"/>
      <w:marRight w:val="0"/>
      <w:marTop w:val="0"/>
      <w:marBottom w:val="0"/>
      <w:divBdr>
        <w:top w:val="none" w:sz="0" w:space="0" w:color="auto"/>
        <w:left w:val="none" w:sz="0" w:space="0" w:color="auto"/>
        <w:bottom w:val="none" w:sz="0" w:space="0" w:color="auto"/>
        <w:right w:val="none" w:sz="0" w:space="0" w:color="auto"/>
      </w:divBdr>
    </w:div>
    <w:div w:id="1349139813">
      <w:bodyDiv w:val="1"/>
      <w:marLeft w:val="0"/>
      <w:marRight w:val="0"/>
      <w:marTop w:val="0"/>
      <w:marBottom w:val="0"/>
      <w:divBdr>
        <w:top w:val="none" w:sz="0" w:space="0" w:color="auto"/>
        <w:left w:val="none" w:sz="0" w:space="0" w:color="auto"/>
        <w:bottom w:val="none" w:sz="0" w:space="0" w:color="auto"/>
        <w:right w:val="none" w:sz="0" w:space="0" w:color="auto"/>
      </w:divBdr>
    </w:div>
    <w:div w:id="1349529338">
      <w:bodyDiv w:val="1"/>
      <w:marLeft w:val="0"/>
      <w:marRight w:val="0"/>
      <w:marTop w:val="0"/>
      <w:marBottom w:val="0"/>
      <w:divBdr>
        <w:top w:val="none" w:sz="0" w:space="0" w:color="auto"/>
        <w:left w:val="none" w:sz="0" w:space="0" w:color="auto"/>
        <w:bottom w:val="none" w:sz="0" w:space="0" w:color="auto"/>
        <w:right w:val="none" w:sz="0" w:space="0" w:color="auto"/>
      </w:divBdr>
    </w:div>
    <w:div w:id="1362364033">
      <w:bodyDiv w:val="1"/>
      <w:marLeft w:val="0"/>
      <w:marRight w:val="0"/>
      <w:marTop w:val="0"/>
      <w:marBottom w:val="0"/>
      <w:divBdr>
        <w:top w:val="none" w:sz="0" w:space="0" w:color="auto"/>
        <w:left w:val="none" w:sz="0" w:space="0" w:color="auto"/>
        <w:bottom w:val="none" w:sz="0" w:space="0" w:color="auto"/>
        <w:right w:val="none" w:sz="0" w:space="0" w:color="auto"/>
      </w:divBdr>
    </w:div>
    <w:div w:id="1362509498">
      <w:bodyDiv w:val="1"/>
      <w:marLeft w:val="0"/>
      <w:marRight w:val="0"/>
      <w:marTop w:val="0"/>
      <w:marBottom w:val="0"/>
      <w:divBdr>
        <w:top w:val="none" w:sz="0" w:space="0" w:color="auto"/>
        <w:left w:val="none" w:sz="0" w:space="0" w:color="auto"/>
        <w:bottom w:val="none" w:sz="0" w:space="0" w:color="auto"/>
        <w:right w:val="none" w:sz="0" w:space="0" w:color="auto"/>
      </w:divBdr>
    </w:div>
    <w:div w:id="1411853460">
      <w:bodyDiv w:val="1"/>
      <w:marLeft w:val="0"/>
      <w:marRight w:val="0"/>
      <w:marTop w:val="0"/>
      <w:marBottom w:val="0"/>
      <w:divBdr>
        <w:top w:val="none" w:sz="0" w:space="0" w:color="auto"/>
        <w:left w:val="none" w:sz="0" w:space="0" w:color="auto"/>
        <w:bottom w:val="none" w:sz="0" w:space="0" w:color="auto"/>
        <w:right w:val="none" w:sz="0" w:space="0" w:color="auto"/>
      </w:divBdr>
    </w:div>
    <w:div w:id="1439792723">
      <w:bodyDiv w:val="1"/>
      <w:marLeft w:val="0"/>
      <w:marRight w:val="0"/>
      <w:marTop w:val="0"/>
      <w:marBottom w:val="0"/>
      <w:divBdr>
        <w:top w:val="none" w:sz="0" w:space="0" w:color="auto"/>
        <w:left w:val="none" w:sz="0" w:space="0" w:color="auto"/>
        <w:bottom w:val="none" w:sz="0" w:space="0" w:color="auto"/>
        <w:right w:val="none" w:sz="0" w:space="0" w:color="auto"/>
      </w:divBdr>
    </w:div>
    <w:div w:id="1461454770">
      <w:bodyDiv w:val="1"/>
      <w:marLeft w:val="0"/>
      <w:marRight w:val="0"/>
      <w:marTop w:val="0"/>
      <w:marBottom w:val="0"/>
      <w:divBdr>
        <w:top w:val="none" w:sz="0" w:space="0" w:color="auto"/>
        <w:left w:val="none" w:sz="0" w:space="0" w:color="auto"/>
        <w:bottom w:val="none" w:sz="0" w:space="0" w:color="auto"/>
        <w:right w:val="none" w:sz="0" w:space="0" w:color="auto"/>
      </w:divBdr>
    </w:div>
    <w:div w:id="1466312812">
      <w:bodyDiv w:val="1"/>
      <w:marLeft w:val="0"/>
      <w:marRight w:val="0"/>
      <w:marTop w:val="0"/>
      <w:marBottom w:val="0"/>
      <w:divBdr>
        <w:top w:val="none" w:sz="0" w:space="0" w:color="auto"/>
        <w:left w:val="none" w:sz="0" w:space="0" w:color="auto"/>
        <w:bottom w:val="none" w:sz="0" w:space="0" w:color="auto"/>
        <w:right w:val="none" w:sz="0" w:space="0" w:color="auto"/>
      </w:divBdr>
    </w:div>
    <w:div w:id="1503619235">
      <w:bodyDiv w:val="1"/>
      <w:marLeft w:val="0"/>
      <w:marRight w:val="0"/>
      <w:marTop w:val="0"/>
      <w:marBottom w:val="0"/>
      <w:divBdr>
        <w:top w:val="none" w:sz="0" w:space="0" w:color="auto"/>
        <w:left w:val="none" w:sz="0" w:space="0" w:color="auto"/>
        <w:bottom w:val="none" w:sz="0" w:space="0" w:color="auto"/>
        <w:right w:val="none" w:sz="0" w:space="0" w:color="auto"/>
      </w:divBdr>
    </w:div>
    <w:div w:id="1509827109">
      <w:bodyDiv w:val="1"/>
      <w:marLeft w:val="0"/>
      <w:marRight w:val="0"/>
      <w:marTop w:val="0"/>
      <w:marBottom w:val="0"/>
      <w:divBdr>
        <w:top w:val="none" w:sz="0" w:space="0" w:color="auto"/>
        <w:left w:val="none" w:sz="0" w:space="0" w:color="auto"/>
        <w:bottom w:val="none" w:sz="0" w:space="0" w:color="auto"/>
        <w:right w:val="none" w:sz="0" w:space="0" w:color="auto"/>
      </w:divBdr>
    </w:div>
    <w:div w:id="1525172929">
      <w:bodyDiv w:val="1"/>
      <w:marLeft w:val="0"/>
      <w:marRight w:val="0"/>
      <w:marTop w:val="0"/>
      <w:marBottom w:val="0"/>
      <w:divBdr>
        <w:top w:val="none" w:sz="0" w:space="0" w:color="auto"/>
        <w:left w:val="none" w:sz="0" w:space="0" w:color="auto"/>
        <w:bottom w:val="none" w:sz="0" w:space="0" w:color="auto"/>
        <w:right w:val="none" w:sz="0" w:space="0" w:color="auto"/>
      </w:divBdr>
    </w:div>
    <w:div w:id="1537422071">
      <w:bodyDiv w:val="1"/>
      <w:marLeft w:val="0"/>
      <w:marRight w:val="0"/>
      <w:marTop w:val="0"/>
      <w:marBottom w:val="0"/>
      <w:divBdr>
        <w:top w:val="none" w:sz="0" w:space="0" w:color="auto"/>
        <w:left w:val="none" w:sz="0" w:space="0" w:color="auto"/>
        <w:bottom w:val="none" w:sz="0" w:space="0" w:color="auto"/>
        <w:right w:val="none" w:sz="0" w:space="0" w:color="auto"/>
      </w:divBdr>
    </w:div>
    <w:div w:id="1541626771">
      <w:bodyDiv w:val="1"/>
      <w:marLeft w:val="0"/>
      <w:marRight w:val="0"/>
      <w:marTop w:val="0"/>
      <w:marBottom w:val="0"/>
      <w:divBdr>
        <w:top w:val="none" w:sz="0" w:space="0" w:color="auto"/>
        <w:left w:val="none" w:sz="0" w:space="0" w:color="auto"/>
        <w:bottom w:val="none" w:sz="0" w:space="0" w:color="auto"/>
        <w:right w:val="none" w:sz="0" w:space="0" w:color="auto"/>
      </w:divBdr>
    </w:div>
    <w:div w:id="1573731397">
      <w:bodyDiv w:val="1"/>
      <w:marLeft w:val="0"/>
      <w:marRight w:val="0"/>
      <w:marTop w:val="0"/>
      <w:marBottom w:val="0"/>
      <w:divBdr>
        <w:top w:val="none" w:sz="0" w:space="0" w:color="auto"/>
        <w:left w:val="none" w:sz="0" w:space="0" w:color="auto"/>
        <w:bottom w:val="none" w:sz="0" w:space="0" w:color="auto"/>
        <w:right w:val="none" w:sz="0" w:space="0" w:color="auto"/>
      </w:divBdr>
    </w:div>
    <w:div w:id="1581713068">
      <w:bodyDiv w:val="1"/>
      <w:marLeft w:val="0"/>
      <w:marRight w:val="0"/>
      <w:marTop w:val="0"/>
      <w:marBottom w:val="0"/>
      <w:divBdr>
        <w:top w:val="none" w:sz="0" w:space="0" w:color="auto"/>
        <w:left w:val="none" w:sz="0" w:space="0" w:color="auto"/>
        <w:bottom w:val="none" w:sz="0" w:space="0" w:color="auto"/>
        <w:right w:val="none" w:sz="0" w:space="0" w:color="auto"/>
      </w:divBdr>
    </w:div>
    <w:div w:id="1593931599">
      <w:bodyDiv w:val="1"/>
      <w:marLeft w:val="0"/>
      <w:marRight w:val="0"/>
      <w:marTop w:val="0"/>
      <w:marBottom w:val="0"/>
      <w:divBdr>
        <w:top w:val="none" w:sz="0" w:space="0" w:color="auto"/>
        <w:left w:val="none" w:sz="0" w:space="0" w:color="auto"/>
        <w:bottom w:val="none" w:sz="0" w:space="0" w:color="auto"/>
        <w:right w:val="none" w:sz="0" w:space="0" w:color="auto"/>
      </w:divBdr>
    </w:div>
    <w:div w:id="1596669328">
      <w:bodyDiv w:val="1"/>
      <w:marLeft w:val="0"/>
      <w:marRight w:val="0"/>
      <w:marTop w:val="0"/>
      <w:marBottom w:val="0"/>
      <w:divBdr>
        <w:top w:val="none" w:sz="0" w:space="0" w:color="auto"/>
        <w:left w:val="none" w:sz="0" w:space="0" w:color="auto"/>
        <w:bottom w:val="none" w:sz="0" w:space="0" w:color="auto"/>
        <w:right w:val="none" w:sz="0" w:space="0" w:color="auto"/>
      </w:divBdr>
    </w:div>
    <w:div w:id="1606303301">
      <w:bodyDiv w:val="1"/>
      <w:marLeft w:val="0"/>
      <w:marRight w:val="0"/>
      <w:marTop w:val="0"/>
      <w:marBottom w:val="0"/>
      <w:divBdr>
        <w:top w:val="none" w:sz="0" w:space="0" w:color="auto"/>
        <w:left w:val="none" w:sz="0" w:space="0" w:color="auto"/>
        <w:bottom w:val="none" w:sz="0" w:space="0" w:color="auto"/>
        <w:right w:val="none" w:sz="0" w:space="0" w:color="auto"/>
      </w:divBdr>
    </w:div>
    <w:div w:id="1610698904">
      <w:bodyDiv w:val="1"/>
      <w:marLeft w:val="0"/>
      <w:marRight w:val="0"/>
      <w:marTop w:val="0"/>
      <w:marBottom w:val="0"/>
      <w:divBdr>
        <w:top w:val="none" w:sz="0" w:space="0" w:color="auto"/>
        <w:left w:val="none" w:sz="0" w:space="0" w:color="auto"/>
        <w:bottom w:val="none" w:sz="0" w:space="0" w:color="auto"/>
        <w:right w:val="none" w:sz="0" w:space="0" w:color="auto"/>
      </w:divBdr>
    </w:div>
    <w:div w:id="1620332199">
      <w:bodyDiv w:val="1"/>
      <w:marLeft w:val="0"/>
      <w:marRight w:val="0"/>
      <w:marTop w:val="0"/>
      <w:marBottom w:val="0"/>
      <w:divBdr>
        <w:top w:val="none" w:sz="0" w:space="0" w:color="auto"/>
        <w:left w:val="none" w:sz="0" w:space="0" w:color="auto"/>
        <w:bottom w:val="none" w:sz="0" w:space="0" w:color="auto"/>
        <w:right w:val="none" w:sz="0" w:space="0" w:color="auto"/>
      </w:divBdr>
    </w:div>
    <w:div w:id="1621374513">
      <w:bodyDiv w:val="1"/>
      <w:marLeft w:val="0"/>
      <w:marRight w:val="0"/>
      <w:marTop w:val="0"/>
      <w:marBottom w:val="0"/>
      <w:divBdr>
        <w:top w:val="none" w:sz="0" w:space="0" w:color="auto"/>
        <w:left w:val="none" w:sz="0" w:space="0" w:color="auto"/>
        <w:bottom w:val="none" w:sz="0" w:space="0" w:color="auto"/>
        <w:right w:val="none" w:sz="0" w:space="0" w:color="auto"/>
      </w:divBdr>
    </w:div>
    <w:div w:id="1630433176">
      <w:bodyDiv w:val="1"/>
      <w:marLeft w:val="0"/>
      <w:marRight w:val="0"/>
      <w:marTop w:val="0"/>
      <w:marBottom w:val="0"/>
      <w:divBdr>
        <w:top w:val="none" w:sz="0" w:space="0" w:color="auto"/>
        <w:left w:val="none" w:sz="0" w:space="0" w:color="auto"/>
        <w:bottom w:val="none" w:sz="0" w:space="0" w:color="auto"/>
        <w:right w:val="none" w:sz="0" w:space="0" w:color="auto"/>
      </w:divBdr>
    </w:div>
    <w:div w:id="1637249136">
      <w:bodyDiv w:val="1"/>
      <w:marLeft w:val="0"/>
      <w:marRight w:val="0"/>
      <w:marTop w:val="0"/>
      <w:marBottom w:val="0"/>
      <w:divBdr>
        <w:top w:val="none" w:sz="0" w:space="0" w:color="auto"/>
        <w:left w:val="none" w:sz="0" w:space="0" w:color="auto"/>
        <w:bottom w:val="none" w:sz="0" w:space="0" w:color="auto"/>
        <w:right w:val="none" w:sz="0" w:space="0" w:color="auto"/>
      </w:divBdr>
    </w:div>
    <w:div w:id="1645936935">
      <w:bodyDiv w:val="1"/>
      <w:marLeft w:val="0"/>
      <w:marRight w:val="0"/>
      <w:marTop w:val="0"/>
      <w:marBottom w:val="0"/>
      <w:divBdr>
        <w:top w:val="none" w:sz="0" w:space="0" w:color="auto"/>
        <w:left w:val="none" w:sz="0" w:space="0" w:color="auto"/>
        <w:bottom w:val="none" w:sz="0" w:space="0" w:color="auto"/>
        <w:right w:val="none" w:sz="0" w:space="0" w:color="auto"/>
      </w:divBdr>
    </w:div>
    <w:div w:id="1649699595">
      <w:bodyDiv w:val="1"/>
      <w:marLeft w:val="0"/>
      <w:marRight w:val="0"/>
      <w:marTop w:val="0"/>
      <w:marBottom w:val="0"/>
      <w:divBdr>
        <w:top w:val="none" w:sz="0" w:space="0" w:color="auto"/>
        <w:left w:val="none" w:sz="0" w:space="0" w:color="auto"/>
        <w:bottom w:val="none" w:sz="0" w:space="0" w:color="auto"/>
        <w:right w:val="none" w:sz="0" w:space="0" w:color="auto"/>
      </w:divBdr>
    </w:div>
    <w:div w:id="1686201461">
      <w:bodyDiv w:val="1"/>
      <w:marLeft w:val="0"/>
      <w:marRight w:val="0"/>
      <w:marTop w:val="0"/>
      <w:marBottom w:val="0"/>
      <w:divBdr>
        <w:top w:val="none" w:sz="0" w:space="0" w:color="auto"/>
        <w:left w:val="none" w:sz="0" w:space="0" w:color="auto"/>
        <w:bottom w:val="none" w:sz="0" w:space="0" w:color="auto"/>
        <w:right w:val="none" w:sz="0" w:space="0" w:color="auto"/>
      </w:divBdr>
    </w:div>
    <w:div w:id="1745449192">
      <w:bodyDiv w:val="1"/>
      <w:marLeft w:val="0"/>
      <w:marRight w:val="0"/>
      <w:marTop w:val="0"/>
      <w:marBottom w:val="0"/>
      <w:divBdr>
        <w:top w:val="none" w:sz="0" w:space="0" w:color="auto"/>
        <w:left w:val="none" w:sz="0" w:space="0" w:color="auto"/>
        <w:bottom w:val="none" w:sz="0" w:space="0" w:color="auto"/>
        <w:right w:val="none" w:sz="0" w:space="0" w:color="auto"/>
      </w:divBdr>
    </w:div>
    <w:div w:id="1757358014">
      <w:bodyDiv w:val="1"/>
      <w:marLeft w:val="0"/>
      <w:marRight w:val="0"/>
      <w:marTop w:val="0"/>
      <w:marBottom w:val="0"/>
      <w:divBdr>
        <w:top w:val="none" w:sz="0" w:space="0" w:color="auto"/>
        <w:left w:val="none" w:sz="0" w:space="0" w:color="auto"/>
        <w:bottom w:val="none" w:sz="0" w:space="0" w:color="auto"/>
        <w:right w:val="none" w:sz="0" w:space="0" w:color="auto"/>
      </w:divBdr>
    </w:div>
    <w:div w:id="1764184039">
      <w:bodyDiv w:val="1"/>
      <w:marLeft w:val="0"/>
      <w:marRight w:val="0"/>
      <w:marTop w:val="0"/>
      <w:marBottom w:val="0"/>
      <w:divBdr>
        <w:top w:val="none" w:sz="0" w:space="0" w:color="auto"/>
        <w:left w:val="none" w:sz="0" w:space="0" w:color="auto"/>
        <w:bottom w:val="none" w:sz="0" w:space="0" w:color="auto"/>
        <w:right w:val="none" w:sz="0" w:space="0" w:color="auto"/>
      </w:divBdr>
    </w:div>
    <w:div w:id="1765146966">
      <w:bodyDiv w:val="1"/>
      <w:marLeft w:val="0"/>
      <w:marRight w:val="0"/>
      <w:marTop w:val="0"/>
      <w:marBottom w:val="0"/>
      <w:divBdr>
        <w:top w:val="none" w:sz="0" w:space="0" w:color="auto"/>
        <w:left w:val="none" w:sz="0" w:space="0" w:color="auto"/>
        <w:bottom w:val="none" w:sz="0" w:space="0" w:color="auto"/>
        <w:right w:val="none" w:sz="0" w:space="0" w:color="auto"/>
      </w:divBdr>
    </w:div>
    <w:div w:id="1765609376">
      <w:bodyDiv w:val="1"/>
      <w:marLeft w:val="0"/>
      <w:marRight w:val="0"/>
      <w:marTop w:val="0"/>
      <w:marBottom w:val="0"/>
      <w:divBdr>
        <w:top w:val="none" w:sz="0" w:space="0" w:color="auto"/>
        <w:left w:val="none" w:sz="0" w:space="0" w:color="auto"/>
        <w:bottom w:val="none" w:sz="0" w:space="0" w:color="auto"/>
        <w:right w:val="none" w:sz="0" w:space="0" w:color="auto"/>
      </w:divBdr>
    </w:div>
    <w:div w:id="1790709627">
      <w:bodyDiv w:val="1"/>
      <w:marLeft w:val="0"/>
      <w:marRight w:val="0"/>
      <w:marTop w:val="0"/>
      <w:marBottom w:val="0"/>
      <w:divBdr>
        <w:top w:val="none" w:sz="0" w:space="0" w:color="auto"/>
        <w:left w:val="none" w:sz="0" w:space="0" w:color="auto"/>
        <w:bottom w:val="none" w:sz="0" w:space="0" w:color="auto"/>
        <w:right w:val="none" w:sz="0" w:space="0" w:color="auto"/>
      </w:divBdr>
    </w:div>
    <w:div w:id="1825051165">
      <w:bodyDiv w:val="1"/>
      <w:marLeft w:val="0"/>
      <w:marRight w:val="0"/>
      <w:marTop w:val="0"/>
      <w:marBottom w:val="0"/>
      <w:divBdr>
        <w:top w:val="none" w:sz="0" w:space="0" w:color="auto"/>
        <w:left w:val="none" w:sz="0" w:space="0" w:color="auto"/>
        <w:bottom w:val="none" w:sz="0" w:space="0" w:color="auto"/>
        <w:right w:val="none" w:sz="0" w:space="0" w:color="auto"/>
      </w:divBdr>
    </w:div>
    <w:div w:id="1834299340">
      <w:bodyDiv w:val="1"/>
      <w:marLeft w:val="0"/>
      <w:marRight w:val="0"/>
      <w:marTop w:val="0"/>
      <w:marBottom w:val="0"/>
      <w:divBdr>
        <w:top w:val="none" w:sz="0" w:space="0" w:color="auto"/>
        <w:left w:val="none" w:sz="0" w:space="0" w:color="auto"/>
        <w:bottom w:val="none" w:sz="0" w:space="0" w:color="auto"/>
        <w:right w:val="none" w:sz="0" w:space="0" w:color="auto"/>
      </w:divBdr>
    </w:div>
    <w:div w:id="1834569516">
      <w:bodyDiv w:val="1"/>
      <w:marLeft w:val="0"/>
      <w:marRight w:val="0"/>
      <w:marTop w:val="0"/>
      <w:marBottom w:val="0"/>
      <w:divBdr>
        <w:top w:val="none" w:sz="0" w:space="0" w:color="auto"/>
        <w:left w:val="none" w:sz="0" w:space="0" w:color="auto"/>
        <w:bottom w:val="none" w:sz="0" w:space="0" w:color="auto"/>
        <w:right w:val="none" w:sz="0" w:space="0" w:color="auto"/>
      </w:divBdr>
    </w:div>
    <w:div w:id="1846362513">
      <w:bodyDiv w:val="1"/>
      <w:marLeft w:val="0"/>
      <w:marRight w:val="0"/>
      <w:marTop w:val="0"/>
      <w:marBottom w:val="0"/>
      <w:divBdr>
        <w:top w:val="none" w:sz="0" w:space="0" w:color="auto"/>
        <w:left w:val="none" w:sz="0" w:space="0" w:color="auto"/>
        <w:bottom w:val="none" w:sz="0" w:space="0" w:color="auto"/>
        <w:right w:val="none" w:sz="0" w:space="0" w:color="auto"/>
      </w:divBdr>
    </w:div>
    <w:div w:id="1849901120">
      <w:bodyDiv w:val="1"/>
      <w:marLeft w:val="0"/>
      <w:marRight w:val="0"/>
      <w:marTop w:val="0"/>
      <w:marBottom w:val="0"/>
      <w:divBdr>
        <w:top w:val="none" w:sz="0" w:space="0" w:color="auto"/>
        <w:left w:val="none" w:sz="0" w:space="0" w:color="auto"/>
        <w:bottom w:val="none" w:sz="0" w:space="0" w:color="auto"/>
        <w:right w:val="none" w:sz="0" w:space="0" w:color="auto"/>
      </w:divBdr>
    </w:div>
    <w:div w:id="1853448036">
      <w:bodyDiv w:val="1"/>
      <w:marLeft w:val="0"/>
      <w:marRight w:val="0"/>
      <w:marTop w:val="0"/>
      <w:marBottom w:val="0"/>
      <w:divBdr>
        <w:top w:val="none" w:sz="0" w:space="0" w:color="auto"/>
        <w:left w:val="none" w:sz="0" w:space="0" w:color="auto"/>
        <w:bottom w:val="none" w:sz="0" w:space="0" w:color="auto"/>
        <w:right w:val="none" w:sz="0" w:space="0" w:color="auto"/>
      </w:divBdr>
    </w:div>
    <w:div w:id="1856261171">
      <w:bodyDiv w:val="1"/>
      <w:marLeft w:val="0"/>
      <w:marRight w:val="0"/>
      <w:marTop w:val="0"/>
      <w:marBottom w:val="0"/>
      <w:divBdr>
        <w:top w:val="none" w:sz="0" w:space="0" w:color="auto"/>
        <w:left w:val="none" w:sz="0" w:space="0" w:color="auto"/>
        <w:bottom w:val="none" w:sz="0" w:space="0" w:color="auto"/>
        <w:right w:val="none" w:sz="0" w:space="0" w:color="auto"/>
      </w:divBdr>
    </w:div>
    <w:div w:id="1864244291">
      <w:bodyDiv w:val="1"/>
      <w:marLeft w:val="0"/>
      <w:marRight w:val="0"/>
      <w:marTop w:val="0"/>
      <w:marBottom w:val="0"/>
      <w:divBdr>
        <w:top w:val="none" w:sz="0" w:space="0" w:color="auto"/>
        <w:left w:val="none" w:sz="0" w:space="0" w:color="auto"/>
        <w:bottom w:val="none" w:sz="0" w:space="0" w:color="auto"/>
        <w:right w:val="none" w:sz="0" w:space="0" w:color="auto"/>
      </w:divBdr>
    </w:div>
    <w:div w:id="1872456638">
      <w:bodyDiv w:val="1"/>
      <w:marLeft w:val="0"/>
      <w:marRight w:val="0"/>
      <w:marTop w:val="0"/>
      <w:marBottom w:val="0"/>
      <w:divBdr>
        <w:top w:val="none" w:sz="0" w:space="0" w:color="auto"/>
        <w:left w:val="none" w:sz="0" w:space="0" w:color="auto"/>
        <w:bottom w:val="none" w:sz="0" w:space="0" w:color="auto"/>
        <w:right w:val="none" w:sz="0" w:space="0" w:color="auto"/>
      </w:divBdr>
    </w:div>
    <w:div w:id="1890267572">
      <w:bodyDiv w:val="1"/>
      <w:marLeft w:val="0"/>
      <w:marRight w:val="0"/>
      <w:marTop w:val="0"/>
      <w:marBottom w:val="0"/>
      <w:divBdr>
        <w:top w:val="none" w:sz="0" w:space="0" w:color="auto"/>
        <w:left w:val="none" w:sz="0" w:space="0" w:color="auto"/>
        <w:bottom w:val="none" w:sz="0" w:space="0" w:color="auto"/>
        <w:right w:val="none" w:sz="0" w:space="0" w:color="auto"/>
      </w:divBdr>
    </w:div>
    <w:div w:id="1891457341">
      <w:bodyDiv w:val="1"/>
      <w:marLeft w:val="0"/>
      <w:marRight w:val="0"/>
      <w:marTop w:val="0"/>
      <w:marBottom w:val="0"/>
      <w:divBdr>
        <w:top w:val="none" w:sz="0" w:space="0" w:color="auto"/>
        <w:left w:val="none" w:sz="0" w:space="0" w:color="auto"/>
        <w:bottom w:val="none" w:sz="0" w:space="0" w:color="auto"/>
        <w:right w:val="none" w:sz="0" w:space="0" w:color="auto"/>
      </w:divBdr>
    </w:div>
    <w:div w:id="1894003051">
      <w:bodyDiv w:val="1"/>
      <w:marLeft w:val="0"/>
      <w:marRight w:val="0"/>
      <w:marTop w:val="0"/>
      <w:marBottom w:val="0"/>
      <w:divBdr>
        <w:top w:val="none" w:sz="0" w:space="0" w:color="auto"/>
        <w:left w:val="none" w:sz="0" w:space="0" w:color="auto"/>
        <w:bottom w:val="none" w:sz="0" w:space="0" w:color="auto"/>
        <w:right w:val="none" w:sz="0" w:space="0" w:color="auto"/>
      </w:divBdr>
    </w:div>
    <w:div w:id="1928035364">
      <w:bodyDiv w:val="1"/>
      <w:marLeft w:val="0"/>
      <w:marRight w:val="0"/>
      <w:marTop w:val="0"/>
      <w:marBottom w:val="0"/>
      <w:divBdr>
        <w:top w:val="none" w:sz="0" w:space="0" w:color="auto"/>
        <w:left w:val="none" w:sz="0" w:space="0" w:color="auto"/>
        <w:bottom w:val="none" w:sz="0" w:space="0" w:color="auto"/>
        <w:right w:val="none" w:sz="0" w:space="0" w:color="auto"/>
      </w:divBdr>
    </w:div>
    <w:div w:id="1965234661">
      <w:bodyDiv w:val="1"/>
      <w:marLeft w:val="0"/>
      <w:marRight w:val="0"/>
      <w:marTop w:val="0"/>
      <w:marBottom w:val="0"/>
      <w:divBdr>
        <w:top w:val="none" w:sz="0" w:space="0" w:color="auto"/>
        <w:left w:val="none" w:sz="0" w:space="0" w:color="auto"/>
        <w:bottom w:val="none" w:sz="0" w:space="0" w:color="auto"/>
        <w:right w:val="none" w:sz="0" w:space="0" w:color="auto"/>
      </w:divBdr>
    </w:div>
    <w:div w:id="1984000810">
      <w:bodyDiv w:val="1"/>
      <w:marLeft w:val="0"/>
      <w:marRight w:val="0"/>
      <w:marTop w:val="0"/>
      <w:marBottom w:val="0"/>
      <w:divBdr>
        <w:top w:val="none" w:sz="0" w:space="0" w:color="auto"/>
        <w:left w:val="none" w:sz="0" w:space="0" w:color="auto"/>
        <w:bottom w:val="none" w:sz="0" w:space="0" w:color="auto"/>
        <w:right w:val="none" w:sz="0" w:space="0" w:color="auto"/>
      </w:divBdr>
    </w:div>
    <w:div w:id="2002075027">
      <w:bodyDiv w:val="1"/>
      <w:marLeft w:val="0"/>
      <w:marRight w:val="0"/>
      <w:marTop w:val="0"/>
      <w:marBottom w:val="0"/>
      <w:divBdr>
        <w:top w:val="none" w:sz="0" w:space="0" w:color="auto"/>
        <w:left w:val="none" w:sz="0" w:space="0" w:color="auto"/>
        <w:bottom w:val="none" w:sz="0" w:space="0" w:color="auto"/>
        <w:right w:val="none" w:sz="0" w:space="0" w:color="auto"/>
      </w:divBdr>
    </w:div>
    <w:div w:id="2020153322">
      <w:bodyDiv w:val="1"/>
      <w:marLeft w:val="0"/>
      <w:marRight w:val="0"/>
      <w:marTop w:val="0"/>
      <w:marBottom w:val="0"/>
      <w:divBdr>
        <w:top w:val="none" w:sz="0" w:space="0" w:color="auto"/>
        <w:left w:val="none" w:sz="0" w:space="0" w:color="auto"/>
        <w:bottom w:val="none" w:sz="0" w:space="0" w:color="auto"/>
        <w:right w:val="none" w:sz="0" w:space="0" w:color="auto"/>
      </w:divBdr>
    </w:div>
    <w:div w:id="2030256038">
      <w:bodyDiv w:val="1"/>
      <w:marLeft w:val="0"/>
      <w:marRight w:val="0"/>
      <w:marTop w:val="0"/>
      <w:marBottom w:val="0"/>
      <w:divBdr>
        <w:top w:val="none" w:sz="0" w:space="0" w:color="auto"/>
        <w:left w:val="none" w:sz="0" w:space="0" w:color="auto"/>
        <w:bottom w:val="none" w:sz="0" w:space="0" w:color="auto"/>
        <w:right w:val="none" w:sz="0" w:space="0" w:color="auto"/>
      </w:divBdr>
    </w:div>
    <w:div w:id="2065059516">
      <w:bodyDiv w:val="1"/>
      <w:marLeft w:val="0"/>
      <w:marRight w:val="0"/>
      <w:marTop w:val="0"/>
      <w:marBottom w:val="0"/>
      <w:divBdr>
        <w:top w:val="none" w:sz="0" w:space="0" w:color="auto"/>
        <w:left w:val="none" w:sz="0" w:space="0" w:color="auto"/>
        <w:bottom w:val="none" w:sz="0" w:space="0" w:color="auto"/>
        <w:right w:val="none" w:sz="0" w:space="0" w:color="auto"/>
      </w:divBdr>
    </w:div>
    <w:div w:id="2092385410">
      <w:bodyDiv w:val="1"/>
      <w:marLeft w:val="0"/>
      <w:marRight w:val="0"/>
      <w:marTop w:val="0"/>
      <w:marBottom w:val="0"/>
      <w:divBdr>
        <w:top w:val="none" w:sz="0" w:space="0" w:color="auto"/>
        <w:left w:val="none" w:sz="0" w:space="0" w:color="auto"/>
        <w:bottom w:val="none" w:sz="0" w:space="0" w:color="auto"/>
        <w:right w:val="none" w:sz="0" w:space="0" w:color="auto"/>
      </w:divBdr>
    </w:div>
    <w:div w:id="2096778134">
      <w:bodyDiv w:val="1"/>
      <w:marLeft w:val="0"/>
      <w:marRight w:val="0"/>
      <w:marTop w:val="0"/>
      <w:marBottom w:val="0"/>
      <w:divBdr>
        <w:top w:val="none" w:sz="0" w:space="0" w:color="auto"/>
        <w:left w:val="none" w:sz="0" w:space="0" w:color="auto"/>
        <w:bottom w:val="none" w:sz="0" w:space="0" w:color="auto"/>
        <w:right w:val="none" w:sz="0" w:space="0" w:color="auto"/>
      </w:divBdr>
    </w:div>
    <w:div w:id="2112509640">
      <w:bodyDiv w:val="1"/>
      <w:marLeft w:val="0"/>
      <w:marRight w:val="0"/>
      <w:marTop w:val="0"/>
      <w:marBottom w:val="0"/>
      <w:divBdr>
        <w:top w:val="none" w:sz="0" w:space="0" w:color="auto"/>
        <w:left w:val="none" w:sz="0" w:space="0" w:color="auto"/>
        <w:bottom w:val="none" w:sz="0" w:space="0" w:color="auto"/>
        <w:right w:val="none" w:sz="0" w:space="0" w:color="auto"/>
      </w:divBdr>
    </w:div>
    <w:div w:id="2137485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3.xml"/><Relationship Id="rId18" Type="http://schemas.openxmlformats.org/officeDocument/2006/relationships/chart" Target="charts/chart8.xm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hart" Target="charts/chart6.xm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footer" Target="footer3.xml"/><Relationship Id="rId5" Type="http://schemas.openxmlformats.org/officeDocument/2006/relationships/numbering" Target="numbering.xml"/><Relationship Id="rId15" Type="http://schemas.openxmlformats.org/officeDocument/2006/relationships/chart" Target="charts/chart5.xm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4.xml"/><Relationship Id="rId22"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https://nswgov.sharepoint.com/sites/TSY2019-20Budget/Shared%20Documents/General/2020-21%20Budget/03.%20Budget%20Paper%202%20(Budget%20Statement)/Ch5%20-%20Expenditure/20-21%20Budget%20Excel%20Data/Expense%20Charts.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oleObject" Target="https://nswgov.sharepoint.com/sites/TSY2019-20Budget/Shared%20Documents/General/2020-21%20Budget/03.%20Budget%20Paper%202%20(Budget%20Statement)/Ch5%20-%20Expenditure/20-21%20Budget%20Excel%20Data/Expense%20Charts.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https://nswgov.sharepoint.com/sites/TSY2019-20Budget/Shared%20Documents/General/2020-21%20Budget/05.%20Budget%20Paper%204%20(Infrastructure%20Statement)/Ch1%20-%20Investment%20Program/Budget%20Paper%202%20Smart%20View%20Reports_20-21%20-%20Editable.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nswgov.sharepoint.com/sites/TSY2019-20Budget/Shared%20Documents/General/2020-21%20Budget/03.%20Budget%20Paper%202%20(Budget%20Statement)/Ch5%20-%20Expenditure/19-20%20Budget/CHARTS%20AND%20TABLES%20THAT%20LINK%20TO%20CHAPTER%206/Capex%20State%20Compar" TargetMode="Externa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5" Type="http://schemas.openxmlformats.org/officeDocument/2006/relationships/chartUserShapes" Target="../drawings/drawing3.xml"/><Relationship Id="rId4"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446544181977254"/>
          <c:y val="0.11331273188862168"/>
          <c:w val="0.45129912863766714"/>
          <c:h val="0.89286197001102696"/>
        </c:manualLayout>
      </c:layout>
      <c:doughnutChart>
        <c:varyColors val="1"/>
        <c:ser>
          <c:idx val="0"/>
          <c:order val="0"/>
          <c:spPr>
            <a:solidFill>
              <a:srgbClr val="00426F"/>
            </a:solidFill>
          </c:spPr>
          <c:dPt>
            <c:idx val="0"/>
            <c:bubble3D val="0"/>
            <c:spPr>
              <a:solidFill>
                <a:srgbClr val="9ACA3C"/>
              </a:solidFill>
            </c:spPr>
            <c:extLst>
              <c:ext xmlns:c16="http://schemas.microsoft.com/office/drawing/2014/chart" uri="{C3380CC4-5D6E-409C-BE32-E72D297353CC}">
                <c16:uniqueId val="{00000001-38EA-44F4-B65E-3E109FA2194F}"/>
              </c:ext>
            </c:extLst>
          </c:dPt>
          <c:dPt>
            <c:idx val="1"/>
            <c:bubble3D val="0"/>
            <c:spPr>
              <a:solidFill>
                <a:srgbClr val="009484"/>
              </a:solidFill>
            </c:spPr>
            <c:extLst>
              <c:ext xmlns:c16="http://schemas.microsoft.com/office/drawing/2014/chart" uri="{C3380CC4-5D6E-409C-BE32-E72D297353CC}">
                <c16:uniqueId val="{00000003-38EA-44F4-B65E-3E109FA2194F}"/>
              </c:ext>
            </c:extLst>
          </c:dPt>
          <c:dPt>
            <c:idx val="2"/>
            <c:bubble3D val="0"/>
            <c:spPr>
              <a:solidFill>
                <a:srgbClr val="A50776"/>
              </a:solidFill>
            </c:spPr>
            <c:extLst>
              <c:ext xmlns:c16="http://schemas.microsoft.com/office/drawing/2014/chart" uri="{C3380CC4-5D6E-409C-BE32-E72D297353CC}">
                <c16:uniqueId val="{00000005-38EA-44F4-B65E-3E109FA2194F}"/>
              </c:ext>
            </c:extLst>
          </c:dPt>
          <c:dPt>
            <c:idx val="4"/>
            <c:bubble3D val="0"/>
            <c:spPr>
              <a:solidFill>
                <a:srgbClr val="008EBA"/>
              </a:solidFill>
            </c:spPr>
            <c:extLst>
              <c:ext xmlns:c16="http://schemas.microsoft.com/office/drawing/2014/chart" uri="{C3380CC4-5D6E-409C-BE32-E72D297353CC}">
                <c16:uniqueId val="{00000007-38EA-44F4-B65E-3E109FA2194F}"/>
              </c:ext>
            </c:extLst>
          </c:dPt>
          <c:dPt>
            <c:idx val="5"/>
            <c:bubble3D val="0"/>
            <c:spPr>
              <a:solidFill>
                <a:srgbClr val="53C8E9"/>
              </a:solidFill>
            </c:spPr>
            <c:extLst>
              <c:ext xmlns:c16="http://schemas.microsoft.com/office/drawing/2014/chart" uri="{C3380CC4-5D6E-409C-BE32-E72D297353CC}">
                <c16:uniqueId val="{00000009-38EA-44F4-B65E-3E109FA2194F}"/>
              </c:ext>
            </c:extLst>
          </c:dPt>
          <c:dPt>
            <c:idx val="7"/>
            <c:bubble3D val="0"/>
            <c:extLst>
              <c:ext xmlns:c16="http://schemas.microsoft.com/office/drawing/2014/chart" uri="{C3380CC4-5D6E-409C-BE32-E72D297353CC}">
                <c16:uniqueId val="{0000000A-38EA-44F4-B65E-3E109FA2194F}"/>
              </c:ext>
            </c:extLst>
          </c:dPt>
          <c:dLbls>
            <c:dLbl>
              <c:idx val="0"/>
              <c:layout>
                <c:manualLayout>
                  <c:x val="-0.13170535795094582"/>
                  <c:y val="6.5898009506549879E-2"/>
                </c:manualLayout>
              </c:layout>
              <c:numFmt formatCode="0%" sourceLinked="0"/>
              <c:spPr>
                <a:noFill/>
                <a:ln>
                  <a:noFill/>
                </a:ln>
                <a:effectLst/>
              </c:spPr>
              <c:txPr>
                <a:bodyPr anchorCtr="0"/>
                <a:lstStyle/>
                <a:p>
                  <a:pPr algn="ctr" rtl="0">
                    <a:defRPr lang="en-US"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8EA-44F4-B65E-3E109FA2194F}"/>
                </c:ext>
              </c:extLst>
            </c:dLbl>
            <c:dLbl>
              <c:idx val="1"/>
              <c:layout>
                <c:manualLayout>
                  <c:x val="-0.12199542472921224"/>
                  <c:y val="-2.4467315958667885E-2"/>
                </c:manualLayout>
              </c:layout>
              <c:numFmt formatCode="0%" sourceLinked="0"/>
              <c:spPr>
                <a:noFill/>
                <a:ln>
                  <a:noFill/>
                </a:ln>
                <a:effectLst/>
              </c:spPr>
              <c:txPr>
                <a:bodyPr anchorCtr="0"/>
                <a:lstStyle/>
                <a:p>
                  <a:pPr algn="ctr" rtl="0">
                    <a:defRPr lang="en-US"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8EA-44F4-B65E-3E109FA2194F}"/>
                </c:ext>
              </c:extLst>
            </c:dLbl>
            <c:dLbl>
              <c:idx val="2"/>
              <c:layout>
                <c:manualLayout>
                  <c:x val="-7.4287062431802761E-2"/>
                  <c:y val="-6.6544215260313691E-2"/>
                </c:manualLayout>
              </c:layout>
              <c:numFmt formatCode="0%" sourceLinked="0"/>
              <c:spPr>
                <a:noFill/>
                <a:ln>
                  <a:noFill/>
                </a:ln>
                <a:effectLst/>
              </c:spPr>
              <c:txPr>
                <a:bodyPr anchorCtr="0"/>
                <a:lstStyle/>
                <a:p>
                  <a:pPr algn="ctr" rtl="0">
                    <a:defRPr lang="en-US"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8EA-44F4-B65E-3E109FA2194F}"/>
                </c:ext>
              </c:extLst>
            </c:dLbl>
            <c:dLbl>
              <c:idx val="3"/>
              <c:layout>
                <c:manualLayout>
                  <c:x val="-1.9179905882551199E-2"/>
                  <c:y val="-0.10667051539878629"/>
                </c:manualLayout>
              </c:layout>
              <c:numFmt formatCode="0%" sourceLinked="0"/>
              <c:spPr>
                <a:noFill/>
                <a:ln>
                  <a:noFill/>
                </a:ln>
                <a:effectLst/>
              </c:spPr>
              <c:txPr>
                <a:bodyPr anchorCtr="0"/>
                <a:lstStyle/>
                <a:p>
                  <a:pPr algn="ctr" rtl="0">
                    <a:defRPr lang="en-US"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8EA-44F4-B65E-3E109FA2194F}"/>
                </c:ext>
              </c:extLst>
            </c:dLbl>
            <c:dLbl>
              <c:idx val="4"/>
              <c:layout>
                <c:manualLayout>
                  <c:x val="9.3248315870628429E-2"/>
                  <c:y val="-6.3085802671691865E-2"/>
                </c:manualLayout>
              </c:layout>
              <c:numFmt formatCode="0%" sourceLinked="0"/>
              <c:spPr>
                <a:noFill/>
                <a:ln>
                  <a:noFill/>
                </a:ln>
                <a:effectLst/>
              </c:spPr>
              <c:txPr>
                <a:bodyPr anchorCtr="0"/>
                <a:lstStyle/>
                <a:p>
                  <a:pPr algn="ctr" rtl="0">
                    <a:defRPr lang="en-US"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8EA-44F4-B65E-3E109FA2194F}"/>
                </c:ext>
              </c:extLst>
            </c:dLbl>
            <c:dLbl>
              <c:idx val="5"/>
              <c:layout>
                <c:manualLayout>
                  <c:x val="0.11965411651129816"/>
                  <c:y val="0.1165248127487436"/>
                </c:manualLayout>
              </c:layout>
              <c:numFmt formatCode="0%" sourceLinked="0"/>
              <c:spPr>
                <a:noFill/>
                <a:ln>
                  <a:noFill/>
                </a:ln>
                <a:effectLst/>
              </c:spPr>
              <c:txPr>
                <a:bodyPr/>
                <a:lstStyle/>
                <a:p>
                  <a:pPr>
                    <a:defRPr sz="700">
                      <a:solidFill>
                        <a:schemeClr val="tx1">
                          <a:lumMod val="65000"/>
                          <a:lumOff val="35000"/>
                        </a:schemeClr>
                      </a:solidFill>
                      <a:latin typeface="Arial" panose="020B0604020202020204" pitchFamily="34" charset="0"/>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8EA-44F4-B65E-3E109FA2194F}"/>
                </c:ext>
              </c:extLst>
            </c:dLbl>
            <c:dLbl>
              <c:idx val="7"/>
              <c:delete val="1"/>
              <c:extLst>
                <c:ext xmlns:c15="http://schemas.microsoft.com/office/drawing/2012/chart" uri="{CE6537A1-D6FC-4f65-9D91-7224C49458BB}"/>
                <c:ext xmlns:c16="http://schemas.microsoft.com/office/drawing/2014/chart" uri="{C3380CC4-5D6E-409C-BE32-E72D297353CC}">
                  <c16:uniqueId val="{0000000A-38EA-44F4-B65E-3E109FA2194F}"/>
                </c:ext>
              </c:extLst>
            </c:dLbl>
            <c:numFmt formatCode="0.0%" sourceLinked="0"/>
            <c:spPr>
              <a:noFill/>
              <a:ln>
                <a:noFill/>
              </a:ln>
              <a:effectLst/>
            </c:spPr>
            <c:txPr>
              <a:bodyPr/>
              <a:lstStyle/>
              <a:p>
                <a:pPr>
                  <a:defRPr sz="700">
                    <a:solidFill>
                      <a:schemeClr val="tx1">
                        <a:lumMod val="65000"/>
                        <a:lumOff val="35000"/>
                      </a:schemeClr>
                    </a:solidFill>
                    <a:latin typeface="Arial" panose="020B0604020202020204" pitchFamily="34" charset="0"/>
                    <a:cs typeface="Arial" panose="020B0604020202020204" pitchFamily="34" charset="0"/>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'Expense Composition'!$B$76:$D$81</c:f>
              <c:strCache>
                <c:ptCount val="6"/>
                <c:pt idx="0">
                  <c:v>Employee expenses</c:v>
                </c:pt>
                <c:pt idx="1">
                  <c:v>Superannuation</c:v>
                </c:pt>
                <c:pt idx="2">
                  <c:v>Interest</c:v>
                </c:pt>
                <c:pt idx="3">
                  <c:v>Other operating</c:v>
                </c:pt>
                <c:pt idx="4">
                  <c:v>Depreciation and amortisation</c:v>
                </c:pt>
                <c:pt idx="5">
                  <c:v>Grants and subsidies</c:v>
                </c:pt>
              </c:strCache>
            </c:strRef>
          </c:cat>
          <c:val>
            <c:numRef>
              <c:f>'Expense Composition'!$F$76:$F$81</c:f>
              <c:numCache>
                <c:formatCode>#,##0;\(#,##0\);...</c:formatCode>
                <c:ptCount val="6"/>
                <c:pt idx="0">
                  <c:v>37087.151515440004</c:v>
                </c:pt>
                <c:pt idx="1">
                  <c:v>3888.1389993071998</c:v>
                </c:pt>
                <c:pt idx="2">
                  <c:v>2548.8745445900004</c:v>
                </c:pt>
                <c:pt idx="3">
                  <c:v>24823.533865099802</c:v>
                </c:pt>
                <c:pt idx="4">
                  <c:v>7042.2434972452002</c:v>
                </c:pt>
                <c:pt idx="5">
                  <c:v>22743.06738918</c:v>
                </c:pt>
              </c:numCache>
            </c:numRef>
          </c:val>
          <c:extLst>
            <c:ext xmlns:c16="http://schemas.microsoft.com/office/drawing/2014/chart" uri="{C3380CC4-5D6E-409C-BE32-E72D297353CC}">
              <c16:uniqueId val="{0000000C-38EA-44F4-B65E-3E109FA2194F}"/>
            </c:ext>
          </c:extLst>
        </c:ser>
        <c:dLbls>
          <c:showLegendKey val="0"/>
          <c:showVal val="0"/>
          <c:showCatName val="0"/>
          <c:showSerName val="0"/>
          <c:showPercent val="1"/>
          <c:showBubbleSize val="0"/>
          <c:showLeaderLines val="0"/>
        </c:dLbls>
        <c:firstSliceAng val="150"/>
        <c:holeSize val="60"/>
      </c:doughnutChart>
    </c:plotArea>
    <c:plotVisOnly val="1"/>
    <c:dispBlanksAs val="gap"/>
    <c:showDLblsOverMax val="0"/>
  </c:chart>
  <c:spPr>
    <a:noFill/>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100292407984836E-2"/>
          <c:y val="1.6045623569966555E-2"/>
          <c:w val="0.93279940724345944"/>
          <c:h val="0.7319285153837165"/>
        </c:manualLayout>
      </c:layout>
      <c:lineChart>
        <c:grouping val="standard"/>
        <c:varyColors val="0"/>
        <c:ser>
          <c:idx val="0"/>
          <c:order val="0"/>
          <c:tx>
            <c:strRef>
              <c:f>'Employee Growth'!$B$20</c:f>
              <c:strCache>
                <c:ptCount val="1"/>
                <c:pt idx="0">
                  <c:v>Annual expense growth</c:v>
                </c:pt>
              </c:strCache>
            </c:strRef>
          </c:tx>
          <c:spPr>
            <a:ln w="25400">
              <a:solidFill>
                <a:srgbClr val="002664"/>
              </a:solidFill>
            </a:ln>
          </c:spPr>
          <c:marker>
            <c:symbol val="none"/>
          </c:marker>
          <c:cat>
            <c:strRef>
              <c:f>'Employee Growth'!$H$17:$X$17</c:f>
              <c:strCache>
                <c:ptCount val="17"/>
                <c:pt idx="0">
                  <c:v>2007-08</c:v>
                </c:pt>
                <c:pt idx="1">
                  <c:v>2008-09</c:v>
                </c:pt>
                <c:pt idx="2">
                  <c:v>2009-10</c:v>
                </c:pt>
                <c:pt idx="3">
                  <c:v>2010-11</c:v>
                </c:pt>
                <c:pt idx="4">
                  <c:v>2011-12</c:v>
                </c:pt>
                <c:pt idx="5">
                  <c:v>2012-13</c:v>
                </c:pt>
                <c:pt idx="6">
                  <c:v>2013-14</c:v>
                </c:pt>
                <c:pt idx="7">
                  <c:v>2014-15</c:v>
                </c:pt>
                <c:pt idx="8">
                  <c:v>2015-16</c:v>
                </c:pt>
                <c:pt idx="9">
                  <c:v>2016-17</c:v>
                </c:pt>
                <c:pt idx="10">
                  <c:v>2017-18</c:v>
                </c:pt>
                <c:pt idx="11">
                  <c:v>2018-19</c:v>
                </c:pt>
                <c:pt idx="12">
                  <c:v>2019-20</c:v>
                </c:pt>
                <c:pt idx="13">
                  <c:v>2020-21</c:v>
                </c:pt>
                <c:pt idx="14">
                  <c:v>2021-22</c:v>
                </c:pt>
                <c:pt idx="15">
                  <c:v>2022-23</c:v>
                </c:pt>
                <c:pt idx="16">
                  <c:v>2023-24</c:v>
                </c:pt>
              </c:strCache>
              <c:extLst/>
            </c:strRef>
          </c:cat>
          <c:val>
            <c:numRef>
              <c:f>'Employee Growth'!$H$20:$X$20</c:f>
              <c:numCache>
                <c:formatCode>0.0</c:formatCode>
                <c:ptCount val="17"/>
                <c:pt idx="0">
                  <c:v>8.6500157515750686</c:v>
                </c:pt>
                <c:pt idx="1">
                  <c:v>7.6081073941482558</c:v>
                </c:pt>
                <c:pt idx="2">
                  <c:v>4.6004342966146305</c:v>
                </c:pt>
                <c:pt idx="3">
                  <c:v>5.124913809393572</c:v>
                </c:pt>
                <c:pt idx="4">
                  <c:v>4.7297637188741692</c:v>
                </c:pt>
                <c:pt idx="5">
                  <c:v>2.9929992920632476</c:v>
                </c:pt>
                <c:pt idx="6">
                  <c:v>3.3202657807309022</c:v>
                </c:pt>
                <c:pt idx="7">
                  <c:v>2.8149672695758854</c:v>
                </c:pt>
                <c:pt idx="8">
                  <c:v>6.3402045049143929</c:v>
                </c:pt>
                <c:pt idx="9">
                  <c:v>3.3758353183916956</c:v>
                </c:pt>
                <c:pt idx="10">
                  <c:v>3.4763955406640568</c:v>
                </c:pt>
                <c:pt idx="11">
                  <c:v>4.7849545908198454</c:v>
                </c:pt>
                <c:pt idx="12">
                  <c:v>7.2295988950148882</c:v>
                </c:pt>
                <c:pt idx="13">
                  <c:v>4.3096403010701279</c:v>
                </c:pt>
                <c:pt idx="14">
                  <c:v>1.4103819415794971</c:v>
                </c:pt>
                <c:pt idx="15">
                  <c:v>3.3986375754073039</c:v>
                </c:pt>
                <c:pt idx="16">
                  <c:v>3.0501755366946659</c:v>
                </c:pt>
              </c:numCache>
              <c:extLst/>
            </c:numRef>
          </c:val>
          <c:smooth val="0"/>
          <c:extLst>
            <c:ext xmlns:c16="http://schemas.microsoft.com/office/drawing/2014/chart" uri="{C3380CC4-5D6E-409C-BE32-E72D297353CC}">
              <c16:uniqueId val="{00000000-050F-4AFE-A0CD-3A982F6378D7}"/>
            </c:ext>
          </c:extLst>
        </c:ser>
        <c:ser>
          <c:idx val="1"/>
          <c:order val="1"/>
          <c:tx>
            <c:strRef>
              <c:f>'Employee Growth'!$B$21</c:f>
              <c:strCache>
                <c:ptCount val="1"/>
                <c:pt idx="0">
                  <c:v>Average to 2010-11</c:v>
                </c:pt>
              </c:strCache>
            </c:strRef>
          </c:tx>
          <c:spPr>
            <a:ln w="25400" cap="flat" cmpd="sng" algn="ctr">
              <a:solidFill>
                <a:srgbClr val="00ABE6"/>
              </a:solidFill>
              <a:prstDash val="solid"/>
            </a:ln>
            <a:effectLst/>
          </c:spPr>
          <c:marker>
            <c:symbol val="none"/>
          </c:marker>
          <c:cat>
            <c:strRef>
              <c:f>'Employee Growth'!$H$17:$X$17</c:f>
              <c:strCache>
                <c:ptCount val="17"/>
                <c:pt idx="0">
                  <c:v>2007-08</c:v>
                </c:pt>
                <c:pt idx="1">
                  <c:v>2008-09</c:v>
                </c:pt>
                <c:pt idx="2">
                  <c:v>2009-10</c:v>
                </c:pt>
                <c:pt idx="3">
                  <c:v>2010-11</c:v>
                </c:pt>
                <c:pt idx="4">
                  <c:v>2011-12</c:v>
                </c:pt>
                <c:pt idx="5">
                  <c:v>2012-13</c:v>
                </c:pt>
                <c:pt idx="6">
                  <c:v>2013-14</c:v>
                </c:pt>
                <c:pt idx="7">
                  <c:v>2014-15</c:v>
                </c:pt>
                <c:pt idx="8">
                  <c:v>2015-16</c:v>
                </c:pt>
                <c:pt idx="9">
                  <c:v>2016-17</c:v>
                </c:pt>
                <c:pt idx="10">
                  <c:v>2017-18</c:v>
                </c:pt>
                <c:pt idx="11">
                  <c:v>2018-19</c:v>
                </c:pt>
                <c:pt idx="12">
                  <c:v>2019-20</c:v>
                </c:pt>
                <c:pt idx="13">
                  <c:v>2020-21</c:v>
                </c:pt>
                <c:pt idx="14">
                  <c:v>2021-22</c:v>
                </c:pt>
                <c:pt idx="15">
                  <c:v>2022-23</c:v>
                </c:pt>
                <c:pt idx="16">
                  <c:v>2023-24</c:v>
                </c:pt>
              </c:strCache>
              <c:extLst/>
            </c:strRef>
          </c:cat>
          <c:val>
            <c:numRef>
              <c:f>'Employee Growth'!$H$21:$X$21</c:f>
              <c:numCache>
                <c:formatCode>0.0</c:formatCode>
                <c:ptCount val="17"/>
                <c:pt idx="0">
                  <c:v>6.4958678129328815</c:v>
                </c:pt>
                <c:pt idx="1">
                  <c:v>6.4958678129328815</c:v>
                </c:pt>
                <c:pt idx="2">
                  <c:v>6.4958678129328815</c:v>
                </c:pt>
                <c:pt idx="3">
                  <c:v>6.4958678129328815</c:v>
                </c:pt>
              </c:numCache>
              <c:extLst/>
            </c:numRef>
          </c:val>
          <c:smooth val="0"/>
          <c:extLst>
            <c:ext xmlns:c16="http://schemas.microsoft.com/office/drawing/2014/chart" uri="{C3380CC4-5D6E-409C-BE32-E72D297353CC}">
              <c16:uniqueId val="{00000001-050F-4AFE-A0CD-3A982F6378D7}"/>
            </c:ext>
          </c:extLst>
        </c:ser>
        <c:ser>
          <c:idx val="2"/>
          <c:order val="2"/>
          <c:tx>
            <c:strRef>
              <c:f>'Employee Growth'!$B$22</c:f>
              <c:strCache>
                <c:ptCount val="1"/>
                <c:pt idx="0">
                  <c:v>Average from 2011-12</c:v>
                </c:pt>
              </c:strCache>
            </c:strRef>
          </c:tx>
          <c:spPr>
            <a:ln w="25400">
              <a:solidFill>
                <a:srgbClr val="78B143"/>
              </a:solidFill>
            </a:ln>
          </c:spPr>
          <c:marker>
            <c:symbol val="none"/>
          </c:marker>
          <c:cat>
            <c:strRef>
              <c:f>'Employee Growth'!$H$17:$X$17</c:f>
              <c:strCache>
                <c:ptCount val="17"/>
                <c:pt idx="0">
                  <c:v>2007-08</c:v>
                </c:pt>
                <c:pt idx="1">
                  <c:v>2008-09</c:v>
                </c:pt>
                <c:pt idx="2">
                  <c:v>2009-10</c:v>
                </c:pt>
                <c:pt idx="3">
                  <c:v>2010-11</c:v>
                </c:pt>
                <c:pt idx="4">
                  <c:v>2011-12</c:v>
                </c:pt>
                <c:pt idx="5">
                  <c:v>2012-13</c:v>
                </c:pt>
                <c:pt idx="6">
                  <c:v>2013-14</c:v>
                </c:pt>
                <c:pt idx="7">
                  <c:v>2014-15</c:v>
                </c:pt>
                <c:pt idx="8">
                  <c:v>2015-16</c:v>
                </c:pt>
                <c:pt idx="9">
                  <c:v>2016-17</c:v>
                </c:pt>
                <c:pt idx="10">
                  <c:v>2017-18</c:v>
                </c:pt>
                <c:pt idx="11">
                  <c:v>2018-19</c:v>
                </c:pt>
                <c:pt idx="12">
                  <c:v>2019-20</c:v>
                </c:pt>
                <c:pt idx="13">
                  <c:v>2020-21</c:v>
                </c:pt>
                <c:pt idx="14">
                  <c:v>2021-22</c:v>
                </c:pt>
                <c:pt idx="15">
                  <c:v>2022-23</c:v>
                </c:pt>
                <c:pt idx="16">
                  <c:v>2023-24</c:v>
                </c:pt>
              </c:strCache>
              <c:extLst/>
            </c:strRef>
          </c:cat>
          <c:val>
            <c:numRef>
              <c:f>'Employee Growth'!$H$22:$X$22</c:f>
              <c:numCache>
                <c:formatCode>General</c:formatCode>
                <c:ptCount val="17"/>
                <c:pt idx="4" formatCode="0.0">
                  <c:v>3.9410630973692826</c:v>
                </c:pt>
                <c:pt idx="5" formatCode="0.0">
                  <c:v>3.9410630973692826</c:v>
                </c:pt>
                <c:pt idx="6" formatCode="0.0">
                  <c:v>3.9410630973692826</c:v>
                </c:pt>
                <c:pt idx="7" formatCode="0.0">
                  <c:v>3.9410630973692826</c:v>
                </c:pt>
                <c:pt idx="8" formatCode="0.0">
                  <c:v>3.9410630973692826</c:v>
                </c:pt>
                <c:pt idx="9" formatCode="0.0">
                  <c:v>3.9410630973692826</c:v>
                </c:pt>
                <c:pt idx="10" formatCode="0.0">
                  <c:v>3.9410630973692826</c:v>
                </c:pt>
                <c:pt idx="11" formatCode="0.0">
                  <c:v>3.9410630973692826</c:v>
                </c:pt>
                <c:pt idx="12" formatCode="0.0">
                  <c:v>3.9410630973692826</c:v>
                </c:pt>
                <c:pt idx="13" formatCode="0.0">
                  <c:v>3.9410630973692826</c:v>
                </c:pt>
                <c:pt idx="14" formatCode="0.0">
                  <c:v>3.9410630973692826</c:v>
                </c:pt>
                <c:pt idx="15" formatCode="0.0">
                  <c:v>3.9410630973692826</c:v>
                </c:pt>
                <c:pt idx="16" formatCode="0.0">
                  <c:v>3.9410630973692826</c:v>
                </c:pt>
              </c:numCache>
              <c:extLst/>
            </c:numRef>
          </c:val>
          <c:smooth val="0"/>
          <c:extLst>
            <c:ext xmlns:c16="http://schemas.microsoft.com/office/drawing/2014/chart" uri="{C3380CC4-5D6E-409C-BE32-E72D297353CC}">
              <c16:uniqueId val="{00000002-050F-4AFE-A0CD-3A982F6378D7}"/>
            </c:ext>
          </c:extLst>
        </c:ser>
        <c:dLbls>
          <c:showLegendKey val="0"/>
          <c:showVal val="0"/>
          <c:showCatName val="0"/>
          <c:showSerName val="0"/>
          <c:showPercent val="0"/>
          <c:showBubbleSize val="0"/>
        </c:dLbls>
        <c:smooth val="0"/>
        <c:axId val="242656000"/>
        <c:axId val="242657536"/>
      </c:lineChart>
      <c:catAx>
        <c:axId val="242656000"/>
        <c:scaling>
          <c:orientation val="minMax"/>
        </c:scaling>
        <c:delete val="0"/>
        <c:axPos val="b"/>
        <c:numFmt formatCode="General" sourceLinked="0"/>
        <c:majorTickMark val="out"/>
        <c:minorTickMark val="none"/>
        <c:tickLblPos val="nextTo"/>
        <c:spPr>
          <a:noFill/>
          <a:ln w="3175">
            <a:noFill/>
          </a:ln>
        </c:spPr>
        <c:txPr>
          <a:bodyPr rot="-3900000" vert="horz"/>
          <a:lstStyle/>
          <a:p>
            <a:pPr>
              <a:defRPr/>
            </a:pPr>
            <a:endParaRPr lang="en-US"/>
          </a:p>
        </c:txPr>
        <c:crossAx val="242657536"/>
        <c:crosses val="autoZero"/>
        <c:auto val="1"/>
        <c:lblAlgn val="ctr"/>
        <c:lblOffset val="100"/>
        <c:tickLblSkip val="1"/>
        <c:noMultiLvlLbl val="0"/>
      </c:catAx>
      <c:valAx>
        <c:axId val="242657536"/>
        <c:scaling>
          <c:orientation val="minMax"/>
        </c:scaling>
        <c:delete val="0"/>
        <c:axPos val="l"/>
        <c:majorGridlines>
          <c:spPr>
            <a:ln w="9525">
              <a:solidFill>
                <a:srgbClr val="DFDCDA"/>
              </a:solidFill>
              <a:prstDash val="solid"/>
            </a:ln>
          </c:spPr>
        </c:majorGridlines>
        <c:title>
          <c:tx>
            <c:rich>
              <a:bodyPr rot="-5400000" vert="horz"/>
              <a:lstStyle/>
              <a:p>
                <a:pPr>
                  <a:defRPr b="0"/>
                </a:pPr>
                <a:r>
                  <a:rPr lang="en-US" b="0"/>
                  <a:t>Per cent</a:t>
                </a:r>
              </a:p>
            </c:rich>
          </c:tx>
          <c:layout>
            <c:manualLayout>
              <c:xMode val="edge"/>
              <c:yMode val="edge"/>
              <c:x val="8.3566351591671962E-3"/>
              <c:y val="0.34639847468234675"/>
            </c:manualLayout>
          </c:layout>
          <c:overlay val="0"/>
        </c:title>
        <c:numFmt formatCode="#,##0" sourceLinked="0"/>
        <c:majorTickMark val="out"/>
        <c:minorTickMark val="none"/>
        <c:tickLblPos val="nextTo"/>
        <c:spPr>
          <a:noFill/>
          <a:ln w="3175">
            <a:noFill/>
          </a:ln>
        </c:spPr>
        <c:crossAx val="242656000"/>
        <c:crosses val="autoZero"/>
        <c:crossBetween val="between"/>
        <c:majorUnit val="2"/>
      </c:valAx>
      <c:spPr>
        <a:noFill/>
        <a:ln w="25400">
          <a:noFill/>
        </a:ln>
      </c:spPr>
    </c:plotArea>
    <c:legend>
      <c:legendPos val="b"/>
      <c:layout>
        <c:manualLayout>
          <c:xMode val="edge"/>
          <c:yMode val="edge"/>
          <c:x val="0.15219975534801811"/>
          <c:y val="0.91914506113565075"/>
          <c:w val="0.71029257754595077"/>
          <c:h val="5.8337010295494048E-2"/>
        </c:manualLayout>
      </c:layout>
      <c:overlay val="0"/>
      <c:spPr>
        <a:noFill/>
      </c:spPr>
    </c:legend>
    <c:plotVisOnly val="1"/>
    <c:dispBlanksAs val="gap"/>
    <c:showDLblsOverMax val="0"/>
  </c:chart>
  <c:spPr>
    <a:noFill/>
    <a:ln>
      <a:noFill/>
    </a:ln>
  </c:spPr>
  <c:txPr>
    <a:bodyPr/>
    <a:lstStyle/>
    <a:p>
      <a:pPr>
        <a:defRPr sz="700">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226433297145047"/>
          <c:y val="7.1895424836601302E-2"/>
          <c:w val="0.68875344830262231"/>
          <c:h val="0.76266893108949618"/>
        </c:manualLayout>
      </c:layout>
      <c:barChart>
        <c:barDir val="bar"/>
        <c:grouping val="clustered"/>
        <c:varyColors val="0"/>
        <c:ser>
          <c:idx val="0"/>
          <c:order val="0"/>
          <c:invertIfNegative val="0"/>
          <c:dPt>
            <c:idx val="0"/>
            <c:invertIfNegative val="0"/>
            <c:bubble3D val="0"/>
            <c:spPr>
              <a:solidFill>
                <a:srgbClr val="008EBA"/>
              </a:solidFill>
            </c:spPr>
            <c:extLst>
              <c:ext xmlns:c16="http://schemas.microsoft.com/office/drawing/2014/chart" uri="{C3380CC4-5D6E-409C-BE32-E72D297353CC}">
                <c16:uniqueId val="{00000001-FDB3-48E7-9FD3-EEBDF2EC5596}"/>
              </c:ext>
            </c:extLst>
          </c:dPt>
          <c:dPt>
            <c:idx val="1"/>
            <c:invertIfNegative val="0"/>
            <c:bubble3D val="0"/>
            <c:spPr>
              <a:solidFill>
                <a:srgbClr val="9ACA3C"/>
              </a:solidFill>
            </c:spPr>
            <c:extLst>
              <c:ext xmlns:c16="http://schemas.microsoft.com/office/drawing/2014/chart" uri="{C3380CC4-5D6E-409C-BE32-E72D297353CC}">
                <c16:uniqueId val="{00000003-FDB3-48E7-9FD3-EEBDF2EC5596}"/>
              </c:ext>
            </c:extLst>
          </c:dPt>
          <c:dPt>
            <c:idx val="2"/>
            <c:invertIfNegative val="0"/>
            <c:bubble3D val="0"/>
            <c:spPr>
              <a:solidFill>
                <a:srgbClr val="A50776"/>
              </a:solidFill>
            </c:spPr>
            <c:extLst>
              <c:ext xmlns:c16="http://schemas.microsoft.com/office/drawing/2014/chart" uri="{C3380CC4-5D6E-409C-BE32-E72D297353CC}">
                <c16:uniqueId val="{00000005-FDB3-48E7-9FD3-EEBDF2EC5596}"/>
              </c:ext>
            </c:extLst>
          </c:dPt>
          <c:dPt>
            <c:idx val="3"/>
            <c:invertIfNegative val="0"/>
            <c:bubble3D val="0"/>
            <c:spPr>
              <a:solidFill>
                <a:srgbClr val="00426F"/>
              </a:solidFill>
            </c:spPr>
            <c:extLst>
              <c:ext xmlns:c16="http://schemas.microsoft.com/office/drawing/2014/chart" uri="{C3380CC4-5D6E-409C-BE32-E72D297353CC}">
                <c16:uniqueId val="{00000007-FDB3-48E7-9FD3-EEBDF2EC5596}"/>
              </c:ext>
            </c:extLst>
          </c:dPt>
          <c:dPt>
            <c:idx val="4"/>
            <c:invertIfNegative val="0"/>
            <c:bubble3D val="0"/>
            <c:spPr>
              <a:solidFill>
                <a:srgbClr val="009484"/>
              </a:solidFill>
            </c:spPr>
            <c:extLst>
              <c:ext xmlns:c16="http://schemas.microsoft.com/office/drawing/2014/chart" uri="{C3380CC4-5D6E-409C-BE32-E72D297353CC}">
                <c16:uniqueId val="{00000009-FDB3-48E7-9FD3-EEBDF2EC5596}"/>
              </c:ext>
            </c:extLst>
          </c:dPt>
          <c:dPt>
            <c:idx val="7"/>
            <c:invertIfNegative val="0"/>
            <c:bubble3D val="0"/>
            <c:spPr>
              <a:solidFill>
                <a:srgbClr val="95C11F"/>
              </a:solidFill>
            </c:spPr>
            <c:extLst>
              <c:ext xmlns:c16="http://schemas.microsoft.com/office/drawing/2014/chart" uri="{C3380CC4-5D6E-409C-BE32-E72D297353CC}">
                <c16:uniqueId val="{0000000B-FDB3-48E7-9FD3-EEBDF2EC5596}"/>
              </c:ext>
            </c:extLst>
          </c:dPt>
          <c:cat>
            <c:strRef>
              <c:f>'Grants and Subsidies'!$D$64:$D$68</c:f>
              <c:strCache>
                <c:ptCount val="5"/>
                <c:pt idx="0">
                  <c:v>Commonwealth Government</c:v>
                </c:pt>
                <c:pt idx="1">
                  <c:v>NSW local government</c:v>
                </c:pt>
                <c:pt idx="2">
                  <c:v>NSW public non-financial corporations</c:v>
                </c:pt>
                <c:pt idx="3">
                  <c:v>Other private sector parties</c:v>
                </c:pt>
                <c:pt idx="4">
                  <c:v>Other grants and transfers</c:v>
                </c:pt>
              </c:strCache>
            </c:strRef>
          </c:cat>
          <c:val>
            <c:numRef>
              <c:f>'Grants and Subsidies'!$H$64:$H$68</c:f>
              <c:numCache>
                <c:formatCode>#,##0;\(#,##0\);...</c:formatCode>
                <c:ptCount val="5"/>
                <c:pt idx="0">
                  <c:v>3.2132200829999999</c:v>
                </c:pt>
                <c:pt idx="1">
                  <c:v>3.0178647439300001</c:v>
                </c:pt>
                <c:pt idx="2">
                  <c:v>3.7191970516299997</c:v>
                </c:pt>
                <c:pt idx="3">
                  <c:v>9.1866939833399996</c:v>
                </c:pt>
                <c:pt idx="4">
                  <c:v>3.6060915272799967</c:v>
                </c:pt>
              </c:numCache>
            </c:numRef>
          </c:val>
          <c:extLst>
            <c:ext xmlns:c16="http://schemas.microsoft.com/office/drawing/2014/chart" uri="{C3380CC4-5D6E-409C-BE32-E72D297353CC}">
              <c16:uniqueId val="{0000000C-FDB3-48E7-9FD3-EEBDF2EC5596}"/>
            </c:ext>
          </c:extLst>
        </c:ser>
        <c:dLbls>
          <c:showLegendKey val="0"/>
          <c:showVal val="0"/>
          <c:showCatName val="0"/>
          <c:showSerName val="0"/>
          <c:showPercent val="0"/>
          <c:showBubbleSize val="0"/>
        </c:dLbls>
        <c:gapWidth val="100"/>
        <c:axId val="1767876720"/>
        <c:axId val="1767868520"/>
      </c:barChart>
      <c:valAx>
        <c:axId val="1767868520"/>
        <c:scaling>
          <c:orientation val="minMax"/>
        </c:scaling>
        <c:delete val="0"/>
        <c:axPos val="b"/>
        <c:title>
          <c:tx>
            <c:rich>
              <a:bodyPr/>
              <a:lstStyle/>
              <a:p>
                <a:pPr>
                  <a:defRPr b="0"/>
                </a:pPr>
                <a:r>
                  <a:rPr lang="en-AU" b="0"/>
                  <a:t>$ billions</a:t>
                </a:r>
              </a:p>
            </c:rich>
          </c:tx>
          <c:overlay val="0"/>
        </c:title>
        <c:numFmt formatCode="#,##0.0" sourceLinked="0"/>
        <c:majorTickMark val="out"/>
        <c:minorTickMark val="none"/>
        <c:tickLblPos val="nextTo"/>
        <c:crossAx val="1767876720"/>
        <c:crosses val="autoZero"/>
        <c:crossBetween val="between"/>
      </c:valAx>
      <c:catAx>
        <c:axId val="1767876720"/>
        <c:scaling>
          <c:orientation val="minMax"/>
        </c:scaling>
        <c:delete val="0"/>
        <c:axPos val="l"/>
        <c:numFmt formatCode="General" sourceLinked="1"/>
        <c:majorTickMark val="out"/>
        <c:minorTickMark val="none"/>
        <c:tickLblPos val="nextTo"/>
        <c:crossAx val="1767868520"/>
        <c:crosses val="autoZero"/>
        <c:auto val="1"/>
        <c:lblAlgn val="ctr"/>
        <c:lblOffset val="100"/>
        <c:noMultiLvlLbl val="0"/>
      </c:catAx>
    </c:plotArea>
    <c:plotVisOnly val="1"/>
    <c:dispBlanksAs val="gap"/>
    <c:showDLblsOverMax val="0"/>
  </c:chart>
  <c:spPr>
    <a:noFill/>
    <a:ln>
      <a:noFill/>
    </a:ln>
  </c:spPr>
  <c:txPr>
    <a:bodyPr/>
    <a:lstStyle/>
    <a:p>
      <a:pPr>
        <a:defRPr sz="700">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177005773200868E-2"/>
          <c:y val="4.9346259523877507E-2"/>
          <c:w val="0.89701506937801001"/>
          <c:h val="0.76069920471460062"/>
        </c:manualLayout>
      </c:layout>
      <c:barChart>
        <c:barDir val="col"/>
        <c:grouping val="stacked"/>
        <c:varyColors val="0"/>
        <c:ser>
          <c:idx val="0"/>
          <c:order val="0"/>
          <c:tx>
            <c:v>General Government Capital Expenditure</c:v>
          </c:tx>
          <c:spPr>
            <a:solidFill>
              <a:srgbClr val="00426F"/>
            </a:solidFill>
            <a:ln>
              <a:noFill/>
            </a:ln>
          </c:spPr>
          <c:invertIfNegative val="0"/>
          <c:dPt>
            <c:idx val="20"/>
            <c:invertIfNegative val="0"/>
            <c:bubble3D val="0"/>
            <c:spPr>
              <a:solidFill>
                <a:srgbClr val="008EBA"/>
              </a:solidFill>
              <a:ln>
                <a:noFill/>
              </a:ln>
            </c:spPr>
            <c:extLst>
              <c:ext xmlns:c16="http://schemas.microsoft.com/office/drawing/2014/chart" uri="{C3380CC4-5D6E-409C-BE32-E72D297353CC}">
                <c16:uniqueId val="{00000001-A59B-43AE-83F0-28BB72B55BFE}"/>
              </c:ext>
            </c:extLst>
          </c:dPt>
          <c:dPt>
            <c:idx val="21"/>
            <c:invertIfNegative val="0"/>
            <c:bubble3D val="0"/>
            <c:spPr>
              <a:solidFill>
                <a:srgbClr val="008EBA"/>
              </a:solidFill>
              <a:ln>
                <a:noFill/>
              </a:ln>
            </c:spPr>
            <c:extLst>
              <c:ext xmlns:c16="http://schemas.microsoft.com/office/drawing/2014/chart" uri="{C3380CC4-5D6E-409C-BE32-E72D297353CC}">
                <c16:uniqueId val="{00000003-A59B-43AE-83F0-28BB72B55BFE}"/>
              </c:ext>
            </c:extLst>
          </c:dPt>
          <c:dPt>
            <c:idx val="22"/>
            <c:invertIfNegative val="0"/>
            <c:bubble3D val="0"/>
            <c:spPr>
              <a:solidFill>
                <a:srgbClr val="008EBA"/>
              </a:solidFill>
              <a:ln>
                <a:noFill/>
              </a:ln>
            </c:spPr>
            <c:extLst>
              <c:ext xmlns:c16="http://schemas.microsoft.com/office/drawing/2014/chart" uri="{C3380CC4-5D6E-409C-BE32-E72D297353CC}">
                <c16:uniqueId val="{00000005-A59B-43AE-83F0-28BB72B55BFE}"/>
              </c:ext>
            </c:extLst>
          </c:dPt>
          <c:dPt>
            <c:idx val="23"/>
            <c:invertIfNegative val="0"/>
            <c:bubble3D val="0"/>
            <c:spPr>
              <a:solidFill>
                <a:srgbClr val="008EBA"/>
              </a:solidFill>
              <a:ln>
                <a:noFill/>
              </a:ln>
            </c:spPr>
            <c:extLst>
              <c:ext xmlns:c16="http://schemas.microsoft.com/office/drawing/2014/chart" uri="{C3380CC4-5D6E-409C-BE32-E72D297353CC}">
                <c16:uniqueId val="{00000007-A59B-43AE-83F0-28BB72B55BFE}"/>
              </c:ext>
            </c:extLst>
          </c:dPt>
          <c:cat>
            <c:strRef>
              <c:f>'New chart for BP1 (20yr capex)'!$C$24:$Z$24</c:f>
              <c:strCache>
                <c:ptCount val="24"/>
                <c:pt idx="0">
                  <c:v>2000-01</c:v>
                </c:pt>
                <c:pt idx="1">
                  <c:v>2001-02</c:v>
                </c:pt>
                <c:pt idx="2">
                  <c:v>2002-03</c:v>
                </c:pt>
                <c:pt idx="3">
                  <c:v>2003-04</c:v>
                </c:pt>
                <c:pt idx="4">
                  <c:v>2004-05</c:v>
                </c:pt>
                <c:pt idx="5">
                  <c:v>2005-06</c:v>
                </c:pt>
                <c:pt idx="6">
                  <c:v>2006-07</c:v>
                </c:pt>
                <c:pt idx="7">
                  <c:v>2007-08</c:v>
                </c:pt>
                <c:pt idx="8">
                  <c:v>2008-09</c:v>
                </c:pt>
                <c:pt idx="9">
                  <c:v>2009-10</c:v>
                </c:pt>
                <c:pt idx="10">
                  <c:v>2010-11</c:v>
                </c:pt>
                <c:pt idx="11">
                  <c:v>2011-12</c:v>
                </c:pt>
                <c:pt idx="12">
                  <c:v>2012-13</c:v>
                </c:pt>
                <c:pt idx="13">
                  <c:v>2013-14</c:v>
                </c:pt>
                <c:pt idx="14">
                  <c:v>2014-15</c:v>
                </c:pt>
                <c:pt idx="15">
                  <c:v>2015-16</c:v>
                </c:pt>
                <c:pt idx="16">
                  <c:v>2016-17</c:v>
                </c:pt>
                <c:pt idx="17">
                  <c:v>2017-18</c:v>
                </c:pt>
                <c:pt idx="18">
                  <c:v>2018-19</c:v>
                </c:pt>
                <c:pt idx="19">
                  <c:v>2019-20</c:v>
                </c:pt>
                <c:pt idx="20">
                  <c:v>2020-21</c:v>
                </c:pt>
                <c:pt idx="21">
                  <c:v>2021-22</c:v>
                </c:pt>
                <c:pt idx="22">
                  <c:v>2022-23</c:v>
                </c:pt>
                <c:pt idx="23">
                  <c:v>2023-24</c:v>
                </c:pt>
              </c:strCache>
            </c:strRef>
          </c:cat>
          <c:val>
            <c:numRef>
              <c:f>'New chart for BP1 (20yr capex)'!$C$25:$Z$25</c:f>
              <c:numCache>
                <c:formatCode>0</c:formatCode>
                <c:ptCount val="24"/>
                <c:pt idx="0">
                  <c:v>2859</c:v>
                </c:pt>
                <c:pt idx="1">
                  <c:v>3102</c:v>
                </c:pt>
                <c:pt idx="2">
                  <c:v>3349</c:v>
                </c:pt>
                <c:pt idx="3">
                  <c:v>3332</c:v>
                </c:pt>
                <c:pt idx="4">
                  <c:v>3343</c:v>
                </c:pt>
                <c:pt idx="5">
                  <c:v>3949.279</c:v>
                </c:pt>
                <c:pt idx="6">
                  <c:v>4295.4830000000002</c:v>
                </c:pt>
                <c:pt idx="7">
                  <c:v>4688.62</c:v>
                </c:pt>
                <c:pt idx="8">
                  <c:v>5264.0559999999996</c:v>
                </c:pt>
                <c:pt idx="9">
                  <c:v>7285.6120000000001</c:v>
                </c:pt>
                <c:pt idx="10">
                  <c:v>7046.2259999999997</c:v>
                </c:pt>
                <c:pt idx="11">
                  <c:v>5880.8320000000003</c:v>
                </c:pt>
                <c:pt idx="12">
                  <c:v>7872.6220000000003</c:v>
                </c:pt>
                <c:pt idx="13">
                  <c:v>8545.9950000000008</c:v>
                </c:pt>
                <c:pt idx="14">
                  <c:v>9483.5220000000008</c:v>
                </c:pt>
                <c:pt idx="15">
                  <c:v>9351.3639987299994</c:v>
                </c:pt>
                <c:pt idx="16">
                  <c:v>10546.352999999999</c:v>
                </c:pt>
                <c:pt idx="17">
                  <c:v>12121.065581140007</c:v>
                </c:pt>
                <c:pt idx="18">
                  <c:v>16622.816443531603</c:v>
                </c:pt>
                <c:pt idx="19">
                  <c:v>20985.111912620625</c:v>
                </c:pt>
                <c:pt idx="20">
                  <c:v>22644.272616248199</c:v>
                </c:pt>
                <c:pt idx="21">
                  <c:v>22930.054724466798</c:v>
                </c:pt>
                <c:pt idx="22">
                  <c:v>20131.496706898201</c:v>
                </c:pt>
                <c:pt idx="23">
                  <c:v>18522.525682688498</c:v>
                </c:pt>
              </c:numCache>
            </c:numRef>
          </c:val>
          <c:extLst>
            <c:ext xmlns:c16="http://schemas.microsoft.com/office/drawing/2014/chart" uri="{C3380CC4-5D6E-409C-BE32-E72D297353CC}">
              <c16:uniqueId val="{00000008-A59B-43AE-83F0-28BB72B55BFE}"/>
            </c:ext>
          </c:extLst>
        </c:ser>
        <c:dLbls>
          <c:showLegendKey val="0"/>
          <c:showVal val="0"/>
          <c:showCatName val="0"/>
          <c:showSerName val="0"/>
          <c:showPercent val="0"/>
          <c:showBubbleSize val="0"/>
        </c:dLbls>
        <c:gapWidth val="150"/>
        <c:overlap val="100"/>
        <c:axId val="693073408"/>
        <c:axId val="693074944"/>
      </c:barChart>
      <c:lineChart>
        <c:grouping val="standard"/>
        <c:varyColors val="0"/>
        <c:ser>
          <c:idx val="1"/>
          <c:order val="1"/>
          <c:tx>
            <c:strRef>
              <c:f>'New chart for BP1 (20yr capex)'!$B$28</c:f>
              <c:strCache>
                <c:ptCount val="1"/>
                <c:pt idx="0">
                  <c:v>over 4 years to FY04</c:v>
                </c:pt>
              </c:strCache>
            </c:strRef>
          </c:tx>
          <c:spPr>
            <a:ln>
              <a:solidFill>
                <a:schemeClr val="tx1"/>
              </a:solidFill>
              <a:prstDash val="sysDash"/>
            </a:ln>
          </c:spPr>
          <c:marker>
            <c:symbol val="none"/>
          </c:marker>
          <c:cat>
            <c:strRef>
              <c:f>'New chart for BP1 (20yr capex)'!$W$24:$Z$24</c:f>
              <c:strCache>
                <c:ptCount val="4"/>
                <c:pt idx="0">
                  <c:v>2020-21</c:v>
                </c:pt>
                <c:pt idx="1">
                  <c:v>2021-22</c:v>
                </c:pt>
                <c:pt idx="2">
                  <c:v>2022-23</c:v>
                </c:pt>
                <c:pt idx="3">
                  <c:v>2023-24</c:v>
                </c:pt>
              </c:strCache>
            </c:strRef>
          </c:cat>
          <c:val>
            <c:numRef>
              <c:f>'New chart for BP1 (20yr capex)'!$C$28:$F$28</c:f>
              <c:numCache>
                <c:formatCode>#,##0</c:formatCode>
                <c:ptCount val="4"/>
                <c:pt idx="0">
                  <c:v>4004.5</c:v>
                </c:pt>
                <c:pt idx="1">
                  <c:v>4004.5</c:v>
                </c:pt>
                <c:pt idx="2">
                  <c:v>4004.5</c:v>
                </c:pt>
                <c:pt idx="3">
                  <c:v>4004.5</c:v>
                </c:pt>
              </c:numCache>
            </c:numRef>
          </c:val>
          <c:smooth val="0"/>
          <c:extLst>
            <c:ext xmlns:c16="http://schemas.microsoft.com/office/drawing/2014/chart" uri="{C3380CC4-5D6E-409C-BE32-E72D297353CC}">
              <c16:uniqueId val="{00000009-A59B-43AE-83F0-28BB72B55BFE}"/>
            </c:ext>
          </c:extLst>
        </c:ser>
        <c:ser>
          <c:idx val="3"/>
          <c:order val="2"/>
          <c:tx>
            <c:strRef>
              <c:f>'New chart for BP1 (20yr capex)'!$B$30</c:f>
              <c:strCache>
                <c:ptCount val="1"/>
                <c:pt idx="0">
                  <c:v>over 4 years to FY12</c:v>
                </c:pt>
              </c:strCache>
            </c:strRef>
          </c:tx>
          <c:spPr>
            <a:ln>
              <a:solidFill>
                <a:schemeClr val="tx1"/>
              </a:solidFill>
              <a:prstDash val="sysDash"/>
            </a:ln>
          </c:spPr>
          <c:marker>
            <c:symbol val="none"/>
          </c:marker>
          <c:dPt>
            <c:idx val="8"/>
            <c:bubble3D val="0"/>
            <c:extLst>
              <c:ext xmlns:c16="http://schemas.microsoft.com/office/drawing/2014/chart" uri="{C3380CC4-5D6E-409C-BE32-E72D297353CC}">
                <c16:uniqueId val="{0000000B-A59B-43AE-83F0-28BB72B55BFE}"/>
              </c:ext>
            </c:extLst>
          </c:dPt>
          <c:dPt>
            <c:idx val="9"/>
            <c:bubble3D val="0"/>
            <c:extLst>
              <c:ext xmlns:c16="http://schemas.microsoft.com/office/drawing/2014/chart" uri="{C3380CC4-5D6E-409C-BE32-E72D297353CC}">
                <c16:uniqueId val="{0000000D-A59B-43AE-83F0-28BB72B55BFE}"/>
              </c:ext>
            </c:extLst>
          </c:dPt>
          <c:dPt>
            <c:idx val="10"/>
            <c:bubble3D val="0"/>
            <c:extLst>
              <c:ext xmlns:c16="http://schemas.microsoft.com/office/drawing/2014/chart" uri="{C3380CC4-5D6E-409C-BE32-E72D297353CC}">
                <c16:uniqueId val="{0000000F-A59B-43AE-83F0-28BB72B55BFE}"/>
              </c:ext>
            </c:extLst>
          </c:dPt>
          <c:dPt>
            <c:idx val="11"/>
            <c:bubble3D val="0"/>
            <c:extLst>
              <c:ext xmlns:c16="http://schemas.microsoft.com/office/drawing/2014/chart" uri="{C3380CC4-5D6E-409C-BE32-E72D297353CC}">
                <c16:uniqueId val="{00000011-A59B-43AE-83F0-28BB72B55BFE}"/>
              </c:ext>
            </c:extLst>
          </c:dPt>
          <c:cat>
            <c:strRef>
              <c:f>'New chart for BP1 (20yr capex)'!$W$24:$Z$24</c:f>
              <c:strCache>
                <c:ptCount val="4"/>
                <c:pt idx="0">
                  <c:v>2020-21</c:v>
                </c:pt>
                <c:pt idx="1">
                  <c:v>2021-22</c:v>
                </c:pt>
                <c:pt idx="2">
                  <c:v>2022-23</c:v>
                </c:pt>
                <c:pt idx="3">
                  <c:v>2023-24</c:v>
                </c:pt>
              </c:strCache>
            </c:strRef>
          </c:cat>
          <c:val>
            <c:numRef>
              <c:f>'New chart for BP1 (20yr capex)'!$C$30:$R$30</c:f>
              <c:numCache>
                <c:formatCode>General</c:formatCode>
                <c:ptCount val="16"/>
                <c:pt idx="8" formatCode="#,##0">
                  <c:v>6369.1815000000006</c:v>
                </c:pt>
                <c:pt idx="9" formatCode="#,##0">
                  <c:v>6369.1815000000006</c:v>
                </c:pt>
                <c:pt idx="10" formatCode="#,##0">
                  <c:v>6369.1815000000006</c:v>
                </c:pt>
                <c:pt idx="11" formatCode="#,##0">
                  <c:v>6369.1815000000006</c:v>
                </c:pt>
              </c:numCache>
            </c:numRef>
          </c:val>
          <c:smooth val="0"/>
          <c:extLst>
            <c:ext xmlns:c16="http://schemas.microsoft.com/office/drawing/2014/chart" uri="{C3380CC4-5D6E-409C-BE32-E72D297353CC}">
              <c16:uniqueId val="{00000012-A59B-43AE-83F0-28BB72B55BFE}"/>
            </c:ext>
          </c:extLst>
        </c:ser>
        <c:ser>
          <c:idx val="2"/>
          <c:order val="3"/>
          <c:tx>
            <c:strRef>
              <c:f>'New chart for BP1 (20yr capex)'!$B$29</c:f>
              <c:strCache>
                <c:ptCount val="1"/>
                <c:pt idx="0">
                  <c:v>over 4 years to FY08</c:v>
                </c:pt>
              </c:strCache>
            </c:strRef>
          </c:tx>
          <c:spPr>
            <a:ln>
              <a:solidFill>
                <a:schemeClr val="tx1"/>
              </a:solidFill>
              <a:prstDash val="sysDash"/>
            </a:ln>
          </c:spPr>
          <c:marker>
            <c:symbol val="none"/>
          </c:marker>
          <c:cat>
            <c:strRef>
              <c:f>'New chart for BP1 (20yr capex)'!$W$24:$Z$24</c:f>
              <c:strCache>
                <c:ptCount val="4"/>
                <c:pt idx="0">
                  <c:v>2020-21</c:v>
                </c:pt>
                <c:pt idx="1">
                  <c:v>2021-22</c:v>
                </c:pt>
                <c:pt idx="2">
                  <c:v>2022-23</c:v>
                </c:pt>
                <c:pt idx="3">
                  <c:v>2023-24</c:v>
                </c:pt>
              </c:strCache>
            </c:strRef>
          </c:cat>
          <c:val>
            <c:numRef>
              <c:f>'New chart for BP1 (20yr capex)'!$C$29:$J$29</c:f>
              <c:numCache>
                <c:formatCode>General</c:formatCode>
                <c:ptCount val="8"/>
                <c:pt idx="4" formatCode="#,##0">
                  <c:v>4069.0955000000004</c:v>
                </c:pt>
                <c:pt idx="5" formatCode="#,##0">
                  <c:v>4069.0955000000004</c:v>
                </c:pt>
                <c:pt idx="6" formatCode="#,##0">
                  <c:v>4069.0955000000004</c:v>
                </c:pt>
                <c:pt idx="7" formatCode="#,##0">
                  <c:v>4069.0955000000004</c:v>
                </c:pt>
              </c:numCache>
            </c:numRef>
          </c:val>
          <c:smooth val="0"/>
          <c:extLst>
            <c:ext xmlns:c16="http://schemas.microsoft.com/office/drawing/2014/chart" uri="{C3380CC4-5D6E-409C-BE32-E72D297353CC}">
              <c16:uniqueId val="{00000013-A59B-43AE-83F0-28BB72B55BFE}"/>
            </c:ext>
          </c:extLst>
        </c:ser>
        <c:ser>
          <c:idx val="4"/>
          <c:order val="4"/>
          <c:tx>
            <c:strRef>
              <c:f>'New chart for BP1 (20yr capex)'!$B$31</c:f>
              <c:strCache>
                <c:ptCount val="1"/>
                <c:pt idx="0">
                  <c:v>over 4 years to FY16</c:v>
                </c:pt>
              </c:strCache>
            </c:strRef>
          </c:tx>
          <c:spPr>
            <a:ln>
              <a:solidFill>
                <a:schemeClr val="tx1"/>
              </a:solidFill>
              <a:prstDash val="sysDash"/>
            </a:ln>
          </c:spPr>
          <c:marker>
            <c:symbol val="none"/>
          </c:marker>
          <c:cat>
            <c:strRef>
              <c:f>'New chart for BP1 (20yr capex)'!$W$24:$Z$24</c:f>
              <c:strCache>
                <c:ptCount val="4"/>
                <c:pt idx="0">
                  <c:v>2020-21</c:v>
                </c:pt>
                <c:pt idx="1">
                  <c:v>2021-22</c:v>
                </c:pt>
                <c:pt idx="2">
                  <c:v>2022-23</c:v>
                </c:pt>
                <c:pt idx="3">
                  <c:v>2023-24</c:v>
                </c:pt>
              </c:strCache>
            </c:strRef>
          </c:cat>
          <c:val>
            <c:numRef>
              <c:f>'New chart for BP1 (20yr capex)'!$C$31:$R$31</c:f>
              <c:numCache>
                <c:formatCode>General</c:formatCode>
                <c:ptCount val="16"/>
                <c:pt idx="12" formatCode="_(* #,##0_);_(* \(#,##0\);_(* &quot;-&quot;_);_(@_)">
                  <c:v>8813.3757496825001</c:v>
                </c:pt>
                <c:pt idx="13" formatCode="_(* #,##0_);_(* \(#,##0\);_(* &quot;-&quot;_);_(@_)">
                  <c:v>8813.3757496825001</c:v>
                </c:pt>
                <c:pt idx="14" formatCode="_(* #,##0_);_(* \(#,##0\);_(* &quot;-&quot;_);_(@_)">
                  <c:v>8813.3757496825001</c:v>
                </c:pt>
                <c:pt idx="15" formatCode="_(* #,##0_);_(* \(#,##0\);_(* &quot;-&quot;_);_(@_)">
                  <c:v>8813.3757496825001</c:v>
                </c:pt>
              </c:numCache>
            </c:numRef>
          </c:val>
          <c:smooth val="0"/>
          <c:extLst>
            <c:ext xmlns:c16="http://schemas.microsoft.com/office/drawing/2014/chart" uri="{C3380CC4-5D6E-409C-BE32-E72D297353CC}">
              <c16:uniqueId val="{00000014-A59B-43AE-83F0-28BB72B55BFE}"/>
            </c:ext>
          </c:extLst>
        </c:ser>
        <c:ser>
          <c:idx val="5"/>
          <c:order val="5"/>
          <c:tx>
            <c:strRef>
              <c:f>'New chart for BP1 (20yr capex)'!$B$32</c:f>
              <c:strCache>
                <c:ptCount val="1"/>
                <c:pt idx="0">
                  <c:v>over 4 years to FY20</c:v>
                </c:pt>
              </c:strCache>
            </c:strRef>
          </c:tx>
          <c:spPr>
            <a:ln>
              <a:solidFill>
                <a:schemeClr val="tx1"/>
              </a:solidFill>
              <a:prstDash val="sysDash"/>
            </a:ln>
          </c:spPr>
          <c:marker>
            <c:symbol val="none"/>
          </c:marker>
          <c:cat>
            <c:strRef>
              <c:f>'New chart for BP1 (20yr capex)'!$W$24:$Z$24</c:f>
              <c:strCache>
                <c:ptCount val="4"/>
                <c:pt idx="0">
                  <c:v>2020-21</c:v>
                </c:pt>
                <c:pt idx="1">
                  <c:v>2021-22</c:v>
                </c:pt>
                <c:pt idx="2">
                  <c:v>2022-23</c:v>
                </c:pt>
                <c:pt idx="3">
                  <c:v>2023-24</c:v>
                </c:pt>
              </c:strCache>
            </c:strRef>
          </c:cat>
          <c:val>
            <c:numRef>
              <c:f>'New chart for BP1 (20yr capex)'!$C$32:$V$32</c:f>
              <c:numCache>
                <c:formatCode>General</c:formatCode>
                <c:ptCount val="20"/>
                <c:pt idx="16" formatCode="_(* #,##0_);_(* \(#,##0\);_(* &quot;-&quot;_);_(@_)">
                  <c:v>15068.836734323058</c:v>
                </c:pt>
                <c:pt idx="17" formatCode="_(* #,##0_);_(* \(#,##0\);_(* &quot;-&quot;_);_(@_)">
                  <c:v>15068.836734323058</c:v>
                </c:pt>
                <c:pt idx="18" formatCode="_(* #,##0_);_(* \(#,##0\);_(* &quot;-&quot;_);_(@_)">
                  <c:v>15068.836734323058</c:v>
                </c:pt>
                <c:pt idx="19" formatCode="_(* #,##0_);_(* \(#,##0\);_(* &quot;-&quot;_);_(@_)">
                  <c:v>15068.836734323058</c:v>
                </c:pt>
              </c:numCache>
            </c:numRef>
          </c:val>
          <c:smooth val="0"/>
          <c:extLst>
            <c:ext xmlns:c16="http://schemas.microsoft.com/office/drawing/2014/chart" uri="{C3380CC4-5D6E-409C-BE32-E72D297353CC}">
              <c16:uniqueId val="{00000015-A59B-43AE-83F0-28BB72B55BFE}"/>
            </c:ext>
          </c:extLst>
        </c:ser>
        <c:ser>
          <c:idx val="6"/>
          <c:order val="6"/>
          <c:tx>
            <c:strRef>
              <c:f>'New chart for BP1 (20yr capex)'!$B$33</c:f>
              <c:strCache>
                <c:ptCount val="1"/>
                <c:pt idx="0">
                  <c:v>over 4 years to FY24</c:v>
                </c:pt>
              </c:strCache>
            </c:strRef>
          </c:tx>
          <c:spPr>
            <a:ln>
              <a:solidFill>
                <a:schemeClr val="tx1"/>
              </a:solidFill>
              <a:prstDash val="sysDash"/>
            </a:ln>
          </c:spPr>
          <c:marker>
            <c:symbol val="none"/>
          </c:marker>
          <c:cat>
            <c:strRef>
              <c:f>'New chart for BP1 (20yr capex)'!$W$24:$Z$24</c:f>
              <c:strCache>
                <c:ptCount val="4"/>
                <c:pt idx="0">
                  <c:v>2020-21</c:v>
                </c:pt>
                <c:pt idx="1">
                  <c:v>2021-22</c:v>
                </c:pt>
                <c:pt idx="2">
                  <c:v>2022-23</c:v>
                </c:pt>
                <c:pt idx="3">
                  <c:v>2023-24</c:v>
                </c:pt>
              </c:strCache>
            </c:strRef>
          </c:cat>
          <c:val>
            <c:numRef>
              <c:f>'New chart for BP1 (20yr capex)'!$C$33:$Z$33</c:f>
              <c:numCache>
                <c:formatCode>General</c:formatCode>
                <c:ptCount val="24"/>
                <c:pt idx="20" formatCode="_(* #,##0_);_(* \(#,##0\);_(* &quot;-&quot;_);_(@_)">
                  <c:v>21057.087432575423</c:v>
                </c:pt>
                <c:pt idx="21" formatCode="_(* #,##0_);_(* \(#,##0\);_(* &quot;-&quot;_);_(@_)">
                  <c:v>21057.087432575423</c:v>
                </c:pt>
                <c:pt idx="22" formatCode="_(* #,##0_);_(* \(#,##0\);_(* &quot;-&quot;_);_(@_)">
                  <c:v>21057.087432575423</c:v>
                </c:pt>
                <c:pt idx="23" formatCode="_(* #,##0_);_(* \(#,##0\);_(* &quot;-&quot;_);_(@_)">
                  <c:v>21057.087432575423</c:v>
                </c:pt>
              </c:numCache>
            </c:numRef>
          </c:val>
          <c:smooth val="0"/>
          <c:extLst>
            <c:ext xmlns:c16="http://schemas.microsoft.com/office/drawing/2014/chart" uri="{C3380CC4-5D6E-409C-BE32-E72D297353CC}">
              <c16:uniqueId val="{00000016-A59B-43AE-83F0-28BB72B55BFE}"/>
            </c:ext>
          </c:extLst>
        </c:ser>
        <c:dLbls>
          <c:showLegendKey val="0"/>
          <c:showVal val="0"/>
          <c:showCatName val="0"/>
          <c:showSerName val="0"/>
          <c:showPercent val="0"/>
          <c:showBubbleSize val="0"/>
        </c:dLbls>
        <c:marker val="1"/>
        <c:smooth val="0"/>
        <c:axId val="693073408"/>
        <c:axId val="693074944"/>
      </c:lineChart>
      <c:catAx>
        <c:axId val="693073408"/>
        <c:scaling>
          <c:orientation val="minMax"/>
        </c:scaling>
        <c:delete val="0"/>
        <c:axPos val="b"/>
        <c:numFmt formatCode="General" sourceLinked="0"/>
        <c:majorTickMark val="out"/>
        <c:minorTickMark val="none"/>
        <c:tickLblPos val="nextTo"/>
        <c:spPr>
          <a:ln w="3175">
            <a:noFill/>
          </a:ln>
        </c:spPr>
        <c:txPr>
          <a:bodyPr rot="-5400000" vert="horz"/>
          <a:lstStyle/>
          <a:p>
            <a:pPr>
              <a:defRPr sz="700">
                <a:solidFill>
                  <a:srgbClr val="57514D"/>
                </a:solidFill>
              </a:defRPr>
            </a:pPr>
            <a:endParaRPr lang="en-US"/>
          </a:p>
        </c:txPr>
        <c:crossAx val="693074944"/>
        <c:crosses val="autoZero"/>
        <c:auto val="1"/>
        <c:lblAlgn val="ctr"/>
        <c:lblOffset val="100"/>
        <c:noMultiLvlLbl val="1"/>
      </c:catAx>
      <c:valAx>
        <c:axId val="693074944"/>
        <c:scaling>
          <c:orientation val="minMax"/>
          <c:max val="30000"/>
        </c:scaling>
        <c:delete val="0"/>
        <c:axPos val="l"/>
        <c:majorGridlines>
          <c:spPr>
            <a:ln w="3175">
              <a:solidFill>
                <a:srgbClr val="DFDCDA"/>
              </a:solidFill>
              <a:prstDash val="solid"/>
            </a:ln>
          </c:spPr>
        </c:majorGridlines>
        <c:title>
          <c:tx>
            <c:rich>
              <a:bodyPr rot="-5400000" vert="horz"/>
              <a:lstStyle/>
              <a:p>
                <a:pPr>
                  <a:defRPr sz="700" b="1"/>
                </a:pPr>
                <a:r>
                  <a:rPr lang="en-US" sz="700" b="1"/>
                  <a:t>$ millions</a:t>
                </a:r>
              </a:p>
            </c:rich>
          </c:tx>
          <c:layout>
            <c:manualLayout>
              <c:xMode val="edge"/>
              <c:yMode val="edge"/>
              <c:x val="9.3287871726314611E-3"/>
              <c:y val="0.36239032421655193"/>
            </c:manualLayout>
          </c:layout>
          <c:overlay val="0"/>
        </c:title>
        <c:numFmt formatCode="#,##0" sourceLinked="0"/>
        <c:majorTickMark val="out"/>
        <c:minorTickMark val="none"/>
        <c:tickLblPos val="nextTo"/>
        <c:spPr>
          <a:ln w="3175">
            <a:noFill/>
          </a:ln>
        </c:spPr>
        <c:txPr>
          <a:bodyPr/>
          <a:lstStyle/>
          <a:p>
            <a:pPr>
              <a:defRPr sz="700"/>
            </a:pPr>
            <a:endParaRPr lang="en-US"/>
          </a:p>
        </c:txPr>
        <c:crossAx val="693073408"/>
        <c:crossesAt val="1"/>
        <c:crossBetween val="between"/>
        <c:majorUnit val="3000"/>
      </c:valAx>
      <c:spPr>
        <a:noFill/>
      </c:spPr>
    </c:plotArea>
    <c:plotVisOnly val="1"/>
    <c:dispBlanksAs val="gap"/>
    <c:showDLblsOverMax val="0"/>
  </c:chart>
  <c:spPr>
    <a:noFill/>
    <a:ln>
      <a:noFill/>
    </a:ln>
  </c:spPr>
  <c:txPr>
    <a:bodyPr/>
    <a:lstStyle/>
    <a:p>
      <a:pPr>
        <a:defRPr sz="650">
          <a:solidFill>
            <a:srgbClr val="57514D"/>
          </a:solidFill>
          <a:latin typeface="Arial" panose="020B0604020202020204" pitchFamily="34" charset="0"/>
          <a:cs typeface="Arial" panose="020B0604020202020204" pitchFamily="34" charset="0"/>
        </a:defRPr>
      </a:pPr>
      <a:endParaRPr lang="en-US"/>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653612377400198E-2"/>
          <c:y val="5.1400554097404488E-2"/>
          <c:w val="0.90728768278965133"/>
          <c:h val="0.71622280988151099"/>
        </c:manualLayout>
      </c:layout>
      <c:lineChart>
        <c:grouping val="standard"/>
        <c:varyColors val="0"/>
        <c:ser>
          <c:idx val="0"/>
          <c:order val="0"/>
          <c:tx>
            <c:strRef>
              <c:f>'[Capex State Comparison_19-20 Budget.xlsx]BP1 Chart 6.2'!$A$26</c:f>
              <c:strCache>
                <c:ptCount val="1"/>
                <c:pt idx="0">
                  <c:v>NSW</c:v>
                </c:pt>
              </c:strCache>
            </c:strRef>
          </c:tx>
          <c:spPr>
            <a:ln w="31750">
              <a:solidFill>
                <a:srgbClr val="1D3278"/>
              </a:solidFill>
            </a:ln>
          </c:spPr>
          <c:marker>
            <c:symbol val="none"/>
          </c:marker>
          <c:cat>
            <c:strRef>
              <c:f>'[Capex State Comparison_19-20 Budget.xlsx]BP1 Chart 6.2'!$O$25:$X$25</c:f>
              <c:strCache>
                <c:ptCount val="10"/>
                <c:pt idx="0">
                  <c:v>2011-12</c:v>
                </c:pt>
                <c:pt idx="1">
                  <c:v>2012-13</c:v>
                </c:pt>
                <c:pt idx="2">
                  <c:v>2013-14</c:v>
                </c:pt>
                <c:pt idx="3">
                  <c:v>2014-15</c:v>
                </c:pt>
                <c:pt idx="4">
                  <c:v>2015-16</c:v>
                </c:pt>
                <c:pt idx="5">
                  <c:v>2016-17</c:v>
                </c:pt>
                <c:pt idx="6">
                  <c:v>2017-18</c:v>
                </c:pt>
                <c:pt idx="7">
                  <c:v>2018-19</c:v>
                </c:pt>
                <c:pt idx="8">
                  <c:v>2019-20</c:v>
                </c:pt>
                <c:pt idx="9">
                  <c:v>2020-21</c:v>
                </c:pt>
              </c:strCache>
              <c:extLst/>
            </c:strRef>
          </c:cat>
          <c:val>
            <c:numRef>
              <c:f>'[Capex State Comparison_19-20 Budget.xlsx]BP1 Chart 6.2'!$O$28:$Y$28</c:f>
              <c:numCache>
                <c:formatCode>#,##0.0</c:formatCode>
                <c:ptCount val="10"/>
                <c:pt idx="0">
                  <c:v>1.2928658241966418</c:v>
                </c:pt>
                <c:pt idx="1">
                  <c:v>1.4563076738911032</c:v>
                </c:pt>
                <c:pt idx="2">
                  <c:v>1.6690223438486755</c:v>
                </c:pt>
                <c:pt idx="3">
                  <c:v>1.8153646069507934</c:v>
                </c:pt>
                <c:pt idx="4">
                  <c:v>1.6323499056381221</c:v>
                </c:pt>
                <c:pt idx="5">
                  <c:v>1.7724599753162391</c:v>
                </c:pt>
                <c:pt idx="6">
                  <c:v>1.9895303550215582</c:v>
                </c:pt>
                <c:pt idx="7">
                  <c:v>2.4093187614425853</c:v>
                </c:pt>
                <c:pt idx="8">
                  <c:v>2.7722716997122308</c:v>
                </c:pt>
                <c:pt idx="9">
                  <c:v>3.410333666187245</c:v>
                </c:pt>
              </c:numCache>
              <c:extLst/>
            </c:numRef>
          </c:val>
          <c:smooth val="0"/>
          <c:extLst>
            <c:ext xmlns:c16="http://schemas.microsoft.com/office/drawing/2014/chart" uri="{C3380CC4-5D6E-409C-BE32-E72D297353CC}">
              <c16:uniqueId val="{00000000-4A47-4B85-B228-054C26B8F94A}"/>
            </c:ext>
          </c:extLst>
        </c:ser>
        <c:ser>
          <c:idx val="1"/>
          <c:order val="1"/>
          <c:tx>
            <c:strRef>
              <c:f>'[Capex State Comparison_19-20 Budget.xlsx]BP1 Chart 6.2'!$A$29</c:f>
              <c:strCache>
                <c:ptCount val="1"/>
                <c:pt idx="0">
                  <c:v>Other states and territories</c:v>
                </c:pt>
              </c:strCache>
            </c:strRef>
          </c:tx>
          <c:spPr>
            <a:ln w="28575">
              <a:solidFill>
                <a:srgbClr val="25A9E1"/>
              </a:solidFill>
            </a:ln>
          </c:spPr>
          <c:marker>
            <c:symbol val="none"/>
          </c:marker>
          <c:cat>
            <c:strRef>
              <c:f>'[Capex State Comparison_19-20 Budget.xlsx]BP1 Chart 6.2'!$O$25:$X$25</c:f>
              <c:strCache>
                <c:ptCount val="10"/>
                <c:pt idx="0">
                  <c:v>2011-12</c:v>
                </c:pt>
                <c:pt idx="1">
                  <c:v>2012-13</c:v>
                </c:pt>
                <c:pt idx="2">
                  <c:v>2013-14</c:v>
                </c:pt>
                <c:pt idx="3">
                  <c:v>2014-15</c:v>
                </c:pt>
                <c:pt idx="4">
                  <c:v>2015-16</c:v>
                </c:pt>
                <c:pt idx="5">
                  <c:v>2016-17</c:v>
                </c:pt>
                <c:pt idx="6">
                  <c:v>2017-18</c:v>
                </c:pt>
                <c:pt idx="7">
                  <c:v>2018-19</c:v>
                </c:pt>
                <c:pt idx="8">
                  <c:v>2019-20</c:v>
                </c:pt>
                <c:pt idx="9">
                  <c:v>2020-21</c:v>
                </c:pt>
              </c:strCache>
              <c:extLst/>
            </c:strRef>
          </c:cat>
          <c:val>
            <c:numRef>
              <c:f>'[Capex State Comparison_19-20 Budget.xlsx]BP1 Chart 6.2'!$O$31:$Y$31</c:f>
              <c:numCache>
                <c:formatCode>#,##0.0</c:formatCode>
                <c:ptCount val="10"/>
                <c:pt idx="0">
                  <c:v>1.821490971212576</c:v>
                </c:pt>
                <c:pt idx="1">
                  <c:v>1.6859669138619509</c:v>
                </c:pt>
                <c:pt idx="2">
                  <c:v>1.5272631382729633</c:v>
                </c:pt>
                <c:pt idx="3">
                  <c:v>1.3344604521434094</c:v>
                </c:pt>
                <c:pt idx="4">
                  <c:v>1.2618358576308706</c:v>
                </c:pt>
                <c:pt idx="5">
                  <c:v>1.458058256522748</c:v>
                </c:pt>
                <c:pt idx="6">
                  <c:v>1.7121521413933194</c:v>
                </c:pt>
                <c:pt idx="7">
                  <c:v>1.6592754656002759</c:v>
                </c:pt>
                <c:pt idx="8">
                  <c:v>2.0452509731397583</c:v>
                </c:pt>
                <c:pt idx="9">
                  <c:v>1.9612461342032639</c:v>
                </c:pt>
              </c:numCache>
              <c:extLst/>
            </c:numRef>
          </c:val>
          <c:smooth val="0"/>
          <c:extLst>
            <c:ext xmlns:c16="http://schemas.microsoft.com/office/drawing/2014/chart" uri="{C3380CC4-5D6E-409C-BE32-E72D297353CC}">
              <c16:uniqueId val="{00000001-4A47-4B85-B228-054C26B8F94A}"/>
            </c:ext>
          </c:extLst>
        </c:ser>
        <c:dLbls>
          <c:showLegendKey val="0"/>
          <c:showVal val="0"/>
          <c:showCatName val="0"/>
          <c:showSerName val="0"/>
          <c:showPercent val="0"/>
          <c:showBubbleSize val="0"/>
        </c:dLbls>
        <c:smooth val="0"/>
        <c:axId val="264759552"/>
        <c:axId val="260366336"/>
      </c:lineChart>
      <c:catAx>
        <c:axId val="264759552"/>
        <c:scaling>
          <c:orientation val="minMax"/>
        </c:scaling>
        <c:delete val="0"/>
        <c:axPos val="b"/>
        <c:numFmt formatCode="General" sourceLinked="0"/>
        <c:majorTickMark val="out"/>
        <c:minorTickMark val="none"/>
        <c:tickLblPos val="nextTo"/>
        <c:spPr>
          <a:ln w="3175">
            <a:noFill/>
          </a:ln>
        </c:spPr>
        <c:txPr>
          <a:bodyPr rot="-2700000"/>
          <a:lstStyle/>
          <a:p>
            <a:pPr>
              <a:defRPr sz="700">
                <a:latin typeface="Arial" panose="020B0604020202020204" pitchFamily="34" charset="0"/>
                <a:cs typeface="Arial" panose="020B0604020202020204" pitchFamily="34" charset="0"/>
              </a:defRPr>
            </a:pPr>
            <a:endParaRPr lang="en-US"/>
          </a:p>
        </c:txPr>
        <c:crossAx val="260366336"/>
        <c:crosses val="autoZero"/>
        <c:auto val="1"/>
        <c:lblAlgn val="ctr"/>
        <c:lblOffset val="100"/>
        <c:noMultiLvlLbl val="0"/>
      </c:catAx>
      <c:valAx>
        <c:axId val="260366336"/>
        <c:scaling>
          <c:orientation val="minMax"/>
        </c:scaling>
        <c:delete val="0"/>
        <c:axPos val="l"/>
        <c:majorGridlines>
          <c:spPr>
            <a:ln w="3175">
              <a:solidFill>
                <a:srgbClr val="DFDCDA"/>
              </a:solidFill>
              <a:prstDash val="solid"/>
            </a:ln>
          </c:spPr>
        </c:majorGridlines>
        <c:title>
          <c:tx>
            <c:rich>
              <a:bodyPr rot="-5400000" vert="horz"/>
              <a:lstStyle/>
              <a:p>
                <a:pPr>
                  <a:defRPr b="0"/>
                </a:pPr>
                <a:r>
                  <a:rPr lang="en-AU" b="0"/>
                  <a:t>Per cent</a:t>
                </a:r>
              </a:p>
            </c:rich>
          </c:tx>
          <c:layout>
            <c:manualLayout>
              <c:xMode val="edge"/>
              <c:yMode val="edge"/>
              <c:x val="5.7150766904644022E-3"/>
              <c:y val="0.34657681908946864"/>
            </c:manualLayout>
          </c:layout>
          <c:overlay val="0"/>
        </c:title>
        <c:numFmt formatCode="#,##0.0" sourceLinked="0"/>
        <c:majorTickMark val="out"/>
        <c:minorTickMark val="none"/>
        <c:tickLblPos val="nextTo"/>
        <c:spPr>
          <a:ln w="3175">
            <a:noFill/>
          </a:ln>
        </c:spPr>
        <c:txPr>
          <a:bodyPr/>
          <a:lstStyle/>
          <a:p>
            <a:pPr>
              <a:defRPr sz="700"/>
            </a:pPr>
            <a:endParaRPr lang="en-US"/>
          </a:p>
        </c:txPr>
        <c:crossAx val="264759552"/>
        <c:crosses val="autoZero"/>
        <c:crossBetween val="between"/>
      </c:valAx>
      <c:spPr>
        <a:noFill/>
      </c:spPr>
    </c:plotArea>
    <c:legend>
      <c:legendPos val="b"/>
      <c:layout>
        <c:manualLayout>
          <c:xMode val="edge"/>
          <c:yMode val="edge"/>
          <c:x val="0.28251947208424505"/>
          <c:y val="0.93139293427435832"/>
          <c:w val="0.45777471732383263"/>
          <c:h val="5.7343419357345056E-2"/>
        </c:manualLayout>
      </c:layout>
      <c:overlay val="0"/>
    </c:legend>
    <c:plotVisOnly val="1"/>
    <c:dispBlanksAs val="gap"/>
    <c:showDLblsOverMax val="0"/>
  </c:chart>
  <c:spPr>
    <a:noFill/>
    <a:ln>
      <a:noFill/>
    </a:ln>
  </c:spPr>
  <c:txPr>
    <a:bodyPr/>
    <a:lstStyle/>
    <a:p>
      <a:pPr>
        <a:defRPr sz="750">
          <a:solidFill>
            <a:srgbClr val="57514D"/>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397639346421681"/>
          <c:y val="0.12901812535238605"/>
          <c:w val="0.47702600615723811"/>
          <c:h val="0.74978941563223067"/>
        </c:manualLayout>
      </c:layout>
      <c:doughnutChart>
        <c:varyColors val="1"/>
        <c:ser>
          <c:idx val="0"/>
          <c:order val="0"/>
          <c:dPt>
            <c:idx val="0"/>
            <c:bubble3D val="0"/>
            <c:spPr>
              <a:solidFill>
                <a:srgbClr val="00426F"/>
              </a:solidFill>
            </c:spPr>
            <c:extLst>
              <c:ext xmlns:c16="http://schemas.microsoft.com/office/drawing/2014/chart" uri="{C3380CC4-5D6E-409C-BE32-E72D297353CC}">
                <c16:uniqueId val="{00000001-B2F4-4F5E-B82F-2FD037303A4B}"/>
              </c:ext>
            </c:extLst>
          </c:dPt>
          <c:dPt>
            <c:idx val="1"/>
            <c:bubble3D val="0"/>
            <c:spPr>
              <a:solidFill>
                <a:schemeClr val="accent2"/>
              </a:solidFill>
            </c:spPr>
            <c:extLst>
              <c:ext xmlns:c16="http://schemas.microsoft.com/office/drawing/2014/chart" uri="{C3380CC4-5D6E-409C-BE32-E72D297353CC}">
                <c16:uniqueId val="{00000003-B2F4-4F5E-B82F-2FD037303A4B}"/>
              </c:ext>
            </c:extLst>
          </c:dPt>
          <c:dPt>
            <c:idx val="2"/>
            <c:bubble3D val="0"/>
            <c:spPr>
              <a:solidFill>
                <a:schemeClr val="accent3"/>
              </a:solidFill>
            </c:spPr>
            <c:extLst>
              <c:ext xmlns:c16="http://schemas.microsoft.com/office/drawing/2014/chart" uri="{C3380CC4-5D6E-409C-BE32-E72D297353CC}">
                <c16:uniqueId val="{00000005-B2F4-4F5E-B82F-2FD037303A4B}"/>
              </c:ext>
            </c:extLst>
          </c:dPt>
          <c:dPt>
            <c:idx val="3"/>
            <c:bubble3D val="0"/>
            <c:spPr>
              <a:solidFill>
                <a:schemeClr val="accent4"/>
              </a:solidFill>
            </c:spPr>
            <c:extLst>
              <c:ext xmlns:c16="http://schemas.microsoft.com/office/drawing/2014/chart" uri="{C3380CC4-5D6E-409C-BE32-E72D297353CC}">
                <c16:uniqueId val="{00000007-B2F4-4F5E-B82F-2FD037303A4B}"/>
              </c:ext>
            </c:extLst>
          </c:dPt>
          <c:dPt>
            <c:idx val="4"/>
            <c:bubble3D val="0"/>
            <c:spPr>
              <a:solidFill>
                <a:srgbClr val="00223E"/>
              </a:solidFill>
            </c:spPr>
            <c:extLst>
              <c:ext xmlns:c16="http://schemas.microsoft.com/office/drawing/2014/chart" uri="{C3380CC4-5D6E-409C-BE32-E72D297353CC}">
                <c16:uniqueId val="{00000009-B2F4-4F5E-B82F-2FD037303A4B}"/>
              </c:ext>
            </c:extLst>
          </c:dPt>
          <c:dPt>
            <c:idx val="5"/>
            <c:bubble3D val="0"/>
            <c:spPr>
              <a:solidFill>
                <a:schemeClr val="accent5"/>
              </a:solidFill>
            </c:spPr>
            <c:extLst>
              <c:ext xmlns:c16="http://schemas.microsoft.com/office/drawing/2014/chart" uri="{C3380CC4-5D6E-409C-BE32-E72D297353CC}">
                <c16:uniqueId val="{0000000B-B2F4-4F5E-B82F-2FD037303A4B}"/>
              </c:ext>
            </c:extLst>
          </c:dPt>
          <c:dPt>
            <c:idx val="6"/>
            <c:bubble3D val="0"/>
            <c:spPr>
              <a:solidFill>
                <a:schemeClr val="accent6"/>
              </a:solidFill>
            </c:spPr>
            <c:extLst>
              <c:ext xmlns:c16="http://schemas.microsoft.com/office/drawing/2014/chart" uri="{C3380CC4-5D6E-409C-BE32-E72D297353CC}">
                <c16:uniqueId val="{0000000D-B2F4-4F5E-B82F-2FD037303A4B}"/>
              </c:ext>
            </c:extLst>
          </c:dPt>
          <c:dPt>
            <c:idx val="7"/>
            <c:bubble3D val="0"/>
            <c:spPr>
              <a:solidFill>
                <a:srgbClr val="4B5051"/>
              </a:solidFill>
            </c:spPr>
            <c:extLst>
              <c:ext xmlns:c16="http://schemas.microsoft.com/office/drawing/2014/chart" uri="{C3380CC4-5D6E-409C-BE32-E72D297353CC}">
                <c16:uniqueId val="{0000000F-B2F4-4F5E-B82F-2FD037303A4B}"/>
              </c:ext>
            </c:extLst>
          </c:dPt>
          <c:dPt>
            <c:idx val="8"/>
            <c:bubble3D val="0"/>
            <c:spPr>
              <a:solidFill>
                <a:srgbClr val="B9BDBF"/>
              </a:solidFill>
            </c:spPr>
            <c:extLst>
              <c:ext xmlns:c16="http://schemas.microsoft.com/office/drawing/2014/chart" uri="{C3380CC4-5D6E-409C-BE32-E72D297353CC}">
                <c16:uniqueId val="{00000011-B2F4-4F5E-B82F-2FD037303A4B}"/>
              </c:ext>
            </c:extLst>
          </c:dPt>
          <c:dPt>
            <c:idx val="9"/>
            <c:bubble3D val="0"/>
            <c:spPr>
              <a:solidFill>
                <a:srgbClr val="F99D25"/>
              </a:solidFill>
            </c:spPr>
            <c:extLst>
              <c:ext xmlns:c16="http://schemas.microsoft.com/office/drawing/2014/chart" uri="{C3380CC4-5D6E-409C-BE32-E72D297353CC}">
                <c16:uniqueId val="{00000013-B2F4-4F5E-B82F-2FD037303A4B}"/>
              </c:ext>
            </c:extLst>
          </c:dPt>
          <c:dLbls>
            <c:dLbl>
              <c:idx val="0"/>
              <c:layout>
                <c:manualLayout>
                  <c:x val="-2.3391295650330442E-2"/>
                  <c:y val="0.12362526681893277"/>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B2F4-4F5E-B82F-2FD037303A4B}"/>
                </c:ext>
              </c:extLst>
            </c:dLbl>
            <c:dLbl>
              <c:idx val="1"/>
              <c:layout>
                <c:manualLayout>
                  <c:x val="-9.2774692472768899E-2"/>
                  <c:y val="-6.4612040163359211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B2F4-4F5E-B82F-2FD037303A4B}"/>
                </c:ext>
              </c:extLst>
            </c:dLbl>
            <c:dLbl>
              <c:idx val="2"/>
              <c:layout>
                <c:manualLayout>
                  <c:x val="-6.5651676076314516E-2"/>
                  <c:y val="-8.0813160719007446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B2F4-4F5E-B82F-2FD037303A4B}"/>
                </c:ext>
              </c:extLst>
            </c:dLbl>
            <c:dLbl>
              <c:idx val="3"/>
              <c:layout>
                <c:manualLayout>
                  <c:x val="4.2899510199789888E-2"/>
                  <c:y val="-0.1270230433354509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2679907971822299"/>
                      <c:h val="0.11136737596902041"/>
                    </c:manualLayout>
                  </c15:layout>
                </c:ext>
                <c:ext xmlns:c16="http://schemas.microsoft.com/office/drawing/2014/chart" uri="{C3380CC4-5D6E-409C-BE32-E72D297353CC}">
                  <c16:uniqueId val="{00000007-B2F4-4F5E-B82F-2FD037303A4B}"/>
                </c:ext>
              </c:extLst>
            </c:dLbl>
            <c:dLbl>
              <c:idx val="4"/>
              <c:layout>
                <c:manualLayout>
                  <c:x val="0.13027637926292907"/>
                  <c:y val="-7.0582318691979576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0114301266511328"/>
                      <c:h val="0.10761231860963509"/>
                    </c:manualLayout>
                  </c15:layout>
                </c:ext>
                <c:ext xmlns:c16="http://schemas.microsoft.com/office/drawing/2014/chart" uri="{C3380CC4-5D6E-409C-BE32-E72D297353CC}">
                  <c16:uniqueId val="{00000009-B2F4-4F5E-B82F-2FD037303A4B}"/>
                </c:ext>
              </c:extLst>
            </c:dLbl>
            <c:dLbl>
              <c:idx val="5"/>
              <c:layout>
                <c:manualLayout>
                  <c:x val="0.11368291913105681"/>
                  <c:y val="-3.2603832555279856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B-B2F4-4F5E-B82F-2FD037303A4B}"/>
                </c:ext>
              </c:extLst>
            </c:dLbl>
            <c:dLbl>
              <c:idx val="6"/>
              <c:layout>
                <c:manualLayout>
                  <c:x val="0.1169475579548835"/>
                  <c:y val="-1.3844239044145477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5843362349090392"/>
                      <c:h val="0.12733576633491578"/>
                    </c:manualLayout>
                  </c15:layout>
                </c:ext>
                <c:ext xmlns:c16="http://schemas.microsoft.com/office/drawing/2014/chart" uri="{C3380CC4-5D6E-409C-BE32-E72D297353CC}">
                  <c16:uniqueId val="{0000000D-B2F4-4F5E-B82F-2FD037303A4B}"/>
                </c:ext>
              </c:extLst>
            </c:dLbl>
            <c:dLbl>
              <c:idx val="7"/>
              <c:layout>
                <c:manualLayout>
                  <c:x val="0.15547052382829521"/>
                  <c:y val="4.0589568054496178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0264225231849339"/>
                      <c:h val="0.10830916083255179"/>
                    </c:manualLayout>
                  </c15:layout>
                </c:ext>
                <c:ext xmlns:c16="http://schemas.microsoft.com/office/drawing/2014/chart" uri="{C3380CC4-5D6E-409C-BE32-E72D297353CC}">
                  <c16:uniqueId val="{0000000F-B2F4-4F5E-B82F-2FD037303A4B}"/>
                </c:ext>
              </c:extLst>
            </c:dLbl>
            <c:dLbl>
              <c:idx val="8"/>
              <c:layout>
                <c:manualLayout>
                  <c:x val="0.11764125337381756"/>
                  <c:y val="5.6128730623509225E-2"/>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11-B2F4-4F5E-B82F-2FD037303A4B}"/>
                </c:ext>
              </c:extLst>
            </c:dLbl>
            <c:dLbl>
              <c:idx val="9"/>
              <c:layout>
                <c:manualLayout>
                  <c:x val="0.10953384237228279"/>
                  <c:y val="0.11320274518140028"/>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6891269182419769"/>
                      <c:h val="0.11910136456493134"/>
                    </c:manualLayout>
                  </c15:layout>
                </c:ext>
                <c:ext xmlns:c16="http://schemas.microsoft.com/office/drawing/2014/chart" uri="{C3380CC4-5D6E-409C-BE32-E72D297353CC}">
                  <c16:uniqueId val="{00000013-B2F4-4F5E-B82F-2FD037303A4B}"/>
                </c:ext>
              </c:extLst>
            </c:dLbl>
            <c:numFmt formatCode="0%" sourceLinked="0"/>
            <c:spPr>
              <a:noFill/>
              <a:ln>
                <a:noFill/>
              </a:ln>
            </c:spPr>
            <c:txPr>
              <a:bodyPr rot="0"/>
              <a:lstStyle/>
              <a:p>
                <a:pPr>
                  <a:defRPr sz="700">
                    <a:solidFill>
                      <a:srgbClr val="57514D"/>
                    </a:solidFill>
                    <a:latin typeface="Arial" panose="020B0604020202020204" pitchFamily="34" charset="0"/>
                    <a:cs typeface="Arial" panose="020B0604020202020204" pitchFamily="34" charset="0"/>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'Recurrent COFOG'!$A$32:$A$41</c:f>
              <c:strCache>
                <c:ptCount val="10"/>
                <c:pt idx="0">
                  <c:v>Health</c:v>
                </c:pt>
                <c:pt idx="1">
                  <c:v>Education</c:v>
                </c:pt>
                <c:pt idx="2">
                  <c:v>Transport</c:v>
                </c:pt>
                <c:pt idx="3">
                  <c:v>Public order and safety</c:v>
                </c:pt>
                <c:pt idx="4">
                  <c:v>Environmental protection</c:v>
                </c:pt>
                <c:pt idx="5">
                  <c:v>Social protection</c:v>
                </c:pt>
                <c:pt idx="6">
                  <c:v>General public services</c:v>
                </c:pt>
                <c:pt idx="7">
                  <c:v>Housing and community amenities</c:v>
                </c:pt>
                <c:pt idx="8">
                  <c:v>Economic affairs</c:v>
                </c:pt>
                <c:pt idx="9">
                  <c:v>Recreation, culture and religion</c:v>
                </c:pt>
              </c:strCache>
            </c:strRef>
          </c:cat>
          <c:val>
            <c:numRef>
              <c:f>'Recurrent COFOG'!$B$32:$B$41</c:f>
              <c:numCache>
                <c:formatCode>0%</c:formatCode>
                <c:ptCount val="10"/>
                <c:pt idx="0">
                  <c:v>0.26553887256567166</c:v>
                </c:pt>
                <c:pt idx="1">
                  <c:v>0.19598709886740215</c:v>
                </c:pt>
                <c:pt idx="2">
                  <c:v>0.1535994573973761</c:v>
                </c:pt>
                <c:pt idx="3">
                  <c:v>9.5652477219440771E-2</c:v>
                </c:pt>
                <c:pt idx="4">
                  <c:v>1.5259322699063974E-2</c:v>
                </c:pt>
                <c:pt idx="5">
                  <c:v>9.0475759714411935E-2</c:v>
                </c:pt>
                <c:pt idx="6">
                  <c:v>7.3343176883233441E-2</c:v>
                </c:pt>
                <c:pt idx="7">
                  <c:v>2.5633587864591904E-2</c:v>
                </c:pt>
                <c:pt idx="8">
                  <c:v>6.8794824753099185E-2</c:v>
                </c:pt>
                <c:pt idx="9">
                  <c:v>1.5715422035708932E-2</c:v>
                </c:pt>
              </c:numCache>
            </c:numRef>
          </c:val>
          <c:extLst>
            <c:ext xmlns:c16="http://schemas.microsoft.com/office/drawing/2014/chart" uri="{C3380CC4-5D6E-409C-BE32-E72D297353CC}">
              <c16:uniqueId val="{00000014-B2F4-4F5E-B82F-2FD037303A4B}"/>
            </c:ext>
          </c:extLst>
        </c:ser>
        <c:dLbls>
          <c:showLegendKey val="0"/>
          <c:showVal val="0"/>
          <c:showCatName val="0"/>
          <c:showSerName val="0"/>
          <c:showPercent val="1"/>
          <c:showBubbleSize val="0"/>
          <c:showLeaderLines val="0"/>
        </c:dLbls>
        <c:firstSliceAng val="141"/>
        <c:holeSize val="60"/>
      </c:doughnutChart>
    </c:plotArea>
    <c:plotVisOnly val="1"/>
    <c:dispBlanksAs val="gap"/>
    <c:showDLblsOverMax val="0"/>
  </c:chart>
  <c:spPr>
    <a:noFill/>
    <a:ln>
      <a:noFill/>
    </a:ln>
  </c:sp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397639346421681"/>
          <c:y val="0.12901812535238605"/>
          <c:w val="0.47702600615723811"/>
          <c:h val="0.74978941563223067"/>
        </c:manualLayout>
      </c:layout>
      <c:doughnutChart>
        <c:varyColors val="1"/>
        <c:ser>
          <c:idx val="0"/>
          <c:order val="0"/>
          <c:dPt>
            <c:idx val="0"/>
            <c:bubble3D val="0"/>
            <c:spPr>
              <a:solidFill>
                <a:srgbClr val="00223E"/>
              </a:solidFill>
            </c:spPr>
            <c:extLst>
              <c:ext xmlns:c16="http://schemas.microsoft.com/office/drawing/2014/chart" uri="{C3380CC4-5D6E-409C-BE32-E72D297353CC}">
                <c16:uniqueId val="{00000001-B5CB-4052-AB22-73BAFA3F3729}"/>
              </c:ext>
            </c:extLst>
          </c:dPt>
          <c:dPt>
            <c:idx val="1"/>
            <c:bubble3D val="0"/>
            <c:spPr>
              <a:solidFill>
                <a:schemeClr val="accent4"/>
              </a:solidFill>
            </c:spPr>
            <c:extLst>
              <c:ext xmlns:c16="http://schemas.microsoft.com/office/drawing/2014/chart" uri="{C3380CC4-5D6E-409C-BE32-E72D297353CC}">
                <c16:uniqueId val="{00000003-B5CB-4052-AB22-73BAFA3F3729}"/>
              </c:ext>
            </c:extLst>
          </c:dPt>
          <c:dPt>
            <c:idx val="2"/>
            <c:bubble3D val="0"/>
            <c:spPr>
              <a:solidFill>
                <a:schemeClr val="accent1"/>
              </a:solidFill>
            </c:spPr>
            <c:extLst>
              <c:ext xmlns:c16="http://schemas.microsoft.com/office/drawing/2014/chart" uri="{C3380CC4-5D6E-409C-BE32-E72D297353CC}">
                <c16:uniqueId val="{00000005-B5CB-4052-AB22-73BAFA3F3729}"/>
              </c:ext>
            </c:extLst>
          </c:dPt>
          <c:dPt>
            <c:idx val="3"/>
            <c:bubble3D val="0"/>
            <c:spPr>
              <a:solidFill>
                <a:srgbClr val="F99D25"/>
              </a:solidFill>
            </c:spPr>
            <c:extLst>
              <c:ext xmlns:c16="http://schemas.microsoft.com/office/drawing/2014/chart" uri="{C3380CC4-5D6E-409C-BE32-E72D297353CC}">
                <c16:uniqueId val="{00000007-B5CB-4052-AB22-73BAFA3F3729}"/>
              </c:ext>
            </c:extLst>
          </c:dPt>
          <c:dPt>
            <c:idx val="4"/>
            <c:bubble3D val="0"/>
            <c:spPr>
              <a:solidFill>
                <a:schemeClr val="accent6"/>
              </a:solidFill>
            </c:spPr>
            <c:extLst>
              <c:ext xmlns:c16="http://schemas.microsoft.com/office/drawing/2014/chart" uri="{C3380CC4-5D6E-409C-BE32-E72D297353CC}">
                <c16:uniqueId val="{00000009-B5CB-4052-AB22-73BAFA3F3729}"/>
              </c:ext>
            </c:extLst>
          </c:dPt>
          <c:dPt>
            <c:idx val="5"/>
            <c:bubble3D val="0"/>
            <c:spPr>
              <a:solidFill>
                <a:srgbClr val="B9BDBF"/>
              </a:solidFill>
            </c:spPr>
            <c:extLst>
              <c:ext xmlns:c16="http://schemas.microsoft.com/office/drawing/2014/chart" uri="{C3380CC4-5D6E-409C-BE32-E72D297353CC}">
                <c16:uniqueId val="{0000000B-B5CB-4052-AB22-73BAFA3F3729}"/>
              </c:ext>
            </c:extLst>
          </c:dPt>
          <c:dPt>
            <c:idx val="6"/>
            <c:bubble3D val="0"/>
            <c:spPr>
              <a:solidFill>
                <a:schemeClr val="accent5"/>
              </a:solidFill>
            </c:spPr>
            <c:extLst>
              <c:ext xmlns:c16="http://schemas.microsoft.com/office/drawing/2014/chart" uri="{C3380CC4-5D6E-409C-BE32-E72D297353CC}">
                <c16:uniqueId val="{0000000D-B5CB-4052-AB22-73BAFA3F3729}"/>
              </c:ext>
            </c:extLst>
          </c:dPt>
          <c:dPt>
            <c:idx val="7"/>
            <c:bubble3D val="0"/>
            <c:spPr>
              <a:solidFill>
                <a:schemeClr val="accent2"/>
              </a:solidFill>
            </c:spPr>
            <c:extLst>
              <c:ext xmlns:c16="http://schemas.microsoft.com/office/drawing/2014/chart" uri="{C3380CC4-5D6E-409C-BE32-E72D297353CC}">
                <c16:uniqueId val="{0000000F-B5CB-4052-AB22-73BAFA3F3729}"/>
              </c:ext>
            </c:extLst>
          </c:dPt>
          <c:dPt>
            <c:idx val="8"/>
            <c:bubble3D val="0"/>
            <c:spPr>
              <a:solidFill>
                <a:srgbClr val="4B5051"/>
              </a:solidFill>
            </c:spPr>
            <c:extLst>
              <c:ext xmlns:c16="http://schemas.microsoft.com/office/drawing/2014/chart" uri="{C3380CC4-5D6E-409C-BE32-E72D297353CC}">
                <c16:uniqueId val="{00000011-B5CB-4052-AB22-73BAFA3F3729}"/>
              </c:ext>
            </c:extLst>
          </c:dPt>
          <c:dPt>
            <c:idx val="9"/>
            <c:bubble3D val="0"/>
            <c:spPr>
              <a:solidFill>
                <a:schemeClr val="accent3"/>
              </a:solidFill>
            </c:spPr>
            <c:extLst>
              <c:ext xmlns:c16="http://schemas.microsoft.com/office/drawing/2014/chart" uri="{C3380CC4-5D6E-409C-BE32-E72D297353CC}">
                <c16:uniqueId val="{00000013-B5CB-4052-AB22-73BAFA3F3729}"/>
              </c:ext>
            </c:extLst>
          </c:dPt>
          <c:dLbls>
            <c:dLbl>
              <c:idx val="0"/>
              <c:layout>
                <c:manualLayout>
                  <c:x val="-5.7731136634204788E-2"/>
                  <c:y val="-0.12324967544517526"/>
                </c:manualLayout>
              </c:layout>
              <c:numFmt formatCode="0.0%" sourceLinked="0"/>
              <c:spPr>
                <a:noFill/>
                <a:ln>
                  <a:noFill/>
                </a:ln>
              </c:spPr>
              <c:txPr>
                <a:bodyPr rot="0"/>
                <a:lstStyle/>
                <a:p>
                  <a:pPr>
                    <a:defRPr sz="700">
                      <a:solidFill>
                        <a:srgbClr val="57514D"/>
                      </a:solidFill>
                      <a:latin typeface="Arial" panose="020B0604020202020204" pitchFamily="34" charset="0"/>
                      <a:cs typeface="Arial" panose="020B0604020202020204" pitchFamily="34" charset="0"/>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16006336472331018"/>
                      <c:h val="0.10761261944127302"/>
                    </c:manualLayout>
                  </c15:layout>
                </c:ext>
                <c:ext xmlns:c16="http://schemas.microsoft.com/office/drawing/2014/chart" uri="{C3380CC4-5D6E-409C-BE32-E72D297353CC}">
                  <c16:uniqueId val="{00000001-B5CB-4052-AB22-73BAFA3F3729}"/>
                </c:ext>
              </c:extLst>
            </c:dLbl>
            <c:dLbl>
              <c:idx val="1"/>
              <c:layout>
                <c:manualLayout>
                  <c:x val="2.9813981836789332E-2"/>
                  <c:y val="-0.12637156175935665"/>
                </c:manualLayout>
              </c:layout>
              <c:showLegendKey val="0"/>
              <c:showVal val="0"/>
              <c:showCatName val="1"/>
              <c:showSerName val="0"/>
              <c:showPercent val="1"/>
              <c:showBubbleSize val="0"/>
              <c:extLst>
                <c:ext xmlns:c15="http://schemas.microsoft.com/office/drawing/2012/chart" uri="{CE6537A1-D6FC-4f65-9D91-7224C49458BB}">
                  <c15:layout>
                    <c:manualLayout>
                      <c:w val="0.12679907971822299"/>
                      <c:h val="0.11136737596902041"/>
                    </c:manualLayout>
                  </c15:layout>
                </c:ext>
                <c:ext xmlns:c16="http://schemas.microsoft.com/office/drawing/2014/chart" uri="{C3380CC4-5D6E-409C-BE32-E72D297353CC}">
                  <c16:uniqueId val="{00000003-B5CB-4052-AB22-73BAFA3F3729}"/>
                </c:ext>
              </c:extLst>
            </c:dLbl>
            <c:dLbl>
              <c:idx val="2"/>
              <c:layout>
                <c:manualLayout>
                  <c:x val="6.8367237439775269E-2"/>
                  <c:y val="-8.400683130652293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5CB-4052-AB22-73BAFA3F3729}"/>
                </c:ext>
              </c:extLst>
            </c:dLbl>
            <c:dLbl>
              <c:idx val="3"/>
              <c:layout>
                <c:manualLayout>
                  <c:x val="0.17039725140458239"/>
                  <c:y val="-3.1737072861980652E-2"/>
                </c:manualLayout>
              </c:layout>
              <c:showLegendKey val="0"/>
              <c:showVal val="0"/>
              <c:showCatName val="1"/>
              <c:showSerName val="0"/>
              <c:showPercent val="1"/>
              <c:showBubbleSize val="0"/>
              <c:extLst>
                <c:ext xmlns:c15="http://schemas.microsoft.com/office/drawing/2012/chart" uri="{CE6537A1-D6FC-4f65-9D91-7224C49458BB}">
                  <c15:layout>
                    <c:manualLayout>
                      <c:w val="0.27302737892395218"/>
                      <c:h val="0.13042149486959337"/>
                    </c:manualLayout>
                  </c15:layout>
                </c:ext>
                <c:ext xmlns:c16="http://schemas.microsoft.com/office/drawing/2014/chart" uri="{C3380CC4-5D6E-409C-BE32-E72D297353CC}">
                  <c16:uniqueId val="{00000007-B5CB-4052-AB22-73BAFA3F3729}"/>
                </c:ext>
              </c:extLst>
            </c:dLbl>
            <c:dLbl>
              <c:idx val="4"/>
              <c:layout>
                <c:manualLayout>
                  <c:x val="0.14930136385471701"/>
                  <c:y val="-9.4648348889898772E-4"/>
                </c:manualLayout>
              </c:layout>
              <c:showLegendKey val="0"/>
              <c:showVal val="0"/>
              <c:showCatName val="1"/>
              <c:showSerName val="0"/>
              <c:showPercent val="1"/>
              <c:showBubbleSize val="0"/>
              <c:extLst>
                <c:ext xmlns:c15="http://schemas.microsoft.com/office/drawing/2012/chart" uri="{CE6537A1-D6FC-4f65-9D91-7224C49458BB}">
                  <c15:layout>
                    <c:manualLayout>
                      <c:w val="0.23070565242153307"/>
                      <c:h val="0.12733579197377556"/>
                    </c:manualLayout>
                  </c15:layout>
                </c:ext>
                <c:ext xmlns:c16="http://schemas.microsoft.com/office/drawing/2014/chart" uri="{C3380CC4-5D6E-409C-BE32-E72D297353CC}">
                  <c16:uniqueId val="{00000009-B5CB-4052-AB22-73BAFA3F3729}"/>
                </c:ext>
              </c:extLst>
            </c:dLbl>
            <c:dLbl>
              <c:idx val="5"/>
              <c:layout>
                <c:manualLayout>
                  <c:x val="0.12438324640333863"/>
                  <c:y val="1.877967385897604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B5CB-4052-AB22-73BAFA3F3729}"/>
                </c:ext>
              </c:extLst>
            </c:dLbl>
            <c:dLbl>
              <c:idx val="6"/>
              <c:layout>
                <c:manualLayout>
                  <c:x val="0.11894624517486314"/>
                  <c:y val="5.170454807954403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B5CB-4052-AB22-73BAFA3F3729}"/>
                </c:ext>
              </c:extLst>
            </c:dLbl>
            <c:dLbl>
              <c:idx val="7"/>
              <c:layout>
                <c:manualLayout>
                  <c:x val="9.8411526024884705E-2"/>
                  <c:y val="5.952497185651519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B5CB-4052-AB22-73BAFA3F3729}"/>
                </c:ext>
              </c:extLst>
            </c:dLbl>
            <c:dLbl>
              <c:idx val="8"/>
              <c:layout>
                <c:manualLayout>
                  <c:x val="0.10825148243014113"/>
                  <c:y val="0.13172983486588902"/>
                </c:manualLayout>
              </c:layout>
              <c:showLegendKey val="0"/>
              <c:showVal val="0"/>
              <c:showCatName val="1"/>
              <c:showSerName val="0"/>
              <c:showPercent val="1"/>
              <c:showBubbleSize val="0"/>
              <c:extLst>
                <c:ext xmlns:c15="http://schemas.microsoft.com/office/drawing/2012/chart" uri="{CE6537A1-D6FC-4f65-9D91-7224C49458BB}">
                  <c15:layout>
                    <c:manualLayout>
                      <c:w val="0.24312147798180844"/>
                      <c:h val="0.1083090413225154"/>
                    </c:manualLayout>
                  </c15:layout>
                </c:ext>
                <c:ext xmlns:c16="http://schemas.microsoft.com/office/drawing/2014/chart" uri="{C3380CC4-5D6E-409C-BE32-E72D297353CC}">
                  <c16:uniqueId val="{00000011-B5CB-4052-AB22-73BAFA3F3729}"/>
                </c:ext>
              </c:extLst>
            </c:dLbl>
            <c:dLbl>
              <c:idx val="9"/>
              <c:layout>
                <c:manualLayout>
                  <c:x val="-0.10099853987988663"/>
                  <c:y val="-4.757796630789819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B5CB-4052-AB22-73BAFA3F3729}"/>
                </c:ext>
              </c:extLst>
            </c:dLbl>
            <c:numFmt formatCode="0%" sourceLinked="0"/>
            <c:spPr>
              <a:noFill/>
              <a:ln>
                <a:noFill/>
              </a:ln>
            </c:spPr>
            <c:txPr>
              <a:bodyPr rot="0"/>
              <a:lstStyle/>
              <a:p>
                <a:pPr>
                  <a:defRPr sz="700">
                    <a:solidFill>
                      <a:srgbClr val="57514D"/>
                    </a:solidFill>
                    <a:latin typeface="Arial" panose="020B0604020202020204" pitchFamily="34" charset="0"/>
                    <a:cs typeface="Arial" panose="020B0604020202020204" pitchFamily="34" charset="0"/>
                  </a:defRPr>
                </a:pPr>
                <a:endParaRPr lang="en-US"/>
              </a:p>
            </c:txPr>
            <c:showLegendKey val="0"/>
            <c:showVal val="0"/>
            <c:showCatName val="1"/>
            <c:showSerName val="0"/>
            <c:showPercent val="1"/>
            <c:showBubbleSize val="0"/>
            <c:showLeaderLines val="0"/>
            <c:extLst>
              <c:ext xmlns:c15="http://schemas.microsoft.com/office/drawing/2012/chart" uri="{CE6537A1-D6FC-4f65-9D91-7224C49458BB}"/>
            </c:extLst>
          </c:dLbls>
          <c:cat>
            <c:strRef>
              <c:f>'Capital COFOG'!$A$32:$A$41</c:f>
              <c:strCache>
                <c:ptCount val="10"/>
                <c:pt idx="0">
                  <c:v>Environmental protection</c:v>
                </c:pt>
                <c:pt idx="1">
                  <c:v>Public order and safety</c:v>
                </c:pt>
                <c:pt idx="2">
                  <c:v>Health</c:v>
                </c:pt>
                <c:pt idx="3">
                  <c:v>Recreation, culture and religion</c:v>
                </c:pt>
                <c:pt idx="4">
                  <c:v>General public services</c:v>
                </c:pt>
                <c:pt idx="5">
                  <c:v>Economic affairs</c:v>
                </c:pt>
                <c:pt idx="6">
                  <c:v>Social protection</c:v>
                </c:pt>
                <c:pt idx="7">
                  <c:v>Education</c:v>
                </c:pt>
                <c:pt idx="8">
                  <c:v>Housing and community amenities</c:v>
                </c:pt>
                <c:pt idx="9">
                  <c:v>Transport</c:v>
                </c:pt>
              </c:strCache>
            </c:strRef>
          </c:cat>
          <c:val>
            <c:numRef>
              <c:f>'Capital COFOG'!$B$32:$B$41</c:f>
              <c:numCache>
                <c:formatCode>_-* #,##0_-;\-* #,##0_-;_-* "-"??_-;_-@_-</c:formatCode>
                <c:ptCount val="10"/>
                <c:pt idx="0">
                  <c:v>25.518999999999998</c:v>
                </c:pt>
                <c:pt idx="1">
                  <c:v>1365.9059999999999</c:v>
                </c:pt>
                <c:pt idx="2">
                  <c:v>2598.3368</c:v>
                </c:pt>
                <c:pt idx="3">
                  <c:v>475.04199999999997</c:v>
                </c:pt>
                <c:pt idx="4">
                  <c:v>1345.4668621281999</c:v>
                </c:pt>
                <c:pt idx="5">
                  <c:v>1121.1665539999999</c:v>
                </c:pt>
                <c:pt idx="6">
                  <c:v>208.34100012000002</c:v>
                </c:pt>
                <c:pt idx="7">
                  <c:v>2500.6421</c:v>
                </c:pt>
                <c:pt idx="8">
                  <c:v>339.65199999999999</c:v>
                </c:pt>
                <c:pt idx="9">
                  <c:v>12664.200299999999</c:v>
                </c:pt>
              </c:numCache>
            </c:numRef>
          </c:val>
          <c:extLst>
            <c:ext xmlns:c16="http://schemas.microsoft.com/office/drawing/2014/chart" uri="{C3380CC4-5D6E-409C-BE32-E72D297353CC}">
              <c16:uniqueId val="{00000014-B5CB-4052-AB22-73BAFA3F3729}"/>
            </c:ext>
          </c:extLst>
        </c:ser>
        <c:dLbls>
          <c:showLegendKey val="0"/>
          <c:showVal val="0"/>
          <c:showCatName val="0"/>
          <c:showSerName val="0"/>
          <c:showPercent val="1"/>
          <c:showBubbleSize val="0"/>
          <c:showLeaderLines val="0"/>
        </c:dLbls>
        <c:firstSliceAng val="0"/>
        <c:holeSize val="60"/>
      </c:doughnutChart>
    </c:plotArea>
    <c:plotVisOnly val="1"/>
    <c:dispBlanksAs val="gap"/>
    <c:showDLblsOverMax val="0"/>
  </c:chart>
  <c:spPr>
    <a:noFill/>
    <a:ln>
      <a:noFill/>
    </a:ln>
  </c:sp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'Additional chart'!$U$1</c:f>
              <c:strCache>
                <c:ptCount val="1"/>
                <c:pt idx="0">
                  <c:v>Recurrent Expenditure</c:v>
                </c:pt>
              </c:strCache>
            </c:strRef>
          </c:tx>
          <c:spPr>
            <a:solidFill>
              <a:schemeClr val="accent1"/>
            </a:solidFill>
            <a:ln>
              <a:noFill/>
            </a:ln>
            <a:effectLst/>
          </c:spPr>
          <c:invertIfNegative val="0"/>
          <c:cat>
            <c:multiLvlStrRef>
              <c:f>'Additional chart'!$S$2:$T$13</c:f>
              <c:multiLvlStrCache>
                <c:ptCount val="12"/>
                <c:lvl>
                  <c:pt idx="0">
                    <c:v>2017-18</c:v>
                  </c:pt>
                  <c:pt idx="1">
                    <c:v>2018-19</c:v>
                  </c:pt>
                  <c:pt idx="2">
                    <c:v>2019-20</c:v>
                  </c:pt>
                  <c:pt idx="3">
                    <c:v>2020-21</c:v>
                  </c:pt>
                  <c:pt idx="4">
                    <c:v>2017-18</c:v>
                  </c:pt>
                  <c:pt idx="5">
                    <c:v>2018-19</c:v>
                  </c:pt>
                  <c:pt idx="6">
                    <c:v>2019-20</c:v>
                  </c:pt>
                  <c:pt idx="7">
                    <c:v>2020-21</c:v>
                  </c:pt>
                  <c:pt idx="8">
                    <c:v>2017-18</c:v>
                  </c:pt>
                  <c:pt idx="9">
                    <c:v>2018-19</c:v>
                  </c:pt>
                  <c:pt idx="10">
                    <c:v>2019-20</c:v>
                  </c:pt>
                  <c:pt idx="11">
                    <c:v>2020-21</c:v>
                  </c:pt>
                </c:lvl>
                <c:lvl>
                  <c:pt idx="0">
                    <c:v>Education</c:v>
                  </c:pt>
                  <c:pt idx="4">
                    <c:v>Health</c:v>
                  </c:pt>
                  <c:pt idx="8">
                    <c:v>Transport</c:v>
                  </c:pt>
                </c:lvl>
              </c:multiLvlStrCache>
            </c:multiLvlStrRef>
          </c:cat>
          <c:val>
            <c:numRef>
              <c:f>'Additional chart'!$U$2:$U$13</c:f>
              <c:numCache>
                <c:formatCode>#,##0</c:formatCode>
                <c:ptCount val="12"/>
                <c:pt idx="0">
                  <c:v>16660</c:v>
                </c:pt>
                <c:pt idx="1">
                  <c:v>17705</c:v>
                </c:pt>
                <c:pt idx="2">
                  <c:v>17024</c:v>
                </c:pt>
                <c:pt idx="3">
                  <c:v>19233</c:v>
                </c:pt>
                <c:pt idx="4">
                  <c:v>21496</c:v>
                </c:pt>
                <c:pt idx="5">
                  <c:v>22683</c:v>
                </c:pt>
                <c:pt idx="6">
                  <c:v>23315</c:v>
                </c:pt>
                <c:pt idx="7">
                  <c:v>26058</c:v>
                </c:pt>
                <c:pt idx="8">
                  <c:v>9140</c:v>
                </c:pt>
                <c:pt idx="9">
                  <c:v>10142</c:v>
                </c:pt>
                <c:pt idx="10">
                  <c:v>11356</c:v>
                </c:pt>
                <c:pt idx="11">
                  <c:v>15073</c:v>
                </c:pt>
              </c:numCache>
            </c:numRef>
          </c:val>
          <c:extLst>
            <c:ext xmlns:c16="http://schemas.microsoft.com/office/drawing/2014/chart" uri="{C3380CC4-5D6E-409C-BE32-E72D297353CC}">
              <c16:uniqueId val="{00000000-DE00-4851-8228-9D098D8DD648}"/>
            </c:ext>
          </c:extLst>
        </c:ser>
        <c:ser>
          <c:idx val="1"/>
          <c:order val="1"/>
          <c:tx>
            <c:strRef>
              <c:f>'Additional chart'!$V$1</c:f>
              <c:strCache>
                <c:ptCount val="1"/>
                <c:pt idx="0">
                  <c:v>Capital Investment</c:v>
                </c:pt>
              </c:strCache>
            </c:strRef>
          </c:tx>
          <c:spPr>
            <a:solidFill>
              <a:schemeClr val="accent2"/>
            </a:solidFill>
            <a:ln>
              <a:noFill/>
            </a:ln>
            <a:effectLst/>
          </c:spPr>
          <c:invertIfNegative val="0"/>
          <c:cat>
            <c:multiLvlStrRef>
              <c:f>'Additional chart'!$S$2:$T$13</c:f>
              <c:multiLvlStrCache>
                <c:ptCount val="12"/>
                <c:lvl>
                  <c:pt idx="0">
                    <c:v>2017-18</c:v>
                  </c:pt>
                  <c:pt idx="1">
                    <c:v>2018-19</c:v>
                  </c:pt>
                  <c:pt idx="2">
                    <c:v>2019-20</c:v>
                  </c:pt>
                  <c:pt idx="3">
                    <c:v>2020-21</c:v>
                  </c:pt>
                  <c:pt idx="4">
                    <c:v>2017-18</c:v>
                  </c:pt>
                  <c:pt idx="5">
                    <c:v>2018-19</c:v>
                  </c:pt>
                  <c:pt idx="6">
                    <c:v>2019-20</c:v>
                  </c:pt>
                  <c:pt idx="7">
                    <c:v>2020-21</c:v>
                  </c:pt>
                  <c:pt idx="8">
                    <c:v>2017-18</c:v>
                  </c:pt>
                  <c:pt idx="9">
                    <c:v>2018-19</c:v>
                  </c:pt>
                  <c:pt idx="10">
                    <c:v>2019-20</c:v>
                  </c:pt>
                  <c:pt idx="11">
                    <c:v>2020-21</c:v>
                  </c:pt>
                </c:lvl>
                <c:lvl>
                  <c:pt idx="0">
                    <c:v>Education</c:v>
                  </c:pt>
                  <c:pt idx="4">
                    <c:v>Health</c:v>
                  </c:pt>
                  <c:pt idx="8">
                    <c:v>Transport</c:v>
                  </c:pt>
                </c:lvl>
              </c:multiLvlStrCache>
            </c:multiLvlStrRef>
          </c:cat>
          <c:val>
            <c:numRef>
              <c:f>'Additional chart'!$V$2:$V$13</c:f>
              <c:numCache>
                <c:formatCode>#,##0</c:formatCode>
                <c:ptCount val="12"/>
                <c:pt idx="0">
                  <c:v>985</c:v>
                </c:pt>
                <c:pt idx="1">
                  <c:v>1780</c:v>
                </c:pt>
                <c:pt idx="2">
                  <c:v>2189</c:v>
                </c:pt>
                <c:pt idx="3">
                  <c:v>2501</c:v>
                </c:pt>
                <c:pt idx="4">
                  <c:v>1564</c:v>
                </c:pt>
                <c:pt idx="5">
                  <c:v>2224</c:v>
                </c:pt>
                <c:pt idx="6">
                  <c:v>2525</c:v>
                </c:pt>
                <c:pt idx="7">
                  <c:v>2598</c:v>
                </c:pt>
                <c:pt idx="8">
                  <c:v>7760</c:v>
                </c:pt>
                <c:pt idx="9">
                  <c:v>10421</c:v>
                </c:pt>
                <c:pt idx="10">
                  <c:v>11814</c:v>
                </c:pt>
                <c:pt idx="11">
                  <c:v>12664</c:v>
                </c:pt>
              </c:numCache>
            </c:numRef>
          </c:val>
          <c:extLst>
            <c:ext xmlns:c16="http://schemas.microsoft.com/office/drawing/2014/chart" uri="{C3380CC4-5D6E-409C-BE32-E72D297353CC}">
              <c16:uniqueId val="{00000001-DE00-4851-8228-9D098D8DD648}"/>
            </c:ext>
          </c:extLst>
        </c:ser>
        <c:dLbls>
          <c:showLegendKey val="0"/>
          <c:showVal val="0"/>
          <c:showCatName val="0"/>
          <c:showSerName val="0"/>
          <c:showPercent val="0"/>
          <c:showBubbleSize val="0"/>
        </c:dLbls>
        <c:gapWidth val="51"/>
        <c:overlap val="100"/>
        <c:axId val="1268504552"/>
        <c:axId val="1268505208"/>
      </c:barChart>
      <c:catAx>
        <c:axId val="1268504552"/>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68505208"/>
        <c:crosses val="autoZero"/>
        <c:auto val="1"/>
        <c:lblAlgn val="ctr"/>
        <c:lblOffset val="100"/>
        <c:noMultiLvlLbl val="0"/>
      </c:catAx>
      <c:valAx>
        <c:axId val="1268505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 billions</a:t>
                </a:r>
              </a:p>
            </c:rich>
          </c:tx>
          <c:overlay val="0"/>
          <c:spPr>
            <a:noFill/>
            <a:ln>
              <a:noFill/>
            </a:ln>
            <a:effectLst/>
          </c:spPr>
          <c:txPr>
            <a:bodyPr rot="-54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1268504552"/>
        <c:crosses val="autoZero"/>
        <c:crossBetween val="between"/>
      </c:valAx>
      <c:spPr>
        <a:noFill/>
        <a:ln>
          <a:noFill/>
        </a:ln>
        <a:effectLst/>
      </c:spPr>
    </c:plotArea>
    <c:legend>
      <c:legendPos val="b"/>
      <c:layout>
        <c:manualLayout>
          <c:xMode val="edge"/>
          <c:yMode val="edge"/>
          <c:x val="0.21739466647952163"/>
          <c:y val="0.93386329709880189"/>
          <c:w val="0.64406351065136824"/>
          <c:h val="4.603620569086754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sz="7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0.14928</cdr:x>
      <cdr:y>0.20808</cdr:y>
    </cdr:from>
    <cdr:to>
      <cdr:x>0.34204</cdr:x>
      <cdr:y>0.26857</cdr:y>
    </cdr:to>
    <cdr:sp macro="" textlink="">
      <cdr:nvSpPr>
        <cdr:cNvPr id="2" name="TextBox 1"/>
        <cdr:cNvSpPr txBox="1"/>
      </cdr:nvSpPr>
      <cdr:spPr>
        <a:xfrm xmlns:a="http://schemas.openxmlformats.org/drawingml/2006/main">
          <a:off x="1424848" y="691250"/>
          <a:ext cx="1839806" cy="2009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indent="0" defTabSz="914400" rtl="0" eaLnBrk="1" fontAlgn="auto" latinLnBrk="0" hangingPunct="1">
            <a:lnSpc>
              <a:spcPct val="100000"/>
            </a:lnSpc>
            <a:spcBef>
              <a:spcPts val="0"/>
            </a:spcBef>
            <a:spcAft>
              <a:spcPts val="0"/>
            </a:spcAft>
            <a:buClrTx/>
            <a:buSzTx/>
            <a:buFontTx/>
            <a:buNone/>
            <a:tabLst/>
            <a:defRPr/>
          </a:pPr>
          <a:r>
            <a:rPr lang="en-US" sz="700" b="0" i="0" baseline="0">
              <a:solidFill>
                <a:srgbClr val="4F4F4F"/>
              </a:solidFill>
              <a:effectLst/>
              <a:latin typeface="Arial" panose="020B0604020202020204" pitchFamily="34" charset="0"/>
              <a:ea typeface="+mn-ea"/>
              <a:cs typeface="Arial" panose="020B0604020202020204" pitchFamily="34" charset="0"/>
            </a:rPr>
            <a:t>Average = 6.5 per cent</a:t>
          </a:r>
          <a:endParaRPr lang="en-AU" sz="1100" b="0">
            <a:solidFill>
              <a:srgbClr val="4F4F4F"/>
            </a:solidFill>
          </a:endParaRPr>
        </a:p>
      </cdr:txBody>
    </cdr:sp>
  </cdr:relSizeAnchor>
  <cdr:relSizeAnchor xmlns:cdr="http://schemas.openxmlformats.org/drawingml/2006/chartDrawing">
    <cdr:from>
      <cdr:x>0.59487</cdr:x>
      <cdr:y>0.48984</cdr:y>
    </cdr:from>
    <cdr:to>
      <cdr:x>0.79011</cdr:x>
      <cdr:y>0.54928</cdr:y>
    </cdr:to>
    <cdr:sp macro="" textlink="">
      <cdr:nvSpPr>
        <cdr:cNvPr id="3" name="TextBox 1"/>
        <cdr:cNvSpPr txBox="1"/>
      </cdr:nvSpPr>
      <cdr:spPr>
        <a:xfrm xmlns:a="http://schemas.openxmlformats.org/drawingml/2006/main">
          <a:off x="5677780" y="1627270"/>
          <a:ext cx="1863476" cy="19746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algn="r" defTabSz="914400" rtl="0" eaLnBrk="1" fontAlgn="auto" latinLnBrk="0" hangingPunct="1">
            <a:lnSpc>
              <a:spcPct val="100000"/>
            </a:lnSpc>
            <a:spcBef>
              <a:spcPts val="0"/>
            </a:spcBef>
            <a:spcAft>
              <a:spcPts val="0"/>
            </a:spcAft>
            <a:buClrTx/>
            <a:buSzTx/>
            <a:buFontTx/>
            <a:buNone/>
            <a:tabLst/>
            <a:defRPr/>
          </a:pPr>
          <a:r>
            <a:rPr lang="en-US" sz="700" b="0" i="0" baseline="0">
              <a:solidFill>
                <a:srgbClr val="4F4F4F"/>
              </a:solidFill>
              <a:effectLst/>
              <a:latin typeface="Arial" panose="020B0604020202020204" pitchFamily="34" charset="0"/>
              <a:ea typeface="+mn-ea"/>
              <a:cs typeface="Arial" panose="020B0604020202020204" pitchFamily="34" charset="0"/>
            </a:rPr>
            <a:t>Average = 3.9</a:t>
          </a:r>
          <a:r>
            <a:rPr lang="en-AU" sz="700" b="0" i="0" baseline="0">
              <a:solidFill>
                <a:srgbClr val="4F4F4F"/>
              </a:solidFill>
              <a:effectLst/>
              <a:latin typeface="Arial" panose="020B0604020202020204" pitchFamily="34" charset="0"/>
              <a:ea typeface="+mn-ea"/>
              <a:cs typeface="Arial" panose="020B0604020202020204" pitchFamily="34" charset="0"/>
            </a:rPr>
            <a:t> per cent</a:t>
          </a:r>
          <a:endParaRPr lang="en-AU" sz="700" b="0">
            <a:solidFill>
              <a:srgbClr val="4F4F4F"/>
            </a:solidFill>
            <a:effectLst/>
            <a:latin typeface="Arial" panose="020B0604020202020204" pitchFamily="34" charset="0"/>
            <a:cs typeface="Arial" panose="020B0604020202020204" pitchFamily="34" charset="0"/>
          </a:endParaRPr>
        </a:p>
        <a:p xmlns:a="http://schemas.openxmlformats.org/drawingml/2006/main">
          <a:pPr algn="r"/>
          <a:endParaRPr lang="en-AU" sz="1100" b="0">
            <a:solidFill>
              <a:srgbClr val="4F4F4F"/>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0.10789</cdr:x>
      <cdr:y>0.64087</cdr:y>
    </cdr:from>
    <cdr:to>
      <cdr:x>0.23131</cdr:x>
      <cdr:y>0.68941</cdr:y>
    </cdr:to>
    <cdr:sp macro="" textlink="">
      <cdr:nvSpPr>
        <cdr:cNvPr id="2" name="TextBox 1">
          <a:extLst xmlns:a="http://schemas.openxmlformats.org/drawingml/2006/main">
            <a:ext uri="{FF2B5EF4-FFF2-40B4-BE49-F238E27FC236}">
              <a16:creationId xmlns:a16="http://schemas.microsoft.com/office/drawing/2014/main" id="{B6F831CA-0E18-4BCC-A226-A6FFB9A0A784}"/>
            </a:ext>
          </a:extLst>
        </cdr:cNvPr>
        <cdr:cNvSpPr txBox="1"/>
      </cdr:nvSpPr>
      <cdr:spPr>
        <a:xfrm xmlns:a="http://schemas.openxmlformats.org/drawingml/2006/main">
          <a:off x="1028700" y="2051050"/>
          <a:ext cx="1176721" cy="15533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n-US" sz="700" b="1" i="0" u="none" strike="noStrike">
            <a:solidFill>
              <a:srgbClr val="57514D"/>
            </a:solidFill>
            <a:latin typeface="Arial" panose="020B0604020202020204" pitchFamily="34" charset="0"/>
            <a:cs typeface="Arial" panose="020B0604020202020204" pitchFamily="34" charset="0"/>
          </a:endParaRPr>
        </a:p>
        <a:p xmlns:a="http://schemas.openxmlformats.org/drawingml/2006/main">
          <a:r>
            <a:rPr lang="en-US" sz="700" b="1" i="0" u="none" strike="noStrike" baseline="0">
              <a:solidFill>
                <a:srgbClr val="57514D"/>
              </a:solidFill>
              <a:latin typeface="Arial" panose="020B0604020202020204" pitchFamily="34" charset="0"/>
              <a:cs typeface="Arial" panose="020B0604020202020204" pitchFamily="34" charset="0"/>
            </a:rPr>
            <a:t> </a:t>
          </a:r>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0.11128</cdr:x>
      <cdr:y>0.56026</cdr:y>
    </cdr:from>
    <cdr:to>
      <cdr:x>0.2347</cdr:x>
      <cdr:y>0.60879</cdr:y>
    </cdr:to>
    <cdr:sp macro="" textlink="">
      <cdr:nvSpPr>
        <cdr:cNvPr id="3" name="TextBox 1">
          <a:extLst xmlns:a="http://schemas.openxmlformats.org/drawingml/2006/main">
            <a:ext uri="{FF2B5EF4-FFF2-40B4-BE49-F238E27FC236}">
              <a16:creationId xmlns:a16="http://schemas.microsoft.com/office/drawing/2014/main" id="{5A1E521D-7955-4427-BCBD-640370B0AFDD}"/>
            </a:ext>
          </a:extLst>
        </cdr:cNvPr>
        <cdr:cNvSpPr txBox="1"/>
      </cdr:nvSpPr>
      <cdr:spPr>
        <a:xfrm xmlns:a="http://schemas.openxmlformats.org/drawingml/2006/main">
          <a:off x="665867" y="1216012"/>
          <a:ext cx="738496" cy="1053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$4.0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0.26041</cdr:x>
      <cdr:y>0.546</cdr:y>
    </cdr:from>
    <cdr:to>
      <cdr:x>0.38382</cdr:x>
      <cdr:y>0.59453</cdr:y>
    </cdr:to>
    <cdr:sp macro="" textlink="">
      <cdr:nvSpPr>
        <cdr:cNvPr id="4" name="TextBox 1">
          <a:extLst xmlns:a="http://schemas.openxmlformats.org/drawingml/2006/main">
            <a:ext uri="{FF2B5EF4-FFF2-40B4-BE49-F238E27FC236}">
              <a16:creationId xmlns:a16="http://schemas.microsoft.com/office/drawing/2014/main" id="{E0676F63-F7EF-4A9C-BD71-F5A1064CAF5A}"/>
            </a:ext>
          </a:extLst>
        </cdr:cNvPr>
        <cdr:cNvSpPr txBox="1"/>
      </cdr:nvSpPr>
      <cdr:spPr>
        <a:xfrm xmlns:a="http://schemas.openxmlformats.org/drawingml/2006/main">
          <a:off x="1558191" y="1185050"/>
          <a:ext cx="738436" cy="1053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$4.1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0.55603</cdr:x>
      <cdr:y>0.44372</cdr:y>
    </cdr:from>
    <cdr:to>
      <cdr:x>0.67945</cdr:x>
      <cdr:y>0.49226</cdr:y>
    </cdr:to>
    <cdr:sp macro="" textlink="">
      <cdr:nvSpPr>
        <cdr:cNvPr id="5" name="TextBox 1">
          <a:extLst xmlns:a="http://schemas.openxmlformats.org/drawingml/2006/main">
            <a:ext uri="{FF2B5EF4-FFF2-40B4-BE49-F238E27FC236}">
              <a16:creationId xmlns:a16="http://schemas.microsoft.com/office/drawing/2014/main" id="{C84D2490-4BEC-4AA2-9570-572125CF9435}"/>
            </a:ext>
          </a:extLst>
        </cdr:cNvPr>
        <cdr:cNvSpPr txBox="1"/>
      </cdr:nvSpPr>
      <cdr:spPr>
        <a:xfrm xmlns:a="http://schemas.openxmlformats.org/drawingml/2006/main">
          <a:off x="3327064" y="963073"/>
          <a:ext cx="738496" cy="1053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$8.8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0.40959</cdr:x>
      <cdr:y>0.49798</cdr:y>
    </cdr:from>
    <cdr:to>
      <cdr:x>0.53301</cdr:x>
      <cdr:y>0.54652</cdr:y>
    </cdr:to>
    <cdr:sp macro="" textlink="">
      <cdr:nvSpPr>
        <cdr:cNvPr id="6" name="TextBox 1">
          <a:extLst xmlns:a="http://schemas.openxmlformats.org/drawingml/2006/main">
            <a:ext uri="{FF2B5EF4-FFF2-40B4-BE49-F238E27FC236}">
              <a16:creationId xmlns:a16="http://schemas.microsoft.com/office/drawing/2014/main" id="{C84D2490-4BEC-4AA2-9570-572125CF9435}"/>
            </a:ext>
          </a:extLst>
        </cdr:cNvPr>
        <cdr:cNvSpPr txBox="1"/>
      </cdr:nvSpPr>
      <cdr:spPr>
        <a:xfrm xmlns:a="http://schemas.openxmlformats.org/drawingml/2006/main">
          <a:off x="2450825" y="1080822"/>
          <a:ext cx="738496" cy="10535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$6.4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0.85755</cdr:x>
      <cdr:y>0.08929</cdr:y>
    </cdr:from>
    <cdr:to>
      <cdr:x>0.98097</cdr:x>
      <cdr:y>0.13783</cdr:y>
    </cdr:to>
    <cdr:sp macro="" textlink="">
      <cdr:nvSpPr>
        <cdr:cNvPr id="7" name="TextBox 1">
          <a:extLst xmlns:a="http://schemas.openxmlformats.org/drawingml/2006/main">
            <a:ext uri="{FF2B5EF4-FFF2-40B4-BE49-F238E27FC236}">
              <a16:creationId xmlns:a16="http://schemas.microsoft.com/office/drawing/2014/main" id="{94CF23C3-EB13-461C-9D20-EA72409A56A1}"/>
            </a:ext>
          </a:extLst>
        </cdr:cNvPr>
        <cdr:cNvSpPr txBox="1"/>
      </cdr:nvSpPr>
      <cdr:spPr>
        <a:xfrm xmlns:a="http://schemas.openxmlformats.org/drawingml/2006/main">
          <a:off x="5131229" y="193796"/>
          <a:ext cx="738497" cy="10535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$21.1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0.6982</cdr:x>
      <cdr:y>0.24255</cdr:y>
    </cdr:from>
    <cdr:to>
      <cdr:x>0.82161</cdr:x>
      <cdr:y>0.29108</cdr:y>
    </cdr:to>
    <cdr:sp macro="" textlink="">
      <cdr:nvSpPr>
        <cdr:cNvPr id="8" name="TextBox 1">
          <a:extLst xmlns:a="http://schemas.openxmlformats.org/drawingml/2006/main">
            <a:ext uri="{FF2B5EF4-FFF2-40B4-BE49-F238E27FC236}">
              <a16:creationId xmlns:a16="http://schemas.microsoft.com/office/drawing/2014/main" id="{94CF23C3-EB13-461C-9D20-EA72409A56A1}"/>
            </a:ext>
          </a:extLst>
        </cdr:cNvPr>
        <cdr:cNvSpPr txBox="1"/>
      </cdr:nvSpPr>
      <cdr:spPr>
        <a:xfrm xmlns:a="http://schemas.openxmlformats.org/drawingml/2006/main">
          <a:off x="4177737" y="526439"/>
          <a:ext cx="738437" cy="10533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700" b="1" i="0" u="none" strike="noStrike">
              <a:solidFill>
                <a:srgbClr val="57514D"/>
              </a:solidFill>
              <a:latin typeface="Arial" panose="020B0604020202020204" pitchFamily="34" charset="0"/>
              <a:cs typeface="Arial" panose="020B0604020202020204" pitchFamily="34" charset="0"/>
            </a:rPr>
            <a:t>Average:</a:t>
          </a:r>
          <a:r>
            <a:rPr lang="en-US" sz="700" b="1" i="0" u="none" strike="noStrike" baseline="0">
              <a:solidFill>
                <a:srgbClr val="57514D"/>
              </a:solidFill>
              <a:latin typeface="Arial" panose="020B0604020202020204" pitchFamily="34" charset="0"/>
              <a:cs typeface="Arial" panose="020B0604020202020204" pitchFamily="34" charset="0"/>
            </a:rPr>
            <a:t> $15.1 billion</a:t>
          </a:r>
        </a:p>
        <a:p xmlns:a="http://schemas.openxmlformats.org/drawingml/2006/main">
          <a:endParaRPr lang="en-AU" sz="700" b="1">
            <a:solidFill>
              <a:srgbClr val="57514D"/>
            </a:solidFill>
            <a:latin typeface="Arial" panose="020B0604020202020204" pitchFamily="34" charset="0"/>
            <a:cs typeface="Arial" panose="020B0604020202020204" pitchFamily="34"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0.68547</cdr:x>
      <cdr:y>0.02574</cdr:y>
    </cdr:from>
    <cdr:to>
      <cdr:x>0.68821</cdr:x>
      <cdr:y>0.8965</cdr:y>
    </cdr:to>
    <cdr:cxnSp macro="">
      <cdr:nvCxnSpPr>
        <cdr:cNvPr id="3" name="Straight Connector 2">
          <a:extLst xmlns:a="http://schemas.openxmlformats.org/drawingml/2006/main">
            <a:ext uri="{FF2B5EF4-FFF2-40B4-BE49-F238E27FC236}">
              <a16:creationId xmlns:a16="http://schemas.microsoft.com/office/drawing/2014/main" id="{DAFA41BD-B320-485A-BDA8-FDB871951796}"/>
            </a:ext>
          </a:extLst>
        </cdr:cNvPr>
        <cdr:cNvCxnSpPr/>
      </cdr:nvCxnSpPr>
      <cdr:spPr>
        <a:xfrm xmlns:a="http://schemas.openxmlformats.org/drawingml/2006/main" flipV="1">
          <a:off x="3816859" y="129265"/>
          <a:ext cx="15257" cy="4372987"/>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0.40028</cdr:x>
      <cdr:y>0.02799</cdr:y>
    </cdr:from>
    <cdr:to>
      <cdr:x>0.40302</cdr:x>
      <cdr:y>0.89747</cdr:y>
    </cdr:to>
    <cdr:cxnSp macro="">
      <cdr:nvCxnSpPr>
        <cdr:cNvPr id="4" name="Straight Connector 3">
          <a:extLst xmlns:a="http://schemas.openxmlformats.org/drawingml/2006/main">
            <a:ext uri="{FF2B5EF4-FFF2-40B4-BE49-F238E27FC236}">
              <a16:creationId xmlns:a16="http://schemas.microsoft.com/office/drawing/2014/main" id="{DAFA41BD-B320-485A-BDA8-FDB871951796}"/>
            </a:ext>
          </a:extLst>
        </cdr:cNvPr>
        <cdr:cNvCxnSpPr/>
      </cdr:nvCxnSpPr>
      <cdr:spPr>
        <a:xfrm xmlns:a="http://schemas.openxmlformats.org/drawingml/2006/main" flipV="1">
          <a:off x="2228868" y="140551"/>
          <a:ext cx="15257" cy="4366560"/>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Colour Scheme for Budget">
    <a:dk1>
      <a:sysClr val="windowText" lastClr="000000"/>
    </a:dk1>
    <a:lt1>
      <a:sysClr val="window" lastClr="FFFFFF"/>
    </a:lt1>
    <a:dk2>
      <a:srgbClr val="455F51"/>
    </a:dk2>
    <a:lt2>
      <a:srgbClr val="E3DED1"/>
    </a:lt2>
    <a:accent1>
      <a:srgbClr val="00426F"/>
    </a:accent1>
    <a:accent2>
      <a:srgbClr val="008EBA"/>
    </a:accent2>
    <a:accent3>
      <a:srgbClr val="53C8E9"/>
    </a:accent3>
    <a:accent4>
      <a:srgbClr val="9ACA3C"/>
    </a:accent4>
    <a:accent5>
      <a:srgbClr val="009484"/>
    </a:accent5>
    <a:accent6>
      <a:srgbClr val="A50776"/>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Colour Scheme for Budget">
    <a:dk1>
      <a:sysClr val="windowText" lastClr="000000"/>
    </a:dk1>
    <a:lt1>
      <a:sysClr val="window" lastClr="FFFFFF"/>
    </a:lt1>
    <a:dk2>
      <a:srgbClr val="455F51"/>
    </a:dk2>
    <a:lt2>
      <a:srgbClr val="E3DED1"/>
    </a:lt2>
    <a:accent1>
      <a:srgbClr val="00426F"/>
    </a:accent1>
    <a:accent2>
      <a:srgbClr val="008EBA"/>
    </a:accent2>
    <a:accent3>
      <a:srgbClr val="53C8E9"/>
    </a:accent3>
    <a:accent4>
      <a:srgbClr val="9ACA3C"/>
    </a:accent4>
    <a:accent5>
      <a:srgbClr val="009484"/>
    </a:accent5>
    <a:accent6>
      <a:srgbClr val="A50776"/>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Colour Scheme for Budget">
    <a:dk1>
      <a:sysClr val="windowText" lastClr="000000"/>
    </a:dk1>
    <a:lt1>
      <a:sysClr val="window" lastClr="FFFFFF"/>
    </a:lt1>
    <a:dk2>
      <a:srgbClr val="455F51"/>
    </a:dk2>
    <a:lt2>
      <a:srgbClr val="E3DED1"/>
    </a:lt2>
    <a:accent1>
      <a:srgbClr val="00426F"/>
    </a:accent1>
    <a:accent2>
      <a:srgbClr val="008EBA"/>
    </a:accent2>
    <a:accent3>
      <a:srgbClr val="53C8E9"/>
    </a:accent3>
    <a:accent4>
      <a:srgbClr val="9ACA3C"/>
    </a:accent4>
    <a:accent5>
      <a:srgbClr val="009484"/>
    </a:accent5>
    <a:accent6>
      <a:srgbClr val="A50776"/>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Flow_SignoffStatus xmlns="1c478e85-8130-4c67-8ee4-8bdf1c0e6049" xsi:nil="true"/>
    <SharedWithUsers xmlns="801a5968-9419-4033-b9de-7ffe8168468e">
      <UserInfo>
        <DisplayName>Juliet Toohey</DisplayName>
        <AccountId>193</AccountId>
        <AccountType/>
      </UserInfo>
      <UserInfo>
        <DisplayName>Gabrielle Wallace</DisplayName>
        <AccountId>782</AccountId>
        <AccountType/>
      </UserInfo>
      <UserInfo>
        <DisplayName>Josh Milner</DisplayName>
        <AccountId>186</AccountId>
        <AccountType/>
      </UserInfo>
      <UserInfo>
        <DisplayName>Nitisha Agarwal</DisplayName>
        <AccountId>712</AccountId>
        <AccountType/>
      </UserInfo>
      <UserInfo>
        <DisplayName>Marsha Guthrie</DisplayName>
        <AccountId>46</AccountId>
        <AccountType/>
      </UserInfo>
      <UserInfo>
        <DisplayName>Adam McIntosh</DisplayName>
        <AccountId>171</AccountId>
        <AccountType/>
      </UserInfo>
      <UserInfo>
        <DisplayName>Darcy Rendalls</DisplayName>
        <AccountId>146</AccountId>
        <AccountType/>
      </UserInfo>
      <UserInfo>
        <DisplayName>Jimmy Lam</DisplayName>
        <AccountId>716</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F02F16F1AFBDE54EBD2685E90FE1922F" ma:contentTypeVersion="13" ma:contentTypeDescription="Create a new document." ma:contentTypeScope="" ma:versionID="b5babb12e1fedc6ea5b0ddbe9a6dbc85">
  <xsd:schema xmlns:xsd="http://www.w3.org/2001/XMLSchema" xmlns:xs="http://www.w3.org/2001/XMLSchema" xmlns:p="http://schemas.microsoft.com/office/2006/metadata/properties" xmlns:ns2="801a5968-9419-4033-b9de-7ffe8168468e" xmlns:ns3="1c478e85-8130-4c67-8ee4-8bdf1c0e6049" targetNamespace="http://schemas.microsoft.com/office/2006/metadata/properties" ma:root="true" ma:fieldsID="9385a6c5781228858eb2dfc06285a0e9" ns2:_="" ns3:_="">
    <xsd:import namespace="801a5968-9419-4033-b9de-7ffe8168468e"/>
    <xsd:import namespace="1c478e85-8130-4c67-8ee4-8bdf1c0e604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Location" minOccurs="0"/>
                <xsd:element ref="ns3:MediaServiceGenerationTime" minOccurs="0"/>
                <xsd:element ref="ns3:MediaServiceEventHashCode" minOccurs="0"/>
                <xsd:element ref="ns3:_Flow_SignoffStatus"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01a5968-9419-4033-b9de-7ffe8168468e"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478e85-8130-4c67-8ee4-8bdf1c0e6049"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_Flow_SignoffStatus" ma:index="18" nillable="true" ma:displayName="Sign-off status" ma:internalName="Sign_x002d_off_x0020_status">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DCC331-0586-4DA7-B81D-A66B5DE614AC}">
  <ds:schemaRefs>
    <ds:schemaRef ds:uri="1c478e85-8130-4c67-8ee4-8bdf1c0e6049"/>
    <ds:schemaRef ds:uri="http://www.w3.org/XML/1998/namespace"/>
    <ds:schemaRef ds:uri="http://purl.org/dc/elements/1.1/"/>
    <ds:schemaRef ds:uri="http://schemas.openxmlformats.org/package/2006/metadata/core-properties"/>
    <ds:schemaRef ds:uri="801a5968-9419-4033-b9de-7ffe8168468e"/>
    <ds:schemaRef ds:uri="http://schemas.microsoft.com/office/infopath/2007/PartnerControls"/>
    <ds:schemaRef ds:uri="http://schemas.microsoft.com/office/2006/documentManagement/types"/>
    <ds:schemaRef ds:uri="http://schemas.microsoft.com/office/2006/metadata/properties"/>
    <ds:schemaRef ds:uri="http://purl.org/dc/dcmitype/"/>
    <ds:schemaRef ds:uri="http://purl.org/dc/terms/"/>
  </ds:schemaRefs>
</ds:datastoreItem>
</file>

<file path=customXml/itemProps2.xml><?xml version="1.0" encoding="utf-8"?>
<ds:datastoreItem xmlns:ds="http://schemas.openxmlformats.org/officeDocument/2006/customXml" ds:itemID="{8F3010FA-47DB-463E-A153-7E4DE7C4FB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01a5968-9419-4033-b9de-7ffe8168468e"/>
    <ds:schemaRef ds:uri="1c478e85-8130-4c67-8ee4-8bdf1c0e60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E4343E4-B0FC-4F21-8810-6544C11D57BA}">
  <ds:schemaRefs>
    <ds:schemaRef ds:uri="http://schemas.microsoft.com/sharepoint/v3/contenttype/forms"/>
  </ds:schemaRefs>
</ds:datastoreItem>
</file>

<file path=customXml/itemProps4.xml><?xml version="1.0" encoding="utf-8"?>
<ds:datastoreItem xmlns:ds="http://schemas.openxmlformats.org/officeDocument/2006/customXml" ds:itemID="{6D98B3DB-B5EC-4841-8F95-2576D7F2A3DA}">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Metadata/LabelInfo10.xml><?xml version="1.0" encoding="utf-8"?>
<clbl:labelList xmlns:clbl="http://schemas.microsoft.com/office/2020/mipLabelMetadata"/>
</file>

<file path=docMetadata/LabelInfo11.xml><?xml version="1.0" encoding="utf-8"?>
<clbl:labelList xmlns:clbl="http://schemas.microsoft.com/office/2020/mipLabelMetadata"/>
</file>

<file path=docMetadata/LabelInfo12.xml><?xml version="1.0" encoding="utf-8"?>
<clbl:labelList xmlns:clbl="http://schemas.microsoft.com/office/2020/mipLabelMetadata"/>
</file>

<file path=docMetadata/LabelInfo13.xml><?xml version="1.0" encoding="utf-8"?>
<clbl:labelList xmlns:clbl="http://schemas.microsoft.com/office/2020/mipLabelMetadata"/>
</file>

<file path=docMetadata/LabelInfo14.xml><?xml version="1.0" encoding="utf-8"?>
<clbl:labelList xmlns:clbl="http://schemas.microsoft.com/office/2020/mipLabelMetadata"/>
</file>

<file path=docMetadata/LabelInfo15.xml><?xml version="1.0" encoding="utf-8"?>
<clbl:labelList xmlns:clbl="http://schemas.microsoft.com/office/2020/mipLabelMetadata"/>
</file>

<file path=docMetadata/LabelInfo16.xml><?xml version="1.0" encoding="utf-8"?>
<clbl:labelList xmlns:clbl="http://schemas.microsoft.com/office/2020/mipLabelMetadata"/>
</file>

<file path=docMetadata/LabelInfo17.xml><?xml version="1.0" encoding="utf-8"?>
<clbl:labelList xmlns:clbl="http://schemas.microsoft.com/office/2020/mipLabelMetadata"/>
</file>

<file path=docMetadata/LabelInfo18.xml><?xml version="1.0" encoding="utf-8"?>
<clbl:labelList xmlns:clbl="http://schemas.microsoft.com/office/2020/mipLabelMetadata"/>
</file>

<file path=docMetadata/LabelInfo19.xml><?xml version="1.0" encoding="utf-8"?>
<clbl:labelList xmlns:clbl="http://schemas.microsoft.com/office/2020/mipLabelMetadata"/>
</file>

<file path=docMetadata/LabelInfo2.xml><?xml version="1.0" encoding="utf-8"?>
<clbl:labelList xmlns:clbl="http://schemas.microsoft.com/office/2020/mipLabelMetadata"/>
</file>

<file path=docMetadata/LabelInfo20.xml><?xml version="1.0" encoding="utf-8"?>
<clbl:labelList xmlns:clbl="http://schemas.microsoft.com/office/2020/mipLabelMetadata"/>
</file>

<file path=docMetadata/LabelInfo21.xml><?xml version="1.0" encoding="utf-8"?>
<clbl:labelList xmlns:clbl="http://schemas.microsoft.com/office/2020/mipLabelMetadata"/>
</file>

<file path=docMetadata/LabelInfo22.xml><?xml version="1.0" encoding="utf-8"?>
<clbl:labelList xmlns:clbl="http://schemas.microsoft.com/office/2020/mipLabelMetadata"/>
</file>

<file path=docMetadata/LabelInfo23.xml><?xml version="1.0" encoding="utf-8"?>
<clbl:labelList xmlns:clbl="http://schemas.microsoft.com/office/2020/mipLabelMetadata"/>
</file>

<file path=docMetadata/LabelInfo24.xml><?xml version="1.0" encoding="utf-8"?>
<clbl:labelList xmlns:clbl="http://schemas.microsoft.com/office/2020/mipLabelMetadata"/>
</file>

<file path=docMetadata/LabelInfo3.xml><?xml version="1.0" encoding="utf-8"?>
<clbl:labelList xmlns:clbl="http://schemas.microsoft.com/office/2020/mipLabelMetadata"/>
</file>

<file path=docMetadata/LabelInfo4.xml><?xml version="1.0" encoding="utf-8"?>
<clbl:labelList xmlns:clbl="http://schemas.microsoft.com/office/2020/mipLabelMetadata"/>
</file>

<file path=docMetadata/LabelInfo5.xml><?xml version="1.0" encoding="utf-8"?>
<clbl:labelList xmlns:clbl="http://schemas.microsoft.com/office/2020/mipLabelMetadata"/>
</file>

<file path=docMetadata/LabelInfo6.xml><?xml version="1.0" encoding="utf-8"?>
<clbl:labelList xmlns:clbl="http://schemas.microsoft.com/office/2020/mipLabelMetadata"/>
</file>

<file path=docMetadata/LabelInfo7.xml><?xml version="1.0" encoding="utf-8"?>
<clbl:labelList xmlns:clbl="http://schemas.microsoft.com/office/2020/mipLabelMetadata"/>
</file>

<file path=docMetadata/LabelInfo8.xml><?xml version="1.0" encoding="utf-8"?>
<clbl:labelList xmlns:clbl="http://schemas.microsoft.com/office/2020/mipLabelMetadata"/>
</file>

<file path=docMetadata/LabelInfo9.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Normal.dotm</Template>
  <TotalTime>11883</TotalTime>
  <Pages>20</Pages>
  <Words>6963</Words>
  <Characters>39693</Characters>
  <Application>Microsoft Office Word</Application>
  <DocSecurity>0</DocSecurity>
  <Lines>330</Lines>
  <Paragraphs>93</Paragraphs>
  <ScaleCrop>false</ScaleCrop>
  <HeadingPairs>
    <vt:vector size="4" baseType="variant">
      <vt:variant>
        <vt:lpstr>Title</vt:lpstr>
      </vt:variant>
      <vt:variant>
        <vt:i4>1</vt:i4>
      </vt:variant>
      <vt:variant>
        <vt:lpstr>Headings</vt:lpstr>
      </vt:variant>
      <vt:variant>
        <vt:i4>15</vt:i4>
      </vt:variant>
    </vt:vector>
  </HeadingPairs>
  <TitlesOfParts>
    <vt:vector size="16" baseType="lpstr">
      <vt:lpstr>2019-20 Budget Paper No. 1 - Budget Statement - Chapter 5 - Expenditure</vt:lpstr>
      <vt:lpstr>5.	Expenditure</vt:lpstr>
      <vt:lpstr>    General government recurrent expenses</vt:lpstr>
      <vt:lpstr>        New policy measures</vt:lpstr>
      <vt:lpstr>        Parameter and other budget variations </vt:lpstr>
      <vt:lpstr>        Fiscal discipline and sustainable expense growth</vt:lpstr>
      <vt:lpstr>        Trends and outlook – expenses</vt:lpstr>
      <vt:lpstr>        Employee expenses </vt:lpstr>
      <vt:lpstr>        Superannuation expenses </vt:lpstr>
      <vt:lpstr>        Other operating expenses</vt:lpstr>
      <vt:lpstr>        Grants, subsidies and other transfer expenses </vt:lpstr>
      <vt:lpstr>        Depreciation and amortisation </vt:lpstr>
      <vt:lpstr>        Interest </vt:lpstr>
      <vt:lpstr>    General government capital expenditure</vt:lpstr>
      <vt:lpstr>    Functional classification of government expenditure (COFOG-A)</vt:lpstr>
      <vt:lpstr>        Analysis of expenditure by COFOG-A category </vt:lpstr>
    </vt:vector>
  </TitlesOfParts>
  <Company>ServiceFirst</Company>
  <LinksUpToDate>false</LinksUpToDate>
  <CharactersWithSpaces>46563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2020-21 Budget Paper No. 1 - Budget Statement - Chapter 5: Expenditure</dc:title>
  <dc:subject/>
  <dc:creator>The Treasury</dc:creator>
  <cp:keywords/>
  <cp:lastModifiedBy>Francess Lavorato</cp:lastModifiedBy>
  <cp:revision>11032</cp:revision>
  <cp:lastPrinted>2020-11-14T01:28:00Z</cp:lastPrinted>
  <dcterms:created xsi:type="dcterms:W3CDTF">2018-06-10T01:26:00Z</dcterms:created>
  <dcterms:modified xsi:type="dcterms:W3CDTF">2020-11-15T04:59:00Z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A3579467</vt:lpwstr>
  </property>
  <property fmtid="{D5CDD505-2E9C-101B-9397-08002B2CF9AE}" pid="4" name="Objective-Title">
    <vt:lpwstr>Attach A 2017-18 Budget structure</vt:lpwstr>
  </property>
  <property fmtid="{D5CDD505-2E9C-101B-9397-08002B2CF9AE}" pid="5" name="Objective-Comment">
    <vt:lpwstr/>
  </property>
  <property fmtid="{D5CDD505-2E9C-101B-9397-08002B2CF9AE}" pid="6" name="Objective-CreationStamp">
    <vt:filetime>2017-03-27T03:59:36Z</vt:filetime>
  </property>
  <property fmtid="{D5CDD505-2E9C-101B-9397-08002B2CF9AE}" pid="7" name="Objective-IsApproved">
    <vt:bool>false</vt:bool>
  </property>
  <property fmtid="{D5CDD505-2E9C-101B-9397-08002B2CF9AE}" pid="8" name="Objective-IsPublished">
    <vt:bool>false</vt:bool>
  </property>
  <property fmtid="{D5CDD505-2E9C-101B-9397-08002B2CF9AE}" pid="9" name="Objective-DatePublished">
    <vt:lpwstr/>
  </property>
  <property fmtid="{D5CDD505-2E9C-101B-9397-08002B2CF9AE}" pid="10" name="Objective-ModificationStamp">
    <vt:filetime>2017-03-27T04:25:52Z</vt:filetime>
  </property>
  <property fmtid="{D5CDD505-2E9C-101B-9397-08002B2CF9AE}" pid="11" name="Objective-Owner">
    <vt:lpwstr>Nathan Pringle</vt:lpwstr>
  </property>
  <property fmtid="{D5CDD505-2E9C-101B-9397-08002B2CF9AE}" pid="12" name="Objective-Path">
    <vt:lpwstr>Objective Global Folder:1. Treasury:1. Information Management Structure (TR):CORPORATE GROUP:Executive &amp; Ministerial Services (EMS):Advice &amp; Representations:Briefings &amp; Submissions (Workflow Case Files):Internally Initiated Briefs - Fiscal &amp; Economic Grou</vt:lpwstr>
  </property>
  <property fmtid="{D5CDD505-2E9C-101B-9397-08002B2CF9AE}" pid="13" name="Objective-Parent">
    <vt:lpwstr>2017-18 Budget Structure - P17/1484</vt:lpwstr>
  </property>
  <property fmtid="{D5CDD505-2E9C-101B-9397-08002B2CF9AE}" pid="14" name="Objective-State">
    <vt:lpwstr>Being Drafted</vt:lpwstr>
  </property>
  <property fmtid="{D5CDD505-2E9C-101B-9397-08002B2CF9AE}" pid="15" name="Objective-Version">
    <vt:lpwstr>0.2</vt:lpwstr>
  </property>
  <property fmtid="{D5CDD505-2E9C-101B-9397-08002B2CF9AE}" pid="16" name="Objective-VersionNumber">
    <vt:r8>2</vt:r8>
  </property>
  <property fmtid="{D5CDD505-2E9C-101B-9397-08002B2CF9AE}" pid="17" name="Objective-VersionComment">
    <vt:lpwstr/>
  </property>
  <property fmtid="{D5CDD505-2E9C-101B-9397-08002B2CF9AE}" pid="18" name="Objective-FileNumber">
    <vt:lpwstr/>
  </property>
  <property fmtid="{D5CDD505-2E9C-101B-9397-08002B2CF9AE}" pid="19" name="Objective-Classification">
    <vt:lpwstr>[Inherited - UNCLASSIFIED]</vt:lpwstr>
  </property>
  <property fmtid="{D5CDD505-2E9C-101B-9397-08002B2CF9AE}" pid="20" name="Objective-Caveats">
    <vt:lpwstr/>
  </property>
  <property fmtid="{D5CDD505-2E9C-101B-9397-08002B2CF9AE}" pid="21" name="Objective-Vital Record [system]">
    <vt:lpwstr>No</vt:lpwstr>
  </property>
  <property fmtid="{D5CDD505-2E9C-101B-9397-08002B2CF9AE}" pid="22" name="Objective-GIPA [system]">
    <vt:lpwstr>No</vt:lpwstr>
  </property>
  <property fmtid="{D5CDD505-2E9C-101B-9397-08002B2CF9AE}" pid="23" name="Objective-Additional Search Tags [system]">
    <vt:lpwstr/>
  </property>
  <property fmtid="{D5CDD505-2E9C-101B-9397-08002B2CF9AE}" pid="24" name="ContentTypeId">
    <vt:lpwstr>0x010100F02F16F1AFBDE54EBD2685E90FE1922F</vt:lpwstr>
  </property>
  <property fmtid="{D5CDD505-2E9C-101B-9397-08002B2CF9AE}" pid="25" name="AuthorIds_UIVersion_512">
    <vt:lpwstr>6</vt:lpwstr>
  </property>
</Properties>
</file>