
<file path=[Content_Types].xml><?xml version="1.0" encoding="utf-8"?>
<Types xmlns="http://schemas.openxmlformats.org/package/2006/content-types">
  <Default Extension="emf" ContentType="image/x-emf"/>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2.xml" ContentType="application/vnd.ms-office.classificationlabels+xml"/>
  <Override PartName="/docMetadata/LabelInfo3.xml" ContentType="application/vnd.ms-office.classificationlabels+xml"/>
  <Override PartName="/docMetadata/LabelInfo11.xml" ContentType="application/vnd.ms-office.classificationlabels+xml"/>
  <Override PartName="/docMetadata/LabelInfo1.xml" ContentType="application/vnd.ms-office.classificationlabels+xml"/>
  <Override PartName="/docMetadata/LabelInfo6.xml" ContentType="application/vnd.ms-office.classificationlabels+xml"/>
  <Override PartName="/docMetadata/LabelInfo10.xml" ContentType="application/vnd.ms-office.classificationlabels+xml"/>
  <Override PartName="/docMetadata/LabelInfo9.xml" ContentType="application/vnd.ms-office.classificationlabels+xml"/>
  <Override PartName="/docMetadata/LabelInfo0.xml" ContentType="application/vnd.ms-office.classificationlabels+xml"/>
  <Override PartName="/docMetadata/LabelInfo5.xml" ContentType="application/vnd.ms-office.classificationlabels+xml"/>
  <Override PartName="/docMetadata/LabelInfo8.xml" ContentType="application/vnd.ms-office.classificationlabels+xml"/>
  <Override PartName="/docMetadata/LabelInfo.xml" ContentType="application/vnd.ms-office.classificationlabels+xml"/>
  <Override PartName="/docMetadata/LabelInfo4.xml" ContentType="application/vnd.ms-office.classificationlabels+xml"/>
  <Override PartName="/docMetadata/LabelInfo12.xml" ContentType="application/vnd.ms-office.classificationlabels+xml"/>
  <Override PartName="/docMetadata/LabelInfo7.xml" ContentType="application/vnd.ms-office.classificationlabels+xml"/>
</Types>
</file>

<file path=_rels/.rels><?xml version="1.0" encoding="UTF-8" standalone="yes"?>
<Relationships xmlns="http://schemas.openxmlformats.org/package/2006/relationships"><Relationship Id="rId8" Type="http://schemas.microsoft.com/office/2020/02/relationships/classificationlabels" Target="docMetadata/LabelInfo2.xml"/><Relationship Id="rId13" Type="http://schemas.microsoft.com/office/2020/02/relationships/classificationlabels" Target="docMetadata/LabelInfo3.xml"/><Relationship Id="rId18" Type="http://schemas.microsoft.com/office/2020/02/relationships/classificationlabels" Target="docMetadata/LabelInfo11.xml"/><Relationship Id="rId3" Type="http://schemas.openxmlformats.org/package/2006/relationships/metadata/core-properties" Target="docProps/core.xml"/><Relationship Id="rId7" Type="http://schemas.microsoft.com/office/2020/02/relationships/classificationlabels" Target="docMetadata/LabelInfo1.xml"/><Relationship Id="rId12" Type="http://schemas.microsoft.com/office/2020/02/relationships/classificationlabels" Target="docMetadata/LabelInfo6.xml"/><Relationship Id="rId17" Type="http://schemas.microsoft.com/office/2020/02/relationships/classificationlabels" Target="docMetadata/LabelInfo10.xml"/><Relationship Id="rId2" Type="http://schemas.openxmlformats.org/package/2006/relationships/metadata/thumbnail" Target="docProps/thumbnail.emf"/><Relationship Id="rId16" Type="http://schemas.microsoft.com/office/2020/02/relationships/classificationlabels" Target="docMetadata/LabelInfo9.xml"/><Relationship Id="rId1" Type="http://schemas.openxmlformats.org/officeDocument/2006/relationships/officeDocument" Target="word/document.xml"/><Relationship Id="rId6" Type="http://schemas.microsoft.com/office/2020/02/relationships/classificationlabels" Target="docMetadata/LabelInfo0.xml"/><Relationship Id="rId11" Type="http://schemas.microsoft.com/office/2020/02/relationships/classificationlabels" Target="docMetadata/LabelInfo5.xml"/><Relationship Id="rId5" Type="http://schemas.openxmlformats.org/officeDocument/2006/relationships/custom-properties" Target="docProps/custom.xml"/><Relationship Id="rId15" Type="http://schemas.microsoft.com/office/2020/02/relationships/classificationlabels" Target="docMetadata/LabelInfo8.xml"/><Relationship Id="rId19" Type="http://schemas.microsoft.com/office/2020/02/relationships/classificationlabels" Target="docMetadata/LabelInfo.xml"/><Relationship Id="rId10" Type="http://schemas.microsoft.com/office/2020/02/relationships/classificationlabels" Target="docMetadata/LabelInfo4.xml"/><Relationship Id="rId4" Type="http://schemas.openxmlformats.org/officeDocument/2006/relationships/extended-properties" Target="docProps/app.xml"/><Relationship Id="rId14" Type="http://schemas.microsoft.com/office/2020/02/relationships/classificationlabels" Target="docMetadata/LabelInfo12.xml"/><Relationship Id="rId9" Type="http://schemas.microsoft.com/office/2020/02/relationships/classificationlabels" Target="docMetadata/LabelInfo7.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732B2C" w14:textId="5F61F83E" w:rsidR="00D83A15" w:rsidRDefault="00170684" w:rsidP="007614EA">
      <w:pPr>
        <w:pStyle w:val="Heading1"/>
        <w:keepNext w:val="0"/>
        <w:spacing w:before="600" w:after="360"/>
        <w:ind w:left="709" w:hanging="709"/>
      </w:pPr>
      <w:r>
        <w:t>6</w:t>
      </w:r>
      <w:r w:rsidR="00C36541" w:rsidRPr="00660EF9">
        <w:t>.</w:t>
      </w:r>
      <w:r w:rsidR="00C36541" w:rsidRPr="00660EF9">
        <w:tab/>
        <w:t>Managing the State’s Assets and Liabilities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Chapter 6: MANAGING THE STATE’S ASSETS AND LIABILITIES - Focus box"/>
        <w:tblDescription w:val="Chapter 6: MANAGING THE STATE’S ASSETS AND LIABILITIES - Focus box"/>
      </w:tblPr>
      <w:tblGrid>
        <w:gridCol w:w="9638"/>
      </w:tblGrid>
      <w:tr w:rsidR="000D1820" w14:paraId="2870DE95" w14:textId="77777777" w:rsidTr="00D13D20">
        <w:trPr>
          <w:trHeight w:val="6251"/>
        </w:trPr>
        <w:tc>
          <w:tcPr>
            <w:tcW w:w="9854" w:type="dxa"/>
            <w:shd w:val="clear" w:color="auto" w:fill="F2F2F2" w:themeFill="background1" w:themeFillShade="F2"/>
          </w:tcPr>
          <w:p w14:paraId="3C863780" w14:textId="65826CFC" w:rsidR="00C24004" w:rsidRDefault="005D2352" w:rsidP="003B4BAC">
            <w:pPr>
              <w:pStyle w:val="Bullet1inabox"/>
            </w:pPr>
            <w:r>
              <w:t xml:space="preserve">By leveraging the </w:t>
            </w:r>
            <w:r w:rsidR="00BA401E">
              <w:t xml:space="preserve">State’s </w:t>
            </w:r>
            <w:r>
              <w:t xml:space="preserve">balance sheet, the Government has </w:t>
            </w:r>
            <w:r w:rsidR="003118D2">
              <w:t>deliver</w:t>
            </w:r>
            <w:r>
              <w:t>ed</w:t>
            </w:r>
            <w:r w:rsidR="003118D2">
              <w:t xml:space="preserve"> temporary and targeted fiscal stimulus</w:t>
            </w:r>
            <w:r w:rsidR="00536F41">
              <w:t>.</w:t>
            </w:r>
          </w:p>
          <w:p w14:paraId="0E556B27" w14:textId="30139DA9" w:rsidR="00452A5D" w:rsidRPr="00647D2B" w:rsidRDefault="00536F41" w:rsidP="003B4BAC">
            <w:pPr>
              <w:pStyle w:val="Bullet1inabox"/>
            </w:pPr>
            <w:r>
              <w:t>T</w:t>
            </w:r>
            <w:r w:rsidR="00245F42">
              <w:t xml:space="preserve">he Government </w:t>
            </w:r>
            <w:r>
              <w:t xml:space="preserve">is </w:t>
            </w:r>
            <w:r w:rsidR="00245F42">
              <w:t xml:space="preserve">also </w:t>
            </w:r>
            <w:r w:rsidR="33602B02" w:rsidRPr="2F541ED3">
              <w:t>increasing</w:t>
            </w:r>
            <w:r w:rsidR="00245F42" w:rsidRPr="001A3390">
              <w:t xml:space="preserve"> it</w:t>
            </w:r>
            <w:r w:rsidR="00245F42">
              <w:t xml:space="preserve">s </w:t>
            </w:r>
            <w:r w:rsidR="6E2EE4B5" w:rsidRPr="51117E3B">
              <w:t>4</w:t>
            </w:r>
            <w:r w:rsidR="6E2EE4B5" w:rsidRPr="2F541ED3">
              <w:t xml:space="preserve">-year </w:t>
            </w:r>
            <w:r w:rsidR="6E2EE4B5" w:rsidRPr="00647D2B">
              <w:t>infrastructure program by $</w:t>
            </w:r>
            <w:r w:rsidR="58918EBD" w:rsidRPr="00647D2B">
              <w:t>9.</w:t>
            </w:r>
            <w:r w:rsidR="0037281D" w:rsidRPr="00647D2B">
              <w:t>7</w:t>
            </w:r>
            <w:r w:rsidR="58918EBD" w:rsidRPr="00647D2B">
              <w:t xml:space="preserve"> billion</w:t>
            </w:r>
            <w:r w:rsidR="6E2EE4B5" w:rsidRPr="00647D2B">
              <w:t xml:space="preserve"> to</w:t>
            </w:r>
            <w:r w:rsidR="19866E68" w:rsidRPr="00647D2B">
              <w:t xml:space="preserve"> a record</w:t>
            </w:r>
            <w:r w:rsidR="00245F42" w:rsidRPr="00647D2B">
              <w:t xml:space="preserve"> $107.1 billion</w:t>
            </w:r>
            <w:r w:rsidR="00132E64">
              <w:t xml:space="preserve"> </w:t>
            </w:r>
            <w:r w:rsidR="00245F42" w:rsidRPr="00647D2B">
              <w:t xml:space="preserve">to support jobs and the economy through this downturn, leading to a stronger economic position over the medium term. </w:t>
            </w:r>
          </w:p>
          <w:p w14:paraId="4715F24F" w14:textId="419AB6AE" w:rsidR="009A1B0C" w:rsidRPr="00647D2B" w:rsidRDefault="00024789" w:rsidP="003B4BAC">
            <w:pPr>
              <w:pStyle w:val="Bullet1inabox"/>
            </w:pPr>
            <w:r w:rsidRPr="00647D2B">
              <w:t xml:space="preserve">NSW </w:t>
            </w:r>
            <w:r w:rsidR="008647D7" w:rsidRPr="00647D2B">
              <w:t xml:space="preserve">has </w:t>
            </w:r>
            <w:r w:rsidR="00545348" w:rsidRPr="00647D2B">
              <w:t xml:space="preserve">the </w:t>
            </w:r>
            <w:r w:rsidR="00C344E9" w:rsidRPr="00647D2B">
              <w:t>largest</w:t>
            </w:r>
            <w:r w:rsidR="00545348" w:rsidRPr="00647D2B">
              <w:t xml:space="preserve"> infrastructure program of any </w:t>
            </w:r>
            <w:r w:rsidR="007E285F" w:rsidRPr="00647D2B">
              <w:t>government</w:t>
            </w:r>
            <w:r w:rsidR="000F149C" w:rsidRPr="00647D2B">
              <w:t xml:space="preserve"> </w:t>
            </w:r>
            <w:r w:rsidR="00150428" w:rsidRPr="00647D2B">
              <w:t>in</w:t>
            </w:r>
            <w:r w:rsidR="000F149C" w:rsidRPr="00647D2B">
              <w:t xml:space="preserve"> Australia, including</w:t>
            </w:r>
            <w:r w:rsidR="00D478CA" w:rsidRPr="00647D2B">
              <w:t xml:space="preserve"> </w:t>
            </w:r>
            <w:r w:rsidR="00545348" w:rsidRPr="00647D2B">
              <w:t xml:space="preserve">the Commonwealth Government. This massive investment will see </w:t>
            </w:r>
            <w:r w:rsidR="001F33F6">
              <w:t>g</w:t>
            </w:r>
            <w:r w:rsidR="000B5C61">
              <w:t xml:space="preserve">eneral </w:t>
            </w:r>
            <w:r w:rsidR="001F33F6">
              <w:t>g</w:t>
            </w:r>
            <w:r w:rsidR="000B5C61">
              <w:t xml:space="preserve">overnment </w:t>
            </w:r>
            <w:r w:rsidR="001F33F6">
              <w:t>s</w:t>
            </w:r>
            <w:r w:rsidR="000B5C61">
              <w:t>ector</w:t>
            </w:r>
            <w:r w:rsidR="00545348" w:rsidRPr="00647D2B">
              <w:t xml:space="preserve"> </w:t>
            </w:r>
            <w:r w:rsidR="00545348">
              <w:t>non</w:t>
            </w:r>
            <w:r w:rsidR="008F1092">
              <w:t>-</w:t>
            </w:r>
            <w:r w:rsidR="00545348">
              <w:t>financial</w:t>
            </w:r>
            <w:r w:rsidR="00545348" w:rsidRPr="00647D2B">
              <w:t xml:space="preserve"> assets </w:t>
            </w:r>
            <w:r w:rsidR="008647D7" w:rsidRPr="00647D2B">
              <w:t>rise</w:t>
            </w:r>
            <w:r w:rsidR="00150428" w:rsidRPr="00647D2B">
              <w:t xml:space="preserve"> from $</w:t>
            </w:r>
            <w:r w:rsidR="0032574B" w:rsidRPr="00647D2B">
              <w:t>250.3</w:t>
            </w:r>
            <w:r w:rsidR="00150428" w:rsidRPr="00647D2B">
              <w:t xml:space="preserve"> billion at June 2020</w:t>
            </w:r>
            <w:r w:rsidR="008647D7" w:rsidRPr="00647D2B">
              <w:t xml:space="preserve"> to </w:t>
            </w:r>
            <w:r w:rsidR="00A175EB" w:rsidRPr="00647D2B">
              <w:t xml:space="preserve">a record </w:t>
            </w:r>
            <w:r w:rsidR="00545348" w:rsidRPr="00647D2B">
              <w:t>$</w:t>
            </w:r>
            <w:r w:rsidR="00DC47B6" w:rsidRPr="00647D2B">
              <w:t>334.</w:t>
            </w:r>
            <w:r w:rsidR="00F672DD" w:rsidRPr="00647D2B">
              <w:t>6</w:t>
            </w:r>
            <w:r w:rsidR="00F672DD">
              <w:t> </w:t>
            </w:r>
            <w:r w:rsidR="00545348" w:rsidRPr="00647D2B">
              <w:t>billion by June 2024</w:t>
            </w:r>
            <w:r w:rsidR="005F0280" w:rsidRPr="00647D2B">
              <w:t>.</w:t>
            </w:r>
          </w:p>
          <w:p w14:paraId="299637E4" w14:textId="741AEE9D" w:rsidR="00C77559" w:rsidRPr="00647D2B" w:rsidRDefault="00245F42" w:rsidP="003B4BAC">
            <w:pPr>
              <w:pStyle w:val="Bullet1inabox"/>
            </w:pPr>
            <w:r w:rsidRPr="00647D2B">
              <w:t>Natural disasters and COVID-19 have significantly</w:t>
            </w:r>
            <w:r w:rsidRPr="00647D2B" w:rsidDel="006E2B1B">
              <w:t xml:space="preserve"> </w:t>
            </w:r>
            <w:r w:rsidRPr="00647D2B">
              <w:t>reduced the amount of operating cash available to fund infrastructure</w:t>
            </w:r>
            <w:r w:rsidR="00BA25A4" w:rsidRPr="00647D2B">
              <w:t xml:space="preserve">. </w:t>
            </w:r>
            <w:r w:rsidR="00BA25A4" w:rsidRPr="00B5275C">
              <w:t>T</w:t>
            </w:r>
            <w:r w:rsidR="00536F41" w:rsidRPr="00B5275C">
              <w:t xml:space="preserve">he Government </w:t>
            </w:r>
            <w:r w:rsidR="00BA25A4" w:rsidRPr="00B5275C">
              <w:t xml:space="preserve">will meet this shortfall with additional borrowings, which will </w:t>
            </w:r>
            <w:r w:rsidR="00481874" w:rsidRPr="00BF3650">
              <w:t>contribute to n</w:t>
            </w:r>
            <w:r w:rsidR="00670E4A" w:rsidRPr="00BF3650">
              <w:t xml:space="preserve">et debt </w:t>
            </w:r>
            <w:r w:rsidR="00481874" w:rsidRPr="00BF3650">
              <w:t>rising</w:t>
            </w:r>
            <w:r w:rsidR="006B4370" w:rsidRPr="00BF3650">
              <w:t xml:space="preserve"> from </w:t>
            </w:r>
            <w:r w:rsidR="009F754B" w:rsidRPr="00D7371D">
              <w:t>3</w:t>
            </w:r>
            <w:r w:rsidR="00F6770B" w:rsidRPr="00D7371D">
              <w:t>.</w:t>
            </w:r>
            <w:r w:rsidR="009F754B" w:rsidRPr="00D7371D">
              <w:t>1</w:t>
            </w:r>
            <w:r w:rsidR="00F6770B" w:rsidRPr="00D7371D">
              <w:t xml:space="preserve"> per cent</w:t>
            </w:r>
            <w:r w:rsidR="00AD298B" w:rsidRPr="00D7371D">
              <w:t xml:space="preserve"> of GSP</w:t>
            </w:r>
            <w:r w:rsidR="006B4370" w:rsidRPr="00BF3650">
              <w:t xml:space="preserve"> at June 2020 </w:t>
            </w:r>
            <w:r w:rsidR="00E12117" w:rsidRPr="00BF3650">
              <w:t xml:space="preserve">to a </w:t>
            </w:r>
            <w:r w:rsidR="00C77559" w:rsidRPr="00BF3650">
              <w:t xml:space="preserve">peak </w:t>
            </w:r>
            <w:r w:rsidR="00A75D10" w:rsidRPr="00BF3650">
              <w:t>of</w:t>
            </w:r>
            <w:r w:rsidR="006B4370" w:rsidRPr="00BF3650">
              <w:t xml:space="preserve"> </w:t>
            </w:r>
            <w:r w:rsidR="00AD298B" w:rsidRPr="00D7371D">
              <w:t>14.7 per cent of GSP</w:t>
            </w:r>
            <w:r w:rsidR="006B4370" w:rsidRPr="00B5275C">
              <w:t xml:space="preserve"> </w:t>
            </w:r>
            <w:r w:rsidR="00F40E24">
              <w:t xml:space="preserve">by </w:t>
            </w:r>
            <w:r w:rsidR="006B4370" w:rsidRPr="00B5275C">
              <w:t>June 2024</w:t>
            </w:r>
            <w:r w:rsidR="00E16F56" w:rsidRPr="00BF3650">
              <w:t xml:space="preserve">. </w:t>
            </w:r>
          </w:p>
          <w:p w14:paraId="60D06111" w14:textId="4840EEDA" w:rsidR="00556868" w:rsidRPr="00647D2B" w:rsidRDefault="00556868" w:rsidP="003B4BAC">
            <w:pPr>
              <w:pStyle w:val="Bullet1inabox"/>
            </w:pPr>
            <w:r w:rsidRPr="00647D2B">
              <w:t xml:space="preserve">By continuing its successful asset recycling program </w:t>
            </w:r>
            <w:r>
              <w:t>(e.g. the sale of the Government</w:t>
            </w:r>
            <w:r w:rsidR="006A32A3">
              <w:t>’s</w:t>
            </w:r>
            <w:r>
              <w:t xml:space="preserve"> </w:t>
            </w:r>
            <w:r w:rsidR="002C33AB">
              <w:t>49 </w:t>
            </w:r>
            <w:r>
              <w:t xml:space="preserve">per cent </w:t>
            </w:r>
            <w:r w:rsidR="00300450">
              <w:t xml:space="preserve">residual </w:t>
            </w:r>
            <w:r>
              <w:t>share of WestConnex) and its innovative</w:t>
            </w:r>
            <w:r w:rsidRPr="00647D2B">
              <w:t xml:space="preserve"> balance sheet reform agenda</w:t>
            </w:r>
            <w:r>
              <w:t xml:space="preserve"> (e.g. NGF),</w:t>
            </w:r>
            <w:r w:rsidRPr="00647D2B">
              <w:t xml:space="preserve"> the Government will </w:t>
            </w:r>
            <w:r w:rsidRPr="006270E0">
              <w:t>rebuild balance sheet capacity</w:t>
            </w:r>
            <w:r w:rsidR="004159D7">
              <w:t>,</w:t>
            </w:r>
            <w:r w:rsidRPr="006270E0">
              <w:t xml:space="preserve"> bringing net debt </w:t>
            </w:r>
            <w:r w:rsidR="00DE3CB7">
              <w:t xml:space="preserve">back </w:t>
            </w:r>
            <w:r w:rsidRPr="006270E0">
              <w:t>down towards 7 per cent of GSP over the medium term</w:t>
            </w:r>
            <w:r>
              <w:t>.</w:t>
            </w:r>
          </w:p>
          <w:p w14:paraId="545C716F" w14:textId="553A44D2" w:rsidR="006668F9" w:rsidRPr="00D1737E" w:rsidRDefault="006668F9" w:rsidP="003B4BAC">
            <w:pPr>
              <w:pStyle w:val="Bullet1inabox"/>
            </w:pPr>
            <w:r w:rsidRPr="00F85120">
              <w:t xml:space="preserve">This Budget </w:t>
            </w:r>
            <w:r w:rsidR="005B0AEA">
              <w:t xml:space="preserve">includes </w:t>
            </w:r>
            <w:r w:rsidRPr="007665E9">
              <w:t>$</w:t>
            </w:r>
            <w:r w:rsidR="00036EB5" w:rsidRPr="007B45F4">
              <w:t>12.0</w:t>
            </w:r>
            <w:r w:rsidRPr="007665E9">
              <w:t xml:space="preserve"> billion in balance sheet reform measures</w:t>
            </w:r>
            <w:r w:rsidR="00CB1191">
              <w:t>, i</w:t>
            </w:r>
            <w:r w:rsidR="00F6392D">
              <w:t>nitiating</w:t>
            </w:r>
            <w:r w:rsidR="00B31DC2">
              <w:t xml:space="preserve"> </w:t>
            </w:r>
            <w:r w:rsidR="007B3205">
              <w:t xml:space="preserve">the </w:t>
            </w:r>
            <w:r w:rsidR="00B825F4">
              <w:t>fiscal re</w:t>
            </w:r>
            <w:r w:rsidR="00FE7838">
              <w:t>pair</w:t>
            </w:r>
            <w:r w:rsidR="00396AD7">
              <w:t xml:space="preserve"> </w:t>
            </w:r>
            <w:r w:rsidR="007B3205">
              <w:t xml:space="preserve">task </w:t>
            </w:r>
            <w:r w:rsidR="00D807AD">
              <w:t>and</w:t>
            </w:r>
            <w:r w:rsidR="00396AD7">
              <w:t xml:space="preserve"> build</w:t>
            </w:r>
            <w:r w:rsidR="00FB3C70">
              <w:t>ing</w:t>
            </w:r>
            <w:r w:rsidR="00396AD7">
              <w:t xml:space="preserve"> capacity</w:t>
            </w:r>
            <w:r w:rsidR="004C1AD6">
              <w:t xml:space="preserve"> to respond</w:t>
            </w:r>
            <w:r w:rsidR="00FF3F9B">
              <w:t xml:space="preserve"> to any future</w:t>
            </w:r>
            <w:r w:rsidR="006A371A">
              <w:t xml:space="preserve"> natural </w:t>
            </w:r>
            <w:r w:rsidR="00D840BA">
              <w:t xml:space="preserve">disaster or </w:t>
            </w:r>
            <w:r w:rsidR="00D840BA" w:rsidRPr="007665E9">
              <w:t>economic</w:t>
            </w:r>
            <w:r w:rsidR="00E32825">
              <w:t xml:space="preserve"> </w:t>
            </w:r>
            <w:r w:rsidR="00F47C8D">
              <w:t>shock</w:t>
            </w:r>
            <w:r w:rsidR="00E32825">
              <w:t>.</w:t>
            </w:r>
          </w:p>
          <w:p w14:paraId="4A72F1AC" w14:textId="0F9B18E7" w:rsidR="000D1820" w:rsidRDefault="00A52F56" w:rsidP="003B4BAC">
            <w:pPr>
              <w:pStyle w:val="Bullet1inabox"/>
            </w:pPr>
            <w:r>
              <w:t xml:space="preserve">Overall, </w:t>
            </w:r>
            <w:r w:rsidRPr="007D2148">
              <w:t>NSW’s</w:t>
            </w:r>
            <w:r>
              <w:t xml:space="preserve"> net worth is </w:t>
            </w:r>
            <w:r w:rsidR="008A5F9E">
              <w:t>projected</w:t>
            </w:r>
            <w:r>
              <w:t xml:space="preserve"> to grow </w:t>
            </w:r>
            <w:r w:rsidR="00CD720E">
              <w:t>fr</w:t>
            </w:r>
            <w:r w:rsidR="00CD720E" w:rsidRPr="0026691C">
              <w:t>om $</w:t>
            </w:r>
            <w:r w:rsidR="00A161E8" w:rsidRPr="0026691C">
              <w:t>238.7</w:t>
            </w:r>
            <w:r w:rsidR="00CD720E" w:rsidRPr="0026691C">
              <w:t xml:space="preserve"> billion by June 2020 t</w:t>
            </w:r>
            <w:r w:rsidR="00FB16E1" w:rsidRPr="0026691C">
              <w:t xml:space="preserve">o </w:t>
            </w:r>
            <w:r w:rsidRPr="0026691C">
              <w:t>$</w:t>
            </w:r>
            <w:r w:rsidR="008F34FA" w:rsidRPr="0026691C">
              <w:t>2</w:t>
            </w:r>
            <w:r w:rsidR="0026691C" w:rsidRPr="0026691C">
              <w:t>58</w:t>
            </w:r>
            <w:r w:rsidR="008F34FA" w:rsidRPr="0026691C">
              <w:t>.</w:t>
            </w:r>
            <w:r w:rsidR="002C33AB" w:rsidRPr="0026691C">
              <w:t>7</w:t>
            </w:r>
            <w:r w:rsidR="002C33AB">
              <w:t> </w:t>
            </w:r>
            <w:r w:rsidRPr="0026691C">
              <w:t xml:space="preserve">billion </w:t>
            </w:r>
            <w:r w:rsidR="00FB16E1" w:rsidRPr="0026691C">
              <w:t>by</w:t>
            </w:r>
            <w:r w:rsidRPr="0026691C">
              <w:t xml:space="preserve"> June 2024</w:t>
            </w:r>
            <w:r w:rsidR="00FB16E1" w:rsidRPr="0026691C">
              <w:t>, with N</w:t>
            </w:r>
            <w:r w:rsidR="00FA5866" w:rsidRPr="0026691C">
              <w:t xml:space="preserve">ew </w:t>
            </w:r>
            <w:r w:rsidR="00FB16E1" w:rsidRPr="0026691C">
              <w:t>S</w:t>
            </w:r>
            <w:r w:rsidR="00FA5866" w:rsidRPr="0026691C">
              <w:t>outh</w:t>
            </w:r>
            <w:r w:rsidR="00FA5866">
              <w:t xml:space="preserve"> </w:t>
            </w:r>
            <w:r w:rsidR="00FB16E1">
              <w:t>W</w:t>
            </w:r>
            <w:r w:rsidR="00FA5866">
              <w:t>ales</w:t>
            </w:r>
            <w:r w:rsidR="00FB16E1">
              <w:t xml:space="preserve"> having the highest net worth of any State</w:t>
            </w:r>
            <w:r w:rsidR="00FB16E1" w:rsidDel="00B825F4">
              <w:t xml:space="preserve"> </w:t>
            </w:r>
            <w:r w:rsidR="00403283">
              <w:t xml:space="preserve">or Territory </w:t>
            </w:r>
            <w:r w:rsidR="00FB16E1">
              <w:t>in Australia.</w:t>
            </w:r>
            <w:r w:rsidR="00922FDB">
              <w:t xml:space="preserve"> </w:t>
            </w:r>
          </w:p>
        </w:tc>
      </w:tr>
    </w:tbl>
    <w:p w14:paraId="5E05A970" w14:textId="77777777" w:rsidR="000D1820" w:rsidRDefault="000D1820" w:rsidP="00D83A15"/>
    <w:p w14:paraId="7B4C055B" w14:textId="4AA8B21C" w:rsidR="00C36541" w:rsidRPr="00E9516C" w:rsidRDefault="00F65284" w:rsidP="00852446">
      <w:pPr>
        <w:pStyle w:val="Heading2"/>
      </w:pPr>
      <w:r>
        <w:t>A s</w:t>
      </w:r>
      <w:r w:rsidR="003B2C60">
        <w:t>trong</w:t>
      </w:r>
      <w:r w:rsidR="00834C49">
        <w:t xml:space="preserve"> balance sheet</w:t>
      </w:r>
      <w:r w:rsidR="00067C7A">
        <w:t xml:space="preserve"> </w:t>
      </w:r>
      <w:r>
        <w:t>help</w:t>
      </w:r>
      <w:r w:rsidR="003B2C60">
        <w:t>ing</w:t>
      </w:r>
      <w:r>
        <w:t xml:space="preserve"> NSW through crisis</w:t>
      </w:r>
    </w:p>
    <w:p w14:paraId="78ACDB43" w14:textId="768107E7" w:rsidR="006126FA" w:rsidRDefault="002B6198" w:rsidP="00A6600D">
      <w:pPr>
        <w:pStyle w:val="BodyText"/>
      </w:pPr>
      <w:r>
        <w:t>With</w:t>
      </w:r>
      <w:r w:rsidR="006C0043">
        <w:t xml:space="preserve"> the challenges facing the NSW economy and the community</w:t>
      </w:r>
      <w:r>
        <w:t xml:space="preserve"> from COVID-19, bushfires and drought</w:t>
      </w:r>
      <w:r w:rsidR="006C0043">
        <w:t xml:space="preserve">, the Government </w:t>
      </w:r>
      <w:r>
        <w:t xml:space="preserve">is </w:t>
      </w:r>
      <w:r w:rsidR="008C5128">
        <w:t>using</w:t>
      </w:r>
      <w:r w:rsidR="008902DC">
        <w:t xml:space="preserve"> its strong balance sheet to support the people of </w:t>
      </w:r>
      <w:r w:rsidR="007E7642">
        <w:t xml:space="preserve">New South Wales and build </w:t>
      </w:r>
      <w:r w:rsidR="00D87A33">
        <w:t>productive</w:t>
      </w:r>
      <w:r w:rsidR="007E7642">
        <w:t xml:space="preserve"> infrastructure </w:t>
      </w:r>
      <w:r w:rsidR="001C7A47">
        <w:t>for</w:t>
      </w:r>
      <w:r w:rsidR="00624DC3">
        <w:t xml:space="preserve"> </w:t>
      </w:r>
      <w:r w:rsidR="007E7642">
        <w:t>the State’s econom</w:t>
      </w:r>
      <w:r w:rsidR="009762EA">
        <w:t>ic</w:t>
      </w:r>
      <w:r w:rsidR="007E7642">
        <w:t xml:space="preserve"> future.</w:t>
      </w:r>
      <w:r w:rsidR="006C0043">
        <w:t xml:space="preserve">  </w:t>
      </w:r>
    </w:p>
    <w:p w14:paraId="74BEFD32" w14:textId="7F002393" w:rsidR="00E10283" w:rsidRDefault="00B829F3" w:rsidP="00A6600D">
      <w:pPr>
        <w:pStyle w:val="BodyText"/>
      </w:pPr>
      <w:r>
        <w:t xml:space="preserve">Despite the </w:t>
      </w:r>
      <w:r w:rsidR="0043131C">
        <w:t>economic uncertainties arising</w:t>
      </w:r>
      <w:r w:rsidR="00BD6AA8">
        <w:t xml:space="preserve"> from</w:t>
      </w:r>
      <w:r>
        <w:t xml:space="preserve"> this crisis,</w:t>
      </w:r>
      <w:r w:rsidR="005C17D7">
        <w:t xml:space="preserve"> t</w:t>
      </w:r>
      <w:r w:rsidR="003C7255">
        <w:t xml:space="preserve">he Government is continuing its </w:t>
      </w:r>
      <w:r w:rsidR="009E7881">
        <w:t xml:space="preserve">successful </w:t>
      </w:r>
      <w:r w:rsidR="003C7255">
        <w:t>strategy of balance sheet reform</w:t>
      </w:r>
      <w:r w:rsidR="009E7881">
        <w:t xml:space="preserve">. </w:t>
      </w:r>
      <w:r w:rsidR="00BC65B8">
        <w:t>T</w:t>
      </w:r>
      <w:r w:rsidR="009F68C3">
        <w:t>his will</w:t>
      </w:r>
      <w:r w:rsidR="00BC65B8">
        <w:t xml:space="preserve"> ensure the State’s balance sheet remains resilient into the future, </w:t>
      </w:r>
      <w:r w:rsidR="00296FD0">
        <w:t>the 2020-21 Budget includes:</w:t>
      </w:r>
    </w:p>
    <w:p w14:paraId="12087D18" w14:textId="78CBD444" w:rsidR="00C10B2C" w:rsidRPr="00450CA3" w:rsidRDefault="00C00982" w:rsidP="003B4BAC">
      <w:pPr>
        <w:pStyle w:val="Bullet1"/>
      </w:pPr>
      <w:r>
        <w:t>d</w:t>
      </w:r>
      <w:r w:rsidR="002B12C1" w:rsidRPr="00450CA3">
        <w:t xml:space="preserve">iversification of </w:t>
      </w:r>
      <w:r w:rsidR="008205CA">
        <w:t>debt</w:t>
      </w:r>
      <w:r w:rsidR="002B12C1" w:rsidRPr="00450CA3">
        <w:t xml:space="preserve"> funding sources</w:t>
      </w:r>
      <w:r w:rsidR="005B2F0E">
        <w:t xml:space="preserve"> – t</w:t>
      </w:r>
      <w:r w:rsidR="002B12C1" w:rsidRPr="00450CA3">
        <w:t xml:space="preserve">he Government </w:t>
      </w:r>
      <w:r w:rsidR="00963397">
        <w:rPr>
          <w:rFonts w:eastAsiaTheme="minorHAnsi"/>
        </w:rPr>
        <w:t xml:space="preserve">has </w:t>
      </w:r>
      <w:r w:rsidR="00963397" w:rsidRPr="0090266B">
        <w:rPr>
          <w:rFonts w:eastAsiaTheme="minorHAnsi"/>
        </w:rPr>
        <w:t>been able to broaden its investor base by issuing sustainability bond</w:t>
      </w:r>
      <w:r w:rsidR="00963397">
        <w:rPr>
          <w:rFonts w:eastAsiaTheme="minorHAnsi"/>
        </w:rPr>
        <w:t>s, new</w:t>
      </w:r>
      <w:r w:rsidR="00963397" w:rsidRPr="0090266B">
        <w:rPr>
          <w:rFonts w:eastAsiaTheme="minorHAnsi"/>
        </w:rPr>
        <w:t xml:space="preserve"> long-dated </w:t>
      </w:r>
      <w:r w:rsidR="00963397">
        <w:rPr>
          <w:rFonts w:eastAsiaTheme="minorHAnsi"/>
        </w:rPr>
        <w:t xml:space="preserve">bonds, and </w:t>
      </w:r>
      <w:r w:rsidR="00963397" w:rsidRPr="0090266B">
        <w:rPr>
          <w:rFonts w:eastAsiaTheme="minorHAnsi"/>
        </w:rPr>
        <w:t xml:space="preserve">tapping into floating rate </w:t>
      </w:r>
      <w:r w:rsidR="00963397">
        <w:rPr>
          <w:rFonts w:eastAsiaTheme="minorHAnsi"/>
        </w:rPr>
        <w:t xml:space="preserve">notes. </w:t>
      </w:r>
      <w:r w:rsidR="00486DBE">
        <w:rPr>
          <w:rFonts w:eastAsiaTheme="minorHAnsi"/>
        </w:rPr>
        <w:t xml:space="preserve">The Government has </w:t>
      </w:r>
      <w:r w:rsidR="002B12C1" w:rsidRPr="00450CA3">
        <w:t>issu</w:t>
      </w:r>
      <w:r w:rsidR="002B12C1">
        <w:t xml:space="preserve">ed </w:t>
      </w:r>
      <w:r w:rsidR="002B12C1" w:rsidRPr="00450CA3">
        <w:t>a total of $</w:t>
      </w:r>
      <w:r w:rsidR="002B12C1">
        <w:t>5.2</w:t>
      </w:r>
      <w:r w:rsidR="002B12C1" w:rsidRPr="00450CA3">
        <w:t xml:space="preserve"> billion in </w:t>
      </w:r>
      <w:r w:rsidR="002B12C1">
        <w:t>green</w:t>
      </w:r>
      <w:r w:rsidR="00486DBE">
        <w:t xml:space="preserve"> and </w:t>
      </w:r>
      <w:r w:rsidR="002B12C1">
        <w:t>sustainable bonds</w:t>
      </w:r>
      <w:r w:rsidR="002B12C1" w:rsidRPr="00450CA3">
        <w:t xml:space="preserve"> to date</w:t>
      </w:r>
      <w:r w:rsidR="002B12C1">
        <w:t>, including $2</w:t>
      </w:r>
      <w:r w:rsidR="002B12C1" w:rsidRPr="00450CA3">
        <w:t>.</w:t>
      </w:r>
      <w:r w:rsidR="002B12C1">
        <w:t>1</w:t>
      </w:r>
      <w:r w:rsidR="002B12C1" w:rsidRPr="00450CA3">
        <w:t xml:space="preserve"> billion</w:t>
      </w:r>
      <w:r w:rsidR="002B12C1">
        <w:t xml:space="preserve"> </w:t>
      </w:r>
      <w:r w:rsidR="00330E21">
        <w:t xml:space="preserve">in a </w:t>
      </w:r>
      <w:r w:rsidR="002B12C1">
        <w:t>sustainability bond</w:t>
      </w:r>
      <w:r w:rsidR="002B12C1" w:rsidRPr="00450CA3">
        <w:t xml:space="preserve"> </w:t>
      </w:r>
      <w:r w:rsidR="00330E21">
        <w:t xml:space="preserve">first issued </w:t>
      </w:r>
      <w:r w:rsidR="002B12C1" w:rsidRPr="00450CA3">
        <w:t>in November 2019</w:t>
      </w:r>
      <w:r w:rsidR="002B12C1">
        <w:t xml:space="preserve"> and $</w:t>
      </w:r>
      <w:r w:rsidR="007B03D8">
        <w:t>3.1</w:t>
      </w:r>
      <w:r w:rsidR="002B12C1">
        <w:t xml:space="preserve"> billion </w:t>
      </w:r>
      <w:r w:rsidR="007B03D8">
        <w:t xml:space="preserve">in </w:t>
      </w:r>
      <w:r w:rsidR="002B12C1">
        <w:t>green bond</w:t>
      </w:r>
      <w:r w:rsidR="007B03D8">
        <w:t>s</w:t>
      </w:r>
      <w:r w:rsidR="002B12C1">
        <w:t xml:space="preserve"> </w:t>
      </w:r>
      <w:r w:rsidR="007B03D8">
        <w:t>including a $1.3 billion green bond issued in</w:t>
      </w:r>
      <w:r w:rsidR="002B12C1">
        <w:t xml:space="preserve"> October 2020</w:t>
      </w:r>
      <w:r w:rsidR="002B12C1" w:rsidRPr="00450CA3">
        <w:t xml:space="preserve">. These funds are earmarked to </w:t>
      </w:r>
      <w:r w:rsidR="002B12C1" w:rsidRPr="0026691C">
        <w:t>finance projects and assets that deliver positive environmental and</w:t>
      </w:r>
      <w:r w:rsidR="00DD6BA2" w:rsidRPr="0026691C">
        <w:t xml:space="preserve"> social outcomes</w:t>
      </w:r>
      <w:r w:rsidR="001A3390" w:rsidRPr="0026691C">
        <w:t xml:space="preserve"> (see Box 6.2)</w:t>
      </w:r>
    </w:p>
    <w:p w14:paraId="2E593F92" w14:textId="77777777" w:rsidR="003B4BAC" w:rsidRDefault="003B4BAC">
      <w:pPr>
        <w:spacing w:after="200" w:line="276" w:lineRule="auto"/>
        <w:rPr>
          <w:rFonts w:ascii="Arial" w:hAnsi="Arial" w:cs="Arial"/>
          <w:sz w:val="23"/>
          <w:lang w:val="en-AU"/>
        </w:rPr>
      </w:pPr>
      <w:r>
        <w:br w:type="page"/>
      </w:r>
    </w:p>
    <w:p w14:paraId="7F33AAEB" w14:textId="75741505" w:rsidR="000D1820" w:rsidRPr="00450CA3" w:rsidRDefault="00C00982" w:rsidP="003B4BAC">
      <w:pPr>
        <w:pStyle w:val="Bullet1"/>
      </w:pPr>
      <w:r>
        <w:lastRenderedPageBreak/>
        <w:t>a</w:t>
      </w:r>
      <w:r w:rsidR="00775B6F">
        <w:t xml:space="preserve">n </w:t>
      </w:r>
      <w:r w:rsidR="00497D85" w:rsidRPr="00450CA3">
        <w:t>o</w:t>
      </w:r>
      <w:r w:rsidR="00FB08F7" w:rsidRPr="00450CA3">
        <w:t>ngoing</w:t>
      </w:r>
      <w:r w:rsidR="00B550B6" w:rsidRPr="00450CA3">
        <w:t xml:space="preserve"> </w:t>
      </w:r>
      <w:r w:rsidR="00406CCA" w:rsidRPr="00450CA3">
        <w:t>program</w:t>
      </w:r>
      <w:r w:rsidR="00D912EB" w:rsidRPr="00450CA3">
        <w:t xml:space="preserve"> </w:t>
      </w:r>
      <w:r>
        <w:t>of</w:t>
      </w:r>
      <w:r w:rsidR="00FB08F7" w:rsidRPr="00450CA3">
        <w:t xml:space="preserve"> </w:t>
      </w:r>
      <w:r w:rsidR="0012764A" w:rsidRPr="00450CA3">
        <w:t>cash management</w:t>
      </w:r>
      <w:r w:rsidR="00C843CD">
        <w:t xml:space="preserve"> </w:t>
      </w:r>
      <w:r>
        <w:t>reforms</w:t>
      </w:r>
      <w:r w:rsidR="00C843CD">
        <w:t xml:space="preserve"> – t</w:t>
      </w:r>
      <w:r w:rsidR="007A6BAD">
        <w:t>his</w:t>
      </w:r>
      <w:r w:rsidR="00FB08F7" w:rsidRPr="00450CA3">
        <w:t xml:space="preserve"> </w:t>
      </w:r>
      <w:r w:rsidR="00B90D5B" w:rsidRPr="00450CA3">
        <w:t>includ</w:t>
      </w:r>
      <w:r w:rsidR="007A6BAD">
        <w:t>es</w:t>
      </w:r>
      <w:r w:rsidR="00B90D5B" w:rsidRPr="00450CA3">
        <w:t xml:space="preserve"> </w:t>
      </w:r>
      <w:r w:rsidR="00BA6FD0">
        <w:t xml:space="preserve">cash </w:t>
      </w:r>
      <w:r w:rsidR="00C84583">
        <w:t>internalisation</w:t>
      </w:r>
      <w:r w:rsidR="007C5B42">
        <w:t xml:space="preserve"> which involves</w:t>
      </w:r>
      <w:r w:rsidR="00F84EBA">
        <w:t xml:space="preserve"> centralising as much cash as possible within the Treasury Banking System </w:t>
      </w:r>
      <w:r w:rsidR="004F064A">
        <w:t xml:space="preserve">(TBS) </w:t>
      </w:r>
      <w:r w:rsidR="00F84EBA">
        <w:t xml:space="preserve">thereby enabling the State to manage its overall cash position more efficiently and effectively. </w:t>
      </w:r>
      <w:r w:rsidR="00891B67">
        <w:t>This program</w:t>
      </w:r>
      <w:r w:rsidR="00891B67" w:rsidRPr="00450CA3">
        <w:t xml:space="preserve"> has seen </w:t>
      </w:r>
      <w:r w:rsidR="00891B67">
        <w:t xml:space="preserve">another </w:t>
      </w:r>
      <w:r w:rsidR="00891B67" w:rsidRPr="009260E7">
        <w:t>$</w:t>
      </w:r>
      <w:r w:rsidR="009A4BF6">
        <w:t>0.7</w:t>
      </w:r>
      <w:r w:rsidR="00891B67" w:rsidRPr="009260E7">
        <w:t xml:space="preserve"> billion</w:t>
      </w:r>
      <w:r w:rsidR="00891B67">
        <w:t xml:space="preserve"> in cash centralised into the T</w:t>
      </w:r>
      <w:r w:rsidR="00891B67" w:rsidRPr="00450CA3">
        <w:t>BS</w:t>
      </w:r>
      <w:r w:rsidR="00891B67">
        <w:t>, bringing the total amount to around $</w:t>
      </w:r>
      <w:r w:rsidR="00575F94">
        <w:t>4.3</w:t>
      </w:r>
      <w:r w:rsidR="00891B67">
        <w:t xml:space="preserve"> billion</w:t>
      </w:r>
      <w:r w:rsidR="00891B67" w:rsidRPr="00450CA3">
        <w:t xml:space="preserve"> to date</w:t>
      </w:r>
      <w:r w:rsidR="009B50DC">
        <w:t xml:space="preserve"> </w:t>
      </w:r>
    </w:p>
    <w:p w14:paraId="476A2A19" w14:textId="646F4021" w:rsidR="00955DE2" w:rsidRDefault="00826EDB" w:rsidP="003B4BAC">
      <w:pPr>
        <w:pStyle w:val="Bullet1"/>
      </w:pPr>
      <w:r>
        <w:t>g</w:t>
      </w:r>
      <w:r w:rsidR="00B827B4" w:rsidRPr="00450CA3">
        <w:t>rowing the NSW Generations Fund</w:t>
      </w:r>
      <w:r w:rsidR="00F95C66">
        <w:t xml:space="preserve"> </w:t>
      </w:r>
      <w:r w:rsidR="00F95C66" w:rsidRPr="00450CA3">
        <w:t xml:space="preserve">to support the State’s triple-A credit </w:t>
      </w:r>
      <w:r w:rsidR="00F95C66">
        <w:t xml:space="preserve">rating </w:t>
      </w:r>
      <w:r w:rsidR="00F95C66" w:rsidRPr="00450CA3">
        <w:t>and sustainable debt position</w:t>
      </w:r>
      <w:r w:rsidR="00F95C66">
        <w:t xml:space="preserve"> over the medium-term. In line with the </w:t>
      </w:r>
      <w:r w:rsidR="00F95C66" w:rsidRPr="00CA1F26">
        <w:rPr>
          <w:i/>
          <w:iCs/>
        </w:rPr>
        <w:t>NSW Generations Fund</w:t>
      </w:r>
      <w:r w:rsidR="00C44F78">
        <w:rPr>
          <w:i/>
          <w:iCs/>
        </w:rPr>
        <w:t>s</w:t>
      </w:r>
      <w:r w:rsidR="00F95C66" w:rsidRPr="00CA1F26">
        <w:rPr>
          <w:i/>
          <w:iCs/>
        </w:rPr>
        <w:t xml:space="preserve"> Act 2018</w:t>
      </w:r>
      <w:r w:rsidR="00C44F78">
        <w:t>,</w:t>
      </w:r>
      <w:r w:rsidR="00F95C66" w:rsidRPr="00450CA3">
        <w:t xml:space="preserve"> </w:t>
      </w:r>
      <w:r w:rsidR="00F95C66">
        <w:t xml:space="preserve">the Government will invest the proceeds of </w:t>
      </w:r>
      <w:r w:rsidR="00C556CD">
        <w:t xml:space="preserve">the </w:t>
      </w:r>
      <w:r w:rsidR="00794A29">
        <w:t xml:space="preserve">planned </w:t>
      </w:r>
      <w:r w:rsidR="00C556CD">
        <w:t xml:space="preserve">sale of its 49 per cent </w:t>
      </w:r>
      <w:r>
        <w:t xml:space="preserve">residual </w:t>
      </w:r>
      <w:r w:rsidR="00C556CD">
        <w:t xml:space="preserve">share in WestConnex into the NGF. Additionally, the Government will </w:t>
      </w:r>
      <w:r w:rsidR="00E177B1">
        <w:t xml:space="preserve">direct SOC dividends and </w:t>
      </w:r>
      <w:r w:rsidR="00D2661D">
        <w:t>mining r</w:t>
      </w:r>
      <w:r w:rsidR="00E177B1">
        <w:t>oyalties into the NGF</w:t>
      </w:r>
      <w:r w:rsidR="0069724D">
        <w:t xml:space="preserve"> (see Box 3.</w:t>
      </w:r>
      <w:r w:rsidR="005F7535">
        <w:t>2</w:t>
      </w:r>
      <w:r w:rsidR="0069724D">
        <w:t xml:space="preserve"> in Chapter 3)</w:t>
      </w:r>
      <w:r w:rsidR="007575A6">
        <w:t>.</w:t>
      </w:r>
    </w:p>
    <w:p w14:paraId="55AF20AB" w14:textId="5B6D8B67" w:rsidR="00FA5650" w:rsidRDefault="00FA5650" w:rsidP="007E23BE">
      <w:pPr>
        <w:pStyle w:val="Heading3"/>
        <w:keepNext w:val="0"/>
      </w:pPr>
      <w:r>
        <w:t>Overview of key changes</w:t>
      </w:r>
      <w:r w:rsidR="00B825FD">
        <w:t xml:space="preserve"> </w:t>
      </w:r>
      <w:r>
        <w:t xml:space="preserve">since </w:t>
      </w:r>
      <w:r w:rsidR="00E833C9">
        <w:t xml:space="preserve">the </w:t>
      </w:r>
      <w:r>
        <w:t>201</w:t>
      </w:r>
      <w:r w:rsidR="00114B16">
        <w:t>9</w:t>
      </w:r>
      <w:r w:rsidR="009A0953">
        <w:t>-20</w:t>
      </w:r>
      <w:r>
        <w:t xml:space="preserve"> </w:t>
      </w:r>
      <w:r w:rsidR="009A0953">
        <w:t>Half-Yearly Review</w:t>
      </w:r>
    </w:p>
    <w:p w14:paraId="45568796" w14:textId="787F1DFF" w:rsidR="00B825FD" w:rsidRPr="00F53119" w:rsidRDefault="002630DF" w:rsidP="00A6600D">
      <w:pPr>
        <w:pStyle w:val="BodyText"/>
      </w:pPr>
      <w:r>
        <w:t>Key balance sheet movements si</w:t>
      </w:r>
      <w:r w:rsidR="004337B1">
        <w:t>nce t</w:t>
      </w:r>
      <w:r w:rsidR="00B825FD" w:rsidRPr="00F53119">
        <w:t>he 201</w:t>
      </w:r>
      <w:r w:rsidR="00114B16">
        <w:t>9</w:t>
      </w:r>
      <w:r w:rsidR="00166DBE">
        <w:t>-20</w:t>
      </w:r>
      <w:r w:rsidR="00B825FD" w:rsidRPr="00F53119">
        <w:t xml:space="preserve"> </w:t>
      </w:r>
      <w:r w:rsidR="00166DBE">
        <w:t>Half-Yearly Review</w:t>
      </w:r>
      <w:r w:rsidR="008E24ED" w:rsidRPr="00F53119">
        <w:t xml:space="preserve"> </w:t>
      </w:r>
      <w:r w:rsidR="001C7F7D">
        <w:t xml:space="preserve">(see Table </w:t>
      </w:r>
      <w:r w:rsidR="00C85F94">
        <w:t>6</w:t>
      </w:r>
      <w:r w:rsidR="001C7F7D">
        <w:t>.1</w:t>
      </w:r>
      <w:r>
        <w:t>)</w:t>
      </w:r>
      <w:r w:rsidR="00B825FD" w:rsidRPr="00F53119">
        <w:t xml:space="preserve"> includ</w:t>
      </w:r>
      <w:r w:rsidR="001C7F7D">
        <w:t>e</w:t>
      </w:r>
      <w:r w:rsidR="00B825FD" w:rsidRPr="00F53119">
        <w:t>:</w:t>
      </w:r>
    </w:p>
    <w:p w14:paraId="20043B0D" w14:textId="08F0AF78" w:rsidR="00907845" w:rsidRDefault="00AB5114" w:rsidP="003B4BAC">
      <w:pPr>
        <w:pStyle w:val="Bullet1"/>
      </w:pPr>
      <w:r>
        <w:t>a</w:t>
      </w:r>
      <w:r w:rsidR="00E652DF">
        <w:t>n</w:t>
      </w:r>
      <w:r w:rsidR="003D14D5" w:rsidRPr="00E62028">
        <w:t xml:space="preserve"> </w:t>
      </w:r>
      <w:r w:rsidR="009B78C0">
        <w:t>increase</w:t>
      </w:r>
      <w:r w:rsidR="004F0964" w:rsidRPr="00E62028">
        <w:t xml:space="preserve"> in</w:t>
      </w:r>
      <w:r w:rsidR="004F0964" w:rsidRPr="00F53119">
        <w:t xml:space="preserve"> net</w:t>
      </w:r>
      <w:r w:rsidR="00443BAC" w:rsidRPr="00F53119">
        <w:t xml:space="preserve"> debt</w:t>
      </w:r>
      <w:r w:rsidR="004F0964" w:rsidRPr="00F53119">
        <w:t xml:space="preserve"> </w:t>
      </w:r>
      <w:r w:rsidR="000D444A">
        <w:t xml:space="preserve">to </w:t>
      </w:r>
      <w:r w:rsidR="00F45369">
        <w:t>$</w:t>
      </w:r>
      <w:r w:rsidR="000D444A">
        <w:t xml:space="preserve">19.3 billion </w:t>
      </w:r>
      <w:r w:rsidR="00CB116F">
        <w:t>at June 20</w:t>
      </w:r>
      <w:r w:rsidR="0010151E">
        <w:t>20</w:t>
      </w:r>
      <w:r w:rsidR="000D444A">
        <w:t xml:space="preserve">, </w:t>
      </w:r>
      <w:r w:rsidR="004F0964" w:rsidRPr="001C1FC1">
        <w:t>fr</w:t>
      </w:r>
      <w:r w:rsidR="00F53119" w:rsidRPr="001C1FC1">
        <w:t>om</w:t>
      </w:r>
      <w:r w:rsidR="00494F1B">
        <w:t xml:space="preserve"> </w:t>
      </w:r>
      <w:r w:rsidR="00A04401">
        <w:t xml:space="preserve">the </w:t>
      </w:r>
      <w:r w:rsidR="000D444A">
        <w:t xml:space="preserve">earlier </w:t>
      </w:r>
      <w:r w:rsidR="004F0964" w:rsidRPr="00450CA3">
        <w:t>$</w:t>
      </w:r>
      <w:r w:rsidR="00494F1B" w:rsidRPr="00450CA3">
        <w:t>12</w:t>
      </w:r>
      <w:r w:rsidR="00134EE4" w:rsidRPr="00450CA3">
        <w:t>.</w:t>
      </w:r>
      <w:r w:rsidR="00494F1B" w:rsidRPr="00450CA3">
        <w:t>9</w:t>
      </w:r>
      <w:r w:rsidR="004F0964" w:rsidRPr="000D5104">
        <w:t xml:space="preserve"> billion</w:t>
      </w:r>
      <w:r w:rsidR="007E23BE">
        <w:t xml:space="preserve"> </w:t>
      </w:r>
      <w:r w:rsidR="00472944">
        <w:t xml:space="preserve">forecast </w:t>
      </w:r>
      <w:r w:rsidR="007E23BE">
        <w:t>at the 201</w:t>
      </w:r>
      <w:r w:rsidR="00114B16">
        <w:t>9</w:t>
      </w:r>
      <w:r w:rsidR="009B78C0">
        <w:t>-20</w:t>
      </w:r>
      <w:r w:rsidR="007E23BE">
        <w:t> </w:t>
      </w:r>
      <w:r w:rsidR="009B78C0">
        <w:t>Half-Yearly</w:t>
      </w:r>
      <w:r w:rsidR="006F61ED">
        <w:t xml:space="preserve"> </w:t>
      </w:r>
      <w:r w:rsidR="009B78C0">
        <w:t>Review</w:t>
      </w:r>
      <w:r w:rsidR="00F07830">
        <w:t>. This is</w:t>
      </w:r>
      <w:r w:rsidR="00044A6A">
        <w:t xml:space="preserve"> </w:t>
      </w:r>
      <w:r w:rsidR="001A3390">
        <w:t xml:space="preserve">due to </w:t>
      </w:r>
      <w:r w:rsidR="0009328F">
        <w:t xml:space="preserve">a </w:t>
      </w:r>
      <w:r w:rsidR="0009328F" w:rsidRPr="0011054D">
        <w:t>$</w:t>
      </w:r>
      <w:r w:rsidR="00BF4093" w:rsidRPr="0011054D">
        <w:t>12.7</w:t>
      </w:r>
      <w:r w:rsidR="0009328F" w:rsidRPr="0011054D">
        <w:t xml:space="preserve"> billion</w:t>
      </w:r>
      <w:r w:rsidR="0009328F">
        <w:t xml:space="preserve"> </w:t>
      </w:r>
      <w:r w:rsidR="001A3390">
        <w:t>increase</w:t>
      </w:r>
      <w:r w:rsidR="0009328F">
        <w:t xml:space="preserve"> in</w:t>
      </w:r>
      <w:r w:rsidR="00044A6A">
        <w:t xml:space="preserve"> borrowings in response to the </w:t>
      </w:r>
      <w:r w:rsidR="00A860E0">
        <w:t xml:space="preserve">crisis, partially </w:t>
      </w:r>
      <w:r w:rsidR="0009328F">
        <w:t xml:space="preserve">offset by </w:t>
      </w:r>
      <w:r w:rsidR="00F43139">
        <w:t xml:space="preserve">a </w:t>
      </w:r>
      <w:r w:rsidR="00F43139" w:rsidRPr="0011054D">
        <w:t>$</w:t>
      </w:r>
      <w:r w:rsidR="004E5200" w:rsidRPr="0011054D">
        <w:t>4.9</w:t>
      </w:r>
      <w:r w:rsidR="00F43139" w:rsidRPr="0011054D">
        <w:t xml:space="preserve"> billion</w:t>
      </w:r>
      <w:r w:rsidR="00F43139">
        <w:t xml:space="preserve"> increase in</w:t>
      </w:r>
      <w:r w:rsidR="0009328F">
        <w:t xml:space="preserve"> cash </w:t>
      </w:r>
      <w:r w:rsidR="00F43139">
        <w:t>reserves</w:t>
      </w:r>
      <w:r w:rsidR="00136C1F">
        <w:t xml:space="preserve"> to</w:t>
      </w:r>
      <w:r w:rsidR="00897327">
        <w:t xml:space="preserve"> help </w:t>
      </w:r>
      <w:r w:rsidR="00F43139">
        <w:t xml:space="preserve">the State maintain </w:t>
      </w:r>
      <w:r w:rsidR="007A2C14">
        <w:t>adequate</w:t>
      </w:r>
      <w:r w:rsidR="003F07DE">
        <w:t xml:space="preserve"> </w:t>
      </w:r>
      <w:r w:rsidR="00F43139">
        <w:t xml:space="preserve">liquidity during the </w:t>
      </w:r>
      <w:r w:rsidR="00EF2AAB">
        <w:t>early period</w:t>
      </w:r>
      <w:r w:rsidR="0097716F">
        <w:t xml:space="preserve"> of the COVID-19 pandemic</w:t>
      </w:r>
      <w:r w:rsidR="00C93CD8">
        <w:t>.</w:t>
      </w:r>
    </w:p>
    <w:p w14:paraId="3A851790" w14:textId="47EBBA46" w:rsidR="00FA5650" w:rsidRDefault="00B877BC" w:rsidP="003B4BAC">
      <w:pPr>
        <w:pStyle w:val="Bullet1"/>
      </w:pPr>
      <w:r>
        <w:t>a</w:t>
      </w:r>
      <w:r w:rsidR="004F0964" w:rsidRPr="00510318" w:rsidDel="00503379">
        <w:t xml:space="preserve"> </w:t>
      </w:r>
      <w:r w:rsidR="00503379">
        <w:t xml:space="preserve">reduction in </w:t>
      </w:r>
      <w:r w:rsidR="004F0964" w:rsidRPr="00FD696F">
        <w:t>net worth</w:t>
      </w:r>
      <w:r w:rsidR="006A28A5" w:rsidRPr="00FD696F">
        <w:t xml:space="preserve"> </w:t>
      </w:r>
      <w:r w:rsidR="0006563A">
        <w:t xml:space="preserve">from the $251.1 billion </w:t>
      </w:r>
      <w:r w:rsidR="00F253DD">
        <w:t xml:space="preserve">projected </w:t>
      </w:r>
      <w:r w:rsidR="00D04241">
        <w:t xml:space="preserve">in the </w:t>
      </w:r>
      <w:r w:rsidR="00D04241" w:rsidRPr="00510318">
        <w:t>2019-20</w:t>
      </w:r>
      <w:r w:rsidR="00D04241" w:rsidRPr="00FD696F">
        <w:t xml:space="preserve"> Half-Yearly Review</w:t>
      </w:r>
      <w:r w:rsidR="00D04241">
        <w:t xml:space="preserve"> </w:t>
      </w:r>
      <w:r w:rsidR="00D04241" w:rsidRPr="0054183D">
        <w:t xml:space="preserve">to </w:t>
      </w:r>
      <w:r w:rsidR="00503379">
        <w:t>$</w:t>
      </w:r>
      <w:r w:rsidR="00AF0B11">
        <w:t>238.7 billion at June 2020</w:t>
      </w:r>
      <w:r w:rsidR="00D04241" w:rsidRPr="0039109B">
        <w:t xml:space="preserve">. This has been </w:t>
      </w:r>
      <w:r w:rsidR="0039109B">
        <w:t xml:space="preserve">primarily </w:t>
      </w:r>
      <w:r w:rsidR="00D04241" w:rsidRPr="0054183D">
        <w:t xml:space="preserve">driven by </w:t>
      </w:r>
      <w:r w:rsidR="0060121F">
        <w:t xml:space="preserve">a large increase in </w:t>
      </w:r>
      <w:r w:rsidR="0081505E">
        <w:t>additional expenses in response to COVID-19, bushfires and droughts</w:t>
      </w:r>
      <w:r w:rsidR="00FE2E41">
        <w:t xml:space="preserve"> and a</w:t>
      </w:r>
      <w:r w:rsidR="00F234A4">
        <w:t xml:space="preserve"> large</w:t>
      </w:r>
      <w:r w:rsidR="00404A82">
        <w:t xml:space="preserve"> fall in taxation revenue. </w:t>
      </w:r>
      <w:r w:rsidR="007665E9">
        <w:t>Additionally, there has been a</w:t>
      </w:r>
      <w:r w:rsidR="002E6F27" w:rsidRPr="00112443">
        <w:t xml:space="preserve"> $</w:t>
      </w:r>
      <w:r w:rsidR="00A24349" w:rsidRPr="00112443">
        <w:t>0.1</w:t>
      </w:r>
      <w:r w:rsidR="002E6F27" w:rsidRPr="00112443">
        <w:t xml:space="preserve"> billion</w:t>
      </w:r>
      <w:r w:rsidR="002E6F27" w:rsidRPr="0054183D">
        <w:t xml:space="preserve"> increase in </w:t>
      </w:r>
      <w:r w:rsidR="000A45DE" w:rsidRPr="00CA1F26">
        <w:t>the valu</w:t>
      </w:r>
      <w:r w:rsidR="006B04A5" w:rsidRPr="00CA1F26">
        <w:t>e</w:t>
      </w:r>
      <w:r w:rsidR="000A45DE" w:rsidRPr="00CA1F26">
        <w:t xml:space="preserve"> of </w:t>
      </w:r>
      <w:r w:rsidR="00A36058" w:rsidRPr="00CA1F26">
        <w:t xml:space="preserve">unfunded </w:t>
      </w:r>
      <w:r w:rsidR="005D0B09" w:rsidRPr="00CA1F26">
        <w:t xml:space="preserve">defined benefit </w:t>
      </w:r>
      <w:r w:rsidR="00CA6189" w:rsidRPr="00CA1F26">
        <w:t xml:space="preserve">superannuation </w:t>
      </w:r>
      <w:r w:rsidR="0068335A" w:rsidRPr="00CA1F26">
        <w:t>liabilities</w:t>
      </w:r>
      <w:r w:rsidR="00CE4D78" w:rsidRPr="00CA1F26">
        <w:t xml:space="preserve"> </w:t>
      </w:r>
      <w:r w:rsidR="0039109B" w:rsidRPr="00CA1F26">
        <w:t xml:space="preserve">due to </w:t>
      </w:r>
      <w:r>
        <w:t>the</w:t>
      </w:r>
      <w:r w:rsidR="00315F70" w:rsidRPr="00CA1F26">
        <w:t xml:space="preserve"> lower</w:t>
      </w:r>
      <w:r w:rsidR="00EE13F1" w:rsidRPr="00CA1F26">
        <w:t xml:space="preserve"> Commonwealth Bond rate (which is </w:t>
      </w:r>
      <w:r w:rsidR="00456CCD">
        <w:t>merely a valuation impact</w:t>
      </w:r>
      <w:r w:rsidR="007F441A">
        <w:t xml:space="preserve"> due to</w:t>
      </w:r>
      <w:r w:rsidR="00E90F67" w:rsidRPr="00CA1F26">
        <w:t xml:space="preserve"> </w:t>
      </w:r>
      <w:r w:rsidR="00CE4D78" w:rsidRPr="00CA1F26">
        <w:t xml:space="preserve">AASB 119 </w:t>
      </w:r>
      <w:r w:rsidR="00CE4D78" w:rsidRPr="00CA1F26">
        <w:rPr>
          <w:i/>
        </w:rPr>
        <w:t>E</w:t>
      </w:r>
      <w:r w:rsidR="00933C37" w:rsidRPr="00CA1F26">
        <w:rPr>
          <w:i/>
        </w:rPr>
        <w:t>mployee Benefits</w:t>
      </w:r>
      <w:r w:rsidR="00A7618A">
        <w:rPr>
          <w:i/>
        </w:rPr>
        <w:t xml:space="preserve"> </w:t>
      </w:r>
      <w:r w:rsidR="00A7618A">
        <w:rPr>
          <w:iCs/>
        </w:rPr>
        <w:t>requirements</w:t>
      </w:r>
      <w:r w:rsidR="00077900">
        <w:rPr>
          <w:iCs/>
        </w:rPr>
        <w:t>, not a cash funding</w:t>
      </w:r>
      <w:r w:rsidR="004D4DE2">
        <w:rPr>
          <w:iCs/>
        </w:rPr>
        <w:t xml:space="preserve"> shortfall</w:t>
      </w:r>
      <w:r w:rsidR="00E90F67" w:rsidRPr="00CA1F26">
        <w:t>)</w:t>
      </w:r>
      <w:r w:rsidR="0039109B">
        <w:t xml:space="preserve">. </w:t>
      </w:r>
    </w:p>
    <w:p w14:paraId="51BA58C3" w14:textId="5AFA3524" w:rsidR="0063421B" w:rsidRPr="00907845" w:rsidRDefault="0063421B" w:rsidP="000C395C">
      <w:pPr>
        <w:pStyle w:val="Table6X"/>
      </w:pPr>
      <w:r w:rsidRPr="00B11A17">
        <w:t xml:space="preserve">Key balance sheet aggregates of the </w:t>
      </w:r>
      <w:r>
        <w:t>general government sector</w:t>
      </w:r>
    </w:p>
    <w:tbl>
      <w:tblPr>
        <w:tblW w:w="10232" w:type="dxa"/>
        <w:tblLook w:val="04A0" w:firstRow="1" w:lastRow="0" w:firstColumn="1" w:lastColumn="0" w:noHBand="0" w:noVBand="1"/>
        <w:tblCaption w:val="Table 6.1: Key balance sheet aggregates of the general government sector"/>
        <w:tblDescription w:val="Table 6.1: Key balance sheet aggregates of the general government sector"/>
      </w:tblPr>
      <w:tblGrid>
        <w:gridCol w:w="2816"/>
        <w:gridCol w:w="1236"/>
        <w:gridCol w:w="1236"/>
        <w:gridCol w:w="1236"/>
        <w:gridCol w:w="1236"/>
        <w:gridCol w:w="1236"/>
        <w:gridCol w:w="1236"/>
      </w:tblGrid>
      <w:tr w:rsidR="0070702E" w:rsidRPr="0070702E" w14:paraId="4EDE7848" w14:textId="77777777" w:rsidTr="0070702E">
        <w:trPr>
          <w:trHeight w:val="240"/>
        </w:trPr>
        <w:tc>
          <w:tcPr>
            <w:tcW w:w="2816" w:type="dxa"/>
            <w:tcBorders>
              <w:top w:val="nil"/>
              <w:left w:val="nil"/>
              <w:bottom w:val="nil"/>
              <w:right w:val="nil"/>
            </w:tcBorders>
            <w:shd w:val="clear" w:color="000000" w:fill="00426F"/>
            <w:noWrap/>
            <w:hideMark/>
          </w:tcPr>
          <w:p w14:paraId="125258AE"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 </w:t>
            </w:r>
          </w:p>
        </w:tc>
        <w:tc>
          <w:tcPr>
            <w:tcW w:w="1236" w:type="dxa"/>
            <w:tcBorders>
              <w:top w:val="nil"/>
              <w:left w:val="nil"/>
              <w:bottom w:val="nil"/>
              <w:right w:val="nil"/>
            </w:tcBorders>
            <w:shd w:val="clear" w:color="000000" w:fill="00426F"/>
            <w:noWrap/>
            <w:vAlign w:val="center"/>
            <w:hideMark/>
          </w:tcPr>
          <w:p w14:paraId="7C20D4E6"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June 2019</w:t>
            </w:r>
          </w:p>
        </w:tc>
        <w:tc>
          <w:tcPr>
            <w:tcW w:w="1236" w:type="dxa"/>
            <w:tcBorders>
              <w:top w:val="nil"/>
              <w:left w:val="nil"/>
              <w:bottom w:val="nil"/>
              <w:right w:val="nil"/>
            </w:tcBorders>
            <w:shd w:val="clear" w:color="000000" w:fill="00426F"/>
            <w:noWrap/>
            <w:vAlign w:val="center"/>
            <w:hideMark/>
          </w:tcPr>
          <w:p w14:paraId="12948144"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June 2020</w:t>
            </w:r>
          </w:p>
        </w:tc>
        <w:tc>
          <w:tcPr>
            <w:tcW w:w="1236" w:type="dxa"/>
            <w:tcBorders>
              <w:top w:val="nil"/>
              <w:left w:val="nil"/>
              <w:bottom w:val="nil"/>
              <w:right w:val="nil"/>
            </w:tcBorders>
            <w:shd w:val="clear" w:color="000000" w:fill="00426F"/>
            <w:noWrap/>
            <w:vAlign w:val="center"/>
            <w:hideMark/>
          </w:tcPr>
          <w:p w14:paraId="662FD9C1"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June 2021</w:t>
            </w:r>
          </w:p>
        </w:tc>
        <w:tc>
          <w:tcPr>
            <w:tcW w:w="1236" w:type="dxa"/>
            <w:tcBorders>
              <w:top w:val="nil"/>
              <w:left w:val="nil"/>
              <w:bottom w:val="nil"/>
              <w:right w:val="nil"/>
            </w:tcBorders>
            <w:shd w:val="clear" w:color="000000" w:fill="00426F"/>
            <w:noWrap/>
            <w:vAlign w:val="center"/>
            <w:hideMark/>
          </w:tcPr>
          <w:p w14:paraId="54C1A8F7"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June 2022</w:t>
            </w:r>
          </w:p>
        </w:tc>
        <w:tc>
          <w:tcPr>
            <w:tcW w:w="1236" w:type="dxa"/>
            <w:tcBorders>
              <w:top w:val="nil"/>
              <w:left w:val="nil"/>
              <w:bottom w:val="nil"/>
              <w:right w:val="nil"/>
            </w:tcBorders>
            <w:shd w:val="clear" w:color="000000" w:fill="00426F"/>
            <w:noWrap/>
            <w:vAlign w:val="center"/>
            <w:hideMark/>
          </w:tcPr>
          <w:p w14:paraId="247BDC21"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June 2023</w:t>
            </w:r>
          </w:p>
        </w:tc>
        <w:tc>
          <w:tcPr>
            <w:tcW w:w="1236" w:type="dxa"/>
            <w:tcBorders>
              <w:top w:val="nil"/>
              <w:left w:val="nil"/>
              <w:bottom w:val="nil"/>
              <w:right w:val="nil"/>
            </w:tcBorders>
            <w:shd w:val="clear" w:color="000000" w:fill="00426F"/>
            <w:noWrap/>
            <w:vAlign w:val="center"/>
            <w:hideMark/>
          </w:tcPr>
          <w:p w14:paraId="3EB8B402"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June 2024</w:t>
            </w:r>
          </w:p>
        </w:tc>
      </w:tr>
      <w:tr w:rsidR="0070702E" w:rsidRPr="0070702E" w14:paraId="69B23ADE" w14:textId="77777777" w:rsidTr="0070702E">
        <w:trPr>
          <w:trHeight w:val="240"/>
        </w:trPr>
        <w:tc>
          <w:tcPr>
            <w:tcW w:w="2816" w:type="dxa"/>
            <w:tcBorders>
              <w:top w:val="nil"/>
              <w:left w:val="nil"/>
              <w:bottom w:val="nil"/>
              <w:right w:val="nil"/>
            </w:tcBorders>
            <w:shd w:val="clear" w:color="000000" w:fill="00426F"/>
            <w:noWrap/>
            <w:hideMark/>
          </w:tcPr>
          <w:p w14:paraId="47B94DE7"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 </w:t>
            </w:r>
          </w:p>
        </w:tc>
        <w:tc>
          <w:tcPr>
            <w:tcW w:w="1236" w:type="dxa"/>
            <w:tcBorders>
              <w:top w:val="nil"/>
              <w:left w:val="nil"/>
              <w:bottom w:val="nil"/>
              <w:right w:val="nil"/>
            </w:tcBorders>
            <w:shd w:val="clear" w:color="000000" w:fill="00426F"/>
            <w:noWrap/>
            <w:vAlign w:val="center"/>
            <w:hideMark/>
          </w:tcPr>
          <w:p w14:paraId="2AEE7867"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Actual</w:t>
            </w:r>
          </w:p>
        </w:tc>
        <w:tc>
          <w:tcPr>
            <w:tcW w:w="1236" w:type="dxa"/>
            <w:tcBorders>
              <w:top w:val="nil"/>
              <w:left w:val="nil"/>
              <w:bottom w:val="nil"/>
              <w:right w:val="nil"/>
            </w:tcBorders>
            <w:shd w:val="clear" w:color="000000" w:fill="00426F"/>
            <w:noWrap/>
            <w:vAlign w:val="center"/>
            <w:hideMark/>
          </w:tcPr>
          <w:p w14:paraId="198DC6F6"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Actual</w:t>
            </w:r>
          </w:p>
        </w:tc>
        <w:tc>
          <w:tcPr>
            <w:tcW w:w="1236" w:type="dxa"/>
            <w:tcBorders>
              <w:top w:val="nil"/>
              <w:left w:val="nil"/>
              <w:bottom w:val="nil"/>
              <w:right w:val="nil"/>
            </w:tcBorders>
            <w:shd w:val="clear" w:color="000000" w:fill="00426F"/>
            <w:noWrap/>
            <w:vAlign w:val="center"/>
            <w:hideMark/>
          </w:tcPr>
          <w:p w14:paraId="6F16800A"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Budget</w:t>
            </w:r>
          </w:p>
        </w:tc>
        <w:tc>
          <w:tcPr>
            <w:tcW w:w="3708" w:type="dxa"/>
            <w:gridSpan w:val="3"/>
            <w:tcBorders>
              <w:top w:val="nil"/>
              <w:left w:val="nil"/>
              <w:bottom w:val="nil"/>
              <w:right w:val="nil"/>
            </w:tcBorders>
            <w:shd w:val="clear" w:color="000000" w:fill="00426F"/>
            <w:noWrap/>
            <w:vAlign w:val="center"/>
            <w:hideMark/>
          </w:tcPr>
          <w:p w14:paraId="4D3AF412" w14:textId="77777777" w:rsidR="0070702E" w:rsidRPr="0070702E" w:rsidRDefault="0070702E" w:rsidP="0070702E">
            <w:pPr>
              <w:jc w:val="center"/>
              <w:rPr>
                <w:rFonts w:ascii="Arial" w:hAnsi="Arial" w:cs="Arial"/>
                <w:color w:val="FFFFFF"/>
                <w:sz w:val="16"/>
                <w:szCs w:val="16"/>
                <w:lang w:val="en-AU" w:eastAsia="en-AU"/>
              </w:rPr>
            </w:pPr>
            <w:r w:rsidRPr="0070702E">
              <w:rPr>
                <w:rFonts w:ascii="Arial" w:hAnsi="Arial" w:cs="Arial"/>
                <w:color w:val="FFFFFF"/>
                <w:sz w:val="16"/>
                <w:szCs w:val="16"/>
                <w:lang w:val="en-AU" w:eastAsia="en-AU"/>
              </w:rPr>
              <w:t>Forward Estimates</w:t>
            </w:r>
          </w:p>
        </w:tc>
      </w:tr>
      <w:tr w:rsidR="0070702E" w:rsidRPr="0070702E" w14:paraId="6BD9F807" w14:textId="77777777" w:rsidTr="0070702E">
        <w:trPr>
          <w:trHeight w:val="240"/>
        </w:trPr>
        <w:tc>
          <w:tcPr>
            <w:tcW w:w="2816" w:type="dxa"/>
            <w:tcBorders>
              <w:top w:val="nil"/>
              <w:left w:val="nil"/>
              <w:bottom w:val="nil"/>
              <w:right w:val="nil"/>
            </w:tcBorders>
            <w:shd w:val="clear" w:color="000000" w:fill="FFFFFF"/>
            <w:noWrap/>
            <w:vAlign w:val="bottom"/>
            <w:hideMark/>
          </w:tcPr>
          <w:p w14:paraId="758938CD"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Total Assets ($m)</w:t>
            </w:r>
          </w:p>
        </w:tc>
        <w:tc>
          <w:tcPr>
            <w:tcW w:w="1236" w:type="dxa"/>
            <w:tcBorders>
              <w:top w:val="nil"/>
              <w:left w:val="nil"/>
              <w:bottom w:val="nil"/>
              <w:right w:val="nil"/>
            </w:tcBorders>
            <w:shd w:val="clear" w:color="000000" w:fill="FFFFFF"/>
            <w:noWrap/>
            <w:vAlign w:val="bottom"/>
            <w:hideMark/>
          </w:tcPr>
          <w:p w14:paraId="2C550EB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401,181</w:t>
            </w:r>
          </w:p>
        </w:tc>
        <w:tc>
          <w:tcPr>
            <w:tcW w:w="1236" w:type="dxa"/>
            <w:tcBorders>
              <w:top w:val="nil"/>
              <w:left w:val="nil"/>
              <w:bottom w:val="nil"/>
              <w:right w:val="nil"/>
            </w:tcBorders>
            <w:shd w:val="clear" w:color="000000" w:fill="FFFFFF"/>
            <w:noWrap/>
            <w:vAlign w:val="bottom"/>
            <w:hideMark/>
          </w:tcPr>
          <w:p w14:paraId="5622D1F5"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425,651</w:t>
            </w:r>
          </w:p>
        </w:tc>
        <w:tc>
          <w:tcPr>
            <w:tcW w:w="1236" w:type="dxa"/>
            <w:tcBorders>
              <w:top w:val="nil"/>
              <w:left w:val="nil"/>
              <w:bottom w:val="nil"/>
              <w:right w:val="nil"/>
            </w:tcBorders>
            <w:shd w:val="clear" w:color="000000" w:fill="F2F2F2"/>
            <w:noWrap/>
            <w:vAlign w:val="bottom"/>
            <w:hideMark/>
          </w:tcPr>
          <w:p w14:paraId="10DD7C6C"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459,731</w:t>
            </w:r>
          </w:p>
        </w:tc>
        <w:tc>
          <w:tcPr>
            <w:tcW w:w="1236" w:type="dxa"/>
            <w:tcBorders>
              <w:top w:val="nil"/>
              <w:left w:val="nil"/>
              <w:bottom w:val="nil"/>
              <w:right w:val="nil"/>
            </w:tcBorders>
            <w:shd w:val="clear" w:color="000000" w:fill="F2F2F2"/>
            <w:noWrap/>
            <w:vAlign w:val="bottom"/>
            <w:hideMark/>
          </w:tcPr>
          <w:p w14:paraId="1BFAFB9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480,748</w:t>
            </w:r>
          </w:p>
        </w:tc>
        <w:tc>
          <w:tcPr>
            <w:tcW w:w="1236" w:type="dxa"/>
            <w:tcBorders>
              <w:top w:val="nil"/>
              <w:left w:val="nil"/>
              <w:bottom w:val="nil"/>
              <w:right w:val="nil"/>
            </w:tcBorders>
            <w:shd w:val="clear" w:color="000000" w:fill="F2F2F2"/>
            <w:noWrap/>
            <w:vAlign w:val="bottom"/>
            <w:hideMark/>
          </w:tcPr>
          <w:p w14:paraId="0692F78C"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501,788</w:t>
            </w:r>
          </w:p>
        </w:tc>
        <w:tc>
          <w:tcPr>
            <w:tcW w:w="1236" w:type="dxa"/>
            <w:tcBorders>
              <w:top w:val="nil"/>
              <w:left w:val="nil"/>
              <w:bottom w:val="nil"/>
              <w:right w:val="nil"/>
            </w:tcBorders>
            <w:shd w:val="clear" w:color="000000" w:fill="F2F2F2"/>
            <w:noWrap/>
            <w:vAlign w:val="bottom"/>
            <w:hideMark/>
          </w:tcPr>
          <w:p w14:paraId="4F2F7CF7"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529,974</w:t>
            </w:r>
          </w:p>
        </w:tc>
      </w:tr>
      <w:tr w:rsidR="0070702E" w:rsidRPr="0070702E" w14:paraId="5A09D861" w14:textId="77777777" w:rsidTr="0070702E">
        <w:trPr>
          <w:trHeight w:val="240"/>
        </w:trPr>
        <w:tc>
          <w:tcPr>
            <w:tcW w:w="2816" w:type="dxa"/>
            <w:tcBorders>
              <w:top w:val="nil"/>
              <w:left w:val="nil"/>
              <w:bottom w:val="nil"/>
              <w:right w:val="nil"/>
            </w:tcBorders>
            <w:shd w:val="clear" w:color="000000" w:fill="FFFFFF"/>
            <w:noWrap/>
            <w:vAlign w:val="bottom"/>
            <w:hideMark/>
          </w:tcPr>
          <w:p w14:paraId="240D1EC1" w14:textId="77777777" w:rsidR="0070702E" w:rsidRPr="0070702E" w:rsidRDefault="0070702E" w:rsidP="0070702E">
            <w:pPr>
              <w:ind w:firstLineChars="100" w:firstLine="160"/>
              <w:rPr>
                <w:rFonts w:ascii="Arial" w:hAnsi="Arial" w:cs="Arial"/>
                <w:color w:val="000000"/>
                <w:sz w:val="16"/>
                <w:szCs w:val="16"/>
                <w:lang w:val="en-AU" w:eastAsia="en-AU"/>
              </w:rPr>
            </w:pPr>
            <w:r w:rsidRPr="0070702E">
              <w:rPr>
                <w:rFonts w:ascii="Arial" w:hAnsi="Arial" w:cs="Arial"/>
                <w:color w:val="000000"/>
                <w:sz w:val="16"/>
                <w:szCs w:val="16"/>
                <w:lang w:val="en-AU" w:eastAsia="en-AU"/>
              </w:rPr>
              <w:t>Financial Assets ($m)</w:t>
            </w:r>
          </w:p>
        </w:tc>
        <w:tc>
          <w:tcPr>
            <w:tcW w:w="1236" w:type="dxa"/>
            <w:tcBorders>
              <w:top w:val="nil"/>
              <w:left w:val="nil"/>
              <w:bottom w:val="nil"/>
              <w:right w:val="nil"/>
            </w:tcBorders>
            <w:shd w:val="clear" w:color="000000" w:fill="FFFFFF"/>
            <w:noWrap/>
            <w:vAlign w:val="bottom"/>
            <w:hideMark/>
          </w:tcPr>
          <w:p w14:paraId="26618F7B"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169,490</w:t>
            </w:r>
          </w:p>
        </w:tc>
        <w:tc>
          <w:tcPr>
            <w:tcW w:w="1236" w:type="dxa"/>
            <w:tcBorders>
              <w:top w:val="nil"/>
              <w:left w:val="nil"/>
              <w:bottom w:val="nil"/>
              <w:right w:val="nil"/>
            </w:tcBorders>
            <w:shd w:val="clear" w:color="000000" w:fill="FFFFFF"/>
            <w:noWrap/>
            <w:vAlign w:val="bottom"/>
            <w:hideMark/>
          </w:tcPr>
          <w:p w14:paraId="07CA3276"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175,326</w:t>
            </w:r>
          </w:p>
        </w:tc>
        <w:tc>
          <w:tcPr>
            <w:tcW w:w="1236" w:type="dxa"/>
            <w:tcBorders>
              <w:top w:val="nil"/>
              <w:left w:val="nil"/>
              <w:bottom w:val="nil"/>
              <w:right w:val="nil"/>
            </w:tcBorders>
            <w:shd w:val="clear" w:color="000000" w:fill="F2F2F2"/>
            <w:noWrap/>
            <w:vAlign w:val="bottom"/>
            <w:hideMark/>
          </w:tcPr>
          <w:p w14:paraId="72FE84FF"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173,081</w:t>
            </w:r>
          </w:p>
        </w:tc>
        <w:tc>
          <w:tcPr>
            <w:tcW w:w="1236" w:type="dxa"/>
            <w:tcBorders>
              <w:top w:val="nil"/>
              <w:left w:val="nil"/>
              <w:bottom w:val="nil"/>
              <w:right w:val="nil"/>
            </w:tcBorders>
            <w:shd w:val="clear" w:color="000000" w:fill="F2F2F2"/>
            <w:noWrap/>
            <w:vAlign w:val="bottom"/>
            <w:hideMark/>
          </w:tcPr>
          <w:p w14:paraId="29412A51"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176,281</w:t>
            </w:r>
          </w:p>
        </w:tc>
        <w:tc>
          <w:tcPr>
            <w:tcW w:w="1236" w:type="dxa"/>
            <w:tcBorders>
              <w:top w:val="nil"/>
              <w:left w:val="nil"/>
              <w:bottom w:val="nil"/>
              <w:right w:val="nil"/>
            </w:tcBorders>
            <w:shd w:val="clear" w:color="000000" w:fill="F2F2F2"/>
            <w:noWrap/>
            <w:vAlign w:val="bottom"/>
            <w:hideMark/>
          </w:tcPr>
          <w:p w14:paraId="44012CAF"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182,136</w:t>
            </w:r>
          </w:p>
        </w:tc>
        <w:tc>
          <w:tcPr>
            <w:tcW w:w="1236" w:type="dxa"/>
            <w:tcBorders>
              <w:top w:val="nil"/>
              <w:left w:val="nil"/>
              <w:bottom w:val="nil"/>
              <w:right w:val="nil"/>
            </w:tcBorders>
            <w:shd w:val="clear" w:color="000000" w:fill="F2F2F2"/>
            <w:noWrap/>
            <w:vAlign w:val="bottom"/>
            <w:hideMark/>
          </w:tcPr>
          <w:p w14:paraId="7C1C0572"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195,343</w:t>
            </w:r>
          </w:p>
        </w:tc>
      </w:tr>
      <w:tr w:rsidR="0070702E" w:rsidRPr="0070702E" w14:paraId="6DE53D20" w14:textId="77777777" w:rsidTr="0070702E">
        <w:trPr>
          <w:trHeight w:val="240"/>
        </w:trPr>
        <w:tc>
          <w:tcPr>
            <w:tcW w:w="2816" w:type="dxa"/>
            <w:tcBorders>
              <w:top w:val="nil"/>
              <w:left w:val="nil"/>
              <w:bottom w:val="nil"/>
              <w:right w:val="nil"/>
            </w:tcBorders>
            <w:shd w:val="clear" w:color="000000" w:fill="FFFFFF"/>
            <w:noWrap/>
            <w:vAlign w:val="bottom"/>
            <w:hideMark/>
          </w:tcPr>
          <w:p w14:paraId="46BEE5B8" w14:textId="77777777" w:rsidR="0070702E" w:rsidRPr="0070702E" w:rsidRDefault="0070702E" w:rsidP="0070702E">
            <w:pPr>
              <w:ind w:firstLineChars="100" w:firstLine="160"/>
              <w:rPr>
                <w:rFonts w:ascii="Arial" w:hAnsi="Arial" w:cs="Arial"/>
                <w:color w:val="000000"/>
                <w:sz w:val="16"/>
                <w:szCs w:val="16"/>
                <w:lang w:val="en-AU" w:eastAsia="en-AU"/>
              </w:rPr>
            </w:pPr>
            <w:r w:rsidRPr="0070702E">
              <w:rPr>
                <w:rFonts w:ascii="Arial" w:hAnsi="Arial" w:cs="Arial"/>
                <w:color w:val="000000"/>
                <w:sz w:val="16"/>
                <w:szCs w:val="16"/>
                <w:lang w:val="en-AU" w:eastAsia="en-AU"/>
              </w:rPr>
              <w:t>Non-Financial Assets ($m)</w:t>
            </w:r>
          </w:p>
        </w:tc>
        <w:tc>
          <w:tcPr>
            <w:tcW w:w="1236" w:type="dxa"/>
            <w:tcBorders>
              <w:top w:val="nil"/>
              <w:left w:val="nil"/>
              <w:bottom w:val="nil"/>
              <w:right w:val="nil"/>
            </w:tcBorders>
            <w:shd w:val="clear" w:color="000000" w:fill="FFFFFF"/>
            <w:noWrap/>
            <w:vAlign w:val="bottom"/>
            <w:hideMark/>
          </w:tcPr>
          <w:p w14:paraId="247F8D93"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231,690</w:t>
            </w:r>
          </w:p>
        </w:tc>
        <w:tc>
          <w:tcPr>
            <w:tcW w:w="1236" w:type="dxa"/>
            <w:tcBorders>
              <w:top w:val="nil"/>
              <w:left w:val="nil"/>
              <w:bottom w:val="nil"/>
              <w:right w:val="nil"/>
            </w:tcBorders>
            <w:shd w:val="clear" w:color="000000" w:fill="FFFFFF"/>
            <w:noWrap/>
            <w:vAlign w:val="bottom"/>
            <w:hideMark/>
          </w:tcPr>
          <w:p w14:paraId="4C67100D"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250,325</w:t>
            </w:r>
          </w:p>
        </w:tc>
        <w:tc>
          <w:tcPr>
            <w:tcW w:w="1236" w:type="dxa"/>
            <w:tcBorders>
              <w:top w:val="nil"/>
              <w:left w:val="nil"/>
              <w:bottom w:val="nil"/>
              <w:right w:val="nil"/>
            </w:tcBorders>
            <w:shd w:val="clear" w:color="000000" w:fill="F2F2F2"/>
            <w:noWrap/>
            <w:vAlign w:val="bottom"/>
            <w:hideMark/>
          </w:tcPr>
          <w:p w14:paraId="28DF9FC9"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286,649</w:t>
            </w:r>
          </w:p>
        </w:tc>
        <w:tc>
          <w:tcPr>
            <w:tcW w:w="1236" w:type="dxa"/>
            <w:tcBorders>
              <w:top w:val="nil"/>
              <w:left w:val="nil"/>
              <w:bottom w:val="nil"/>
              <w:right w:val="nil"/>
            </w:tcBorders>
            <w:shd w:val="clear" w:color="000000" w:fill="F2F2F2"/>
            <w:noWrap/>
            <w:vAlign w:val="bottom"/>
            <w:hideMark/>
          </w:tcPr>
          <w:p w14:paraId="2601AC6D"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304,468</w:t>
            </w:r>
          </w:p>
        </w:tc>
        <w:tc>
          <w:tcPr>
            <w:tcW w:w="1236" w:type="dxa"/>
            <w:tcBorders>
              <w:top w:val="nil"/>
              <w:left w:val="nil"/>
              <w:bottom w:val="nil"/>
              <w:right w:val="nil"/>
            </w:tcBorders>
            <w:shd w:val="clear" w:color="000000" w:fill="F2F2F2"/>
            <w:noWrap/>
            <w:vAlign w:val="bottom"/>
            <w:hideMark/>
          </w:tcPr>
          <w:p w14:paraId="2940933D"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319,652</w:t>
            </w:r>
          </w:p>
        </w:tc>
        <w:tc>
          <w:tcPr>
            <w:tcW w:w="1236" w:type="dxa"/>
            <w:tcBorders>
              <w:top w:val="nil"/>
              <w:left w:val="nil"/>
              <w:bottom w:val="nil"/>
              <w:right w:val="nil"/>
            </w:tcBorders>
            <w:shd w:val="clear" w:color="000000" w:fill="F2F2F2"/>
            <w:noWrap/>
            <w:vAlign w:val="bottom"/>
            <w:hideMark/>
          </w:tcPr>
          <w:p w14:paraId="2D5D4322"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334,631</w:t>
            </w:r>
          </w:p>
        </w:tc>
      </w:tr>
      <w:tr w:rsidR="0070702E" w:rsidRPr="0070702E" w14:paraId="0AB05EF3" w14:textId="77777777" w:rsidTr="0070702E">
        <w:trPr>
          <w:trHeight w:val="45"/>
        </w:trPr>
        <w:tc>
          <w:tcPr>
            <w:tcW w:w="2816" w:type="dxa"/>
            <w:tcBorders>
              <w:top w:val="nil"/>
              <w:left w:val="nil"/>
              <w:bottom w:val="nil"/>
              <w:right w:val="nil"/>
            </w:tcBorders>
            <w:shd w:val="clear" w:color="000000" w:fill="FFFFFF"/>
            <w:noWrap/>
            <w:vAlign w:val="bottom"/>
            <w:hideMark/>
          </w:tcPr>
          <w:p w14:paraId="0E66E34C"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FFFFF"/>
            <w:noWrap/>
            <w:vAlign w:val="bottom"/>
            <w:hideMark/>
          </w:tcPr>
          <w:p w14:paraId="1C2A9907"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FFFFF"/>
            <w:noWrap/>
            <w:vAlign w:val="bottom"/>
            <w:hideMark/>
          </w:tcPr>
          <w:p w14:paraId="293D60C9"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32B6BE2F"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27AAEFA3"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63B7FC88"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245FCFB7"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r>
      <w:tr w:rsidR="0070702E" w:rsidRPr="0070702E" w14:paraId="21C6372F" w14:textId="77777777" w:rsidTr="0070702E">
        <w:trPr>
          <w:trHeight w:val="240"/>
        </w:trPr>
        <w:tc>
          <w:tcPr>
            <w:tcW w:w="2816" w:type="dxa"/>
            <w:tcBorders>
              <w:top w:val="nil"/>
              <w:left w:val="nil"/>
              <w:bottom w:val="nil"/>
              <w:right w:val="nil"/>
            </w:tcBorders>
            <w:shd w:val="clear" w:color="000000" w:fill="FFFFFF"/>
            <w:noWrap/>
            <w:vAlign w:val="bottom"/>
            <w:hideMark/>
          </w:tcPr>
          <w:p w14:paraId="2B373DFC"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Total Liabilities ($m)</w:t>
            </w:r>
          </w:p>
        </w:tc>
        <w:tc>
          <w:tcPr>
            <w:tcW w:w="1236" w:type="dxa"/>
            <w:tcBorders>
              <w:top w:val="nil"/>
              <w:left w:val="nil"/>
              <w:bottom w:val="nil"/>
              <w:right w:val="nil"/>
            </w:tcBorders>
            <w:shd w:val="clear" w:color="000000" w:fill="FFFFFF"/>
            <w:noWrap/>
            <w:vAlign w:val="bottom"/>
            <w:hideMark/>
          </w:tcPr>
          <w:p w14:paraId="0151BEBF"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152,110</w:t>
            </w:r>
          </w:p>
        </w:tc>
        <w:tc>
          <w:tcPr>
            <w:tcW w:w="1236" w:type="dxa"/>
            <w:tcBorders>
              <w:top w:val="nil"/>
              <w:left w:val="nil"/>
              <w:bottom w:val="nil"/>
              <w:right w:val="nil"/>
            </w:tcBorders>
            <w:shd w:val="clear" w:color="000000" w:fill="FFFFFF"/>
            <w:noWrap/>
            <w:vAlign w:val="bottom"/>
            <w:hideMark/>
          </w:tcPr>
          <w:p w14:paraId="380F62D4"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186,964</w:t>
            </w:r>
          </w:p>
        </w:tc>
        <w:tc>
          <w:tcPr>
            <w:tcW w:w="1236" w:type="dxa"/>
            <w:tcBorders>
              <w:top w:val="nil"/>
              <w:left w:val="nil"/>
              <w:bottom w:val="nil"/>
              <w:right w:val="nil"/>
            </w:tcBorders>
            <w:shd w:val="clear" w:color="000000" w:fill="F2F2F2"/>
            <w:noWrap/>
            <w:vAlign w:val="bottom"/>
            <w:hideMark/>
          </w:tcPr>
          <w:p w14:paraId="414F36C2"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230,731</w:t>
            </w:r>
          </w:p>
        </w:tc>
        <w:tc>
          <w:tcPr>
            <w:tcW w:w="1236" w:type="dxa"/>
            <w:tcBorders>
              <w:top w:val="nil"/>
              <w:left w:val="nil"/>
              <w:bottom w:val="nil"/>
              <w:right w:val="nil"/>
            </w:tcBorders>
            <w:shd w:val="clear" w:color="000000" w:fill="F2F2F2"/>
            <w:noWrap/>
            <w:vAlign w:val="bottom"/>
            <w:hideMark/>
          </w:tcPr>
          <w:p w14:paraId="16F48A52"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252,427</w:t>
            </w:r>
          </w:p>
        </w:tc>
        <w:tc>
          <w:tcPr>
            <w:tcW w:w="1236" w:type="dxa"/>
            <w:tcBorders>
              <w:top w:val="nil"/>
              <w:left w:val="nil"/>
              <w:bottom w:val="nil"/>
              <w:right w:val="nil"/>
            </w:tcBorders>
            <w:shd w:val="clear" w:color="000000" w:fill="F2F2F2"/>
            <w:noWrap/>
            <w:vAlign w:val="bottom"/>
            <w:hideMark/>
          </w:tcPr>
          <w:p w14:paraId="3E6B1719"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265,390</w:t>
            </w:r>
          </w:p>
        </w:tc>
        <w:tc>
          <w:tcPr>
            <w:tcW w:w="1236" w:type="dxa"/>
            <w:tcBorders>
              <w:top w:val="nil"/>
              <w:left w:val="nil"/>
              <w:bottom w:val="nil"/>
              <w:right w:val="nil"/>
            </w:tcBorders>
            <w:shd w:val="clear" w:color="000000" w:fill="F2F2F2"/>
            <w:noWrap/>
            <w:vAlign w:val="bottom"/>
            <w:hideMark/>
          </w:tcPr>
          <w:p w14:paraId="2D61F379"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271,277</w:t>
            </w:r>
          </w:p>
        </w:tc>
      </w:tr>
      <w:tr w:rsidR="0070702E" w:rsidRPr="0070702E" w14:paraId="5F34C07D" w14:textId="77777777" w:rsidTr="0070702E">
        <w:trPr>
          <w:trHeight w:val="75"/>
        </w:trPr>
        <w:tc>
          <w:tcPr>
            <w:tcW w:w="2816" w:type="dxa"/>
            <w:tcBorders>
              <w:top w:val="nil"/>
              <w:left w:val="nil"/>
              <w:bottom w:val="nil"/>
              <w:right w:val="nil"/>
            </w:tcBorders>
            <w:shd w:val="clear" w:color="000000" w:fill="FFFFFF"/>
            <w:noWrap/>
            <w:vAlign w:val="bottom"/>
            <w:hideMark/>
          </w:tcPr>
          <w:p w14:paraId="4C3FD1D4"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FFFFF"/>
            <w:noWrap/>
            <w:vAlign w:val="bottom"/>
            <w:hideMark/>
          </w:tcPr>
          <w:p w14:paraId="47617DFE"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FFFFF"/>
            <w:noWrap/>
            <w:vAlign w:val="bottom"/>
            <w:hideMark/>
          </w:tcPr>
          <w:p w14:paraId="022B5A29"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542E850D"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17B3195F"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4CE10D3B"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70C5615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r>
      <w:tr w:rsidR="0070702E" w:rsidRPr="0070702E" w14:paraId="71026934" w14:textId="77777777" w:rsidTr="0070702E">
        <w:trPr>
          <w:trHeight w:val="240"/>
        </w:trPr>
        <w:tc>
          <w:tcPr>
            <w:tcW w:w="2816" w:type="dxa"/>
            <w:tcBorders>
              <w:top w:val="nil"/>
              <w:left w:val="nil"/>
              <w:bottom w:val="nil"/>
              <w:right w:val="nil"/>
            </w:tcBorders>
            <w:shd w:val="clear" w:color="000000" w:fill="FFFFFF"/>
            <w:noWrap/>
            <w:vAlign w:val="bottom"/>
            <w:hideMark/>
          </w:tcPr>
          <w:p w14:paraId="05C972ED"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Net Worth ($m)</w:t>
            </w:r>
          </w:p>
        </w:tc>
        <w:tc>
          <w:tcPr>
            <w:tcW w:w="1236" w:type="dxa"/>
            <w:tcBorders>
              <w:top w:val="nil"/>
              <w:left w:val="nil"/>
              <w:bottom w:val="nil"/>
              <w:right w:val="nil"/>
            </w:tcBorders>
            <w:shd w:val="clear" w:color="000000" w:fill="FFFFFF"/>
            <w:noWrap/>
            <w:vAlign w:val="bottom"/>
            <w:hideMark/>
          </w:tcPr>
          <w:p w14:paraId="1C4A96B6"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249,070</w:t>
            </w:r>
          </w:p>
        </w:tc>
        <w:tc>
          <w:tcPr>
            <w:tcW w:w="1236" w:type="dxa"/>
            <w:tcBorders>
              <w:top w:val="nil"/>
              <w:left w:val="nil"/>
              <w:bottom w:val="nil"/>
              <w:right w:val="nil"/>
            </w:tcBorders>
            <w:shd w:val="clear" w:color="000000" w:fill="FFFFFF"/>
            <w:noWrap/>
            <w:vAlign w:val="bottom"/>
            <w:hideMark/>
          </w:tcPr>
          <w:p w14:paraId="748488D3"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238,688</w:t>
            </w:r>
          </w:p>
        </w:tc>
        <w:tc>
          <w:tcPr>
            <w:tcW w:w="1236" w:type="dxa"/>
            <w:tcBorders>
              <w:top w:val="nil"/>
              <w:left w:val="nil"/>
              <w:bottom w:val="nil"/>
              <w:right w:val="nil"/>
            </w:tcBorders>
            <w:shd w:val="clear" w:color="000000" w:fill="F2F2F2"/>
            <w:noWrap/>
            <w:vAlign w:val="bottom"/>
            <w:hideMark/>
          </w:tcPr>
          <w:p w14:paraId="1B81F626"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228,999</w:t>
            </w:r>
          </w:p>
        </w:tc>
        <w:tc>
          <w:tcPr>
            <w:tcW w:w="1236" w:type="dxa"/>
            <w:tcBorders>
              <w:top w:val="nil"/>
              <w:left w:val="nil"/>
              <w:bottom w:val="nil"/>
              <w:right w:val="nil"/>
            </w:tcBorders>
            <w:shd w:val="clear" w:color="000000" w:fill="F2F2F2"/>
            <w:noWrap/>
            <w:vAlign w:val="bottom"/>
            <w:hideMark/>
          </w:tcPr>
          <w:p w14:paraId="63CCCE11"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228,321</w:t>
            </w:r>
          </w:p>
        </w:tc>
        <w:tc>
          <w:tcPr>
            <w:tcW w:w="1236" w:type="dxa"/>
            <w:tcBorders>
              <w:top w:val="nil"/>
              <w:left w:val="nil"/>
              <w:bottom w:val="nil"/>
              <w:right w:val="nil"/>
            </w:tcBorders>
            <w:shd w:val="clear" w:color="000000" w:fill="F2F2F2"/>
            <w:noWrap/>
            <w:vAlign w:val="bottom"/>
            <w:hideMark/>
          </w:tcPr>
          <w:p w14:paraId="430A6035"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236,398</w:t>
            </w:r>
          </w:p>
        </w:tc>
        <w:tc>
          <w:tcPr>
            <w:tcW w:w="1236" w:type="dxa"/>
            <w:tcBorders>
              <w:top w:val="nil"/>
              <w:left w:val="nil"/>
              <w:bottom w:val="nil"/>
              <w:right w:val="nil"/>
            </w:tcBorders>
            <w:shd w:val="clear" w:color="000000" w:fill="F2F2F2"/>
            <w:noWrap/>
            <w:vAlign w:val="bottom"/>
            <w:hideMark/>
          </w:tcPr>
          <w:p w14:paraId="001998A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258,698</w:t>
            </w:r>
          </w:p>
        </w:tc>
      </w:tr>
      <w:tr w:rsidR="0070702E" w:rsidRPr="0070702E" w14:paraId="5F70D27D" w14:textId="77777777" w:rsidTr="0070702E">
        <w:trPr>
          <w:trHeight w:val="240"/>
        </w:trPr>
        <w:tc>
          <w:tcPr>
            <w:tcW w:w="2816" w:type="dxa"/>
            <w:tcBorders>
              <w:top w:val="nil"/>
              <w:left w:val="nil"/>
              <w:bottom w:val="nil"/>
              <w:right w:val="nil"/>
            </w:tcBorders>
            <w:shd w:val="clear" w:color="000000" w:fill="FFFFFF"/>
            <w:noWrap/>
            <w:vAlign w:val="bottom"/>
            <w:hideMark/>
          </w:tcPr>
          <w:p w14:paraId="048AD99F"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Net Worth as a per cent of GSP</w:t>
            </w:r>
            <w:r w:rsidRPr="0070702E">
              <w:rPr>
                <w:rFonts w:ascii="Arial" w:hAnsi="Arial" w:cs="Arial"/>
                <w:color w:val="000000"/>
                <w:sz w:val="16"/>
                <w:szCs w:val="16"/>
                <w:vertAlign w:val="superscript"/>
                <w:lang w:val="en-AU" w:eastAsia="en-AU"/>
              </w:rPr>
              <w:t>(a)</w:t>
            </w:r>
          </w:p>
        </w:tc>
        <w:tc>
          <w:tcPr>
            <w:tcW w:w="1236" w:type="dxa"/>
            <w:tcBorders>
              <w:top w:val="nil"/>
              <w:left w:val="nil"/>
              <w:bottom w:val="nil"/>
              <w:right w:val="nil"/>
            </w:tcBorders>
            <w:shd w:val="clear" w:color="auto" w:fill="auto"/>
            <w:noWrap/>
            <w:vAlign w:val="bottom"/>
            <w:hideMark/>
          </w:tcPr>
          <w:p w14:paraId="5DCB4EE6"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39.8</w:t>
            </w:r>
          </w:p>
        </w:tc>
        <w:tc>
          <w:tcPr>
            <w:tcW w:w="1236" w:type="dxa"/>
            <w:tcBorders>
              <w:top w:val="nil"/>
              <w:left w:val="nil"/>
              <w:bottom w:val="nil"/>
              <w:right w:val="nil"/>
            </w:tcBorders>
            <w:shd w:val="clear" w:color="auto" w:fill="auto"/>
            <w:noWrap/>
            <w:vAlign w:val="bottom"/>
            <w:hideMark/>
          </w:tcPr>
          <w:p w14:paraId="5B9EB8D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38.4</w:t>
            </w:r>
          </w:p>
        </w:tc>
        <w:tc>
          <w:tcPr>
            <w:tcW w:w="1236" w:type="dxa"/>
            <w:tcBorders>
              <w:top w:val="nil"/>
              <w:left w:val="nil"/>
              <w:bottom w:val="nil"/>
              <w:right w:val="nil"/>
            </w:tcBorders>
            <w:shd w:val="clear" w:color="000000" w:fill="F2F2F2"/>
            <w:noWrap/>
            <w:vAlign w:val="bottom"/>
            <w:hideMark/>
          </w:tcPr>
          <w:p w14:paraId="7326613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36.3</w:t>
            </w:r>
          </w:p>
        </w:tc>
        <w:tc>
          <w:tcPr>
            <w:tcW w:w="1236" w:type="dxa"/>
            <w:tcBorders>
              <w:top w:val="nil"/>
              <w:left w:val="nil"/>
              <w:bottom w:val="nil"/>
              <w:right w:val="nil"/>
            </w:tcBorders>
            <w:shd w:val="clear" w:color="000000" w:fill="F2F2F2"/>
            <w:noWrap/>
            <w:vAlign w:val="bottom"/>
            <w:hideMark/>
          </w:tcPr>
          <w:p w14:paraId="226CECB4"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34.8</w:t>
            </w:r>
          </w:p>
        </w:tc>
        <w:tc>
          <w:tcPr>
            <w:tcW w:w="1236" w:type="dxa"/>
            <w:tcBorders>
              <w:top w:val="nil"/>
              <w:left w:val="nil"/>
              <w:bottom w:val="nil"/>
              <w:right w:val="nil"/>
            </w:tcBorders>
            <w:shd w:val="clear" w:color="000000" w:fill="F2F2F2"/>
            <w:noWrap/>
            <w:vAlign w:val="bottom"/>
            <w:hideMark/>
          </w:tcPr>
          <w:p w14:paraId="47C167F8"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34.8</w:t>
            </w:r>
          </w:p>
        </w:tc>
        <w:tc>
          <w:tcPr>
            <w:tcW w:w="1236" w:type="dxa"/>
            <w:tcBorders>
              <w:top w:val="nil"/>
              <w:left w:val="nil"/>
              <w:bottom w:val="nil"/>
              <w:right w:val="nil"/>
            </w:tcBorders>
            <w:shd w:val="clear" w:color="000000" w:fill="F2F2F2"/>
            <w:noWrap/>
            <w:vAlign w:val="bottom"/>
            <w:hideMark/>
          </w:tcPr>
          <w:p w14:paraId="61BE5FDF"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36.6</w:t>
            </w:r>
          </w:p>
        </w:tc>
      </w:tr>
      <w:tr w:rsidR="0070702E" w:rsidRPr="0070702E" w14:paraId="00E9DBF9" w14:textId="77777777" w:rsidTr="0070702E">
        <w:trPr>
          <w:trHeight w:val="105"/>
        </w:trPr>
        <w:tc>
          <w:tcPr>
            <w:tcW w:w="2816" w:type="dxa"/>
            <w:tcBorders>
              <w:top w:val="nil"/>
              <w:left w:val="nil"/>
              <w:bottom w:val="nil"/>
              <w:right w:val="nil"/>
            </w:tcBorders>
            <w:shd w:val="clear" w:color="000000" w:fill="FFFFFF"/>
            <w:noWrap/>
            <w:vAlign w:val="bottom"/>
            <w:hideMark/>
          </w:tcPr>
          <w:p w14:paraId="0647F582"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auto" w:fill="auto"/>
            <w:noWrap/>
            <w:vAlign w:val="bottom"/>
            <w:hideMark/>
          </w:tcPr>
          <w:p w14:paraId="11A22584" w14:textId="77777777" w:rsidR="0070702E" w:rsidRPr="0070702E" w:rsidRDefault="0070702E" w:rsidP="0070702E">
            <w:pPr>
              <w:rPr>
                <w:rFonts w:ascii="Arial" w:hAnsi="Arial" w:cs="Arial"/>
                <w:color w:val="000000"/>
                <w:sz w:val="16"/>
                <w:szCs w:val="16"/>
                <w:lang w:val="en-AU" w:eastAsia="en-AU"/>
              </w:rPr>
            </w:pPr>
          </w:p>
        </w:tc>
        <w:tc>
          <w:tcPr>
            <w:tcW w:w="1236" w:type="dxa"/>
            <w:tcBorders>
              <w:top w:val="nil"/>
              <w:left w:val="nil"/>
              <w:bottom w:val="nil"/>
              <w:right w:val="nil"/>
            </w:tcBorders>
            <w:shd w:val="clear" w:color="auto" w:fill="auto"/>
            <w:noWrap/>
            <w:vAlign w:val="bottom"/>
            <w:hideMark/>
          </w:tcPr>
          <w:p w14:paraId="1485EFA7" w14:textId="77777777" w:rsidR="0070702E" w:rsidRPr="0070702E" w:rsidRDefault="0070702E" w:rsidP="0070702E">
            <w:pPr>
              <w:ind w:firstLineChars="100" w:firstLine="200"/>
              <w:jc w:val="right"/>
              <w:rPr>
                <w:lang w:val="en-AU" w:eastAsia="en-AU"/>
              </w:rPr>
            </w:pPr>
          </w:p>
        </w:tc>
        <w:tc>
          <w:tcPr>
            <w:tcW w:w="1236" w:type="dxa"/>
            <w:tcBorders>
              <w:top w:val="nil"/>
              <w:left w:val="nil"/>
              <w:bottom w:val="nil"/>
              <w:right w:val="nil"/>
            </w:tcBorders>
            <w:shd w:val="clear" w:color="000000" w:fill="F2F2F2"/>
            <w:noWrap/>
            <w:vAlign w:val="bottom"/>
            <w:hideMark/>
          </w:tcPr>
          <w:p w14:paraId="7147A412"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646E2E8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71FC4277"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c>
          <w:tcPr>
            <w:tcW w:w="1236" w:type="dxa"/>
            <w:tcBorders>
              <w:top w:val="nil"/>
              <w:left w:val="nil"/>
              <w:bottom w:val="nil"/>
              <w:right w:val="nil"/>
            </w:tcBorders>
            <w:shd w:val="clear" w:color="000000" w:fill="F2F2F2"/>
            <w:noWrap/>
            <w:vAlign w:val="bottom"/>
            <w:hideMark/>
          </w:tcPr>
          <w:p w14:paraId="758EC35E"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 </w:t>
            </w:r>
          </w:p>
        </w:tc>
      </w:tr>
      <w:tr w:rsidR="0070702E" w:rsidRPr="0070702E" w14:paraId="2A415BE4" w14:textId="77777777" w:rsidTr="0070702E">
        <w:trPr>
          <w:trHeight w:val="240"/>
        </w:trPr>
        <w:tc>
          <w:tcPr>
            <w:tcW w:w="2816" w:type="dxa"/>
            <w:tcBorders>
              <w:top w:val="nil"/>
              <w:left w:val="nil"/>
              <w:bottom w:val="nil"/>
              <w:right w:val="nil"/>
            </w:tcBorders>
            <w:shd w:val="clear" w:color="000000" w:fill="FFFFFF"/>
            <w:noWrap/>
            <w:vAlign w:val="bottom"/>
            <w:hideMark/>
          </w:tcPr>
          <w:p w14:paraId="26A88573"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Net Debt ($m)</w:t>
            </w:r>
          </w:p>
        </w:tc>
        <w:tc>
          <w:tcPr>
            <w:tcW w:w="1236" w:type="dxa"/>
            <w:tcBorders>
              <w:top w:val="nil"/>
              <w:left w:val="nil"/>
              <w:bottom w:val="nil"/>
              <w:right w:val="nil"/>
            </w:tcBorders>
            <w:shd w:val="clear" w:color="auto" w:fill="auto"/>
            <w:noWrap/>
            <w:vAlign w:val="bottom"/>
            <w:hideMark/>
          </w:tcPr>
          <w:p w14:paraId="2A1443C7"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(10,401)</w:t>
            </w:r>
          </w:p>
        </w:tc>
        <w:tc>
          <w:tcPr>
            <w:tcW w:w="1236" w:type="dxa"/>
            <w:tcBorders>
              <w:top w:val="nil"/>
              <w:left w:val="nil"/>
              <w:bottom w:val="nil"/>
              <w:right w:val="nil"/>
            </w:tcBorders>
            <w:shd w:val="clear" w:color="auto" w:fill="auto"/>
            <w:noWrap/>
            <w:vAlign w:val="bottom"/>
            <w:hideMark/>
          </w:tcPr>
          <w:p w14:paraId="6678F4B5"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19,261</w:t>
            </w:r>
          </w:p>
        </w:tc>
        <w:tc>
          <w:tcPr>
            <w:tcW w:w="1236" w:type="dxa"/>
            <w:tcBorders>
              <w:top w:val="nil"/>
              <w:left w:val="nil"/>
              <w:bottom w:val="nil"/>
              <w:right w:val="nil"/>
            </w:tcBorders>
            <w:shd w:val="clear" w:color="000000" w:fill="F2F2F2"/>
            <w:noWrap/>
            <w:vAlign w:val="bottom"/>
            <w:hideMark/>
          </w:tcPr>
          <w:p w14:paraId="4950A9EB"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53,187</w:t>
            </w:r>
          </w:p>
        </w:tc>
        <w:tc>
          <w:tcPr>
            <w:tcW w:w="1236" w:type="dxa"/>
            <w:tcBorders>
              <w:top w:val="nil"/>
              <w:left w:val="nil"/>
              <w:bottom w:val="nil"/>
              <w:right w:val="nil"/>
            </w:tcBorders>
            <w:shd w:val="clear" w:color="000000" w:fill="F2F2F2"/>
            <w:noWrap/>
            <w:vAlign w:val="bottom"/>
            <w:hideMark/>
          </w:tcPr>
          <w:p w14:paraId="36937C94"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75,433</w:t>
            </w:r>
          </w:p>
        </w:tc>
        <w:tc>
          <w:tcPr>
            <w:tcW w:w="1236" w:type="dxa"/>
            <w:tcBorders>
              <w:top w:val="nil"/>
              <w:left w:val="nil"/>
              <w:bottom w:val="nil"/>
              <w:right w:val="nil"/>
            </w:tcBorders>
            <w:shd w:val="clear" w:color="000000" w:fill="F2F2F2"/>
            <w:noWrap/>
            <w:vAlign w:val="bottom"/>
            <w:hideMark/>
          </w:tcPr>
          <w:p w14:paraId="531F1C4C"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91,771</w:t>
            </w:r>
          </w:p>
        </w:tc>
        <w:tc>
          <w:tcPr>
            <w:tcW w:w="1236" w:type="dxa"/>
            <w:tcBorders>
              <w:top w:val="nil"/>
              <w:left w:val="nil"/>
              <w:bottom w:val="nil"/>
              <w:right w:val="nil"/>
            </w:tcBorders>
            <w:shd w:val="clear" w:color="000000" w:fill="F2F2F2"/>
            <w:noWrap/>
            <w:vAlign w:val="bottom"/>
            <w:hideMark/>
          </w:tcPr>
          <w:p w14:paraId="6B8D63F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104,347</w:t>
            </w:r>
          </w:p>
        </w:tc>
      </w:tr>
      <w:tr w:rsidR="0070702E" w:rsidRPr="0070702E" w14:paraId="735A780B" w14:textId="77777777" w:rsidTr="0070702E">
        <w:trPr>
          <w:trHeight w:val="240"/>
        </w:trPr>
        <w:tc>
          <w:tcPr>
            <w:tcW w:w="2816" w:type="dxa"/>
            <w:tcBorders>
              <w:top w:val="nil"/>
              <w:left w:val="nil"/>
              <w:bottom w:val="single" w:sz="4" w:space="0" w:color="auto"/>
              <w:right w:val="nil"/>
            </w:tcBorders>
            <w:shd w:val="clear" w:color="000000" w:fill="FFFFFF"/>
            <w:noWrap/>
            <w:vAlign w:val="bottom"/>
            <w:hideMark/>
          </w:tcPr>
          <w:p w14:paraId="286F0D3A" w14:textId="77777777" w:rsidR="0070702E" w:rsidRPr="0070702E" w:rsidRDefault="0070702E" w:rsidP="0070702E">
            <w:pPr>
              <w:rPr>
                <w:rFonts w:ascii="Arial" w:hAnsi="Arial" w:cs="Arial"/>
                <w:color w:val="000000"/>
                <w:sz w:val="16"/>
                <w:szCs w:val="16"/>
                <w:lang w:val="en-AU" w:eastAsia="en-AU"/>
              </w:rPr>
            </w:pPr>
            <w:r w:rsidRPr="0070702E">
              <w:rPr>
                <w:rFonts w:ascii="Arial" w:hAnsi="Arial" w:cs="Arial"/>
                <w:color w:val="000000"/>
                <w:sz w:val="16"/>
                <w:szCs w:val="16"/>
                <w:lang w:val="en-AU" w:eastAsia="en-AU"/>
              </w:rPr>
              <w:t>Net Debt as a per cent of GSP</w:t>
            </w:r>
          </w:p>
        </w:tc>
        <w:tc>
          <w:tcPr>
            <w:tcW w:w="1236" w:type="dxa"/>
            <w:tcBorders>
              <w:top w:val="nil"/>
              <w:left w:val="nil"/>
              <w:bottom w:val="single" w:sz="4" w:space="0" w:color="auto"/>
              <w:right w:val="nil"/>
            </w:tcBorders>
            <w:shd w:val="clear" w:color="auto" w:fill="auto"/>
            <w:noWrap/>
            <w:vAlign w:val="bottom"/>
            <w:hideMark/>
          </w:tcPr>
          <w:p w14:paraId="475B23E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(1.7)</w:t>
            </w:r>
          </w:p>
        </w:tc>
        <w:tc>
          <w:tcPr>
            <w:tcW w:w="1236" w:type="dxa"/>
            <w:tcBorders>
              <w:top w:val="nil"/>
              <w:left w:val="nil"/>
              <w:bottom w:val="single" w:sz="4" w:space="0" w:color="auto"/>
              <w:right w:val="nil"/>
            </w:tcBorders>
            <w:shd w:val="clear" w:color="auto" w:fill="auto"/>
            <w:noWrap/>
            <w:vAlign w:val="bottom"/>
            <w:hideMark/>
          </w:tcPr>
          <w:p w14:paraId="0E7DAA8B"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3.1</w:t>
            </w:r>
          </w:p>
        </w:tc>
        <w:tc>
          <w:tcPr>
            <w:tcW w:w="1236" w:type="dxa"/>
            <w:tcBorders>
              <w:top w:val="nil"/>
              <w:left w:val="nil"/>
              <w:bottom w:val="single" w:sz="4" w:space="0" w:color="auto"/>
              <w:right w:val="nil"/>
            </w:tcBorders>
            <w:shd w:val="clear" w:color="000000" w:fill="F2F2F2"/>
            <w:noWrap/>
            <w:vAlign w:val="bottom"/>
            <w:hideMark/>
          </w:tcPr>
          <w:p w14:paraId="06044482"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8.4</w:t>
            </w:r>
          </w:p>
        </w:tc>
        <w:tc>
          <w:tcPr>
            <w:tcW w:w="1236" w:type="dxa"/>
            <w:tcBorders>
              <w:top w:val="nil"/>
              <w:left w:val="nil"/>
              <w:bottom w:val="single" w:sz="4" w:space="0" w:color="auto"/>
              <w:right w:val="nil"/>
            </w:tcBorders>
            <w:shd w:val="clear" w:color="000000" w:fill="F2F2F2"/>
            <w:noWrap/>
            <w:vAlign w:val="bottom"/>
            <w:hideMark/>
          </w:tcPr>
          <w:p w14:paraId="6CC4D091"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11.5</w:t>
            </w:r>
          </w:p>
        </w:tc>
        <w:tc>
          <w:tcPr>
            <w:tcW w:w="1236" w:type="dxa"/>
            <w:tcBorders>
              <w:top w:val="nil"/>
              <w:left w:val="nil"/>
              <w:bottom w:val="single" w:sz="4" w:space="0" w:color="auto"/>
              <w:right w:val="nil"/>
            </w:tcBorders>
            <w:shd w:val="clear" w:color="000000" w:fill="F2F2F2"/>
            <w:noWrap/>
            <w:vAlign w:val="bottom"/>
            <w:hideMark/>
          </w:tcPr>
          <w:p w14:paraId="5582445C"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13.5</w:t>
            </w:r>
          </w:p>
        </w:tc>
        <w:tc>
          <w:tcPr>
            <w:tcW w:w="1236" w:type="dxa"/>
            <w:tcBorders>
              <w:top w:val="nil"/>
              <w:left w:val="nil"/>
              <w:bottom w:val="single" w:sz="4" w:space="0" w:color="auto"/>
              <w:right w:val="nil"/>
            </w:tcBorders>
            <w:shd w:val="clear" w:color="000000" w:fill="F2F2F2"/>
            <w:noWrap/>
            <w:vAlign w:val="bottom"/>
            <w:hideMark/>
          </w:tcPr>
          <w:p w14:paraId="018556AA" w14:textId="77777777" w:rsidR="0070702E" w:rsidRPr="0070702E" w:rsidRDefault="0070702E" w:rsidP="0070702E">
            <w:pPr>
              <w:ind w:firstLineChars="100" w:firstLine="160"/>
              <w:jc w:val="right"/>
              <w:rPr>
                <w:rFonts w:ascii="Arial" w:hAnsi="Arial" w:cs="Arial"/>
                <w:color w:val="000000"/>
                <w:sz w:val="16"/>
                <w:szCs w:val="16"/>
                <w:lang w:val="en-AU" w:eastAsia="en-AU"/>
              </w:rPr>
            </w:pPr>
            <w:r w:rsidRPr="0070702E">
              <w:rPr>
                <w:rFonts w:ascii="Arial" w:hAnsi="Arial" w:cs="Arial"/>
                <w:color w:val="000000"/>
                <w:sz w:val="16"/>
                <w:szCs w:val="16"/>
                <w:lang w:val="en-AU" w:eastAsia="en-AU"/>
              </w:rPr>
              <w:t>14.7</w:t>
            </w:r>
          </w:p>
        </w:tc>
      </w:tr>
    </w:tbl>
    <w:p w14:paraId="36C4493F" w14:textId="3955F4BC" w:rsidR="008049FC" w:rsidRPr="0063421B" w:rsidRDefault="008049FC" w:rsidP="006207D1">
      <w:pPr>
        <w:rPr>
          <w:rFonts w:ascii="Arial" w:hAnsi="Arial" w:cs="Arial"/>
          <w:sz w:val="6"/>
          <w:szCs w:val="6"/>
        </w:rPr>
      </w:pPr>
    </w:p>
    <w:p w14:paraId="413C3218" w14:textId="15486D61" w:rsidR="00A25090" w:rsidRPr="005F4C03" w:rsidRDefault="002C2EF9" w:rsidP="008049FC">
      <w:pPr>
        <w:pStyle w:val="Table6X"/>
        <w:numPr>
          <w:ilvl w:val="0"/>
          <w:numId w:val="33"/>
        </w:numPr>
        <w:spacing w:before="0"/>
        <w:ind w:left="357" w:hanging="357"/>
        <w:rPr>
          <w:i w:val="0"/>
          <w:color w:val="000000" w:themeColor="text1"/>
          <w:sz w:val="17"/>
          <w:szCs w:val="17"/>
        </w:rPr>
      </w:pPr>
      <w:r w:rsidRPr="005F4C03">
        <w:rPr>
          <w:i w:val="0"/>
          <w:color w:val="000000" w:themeColor="text1"/>
          <w:sz w:val="17"/>
          <w:szCs w:val="17"/>
        </w:rPr>
        <w:t>Gross State Product</w:t>
      </w:r>
      <w:r w:rsidR="001F7876" w:rsidRPr="005F4C03">
        <w:rPr>
          <w:i w:val="0"/>
          <w:color w:val="000000" w:themeColor="text1"/>
          <w:sz w:val="17"/>
          <w:szCs w:val="17"/>
        </w:rPr>
        <w:t xml:space="preserve"> (GSP) for NSW</w:t>
      </w:r>
      <w:r w:rsidRPr="005F4C03">
        <w:rPr>
          <w:i w:val="0"/>
          <w:color w:val="000000" w:themeColor="text1"/>
          <w:sz w:val="17"/>
          <w:szCs w:val="17"/>
        </w:rPr>
        <w:t xml:space="preserve"> from 2018-19 to 202</w:t>
      </w:r>
      <w:r w:rsidR="00736AEC">
        <w:rPr>
          <w:i w:val="0"/>
          <w:color w:val="000000" w:themeColor="text1"/>
          <w:sz w:val="17"/>
          <w:szCs w:val="17"/>
        </w:rPr>
        <w:t>3</w:t>
      </w:r>
      <w:r w:rsidRPr="005F4C03">
        <w:rPr>
          <w:i w:val="0"/>
          <w:color w:val="000000" w:themeColor="text1"/>
          <w:sz w:val="17"/>
          <w:szCs w:val="17"/>
        </w:rPr>
        <w:t>-2</w:t>
      </w:r>
      <w:r w:rsidR="00736AEC">
        <w:rPr>
          <w:i w:val="0"/>
          <w:color w:val="000000" w:themeColor="text1"/>
          <w:sz w:val="17"/>
          <w:szCs w:val="17"/>
        </w:rPr>
        <w:t>4</w:t>
      </w:r>
      <w:r w:rsidRPr="005F4C03">
        <w:rPr>
          <w:i w:val="0"/>
          <w:color w:val="000000" w:themeColor="text1"/>
          <w:sz w:val="17"/>
          <w:szCs w:val="17"/>
        </w:rPr>
        <w:t xml:space="preserve"> is forecast by NSW Treasury</w:t>
      </w:r>
    </w:p>
    <w:p w14:paraId="7C4A1A69" w14:textId="50EF9BD3" w:rsidR="00C36541" w:rsidRDefault="00E422A7" w:rsidP="0063421B">
      <w:pPr>
        <w:pStyle w:val="Heading2"/>
        <w:ind w:left="709" w:hanging="709"/>
      </w:pPr>
      <w:r>
        <w:t xml:space="preserve">Delivering </w:t>
      </w:r>
      <w:r w:rsidR="0058506D">
        <w:t xml:space="preserve">record </w:t>
      </w:r>
      <w:r>
        <w:t xml:space="preserve">infrastructure </w:t>
      </w:r>
      <w:r w:rsidR="0072787B">
        <w:t>while</w:t>
      </w:r>
      <w:r>
        <w:t xml:space="preserve"> </w:t>
      </w:r>
      <w:r w:rsidR="00C87216">
        <w:t>m</w:t>
      </w:r>
      <w:r w:rsidR="008D4B4B">
        <w:t>aintain</w:t>
      </w:r>
      <w:r w:rsidR="006F0D84">
        <w:t>ing</w:t>
      </w:r>
      <w:r w:rsidR="008D4B4B">
        <w:t xml:space="preserve"> </w:t>
      </w:r>
      <w:r w:rsidR="00387063">
        <w:t xml:space="preserve">sustainable </w:t>
      </w:r>
      <w:r w:rsidR="00C97921">
        <w:t xml:space="preserve">net </w:t>
      </w:r>
      <w:r w:rsidR="00387063">
        <w:t>debt</w:t>
      </w:r>
      <w:r w:rsidR="0039109B">
        <w:t xml:space="preserve"> </w:t>
      </w:r>
    </w:p>
    <w:p w14:paraId="41C5DCDC" w14:textId="77B758B7" w:rsidR="00B60C54" w:rsidRDefault="006B5BCD" w:rsidP="00A6600D">
      <w:pPr>
        <w:pStyle w:val="BodyText"/>
      </w:pPr>
      <w:r>
        <w:t>A significant write</w:t>
      </w:r>
      <w:r w:rsidR="0038021D">
        <w:t xml:space="preserve">-down in </w:t>
      </w:r>
      <w:r w:rsidR="00033718">
        <w:t>Government revenue</w:t>
      </w:r>
      <w:r w:rsidR="004D3CA6">
        <w:t xml:space="preserve"> </w:t>
      </w:r>
      <w:r w:rsidR="00033718">
        <w:t xml:space="preserve">and </w:t>
      </w:r>
      <w:r w:rsidR="009F10DA">
        <w:t xml:space="preserve">higher </w:t>
      </w:r>
      <w:r w:rsidR="00033718">
        <w:t>expenditure a</w:t>
      </w:r>
      <w:r w:rsidR="00520361">
        <w:t xml:space="preserve">s a </w:t>
      </w:r>
      <w:r w:rsidR="004D3CA6">
        <w:t xml:space="preserve">direct </w:t>
      </w:r>
      <w:r w:rsidR="00520361">
        <w:t>result of</w:t>
      </w:r>
      <w:r w:rsidR="00D016CA">
        <w:t xml:space="preserve"> COVID-19, </w:t>
      </w:r>
      <w:r w:rsidR="00CC3E1D">
        <w:t>bushfires and drought</w:t>
      </w:r>
      <w:r w:rsidR="00A521EF">
        <w:t xml:space="preserve"> has challenged</w:t>
      </w:r>
      <w:r w:rsidR="00982F63">
        <w:t xml:space="preserve"> the State’s fiscal</w:t>
      </w:r>
      <w:r w:rsidR="00EA4BE8">
        <w:t xml:space="preserve"> position</w:t>
      </w:r>
      <w:r w:rsidR="005F4BEF">
        <w:t>.</w:t>
      </w:r>
      <w:r w:rsidR="002B157F">
        <w:t xml:space="preserve"> </w:t>
      </w:r>
      <w:r w:rsidR="001A7657">
        <w:t xml:space="preserve">Even amidst this </w:t>
      </w:r>
      <w:r w:rsidR="00586941">
        <w:t>crisis</w:t>
      </w:r>
      <w:r w:rsidR="001A7657">
        <w:t>, t</w:t>
      </w:r>
      <w:r w:rsidR="00E24923">
        <w:t>he</w:t>
      </w:r>
      <w:r w:rsidR="00630E91">
        <w:t xml:space="preserve"> Government has drawn on its balance sheet </w:t>
      </w:r>
      <w:r w:rsidR="00FA7C20">
        <w:t xml:space="preserve">to </w:t>
      </w:r>
      <w:r w:rsidR="00DC354D">
        <w:t>borrow at record</w:t>
      </w:r>
      <w:r w:rsidR="00A11539">
        <w:t xml:space="preserve"> low interest rates</w:t>
      </w:r>
      <w:r w:rsidR="00AA117B">
        <w:t xml:space="preserve"> to fund infrastructure</w:t>
      </w:r>
      <w:r w:rsidR="00236CF5">
        <w:t>.</w:t>
      </w:r>
      <w:r w:rsidR="00630E91">
        <w:t xml:space="preserve"> </w:t>
      </w:r>
    </w:p>
    <w:p w14:paraId="1A8BD362" w14:textId="74A6681A" w:rsidR="00CF1F70" w:rsidRDefault="00B60C54" w:rsidP="00CF1F70">
      <w:pPr>
        <w:rPr>
          <w:rFonts w:ascii="Arial" w:hAnsi="Arial" w:cs="Arial"/>
          <w:sz w:val="23"/>
          <w:szCs w:val="23"/>
        </w:rPr>
      </w:pPr>
      <w:r w:rsidRPr="00CA1F26">
        <w:rPr>
          <w:rFonts w:ascii="Arial" w:hAnsi="Arial" w:cs="Arial"/>
          <w:sz w:val="23"/>
          <w:szCs w:val="23"/>
        </w:rPr>
        <w:t xml:space="preserve">General </w:t>
      </w:r>
      <w:r w:rsidR="006B4765">
        <w:rPr>
          <w:rFonts w:ascii="Arial" w:hAnsi="Arial" w:cs="Arial"/>
          <w:sz w:val="23"/>
          <w:szCs w:val="23"/>
        </w:rPr>
        <w:t>g</w:t>
      </w:r>
      <w:r w:rsidRPr="00CA1F26">
        <w:rPr>
          <w:rFonts w:ascii="Arial" w:hAnsi="Arial" w:cs="Arial"/>
          <w:sz w:val="23"/>
          <w:szCs w:val="23"/>
        </w:rPr>
        <w:t>overnment</w:t>
      </w:r>
      <w:r w:rsidR="00DD42F5" w:rsidRPr="00CA1F26">
        <w:rPr>
          <w:rFonts w:ascii="Arial" w:hAnsi="Arial" w:cs="Arial"/>
          <w:sz w:val="23"/>
          <w:szCs w:val="23"/>
        </w:rPr>
        <w:t xml:space="preserve"> n</w:t>
      </w:r>
      <w:r w:rsidR="0030703A" w:rsidRPr="00CA1F26">
        <w:rPr>
          <w:rFonts w:ascii="Arial" w:hAnsi="Arial" w:cs="Arial"/>
          <w:sz w:val="23"/>
          <w:szCs w:val="23"/>
        </w:rPr>
        <w:t xml:space="preserve">et debt </w:t>
      </w:r>
      <w:r w:rsidR="0013195D" w:rsidRPr="00CA1F26">
        <w:rPr>
          <w:rFonts w:ascii="Arial" w:hAnsi="Arial" w:cs="Arial"/>
          <w:sz w:val="23"/>
          <w:szCs w:val="23"/>
        </w:rPr>
        <w:t xml:space="preserve">is </w:t>
      </w:r>
      <w:r w:rsidR="00F253DD">
        <w:rPr>
          <w:rFonts w:ascii="Arial" w:hAnsi="Arial" w:cs="Arial"/>
          <w:sz w:val="23"/>
          <w:szCs w:val="23"/>
        </w:rPr>
        <w:t>projected</w:t>
      </w:r>
      <w:r w:rsidR="0013195D" w:rsidRPr="00CA1F26">
        <w:rPr>
          <w:rFonts w:ascii="Arial" w:hAnsi="Arial" w:cs="Arial"/>
          <w:sz w:val="23"/>
          <w:szCs w:val="23"/>
        </w:rPr>
        <w:t xml:space="preserve"> to rise </w:t>
      </w:r>
      <w:r w:rsidR="0013195D" w:rsidRPr="0026691C">
        <w:rPr>
          <w:rFonts w:ascii="Arial" w:hAnsi="Arial" w:cs="Arial"/>
          <w:sz w:val="23"/>
          <w:szCs w:val="23"/>
        </w:rPr>
        <w:t>from $</w:t>
      </w:r>
      <w:r w:rsidR="00647E1D" w:rsidRPr="0026691C">
        <w:rPr>
          <w:rFonts w:ascii="Arial" w:hAnsi="Arial" w:cs="Arial"/>
          <w:sz w:val="23"/>
          <w:szCs w:val="23"/>
        </w:rPr>
        <w:t>19.3</w:t>
      </w:r>
      <w:r w:rsidR="0013195D" w:rsidRPr="0026691C">
        <w:rPr>
          <w:rFonts w:ascii="Arial" w:hAnsi="Arial" w:cs="Arial"/>
          <w:sz w:val="23"/>
          <w:szCs w:val="23"/>
        </w:rPr>
        <w:t xml:space="preserve"> billion</w:t>
      </w:r>
      <w:r w:rsidR="009011AF" w:rsidRPr="00CA1F26">
        <w:rPr>
          <w:rFonts w:ascii="Arial" w:hAnsi="Arial" w:cs="Arial"/>
          <w:sz w:val="23"/>
          <w:szCs w:val="23"/>
        </w:rPr>
        <w:t xml:space="preserve"> from June 2020</w:t>
      </w:r>
      <w:r w:rsidR="0013195D" w:rsidRPr="00CA1F26">
        <w:rPr>
          <w:rFonts w:ascii="Arial" w:hAnsi="Arial" w:cs="Arial"/>
          <w:sz w:val="23"/>
          <w:szCs w:val="23"/>
        </w:rPr>
        <w:t xml:space="preserve"> </w:t>
      </w:r>
      <w:r w:rsidR="00322AB2" w:rsidRPr="00CA1F26">
        <w:rPr>
          <w:rFonts w:ascii="Arial" w:hAnsi="Arial" w:cs="Arial"/>
          <w:sz w:val="23"/>
          <w:szCs w:val="23"/>
        </w:rPr>
        <w:t>to</w:t>
      </w:r>
      <w:r w:rsidR="00244AA0" w:rsidRPr="00CA1F26">
        <w:rPr>
          <w:rFonts w:ascii="Arial" w:hAnsi="Arial" w:cs="Arial"/>
          <w:sz w:val="23"/>
          <w:szCs w:val="23"/>
        </w:rPr>
        <w:t xml:space="preserve"> </w:t>
      </w:r>
      <w:r w:rsidR="00DD42F5" w:rsidRPr="0026691C">
        <w:rPr>
          <w:rFonts w:ascii="Arial" w:hAnsi="Arial" w:cs="Arial"/>
          <w:sz w:val="23"/>
          <w:szCs w:val="23"/>
        </w:rPr>
        <w:t>$</w:t>
      </w:r>
      <w:r w:rsidR="00284A33" w:rsidRPr="0026691C">
        <w:rPr>
          <w:rFonts w:ascii="Arial" w:hAnsi="Arial" w:cs="Arial"/>
          <w:sz w:val="23"/>
          <w:szCs w:val="23"/>
        </w:rPr>
        <w:t>10</w:t>
      </w:r>
      <w:r w:rsidR="0026691C" w:rsidRPr="0026691C">
        <w:rPr>
          <w:rFonts w:ascii="Arial" w:hAnsi="Arial" w:cs="Arial"/>
          <w:sz w:val="23"/>
          <w:szCs w:val="23"/>
        </w:rPr>
        <w:t>4.</w:t>
      </w:r>
      <w:r w:rsidR="004E0F85" w:rsidRPr="0026691C">
        <w:rPr>
          <w:rFonts w:ascii="Arial" w:hAnsi="Arial" w:cs="Arial"/>
          <w:sz w:val="23"/>
          <w:szCs w:val="23"/>
        </w:rPr>
        <w:t>3</w:t>
      </w:r>
      <w:r w:rsidR="004E0F85">
        <w:rPr>
          <w:rFonts w:ascii="Arial" w:hAnsi="Arial" w:cs="Arial"/>
          <w:sz w:val="23"/>
          <w:szCs w:val="23"/>
        </w:rPr>
        <w:t> </w:t>
      </w:r>
      <w:r w:rsidR="00DD42F5" w:rsidRPr="0026691C">
        <w:rPr>
          <w:rFonts w:ascii="Arial" w:hAnsi="Arial" w:cs="Arial"/>
          <w:sz w:val="23"/>
          <w:szCs w:val="23"/>
        </w:rPr>
        <w:t xml:space="preserve">billion </w:t>
      </w:r>
      <w:r w:rsidR="007B03D8">
        <w:rPr>
          <w:rFonts w:ascii="Arial" w:hAnsi="Arial" w:cs="Arial"/>
          <w:sz w:val="23"/>
          <w:szCs w:val="23"/>
        </w:rPr>
        <w:t>at</w:t>
      </w:r>
      <w:r w:rsidR="00DD42F5" w:rsidRPr="00CA1F26">
        <w:rPr>
          <w:rFonts w:ascii="Arial" w:hAnsi="Arial" w:cs="Arial"/>
          <w:sz w:val="23"/>
          <w:szCs w:val="23"/>
        </w:rPr>
        <w:t xml:space="preserve"> June 2024</w:t>
      </w:r>
      <w:r w:rsidR="00B57E18" w:rsidRPr="00CA1F26">
        <w:rPr>
          <w:rFonts w:ascii="Arial" w:hAnsi="Arial" w:cs="Arial"/>
          <w:sz w:val="23"/>
          <w:szCs w:val="23"/>
        </w:rPr>
        <w:t xml:space="preserve">, with </w:t>
      </w:r>
      <w:r w:rsidR="004F416A" w:rsidRPr="00CA1F26">
        <w:rPr>
          <w:rFonts w:ascii="Arial" w:hAnsi="Arial" w:cs="Arial"/>
          <w:sz w:val="23"/>
          <w:szCs w:val="23"/>
        </w:rPr>
        <w:t xml:space="preserve">a </w:t>
      </w:r>
      <w:r w:rsidR="00B57E18" w:rsidRPr="00CA1F26">
        <w:rPr>
          <w:rFonts w:ascii="Arial" w:hAnsi="Arial" w:cs="Arial"/>
          <w:sz w:val="23"/>
          <w:szCs w:val="23"/>
        </w:rPr>
        <w:t xml:space="preserve">commensurate rise in non-financial </w:t>
      </w:r>
      <w:r w:rsidR="00B57E18" w:rsidRPr="0026691C">
        <w:rPr>
          <w:rFonts w:ascii="Arial" w:hAnsi="Arial" w:cs="Arial"/>
          <w:sz w:val="23"/>
          <w:szCs w:val="23"/>
        </w:rPr>
        <w:t>assets of $</w:t>
      </w:r>
      <w:r w:rsidR="00C101F1" w:rsidRPr="0026691C">
        <w:rPr>
          <w:rFonts w:ascii="Arial" w:hAnsi="Arial" w:cs="Arial"/>
          <w:sz w:val="23"/>
          <w:szCs w:val="23"/>
        </w:rPr>
        <w:t>84.3</w:t>
      </w:r>
      <w:r w:rsidR="00B57E18" w:rsidRPr="0026691C">
        <w:rPr>
          <w:rFonts w:ascii="Arial" w:hAnsi="Arial" w:cs="Arial"/>
          <w:sz w:val="23"/>
          <w:szCs w:val="23"/>
        </w:rPr>
        <w:t xml:space="preserve"> billion</w:t>
      </w:r>
      <w:r w:rsidR="00B57E18" w:rsidRPr="00CA1F26">
        <w:rPr>
          <w:rFonts w:ascii="Arial" w:hAnsi="Arial" w:cs="Arial"/>
          <w:sz w:val="23"/>
          <w:szCs w:val="23"/>
        </w:rPr>
        <w:t xml:space="preserve"> over the same period. </w:t>
      </w:r>
      <w:r w:rsidR="0026691C">
        <w:rPr>
          <w:rFonts w:ascii="Arial" w:hAnsi="Arial" w:cs="Arial"/>
          <w:sz w:val="23"/>
          <w:szCs w:val="23"/>
        </w:rPr>
        <w:t>T</w:t>
      </w:r>
      <w:r w:rsidR="00655E6D" w:rsidRPr="00CA1F26">
        <w:rPr>
          <w:rFonts w:ascii="Arial" w:hAnsi="Arial" w:cs="Arial"/>
          <w:sz w:val="23"/>
          <w:szCs w:val="23"/>
        </w:rPr>
        <w:t xml:space="preserve">he </w:t>
      </w:r>
      <w:r w:rsidR="00544385" w:rsidRPr="00CA1F26">
        <w:rPr>
          <w:rFonts w:ascii="Arial" w:hAnsi="Arial" w:cs="Arial"/>
          <w:sz w:val="23"/>
          <w:szCs w:val="23"/>
        </w:rPr>
        <w:t>Gover</w:t>
      </w:r>
      <w:r w:rsidR="00544385" w:rsidRPr="0026691C">
        <w:rPr>
          <w:rFonts w:ascii="Arial" w:hAnsi="Arial" w:cs="Arial"/>
          <w:sz w:val="23"/>
          <w:szCs w:val="23"/>
        </w:rPr>
        <w:t xml:space="preserve">nment </w:t>
      </w:r>
      <w:r w:rsidR="0026691C" w:rsidRPr="0026691C">
        <w:rPr>
          <w:rFonts w:ascii="Arial" w:hAnsi="Arial" w:cs="Arial"/>
          <w:sz w:val="23"/>
          <w:szCs w:val="23"/>
        </w:rPr>
        <w:t>aims</w:t>
      </w:r>
      <w:r w:rsidR="00544385" w:rsidRPr="0026691C">
        <w:rPr>
          <w:rFonts w:ascii="Arial" w:hAnsi="Arial" w:cs="Arial"/>
          <w:sz w:val="23"/>
          <w:szCs w:val="23"/>
        </w:rPr>
        <w:t xml:space="preserve"> to bring net debt back down to</w:t>
      </w:r>
      <w:r w:rsidR="0026691C" w:rsidRPr="0026691C">
        <w:rPr>
          <w:rFonts w:ascii="Arial" w:hAnsi="Arial" w:cs="Arial"/>
          <w:sz w:val="23"/>
          <w:szCs w:val="23"/>
        </w:rPr>
        <w:t>wards</w:t>
      </w:r>
      <w:r w:rsidR="00544385" w:rsidRPr="0026691C">
        <w:rPr>
          <w:rFonts w:ascii="Arial" w:hAnsi="Arial" w:cs="Arial"/>
          <w:sz w:val="23"/>
          <w:szCs w:val="23"/>
        </w:rPr>
        <w:t xml:space="preserve"> </w:t>
      </w:r>
      <w:r w:rsidR="002847D3" w:rsidRPr="0026691C">
        <w:rPr>
          <w:rFonts w:ascii="Arial" w:hAnsi="Arial" w:cs="Arial"/>
          <w:sz w:val="23"/>
          <w:szCs w:val="23"/>
        </w:rPr>
        <w:t>7</w:t>
      </w:r>
      <w:r w:rsidR="007A18E5" w:rsidRPr="0026691C">
        <w:rPr>
          <w:rFonts w:ascii="Arial" w:hAnsi="Arial" w:cs="Arial"/>
          <w:sz w:val="23"/>
          <w:szCs w:val="23"/>
        </w:rPr>
        <w:t xml:space="preserve"> per cent of GSP</w:t>
      </w:r>
      <w:r w:rsidR="0026691C" w:rsidRPr="0026691C">
        <w:rPr>
          <w:rFonts w:ascii="Arial" w:hAnsi="Arial" w:cs="Arial"/>
          <w:sz w:val="23"/>
          <w:szCs w:val="23"/>
        </w:rPr>
        <w:t xml:space="preserve"> over the medium-term.</w:t>
      </w:r>
      <w:r w:rsidR="0026691C">
        <w:rPr>
          <w:rFonts w:ascii="Arial" w:hAnsi="Arial" w:cs="Arial"/>
          <w:sz w:val="23"/>
          <w:szCs w:val="23"/>
        </w:rPr>
        <w:t xml:space="preserve"> </w:t>
      </w:r>
    </w:p>
    <w:p w14:paraId="36B06425" w14:textId="4CF8CD4E" w:rsidR="004F59E4" w:rsidRDefault="004F59E4"/>
    <w:tbl>
      <w:tblPr>
        <w:tblStyle w:val="TableGrid"/>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Caption w:val="Box 6.1: The strong liquidity position of NSW leads the way in Australia "/>
        <w:tblDescription w:val="Box 6.1: The strong liquidity position of NSW leads the way in Australia "/>
      </w:tblPr>
      <w:tblGrid>
        <w:gridCol w:w="9639"/>
      </w:tblGrid>
      <w:tr w:rsidR="007E333E" w14:paraId="2AC4B7D3" w14:textId="77777777" w:rsidTr="00626F11">
        <w:trPr>
          <w:trHeight w:val="3258"/>
        </w:trPr>
        <w:tc>
          <w:tcPr>
            <w:tcW w:w="9639" w:type="dxa"/>
            <w:shd w:val="clear" w:color="auto" w:fill="F2F2F2" w:themeFill="background1" w:themeFillShade="F2"/>
          </w:tcPr>
          <w:p w14:paraId="14CA4A0A" w14:textId="35201658" w:rsidR="00BA4C78" w:rsidRPr="0026691C" w:rsidRDefault="008F5E70" w:rsidP="007665E9">
            <w:pPr>
              <w:pStyle w:val="Box31BoxHeading"/>
              <w:numPr>
                <w:ilvl w:val="0"/>
                <w:numId w:val="57"/>
              </w:numPr>
              <w:ind w:left="1171" w:hanging="1171"/>
            </w:pPr>
            <w:r w:rsidRPr="0026691C">
              <w:t xml:space="preserve">The </w:t>
            </w:r>
            <w:r w:rsidR="009E106B" w:rsidRPr="0026691C">
              <w:t xml:space="preserve">strong </w:t>
            </w:r>
            <w:r w:rsidR="00BA4C78" w:rsidRPr="0026691C">
              <w:t xml:space="preserve">liquidity </w:t>
            </w:r>
            <w:r w:rsidR="00E57016" w:rsidRPr="0026691C">
              <w:t>position</w:t>
            </w:r>
            <w:r w:rsidR="00130EA9" w:rsidRPr="0026691C">
              <w:t xml:space="preserve"> of NSW</w:t>
            </w:r>
            <w:r w:rsidR="00D77239" w:rsidRPr="0026691C">
              <w:t xml:space="preserve"> </w:t>
            </w:r>
            <w:r w:rsidR="00BA4C78" w:rsidRPr="0026691C">
              <w:t xml:space="preserve">leads the way in Australia </w:t>
            </w:r>
          </w:p>
          <w:p w14:paraId="688E8475" w14:textId="2B05F4ED" w:rsidR="00BA4C78" w:rsidRPr="0026691C" w:rsidRDefault="00BA4C78" w:rsidP="003B4BAC">
            <w:pPr>
              <w:pStyle w:val="Bullet1inabox"/>
              <w:rPr>
                <w:color w:val="0A7CB9"/>
                <w:szCs w:val="23"/>
              </w:rPr>
            </w:pPr>
            <w:r w:rsidRPr="0026691C">
              <w:t xml:space="preserve">The Government was well placed to support the </w:t>
            </w:r>
            <w:r w:rsidR="00EB4AC3" w:rsidRPr="0026691C">
              <w:t>economy</w:t>
            </w:r>
            <w:r w:rsidRPr="0026691C">
              <w:t xml:space="preserve"> as a result of strong fiscal and balance sheet management leading into the </w:t>
            </w:r>
            <w:r w:rsidRPr="0026691C">
              <w:rPr>
                <w:color w:val="0A7CB9"/>
                <w:szCs w:val="23"/>
              </w:rPr>
              <w:t xml:space="preserve">crisis. </w:t>
            </w:r>
          </w:p>
          <w:p w14:paraId="44884DED" w14:textId="269F68EE" w:rsidR="00BA4C78" w:rsidRPr="0026691C" w:rsidRDefault="00BA4C78" w:rsidP="003B4BAC">
            <w:pPr>
              <w:pStyle w:val="Bullet1inabox"/>
            </w:pPr>
            <w:r w:rsidRPr="0026691C">
              <w:t>The Government’s balance sheet reform agenda has ensured that every dollar of taxpayers’ funds on the State’s balance sheet continues to work for the people of N</w:t>
            </w:r>
            <w:r w:rsidR="006D6877" w:rsidRPr="0026691C">
              <w:t xml:space="preserve">ew </w:t>
            </w:r>
            <w:r w:rsidRPr="0026691C">
              <w:t>S</w:t>
            </w:r>
            <w:r w:rsidR="006D6877" w:rsidRPr="0026691C">
              <w:t xml:space="preserve">outh </w:t>
            </w:r>
            <w:r w:rsidRPr="0026691C">
              <w:t>W</w:t>
            </w:r>
            <w:r w:rsidR="006D6877" w:rsidRPr="0026691C">
              <w:t>ales</w:t>
            </w:r>
            <w:r w:rsidRPr="0026691C">
              <w:t xml:space="preserve">. </w:t>
            </w:r>
            <w:r w:rsidRPr="0026691C">
              <w:rPr>
                <w:szCs w:val="19"/>
              </w:rPr>
              <w:t xml:space="preserve">Whilst borrowings will increase </w:t>
            </w:r>
            <w:r w:rsidRPr="0026691C">
              <w:t>due to COVID-19, bushfires and drought, this is manageable due to the State’s exceptional liquidity</w:t>
            </w:r>
            <w:r w:rsidR="003102BF" w:rsidRPr="0026691C">
              <w:t xml:space="preserve"> levels</w:t>
            </w:r>
            <w:r w:rsidRPr="0026691C">
              <w:t>, highlighted by the Government’s investment funds</w:t>
            </w:r>
            <w:r w:rsidR="001F6272">
              <w:t xml:space="preserve"> </w:t>
            </w:r>
            <w:r w:rsidR="00C70899">
              <w:t>in conjunction with historically low interest rates</w:t>
            </w:r>
            <w:r w:rsidRPr="0026691C">
              <w:t xml:space="preserve">. </w:t>
            </w:r>
          </w:p>
          <w:p w14:paraId="463AFAD5" w14:textId="1CE45064" w:rsidR="00BA4C78" w:rsidRPr="0026691C" w:rsidRDefault="00BA4C78" w:rsidP="003B4BAC">
            <w:pPr>
              <w:pStyle w:val="Bullet1inabox"/>
            </w:pPr>
            <w:r w:rsidRPr="0026691C">
              <w:t>From June 20</w:t>
            </w:r>
            <w:r w:rsidR="00F11CA3" w:rsidRPr="0026691C">
              <w:t>20</w:t>
            </w:r>
            <w:r w:rsidRPr="0026691C">
              <w:t xml:space="preserve"> to June 2024, the Government’s financial assets that contribute to its net debt position </w:t>
            </w:r>
            <w:r w:rsidR="00E15CF8" w:rsidRPr="0026691C">
              <w:t xml:space="preserve">are </w:t>
            </w:r>
            <w:r w:rsidR="00F253DD">
              <w:t>projected</w:t>
            </w:r>
            <w:r w:rsidR="00E15CF8" w:rsidRPr="0026691C">
              <w:t xml:space="preserve"> to </w:t>
            </w:r>
            <w:r w:rsidRPr="0026691C">
              <w:t xml:space="preserve">grow by </w:t>
            </w:r>
            <w:r w:rsidRPr="0026691C">
              <w:rPr>
                <w:rFonts w:eastAsiaTheme="minorHAnsi"/>
                <w:color w:val="0A7CB9"/>
                <w:szCs w:val="23"/>
              </w:rPr>
              <w:t>$</w:t>
            </w:r>
            <w:r w:rsidR="0026691C" w:rsidRPr="0026691C">
              <w:rPr>
                <w:szCs w:val="23"/>
              </w:rPr>
              <w:t>3.9</w:t>
            </w:r>
            <w:r w:rsidRPr="0026691C">
              <w:rPr>
                <w:szCs w:val="23"/>
              </w:rPr>
              <w:t xml:space="preserve"> </w:t>
            </w:r>
            <w:r w:rsidRPr="0026691C">
              <w:rPr>
                <w:rFonts w:eastAsiaTheme="minorHAnsi"/>
                <w:color w:val="0A7CB9"/>
                <w:szCs w:val="23"/>
              </w:rPr>
              <w:t>billion.</w:t>
            </w:r>
            <w:r w:rsidRPr="0026691C">
              <w:t xml:space="preserve"> With the sale of WestConnex in 2021 and the proceeds</w:t>
            </w:r>
            <w:r w:rsidR="00846A98" w:rsidRPr="0026691C">
              <w:t xml:space="preserve"> deposited</w:t>
            </w:r>
            <w:r w:rsidR="009512C4" w:rsidRPr="0026691C">
              <w:t xml:space="preserve"> </w:t>
            </w:r>
            <w:r w:rsidRPr="0026691C">
              <w:t xml:space="preserve">into the NGF, this position will grow even further. </w:t>
            </w:r>
          </w:p>
          <w:p w14:paraId="07A29032" w14:textId="4B483634" w:rsidR="00BA4C78" w:rsidRPr="0026691C" w:rsidRDefault="00BA4C78" w:rsidP="00F61308">
            <w:pPr>
              <w:pStyle w:val="BodyTextBox"/>
            </w:pPr>
            <w:r w:rsidRPr="0026691C">
              <w:t xml:space="preserve">The State’s financial assets </w:t>
            </w:r>
            <w:r w:rsidR="00852BEE">
              <w:t xml:space="preserve">included in the calculation of net debt </w:t>
            </w:r>
            <w:r w:rsidRPr="0026691C">
              <w:t>are estimated to grow to $</w:t>
            </w:r>
            <w:r w:rsidR="00995B90" w:rsidRPr="0026691C">
              <w:t>5</w:t>
            </w:r>
            <w:r w:rsidR="0026691C" w:rsidRPr="0026691C">
              <w:t>3</w:t>
            </w:r>
            <w:r w:rsidR="00995B90" w:rsidRPr="0026691C">
              <w:t>.</w:t>
            </w:r>
            <w:r w:rsidR="0026691C" w:rsidRPr="0026691C">
              <w:t>7</w:t>
            </w:r>
            <w:r w:rsidRPr="0026691C">
              <w:t xml:space="preserve"> billion by June 2024. </w:t>
            </w:r>
            <w:r w:rsidR="009513B7" w:rsidRPr="0026691C">
              <w:t>These financial assets comprise</w:t>
            </w:r>
            <w:r w:rsidR="00020F50">
              <w:t>, among others</w:t>
            </w:r>
            <w:r w:rsidRPr="0026691C">
              <w:t>:</w:t>
            </w:r>
          </w:p>
          <w:p w14:paraId="028291D4" w14:textId="1E475F43" w:rsidR="00BA4C78" w:rsidRPr="0026691C" w:rsidRDefault="00BA4C78" w:rsidP="003B4BAC">
            <w:pPr>
              <w:pStyle w:val="Bullet1inabox"/>
            </w:pPr>
            <w:r w:rsidRPr="0026691C">
              <w:rPr>
                <w:b/>
              </w:rPr>
              <w:t xml:space="preserve">NSW Generations Fund (NGF) </w:t>
            </w:r>
            <w:r w:rsidRPr="0026691C">
              <w:t>–</w:t>
            </w:r>
            <w:r w:rsidRPr="0026691C">
              <w:rPr>
                <w:b/>
              </w:rPr>
              <w:t xml:space="preserve"> </w:t>
            </w:r>
            <w:r w:rsidRPr="0026691C">
              <w:t>a debt retirement fund that is treated as an offset to the State’s gross debt by Moody’s and S&amp;P Global in their credit rating assessments</w:t>
            </w:r>
          </w:p>
          <w:p w14:paraId="66212650" w14:textId="331E4F94" w:rsidR="00BA4C78" w:rsidRPr="0026691C" w:rsidRDefault="00BA4C78" w:rsidP="003B4BAC">
            <w:pPr>
              <w:pStyle w:val="Bullet1inabox"/>
            </w:pPr>
            <w:r w:rsidRPr="0026691C">
              <w:rPr>
                <w:b/>
              </w:rPr>
              <w:t>NSW Infrastructure Future Fund (NIFF)</w:t>
            </w:r>
            <w:r w:rsidRPr="0026691C">
              <w:t xml:space="preserve"> – an investment vehicle to temporarily hold the</w:t>
            </w:r>
            <w:r w:rsidR="0000028E" w:rsidRPr="0026691C">
              <w:t xml:space="preserve"> </w:t>
            </w:r>
            <w:r w:rsidRPr="0026691C">
              <w:t xml:space="preserve">net proceeds from the Government’s </w:t>
            </w:r>
            <w:r w:rsidR="00B84C17" w:rsidRPr="0026691C">
              <w:t xml:space="preserve">past </w:t>
            </w:r>
            <w:r w:rsidR="00377E9B" w:rsidRPr="0026691C">
              <w:t>recycling</w:t>
            </w:r>
            <w:r w:rsidR="00A507EE" w:rsidRPr="0026691C">
              <w:t xml:space="preserve"> transactions</w:t>
            </w:r>
            <w:r w:rsidR="00D0286B" w:rsidRPr="0026691C">
              <w:t xml:space="preserve"> and </w:t>
            </w:r>
            <w:r w:rsidR="00CA3160" w:rsidRPr="0026691C">
              <w:t>support</w:t>
            </w:r>
            <w:r w:rsidR="00D0286B" w:rsidRPr="0026691C">
              <w:t>s</w:t>
            </w:r>
            <w:r w:rsidR="00CA3160" w:rsidRPr="0026691C">
              <w:t xml:space="preserve"> the Restart NSW/Rebuilding NSW infrastructure programs</w:t>
            </w:r>
          </w:p>
          <w:p w14:paraId="3878A1B0" w14:textId="2CDFAA1F" w:rsidR="00BA4C78" w:rsidRPr="0026691C" w:rsidRDefault="00BA4C78" w:rsidP="003B4BAC">
            <w:pPr>
              <w:pStyle w:val="Bullet1inabox"/>
              <w:rPr>
                <w:b/>
              </w:rPr>
            </w:pPr>
            <w:r w:rsidRPr="0026691C">
              <w:rPr>
                <w:b/>
              </w:rPr>
              <w:t xml:space="preserve">Social and Affordable Housing Fund (SAHF) – </w:t>
            </w:r>
            <w:r w:rsidRPr="0026691C">
              <w:t>an investment fund that provides much needed social and affordable housing to the community</w:t>
            </w:r>
          </w:p>
          <w:p w14:paraId="2A41CF48" w14:textId="1B8E3A6F" w:rsidR="0084177F" w:rsidRPr="0026691C" w:rsidRDefault="00476B9E" w:rsidP="003B4BAC">
            <w:pPr>
              <w:pStyle w:val="Bullet1inabox"/>
              <w:rPr>
                <w:b/>
              </w:rPr>
            </w:pPr>
            <w:r w:rsidRPr="0026691C">
              <w:rPr>
                <w:b/>
              </w:rPr>
              <w:t>Treasury Managed Fund (TMF)</w:t>
            </w:r>
            <w:r w:rsidRPr="0026691C">
              <w:t xml:space="preserve"> – the State’s Government self-insurance fund for a liability, injury, loss or damage that may be suffered by individuals who work for</w:t>
            </w:r>
            <w:r w:rsidR="00D30C4B" w:rsidRPr="0026691C">
              <w:t xml:space="preserve"> and</w:t>
            </w:r>
            <w:r w:rsidR="005A0752" w:rsidRPr="0026691C">
              <w:t xml:space="preserve"> assets owned and run by the NSW Government</w:t>
            </w:r>
          </w:p>
          <w:p w14:paraId="4746E5ED" w14:textId="0E3A8A90" w:rsidR="00404A82" w:rsidRPr="003B4BAC" w:rsidDel="004446EA" w:rsidRDefault="00D13D20" w:rsidP="003B4BAC">
            <w:pPr>
              <w:pStyle w:val="Bullet1inabox"/>
              <w:rPr>
                <w:b/>
              </w:rPr>
            </w:pPr>
            <w:r w:rsidRPr="0026691C">
              <w:rPr>
                <w:b/>
              </w:rPr>
              <w:t xml:space="preserve">Snowy Hydro Investment Fund </w:t>
            </w:r>
            <w:r w:rsidRPr="0026691C">
              <w:t>– announced in this Budget to support the Snowy Hydro Legacy Fund’s economic investment in regional NSW</w:t>
            </w:r>
            <w:r w:rsidR="00DE7A3D">
              <w:t>.</w:t>
            </w:r>
          </w:p>
        </w:tc>
      </w:tr>
      <w:tr w:rsidR="004F59E4" w14:paraId="3F08D9A9" w14:textId="77777777" w:rsidTr="00626F11">
        <w:trPr>
          <w:trHeight w:val="1560"/>
        </w:trPr>
        <w:tc>
          <w:tcPr>
            <w:tcW w:w="9639" w:type="dxa"/>
            <w:shd w:val="clear" w:color="auto" w:fill="F2F2F2" w:themeFill="background1" w:themeFillShade="F2"/>
          </w:tcPr>
          <w:p w14:paraId="2480A2EE" w14:textId="00CBB963" w:rsidR="004F59E4" w:rsidRPr="0026691C" w:rsidRDefault="00F35568" w:rsidP="004F59E4">
            <w:pPr>
              <w:pStyle w:val="Chart6X"/>
            </w:pPr>
            <w:r w:rsidRPr="007575A6">
              <w:rPr>
                <w:noProof/>
                <w:color w:val="FFFFFF" w:themeColor="background1"/>
                <w:sz w:val="15"/>
                <w:szCs w:val="15"/>
              </w:rPr>
              <w:drawing>
                <wp:anchor distT="0" distB="0" distL="114300" distR="114300" simplePos="0" relativeHeight="251658240" behindDoc="0" locked="0" layoutInCell="1" allowOverlap="1" wp14:anchorId="2BA75775" wp14:editId="1212577E">
                  <wp:simplePos x="0" y="0"/>
                  <wp:positionH relativeFrom="column">
                    <wp:posOffset>38100</wp:posOffset>
                  </wp:positionH>
                  <wp:positionV relativeFrom="paragraph">
                    <wp:posOffset>353060</wp:posOffset>
                  </wp:positionV>
                  <wp:extent cx="5724525" cy="2226310"/>
                  <wp:effectExtent l="0" t="0" r="0" b="2540"/>
                  <wp:wrapSquare wrapText="bothSides"/>
                  <wp:docPr id="5" name="Chart 5" descr="Chart 6.1: Growth of investments used in the calculation of net debt(a)(b)">
                    <a:extLst xmlns:a="http://schemas.openxmlformats.org/drawingml/2006/main">
                      <a:ext uri="{FF2B5EF4-FFF2-40B4-BE49-F238E27FC236}">
                        <a16:creationId xmlns:a16="http://schemas.microsoft.com/office/drawing/2014/main" id="{79C596DF-7D19-4C6B-B716-2E953CC48F7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4F59E4" w:rsidRPr="0026691C">
              <w:t xml:space="preserve">Growth of </w:t>
            </w:r>
            <w:r w:rsidR="0081083F">
              <w:t>investments</w:t>
            </w:r>
            <w:r w:rsidR="004F59E4" w:rsidRPr="0026691C">
              <w:t xml:space="preserve"> used in the calculation of net debt</w:t>
            </w:r>
            <w:r w:rsidR="004F59E4" w:rsidRPr="0026691C">
              <w:rPr>
                <w:vertAlign w:val="superscript"/>
              </w:rPr>
              <w:t>(a)</w:t>
            </w:r>
            <w:r w:rsidR="004B08ED" w:rsidRPr="0026691C">
              <w:rPr>
                <w:vertAlign w:val="superscript"/>
              </w:rPr>
              <w:t>(b)</w:t>
            </w:r>
          </w:p>
          <w:p w14:paraId="36BFE324" w14:textId="1516D616" w:rsidR="004F59E4" w:rsidRPr="003B4BAC" w:rsidRDefault="004F59E4" w:rsidP="003B4BAC">
            <w:pPr>
              <w:ind w:firstLine="720"/>
              <w:rPr>
                <w:rFonts w:ascii="Arial" w:hAnsi="Arial" w:cs="Arial"/>
                <w:sz w:val="6"/>
                <w:szCs w:val="6"/>
              </w:rPr>
            </w:pPr>
          </w:p>
          <w:p w14:paraId="26ACF36E" w14:textId="1FFD5F99" w:rsidR="00F6297F" w:rsidRPr="0026691C" w:rsidRDefault="00071746" w:rsidP="00A62AD6">
            <w:pPr>
              <w:pStyle w:val="ListParagraph"/>
              <w:numPr>
                <w:ilvl w:val="0"/>
                <w:numId w:val="58"/>
              </w:numPr>
              <w:ind w:left="357" w:hanging="357"/>
              <w:rPr>
                <w:rFonts w:ascii="Arial" w:hAnsi="Arial" w:cs="Arial"/>
                <w:sz w:val="17"/>
                <w:szCs w:val="17"/>
              </w:rPr>
            </w:pPr>
            <w:r w:rsidRPr="0026691C">
              <w:rPr>
                <w:rFonts w:ascii="Arial" w:hAnsi="Arial" w:cs="Arial"/>
                <w:sz w:val="17"/>
                <w:szCs w:val="17"/>
              </w:rPr>
              <w:t>WestConnex</w:t>
            </w:r>
            <w:r w:rsidR="00732332" w:rsidRPr="0026691C">
              <w:rPr>
                <w:rFonts w:ascii="Arial" w:hAnsi="Arial" w:cs="Arial"/>
                <w:sz w:val="17"/>
                <w:szCs w:val="17"/>
              </w:rPr>
              <w:t xml:space="preserve"> future proceeds have not been included in the projections</w:t>
            </w:r>
          </w:p>
          <w:p w14:paraId="3CA91EA1" w14:textId="12300591" w:rsidR="00F6297F" w:rsidRPr="00F35568" w:rsidRDefault="0026691C" w:rsidP="00732332">
            <w:pPr>
              <w:pStyle w:val="ListParagraph"/>
              <w:numPr>
                <w:ilvl w:val="0"/>
                <w:numId w:val="58"/>
              </w:numPr>
              <w:ind w:left="357" w:hanging="357"/>
              <w:rPr>
                <w:rFonts w:ascii="Arial" w:hAnsi="Arial" w:cs="Arial"/>
                <w:sz w:val="17"/>
                <w:szCs w:val="17"/>
              </w:rPr>
            </w:pPr>
            <w:r>
              <w:rPr>
                <w:rFonts w:ascii="Arial" w:hAnsi="Arial" w:cs="Arial"/>
                <w:sz w:val="17"/>
                <w:szCs w:val="17"/>
              </w:rPr>
              <w:t>The</w:t>
            </w:r>
            <w:r w:rsidR="005172C1" w:rsidRPr="0026691C">
              <w:rPr>
                <w:rFonts w:ascii="Arial" w:hAnsi="Arial" w:cs="Arial"/>
                <w:sz w:val="17"/>
                <w:szCs w:val="17"/>
              </w:rPr>
              <w:t xml:space="preserve"> </w:t>
            </w:r>
            <w:r w:rsidR="00330938">
              <w:rPr>
                <w:rFonts w:ascii="Arial" w:hAnsi="Arial" w:cs="Arial"/>
                <w:sz w:val="17"/>
                <w:szCs w:val="17"/>
              </w:rPr>
              <w:t xml:space="preserve">financial assets categorised under ‘other’ </w:t>
            </w:r>
            <w:r w:rsidR="004B08ED" w:rsidRPr="0026691C">
              <w:rPr>
                <w:rFonts w:ascii="Arial" w:hAnsi="Arial" w:cs="Arial"/>
                <w:sz w:val="17"/>
                <w:szCs w:val="17"/>
              </w:rPr>
              <w:t>comprises Long Service Corporation (LSC)</w:t>
            </w:r>
            <w:r w:rsidR="005172C1" w:rsidRPr="0026691C">
              <w:rPr>
                <w:rFonts w:ascii="Arial" w:hAnsi="Arial" w:cs="Arial"/>
                <w:sz w:val="17"/>
                <w:szCs w:val="17"/>
              </w:rPr>
              <w:t xml:space="preserve">, Worker’s Compensation (Dust Diseases) Authority and </w:t>
            </w:r>
            <w:proofErr w:type="spellStart"/>
            <w:r w:rsidR="005172C1" w:rsidRPr="0026691C">
              <w:rPr>
                <w:rFonts w:ascii="Arial" w:hAnsi="Arial" w:cs="Arial"/>
                <w:sz w:val="17"/>
                <w:szCs w:val="17"/>
              </w:rPr>
              <w:t>SiCorp</w:t>
            </w:r>
            <w:proofErr w:type="spellEnd"/>
            <w:r w:rsidR="005172C1" w:rsidRPr="0026691C">
              <w:rPr>
                <w:rFonts w:ascii="Arial" w:hAnsi="Arial" w:cs="Arial"/>
                <w:sz w:val="17"/>
                <w:szCs w:val="17"/>
              </w:rPr>
              <w:t xml:space="preserve"> other funds (excluding TMF)</w:t>
            </w:r>
            <w:r w:rsidR="00330938">
              <w:rPr>
                <w:rFonts w:ascii="Arial" w:hAnsi="Arial" w:cs="Arial"/>
                <w:sz w:val="17"/>
                <w:szCs w:val="17"/>
              </w:rPr>
              <w:t xml:space="preserve"> among other smaller funds</w:t>
            </w:r>
          </w:p>
        </w:tc>
      </w:tr>
    </w:tbl>
    <w:p w14:paraId="6853B884" w14:textId="77777777" w:rsidR="003B4BAC" w:rsidRDefault="003B4BAC" w:rsidP="00504693">
      <w:pPr>
        <w:pStyle w:val="BodyText"/>
        <w:rPr>
          <w:rFonts w:ascii="Times New Roman" w:eastAsia="Times New Roman" w:hAnsi="Times New Roman" w:cs="Times New Roman"/>
          <w:sz w:val="20"/>
          <w:lang w:val="en-US"/>
        </w:rPr>
      </w:pPr>
    </w:p>
    <w:p w14:paraId="663A6B68" w14:textId="77777777" w:rsidR="003B4BAC" w:rsidRDefault="003B4BAC">
      <w:pPr>
        <w:spacing w:after="200" w:line="276" w:lineRule="auto"/>
      </w:pPr>
      <w:r>
        <w:br w:type="page"/>
      </w:r>
    </w:p>
    <w:p w14:paraId="71ABEE14" w14:textId="77777777" w:rsidR="0071799F" w:rsidRDefault="0071799F" w:rsidP="0071799F">
      <w:pPr>
        <w:pStyle w:val="BodyText"/>
      </w:pPr>
      <w:r>
        <w:t>Mitigating the increase in borrowings are historically low interest rates (</w:t>
      </w:r>
      <w:r w:rsidRPr="00330938">
        <w:t>see Box 6.3). One of the key factors of debt sustainability is interest servicing costs. Maintaining low interest</w:t>
      </w:r>
      <w:r>
        <w:t xml:space="preserve"> expenses means the Government </w:t>
      </w:r>
      <w:proofErr w:type="gramStart"/>
      <w:r>
        <w:t>is able to</w:t>
      </w:r>
      <w:proofErr w:type="gramEnd"/>
      <w:r>
        <w:t xml:space="preserve"> allocate more resources to providing essential services and investing in productive infrastructure. </w:t>
      </w:r>
    </w:p>
    <w:p w14:paraId="2DA015A4" w14:textId="4EFB6635" w:rsidR="0071799F" w:rsidRDefault="0071799F" w:rsidP="00504693">
      <w:pPr>
        <w:pStyle w:val="BodyText"/>
      </w:pPr>
      <w:r>
        <w:t xml:space="preserve">Prior to COVID-19, the State’s interest servicing costs represented </w:t>
      </w:r>
      <w:r w:rsidRPr="00330938">
        <w:t>2.8 per cent of</w:t>
      </w:r>
      <w:r>
        <w:t xml:space="preserve"> revenue, on average, over the four years to 2023-24. Even with the increase in borrowings to support the record infrastructure program, the 2020-21 Budget </w:t>
      </w:r>
      <w:r w:rsidRPr="00330938">
        <w:t xml:space="preserve">shows a marginal increase in the State’s interest </w:t>
      </w:r>
      <w:r>
        <w:t>expenses</w:t>
      </w:r>
      <w:r w:rsidRPr="00330938">
        <w:t>, which are expected to average 3.2 per cent of revenue over the four years to 2023-24.</w:t>
      </w:r>
      <w:r>
        <w:t xml:space="preserve"> </w:t>
      </w:r>
    </w:p>
    <w:p w14:paraId="791D3890" w14:textId="0A9402FA" w:rsidR="006F41A6" w:rsidRDefault="006F41A6" w:rsidP="001453F4"/>
    <w:tbl>
      <w:tblPr>
        <w:tblW w:w="9751" w:type="dxa"/>
        <w:tblInd w:w="-142" w:type="dxa"/>
        <w:shd w:val="clear" w:color="auto" w:fill="F2F2F2" w:themeFill="background1" w:themeFillShade="F2"/>
        <w:tblLayout w:type="fixed"/>
        <w:tblLook w:val="04A0" w:firstRow="1" w:lastRow="0" w:firstColumn="1" w:lastColumn="0" w:noHBand="0" w:noVBand="1"/>
        <w:tblCaption w:val="Box 6.2: The State continues its successful Sustainability Bond Program "/>
        <w:tblDescription w:val="Box 6.2: The State continues its successful Sustainability Bond Program "/>
      </w:tblPr>
      <w:tblGrid>
        <w:gridCol w:w="9751"/>
      </w:tblGrid>
      <w:tr w:rsidR="00AC753C" w14:paraId="59030A26" w14:textId="77777777" w:rsidTr="001B4282">
        <w:trPr>
          <w:trHeight w:val="9891"/>
        </w:trPr>
        <w:tc>
          <w:tcPr>
            <w:tcW w:w="9751" w:type="dxa"/>
            <w:shd w:val="clear" w:color="auto" w:fill="F2F2F2" w:themeFill="background1" w:themeFillShade="F2"/>
          </w:tcPr>
          <w:p w14:paraId="316F2425" w14:textId="53CCBE83" w:rsidR="00AC753C" w:rsidRPr="00B8718C" w:rsidRDefault="00214849" w:rsidP="007665E9">
            <w:pPr>
              <w:pStyle w:val="Box31BoxHeading"/>
              <w:numPr>
                <w:ilvl w:val="0"/>
                <w:numId w:val="57"/>
              </w:numPr>
              <w:ind w:left="1171" w:hanging="1171"/>
            </w:pPr>
            <w:r>
              <w:t xml:space="preserve">The State continues its successful </w:t>
            </w:r>
            <w:r w:rsidR="0066718D">
              <w:t>S</w:t>
            </w:r>
            <w:r>
              <w:t xml:space="preserve">ustainability </w:t>
            </w:r>
            <w:r w:rsidR="0066718D">
              <w:t>B</w:t>
            </w:r>
            <w:r>
              <w:t xml:space="preserve">ond </w:t>
            </w:r>
            <w:r w:rsidR="0066718D">
              <w:t>P</w:t>
            </w:r>
            <w:r>
              <w:t>rogram</w:t>
            </w:r>
            <w:r w:rsidR="00F42DB2">
              <w:t xml:space="preserve"> </w:t>
            </w:r>
          </w:p>
          <w:p w14:paraId="1D7BB307" w14:textId="7D7B266F" w:rsidR="009D1305" w:rsidRDefault="008B4814" w:rsidP="003B4BAC">
            <w:pPr>
              <w:pStyle w:val="Bullet1inabox"/>
            </w:pPr>
            <w:r w:rsidRPr="00E40818">
              <w:t>The NSW Government</w:t>
            </w:r>
            <w:r w:rsidRPr="00647C4D">
              <w:rPr>
                <w:rFonts w:hint="eastAsia"/>
              </w:rPr>
              <w:t>’</w:t>
            </w:r>
            <w:r w:rsidRPr="00647C4D">
              <w:t>s Sustainability Bond Program</w:t>
            </w:r>
            <w:r w:rsidR="00643932">
              <w:t xml:space="preserve"> </w:t>
            </w:r>
            <w:r w:rsidR="00F46743" w:rsidRPr="00647C4D">
              <w:t>is the only program</w:t>
            </w:r>
            <w:r w:rsidR="004661AA" w:rsidRPr="00B67A95">
              <w:t xml:space="preserve"> of its type</w:t>
            </w:r>
            <w:r w:rsidR="00343D2E" w:rsidRPr="00B67A95">
              <w:t xml:space="preserve"> amongst</w:t>
            </w:r>
            <w:r w:rsidR="00E80A5F" w:rsidRPr="00E44D77">
              <w:t xml:space="preserve"> </w:t>
            </w:r>
            <w:r w:rsidR="00A31C70">
              <w:t>Commonwealth</w:t>
            </w:r>
            <w:r w:rsidR="00B74E6E" w:rsidRPr="00E44D77">
              <w:t xml:space="preserve"> and semi</w:t>
            </w:r>
            <w:r w:rsidR="0071748D" w:rsidRPr="00E44D77">
              <w:t>-government issuers</w:t>
            </w:r>
            <w:r w:rsidR="00F131A2" w:rsidRPr="00E44D77">
              <w:t xml:space="preserve"> in Australia. </w:t>
            </w:r>
          </w:p>
          <w:p w14:paraId="6BDC978B" w14:textId="4E8E6F70" w:rsidR="00643932" w:rsidRDefault="00DA3642" w:rsidP="003B4BAC">
            <w:pPr>
              <w:pStyle w:val="Bullet1inabox"/>
            </w:pPr>
            <w:r>
              <w:t>L</w:t>
            </w:r>
            <w:r w:rsidR="00F131A2" w:rsidRPr="00E44D77">
              <w:t>aunched in 2018</w:t>
            </w:r>
            <w:r w:rsidR="003A1C6F" w:rsidRPr="00E44D77">
              <w:t xml:space="preserve"> </w:t>
            </w:r>
            <w:r>
              <w:t>the program is designed to</w:t>
            </w:r>
            <w:r w:rsidR="009D1305">
              <w:t xml:space="preserve"> s</w:t>
            </w:r>
            <w:r w:rsidR="009D1305" w:rsidRPr="009D1305">
              <w:t>upport NSW Government environmental and social policies, strategies and goals, while providing a mechanism for investors to allocate capital to projects</w:t>
            </w:r>
            <w:r w:rsidR="00FB4F60">
              <w:t xml:space="preserve"> and </w:t>
            </w:r>
            <w:r w:rsidR="009D1305" w:rsidRPr="009D1305">
              <w:t>assets that achieve a positive environmental or social outcome</w:t>
            </w:r>
            <w:r w:rsidR="00D17C9C" w:rsidRPr="00E44D77">
              <w:t>.</w:t>
            </w:r>
            <w:r w:rsidR="00DB09E0" w:rsidRPr="00E44D77">
              <w:t xml:space="preserve"> </w:t>
            </w:r>
            <w:r w:rsidR="0036106D">
              <w:t xml:space="preserve">The program draws on and contributes to global best practice in the discipline of </w:t>
            </w:r>
            <w:r w:rsidR="004F546B">
              <w:t xml:space="preserve">outcomes measurement, reporting and transparent disclosure of sustainability outcomes.  </w:t>
            </w:r>
          </w:p>
          <w:p w14:paraId="6A50B274" w14:textId="787E74A5" w:rsidR="00554AF9" w:rsidRDefault="00613EA7" w:rsidP="003B4BAC">
            <w:pPr>
              <w:pStyle w:val="Bullet1inabox"/>
            </w:pPr>
            <w:r>
              <w:t xml:space="preserve">The program </w:t>
            </w:r>
            <w:r w:rsidR="00903BAA">
              <w:t>supports</w:t>
            </w:r>
            <w:r>
              <w:t xml:space="preserve"> the UN Sustainable Development Goals, </w:t>
            </w:r>
            <w:r w:rsidR="00A81823">
              <w:t xml:space="preserve">and is aligned with </w:t>
            </w:r>
            <w:r>
              <w:t>the International Capital Market Association’s (ICMA’s) Green Bond Principles, Social Bond Principles, and Sustainability Bond Guidelines.</w:t>
            </w:r>
            <w:r w:rsidR="00DA178D">
              <w:t xml:space="preserve"> </w:t>
            </w:r>
            <w:r w:rsidR="00C42844">
              <w:t>E</w:t>
            </w:r>
            <w:r w:rsidR="008F75D5">
              <w:t xml:space="preserve">xternal </w:t>
            </w:r>
            <w:r w:rsidR="00D41678">
              <w:t xml:space="preserve">assurance is actively sought and made available publicly </w:t>
            </w:r>
            <w:r w:rsidR="008F75D5">
              <w:t xml:space="preserve">with </w:t>
            </w:r>
            <w:r w:rsidR="00DF6472">
              <w:t>t</w:t>
            </w:r>
            <w:r w:rsidR="00DA178D">
              <w:t>he program independently audited</w:t>
            </w:r>
            <w:r w:rsidR="000660B0">
              <w:t>, second party opinions</w:t>
            </w:r>
            <w:r w:rsidR="002B6C82">
              <w:t xml:space="preserve"> solicited</w:t>
            </w:r>
            <w:r w:rsidR="0086389E">
              <w:t xml:space="preserve"> and the </w:t>
            </w:r>
            <w:r>
              <w:t xml:space="preserve">green bonds issued so far </w:t>
            </w:r>
            <w:r w:rsidR="00F310F0">
              <w:t xml:space="preserve">being </w:t>
            </w:r>
            <w:r>
              <w:t>certified by the Climate Bond</w:t>
            </w:r>
            <w:r w:rsidR="00400232">
              <w:t>s</w:t>
            </w:r>
            <w:r>
              <w:t xml:space="preserve"> Initiative.  </w:t>
            </w:r>
          </w:p>
          <w:p w14:paraId="2B084975" w14:textId="4464D38F" w:rsidR="002F220B" w:rsidRPr="00E44D77" w:rsidRDefault="00DB09E0" w:rsidP="003B4BAC">
            <w:pPr>
              <w:pStyle w:val="Bullet1inabox"/>
            </w:pPr>
            <w:r w:rsidRPr="00E44D77">
              <w:t xml:space="preserve">The program covers </w:t>
            </w:r>
            <w:r w:rsidR="0042397E" w:rsidRPr="00E44D77">
              <w:t>the issuance of</w:t>
            </w:r>
            <w:r w:rsidR="007B1F94" w:rsidRPr="00E44D77">
              <w:t xml:space="preserve"> 3 types of bonds:</w:t>
            </w:r>
          </w:p>
          <w:p w14:paraId="1F2347C1" w14:textId="264DD5C1" w:rsidR="002F220B" w:rsidRPr="00330938" w:rsidRDefault="00017F21" w:rsidP="003B4BAC">
            <w:pPr>
              <w:pStyle w:val="Bullet2inabox"/>
            </w:pPr>
            <w:r w:rsidRPr="00330938">
              <w:rPr>
                <w:b/>
              </w:rPr>
              <w:t>Green Bonds</w:t>
            </w:r>
            <w:r w:rsidRPr="00330938">
              <w:t xml:space="preserve"> </w:t>
            </w:r>
            <w:r w:rsidRPr="00330938">
              <w:rPr>
                <w:rFonts w:hint="eastAsia"/>
              </w:rPr>
              <w:t>–</w:t>
            </w:r>
            <w:r w:rsidRPr="00330938">
              <w:t xml:space="preserve"> </w:t>
            </w:r>
            <w:r w:rsidR="0042397E" w:rsidRPr="00330938">
              <w:t>proceeds are exclusively applied to finance eligible Green Projects</w:t>
            </w:r>
            <w:r w:rsidR="004E349D" w:rsidRPr="00330938">
              <w:t>, in alignment with the four core components of the Green Bond Principles (GBP)</w:t>
            </w:r>
          </w:p>
          <w:p w14:paraId="1538B14C" w14:textId="130E11AD" w:rsidR="00017F21" w:rsidRPr="00330938" w:rsidRDefault="00017F21" w:rsidP="001B4282">
            <w:pPr>
              <w:pStyle w:val="Bullet2inabox"/>
            </w:pPr>
            <w:r w:rsidRPr="00330938">
              <w:rPr>
                <w:b/>
              </w:rPr>
              <w:t>Social Bonds</w:t>
            </w:r>
            <w:r w:rsidRPr="00330938">
              <w:t xml:space="preserve"> </w:t>
            </w:r>
            <w:r w:rsidRPr="00330938">
              <w:rPr>
                <w:rFonts w:hint="eastAsia"/>
              </w:rPr>
              <w:t>–</w:t>
            </w:r>
            <w:r w:rsidRPr="00330938">
              <w:t xml:space="preserve"> </w:t>
            </w:r>
            <w:r w:rsidR="004E349D" w:rsidRPr="00330938">
              <w:t>proceeds are exclusively applied to finance eligible Social Projects</w:t>
            </w:r>
            <w:r w:rsidR="002F5E1A" w:rsidRPr="00330938">
              <w:t>, in alignment with the four core components of the Social Bond Principles (SBP)</w:t>
            </w:r>
          </w:p>
          <w:p w14:paraId="30E9C453" w14:textId="17AC5581" w:rsidR="00FC2875" w:rsidRPr="00330938" w:rsidRDefault="00017F21" w:rsidP="001B4282">
            <w:pPr>
              <w:pStyle w:val="Bullet2inabox"/>
            </w:pPr>
            <w:r w:rsidRPr="00330938">
              <w:rPr>
                <w:b/>
              </w:rPr>
              <w:t>Sustainability Bonds</w:t>
            </w:r>
            <w:r w:rsidRPr="00330938">
              <w:t xml:space="preserve"> </w:t>
            </w:r>
            <w:r w:rsidR="00752BCD" w:rsidRPr="00330938">
              <w:rPr>
                <w:rFonts w:hint="eastAsia"/>
              </w:rPr>
              <w:t>–</w:t>
            </w:r>
            <w:r w:rsidRPr="00330938">
              <w:t xml:space="preserve"> </w:t>
            </w:r>
            <w:r w:rsidR="002F5E1A" w:rsidRPr="00330938">
              <w:t>proceeds will be exclusively applied to finance a combination of both Green and Social Projects, in alignment with both GBP and SBP</w:t>
            </w:r>
            <w:r w:rsidR="00F631C5" w:rsidRPr="00330938">
              <w:t>.</w:t>
            </w:r>
          </w:p>
          <w:p w14:paraId="2805A8E0" w14:textId="2B4CB97A" w:rsidR="005A0886" w:rsidRDefault="00FC2875" w:rsidP="003B4BAC">
            <w:pPr>
              <w:pStyle w:val="Bullet1inabox"/>
            </w:pPr>
            <w:r w:rsidRPr="00953880">
              <w:t>NSW Treasury</w:t>
            </w:r>
            <w:r w:rsidR="006E315D" w:rsidRPr="00953880">
              <w:t xml:space="preserve"> Corporation (TCorp)</w:t>
            </w:r>
            <w:r w:rsidR="0011167B" w:rsidRPr="00953880">
              <w:t>, on behalf of the Government</w:t>
            </w:r>
            <w:r w:rsidR="00AA6D01" w:rsidRPr="00953880">
              <w:t>, has issued</w:t>
            </w:r>
            <w:r w:rsidR="005E4BFB" w:rsidRPr="00953880">
              <w:t xml:space="preserve"> a total of </w:t>
            </w:r>
            <w:r w:rsidR="002B2ACD">
              <w:br/>
            </w:r>
            <w:r w:rsidR="005E4BFB" w:rsidRPr="00953880">
              <w:t>$</w:t>
            </w:r>
            <w:r w:rsidR="004B427E">
              <w:t>5.2</w:t>
            </w:r>
            <w:r w:rsidR="005E4BFB" w:rsidRPr="00953880">
              <w:t xml:space="preserve"> billion</w:t>
            </w:r>
            <w:r w:rsidR="00E51B8A" w:rsidRPr="00953880">
              <w:t xml:space="preserve"> in </w:t>
            </w:r>
            <w:r w:rsidR="00903677" w:rsidRPr="00953880">
              <w:t xml:space="preserve">Green and Sustainability </w:t>
            </w:r>
            <w:r w:rsidR="00A830FA" w:rsidRPr="00953880">
              <w:t>Bonds to date.</w:t>
            </w:r>
            <w:r w:rsidR="005A0886">
              <w:t xml:space="preserve"> </w:t>
            </w:r>
            <w:r w:rsidR="0017457F">
              <w:t xml:space="preserve">The most recent </w:t>
            </w:r>
            <w:r w:rsidR="00F270E9">
              <w:t xml:space="preserve">bond issued was </w:t>
            </w:r>
            <w:r w:rsidR="009379AC">
              <w:t>particularly noteworthy, attracting over $4</w:t>
            </w:r>
            <w:r w:rsidR="00881030">
              <w:t>.</w:t>
            </w:r>
            <w:r w:rsidR="00D377AD">
              <w:t>1</w:t>
            </w:r>
            <w:r w:rsidR="009379AC">
              <w:t xml:space="preserve"> billion </w:t>
            </w:r>
            <w:r w:rsidR="004B7830">
              <w:t xml:space="preserve">in </w:t>
            </w:r>
            <w:r w:rsidR="00A00B4A">
              <w:t xml:space="preserve">bids for </w:t>
            </w:r>
            <w:r w:rsidR="00E940BA">
              <w:t xml:space="preserve">a </w:t>
            </w:r>
            <w:r w:rsidR="00341B02">
              <w:t>$1.3 billion</w:t>
            </w:r>
            <w:r w:rsidR="00DC57E5">
              <w:t xml:space="preserve"> </w:t>
            </w:r>
            <w:r w:rsidR="00E940BA">
              <w:t>green bond</w:t>
            </w:r>
            <w:r w:rsidR="009873BE">
              <w:t xml:space="preserve"> in October 2020</w:t>
            </w:r>
            <w:r w:rsidR="00E940BA">
              <w:t xml:space="preserve"> </w:t>
            </w:r>
            <w:r w:rsidR="007F4F0E">
              <w:t>at a yield of 1.11</w:t>
            </w:r>
            <w:r w:rsidR="007E4AD5">
              <w:t xml:space="preserve"> per cent</w:t>
            </w:r>
            <w:r w:rsidR="00266B20">
              <w:t xml:space="preserve"> over 10 years</w:t>
            </w:r>
            <w:r w:rsidR="00E940BA">
              <w:t xml:space="preserve">, </w:t>
            </w:r>
            <w:r w:rsidR="00566BD7">
              <w:t>with offshore investors taking up around 40</w:t>
            </w:r>
            <w:r w:rsidR="007E4AD5">
              <w:t xml:space="preserve"> per cent</w:t>
            </w:r>
            <w:r w:rsidR="00566BD7">
              <w:t xml:space="preserve"> of </w:t>
            </w:r>
            <w:r w:rsidR="00A476AA">
              <w:t xml:space="preserve">the </w:t>
            </w:r>
            <w:r w:rsidR="00566BD7">
              <w:t>deal</w:t>
            </w:r>
            <w:r w:rsidR="00266B20">
              <w:t xml:space="preserve">.  </w:t>
            </w:r>
          </w:p>
          <w:p w14:paraId="2FEE7A12" w14:textId="0276FB78" w:rsidR="001F7862" w:rsidRPr="00330938" w:rsidRDefault="006D3A05" w:rsidP="003B4BAC">
            <w:pPr>
              <w:pStyle w:val="Bullet1inabox"/>
            </w:pPr>
            <w:r w:rsidRPr="00330938">
              <w:t>New South Wales is the largest issuer o</w:t>
            </w:r>
            <w:r w:rsidR="009E157E" w:rsidRPr="00330938">
              <w:t xml:space="preserve">f </w:t>
            </w:r>
            <w:r w:rsidR="00430581" w:rsidRPr="00330938">
              <w:t xml:space="preserve">Green </w:t>
            </w:r>
            <w:r w:rsidR="00503470" w:rsidRPr="00330938">
              <w:t>Bonds and Sustainability Bond</w:t>
            </w:r>
            <w:r w:rsidR="009E157E" w:rsidRPr="00330938">
              <w:t>s in Austr</w:t>
            </w:r>
            <w:r w:rsidR="008053BC" w:rsidRPr="00330938">
              <w:t>alia</w:t>
            </w:r>
            <w:r w:rsidR="00D176CB" w:rsidRPr="00330938">
              <w:t xml:space="preserve"> and the program has </w:t>
            </w:r>
            <w:r w:rsidR="00A9482D" w:rsidRPr="00330938">
              <w:t>received multiple awards, including</w:t>
            </w:r>
            <w:r w:rsidR="006E6785" w:rsidRPr="00330938">
              <w:t>:</w:t>
            </w:r>
            <w:r w:rsidR="00A9482D" w:rsidRPr="00330938">
              <w:t xml:space="preserve"> </w:t>
            </w:r>
          </w:p>
          <w:p w14:paraId="7A04F570" w14:textId="6A944C4B" w:rsidR="00B53ADB" w:rsidRPr="00330938" w:rsidRDefault="00593963" w:rsidP="001B4282">
            <w:pPr>
              <w:pStyle w:val="Bullet2inabox"/>
            </w:pPr>
            <w:r w:rsidRPr="00330938">
              <w:t>KangaNews Awards 2018 “Australian Sustainability Deal of the Year”</w:t>
            </w:r>
          </w:p>
          <w:p w14:paraId="01A76811" w14:textId="275A48C3" w:rsidR="00BB6302" w:rsidRDefault="00AC6418" w:rsidP="001B4282">
            <w:pPr>
              <w:pStyle w:val="Bullet2inabox"/>
            </w:pPr>
            <w:r w:rsidRPr="00330938">
              <w:t>FinanceAsia Achievement Award 2018 “Best Sustainable Finance Deal”</w:t>
            </w:r>
          </w:p>
          <w:p w14:paraId="5166434A" w14:textId="7DC80799" w:rsidR="00B53ADB" w:rsidRDefault="00BB6302" w:rsidP="001B4282">
            <w:pPr>
              <w:pStyle w:val="Bullet2inabox"/>
            </w:pPr>
            <w:r>
              <w:t>Environmental Finance Bond Awards 2020 “Sustainability Bond of the Year”</w:t>
            </w:r>
          </w:p>
          <w:p w14:paraId="33CA1ADB" w14:textId="6267E6DF" w:rsidR="00F42DB2" w:rsidRDefault="00BB6302" w:rsidP="001B4282">
            <w:pPr>
              <w:pStyle w:val="Bullet2inabox"/>
            </w:pPr>
            <w:r>
              <w:t>Asset Triple A Infrastructure Awards 2020 “Green Project of the Year”</w:t>
            </w:r>
            <w:r w:rsidR="00E75D89">
              <w:t>.</w:t>
            </w:r>
            <w:r w:rsidR="00E75D89" w:rsidRPr="00330938" w:rsidDel="00C37759">
              <w:t xml:space="preserve"> </w:t>
            </w:r>
          </w:p>
        </w:tc>
      </w:tr>
    </w:tbl>
    <w:p w14:paraId="64A92C85" w14:textId="77777777" w:rsidR="00AC753C" w:rsidRDefault="00AC753C" w:rsidP="005D1F35"/>
    <w:p w14:paraId="26AD3AD0" w14:textId="0BE6C833" w:rsidR="007E16EB" w:rsidRDefault="00D96297" w:rsidP="00A6600D">
      <w:pPr>
        <w:pStyle w:val="BodyText"/>
      </w:pPr>
      <w:r>
        <w:t>F</w:t>
      </w:r>
      <w:r w:rsidR="00E353E8">
        <w:t xml:space="preserve">inancial </w:t>
      </w:r>
      <w:r w:rsidR="00E353E8" w:rsidRPr="004C265D">
        <w:t>assets</w:t>
      </w:r>
      <w:r w:rsidR="004C265D">
        <w:t xml:space="preserve"> </w:t>
      </w:r>
      <w:r w:rsidRPr="004C265D">
        <w:t xml:space="preserve">included in </w:t>
      </w:r>
      <w:r w:rsidR="004C265D">
        <w:t xml:space="preserve">the calculation </w:t>
      </w:r>
      <w:r w:rsidR="004C265D" w:rsidRPr="001C1FC1">
        <w:t xml:space="preserve">of </w:t>
      </w:r>
      <w:r w:rsidRPr="001C1FC1">
        <w:t>net debt</w:t>
      </w:r>
      <w:r w:rsidR="001673C4" w:rsidRPr="001C1FC1">
        <w:t xml:space="preserve"> </w:t>
      </w:r>
      <w:r w:rsidR="000D2483" w:rsidRPr="00330938">
        <w:t>were</w:t>
      </w:r>
      <w:r w:rsidR="00E353E8" w:rsidRPr="00330938">
        <w:t xml:space="preserve"> $</w:t>
      </w:r>
      <w:r w:rsidR="00497CBD" w:rsidRPr="00330938">
        <w:t>49.8</w:t>
      </w:r>
      <w:r w:rsidR="00067FC4" w:rsidRPr="00330938">
        <w:t xml:space="preserve"> </w:t>
      </w:r>
      <w:r w:rsidR="00E353E8" w:rsidRPr="00330938">
        <w:t>billion at</w:t>
      </w:r>
      <w:r w:rsidR="00E353E8" w:rsidRPr="00546BD3">
        <w:t xml:space="preserve"> June 20</w:t>
      </w:r>
      <w:r w:rsidR="00546BD3">
        <w:t>20</w:t>
      </w:r>
      <w:r w:rsidR="001B32BD">
        <w:t>. The</w:t>
      </w:r>
      <w:r w:rsidR="00EC185F">
        <w:t>se assets primarily consist of the NIFF, NGF, SAHF and the TMF</w:t>
      </w:r>
      <w:r w:rsidR="006864C8" w:rsidRPr="001C1FC1">
        <w:t xml:space="preserve"> (see Chart </w:t>
      </w:r>
      <w:r w:rsidR="006864C8">
        <w:t>6</w:t>
      </w:r>
      <w:r w:rsidR="006864C8" w:rsidRPr="001C1FC1">
        <w:t>.</w:t>
      </w:r>
      <w:r w:rsidR="006864C8">
        <w:t>1</w:t>
      </w:r>
      <w:r w:rsidR="006864C8" w:rsidRPr="001C1FC1">
        <w:t>)</w:t>
      </w:r>
      <w:r w:rsidR="006864C8" w:rsidRPr="001C1FC1">
        <w:rPr>
          <w:rStyle w:val="FootnoteReference"/>
        </w:rPr>
        <w:footnoteReference w:id="2"/>
      </w:r>
      <w:r w:rsidR="00EC185F" w:rsidRPr="00C77B97">
        <w:t xml:space="preserve">. </w:t>
      </w:r>
      <w:r w:rsidR="00EC185F">
        <w:t xml:space="preserve"> </w:t>
      </w:r>
    </w:p>
    <w:p w14:paraId="1B42DE40" w14:textId="2F6A3AF8" w:rsidR="00183E6F" w:rsidRDefault="003C5B97" w:rsidP="00A6600D">
      <w:pPr>
        <w:pStyle w:val="BodyText"/>
      </w:pPr>
      <w:r>
        <w:t xml:space="preserve">Over the four years to June 2024, these funds are </w:t>
      </w:r>
      <w:r w:rsidR="00637315">
        <w:t>projected</w:t>
      </w:r>
      <w:r>
        <w:t xml:space="preserve"> </w:t>
      </w:r>
      <w:r w:rsidR="003D03E5">
        <w:t xml:space="preserve">to </w:t>
      </w:r>
      <w:r w:rsidR="006C38D3">
        <w:t>increase by</w:t>
      </w:r>
      <w:r>
        <w:t xml:space="preserve"> </w:t>
      </w:r>
      <w:r w:rsidR="004F780E" w:rsidRPr="00330938">
        <w:t>$</w:t>
      </w:r>
      <w:r w:rsidR="00330938" w:rsidRPr="00330938">
        <w:t>3.9</w:t>
      </w:r>
      <w:r w:rsidR="004F780E" w:rsidRPr="00330938">
        <w:t xml:space="preserve"> billion</w:t>
      </w:r>
      <w:r w:rsidR="006C38D3" w:rsidRPr="00330938">
        <w:t xml:space="preserve"> to $</w:t>
      </w:r>
      <w:r w:rsidR="0045180D" w:rsidRPr="00330938">
        <w:t>5</w:t>
      </w:r>
      <w:r w:rsidR="00330938" w:rsidRPr="00330938">
        <w:t>3</w:t>
      </w:r>
      <w:r w:rsidR="0045180D" w:rsidRPr="00330938">
        <w:t>.</w:t>
      </w:r>
      <w:r w:rsidR="00330938" w:rsidRPr="00330938">
        <w:t>7</w:t>
      </w:r>
      <w:r w:rsidR="006C38D3" w:rsidRPr="00330938">
        <w:t xml:space="preserve"> billion</w:t>
      </w:r>
      <w:r w:rsidR="00A90D14" w:rsidRPr="00330938">
        <w:t xml:space="preserve">. </w:t>
      </w:r>
      <w:r w:rsidR="007E16EB" w:rsidRPr="00330938">
        <w:t xml:space="preserve">This increase is </w:t>
      </w:r>
      <w:r w:rsidR="00F67A20" w:rsidRPr="00330938">
        <w:t xml:space="preserve">largely </w:t>
      </w:r>
      <w:r w:rsidR="007E16EB" w:rsidRPr="00330938">
        <w:t xml:space="preserve">being driven by </w:t>
      </w:r>
      <w:r w:rsidR="007B01A8" w:rsidRPr="00330938">
        <w:t xml:space="preserve">an increase in the </w:t>
      </w:r>
      <w:r w:rsidR="00D42AD0">
        <w:t xml:space="preserve">projected </w:t>
      </w:r>
      <w:r w:rsidR="007B01A8" w:rsidRPr="00330938">
        <w:t>bala</w:t>
      </w:r>
      <w:r w:rsidR="007B01A8">
        <w:t>nce of the NG</w:t>
      </w:r>
      <w:r w:rsidR="007B01A8" w:rsidRPr="00364E26">
        <w:t xml:space="preserve">F, </w:t>
      </w:r>
      <w:r w:rsidR="007B01A8" w:rsidRPr="00450CA3">
        <w:t xml:space="preserve">in line with projected investment returns </w:t>
      </w:r>
      <w:r w:rsidR="007B01A8">
        <w:t xml:space="preserve">and additional contributions. </w:t>
      </w:r>
      <w:r w:rsidR="00067FC4">
        <w:t xml:space="preserve">This is offset somewhat by reductions in the balance of the </w:t>
      </w:r>
      <w:r w:rsidR="000169BB" w:rsidRPr="00450CA3">
        <w:t xml:space="preserve">NIFF over the forward estimates in line with scheduled drawdowns </w:t>
      </w:r>
      <w:r w:rsidR="004A3C5F">
        <w:t>to support the Restart NSW/Rebuilding NSW programs</w:t>
      </w:r>
      <w:r w:rsidR="000169BB" w:rsidRPr="00450CA3">
        <w:t xml:space="preserve">. </w:t>
      </w:r>
    </w:p>
    <w:p w14:paraId="051459D9" w14:textId="2E468D92" w:rsidR="00AC753C" w:rsidRDefault="00AC753C" w:rsidP="00AC753C">
      <w:pPr>
        <w:pStyle w:val="Chart6X"/>
      </w:pPr>
      <w:r>
        <w:t xml:space="preserve">General </w:t>
      </w:r>
      <w:r w:rsidR="008A1982">
        <w:t>g</w:t>
      </w:r>
      <w:r>
        <w:t xml:space="preserve">overnment </w:t>
      </w:r>
      <w:r w:rsidR="008A1982">
        <w:t>s</w:t>
      </w:r>
      <w:r>
        <w:t xml:space="preserve">ector net debt </w:t>
      </w:r>
    </w:p>
    <w:p w14:paraId="70373C20" w14:textId="18B4C5EB" w:rsidR="001344DD" w:rsidRDefault="00F35568" w:rsidP="00F35568">
      <w:pPr>
        <w:spacing w:after="200" w:line="276" w:lineRule="auto"/>
        <w:rPr>
          <w:lang w:eastAsia="en-AU"/>
        </w:rPr>
      </w:pPr>
      <w:r>
        <w:rPr>
          <w:noProof/>
        </w:rPr>
        <w:drawing>
          <wp:inline distT="0" distB="0" distL="0" distR="0" wp14:anchorId="0899B605" wp14:editId="24B031F0">
            <wp:extent cx="6120130" cy="2695492"/>
            <wp:effectExtent l="0" t="0" r="0" b="0"/>
            <wp:docPr id="6" name="Chart 6" descr="Chart 6.2: General government sector net debt ">
              <a:extLst xmlns:a="http://schemas.openxmlformats.org/drawingml/2006/main">
                <a:ext uri="{FF2B5EF4-FFF2-40B4-BE49-F238E27FC236}">
                  <a16:creationId xmlns:a16="http://schemas.microsoft.com/office/drawing/2014/main" id="{25BE3CE3-E7D1-4D14-89D0-E2ECFCE60F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A04455D" w14:textId="37115536" w:rsidR="003444EB" w:rsidRDefault="00D96297" w:rsidP="00A6600D">
      <w:pPr>
        <w:pStyle w:val="BodyText"/>
      </w:pPr>
      <w:r w:rsidRPr="00B5121D">
        <w:t>L</w:t>
      </w:r>
      <w:r w:rsidR="00E353E8" w:rsidRPr="00B5121D">
        <w:t xml:space="preserve">iabilities </w:t>
      </w:r>
      <w:r w:rsidRPr="00B5121D">
        <w:t xml:space="preserve">included </w:t>
      </w:r>
      <w:r w:rsidR="004C265D" w:rsidRPr="00B5121D">
        <w:t>in the calculation of net debt</w:t>
      </w:r>
      <w:r w:rsidR="00EE4B23" w:rsidRPr="00B5121D">
        <w:t xml:space="preserve"> </w:t>
      </w:r>
      <w:r w:rsidR="00FB78A3">
        <w:t>were</w:t>
      </w:r>
      <w:r w:rsidR="00891C1C" w:rsidRPr="00B5121D">
        <w:t xml:space="preserve"> </w:t>
      </w:r>
      <w:r w:rsidR="007E23BE" w:rsidRPr="00E04B92">
        <w:t>$</w:t>
      </w:r>
      <w:r w:rsidR="0071408D" w:rsidRPr="00450CA3">
        <w:t>6</w:t>
      </w:r>
      <w:r w:rsidR="005D4126">
        <w:t>9</w:t>
      </w:r>
      <w:r w:rsidR="00330938">
        <w:t>.</w:t>
      </w:r>
      <w:r w:rsidR="005D4126">
        <w:t>0</w:t>
      </w:r>
      <w:r w:rsidR="007E23BE" w:rsidRPr="00B5121D">
        <w:t> </w:t>
      </w:r>
      <w:r w:rsidR="00891C1C" w:rsidRPr="00B5121D">
        <w:t>billion at June </w:t>
      </w:r>
      <w:r w:rsidR="00DA7288" w:rsidRPr="00B5121D">
        <w:t>2020</w:t>
      </w:r>
      <w:r w:rsidR="00B9075F">
        <w:t>.</w:t>
      </w:r>
      <w:r w:rsidR="00DA7288" w:rsidRPr="00B5121D">
        <w:t xml:space="preserve"> </w:t>
      </w:r>
      <w:r w:rsidR="006952B3" w:rsidRPr="00B5121D">
        <w:t>Over the four years to June 202</w:t>
      </w:r>
      <w:r w:rsidR="00DA7288">
        <w:t>4</w:t>
      </w:r>
      <w:r w:rsidR="005A5A36" w:rsidRPr="00B5121D">
        <w:t>,</w:t>
      </w:r>
      <w:r w:rsidR="006952B3" w:rsidRPr="00B5121D">
        <w:t xml:space="preserve"> these liabilities </w:t>
      </w:r>
      <w:r w:rsidR="00A520C5" w:rsidRPr="00B5121D">
        <w:t xml:space="preserve">are </w:t>
      </w:r>
      <w:r w:rsidR="006952B3" w:rsidRPr="00B5121D">
        <w:t>projected</w:t>
      </w:r>
      <w:r w:rsidR="00A520C5" w:rsidRPr="00B5121D">
        <w:t xml:space="preserve"> to </w:t>
      </w:r>
      <w:r w:rsidR="00A520C5" w:rsidRPr="00330938">
        <w:t xml:space="preserve">increase </w:t>
      </w:r>
      <w:r w:rsidR="00C91688" w:rsidRPr="00330938">
        <w:t>to $</w:t>
      </w:r>
      <w:r w:rsidR="00330938" w:rsidRPr="00330938">
        <w:t>15</w:t>
      </w:r>
      <w:r w:rsidR="002C5D5C">
        <w:t>8</w:t>
      </w:r>
      <w:r w:rsidR="00B028BE" w:rsidRPr="00330938">
        <w:t>.</w:t>
      </w:r>
      <w:r w:rsidR="002C5D5C">
        <w:t>1</w:t>
      </w:r>
      <w:r w:rsidR="00C91688" w:rsidRPr="00330938">
        <w:t xml:space="preserve"> billion</w:t>
      </w:r>
      <w:r w:rsidR="009F61E5" w:rsidRPr="00B5121D">
        <w:t xml:space="preserve"> </w:t>
      </w:r>
      <w:r w:rsidR="00A720E2">
        <w:t xml:space="preserve">mainly </w:t>
      </w:r>
      <w:r w:rsidR="009F61E5" w:rsidRPr="00B5121D">
        <w:t xml:space="preserve">driven </w:t>
      </w:r>
      <w:r w:rsidR="008A2E7F">
        <w:t>by</w:t>
      </w:r>
      <w:r w:rsidR="004A3A2A">
        <w:t xml:space="preserve"> </w:t>
      </w:r>
      <w:r w:rsidR="00340C97">
        <w:t xml:space="preserve">increased </w:t>
      </w:r>
      <w:r w:rsidR="004A3A2A">
        <w:t>borrowing</w:t>
      </w:r>
      <w:r w:rsidR="0033152C">
        <w:t xml:space="preserve"> to support </w:t>
      </w:r>
      <w:r w:rsidR="001A36E2">
        <w:t>the economy</w:t>
      </w:r>
      <w:r w:rsidR="003F57C3">
        <w:t xml:space="preserve"> as it recovers from </w:t>
      </w:r>
      <w:r w:rsidR="00D01918">
        <w:t>the impacts of COVID</w:t>
      </w:r>
      <w:r w:rsidR="008F2F21">
        <w:t>-19</w:t>
      </w:r>
      <w:r w:rsidR="00515273">
        <w:t>.</w:t>
      </w:r>
    </w:p>
    <w:p w14:paraId="75FFC5F3" w14:textId="50144374" w:rsidR="002C397F" w:rsidRDefault="3ACBB71E" w:rsidP="00A6600D">
      <w:pPr>
        <w:pStyle w:val="BodyText"/>
      </w:pPr>
      <w:r>
        <w:t>T</w:t>
      </w:r>
      <w:r w:rsidR="50C6A3D9">
        <w:t>he Government</w:t>
      </w:r>
      <w:r w:rsidR="2094EC57">
        <w:t xml:space="preserve"> </w:t>
      </w:r>
      <w:r w:rsidR="251A4E9E">
        <w:t>i</w:t>
      </w:r>
      <w:r w:rsidR="2F7F7728">
        <w:t>s</w:t>
      </w:r>
      <w:r w:rsidR="251A4E9E">
        <w:t xml:space="preserve"> </w:t>
      </w:r>
      <w:r w:rsidR="2F7F7728">
        <w:t xml:space="preserve">taking advantage </w:t>
      </w:r>
      <w:r w:rsidR="19395A93">
        <w:t xml:space="preserve">of the historically low interest rate environment </w:t>
      </w:r>
      <w:r w:rsidR="0010343A">
        <w:br/>
      </w:r>
      <w:r w:rsidR="3E594827">
        <w:t>(see Chart 6.</w:t>
      </w:r>
      <w:r w:rsidR="00330938">
        <w:t>3</w:t>
      </w:r>
      <w:r w:rsidR="3E594827">
        <w:t>)</w:t>
      </w:r>
      <w:r w:rsidR="5664C434">
        <w:t>.</w:t>
      </w:r>
      <w:r w:rsidR="30B6A8D2">
        <w:t xml:space="preserve"> </w:t>
      </w:r>
      <w:r w:rsidR="6DB14441">
        <w:t xml:space="preserve">This supports the State’s </w:t>
      </w:r>
      <w:r w:rsidR="65D1EA56">
        <w:t xml:space="preserve">primary </w:t>
      </w:r>
      <w:r w:rsidR="6DB14441">
        <w:t>short-term focus of job creation</w:t>
      </w:r>
      <w:r w:rsidR="422C4BDF">
        <w:t xml:space="preserve"> </w:t>
      </w:r>
      <w:r w:rsidR="65D1EA56">
        <w:t>with the intention of a</w:t>
      </w:r>
      <w:r w:rsidR="25DD3D3E">
        <w:t xml:space="preserve"> shift towards</w:t>
      </w:r>
      <w:r w:rsidR="5179E398">
        <w:t xml:space="preserve"> fiscal repair in the medium term.</w:t>
      </w:r>
    </w:p>
    <w:p w14:paraId="0C17E507" w14:textId="77777777" w:rsidR="00AC753C" w:rsidRPr="002C397F" w:rsidRDefault="00AC753C" w:rsidP="00AC753C">
      <w:pPr>
        <w:rPr>
          <w:lang w:eastAsia="en-AU"/>
        </w:rPr>
      </w:pPr>
    </w:p>
    <w:tbl>
      <w:tblPr>
        <w:tblW w:w="9749" w:type="dxa"/>
        <w:shd w:val="clear" w:color="auto" w:fill="F2F2F2" w:themeFill="background1" w:themeFillShade="F2"/>
        <w:tblLayout w:type="fixed"/>
        <w:tblLook w:val="04A0" w:firstRow="1" w:lastRow="0" w:firstColumn="1" w:lastColumn="0" w:noHBand="0" w:noVBand="1"/>
        <w:tblCaption w:val="Box 6.3: Supporting the State’s economy while taking advantage of historically low interest rates "/>
        <w:tblDescription w:val="Box 6.3: Supporting the State’s economy while taking advantage of historically low interest rates "/>
      </w:tblPr>
      <w:tblGrid>
        <w:gridCol w:w="9749"/>
      </w:tblGrid>
      <w:tr w:rsidR="00AC753C" w:rsidRPr="002C397F" w14:paraId="464C8A2A" w14:textId="77777777" w:rsidTr="00B62DFD">
        <w:trPr>
          <w:trHeight w:val="4541"/>
        </w:trPr>
        <w:tc>
          <w:tcPr>
            <w:tcW w:w="9749" w:type="dxa"/>
            <w:shd w:val="clear" w:color="auto" w:fill="F2F2F2" w:themeFill="background1" w:themeFillShade="F2"/>
          </w:tcPr>
          <w:p w14:paraId="28A5CDFC" w14:textId="2336E154" w:rsidR="00D451C0" w:rsidRDefault="002D1667" w:rsidP="00AC1EAA">
            <w:pPr>
              <w:pStyle w:val="Box31BoxHeading"/>
              <w:numPr>
                <w:ilvl w:val="0"/>
                <w:numId w:val="57"/>
              </w:numPr>
              <w:ind w:left="1171" w:hanging="1171"/>
            </w:pPr>
            <w:r w:rsidRPr="008F418A">
              <w:t xml:space="preserve">Supporting the State’s economy while </w:t>
            </w:r>
            <w:r w:rsidR="0062318B" w:rsidRPr="008F418A">
              <w:t xml:space="preserve">taking advantage </w:t>
            </w:r>
            <w:r w:rsidRPr="008F418A" w:rsidDel="00B30710">
              <w:t xml:space="preserve">of </w:t>
            </w:r>
            <w:r w:rsidR="00CA16BC" w:rsidRPr="008F418A">
              <w:t xml:space="preserve">historically </w:t>
            </w:r>
            <w:r w:rsidR="009F4C66" w:rsidRPr="008F418A">
              <w:t>low</w:t>
            </w:r>
            <w:r w:rsidR="00AC753C" w:rsidRPr="008F418A">
              <w:t xml:space="preserve"> interest rates</w:t>
            </w:r>
            <w:r w:rsidR="00AC753C">
              <w:t xml:space="preserve"> </w:t>
            </w:r>
          </w:p>
          <w:p w14:paraId="7BDC0DFE" w14:textId="178CF570" w:rsidR="00173B50" w:rsidRDefault="00173B50" w:rsidP="00B62DFD">
            <w:pPr>
              <w:pStyle w:val="BodyTextBox"/>
            </w:pPr>
            <w:r w:rsidRPr="00B463E9">
              <w:t xml:space="preserve">The Government has monitored financial conditions closely in order to </w:t>
            </w:r>
            <w:r w:rsidR="000A44E1">
              <w:t xml:space="preserve">implement </w:t>
            </w:r>
            <w:r>
              <w:t xml:space="preserve">its </w:t>
            </w:r>
            <w:r w:rsidR="00FA7E31">
              <w:t>investment</w:t>
            </w:r>
            <w:r>
              <w:t xml:space="preserve"> task</w:t>
            </w:r>
            <w:r w:rsidRPr="00B463E9">
              <w:t xml:space="preserve"> </w:t>
            </w:r>
            <w:r w:rsidR="00FA7E31">
              <w:t>using</w:t>
            </w:r>
            <w:r w:rsidRPr="00B463E9">
              <w:t xml:space="preserve"> favourable </w:t>
            </w:r>
            <w:r>
              <w:t>interest rates</w:t>
            </w:r>
            <w:r w:rsidRPr="00B463E9">
              <w:t xml:space="preserve"> and has been able to lower the </w:t>
            </w:r>
            <w:r w:rsidR="00FF0454">
              <w:t xml:space="preserve">average interest cost </w:t>
            </w:r>
            <w:r w:rsidRPr="00B463E9">
              <w:t xml:space="preserve">on its </w:t>
            </w:r>
            <w:r w:rsidR="00FF0454">
              <w:t>borrowings</w:t>
            </w:r>
            <w:r w:rsidRPr="00B463E9">
              <w:t>.</w:t>
            </w:r>
            <w:r w:rsidR="00EE11F7">
              <w:t xml:space="preserve"> </w:t>
            </w:r>
            <w:r w:rsidRPr="00B463E9">
              <w:t xml:space="preserve">While there has been significant volatility in bond markets </w:t>
            </w:r>
            <w:r w:rsidR="006D6932">
              <w:t>(</w:t>
            </w:r>
            <w:r w:rsidRPr="00B463E9">
              <w:t xml:space="preserve">due to </w:t>
            </w:r>
            <w:r w:rsidR="006D6932">
              <w:t xml:space="preserve">the </w:t>
            </w:r>
            <w:r w:rsidRPr="00B463E9">
              <w:t>uncertainty</w:t>
            </w:r>
            <w:r w:rsidR="006D6932">
              <w:t xml:space="preserve"> </w:t>
            </w:r>
            <w:r w:rsidR="00901C5E">
              <w:t xml:space="preserve">of </w:t>
            </w:r>
            <w:r w:rsidR="00390CEE">
              <w:t xml:space="preserve">the </w:t>
            </w:r>
            <w:r w:rsidR="00901C5E">
              <w:t>pandemic</w:t>
            </w:r>
            <w:r w:rsidR="006D6932">
              <w:t>)</w:t>
            </w:r>
            <w:r w:rsidRPr="00B463E9">
              <w:t>, capital markets ha</w:t>
            </w:r>
            <w:r>
              <w:t>ve</w:t>
            </w:r>
            <w:r w:rsidRPr="00B463E9">
              <w:t xml:space="preserve"> responded well</w:t>
            </w:r>
            <w:r w:rsidR="00707B9E">
              <w:t xml:space="preserve"> with</w:t>
            </w:r>
            <w:r>
              <w:t xml:space="preserve"> </w:t>
            </w:r>
            <w:r w:rsidR="00B23E36">
              <w:t>a</w:t>
            </w:r>
            <w:r>
              <w:t xml:space="preserve"> </w:t>
            </w:r>
            <w:r w:rsidRPr="00B463E9">
              <w:t xml:space="preserve">strong </w:t>
            </w:r>
            <w:r w:rsidR="00901C5E">
              <w:t xml:space="preserve">and </w:t>
            </w:r>
            <w:r w:rsidRPr="00B463E9">
              <w:t xml:space="preserve">sustained demand for </w:t>
            </w:r>
            <w:r w:rsidR="005206D2">
              <w:t xml:space="preserve">NSW </w:t>
            </w:r>
            <w:r w:rsidR="007E36E3">
              <w:t>Government</w:t>
            </w:r>
            <w:r w:rsidRPr="00B463E9" w:rsidDel="005206D2">
              <w:t xml:space="preserve"> </w:t>
            </w:r>
            <w:r w:rsidRPr="00B463E9">
              <w:t>bonds during the C</w:t>
            </w:r>
            <w:r w:rsidR="005206D2">
              <w:t>OVID</w:t>
            </w:r>
            <w:r w:rsidRPr="00B463E9">
              <w:t>-19 period.</w:t>
            </w:r>
          </w:p>
          <w:p w14:paraId="46F74E21" w14:textId="179D8532" w:rsidR="00244F41" w:rsidRDefault="00901C5E" w:rsidP="00B62DFD">
            <w:pPr>
              <w:pStyle w:val="BodyTextBox"/>
              <w:rPr>
                <w:rFonts w:eastAsiaTheme="minorHAnsi"/>
              </w:rPr>
            </w:pPr>
            <w:r>
              <w:rPr>
                <w:rFonts w:eastAsiaTheme="minorHAnsi"/>
              </w:rPr>
              <w:t>T</w:t>
            </w:r>
            <w:r w:rsidR="001A2F30" w:rsidRPr="0090266B">
              <w:rPr>
                <w:rFonts w:eastAsiaTheme="minorHAnsi"/>
              </w:rPr>
              <w:t xml:space="preserve">he Government has </w:t>
            </w:r>
            <w:r>
              <w:rPr>
                <w:rFonts w:eastAsiaTheme="minorHAnsi"/>
              </w:rPr>
              <w:t xml:space="preserve">also </w:t>
            </w:r>
            <w:r w:rsidR="001A2F30" w:rsidRPr="0090266B">
              <w:rPr>
                <w:rFonts w:eastAsiaTheme="minorHAnsi"/>
              </w:rPr>
              <w:t>been able to broaden its investor base by issuing into</w:t>
            </w:r>
            <w:r w:rsidR="001A2F30">
              <w:rPr>
                <w:rFonts w:eastAsiaTheme="minorHAnsi"/>
              </w:rPr>
              <w:t xml:space="preserve"> new</w:t>
            </w:r>
            <w:r w:rsidR="001A2F30" w:rsidRPr="0090266B">
              <w:rPr>
                <w:rFonts w:eastAsiaTheme="minorHAnsi"/>
              </w:rPr>
              <w:t xml:space="preserve"> </w:t>
            </w:r>
            <w:r w:rsidR="00B66D0D">
              <w:rPr>
                <w:rFonts w:eastAsiaTheme="minorHAnsi"/>
              </w:rPr>
              <w:br/>
            </w:r>
            <w:r w:rsidR="001A2F30" w:rsidRPr="0090266B">
              <w:rPr>
                <w:rFonts w:eastAsiaTheme="minorHAnsi"/>
              </w:rPr>
              <w:t>long-dated tenors as well as further tapping into floating rate and sustainability bond lines</w:t>
            </w:r>
            <w:r w:rsidR="001A2F30">
              <w:rPr>
                <w:rFonts w:eastAsiaTheme="minorHAnsi"/>
              </w:rPr>
              <w:t>.</w:t>
            </w:r>
          </w:p>
          <w:p w14:paraId="22057454" w14:textId="7CDA04DE" w:rsidR="00AC753C" w:rsidRPr="002C397F" w:rsidRDefault="00244F41" w:rsidP="00B62DFD">
            <w:pPr>
              <w:pStyle w:val="BodyTextBox"/>
            </w:pPr>
            <w:r>
              <w:t xml:space="preserve">The current borrowing environment supports leveraging the balance sheet to invest in productive infrastructure. </w:t>
            </w:r>
            <w:r w:rsidR="003D1712">
              <w:t>The n</w:t>
            </w:r>
            <w:r>
              <w:t xml:space="preserve">et debt to revenue level </w:t>
            </w:r>
            <w:r w:rsidR="002574AD">
              <w:t xml:space="preserve">is forecast to increase </w:t>
            </w:r>
            <w:r>
              <w:t xml:space="preserve">over the four years to June 2024. At the same time the Government is keeping its debt serviceability levels (interest expenses to revenue) relatively constant (see Chart 6.3). NSW will aim to maintain interest expenses to revenue below 5 per cent over the medium term to help support its </w:t>
            </w:r>
            <w:r w:rsidR="00B10718">
              <w:t xml:space="preserve"> </w:t>
            </w:r>
            <w:r>
              <w:t>triple-A credit rating.</w:t>
            </w:r>
          </w:p>
        </w:tc>
      </w:tr>
    </w:tbl>
    <w:p w14:paraId="382D94AD" w14:textId="77777777" w:rsidR="0026555D" w:rsidRDefault="0026555D">
      <w:r>
        <w:rPr>
          <w:i/>
        </w:rPr>
        <w:br w:type="page"/>
      </w:r>
    </w:p>
    <w:tbl>
      <w:tblPr>
        <w:tblW w:w="9749" w:type="dxa"/>
        <w:shd w:val="clear" w:color="auto" w:fill="F2F2F2" w:themeFill="background1" w:themeFillShade="F2"/>
        <w:tblLayout w:type="fixed"/>
        <w:tblLook w:val="04A0" w:firstRow="1" w:lastRow="0" w:firstColumn="1" w:lastColumn="0" w:noHBand="0" w:noVBand="1"/>
        <w:tblCaption w:val="Box 6.2: Helping fund infrastructure at record low interest rates "/>
        <w:tblDescription w:val="Box 6.2: Helping fund infrastructure at record low interest rates "/>
      </w:tblPr>
      <w:tblGrid>
        <w:gridCol w:w="9749"/>
      </w:tblGrid>
      <w:tr w:rsidR="00744214" w:rsidRPr="002C397F" w14:paraId="0E6D4EF2" w14:textId="77777777" w:rsidTr="00626F11">
        <w:trPr>
          <w:trHeight w:val="592"/>
        </w:trPr>
        <w:tc>
          <w:tcPr>
            <w:tcW w:w="9749" w:type="dxa"/>
            <w:shd w:val="clear" w:color="auto" w:fill="F2F2F2" w:themeFill="background1" w:themeFillShade="F2"/>
          </w:tcPr>
          <w:p w14:paraId="031D19A4" w14:textId="165AE5C6" w:rsidR="00744214" w:rsidRPr="008F418A" w:rsidRDefault="00744214" w:rsidP="0026555D">
            <w:pPr>
              <w:pStyle w:val="Chart6X"/>
            </w:pPr>
            <w:r>
              <w:t xml:space="preserve">General </w:t>
            </w:r>
            <w:r w:rsidRPr="0026555D">
              <w:t>government</w:t>
            </w:r>
            <w:r>
              <w:t xml:space="preserve"> borrowings vs debt serviceability</w:t>
            </w:r>
          </w:p>
        </w:tc>
      </w:tr>
      <w:tr w:rsidR="00E0688D" w:rsidRPr="002C397F" w14:paraId="08B34F89" w14:textId="77777777" w:rsidTr="00626F11">
        <w:trPr>
          <w:trHeight w:val="70"/>
        </w:trPr>
        <w:tc>
          <w:tcPr>
            <w:tcW w:w="9749" w:type="dxa"/>
            <w:shd w:val="clear" w:color="auto" w:fill="F2F2F2" w:themeFill="background1" w:themeFillShade="F2"/>
          </w:tcPr>
          <w:p w14:paraId="1BE704E4" w14:textId="47E2159E" w:rsidR="00E0688D" w:rsidRDefault="007E01CC" w:rsidP="00897253">
            <w:pPr>
              <w:pStyle w:val="Chart6X"/>
              <w:keepNext/>
              <w:numPr>
                <w:ilvl w:val="0"/>
                <w:numId w:val="0"/>
              </w:numPr>
            </w:pPr>
            <w:r>
              <w:rPr>
                <w:noProof/>
              </w:rPr>
              <w:drawing>
                <wp:inline distT="0" distB="0" distL="0" distR="0" wp14:anchorId="47642BAF" wp14:editId="59CAB9E6">
                  <wp:extent cx="6053455" cy="2498725"/>
                  <wp:effectExtent l="0" t="0" r="0" b="0"/>
                  <wp:docPr id="17" name="Chart 17" descr="Chart 6.3: General government borrowings vs debt serviceability">
                    <a:extLst xmlns:a="http://schemas.openxmlformats.org/drawingml/2006/main">
                      <a:ext uri="{FF2B5EF4-FFF2-40B4-BE49-F238E27FC236}">
                        <a16:creationId xmlns:a16="http://schemas.microsoft.com/office/drawing/2014/main" id="{4B226F15-16FB-4CC1-AC33-F9A029CA7C3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tc>
      </w:tr>
    </w:tbl>
    <w:p w14:paraId="4B1A04B3" w14:textId="4294EF6A" w:rsidR="0019042D" w:rsidRDefault="0019042D">
      <w:pPr>
        <w:spacing w:after="200" w:line="276" w:lineRule="auto"/>
        <w:rPr>
          <w:lang w:eastAsia="en-AU"/>
        </w:rPr>
      </w:pPr>
    </w:p>
    <w:p w14:paraId="4BAE600B" w14:textId="3DEAC445" w:rsidR="006D180D" w:rsidRPr="006763A4" w:rsidRDefault="004446EA">
      <w:pPr>
        <w:pStyle w:val="Heading2"/>
      </w:pPr>
      <w:r>
        <w:t>The strongest</w:t>
      </w:r>
      <w:r w:rsidR="00480F13">
        <w:t xml:space="preserve"> net worth</w:t>
      </w:r>
      <w:r w:rsidR="007E4825">
        <w:t xml:space="preserve"> </w:t>
      </w:r>
      <w:r>
        <w:t xml:space="preserve">of all Australian states and territories </w:t>
      </w:r>
    </w:p>
    <w:p w14:paraId="4A0DA7D0" w14:textId="4774CFA0" w:rsidR="00404A82" w:rsidRPr="00B9075F" w:rsidRDefault="00C45C3E" w:rsidP="00A6600D">
      <w:pPr>
        <w:pStyle w:val="BodyText"/>
      </w:pPr>
      <w:r>
        <w:t xml:space="preserve">General government sector </w:t>
      </w:r>
      <w:r w:rsidR="00B92177">
        <w:t xml:space="preserve">net worth </w:t>
      </w:r>
      <w:r w:rsidR="006662A0">
        <w:t>f</w:t>
      </w:r>
      <w:r w:rsidR="00184F89">
        <w:t>e</w:t>
      </w:r>
      <w:r w:rsidR="006662A0">
        <w:t xml:space="preserve">ll </w:t>
      </w:r>
      <w:r w:rsidR="00FE7712">
        <w:t>to</w:t>
      </w:r>
      <w:r w:rsidR="006662A0">
        <w:t xml:space="preserve"> </w:t>
      </w:r>
      <w:r w:rsidR="00073855">
        <w:t>slightly under</w:t>
      </w:r>
      <w:r w:rsidR="00E37703">
        <w:t xml:space="preserve"> </w:t>
      </w:r>
      <w:r w:rsidR="002823BC">
        <w:t xml:space="preserve">a quarter of a trillion </w:t>
      </w:r>
      <w:r w:rsidR="00C879AB">
        <w:t>dollars</w:t>
      </w:r>
      <w:r w:rsidR="007F283B">
        <w:t>,</w:t>
      </w:r>
      <w:r w:rsidR="00C879AB">
        <w:t xml:space="preserve"> </w:t>
      </w:r>
      <w:r w:rsidR="00A82153">
        <w:t xml:space="preserve">sitting at </w:t>
      </w:r>
      <w:r w:rsidR="0019586C" w:rsidRPr="00450CA3">
        <w:t>$</w:t>
      </w:r>
      <w:r w:rsidR="00177C1D" w:rsidRPr="00450CA3">
        <w:t>2</w:t>
      </w:r>
      <w:r w:rsidR="00A616C1" w:rsidRPr="00450CA3">
        <w:t>38</w:t>
      </w:r>
      <w:r w:rsidR="00B73CFB" w:rsidRPr="00330938">
        <w:t>.</w:t>
      </w:r>
      <w:r w:rsidR="00A616C1" w:rsidRPr="00330938">
        <w:t>7</w:t>
      </w:r>
      <w:r w:rsidR="00DE0B95" w:rsidRPr="00330938">
        <w:t> </w:t>
      </w:r>
      <w:r w:rsidR="00050DEA" w:rsidRPr="00330938">
        <w:t xml:space="preserve">billion </w:t>
      </w:r>
      <w:r w:rsidR="00522165" w:rsidRPr="00330938">
        <w:t xml:space="preserve">as </w:t>
      </w:r>
      <w:r w:rsidR="00710F0F" w:rsidRPr="00330938">
        <w:t xml:space="preserve">at </w:t>
      </w:r>
      <w:r w:rsidR="00050DEA" w:rsidRPr="00330938">
        <w:t>June 20</w:t>
      </w:r>
      <w:r w:rsidR="00947DED" w:rsidRPr="00330938">
        <w:t>20</w:t>
      </w:r>
      <w:r w:rsidR="00917797" w:rsidRPr="00330938">
        <w:t xml:space="preserve"> (see Chart </w:t>
      </w:r>
      <w:r w:rsidR="008A66C0" w:rsidRPr="00330938">
        <w:t>6</w:t>
      </w:r>
      <w:r w:rsidR="00917797" w:rsidRPr="00330938">
        <w:t>.</w:t>
      </w:r>
      <w:r w:rsidR="00844D27" w:rsidRPr="00330938">
        <w:t>4</w:t>
      </w:r>
      <w:r w:rsidR="00917797" w:rsidRPr="00330938">
        <w:t>)</w:t>
      </w:r>
      <w:r w:rsidR="00C879AB" w:rsidRPr="00330938">
        <w:t xml:space="preserve">. Net worth </w:t>
      </w:r>
      <w:r w:rsidR="00524097" w:rsidRPr="00330938">
        <w:t xml:space="preserve">is </w:t>
      </w:r>
      <w:r w:rsidR="00D42AD0">
        <w:t>projected</w:t>
      </w:r>
      <w:r w:rsidR="00524097" w:rsidRPr="00330938">
        <w:t xml:space="preserve"> to</w:t>
      </w:r>
      <w:r w:rsidR="00B26F44" w:rsidRPr="00330938">
        <w:t xml:space="preserve"> </w:t>
      </w:r>
      <w:r w:rsidR="00A82153" w:rsidRPr="00330938">
        <w:t xml:space="preserve">recover, </w:t>
      </w:r>
      <w:r w:rsidR="00870042" w:rsidRPr="00330938">
        <w:t>reaching</w:t>
      </w:r>
      <w:r w:rsidR="00B26F44" w:rsidRPr="00330938">
        <w:t xml:space="preserve"> </w:t>
      </w:r>
      <w:r w:rsidR="00AE7641" w:rsidRPr="00330938">
        <w:t>$</w:t>
      </w:r>
      <w:r w:rsidR="006564FA" w:rsidRPr="00330938">
        <w:t>2</w:t>
      </w:r>
      <w:r w:rsidR="00330938" w:rsidRPr="00330938">
        <w:t>58</w:t>
      </w:r>
      <w:r w:rsidR="006564FA" w:rsidRPr="00330938">
        <w:t>.</w:t>
      </w:r>
      <w:r w:rsidR="00330938" w:rsidRPr="00330938">
        <w:t>7</w:t>
      </w:r>
      <w:r w:rsidR="00DE0B95" w:rsidRPr="00B87626">
        <w:t> </w:t>
      </w:r>
      <w:r w:rsidR="00AE7641" w:rsidRPr="00B87626">
        <w:t>billion</w:t>
      </w:r>
      <w:r w:rsidR="00AE7641" w:rsidRPr="007E23BE">
        <w:t xml:space="preserve"> by June 202</w:t>
      </w:r>
      <w:r w:rsidR="00A82153">
        <w:t>4</w:t>
      </w:r>
      <w:r w:rsidR="002751ED">
        <w:t xml:space="preserve">. </w:t>
      </w:r>
    </w:p>
    <w:p w14:paraId="078960F6" w14:textId="39930AB4" w:rsidR="00917797" w:rsidRDefault="00482969" w:rsidP="005F4C03">
      <w:pPr>
        <w:pStyle w:val="Chart6X"/>
        <w:ind w:left="1276" w:hanging="1276"/>
      </w:pPr>
      <w:r>
        <w:t xml:space="preserve">NSW </w:t>
      </w:r>
      <w:r w:rsidR="007543A7">
        <w:t xml:space="preserve">general </w:t>
      </w:r>
      <w:r w:rsidR="00206EA9">
        <w:t>government sector</w:t>
      </w:r>
      <w:r w:rsidR="00917797">
        <w:t xml:space="preserve"> net worth to </w:t>
      </w:r>
      <w:r w:rsidR="00917797" w:rsidRPr="005440B7">
        <w:t>increase by $</w:t>
      </w:r>
      <w:r w:rsidR="003E2AE1">
        <w:t>20</w:t>
      </w:r>
      <w:r w:rsidR="005440B7" w:rsidRPr="00EA3F77">
        <w:t>.0</w:t>
      </w:r>
      <w:r w:rsidR="00917797" w:rsidRPr="005440B7">
        <w:t xml:space="preserve"> billion</w:t>
      </w:r>
      <w:r w:rsidR="00917797" w:rsidRPr="001C1FC1">
        <w:t xml:space="preserve"> over</w:t>
      </w:r>
      <w:r w:rsidR="00917797" w:rsidRPr="00800E96">
        <w:t xml:space="preserve"> </w:t>
      </w:r>
      <w:r w:rsidR="0019586C" w:rsidRPr="00800E96">
        <w:t>the next four</w:t>
      </w:r>
      <w:r w:rsidR="003C6180">
        <w:t xml:space="preserve"> years</w:t>
      </w:r>
    </w:p>
    <w:p w14:paraId="1AEB649A" w14:textId="10B92839" w:rsidR="008E7348" w:rsidRPr="008E7348" w:rsidRDefault="00F033BC" w:rsidP="00EB4B80">
      <w:r>
        <w:rPr>
          <w:noProof/>
        </w:rPr>
        <w:drawing>
          <wp:inline distT="0" distB="0" distL="0" distR="0" wp14:anchorId="72F95918" wp14:editId="09BB8A3B">
            <wp:extent cx="6075045" cy="3038475"/>
            <wp:effectExtent l="0" t="0" r="1905" b="0"/>
            <wp:docPr id="7" name="Chart 7" descr="Chart 6.4: NSW general government sector net worth to increase by $20.0 billion over the next four years">
              <a:extLst xmlns:a="http://schemas.openxmlformats.org/drawingml/2006/main">
                <a:ext uri="{FF2B5EF4-FFF2-40B4-BE49-F238E27FC236}">
                  <a16:creationId xmlns:a16="http://schemas.microsoft.com/office/drawing/2014/main" id="{669B1261-9F3A-4D9C-B041-A3C86002917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87D4A4C" w14:textId="77777777" w:rsidR="0026555D" w:rsidRDefault="0026555D">
      <w:pPr>
        <w:spacing w:after="200" w:line="276" w:lineRule="auto"/>
        <w:rPr>
          <w:rFonts w:ascii="Arial" w:eastAsiaTheme="minorHAnsi" w:hAnsi="Arial" w:cs="Arial"/>
          <w:sz w:val="23"/>
          <w:lang w:val="en-AU"/>
        </w:rPr>
      </w:pPr>
      <w:r>
        <w:br w:type="page"/>
      </w:r>
    </w:p>
    <w:p w14:paraId="47D07960" w14:textId="657AD69E" w:rsidR="00222A07" w:rsidRPr="001C1FC1" w:rsidRDefault="00680903" w:rsidP="00D7371D">
      <w:pPr>
        <w:pStyle w:val="BodyText"/>
      </w:pPr>
      <w:r>
        <w:t xml:space="preserve">The reduction in net worth in the short-term is driven by </w:t>
      </w:r>
      <w:r w:rsidR="004C35CA">
        <w:t xml:space="preserve">a significant increase </w:t>
      </w:r>
      <w:r w:rsidR="002828FC">
        <w:t>i</w:t>
      </w:r>
      <w:r w:rsidR="00954C52">
        <w:t>n</w:t>
      </w:r>
      <w:r w:rsidR="002828FC">
        <w:t xml:space="preserve"> COVI</w:t>
      </w:r>
      <w:r w:rsidR="009E1D4E">
        <w:t>D-19 related stimulus expen</w:t>
      </w:r>
      <w:r w:rsidR="00336CFD">
        <w:t>ses</w:t>
      </w:r>
      <w:r w:rsidR="009E1D4E">
        <w:t xml:space="preserve"> and revenue loss. </w:t>
      </w:r>
      <w:r w:rsidR="00E3108B">
        <w:t>The key component</w:t>
      </w:r>
      <w:r w:rsidR="002C7974">
        <w:t>s</w:t>
      </w:r>
      <w:r w:rsidR="00E3108B">
        <w:t xml:space="preserve"> driving recovery</w:t>
      </w:r>
      <w:r w:rsidR="00D208F8">
        <w:t xml:space="preserve"> </w:t>
      </w:r>
      <w:r w:rsidR="00220E59">
        <w:t xml:space="preserve">from </w:t>
      </w:r>
      <w:r w:rsidR="00A55C62">
        <w:br/>
      </w:r>
      <w:r w:rsidR="00220E59" w:rsidRPr="00550303">
        <w:t>202</w:t>
      </w:r>
      <w:r w:rsidR="00330938" w:rsidRPr="00550303">
        <w:t>2</w:t>
      </w:r>
      <w:r w:rsidR="00963002">
        <w:t>-</w:t>
      </w:r>
      <w:r w:rsidR="00220E59" w:rsidRPr="00550303">
        <w:t>2</w:t>
      </w:r>
      <w:r w:rsidR="00330938" w:rsidRPr="00550303">
        <w:t>3</w:t>
      </w:r>
      <w:r w:rsidR="00220E59">
        <w:t xml:space="preserve"> </w:t>
      </w:r>
      <w:r w:rsidR="00DF6567">
        <w:t>are:</w:t>
      </w:r>
      <w:r w:rsidR="00112D70" w:rsidRPr="001C1FC1">
        <w:t xml:space="preserve"> </w:t>
      </w:r>
    </w:p>
    <w:p w14:paraId="1A89B95D" w14:textId="781C9069" w:rsidR="0060482E" w:rsidRPr="004D47F8" w:rsidRDefault="003A5E91" w:rsidP="003B4BAC">
      <w:pPr>
        <w:pStyle w:val="Bullet1"/>
      </w:pPr>
      <w:r w:rsidRPr="004D47F8">
        <w:t>t</w:t>
      </w:r>
      <w:r w:rsidR="00F80865" w:rsidRPr="004D47F8">
        <w:t xml:space="preserve">he </w:t>
      </w:r>
      <w:r w:rsidRPr="004D47F8">
        <w:t xml:space="preserve">Government’s </w:t>
      </w:r>
      <w:r w:rsidR="009E2869" w:rsidRPr="004D47F8">
        <w:t xml:space="preserve">equity </w:t>
      </w:r>
      <w:r w:rsidR="00F80865" w:rsidRPr="004D47F8">
        <w:t xml:space="preserve">investments </w:t>
      </w:r>
      <w:r w:rsidR="002C7974">
        <w:t xml:space="preserve">which </w:t>
      </w:r>
      <w:r w:rsidR="00450F07" w:rsidRPr="004D47F8">
        <w:t xml:space="preserve">are </w:t>
      </w:r>
      <w:r w:rsidR="008B6818" w:rsidRPr="004D47F8">
        <w:t>expected to increase from $</w:t>
      </w:r>
      <w:r w:rsidR="00870D33" w:rsidRPr="004D47F8">
        <w:t>11</w:t>
      </w:r>
      <w:r w:rsidR="004065D2" w:rsidRPr="004D47F8">
        <w:t>2</w:t>
      </w:r>
      <w:r w:rsidR="00870D33" w:rsidRPr="004D47F8">
        <w:t>.</w:t>
      </w:r>
      <w:r w:rsidR="004065D2" w:rsidRPr="004D47F8">
        <w:t>1</w:t>
      </w:r>
      <w:r w:rsidR="008B6818" w:rsidRPr="004D47F8">
        <w:t xml:space="preserve"> billion at June</w:t>
      </w:r>
      <w:r w:rsidR="00DC62B6" w:rsidRPr="004D47F8">
        <w:t> </w:t>
      </w:r>
      <w:r w:rsidR="008B6818" w:rsidRPr="004D47F8">
        <w:t>20</w:t>
      </w:r>
      <w:r w:rsidR="003C1A82" w:rsidRPr="004D47F8">
        <w:t>20</w:t>
      </w:r>
      <w:r w:rsidR="008B6818" w:rsidRPr="004D47F8">
        <w:t xml:space="preserve"> to $</w:t>
      </w:r>
      <w:r w:rsidR="00E46EC9" w:rsidRPr="004D47F8">
        <w:t>127.</w:t>
      </w:r>
      <w:r w:rsidR="004D47F8" w:rsidRPr="004D47F8">
        <w:t>6</w:t>
      </w:r>
      <w:r w:rsidR="00DE0B95" w:rsidRPr="004D47F8">
        <w:t> </w:t>
      </w:r>
      <w:r w:rsidR="008B6818" w:rsidRPr="004D47F8">
        <w:t>billion by June 202</w:t>
      </w:r>
      <w:r w:rsidR="003C1A82" w:rsidRPr="004D47F8">
        <w:t>4</w:t>
      </w:r>
      <w:r w:rsidR="00AE7641" w:rsidRPr="004D47F8">
        <w:t xml:space="preserve">, driven by </w:t>
      </w:r>
      <w:r w:rsidR="00777E46" w:rsidRPr="004D47F8">
        <w:t xml:space="preserve">strong growth in the </w:t>
      </w:r>
      <w:r w:rsidR="00D61B88" w:rsidRPr="004D47F8">
        <w:t>public non</w:t>
      </w:r>
      <w:r w:rsidR="00D61B88" w:rsidRPr="004D47F8">
        <w:noBreakHyphen/>
        <w:t xml:space="preserve">financial </w:t>
      </w:r>
      <w:proofErr w:type="gramStart"/>
      <w:r w:rsidR="00D61B88" w:rsidRPr="004D47F8">
        <w:t>corporations</w:t>
      </w:r>
      <w:proofErr w:type="gramEnd"/>
      <w:r w:rsidR="00D61B88" w:rsidRPr="004D47F8">
        <w:t xml:space="preserve"> </w:t>
      </w:r>
      <w:r w:rsidR="00777E46" w:rsidRPr="004D47F8">
        <w:t>sector</w:t>
      </w:r>
    </w:p>
    <w:p w14:paraId="6295CB84" w14:textId="329C3BB9" w:rsidR="0049513C" w:rsidRPr="004D47F8" w:rsidRDefault="0049513C" w:rsidP="003B4BAC">
      <w:pPr>
        <w:pStyle w:val="Bullet1"/>
      </w:pPr>
      <w:r>
        <w:t>a reduction in the projected superannuation liabilities of the State by $17.6 billion</w:t>
      </w:r>
      <w:r w:rsidR="00824406">
        <w:t xml:space="preserve"> f</w:t>
      </w:r>
      <w:r w:rsidR="004B5867">
        <w:t>rom June 2020 to June 2024</w:t>
      </w:r>
      <w:r w:rsidR="00732861">
        <w:t>.</w:t>
      </w:r>
    </w:p>
    <w:p w14:paraId="4260124A" w14:textId="2F0D1735" w:rsidR="003A6277" w:rsidRPr="003A6277" w:rsidRDefault="00190B87" w:rsidP="00D7371D">
      <w:pPr>
        <w:pStyle w:val="Chart6X"/>
        <w:ind w:left="1276" w:hanging="1276"/>
      </w:pPr>
      <w:r w:rsidRPr="008F418A">
        <w:t>G</w:t>
      </w:r>
      <w:r w:rsidR="003307FE" w:rsidRPr="008F418A">
        <w:t>eneral government sector</w:t>
      </w:r>
      <w:r w:rsidR="00917797" w:rsidRPr="008F418A">
        <w:t xml:space="preserve"> net worth </w:t>
      </w:r>
      <w:r w:rsidR="00B26F44" w:rsidRPr="008F418A">
        <w:t>of</w:t>
      </w:r>
      <w:r w:rsidR="00917797" w:rsidRPr="008F418A">
        <w:t xml:space="preserve"> Australian </w:t>
      </w:r>
      <w:r w:rsidR="00B26F44" w:rsidRPr="008F418A">
        <w:t>S</w:t>
      </w:r>
      <w:r w:rsidR="00917797" w:rsidRPr="008F418A">
        <w:t xml:space="preserve">tates and </w:t>
      </w:r>
      <w:r w:rsidR="00B26F44" w:rsidRPr="008F418A">
        <w:t>T</w:t>
      </w:r>
      <w:r w:rsidR="00917797" w:rsidRPr="008F418A">
        <w:t xml:space="preserve">erritories </w:t>
      </w:r>
      <w:r w:rsidR="004D78BC">
        <w:t>at June 2020</w:t>
      </w:r>
    </w:p>
    <w:p w14:paraId="0B4137A7" w14:textId="576F7715" w:rsidR="009B2589" w:rsidRPr="00E443BA" w:rsidRDefault="008F418A" w:rsidP="00E443BA">
      <w:r w:rsidRPr="008F418A">
        <w:rPr>
          <w:rFonts w:ascii="Arial" w:hAnsi="Arial" w:cs="Arial"/>
          <w:sz w:val="17"/>
          <w:szCs w:val="17"/>
        </w:rPr>
        <w:t xml:space="preserve"> </w:t>
      </w:r>
      <w:r w:rsidR="00A17E80">
        <w:rPr>
          <w:noProof/>
        </w:rPr>
        <w:drawing>
          <wp:inline distT="0" distB="0" distL="0" distR="0" wp14:anchorId="3AC52A2E" wp14:editId="1E029B73">
            <wp:extent cx="6050280" cy="2138901"/>
            <wp:effectExtent l="0" t="0" r="7620" b="0"/>
            <wp:docPr id="9" name="Chart 9" descr="Chart 6.5: General government sector net worth of Australian States and Territories at June 2020">
              <a:extLst xmlns:a="http://schemas.openxmlformats.org/drawingml/2006/main">
                <a:ext uri="{FF2B5EF4-FFF2-40B4-BE49-F238E27FC236}">
                  <a16:creationId xmlns:a16="http://schemas.microsoft.com/office/drawing/2014/main" id="{942E70AD-87FA-4E72-BA31-3B8EA703CA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C3DBC0" w14:textId="23B9CE5B" w:rsidR="00830183" w:rsidRPr="00D7371D" w:rsidRDefault="004424EA" w:rsidP="00D7371D">
      <w:pPr>
        <w:numPr>
          <w:ilvl w:val="0"/>
          <w:numId w:val="81"/>
        </w:numPr>
        <w:ind w:left="357" w:hanging="357"/>
        <w:rPr>
          <w:rFonts w:ascii="Arial" w:hAnsi="Arial" w:cs="Arial"/>
          <w:sz w:val="17"/>
          <w:szCs w:val="17"/>
        </w:rPr>
      </w:pPr>
      <w:r w:rsidRPr="00D7371D">
        <w:rPr>
          <w:rFonts w:ascii="Arial" w:hAnsi="Arial" w:cs="Arial"/>
          <w:sz w:val="17"/>
          <w:szCs w:val="17"/>
        </w:rPr>
        <w:t>Net worth</w:t>
      </w:r>
      <w:r w:rsidR="001E1961" w:rsidRPr="00D7371D">
        <w:rPr>
          <w:rFonts w:ascii="Arial" w:hAnsi="Arial" w:cs="Arial"/>
          <w:sz w:val="17"/>
          <w:szCs w:val="17"/>
        </w:rPr>
        <w:t xml:space="preserve"> for VIC, QLD and ACT </w:t>
      </w:r>
      <w:r w:rsidR="0094124F">
        <w:rPr>
          <w:rFonts w:ascii="Arial" w:hAnsi="Arial" w:cs="Arial"/>
          <w:sz w:val="17"/>
          <w:szCs w:val="17"/>
        </w:rPr>
        <w:t>as per their</w:t>
      </w:r>
      <w:r w:rsidR="004B522C" w:rsidRPr="00D7371D">
        <w:rPr>
          <w:rFonts w:ascii="Arial" w:hAnsi="Arial" w:cs="Arial"/>
          <w:sz w:val="17"/>
          <w:szCs w:val="17"/>
        </w:rPr>
        <w:t xml:space="preserve"> 20</w:t>
      </w:r>
      <w:r w:rsidR="00957322" w:rsidRPr="00D7371D">
        <w:rPr>
          <w:rFonts w:ascii="Arial" w:hAnsi="Arial" w:cs="Arial"/>
          <w:sz w:val="17"/>
          <w:szCs w:val="17"/>
        </w:rPr>
        <w:t>20-21</w:t>
      </w:r>
      <w:r w:rsidR="004B522C" w:rsidRPr="00D7371D">
        <w:rPr>
          <w:rFonts w:ascii="Arial" w:hAnsi="Arial" w:cs="Arial"/>
          <w:sz w:val="17"/>
          <w:szCs w:val="17"/>
        </w:rPr>
        <w:t xml:space="preserve"> </w:t>
      </w:r>
      <w:r w:rsidR="0094124F">
        <w:rPr>
          <w:rFonts w:ascii="Arial" w:hAnsi="Arial" w:cs="Arial"/>
          <w:sz w:val="17"/>
          <w:szCs w:val="17"/>
        </w:rPr>
        <w:t>P</w:t>
      </w:r>
      <w:r w:rsidR="00B63F06" w:rsidRPr="00D7371D">
        <w:rPr>
          <w:rFonts w:ascii="Arial" w:hAnsi="Arial" w:cs="Arial"/>
          <w:sz w:val="17"/>
          <w:szCs w:val="17"/>
        </w:rPr>
        <w:t>re-</w:t>
      </w:r>
      <w:r w:rsidR="0094124F">
        <w:rPr>
          <w:rFonts w:ascii="Arial" w:hAnsi="Arial" w:cs="Arial"/>
          <w:sz w:val="17"/>
          <w:szCs w:val="17"/>
        </w:rPr>
        <w:t>B</w:t>
      </w:r>
      <w:r w:rsidR="00B63F06" w:rsidRPr="00D7371D">
        <w:rPr>
          <w:rFonts w:ascii="Arial" w:hAnsi="Arial" w:cs="Arial"/>
          <w:sz w:val="17"/>
          <w:szCs w:val="17"/>
        </w:rPr>
        <w:t>udget update.</w:t>
      </w:r>
    </w:p>
    <w:p w14:paraId="5F47A78D" w14:textId="0139F7D8" w:rsidR="00FE27B6" w:rsidRDefault="00FE27B6" w:rsidP="005D1F35">
      <w:pPr>
        <w:pStyle w:val="Heading3"/>
        <w:rPr>
          <w:rFonts w:eastAsia="Arial Unicode MS"/>
        </w:rPr>
      </w:pPr>
      <w:r>
        <w:rPr>
          <w:rFonts w:eastAsia="Arial Unicode MS"/>
        </w:rPr>
        <w:t xml:space="preserve">Financial </w:t>
      </w:r>
      <w:r w:rsidR="00DE0B95" w:rsidRPr="005D1F35">
        <w:rPr>
          <w:rFonts w:eastAsia="Arial Unicode MS"/>
        </w:rPr>
        <w:t>a</w:t>
      </w:r>
      <w:r w:rsidRPr="005D1F35">
        <w:rPr>
          <w:rFonts w:eastAsia="Arial Unicode MS"/>
        </w:rPr>
        <w:t>ssets</w:t>
      </w:r>
      <w:r>
        <w:rPr>
          <w:rFonts w:eastAsia="Arial Unicode MS"/>
        </w:rPr>
        <w:t xml:space="preserve"> </w:t>
      </w:r>
    </w:p>
    <w:p w14:paraId="326EDFEF" w14:textId="4540DCFE" w:rsidR="003A6277" w:rsidRDefault="00AB21E9" w:rsidP="00A6600D">
      <w:pPr>
        <w:pStyle w:val="BodyText"/>
      </w:pPr>
      <w:bookmarkStart w:id="0" w:name="_Hlk514688603"/>
      <w:r>
        <w:t>T</w:t>
      </w:r>
      <w:r w:rsidR="007A190D">
        <w:t xml:space="preserve">he State’s total financial assets </w:t>
      </w:r>
      <w:r w:rsidR="00580D88">
        <w:t>were</w:t>
      </w:r>
      <w:r w:rsidR="007A190D" w:rsidRPr="00B249F3">
        <w:t xml:space="preserve"> </w:t>
      </w:r>
      <w:r w:rsidR="007A190D" w:rsidRPr="00510318">
        <w:t>$</w:t>
      </w:r>
      <w:r w:rsidR="00B249F3" w:rsidRPr="00510318">
        <w:t>1</w:t>
      </w:r>
      <w:r w:rsidR="00981F65" w:rsidRPr="00450CA3">
        <w:t>75.3</w:t>
      </w:r>
      <w:r w:rsidR="0065459F" w:rsidRPr="00B249F3">
        <w:t> </w:t>
      </w:r>
      <w:r w:rsidR="007A190D" w:rsidRPr="00B249F3">
        <w:t>billion</w:t>
      </w:r>
      <w:r w:rsidR="007A190D" w:rsidRPr="007E23BE">
        <w:t xml:space="preserve"> at </w:t>
      </w:r>
      <w:proofErr w:type="gramStart"/>
      <w:r w:rsidR="007A190D" w:rsidRPr="007E23BE">
        <w:t>June 20</w:t>
      </w:r>
      <w:r w:rsidR="00C509BE">
        <w:t>20</w:t>
      </w:r>
      <w:r w:rsidR="007A190D" w:rsidRPr="000377A9">
        <w:t xml:space="preserve">, </w:t>
      </w:r>
      <w:r w:rsidR="00EB0D7E">
        <w:t>and</w:t>
      </w:r>
      <w:proofErr w:type="gramEnd"/>
      <w:r w:rsidR="00EB0D7E">
        <w:t xml:space="preserve"> </w:t>
      </w:r>
      <w:r w:rsidR="00756664">
        <w:t xml:space="preserve">are </w:t>
      </w:r>
      <w:r w:rsidR="00EB0D7E">
        <w:t xml:space="preserve">projected to </w:t>
      </w:r>
      <w:r w:rsidR="00D55914" w:rsidRPr="00EA3F77">
        <w:t>increas</w:t>
      </w:r>
      <w:r w:rsidR="00EB0D7E">
        <w:t>e</w:t>
      </w:r>
      <w:r w:rsidR="00D55914" w:rsidRPr="007E23BE">
        <w:t xml:space="preserve"> </w:t>
      </w:r>
      <w:r w:rsidR="007A190D" w:rsidRPr="007E23BE">
        <w:t xml:space="preserve">to </w:t>
      </w:r>
      <w:r w:rsidR="00112D70" w:rsidRPr="004D47F8">
        <w:t>$</w:t>
      </w:r>
      <w:r w:rsidR="000377A9" w:rsidRPr="004D47F8">
        <w:t>1</w:t>
      </w:r>
      <w:r w:rsidR="00497F38" w:rsidRPr="004D47F8">
        <w:t>95.</w:t>
      </w:r>
      <w:r w:rsidR="004D47F8" w:rsidRPr="004D47F8">
        <w:t>3</w:t>
      </w:r>
      <w:r w:rsidR="00DE0B95" w:rsidRPr="000377A9">
        <w:t> </w:t>
      </w:r>
      <w:r w:rsidR="007A190D" w:rsidRPr="000377A9">
        <w:t>billion</w:t>
      </w:r>
      <w:r w:rsidR="007A190D" w:rsidRPr="007E23BE">
        <w:t xml:space="preserve"> by June 202</w:t>
      </w:r>
      <w:r w:rsidR="00C509BE">
        <w:t>4</w:t>
      </w:r>
      <w:r w:rsidR="00A915B6" w:rsidRPr="001C1FC1">
        <w:t xml:space="preserve"> (see Chart </w:t>
      </w:r>
      <w:r w:rsidR="008A66C0">
        <w:t>6</w:t>
      </w:r>
      <w:r w:rsidR="00A915B6" w:rsidRPr="001C1FC1">
        <w:t>.</w:t>
      </w:r>
      <w:r w:rsidR="00757609">
        <w:t>6</w:t>
      </w:r>
      <w:r w:rsidRPr="001C1FC1">
        <w:t>)</w:t>
      </w:r>
      <w:r w:rsidR="007A190D" w:rsidRPr="001C1FC1">
        <w:t xml:space="preserve">. </w:t>
      </w:r>
      <w:r w:rsidR="00AA53CF">
        <w:t xml:space="preserve">This is </w:t>
      </w:r>
      <w:r w:rsidR="00006996">
        <w:t xml:space="preserve">largely </w:t>
      </w:r>
      <w:r w:rsidR="00AA53CF">
        <w:t>represented by the g</w:t>
      </w:r>
      <w:r w:rsidR="0052220D" w:rsidRPr="00FA495C">
        <w:t>rowth</w:t>
      </w:r>
      <w:r w:rsidR="0052220D" w:rsidRPr="00EA1B8F">
        <w:t xml:space="preserve"> in the </w:t>
      </w:r>
      <w:r w:rsidR="00FF44BB" w:rsidRPr="00EA1B8F">
        <w:t xml:space="preserve">value of the </w:t>
      </w:r>
      <w:r w:rsidR="0052220D" w:rsidRPr="00683CE7">
        <w:t xml:space="preserve">State’s equity </w:t>
      </w:r>
      <w:r w:rsidR="009004B3">
        <w:t>holdings</w:t>
      </w:r>
      <w:r w:rsidR="00405058">
        <w:t xml:space="preserve"> in State Owned Corporations </w:t>
      </w:r>
      <w:r w:rsidR="00294766">
        <w:t>in addition to the growth in the State’s financial assets at fair value</w:t>
      </w:r>
      <w:r w:rsidR="001B18B7" w:rsidRPr="008E3A56">
        <w:t>.</w:t>
      </w:r>
    </w:p>
    <w:p w14:paraId="5EDB786F" w14:textId="267D72B4" w:rsidR="00FE27B6" w:rsidRPr="00662C79" w:rsidRDefault="00190B87" w:rsidP="005F4C03">
      <w:pPr>
        <w:pStyle w:val="Chart6X"/>
        <w:ind w:left="1276" w:hanging="1276"/>
      </w:pPr>
      <w:r>
        <w:t>G</w:t>
      </w:r>
      <w:r w:rsidR="005571A8">
        <w:t>eneral government sector</w:t>
      </w:r>
      <w:r w:rsidR="008B6818" w:rsidRPr="00C5400F">
        <w:t xml:space="preserve"> </w:t>
      </w:r>
      <w:bookmarkEnd w:id="0"/>
      <w:r w:rsidR="008B6818">
        <w:t>f</w:t>
      </w:r>
      <w:r w:rsidR="00FE27B6" w:rsidRPr="0080388D">
        <w:t xml:space="preserve">inancial assets </w:t>
      </w:r>
      <w:r w:rsidR="00917EE8">
        <w:t>reflect asset divestments and cash management reforms</w:t>
      </w:r>
      <w:r w:rsidR="00F66B81">
        <w:t xml:space="preserve"> </w:t>
      </w:r>
    </w:p>
    <w:p w14:paraId="62502D0C" w14:textId="013B49E9" w:rsidR="00183E6F" w:rsidRDefault="00F35568" w:rsidP="00D7371D">
      <w:r>
        <w:rPr>
          <w:noProof/>
        </w:rPr>
        <w:drawing>
          <wp:inline distT="0" distB="0" distL="0" distR="0" wp14:anchorId="3BA9602C" wp14:editId="1A16BFE7">
            <wp:extent cx="5969000" cy="2520563"/>
            <wp:effectExtent l="0" t="0" r="0" b="0"/>
            <wp:docPr id="12" name="Chart 12" descr="Chart 6.6: General government sector financial assets reflect asset divestments and cash management reforms ">
              <a:extLst xmlns:a="http://schemas.openxmlformats.org/drawingml/2006/main">
                <a:ext uri="{FF2B5EF4-FFF2-40B4-BE49-F238E27FC236}">
                  <a16:creationId xmlns:a16="http://schemas.microsoft.com/office/drawing/2014/main" id="{35CB68B0-DA4C-4283-9F6B-08D2DB326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6060B6D" w14:textId="77777777" w:rsidR="0026555D" w:rsidRDefault="0026555D">
      <w:pPr>
        <w:spacing w:after="200" w:line="276" w:lineRule="auto"/>
        <w:rPr>
          <w:rFonts w:ascii="Arial" w:eastAsiaTheme="minorHAnsi" w:hAnsi="Arial" w:cs="Arial"/>
          <w:sz w:val="23"/>
          <w:lang w:val="en-AU"/>
        </w:rPr>
      </w:pPr>
      <w:r>
        <w:br w:type="page"/>
      </w:r>
    </w:p>
    <w:p w14:paraId="3BFEA3DF" w14:textId="53F696DA" w:rsidR="00336E6F" w:rsidRDefault="00F41C4B" w:rsidP="00A6600D">
      <w:pPr>
        <w:pStyle w:val="BodyText"/>
      </w:pPr>
      <w:r w:rsidRPr="00B5275C">
        <w:t xml:space="preserve">Total financial assets at June 2020 were </w:t>
      </w:r>
      <w:r w:rsidR="007D3A3B" w:rsidRPr="00FA465B">
        <w:t>$5.</w:t>
      </w:r>
      <w:r w:rsidR="00AB09E8" w:rsidRPr="00075108">
        <w:t>6</w:t>
      </w:r>
      <w:r w:rsidR="007D3A3B" w:rsidRPr="00075108">
        <w:t xml:space="preserve"> billion </w:t>
      </w:r>
      <w:r w:rsidR="00B9412B" w:rsidRPr="00075108">
        <w:t>higher</w:t>
      </w:r>
      <w:r w:rsidR="007D3A3B" w:rsidRPr="00075108">
        <w:t xml:space="preserve"> </w:t>
      </w:r>
      <w:r w:rsidRPr="00075108">
        <w:t>compared to 2019-20 Half-Yearly Review estimate</w:t>
      </w:r>
      <w:r w:rsidR="00505F06" w:rsidRPr="00075108">
        <w:t>s</w:t>
      </w:r>
      <w:r w:rsidR="00B00A54" w:rsidRPr="00075108">
        <w:t>.</w:t>
      </w:r>
      <w:r w:rsidRPr="00075108">
        <w:t xml:space="preserve"> </w:t>
      </w:r>
      <w:r w:rsidR="004B234E" w:rsidRPr="00075108">
        <w:t xml:space="preserve">This </w:t>
      </w:r>
      <w:r w:rsidR="001E6F76" w:rsidRPr="00075108">
        <w:t>was</w:t>
      </w:r>
      <w:r w:rsidR="004B234E" w:rsidRPr="00075108">
        <w:t xml:space="preserve"> driven mainly through </w:t>
      </w:r>
      <w:r w:rsidR="001B4BFF" w:rsidRPr="00075108">
        <w:t>a</w:t>
      </w:r>
      <w:r w:rsidR="004B234E" w:rsidRPr="00075108">
        <w:t xml:space="preserve"> $4.9 billion increase in cash</w:t>
      </w:r>
      <w:r w:rsidR="00122DE2" w:rsidRPr="00075108">
        <w:t xml:space="preserve"> and cash equivalents </w:t>
      </w:r>
      <w:r w:rsidR="006F4B37" w:rsidRPr="00075108">
        <w:t xml:space="preserve">and </w:t>
      </w:r>
      <w:r w:rsidR="00C545F4" w:rsidRPr="00075108">
        <w:t xml:space="preserve">a $3.6 billion increase in receivables </w:t>
      </w:r>
      <w:r w:rsidR="00122DE2" w:rsidRPr="00075108">
        <w:t>on the State’s balance sheet</w:t>
      </w:r>
      <w:r w:rsidR="001B4BFF" w:rsidRPr="00075108">
        <w:t>.</w:t>
      </w:r>
      <w:r w:rsidR="00B93DC9" w:rsidRPr="00075108">
        <w:t xml:space="preserve"> </w:t>
      </w:r>
      <w:r w:rsidR="00815FFA" w:rsidRPr="00075108">
        <w:t>The increase in cash</w:t>
      </w:r>
      <w:r w:rsidR="00F7260B" w:rsidRPr="00075108">
        <w:t xml:space="preserve"> holdings</w:t>
      </w:r>
      <w:r w:rsidR="00647D4E" w:rsidRPr="00075108">
        <w:t xml:space="preserve"> </w:t>
      </w:r>
      <w:r w:rsidR="00104DBB" w:rsidRPr="00075108">
        <w:t>is</w:t>
      </w:r>
      <w:r w:rsidR="00815FFA" w:rsidRPr="00075108">
        <w:t xml:space="preserve"> </w:t>
      </w:r>
      <w:r w:rsidR="00A43772" w:rsidRPr="00075108">
        <w:t>largely represented by maturities of term deposits</w:t>
      </w:r>
      <w:r w:rsidR="00B93DC9" w:rsidRPr="00075108">
        <w:t xml:space="preserve"> </w:t>
      </w:r>
      <w:r w:rsidR="00842D62" w:rsidRPr="00075108">
        <w:t xml:space="preserve">and other financial assets held for liquidity purposes in response to COVID-19 uncertainties. </w:t>
      </w:r>
    </w:p>
    <w:p w14:paraId="662969BF" w14:textId="290BD6C7" w:rsidR="002847D3" w:rsidRDefault="00842D62" w:rsidP="00D7371D">
      <w:pPr>
        <w:pStyle w:val="BodyText"/>
      </w:pPr>
      <w:r w:rsidRPr="00B5275C">
        <w:t>The variation in receivabl</w:t>
      </w:r>
      <w:r w:rsidRPr="008D35C0">
        <w:t xml:space="preserve">es </w:t>
      </w:r>
      <w:r w:rsidR="00802600">
        <w:t>results</w:t>
      </w:r>
      <w:r w:rsidR="00F84E50" w:rsidRPr="008D35C0">
        <w:t xml:space="preserve"> from</w:t>
      </w:r>
      <w:r w:rsidR="00B93DC9" w:rsidRPr="008D35C0">
        <w:t xml:space="preserve"> </w:t>
      </w:r>
      <w:r w:rsidR="00F353DD" w:rsidRPr="008D35C0">
        <w:t xml:space="preserve">the </w:t>
      </w:r>
      <w:r w:rsidR="0057247D">
        <w:t>deferral</w:t>
      </w:r>
      <w:r w:rsidR="00F353DD" w:rsidRPr="008D35C0">
        <w:t xml:space="preserve"> of</w:t>
      </w:r>
      <w:r w:rsidR="00B93DC9" w:rsidRPr="008D35C0">
        <w:t xml:space="preserve"> </w:t>
      </w:r>
      <w:r w:rsidR="007D481B" w:rsidRPr="008D35C0">
        <w:t>tax revenues</w:t>
      </w:r>
      <w:r w:rsidR="00B93DC9" w:rsidRPr="008D35C0">
        <w:t xml:space="preserve"> </w:t>
      </w:r>
      <w:r w:rsidR="00611022" w:rsidRPr="008D35C0">
        <w:t xml:space="preserve">from a cash </w:t>
      </w:r>
      <w:r w:rsidR="00A127F5">
        <w:t>perspective</w:t>
      </w:r>
      <w:r w:rsidR="00611022" w:rsidRPr="008D35C0">
        <w:t>.</w:t>
      </w:r>
      <w:r w:rsidR="00B93DC9" w:rsidRPr="008D35C0">
        <w:t xml:space="preserve"> </w:t>
      </w:r>
      <w:r w:rsidR="007B63DD" w:rsidRPr="008D35C0">
        <w:t>The State’s equity investments in other public-sector entities</w:t>
      </w:r>
      <w:r w:rsidR="007B63DD" w:rsidRPr="008D35C0">
        <w:rPr>
          <w:rStyle w:val="FootnoteReference"/>
          <w:szCs w:val="23"/>
        </w:rPr>
        <w:footnoteReference w:id="3"/>
      </w:r>
      <w:r w:rsidR="00D662E8" w:rsidRPr="008D35C0">
        <w:t>,</w:t>
      </w:r>
      <w:r w:rsidR="007B63DD" w:rsidRPr="008D35C0">
        <w:t xml:space="preserve"> </w:t>
      </w:r>
      <w:r w:rsidR="00CA0FBA" w:rsidRPr="008D35C0">
        <w:t>which</w:t>
      </w:r>
      <w:r w:rsidR="007B63DD" w:rsidRPr="008D35C0">
        <w:t xml:space="preserve"> make up </w:t>
      </w:r>
      <w:proofErr w:type="gramStart"/>
      <w:r w:rsidR="007B63DD" w:rsidRPr="008D35C0">
        <w:t>the majority of</w:t>
      </w:r>
      <w:proofErr w:type="gramEnd"/>
      <w:r w:rsidR="007B63DD" w:rsidRPr="008D35C0">
        <w:t xml:space="preserve"> </w:t>
      </w:r>
      <w:r w:rsidR="009A16C8" w:rsidRPr="008D35C0">
        <w:t xml:space="preserve">the State’s </w:t>
      </w:r>
      <w:r w:rsidR="007B63DD" w:rsidRPr="008D35C0">
        <w:t>financial assets</w:t>
      </w:r>
      <w:r w:rsidR="00EB0D7E">
        <w:t>,</w:t>
      </w:r>
      <w:r w:rsidR="007B63DD" w:rsidRPr="008D35C0">
        <w:t xml:space="preserve"> decreased by </w:t>
      </w:r>
      <w:r w:rsidR="007B63DD" w:rsidRPr="00450CA3">
        <w:t>$</w:t>
      </w:r>
      <w:r w:rsidR="00405A7D" w:rsidRPr="00450CA3">
        <w:t>3</w:t>
      </w:r>
      <w:r w:rsidR="007B63DD" w:rsidRPr="00450CA3">
        <w:t>.</w:t>
      </w:r>
      <w:r w:rsidR="004D47F8">
        <w:t>7</w:t>
      </w:r>
      <w:r w:rsidR="007B63DD" w:rsidRPr="008D35C0">
        <w:t xml:space="preserve"> billion as assets were transferred between</w:t>
      </w:r>
      <w:r w:rsidR="00D5338E" w:rsidRPr="008D35C0">
        <w:t xml:space="preserve"> the </w:t>
      </w:r>
      <w:r w:rsidR="00AD58F7">
        <w:t>p</w:t>
      </w:r>
      <w:r w:rsidR="00D5338E" w:rsidRPr="008D35C0">
        <w:t xml:space="preserve">ublic </w:t>
      </w:r>
      <w:r w:rsidR="00AD58F7">
        <w:t>n</w:t>
      </w:r>
      <w:r w:rsidR="00D5338E" w:rsidRPr="008D35C0">
        <w:t>on-</w:t>
      </w:r>
      <w:r w:rsidR="00AD58F7">
        <w:t>f</w:t>
      </w:r>
      <w:r w:rsidR="00D5338E" w:rsidRPr="008D35C0">
        <w:t xml:space="preserve">inancial </w:t>
      </w:r>
      <w:r w:rsidR="00AD58F7">
        <w:t>c</w:t>
      </w:r>
      <w:r w:rsidR="00D5338E" w:rsidRPr="008D35C0">
        <w:t xml:space="preserve">orporation sector and </w:t>
      </w:r>
      <w:r w:rsidR="00AD58F7">
        <w:t>g</w:t>
      </w:r>
      <w:r w:rsidR="00D5338E" w:rsidRPr="008D35C0">
        <w:t xml:space="preserve">eneral </w:t>
      </w:r>
      <w:r w:rsidR="00AD58F7">
        <w:t>g</w:t>
      </w:r>
      <w:r w:rsidR="00D5338E" w:rsidRPr="008D35C0">
        <w:t xml:space="preserve">overnment </w:t>
      </w:r>
      <w:r w:rsidR="00B26F44" w:rsidRPr="008D35C0">
        <w:t>sector</w:t>
      </w:r>
      <w:r w:rsidR="007B63DD" w:rsidRPr="008D35C0">
        <w:t>.</w:t>
      </w:r>
      <w:r w:rsidR="00585021" w:rsidRPr="008D35C0">
        <w:t xml:space="preserve"> </w:t>
      </w:r>
    </w:p>
    <w:p w14:paraId="1144B5C1" w14:textId="463B46B1" w:rsidR="00336E6F" w:rsidRDefault="002847D3" w:rsidP="00A6600D">
      <w:pPr>
        <w:pStyle w:val="BodyText"/>
      </w:pPr>
      <w:r w:rsidRPr="00B5275C">
        <w:t xml:space="preserve">Financial assets are </w:t>
      </w:r>
      <w:r w:rsidR="00D42AD0" w:rsidRPr="00FA465B">
        <w:t>projected</w:t>
      </w:r>
      <w:r w:rsidRPr="00075108">
        <w:t xml:space="preserve"> to grow</w:t>
      </w:r>
      <w:r w:rsidR="00CB086A" w:rsidRPr="00075108">
        <w:t xml:space="preserve"> over the forward estimates</w:t>
      </w:r>
      <w:r w:rsidRPr="00075108">
        <w:t xml:space="preserve"> to $</w:t>
      </w:r>
      <w:r w:rsidR="007329DD" w:rsidRPr="00075108">
        <w:t>195.</w:t>
      </w:r>
      <w:r w:rsidR="004D47F8" w:rsidRPr="00075108">
        <w:t>3</w:t>
      </w:r>
      <w:r w:rsidRPr="00075108">
        <w:t xml:space="preserve"> </w:t>
      </w:r>
      <w:r w:rsidR="00E262E3" w:rsidRPr="00075108">
        <w:t>billion</w:t>
      </w:r>
      <w:r w:rsidRPr="00075108">
        <w:t xml:space="preserve"> </w:t>
      </w:r>
      <w:r w:rsidR="2D789EC8" w:rsidRPr="00075108">
        <w:t>by</w:t>
      </w:r>
      <w:r w:rsidR="00CB086A" w:rsidRPr="00075108">
        <w:t xml:space="preserve"> June 2024, primarily d</w:t>
      </w:r>
      <w:r w:rsidR="00902F78" w:rsidRPr="00075108">
        <w:t>riven by growth</w:t>
      </w:r>
      <w:r w:rsidR="00FF705F" w:rsidRPr="00075108">
        <w:t xml:space="preserve"> in the size</w:t>
      </w:r>
      <w:r w:rsidR="00CB086A" w:rsidRPr="00075108">
        <w:t xml:space="preserve"> </w:t>
      </w:r>
      <w:r w:rsidR="412F4AA0" w:rsidRPr="00075108">
        <w:t xml:space="preserve">of </w:t>
      </w:r>
      <w:r w:rsidR="00CB086A" w:rsidRPr="00075108">
        <w:t>the NGF</w:t>
      </w:r>
      <w:r w:rsidR="00543565" w:rsidRPr="00075108">
        <w:t>, which</w:t>
      </w:r>
      <w:r w:rsidR="00E40A73" w:rsidRPr="00075108">
        <w:t xml:space="preserve"> </w:t>
      </w:r>
      <w:r w:rsidR="008125D5" w:rsidRPr="00075108">
        <w:t xml:space="preserve">remains a core </w:t>
      </w:r>
      <w:r w:rsidR="005B1C16" w:rsidRPr="00075108">
        <w:t xml:space="preserve">element of the State’s fiscal repair plan with proceeds of asset </w:t>
      </w:r>
      <w:r w:rsidR="00D631BE" w:rsidRPr="00075108">
        <w:t xml:space="preserve">recycling initiatives, </w:t>
      </w:r>
      <w:r w:rsidR="037F0FE5" w:rsidRPr="00075108">
        <w:t>State Owned Corpo</w:t>
      </w:r>
      <w:r w:rsidR="00507B36" w:rsidRPr="00075108">
        <w:t>r</w:t>
      </w:r>
      <w:r w:rsidR="037F0FE5" w:rsidRPr="00075108">
        <w:t>ation (</w:t>
      </w:r>
      <w:r w:rsidR="00D631BE" w:rsidRPr="00075108">
        <w:t>SOC</w:t>
      </w:r>
      <w:r w:rsidR="2486E082" w:rsidRPr="00075108">
        <w:t>)</w:t>
      </w:r>
      <w:r w:rsidR="00507B36" w:rsidRPr="00075108">
        <w:t xml:space="preserve"> </w:t>
      </w:r>
      <w:r w:rsidR="00D631BE" w:rsidRPr="00075108">
        <w:t>dividends</w:t>
      </w:r>
      <w:r w:rsidR="001409EB" w:rsidRPr="00075108">
        <w:t xml:space="preserve"> </w:t>
      </w:r>
      <w:r w:rsidR="3A49D994" w:rsidRPr="00075108">
        <w:t>and</w:t>
      </w:r>
      <w:r w:rsidR="001409EB" w:rsidRPr="00075108">
        <w:t xml:space="preserve"> mining royalties</w:t>
      </w:r>
      <w:r w:rsidR="001409EB" w:rsidRPr="00B5275C">
        <w:t xml:space="preserve"> being deposited into </w:t>
      </w:r>
      <w:r w:rsidR="3057C66B" w:rsidRPr="00FA465B">
        <w:t>it</w:t>
      </w:r>
      <w:r w:rsidR="001409EB" w:rsidRPr="00075108">
        <w:t xml:space="preserve">. </w:t>
      </w:r>
    </w:p>
    <w:p w14:paraId="60D4E930" w14:textId="1A46AE5C" w:rsidR="00B26F44" w:rsidRPr="008D35C0" w:rsidRDefault="0001200F" w:rsidP="00D7371D">
      <w:pPr>
        <w:pStyle w:val="BodyText"/>
      </w:pPr>
      <w:r w:rsidRPr="00B5275C">
        <w:t>The Government</w:t>
      </w:r>
      <w:r w:rsidR="00662488">
        <w:t xml:space="preserve">’s </w:t>
      </w:r>
      <w:r w:rsidR="0071136E">
        <w:t>balance sheet</w:t>
      </w:r>
      <w:r w:rsidR="00662488">
        <w:t xml:space="preserve"> strategy </w:t>
      </w:r>
      <w:r w:rsidR="0071136E">
        <w:t xml:space="preserve">is to </w:t>
      </w:r>
      <w:r w:rsidR="00662488">
        <w:t>capitali</w:t>
      </w:r>
      <w:r w:rsidR="0071136E">
        <w:t>se</w:t>
      </w:r>
      <w:r w:rsidR="00662488">
        <w:t xml:space="preserve"> on historically </w:t>
      </w:r>
      <w:r w:rsidR="001409EB">
        <w:t>low interest c</w:t>
      </w:r>
      <w:r w:rsidR="00C22906">
        <w:t xml:space="preserve">osts </w:t>
      </w:r>
      <w:r>
        <w:t xml:space="preserve">and </w:t>
      </w:r>
      <w:r w:rsidR="002A286E">
        <w:t>leverag</w:t>
      </w:r>
      <w:r w:rsidR="0071136E">
        <w:t>e</w:t>
      </w:r>
      <w:r w:rsidR="002A286E">
        <w:t xml:space="preserve"> </w:t>
      </w:r>
      <w:r w:rsidR="0066591E">
        <w:t>investment return</w:t>
      </w:r>
      <w:r w:rsidR="002A286E">
        <w:t>s</w:t>
      </w:r>
      <w:r w:rsidR="0066591E">
        <w:t xml:space="preserve">, </w:t>
      </w:r>
      <w:r w:rsidR="00EA3B59">
        <w:t xml:space="preserve">so it can </w:t>
      </w:r>
      <w:r w:rsidR="0071136E">
        <w:t xml:space="preserve">continue reaping </w:t>
      </w:r>
      <w:r w:rsidR="0034227E">
        <w:t xml:space="preserve">benefits </w:t>
      </w:r>
      <w:r w:rsidR="007576B7">
        <w:t xml:space="preserve">in </w:t>
      </w:r>
      <w:r w:rsidR="001F628F">
        <w:t xml:space="preserve">the current </w:t>
      </w:r>
      <w:r w:rsidR="008C6359">
        <w:t xml:space="preserve">environment. </w:t>
      </w:r>
      <w:r w:rsidR="0093188D">
        <w:t xml:space="preserve">The </w:t>
      </w:r>
      <w:r w:rsidR="00E40A73">
        <w:t xml:space="preserve">NGF is </w:t>
      </w:r>
      <w:r w:rsidR="00D42AD0">
        <w:t>projected</w:t>
      </w:r>
      <w:r w:rsidR="0014131E">
        <w:t xml:space="preserve"> </w:t>
      </w:r>
      <w:r w:rsidR="00E40A73">
        <w:t xml:space="preserve">to grow over the medium term </w:t>
      </w:r>
      <w:r w:rsidR="001C3FC1">
        <w:t xml:space="preserve">to </w:t>
      </w:r>
      <w:r w:rsidR="00E40A73">
        <w:t>a</w:t>
      </w:r>
      <w:r w:rsidR="002C5DD6">
        <w:t>n</w:t>
      </w:r>
      <w:r w:rsidR="00E40A73">
        <w:t xml:space="preserve"> </w:t>
      </w:r>
      <w:r w:rsidR="002C5DD6">
        <w:t>expected</w:t>
      </w:r>
      <w:r w:rsidR="00E40A73">
        <w:t xml:space="preserve"> balance </w:t>
      </w:r>
      <w:r w:rsidR="004A204C" w:rsidRPr="004D47F8">
        <w:t>of</w:t>
      </w:r>
      <w:r w:rsidR="00E40A73" w:rsidRPr="004D47F8">
        <w:t xml:space="preserve"> </w:t>
      </w:r>
      <w:r w:rsidR="008A6706">
        <w:t xml:space="preserve">more than </w:t>
      </w:r>
      <w:r w:rsidR="00E40A73" w:rsidRPr="004D47F8">
        <w:t>$7</w:t>
      </w:r>
      <w:r w:rsidR="008A6706">
        <w:t>0</w:t>
      </w:r>
      <w:r w:rsidR="00E40A73" w:rsidRPr="004D47F8">
        <w:t>.</w:t>
      </w:r>
      <w:r w:rsidR="008A6706">
        <w:t>0</w:t>
      </w:r>
      <w:r w:rsidR="00E40A73" w:rsidRPr="004D47F8">
        <w:t xml:space="preserve"> billion </w:t>
      </w:r>
      <w:r w:rsidR="009047EE" w:rsidRPr="004D47F8">
        <w:t>by June 2030</w:t>
      </w:r>
      <w:r w:rsidR="00BC27A7" w:rsidRPr="004D47F8">
        <w:t xml:space="preserve"> </w:t>
      </w:r>
      <w:r w:rsidR="00E40A73" w:rsidRPr="004D47F8">
        <w:t>(see Box 3.1 in Chapter 3)</w:t>
      </w:r>
      <w:r w:rsidR="001B0DDD" w:rsidRPr="004D47F8">
        <w:t>.</w:t>
      </w:r>
    </w:p>
    <w:p w14:paraId="0877DD0F" w14:textId="1F966F8F" w:rsidR="00FE27B6" w:rsidRDefault="00FE27B6" w:rsidP="00FE27B6">
      <w:pPr>
        <w:pStyle w:val="Heading3"/>
        <w:keepNext w:val="0"/>
        <w:tabs>
          <w:tab w:val="left" w:pos="567"/>
        </w:tabs>
        <w:rPr>
          <w:rFonts w:eastAsia="Arial Unicode MS"/>
          <w:bCs/>
        </w:rPr>
      </w:pPr>
      <w:r>
        <w:rPr>
          <w:rFonts w:eastAsia="Arial Unicode MS"/>
        </w:rPr>
        <w:t>Non-</w:t>
      </w:r>
      <w:r w:rsidR="00DE0B95">
        <w:rPr>
          <w:rFonts w:eastAsia="Arial Unicode MS"/>
        </w:rPr>
        <w:t xml:space="preserve">financial assets </w:t>
      </w:r>
    </w:p>
    <w:p w14:paraId="12DE3FE4" w14:textId="280233B6" w:rsidR="00FF44BB" w:rsidRDefault="00FF44BB" w:rsidP="00A6600D">
      <w:pPr>
        <w:pStyle w:val="BodyText"/>
      </w:pPr>
      <w:r>
        <w:t>The State’s n</w:t>
      </w:r>
      <w:r w:rsidR="00A72301">
        <w:t xml:space="preserve">on-financial assets </w:t>
      </w:r>
      <w:r w:rsidR="00296A47">
        <w:t>were</w:t>
      </w:r>
      <w:r w:rsidR="00A72301" w:rsidRPr="00B7043B">
        <w:t xml:space="preserve"> </w:t>
      </w:r>
      <w:r w:rsidR="00A72301" w:rsidRPr="00510318">
        <w:t>$</w:t>
      </w:r>
      <w:r w:rsidR="00074853" w:rsidRPr="00510318">
        <w:t>2</w:t>
      </w:r>
      <w:r w:rsidR="00696EA5" w:rsidRPr="00450CA3">
        <w:t>50</w:t>
      </w:r>
      <w:r w:rsidR="00074853" w:rsidRPr="00510318">
        <w:t>.</w:t>
      </w:r>
      <w:r w:rsidR="00696EA5" w:rsidRPr="00450CA3">
        <w:t>3</w:t>
      </w:r>
      <w:r w:rsidR="00DE0B95" w:rsidRPr="00B7043B">
        <w:t> </w:t>
      </w:r>
      <w:r w:rsidR="00A72301" w:rsidRPr="00B7043B">
        <w:t>billion at June 20</w:t>
      </w:r>
      <w:r w:rsidR="00116586">
        <w:t>20</w:t>
      </w:r>
      <w:r w:rsidR="00D55D00" w:rsidRPr="00B7043B">
        <w:t xml:space="preserve">, a </w:t>
      </w:r>
      <w:r w:rsidR="00D55D00" w:rsidRPr="00510318">
        <w:t>$</w:t>
      </w:r>
      <w:r w:rsidR="0044412A" w:rsidRPr="00450CA3">
        <w:t>1.</w:t>
      </w:r>
      <w:r w:rsidR="004D47F8">
        <w:t>8</w:t>
      </w:r>
      <w:r w:rsidR="00770119" w:rsidRPr="00B7043B">
        <w:t> </w:t>
      </w:r>
      <w:r w:rsidR="00D55D00" w:rsidRPr="00B7043B">
        <w:t xml:space="preserve">billion </w:t>
      </w:r>
      <w:r w:rsidR="00511F6D">
        <w:t>decrease</w:t>
      </w:r>
      <w:r w:rsidR="00D55D00" w:rsidRPr="00B7043B">
        <w:t xml:space="preserve"> relative to the 201</w:t>
      </w:r>
      <w:r w:rsidR="00F025EA" w:rsidRPr="00B7043B">
        <w:t>9</w:t>
      </w:r>
      <w:r w:rsidR="00116586">
        <w:t>-20</w:t>
      </w:r>
      <w:r w:rsidR="00D55D00" w:rsidRPr="00B7043B">
        <w:t xml:space="preserve"> </w:t>
      </w:r>
      <w:r w:rsidR="00116586">
        <w:t>Half-Yearly Review</w:t>
      </w:r>
      <w:r w:rsidR="00F03212">
        <w:t xml:space="preserve">. </w:t>
      </w:r>
      <w:r w:rsidR="00D55D00" w:rsidRPr="001C1FC1">
        <w:t xml:space="preserve">This figure is expected to </w:t>
      </w:r>
      <w:r w:rsidR="00A72301" w:rsidRPr="001C1FC1">
        <w:t>increas</w:t>
      </w:r>
      <w:r w:rsidR="00D55D00" w:rsidRPr="001C1FC1">
        <w:t>e</w:t>
      </w:r>
      <w:r w:rsidR="00A72301" w:rsidRPr="001C1FC1">
        <w:t xml:space="preserve"> </w:t>
      </w:r>
      <w:r w:rsidR="00A72301" w:rsidRPr="00221065">
        <w:t xml:space="preserve">to </w:t>
      </w:r>
      <w:r w:rsidR="00A72301" w:rsidRPr="004D47F8">
        <w:t>$</w:t>
      </w:r>
      <w:r w:rsidR="0027393F" w:rsidRPr="004D47F8">
        <w:t>334.6</w:t>
      </w:r>
      <w:r w:rsidR="003A063B" w:rsidRPr="004D47F8">
        <w:t> </w:t>
      </w:r>
      <w:r w:rsidR="00A72301" w:rsidRPr="004D47F8">
        <w:t>billion by June</w:t>
      </w:r>
      <w:r w:rsidR="00DE0B95" w:rsidRPr="004D47F8">
        <w:t> </w:t>
      </w:r>
      <w:r w:rsidR="00A72301" w:rsidRPr="004D47F8">
        <w:t>202</w:t>
      </w:r>
      <w:r w:rsidR="00116586" w:rsidRPr="004D47F8">
        <w:t>4</w:t>
      </w:r>
      <w:r w:rsidR="005F3D55" w:rsidRPr="004D47F8">
        <w:t xml:space="preserve">, </w:t>
      </w:r>
      <w:r w:rsidR="00C9719A" w:rsidRPr="004D47F8">
        <w:t xml:space="preserve">due to </w:t>
      </w:r>
      <w:r w:rsidR="00CC4714" w:rsidRPr="004D47F8">
        <w:t xml:space="preserve">the Government’s </w:t>
      </w:r>
      <w:r w:rsidR="00844470" w:rsidRPr="004D47F8">
        <w:t xml:space="preserve">ongoing </w:t>
      </w:r>
      <w:r w:rsidR="00CC4714" w:rsidRPr="004D47F8">
        <w:t>inf</w:t>
      </w:r>
      <w:r w:rsidR="00A915B6" w:rsidRPr="004D47F8">
        <w:t xml:space="preserve">rastructure </w:t>
      </w:r>
      <w:r w:rsidR="00844470" w:rsidRPr="004D47F8">
        <w:t xml:space="preserve">investment </w:t>
      </w:r>
      <w:r w:rsidR="00FF1E5D" w:rsidRPr="004D47F8">
        <w:t>and asset</w:t>
      </w:r>
      <w:r w:rsidR="00FF1E5D">
        <w:t xml:space="preserve"> revaluations </w:t>
      </w:r>
      <w:r w:rsidR="005F3D55">
        <w:t xml:space="preserve">(see </w:t>
      </w:r>
      <w:r w:rsidR="005F3D55" w:rsidRPr="004D47F8">
        <w:t xml:space="preserve">Chart </w:t>
      </w:r>
      <w:r w:rsidR="00C41C97" w:rsidRPr="004D47F8">
        <w:t>6</w:t>
      </w:r>
      <w:r w:rsidR="005F3D55" w:rsidRPr="004D47F8">
        <w:t>.</w:t>
      </w:r>
      <w:r w:rsidR="00A6409F" w:rsidRPr="004D47F8">
        <w:t>7</w:t>
      </w:r>
      <w:r w:rsidR="005F3D55" w:rsidRPr="004D47F8">
        <w:t>)</w:t>
      </w:r>
      <w:r w:rsidR="00A915B6" w:rsidRPr="004D47F8">
        <w:t>.</w:t>
      </w:r>
      <w:r w:rsidR="00CC4714" w:rsidRPr="004D47F8">
        <w:t xml:space="preserve"> </w:t>
      </w:r>
      <w:r w:rsidR="008A4C4C" w:rsidRPr="004D47F8">
        <w:t>This</w:t>
      </w:r>
      <w:r w:rsidR="008A4C4C">
        <w:t xml:space="preserve"> represents the largest non-financial assets profile </w:t>
      </w:r>
      <w:r w:rsidR="008578BA">
        <w:t>across all State and Territory Governments in Australia</w:t>
      </w:r>
      <w:r w:rsidR="00DD3C5D">
        <w:t>.</w:t>
      </w:r>
    </w:p>
    <w:p w14:paraId="47BFAE1B" w14:textId="249BB4FF" w:rsidR="000F6FC2" w:rsidRDefault="00570340" w:rsidP="00A6600D">
      <w:pPr>
        <w:pStyle w:val="BodyText"/>
      </w:pPr>
      <w:r>
        <w:t>Investment in</w:t>
      </w:r>
      <w:r w:rsidR="00D56560">
        <w:t xml:space="preserve"> </w:t>
      </w:r>
      <w:r w:rsidR="003452F4">
        <w:t xml:space="preserve">productive </w:t>
      </w:r>
      <w:r w:rsidR="00D56560">
        <w:t>infrastructure systems</w:t>
      </w:r>
      <w:r>
        <w:t xml:space="preserve"> </w:t>
      </w:r>
      <w:r w:rsidR="00D56560">
        <w:t xml:space="preserve">(e.g. </w:t>
      </w:r>
      <w:r>
        <w:t>public transport infrastructure</w:t>
      </w:r>
      <w:r w:rsidR="00D56560">
        <w:t>)</w:t>
      </w:r>
      <w:r>
        <w:t xml:space="preserve"> is </w:t>
      </w:r>
      <w:r w:rsidR="00D42AD0">
        <w:t>projected</w:t>
      </w:r>
      <w:r>
        <w:t xml:space="preserve"> to increase over the forward estimates </w:t>
      </w:r>
      <w:r w:rsidRPr="00B6256B">
        <w:t xml:space="preserve">from </w:t>
      </w:r>
      <w:r w:rsidRPr="00510318">
        <w:t>$</w:t>
      </w:r>
      <w:r w:rsidR="008B67B5" w:rsidRPr="00510318">
        <w:t>12</w:t>
      </w:r>
      <w:r w:rsidR="008A6389" w:rsidRPr="00450CA3">
        <w:t>4</w:t>
      </w:r>
      <w:r w:rsidR="008B67B5" w:rsidRPr="00510318">
        <w:t>.</w:t>
      </w:r>
      <w:r w:rsidR="008A6389" w:rsidRPr="00450CA3">
        <w:t>4</w:t>
      </w:r>
      <w:r w:rsidRPr="00B6256B">
        <w:t> billion at June 20</w:t>
      </w:r>
      <w:r w:rsidR="00EF771A">
        <w:t>20</w:t>
      </w:r>
      <w:r w:rsidRPr="00B6256B">
        <w:t xml:space="preserve"> </w:t>
      </w:r>
      <w:r w:rsidRPr="004D47F8">
        <w:t>to $</w:t>
      </w:r>
      <w:r w:rsidR="00626C1A" w:rsidRPr="004D47F8">
        <w:t>200.0</w:t>
      </w:r>
      <w:r w:rsidRPr="00B6256B">
        <w:t> billion in June 202</w:t>
      </w:r>
      <w:r w:rsidR="00EF771A">
        <w:t>4</w:t>
      </w:r>
      <w:r w:rsidRPr="00B6256B">
        <w:t xml:space="preserve"> as </w:t>
      </w:r>
      <w:r w:rsidR="00861362">
        <w:t xml:space="preserve">the delivery of </w:t>
      </w:r>
      <w:r w:rsidR="008B101F">
        <w:t>State</w:t>
      </w:r>
      <w:r w:rsidR="000F67B4">
        <w:t xml:space="preserve">’s record infrastructure program </w:t>
      </w:r>
      <w:r w:rsidR="00E33931">
        <w:t>progresses.</w:t>
      </w:r>
      <w:r>
        <w:t xml:space="preserve"> </w:t>
      </w:r>
    </w:p>
    <w:p w14:paraId="6E440429" w14:textId="757EFA26" w:rsidR="00BB7A2A" w:rsidRDefault="009B3EE4" w:rsidP="00A6600D">
      <w:pPr>
        <w:pStyle w:val="BodyText"/>
      </w:pPr>
      <w:r w:rsidRPr="004D47F8">
        <w:t>Land and building</w:t>
      </w:r>
      <w:r w:rsidR="00B26F44" w:rsidRPr="004D47F8">
        <w:t xml:space="preserve"> assets </w:t>
      </w:r>
      <w:r w:rsidRPr="004D47F8">
        <w:t xml:space="preserve">are </w:t>
      </w:r>
      <w:r w:rsidR="00A76CC5" w:rsidRPr="004D47F8">
        <w:t xml:space="preserve">projected </w:t>
      </w:r>
      <w:r w:rsidRPr="004D47F8">
        <w:t xml:space="preserve">to grow from </w:t>
      </w:r>
      <w:r w:rsidR="00DE0CA6" w:rsidRPr="004D47F8">
        <w:t>$</w:t>
      </w:r>
      <w:r w:rsidR="00D847AB" w:rsidRPr="004D47F8">
        <w:t>94.8</w:t>
      </w:r>
      <w:r w:rsidR="00DE0B95" w:rsidRPr="004D47F8">
        <w:t> </w:t>
      </w:r>
      <w:r w:rsidRPr="004D47F8">
        <w:t>billion at June 20</w:t>
      </w:r>
      <w:r w:rsidR="00440275" w:rsidRPr="004D47F8">
        <w:t>20</w:t>
      </w:r>
      <w:r w:rsidRPr="004D47F8">
        <w:t xml:space="preserve"> to $</w:t>
      </w:r>
      <w:r w:rsidR="00B9192C" w:rsidRPr="004D47F8">
        <w:t>107.0</w:t>
      </w:r>
      <w:r w:rsidR="00DE0B95" w:rsidRPr="004D47F8">
        <w:t> </w:t>
      </w:r>
      <w:r w:rsidRPr="004D47F8">
        <w:t>billion</w:t>
      </w:r>
      <w:r w:rsidRPr="00C1625E">
        <w:t xml:space="preserve"> in June 202</w:t>
      </w:r>
      <w:r w:rsidR="00440275">
        <w:t>4</w:t>
      </w:r>
      <w:r w:rsidR="00FF44BB" w:rsidRPr="00C1625E">
        <w:t xml:space="preserve">, </w:t>
      </w:r>
      <w:r w:rsidR="00777E46" w:rsidRPr="00C1625E">
        <w:t xml:space="preserve">driven by </w:t>
      </w:r>
      <w:r w:rsidR="00A87BE6" w:rsidRPr="00C1625E">
        <w:t xml:space="preserve">the Government’s record </w:t>
      </w:r>
      <w:r w:rsidR="002C5D96" w:rsidRPr="00C1625E">
        <w:t>investment</w:t>
      </w:r>
      <w:r w:rsidR="002C5D96" w:rsidRPr="001C1FC1">
        <w:t xml:space="preserve"> in schools and hospitals, </w:t>
      </w:r>
      <w:r w:rsidR="003E5B10">
        <w:t>as well as</w:t>
      </w:r>
      <w:r w:rsidR="002C5D96" w:rsidRPr="001C1FC1">
        <w:t xml:space="preserve"> </w:t>
      </w:r>
      <w:r w:rsidR="00AD3E95" w:rsidRPr="001C1FC1">
        <w:t xml:space="preserve">asset revaluations </w:t>
      </w:r>
      <w:r w:rsidR="00777E46" w:rsidRPr="001C1FC1">
        <w:t xml:space="preserve">in the </w:t>
      </w:r>
      <w:r w:rsidR="002C5D96" w:rsidRPr="001C1FC1">
        <w:t xml:space="preserve">education </w:t>
      </w:r>
      <w:r w:rsidR="00F77DCB" w:rsidRPr="001C1FC1">
        <w:t>sector</w:t>
      </w:r>
      <w:r w:rsidR="00777E46" w:rsidRPr="001C1FC1">
        <w:t>.</w:t>
      </w:r>
      <w:r w:rsidR="00777E46" w:rsidRPr="0070017A">
        <w:t xml:space="preserve"> </w:t>
      </w:r>
    </w:p>
    <w:p w14:paraId="6A4774FA" w14:textId="48E62FC5" w:rsidR="008142FD" w:rsidRDefault="0080114D" w:rsidP="00D7371D">
      <w:pPr>
        <w:pStyle w:val="Chart6X"/>
        <w:ind w:left="1276" w:hanging="1276"/>
        <w:rPr>
          <w:noProof/>
        </w:rPr>
      </w:pPr>
      <w:r>
        <w:t>General government sector</w:t>
      </w:r>
      <w:r w:rsidR="00112D70">
        <w:t xml:space="preserve"> non-financial assets</w:t>
      </w:r>
      <w:r w:rsidR="00A87BE6">
        <w:t xml:space="preserve"> increasing over time</w:t>
      </w:r>
    </w:p>
    <w:p w14:paraId="35A62B10" w14:textId="7E0BE403" w:rsidR="008142FD" w:rsidRDefault="00164BC8" w:rsidP="00FE27B6">
      <w:pPr>
        <w:rPr>
          <w:noProof/>
        </w:rPr>
      </w:pPr>
      <w:r>
        <w:rPr>
          <w:noProof/>
        </w:rPr>
        <w:drawing>
          <wp:inline distT="0" distB="0" distL="0" distR="0" wp14:anchorId="29374E56" wp14:editId="75E51FF2">
            <wp:extent cx="6075045" cy="2385391"/>
            <wp:effectExtent l="0" t="0" r="1905" b="0"/>
            <wp:docPr id="18" name="Chart 18" descr="Chart 6.7: General government sector non-financial assets increasing over time">
              <a:extLst xmlns:a="http://schemas.openxmlformats.org/drawingml/2006/main">
                <a:ext uri="{FF2B5EF4-FFF2-40B4-BE49-F238E27FC236}">
                  <a16:creationId xmlns:a16="http://schemas.microsoft.com/office/drawing/2014/main" id="{06EE5C92-26A2-4573-95CA-8C9BBE5C05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AD2A37" w14:textId="225D03A3" w:rsidR="00FE27B6" w:rsidRDefault="00FE27B6" w:rsidP="00FE27B6">
      <w:pPr>
        <w:rPr>
          <w:noProof/>
        </w:rPr>
      </w:pPr>
    </w:p>
    <w:p w14:paraId="5265BC1E" w14:textId="6855DD96" w:rsidR="00536735" w:rsidRPr="000E1512" w:rsidRDefault="00536735" w:rsidP="0060482E">
      <w:pPr>
        <w:pStyle w:val="Heading4"/>
        <w:rPr>
          <w:bCs/>
          <w:i/>
        </w:rPr>
      </w:pPr>
      <w:r w:rsidRPr="000E1512">
        <w:t xml:space="preserve">Liabilities </w:t>
      </w:r>
    </w:p>
    <w:p w14:paraId="3C300524" w14:textId="19E8F826" w:rsidR="000A2C4A" w:rsidRDefault="005F364C" w:rsidP="00A6600D">
      <w:pPr>
        <w:pStyle w:val="BodyText"/>
      </w:pPr>
      <w:r>
        <w:t>T</w:t>
      </w:r>
      <w:r w:rsidR="00A72301">
        <w:t xml:space="preserve">otal liabilities are </w:t>
      </w:r>
      <w:r w:rsidR="00A72301" w:rsidRPr="00BB162E">
        <w:t xml:space="preserve">projected to </w:t>
      </w:r>
      <w:r w:rsidR="00A72301" w:rsidRPr="004D47F8">
        <w:t>be $</w:t>
      </w:r>
      <w:r w:rsidR="00D847AB" w:rsidRPr="004D47F8">
        <w:t>187.0</w:t>
      </w:r>
      <w:r w:rsidR="00DE0B95" w:rsidRPr="004D47F8">
        <w:t> </w:t>
      </w:r>
      <w:r w:rsidR="00A72301" w:rsidRPr="004D47F8">
        <w:t xml:space="preserve">billion at June </w:t>
      </w:r>
      <w:r w:rsidR="00404C19" w:rsidRPr="004D47F8">
        <w:t>2020</w:t>
      </w:r>
      <w:r w:rsidR="00A72301" w:rsidRPr="004D47F8">
        <w:t xml:space="preserve"> </w:t>
      </w:r>
      <w:r w:rsidR="00644423" w:rsidRPr="004D47F8">
        <w:t>and are expected to increase</w:t>
      </w:r>
      <w:r w:rsidR="00A72301" w:rsidRPr="004D47F8">
        <w:t xml:space="preserve"> to $</w:t>
      </w:r>
      <w:r w:rsidR="00E87537" w:rsidRPr="004D47F8">
        <w:t>27</w:t>
      </w:r>
      <w:r w:rsidR="004D47F8" w:rsidRPr="004D47F8">
        <w:t>1</w:t>
      </w:r>
      <w:r w:rsidR="00E87537" w:rsidRPr="004D47F8">
        <w:t>.</w:t>
      </w:r>
      <w:r w:rsidR="004D47F8" w:rsidRPr="004D47F8">
        <w:t>3</w:t>
      </w:r>
      <w:r w:rsidR="00DE0B95" w:rsidRPr="004D47F8">
        <w:t> </w:t>
      </w:r>
      <w:r w:rsidR="00A72301" w:rsidRPr="004D47F8">
        <w:t>billion by June</w:t>
      </w:r>
      <w:r w:rsidR="00DE0B95" w:rsidRPr="004D47F8">
        <w:t> </w:t>
      </w:r>
      <w:r w:rsidR="00A72301" w:rsidRPr="004D47F8">
        <w:t>202</w:t>
      </w:r>
      <w:r w:rsidR="000C3C19" w:rsidRPr="004D47F8">
        <w:t>4</w:t>
      </w:r>
      <w:r w:rsidRPr="004D47F8">
        <w:t xml:space="preserve"> (see Chart </w:t>
      </w:r>
      <w:r w:rsidR="00C41C97" w:rsidRPr="004D47F8">
        <w:t>6</w:t>
      </w:r>
      <w:r w:rsidRPr="004D47F8">
        <w:t>.</w:t>
      </w:r>
      <w:r w:rsidR="009B50DC" w:rsidRPr="004D47F8">
        <w:t>8</w:t>
      </w:r>
      <w:r w:rsidRPr="004D47F8">
        <w:t>)</w:t>
      </w:r>
      <w:r w:rsidR="00A72301" w:rsidRPr="004D47F8">
        <w:t>.</w:t>
      </w:r>
      <w:r w:rsidR="00A72301" w:rsidRPr="001C1FC1">
        <w:t xml:space="preserve"> This is </w:t>
      </w:r>
      <w:r w:rsidR="00110EF3">
        <w:t xml:space="preserve">mainly </w:t>
      </w:r>
      <w:r w:rsidR="00A72301" w:rsidRPr="001C1FC1">
        <w:t xml:space="preserve">driven by </w:t>
      </w:r>
      <w:r w:rsidR="00691005">
        <w:t xml:space="preserve">increased borrowings as the State </w:t>
      </w:r>
      <w:r w:rsidR="00B80402">
        <w:t>fund</w:t>
      </w:r>
      <w:r w:rsidR="00C3455E">
        <w:t>s</w:t>
      </w:r>
      <w:r w:rsidR="00B80402">
        <w:t xml:space="preserve"> its </w:t>
      </w:r>
      <w:r w:rsidR="004837D2">
        <w:t>economic</w:t>
      </w:r>
      <w:r w:rsidR="008F0937">
        <w:t xml:space="preserve"> response and recovery</w:t>
      </w:r>
      <w:r w:rsidR="00562CB1">
        <w:t>,</w:t>
      </w:r>
      <w:r w:rsidR="00691005" w:rsidDel="00B80402">
        <w:t xml:space="preserve"> </w:t>
      </w:r>
      <w:r w:rsidR="00731F39">
        <w:t>and record infrastructure program.</w:t>
      </w:r>
    </w:p>
    <w:p w14:paraId="0AF1351E" w14:textId="62C8D05E" w:rsidR="00A915B6" w:rsidRDefault="003956FF" w:rsidP="005F4C03">
      <w:pPr>
        <w:pStyle w:val="Chart6X"/>
        <w:ind w:left="1276" w:hanging="1276"/>
      </w:pPr>
      <w:r>
        <w:t xml:space="preserve">Liabilities </w:t>
      </w:r>
      <w:r w:rsidR="00623F32">
        <w:t>stable over the forward estimates</w:t>
      </w:r>
      <w:r w:rsidR="00F66B81">
        <w:t xml:space="preserve"> </w:t>
      </w:r>
    </w:p>
    <w:p w14:paraId="6976EF06" w14:textId="0A2A10A2" w:rsidR="00CA4376" w:rsidRDefault="00F35568" w:rsidP="00D15497">
      <w:r>
        <w:rPr>
          <w:noProof/>
        </w:rPr>
        <w:drawing>
          <wp:inline distT="0" distB="0" distL="0" distR="0" wp14:anchorId="0ACCCCCE" wp14:editId="6ACD2693">
            <wp:extent cx="5962650" cy="2814761"/>
            <wp:effectExtent l="0" t="0" r="0" b="5080"/>
            <wp:docPr id="16" name="Chart 16" descr="Chart 6.8: Liabilities stable over the forward estimates ">
              <a:extLst xmlns:a="http://schemas.openxmlformats.org/drawingml/2006/main">
                <a:ext uri="{FF2B5EF4-FFF2-40B4-BE49-F238E27FC236}">
                  <a16:creationId xmlns:a16="http://schemas.microsoft.com/office/drawing/2014/main" id="{1F2828CB-C3A6-4281-AF24-184EF763BF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7C243A8" w14:textId="77777777" w:rsidR="006B6B01" w:rsidRDefault="003D5F5E" w:rsidP="00A6600D">
      <w:pPr>
        <w:pStyle w:val="BodyText"/>
      </w:pPr>
      <w:r>
        <w:t xml:space="preserve">Due to the pandemic, </w:t>
      </w:r>
      <w:r w:rsidR="00DF3DAE">
        <w:t>g</w:t>
      </w:r>
      <w:r w:rsidR="00921FCA">
        <w:t>overnment borrowings</w:t>
      </w:r>
      <w:r w:rsidR="00A912B6">
        <w:t xml:space="preserve"> </w:t>
      </w:r>
      <w:r w:rsidR="00647D2B">
        <w:t>have</w:t>
      </w:r>
      <w:r w:rsidR="00A912B6">
        <w:t xml:space="preserve"> </w:t>
      </w:r>
      <w:r w:rsidR="005560CF">
        <w:t xml:space="preserve">marginally </w:t>
      </w:r>
      <w:r w:rsidR="00A912B6">
        <w:t>overtaken u</w:t>
      </w:r>
      <w:r w:rsidR="00833DC6">
        <w:t>nfunded s</w:t>
      </w:r>
      <w:r w:rsidR="00067B63">
        <w:t>uperannuation</w:t>
      </w:r>
      <w:r w:rsidR="00E54398">
        <w:t xml:space="preserve"> </w:t>
      </w:r>
      <w:r w:rsidR="00E54398" w:rsidRPr="008A7568">
        <w:t xml:space="preserve">liabilities </w:t>
      </w:r>
      <w:r w:rsidR="007E346A">
        <w:t>as</w:t>
      </w:r>
      <w:r w:rsidR="00D04C7E">
        <w:t xml:space="preserve"> the </w:t>
      </w:r>
      <w:r w:rsidR="007E346A">
        <w:t>largest</w:t>
      </w:r>
      <w:r w:rsidR="00E54398" w:rsidRPr="008A7568">
        <w:t xml:space="preserve"> category of liability on </w:t>
      </w:r>
      <w:r w:rsidR="004F45C9">
        <w:t>the general gov</w:t>
      </w:r>
      <w:r w:rsidR="00A26385" w:rsidRPr="008A7568">
        <w:t>ernment sector</w:t>
      </w:r>
      <w:r w:rsidR="00E54398" w:rsidRPr="008A7568">
        <w:t xml:space="preserve"> balance sheet</w:t>
      </w:r>
      <w:r w:rsidR="007E346A">
        <w:t xml:space="preserve"> as</w:t>
      </w:r>
      <w:r w:rsidR="0046186F" w:rsidRPr="008A7568">
        <w:t xml:space="preserve"> at June 20</w:t>
      </w:r>
      <w:r w:rsidR="004C727D">
        <w:t>20</w:t>
      </w:r>
      <w:r w:rsidR="00446483">
        <w:t>.</w:t>
      </w:r>
      <w:r w:rsidR="00650ADC">
        <w:t xml:space="preserve"> </w:t>
      </w:r>
    </w:p>
    <w:p w14:paraId="19379DDE" w14:textId="6FE482BE" w:rsidR="001B2507" w:rsidRDefault="00DF4A9D" w:rsidP="00A6600D">
      <w:pPr>
        <w:pStyle w:val="BodyText"/>
      </w:pPr>
      <w:r>
        <w:t>As t</w:t>
      </w:r>
      <w:r w:rsidR="006B6B01">
        <w:t xml:space="preserve">he government capitalises on the historically low interest </w:t>
      </w:r>
      <w:r w:rsidR="00F6579E">
        <w:t>rate</w:t>
      </w:r>
      <w:r w:rsidR="006B6B01">
        <w:t xml:space="preserve"> environment to fund the record $107.1 billion infrastructure program and around $29.0 billion in economic support for the Governments COVID-19 package of response, recovery and reform measures,  </w:t>
      </w:r>
      <w:r w:rsidR="00520870">
        <w:t>b</w:t>
      </w:r>
      <w:r w:rsidR="00AC25BE">
        <w:t xml:space="preserve">orrowings </w:t>
      </w:r>
      <w:r w:rsidR="00304B32">
        <w:t xml:space="preserve">are projected to increase </w:t>
      </w:r>
      <w:r w:rsidR="00AC25BE">
        <w:t>over the forward estimates</w:t>
      </w:r>
      <w:r w:rsidR="007664C5">
        <w:t xml:space="preserve"> to </w:t>
      </w:r>
      <w:r w:rsidR="007664C5" w:rsidRPr="004D47F8">
        <w:t>$</w:t>
      </w:r>
      <w:r w:rsidR="00AC0C43" w:rsidRPr="004D47F8">
        <w:t>15</w:t>
      </w:r>
      <w:r w:rsidR="004D47F8" w:rsidRPr="004D47F8">
        <w:t>7</w:t>
      </w:r>
      <w:r w:rsidR="00AC0C43" w:rsidRPr="004D47F8">
        <w:t>.</w:t>
      </w:r>
      <w:r w:rsidR="004D47F8" w:rsidRPr="004D47F8">
        <w:t>5</w:t>
      </w:r>
      <w:r w:rsidR="007664C5">
        <w:t xml:space="preserve"> billion </w:t>
      </w:r>
      <w:r w:rsidR="00B31142">
        <w:t xml:space="preserve">at June </w:t>
      </w:r>
      <w:r w:rsidR="007664C5">
        <w:t>2024</w:t>
      </w:r>
      <w:r w:rsidR="001B2507">
        <w:t xml:space="preserve">. </w:t>
      </w:r>
    </w:p>
    <w:p w14:paraId="059F042C" w14:textId="3F4BFBF8" w:rsidR="002E58BA" w:rsidRDefault="00A03482" w:rsidP="00A6600D">
      <w:pPr>
        <w:pStyle w:val="BodyText"/>
      </w:pPr>
      <w:r>
        <w:t>Mitigating</w:t>
      </w:r>
      <w:r w:rsidR="002E58BA">
        <w:t xml:space="preserve"> the increase in borrowings </w:t>
      </w:r>
      <w:r>
        <w:t>are</w:t>
      </w:r>
      <w:r w:rsidR="002E58BA">
        <w:t xml:space="preserve"> historically low interest rates (</w:t>
      </w:r>
      <w:r w:rsidR="002E58BA" w:rsidRPr="00330938">
        <w:t xml:space="preserve">see Box 6.3). One of the key factors of debt sustainability is interest servicing costs. </w:t>
      </w:r>
      <w:r w:rsidR="00366B57">
        <w:t xml:space="preserve">In 2023-24, interest expenses as a per cent of revenue remains low at 3.3 per cent </w:t>
      </w:r>
      <w:r w:rsidR="002349EE">
        <w:t>– well below the previous historical peak of 3.7</w:t>
      </w:r>
      <w:r w:rsidR="00005F04">
        <w:t> </w:t>
      </w:r>
      <w:r w:rsidR="002349EE">
        <w:t>per cent in 20</w:t>
      </w:r>
      <w:r w:rsidR="008E5F40">
        <w:t xml:space="preserve">12-13. </w:t>
      </w:r>
    </w:p>
    <w:p w14:paraId="241CC992" w14:textId="0BBD47C3" w:rsidR="00905F4F" w:rsidRDefault="007664C5" w:rsidP="00A6600D">
      <w:pPr>
        <w:pStyle w:val="BodyText"/>
      </w:pPr>
      <w:r>
        <w:t xml:space="preserve">Superannuation liabilities </w:t>
      </w:r>
      <w:r w:rsidR="005137FD" w:rsidRPr="008A7568">
        <w:t xml:space="preserve">are </w:t>
      </w:r>
      <w:r w:rsidR="00D42AD0">
        <w:t>projected</w:t>
      </w:r>
      <w:r w:rsidR="004F45C9">
        <w:t xml:space="preserve"> </w:t>
      </w:r>
      <w:r w:rsidR="00B81AAC">
        <w:t>to decrease</w:t>
      </w:r>
      <w:r w:rsidR="00FE4B32">
        <w:t xml:space="preserve"> from </w:t>
      </w:r>
      <w:r w:rsidR="00FE4B32" w:rsidRPr="004D47F8">
        <w:t>$6</w:t>
      </w:r>
      <w:r w:rsidR="006C7A74" w:rsidRPr="004D47F8">
        <w:t>7</w:t>
      </w:r>
      <w:r w:rsidR="00FE4B32" w:rsidRPr="004D47F8">
        <w:t>.</w:t>
      </w:r>
      <w:r w:rsidR="48435451">
        <w:t>9</w:t>
      </w:r>
      <w:r w:rsidR="00FE4B32">
        <w:t xml:space="preserve"> billion </w:t>
      </w:r>
      <w:r w:rsidR="004C2A2A">
        <w:t xml:space="preserve">at </w:t>
      </w:r>
      <w:r w:rsidR="00E54398" w:rsidRPr="008A7568">
        <w:t>June 20</w:t>
      </w:r>
      <w:r w:rsidR="002742D0">
        <w:t>20</w:t>
      </w:r>
      <w:r w:rsidR="00E54398" w:rsidRPr="008A7568">
        <w:t xml:space="preserve"> to </w:t>
      </w:r>
      <w:r w:rsidR="00E54398" w:rsidRPr="004D47F8">
        <w:t>$</w:t>
      </w:r>
      <w:r w:rsidR="00894AB2" w:rsidRPr="004D47F8">
        <w:t>50.</w:t>
      </w:r>
      <w:r w:rsidR="0DB0C4FB">
        <w:t>3</w:t>
      </w:r>
      <w:r w:rsidR="00005F04">
        <w:t> </w:t>
      </w:r>
      <w:r w:rsidR="00E54398" w:rsidRPr="004D47F8">
        <w:t>billion</w:t>
      </w:r>
      <w:r w:rsidR="00E54398" w:rsidRPr="008A7568">
        <w:t xml:space="preserve"> at J</w:t>
      </w:r>
      <w:r w:rsidR="0022009A">
        <w:t>une 2</w:t>
      </w:r>
      <w:r w:rsidR="00E54398" w:rsidRPr="008A7568">
        <w:t>0</w:t>
      </w:r>
      <w:r w:rsidR="00191A0C">
        <w:t>24</w:t>
      </w:r>
      <w:r w:rsidR="009313A7" w:rsidRPr="001C1FC1">
        <w:t xml:space="preserve"> </w:t>
      </w:r>
      <w:r w:rsidR="12992F25">
        <w:t>primarily driven by rising long-term bond rates</w:t>
      </w:r>
      <w:r w:rsidR="00BC543F" w:rsidRPr="004D47F8">
        <w:t xml:space="preserve"> </w:t>
      </w:r>
      <w:r w:rsidR="00E54398" w:rsidRPr="004D47F8">
        <w:t xml:space="preserve">(see Box </w:t>
      </w:r>
      <w:r w:rsidR="002E225A" w:rsidRPr="004D47F8">
        <w:t>6.4</w:t>
      </w:r>
      <w:r w:rsidR="00525439" w:rsidRPr="004D47F8">
        <w:t>)</w:t>
      </w:r>
      <w:r w:rsidR="00525439">
        <w:t xml:space="preserve">. </w:t>
      </w:r>
    </w:p>
    <w:p w14:paraId="32E7B8F8" w14:textId="1BBADC90" w:rsidR="00E60A16" w:rsidRDefault="00905F4F" w:rsidP="00A6600D">
      <w:pPr>
        <w:pStyle w:val="BodyText"/>
      </w:pPr>
      <w:r>
        <w:t xml:space="preserve">Employee </w:t>
      </w:r>
      <w:r w:rsidR="000A0995">
        <w:t>provisions</w:t>
      </w:r>
      <w:r w:rsidR="008915FB">
        <w:t>,</w:t>
      </w:r>
      <w:r w:rsidR="00A87BE6">
        <w:t xml:space="preserve"> </w:t>
      </w:r>
      <w:r w:rsidR="00420C4B">
        <w:t>includ</w:t>
      </w:r>
      <w:r w:rsidR="00A87BE6">
        <w:t>ing</w:t>
      </w:r>
      <w:r w:rsidR="00420C4B">
        <w:t xml:space="preserve"> </w:t>
      </w:r>
      <w:r w:rsidR="002326F6">
        <w:t xml:space="preserve">long </w:t>
      </w:r>
      <w:r w:rsidR="002326F6" w:rsidRPr="00C22DED">
        <w:t>service leave</w:t>
      </w:r>
      <w:r w:rsidR="00420C4B" w:rsidRPr="00C22DED">
        <w:t xml:space="preserve">, are </w:t>
      </w:r>
      <w:r w:rsidR="00A87BE6" w:rsidRPr="00C22DED">
        <w:t xml:space="preserve">projected to increase slightly over the forward estimates from </w:t>
      </w:r>
      <w:r w:rsidR="00420C4B" w:rsidRPr="00510318">
        <w:t>$</w:t>
      </w:r>
      <w:r w:rsidR="00E93AC3" w:rsidRPr="006840E3">
        <w:t>22</w:t>
      </w:r>
      <w:r w:rsidR="005F62AE" w:rsidRPr="00510318">
        <w:t>.</w:t>
      </w:r>
      <w:r w:rsidR="00E93AC3" w:rsidRPr="006840E3">
        <w:t>6</w:t>
      </w:r>
      <w:r w:rsidR="00420C4B" w:rsidRPr="00C22DED">
        <w:t xml:space="preserve"> billion </w:t>
      </w:r>
      <w:r w:rsidR="00A87BE6" w:rsidRPr="00C22DED">
        <w:t>in</w:t>
      </w:r>
      <w:r w:rsidR="0067060A" w:rsidRPr="00C22DED">
        <w:t xml:space="preserve"> </w:t>
      </w:r>
      <w:r w:rsidR="00420C4B" w:rsidRPr="00C22DED">
        <w:t>June 20</w:t>
      </w:r>
      <w:r w:rsidR="009A1C00">
        <w:t>20</w:t>
      </w:r>
      <w:r w:rsidR="00A87BE6" w:rsidRPr="00C22DED">
        <w:t xml:space="preserve"> </w:t>
      </w:r>
      <w:r w:rsidR="00420C4B" w:rsidRPr="004D47F8">
        <w:t>to $</w:t>
      </w:r>
      <w:r w:rsidR="009D3174" w:rsidRPr="004D47F8">
        <w:t>23.8</w:t>
      </w:r>
      <w:r w:rsidR="00420C4B" w:rsidRPr="004D47F8">
        <w:t xml:space="preserve"> billion</w:t>
      </w:r>
      <w:r w:rsidR="00A87BE6" w:rsidRPr="00912E12">
        <w:t xml:space="preserve"> in</w:t>
      </w:r>
      <w:r w:rsidR="00420C4B" w:rsidRPr="007E23BE">
        <w:t xml:space="preserve"> June 202</w:t>
      </w:r>
      <w:r w:rsidR="009A1C00">
        <w:t>4</w:t>
      </w:r>
      <w:r w:rsidR="00420C4B" w:rsidRPr="007E23BE">
        <w:t>.</w:t>
      </w:r>
    </w:p>
    <w:p w14:paraId="64AA5003" w14:textId="4E6FFD3F" w:rsidR="001F532D" w:rsidRPr="00E6586D" w:rsidRDefault="00E60A16" w:rsidP="00E6586D">
      <w:pPr>
        <w:spacing w:after="200" w:line="276" w:lineRule="auto"/>
        <w:rPr>
          <w:rFonts w:ascii="Arial" w:eastAsiaTheme="minorHAnsi" w:hAnsi="Arial" w:cs="Arial"/>
          <w:sz w:val="23"/>
          <w:lang w:val="en-AU"/>
        </w:rPr>
      </w:pPr>
      <w:r>
        <w:br w:type="page"/>
      </w:r>
    </w:p>
    <w:tbl>
      <w:tblPr>
        <w:tblW w:w="9889" w:type="dxa"/>
        <w:tblInd w:w="-142" w:type="dxa"/>
        <w:shd w:val="clear" w:color="auto" w:fill="F2F2F2" w:themeFill="background1" w:themeFillShade="F2"/>
        <w:tblLayout w:type="fixed"/>
        <w:tblLook w:val="04A0" w:firstRow="1" w:lastRow="0" w:firstColumn="1" w:lastColumn="0" w:noHBand="0" w:noVBand="1"/>
        <w:tblCaption w:val="Box 6.4: Fully funding the State’s defined benefit superannuation liabilities"/>
        <w:tblDescription w:val="Box 6.4: Fully funding the State’s defined benefit superannuation liabilities"/>
      </w:tblPr>
      <w:tblGrid>
        <w:gridCol w:w="9889"/>
      </w:tblGrid>
      <w:tr w:rsidR="004717BA" w14:paraId="736F8E0C" w14:textId="77777777" w:rsidTr="00D7371D">
        <w:trPr>
          <w:trHeight w:val="1418"/>
        </w:trPr>
        <w:tc>
          <w:tcPr>
            <w:tcW w:w="9889" w:type="dxa"/>
            <w:shd w:val="clear" w:color="auto" w:fill="F2F2F2" w:themeFill="background1" w:themeFillShade="F2"/>
            <w:hideMark/>
          </w:tcPr>
          <w:p w14:paraId="4118DAED" w14:textId="51249929" w:rsidR="00EB5759" w:rsidRPr="0037281D" w:rsidRDefault="00B43822" w:rsidP="0037281D">
            <w:pPr>
              <w:pStyle w:val="Box61BoxHeading"/>
              <w:ind w:left="357" w:hanging="357"/>
              <w:rPr>
                <w:rFonts w:eastAsia="Times New Roman" w:cs="Times New Roman"/>
                <w:b/>
                <w:bCs w:val="0"/>
                <w:sz w:val="23"/>
                <w:szCs w:val="20"/>
              </w:rPr>
            </w:pPr>
            <w:r w:rsidRPr="0037281D">
              <w:rPr>
                <w:rFonts w:eastAsia="Times New Roman" w:cs="Times New Roman"/>
                <w:b/>
                <w:bCs w:val="0"/>
                <w:sz w:val="23"/>
                <w:szCs w:val="20"/>
              </w:rPr>
              <w:t>F</w:t>
            </w:r>
            <w:r w:rsidR="00EB5759" w:rsidRPr="0037281D">
              <w:rPr>
                <w:rFonts w:eastAsia="Times New Roman" w:cs="Times New Roman"/>
                <w:b/>
                <w:bCs w:val="0"/>
                <w:sz w:val="23"/>
                <w:szCs w:val="20"/>
              </w:rPr>
              <w:t xml:space="preserve">ully funding </w:t>
            </w:r>
            <w:r w:rsidRPr="0037281D">
              <w:rPr>
                <w:rFonts w:eastAsia="Times New Roman" w:cs="Times New Roman"/>
                <w:b/>
                <w:bCs w:val="0"/>
                <w:sz w:val="23"/>
                <w:szCs w:val="20"/>
              </w:rPr>
              <w:t xml:space="preserve">the State’s </w:t>
            </w:r>
            <w:r w:rsidR="00EB5759" w:rsidRPr="0037281D">
              <w:rPr>
                <w:rFonts w:eastAsia="Times New Roman" w:cs="Times New Roman"/>
                <w:b/>
                <w:bCs w:val="0"/>
                <w:sz w:val="23"/>
                <w:szCs w:val="20"/>
              </w:rPr>
              <w:t>defined benefit superannuation liabilities</w:t>
            </w:r>
          </w:p>
          <w:p w14:paraId="0FA5B166" w14:textId="225048EE" w:rsidR="00DC74C3" w:rsidRDefault="00843817" w:rsidP="003B4BAC">
            <w:pPr>
              <w:pStyle w:val="Bullet1inabox"/>
            </w:pPr>
            <w:r>
              <w:t xml:space="preserve">The Government remains committed to fully funding its superannuation liabilities. </w:t>
            </w:r>
          </w:p>
          <w:p w14:paraId="2E103ADA" w14:textId="1BA0CB27" w:rsidR="00183E6F" w:rsidRDefault="00DC74C3" w:rsidP="003B4BAC">
            <w:pPr>
              <w:pStyle w:val="Bullet1inabox"/>
            </w:pPr>
            <w:r>
              <w:t xml:space="preserve">In light of the pressure </w:t>
            </w:r>
            <w:r w:rsidR="00E2339C">
              <w:t>COVID-19 has placed on the State’s finances</w:t>
            </w:r>
            <w:r w:rsidR="00250FE2">
              <w:t xml:space="preserve">, the Government is proposing a </w:t>
            </w:r>
            <w:r w:rsidR="00843817">
              <w:t>revised contribution plan</w:t>
            </w:r>
            <w:r>
              <w:t xml:space="preserve"> </w:t>
            </w:r>
            <w:r w:rsidR="00250FE2">
              <w:t xml:space="preserve">that </w:t>
            </w:r>
            <w:r w:rsidR="00843817">
              <w:t xml:space="preserve">will allow the Government to </w:t>
            </w:r>
            <w:r w:rsidR="00C54742">
              <w:t>fully fund these liabilities,</w:t>
            </w:r>
            <w:r w:rsidR="00843817">
              <w:t xml:space="preserve"> while providing the financial flexibility necessary to navigate the current economic downturn.</w:t>
            </w:r>
            <w:r w:rsidR="00FA3728">
              <w:t xml:space="preserve"> The revised contribution plan includes a two-year contribution holiday, after which the contributions resume and increase by 5 per cent per annum</w:t>
            </w:r>
            <w:r w:rsidR="00B9075F">
              <w:t>.</w:t>
            </w:r>
          </w:p>
          <w:p w14:paraId="352F75BB" w14:textId="528AD23C" w:rsidR="0004148F" w:rsidRDefault="001E154D" w:rsidP="003B4BAC">
            <w:pPr>
              <w:pStyle w:val="Bullet1inabox"/>
            </w:pPr>
            <w:r>
              <w:t xml:space="preserve">The Government will </w:t>
            </w:r>
            <w:r w:rsidR="00B9075F">
              <w:t xml:space="preserve">also </w:t>
            </w:r>
            <w:r>
              <w:t xml:space="preserve">re-anchor its </w:t>
            </w:r>
            <w:r w:rsidR="007752A6">
              <w:t xml:space="preserve">superannuation target to </w:t>
            </w:r>
            <w:r w:rsidR="00727CFB">
              <w:t xml:space="preserve">2040. This will help </w:t>
            </w:r>
            <w:r w:rsidR="0004148F">
              <w:t>spread contributions over a longer period of time</w:t>
            </w:r>
            <w:r w:rsidR="00E46EBD">
              <w:t>.</w:t>
            </w:r>
            <w:r w:rsidR="00727CFB">
              <w:t xml:space="preserve"> </w:t>
            </w:r>
            <w:r w:rsidR="0004148F">
              <w:t xml:space="preserve">This initiative will require an amendment to the </w:t>
            </w:r>
            <w:r w:rsidR="00FE3D1B" w:rsidRPr="0037281D">
              <w:rPr>
                <w:i/>
                <w:iCs/>
              </w:rPr>
              <w:t>F</w:t>
            </w:r>
            <w:r w:rsidR="00DC74C3" w:rsidRPr="0037281D">
              <w:rPr>
                <w:i/>
                <w:iCs/>
              </w:rPr>
              <w:t>iscal Responsibility Act 2012</w:t>
            </w:r>
            <w:r w:rsidR="000B27F3">
              <w:t>.</w:t>
            </w:r>
            <w:r w:rsidR="378800EC">
              <w:t xml:space="preserve"> </w:t>
            </w:r>
            <w:r w:rsidR="003D0AAF">
              <w:t>However, with some significant uncertainty</w:t>
            </w:r>
            <w:r w:rsidR="00A8321A">
              <w:t xml:space="preserve"> remaining in the economic</w:t>
            </w:r>
            <w:r w:rsidR="004C47FB">
              <w:t xml:space="preserve"> and fiscal outlook</w:t>
            </w:r>
            <w:r w:rsidR="00C23C0C">
              <w:t xml:space="preserve"> due to COVID-19</w:t>
            </w:r>
            <w:r w:rsidR="002E6ADD">
              <w:t>, the NSW Government</w:t>
            </w:r>
            <w:r w:rsidR="00593088">
              <w:t xml:space="preserve"> will aim to update</w:t>
            </w:r>
            <w:r w:rsidR="00D430CF">
              <w:t xml:space="preserve"> the Act</w:t>
            </w:r>
            <w:r w:rsidR="00937F43">
              <w:t xml:space="preserve"> as a clearer</w:t>
            </w:r>
            <w:r w:rsidR="00D47B7B">
              <w:t xml:space="preserve"> picture of</w:t>
            </w:r>
            <w:r w:rsidR="005A0AF5">
              <w:t xml:space="preserve"> the broader outlook emerges.</w:t>
            </w:r>
          </w:p>
          <w:p w14:paraId="51D7AD5E" w14:textId="31F5028B" w:rsidR="00647D2B" w:rsidRPr="00FF7B03" w:rsidRDefault="00E21744" w:rsidP="0026555D">
            <w:pPr>
              <w:pStyle w:val="Bullet1inabox"/>
            </w:pPr>
            <w:r>
              <w:t>The</w:t>
            </w:r>
            <w:r w:rsidR="00324979">
              <w:t xml:space="preserve"> superannuation liability reported on t</w:t>
            </w:r>
            <w:r w:rsidR="000457B1">
              <w:t xml:space="preserve">he </w:t>
            </w:r>
            <w:r w:rsidR="00324979">
              <w:t>State’s balance</w:t>
            </w:r>
            <w:r w:rsidR="00D25F0F">
              <w:t xml:space="preserve"> </w:t>
            </w:r>
            <w:r w:rsidR="00324979">
              <w:t xml:space="preserve">sheet is </w:t>
            </w:r>
            <w:r w:rsidR="000457B1">
              <w:t xml:space="preserve">the unfunded </w:t>
            </w:r>
            <w:r w:rsidR="00956A3A">
              <w:t>component</w:t>
            </w:r>
            <w:r w:rsidR="00E55849">
              <w:t xml:space="preserve"> of the liability</w:t>
            </w:r>
            <w:r w:rsidR="00DF55F9">
              <w:t xml:space="preserve"> </w:t>
            </w:r>
            <w:r w:rsidR="000457B1">
              <w:t>and is governed by</w:t>
            </w:r>
            <w:r w:rsidR="001F3890">
              <w:t xml:space="preserve"> </w:t>
            </w:r>
            <w:r w:rsidR="008910A0">
              <w:t xml:space="preserve">AASB 119 </w:t>
            </w:r>
            <w:r w:rsidR="008910A0" w:rsidRPr="4D506898">
              <w:rPr>
                <w:i/>
                <w:iCs/>
              </w:rPr>
              <w:t>Employee Benefits</w:t>
            </w:r>
            <w:r w:rsidR="001F2807">
              <w:rPr>
                <w:iCs/>
              </w:rPr>
              <w:t>. The Accounting Standard</w:t>
            </w:r>
            <w:r w:rsidR="003C7085">
              <w:t xml:space="preserve"> creates</w:t>
            </w:r>
            <w:r w:rsidR="00844D95">
              <w:t xml:space="preserve"> </w:t>
            </w:r>
            <w:r w:rsidR="003A02E3">
              <w:t xml:space="preserve">a </w:t>
            </w:r>
            <w:r w:rsidR="00844D95">
              <w:t>larger</w:t>
            </w:r>
            <w:r w:rsidR="003A02E3">
              <w:t xml:space="preserve"> </w:t>
            </w:r>
            <w:r w:rsidR="00072616">
              <w:t>and</w:t>
            </w:r>
            <w:r w:rsidR="00343925">
              <w:t xml:space="preserve"> more vol</w:t>
            </w:r>
            <w:r w:rsidR="00E422AC">
              <w:t>a</w:t>
            </w:r>
            <w:r w:rsidR="00343925">
              <w:t>tile</w:t>
            </w:r>
            <w:r w:rsidR="003A02E3">
              <w:t xml:space="preserve"> liability</w:t>
            </w:r>
            <w:r w:rsidR="003A02E3">
              <w:rPr>
                <w:rStyle w:val="FootnoteReference"/>
              </w:rPr>
              <w:footnoteReference w:id="4"/>
            </w:r>
            <w:r w:rsidR="003A02E3">
              <w:t xml:space="preserve"> </w:t>
            </w:r>
            <w:r w:rsidR="005F728E">
              <w:t xml:space="preserve">due to </w:t>
            </w:r>
            <w:r w:rsidR="456E9716">
              <w:t xml:space="preserve">very conservative </w:t>
            </w:r>
            <w:r w:rsidR="00B314FD">
              <w:t>valuation requirements</w:t>
            </w:r>
            <w:r w:rsidR="00D8242E">
              <w:t xml:space="preserve">. </w:t>
            </w:r>
            <w:r w:rsidR="003A02E3">
              <w:t xml:space="preserve">AASB 1056 </w:t>
            </w:r>
            <w:r w:rsidR="003A02E3" w:rsidRPr="4D506898">
              <w:rPr>
                <w:i/>
                <w:iCs/>
              </w:rPr>
              <w:t>Superannuation Entities</w:t>
            </w:r>
            <w:r w:rsidR="003A02E3">
              <w:rPr>
                <w:rStyle w:val="FootnoteReference"/>
              </w:rPr>
              <w:footnoteReference w:id="5"/>
            </w:r>
            <w:r w:rsidR="00D010AC">
              <w:t xml:space="preserve"> </w:t>
            </w:r>
            <w:r w:rsidR="00B26DE8">
              <w:t>allows</w:t>
            </w:r>
            <w:r w:rsidR="00C17A8D">
              <w:t xml:space="preserve"> the target return</w:t>
            </w:r>
            <w:r w:rsidR="00E77CD5">
              <w:t xml:space="preserve"> on superannuation assets</w:t>
            </w:r>
            <w:r w:rsidR="001069C4">
              <w:t xml:space="preserve"> to be</w:t>
            </w:r>
            <w:r w:rsidR="00DF55F9">
              <w:t xml:space="preserve"> used </w:t>
            </w:r>
            <w:r w:rsidR="56961CFA">
              <w:t xml:space="preserve">to </w:t>
            </w:r>
            <w:r w:rsidR="00E55849">
              <w:t>determin</w:t>
            </w:r>
            <w:r w:rsidR="51F7E0C0">
              <w:t>e</w:t>
            </w:r>
            <w:r w:rsidR="00E55849">
              <w:t xml:space="preserve"> </w:t>
            </w:r>
            <w:r w:rsidR="00DF55F9">
              <w:t>funding</w:t>
            </w:r>
            <w:r w:rsidR="00343925">
              <w:t xml:space="preserve"> of</w:t>
            </w:r>
            <w:r w:rsidR="00DF55F9">
              <w:t xml:space="preserve"> the superannuation liability</w:t>
            </w:r>
            <w:r w:rsidR="00343925">
              <w:t xml:space="preserve"> towards the 20</w:t>
            </w:r>
            <w:r w:rsidR="00E938F2">
              <w:t>40</w:t>
            </w:r>
            <w:r w:rsidR="00343925">
              <w:t xml:space="preserve"> target</w:t>
            </w:r>
            <w:r w:rsidR="00446442">
              <w:t>, creating</w:t>
            </w:r>
            <w:r w:rsidR="00B37C75">
              <w:t xml:space="preserve"> a lower and</w:t>
            </w:r>
            <w:r w:rsidR="006C42D5">
              <w:t xml:space="preserve"> less volatile</w:t>
            </w:r>
            <w:r w:rsidR="00EE2E76">
              <w:t xml:space="preserve"> liability as it reflects</w:t>
            </w:r>
            <w:r w:rsidR="00B973F7">
              <w:t xml:space="preserve"> a more realistic</w:t>
            </w:r>
            <w:r w:rsidR="00122C40">
              <w:t xml:space="preserve"> cash-funding basis</w:t>
            </w:r>
            <w:r w:rsidR="00DF55F9">
              <w:t xml:space="preserve">. </w:t>
            </w:r>
            <w:r w:rsidR="009A533E" w:rsidRPr="004B3865">
              <w:t>Chart</w:t>
            </w:r>
            <w:r w:rsidR="009E5836" w:rsidRPr="004B3865">
              <w:t> </w:t>
            </w:r>
            <w:r w:rsidR="009A533E" w:rsidRPr="004B3865">
              <w:t>6.</w:t>
            </w:r>
            <w:r w:rsidR="009B50DC">
              <w:t>9</w:t>
            </w:r>
            <w:r w:rsidR="009A533E">
              <w:t xml:space="preserve"> below shows the difference between the two accounting standards</w:t>
            </w:r>
            <w:r w:rsidR="00EE688F">
              <w:t>.</w:t>
            </w:r>
          </w:p>
        </w:tc>
      </w:tr>
      <w:tr w:rsidR="00D6066E" w14:paraId="756418EE" w14:textId="77777777" w:rsidTr="00B4338A">
        <w:trPr>
          <w:trHeight w:val="3736"/>
        </w:trPr>
        <w:tc>
          <w:tcPr>
            <w:tcW w:w="9889" w:type="dxa"/>
            <w:shd w:val="clear" w:color="auto" w:fill="F2F2F2" w:themeFill="background1" w:themeFillShade="F2"/>
          </w:tcPr>
          <w:p w14:paraId="65B13D81" w14:textId="77777777" w:rsidR="00D6066E" w:rsidRPr="00072BE5" w:rsidRDefault="00D6066E" w:rsidP="00D6066E">
            <w:pPr>
              <w:pStyle w:val="Chart6X"/>
              <w:ind w:left="1313" w:hanging="1313"/>
            </w:pPr>
            <w:r>
              <w:t>General government superannuation liabilities – AASB 119 vs AASB 1056</w:t>
            </w:r>
          </w:p>
          <w:p w14:paraId="66DADD2E" w14:textId="780A742A" w:rsidR="00D6066E" w:rsidRPr="009D7FC7" w:rsidRDefault="00B4338A" w:rsidP="00A022D1">
            <w:pPr>
              <w:rPr>
                <w:rFonts w:ascii="Arial" w:hAnsi="Arial" w:cs="Arial"/>
                <w:sz w:val="14"/>
                <w:szCs w:val="14"/>
              </w:rPr>
            </w:pPr>
            <w:bookmarkStart w:id="1" w:name="_GoBack"/>
            <w:r w:rsidRPr="009D7FC7">
              <w:rPr>
                <w:rFonts w:ascii="Arial" w:hAnsi="Arial" w:cs="Arial"/>
                <w:noProof/>
                <w:sz w:val="14"/>
                <w:szCs w:val="14"/>
              </w:rPr>
              <w:drawing>
                <wp:inline distT="0" distB="0" distL="0" distR="0" wp14:anchorId="44175FE0" wp14:editId="78A0305B">
                  <wp:extent cx="6142355" cy="2099310"/>
                  <wp:effectExtent l="0" t="0" r="0" b="0"/>
                  <wp:docPr id="1" name="Chart 1" descr="Chart 6.9: General government superannuation liabilities – AASB 119 vs AASB 1056">
                    <a:extLst xmlns:a="http://schemas.openxmlformats.org/drawingml/2006/main">
                      <a:ext uri="{FF2B5EF4-FFF2-40B4-BE49-F238E27FC236}">
                        <a16:creationId xmlns:a16="http://schemas.microsoft.com/office/drawing/2014/main" id="{4EC58947-7A7F-4D80-B6EF-2B1F10C136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
          </w:p>
        </w:tc>
      </w:tr>
    </w:tbl>
    <w:p w14:paraId="1D2F9657" w14:textId="40464845" w:rsidR="00761683" w:rsidRPr="00FB0243" w:rsidRDefault="00761683" w:rsidP="002E233D">
      <w:pPr>
        <w:spacing w:after="100" w:afterAutospacing="1"/>
        <w:rPr>
          <w:sz w:val="10"/>
        </w:rPr>
      </w:pPr>
    </w:p>
    <w:sectPr w:rsidR="00761683" w:rsidRPr="00FB0243" w:rsidSect="00784C92">
      <w:headerReference w:type="even" r:id="rId20"/>
      <w:headerReference w:type="default" r:id="rId21"/>
      <w:footerReference w:type="even" r:id="rId22"/>
      <w:footerReference w:type="default" r:id="rId23"/>
      <w:headerReference w:type="first" r:id="rId24"/>
      <w:footerReference w:type="first" r:id="rId25"/>
      <w:pgSz w:w="11906" w:h="16838" w:code="9"/>
      <w:pgMar w:top="1134" w:right="1134" w:bottom="680" w:left="113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3B8DA" w14:textId="77777777" w:rsidR="00457662" w:rsidRDefault="00457662" w:rsidP="00B8718C">
      <w:r>
        <w:separator/>
      </w:r>
    </w:p>
  </w:endnote>
  <w:endnote w:type="continuationSeparator" w:id="0">
    <w:p w14:paraId="622A120E" w14:textId="77777777" w:rsidR="00457662" w:rsidRDefault="00457662" w:rsidP="00B8718C">
      <w:r>
        <w:continuationSeparator/>
      </w:r>
    </w:p>
  </w:endnote>
  <w:endnote w:type="continuationNotice" w:id="1">
    <w:p w14:paraId="3CB629E7" w14:textId="77777777" w:rsidR="00457662" w:rsidRDefault="004576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Calibri"/>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033905" w14:textId="38608ECC" w:rsidR="00F464E4" w:rsidRDefault="00F464E4" w:rsidP="005E691C">
    <w:pPr>
      <w:pBdr>
        <w:top w:val="single" w:sz="4" w:space="4" w:color="auto"/>
      </w:pBdr>
      <w:tabs>
        <w:tab w:val="right" w:pos="9639"/>
      </w:tabs>
      <w:rPr>
        <w:lang w:val="en-AU"/>
      </w:rPr>
    </w:pPr>
    <w:r>
      <w:rPr>
        <w:rFonts w:ascii="Arial" w:hAnsi="Arial" w:cs="Arial"/>
        <w:sz w:val="18"/>
        <w:szCs w:val="18"/>
      </w:rPr>
      <w:t>6</w:t>
    </w:r>
    <w:r w:rsidRPr="00B610E9">
      <w:rPr>
        <w:rFonts w:ascii="Arial" w:hAnsi="Arial" w:cs="Arial"/>
        <w:sz w:val="18"/>
        <w:szCs w:val="18"/>
      </w:rPr>
      <w:t xml:space="preserve"> - </w:t>
    </w:r>
    <w:r w:rsidRPr="00B610E9">
      <w:rPr>
        <w:rFonts w:ascii="Arial" w:hAnsi="Arial" w:cs="Arial"/>
        <w:sz w:val="18"/>
        <w:szCs w:val="18"/>
      </w:rPr>
      <w:fldChar w:fldCharType="begin"/>
    </w:r>
    <w:r w:rsidRPr="00B610E9">
      <w:rPr>
        <w:rFonts w:ascii="Arial" w:hAnsi="Arial" w:cs="Arial"/>
        <w:sz w:val="18"/>
        <w:szCs w:val="18"/>
      </w:rPr>
      <w:instrText xml:space="preserve"> PAGE   \* MERGEFORMAT </w:instrText>
    </w:r>
    <w:r w:rsidRPr="00B610E9">
      <w:rPr>
        <w:rFonts w:ascii="Arial" w:hAnsi="Arial" w:cs="Arial"/>
        <w:sz w:val="18"/>
        <w:szCs w:val="18"/>
      </w:rPr>
      <w:fldChar w:fldCharType="separate"/>
    </w:r>
    <w:r>
      <w:rPr>
        <w:rFonts w:ascii="Arial" w:hAnsi="Arial" w:cs="Arial"/>
        <w:noProof/>
        <w:sz w:val="18"/>
        <w:szCs w:val="18"/>
      </w:rPr>
      <w:t>8</w:t>
    </w:r>
    <w:r w:rsidRPr="00B610E9">
      <w:rPr>
        <w:rFonts w:ascii="Arial" w:hAnsi="Arial" w:cs="Arial"/>
        <w:sz w:val="18"/>
        <w:szCs w:val="18"/>
      </w:rPr>
      <w:fldChar w:fldCharType="end"/>
    </w:r>
    <w:r w:rsidRPr="00BC54E3">
      <w:rPr>
        <w:rFonts w:ascii="Arial" w:hAnsi="Arial" w:cs="Arial"/>
        <w:sz w:val="18"/>
        <w:szCs w:val="18"/>
      </w:rPr>
      <w:t xml:space="preserve"> </w:t>
    </w:r>
    <w:r>
      <w:rPr>
        <w:rFonts w:ascii="Arial" w:hAnsi="Arial" w:cs="Arial"/>
        <w:sz w:val="18"/>
        <w:szCs w:val="18"/>
      </w:rPr>
      <w:tab/>
    </w:r>
    <w:r w:rsidRPr="00B610E9">
      <w:rPr>
        <w:rFonts w:ascii="Arial" w:hAnsi="Arial" w:cs="Arial"/>
        <w:sz w:val="18"/>
        <w:szCs w:val="18"/>
      </w:rPr>
      <w:t>Budget Statement 20</w:t>
    </w:r>
    <w:r>
      <w:rPr>
        <w:rFonts w:ascii="Arial" w:hAnsi="Arial" w:cs="Arial"/>
        <w:sz w:val="18"/>
        <w:szCs w:val="18"/>
      </w:rPr>
      <w:t>20</w:t>
    </w:r>
    <w:r w:rsidRPr="00B610E9">
      <w:rPr>
        <w:rFonts w:ascii="Arial" w:hAnsi="Arial" w:cs="Arial"/>
        <w:sz w:val="18"/>
        <w:szCs w:val="18"/>
      </w:rPr>
      <w:t>-</w:t>
    </w:r>
    <w:r>
      <w:rPr>
        <w:rFonts w:ascii="Arial" w:hAnsi="Arial" w:cs="Arial"/>
        <w:sz w:val="18"/>
        <w:szCs w:val="18"/>
      </w:rPr>
      <w:t>21</w:t>
    </w:r>
    <w:r w:rsidR="00033311">
      <w:rPr>
        <w:lang w:val="en-AU"/>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8D7771" w14:textId="2C790E33" w:rsidR="00F464E4" w:rsidRDefault="00F464E4" w:rsidP="005E691C">
    <w:pPr>
      <w:pBdr>
        <w:top w:val="single" w:sz="4" w:space="4" w:color="auto"/>
      </w:pBdr>
      <w:tabs>
        <w:tab w:val="right" w:pos="9639"/>
      </w:tabs>
      <w:rPr>
        <w:lang w:val="en-AU"/>
      </w:rPr>
    </w:pPr>
    <w:r w:rsidRPr="00B610E9">
      <w:rPr>
        <w:rFonts w:ascii="Arial" w:hAnsi="Arial" w:cs="Arial"/>
        <w:sz w:val="18"/>
        <w:szCs w:val="18"/>
      </w:rPr>
      <w:t>Budget Statement 20</w:t>
    </w:r>
    <w:r>
      <w:rPr>
        <w:rFonts w:ascii="Arial" w:hAnsi="Arial" w:cs="Arial"/>
        <w:sz w:val="18"/>
        <w:szCs w:val="18"/>
      </w:rPr>
      <w:t>20</w:t>
    </w:r>
    <w:r w:rsidRPr="00B610E9">
      <w:rPr>
        <w:rFonts w:ascii="Arial" w:hAnsi="Arial" w:cs="Arial"/>
        <w:sz w:val="18"/>
        <w:szCs w:val="18"/>
      </w:rPr>
      <w:t>-</w:t>
    </w:r>
    <w:r>
      <w:rPr>
        <w:rFonts w:ascii="Arial" w:hAnsi="Arial" w:cs="Arial"/>
        <w:sz w:val="18"/>
        <w:szCs w:val="18"/>
      </w:rPr>
      <w:t>21</w:t>
    </w:r>
    <w:r w:rsidRPr="00B610E9">
      <w:rPr>
        <w:rFonts w:ascii="Arial" w:hAnsi="Arial" w:cs="Arial"/>
        <w:sz w:val="18"/>
        <w:szCs w:val="18"/>
      </w:rPr>
      <w:tab/>
    </w:r>
    <w:r>
      <w:rPr>
        <w:rFonts w:ascii="Arial" w:hAnsi="Arial" w:cs="Arial"/>
        <w:sz w:val="18"/>
        <w:szCs w:val="18"/>
      </w:rPr>
      <w:t>6</w:t>
    </w:r>
    <w:r w:rsidRPr="00B610E9">
      <w:rPr>
        <w:rFonts w:ascii="Arial" w:hAnsi="Arial" w:cs="Arial"/>
        <w:sz w:val="18"/>
        <w:szCs w:val="18"/>
      </w:rPr>
      <w:t xml:space="preserve"> - </w:t>
    </w:r>
    <w:r w:rsidRPr="00B610E9">
      <w:rPr>
        <w:rFonts w:ascii="Arial" w:hAnsi="Arial" w:cs="Arial"/>
        <w:sz w:val="18"/>
        <w:szCs w:val="18"/>
      </w:rPr>
      <w:fldChar w:fldCharType="begin"/>
    </w:r>
    <w:r w:rsidRPr="00B610E9">
      <w:rPr>
        <w:rFonts w:ascii="Arial" w:hAnsi="Arial" w:cs="Arial"/>
        <w:sz w:val="18"/>
        <w:szCs w:val="18"/>
      </w:rPr>
      <w:instrText xml:space="preserve"> PAGE   \* MERGEFORMAT </w:instrText>
    </w:r>
    <w:r w:rsidRPr="00B610E9">
      <w:rPr>
        <w:rFonts w:ascii="Arial" w:hAnsi="Arial" w:cs="Arial"/>
        <w:sz w:val="18"/>
        <w:szCs w:val="18"/>
      </w:rPr>
      <w:fldChar w:fldCharType="separate"/>
    </w:r>
    <w:r>
      <w:rPr>
        <w:rFonts w:ascii="Arial" w:hAnsi="Arial" w:cs="Arial"/>
        <w:noProof/>
        <w:sz w:val="18"/>
        <w:szCs w:val="18"/>
      </w:rPr>
      <w:t>5</w:t>
    </w:r>
    <w:r w:rsidRPr="00B610E9">
      <w:rPr>
        <w:rFonts w:ascii="Arial" w:hAnsi="Arial" w:cs="Arial"/>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0C2FD5" w14:textId="1FFF5ABE" w:rsidR="00F464E4" w:rsidRPr="009A2414" w:rsidRDefault="009A2414" w:rsidP="009A2414">
    <w:pPr>
      <w:pBdr>
        <w:top w:val="single" w:sz="4" w:space="4" w:color="auto"/>
      </w:pBdr>
      <w:tabs>
        <w:tab w:val="right" w:pos="9639"/>
      </w:tabs>
      <w:rPr>
        <w:lang w:val="en-AU"/>
      </w:rPr>
    </w:pPr>
    <w:r w:rsidRPr="00B610E9">
      <w:rPr>
        <w:rFonts w:ascii="Arial" w:hAnsi="Arial" w:cs="Arial"/>
        <w:sz w:val="18"/>
        <w:szCs w:val="18"/>
      </w:rPr>
      <w:t>Budget Statement 20</w:t>
    </w:r>
    <w:r>
      <w:rPr>
        <w:rFonts w:ascii="Arial" w:hAnsi="Arial" w:cs="Arial"/>
        <w:sz w:val="18"/>
        <w:szCs w:val="18"/>
      </w:rPr>
      <w:t>20</w:t>
    </w:r>
    <w:r w:rsidRPr="00B610E9">
      <w:rPr>
        <w:rFonts w:ascii="Arial" w:hAnsi="Arial" w:cs="Arial"/>
        <w:sz w:val="18"/>
        <w:szCs w:val="18"/>
      </w:rPr>
      <w:t>-</w:t>
    </w:r>
    <w:r>
      <w:rPr>
        <w:rFonts w:ascii="Arial" w:hAnsi="Arial" w:cs="Arial"/>
        <w:sz w:val="18"/>
        <w:szCs w:val="18"/>
      </w:rPr>
      <w:t>21</w:t>
    </w:r>
    <w:r w:rsidRPr="00B610E9">
      <w:rPr>
        <w:rFonts w:ascii="Arial" w:hAnsi="Arial" w:cs="Arial"/>
        <w:sz w:val="18"/>
        <w:szCs w:val="18"/>
      </w:rPr>
      <w:tab/>
    </w:r>
    <w:r>
      <w:rPr>
        <w:rFonts w:ascii="Arial" w:hAnsi="Arial" w:cs="Arial"/>
        <w:sz w:val="18"/>
        <w:szCs w:val="18"/>
      </w:rPr>
      <w:t>6</w:t>
    </w:r>
    <w:r w:rsidRPr="00B610E9">
      <w:rPr>
        <w:rFonts w:ascii="Arial" w:hAnsi="Arial" w:cs="Arial"/>
        <w:sz w:val="18"/>
        <w:szCs w:val="18"/>
      </w:rPr>
      <w:t xml:space="preserve"> - </w:t>
    </w:r>
    <w:r w:rsidRPr="00B610E9">
      <w:rPr>
        <w:rFonts w:ascii="Arial" w:hAnsi="Arial" w:cs="Arial"/>
        <w:sz w:val="18"/>
        <w:szCs w:val="18"/>
      </w:rPr>
      <w:fldChar w:fldCharType="begin"/>
    </w:r>
    <w:r w:rsidRPr="00B610E9">
      <w:rPr>
        <w:rFonts w:ascii="Arial" w:hAnsi="Arial" w:cs="Arial"/>
        <w:sz w:val="18"/>
        <w:szCs w:val="18"/>
      </w:rPr>
      <w:instrText xml:space="preserve"> PAGE   \* MERGEFORMAT </w:instrText>
    </w:r>
    <w:r w:rsidRPr="00B610E9">
      <w:rPr>
        <w:rFonts w:ascii="Arial" w:hAnsi="Arial" w:cs="Arial"/>
        <w:sz w:val="18"/>
        <w:szCs w:val="18"/>
      </w:rPr>
      <w:fldChar w:fldCharType="separate"/>
    </w:r>
    <w:r>
      <w:rPr>
        <w:rFonts w:ascii="Arial" w:hAnsi="Arial" w:cs="Arial"/>
        <w:sz w:val="18"/>
        <w:szCs w:val="18"/>
      </w:rPr>
      <w:t>3</w:t>
    </w:r>
    <w:r w:rsidRPr="00B610E9">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7D7F1FB" w14:textId="77777777" w:rsidR="00457662" w:rsidRDefault="00457662" w:rsidP="00B8718C">
      <w:r>
        <w:separator/>
      </w:r>
    </w:p>
  </w:footnote>
  <w:footnote w:type="continuationSeparator" w:id="0">
    <w:p w14:paraId="31210DD9" w14:textId="77777777" w:rsidR="00457662" w:rsidRDefault="00457662" w:rsidP="00B8718C">
      <w:r>
        <w:continuationSeparator/>
      </w:r>
    </w:p>
  </w:footnote>
  <w:footnote w:type="continuationNotice" w:id="1">
    <w:p w14:paraId="6383AEC2" w14:textId="77777777" w:rsidR="00457662" w:rsidRDefault="00457662"/>
  </w:footnote>
  <w:footnote w:id="2">
    <w:p w14:paraId="7DAC8F8D" w14:textId="77777777" w:rsidR="006864C8" w:rsidRPr="007E23BE" w:rsidRDefault="006864C8" w:rsidP="006864C8">
      <w:pPr>
        <w:pStyle w:val="FootnoteText"/>
        <w:spacing w:before="0" w:after="0"/>
        <w:ind w:hanging="283"/>
        <w:rPr>
          <w:rFonts w:ascii="Arial" w:hAnsi="Arial" w:cs="Arial"/>
          <w:sz w:val="17"/>
          <w:szCs w:val="17"/>
          <w:lang w:val="en-AU"/>
        </w:rPr>
      </w:pPr>
      <w:r w:rsidRPr="009E5836">
        <w:rPr>
          <w:rStyle w:val="FootnoteReference"/>
          <w:rFonts w:ascii="Arial" w:hAnsi="Arial" w:cs="Arial"/>
          <w:i w:val="0"/>
          <w:sz w:val="17"/>
          <w:szCs w:val="17"/>
        </w:rPr>
        <w:footnoteRef/>
      </w:r>
      <w:r w:rsidRPr="007E23BE">
        <w:rPr>
          <w:rFonts w:ascii="Arial" w:hAnsi="Arial" w:cs="Arial"/>
          <w:sz w:val="17"/>
          <w:szCs w:val="17"/>
        </w:rPr>
        <w:t xml:space="preserve">  </w:t>
      </w:r>
      <w:r>
        <w:rPr>
          <w:rFonts w:ascii="Arial" w:hAnsi="Arial" w:cs="Arial"/>
          <w:sz w:val="17"/>
          <w:szCs w:val="17"/>
        </w:rPr>
        <w:tab/>
      </w:r>
      <w:r>
        <w:rPr>
          <w:rFonts w:ascii="Arial" w:hAnsi="Arial" w:cs="Arial"/>
          <w:i w:val="0"/>
          <w:sz w:val="17"/>
          <w:szCs w:val="17"/>
        </w:rPr>
        <w:t xml:space="preserve">The asset side of net debt </w:t>
      </w:r>
      <w:r w:rsidRPr="7328E58F">
        <w:rPr>
          <w:rFonts w:ascii="Arial" w:hAnsi="Arial" w:cs="Arial"/>
          <w:i w:val="0"/>
          <w:sz w:val="17"/>
          <w:szCs w:val="17"/>
        </w:rPr>
        <w:t>calculation</w:t>
      </w:r>
      <w:r>
        <w:rPr>
          <w:rFonts w:ascii="Arial" w:hAnsi="Arial" w:cs="Arial"/>
          <w:i w:val="0"/>
          <w:sz w:val="17"/>
          <w:szCs w:val="17"/>
        </w:rPr>
        <w:t>s</w:t>
      </w:r>
      <w:r w:rsidRPr="7328E58F">
        <w:rPr>
          <w:rFonts w:ascii="Arial" w:hAnsi="Arial" w:cs="Arial"/>
          <w:i w:val="0"/>
          <w:sz w:val="17"/>
          <w:szCs w:val="17"/>
        </w:rPr>
        <w:t xml:space="preserve"> </w:t>
      </w:r>
      <w:r>
        <w:rPr>
          <w:rFonts w:ascii="Arial" w:hAnsi="Arial" w:cs="Arial"/>
          <w:i w:val="0"/>
          <w:sz w:val="17"/>
          <w:szCs w:val="17"/>
        </w:rPr>
        <w:t>consists of the sum of cash and deposits, advances paid and investments, loans and placements.</w:t>
      </w:r>
    </w:p>
  </w:footnote>
  <w:footnote w:id="3">
    <w:p w14:paraId="0402B943" w14:textId="77777777" w:rsidR="00F464E4" w:rsidRPr="00821238" w:rsidRDefault="00F464E4" w:rsidP="007B63DD">
      <w:pPr>
        <w:pStyle w:val="FootnoteText"/>
        <w:spacing w:before="0" w:after="0"/>
        <w:ind w:hanging="284"/>
        <w:rPr>
          <w:rFonts w:ascii="Arial" w:hAnsi="Arial" w:cs="Arial"/>
          <w:sz w:val="17"/>
          <w:szCs w:val="17"/>
          <w:lang w:val="en-AU"/>
        </w:rPr>
      </w:pPr>
      <w:r w:rsidRPr="0019042D">
        <w:rPr>
          <w:rStyle w:val="FootnoteReference"/>
          <w:rFonts w:ascii="Arial" w:hAnsi="Arial" w:cs="Arial"/>
          <w:i w:val="0"/>
          <w:sz w:val="17"/>
          <w:szCs w:val="17"/>
        </w:rPr>
        <w:footnoteRef/>
      </w:r>
      <w:r w:rsidRPr="00821238">
        <w:rPr>
          <w:rFonts w:ascii="Arial" w:hAnsi="Arial" w:cs="Arial"/>
          <w:sz w:val="17"/>
          <w:szCs w:val="17"/>
        </w:rPr>
        <w:t xml:space="preserve"> </w:t>
      </w:r>
      <w:r>
        <w:rPr>
          <w:rFonts w:ascii="Arial" w:hAnsi="Arial" w:cs="Arial"/>
          <w:sz w:val="17"/>
          <w:szCs w:val="17"/>
        </w:rPr>
        <w:tab/>
      </w:r>
      <w:r w:rsidRPr="00104240">
        <w:rPr>
          <w:rFonts w:ascii="Arial" w:hAnsi="Arial" w:cs="Arial"/>
          <w:i w:val="0"/>
          <w:sz w:val="17"/>
          <w:szCs w:val="17"/>
        </w:rPr>
        <w:t xml:space="preserve">Equity investments in other public-sector entities represents the general government sector’s interest in the </w:t>
      </w:r>
      <w:r>
        <w:rPr>
          <w:rFonts w:ascii="Arial" w:hAnsi="Arial" w:cs="Arial"/>
          <w:i w:val="0"/>
          <w:sz w:val="17"/>
          <w:szCs w:val="17"/>
        </w:rPr>
        <w:t>public non</w:t>
      </w:r>
      <w:r>
        <w:rPr>
          <w:rFonts w:ascii="Arial" w:hAnsi="Arial" w:cs="Arial"/>
          <w:i w:val="0"/>
          <w:sz w:val="17"/>
          <w:szCs w:val="17"/>
        </w:rPr>
        <w:noBreakHyphen/>
        <w:t>financial corporation and public financial corporation</w:t>
      </w:r>
      <w:r w:rsidRPr="00104240">
        <w:rPr>
          <w:rFonts w:ascii="Arial" w:hAnsi="Arial" w:cs="Arial"/>
          <w:i w:val="0"/>
          <w:sz w:val="17"/>
          <w:szCs w:val="17"/>
        </w:rPr>
        <w:t xml:space="preserve"> sectors reflecting, in the absence of fair value, the carrying amount of net assets of those sectors (before consolidation adjustments), in accordance with AASB 1049 </w:t>
      </w:r>
      <w:r w:rsidRPr="00EA3F77">
        <w:rPr>
          <w:rFonts w:ascii="Arial" w:hAnsi="Arial" w:cs="Arial"/>
          <w:sz w:val="17"/>
          <w:szCs w:val="17"/>
        </w:rPr>
        <w:t>Whole of Government and General Government Sector Financial Reporting</w:t>
      </w:r>
      <w:r w:rsidRPr="00104240">
        <w:rPr>
          <w:rFonts w:ascii="Arial" w:hAnsi="Arial" w:cs="Arial"/>
          <w:i w:val="0"/>
          <w:sz w:val="17"/>
          <w:szCs w:val="17"/>
        </w:rPr>
        <w:t>.</w:t>
      </w:r>
    </w:p>
  </w:footnote>
  <w:footnote w:id="4">
    <w:p w14:paraId="58528135" w14:textId="1454335B" w:rsidR="00F464E4" w:rsidRPr="002A204D" w:rsidRDefault="00F464E4" w:rsidP="009943EC">
      <w:pPr>
        <w:ind w:left="709" w:hanging="283"/>
        <w:rPr>
          <w:sz w:val="17"/>
          <w:szCs w:val="17"/>
        </w:rPr>
      </w:pPr>
      <w:r w:rsidRPr="00897DC3">
        <w:rPr>
          <w:rStyle w:val="FootnoteReference"/>
          <w:rFonts w:ascii="Arial" w:hAnsi="Arial" w:cs="Arial"/>
          <w:sz w:val="17"/>
          <w:szCs w:val="17"/>
        </w:rPr>
        <w:footnoteRef/>
      </w:r>
      <w:r w:rsidRPr="008049FC">
        <w:tab/>
      </w:r>
      <w:r w:rsidRPr="002A204D">
        <w:rPr>
          <w:rFonts w:ascii="Arial" w:hAnsi="Arial" w:cs="Arial"/>
          <w:sz w:val="17"/>
          <w:szCs w:val="17"/>
        </w:rPr>
        <w:t>AASB 119 requires the reported superannuation liabil</w:t>
      </w:r>
      <w:r w:rsidR="00C21544">
        <w:rPr>
          <w:rFonts w:ascii="Arial" w:hAnsi="Arial" w:cs="Arial"/>
          <w:sz w:val="17"/>
          <w:szCs w:val="17"/>
        </w:rPr>
        <w:t>i</w:t>
      </w:r>
      <w:r w:rsidRPr="002A204D">
        <w:rPr>
          <w:rFonts w:ascii="Arial" w:hAnsi="Arial" w:cs="Arial"/>
          <w:sz w:val="17"/>
          <w:szCs w:val="17"/>
        </w:rPr>
        <w:t xml:space="preserve">ty to be calculated using the ten-year Commonwealth bond rate as the discount rate to determine the present value of future payments. This approach can result in large fluctuations in the reported value of the liability: </w:t>
      </w:r>
      <w:r w:rsidRPr="006C1519">
        <w:rPr>
          <w:rFonts w:ascii="Arial" w:hAnsi="Arial" w:cs="Arial"/>
          <w:sz w:val="17"/>
          <w:szCs w:val="17"/>
        </w:rPr>
        <w:t xml:space="preserve">e.g. </w:t>
      </w:r>
      <w:r w:rsidR="00211B97" w:rsidRPr="00C276FF">
        <w:rPr>
          <w:rFonts w:ascii="Arial" w:hAnsi="Arial" w:cs="Arial"/>
          <w:sz w:val="17"/>
          <w:szCs w:val="17"/>
        </w:rPr>
        <w:t>a 1</w:t>
      </w:r>
      <w:r w:rsidR="008A0A3A">
        <w:rPr>
          <w:rFonts w:ascii="Arial" w:hAnsi="Arial" w:cs="Arial"/>
          <w:sz w:val="17"/>
          <w:szCs w:val="17"/>
        </w:rPr>
        <w:t xml:space="preserve"> per cent</w:t>
      </w:r>
      <w:r w:rsidR="00211B97" w:rsidRPr="00C276FF">
        <w:rPr>
          <w:rFonts w:ascii="Arial" w:hAnsi="Arial" w:cs="Arial"/>
          <w:sz w:val="17"/>
          <w:szCs w:val="17"/>
        </w:rPr>
        <w:t xml:space="preserve"> decrease</w:t>
      </w:r>
      <w:r w:rsidR="006D015D" w:rsidRPr="00C276FF">
        <w:rPr>
          <w:rFonts w:ascii="Arial" w:hAnsi="Arial" w:cs="Arial"/>
          <w:sz w:val="17"/>
          <w:szCs w:val="17"/>
        </w:rPr>
        <w:t xml:space="preserve"> in this</w:t>
      </w:r>
      <w:r w:rsidRPr="006C1519">
        <w:rPr>
          <w:rFonts w:ascii="Arial" w:hAnsi="Arial" w:cs="Arial"/>
          <w:sz w:val="17"/>
          <w:szCs w:val="17"/>
        </w:rPr>
        <w:t xml:space="preserve"> bond rate</w:t>
      </w:r>
      <w:r w:rsidR="006D015D" w:rsidRPr="00C276FF">
        <w:rPr>
          <w:rFonts w:ascii="Arial" w:hAnsi="Arial" w:cs="Arial"/>
          <w:sz w:val="17"/>
          <w:szCs w:val="17"/>
        </w:rPr>
        <w:t xml:space="preserve"> would incre</w:t>
      </w:r>
      <w:r w:rsidR="006C1519" w:rsidRPr="00C276FF">
        <w:rPr>
          <w:rFonts w:ascii="Arial" w:hAnsi="Arial" w:cs="Arial"/>
          <w:sz w:val="17"/>
          <w:szCs w:val="17"/>
        </w:rPr>
        <w:t>ase</w:t>
      </w:r>
      <w:r w:rsidR="006D015D" w:rsidRPr="00C276FF">
        <w:rPr>
          <w:rFonts w:ascii="Arial" w:hAnsi="Arial" w:cs="Arial"/>
          <w:sz w:val="17"/>
          <w:szCs w:val="17"/>
        </w:rPr>
        <w:t xml:space="preserve"> the value of the liability by</w:t>
      </w:r>
      <w:r w:rsidR="00303B7C" w:rsidRPr="00C276FF">
        <w:rPr>
          <w:rFonts w:ascii="Arial" w:hAnsi="Arial" w:cs="Arial"/>
          <w:sz w:val="17"/>
          <w:szCs w:val="17"/>
        </w:rPr>
        <w:t xml:space="preserve"> $14.1 billion</w:t>
      </w:r>
      <w:r w:rsidRPr="006C1519">
        <w:rPr>
          <w:rFonts w:ascii="Arial" w:hAnsi="Arial" w:cs="Arial"/>
          <w:sz w:val="17"/>
          <w:szCs w:val="17"/>
        </w:rPr>
        <w:t>.</w:t>
      </w:r>
    </w:p>
  </w:footnote>
  <w:footnote w:id="5">
    <w:p w14:paraId="5477FBAE" w14:textId="6E42A090" w:rsidR="00F464E4" w:rsidRPr="002A204D" w:rsidRDefault="00F464E4" w:rsidP="002A204D">
      <w:pPr>
        <w:ind w:left="709" w:hanging="283"/>
        <w:rPr>
          <w:rFonts w:ascii="Arial" w:hAnsi="Arial" w:cs="Arial"/>
          <w:i/>
          <w:sz w:val="17"/>
          <w:szCs w:val="17"/>
          <w:lang w:val="en-AU"/>
        </w:rPr>
      </w:pPr>
      <w:r w:rsidRPr="002A204D">
        <w:rPr>
          <w:rStyle w:val="FootnoteReference"/>
          <w:rFonts w:ascii="Arial" w:hAnsi="Arial" w:cs="Arial"/>
          <w:sz w:val="17"/>
          <w:szCs w:val="17"/>
        </w:rPr>
        <w:footnoteRef/>
      </w:r>
      <w:r w:rsidRPr="002A204D">
        <w:rPr>
          <w:rFonts w:ascii="Arial" w:hAnsi="Arial" w:cs="Arial"/>
          <w:sz w:val="17"/>
          <w:szCs w:val="17"/>
        </w:rPr>
        <w:tab/>
        <w:t xml:space="preserve">For funding purposes, AASB 1056 Superannuation Entities allows the expected long-term return on the fund’s assets to be used as the discount rate, resulting in a more appropriate measure of the present value of future payments. On this basis, the unfunded liability </w:t>
      </w:r>
      <w:r w:rsidR="702870B3" w:rsidRPr="002A204D">
        <w:rPr>
          <w:rFonts w:ascii="Arial" w:hAnsi="Arial" w:cs="Arial"/>
          <w:sz w:val="17"/>
          <w:szCs w:val="17"/>
        </w:rPr>
        <w:t>was</w:t>
      </w:r>
      <w:r w:rsidRPr="002A204D">
        <w:rPr>
          <w:rFonts w:ascii="Arial" w:hAnsi="Arial" w:cs="Arial"/>
          <w:sz w:val="17"/>
          <w:szCs w:val="17"/>
        </w:rPr>
        <w:t xml:space="preserve"> estimated to be $1</w:t>
      </w:r>
      <w:r w:rsidR="003F0ACE">
        <w:rPr>
          <w:rFonts w:ascii="Arial" w:hAnsi="Arial" w:cs="Arial"/>
          <w:sz w:val="17"/>
          <w:szCs w:val="17"/>
        </w:rPr>
        <w:t>4</w:t>
      </w:r>
      <w:r w:rsidRPr="002A204D">
        <w:rPr>
          <w:rFonts w:ascii="Arial" w:hAnsi="Arial" w:cs="Arial"/>
          <w:sz w:val="17"/>
          <w:szCs w:val="17"/>
        </w:rPr>
        <w:t>.</w:t>
      </w:r>
      <w:r w:rsidR="00D03C4A">
        <w:rPr>
          <w:rFonts w:ascii="Arial" w:hAnsi="Arial" w:cs="Arial"/>
          <w:sz w:val="17"/>
          <w:szCs w:val="17"/>
        </w:rPr>
        <w:t>7</w:t>
      </w:r>
      <w:r w:rsidRPr="002A204D">
        <w:rPr>
          <w:rFonts w:ascii="Arial" w:hAnsi="Arial" w:cs="Arial"/>
          <w:sz w:val="17"/>
          <w:szCs w:val="17"/>
        </w:rPr>
        <w:t xml:space="preserve"> billion at June 20</w:t>
      </w:r>
      <w:r w:rsidR="00D03C4A">
        <w:rPr>
          <w:rFonts w:ascii="Arial" w:hAnsi="Arial" w:cs="Arial"/>
          <w:sz w:val="17"/>
          <w:szCs w:val="17"/>
        </w:rPr>
        <w:t>20</w:t>
      </w:r>
      <w:r w:rsidRPr="002A204D">
        <w:rPr>
          <w:rFonts w:ascii="Arial" w:hAnsi="Arial" w:cs="Arial"/>
          <w:sz w:val="17"/>
          <w:szCs w:val="17"/>
        </w:rPr>
        <w:t xml:space="preserve"> and is projected to </w:t>
      </w:r>
      <w:r w:rsidR="00B70FB4">
        <w:rPr>
          <w:rFonts w:ascii="Arial" w:hAnsi="Arial" w:cs="Arial"/>
          <w:sz w:val="17"/>
          <w:szCs w:val="17"/>
        </w:rPr>
        <w:t>increase</w:t>
      </w:r>
      <w:r w:rsidRPr="002A204D">
        <w:rPr>
          <w:rFonts w:ascii="Arial" w:hAnsi="Arial" w:cs="Arial"/>
          <w:sz w:val="17"/>
          <w:szCs w:val="17"/>
        </w:rPr>
        <w:t xml:space="preserve"> to $</w:t>
      </w:r>
      <w:r w:rsidR="00990820">
        <w:rPr>
          <w:rFonts w:ascii="Arial" w:hAnsi="Arial" w:cs="Arial"/>
          <w:sz w:val="17"/>
          <w:szCs w:val="17"/>
        </w:rPr>
        <w:t>16.0</w:t>
      </w:r>
      <w:r w:rsidRPr="002A204D">
        <w:rPr>
          <w:rFonts w:ascii="Arial" w:hAnsi="Arial" w:cs="Arial"/>
          <w:sz w:val="17"/>
          <w:szCs w:val="17"/>
        </w:rPr>
        <w:t> billion by June 20</w:t>
      </w:r>
      <w:r w:rsidR="00AE084C">
        <w:rPr>
          <w:rFonts w:ascii="Arial" w:hAnsi="Arial" w:cs="Arial"/>
          <w:sz w:val="17"/>
          <w:szCs w:val="17"/>
        </w:rPr>
        <w:t>24</w:t>
      </w:r>
      <w:r w:rsidRPr="002A204D">
        <w:rPr>
          <w:rFonts w:ascii="Arial" w:hAnsi="Arial" w:cs="Arial"/>
          <w:sz w:val="17"/>
          <w:szCs w:val="17"/>
        </w:rPr>
        <w:t>. The target of fully funding the State’s superannuation liabilities by 20</w:t>
      </w:r>
      <w:r w:rsidR="00B812CA">
        <w:rPr>
          <w:rFonts w:ascii="Arial" w:hAnsi="Arial" w:cs="Arial"/>
          <w:sz w:val="17"/>
          <w:szCs w:val="17"/>
        </w:rPr>
        <w:t>40</w:t>
      </w:r>
      <w:r w:rsidRPr="002A204D">
        <w:rPr>
          <w:rFonts w:ascii="Arial" w:hAnsi="Arial" w:cs="Arial"/>
          <w:sz w:val="17"/>
          <w:szCs w:val="17"/>
        </w:rPr>
        <w:t xml:space="preserve"> is determined </w:t>
      </w:r>
      <w:r w:rsidR="0B700C4E" w:rsidRPr="002A204D">
        <w:rPr>
          <w:rFonts w:ascii="Arial" w:hAnsi="Arial" w:cs="Arial"/>
          <w:sz w:val="17"/>
          <w:szCs w:val="17"/>
        </w:rPr>
        <w:t xml:space="preserve">using </w:t>
      </w:r>
      <w:r w:rsidRPr="002A204D">
        <w:rPr>
          <w:rFonts w:ascii="Arial" w:hAnsi="Arial" w:cs="Arial"/>
          <w:sz w:val="17"/>
          <w:szCs w:val="17"/>
        </w:rPr>
        <w:t>the AASB 1056 basis.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233CE" w14:textId="77777777" w:rsidR="00F464E4" w:rsidRPr="00245E96" w:rsidRDefault="00F464E4" w:rsidP="00C936E8">
    <w:pPr>
      <w:pBdr>
        <w:bottom w:val="single" w:sz="4" w:space="4" w:color="auto"/>
      </w:pBdr>
      <w:rPr>
        <w:rFonts w:ascii="Arial" w:eastAsia="Calibri" w:hAnsi="Arial" w:cs="Arial"/>
        <w:sz w:val="18"/>
        <w:szCs w:val="18"/>
      </w:rPr>
    </w:pPr>
    <w:r>
      <w:rPr>
        <w:rFonts w:ascii="Arial" w:eastAsia="Calibri" w:hAnsi="Arial" w:cs="Arial"/>
        <w:sz w:val="18"/>
        <w:szCs w:val="18"/>
      </w:rPr>
      <w:t>Managing the State’s Assets and Liabilities</w:t>
    </w:r>
  </w:p>
  <w:p w14:paraId="0F4FF109" w14:textId="12D5D801" w:rsidR="00F464E4" w:rsidRDefault="00F464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E6AA9" w14:textId="77777777" w:rsidR="00F464E4" w:rsidRPr="00245E96" w:rsidRDefault="00F464E4" w:rsidP="005E691C">
    <w:pPr>
      <w:pBdr>
        <w:bottom w:val="single" w:sz="4" w:space="4" w:color="auto"/>
      </w:pBdr>
      <w:jc w:val="right"/>
      <w:rPr>
        <w:rFonts w:ascii="Arial" w:eastAsia="Calibri" w:hAnsi="Arial" w:cs="Arial"/>
        <w:sz w:val="18"/>
        <w:szCs w:val="18"/>
      </w:rPr>
    </w:pPr>
    <w:r>
      <w:rPr>
        <w:rFonts w:ascii="Arial" w:eastAsia="Calibri" w:hAnsi="Arial" w:cs="Arial"/>
        <w:sz w:val="18"/>
        <w:szCs w:val="18"/>
      </w:rPr>
      <w:t>Managing the State’s Assets and Liabilities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E3EE4B" w14:textId="77777777" w:rsidR="00AA2951" w:rsidRDefault="00AA29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67D31"/>
    <w:multiLevelType w:val="hybridMultilevel"/>
    <w:tmpl w:val="19A8B9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4E2770"/>
    <w:multiLevelType w:val="hybridMultilevel"/>
    <w:tmpl w:val="D7207D60"/>
    <w:lvl w:ilvl="0" w:tplc="4FB66E9C">
      <w:start w:val="1"/>
      <w:numFmt w:val="decimal"/>
      <w:lvlText w:val="Box 7.%1:"/>
      <w:lvlJc w:val="left"/>
      <w:pPr>
        <w:ind w:left="6597" w:hanging="360"/>
      </w:pPr>
      <w:rPr>
        <w:rFonts w:ascii="Arial Bold" w:hAnsi="Arial Bold" w:hint="default"/>
        <w:b/>
        <w:i w:val="0"/>
        <w:sz w:val="23"/>
      </w:rPr>
    </w:lvl>
    <w:lvl w:ilvl="1" w:tplc="0C090019" w:tentative="1">
      <w:start w:val="1"/>
      <w:numFmt w:val="lowerLetter"/>
      <w:lvlText w:val="%2."/>
      <w:lvlJc w:val="left"/>
      <w:pPr>
        <w:ind w:left="7317" w:hanging="360"/>
      </w:pPr>
    </w:lvl>
    <w:lvl w:ilvl="2" w:tplc="0C09001B" w:tentative="1">
      <w:start w:val="1"/>
      <w:numFmt w:val="lowerRoman"/>
      <w:lvlText w:val="%3."/>
      <w:lvlJc w:val="right"/>
      <w:pPr>
        <w:ind w:left="8037" w:hanging="180"/>
      </w:pPr>
    </w:lvl>
    <w:lvl w:ilvl="3" w:tplc="0C09000F" w:tentative="1">
      <w:start w:val="1"/>
      <w:numFmt w:val="decimal"/>
      <w:lvlText w:val="%4."/>
      <w:lvlJc w:val="left"/>
      <w:pPr>
        <w:ind w:left="8757" w:hanging="360"/>
      </w:pPr>
    </w:lvl>
    <w:lvl w:ilvl="4" w:tplc="0C090019" w:tentative="1">
      <w:start w:val="1"/>
      <w:numFmt w:val="lowerLetter"/>
      <w:lvlText w:val="%5."/>
      <w:lvlJc w:val="left"/>
      <w:pPr>
        <w:ind w:left="9477" w:hanging="360"/>
      </w:pPr>
    </w:lvl>
    <w:lvl w:ilvl="5" w:tplc="0C09001B" w:tentative="1">
      <w:start w:val="1"/>
      <w:numFmt w:val="lowerRoman"/>
      <w:lvlText w:val="%6."/>
      <w:lvlJc w:val="right"/>
      <w:pPr>
        <w:ind w:left="10197" w:hanging="180"/>
      </w:pPr>
    </w:lvl>
    <w:lvl w:ilvl="6" w:tplc="0C09000F" w:tentative="1">
      <w:start w:val="1"/>
      <w:numFmt w:val="decimal"/>
      <w:lvlText w:val="%7."/>
      <w:lvlJc w:val="left"/>
      <w:pPr>
        <w:ind w:left="10917" w:hanging="360"/>
      </w:pPr>
    </w:lvl>
    <w:lvl w:ilvl="7" w:tplc="0C090019" w:tentative="1">
      <w:start w:val="1"/>
      <w:numFmt w:val="lowerLetter"/>
      <w:lvlText w:val="%8."/>
      <w:lvlJc w:val="left"/>
      <w:pPr>
        <w:ind w:left="11637" w:hanging="360"/>
      </w:pPr>
    </w:lvl>
    <w:lvl w:ilvl="8" w:tplc="0C09001B" w:tentative="1">
      <w:start w:val="1"/>
      <w:numFmt w:val="lowerRoman"/>
      <w:lvlText w:val="%9."/>
      <w:lvlJc w:val="right"/>
      <w:pPr>
        <w:ind w:left="12357" w:hanging="180"/>
      </w:pPr>
    </w:lvl>
  </w:abstractNum>
  <w:abstractNum w:abstractNumId="2" w15:restartNumberingAfterBreak="0">
    <w:nsid w:val="05DE5882"/>
    <w:multiLevelType w:val="hybridMultilevel"/>
    <w:tmpl w:val="022A7A84"/>
    <w:lvl w:ilvl="0" w:tplc="62C6D138">
      <w:start w:val="1"/>
      <w:numFmt w:val="bullet"/>
      <w:pStyle w:val="Bullet3"/>
      <w:lvlText w:val=""/>
      <w:lvlJc w:val="left"/>
      <w:pPr>
        <w:tabs>
          <w:tab w:val="num" w:pos="1276"/>
        </w:tabs>
        <w:ind w:left="1276" w:hanging="425"/>
      </w:pPr>
      <w:rPr>
        <w:rFonts w:ascii="Symbol" w:hAnsi="Symbol" w:hint="default"/>
        <w:sz w:val="22"/>
      </w:rPr>
    </w:lvl>
    <w:lvl w:ilvl="1" w:tplc="E44848FA">
      <w:numFmt w:val="decimal"/>
      <w:lvlText w:val=""/>
      <w:lvlJc w:val="left"/>
    </w:lvl>
    <w:lvl w:ilvl="2" w:tplc="16E24C72">
      <w:numFmt w:val="decimal"/>
      <w:lvlText w:val=""/>
      <w:lvlJc w:val="left"/>
    </w:lvl>
    <w:lvl w:ilvl="3" w:tplc="456EDC62">
      <w:numFmt w:val="decimal"/>
      <w:lvlText w:val=""/>
      <w:lvlJc w:val="left"/>
    </w:lvl>
    <w:lvl w:ilvl="4" w:tplc="265CFE0C">
      <w:numFmt w:val="decimal"/>
      <w:lvlText w:val=""/>
      <w:lvlJc w:val="left"/>
    </w:lvl>
    <w:lvl w:ilvl="5" w:tplc="C5FCE180">
      <w:numFmt w:val="decimal"/>
      <w:lvlText w:val=""/>
      <w:lvlJc w:val="left"/>
    </w:lvl>
    <w:lvl w:ilvl="6" w:tplc="7F08BBA8">
      <w:numFmt w:val="decimal"/>
      <w:lvlText w:val=""/>
      <w:lvlJc w:val="left"/>
    </w:lvl>
    <w:lvl w:ilvl="7" w:tplc="9DF69442">
      <w:numFmt w:val="decimal"/>
      <w:lvlText w:val=""/>
      <w:lvlJc w:val="left"/>
    </w:lvl>
    <w:lvl w:ilvl="8" w:tplc="53A66634">
      <w:numFmt w:val="decimal"/>
      <w:lvlText w:val=""/>
      <w:lvlJc w:val="left"/>
    </w:lvl>
  </w:abstractNum>
  <w:abstractNum w:abstractNumId="3" w15:restartNumberingAfterBreak="0">
    <w:nsid w:val="086E1A88"/>
    <w:multiLevelType w:val="hybridMultilevel"/>
    <w:tmpl w:val="08E81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F37121"/>
    <w:multiLevelType w:val="hybridMultilevel"/>
    <w:tmpl w:val="9174A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C2345D6"/>
    <w:multiLevelType w:val="hybridMultilevel"/>
    <w:tmpl w:val="A6103982"/>
    <w:lvl w:ilvl="0" w:tplc="0C090001">
      <w:start w:val="1"/>
      <w:numFmt w:val="bullet"/>
      <w:pStyle w:val="Box31BoxHead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F67C1B"/>
    <w:multiLevelType w:val="hybridMultilevel"/>
    <w:tmpl w:val="EB72F6A0"/>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15:restartNumberingAfterBreak="0">
    <w:nsid w:val="0DCB4AFF"/>
    <w:multiLevelType w:val="hybridMultilevel"/>
    <w:tmpl w:val="C4CC58DA"/>
    <w:lvl w:ilvl="0" w:tplc="54B061C6">
      <w:start w:val="1"/>
      <w:numFmt w:val="bullet"/>
      <w:pStyle w:val="ListBullet1"/>
      <w:lvlText w:val=""/>
      <w:lvlJc w:val="left"/>
      <w:pPr>
        <w:tabs>
          <w:tab w:val="num" w:pos="454"/>
        </w:tabs>
        <w:ind w:left="454" w:hanging="454"/>
      </w:pPr>
      <w:rPr>
        <w:rFonts w:ascii="Symbol" w:hAnsi="Symbol" w:hint="default"/>
      </w:rPr>
    </w:lvl>
    <w:lvl w:ilvl="1" w:tplc="5A70E5E4">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2C705EB"/>
    <w:multiLevelType w:val="hybridMultilevel"/>
    <w:tmpl w:val="86F273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33F1C7F"/>
    <w:multiLevelType w:val="hybridMultilevel"/>
    <w:tmpl w:val="36CA41A0"/>
    <w:lvl w:ilvl="0" w:tplc="043E2B3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621F36"/>
    <w:multiLevelType w:val="multilevel"/>
    <w:tmpl w:val="ACD4EEB0"/>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17182846"/>
    <w:multiLevelType w:val="hybridMultilevel"/>
    <w:tmpl w:val="DD9E75FA"/>
    <w:lvl w:ilvl="0" w:tplc="6AFA506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7413E63"/>
    <w:multiLevelType w:val="hybridMultilevel"/>
    <w:tmpl w:val="569E6758"/>
    <w:lvl w:ilvl="0" w:tplc="E24AE9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18257089"/>
    <w:multiLevelType w:val="hybridMultilevel"/>
    <w:tmpl w:val="0C09001D"/>
    <w:lvl w:ilvl="0" w:tplc="F0C694F8">
      <w:start w:val="1"/>
      <w:numFmt w:val="decimal"/>
      <w:lvlText w:val="%1)"/>
      <w:lvlJc w:val="left"/>
      <w:pPr>
        <w:ind w:left="360" w:hanging="360"/>
      </w:pPr>
    </w:lvl>
    <w:lvl w:ilvl="1" w:tplc="56AC5AEA">
      <w:start w:val="1"/>
      <w:numFmt w:val="lowerLetter"/>
      <w:lvlText w:val="%2)"/>
      <w:lvlJc w:val="left"/>
      <w:pPr>
        <w:ind w:left="720" w:hanging="360"/>
      </w:pPr>
    </w:lvl>
    <w:lvl w:ilvl="2" w:tplc="311A004E">
      <w:start w:val="1"/>
      <w:numFmt w:val="lowerRoman"/>
      <w:lvlText w:val="%3)"/>
      <w:lvlJc w:val="left"/>
      <w:pPr>
        <w:ind w:left="1080" w:hanging="360"/>
      </w:pPr>
    </w:lvl>
    <w:lvl w:ilvl="3" w:tplc="EFA2C542">
      <w:start w:val="1"/>
      <w:numFmt w:val="decimal"/>
      <w:lvlText w:val="(%4)"/>
      <w:lvlJc w:val="left"/>
      <w:pPr>
        <w:ind w:left="1440" w:hanging="360"/>
      </w:pPr>
    </w:lvl>
    <w:lvl w:ilvl="4" w:tplc="1C6CD844">
      <w:start w:val="1"/>
      <w:numFmt w:val="lowerLetter"/>
      <w:lvlText w:val="(%5)"/>
      <w:lvlJc w:val="left"/>
      <w:pPr>
        <w:ind w:left="1800" w:hanging="360"/>
      </w:pPr>
    </w:lvl>
    <w:lvl w:ilvl="5" w:tplc="2D9AE860">
      <w:start w:val="1"/>
      <w:numFmt w:val="lowerRoman"/>
      <w:lvlText w:val="(%6)"/>
      <w:lvlJc w:val="left"/>
      <w:pPr>
        <w:ind w:left="2160" w:hanging="360"/>
      </w:pPr>
    </w:lvl>
    <w:lvl w:ilvl="6" w:tplc="3A543490">
      <w:start w:val="1"/>
      <w:numFmt w:val="decimal"/>
      <w:lvlText w:val="%7."/>
      <w:lvlJc w:val="left"/>
      <w:pPr>
        <w:ind w:left="2520" w:hanging="360"/>
      </w:pPr>
    </w:lvl>
    <w:lvl w:ilvl="7" w:tplc="028AC81C">
      <w:start w:val="1"/>
      <w:numFmt w:val="lowerLetter"/>
      <w:lvlText w:val="%8."/>
      <w:lvlJc w:val="left"/>
      <w:pPr>
        <w:ind w:left="2880" w:hanging="360"/>
      </w:pPr>
    </w:lvl>
    <w:lvl w:ilvl="8" w:tplc="72549C0A">
      <w:start w:val="1"/>
      <w:numFmt w:val="lowerRoman"/>
      <w:lvlText w:val="%9."/>
      <w:lvlJc w:val="left"/>
      <w:pPr>
        <w:ind w:left="3240" w:hanging="360"/>
      </w:pPr>
    </w:lvl>
  </w:abstractNum>
  <w:abstractNum w:abstractNumId="14" w15:restartNumberingAfterBreak="0">
    <w:nsid w:val="1CD006A5"/>
    <w:multiLevelType w:val="hybridMultilevel"/>
    <w:tmpl w:val="9C665BCE"/>
    <w:lvl w:ilvl="0" w:tplc="4664B89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D922C9E"/>
    <w:multiLevelType w:val="hybridMultilevel"/>
    <w:tmpl w:val="AFEEE6CA"/>
    <w:lvl w:ilvl="0" w:tplc="91AE53D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F4561EB"/>
    <w:multiLevelType w:val="hybridMultilevel"/>
    <w:tmpl w:val="FFFFFFFF"/>
    <w:lvl w:ilvl="0" w:tplc="A7F02A7C">
      <w:start w:val="1"/>
      <w:numFmt w:val="decimal"/>
      <w:lvlText w:val="%1."/>
      <w:lvlJc w:val="left"/>
      <w:pPr>
        <w:tabs>
          <w:tab w:val="num" w:pos="720"/>
        </w:tabs>
        <w:ind w:left="720" w:hanging="720"/>
      </w:pPr>
    </w:lvl>
    <w:lvl w:ilvl="1" w:tplc="21587CE8">
      <w:start w:val="1"/>
      <w:numFmt w:val="decimal"/>
      <w:lvlText w:val="%2."/>
      <w:lvlJc w:val="left"/>
      <w:pPr>
        <w:tabs>
          <w:tab w:val="num" w:pos="1440"/>
        </w:tabs>
        <w:ind w:left="1440" w:hanging="720"/>
      </w:pPr>
    </w:lvl>
    <w:lvl w:ilvl="2" w:tplc="4658F53E">
      <w:start w:val="1"/>
      <w:numFmt w:val="decimal"/>
      <w:lvlText w:val="%3."/>
      <w:lvlJc w:val="left"/>
      <w:pPr>
        <w:tabs>
          <w:tab w:val="num" w:pos="2160"/>
        </w:tabs>
        <w:ind w:left="2160" w:hanging="720"/>
      </w:pPr>
    </w:lvl>
    <w:lvl w:ilvl="3" w:tplc="EC7AAE1A">
      <w:start w:val="1"/>
      <w:numFmt w:val="decimal"/>
      <w:lvlText w:val="%4."/>
      <w:lvlJc w:val="left"/>
      <w:pPr>
        <w:tabs>
          <w:tab w:val="num" w:pos="2880"/>
        </w:tabs>
        <w:ind w:left="2880" w:hanging="720"/>
      </w:pPr>
    </w:lvl>
    <w:lvl w:ilvl="4" w:tplc="CA34DCAC">
      <w:start w:val="1"/>
      <w:numFmt w:val="decimal"/>
      <w:lvlText w:val="%5."/>
      <w:lvlJc w:val="left"/>
      <w:pPr>
        <w:tabs>
          <w:tab w:val="num" w:pos="3600"/>
        </w:tabs>
        <w:ind w:left="3600" w:hanging="720"/>
      </w:pPr>
    </w:lvl>
    <w:lvl w:ilvl="5" w:tplc="63A07B12">
      <w:start w:val="1"/>
      <w:numFmt w:val="decimal"/>
      <w:lvlText w:val="%6."/>
      <w:lvlJc w:val="left"/>
      <w:pPr>
        <w:tabs>
          <w:tab w:val="num" w:pos="4320"/>
        </w:tabs>
        <w:ind w:left="4320" w:hanging="720"/>
      </w:pPr>
    </w:lvl>
    <w:lvl w:ilvl="6" w:tplc="D33AE5AC">
      <w:start w:val="1"/>
      <w:numFmt w:val="decimal"/>
      <w:lvlText w:val="%7."/>
      <w:lvlJc w:val="left"/>
      <w:pPr>
        <w:tabs>
          <w:tab w:val="num" w:pos="5040"/>
        </w:tabs>
        <w:ind w:left="5040" w:hanging="720"/>
      </w:pPr>
    </w:lvl>
    <w:lvl w:ilvl="7" w:tplc="9564AA20">
      <w:start w:val="1"/>
      <w:numFmt w:val="decimal"/>
      <w:lvlText w:val="%8."/>
      <w:lvlJc w:val="left"/>
      <w:pPr>
        <w:tabs>
          <w:tab w:val="num" w:pos="5760"/>
        </w:tabs>
        <w:ind w:left="5760" w:hanging="720"/>
      </w:pPr>
    </w:lvl>
    <w:lvl w:ilvl="8" w:tplc="0F8CF386">
      <w:start w:val="1"/>
      <w:numFmt w:val="decimal"/>
      <w:lvlText w:val="%9."/>
      <w:lvlJc w:val="left"/>
      <w:pPr>
        <w:tabs>
          <w:tab w:val="num" w:pos="6480"/>
        </w:tabs>
        <w:ind w:left="6480" w:hanging="720"/>
      </w:pPr>
    </w:lvl>
  </w:abstractNum>
  <w:abstractNum w:abstractNumId="17" w15:restartNumberingAfterBreak="0">
    <w:nsid w:val="20FB794D"/>
    <w:multiLevelType w:val="hybridMultilevel"/>
    <w:tmpl w:val="3FACF6E2"/>
    <w:lvl w:ilvl="0" w:tplc="C69861F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5006D5"/>
    <w:multiLevelType w:val="hybridMultilevel"/>
    <w:tmpl w:val="5D7CED7C"/>
    <w:lvl w:ilvl="0" w:tplc="2564E418">
      <w:start w:val="1"/>
      <w:numFmt w:val="lowerLetter"/>
      <w:pStyle w:val="Tablefootnote"/>
      <w:lvlText w:val="(%1)"/>
      <w:lvlJc w:val="left"/>
      <w:pPr>
        <w:ind w:left="720" w:hanging="360"/>
      </w:pPr>
      <w:rPr>
        <w:rFonts w:ascii="Arial" w:hAnsi="Arial" w:cs="Times New Roman" w:hint="default"/>
        <w:b w:val="0"/>
        <w:i w:val="0"/>
        <w:caps w:val="0"/>
        <w:color w:val="auto"/>
        <w:sz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6C058CA"/>
    <w:multiLevelType w:val="hybridMultilevel"/>
    <w:tmpl w:val="8F0C5832"/>
    <w:lvl w:ilvl="0" w:tplc="E2E284E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27856019"/>
    <w:multiLevelType w:val="hybridMultilevel"/>
    <w:tmpl w:val="54EE9F4C"/>
    <w:lvl w:ilvl="0" w:tplc="EDD21378">
      <w:start w:val="1"/>
      <w:numFmt w:val="bullet"/>
      <w:lvlText w:val=""/>
      <w:lvlJc w:val="left"/>
      <w:pPr>
        <w:ind w:left="360" w:hanging="360"/>
      </w:pPr>
      <w:rPr>
        <w:rFonts w:ascii="Symbol" w:hAnsi="Symbol" w:hint="default"/>
        <w:color w:val="008EBA"/>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81E3019"/>
    <w:multiLevelType w:val="hybridMultilevel"/>
    <w:tmpl w:val="F568495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2C3A6354"/>
    <w:multiLevelType w:val="hybridMultilevel"/>
    <w:tmpl w:val="B74425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DD57202"/>
    <w:multiLevelType w:val="hybridMultilevel"/>
    <w:tmpl w:val="246A79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B35209"/>
    <w:multiLevelType w:val="hybridMultilevel"/>
    <w:tmpl w:val="4058EE94"/>
    <w:lvl w:ilvl="0" w:tplc="86B2C9FC">
      <w:start w:val="1"/>
      <w:numFmt w:val="decimal"/>
      <w:pStyle w:val="Table6X"/>
      <w:lvlText w:val="Table 6.%1:"/>
      <w:lvlJc w:val="left"/>
      <w:pPr>
        <w:ind w:left="360" w:hanging="360"/>
      </w:pPr>
      <w:rPr>
        <w:rFonts w:ascii="Arial" w:hAnsi="Arial" w:hint="default"/>
        <w:b w:val="0"/>
        <w:i/>
        <w:caps w:val="0"/>
        <w:color w:val="57514D"/>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31B23E02"/>
    <w:multiLevelType w:val="hybridMultilevel"/>
    <w:tmpl w:val="21DAF428"/>
    <w:lvl w:ilvl="0" w:tplc="93D28218">
      <w:start w:val="1"/>
      <w:numFmt w:val="decimal"/>
      <w:lvlText w:val="Table 6.%1:"/>
      <w:lvlJc w:val="left"/>
      <w:pPr>
        <w:ind w:left="720" w:hanging="360"/>
      </w:pPr>
      <w:rPr>
        <w:rFonts w:ascii="Arial" w:hAnsi="Arial" w:hint="default"/>
        <w:b w:val="0"/>
        <w:i/>
        <w:color w:val="4F4F4F"/>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32D37C8E"/>
    <w:multiLevelType w:val="hybridMultilevel"/>
    <w:tmpl w:val="5FB4ED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5332344"/>
    <w:multiLevelType w:val="hybridMultilevel"/>
    <w:tmpl w:val="5B86A3C4"/>
    <w:lvl w:ilvl="0" w:tplc="BDB43026">
      <w:start w:val="1"/>
      <w:numFmt w:val="bullet"/>
      <w:lvlText w:val=""/>
      <w:lvlJc w:val="left"/>
      <w:pPr>
        <w:ind w:left="720" w:hanging="360"/>
      </w:pPr>
      <w:rPr>
        <w:rFonts w:ascii="Symbol" w:hAnsi="Symbol" w:hint="default"/>
        <w:color w:val="0579B9"/>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8E02684"/>
    <w:multiLevelType w:val="hybridMultilevel"/>
    <w:tmpl w:val="9B06E3A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9" w15:restartNumberingAfterBreak="0">
    <w:nsid w:val="3DF944FB"/>
    <w:multiLevelType w:val="hybridMultilevel"/>
    <w:tmpl w:val="96863882"/>
    <w:lvl w:ilvl="0" w:tplc="FD3EC660">
      <w:start w:val="1"/>
      <w:numFmt w:val="bullet"/>
      <w:pStyle w:val="Bullet4"/>
      <w:lvlText w:val=""/>
      <w:lvlJc w:val="left"/>
      <w:pPr>
        <w:tabs>
          <w:tab w:val="num" w:pos="1701"/>
        </w:tabs>
        <w:ind w:left="1701" w:hanging="425"/>
      </w:pPr>
      <w:rPr>
        <w:rFonts w:ascii="Symbol" w:hAnsi="Symbol" w:hint="default"/>
        <w:sz w:val="22"/>
      </w:rPr>
    </w:lvl>
    <w:lvl w:ilvl="1" w:tplc="F440D24E">
      <w:numFmt w:val="decimal"/>
      <w:lvlText w:val=""/>
      <w:lvlJc w:val="left"/>
    </w:lvl>
    <w:lvl w:ilvl="2" w:tplc="78304DFA">
      <w:numFmt w:val="decimal"/>
      <w:lvlText w:val=""/>
      <w:lvlJc w:val="left"/>
    </w:lvl>
    <w:lvl w:ilvl="3" w:tplc="E3DABFFC">
      <w:numFmt w:val="decimal"/>
      <w:lvlText w:val=""/>
      <w:lvlJc w:val="left"/>
    </w:lvl>
    <w:lvl w:ilvl="4" w:tplc="D4BCD000">
      <w:numFmt w:val="decimal"/>
      <w:lvlText w:val=""/>
      <w:lvlJc w:val="left"/>
    </w:lvl>
    <w:lvl w:ilvl="5" w:tplc="10001CDE">
      <w:numFmt w:val="decimal"/>
      <w:lvlText w:val=""/>
      <w:lvlJc w:val="left"/>
    </w:lvl>
    <w:lvl w:ilvl="6" w:tplc="D974D0BA">
      <w:numFmt w:val="decimal"/>
      <w:lvlText w:val=""/>
      <w:lvlJc w:val="left"/>
    </w:lvl>
    <w:lvl w:ilvl="7" w:tplc="FF0E8432">
      <w:numFmt w:val="decimal"/>
      <w:lvlText w:val=""/>
      <w:lvlJc w:val="left"/>
    </w:lvl>
    <w:lvl w:ilvl="8" w:tplc="058A0300">
      <w:numFmt w:val="decimal"/>
      <w:lvlText w:val=""/>
      <w:lvlJc w:val="left"/>
    </w:lvl>
  </w:abstractNum>
  <w:abstractNum w:abstractNumId="30" w15:restartNumberingAfterBreak="0">
    <w:nsid w:val="405B1285"/>
    <w:multiLevelType w:val="hybridMultilevel"/>
    <w:tmpl w:val="41BC154E"/>
    <w:lvl w:ilvl="0" w:tplc="2A6CE680">
      <w:start w:val="1"/>
      <w:numFmt w:val="decimal"/>
      <w:lvlText w:val="Chart 7.%1:"/>
      <w:lvlJc w:val="left"/>
      <w:pPr>
        <w:ind w:left="360" w:hanging="360"/>
      </w:pPr>
      <w:rPr>
        <w:rFonts w:ascii="Arial" w:hAnsi="Arial" w:hint="default"/>
        <w:b w:val="0"/>
        <w:i/>
        <w:caps w:val="0"/>
        <w:color w:val="4F4F4F"/>
        <w:sz w:val="22"/>
      </w:rPr>
    </w:lvl>
    <w:lvl w:ilvl="1" w:tplc="0C090019">
      <w:start w:val="1"/>
      <w:numFmt w:val="lowerLetter"/>
      <w:lvlText w:val="%2."/>
      <w:lvlJc w:val="left"/>
      <w:pPr>
        <w:ind w:left="1015" w:hanging="360"/>
      </w:pPr>
    </w:lvl>
    <w:lvl w:ilvl="2" w:tplc="0C09001B" w:tentative="1">
      <w:start w:val="1"/>
      <w:numFmt w:val="lowerRoman"/>
      <w:lvlText w:val="%3."/>
      <w:lvlJc w:val="right"/>
      <w:pPr>
        <w:ind w:left="1735" w:hanging="180"/>
      </w:pPr>
    </w:lvl>
    <w:lvl w:ilvl="3" w:tplc="0C09000F" w:tentative="1">
      <w:start w:val="1"/>
      <w:numFmt w:val="decimal"/>
      <w:lvlText w:val="%4."/>
      <w:lvlJc w:val="left"/>
      <w:pPr>
        <w:ind w:left="2455" w:hanging="360"/>
      </w:pPr>
    </w:lvl>
    <w:lvl w:ilvl="4" w:tplc="0C090019" w:tentative="1">
      <w:start w:val="1"/>
      <w:numFmt w:val="lowerLetter"/>
      <w:lvlText w:val="%5."/>
      <w:lvlJc w:val="left"/>
      <w:pPr>
        <w:ind w:left="3175" w:hanging="360"/>
      </w:pPr>
    </w:lvl>
    <w:lvl w:ilvl="5" w:tplc="0C09001B" w:tentative="1">
      <w:start w:val="1"/>
      <w:numFmt w:val="lowerRoman"/>
      <w:lvlText w:val="%6."/>
      <w:lvlJc w:val="right"/>
      <w:pPr>
        <w:ind w:left="3895" w:hanging="180"/>
      </w:pPr>
    </w:lvl>
    <w:lvl w:ilvl="6" w:tplc="0C09000F" w:tentative="1">
      <w:start w:val="1"/>
      <w:numFmt w:val="decimal"/>
      <w:lvlText w:val="%7."/>
      <w:lvlJc w:val="left"/>
      <w:pPr>
        <w:ind w:left="4615" w:hanging="360"/>
      </w:pPr>
    </w:lvl>
    <w:lvl w:ilvl="7" w:tplc="0C090019" w:tentative="1">
      <w:start w:val="1"/>
      <w:numFmt w:val="lowerLetter"/>
      <w:lvlText w:val="%8."/>
      <w:lvlJc w:val="left"/>
      <w:pPr>
        <w:ind w:left="5335" w:hanging="360"/>
      </w:pPr>
    </w:lvl>
    <w:lvl w:ilvl="8" w:tplc="0C09001B" w:tentative="1">
      <w:start w:val="1"/>
      <w:numFmt w:val="lowerRoman"/>
      <w:lvlText w:val="%9."/>
      <w:lvlJc w:val="right"/>
      <w:pPr>
        <w:ind w:left="6055" w:hanging="180"/>
      </w:pPr>
    </w:lvl>
  </w:abstractNum>
  <w:abstractNum w:abstractNumId="31" w15:restartNumberingAfterBreak="0">
    <w:nsid w:val="4A8F02E8"/>
    <w:multiLevelType w:val="hybridMultilevel"/>
    <w:tmpl w:val="3AAA0366"/>
    <w:lvl w:ilvl="0" w:tplc="95488BD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AB30002"/>
    <w:multiLevelType w:val="hybridMultilevel"/>
    <w:tmpl w:val="CB68DB96"/>
    <w:lvl w:ilvl="0" w:tplc="B8FACD68">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CC43640"/>
    <w:multiLevelType w:val="hybridMultilevel"/>
    <w:tmpl w:val="49BC137A"/>
    <w:lvl w:ilvl="0" w:tplc="2E42062C">
      <w:start w:val="1"/>
      <w:numFmt w:val="decimal"/>
      <w:pStyle w:val="Heading2"/>
      <w:lvlText w:val="6.%1"/>
      <w:lvlJc w:val="left"/>
      <w:pPr>
        <w:ind w:left="360" w:hanging="360"/>
      </w:pPr>
      <w:rPr>
        <w:rFonts w:ascii="Arial Bold" w:hAnsi="Arial Bold" w:hint="default"/>
        <w:b/>
        <w:i w:val="0"/>
        <w:color w:val="53C8E9"/>
        <w:sz w:val="3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4" w15:restartNumberingAfterBreak="0">
    <w:nsid w:val="4DB02070"/>
    <w:multiLevelType w:val="hybridMultilevel"/>
    <w:tmpl w:val="105CEC38"/>
    <w:lvl w:ilvl="0" w:tplc="3E744644">
      <w:start w:val="1"/>
      <w:numFmt w:val="decimal"/>
      <w:lvlText w:val="Box 5.%1:"/>
      <w:lvlJc w:val="left"/>
      <w:pPr>
        <w:ind w:left="360" w:hanging="360"/>
      </w:pPr>
      <w:rPr>
        <w:rFonts w:ascii="Arial Bold" w:hAnsi="Arial Bold" w:hint="default"/>
        <w:b/>
        <w:i w:val="0"/>
        <w:caps w:val="0"/>
        <w:color w:val="00ABE6"/>
        <w:sz w:val="23"/>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4F5E1517"/>
    <w:multiLevelType w:val="hybridMultilevel"/>
    <w:tmpl w:val="3D02BF10"/>
    <w:lvl w:ilvl="0" w:tplc="CAB62BF2">
      <w:start w:val="1"/>
      <w:numFmt w:val="decimal"/>
      <w:pStyle w:val="Table1X"/>
      <w:lvlText w:val="Table 1.%1:"/>
      <w:lvlJc w:val="right"/>
      <w:pPr>
        <w:ind w:left="360" w:hanging="360"/>
      </w:pPr>
      <w:rPr>
        <w:rFonts w:ascii="Arial" w:hAnsi="Arial" w:hint="default"/>
        <w:b w:val="0"/>
        <w:i/>
        <w:caps w:val="0"/>
        <w:color w:val="57514D"/>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50D24187"/>
    <w:multiLevelType w:val="hybridMultilevel"/>
    <w:tmpl w:val="525634E8"/>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7" w15:restartNumberingAfterBreak="0">
    <w:nsid w:val="51045771"/>
    <w:multiLevelType w:val="hybridMultilevel"/>
    <w:tmpl w:val="CADA9D78"/>
    <w:lvl w:ilvl="0" w:tplc="37E0EB26">
      <w:start w:val="1"/>
      <w:numFmt w:val="decimal"/>
      <w:pStyle w:val="TableHeading"/>
      <w:lvlText w:val="Table x.%1:"/>
      <w:lvlJc w:val="left"/>
      <w:pPr>
        <w:tabs>
          <w:tab w:val="num" w:pos="1440"/>
        </w:tabs>
        <w:ind w:left="360" w:hanging="360"/>
      </w:pPr>
      <w:rPr>
        <w:rFonts w:ascii="Arial" w:hAnsi="Arial" w:hint="default"/>
        <w:sz w:val="24"/>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8" w15:restartNumberingAfterBreak="0">
    <w:nsid w:val="52182F57"/>
    <w:multiLevelType w:val="hybridMultilevel"/>
    <w:tmpl w:val="BECE8D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2BD70C2"/>
    <w:multiLevelType w:val="hybridMultilevel"/>
    <w:tmpl w:val="577A4FCA"/>
    <w:lvl w:ilvl="0" w:tplc="8A46047C">
      <w:start w:val="1"/>
      <w:numFmt w:val="bullet"/>
      <w:pStyle w:val="Bullet2"/>
      <w:lvlText w:val="–"/>
      <w:lvlJc w:val="left"/>
      <w:pPr>
        <w:tabs>
          <w:tab w:val="num" w:pos="785"/>
        </w:tabs>
        <w:ind w:left="785" w:hanging="360"/>
      </w:pPr>
      <w:rPr>
        <w:rFonts w:ascii="Lucida Sans" w:hAnsi="Lucida Sans" w:hint="default"/>
        <w:sz w:val="24"/>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53CE583F"/>
    <w:multiLevelType w:val="hybridMultilevel"/>
    <w:tmpl w:val="9A122C4C"/>
    <w:lvl w:ilvl="0" w:tplc="64A0A4BE">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F1A7B"/>
    <w:multiLevelType w:val="hybridMultilevel"/>
    <w:tmpl w:val="1D188E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A665212"/>
    <w:multiLevelType w:val="hybridMultilevel"/>
    <w:tmpl w:val="708AE348"/>
    <w:lvl w:ilvl="0" w:tplc="CCB84C4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5B2907C5"/>
    <w:multiLevelType w:val="hybridMultilevel"/>
    <w:tmpl w:val="677EE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5B522501"/>
    <w:multiLevelType w:val="hybridMultilevel"/>
    <w:tmpl w:val="61D0CE20"/>
    <w:lvl w:ilvl="0" w:tplc="59A69330">
      <w:numFmt w:val="bullet"/>
      <w:pStyle w:val="Bullet1"/>
      <w:lvlText w:val="•"/>
      <w:lvlJc w:val="left"/>
      <w:pPr>
        <w:ind w:left="720" w:hanging="360"/>
      </w:pPr>
      <w:rPr>
        <w:rFonts w:ascii="Arial" w:hAnsi="Arial" w:cs="Arial" w:hint="default"/>
        <w:color w:val="auto"/>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5BA1767B"/>
    <w:multiLevelType w:val="hybridMultilevel"/>
    <w:tmpl w:val="2DBA83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5BA75A59"/>
    <w:multiLevelType w:val="hybridMultilevel"/>
    <w:tmpl w:val="A00C768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5D2F2192"/>
    <w:multiLevelType w:val="hybridMultilevel"/>
    <w:tmpl w:val="E63C282A"/>
    <w:lvl w:ilvl="0" w:tplc="160420B4">
      <w:start w:val="1"/>
      <w:numFmt w:val="bullet"/>
      <w:pStyle w:val="Bullet2inabox"/>
      <w:lvlText w:val="–"/>
      <w:lvlJc w:val="left"/>
      <w:pPr>
        <w:ind w:left="1080" w:hanging="360"/>
      </w:pPr>
      <w:rPr>
        <w:rFonts w:ascii="Lucida Sans" w:hAnsi="Lucida Sans" w:hint="default"/>
        <w:color w:val="008EBA"/>
        <w:sz w:val="23"/>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5DBD6814"/>
    <w:multiLevelType w:val="hybridMultilevel"/>
    <w:tmpl w:val="1194ADDE"/>
    <w:lvl w:ilvl="0" w:tplc="831EBCDC">
      <w:start w:val="1"/>
      <w:numFmt w:val="decimal"/>
      <w:pStyle w:val="Chart6X"/>
      <w:lvlText w:val="Chart 6.%1:"/>
      <w:lvlJc w:val="left"/>
      <w:pPr>
        <w:ind w:left="720" w:hanging="360"/>
      </w:pPr>
      <w:rPr>
        <w:rFonts w:ascii="Arial" w:hAnsi="Arial" w:hint="default"/>
        <w:b w:val="0"/>
        <w:i/>
        <w:caps w:val="0"/>
        <w:color w:val="4F4F4F"/>
        <w:sz w:val="22"/>
        <w:u w:val="none"/>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647C3F69"/>
    <w:multiLevelType w:val="hybridMultilevel"/>
    <w:tmpl w:val="048CB5CC"/>
    <w:lvl w:ilvl="0" w:tplc="00A2928C">
      <w:start w:val="1"/>
      <w:numFmt w:val="decimal"/>
      <w:lvlText w:val="Table 7.%1:"/>
      <w:lvlJc w:val="left"/>
      <w:pPr>
        <w:ind w:left="360" w:hanging="360"/>
      </w:pPr>
      <w:rPr>
        <w:rFonts w:ascii="Arial" w:hAnsi="Arial" w:cs="Arial" w:hint="default"/>
        <w:b w:val="0"/>
        <w:bCs w:val="0"/>
        <w:i/>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65330F60"/>
    <w:multiLevelType w:val="hybridMultilevel"/>
    <w:tmpl w:val="AA3AE2CA"/>
    <w:lvl w:ilvl="0" w:tplc="F77AB1B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7934C4B"/>
    <w:multiLevelType w:val="hybridMultilevel"/>
    <w:tmpl w:val="BB1A61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698C5F85"/>
    <w:multiLevelType w:val="hybridMultilevel"/>
    <w:tmpl w:val="4CBEA29C"/>
    <w:lvl w:ilvl="0" w:tplc="CCB601BE">
      <w:start w:val="1"/>
      <w:numFmt w:val="bullet"/>
      <w:lvlText w:val=""/>
      <w:lvlJc w:val="left"/>
      <w:pPr>
        <w:ind w:left="36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3" w15:restartNumberingAfterBreak="0">
    <w:nsid w:val="6AE650EF"/>
    <w:multiLevelType w:val="hybridMultilevel"/>
    <w:tmpl w:val="32763E5C"/>
    <w:lvl w:ilvl="0" w:tplc="B8AC1D70">
      <w:start w:val="1"/>
      <w:numFmt w:val="decimal"/>
      <w:lvlText w:val="Box 6.%1:"/>
      <w:lvlJc w:val="left"/>
      <w:pPr>
        <w:ind w:left="927" w:hanging="360"/>
      </w:pPr>
      <w:rPr>
        <w:rFonts w:ascii="Arial Bold" w:hAnsi="Arial Bold" w:hint="default"/>
        <w:b/>
        <w:i w:val="0"/>
        <w:sz w:val="23"/>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6DFA6ECC"/>
    <w:multiLevelType w:val="hybridMultilevel"/>
    <w:tmpl w:val="813C68C8"/>
    <w:lvl w:ilvl="0" w:tplc="FC26C8EC">
      <w:start w:val="1"/>
      <w:numFmt w:val="decimal"/>
      <w:pStyle w:val="Box61BoxHeading"/>
      <w:lvlText w:val="Box 6.%1:"/>
      <w:lvlJc w:val="left"/>
      <w:pPr>
        <w:ind w:left="720" w:hanging="360"/>
      </w:pPr>
      <w:rPr>
        <w:rFonts w:ascii="Arial Bold" w:hAnsi="Arial Bold" w:hint="default"/>
        <w:b/>
        <w:i w:val="0"/>
        <w:sz w:val="23"/>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70A71355"/>
    <w:multiLevelType w:val="hybridMultilevel"/>
    <w:tmpl w:val="A37A300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6" w15:restartNumberingAfterBreak="0">
    <w:nsid w:val="71B04581"/>
    <w:multiLevelType w:val="hybridMultilevel"/>
    <w:tmpl w:val="D1763D1A"/>
    <w:lvl w:ilvl="0" w:tplc="54022EE0">
      <w:start w:val="1"/>
      <w:numFmt w:val="decimal"/>
      <w:lvlText w:val="Box 6.%1:"/>
      <w:lvlJc w:val="left"/>
      <w:pPr>
        <w:ind w:left="360" w:hanging="360"/>
      </w:pPr>
      <w:rPr>
        <w:rFonts w:ascii="Arial Bold" w:hAnsi="Arial Bold" w:hint="default"/>
        <w:b/>
        <w:i w:val="0"/>
        <w:sz w:val="23"/>
        <w:u w:color="00ABE6"/>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7" w15:restartNumberingAfterBreak="0">
    <w:nsid w:val="72090ADC"/>
    <w:multiLevelType w:val="hybridMultilevel"/>
    <w:tmpl w:val="FFFFFFFF"/>
    <w:lvl w:ilvl="0" w:tplc="9F10C150">
      <w:start w:val="1"/>
      <w:numFmt w:val="decimal"/>
      <w:lvlText w:val="%1."/>
      <w:lvlJc w:val="left"/>
      <w:pPr>
        <w:tabs>
          <w:tab w:val="num" w:pos="720"/>
        </w:tabs>
        <w:ind w:left="720" w:hanging="720"/>
      </w:pPr>
    </w:lvl>
    <w:lvl w:ilvl="1" w:tplc="A756404C">
      <w:start w:val="1"/>
      <w:numFmt w:val="decimal"/>
      <w:lvlText w:val="%2."/>
      <w:lvlJc w:val="left"/>
      <w:pPr>
        <w:tabs>
          <w:tab w:val="num" w:pos="1440"/>
        </w:tabs>
        <w:ind w:left="1440" w:hanging="720"/>
      </w:pPr>
    </w:lvl>
    <w:lvl w:ilvl="2" w:tplc="335EFFAE">
      <w:start w:val="1"/>
      <w:numFmt w:val="decimal"/>
      <w:lvlText w:val="%3."/>
      <w:lvlJc w:val="left"/>
      <w:pPr>
        <w:tabs>
          <w:tab w:val="num" w:pos="2160"/>
        </w:tabs>
        <w:ind w:left="2160" w:hanging="720"/>
      </w:pPr>
    </w:lvl>
    <w:lvl w:ilvl="3" w:tplc="798C7874">
      <w:start w:val="1"/>
      <w:numFmt w:val="decimal"/>
      <w:lvlText w:val="%4."/>
      <w:lvlJc w:val="left"/>
      <w:pPr>
        <w:tabs>
          <w:tab w:val="num" w:pos="2880"/>
        </w:tabs>
        <w:ind w:left="2880" w:hanging="720"/>
      </w:pPr>
    </w:lvl>
    <w:lvl w:ilvl="4" w:tplc="6706B4FE">
      <w:start w:val="1"/>
      <w:numFmt w:val="decimal"/>
      <w:lvlText w:val="%5."/>
      <w:lvlJc w:val="left"/>
      <w:pPr>
        <w:tabs>
          <w:tab w:val="num" w:pos="3600"/>
        </w:tabs>
        <w:ind w:left="3600" w:hanging="720"/>
      </w:pPr>
    </w:lvl>
    <w:lvl w:ilvl="5" w:tplc="1FC66BDC">
      <w:start w:val="1"/>
      <w:numFmt w:val="decimal"/>
      <w:lvlText w:val="%6."/>
      <w:lvlJc w:val="left"/>
      <w:pPr>
        <w:tabs>
          <w:tab w:val="num" w:pos="4320"/>
        </w:tabs>
        <w:ind w:left="4320" w:hanging="720"/>
      </w:pPr>
    </w:lvl>
    <w:lvl w:ilvl="6" w:tplc="4F3886FE">
      <w:start w:val="1"/>
      <w:numFmt w:val="decimal"/>
      <w:lvlText w:val="%7."/>
      <w:lvlJc w:val="left"/>
      <w:pPr>
        <w:tabs>
          <w:tab w:val="num" w:pos="5040"/>
        </w:tabs>
        <w:ind w:left="5040" w:hanging="720"/>
      </w:pPr>
    </w:lvl>
    <w:lvl w:ilvl="7" w:tplc="479C7978">
      <w:start w:val="1"/>
      <w:numFmt w:val="decimal"/>
      <w:lvlText w:val="%8."/>
      <w:lvlJc w:val="left"/>
      <w:pPr>
        <w:tabs>
          <w:tab w:val="num" w:pos="5760"/>
        </w:tabs>
        <w:ind w:left="5760" w:hanging="720"/>
      </w:pPr>
    </w:lvl>
    <w:lvl w:ilvl="8" w:tplc="82CE7CBC">
      <w:start w:val="1"/>
      <w:numFmt w:val="decimal"/>
      <w:lvlText w:val="%9."/>
      <w:lvlJc w:val="left"/>
      <w:pPr>
        <w:tabs>
          <w:tab w:val="num" w:pos="6480"/>
        </w:tabs>
        <w:ind w:left="6480" w:hanging="720"/>
      </w:pPr>
    </w:lvl>
  </w:abstractNum>
  <w:abstractNum w:abstractNumId="58" w15:restartNumberingAfterBreak="0">
    <w:nsid w:val="73C7642F"/>
    <w:multiLevelType w:val="hybridMultilevel"/>
    <w:tmpl w:val="BE9A9222"/>
    <w:lvl w:ilvl="0" w:tplc="0CFA21AA">
      <w:numFmt w:val="bullet"/>
      <w:lvlText w:val="-"/>
      <w:lvlJc w:val="left"/>
      <w:pPr>
        <w:ind w:left="720" w:hanging="36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15:restartNumberingAfterBreak="0">
    <w:nsid w:val="79712A2A"/>
    <w:multiLevelType w:val="hybridMultilevel"/>
    <w:tmpl w:val="7F9AA18A"/>
    <w:lvl w:ilvl="0" w:tplc="A2D2E284">
      <w:start w:val="1"/>
      <w:numFmt w:val="bullet"/>
      <w:pStyle w:val="Bullet1inabox"/>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15:restartNumberingAfterBreak="0">
    <w:nsid w:val="7B5956AF"/>
    <w:multiLevelType w:val="hybridMultilevel"/>
    <w:tmpl w:val="7EDAED3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7B81606A"/>
    <w:multiLevelType w:val="hybridMultilevel"/>
    <w:tmpl w:val="3CCEFA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7ECE7C59"/>
    <w:multiLevelType w:val="hybridMultilevel"/>
    <w:tmpl w:val="9418D14A"/>
    <w:lvl w:ilvl="0" w:tplc="CCB84C4A">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3" w15:restartNumberingAfterBreak="0">
    <w:nsid w:val="7FE66BD1"/>
    <w:multiLevelType w:val="hybridMultilevel"/>
    <w:tmpl w:val="1D5CA992"/>
    <w:lvl w:ilvl="0" w:tplc="8B12A81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39"/>
  </w:num>
  <w:num w:numId="2">
    <w:abstractNumId w:val="2"/>
  </w:num>
  <w:num w:numId="3">
    <w:abstractNumId w:val="29"/>
  </w:num>
  <w:num w:numId="4">
    <w:abstractNumId w:val="7"/>
  </w:num>
  <w:num w:numId="5">
    <w:abstractNumId w:val="35"/>
  </w:num>
  <w:num w:numId="6">
    <w:abstractNumId w:val="37"/>
  </w:num>
  <w:num w:numId="7">
    <w:abstractNumId w:val="34"/>
  </w:num>
  <w:num w:numId="8">
    <w:abstractNumId w:val="49"/>
  </w:num>
  <w:num w:numId="9">
    <w:abstractNumId w:val="30"/>
  </w:num>
  <w:num w:numId="10">
    <w:abstractNumId w:val="9"/>
  </w:num>
  <w:num w:numId="11">
    <w:abstractNumId w:val="52"/>
  </w:num>
  <w:num w:numId="12">
    <w:abstractNumId w:val="50"/>
  </w:num>
  <w:num w:numId="13">
    <w:abstractNumId w:val="40"/>
  </w:num>
  <w:num w:numId="14">
    <w:abstractNumId w:val="23"/>
  </w:num>
  <w:num w:numId="15">
    <w:abstractNumId w:val="61"/>
  </w:num>
  <w:num w:numId="16">
    <w:abstractNumId w:val="44"/>
  </w:num>
  <w:num w:numId="17">
    <w:abstractNumId w:val="20"/>
  </w:num>
  <w:num w:numId="18">
    <w:abstractNumId w:val="39"/>
  </w:num>
  <w:num w:numId="19">
    <w:abstractNumId w:val="1"/>
  </w:num>
  <w:num w:numId="20">
    <w:abstractNumId w:val="1"/>
  </w:num>
  <w:num w:numId="21">
    <w:abstractNumId w:val="1"/>
  </w:num>
  <w:num w:numId="22">
    <w:abstractNumId w:val="1"/>
  </w:num>
  <w:num w:numId="23">
    <w:abstractNumId w:val="18"/>
  </w:num>
  <w:num w:numId="24">
    <w:abstractNumId w:val="18"/>
    <w:lvlOverride w:ilvl="0">
      <w:startOverride w:val="1"/>
    </w:lvlOverride>
  </w:num>
  <w:num w:numId="25">
    <w:abstractNumId w:val="1"/>
  </w:num>
  <w:num w:numId="26">
    <w:abstractNumId w:val="30"/>
  </w:num>
  <w:num w:numId="27">
    <w:abstractNumId w:val="34"/>
  </w:num>
  <w:num w:numId="28">
    <w:abstractNumId w:val="32"/>
  </w:num>
  <w:num w:numId="29">
    <w:abstractNumId w:val="33"/>
  </w:num>
  <w:num w:numId="30">
    <w:abstractNumId w:val="25"/>
  </w:num>
  <w:num w:numId="31">
    <w:abstractNumId w:val="53"/>
  </w:num>
  <w:num w:numId="32">
    <w:abstractNumId w:val="48"/>
  </w:num>
  <w:num w:numId="33">
    <w:abstractNumId w:val="11"/>
  </w:num>
  <w:num w:numId="34">
    <w:abstractNumId w:val="25"/>
  </w:num>
  <w:num w:numId="35">
    <w:abstractNumId w:val="26"/>
  </w:num>
  <w:num w:numId="36">
    <w:abstractNumId w:val="53"/>
  </w:num>
  <w:num w:numId="37">
    <w:abstractNumId w:val="53"/>
  </w:num>
  <w:num w:numId="38">
    <w:abstractNumId w:val="53"/>
  </w:num>
  <w:num w:numId="39">
    <w:abstractNumId w:val="46"/>
  </w:num>
  <w:num w:numId="40">
    <w:abstractNumId w:val="53"/>
    <w:lvlOverride w:ilvl="0">
      <w:startOverride w:val="1"/>
    </w:lvlOverride>
  </w:num>
  <w:num w:numId="41">
    <w:abstractNumId w:val="45"/>
  </w:num>
  <w:num w:numId="42">
    <w:abstractNumId w:val="16"/>
  </w:num>
  <w:num w:numId="43">
    <w:abstractNumId w:val="57"/>
  </w:num>
  <w:num w:numId="44">
    <w:abstractNumId w:val="10"/>
  </w:num>
  <w:num w:numId="45">
    <w:abstractNumId w:val="51"/>
  </w:num>
  <w:num w:numId="46">
    <w:abstractNumId w:val="4"/>
  </w:num>
  <w:num w:numId="47">
    <w:abstractNumId w:val="58"/>
  </w:num>
  <w:num w:numId="48">
    <w:abstractNumId w:val="13"/>
  </w:num>
  <w:num w:numId="49">
    <w:abstractNumId w:val="56"/>
  </w:num>
  <w:num w:numId="50">
    <w:abstractNumId w:val="3"/>
  </w:num>
  <w:num w:numId="51">
    <w:abstractNumId w:val="15"/>
  </w:num>
  <w:num w:numId="52">
    <w:abstractNumId w:val="6"/>
  </w:num>
  <w:num w:numId="53">
    <w:abstractNumId w:val="28"/>
  </w:num>
  <w:num w:numId="54">
    <w:abstractNumId w:val="60"/>
  </w:num>
  <w:num w:numId="55">
    <w:abstractNumId w:val="55"/>
  </w:num>
  <w:num w:numId="56">
    <w:abstractNumId w:val="19"/>
  </w:num>
  <w:num w:numId="57">
    <w:abstractNumId w:val="54"/>
  </w:num>
  <w:num w:numId="58">
    <w:abstractNumId w:val="12"/>
  </w:num>
  <w:num w:numId="59">
    <w:abstractNumId w:val="27"/>
  </w:num>
  <w:num w:numId="60">
    <w:abstractNumId w:val="59"/>
  </w:num>
  <w:num w:numId="61">
    <w:abstractNumId w:val="47"/>
  </w:num>
  <w:num w:numId="62">
    <w:abstractNumId w:val="42"/>
  </w:num>
  <w:num w:numId="63">
    <w:abstractNumId w:val="62"/>
  </w:num>
  <w:num w:numId="64">
    <w:abstractNumId w:val="8"/>
  </w:num>
  <w:num w:numId="65">
    <w:abstractNumId w:val="41"/>
  </w:num>
  <w:num w:numId="66">
    <w:abstractNumId w:val="0"/>
  </w:num>
  <w:num w:numId="67">
    <w:abstractNumId w:val="21"/>
  </w:num>
  <w:num w:numId="68">
    <w:abstractNumId w:val="43"/>
  </w:num>
  <w:num w:numId="69">
    <w:abstractNumId w:val="5"/>
  </w:num>
  <w:num w:numId="70">
    <w:abstractNumId w:val="36"/>
  </w:num>
  <w:num w:numId="71">
    <w:abstractNumId w:val="5"/>
  </w:num>
  <w:num w:numId="72">
    <w:abstractNumId w:val="5"/>
  </w:num>
  <w:num w:numId="73">
    <w:abstractNumId w:val="54"/>
  </w:num>
  <w:num w:numId="74">
    <w:abstractNumId w:val="38"/>
  </w:num>
  <w:num w:numId="75">
    <w:abstractNumId w:val="22"/>
  </w:num>
  <w:num w:numId="76">
    <w:abstractNumId w:val="14"/>
  </w:num>
  <w:num w:numId="77">
    <w:abstractNumId w:val="5"/>
  </w:num>
  <w:num w:numId="78">
    <w:abstractNumId w:val="5"/>
  </w:num>
  <w:num w:numId="79">
    <w:abstractNumId w:val="5"/>
  </w:num>
  <w:num w:numId="80">
    <w:abstractNumId w:val="63"/>
  </w:num>
  <w:num w:numId="81">
    <w:abstractNumId w:val="31"/>
  </w:num>
  <w:num w:numId="82">
    <w:abstractNumId w:val="17"/>
  </w:num>
  <w:num w:numId="83">
    <w:abstractNumId w:val="17"/>
  </w:num>
  <w:num w:numId="84">
    <w:abstractNumId w:val="17"/>
  </w:num>
  <w:num w:numId="85">
    <w:abstractNumId w:val="24"/>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9"/>
  <w:proofState w:spelling="clean" w:grammar="clean"/>
  <w:defaultTabStop w:val="720"/>
  <w:evenAndOddHeaders/>
  <w:characterSpacingControl w:val="doNotCompress"/>
  <w:savePreviewPicture/>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6541"/>
    <w:rsid w:val="0000028E"/>
    <w:rsid w:val="00000DB1"/>
    <w:rsid w:val="00001702"/>
    <w:rsid w:val="00001B49"/>
    <w:rsid w:val="00001FF6"/>
    <w:rsid w:val="000022B5"/>
    <w:rsid w:val="00002F2D"/>
    <w:rsid w:val="00003255"/>
    <w:rsid w:val="000032FE"/>
    <w:rsid w:val="00003308"/>
    <w:rsid w:val="000035E6"/>
    <w:rsid w:val="00003ED2"/>
    <w:rsid w:val="0000486C"/>
    <w:rsid w:val="00004994"/>
    <w:rsid w:val="00004BF6"/>
    <w:rsid w:val="00004ED0"/>
    <w:rsid w:val="00005119"/>
    <w:rsid w:val="00005A3B"/>
    <w:rsid w:val="00005F04"/>
    <w:rsid w:val="000067CC"/>
    <w:rsid w:val="00006996"/>
    <w:rsid w:val="00006A96"/>
    <w:rsid w:val="00006B85"/>
    <w:rsid w:val="00006CFA"/>
    <w:rsid w:val="000072C1"/>
    <w:rsid w:val="00007404"/>
    <w:rsid w:val="000075A7"/>
    <w:rsid w:val="00007785"/>
    <w:rsid w:val="000079DB"/>
    <w:rsid w:val="0001034B"/>
    <w:rsid w:val="00010B37"/>
    <w:rsid w:val="0001113F"/>
    <w:rsid w:val="000111F7"/>
    <w:rsid w:val="00011361"/>
    <w:rsid w:val="0001144D"/>
    <w:rsid w:val="0001147A"/>
    <w:rsid w:val="000116AB"/>
    <w:rsid w:val="0001174C"/>
    <w:rsid w:val="00011856"/>
    <w:rsid w:val="0001186A"/>
    <w:rsid w:val="00011ACD"/>
    <w:rsid w:val="0001200F"/>
    <w:rsid w:val="000124D9"/>
    <w:rsid w:val="0001273D"/>
    <w:rsid w:val="000133C8"/>
    <w:rsid w:val="00013AB9"/>
    <w:rsid w:val="0001476D"/>
    <w:rsid w:val="00014C85"/>
    <w:rsid w:val="00014C93"/>
    <w:rsid w:val="0001539E"/>
    <w:rsid w:val="00015485"/>
    <w:rsid w:val="00015CAB"/>
    <w:rsid w:val="000160FA"/>
    <w:rsid w:val="0001624B"/>
    <w:rsid w:val="00016941"/>
    <w:rsid w:val="000169BB"/>
    <w:rsid w:val="00016E7D"/>
    <w:rsid w:val="00017081"/>
    <w:rsid w:val="000175C0"/>
    <w:rsid w:val="00017F21"/>
    <w:rsid w:val="00020233"/>
    <w:rsid w:val="00020417"/>
    <w:rsid w:val="00020570"/>
    <w:rsid w:val="00020625"/>
    <w:rsid w:val="00020A80"/>
    <w:rsid w:val="00020E1A"/>
    <w:rsid w:val="00020F50"/>
    <w:rsid w:val="000219D6"/>
    <w:rsid w:val="0002270B"/>
    <w:rsid w:val="00022CEA"/>
    <w:rsid w:val="00022F7D"/>
    <w:rsid w:val="0002354F"/>
    <w:rsid w:val="00023604"/>
    <w:rsid w:val="0002374C"/>
    <w:rsid w:val="00023DE0"/>
    <w:rsid w:val="0002412B"/>
    <w:rsid w:val="00024215"/>
    <w:rsid w:val="0002424D"/>
    <w:rsid w:val="0002439F"/>
    <w:rsid w:val="00024789"/>
    <w:rsid w:val="000247D1"/>
    <w:rsid w:val="0002490B"/>
    <w:rsid w:val="00025364"/>
    <w:rsid w:val="000254D7"/>
    <w:rsid w:val="0002551F"/>
    <w:rsid w:val="0002570E"/>
    <w:rsid w:val="00026396"/>
    <w:rsid w:val="000268E5"/>
    <w:rsid w:val="0002719B"/>
    <w:rsid w:val="00027425"/>
    <w:rsid w:val="000302B5"/>
    <w:rsid w:val="000302B9"/>
    <w:rsid w:val="00030AE3"/>
    <w:rsid w:val="00030C6A"/>
    <w:rsid w:val="00030FB2"/>
    <w:rsid w:val="00031220"/>
    <w:rsid w:val="00031326"/>
    <w:rsid w:val="00031F76"/>
    <w:rsid w:val="00031F9C"/>
    <w:rsid w:val="000324DF"/>
    <w:rsid w:val="000327CD"/>
    <w:rsid w:val="00032C35"/>
    <w:rsid w:val="00033311"/>
    <w:rsid w:val="000335D4"/>
    <w:rsid w:val="00033718"/>
    <w:rsid w:val="000338AB"/>
    <w:rsid w:val="00034537"/>
    <w:rsid w:val="00034547"/>
    <w:rsid w:val="0003464F"/>
    <w:rsid w:val="0003469A"/>
    <w:rsid w:val="0003471D"/>
    <w:rsid w:val="00034826"/>
    <w:rsid w:val="0003484D"/>
    <w:rsid w:val="000348E2"/>
    <w:rsid w:val="000348E3"/>
    <w:rsid w:val="00035601"/>
    <w:rsid w:val="00036175"/>
    <w:rsid w:val="00036610"/>
    <w:rsid w:val="00036D95"/>
    <w:rsid w:val="00036EB5"/>
    <w:rsid w:val="00037197"/>
    <w:rsid w:val="000377A9"/>
    <w:rsid w:val="00037B2F"/>
    <w:rsid w:val="00037BB9"/>
    <w:rsid w:val="00040001"/>
    <w:rsid w:val="000401F6"/>
    <w:rsid w:val="00040710"/>
    <w:rsid w:val="00040823"/>
    <w:rsid w:val="00040B04"/>
    <w:rsid w:val="00040E99"/>
    <w:rsid w:val="00041409"/>
    <w:rsid w:val="0004148F"/>
    <w:rsid w:val="00041DAE"/>
    <w:rsid w:val="00041F7B"/>
    <w:rsid w:val="00042180"/>
    <w:rsid w:val="0004238A"/>
    <w:rsid w:val="00042475"/>
    <w:rsid w:val="000426DF"/>
    <w:rsid w:val="00042D72"/>
    <w:rsid w:val="00042EAE"/>
    <w:rsid w:val="00043293"/>
    <w:rsid w:val="00043322"/>
    <w:rsid w:val="000436E5"/>
    <w:rsid w:val="0004381F"/>
    <w:rsid w:val="00043A72"/>
    <w:rsid w:val="00043CA7"/>
    <w:rsid w:val="00043F88"/>
    <w:rsid w:val="0004445C"/>
    <w:rsid w:val="000445F9"/>
    <w:rsid w:val="00044755"/>
    <w:rsid w:val="00044780"/>
    <w:rsid w:val="0004479E"/>
    <w:rsid w:val="00044A6A"/>
    <w:rsid w:val="00044F8A"/>
    <w:rsid w:val="00044FC0"/>
    <w:rsid w:val="00045037"/>
    <w:rsid w:val="000453BE"/>
    <w:rsid w:val="000457B1"/>
    <w:rsid w:val="00045BB4"/>
    <w:rsid w:val="00045C21"/>
    <w:rsid w:val="00045D96"/>
    <w:rsid w:val="00045EE6"/>
    <w:rsid w:val="000462B0"/>
    <w:rsid w:val="0004658A"/>
    <w:rsid w:val="00046720"/>
    <w:rsid w:val="00046C2F"/>
    <w:rsid w:val="000471AD"/>
    <w:rsid w:val="00047AAD"/>
    <w:rsid w:val="00047FC4"/>
    <w:rsid w:val="00047FEA"/>
    <w:rsid w:val="0005004F"/>
    <w:rsid w:val="000501BD"/>
    <w:rsid w:val="000503EB"/>
    <w:rsid w:val="000504FA"/>
    <w:rsid w:val="0005066A"/>
    <w:rsid w:val="00050812"/>
    <w:rsid w:val="00050DEA"/>
    <w:rsid w:val="00051099"/>
    <w:rsid w:val="000519F1"/>
    <w:rsid w:val="00051BB7"/>
    <w:rsid w:val="000520A7"/>
    <w:rsid w:val="0005215C"/>
    <w:rsid w:val="0005217B"/>
    <w:rsid w:val="00052365"/>
    <w:rsid w:val="0005249D"/>
    <w:rsid w:val="00052965"/>
    <w:rsid w:val="00052BD9"/>
    <w:rsid w:val="00052E58"/>
    <w:rsid w:val="00053234"/>
    <w:rsid w:val="000534D2"/>
    <w:rsid w:val="00053A21"/>
    <w:rsid w:val="00053C70"/>
    <w:rsid w:val="00053D46"/>
    <w:rsid w:val="00053DF8"/>
    <w:rsid w:val="00053ED2"/>
    <w:rsid w:val="00053FA0"/>
    <w:rsid w:val="00054016"/>
    <w:rsid w:val="000541CD"/>
    <w:rsid w:val="00054665"/>
    <w:rsid w:val="00054859"/>
    <w:rsid w:val="0005497F"/>
    <w:rsid w:val="00054C32"/>
    <w:rsid w:val="00054D6B"/>
    <w:rsid w:val="00055083"/>
    <w:rsid w:val="00055384"/>
    <w:rsid w:val="00055CC0"/>
    <w:rsid w:val="00055D2B"/>
    <w:rsid w:val="00055EB6"/>
    <w:rsid w:val="0005694A"/>
    <w:rsid w:val="00056A0B"/>
    <w:rsid w:val="00056AE8"/>
    <w:rsid w:val="000575A5"/>
    <w:rsid w:val="00057A65"/>
    <w:rsid w:val="00057ED2"/>
    <w:rsid w:val="000600B9"/>
    <w:rsid w:val="00060865"/>
    <w:rsid w:val="00061ABC"/>
    <w:rsid w:val="00061D76"/>
    <w:rsid w:val="00061DED"/>
    <w:rsid w:val="00062063"/>
    <w:rsid w:val="000625AE"/>
    <w:rsid w:val="00062AD6"/>
    <w:rsid w:val="00062D99"/>
    <w:rsid w:val="00062FBE"/>
    <w:rsid w:val="000631B4"/>
    <w:rsid w:val="00063254"/>
    <w:rsid w:val="00063467"/>
    <w:rsid w:val="00063543"/>
    <w:rsid w:val="00063A48"/>
    <w:rsid w:val="00063DD0"/>
    <w:rsid w:val="00063DF0"/>
    <w:rsid w:val="00064170"/>
    <w:rsid w:val="000641D9"/>
    <w:rsid w:val="00064A72"/>
    <w:rsid w:val="00064AA6"/>
    <w:rsid w:val="00064AFB"/>
    <w:rsid w:val="00065305"/>
    <w:rsid w:val="000655ED"/>
    <w:rsid w:val="0006563A"/>
    <w:rsid w:val="000659E5"/>
    <w:rsid w:val="00065E51"/>
    <w:rsid w:val="00065EC3"/>
    <w:rsid w:val="000660B0"/>
    <w:rsid w:val="0006614F"/>
    <w:rsid w:val="0006615E"/>
    <w:rsid w:val="0006697F"/>
    <w:rsid w:val="00066FEF"/>
    <w:rsid w:val="00067B63"/>
    <w:rsid w:val="00067BCF"/>
    <w:rsid w:val="00067BFC"/>
    <w:rsid w:val="00067C7A"/>
    <w:rsid w:val="00067FC4"/>
    <w:rsid w:val="000700BF"/>
    <w:rsid w:val="000702BA"/>
    <w:rsid w:val="00070EC1"/>
    <w:rsid w:val="00071260"/>
    <w:rsid w:val="000712AB"/>
    <w:rsid w:val="00071334"/>
    <w:rsid w:val="00071539"/>
    <w:rsid w:val="00071628"/>
    <w:rsid w:val="00071746"/>
    <w:rsid w:val="0007180E"/>
    <w:rsid w:val="00071B91"/>
    <w:rsid w:val="00071C2E"/>
    <w:rsid w:val="00071E86"/>
    <w:rsid w:val="00071E8B"/>
    <w:rsid w:val="00072616"/>
    <w:rsid w:val="00072BE5"/>
    <w:rsid w:val="00073855"/>
    <w:rsid w:val="000745E9"/>
    <w:rsid w:val="00074853"/>
    <w:rsid w:val="0007485E"/>
    <w:rsid w:val="0007489D"/>
    <w:rsid w:val="00075108"/>
    <w:rsid w:val="000754B6"/>
    <w:rsid w:val="0007590D"/>
    <w:rsid w:val="00075F85"/>
    <w:rsid w:val="000760BA"/>
    <w:rsid w:val="00076351"/>
    <w:rsid w:val="000765EC"/>
    <w:rsid w:val="00076BD1"/>
    <w:rsid w:val="00076FDC"/>
    <w:rsid w:val="00076FF6"/>
    <w:rsid w:val="0007707D"/>
    <w:rsid w:val="000771FA"/>
    <w:rsid w:val="00077809"/>
    <w:rsid w:val="00077900"/>
    <w:rsid w:val="00077AFF"/>
    <w:rsid w:val="00077E26"/>
    <w:rsid w:val="00080378"/>
    <w:rsid w:val="000803DB"/>
    <w:rsid w:val="00080D98"/>
    <w:rsid w:val="000811F9"/>
    <w:rsid w:val="00081938"/>
    <w:rsid w:val="00081CAD"/>
    <w:rsid w:val="00081CD6"/>
    <w:rsid w:val="00081CF5"/>
    <w:rsid w:val="0008254A"/>
    <w:rsid w:val="0008265E"/>
    <w:rsid w:val="0008283E"/>
    <w:rsid w:val="00082926"/>
    <w:rsid w:val="00082A44"/>
    <w:rsid w:val="00082DC1"/>
    <w:rsid w:val="00082F0A"/>
    <w:rsid w:val="00082F70"/>
    <w:rsid w:val="00082FC7"/>
    <w:rsid w:val="000837E4"/>
    <w:rsid w:val="00084593"/>
    <w:rsid w:val="0008465E"/>
    <w:rsid w:val="000848A7"/>
    <w:rsid w:val="00084955"/>
    <w:rsid w:val="00084AD8"/>
    <w:rsid w:val="00084FC4"/>
    <w:rsid w:val="000851FD"/>
    <w:rsid w:val="00085322"/>
    <w:rsid w:val="0008586B"/>
    <w:rsid w:val="00085ED2"/>
    <w:rsid w:val="00085ED7"/>
    <w:rsid w:val="00085F9D"/>
    <w:rsid w:val="00086409"/>
    <w:rsid w:val="000867F4"/>
    <w:rsid w:val="00086E14"/>
    <w:rsid w:val="00087B9F"/>
    <w:rsid w:val="00090002"/>
    <w:rsid w:val="0009036F"/>
    <w:rsid w:val="00090646"/>
    <w:rsid w:val="00090E94"/>
    <w:rsid w:val="0009102E"/>
    <w:rsid w:val="00091278"/>
    <w:rsid w:val="000915A0"/>
    <w:rsid w:val="00091DD8"/>
    <w:rsid w:val="0009215E"/>
    <w:rsid w:val="00092802"/>
    <w:rsid w:val="00092FA0"/>
    <w:rsid w:val="0009328F"/>
    <w:rsid w:val="00093584"/>
    <w:rsid w:val="00093A8A"/>
    <w:rsid w:val="0009423C"/>
    <w:rsid w:val="0009484F"/>
    <w:rsid w:val="00094947"/>
    <w:rsid w:val="00094F83"/>
    <w:rsid w:val="00095334"/>
    <w:rsid w:val="00095FB7"/>
    <w:rsid w:val="0009620A"/>
    <w:rsid w:val="0009635F"/>
    <w:rsid w:val="000966E3"/>
    <w:rsid w:val="000969D4"/>
    <w:rsid w:val="00097469"/>
    <w:rsid w:val="000977B0"/>
    <w:rsid w:val="000978B4"/>
    <w:rsid w:val="000978D5"/>
    <w:rsid w:val="000A0995"/>
    <w:rsid w:val="000A0BBF"/>
    <w:rsid w:val="000A0DF2"/>
    <w:rsid w:val="000A0F6C"/>
    <w:rsid w:val="000A11DA"/>
    <w:rsid w:val="000A1380"/>
    <w:rsid w:val="000A1DA1"/>
    <w:rsid w:val="000A233B"/>
    <w:rsid w:val="000A261B"/>
    <w:rsid w:val="000A2865"/>
    <w:rsid w:val="000A2C4A"/>
    <w:rsid w:val="000A2E6C"/>
    <w:rsid w:val="000A2F7D"/>
    <w:rsid w:val="000A3FF0"/>
    <w:rsid w:val="000A4096"/>
    <w:rsid w:val="000A4182"/>
    <w:rsid w:val="000A4299"/>
    <w:rsid w:val="000A44E1"/>
    <w:rsid w:val="000A452F"/>
    <w:rsid w:val="000A45DE"/>
    <w:rsid w:val="000A4AAB"/>
    <w:rsid w:val="000A4FBA"/>
    <w:rsid w:val="000A54FC"/>
    <w:rsid w:val="000A553D"/>
    <w:rsid w:val="000A587D"/>
    <w:rsid w:val="000A61F4"/>
    <w:rsid w:val="000A61F6"/>
    <w:rsid w:val="000A621A"/>
    <w:rsid w:val="000A6EE8"/>
    <w:rsid w:val="000A7135"/>
    <w:rsid w:val="000A755E"/>
    <w:rsid w:val="000A7A24"/>
    <w:rsid w:val="000A7A6F"/>
    <w:rsid w:val="000A7B82"/>
    <w:rsid w:val="000A7D3A"/>
    <w:rsid w:val="000A7E70"/>
    <w:rsid w:val="000B00FB"/>
    <w:rsid w:val="000B02EC"/>
    <w:rsid w:val="000B0B37"/>
    <w:rsid w:val="000B1860"/>
    <w:rsid w:val="000B24FB"/>
    <w:rsid w:val="000B266D"/>
    <w:rsid w:val="000B27F3"/>
    <w:rsid w:val="000B2B9A"/>
    <w:rsid w:val="000B2EA7"/>
    <w:rsid w:val="000B35BD"/>
    <w:rsid w:val="000B395C"/>
    <w:rsid w:val="000B3A00"/>
    <w:rsid w:val="000B416D"/>
    <w:rsid w:val="000B434B"/>
    <w:rsid w:val="000B4650"/>
    <w:rsid w:val="000B5156"/>
    <w:rsid w:val="000B52D5"/>
    <w:rsid w:val="000B573B"/>
    <w:rsid w:val="000B5C61"/>
    <w:rsid w:val="000B5E72"/>
    <w:rsid w:val="000B649C"/>
    <w:rsid w:val="000B64E6"/>
    <w:rsid w:val="000B6607"/>
    <w:rsid w:val="000B6DFB"/>
    <w:rsid w:val="000B6F23"/>
    <w:rsid w:val="000B6F31"/>
    <w:rsid w:val="000B70E8"/>
    <w:rsid w:val="000B71C8"/>
    <w:rsid w:val="000B7532"/>
    <w:rsid w:val="000C0584"/>
    <w:rsid w:val="000C064E"/>
    <w:rsid w:val="000C0B99"/>
    <w:rsid w:val="000C1869"/>
    <w:rsid w:val="000C1B71"/>
    <w:rsid w:val="000C1B75"/>
    <w:rsid w:val="000C1FA9"/>
    <w:rsid w:val="000C258B"/>
    <w:rsid w:val="000C2753"/>
    <w:rsid w:val="000C2755"/>
    <w:rsid w:val="000C2E64"/>
    <w:rsid w:val="000C3025"/>
    <w:rsid w:val="000C328B"/>
    <w:rsid w:val="000C329B"/>
    <w:rsid w:val="000C3310"/>
    <w:rsid w:val="000C3315"/>
    <w:rsid w:val="000C3435"/>
    <w:rsid w:val="000C36B6"/>
    <w:rsid w:val="000C36DD"/>
    <w:rsid w:val="000C395C"/>
    <w:rsid w:val="000C3C19"/>
    <w:rsid w:val="000C3FCD"/>
    <w:rsid w:val="000C4391"/>
    <w:rsid w:val="000C4487"/>
    <w:rsid w:val="000C46BB"/>
    <w:rsid w:val="000C4C46"/>
    <w:rsid w:val="000C4DE7"/>
    <w:rsid w:val="000C4E60"/>
    <w:rsid w:val="000C4E93"/>
    <w:rsid w:val="000C5032"/>
    <w:rsid w:val="000C541A"/>
    <w:rsid w:val="000C561E"/>
    <w:rsid w:val="000C5EC9"/>
    <w:rsid w:val="000C64A3"/>
    <w:rsid w:val="000C6A59"/>
    <w:rsid w:val="000C78A1"/>
    <w:rsid w:val="000C7A73"/>
    <w:rsid w:val="000C7C46"/>
    <w:rsid w:val="000C7DC5"/>
    <w:rsid w:val="000D0280"/>
    <w:rsid w:val="000D0578"/>
    <w:rsid w:val="000D08C3"/>
    <w:rsid w:val="000D0986"/>
    <w:rsid w:val="000D16BD"/>
    <w:rsid w:val="000D1820"/>
    <w:rsid w:val="000D185B"/>
    <w:rsid w:val="000D1980"/>
    <w:rsid w:val="000D1BF6"/>
    <w:rsid w:val="000D1D73"/>
    <w:rsid w:val="000D21A1"/>
    <w:rsid w:val="000D2426"/>
    <w:rsid w:val="000D2483"/>
    <w:rsid w:val="000D24A8"/>
    <w:rsid w:val="000D26AF"/>
    <w:rsid w:val="000D2C42"/>
    <w:rsid w:val="000D2D36"/>
    <w:rsid w:val="000D39F4"/>
    <w:rsid w:val="000D432C"/>
    <w:rsid w:val="000D436B"/>
    <w:rsid w:val="000D444A"/>
    <w:rsid w:val="000D463E"/>
    <w:rsid w:val="000D4E66"/>
    <w:rsid w:val="000D5104"/>
    <w:rsid w:val="000D5788"/>
    <w:rsid w:val="000D58AE"/>
    <w:rsid w:val="000D58EC"/>
    <w:rsid w:val="000D58EF"/>
    <w:rsid w:val="000D5D68"/>
    <w:rsid w:val="000D638E"/>
    <w:rsid w:val="000D66DC"/>
    <w:rsid w:val="000D680D"/>
    <w:rsid w:val="000D75BA"/>
    <w:rsid w:val="000D787C"/>
    <w:rsid w:val="000D7C06"/>
    <w:rsid w:val="000D7C41"/>
    <w:rsid w:val="000D7EE4"/>
    <w:rsid w:val="000E0170"/>
    <w:rsid w:val="000E0720"/>
    <w:rsid w:val="000E0F5E"/>
    <w:rsid w:val="000E12DB"/>
    <w:rsid w:val="000E1512"/>
    <w:rsid w:val="000E1600"/>
    <w:rsid w:val="000E1CAD"/>
    <w:rsid w:val="000E2706"/>
    <w:rsid w:val="000E2FBA"/>
    <w:rsid w:val="000E32AF"/>
    <w:rsid w:val="000E33DC"/>
    <w:rsid w:val="000E3BAF"/>
    <w:rsid w:val="000E3CBC"/>
    <w:rsid w:val="000E3CE1"/>
    <w:rsid w:val="000E3E12"/>
    <w:rsid w:val="000E414B"/>
    <w:rsid w:val="000E4BE6"/>
    <w:rsid w:val="000E4E9B"/>
    <w:rsid w:val="000E558B"/>
    <w:rsid w:val="000E5591"/>
    <w:rsid w:val="000E57A6"/>
    <w:rsid w:val="000E59B7"/>
    <w:rsid w:val="000E59C5"/>
    <w:rsid w:val="000E5FB3"/>
    <w:rsid w:val="000E6305"/>
    <w:rsid w:val="000E6590"/>
    <w:rsid w:val="000E6A8C"/>
    <w:rsid w:val="000E6EB1"/>
    <w:rsid w:val="000E73B6"/>
    <w:rsid w:val="000E7743"/>
    <w:rsid w:val="000E78A3"/>
    <w:rsid w:val="000E7B7A"/>
    <w:rsid w:val="000E7C16"/>
    <w:rsid w:val="000E7DC9"/>
    <w:rsid w:val="000E7F26"/>
    <w:rsid w:val="000F045D"/>
    <w:rsid w:val="000F0530"/>
    <w:rsid w:val="000F055E"/>
    <w:rsid w:val="000F06E5"/>
    <w:rsid w:val="000F07D9"/>
    <w:rsid w:val="000F0DCA"/>
    <w:rsid w:val="000F1407"/>
    <w:rsid w:val="000F149C"/>
    <w:rsid w:val="000F1E9A"/>
    <w:rsid w:val="000F23DA"/>
    <w:rsid w:val="000F2806"/>
    <w:rsid w:val="000F2914"/>
    <w:rsid w:val="000F2923"/>
    <w:rsid w:val="000F2E4A"/>
    <w:rsid w:val="000F33D8"/>
    <w:rsid w:val="000F355D"/>
    <w:rsid w:val="000F42E8"/>
    <w:rsid w:val="000F45A1"/>
    <w:rsid w:val="000F468E"/>
    <w:rsid w:val="000F4DFF"/>
    <w:rsid w:val="000F4EFC"/>
    <w:rsid w:val="000F563C"/>
    <w:rsid w:val="000F5849"/>
    <w:rsid w:val="000F5D42"/>
    <w:rsid w:val="000F5E7F"/>
    <w:rsid w:val="000F6017"/>
    <w:rsid w:val="000F6354"/>
    <w:rsid w:val="000F67B4"/>
    <w:rsid w:val="000F68A1"/>
    <w:rsid w:val="000F68E9"/>
    <w:rsid w:val="000F6942"/>
    <w:rsid w:val="000F6FC2"/>
    <w:rsid w:val="000F772F"/>
    <w:rsid w:val="0010006A"/>
    <w:rsid w:val="00100BEE"/>
    <w:rsid w:val="00100D3E"/>
    <w:rsid w:val="00100DA6"/>
    <w:rsid w:val="0010110F"/>
    <w:rsid w:val="0010151E"/>
    <w:rsid w:val="001015C6"/>
    <w:rsid w:val="0010171F"/>
    <w:rsid w:val="00101AF8"/>
    <w:rsid w:val="00101C47"/>
    <w:rsid w:val="00101C88"/>
    <w:rsid w:val="00102147"/>
    <w:rsid w:val="001024C5"/>
    <w:rsid w:val="001026A3"/>
    <w:rsid w:val="001026F2"/>
    <w:rsid w:val="001027E3"/>
    <w:rsid w:val="00102AFA"/>
    <w:rsid w:val="0010343A"/>
    <w:rsid w:val="00103457"/>
    <w:rsid w:val="00103F4A"/>
    <w:rsid w:val="00104166"/>
    <w:rsid w:val="00104240"/>
    <w:rsid w:val="001042EC"/>
    <w:rsid w:val="00104361"/>
    <w:rsid w:val="0010473B"/>
    <w:rsid w:val="00104AC8"/>
    <w:rsid w:val="00104BAE"/>
    <w:rsid w:val="00104DBB"/>
    <w:rsid w:val="00105122"/>
    <w:rsid w:val="001054A7"/>
    <w:rsid w:val="00105667"/>
    <w:rsid w:val="001059CE"/>
    <w:rsid w:val="001059F9"/>
    <w:rsid w:val="00105E33"/>
    <w:rsid w:val="001069C4"/>
    <w:rsid w:val="00106F2A"/>
    <w:rsid w:val="0010719B"/>
    <w:rsid w:val="001072B5"/>
    <w:rsid w:val="00107322"/>
    <w:rsid w:val="00107451"/>
    <w:rsid w:val="001074C0"/>
    <w:rsid w:val="001075C9"/>
    <w:rsid w:val="001078E9"/>
    <w:rsid w:val="00107D00"/>
    <w:rsid w:val="001101CE"/>
    <w:rsid w:val="0011054D"/>
    <w:rsid w:val="0011071D"/>
    <w:rsid w:val="001107D6"/>
    <w:rsid w:val="00110BAF"/>
    <w:rsid w:val="00110CAA"/>
    <w:rsid w:val="00110CC3"/>
    <w:rsid w:val="00110EF3"/>
    <w:rsid w:val="00110FFA"/>
    <w:rsid w:val="001114CA"/>
    <w:rsid w:val="00111508"/>
    <w:rsid w:val="0011167B"/>
    <w:rsid w:val="001119A2"/>
    <w:rsid w:val="00111AC5"/>
    <w:rsid w:val="00112443"/>
    <w:rsid w:val="00112781"/>
    <w:rsid w:val="001129A6"/>
    <w:rsid w:val="001129C8"/>
    <w:rsid w:val="00112D70"/>
    <w:rsid w:val="00112DD8"/>
    <w:rsid w:val="00112FBF"/>
    <w:rsid w:val="001133EB"/>
    <w:rsid w:val="00113EBA"/>
    <w:rsid w:val="0011457D"/>
    <w:rsid w:val="00114ABE"/>
    <w:rsid w:val="00114B16"/>
    <w:rsid w:val="00114D52"/>
    <w:rsid w:val="001152B5"/>
    <w:rsid w:val="00115601"/>
    <w:rsid w:val="001160E2"/>
    <w:rsid w:val="0011646B"/>
    <w:rsid w:val="00116586"/>
    <w:rsid w:val="001166E9"/>
    <w:rsid w:val="00116713"/>
    <w:rsid w:val="001167A3"/>
    <w:rsid w:val="00116892"/>
    <w:rsid w:val="00116909"/>
    <w:rsid w:val="00116A23"/>
    <w:rsid w:val="00116B1F"/>
    <w:rsid w:val="00117050"/>
    <w:rsid w:val="00117122"/>
    <w:rsid w:val="00117D90"/>
    <w:rsid w:val="00120E6B"/>
    <w:rsid w:val="00121228"/>
    <w:rsid w:val="00121342"/>
    <w:rsid w:val="0012167A"/>
    <w:rsid w:val="00121B2A"/>
    <w:rsid w:val="00121BCC"/>
    <w:rsid w:val="0012200A"/>
    <w:rsid w:val="001222DC"/>
    <w:rsid w:val="00122597"/>
    <w:rsid w:val="001226FC"/>
    <w:rsid w:val="00122800"/>
    <w:rsid w:val="001228EB"/>
    <w:rsid w:val="00122C40"/>
    <w:rsid w:val="00122DE2"/>
    <w:rsid w:val="0012301C"/>
    <w:rsid w:val="0012338C"/>
    <w:rsid w:val="00123538"/>
    <w:rsid w:val="001237D2"/>
    <w:rsid w:val="00123A2B"/>
    <w:rsid w:val="00123E2D"/>
    <w:rsid w:val="001244CD"/>
    <w:rsid w:val="0012473B"/>
    <w:rsid w:val="00124A88"/>
    <w:rsid w:val="001252C3"/>
    <w:rsid w:val="001255B7"/>
    <w:rsid w:val="00125881"/>
    <w:rsid w:val="00125953"/>
    <w:rsid w:val="00125CA6"/>
    <w:rsid w:val="00125DAA"/>
    <w:rsid w:val="00125F11"/>
    <w:rsid w:val="0012698F"/>
    <w:rsid w:val="00126DB2"/>
    <w:rsid w:val="0012705B"/>
    <w:rsid w:val="00127384"/>
    <w:rsid w:val="0012764A"/>
    <w:rsid w:val="001302D5"/>
    <w:rsid w:val="00130ACA"/>
    <w:rsid w:val="00130C7A"/>
    <w:rsid w:val="00130EA9"/>
    <w:rsid w:val="001314BB"/>
    <w:rsid w:val="001314C2"/>
    <w:rsid w:val="001316B9"/>
    <w:rsid w:val="001318EC"/>
    <w:rsid w:val="0013195D"/>
    <w:rsid w:val="00131F20"/>
    <w:rsid w:val="001321CB"/>
    <w:rsid w:val="00132218"/>
    <w:rsid w:val="0013244A"/>
    <w:rsid w:val="00132AEA"/>
    <w:rsid w:val="00132BAF"/>
    <w:rsid w:val="00132D10"/>
    <w:rsid w:val="00132D7A"/>
    <w:rsid w:val="00132E64"/>
    <w:rsid w:val="001333CA"/>
    <w:rsid w:val="00133415"/>
    <w:rsid w:val="0013343D"/>
    <w:rsid w:val="001334E3"/>
    <w:rsid w:val="00133520"/>
    <w:rsid w:val="00133634"/>
    <w:rsid w:val="0013375C"/>
    <w:rsid w:val="0013399F"/>
    <w:rsid w:val="00133A11"/>
    <w:rsid w:val="00133A95"/>
    <w:rsid w:val="00133AA4"/>
    <w:rsid w:val="00133AE9"/>
    <w:rsid w:val="00133C9E"/>
    <w:rsid w:val="001342F2"/>
    <w:rsid w:val="00134494"/>
    <w:rsid w:val="001344DD"/>
    <w:rsid w:val="0013489E"/>
    <w:rsid w:val="001349C9"/>
    <w:rsid w:val="00134EE4"/>
    <w:rsid w:val="001350DD"/>
    <w:rsid w:val="001352D0"/>
    <w:rsid w:val="00135AE0"/>
    <w:rsid w:val="00136A7E"/>
    <w:rsid w:val="00136C1F"/>
    <w:rsid w:val="00136E26"/>
    <w:rsid w:val="001370D8"/>
    <w:rsid w:val="00137236"/>
    <w:rsid w:val="001372B1"/>
    <w:rsid w:val="00137744"/>
    <w:rsid w:val="00137D8C"/>
    <w:rsid w:val="00137E0C"/>
    <w:rsid w:val="001409EB"/>
    <w:rsid w:val="0014131E"/>
    <w:rsid w:val="00141885"/>
    <w:rsid w:val="0014196A"/>
    <w:rsid w:val="00141C14"/>
    <w:rsid w:val="00141CBD"/>
    <w:rsid w:val="00141F2F"/>
    <w:rsid w:val="0014213E"/>
    <w:rsid w:val="0014261A"/>
    <w:rsid w:val="001427A1"/>
    <w:rsid w:val="00142DDD"/>
    <w:rsid w:val="00142F18"/>
    <w:rsid w:val="0014326D"/>
    <w:rsid w:val="001435BE"/>
    <w:rsid w:val="001437FE"/>
    <w:rsid w:val="00143C7B"/>
    <w:rsid w:val="00143DB1"/>
    <w:rsid w:val="00144481"/>
    <w:rsid w:val="001445A8"/>
    <w:rsid w:val="00144E91"/>
    <w:rsid w:val="00144FCC"/>
    <w:rsid w:val="001453F4"/>
    <w:rsid w:val="00145730"/>
    <w:rsid w:val="00145753"/>
    <w:rsid w:val="00145962"/>
    <w:rsid w:val="001464DA"/>
    <w:rsid w:val="001465A5"/>
    <w:rsid w:val="00146978"/>
    <w:rsid w:val="00147017"/>
    <w:rsid w:val="00147F03"/>
    <w:rsid w:val="00150428"/>
    <w:rsid w:val="00150578"/>
    <w:rsid w:val="001506BD"/>
    <w:rsid w:val="0015094D"/>
    <w:rsid w:val="00151332"/>
    <w:rsid w:val="0015141A"/>
    <w:rsid w:val="00151C8E"/>
    <w:rsid w:val="00151D6E"/>
    <w:rsid w:val="00151FFA"/>
    <w:rsid w:val="0015284D"/>
    <w:rsid w:val="00152951"/>
    <w:rsid w:val="00152A1A"/>
    <w:rsid w:val="00152E27"/>
    <w:rsid w:val="00153009"/>
    <w:rsid w:val="0015311E"/>
    <w:rsid w:val="00153A10"/>
    <w:rsid w:val="00153CD1"/>
    <w:rsid w:val="00153D06"/>
    <w:rsid w:val="0015456F"/>
    <w:rsid w:val="00154E05"/>
    <w:rsid w:val="00155601"/>
    <w:rsid w:val="0015561C"/>
    <w:rsid w:val="00155775"/>
    <w:rsid w:val="001557BC"/>
    <w:rsid w:val="00155AA6"/>
    <w:rsid w:val="00155CAC"/>
    <w:rsid w:val="00156334"/>
    <w:rsid w:val="00156528"/>
    <w:rsid w:val="00156AEB"/>
    <w:rsid w:val="00156E35"/>
    <w:rsid w:val="00157165"/>
    <w:rsid w:val="001573CF"/>
    <w:rsid w:val="0015789B"/>
    <w:rsid w:val="00157C5D"/>
    <w:rsid w:val="00157C8E"/>
    <w:rsid w:val="0016051C"/>
    <w:rsid w:val="001606CE"/>
    <w:rsid w:val="00160D44"/>
    <w:rsid w:val="00160D97"/>
    <w:rsid w:val="00161B07"/>
    <w:rsid w:val="00162033"/>
    <w:rsid w:val="0016383A"/>
    <w:rsid w:val="001639CC"/>
    <w:rsid w:val="00163A3C"/>
    <w:rsid w:val="00163D86"/>
    <w:rsid w:val="00163EA4"/>
    <w:rsid w:val="00164601"/>
    <w:rsid w:val="00164AED"/>
    <w:rsid w:val="00164B92"/>
    <w:rsid w:val="00164BC8"/>
    <w:rsid w:val="001659D0"/>
    <w:rsid w:val="00166022"/>
    <w:rsid w:val="00166244"/>
    <w:rsid w:val="00166488"/>
    <w:rsid w:val="001665F0"/>
    <w:rsid w:val="00166DBE"/>
    <w:rsid w:val="00166FD5"/>
    <w:rsid w:val="001671B8"/>
    <w:rsid w:val="001673C4"/>
    <w:rsid w:val="001675F5"/>
    <w:rsid w:val="001676B5"/>
    <w:rsid w:val="00170074"/>
    <w:rsid w:val="00170684"/>
    <w:rsid w:val="00170C52"/>
    <w:rsid w:val="00171329"/>
    <w:rsid w:val="00171396"/>
    <w:rsid w:val="00171BF6"/>
    <w:rsid w:val="00171FDB"/>
    <w:rsid w:val="00172100"/>
    <w:rsid w:val="0017264B"/>
    <w:rsid w:val="00173491"/>
    <w:rsid w:val="00173B50"/>
    <w:rsid w:val="00173C80"/>
    <w:rsid w:val="00173EAC"/>
    <w:rsid w:val="001740FE"/>
    <w:rsid w:val="00174398"/>
    <w:rsid w:val="0017441E"/>
    <w:rsid w:val="0017442C"/>
    <w:rsid w:val="0017457F"/>
    <w:rsid w:val="001749F0"/>
    <w:rsid w:val="00175322"/>
    <w:rsid w:val="001753BF"/>
    <w:rsid w:val="001754BA"/>
    <w:rsid w:val="00175783"/>
    <w:rsid w:val="001757A4"/>
    <w:rsid w:val="001759B0"/>
    <w:rsid w:val="00177184"/>
    <w:rsid w:val="00177949"/>
    <w:rsid w:val="001779FC"/>
    <w:rsid w:val="00177C1D"/>
    <w:rsid w:val="0018022D"/>
    <w:rsid w:val="0018086A"/>
    <w:rsid w:val="00180AC0"/>
    <w:rsid w:val="00180C34"/>
    <w:rsid w:val="00180D19"/>
    <w:rsid w:val="00180E0A"/>
    <w:rsid w:val="00180EE9"/>
    <w:rsid w:val="0018179D"/>
    <w:rsid w:val="001817B3"/>
    <w:rsid w:val="001821A3"/>
    <w:rsid w:val="00182527"/>
    <w:rsid w:val="0018258B"/>
    <w:rsid w:val="00182A0A"/>
    <w:rsid w:val="00182A57"/>
    <w:rsid w:val="00182A58"/>
    <w:rsid w:val="00182C1B"/>
    <w:rsid w:val="001834EA"/>
    <w:rsid w:val="00183659"/>
    <w:rsid w:val="0018367E"/>
    <w:rsid w:val="00183E6F"/>
    <w:rsid w:val="00183E88"/>
    <w:rsid w:val="00184124"/>
    <w:rsid w:val="0018418B"/>
    <w:rsid w:val="00184475"/>
    <w:rsid w:val="00184EF4"/>
    <w:rsid w:val="00184F89"/>
    <w:rsid w:val="00185337"/>
    <w:rsid w:val="00185539"/>
    <w:rsid w:val="00185854"/>
    <w:rsid w:val="0018634F"/>
    <w:rsid w:val="00186513"/>
    <w:rsid w:val="00186749"/>
    <w:rsid w:val="00186AD2"/>
    <w:rsid w:val="00186E29"/>
    <w:rsid w:val="001877F1"/>
    <w:rsid w:val="00187BD5"/>
    <w:rsid w:val="00187C72"/>
    <w:rsid w:val="0019042D"/>
    <w:rsid w:val="00190597"/>
    <w:rsid w:val="00190A72"/>
    <w:rsid w:val="00190B87"/>
    <w:rsid w:val="00190E04"/>
    <w:rsid w:val="00190E7F"/>
    <w:rsid w:val="00191027"/>
    <w:rsid w:val="0019107F"/>
    <w:rsid w:val="00191167"/>
    <w:rsid w:val="00191395"/>
    <w:rsid w:val="00191A0C"/>
    <w:rsid w:val="001922BC"/>
    <w:rsid w:val="0019254D"/>
    <w:rsid w:val="00192805"/>
    <w:rsid w:val="00192A48"/>
    <w:rsid w:val="00192E4C"/>
    <w:rsid w:val="0019386B"/>
    <w:rsid w:val="001938CD"/>
    <w:rsid w:val="00193BBA"/>
    <w:rsid w:val="00193E88"/>
    <w:rsid w:val="00193FBE"/>
    <w:rsid w:val="0019510E"/>
    <w:rsid w:val="00195376"/>
    <w:rsid w:val="001954C1"/>
    <w:rsid w:val="00195552"/>
    <w:rsid w:val="0019577F"/>
    <w:rsid w:val="00195846"/>
    <w:rsid w:val="0019586C"/>
    <w:rsid w:val="00195926"/>
    <w:rsid w:val="00195C6E"/>
    <w:rsid w:val="00195DF7"/>
    <w:rsid w:val="00196148"/>
    <w:rsid w:val="001967B2"/>
    <w:rsid w:val="00196E91"/>
    <w:rsid w:val="00196ED1"/>
    <w:rsid w:val="001975EE"/>
    <w:rsid w:val="00197BD8"/>
    <w:rsid w:val="00197CF6"/>
    <w:rsid w:val="001A06AA"/>
    <w:rsid w:val="001A0E7C"/>
    <w:rsid w:val="001A1378"/>
    <w:rsid w:val="001A1658"/>
    <w:rsid w:val="001A1EA4"/>
    <w:rsid w:val="001A1F11"/>
    <w:rsid w:val="001A2F30"/>
    <w:rsid w:val="001A320E"/>
    <w:rsid w:val="001A3231"/>
    <w:rsid w:val="001A3390"/>
    <w:rsid w:val="001A343B"/>
    <w:rsid w:val="001A36E2"/>
    <w:rsid w:val="001A36E6"/>
    <w:rsid w:val="001A3953"/>
    <w:rsid w:val="001A3FF2"/>
    <w:rsid w:val="001A411C"/>
    <w:rsid w:val="001A4921"/>
    <w:rsid w:val="001A49E5"/>
    <w:rsid w:val="001A4C4F"/>
    <w:rsid w:val="001A522E"/>
    <w:rsid w:val="001A56F2"/>
    <w:rsid w:val="001A58FE"/>
    <w:rsid w:val="001A592F"/>
    <w:rsid w:val="001A5D8E"/>
    <w:rsid w:val="001A623A"/>
    <w:rsid w:val="001A6A42"/>
    <w:rsid w:val="001A7657"/>
    <w:rsid w:val="001A7A67"/>
    <w:rsid w:val="001A7E54"/>
    <w:rsid w:val="001A7F05"/>
    <w:rsid w:val="001B0615"/>
    <w:rsid w:val="001B0BF6"/>
    <w:rsid w:val="001B0DDD"/>
    <w:rsid w:val="001B1085"/>
    <w:rsid w:val="001B16F9"/>
    <w:rsid w:val="001B18B7"/>
    <w:rsid w:val="001B2507"/>
    <w:rsid w:val="001B2ABB"/>
    <w:rsid w:val="001B2B36"/>
    <w:rsid w:val="001B2BCA"/>
    <w:rsid w:val="001B300B"/>
    <w:rsid w:val="001B30EC"/>
    <w:rsid w:val="001B32BD"/>
    <w:rsid w:val="001B3AA9"/>
    <w:rsid w:val="001B4282"/>
    <w:rsid w:val="001B42A2"/>
    <w:rsid w:val="001B48B4"/>
    <w:rsid w:val="001B48C7"/>
    <w:rsid w:val="001B4BFF"/>
    <w:rsid w:val="001B4F6E"/>
    <w:rsid w:val="001B5905"/>
    <w:rsid w:val="001B5FBB"/>
    <w:rsid w:val="001B6061"/>
    <w:rsid w:val="001B6648"/>
    <w:rsid w:val="001B7035"/>
    <w:rsid w:val="001B70D5"/>
    <w:rsid w:val="001B79DA"/>
    <w:rsid w:val="001B7E28"/>
    <w:rsid w:val="001C0D8F"/>
    <w:rsid w:val="001C12A9"/>
    <w:rsid w:val="001C13DA"/>
    <w:rsid w:val="001C1B39"/>
    <w:rsid w:val="001C1D52"/>
    <w:rsid w:val="001C1DAC"/>
    <w:rsid w:val="001C1FC1"/>
    <w:rsid w:val="001C211D"/>
    <w:rsid w:val="001C2273"/>
    <w:rsid w:val="001C2343"/>
    <w:rsid w:val="001C2379"/>
    <w:rsid w:val="001C27F4"/>
    <w:rsid w:val="001C2952"/>
    <w:rsid w:val="001C2C34"/>
    <w:rsid w:val="001C34F0"/>
    <w:rsid w:val="001C38B8"/>
    <w:rsid w:val="001C3FC1"/>
    <w:rsid w:val="001C4290"/>
    <w:rsid w:val="001C4716"/>
    <w:rsid w:val="001C5421"/>
    <w:rsid w:val="001C55F1"/>
    <w:rsid w:val="001C58A6"/>
    <w:rsid w:val="001C597C"/>
    <w:rsid w:val="001C5BAB"/>
    <w:rsid w:val="001C5FBC"/>
    <w:rsid w:val="001C630F"/>
    <w:rsid w:val="001C6371"/>
    <w:rsid w:val="001C651A"/>
    <w:rsid w:val="001C6933"/>
    <w:rsid w:val="001C6CC4"/>
    <w:rsid w:val="001C714A"/>
    <w:rsid w:val="001C71CB"/>
    <w:rsid w:val="001C71D2"/>
    <w:rsid w:val="001C72CF"/>
    <w:rsid w:val="001C7312"/>
    <w:rsid w:val="001C7A47"/>
    <w:rsid w:val="001C7F7D"/>
    <w:rsid w:val="001D012D"/>
    <w:rsid w:val="001D0200"/>
    <w:rsid w:val="001D037E"/>
    <w:rsid w:val="001D14A6"/>
    <w:rsid w:val="001D1611"/>
    <w:rsid w:val="001D1938"/>
    <w:rsid w:val="001D1970"/>
    <w:rsid w:val="001D1A47"/>
    <w:rsid w:val="001D1E5C"/>
    <w:rsid w:val="001D3182"/>
    <w:rsid w:val="001D31B3"/>
    <w:rsid w:val="001D46AA"/>
    <w:rsid w:val="001D4975"/>
    <w:rsid w:val="001D4992"/>
    <w:rsid w:val="001D4A45"/>
    <w:rsid w:val="001D4C75"/>
    <w:rsid w:val="001D51F0"/>
    <w:rsid w:val="001D520D"/>
    <w:rsid w:val="001D57DA"/>
    <w:rsid w:val="001D632D"/>
    <w:rsid w:val="001D6368"/>
    <w:rsid w:val="001D6927"/>
    <w:rsid w:val="001D6C2A"/>
    <w:rsid w:val="001D6C4D"/>
    <w:rsid w:val="001D7604"/>
    <w:rsid w:val="001D78EF"/>
    <w:rsid w:val="001D7925"/>
    <w:rsid w:val="001D7B9B"/>
    <w:rsid w:val="001D7BE2"/>
    <w:rsid w:val="001D7C1D"/>
    <w:rsid w:val="001E0035"/>
    <w:rsid w:val="001E01E5"/>
    <w:rsid w:val="001E0EC2"/>
    <w:rsid w:val="001E0FA5"/>
    <w:rsid w:val="001E154D"/>
    <w:rsid w:val="001E1961"/>
    <w:rsid w:val="001E22C6"/>
    <w:rsid w:val="001E24D1"/>
    <w:rsid w:val="001E2578"/>
    <w:rsid w:val="001E28B3"/>
    <w:rsid w:val="001E2E7C"/>
    <w:rsid w:val="001E303C"/>
    <w:rsid w:val="001E3D33"/>
    <w:rsid w:val="001E3D45"/>
    <w:rsid w:val="001E42F7"/>
    <w:rsid w:val="001E46B0"/>
    <w:rsid w:val="001E46F2"/>
    <w:rsid w:val="001E48D9"/>
    <w:rsid w:val="001E4A25"/>
    <w:rsid w:val="001E4B09"/>
    <w:rsid w:val="001E4F6B"/>
    <w:rsid w:val="001E5235"/>
    <w:rsid w:val="001E5621"/>
    <w:rsid w:val="001E5F78"/>
    <w:rsid w:val="001E666D"/>
    <w:rsid w:val="001E6F76"/>
    <w:rsid w:val="001E716E"/>
    <w:rsid w:val="001E7834"/>
    <w:rsid w:val="001E7BED"/>
    <w:rsid w:val="001F0641"/>
    <w:rsid w:val="001F06B3"/>
    <w:rsid w:val="001F07D9"/>
    <w:rsid w:val="001F0D05"/>
    <w:rsid w:val="001F112F"/>
    <w:rsid w:val="001F16A4"/>
    <w:rsid w:val="001F16AA"/>
    <w:rsid w:val="001F18E4"/>
    <w:rsid w:val="001F1CEC"/>
    <w:rsid w:val="001F1E41"/>
    <w:rsid w:val="001F2584"/>
    <w:rsid w:val="001F2807"/>
    <w:rsid w:val="001F2B81"/>
    <w:rsid w:val="001F3071"/>
    <w:rsid w:val="001F33F6"/>
    <w:rsid w:val="001F383B"/>
    <w:rsid w:val="001F3866"/>
    <w:rsid w:val="001F3890"/>
    <w:rsid w:val="001F3BF3"/>
    <w:rsid w:val="001F3C55"/>
    <w:rsid w:val="001F3DA2"/>
    <w:rsid w:val="001F3FC7"/>
    <w:rsid w:val="001F434D"/>
    <w:rsid w:val="001F441B"/>
    <w:rsid w:val="001F4444"/>
    <w:rsid w:val="001F4FC2"/>
    <w:rsid w:val="001F532D"/>
    <w:rsid w:val="001F57EB"/>
    <w:rsid w:val="001F591B"/>
    <w:rsid w:val="001F5A96"/>
    <w:rsid w:val="001F6272"/>
    <w:rsid w:val="001F628F"/>
    <w:rsid w:val="001F65A3"/>
    <w:rsid w:val="001F6783"/>
    <w:rsid w:val="001F6A40"/>
    <w:rsid w:val="001F6C48"/>
    <w:rsid w:val="001F6CB1"/>
    <w:rsid w:val="001F6D23"/>
    <w:rsid w:val="001F7862"/>
    <w:rsid w:val="001F7876"/>
    <w:rsid w:val="001F7B1F"/>
    <w:rsid w:val="001F7B51"/>
    <w:rsid w:val="0020009B"/>
    <w:rsid w:val="00200582"/>
    <w:rsid w:val="00200BA0"/>
    <w:rsid w:val="00200BC2"/>
    <w:rsid w:val="00201231"/>
    <w:rsid w:val="002014C4"/>
    <w:rsid w:val="00201E60"/>
    <w:rsid w:val="0020215E"/>
    <w:rsid w:val="002025E6"/>
    <w:rsid w:val="00202859"/>
    <w:rsid w:val="00202E0E"/>
    <w:rsid w:val="002031B7"/>
    <w:rsid w:val="00203503"/>
    <w:rsid w:val="00204102"/>
    <w:rsid w:val="00204938"/>
    <w:rsid w:val="00204A0B"/>
    <w:rsid w:val="00204DE9"/>
    <w:rsid w:val="00205274"/>
    <w:rsid w:val="00205C33"/>
    <w:rsid w:val="00205F27"/>
    <w:rsid w:val="0020667E"/>
    <w:rsid w:val="002068C6"/>
    <w:rsid w:val="00206D7B"/>
    <w:rsid w:val="00206EA9"/>
    <w:rsid w:val="00206FCE"/>
    <w:rsid w:val="002077B5"/>
    <w:rsid w:val="00207FA0"/>
    <w:rsid w:val="0021068F"/>
    <w:rsid w:val="00210EFB"/>
    <w:rsid w:val="00210F61"/>
    <w:rsid w:val="00211033"/>
    <w:rsid w:val="0021110E"/>
    <w:rsid w:val="00211339"/>
    <w:rsid w:val="00211A4F"/>
    <w:rsid w:val="00211B97"/>
    <w:rsid w:val="00211FEE"/>
    <w:rsid w:val="00212CED"/>
    <w:rsid w:val="0021313E"/>
    <w:rsid w:val="002132D2"/>
    <w:rsid w:val="00213704"/>
    <w:rsid w:val="00213AC7"/>
    <w:rsid w:val="0021401B"/>
    <w:rsid w:val="002140C5"/>
    <w:rsid w:val="002144E1"/>
    <w:rsid w:val="00214849"/>
    <w:rsid w:val="00214CE9"/>
    <w:rsid w:val="00214D42"/>
    <w:rsid w:val="002155F9"/>
    <w:rsid w:val="002155FC"/>
    <w:rsid w:val="0021574C"/>
    <w:rsid w:val="0021588E"/>
    <w:rsid w:val="002159EB"/>
    <w:rsid w:val="00215E5A"/>
    <w:rsid w:val="00216005"/>
    <w:rsid w:val="00216019"/>
    <w:rsid w:val="002164F9"/>
    <w:rsid w:val="00216999"/>
    <w:rsid w:val="00217246"/>
    <w:rsid w:val="002172E9"/>
    <w:rsid w:val="002173B2"/>
    <w:rsid w:val="00217454"/>
    <w:rsid w:val="0021784C"/>
    <w:rsid w:val="00220090"/>
    <w:rsid w:val="0022009A"/>
    <w:rsid w:val="002201E3"/>
    <w:rsid w:val="00220519"/>
    <w:rsid w:val="00220E59"/>
    <w:rsid w:val="00221065"/>
    <w:rsid w:val="0022144C"/>
    <w:rsid w:val="002214CD"/>
    <w:rsid w:val="002217D1"/>
    <w:rsid w:val="00221B94"/>
    <w:rsid w:val="00221C8C"/>
    <w:rsid w:val="00221D9A"/>
    <w:rsid w:val="00221EAB"/>
    <w:rsid w:val="0022238C"/>
    <w:rsid w:val="00222457"/>
    <w:rsid w:val="00222537"/>
    <w:rsid w:val="0022288B"/>
    <w:rsid w:val="00222A07"/>
    <w:rsid w:val="00222F0C"/>
    <w:rsid w:val="00222FE2"/>
    <w:rsid w:val="0022320B"/>
    <w:rsid w:val="00223557"/>
    <w:rsid w:val="002236AD"/>
    <w:rsid w:val="002236B1"/>
    <w:rsid w:val="00223AAC"/>
    <w:rsid w:val="00223BE2"/>
    <w:rsid w:val="00224807"/>
    <w:rsid w:val="0022497B"/>
    <w:rsid w:val="00224B78"/>
    <w:rsid w:val="002255C5"/>
    <w:rsid w:val="00225722"/>
    <w:rsid w:val="002268A7"/>
    <w:rsid w:val="00227AE6"/>
    <w:rsid w:val="00227BB3"/>
    <w:rsid w:val="0023014A"/>
    <w:rsid w:val="00230591"/>
    <w:rsid w:val="002308AC"/>
    <w:rsid w:val="00230A42"/>
    <w:rsid w:val="00230A91"/>
    <w:rsid w:val="002310C5"/>
    <w:rsid w:val="00231800"/>
    <w:rsid w:val="002319CD"/>
    <w:rsid w:val="00231ED1"/>
    <w:rsid w:val="00232068"/>
    <w:rsid w:val="002321F0"/>
    <w:rsid w:val="00232280"/>
    <w:rsid w:val="0023263F"/>
    <w:rsid w:val="002326F6"/>
    <w:rsid w:val="00232928"/>
    <w:rsid w:val="00232D25"/>
    <w:rsid w:val="00232E47"/>
    <w:rsid w:val="00232F59"/>
    <w:rsid w:val="002331D8"/>
    <w:rsid w:val="0023325B"/>
    <w:rsid w:val="00233934"/>
    <w:rsid w:val="00233A4C"/>
    <w:rsid w:val="00233EFC"/>
    <w:rsid w:val="002343AB"/>
    <w:rsid w:val="002349EE"/>
    <w:rsid w:val="002351FD"/>
    <w:rsid w:val="002353A9"/>
    <w:rsid w:val="00235B18"/>
    <w:rsid w:val="00236A0D"/>
    <w:rsid w:val="00236BA6"/>
    <w:rsid w:val="00236CF5"/>
    <w:rsid w:val="00236D31"/>
    <w:rsid w:val="00236ECC"/>
    <w:rsid w:val="002373B4"/>
    <w:rsid w:val="00237553"/>
    <w:rsid w:val="00240280"/>
    <w:rsid w:val="002408A2"/>
    <w:rsid w:val="00240982"/>
    <w:rsid w:val="00241182"/>
    <w:rsid w:val="00241B9B"/>
    <w:rsid w:val="0024219D"/>
    <w:rsid w:val="0024228E"/>
    <w:rsid w:val="00242756"/>
    <w:rsid w:val="00242869"/>
    <w:rsid w:val="002428B4"/>
    <w:rsid w:val="00242C96"/>
    <w:rsid w:val="0024302A"/>
    <w:rsid w:val="00243097"/>
    <w:rsid w:val="0024319A"/>
    <w:rsid w:val="00243A2B"/>
    <w:rsid w:val="002445CD"/>
    <w:rsid w:val="00244AA0"/>
    <w:rsid w:val="00244F41"/>
    <w:rsid w:val="002454E0"/>
    <w:rsid w:val="002455C5"/>
    <w:rsid w:val="00245785"/>
    <w:rsid w:val="00245F42"/>
    <w:rsid w:val="00246027"/>
    <w:rsid w:val="00246156"/>
    <w:rsid w:val="00246E7C"/>
    <w:rsid w:val="00246FE9"/>
    <w:rsid w:val="002476F2"/>
    <w:rsid w:val="0024790A"/>
    <w:rsid w:val="00247DB3"/>
    <w:rsid w:val="00250097"/>
    <w:rsid w:val="00250299"/>
    <w:rsid w:val="002507CA"/>
    <w:rsid w:val="00250EC6"/>
    <w:rsid w:val="00250F4F"/>
    <w:rsid w:val="00250FE2"/>
    <w:rsid w:val="00251193"/>
    <w:rsid w:val="002514FE"/>
    <w:rsid w:val="002515DC"/>
    <w:rsid w:val="00251933"/>
    <w:rsid w:val="00251D83"/>
    <w:rsid w:val="0025240E"/>
    <w:rsid w:val="00252439"/>
    <w:rsid w:val="0025254D"/>
    <w:rsid w:val="00252FAD"/>
    <w:rsid w:val="00253444"/>
    <w:rsid w:val="00253594"/>
    <w:rsid w:val="00253964"/>
    <w:rsid w:val="00253CE6"/>
    <w:rsid w:val="00254589"/>
    <w:rsid w:val="002548DC"/>
    <w:rsid w:val="00254C86"/>
    <w:rsid w:val="002551AC"/>
    <w:rsid w:val="00255972"/>
    <w:rsid w:val="00255BA3"/>
    <w:rsid w:val="002563F2"/>
    <w:rsid w:val="00256674"/>
    <w:rsid w:val="00256A47"/>
    <w:rsid w:val="002574AD"/>
    <w:rsid w:val="002574B9"/>
    <w:rsid w:val="00257812"/>
    <w:rsid w:val="00257E99"/>
    <w:rsid w:val="0026038B"/>
    <w:rsid w:val="002604F7"/>
    <w:rsid w:val="00261421"/>
    <w:rsid w:val="0026171D"/>
    <w:rsid w:val="00261874"/>
    <w:rsid w:val="00261885"/>
    <w:rsid w:val="00261A51"/>
    <w:rsid w:val="0026208A"/>
    <w:rsid w:val="002620FC"/>
    <w:rsid w:val="00262F19"/>
    <w:rsid w:val="002630DF"/>
    <w:rsid w:val="002633B6"/>
    <w:rsid w:val="002637DE"/>
    <w:rsid w:val="00263A63"/>
    <w:rsid w:val="00263AEA"/>
    <w:rsid w:val="00263CE3"/>
    <w:rsid w:val="00263F7A"/>
    <w:rsid w:val="002643B3"/>
    <w:rsid w:val="0026484B"/>
    <w:rsid w:val="00264B63"/>
    <w:rsid w:val="00264FC3"/>
    <w:rsid w:val="002652FF"/>
    <w:rsid w:val="0026555D"/>
    <w:rsid w:val="002659E3"/>
    <w:rsid w:val="0026600D"/>
    <w:rsid w:val="00266200"/>
    <w:rsid w:val="0026691C"/>
    <w:rsid w:val="00266A71"/>
    <w:rsid w:val="00266B20"/>
    <w:rsid w:val="00267B38"/>
    <w:rsid w:val="00267CFC"/>
    <w:rsid w:val="00267E32"/>
    <w:rsid w:val="0027019C"/>
    <w:rsid w:val="00270952"/>
    <w:rsid w:val="00270B6C"/>
    <w:rsid w:val="00270F72"/>
    <w:rsid w:val="0027155F"/>
    <w:rsid w:val="002717D4"/>
    <w:rsid w:val="00271C78"/>
    <w:rsid w:val="00271CC1"/>
    <w:rsid w:val="00271CE1"/>
    <w:rsid w:val="00272449"/>
    <w:rsid w:val="00272D6C"/>
    <w:rsid w:val="00272F37"/>
    <w:rsid w:val="0027300C"/>
    <w:rsid w:val="002738F6"/>
    <w:rsid w:val="00273917"/>
    <w:rsid w:val="0027393F"/>
    <w:rsid w:val="00273AB4"/>
    <w:rsid w:val="00273DE1"/>
    <w:rsid w:val="00273E8A"/>
    <w:rsid w:val="002740D6"/>
    <w:rsid w:val="00274157"/>
    <w:rsid w:val="0027418C"/>
    <w:rsid w:val="002742D0"/>
    <w:rsid w:val="00274339"/>
    <w:rsid w:val="002743AD"/>
    <w:rsid w:val="002751ED"/>
    <w:rsid w:val="0027538D"/>
    <w:rsid w:val="002754A5"/>
    <w:rsid w:val="00275768"/>
    <w:rsid w:val="00275CC8"/>
    <w:rsid w:val="00275CD5"/>
    <w:rsid w:val="00275E2B"/>
    <w:rsid w:val="0027609D"/>
    <w:rsid w:val="002768F6"/>
    <w:rsid w:val="00276DA2"/>
    <w:rsid w:val="00277AF4"/>
    <w:rsid w:val="00277B9F"/>
    <w:rsid w:val="00277BE0"/>
    <w:rsid w:val="00277CAD"/>
    <w:rsid w:val="00280292"/>
    <w:rsid w:val="00280389"/>
    <w:rsid w:val="0028043E"/>
    <w:rsid w:val="00280821"/>
    <w:rsid w:val="00280B38"/>
    <w:rsid w:val="00280B93"/>
    <w:rsid w:val="00281004"/>
    <w:rsid w:val="002812A6"/>
    <w:rsid w:val="00281612"/>
    <w:rsid w:val="002818CE"/>
    <w:rsid w:val="00282201"/>
    <w:rsid w:val="002823BC"/>
    <w:rsid w:val="00282452"/>
    <w:rsid w:val="002828F1"/>
    <w:rsid w:val="002828FC"/>
    <w:rsid w:val="002829E7"/>
    <w:rsid w:val="00282EF5"/>
    <w:rsid w:val="002839D9"/>
    <w:rsid w:val="00283BA0"/>
    <w:rsid w:val="00283C5F"/>
    <w:rsid w:val="00283DE5"/>
    <w:rsid w:val="00283FE3"/>
    <w:rsid w:val="00284058"/>
    <w:rsid w:val="00284517"/>
    <w:rsid w:val="002847D3"/>
    <w:rsid w:val="002849E5"/>
    <w:rsid w:val="00284A33"/>
    <w:rsid w:val="00284AC3"/>
    <w:rsid w:val="00284B32"/>
    <w:rsid w:val="00284EA9"/>
    <w:rsid w:val="00285101"/>
    <w:rsid w:val="0028523F"/>
    <w:rsid w:val="002853DF"/>
    <w:rsid w:val="00285C4F"/>
    <w:rsid w:val="002861DF"/>
    <w:rsid w:val="002867FB"/>
    <w:rsid w:val="00286BA2"/>
    <w:rsid w:val="00286D75"/>
    <w:rsid w:val="00287521"/>
    <w:rsid w:val="00287881"/>
    <w:rsid w:val="00287A49"/>
    <w:rsid w:val="00287B63"/>
    <w:rsid w:val="00287CA0"/>
    <w:rsid w:val="00287E12"/>
    <w:rsid w:val="002903D4"/>
    <w:rsid w:val="00290452"/>
    <w:rsid w:val="00290C11"/>
    <w:rsid w:val="00290C96"/>
    <w:rsid w:val="00290F06"/>
    <w:rsid w:val="00290F3A"/>
    <w:rsid w:val="00291591"/>
    <w:rsid w:val="002915D0"/>
    <w:rsid w:val="00291FA4"/>
    <w:rsid w:val="00292124"/>
    <w:rsid w:val="00292159"/>
    <w:rsid w:val="002921D4"/>
    <w:rsid w:val="002929D9"/>
    <w:rsid w:val="00292C55"/>
    <w:rsid w:val="00292D5A"/>
    <w:rsid w:val="00293335"/>
    <w:rsid w:val="0029351C"/>
    <w:rsid w:val="00293B0F"/>
    <w:rsid w:val="00293C25"/>
    <w:rsid w:val="00293D5C"/>
    <w:rsid w:val="00294344"/>
    <w:rsid w:val="00294411"/>
    <w:rsid w:val="00294766"/>
    <w:rsid w:val="00294A91"/>
    <w:rsid w:val="00294CBF"/>
    <w:rsid w:val="00295D05"/>
    <w:rsid w:val="00296194"/>
    <w:rsid w:val="00296770"/>
    <w:rsid w:val="0029687B"/>
    <w:rsid w:val="00296A47"/>
    <w:rsid w:val="00296C42"/>
    <w:rsid w:val="00296D4B"/>
    <w:rsid w:val="00296EFE"/>
    <w:rsid w:val="00296FD0"/>
    <w:rsid w:val="00297117"/>
    <w:rsid w:val="00297363"/>
    <w:rsid w:val="002975B6"/>
    <w:rsid w:val="002A1139"/>
    <w:rsid w:val="002A12D0"/>
    <w:rsid w:val="002A18DF"/>
    <w:rsid w:val="002A1922"/>
    <w:rsid w:val="002A1DE5"/>
    <w:rsid w:val="002A204D"/>
    <w:rsid w:val="002A23C2"/>
    <w:rsid w:val="002A2409"/>
    <w:rsid w:val="002A285A"/>
    <w:rsid w:val="002A286E"/>
    <w:rsid w:val="002A2AA0"/>
    <w:rsid w:val="002A2B05"/>
    <w:rsid w:val="002A2EA7"/>
    <w:rsid w:val="002A3404"/>
    <w:rsid w:val="002A3AA2"/>
    <w:rsid w:val="002A3B30"/>
    <w:rsid w:val="002A3C6C"/>
    <w:rsid w:val="002A44DB"/>
    <w:rsid w:val="002A465A"/>
    <w:rsid w:val="002A4CDF"/>
    <w:rsid w:val="002A4D97"/>
    <w:rsid w:val="002A4F86"/>
    <w:rsid w:val="002A5B55"/>
    <w:rsid w:val="002A5C20"/>
    <w:rsid w:val="002A5EB4"/>
    <w:rsid w:val="002A615A"/>
    <w:rsid w:val="002A62B4"/>
    <w:rsid w:val="002A673E"/>
    <w:rsid w:val="002A72EE"/>
    <w:rsid w:val="002A743B"/>
    <w:rsid w:val="002A747A"/>
    <w:rsid w:val="002A75B2"/>
    <w:rsid w:val="002A7624"/>
    <w:rsid w:val="002A779A"/>
    <w:rsid w:val="002A7916"/>
    <w:rsid w:val="002A79DF"/>
    <w:rsid w:val="002A7F33"/>
    <w:rsid w:val="002A7F77"/>
    <w:rsid w:val="002B00C2"/>
    <w:rsid w:val="002B0211"/>
    <w:rsid w:val="002B044A"/>
    <w:rsid w:val="002B0EC5"/>
    <w:rsid w:val="002B1089"/>
    <w:rsid w:val="002B12C1"/>
    <w:rsid w:val="002B13DD"/>
    <w:rsid w:val="002B157F"/>
    <w:rsid w:val="002B173A"/>
    <w:rsid w:val="002B280E"/>
    <w:rsid w:val="002B2A35"/>
    <w:rsid w:val="002B2ACD"/>
    <w:rsid w:val="002B3B47"/>
    <w:rsid w:val="002B4003"/>
    <w:rsid w:val="002B40F0"/>
    <w:rsid w:val="002B422F"/>
    <w:rsid w:val="002B4470"/>
    <w:rsid w:val="002B465D"/>
    <w:rsid w:val="002B483F"/>
    <w:rsid w:val="002B4B70"/>
    <w:rsid w:val="002B4EDF"/>
    <w:rsid w:val="002B4FBB"/>
    <w:rsid w:val="002B5C36"/>
    <w:rsid w:val="002B5E66"/>
    <w:rsid w:val="002B610C"/>
    <w:rsid w:val="002B6198"/>
    <w:rsid w:val="002B675A"/>
    <w:rsid w:val="002B6A38"/>
    <w:rsid w:val="002B6C82"/>
    <w:rsid w:val="002B6D99"/>
    <w:rsid w:val="002B6F50"/>
    <w:rsid w:val="002B741C"/>
    <w:rsid w:val="002B7545"/>
    <w:rsid w:val="002C030A"/>
    <w:rsid w:val="002C102A"/>
    <w:rsid w:val="002C148A"/>
    <w:rsid w:val="002C1532"/>
    <w:rsid w:val="002C1A22"/>
    <w:rsid w:val="002C2771"/>
    <w:rsid w:val="002C2901"/>
    <w:rsid w:val="002C2B40"/>
    <w:rsid w:val="002C2E8E"/>
    <w:rsid w:val="002C2EF9"/>
    <w:rsid w:val="002C33AB"/>
    <w:rsid w:val="002C3965"/>
    <w:rsid w:val="002C397F"/>
    <w:rsid w:val="002C3E35"/>
    <w:rsid w:val="002C3F36"/>
    <w:rsid w:val="002C40F4"/>
    <w:rsid w:val="002C430D"/>
    <w:rsid w:val="002C44A2"/>
    <w:rsid w:val="002C44F3"/>
    <w:rsid w:val="002C5071"/>
    <w:rsid w:val="002C525F"/>
    <w:rsid w:val="002C5419"/>
    <w:rsid w:val="002C562C"/>
    <w:rsid w:val="002C5A4C"/>
    <w:rsid w:val="002C5B5C"/>
    <w:rsid w:val="002C5D5C"/>
    <w:rsid w:val="002C5D96"/>
    <w:rsid w:val="002C5DD6"/>
    <w:rsid w:val="002C623D"/>
    <w:rsid w:val="002C63F1"/>
    <w:rsid w:val="002C667E"/>
    <w:rsid w:val="002C6A69"/>
    <w:rsid w:val="002C6D9A"/>
    <w:rsid w:val="002C6E3B"/>
    <w:rsid w:val="002C7974"/>
    <w:rsid w:val="002C7C9D"/>
    <w:rsid w:val="002C7F0E"/>
    <w:rsid w:val="002D035A"/>
    <w:rsid w:val="002D08A6"/>
    <w:rsid w:val="002D08DC"/>
    <w:rsid w:val="002D0F49"/>
    <w:rsid w:val="002D1393"/>
    <w:rsid w:val="002D1536"/>
    <w:rsid w:val="002D1658"/>
    <w:rsid w:val="002D1667"/>
    <w:rsid w:val="002D1D28"/>
    <w:rsid w:val="002D2407"/>
    <w:rsid w:val="002D2580"/>
    <w:rsid w:val="002D2614"/>
    <w:rsid w:val="002D264A"/>
    <w:rsid w:val="002D28C7"/>
    <w:rsid w:val="002D29FC"/>
    <w:rsid w:val="002D3534"/>
    <w:rsid w:val="002D3696"/>
    <w:rsid w:val="002D3AD2"/>
    <w:rsid w:val="002D3D8B"/>
    <w:rsid w:val="002D3E7C"/>
    <w:rsid w:val="002D3F6D"/>
    <w:rsid w:val="002D4315"/>
    <w:rsid w:val="002D4649"/>
    <w:rsid w:val="002D4A37"/>
    <w:rsid w:val="002D4E65"/>
    <w:rsid w:val="002D52C8"/>
    <w:rsid w:val="002D5B5D"/>
    <w:rsid w:val="002D5B8E"/>
    <w:rsid w:val="002D6581"/>
    <w:rsid w:val="002D6964"/>
    <w:rsid w:val="002D6B42"/>
    <w:rsid w:val="002D6D7F"/>
    <w:rsid w:val="002D7313"/>
    <w:rsid w:val="002D787F"/>
    <w:rsid w:val="002D7BDB"/>
    <w:rsid w:val="002E00AF"/>
    <w:rsid w:val="002E04D3"/>
    <w:rsid w:val="002E05CF"/>
    <w:rsid w:val="002E061D"/>
    <w:rsid w:val="002E0C91"/>
    <w:rsid w:val="002E115F"/>
    <w:rsid w:val="002E1C46"/>
    <w:rsid w:val="002E1C58"/>
    <w:rsid w:val="002E1D1C"/>
    <w:rsid w:val="002E1D36"/>
    <w:rsid w:val="002E1E0A"/>
    <w:rsid w:val="002E1F91"/>
    <w:rsid w:val="002E225A"/>
    <w:rsid w:val="002E233D"/>
    <w:rsid w:val="002E237E"/>
    <w:rsid w:val="002E29A4"/>
    <w:rsid w:val="002E31A7"/>
    <w:rsid w:val="002E3219"/>
    <w:rsid w:val="002E3355"/>
    <w:rsid w:val="002E3587"/>
    <w:rsid w:val="002E359A"/>
    <w:rsid w:val="002E396B"/>
    <w:rsid w:val="002E3A43"/>
    <w:rsid w:val="002E3D3C"/>
    <w:rsid w:val="002E448E"/>
    <w:rsid w:val="002E499F"/>
    <w:rsid w:val="002E4A26"/>
    <w:rsid w:val="002E58BA"/>
    <w:rsid w:val="002E591B"/>
    <w:rsid w:val="002E5BB4"/>
    <w:rsid w:val="002E5DE3"/>
    <w:rsid w:val="002E61F4"/>
    <w:rsid w:val="002E64C4"/>
    <w:rsid w:val="002E6ADD"/>
    <w:rsid w:val="002E6C51"/>
    <w:rsid w:val="002E6EF8"/>
    <w:rsid w:val="002E6F27"/>
    <w:rsid w:val="002E7A7F"/>
    <w:rsid w:val="002E7F02"/>
    <w:rsid w:val="002E7F88"/>
    <w:rsid w:val="002F0335"/>
    <w:rsid w:val="002F0620"/>
    <w:rsid w:val="002F1161"/>
    <w:rsid w:val="002F125B"/>
    <w:rsid w:val="002F12D4"/>
    <w:rsid w:val="002F1A04"/>
    <w:rsid w:val="002F1D28"/>
    <w:rsid w:val="002F21F8"/>
    <w:rsid w:val="002F220B"/>
    <w:rsid w:val="002F2612"/>
    <w:rsid w:val="002F29ED"/>
    <w:rsid w:val="002F2A3F"/>
    <w:rsid w:val="002F3C28"/>
    <w:rsid w:val="002F3F2A"/>
    <w:rsid w:val="002F3F64"/>
    <w:rsid w:val="002F3FFF"/>
    <w:rsid w:val="002F40CA"/>
    <w:rsid w:val="002F4230"/>
    <w:rsid w:val="002F4245"/>
    <w:rsid w:val="002F44AF"/>
    <w:rsid w:val="002F48CB"/>
    <w:rsid w:val="002F501D"/>
    <w:rsid w:val="002F5E1A"/>
    <w:rsid w:val="002F658A"/>
    <w:rsid w:val="002F678C"/>
    <w:rsid w:val="002F699C"/>
    <w:rsid w:val="002F76BA"/>
    <w:rsid w:val="002F770D"/>
    <w:rsid w:val="002F79A5"/>
    <w:rsid w:val="002F7A5A"/>
    <w:rsid w:val="002F7C6A"/>
    <w:rsid w:val="002F7EC4"/>
    <w:rsid w:val="0030008A"/>
    <w:rsid w:val="0030037C"/>
    <w:rsid w:val="00300450"/>
    <w:rsid w:val="003007FE"/>
    <w:rsid w:val="003008FB"/>
    <w:rsid w:val="00300FC8"/>
    <w:rsid w:val="00301171"/>
    <w:rsid w:val="00301262"/>
    <w:rsid w:val="003014CB"/>
    <w:rsid w:val="003015CF"/>
    <w:rsid w:val="00301E1B"/>
    <w:rsid w:val="00302167"/>
    <w:rsid w:val="003022DD"/>
    <w:rsid w:val="0030238D"/>
    <w:rsid w:val="00302449"/>
    <w:rsid w:val="00302970"/>
    <w:rsid w:val="00302C5F"/>
    <w:rsid w:val="0030302A"/>
    <w:rsid w:val="00303B7C"/>
    <w:rsid w:val="00303E02"/>
    <w:rsid w:val="00304B32"/>
    <w:rsid w:val="00305395"/>
    <w:rsid w:val="00305A05"/>
    <w:rsid w:val="00305ADB"/>
    <w:rsid w:val="003066D6"/>
    <w:rsid w:val="00306753"/>
    <w:rsid w:val="00306AA0"/>
    <w:rsid w:val="0030703A"/>
    <w:rsid w:val="00307AFB"/>
    <w:rsid w:val="00307D6E"/>
    <w:rsid w:val="003102BF"/>
    <w:rsid w:val="003102C8"/>
    <w:rsid w:val="003105B2"/>
    <w:rsid w:val="003107AB"/>
    <w:rsid w:val="003107B9"/>
    <w:rsid w:val="00310877"/>
    <w:rsid w:val="003109F1"/>
    <w:rsid w:val="00311214"/>
    <w:rsid w:val="003118D2"/>
    <w:rsid w:val="0031197F"/>
    <w:rsid w:val="00311A03"/>
    <w:rsid w:val="00311BEA"/>
    <w:rsid w:val="00311EE4"/>
    <w:rsid w:val="00312005"/>
    <w:rsid w:val="00312982"/>
    <w:rsid w:val="003131B9"/>
    <w:rsid w:val="0031340F"/>
    <w:rsid w:val="00313E55"/>
    <w:rsid w:val="00314272"/>
    <w:rsid w:val="0031459B"/>
    <w:rsid w:val="003146CC"/>
    <w:rsid w:val="00314AB3"/>
    <w:rsid w:val="00314C51"/>
    <w:rsid w:val="003157D2"/>
    <w:rsid w:val="00315C22"/>
    <w:rsid w:val="00315D7D"/>
    <w:rsid w:val="00315E57"/>
    <w:rsid w:val="00315F70"/>
    <w:rsid w:val="0031657B"/>
    <w:rsid w:val="00316DC1"/>
    <w:rsid w:val="003170F5"/>
    <w:rsid w:val="003179E4"/>
    <w:rsid w:val="00317ABE"/>
    <w:rsid w:val="00317F9A"/>
    <w:rsid w:val="00320022"/>
    <w:rsid w:val="00320D3F"/>
    <w:rsid w:val="00321032"/>
    <w:rsid w:val="00321176"/>
    <w:rsid w:val="00321343"/>
    <w:rsid w:val="0032176B"/>
    <w:rsid w:val="0032178E"/>
    <w:rsid w:val="003217FB"/>
    <w:rsid w:val="00321AB5"/>
    <w:rsid w:val="00321BE0"/>
    <w:rsid w:val="00321CAC"/>
    <w:rsid w:val="00321F74"/>
    <w:rsid w:val="00322143"/>
    <w:rsid w:val="00322AB2"/>
    <w:rsid w:val="00322CFF"/>
    <w:rsid w:val="00322D90"/>
    <w:rsid w:val="00323116"/>
    <w:rsid w:val="00323B78"/>
    <w:rsid w:val="00323EE9"/>
    <w:rsid w:val="00324979"/>
    <w:rsid w:val="00324980"/>
    <w:rsid w:val="003249AA"/>
    <w:rsid w:val="00324EBA"/>
    <w:rsid w:val="00324F8F"/>
    <w:rsid w:val="0032574B"/>
    <w:rsid w:val="00325E66"/>
    <w:rsid w:val="00325F4D"/>
    <w:rsid w:val="00325F81"/>
    <w:rsid w:val="0032645C"/>
    <w:rsid w:val="00326627"/>
    <w:rsid w:val="00326799"/>
    <w:rsid w:val="00327C95"/>
    <w:rsid w:val="00327DF8"/>
    <w:rsid w:val="003307FE"/>
    <w:rsid w:val="00330938"/>
    <w:rsid w:val="00330B94"/>
    <w:rsid w:val="00330E21"/>
    <w:rsid w:val="00331198"/>
    <w:rsid w:val="003312DB"/>
    <w:rsid w:val="0033152C"/>
    <w:rsid w:val="0033180F"/>
    <w:rsid w:val="00332EA9"/>
    <w:rsid w:val="00333B48"/>
    <w:rsid w:val="00333BDB"/>
    <w:rsid w:val="003340F5"/>
    <w:rsid w:val="0033472C"/>
    <w:rsid w:val="00334983"/>
    <w:rsid w:val="0033501C"/>
    <w:rsid w:val="00335946"/>
    <w:rsid w:val="00335D05"/>
    <w:rsid w:val="00335F85"/>
    <w:rsid w:val="00336753"/>
    <w:rsid w:val="00336969"/>
    <w:rsid w:val="00336CFD"/>
    <w:rsid w:val="00336E36"/>
    <w:rsid w:val="00336E6F"/>
    <w:rsid w:val="00337107"/>
    <w:rsid w:val="0033725C"/>
    <w:rsid w:val="00337C2B"/>
    <w:rsid w:val="003400A1"/>
    <w:rsid w:val="003400BF"/>
    <w:rsid w:val="003407EB"/>
    <w:rsid w:val="00340C97"/>
    <w:rsid w:val="003413E4"/>
    <w:rsid w:val="0034154C"/>
    <w:rsid w:val="0034180B"/>
    <w:rsid w:val="00341B02"/>
    <w:rsid w:val="00341EB5"/>
    <w:rsid w:val="0034227E"/>
    <w:rsid w:val="003423C6"/>
    <w:rsid w:val="003428F2"/>
    <w:rsid w:val="00342BE6"/>
    <w:rsid w:val="00342C51"/>
    <w:rsid w:val="003430EC"/>
    <w:rsid w:val="00343283"/>
    <w:rsid w:val="003432B1"/>
    <w:rsid w:val="0034390A"/>
    <w:rsid w:val="00343925"/>
    <w:rsid w:val="00343991"/>
    <w:rsid w:val="00343D2E"/>
    <w:rsid w:val="00343D5F"/>
    <w:rsid w:val="00343E5C"/>
    <w:rsid w:val="00344347"/>
    <w:rsid w:val="003444D5"/>
    <w:rsid w:val="003444EB"/>
    <w:rsid w:val="00344800"/>
    <w:rsid w:val="00344944"/>
    <w:rsid w:val="00344CA8"/>
    <w:rsid w:val="003452F4"/>
    <w:rsid w:val="00345732"/>
    <w:rsid w:val="00345BC9"/>
    <w:rsid w:val="00346154"/>
    <w:rsid w:val="00346875"/>
    <w:rsid w:val="0034730F"/>
    <w:rsid w:val="003474F3"/>
    <w:rsid w:val="00347528"/>
    <w:rsid w:val="00347543"/>
    <w:rsid w:val="00347AF1"/>
    <w:rsid w:val="00347B45"/>
    <w:rsid w:val="00347DDD"/>
    <w:rsid w:val="003502B9"/>
    <w:rsid w:val="00350B7D"/>
    <w:rsid w:val="00350F52"/>
    <w:rsid w:val="00351045"/>
    <w:rsid w:val="00351062"/>
    <w:rsid w:val="00351798"/>
    <w:rsid w:val="003517FD"/>
    <w:rsid w:val="00351B29"/>
    <w:rsid w:val="00351F16"/>
    <w:rsid w:val="0035205B"/>
    <w:rsid w:val="00352283"/>
    <w:rsid w:val="00352486"/>
    <w:rsid w:val="003524BF"/>
    <w:rsid w:val="0035271A"/>
    <w:rsid w:val="00352B76"/>
    <w:rsid w:val="00352E0E"/>
    <w:rsid w:val="003534AA"/>
    <w:rsid w:val="003534BB"/>
    <w:rsid w:val="00353699"/>
    <w:rsid w:val="00353A2C"/>
    <w:rsid w:val="00353C49"/>
    <w:rsid w:val="00353D2F"/>
    <w:rsid w:val="00353E4A"/>
    <w:rsid w:val="0035411C"/>
    <w:rsid w:val="00354274"/>
    <w:rsid w:val="003544EE"/>
    <w:rsid w:val="0035462E"/>
    <w:rsid w:val="00354718"/>
    <w:rsid w:val="00354DF2"/>
    <w:rsid w:val="0035558F"/>
    <w:rsid w:val="00355622"/>
    <w:rsid w:val="0035588D"/>
    <w:rsid w:val="0035599F"/>
    <w:rsid w:val="00355E62"/>
    <w:rsid w:val="00356224"/>
    <w:rsid w:val="00356C12"/>
    <w:rsid w:val="003571EB"/>
    <w:rsid w:val="00357273"/>
    <w:rsid w:val="0035728E"/>
    <w:rsid w:val="003572CA"/>
    <w:rsid w:val="0035748F"/>
    <w:rsid w:val="003574A5"/>
    <w:rsid w:val="00357517"/>
    <w:rsid w:val="00357FD7"/>
    <w:rsid w:val="00360698"/>
    <w:rsid w:val="00360870"/>
    <w:rsid w:val="00360B26"/>
    <w:rsid w:val="0036106D"/>
    <w:rsid w:val="0036132B"/>
    <w:rsid w:val="003614E0"/>
    <w:rsid w:val="00361D71"/>
    <w:rsid w:val="00362706"/>
    <w:rsid w:val="00362713"/>
    <w:rsid w:val="00362761"/>
    <w:rsid w:val="00362AC4"/>
    <w:rsid w:val="00362B29"/>
    <w:rsid w:val="00363129"/>
    <w:rsid w:val="00363530"/>
    <w:rsid w:val="00363716"/>
    <w:rsid w:val="00363812"/>
    <w:rsid w:val="00363820"/>
    <w:rsid w:val="003639DB"/>
    <w:rsid w:val="00363A0D"/>
    <w:rsid w:val="00364041"/>
    <w:rsid w:val="003643EC"/>
    <w:rsid w:val="00364475"/>
    <w:rsid w:val="003645BB"/>
    <w:rsid w:val="00364B63"/>
    <w:rsid w:val="00364E26"/>
    <w:rsid w:val="00364E67"/>
    <w:rsid w:val="003650B2"/>
    <w:rsid w:val="00365338"/>
    <w:rsid w:val="003661A1"/>
    <w:rsid w:val="00366334"/>
    <w:rsid w:val="00366B57"/>
    <w:rsid w:val="003672F1"/>
    <w:rsid w:val="00367D09"/>
    <w:rsid w:val="00367EBB"/>
    <w:rsid w:val="003703AC"/>
    <w:rsid w:val="00370689"/>
    <w:rsid w:val="00370CDA"/>
    <w:rsid w:val="00370E68"/>
    <w:rsid w:val="00371ED9"/>
    <w:rsid w:val="0037213A"/>
    <w:rsid w:val="0037281D"/>
    <w:rsid w:val="00372D11"/>
    <w:rsid w:val="003738E6"/>
    <w:rsid w:val="00373E04"/>
    <w:rsid w:val="00374061"/>
    <w:rsid w:val="00374357"/>
    <w:rsid w:val="003745F0"/>
    <w:rsid w:val="00375639"/>
    <w:rsid w:val="003759AB"/>
    <w:rsid w:val="00375AB3"/>
    <w:rsid w:val="00375B25"/>
    <w:rsid w:val="00375B3E"/>
    <w:rsid w:val="00376BB4"/>
    <w:rsid w:val="00376DBE"/>
    <w:rsid w:val="00377968"/>
    <w:rsid w:val="00377B19"/>
    <w:rsid w:val="00377E9B"/>
    <w:rsid w:val="0038021D"/>
    <w:rsid w:val="003803BE"/>
    <w:rsid w:val="00380535"/>
    <w:rsid w:val="0038097B"/>
    <w:rsid w:val="00381626"/>
    <w:rsid w:val="003824D0"/>
    <w:rsid w:val="00382647"/>
    <w:rsid w:val="00382695"/>
    <w:rsid w:val="00382875"/>
    <w:rsid w:val="00382D78"/>
    <w:rsid w:val="0038333F"/>
    <w:rsid w:val="003835F4"/>
    <w:rsid w:val="00383692"/>
    <w:rsid w:val="00383A36"/>
    <w:rsid w:val="003842FC"/>
    <w:rsid w:val="00384501"/>
    <w:rsid w:val="003849FF"/>
    <w:rsid w:val="00384D4C"/>
    <w:rsid w:val="00385633"/>
    <w:rsid w:val="00385AC8"/>
    <w:rsid w:val="00385B1C"/>
    <w:rsid w:val="00386230"/>
    <w:rsid w:val="00386234"/>
    <w:rsid w:val="00386470"/>
    <w:rsid w:val="0038684C"/>
    <w:rsid w:val="00386A3D"/>
    <w:rsid w:val="00386B73"/>
    <w:rsid w:val="00386E6A"/>
    <w:rsid w:val="00387063"/>
    <w:rsid w:val="0038735A"/>
    <w:rsid w:val="00387A1D"/>
    <w:rsid w:val="003902F3"/>
    <w:rsid w:val="00390732"/>
    <w:rsid w:val="003908F9"/>
    <w:rsid w:val="00390CEE"/>
    <w:rsid w:val="0039109B"/>
    <w:rsid w:val="00391220"/>
    <w:rsid w:val="00391393"/>
    <w:rsid w:val="00391417"/>
    <w:rsid w:val="00391937"/>
    <w:rsid w:val="00391965"/>
    <w:rsid w:val="0039200D"/>
    <w:rsid w:val="0039243C"/>
    <w:rsid w:val="003938D8"/>
    <w:rsid w:val="00393BB1"/>
    <w:rsid w:val="00394787"/>
    <w:rsid w:val="003948CA"/>
    <w:rsid w:val="00394CB7"/>
    <w:rsid w:val="00395077"/>
    <w:rsid w:val="00395083"/>
    <w:rsid w:val="00395484"/>
    <w:rsid w:val="0039565C"/>
    <w:rsid w:val="003956FF"/>
    <w:rsid w:val="003957ED"/>
    <w:rsid w:val="00395F68"/>
    <w:rsid w:val="003961C9"/>
    <w:rsid w:val="00396AD7"/>
    <w:rsid w:val="00396C9F"/>
    <w:rsid w:val="003971F1"/>
    <w:rsid w:val="003971F9"/>
    <w:rsid w:val="00397262"/>
    <w:rsid w:val="00397454"/>
    <w:rsid w:val="00397EA4"/>
    <w:rsid w:val="00397EF8"/>
    <w:rsid w:val="003A01F4"/>
    <w:rsid w:val="003A02E3"/>
    <w:rsid w:val="003A053F"/>
    <w:rsid w:val="003A056A"/>
    <w:rsid w:val="003A063B"/>
    <w:rsid w:val="003A08E5"/>
    <w:rsid w:val="003A0BD7"/>
    <w:rsid w:val="003A0D4B"/>
    <w:rsid w:val="003A0D9F"/>
    <w:rsid w:val="003A0F46"/>
    <w:rsid w:val="003A17FF"/>
    <w:rsid w:val="003A1A00"/>
    <w:rsid w:val="003A1C6F"/>
    <w:rsid w:val="003A1DB4"/>
    <w:rsid w:val="003A1DF9"/>
    <w:rsid w:val="003A21CB"/>
    <w:rsid w:val="003A2744"/>
    <w:rsid w:val="003A2BF1"/>
    <w:rsid w:val="003A2EB5"/>
    <w:rsid w:val="003A2EC7"/>
    <w:rsid w:val="003A2FAF"/>
    <w:rsid w:val="003A330D"/>
    <w:rsid w:val="003A3D79"/>
    <w:rsid w:val="003A417D"/>
    <w:rsid w:val="003A4573"/>
    <w:rsid w:val="003A4946"/>
    <w:rsid w:val="003A4BAE"/>
    <w:rsid w:val="003A5195"/>
    <w:rsid w:val="003A5E91"/>
    <w:rsid w:val="003A617D"/>
    <w:rsid w:val="003A6277"/>
    <w:rsid w:val="003A6ADD"/>
    <w:rsid w:val="003A6C2E"/>
    <w:rsid w:val="003A756D"/>
    <w:rsid w:val="003A793D"/>
    <w:rsid w:val="003A7BDD"/>
    <w:rsid w:val="003B0184"/>
    <w:rsid w:val="003B0670"/>
    <w:rsid w:val="003B0AD5"/>
    <w:rsid w:val="003B0CF7"/>
    <w:rsid w:val="003B123B"/>
    <w:rsid w:val="003B151C"/>
    <w:rsid w:val="003B165A"/>
    <w:rsid w:val="003B1990"/>
    <w:rsid w:val="003B19D2"/>
    <w:rsid w:val="003B1BCA"/>
    <w:rsid w:val="003B220D"/>
    <w:rsid w:val="003B23C2"/>
    <w:rsid w:val="003B24B8"/>
    <w:rsid w:val="003B2C60"/>
    <w:rsid w:val="003B3710"/>
    <w:rsid w:val="003B37E5"/>
    <w:rsid w:val="003B4233"/>
    <w:rsid w:val="003B4BAC"/>
    <w:rsid w:val="003B5089"/>
    <w:rsid w:val="003B51B8"/>
    <w:rsid w:val="003B5363"/>
    <w:rsid w:val="003B5523"/>
    <w:rsid w:val="003B5731"/>
    <w:rsid w:val="003B62D3"/>
    <w:rsid w:val="003B6893"/>
    <w:rsid w:val="003B68A8"/>
    <w:rsid w:val="003B6A67"/>
    <w:rsid w:val="003B6C12"/>
    <w:rsid w:val="003B780A"/>
    <w:rsid w:val="003B792F"/>
    <w:rsid w:val="003C00D8"/>
    <w:rsid w:val="003C015E"/>
    <w:rsid w:val="003C02AA"/>
    <w:rsid w:val="003C10BD"/>
    <w:rsid w:val="003C1643"/>
    <w:rsid w:val="003C17B5"/>
    <w:rsid w:val="003C1A82"/>
    <w:rsid w:val="003C1D0F"/>
    <w:rsid w:val="003C1F99"/>
    <w:rsid w:val="003C25A7"/>
    <w:rsid w:val="003C2635"/>
    <w:rsid w:val="003C2979"/>
    <w:rsid w:val="003C2D2E"/>
    <w:rsid w:val="003C304D"/>
    <w:rsid w:val="003C3329"/>
    <w:rsid w:val="003C384A"/>
    <w:rsid w:val="003C38A9"/>
    <w:rsid w:val="003C3C5D"/>
    <w:rsid w:val="003C3C6D"/>
    <w:rsid w:val="003C4485"/>
    <w:rsid w:val="003C45CA"/>
    <w:rsid w:val="003C45F3"/>
    <w:rsid w:val="003C489B"/>
    <w:rsid w:val="003C4A4E"/>
    <w:rsid w:val="003C4BE4"/>
    <w:rsid w:val="003C4C05"/>
    <w:rsid w:val="003C4C44"/>
    <w:rsid w:val="003C52D0"/>
    <w:rsid w:val="003C59B2"/>
    <w:rsid w:val="003C5B20"/>
    <w:rsid w:val="003C5B97"/>
    <w:rsid w:val="003C5C17"/>
    <w:rsid w:val="003C5C34"/>
    <w:rsid w:val="003C5E6B"/>
    <w:rsid w:val="003C6045"/>
    <w:rsid w:val="003C6180"/>
    <w:rsid w:val="003C67DF"/>
    <w:rsid w:val="003C6EAE"/>
    <w:rsid w:val="003C7085"/>
    <w:rsid w:val="003C7255"/>
    <w:rsid w:val="003C72D5"/>
    <w:rsid w:val="003C7549"/>
    <w:rsid w:val="003C76A7"/>
    <w:rsid w:val="003C781A"/>
    <w:rsid w:val="003C7E15"/>
    <w:rsid w:val="003D03E5"/>
    <w:rsid w:val="003D0458"/>
    <w:rsid w:val="003D0807"/>
    <w:rsid w:val="003D0959"/>
    <w:rsid w:val="003D0AAF"/>
    <w:rsid w:val="003D11D8"/>
    <w:rsid w:val="003D13C7"/>
    <w:rsid w:val="003D14D5"/>
    <w:rsid w:val="003D1548"/>
    <w:rsid w:val="003D1712"/>
    <w:rsid w:val="003D1787"/>
    <w:rsid w:val="003D1816"/>
    <w:rsid w:val="003D2140"/>
    <w:rsid w:val="003D2FE8"/>
    <w:rsid w:val="003D303B"/>
    <w:rsid w:val="003D31D7"/>
    <w:rsid w:val="003D387A"/>
    <w:rsid w:val="003D38B2"/>
    <w:rsid w:val="003D3CB0"/>
    <w:rsid w:val="003D4571"/>
    <w:rsid w:val="003D49D6"/>
    <w:rsid w:val="003D4D5C"/>
    <w:rsid w:val="003D51D0"/>
    <w:rsid w:val="003D537C"/>
    <w:rsid w:val="003D5A60"/>
    <w:rsid w:val="003D5DC5"/>
    <w:rsid w:val="003D5DCE"/>
    <w:rsid w:val="003D5F5E"/>
    <w:rsid w:val="003D611A"/>
    <w:rsid w:val="003D62D3"/>
    <w:rsid w:val="003D7190"/>
    <w:rsid w:val="003D750E"/>
    <w:rsid w:val="003D757E"/>
    <w:rsid w:val="003E01D5"/>
    <w:rsid w:val="003E034D"/>
    <w:rsid w:val="003E0375"/>
    <w:rsid w:val="003E0746"/>
    <w:rsid w:val="003E08BA"/>
    <w:rsid w:val="003E098B"/>
    <w:rsid w:val="003E0BA1"/>
    <w:rsid w:val="003E0BA2"/>
    <w:rsid w:val="003E0DAE"/>
    <w:rsid w:val="003E11DE"/>
    <w:rsid w:val="003E17B8"/>
    <w:rsid w:val="003E1C9A"/>
    <w:rsid w:val="003E1E4A"/>
    <w:rsid w:val="003E1FD3"/>
    <w:rsid w:val="003E232A"/>
    <w:rsid w:val="003E2876"/>
    <w:rsid w:val="003E2AE1"/>
    <w:rsid w:val="003E2D67"/>
    <w:rsid w:val="003E2E66"/>
    <w:rsid w:val="003E3964"/>
    <w:rsid w:val="003E3C7D"/>
    <w:rsid w:val="003E4143"/>
    <w:rsid w:val="003E5009"/>
    <w:rsid w:val="003E554C"/>
    <w:rsid w:val="003E5B10"/>
    <w:rsid w:val="003E7282"/>
    <w:rsid w:val="003E736C"/>
    <w:rsid w:val="003E76BE"/>
    <w:rsid w:val="003E7E94"/>
    <w:rsid w:val="003E7F17"/>
    <w:rsid w:val="003F0772"/>
    <w:rsid w:val="003F07DE"/>
    <w:rsid w:val="003F0ACE"/>
    <w:rsid w:val="003F0C0F"/>
    <w:rsid w:val="003F29F2"/>
    <w:rsid w:val="003F2CC5"/>
    <w:rsid w:val="003F343F"/>
    <w:rsid w:val="003F3787"/>
    <w:rsid w:val="003F38E4"/>
    <w:rsid w:val="003F3C94"/>
    <w:rsid w:val="003F3D47"/>
    <w:rsid w:val="003F3EDD"/>
    <w:rsid w:val="003F3F04"/>
    <w:rsid w:val="003F47CA"/>
    <w:rsid w:val="003F4C5A"/>
    <w:rsid w:val="003F4F51"/>
    <w:rsid w:val="003F51CA"/>
    <w:rsid w:val="003F57C3"/>
    <w:rsid w:val="003F5929"/>
    <w:rsid w:val="003F59DD"/>
    <w:rsid w:val="003F5ABF"/>
    <w:rsid w:val="003F5B65"/>
    <w:rsid w:val="003F5E66"/>
    <w:rsid w:val="003F6644"/>
    <w:rsid w:val="003F67D6"/>
    <w:rsid w:val="003F69AF"/>
    <w:rsid w:val="003F7285"/>
    <w:rsid w:val="003F7694"/>
    <w:rsid w:val="003F7D32"/>
    <w:rsid w:val="003F7F76"/>
    <w:rsid w:val="003F7F9A"/>
    <w:rsid w:val="00400232"/>
    <w:rsid w:val="00400576"/>
    <w:rsid w:val="004010CE"/>
    <w:rsid w:val="00401D57"/>
    <w:rsid w:val="004021B7"/>
    <w:rsid w:val="00402253"/>
    <w:rsid w:val="00403283"/>
    <w:rsid w:val="0040364D"/>
    <w:rsid w:val="00403FDE"/>
    <w:rsid w:val="00404A82"/>
    <w:rsid w:val="00404C19"/>
    <w:rsid w:val="00405058"/>
    <w:rsid w:val="00405253"/>
    <w:rsid w:val="00405A63"/>
    <w:rsid w:val="00405A7D"/>
    <w:rsid w:val="00405CC7"/>
    <w:rsid w:val="00405D56"/>
    <w:rsid w:val="00405E1A"/>
    <w:rsid w:val="00405F73"/>
    <w:rsid w:val="004065D2"/>
    <w:rsid w:val="004065F2"/>
    <w:rsid w:val="00406BE5"/>
    <w:rsid w:val="00406CCA"/>
    <w:rsid w:val="00406D19"/>
    <w:rsid w:val="00407071"/>
    <w:rsid w:val="004079E2"/>
    <w:rsid w:val="00407C17"/>
    <w:rsid w:val="004100A2"/>
    <w:rsid w:val="0041016F"/>
    <w:rsid w:val="00410461"/>
    <w:rsid w:val="004104FA"/>
    <w:rsid w:val="004105B3"/>
    <w:rsid w:val="0041081D"/>
    <w:rsid w:val="0041094D"/>
    <w:rsid w:val="004126CD"/>
    <w:rsid w:val="004128D6"/>
    <w:rsid w:val="00412943"/>
    <w:rsid w:val="00412B36"/>
    <w:rsid w:val="00412FB1"/>
    <w:rsid w:val="004130A4"/>
    <w:rsid w:val="0041316F"/>
    <w:rsid w:val="004131AF"/>
    <w:rsid w:val="00413699"/>
    <w:rsid w:val="00413A6E"/>
    <w:rsid w:val="00413C29"/>
    <w:rsid w:val="00413F31"/>
    <w:rsid w:val="00414191"/>
    <w:rsid w:val="004149C6"/>
    <w:rsid w:val="00414AA8"/>
    <w:rsid w:val="00414D87"/>
    <w:rsid w:val="0041500A"/>
    <w:rsid w:val="00415315"/>
    <w:rsid w:val="0041594B"/>
    <w:rsid w:val="004159D7"/>
    <w:rsid w:val="00415A80"/>
    <w:rsid w:val="00415D64"/>
    <w:rsid w:val="00415EEA"/>
    <w:rsid w:val="004162E3"/>
    <w:rsid w:val="004164F8"/>
    <w:rsid w:val="004167B8"/>
    <w:rsid w:val="00416CD9"/>
    <w:rsid w:val="00417954"/>
    <w:rsid w:val="00417DC8"/>
    <w:rsid w:val="00417EC4"/>
    <w:rsid w:val="004200D8"/>
    <w:rsid w:val="00420161"/>
    <w:rsid w:val="00420592"/>
    <w:rsid w:val="00420760"/>
    <w:rsid w:val="00420859"/>
    <w:rsid w:val="004208E1"/>
    <w:rsid w:val="00420ADE"/>
    <w:rsid w:val="00420C4B"/>
    <w:rsid w:val="00421198"/>
    <w:rsid w:val="00421A98"/>
    <w:rsid w:val="004229D7"/>
    <w:rsid w:val="00422BF8"/>
    <w:rsid w:val="00423153"/>
    <w:rsid w:val="00423208"/>
    <w:rsid w:val="0042368D"/>
    <w:rsid w:val="0042397E"/>
    <w:rsid w:val="00423A97"/>
    <w:rsid w:val="00423AE9"/>
    <w:rsid w:val="00423E50"/>
    <w:rsid w:val="004241A8"/>
    <w:rsid w:val="00424743"/>
    <w:rsid w:val="00424A86"/>
    <w:rsid w:val="00424F18"/>
    <w:rsid w:val="004250F2"/>
    <w:rsid w:val="0042534B"/>
    <w:rsid w:val="004257D2"/>
    <w:rsid w:val="00426212"/>
    <w:rsid w:val="00426667"/>
    <w:rsid w:val="004266FD"/>
    <w:rsid w:val="004267A8"/>
    <w:rsid w:val="00426FA3"/>
    <w:rsid w:val="00427434"/>
    <w:rsid w:val="004274F5"/>
    <w:rsid w:val="00427F3A"/>
    <w:rsid w:val="00430581"/>
    <w:rsid w:val="0043098D"/>
    <w:rsid w:val="00430E52"/>
    <w:rsid w:val="004312CC"/>
    <w:rsid w:val="0043131C"/>
    <w:rsid w:val="00431347"/>
    <w:rsid w:val="00432D1C"/>
    <w:rsid w:val="00432D6E"/>
    <w:rsid w:val="00433143"/>
    <w:rsid w:val="004332C0"/>
    <w:rsid w:val="00433485"/>
    <w:rsid w:val="004337B1"/>
    <w:rsid w:val="00433C2A"/>
    <w:rsid w:val="004349E2"/>
    <w:rsid w:val="00435644"/>
    <w:rsid w:val="00435A4E"/>
    <w:rsid w:val="00435BB7"/>
    <w:rsid w:val="00435CE5"/>
    <w:rsid w:val="00436017"/>
    <w:rsid w:val="00436A2D"/>
    <w:rsid w:val="00436A3F"/>
    <w:rsid w:val="00436B91"/>
    <w:rsid w:val="00436DCA"/>
    <w:rsid w:val="00436E49"/>
    <w:rsid w:val="0043799C"/>
    <w:rsid w:val="00437BE2"/>
    <w:rsid w:val="00440268"/>
    <w:rsid w:val="00440275"/>
    <w:rsid w:val="0044074F"/>
    <w:rsid w:val="00440A1C"/>
    <w:rsid w:val="00440A55"/>
    <w:rsid w:val="00440B5B"/>
    <w:rsid w:val="0044134B"/>
    <w:rsid w:val="004413D7"/>
    <w:rsid w:val="004416CD"/>
    <w:rsid w:val="0044235E"/>
    <w:rsid w:val="004424EA"/>
    <w:rsid w:val="00442735"/>
    <w:rsid w:val="0044284D"/>
    <w:rsid w:val="004429C0"/>
    <w:rsid w:val="00442B93"/>
    <w:rsid w:val="00442FB6"/>
    <w:rsid w:val="0044358E"/>
    <w:rsid w:val="004435C4"/>
    <w:rsid w:val="00443BAC"/>
    <w:rsid w:val="00443CD7"/>
    <w:rsid w:val="00443D2B"/>
    <w:rsid w:val="0044412A"/>
    <w:rsid w:val="00444592"/>
    <w:rsid w:val="004446EA"/>
    <w:rsid w:val="0044474B"/>
    <w:rsid w:val="00444DE6"/>
    <w:rsid w:val="00444EDB"/>
    <w:rsid w:val="004457CB"/>
    <w:rsid w:val="00445A6B"/>
    <w:rsid w:val="00445FDF"/>
    <w:rsid w:val="0044601E"/>
    <w:rsid w:val="004462AC"/>
    <w:rsid w:val="00446442"/>
    <w:rsid w:val="00446483"/>
    <w:rsid w:val="00446977"/>
    <w:rsid w:val="004470A4"/>
    <w:rsid w:val="004470C1"/>
    <w:rsid w:val="004476C5"/>
    <w:rsid w:val="004478A3"/>
    <w:rsid w:val="004504EF"/>
    <w:rsid w:val="00450795"/>
    <w:rsid w:val="004507A8"/>
    <w:rsid w:val="00450C4D"/>
    <w:rsid w:val="00450CA3"/>
    <w:rsid w:val="00450F07"/>
    <w:rsid w:val="00450F75"/>
    <w:rsid w:val="0045104F"/>
    <w:rsid w:val="00451307"/>
    <w:rsid w:val="0045148A"/>
    <w:rsid w:val="0045180D"/>
    <w:rsid w:val="00451977"/>
    <w:rsid w:val="00451A72"/>
    <w:rsid w:val="00451E20"/>
    <w:rsid w:val="00451EB5"/>
    <w:rsid w:val="0045256B"/>
    <w:rsid w:val="004525E8"/>
    <w:rsid w:val="004529FA"/>
    <w:rsid w:val="00452A5D"/>
    <w:rsid w:val="0045350C"/>
    <w:rsid w:val="0045384F"/>
    <w:rsid w:val="00453B8D"/>
    <w:rsid w:val="00453BE4"/>
    <w:rsid w:val="00453C29"/>
    <w:rsid w:val="00454341"/>
    <w:rsid w:val="00454615"/>
    <w:rsid w:val="00454D43"/>
    <w:rsid w:val="00454D5B"/>
    <w:rsid w:val="00455119"/>
    <w:rsid w:val="00455333"/>
    <w:rsid w:val="00455A90"/>
    <w:rsid w:val="00455D22"/>
    <w:rsid w:val="004561CB"/>
    <w:rsid w:val="0045626A"/>
    <w:rsid w:val="0045642F"/>
    <w:rsid w:val="00456B69"/>
    <w:rsid w:val="00456BDA"/>
    <w:rsid w:val="00456CCD"/>
    <w:rsid w:val="00457013"/>
    <w:rsid w:val="00457210"/>
    <w:rsid w:val="004572A3"/>
    <w:rsid w:val="00457323"/>
    <w:rsid w:val="00457354"/>
    <w:rsid w:val="0045737A"/>
    <w:rsid w:val="0045760A"/>
    <w:rsid w:val="00457656"/>
    <w:rsid w:val="00457662"/>
    <w:rsid w:val="004577FF"/>
    <w:rsid w:val="004578DB"/>
    <w:rsid w:val="0046014B"/>
    <w:rsid w:val="0046016C"/>
    <w:rsid w:val="004601E9"/>
    <w:rsid w:val="00460A4E"/>
    <w:rsid w:val="00460A68"/>
    <w:rsid w:val="00460D08"/>
    <w:rsid w:val="0046186F"/>
    <w:rsid w:val="0046196B"/>
    <w:rsid w:val="00462AD2"/>
    <w:rsid w:val="00462F41"/>
    <w:rsid w:val="004633C4"/>
    <w:rsid w:val="004639BF"/>
    <w:rsid w:val="00464CF1"/>
    <w:rsid w:val="004653E8"/>
    <w:rsid w:val="004658F9"/>
    <w:rsid w:val="004659B1"/>
    <w:rsid w:val="00465F0D"/>
    <w:rsid w:val="00466048"/>
    <w:rsid w:val="0046615B"/>
    <w:rsid w:val="004661AA"/>
    <w:rsid w:val="00466834"/>
    <w:rsid w:val="00467789"/>
    <w:rsid w:val="004677E3"/>
    <w:rsid w:val="00467CBD"/>
    <w:rsid w:val="00467D3A"/>
    <w:rsid w:val="0047016A"/>
    <w:rsid w:val="0047024F"/>
    <w:rsid w:val="0047031B"/>
    <w:rsid w:val="00470651"/>
    <w:rsid w:val="0047076D"/>
    <w:rsid w:val="00470854"/>
    <w:rsid w:val="004710D7"/>
    <w:rsid w:val="004711AE"/>
    <w:rsid w:val="004717BA"/>
    <w:rsid w:val="00471B09"/>
    <w:rsid w:val="00471B3E"/>
    <w:rsid w:val="00471BE4"/>
    <w:rsid w:val="00471E8D"/>
    <w:rsid w:val="00472944"/>
    <w:rsid w:val="0047336C"/>
    <w:rsid w:val="00473B13"/>
    <w:rsid w:val="00475870"/>
    <w:rsid w:val="00475878"/>
    <w:rsid w:val="00475AC7"/>
    <w:rsid w:val="00475C4E"/>
    <w:rsid w:val="00476093"/>
    <w:rsid w:val="00476407"/>
    <w:rsid w:val="0047647E"/>
    <w:rsid w:val="00476611"/>
    <w:rsid w:val="00476B9E"/>
    <w:rsid w:val="00476EF7"/>
    <w:rsid w:val="00476FED"/>
    <w:rsid w:val="00477143"/>
    <w:rsid w:val="004776C5"/>
    <w:rsid w:val="004777B8"/>
    <w:rsid w:val="00477857"/>
    <w:rsid w:val="004779BC"/>
    <w:rsid w:val="00477AFB"/>
    <w:rsid w:val="00477E3B"/>
    <w:rsid w:val="004802CA"/>
    <w:rsid w:val="004805B2"/>
    <w:rsid w:val="00480B51"/>
    <w:rsid w:val="00480C3A"/>
    <w:rsid w:val="00480F13"/>
    <w:rsid w:val="0048151C"/>
    <w:rsid w:val="00481634"/>
    <w:rsid w:val="00481874"/>
    <w:rsid w:val="00481A8C"/>
    <w:rsid w:val="00481DE8"/>
    <w:rsid w:val="00481E37"/>
    <w:rsid w:val="0048207F"/>
    <w:rsid w:val="004822DA"/>
    <w:rsid w:val="0048239F"/>
    <w:rsid w:val="00482969"/>
    <w:rsid w:val="00482DDF"/>
    <w:rsid w:val="004832A2"/>
    <w:rsid w:val="004833A0"/>
    <w:rsid w:val="004835DB"/>
    <w:rsid w:val="004837D2"/>
    <w:rsid w:val="00484418"/>
    <w:rsid w:val="00484584"/>
    <w:rsid w:val="00484D10"/>
    <w:rsid w:val="00484F7B"/>
    <w:rsid w:val="004857F7"/>
    <w:rsid w:val="00485B22"/>
    <w:rsid w:val="004869A3"/>
    <w:rsid w:val="00486CFB"/>
    <w:rsid w:val="00486DBE"/>
    <w:rsid w:val="00486FC4"/>
    <w:rsid w:val="004871E0"/>
    <w:rsid w:val="004879AF"/>
    <w:rsid w:val="00487A2A"/>
    <w:rsid w:val="0049007A"/>
    <w:rsid w:val="004900AD"/>
    <w:rsid w:val="00490239"/>
    <w:rsid w:val="00490803"/>
    <w:rsid w:val="0049085F"/>
    <w:rsid w:val="00490FDA"/>
    <w:rsid w:val="00491080"/>
    <w:rsid w:val="0049129C"/>
    <w:rsid w:val="0049133C"/>
    <w:rsid w:val="0049155D"/>
    <w:rsid w:val="00491ABA"/>
    <w:rsid w:val="0049225C"/>
    <w:rsid w:val="00492C14"/>
    <w:rsid w:val="00492FB7"/>
    <w:rsid w:val="00494298"/>
    <w:rsid w:val="00494338"/>
    <w:rsid w:val="00494A14"/>
    <w:rsid w:val="00494E28"/>
    <w:rsid w:val="00494F1B"/>
    <w:rsid w:val="0049513C"/>
    <w:rsid w:val="00495501"/>
    <w:rsid w:val="004956C2"/>
    <w:rsid w:val="004963EA"/>
    <w:rsid w:val="00496592"/>
    <w:rsid w:val="0049678F"/>
    <w:rsid w:val="00496798"/>
    <w:rsid w:val="004969F8"/>
    <w:rsid w:val="004972D8"/>
    <w:rsid w:val="004977FE"/>
    <w:rsid w:val="0049792C"/>
    <w:rsid w:val="00497B1D"/>
    <w:rsid w:val="00497CBD"/>
    <w:rsid w:val="00497D85"/>
    <w:rsid w:val="00497F38"/>
    <w:rsid w:val="00497F71"/>
    <w:rsid w:val="004A0FCE"/>
    <w:rsid w:val="004A123B"/>
    <w:rsid w:val="004A16B7"/>
    <w:rsid w:val="004A17E8"/>
    <w:rsid w:val="004A188C"/>
    <w:rsid w:val="004A191D"/>
    <w:rsid w:val="004A1F1D"/>
    <w:rsid w:val="004A204C"/>
    <w:rsid w:val="004A20A1"/>
    <w:rsid w:val="004A2605"/>
    <w:rsid w:val="004A33C5"/>
    <w:rsid w:val="004A36EC"/>
    <w:rsid w:val="004A3A2A"/>
    <w:rsid w:val="004A3C5F"/>
    <w:rsid w:val="004A3EB6"/>
    <w:rsid w:val="004A3F96"/>
    <w:rsid w:val="004A40BB"/>
    <w:rsid w:val="004A44B1"/>
    <w:rsid w:val="004A4CC0"/>
    <w:rsid w:val="004A5ABA"/>
    <w:rsid w:val="004A60F4"/>
    <w:rsid w:val="004A64C2"/>
    <w:rsid w:val="004A6578"/>
    <w:rsid w:val="004A6B4A"/>
    <w:rsid w:val="004A7584"/>
    <w:rsid w:val="004A78FC"/>
    <w:rsid w:val="004A79B4"/>
    <w:rsid w:val="004A7AD1"/>
    <w:rsid w:val="004A7AFC"/>
    <w:rsid w:val="004A7F6D"/>
    <w:rsid w:val="004B04DF"/>
    <w:rsid w:val="004B0876"/>
    <w:rsid w:val="004B08ED"/>
    <w:rsid w:val="004B0BA3"/>
    <w:rsid w:val="004B0F44"/>
    <w:rsid w:val="004B12BB"/>
    <w:rsid w:val="004B1393"/>
    <w:rsid w:val="004B1902"/>
    <w:rsid w:val="004B1A2E"/>
    <w:rsid w:val="004B1B2B"/>
    <w:rsid w:val="004B234E"/>
    <w:rsid w:val="004B241C"/>
    <w:rsid w:val="004B256A"/>
    <w:rsid w:val="004B25A9"/>
    <w:rsid w:val="004B2947"/>
    <w:rsid w:val="004B298F"/>
    <w:rsid w:val="004B36B8"/>
    <w:rsid w:val="004B377A"/>
    <w:rsid w:val="004B3865"/>
    <w:rsid w:val="004B3EE3"/>
    <w:rsid w:val="004B4146"/>
    <w:rsid w:val="004B427E"/>
    <w:rsid w:val="004B4424"/>
    <w:rsid w:val="004B45FB"/>
    <w:rsid w:val="004B46AB"/>
    <w:rsid w:val="004B4B88"/>
    <w:rsid w:val="004B4CA1"/>
    <w:rsid w:val="004B4F99"/>
    <w:rsid w:val="004B522C"/>
    <w:rsid w:val="004B5867"/>
    <w:rsid w:val="004B5BAF"/>
    <w:rsid w:val="004B5C0A"/>
    <w:rsid w:val="004B60DF"/>
    <w:rsid w:val="004B6556"/>
    <w:rsid w:val="004B6BF9"/>
    <w:rsid w:val="004B71A1"/>
    <w:rsid w:val="004B73F6"/>
    <w:rsid w:val="004B7793"/>
    <w:rsid w:val="004B7830"/>
    <w:rsid w:val="004C0736"/>
    <w:rsid w:val="004C0FD8"/>
    <w:rsid w:val="004C0FE0"/>
    <w:rsid w:val="004C13B8"/>
    <w:rsid w:val="004C1AAC"/>
    <w:rsid w:val="004C1AD6"/>
    <w:rsid w:val="004C1B22"/>
    <w:rsid w:val="004C2164"/>
    <w:rsid w:val="004C238D"/>
    <w:rsid w:val="004C24AA"/>
    <w:rsid w:val="004C24DB"/>
    <w:rsid w:val="004C265D"/>
    <w:rsid w:val="004C2A2A"/>
    <w:rsid w:val="004C32AB"/>
    <w:rsid w:val="004C341F"/>
    <w:rsid w:val="004C35CA"/>
    <w:rsid w:val="004C47FB"/>
    <w:rsid w:val="004C4DC8"/>
    <w:rsid w:val="004C4E2E"/>
    <w:rsid w:val="004C50EB"/>
    <w:rsid w:val="004C5176"/>
    <w:rsid w:val="004C525F"/>
    <w:rsid w:val="004C5CA5"/>
    <w:rsid w:val="004C5E8C"/>
    <w:rsid w:val="004C68B7"/>
    <w:rsid w:val="004C6923"/>
    <w:rsid w:val="004C6BD5"/>
    <w:rsid w:val="004C6F19"/>
    <w:rsid w:val="004C727D"/>
    <w:rsid w:val="004C7414"/>
    <w:rsid w:val="004C757E"/>
    <w:rsid w:val="004C77E3"/>
    <w:rsid w:val="004D0070"/>
    <w:rsid w:val="004D0372"/>
    <w:rsid w:val="004D0C0D"/>
    <w:rsid w:val="004D152C"/>
    <w:rsid w:val="004D15AF"/>
    <w:rsid w:val="004D21BB"/>
    <w:rsid w:val="004D23B4"/>
    <w:rsid w:val="004D326E"/>
    <w:rsid w:val="004D33B5"/>
    <w:rsid w:val="004D369C"/>
    <w:rsid w:val="004D36D6"/>
    <w:rsid w:val="004D374F"/>
    <w:rsid w:val="004D38BB"/>
    <w:rsid w:val="004D3940"/>
    <w:rsid w:val="004D3AF6"/>
    <w:rsid w:val="004D3CA6"/>
    <w:rsid w:val="004D3D89"/>
    <w:rsid w:val="004D3E26"/>
    <w:rsid w:val="004D41A6"/>
    <w:rsid w:val="004D47F8"/>
    <w:rsid w:val="004D4D19"/>
    <w:rsid w:val="004D4DE2"/>
    <w:rsid w:val="004D580D"/>
    <w:rsid w:val="004D6046"/>
    <w:rsid w:val="004D63E9"/>
    <w:rsid w:val="004D6623"/>
    <w:rsid w:val="004D69D1"/>
    <w:rsid w:val="004D6F83"/>
    <w:rsid w:val="004D75FA"/>
    <w:rsid w:val="004D78A0"/>
    <w:rsid w:val="004D78BC"/>
    <w:rsid w:val="004D7F65"/>
    <w:rsid w:val="004D7F94"/>
    <w:rsid w:val="004E0220"/>
    <w:rsid w:val="004E06E5"/>
    <w:rsid w:val="004E07C6"/>
    <w:rsid w:val="004E09B2"/>
    <w:rsid w:val="004E0B2B"/>
    <w:rsid w:val="004E0F85"/>
    <w:rsid w:val="004E1B2A"/>
    <w:rsid w:val="004E1B3D"/>
    <w:rsid w:val="004E22B7"/>
    <w:rsid w:val="004E258C"/>
    <w:rsid w:val="004E2737"/>
    <w:rsid w:val="004E28D5"/>
    <w:rsid w:val="004E349D"/>
    <w:rsid w:val="004E388E"/>
    <w:rsid w:val="004E412F"/>
    <w:rsid w:val="004E421A"/>
    <w:rsid w:val="004E443D"/>
    <w:rsid w:val="004E4575"/>
    <w:rsid w:val="004E47E9"/>
    <w:rsid w:val="004E5200"/>
    <w:rsid w:val="004E549B"/>
    <w:rsid w:val="004E5601"/>
    <w:rsid w:val="004E5921"/>
    <w:rsid w:val="004E5D20"/>
    <w:rsid w:val="004E6001"/>
    <w:rsid w:val="004E6705"/>
    <w:rsid w:val="004E6758"/>
    <w:rsid w:val="004E71BE"/>
    <w:rsid w:val="004E7328"/>
    <w:rsid w:val="004E751F"/>
    <w:rsid w:val="004E7829"/>
    <w:rsid w:val="004E7DB1"/>
    <w:rsid w:val="004E7EB6"/>
    <w:rsid w:val="004E7FF5"/>
    <w:rsid w:val="004F0348"/>
    <w:rsid w:val="004F03A9"/>
    <w:rsid w:val="004F064A"/>
    <w:rsid w:val="004F0964"/>
    <w:rsid w:val="004F0A9B"/>
    <w:rsid w:val="004F0C93"/>
    <w:rsid w:val="004F0F30"/>
    <w:rsid w:val="004F0F5C"/>
    <w:rsid w:val="004F1B37"/>
    <w:rsid w:val="004F206F"/>
    <w:rsid w:val="004F212E"/>
    <w:rsid w:val="004F2B4D"/>
    <w:rsid w:val="004F2B50"/>
    <w:rsid w:val="004F2F68"/>
    <w:rsid w:val="004F3257"/>
    <w:rsid w:val="004F38A7"/>
    <w:rsid w:val="004F4118"/>
    <w:rsid w:val="004F416A"/>
    <w:rsid w:val="004F437A"/>
    <w:rsid w:val="004F45C9"/>
    <w:rsid w:val="004F469B"/>
    <w:rsid w:val="004F4BC3"/>
    <w:rsid w:val="004F53BD"/>
    <w:rsid w:val="004F546B"/>
    <w:rsid w:val="004F5528"/>
    <w:rsid w:val="004F56BB"/>
    <w:rsid w:val="004F5737"/>
    <w:rsid w:val="004F597C"/>
    <w:rsid w:val="004F59E4"/>
    <w:rsid w:val="004F5D29"/>
    <w:rsid w:val="004F63C2"/>
    <w:rsid w:val="004F6429"/>
    <w:rsid w:val="004F697C"/>
    <w:rsid w:val="004F6CA9"/>
    <w:rsid w:val="004F6E16"/>
    <w:rsid w:val="004F7379"/>
    <w:rsid w:val="004F780E"/>
    <w:rsid w:val="004F7F8D"/>
    <w:rsid w:val="0050055A"/>
    <w:rsid w:val="00500A0D"/>
    <w:rsid w:val="00500C60"/>
    <w:rsid w:val="0050113D"/>
    <w:rsid w:val="005017C1"/>
    <w:rsid w:val="00501941"/>
    <w:rsid w:val="00501956"/>
    <w:rsid w:val="00501AC7"/>
    <w:rsid w:val="00501E5B"/>
    <w:rsid w:val="00502128"/>
    <w:rsid w:val="00502406"/>
    <w:rsid w:val="005024B5"/>
    <w:rsid w:val="00502C42"/>
    <w:rsid w:val="00502D13"/>
    <w:rsid w:val="00503243"/>
    <w:rsid w:val="00503379"/>
    <w:rsid w:val="0050338E"/>
    <w:rsid w:val="00503470"/>
    <w:rsid w:val="005036B6"/>
    <w:rsid w:val="00503E16"/>
    <w:rsid w:val="00503FD4"/>
    <w:rsid w:val="005044B5"/>
    <w:rsid w:val="00504620"/>
    <w:rsid w:val="00504693"/>
    <w:rsid w:val="00504745"/>
    <w:rsid w:val="00504931"/>
    <w:rsid w:val="005054AB"/>
    <w:rsid w:val="005059A3"/>
    <w:rsid w:val="005059EE"/>
    <w:rsid w:val="005059FC"/>
    <w:rsid w:val="00505F06"/>
    <w:rsid w:val="0050610D"/>
    <w:rsid w:val="005068B1"/>
    <w:rsid w:val="00506925"/>
    <w:rsid w:val="0050695E"/>
    <w:rsid w:val="00506EB5"/>
    <w:rsid w:val="00506FBE"/>
    <w:rsid w:val="00507250"/>
    <w:rsid w:val="0050759C"/>
    <w:rsid w:val="00507B36"/>
    <w:rsid w:val="0051005E"/>
    <w:rsid w:val="00510298"/>
    <w:rsid w:val="00510318"/>
    <w:rsid w:val="0051041A"/>
    <w:rsid w:val="00510B04"/>
    <w:rsid w:val="00511523"/>
    <w:rsid w:val="00511A14"/>
    <w:rsid w:val="00511CC8"/>
    <w:rsid w:val="00511F6D"/>
    <w:rsid w:val="00512D45"/>
    <w:rsid w:val="00513364"/>
    <w:rsid w:val="005137FD"/>
    <w:rsid w:val="00513840"/>
    <w:rsid w:val="00513B32"/>
    <w:rsid w:val="00513D44"/>
    <w:rsid w:val="00513D64"/>
    <w:rsid w:val="00513F9B"/>
    <w:rsid w:val="00514215"/>
    <w:rsid w:val="0051435D"/>
    <w:rsid w:val="00515273"/>
    <w:rsid w:val="00515350"/>
    <w:rsid w:val="005154D5"/>
    <w:rsid w:val="005159CD"/>
    <w:rsid w:val="005159E9"/>
    <w:rsid w:val="00515FDD"/>
    <w:rsid w:val="005161B9"/>
    <w:rsid w:val="005162D1"/>
    <w:rsid w:val="00516AB6"/>
    <w:rsid w:val="00516CEB"/>
    <w:rsid w:val="00516DC6"/>
    <w:rsid w:val="005170BC"/>
    <w:rsid w:val="005172C1"/>
    <w:rsid w:val="00517A10"/>
    <w:rsid w:val="00517BB7"/>
    <w:rsid w:val="00517C9E"/>
    <w:rsid w:val="00517E19"/>
    <w:rsid w:val="00520361"/>
    <w:rsid w:val="005206D2"/>
    <w:rsid w:val="00520870"/>
    <w:rsid w:val="00520A98"/>
    <w:rsid w:val="00520D14"/>
    <w:rsid w:val="00520F4A"/>
    <w:rsid w:val="005213CE"/>
    <w:rsid w:val="005214ED"/>
    <w:rsid w:val="005219A5"/>
    <w:rsid w:val="00521DA4"/>
    <w:rsid w:val="00521F48"/>
    <w:rsid w:val="00522165"/>
    <w:rsid w:val="0052220D"/>
    <w:rsid w:val="0052280D"/>
    <w:rsid w:val="0052295C"/>
    <w:rsid w:val="00522ABC"/>
    <w:rsid w:val="00522B6D"/>
    <w:rsid w:val="00522CA9"/>
    <w:rsid w:val="00522E30"/>
    <w:rsid w:val="00522EED"/>
    <w:rsid w:val="00522F22"/>
    <w:rsid w:val="00522F9D"/>
    <w:rsid w:val="0052357A"/>
    <w:rsid w:val="005237D4"/>
    <w:rsid w:val="00523D2F"/>
    <w:rsid w:val="00524097"/>
    <w:rsid w:val="00524805"/>
    <w:rsid w:val="00524E78"/>
    <w:rsid w:val="00525439"/>
    <w:rsid w:val="00525B78"/>
    <w:rsid w:val="0052624A"/>
    <w:rsid w:val="00526704"/>
    <w:rsid w:val="00526949"/>
    <w:rsid w:val="00526A6E"/>
    <w:rsid w:val="00527149"/>
    <w:rsid w:val="00527383"/>
    <w:rsid w:val="005277B4"/>
    <w:rsid w:val="00527CAD"/>
    <w:rsid w:val="005301F2"/>
    <w:rsid w:val="0053078F"/>
    <w:rsid w:val="005309AD"/>
    <w:rsid w:val="005309CF"/>
    <w:rsid w:val="00530C1D"/>
    <w:rsid w:val="00530EA7"/>
    <w:rsid w:val="005311A6"/>
    <w:rsid w:val="005318F1"/>
    <w:rsid w:val="005319FD"/>
    <w:rsid w:val="00531B20"/>
    <w:rsid w:val="00532460"/>
    <w:rsid w:val="0053247A"/>
    <w:rsid w:val="00532870"/>
    <w:rsid w:val="005328FC"/>
    <w:rsid w:val="00532D35"/>
    <w:rsid w:val="00533317"/>
    <w:rsid w:val="00533415"/>
    <w:rsid w:val="00533D60"/>
    <w:rsid w:val="00534C46"/>
    <w:rsid w:val="00534F31"/>
    <w:rsid w:val="0053536B"/>
    <w:rsid w:val="00535797"/>
    <w:rsid w:val="00535D99"/>
    <w:rsid w:val="0053654A"/>
    <w:rsid w:val="00536735"/>
    <w:rsid w:val="00536E6C"/>
    <w:rsid w:val="00536E93"/>
    <w:rsid w:val="00536F41"/>
    <w:rsid w:val="005370B9"/>
    <w:rsid w:val="005371B6"/>
    <w:rsid w:val="00537388"/>
    <w:rsid w:val="00537692"/>
    <w:rsid w:val="0053793A"/>
    <w:rsid w:val="00537C95"/>
    <w:rsid w:val="00537F64"/>
    <w:rsid w:val="00540439"/>
    <w:rsid w:val="0054057C"/>
    <w:rsid w:val="00540D54"/>
    <w:rsid w:val="005410CA"/>
    <w:rsid w:val="005413FF"/>
    <w:rsid w:val="0054183D"/>
    <w:rsid w:val="005418EB"/>
    <w:rsid w:val="00541C98"/>
    <w:rsid w:val="00542C74"/>
    <w:rsid w:val="005431E6"/>
    <w:rsid w:val="00543565"/>
    <w:rsid w:val="0054376B"/>
    <w:rsid w:val="00543E10"/>
    <w:rsid w:val="00543E17"/>
    <w:rsid w:val="00543F95"/>
    <w:rsid w:val="005440B7"/>
    <w:rsid w:val="00544385"/>
    <w:rsid w:val="0054463F"/>
    <w:rsid w:val="00545138"/>
    <w:rsid w:val="005452BE"/>
    <w:rsid w:val="00545348"/>
    <w:rsid w:val="005456CF"/>
    <w:rsid w:val="00545A1D"/>
    <w:rsid w:val="00545EC0"/>
    <w:rsid w:val="00546574"/>
    <w:rsid w:val="00546762"/>
    <w:rsid w:val="005469D2"/>
    <w:rsid w:val="00546BD3"/>
    <w:rsid w:val="00546E6E"/>
    <w:rsid w:val="005470A1"/>
    <w:rsid w:val="00547217"/>
    <w:rsid w:val="005473BF"/>
    <w:rsid w:val="00547694"/>
    <w:rsid w:val="005476A3"/>
    <w:rsid w:val="00547C04"/>
    <w:rsid w:val="00547E8F"/>
    <w:rsid w:val="005501C6"/>
    <w:rsid w:val="00550303"/>
    <w:rsid w:val="00550CC9"/>
    <w:rsid w:val="00551D7F"/>
    <w:rsid w:val="00551DAC"/>
    <w:rsid w:val="00551EF7"/>
    <w:rsid w:val="00552EBF"/>
    <w:rsid w:val="00553147"/>
    <w:rsid w:val="00553398"/>
    <w:rsid w:val="0055369B"/>
    <w:rsid w:val="00553980"/>
    <w:rsid w:val="00554AF9"/>
    <w:rsid w:val="00554B04"/>
    <w:rsid w:val="0055526C"/>
    <w:rsid w:val="00555A7C"/>
    <w:rsid w:val="005560CF"/>
    <w:rsid w:val="0055624B"/>
    <w:rsid w:val="0055649B"/>
    <w:rsid w:val="00556750"/>
    <w:rsid w:val="00556868"/>
    <w:rsid w:val="00556C07"/>
    <w:rsid w:val="00556C48"/>
    <w:rsid w:val="005571A8"/>
    <w:rsid w:val="00557BB8"/>
    <w:rsid w:val="00557DB6"/>
    <w:rsid w:val="005600B4"/>
    <w:rsid w:val="0056078D"/>
    <w:rsid w:val="00560B50"/>
    <w:rsid w:val="00560C41"/>
    <w:rsid w:val="005613AC"/>
    <w:rsid w:val="00561D14"/>
    <w:rsid w:val="005622BE"/>
    <w:rsid w:val="005623E8"/>
    <w:rsid w:val="0056292B"/>
    <w:rsid w:val="00562982"/>
    <w:rsid w:val="00562B91"/>
    <w:rsid w:val="00562CB1"/>
    <w:rsid w:val="005633DB"/>
    <w:rsid w:val="005634BA"/>
    <w:rsid w:val="005642E2"/>
    <w:rsid w:val="00565114"/>
    <w:rsid w:val="00565351"/>
    <w:rsid w:val="0056562C"/>
    <w:rsid w:val="00565992"/>
    <w:rsid w:val="00565B52"/>
    <w:rsid w:val="0056616D"/>
    <w:rsid w:val="0056658E"/>
    <w:rsid w:val="00566993"/>
    <w:rsid w:val="00566BD7"/>
    <w:rsid w:val="00566CC5"/>
    <w:rsid w:val="0056721B"/>
    <w:rsid w:val="00567686"/>
    <w:rsid w:val="0056799D"/>
    <w:rsid w:val="00567B13"/>
    <w:rsid w:val="00567CEA"/>
    <w:rsid w:val="00570340"/>
    <w:rsid w:val="005703F2"/>
    <w:rsid w:val="00570788"/>
    <w:rsid w:val="00570981"/>
    <w:rsid w:val="00570BD2"/>
    <w:rsid w:val="00570CE9"/>
    <w:rsid w:val="00570D93"/>
    <w:rsid w:val="00570E36"/>
    <w:rsid w:val="0057123B"/>
    <w:rsid w:val="00571F6E"/>
    <w:rsid w:val="005720AC"/>
    <w:rsid w:val="005721FD"/>
    <w:rsid w:val="0057245D"/>
    <w:rsid w:val="0057247D"/>
    <w:rsid w:val="00572660"/>
    <w:rsid w:val="00572738"/>
    <w:rsid w:val="0057274F"/>
    <w:rsid w:val="005727FC"/>
    <w:rsid w:val="00572928"/>
    <w:rsid w:val="0057295D"/>
    <w:rsid w:val="00573D60"/>
    <w:rsid w:val="0057436F"/>
    <w:rsid w:val="0057447C"/>
    <w:rsid w:val="005746FE"/>
    <w:rsid w:val="00574C50"/>
    <w:rsid w:val="0057525A"/>
    <w:rsid w:val="0057543B"/>
    <w:rsid w:val="0057566A"/>
    <w:rsid w:val="00575B13"/>
    <w:rsid w:val="00575B15"/>
    <w:rsid w:val="00575E62"/>
    <w:rsid w:val="00575EFA"/>
    <w:rsid w:val="00575F94"/>
    <w:rsid w:val="00576630"/>
    <w:rsid w:val="005768FB"/>
    <w:rsid w:val="00576CAF"/>
    <w:rsid w:val="00576D88"/>
    <w:rsid w:val="00580247"/>
    <w:rsid w:val="00580CE7"/>
    <w:rsid w:val="00580D88"/>
    <w:rsid w:val="00581024"/>
    <w:rsid w:val="00581491"/>
    <w:rsid w:val="00581592"/>
    <w:rsid w:val="0058166A"/>
    <w:rsid w:val="00581AEF"/>
    <w:rsid w:val="00581EB8"/>
    <w:rsid w:val="00583571"/>
    <w:rsid w:val="00583BAC"/>
    <w:rsid w:val="00583D54"/>
    <w:rsid w:val="00584053"/>
    <w:rsid w:val="00584212"/>
    <w:rsid w:val="0058431D"/>
    <w:rsid w:val="00584551"/>
    <w:rsid w:val="005847FA"/>
    <w:rsid w:val="005848B6"/>
    <w:rsid w:val="00584B5B"/>
    <w:rsid w:val="00585021"/>
    <w:rsid w:val="0058506D"/>
    <w:rsid w:val="00585183"/>
    <w:rsid w:val="0058553D"/>
    <w:rsid w:val="00586037"/>
    <w:rsid w:val="00586569"/>
    <w:rsid w:val="00586941"/>
    <w:rsid w:val="00587698"/>
    <w:rsid w:val="00587B70"/>
    <w:rsid w:val="00587F56"/>
    <w:rsid w:val="00590400"/>
    <w:rsid w:val="00590A91"/>
    <w:rsid w:val="00590BCC"/>
    <w:rsid w:val="00591B67"/>
    <w:rsid w:val="00591BB2"/>
    <w:rsid w:val="00591E67"/>
    <w:rsid w:val="00591EF9"/>
    <w:rsid w:val="0059256D"/>
    <w:rsid w:val="00592588"/>
    <w:rsid w:val="00592741"/>
    <w:rsid w:val="00592A2C"/>
    <w:rsid w:val="00593088"/>
    <w:rsid w:val="005930E1"/>
    <w:rsid w:val="00593963"/>
    <w:rsid w:val="00593E11"/>
    <w:rsid w:val="00594259"/>
    <w:rsid w:val="005942B9"/>
    <w:rsid w:val="005943A0"/>
    <w:rsid w:val="005944C0"/>
    <w:rsid w:val="00594A4A"/>
    <w:rsid w:val="00594BF2"/>
    <w:rsid w:val="005954EE"/>
    <w:rsid w:val="00596141"/>
    <w:rsid w:val="00596278"/>
    <w:rsid w:val="00596481"/>
    <w:rsid w:val="0059689A"/>
    <w:rsid w:val="00596A83"/>
    <w:rsid w:val="00596DE1"/>
    <w:rsid w:val="00597438"/>
    <w:rsid w:val="005A0097"/>
    <w:rsid w:val="005A0205"/>
    <w:rsid w:val="005A02FC"/>
    <w:rsid w:val="005A04EF"/>
    <w:rsid w:val="005A0752"/>
    <w:rsid w:val="005A0886"/>
    <w:rsid w:val="005A0AF5"/>
    <w:rsid w:val="005A0FCA"/>
    <w:rsid w:val="005A1089"/>
    <w:rsid w:val="005A19D2"/>
    <w:rsid w:val="005A23A1"/>
    <w:rsid w:val="005A30EE"/>
    <w:rsid w:val="005A35D7"/>
    <w:rsid w:val="005A3654"/>
    <w:rsid w:val="005A3993"/>
    <w:rsid w:val="005A3AF0"/>
    <w:rsid w:val="005A4141"/>
    <w:rsid w:val="005A49B8"/>
    <w:rsid w:val="005A4E3C"/>
    <w:rsid w:val="005A5A36"/>
    <w:rsid w:val="005A5B97"/>
    <w:rsid w:val="005A5DB9"/>
    <w:rsid w:val="005A5F36"/>
    <w:rsid w:val="005A5FD5"/>
    <w:rsid w:val="005A656A"/>
    <w:rsid w:val="005A6867"/>
    <w:rsid w:val="005A6DFF"/>
    <w:rsid w:val="005A6FE3"/>
    <w:rsid w:val="005A7019"/>
    <w:rsid w:val="005A7713"/>
    <w:rsid w:val="005A7BB1"/>
    <w:rsid w:val="005B0372"/>
    <w:rsid w:val="005B0714"/>
    <w:rsid w:val="005B0AEA"/>
    <w:rsid w:val="005B10C1"/>
    <w:rsid w:val="005B15C2"/>
    <w:rsid w:val="005B168B"/>
    <w:rsid w:val="005B1739"/>
    <w:rsid w:val="005B187B"/>
    <w:rsid w:val="005B1C16"/>
    <w:rsid w:val="005B1D08"/>
    <w:rsid w:val="005B257E"/>
    <w:rsid w:val="005B294D"/>
    <w:rsid w:val="005B2D57"/>
    <w:rsid w:val="005B2F0E"/>
    <w:rsid w:val="005B362E"/>
    <w:rsid w:val="005B36B8"/>
    <w:rsid w:val="005B37B4"/>
    <w:rsid w:val="005B3AAA"/>
    <w:rsid w:val="005B424B"/>
    <w:rsid w:val="005B4540"/>
    <w:rsid w:val="005B48AB"/>
    <w:rsid w:val="005B4A2F"/>
    <w:rsid w:val="005B5375"/>
    <w:rsid w:val="005B5990"/>
    <w:rsid w:val="005B5ACC"/>
    <w:rsid w:val="005B5F86"/>
    <w:rsid w:val="005B60AB"/>
    <w:rsid w:val="005B6322"/>
    <w:rsid w:val="005B6491"/>
    <w:rsid w:val="005B6AB5"/>
    <w:rsid w:val="005B6C14"/>
    <w:rsid w:val="005B7587"/>
    <w:rsid w:val="005B7F2C"/>
    <w:rsid w:val="005C0096"/>
    <w:rsid w:val="005C0560"/>
    <w:rsid w:val="005C06EE"/>
    <w:rsid w:val="005C0AC6"/>
    <w:rsid w:val="005C0EC5"/>
    <w:rsid w:val="005C176F"/>
    <w:rsid w:val="005C17D7"/>
    <w:rsid w:val="005C1B8F"/>
    <w:rsid w:val="005C2139"/>
    <w:rsid w:val="005C3150"/>
    <w:rsid w:val="005C32E0"/>
    <w:rsid w:val="005C34C5"/>
    <w:rsid w:val="005C376B"/>
    <w:rsid w:val="005C384C"/>
    <w:rsid w:val="005C38C5"/>
    <w:rsid w:val="005C3D57"/>
    <w:rsid w:val="005C3D73"/>
    <w:rsid w:val="005C4970"/>
    <w:rsid w:val="005C4A91"/>
    <w:rsid w:val="005C50A6"/>
    <w:rsid w:val="005C5554"/>
    <w:rsid w:val="005C5E69"/>
    <w:rsid w:val="005C68C2"/>
    <w:rsid w:val="005C6E38"/>
    <w:rsid w:val="005C6FB8"/>
    <w:rsid w:val="005C7FAA"/>
    <w:rsid w:val="005D04CD"/>
    <w:rsid w:val="005D098D"/>
    <w:rsid w:val="005D09F5"/>
    <w:rsid w:val="005D0A20"/>
    <w:rsid w:val="005D0B09"/>
    <w:rsid w:val="005D0DA4"/>
    <w:rsid w:val="005D0F94"/>
    <w:rsid w:val="005D1179"/>
    <w:rsid w:val="005D141D"/>
    <w:rsid w:val="005D1852"/>
    <w:rsid w:val="005D1C4E"/>
    <w:rsid w:val="005D1F35"/>
    <w:rsid w:val="005D2352"/>
    <w:rsid w:val="005D261E"/>
    <w:rsid w:val="005D29A6"/>
    <w:rsid w:val="005D2CBE"/>
    <w:rsid w:val="005D2F1C"/>
    <w:rsid w:val="005D3028"/>
    <w:rsid w:val="005D32FC"/>
    <w:rsid w:val="005D32FF"/>
    <w:rsid w:val="005D34A7"/>
    <w:rsid w:val="005D3794"/>
    <w:rsid w:val="005D4126"/>
    <w:rsid w:val="005D4161"/>
    <w:rsid w:val="005D4386"/>
    <w:rsid w:val="005D4A2F"/>
    <w:rsid w:val="005D4DC3"/>
    <w:rsid w:val="005D4F49"/>
    <w:rsid w:val="005D592B"/>
    <w:rsid w:val="005D5A33"/>
    <w:rsid w:val="005D65CF"/>
    <w:rsid w:val="005D6D26"/>
    <w:rsid w:val="005D6E36"/>
    <w:rsid w:val="005D71E6"/>
    <w:rsid w:val="005D7317"/>
    <w:rsid w:val="005D7494"/>
    <w:rsid w:val="005D74CF"/>
    <w:rsid w:val="005D752E"/>
    <w:rsid w:val="005D7BC6"/>
    <w:rsid w:val="005E02B2"/>
    <w:rsid w:val="005E049E"/>
    <w:rsid w:val="005E0859"/>
    <w:rsid w:val="005E0B88"/>
    <w:rsid w:val="005E0EF2"/>
    <w:rsid w:val="005E1A13"/>
    <w:rsid w:val="005E1A30"/>
    <w:rsid w:val="005E1AC1"/>
    <w:rsid w:val="005E1C41"/>
    <w:rsid w:val="005E21D7"/>
    <w:rsid w:val="005E2366"/>
    <w:rsid w:val="005E265C"/>
    <w:rsid w:val="005E2751"/>
    <w:rsid w:val="005E2E2A"/>
    <w:rsid w:val="005E3616"/>
    <w:rsid w:val="005E36DD"/>
    <w:rsid w:val="005E401C"/>
    <w:rsid w:val="005E40CD"/>
    <w:rsid w:val="005E4122"/>
    <w:rsid w:val="005E426D"/>
    <w:rsid w:val="005E45E6"/>
    <w:rsid w:val="005E475F"/>
    <w:rsid w:val="005E4BBB"/>
    <w:rsid w:val="005E4BFB"/>
    <w:rsid w:val="005E5064"/>
    <w:rsid w:val="005E5163"/>
    <w:rsid w:val="005E51CE"/>
    <w:rsid w:val="005E56F4"/>
    <w:rsid w:val="005E583D"/>
    <w:rsid w:val="005E596D"/>
    <w:rsid w:val="005E691C"/>
    <w:rsid w:val="005E7812"/>
    <w:rsid w:val="005E7F01"/>
    <w:rsid w:val="005F0280"/>
    <w:rsid w:val="005F0329"/>
    <w:rsid w:val="005F045C"/>
    <w:rsid w:val="005F0739"/>
    <w:rsid w:val="005F0E43"/>
    <w:rsid w:val="005F0ECD"/>
    <w:rsid w:val="005F18C0"/>
    <w:rsid w:val="005F364C"/>
    <w:rsid w:val="005F3A1B"/>
    <w:rsid w:val="005F3D55"/>
    <w:rsid w:val="005F3E4B"/>
    <w:rsid w:val="005F41FD"/>
    <w:rsid w:val="005F430C"/>
    <w:rsid w:val="005F4BEF"/>
    <w:rsid w:val="005F4C03"/>
    <w:rsid w:val="005F5290"/>
    <w:rsid w:val="005F58B6"/>
    <w:rsid w:val="005F5921"/>
    <w:rsid w:val="005F5962"/>
    <w:rsid w:val="005F5B32"/>
    <w:rsid w:val="005F61D5"/>
    <w:rsid w:val="005F62AE"/>
    <w:rsid w:val="005F6BF8"/>
    <w:rsid w:val="005F705A"/>
    <w:rsid w:val="005F728E"/>
    <w:rsid w:val="005F7535"/>
    <w:rsid w:val="005F7CC2"/>
    <w:rsid w:val="005F7CF5"/>
    <w:rsid w:val="006004B5"/>
    <w:rsid w:val="00600503"/>
    <w:rsid w:val="00600C48"/>
    <w:rsid w:val="0060121F"/>
    <w:rsid w:val="0060133E"/>
    <w:rsid w:val="00601862"/>
    <w:rsid w:val="0060192D"/>
    <w:rsid w:val="00601A5A"/>
    <w:rsid w:val="006021E3"/>
    <w:rsid w:val="00602721"/>
    <w:rsid w:val="00602861"/>
    <w:rsid w:val="0060299B"/>
    <w:rsid w:val="00602DA3"/>
    <w:rsid w:val="00602E28"/>
    <w:rsid w:val="00602F9D"/>
    <w:rsid w:val="00603E77"/>
    <w:rsid w:val="00604642"/>
    <w:rsid w:val="0060464B"/>
    <w:rsid w:val="0060482E"/>
    <w:rsid w:val="00604A8E"/>
    <w:rsid w:val="00604A92"/>
    <w:rsid w:val="00604C19"/>
    <w:rsid w:val="006051B0"/>
    <w:rsid w:val="00605215"/>
    <w:rsid w:val="006056D2"/>
    <w:rsid w:val="00605AB9"/>
    <w:rsid w:val="00605C41"/>
    <w:rsid w:val="0060604F"/>
    <w:rsid w:val="00606513"/>
    <w:rsid w:val="00606AFF"/>
    <w:rsid w:val="006071FC"/>
    <w:rsid w:val="00607B8E"/>
    <w:rsid w:val="006106A8"/>
    <w:rsid w:val="00610B1C"/>
    <w:rsid w:val="00610BAB"/>
    <w:rsid w:val="00611022"/>
    <w:rsid w:val="0061125E"/>
    <w:rsid w:val="006116DB"/>
    <w:rsid w:val="00611836"/>
    <w:rsid w:val="0061184B"/>
    <w:rsid w:val="00611D76"/>
    <w:rsid w:val="006121B3"/>
    <w:rsid w:val="00612324"/>
    <w:rsid w:val="00612530"/>
    <w:rsid w:val="006126FA"/>
    <w:rsid w:val="00612C68"/>
    <w:rsid w:val="0061306C"/>
    <w:rsid w:val="00613139"/>
    <w:rsid w:val="006132B3"/>
    <w:rsid w:val="00613477"/>
    <w:rsid w:val="00613CC4"/>
    <w:rsid w:val="00613E89"/>
    <w:rsid w:val="00613EA7"/>
    <w:rsid w:val="0061416D"/>
    <w:rsid w:val="00614203"/>
    <w:rsid w:val="0061428F"/>
    <w:rsid w:val="006143AD"/>
    <w:rsid w:val="00614420"/>
    <w:rsid w:val="00614BF2"/>
    <w:rsid w:val="00614C02"/>
    <w:rsid w:val="00615916"/>
    <w:rsid w:val="006159CE"/>
    <w:rsid w:val="00615B08"/>
    <w:rsid w:val="0061601D"/>
    <w:rsid w:val="006160F7"/>
    <w:rsid w:val="006164CF"/>
    <w:rsid w:val="00616674"/>
    <w:rsid w:val="00616A6A"/>
    <w:rsid w:val="006172D8"/>
    <w:rsid w:val="006174D8"/>
    <w:rsid w:val="0061784B"/>
    <w:rsid w:val="00617B76"/>
    <w:rsid w:val="00617E71"/>
    <w:rsid w:val="0062065A"/>
    <w:rsid w:val="006207D1"/>
    <w:rsid w:val="00620A4A"/>
    <w:rsid w:val="00620BCA"/>
    <w:rsid w:val="00620EE2"/>
    <w:rsid w:val="00621033"/>
    <w:rsid w:val="00621770"/>
    <w:rsid w:val="0062193E"/>
    <w:rsid w:val="00621E2A"/>
    <w:rsid w:val="00622166"/>
    <w:rsid w:val="006222B7"/>
    <w:rsid w:val="0062238B"/>
    <w:rsid w:val="00622502"/>
    <w:rsid w:val="0062318B"/>
    <w:rsid w:val="00623AF3"/>
    <w:rsid w:val="00623CBA"/>
    <w:rsid w:val="00623D7F"/>
    <w:rsid w:val="00623F32"/>
    <w:rsid w:val="006246E2"/>
    <w:rsid w:val="006249D2"/>
    <w:rsid w:val="00624B05"/>
    <w:rsid w:val="00624BD0"/>
    <w:rsid w:val="00624DC3"/>
    <w:rsid w:val="00625194"/>
    <w:rsid w:val="006251A0"/>
    <w:rsid w:val="0062597E"/>
    <w:rsid w:val="0062698A"/>
    <w:rsid w:val="00626C1A"/>
    <w:rsid w:val="00626CD7"/>
    <w:rsid w:val="00626E10"/>
    <w:rsid w:val="00626F11"/>
    <w:rsid w:val="00627383"/>
    <w:rsid w:val="00627658"/>
    <w:rsid w:val="006278E0"/>
    <w:rsid w:val="00627C0F"/>
    <w:rsid w:val="0063023A"/>
    <w:rsid w:val="0063071A"/>
    <w:rsid w:val="00630786"/>
    <w:rsid w:val="00630CBF"/>
    <w:rsid w:val="00630E91"/>
    <w:rsid w:val="00631008"/>
    <w:rsid w:val="006314E6"/>
    <w:rsid w:val="00631A29"/>
    <w:rsid w:val="00631D34"/>
    <w:rsid w:val="00631DC3"/>
    <w:rsid w:val="006320F9"/>
    <w:rsid w:val="0063212D"/>
    <w:rsid w:val="00632166"/>
    <w:rsid w:val="00632242"/>
    <w:rsid w:val="006324E4"/>
    <w:rsid w:val="00632E0A"/>
    <w:rsid w:val="00633467"/>
    <w:rsid w:val="00633475"/>
    <w:rsid w:val="006334E1"/>
    <w:rsid w:val="00633C2C"/>
    <w:rsid w:val="00634115"/>
    <w:rsid w:val="0063421B"/>
    <w:rsid w:val="006344D4"/>
    <w:rsid w:val="00634670"/>
    <w:rsid w:val="00634758"/>
    <w:rsid w:val="00634CDE"/>
    <w:rsid w:val="00636604"/>
    <w:rsid w:val="0063661D"/>
    <w:rsid w:val="0063669F"/>
    <w:rsid w:val="00636A49"/>
    <w:rsid w:val="00636E90"/>
    <w:rsid w:val="00636ECE"/>
    <w:rsid w:val="00637315"/>
    <w:rsid w:val="00637345"/>
    <w:rsid w:val="006375B5"/>
    <w:rsid w:val="006378A7"/>
    <w:rsid w:val="00637B68"/>
    <w:rsid w:val="00637BFD"/>
    <w:rsid w:val="00637F30"/>
    <w:rsid w:val="00640295"/>
    <w:rsid w:val="00640AA6"/>
    <w:rsid w:val="006414C3"/>
    <w:rsid w:val="00641567"/>
    <w:rsid w:val="0064168C"/>
    <w:rsid w:val="006416F4"/>
    <w:rsid w:val="006417C2"/>
    <w:rsid w:val="00641B74"/>
    <w:rsid w:val="006421BE"/>
    <w:rsid w:val="0064313E"/>
    <w:rsid w:val="00643932"/>
    <w:rsid w:val="00643BCB"/>
    <w:rsid w:val="00643E35"/>
    <w:rsid w:val="00644118"/>
    <w:rsid w:val="00644423"/>
    <w:rsid w:val="00644437"/>
    <w:rsid w:val="006445CF"/>
    <w:rsid w:val="006445EB"/>
    <w:rsid w:val="00644926"/>
    <w:rsid w:val="006449E6"/>
    <w:rsid w:val="00644BCA"/>
    <w:rsid w:val="00644D74"/>
    <w:rsid w:val="006452BB"/>
    <w:rsid w:val="00646020"/>
    <w:rsid w:val="00646053"/>
    <w:rsid w:val="00646444"/>
    <w:rsid w:val="0064683F"/>
    <w:rsid w:val="006468A4"/>
    <w:rsid w:val="00646CA2"/>
    <w:rsid w:val="0064787F"/>
    <w:rsid w:val="00647C4D"/>
    <w:rsid w:val="00647D2B"/>
    <w:rsid w:val="00647D4E"/>
    <w:rsid w:val="00647E1D"/>
    <w:rsid w:val="006504CE"/>
    <w:rsid w:val="00650538"/>
    <w:rsid w:val="00650968"/>
    <w:rsid w:val="00650A1A"/>
    <w:rsid w:val="00650ADC"/>
    <w:rsid w:val="00650AF4"/>
    <w:rsid w:val="00650EA3"/>
    <w:rsid w:val="0065143E"/>
    <w:rsid w:val="00651BF5"/>
    <w:rsid w:val="00651E3E"/>
    <w:rsid w:val="00651FA1"/>
    <w:rsid w:val="00652228"/>
    <w:rsid w:val="0065247B"/>
    <w:rsid w:val="00652717"/>
    <w:rsid w:val="0065280A"/>
    <w:rsid w:val="00652852"/>
    <w:rsid w:val="006529C9"/>
    <w:rsid w:val="006529DB"/>
    <w:rsid w:val="00652F09"/>
    <w:rsid w:val="006530A4"/>
    <w:rsid w:val="00653B7D"/>
    <w:rsid w:val="00654135"/>
    <w:rsid w:val="0065459F"/>
    <w:rsid w:val="0065466E"/>
    <w:rsid w:val="006549BF"/>
    <w:rsid w:val="00654C2A"/>
    <w:rsid w:val="00654CB3"/>
    <w:rsid w:val="0065530A"/>
    <w:rsid w:val="006556EE"/>
    <w:rsid w:val="00655E6D"/>
    <w:rsid w:val="0065618F"/>
    <w:rsid w:val="006564FA"/>
    <w:rsid w:val="0065651B"/>
    <w:rsid w:val="0065679B"/>
    <w:rsid w:val="00656926"/>
    <w:rsid w:val="00656B7B"/>
    <w:rsid w:val="00657100"/>
    <w:rsid w:val="00657308"/>
    <w:rsid w:val="0065737A"/>
    <w:rsid w:val="006575FE"/>
    <w:rsid w:val="0065769A"/>
    <w:rsid w:val="00657A77"/>
    <w:rsid w:val="00657E2C"/>
    <w:rsid w:val="006601BA"/>
    <w:rsid w:val="006603D3"/>
    <w:rsid w:val="006603FA"/>
    <w:rsid w:val="00660655"/>
    <w:rsid w:val="006606D2"/>
    <w:rsid w:val="00660EF9"/>
    <w:rsid w:val="0066194D"/>
    <w:rsid w:val="00662065"/>
    <w:rsid w:val="006622B1"/>
    <w:rsid w:val="00662488"/>
    <w:rsid w:val="006625F4"/>
    <w:rsid w:val="0066297A"/>
    <w:rsid w:val="00662C79"/>
    <w:rsid w:val="0066316F"/>
    <w:rsid w:val="006639D9"/>
    <w:rsid w:val="00663A04"/>
    <w:rsid w:val="00663CE0"/>
    <w:rsid w:val="00664020"/>
    <w:rsid w:val="00664182"/>
    <w:rsid w:val="0066491F"/>
    <w:rsid w:val="00664930"/>
    <w:rsid w:val="0066540F"/>
    <w:rsid w:val="00665426"/>
    <w:rsid w:val="006655E2"/>
    <w:rsid w:val="0066591E"/>
    <w:rsid w:val="00665F6B"/>
    <w:rsid w:val="006661F0"/>
    <w:rsid w:val="006662A0"/>
    <w:rsid w:val="006662F3"/>
    <w:rsid w:val="0066659A"/>
    <w:rsid w:val="006668E7"/>
    <w:rsid w:val="006668F9"/>
    <w:rsid w:val="0066718D"/>
    <w:rsid w:val="006677A3"/>
    <w:rsid w:val="006679B1"/>
    <w:rsid w:val="00667CAC"/>
    <w:rsid w:val="006701F8"/>
    <w:rsid w:val="00670258"/>
    <w:rsid w:val="0067060A"/>
    <w:rsid w:val="006706F2"/>
    <w:rsid w:val="00670E4A"/>
    <w:rsid w:val="00670E76"/>
    <w:rsid w:val="00671147"/>
    <w:rsid w:val="00671384"/>
    <w:rsid w:val="00671C30"/>
    <w:rsid w:val="00671C98"/>
    <w:rsid w:val="00672036"/>
    <w:rsid w:val="00672879"/>
    <w:rsid w:val="006728C1"/>
    <w:rsid w:val="00672DAB"/>
    <w:rsid w:val="00672DB7"/>
    <w:rsid w:val="00672E60"/>
    <w:rsid w:val="00673054"/>
    <w:rsid w:val="0067305F"/>
    <w:rsid w:val="006731EC"/>
    <w:rsid w:val="00673398"/>
    <w:rsid w:val="006738EB"/>
    <w:rsid w:val="00673AAF"/>
    <w:rsid w:val="00673B3D"/>
    <w:rsid w:val="00674193"/>
    <w:rsid w:val="00674CF9"/>
    <w:rsid w:val="00674DC3"/>
    <w:rsid w:val="006754F4"/>
    <w:rsid w:val="00675DCD"/>
    <w:rsid w:val="006763A4"/>
    <w:rsid w:val="0067648C"/>
    <w:rsid w:val="006764A7"/>
    <w:rsid w:val="006768BF"/>
    <w:rsid w:val="00676CA6"/>
    <w:rsid w:val="0067743D"/>
    <w:rsid w:val="006779BA"/>
    <w:rsid w:val="00677C2F"/>
    <w:rsid w:val="00677F02"/>
    <w:rsid w:val="00680022"/>
    <w:rsid w:val="00680903"/>
    <w:rsid w:val="00680DA9"/>
    <w:rsid w:val="00680DD6"/>
    <w:rsid w:val="00680E4C"/>
    <w:rsid w:val="00681032"/>
    <w:rsid w:val="0068116C"/>
    <w:rsid w:val="00681CB8"/>
    <w:rsid w:val="006822FB"/>
    <w:rsid w:val="006824A1"/>
    <w:rsid w:val="00682E32"/>
    <w:rsid w:val="0068327A"/>
    <w:rsid w:val="0068335A"/>
    <w:rsid w:val="00683658"/>
    <w:rsid w:val="00683CE7"/>
    <w:rsid w:val="006840E3"/>
    <w:rsid w:val="00684A2A"/>
    <w:rsid w:val="006850C6"/>
    <w:rsid w:val="006853EB"/>
    <w:rsid w:val="006854A8"/>
    <w:rsid w:val="0068565C"/>
    <w:rsid w:val="0068585D"/>
    <w:rsid w:val="00685D02"/>
    <w:rsid w:val="006864C8"/>
    <w:rsid w:val="00687208"/>
    <w:rsid w:val="00687667"/>
    <w:rsid w:val="00687CB3"/>
    <w:rsid w:val="00687D23"/>
    <w:rsid w:val="00687F12"/>
    <w:rsid w:val="00690404"/>
    <w:rsid w:val="006909F9"/>
    <w:rsid w:val="00691005"/>
    <w:rsid w:val="00691014"/>
    <w:rsid w:val="00691156"/>
    <w:rsid w:val="0069219B"/>
    <w:rsid w:val="00692345"/>
    <w:rsid w:val="006927CD"/>
    <w:rsid w:val="00692805"/>
    <w:rsid w:val="0069280E"/>
    <w:rsid w:val="00692CC5"/>
    <w:rsid w:val="00692D06"/>
    <w:rsid w:val="0069300E"/>
    <w:rsid w:val="006930B0"/>
    <w:rsid w:val="00693300"/>
    <w:rsid w:val="006934C6"/>
    <w:rsid w:val="00693CBD"/>
    <w:rsid w:val="00694471"/>
    <w:rsid w:val="00694D04"/>
    <w:rsid w:val="006950B0"/>
    <w:rsid w:val="006952B3"/>
    <w:rsid w:val="006959CC"/>
    <w:rsid w:val="00695BAC"/>
    <w:rsid w:val="00695BB4"/>
    <w:rsid w:val="00695FFA"/>
    <w:rsid w:val="0069624C"/>
    <w:rsid w:val="006963B5"/>
    <w:rsid w:val="006964AE"/>
    <w:rsid w:val="00696AEF"/>
    <w:rsid w:val="00696EA5"/>
    <w:rsid w:val="0069700F"/>
    <w:rsid w:val="00697245"/>
    <w:rsid w:val="0069724D"/>
    <w:rsid w:val="0069734F"/>
    <w:rsid w:val="00697607"/>
    <w:rsid w:val="0069779F"/>
    <w:rsid w:val="00697950"/>
    <w:rsid w:val="00697B28"/>
    <w:rsid w:val="006A04F0"/>
    <w:rsid w:val="006A0931"/>
    <w:rsid w:val="006A0DAF"/>
    <w:rsid w:val="006A10E2"/>
    <w:rsid w:val="006A1211"/>
    <w:rsid w:val="006A14D4"/>
    <w:rsid w:val="006A17C5"/>
    <w:rsid w:val="006A1966"/>
    <w:rsid w:val="006A1B36"/>
    <w:rsid w:val="006A22AB"/>
    <w:rsid w:val="006A255B"/>
    <w:rsid w:val="006A28A5"/>
    <w:rsid w:val="006A32A3"/>
    <w:rsid w:val="006A33BF"/>
    <w:rsid w:val="006A3652"/>
    <w:rsid w:val="006A36AF"/>
    <w:rsid w:val="006A371A"/>
    <w:rsid w:val="006A37E1"/>
    <w:rsid w:val="006A4ACB"/>
    <w:rsid w:val="006A501B"/>
    <w:rsid w:val="006A5240"/>
    <w:rsid w:val="006A5641"/>
    <w:rsid w:val="006A5A3E"/>
    <w:rsid w:val="006A5B47"/>
    <w:rsid w:val="006A5CA3"/>
    <w:rsid w:val="006A6544"/>
    <w:rsid w:val="006A6628"/>
    <w:rsid w:val="006A6AF8"/>
    <w:rsid w:val="006A6E98"/>
    <w:rsid w:val="006A6F36"/>
    <w:rsid w:val="006A724B"/>
    <w:rsid w:val="006A7289"/>
    <w:rsid w:val="006A74A0"/>
    <w:rsid w:val="006A7609"/>
    <w:rsid w:val="006A7B16"/>
    <w:rsid w:val="006A7EC8"/>
    <w:rsid w:val="006A7F8D"/>
    <w:rsid w:val="006B00F6"/>
    <w:rsid w:val="006B04A5"/>
    <w:rsid w:val="006B04AA"/>
    <w:rsid w:val="006B0998"/>
    <w:rsid w:val="006B0FFD"/>
    <w:rsid w:val="006B13AC"/>
    <w:rsid w:val="006B1783"/>
    <w:rsid w:val="006B17D9"/>
    <w:rsid w:val="006B1F9C"/>
    <w:rsid w:val="006B20C1"/>
    <w:rsid w:val="006B221C"/>
    <w:rsid w:val="006B2EEA"/>
    <w:rsid w:val="006B31B2"/>
    <w:rsid w:val="006B3335"/>
    <w:rsid w:val="006B33CF"/>
    <w:rsid w:val="006B3409"/>
    <w:rsid w:val="006B34CF"/>
    <w:rsid w:val="006B35D9"/>
    <w:rsid w:val="006B366A"/>
    <w:rsid w:val="006B3691"/>
    <w:rsid w:val="006B375A"/>
    <w:rsid w:val="006B3C29"/>
    <w:rsid w:val="006B400E"/>
    <w:rsid w:val="006B4071"/>
    <w:rsid w:val="006B417A"/>
    <w:rsid w:val="006B4370"/>
    <w:rsid w:val="006B44A4"/>
    <w:rsid w:val="006B4765"/>
    <w:rsid w:val="006B4960"/>
    <w:rsid w:val="006B52D7"/>
    <w:rsid w:val="006B553E"/>
    <w:rsid w:val="006B5B19"/>
    <w:rsid w:val="006B5BCD"/>
    <w:rsid w:val="006B5F23"/>
    <w:rsid w:val="006B5F31"/>
    <w:rsid w:val="006B61C0"/>
    <w:rsid w:val="006B64A1"/>
    <w:rsid w:val="006B688B"/>
    <w:rsid w:val="006B6950"/>
    <w:rsid w:val="006B69CA"/>
    <w:rsid w:val="006B6B01"/>
    <w:rsid w:val="006B6BE6"/>
    <w:rsid w:val="006B6E50"/>
    <w:rsid w:val="006B753E"/>
    <w:rsid w:val="006C0043"/>
    <w:rsid w:val="006C00A6"/>
    <w:rsid w:val="006C01FC"/>
    <w:rsid w:val="006C1013"/>
    <w:rsid w:val="006C1020"/>
    <w:rsid w:val="006C1153"/>
    <w:rsid w:val="006C1217"/>
    <w:rsid w:val="006C1519"/>
    <w:rsid w:val="006C2328"/>
    <w:rsid w:val="006C281F"/>
    <w:rsid w:val="006C2E63"/>
    <w:rsid w:val="006C3104"/>
    <w:rsid w:val="006C3499"/>
    <w:rsid w:val="006C36F5"/>
    <w:rsid w:val="006C38D3"/>
    <w:rsid w:val="006C42D5"/>
    <w:rsid w:val="006C4495"/>
    <w:rsid w:val="006C4CEE"/>
    <w:rsid w:val="006C4D78"/>
    <w:rsid w:val="006C4DB3"/>
    <w:rsid w:val="006C4DBA"/>
    <w:rsid w:val="006C4E29"/>
    <w:rsid w:val="006C611C"/>
    <w:rsid w:val="006C62B2"/>
    <w:rsid w:val="006C657A"/>
    <w:rsid w:val="006C6E02"/>
    <w:rsid w:val="006C7997"/>
    <w:rsid w:val="006C7A74"/>
    <w:rsid w:val="006C7EF6"/>
    <w:rsid w:val="006D015D"/>
    <w:rsid w:val="006D0182"/>
    <w:rsid w:val="006D03F9"/>
    <w:rsid w:val="006D07F5"/>
    <w:rsid w:val="006D129C"/>
    <w:rsid w:val="006D15C7"/>
    <w:rsid w:val="006D180D"/>
    <w:rsid w:val="006D1B50"/>
    <w:rsid w:val="006D23FE"/>
    <w:rsid w:val="006D24AD"/>
    <w:rsid w:val="006D2ACD"/>
    <w:rsid w:val="006D2B35"/>
    <w:rsid w:val="006D2BE9"/>
    <w:rsid w:val="006D2F53"/>
    <w:rsid w:val="006D3A05"/>
    <w:rsid w:val="006D458E"/>
    <w:rsid w:val="006D4787"/>
    <w:rsid w:val="006D5053"/>
    <w:rsid w:val="006D56F7"/>
    <w:rsid w:val="006D59A7"/>
    <w:rsid w:val="006D59BE"/>
    <w:rsid w:val="006D5E51"/>
    <w:rsid w:val="006D6043"/>
    <w:rsid w:val="006D64A4"/>
    <w:rsid w:val="006D6877"/>
    <w:rsid w:val="006D6932"/>
    <w:rsid w:val="006D6B0D"/>
    <w:rsid w:val="006D6C77"/>
    <w:rsid w:val="006D6EDE"/>
    <w:rsid w:val="006D75E4"/>
    <w:rsid w:val="006D7A1A"/>
    <w:rsid w:val="006E04E5"/>
    <w:rsid w:val="006E08F5"/>
    <w:rsid w:val="006E0976"/>
    <w:rsid w:val="006E0E32"/>
    <w:rsid w:val="006E105A"/>
    <w:rsid w:val="006E294F"/>
    <w:rsid w:val="006E2B1B"/>
    <w:rsid w:val="006E315D"/>
    <w:rsid w:val="006E35B0"/>
    <w:rsid w:val="006E3A81"/>
    <w:rsid w:val="006E3D7C"/>
    <w:rsid w:val="006E3DCA"/>
    <w:rsid w:val="006E42EF"/>
    <w:rsid w:val="006E4669"/>
    <w:rsid w:val="006E4B8B"/>
    <w:rsid w:val="006E5362"/>
    <w:rsid w:val="006E546B"/>
    <w:rsid w:val="006E562F"/>
    <w:rsid w:val="006E57DF"/>
    <w:rsid w:val="006E59C0"/>
    <w:rsid w:val="006E5E89"/>
    <w:rsid w:val="006E5ED7"/>
    <w:rsid w:val="006E634C"/>
    <w:rsid w:val="006E660F"/>
    <w:rsid w:val="006E6785"/>
    <w:rsid w:val="006E6854"/>
    <w:rsid w:val="006E6E03"/>
    <w:rsid w:val="006E76D1"/>
    <w:rsid w:val="006E7ADA"/>
    <w:rsid w:val="006E7C04"/>
    <w:rsid w:val="006E7E69"/>
    <w:rsid w:val="006F00E8"/>
    <w:rsid w:val="006F029D"/>
    <w:rsid w:val="006F04F1"/>
    <w:rsid w:val="006F05EA"/>
    <w:rsid w:val="006F08FE"/>
    <w:rsid w:val="006F0D84"/>
    <w:rsid w:val="006F1398"/>
    <w:rsid w:val="006F17E8"/>
    <w:rsid w:val="006F18D1"/>
    <w:rsid w:val="006F199B"/>
    <w:rsid w:val="006F1C4E"/>
    <w:rsid w:val="006F1D66"/>
    <w:rsid w:val="006F1F63"/>
    <w:rsid w:val="006F2323"/>
    <w:rsid w:val="006F29AE"/>
    <w:rsid w:val="006F29C1"/>
    <w:rsid w:val="006F2D76"/>
    <w:rsid w:val="006F320E"/>
    <w:rsid w:val="006F3A6F"/>
    <w:rsid w:val="006F3AE7"/>
    <w:rsid w:val="006F3CE3"/>
    <w:rsid w:val="006F3D28"/>
    <w:rsid w:val="006F3F76"/>
    <w:rsid w:val="006F41A6"/>
    <w:rsid w:val="006F46E0"/>
    <w:rsid w:val="006F47B0"/>
    <w:rsid w:val="006F4AF1"/>
    <w:rsid w:val="006F4B37"/>
    <w:rsid w:val="006F4C48"/>
    <w:rsid w:val="006F516E"/>
    <w:rsid w:val="006F527D"/>
    <w:rsid w:val="006F5501"/>
    <w:rsid w:val="006F5644"/>
    <w:rsid w:val="006F5743"/>
    <w:rsid w:val="006F5938"/>
    <w:rsid w:val="006F5EAF"/>
    <w:rsid w:val="006F5F2D"/>
    <w:rsid w:val="006F61ED"/>
    <w:rsid w:val="006F6501"/>
    <w:rsid w:val="006F67D8"/>
    <w:rsid w:val="006F69F9"/>
    <w:rsid w:val="006F6A68"/>
    <w:rsid w:val="006F75B4"/>
    <w:rsid w:val="0070017A"/>
    <w:rsid w:val="00700188"/>
    <w:rsid w:val="00700B03"/>
    <w:rsid w:val="007011EF"/>
    <w:rsid w:val="0070129E"/>
    <w:rsid w:val="007014EE"/>
    <w:rsid w:val="007019D8"/>
    <w:rsid w:val="00701B33"/>
    <w:rsid w:val="00701BD1"/>
    <w:rsid w:val="00701D4B"/>
    <w:rsid w:val="00701DEF"/>
    <w:rsid w:val="00702348"/>
    <w:rsid w:val="0070266A"/>
    <w:rsid w:val="007026A5"/>
    <w:rsid w:val="00702AD8"/>
    <w:rsid w:val="00702BEF"/>
    <w:rsid w:val="00702CD9"/>
    <w:rsid w:val="00702F4D"/>
    <w:rsid w:val="00703881"/>
    <w:rsid w:val="00703FD5"/>
    <w:rsid w:val="007044C2"/>
    <w:rsid w:val="0070455A"/>
    <w:rsid w:val="007050FB"/>
    <w:rsid w:val="00705495"/>
    <w:rsid w:val="007058BE"/>
    <w:rsid w:val="0070594B"/>
    <w:rsid w:val="00706315"/>
    <w:rsid w:val="00706733"/>
    <w:rsid w:val="00706D68"/>
    <w:rsid w:val="00706E9F"/>
    <w:rsid w:val="0070702E"/>
    <w:rsid w:val="00707581"/>
    <w:rsid w:val="0070767F"/>
    <w:rsid w:val="0070782E"/>
    <w:rsid w:val="00707AC9"/>
    <w:rsid w:val="00707AD8"/>
    <w:rsid w:val="00707B9E"/>
    <w:rsid w:val="00710359"/>
    <w:rsid w:val="0071063D"/>
    <w:rsid w:val="00710D8A"/>
    <w:rsid w:val="00710F0F"/>
    <w:rsid w:val="00711369"/>
    <w:rsid w:val="0071136E"/>
    <w:rsid w:val="00711583"/>
    <w:rsid w:val="00711D9A"/>
    <w:rsid w:val="007120E5"/>
    <w:rsid w:val="007121C0"/>
    <w:rsid w:val="00712374"/>
    <w:rsid w:val="00712FD2"/>
    <w:rsid w:val="00713100"/>
    <w:rsid w:val="0071318B"/>
    <w:rsid w:val="0071395F"/>
    <w:rsid w:val="0071408D"/>
    <w:rsid w:val="007147F0"/>
    <w:rsid w:val="00714B03"/>
    <w:rsid w:val="00714CAF"/>
    <w:rsid w:val="00714E15"/>
    <w:rsid w:val="00715443"/>
    <w:rsid w:val="007155EF"/>
    <w:rsid w:val="00715C2E"/>
    <w:rsid w:val="00715D0A"/>
    <w:rsid w:val="00715D9C"/>
    <w:rsid w:val="00715EA6"/>
    <w:rsid w:val="007160CE"/>
    <w:rsid w:val="00716523"/>
    <w:rsid w:val="0071658B"/>
    <w:rsid w:val="0071673F"/>
    <w:rsid w:val="0071748D"/>
    <w:rsid w:val="00717556"/>
    <w:rsid w:val="0071775B"/>
    <w:rsid w:val="00717772"/>
    <w:rsid w:val="007178BA"/>
    <w:rsid w:val="00717973"/>
    <w:rsid w:val="0071799F"/>
    <w:rsid w:val="00717C62"/>
    <w:rsid w:val="00720437"/>
    <w:rsid w:val="007205DB"/>
    <w:rsid w:val="0072068B"/>
    <w:rsid w:val="0072075B"/>
    <w:rsid w:val="0072080D"/>
    <w:rsid w:val="00720F09"/>
    <w:rsid w:val="00721112"/>
    <w:rsid w:val="00721BCC"/>
    <w:rsid w:val="00721F2A"/>
    <w:rsid w:val="007221D4"/>
    <w:rsid w:val="007226F7"/>
    <w:rsid w:val="00723764"/>
    <w:rsid w:val="0072376E"/>
    <w:rsid w:val="00723A40"/>
    <w:rsid w:val="00723CDA"/>
    <w:rsid w:val="00724102"/>
    <w:rsid w:val="007241CE"/>
    <w:rsid w:val="007243CB"/>
    <w:rsid w:val="007249A7"/>
    <w:rsid w:val="007253B6"/>
    <w:rsid w:val="0072545B"/>
    <w:rsid w:val="007254A5"/>
    <w:rsid w:val="007258A3"/>
    <w:rsid w:val="007259AD"/>
    <w:rsid w:val="00725A34"/>
    <w:rsid w:val="00726149"/>
    <w:rsid w:val="0072655C"/>
    <w:rsid w:val="007265FE"/>
    <w:rsid w:val="00726898"/>
    <w:rsid w:val="00726B95"/>
    <w:rsid w:val="00726CD5"/>
    <w:rsid w:val="00726D3D"/>
    <w:rsid w:val="00727149"/>
    <w:rsid w:val="007271BD"/>
    <w:rsid w:val="00727208"/>
    <w:rsid w:val="0072721C"/>
    <w:rsid w:val="007276CA"/>
    <w:rsid w:val="0072787B"/>
    <w:rsid w:val="0072793F"/>
    <w:rsid w:val="00727CFB"/>
    <w:rsid w:val="00730090"/>
    <w:rsid w:val="0073037D"/>
    <w:rsid w:val="007305E4"/>
    <w:rsid w:val="00730A8E"/>
    <w:rsid w:val="00730D43"/>
    <w:rsid w:val="00730DA2"/>
    <w:rsid w:val="007317D3"/>
    <w:rsid w:val="00731F39"/>
    <w:rsid w:val="00732332"/>
    <w:rsid w:val="007323DF"/>
    <w:rsid w:val="00732436"/>
    <w:rsid w:val="00732795"/>
    <w:rsid w:val="007327BF"/>
    <w:rsid w:val="00732861"/>
    <w:rsid w:val="007329DD"/>
    <w:rsid w:val="00733C82"/>
    <w:rsid w:val="00733CE0"/>
    <w:rsid w:val="00734C08"/>
    <w:rsid w:val="00734D3B"/>
    <w:rsid w:val="007350D4"/>
    <w:rsid w:val="00735153"/>
    <w:rsid w:val="007351D2"/>
    <w:rsid w:val="00735585"/>
    <w:rsid w:val="00735A61"/>
    <w:rsid w:val="00735C26"/>
    <w:rsid w:val="0073660C"/>
    <w:rsid w:val="007367C4"/>
    <w:rsid w:val="007367F7"/>
    <w:rsid w:val="00736AEC"/>
    <w:rsid w:val="00737525"/>
    <w:rsid w:val="00737EC5"/>
    <w:rsid w:val="00740669"/>
    <w:rsid w:val="00740A00"/>
    <w:rsid w:val="00740D99"/>
    <w:rsid w:val="00740F99"/>
    <w:rsid w:val="00740FCA"/>
    <w:rsid w:val="00741091"/>
    <w:rsid w:val="0074123C"/>
    <w:rsid w:val="00741885"/>
    <w:rsid w:val="007422DB"/>
    <w:rsid w:val="0074251A"/>
    <w:rsid w:val="00742581"/>
    <w:rsid w:val="007428AA"/>
    <w:rsid w:val="007428DB"/>
    <w:rsid w:val="00742D93"/>
    <w:rsid w:val="00742F63"/>
    <w:rsid w:val="00742FDD"/>
    <w:rsid w:val="007437F3"/>
    <w:rsid w:val="007441AC"/>
    <w:rsid w:val="00744214"/>
    <w:rsid w:val="007447A3"/>
    <w:rsid w:val="007449C7"/>
    <w:rsid w:val="00744CCF"/>
    <w:rsid w:val="00745249"/>
    <w:rsid w:val="00745281"/>
    <w:rsid w:val="00745816"/>
    <w:rsid w:val="00745F4A"/>
    <w:rsid w:val="00745FEB"/>
    <w:rsid w:val="00746352"/>
    <w:rsid w:val="00746AD4"/>
    <w:rsid w:val="00747112"/>
    <w:rsid w:val="0074724F"/>
    <w:rsid w:val="00747277"/>
    <w:rsid w:val="0074745E"/>
    <w:rsid w:val="00747861"/>
    <w:rsid w:val="00747C68"/>
    <w:rsid w:val="00747D13"/>
    <w:rsid w:val="0075033F"/>
    <w:rsid w:val="00750B30"/>
    <w:rsid w:val="00750CDB"/>
    <w:rsid w:val="00750FDB"/>
    <w:rsid w:val="00751797"/>
    <w:rsid w:val="00751F42"/>
    <w:rsid w:val="007527BB"/>
    <w:rsid w:val="007529DF"/>
    <w:rsid w:val="00752BCD"/>
    <w:rsid w:val="00752C38"/>
    <w:rsid w:val="007532B4"/>
    <w:rsid w:val="00753540"/>
    <w:rsid w:val="00753961"/>
    <w:rsid w:val="00753B26"/>
    <w:rsid w:val="00753E52"/>
    <w:rsid w:val="007542F6"/>
    <w:rsid w:val="007543A7"/>
    <w:rsid w:val="0075458E"/>
    <w:rsid w:val="00754B59"/>
    <w:rsid w:val="007550F7"/>
    <w:rsid w:val="00755657"/>
    <w:rsid w:val="007556B4"/>
    <w:rsid w:val="0075595A"/>
    <w:rsid w:val="00756664"/>
    <w:rsid w:val="00756826"/>
    <w:rsid w:val="00756A74"/>
    <w:rsid w:val="00756F32"/>
    <w:rsid w:val="007575A6"/>
    <w:rsid w:val="00757609"/>
    <w:rsid w:val="007576B7"/>
    <w:rsid w:val="00757BCD"/>
    <w:rsid w:val="00757E3C"/>
    <w:rsid w:val="007604B9"/>
    <w:rsid w:val="0076073B"/>
    <w:rsid w:val="00760898"/>
    <w:rsid w:val="00760928"/>
    <w:rsid w:val="007609AF"/>
    <w:rsid w:val="00760C4E"/>
    <w:rsid w:val="00760ECD"/>
    <w:rsid w:val="00760F5F"/>
    <w:rsid w:val="00760FAE"/>
    <w:rsid w:val="007614EA"/>
    <w:rsid w:val="00761683"/>
    <w:rsid w:val="00761738"/>
    <w:rsid w:val="00761AD6"/>
    <w:rsid w:val="00761DCC"/>
    <w:rsid w:val="00761FF8"/>
    <w:rsid w:val="00762530"/>
    <w:rsid w:val="00762C10"/>
    <w:rsid w:val="00762CAD"/>
    <w:rsid w:val="00762F98"/>
    <w:rsid w:val="00763701"/>
    <w:rsid w:val="0076383E"/>
    <w:rsid w:val="00763CC8"/>
    <w:rsid w:val="00764BDD"/>
    <w:rsid w:val="00764CF2"/>
    <w:rsid w:val="00764D1E"/>
    <w:rsid w:val="007653D2"/>
    <w:rsid w:val="0076545F"/>
    <w:rsid w:val="0076563B"/>
    <w:rsid w:val="00765898"/>
    <w:rsid w:val="00765A62"/>
    <w:rsid w:val="00765D13"/>
    <w:rsid w:val="007664C5"/>
    <w:rsid w:val="007665E9"/>
    <w:rsid w:val="007666D3"/>
    <w:rsid w:val="0076671A"/>
    <w:rsid w:val="00766786"/>
    <w:rsid w:val="00766906"/>
    <w:rsid w:val="00766CA1"/>
    <w:rsid w:val="007671A3"/>
    <w:rsid w:val="00767307"/>
    <w:rsid w:val="00767D35"/>
    <w:rsid w:val="00767F3D"/>
    <w:rsid w:val="00770119"/>
    <w:rsid w:val="00770313"/>
    <w:rsid w:val="007709D0"/>
    <w:rsid w:val="00770B0A"/>
    <w:rsid w:val="00770BB9"/>
    <w:rsid w:val="00770DCA"/>
    <w:rsid w:val="0077122B"/>
    <w:rsid w:val="0077166A"/>
    <w:rsid w:val="007726FB"/>
    <w:rsid w:val="0077271C"/>
    <w:rsid w:val="00772B18"/>
    <w:rsid w:val="00772BEA"/>
    <w:rsid w:val="00773357"/>
    <w:rsid w:val="00773C5F"/>
    <w:rsid w:val="00773D97"/>
    <w:rsid w:val="00774133"/>
    <w:rsid w:val="007744A4"/>
    <w:rsid w:val="00774EE1"/>
    <w:rsid w:val="007752A6"/>
    <w:rsid w:val="00775345"/>
    <w:rsid w:val="0077549E"/>
    <w:rsid w:val="00775541"/>
    <w:rsid w:val="0077598A"/>
    <w:rsid w:val="00775B6F"/>
    <w:rsid w:val="00775C58"/>
    <w:rsid w:val="00775D7F"/>
    <w:rsid w:val="00775FCC"/>
    <w:rsid w:val="007764E1"/>
    <w:rsid w:val="00776CFC"/>
    <w:rsid w:val="00776EBE"/>
    <w:rsid w:val="0077759C"/>
    <w:rsid w:val="007777A8"/>
    <w:rsid w:val="00777CC8"/>
    <w:rsid w:val="00777DBD"/>
    <w:rsid w:val="00777E46"/>
    <w:rsid w:val="00780CEC"/>
    <w:rsid w:val="00780E1E"/>
    <w:rsid w:val="0078180C"/>
    <w:rsid w:val="0078235C"/>
    <w:rsid w:val="0078311F"/>
    <w:rsid w:val="00783148"/>
    <w:rsid w:val="00783DA8"/>
    <w:rsid w:val="00783F6B"/>
    <w:rsid w:val="00784017"/>
    <w:rsid w:val="00784ACA"/>
    <w:rsid w:val="00784B57"/>
    <w:rsid w:val="00784C07"/>
    <w:rsid w:val="00784C77"/>
    <w:rsid w:val="00784C92"/>
    <w:rsid w:val="00785311"/>
    <w:rsid w:val="00785524"/>
    <w:rsid w:val="007857EE"/>
    <w:rsid w:val="0078596C"/>
    <w:rsid w:val="0078634F"/>
    <w:rsid w:val="00786E76"/>
    <w:rsid w:val="00787080"/>
    <w:rsid w:val="0078745C"/>
    <w:rsid w:val="007875BD"/>
    <w:rsid w:val="00787CC4"/>
    <w:rsid w:val="00790805"/>
    <w:rsid w:val="007913F2"/>
    <w:rsid w:val="0079146F"/>
    <w:rsid w:val="0079172E"/>
    <w:rsid w:val="007917DE"/>
    <w:rsid w:val="0079194F"/>
    <w:rsid w:val="0079251E"/>
    <w:rsid w:val="0079258A"/>
    <w:rsid w:val="007929B2"/>
    <w:rsid w:val="00792C4A"/>
    <w:rsid w:val="00792C78"/>
    <w:rsid w:val="00792DF4"/>
    <w:rsid w:val="00794021"/>
    <w:rsid w:val="0079415E"/>
    <w:rsid w:val="0079419F"/>
    <w:rsid w:val="00794594"/>
    <w:rsid w:val="00794630"/>
    <w:rsid w:val="00794A29"/>
    <w:rsid w:val="00794B2C"/>
    <w:rsid w:val="00794B6A"/>
    <w:rsid w:val="00795009"/>
    <w:rsid w:val="00795279"/>
    <w:rsid w:val="0079542A"/>
    <w:rsid w:val="00795DB7"/>
    <w:rsid w:val="00796D0D"/>
    <w:rsid w:val="00796F94"/>
    <w:rsid w:val="007970E2"/>
    <w:rsid w:val="0079763C"/>
    <w:rsid w:val="007978C5"/>
    <w:rsid w:val="007A011B"/>
    <w:rsid w:val="007A02C4"/>
    <w:rsid w:val="007A05BF"/>
    <w:rsid w:val="007A072A"/>
    <w:rsid w:val="007A09B0"/>
    <w:rsid w:val="007A0A8F"/>
    <w:rsid w:val="007A0DBA"/>
    <w:rsid w:val="007A1201"/>
    <w:rsid w:val="007A143B"/>
    <w:rsid w:val="007A18E5"/>
    <w:rsid w:val="007A190D"/>
    <w:rsid w:val="007A1FEC"/>
    <w:rsid w:val="007A21F9"/>
    <w:rsid w:val="007A25E5"/>
    <w:rsid w:val="007A2B36"/>
    <w:rsid w:val="007A2C14"/>
    <w:rsid w:val="007A2D8A"/>
    <w:rsid w:val="007A304F"/>
    <w:rsid w:val="007A32F6"/>
    <w:rsid w:val="007A3BA7"/>
    <w:rsid w:val="007A3DDF"/>
    <w:rsid w:val="007A3E2E"/>
    <w:rsid w:val="007A4CB4"/>
    <w:rsid w:val="007A4E1F"/>
    <w:rsid w:val="007A5176"/>
    <w:rsid w:val="007A5E15"/>
    <w:rsid w:val="007A65C6"/>
    <w:rsid w:val="007A6752"/>
    <w:rsid w:val="007A6A65"/>
    <w:rsid w:val="007A6BAD"/>
    <w:rsid w:val="007A6E97"/>
    <w:rsid w:val="007A7B34"/>
    <w:rsid w:val="007A7EF4"/>
    <w:rsid w:val="007B0059"/>
    <w:rsid w:val="007B01A8"/>
    <w:rsid w:val="007B03D8"/>
    <w:rsid w:val="007B07F5"/>
    <w:rsid w:val="007B08E8"/>
    <w:rsid w:val="007B0C30"/>
    <w:rsid w:val="007B14CB"/>
    <w:rsid w:val="007B1F6D"/>
    <w:rsid w:val="007B1F94"/>
    <w:rsid w:val="007B2020"/>
    <w:rsid w:val="007B2890"/>
    <w:rsid w:val="007B2C3F"/>
    <w:rsid w:val="007B2C96"/>
    <w:rsid w:val="007B2F08"/>
    <w:rsid w:val="007B2F55"/>
    <w:rsid w:val="007B3205"/>
    <w:rsid w:val="007B394B"/>
    <w:rsid w:val="007B3CF6"/>
    <w:rsid w:val="007B407D"/>
    <w:rsid w:val="007B426C"/>
    <w:rsid w:val="007B45DC"/>
    <w:rsid w:val="007B45F4"/>
    <w:rsid w:val="007B50C0"/>
    <w:rsid w:val="007B57C3"/>
    <w:rsid w:val="007B635B"/>
    <w:rsid w:val="007B63DD"/>
    <w:rsid w:val="007B644D"/>
    <w:rsid w:val="007B7121"/>
    <w:rsid w:val="007B76EB"/>
    <w:rsid w:val="007B7817"/>
    <w:rsid w:val="007B7B68"/>
    <w:rsid w:val="007C015E"/>
    <w:rsid w:val="007C0B3F"/>
    <w:rsid w:val="007C16C3"/>
    <w:rsid w:val="007C1C49"/>
    <w:rsid w:val="007C1E35"/>
    <w:rsid w:val="007C239C"/>
    <w:rsid w:val="007C279A"/>
    <w:rsid w:val="007C2844"/>
    <w:rsid w:val="007C30D6"/>
    <w:rsid w:val="007C31C8"/>
    <w:rsid w:val="007C3373"/>
    <w:rsid w:val="007C33E2"/>
    <w:rsid w:val="007C33EA"/>
    <w:rsid w:val="007C34C1"/>
    <w:rsid w:val="007C3514"/>
    <w:rsid w:val="007C3D9B"/>
    <w:rsid w:val="007C43F1"/>
    <w:rsid w:val="007C43F5"/>
    <w:rsid w:val="007C44AA"/>
    <w:rsid w:val="007C5226"/>
    <w:rsid w:val="007C56C7"/>
    <w:rsid w:val="007C5AB9"/>
    <w:rsid w:val="007C5B42"/>
    <w:rsid w:val="007C5C66"/>
    <w:rsid w:val="007C6E58"/>
    <w:rsid w:val="007C7171"/>
    <w:rsid w:val="007C7691"/>
    <w:rsid w:val="007C771B"/>
    <w:rsid w:val="007C77C3"/>
    <w:rsid w:val="007C7917"/>
    <w:rsid w:val="007C7D1E"/>
    <w:rsid w:val="007C7E6B"/>
    <w:rsid w:val="007D0031"/>
    <w:rsid w:val="007D0209"/>
    <w:rsid w:val="007D07C5"/>
    <w:rsid w:val="007D1474"/>
    <w:rsid w:val="007D14D3"/>
    <w:rsid w:val="007D16A1"/>
    <w:rsid w:val="007D1910"/>
    <w:rsid w:val="007D1CA8"/>
    <w:rsid w:val="007D2148"/>
    <w:rsid w:val="007D22F2"/>
    <w:rsid w:val="007D2753"/>
    <w:rsid w:val="007D29A8"/>
    <w:rsid w:val="007D2B6E"/>
    <w:rsid w:val="007D3021"/>
    <w:rsid w:val="007D318A"/>
    <w:rsid w:val="007D3357"/>
    <w:rsid w:val="007D33ED"/>
    <w:rsid w:val="007D3610"/>
    <w:rsid w:val="007D3933"/>
    <w:rsid w:val="007D3A3B"/>
    <w:rsid w:val="007D3B5B"/>
    <w:rsid w:val="007D3C3F"/>
    <w:rsid w:val="007D3D1B"/>
    <w:rsid w:val="007D3EA1"/>
    <w:rsid w:val="007D3EAA"/>
    <w:rsid w:val="007D40B0"/>
    <w:rsid w:val="007D481B"/>
    <w:rsid w:val="007D4AA3"/>
    <w:rsid w:val="007D53C1"/>
    <w:rsid w:val="007D547B"/>
    <w:rsid w:val="007D5A4D"/>
    <w:rsid w:val="007D5C3E"/>
    <w:rsid w:val="007D5D24"/>
    <w:rsid w:val="007D5F77"/>
    <w:rsid w:val="007D5FF5"/>
    <w:rsid w:val="007D61A9"/>
    <w:rsid w:val="007D62C5"/>
    <w:rsid w:val="007D62F7"/>
    <w:rsid w:val="007D6615"/>
    <w:rsid w:val="007D6951"/>
    <w:rsid w:val="007D6A5D"/>
    <w:rsid w:val="007D703C"/>
    <w:rsid w:val="007D73C8"/>
    <w:rsid w:val="007E01CC"/>
    <w:rsid w:val="007E02EE"/>
    <w:rsid w:val="007E02F4"/>
    <w:rsid w:val="007E050F"/>
    <w:rsid w:val="007E0A6F"/>
    <w:rsid w:val="007E0C2C"/>
    <w:rsid w:val="007E0DA5"/>
    <w:rsid w:val="007E1363"/>
    <w:rsid w:val="007E1398"/>
    <w:rsid w:val="007E14BA"/>
    <w:rsid w:val="007E14CF"/>
    <w:rsid w:val="007E1623"/>
    <w:rsid w:val="007E16EB"/>
    <w:rsid w:val="007E19C5"/>
    <w:rsid w:val="007E23BE"/>
    <w:rsid w:val="007E285F"/>
    <w:rsid w:val="007E287B"/>
    <w:rsid w:val="007E28AB"/>
    <w:rsid w:val="007E2F7A"/>
    <w:rsid w:val="007E333E"/>
    <w:rsid w:val="007E33B4"/>
    <w:rsid w:val="007E346A"/>
    <w:rsid w:val="007E353F"/>
    <w:rsid w:val="007E36E3"/>
    <w:rsid w:val="007E3C3E"/>
    <w:rsid w:val="007E3D48"/>
    <w:rsid w:val="007E3EB3"/>
    <w:rsid w:val="007E4207"/>
    <w:rsid w:val="007E438E"/>
    <w:rsid w:val="007E45F0"/>
    <w:rsid w:val="007E4825"/>
    <w:rsid w:val="007E4964"/>
    <w:rsid w:val="007E4A00"/>
    <w:rsid w:val="007E4AD5"/>
    <w:rsid w:val="007E580A"/>
    <w:rsid w:val="007E670A"/>
    <w:rsid w:val="007E732A"/>
    <w:rsid w:val="007E73FC"/>
    <w:rsid w:val="007E7642"/>
    <w:rsid w:val="007E7896"/>
    <w:rsid w:val="007E7D67"/>
    <w:rsid w:val="007E7F71"/>
    <w:rsid w:val="007F04CB"/>
    <w:rsid w:val="007F05AD"/>
    <w:rsid w:val="007F075B"/>
    <w:rsid w:val="007F08BF"/>
    <w:rsid w:val="007F0F81"/>
    <w:rsid w:val="007F102B"/>
    <w:rsid w:val="007F1399"/>
    <w:rsid w:val="007F1A45"/>
    <w:rsid w:val="007F1A5B"/>
    <w:rsid w:val="007F1E30"/>
    <w:rsid w:val="007F2419"/>
    <w:rsid w:val="007F2790"/>
    <w:rsid w:val="007F283B"/>
    <w:rsid w:val="007F2CB9"/>
    <w:rsid w:val="007F2FB6"/>
    <w:rsid w:val="007F3083"/>
    <w:rsid w:val="007F30AC"/>
    <w:rsid w:val="007F323D"/>
    <w:rsid w:val="007F4074"/>
    <w:rsid w:val="007F4082"/>
    <w:rsid w:val="007F441A"/>
    <w:rsid w:val="007F4F0E"/>
    <w:rsid w:val="007F5612"/>
    <w:rsid w:val="007F5A12"/>
    <w:rsid w:val="007F5ECB"/>
    <w:rsid w:val="007F6841"/>
    <w:rsid w:val="007F709A"/>
    <w:rsid w:val="007F7812"/>
    <w:rsid w:val="007F78D8"/>
    <w:rsid w:val="007F7EE3"/>
    <w:rsid w:val="00800478"/>
    <w:rsid w:val="00800E96"/>
    <w:rsid w:val="00800FC1"/>
    <w:rsid w:val="0080114D"/>
    <w:rsid w:val="0080133E"/>
    <w:rsid w:val="00801BBE"/>
    <w:rsid w:val="00801FD5"/>
    <w:rsid w:val="00802600"/>
    <w:rsid w:val="00802AA4"/>
    <w:rsid w:val="00802CA9"/>
    <w:rsid w:val="008036FF"/>
    <w:rsid w:val="0080388D"/>
    <w:rsid w:val="008039DC"/>
    <w:rsid w:val="00803F15"/>
    <w:rsid w:val="008041E8"/>
    <w:rsid w:val="00804313"/>
    <w:rsid w:val="0080458D"/>
    <w:rsid w:val="0080482E"/>
    <w:rsid w:val="008048B1"/>
    <w:rsid w:val="008049FC"/>
    <w:rsid w:val="00804F0A"/>
    <w:rsid w:val="00805053"/>
    <w:rsid w:val="008052B4"/>
    <w:rsid w:val="008052E0"/>
    <w:rsid w:val="008053BC"/>
    <w:rsid w:val="0080563D"/>
    <w:rsid w:val="008057CC"/>
    <w:rsid w:val="00805A27"/>
    <w:rsid w:val="00805B26"/>
    <w:rsid w:val="00805CB9"/>
    <w:rsid w:val="00805FDB"/>
    <w:rsid w:val="00806458"/>
    <w:rsid w:val="008072A8"/>
    <w:rsid w:val="008072DD"/>
    <w:rsid w:val="00807B2C"/>
    <w:rsid w:val="00807B32"/>
    <w:rsid w:val="00807C30"/>
    <w:rsid w:val="00807D02"/>
    <w:rsid w:val="00807D59"/>
    <w:rsid w:val="008100A4"/>
    <w:rsid w:val="008104C8"/>
    <w:rsid w:val="00810571"/>
    <w:rsid w:val="0081083F"/>
    <w:rsid w:val="00810C95"/>
    <w:rsid w:val="00810DB6"/>
    <w:rsid w:val="008114B2"/>
    <w:rsid w:val="00811FAC"/>
    <w:rsid w:val="00812023"/>
    <w:rsid w:val="008125D5"/>
    <w:rsid w:val="00812EB3"/>
    <w:rsid w:val="00812F86"/>
    <w:rsid w:val="008131FC"/>
    <w:rsid w:val="008142FD"/>
    <w:rsid w:val="0081505E"/>
    <w:rsid w:val="008150CF"/>
    <w:rsid w:val="008157CE"/>
    <w:rsid w:val="00815E4E"/>
    <w:rsid w:val="00815FFA"/>
    <w:rsid w:val="008166B7"/>
    <w:rsid w:val="00816B4B"/>
    <w:rsid w:val="00816CC7"/>
    <w:rsid w:val="0081728E"/>
    <w:rsid w:val="0081769D"/>
    <w:rsid w:val="0081771B"/>
    <w:rsid w:val="00817DE7"/>
    <w:rsid w:val="00817EC4"/>
    <w:rsid w:val="008205CA"/>
    <w:rsid w:val="00821238"/>
    <w:rsid w:val="008214EC"/>
    <w:rsid w:val="0082185C"/>
    <w:rsid w:val="00821A07"/>
    <w:rsid w:val="00821F52"/>
    <w:rsid w:val="008224D9"/>
    <w:rsid w:val="008232CF"/>
    <w:rsid w:val="00823774"/>
    <w:rsid w:val="00824406"/>
    <w:rsid w:val="0082448B"/>
    <w:rsid w:val="00824720"/>
    <w:rsid w:val="008247D9"/>
    <w:rsid w:val="0082481A"/>
    <w:rsid w:val="00824AC0"/>
    <w:rsid w:val="00825015"/>
    <w:rsid w:val="0082536C"/>
    <w:rsid w:val="008253E8"/>
    <w:rsid w:val="008258C0"/>
    <w:rsid w:val="00825C44"/>
    <w:rsid w:val="00825D20"/>
    <w:rsid w:val="00826DE9"/>
    <w:rsid w:val="00826EDB"/>
    <w:rsid w:val="00827476"/>
    <w:rsid w:val="00827811"/>
    <w:rsid w:val="00830183"/>
    <w:rsid w:val="00830606"/>
    <w:rsid w:val="008308BB"/>
    <w:rsid w:val="0083095F"/>
    <w:rsid w:val="00830B9D"/>
    <w:rsid w:val="00831047"/>
    <w:rsid w:val="008310FC"/>
    <w:rsid w:val="00831435"/>
    <w:rsid w:val="00831DF0"/>
    <w:rsid w:val="008321C5"/>
    <w:rsid w:val="00832580"/>
    <w:rsid w:val="0083276A"/>
    <w:rsid w:val="00832900"/>
    <w:rsid w:val="008337C8"/>
    <w:rsid w:val="00833C8D"/>
    <w:rsid w:val="00833DC6"/>
    <w:rsid w:val="00834084"/>
    <w:rsid w:val="0083441E"/>
    <w:rsid w:val="0083458E"/>
    <w:rsid w:val="00834C49"/>
    <w:rsid w:val="00834CA0"/>
    <w:rsid w:val="00834D12"/>
    <w:rsid w:val="0083522A"/>
    <w:rsid w:val="008355AC"/>
    <w:rsid w:val="008357D6"/>
    <w:rsid w:val="00835A14"/>
    <w:rsid w:val="00835AF3"/>
    <w:rsid w:val="00835B54"/>
    <w:rsid w:val="008360FC"/>
    <w:rsid w:val="0083635A"/>
    <w:rsid w:val="008365FD"/>
    <w:rsid w:val="00836E67"/>
    <w:rsid w:val="008370AF"/>
    <w:rsid w:val="00837229"/>
    <w:rsid w:val="0083731E"/>
    <w:rsid w:val="008377F9"/>
    <w:rsid w:val="00837807"/>
    <w:rsid w:val="00837863"/>
    <w:rsid w:val="00837BBD"/>
    <w:rsid w:val="00837D22"/>
    <w:rsid w:val="00840C72"/>
    <w:rsid w:val="00840CB8"/>
    <w:rsid w:val="00840D33"/>
    <w:rsid w:val="008411DA"/>
    <w:rsid w:val="00841255"/>
    <w:rsid w:val="0084177F"/>
    <w:rsid w:val="008419B8"/>
    <w:rsid w:val="00841DA1"/>
    <w:rsid w:val="00842578"/>
    <w:rsid w:val="008425A7"/>
    <w:rsid w:val="008426F8"/>
    <w:rsid w:val="00842C39"/>
    <w:rsid w:val="00842D62"/>
    <w:rsid w:val="00843314"/>
    <w:rsid w:val="00843817"/>
    <w:rsid w:val="00843BC3"/>
    <w:rsid w:val="00843E47"/>
    <w:rsid w:val="00843E7E"/>
    <w:rsid w:val="00843F20"/>
    <w:rsid w:val="00844381"/>
    <w:rsid w:val="008443BA"/>
    <w:rsid w:val="00844424"/>
    <w:rsid w:val="00844470"/>
    <w:rsid w:val="00844583"/>
    <w:rsid w:val="0084468F"/>
    <w:rsid w:val="00844843"/>
    <w:rsid w:val="00844900"/>
    <w:rsid w:val="00844B92"/>
    <w:rsid w:val="00844D27"/>
    <w:rsid w:val="00844D95"/>
    <w:rsid w:val="00844ECE"/>
    <w:rsid w:val="00844F0C"/>
    <w:rsid w:val="00844FB6"/>
    <w:rsid w:val="00845113"/>
    <w:rsid w:val="00845436"/>
    <w:rsid w:val="0084553D"/>
    <w:rsid w:val="008455BD"/>
    <w:rsid w:val="0084578A"/>
    <w:rsid w:val="008457F1"/>
    <w:rsid w:val="00845806"/>
    <w:rsid w:val="008458D9"/>
    <w:rsid w:val="00845B41"/>
    <w:rsid w:val="008461AB"/>
    <w:rsid w:val="00846A98"/>
    <w:rsid w:val="00847052"/>
    <w:rsid w:val="008470BC"/>
    <w:rsid w:val="0084719E"/>
    <w:rsid w:val="008477E6"/>
    <w:rsid w:val="00850125"/>
    <w:rsid w:val="00850217"/>
    <w:rsid w:val="00850AD6"/>
    <w:rsid w:val="00850C3B"/>
    <w:rsid w:val="00850EF1"/>
    <w:rsid w:val="00851A63"/>
    <w:rsid w:val="00851AEB"/>
    <w:rsid w:val="00852446"/>
    <w:rsid w:val="008526D1"/>
    <w:rsid w:val="00852BEE"/>
    <w:rsid w:val="008533C6"/>
    <w:rsid w:val="008537F7"/>
    <w:rsid w:val="0085385D"/>
    <w:rsid w:val="0085394C"/>
    <w:rsid w:val="00853C7D"/>
    <w:rsid w:val="00853F34"/>
    <w:rsid w:val="00853FDF"/>
    <w:rsid w:val="008541A8"/>
    <w:rsid w:val="008547C6"/>
    <w:rsid w:val="00854E09"/>
    <w:rsid w:val="00855BCB"/>
    <w:rsid w:val="00856201"/>
    <w:rsid w:val="00856789"/>
    <w:rsid w:val="008567FB"/>
    <w:rsid w:val="00856B3E"/>
    <w:rsid w:val="00856D7E"/>
    <w:rsid w:val="00856DA7"/>
    <w:rsid w:val="008572AD"/>
    <w:rsid w:val="0085761B"/>
    <w:rsid w:val="008578BA"/>
    <w:rsid w:val="008606B2"/>
    <w:rsid w:val="00860DD4"/>
    <w:rsid w:val="00861362"/>
    <w:rsid w:val="00861435"/>
    <w:rsid w:val="008614CF"/>
    <w:rsid w:val="00861764"/>
    <w:rsid w:val="00861811"/>
    <w:rsid w:val="00861A6C"/>
    <w:rsid w:val="00861B5D"/>
    <w:rsid w:val="008629E8"/>
    <w:rsid w:val="00862C0E"/>
    <w:rsid w:val="00863029"/>
    <w:rsid w:val="0086389E"/>
    <w:rsid w:val="00863F79"/>
    <w:rsid w:val="00864583"/>
    <w:rsid w:val="008647C1"/>
    <w:rsid w:val="008647C7"/>
    <w:rsid w:val="008647D7"/>
    <w:rsid w:val="008648D4"/>
    <w:rsid w:val="00864D70"/>
    <w:rsid w:val="00866029"/>
    <w:rsid w:val="008662E6"/>
    <w:rsid w:val="00866349"/>
    <w:rsid w:val="008663EA"/>
    <w:rsid w:val="00866430"/>
    <w:rsid w:val="00866595"/>
    <w:rsid w:val="0086717E"/>
    <w:rsid w:val="008678F7"/>
    <w:rsid w:val="00870042"/>
    <w:rsid w:val="008700DD"/>
    <w:rsid w:val="00870488"/>
    <w:rsid w:val="0087062F"/>
    <w:rsid w:val="00870D33"/>
    <w:rsid w:val="0087109A"/>
    <w:rsid w:val="008713BE"/>
    <w:rsid w:val="00871495"/>
    <w:rsid w:val="00871558"/>
    <w:rsid w:val="00871C0E"/>
    <w:rsid w:val="00871D1E"/>
    <w:rsid w:val="00871DEC"/>
    <w:rsid w:val="00871E48"/>
    <w:rsid w:val="008729EB"/>
    <w:rsid w:val="00872E6E"/>
    <w:rsid w:val="00873160"/>
    <w:rsid w:val="008732DD"/>
    <w:rsid w:val="00873CAC"/>
    <w:rsid w:val="00874163"/>
    <w:rsid w:val="00874472"/>
    <w:rsid w:val="00874498"/>
    <w:rsid w:val="00874DFB"/>
    <w:rsid w:val="00875369"/>
    <w:rsid w:val="00875489"/>
    <w:rsid w:val="0087560C"/>
    <w:rsid w:val="00875B2A"/>
    <w:rsid w:val="00875DD7"/>
    <w:rsid w:val="00876248"/>
    <w:rsid w:val="00876D9B"/>
    <w:rsid w:val="00877611"/>
    <w:rsid w:val="00880037"/>
    <w:rsid w:val="008801AB"/>
    <w:rsid w:val="00880227"/>
    <w:rsid w:val="00880237"/>
    <w:rsid w:val="008805ED"/>
    <w:rsid w:val="0088062A"/>
    <w:rsid w:val="008806E0"/>
    <w:rsid w:val="008808CF"/>
    <w:rsid w:val="00880FC4"/>
    <w:rsid w:val="00881030"/>
    <w:rsid w:val="0088117F"/>
    <w:rsid w:val="008813FB"/>
    <w:rsid w:val="00881641"/>
    <w:rsid w:val="008817EC"/>
    <w:rsid w:val="00881C87"/>
    <w:rsid w:val="00881E27"/>
    <w:rsid w:val="008820AE"/>
    <w:rsid w:val="00882328"/>
    <w:rsid w:val="0088246D"/>
    <w:rsid w:val="00882761"/>
    <w:rsid w:val="008829DE"/>
    <w:rsid w:val="00882B43"/>
    <w:rsid w:val="00882D24"/>
    <w:rsid w:val="00882E84"/>
    <w:rsid w:val="00882E8E"/>
    <w:rsid w:val="00883A59"/>
    <w:rsid w:val="008843AD"/>
    <w:rsid w:val="008854D5"/>
    <w:rsid w:val="0088582C"/>
    <w:rsid w:val="00885C2A"/>
    <w:rsid w:val="00885C75"/>
    <w:rsid w:val="00885CFE"/>
    <w:rsid w:val="0088646E"/>
    <w:rsid w:val="0088688B"/>
    <w:rsid w:val="00886E4A"/>
    <w:rsid w:val="008873B7"/>
    <w:rsid w:val="00887450"/>
    <w:rsid w:val="00887AB0"/>
    <w:rsid w:val="008902B3"/>
    <w:rsid w:val="008902DC"/>
    <w:rsid w:val="00890403"/>
    <w:rsid w:val="008910A0"/>
    <w:rsid w:val="008915FB"/>
    <w:rsid w:val="008917D9"/>
    <w:rsid w:val="00891805"/>
    <w:rsid w:val="00891B67"/>
    <w:rsid w:val="00891C1C"/>
    <w:rsid w:val="008923B1"/>
    <w:rsid w:val="0089244A"/>
    <w:rsid w:val="0089283D"/>
    <w:rsid w:val="0089295A"/>
    <w:rsid w:val="00892A99"/>
    <w:rsid w:val="00892B7A"/>
    <w:rsid w:val="00892D37"/>
    <w:rsid w:val="00892DDD"/>
    <w:rsid w:val="0089365B"/>
    <w:rsid w:val="00893AB4"/>
    <w:rsid w:val="00893FE9"/>
    <w:rsid w:val="0089420B"/>
    <w:rsid w:val="00894759"/>
    <w:rsid w:val="008948CE"/>
    <w:rsid w:val="0089498D"/>
    <w:rsid w:val="00894AB2"/>
    <w:rsid w:val="00894C21"/>
    <w:rsid w:val="008953CD"/>
    <w:rsid w:val="008954AC"/>
    <w:rsid w:val="00895674"/>
    <w:rsid w:val="008959EA"/>
    <w:rsid w:val="00895AEB"/>
    <w:rsid w:val="00895BA7"/>
    <w:rsid w:val="008960E4"/>
    <w:rsid w:val="008963E2"/>
    <w:rsid w:val="0089654A"/>
    <w:rsid w:val="00896614"/>
    <w:rsid w:val="0089678A"/>
    <w:rsid w:val="008968F5"/>
    <w:rsid w:val="00896925"/>
    <w:rsid w:val="00896BE3"/>
    <w:rsid w:val="00897005"/>
    <w:rsid w:val="00897253"/>
    <w:rsid w:val="00897327"/>
    <w:rsid w:val="0089743A"/>
    <w:rsid w:val="0089780C"/>
    <w:rsid w:val="00897DC3"/>
    <w:rsid w:val="00897DC5"/>
    <w:rsid w:val="008A0A3A"/>
    <w:rsid w:val="008A150C"/>
    <w:rsid w:val="008A15DC"/>
    <w:rsid w:val="008A1982"/>
    <w:rsid w:val="008A1D13"/>
    <w:rsid w:val="008A2176"/>
    <w:rsid w:val="008A2B72"/>
    <w:rsid w:val="008A2C4A"/>
    <w:rsid w:val="008A2E44"/>
    <w:rsid w:val="008A2E7F"/>
    <w:rsid w:val="008A2FFB"/>
    <w:rsid w:val="008A3EB6"/>
    <w:rsid w:val="008A41C7"/>
    <w:rsid w:val="008A4678"/>
    <w:rsid w:val="008A4C4C"/>
    <w:rsid w:val="008A548F"/>
    <w:rsid w:val="008A57EE"/>
    <w:rsid w:val="008A5AB1"/>
    <w:rsid w:val="008A5CD0"/>
    <w:rsid w:val="008A5F9E"/>
    <w:rsid w:val="008A5FE9"/>
    <w:rsid w:val="008A603F"/>
    <w:rsid w:val="008A60A2"/>
    <w:rsid w:val="008A6368"/>
    <w:rsid w:val="008A6389"/>
    <w:rsid w:val="008A65E2"/>
    <w:rsid w:val="008A66C0"/>
    <w:rsid w:val="008A6706"/>
    <w:rsid w:val="008A6C68"/>
    <w:rsid w:val="008A6CF7"/>
    <w:rsid w:val="008A6D61"/>
    <w:rsid w:val="008A7383"/>
    <w:rsid w:val="008A73CC"/>
    <w:rsid w:val="008A7568"/>
    <w:rsid w:val="008A7CC6"/>
    <w:rsid w:val="008A7D30"/>
    <w:rsid w:val="008A7E49"/>
    <w:rsid w:val="008B0081"/>
    <w:rsid w:val="008B00BF"/>
    <w:rsid w:val="008B01BB"/>
    <w:rsid w:val="008B0CA0"/>
    <w:rsid w:val="008B0D42"/>
    <w:rsid w:val="008B0FE5"/>
    <w:rsid w:val="008B101F"/>
    <w:rsid w:val="008B106E"/>
    <w:rsid w:val="008B140D"/>
    <w:rsid w:val="008B151A"/>
    <w:rsid w:val="008B16D9"/>
    <w:rsid w:val="008B17E6"/>
    <w:rsid w:val="008B1B23"/>
    <w:rsid w:val="008B1DD7"/>
    <w:rsid w:val="008B20FB"/>
    <w:rsid w:val="008B23CE"/>
    <w:rsid w:val="008B29E8"/>
    <w:rsid w:val="008B2E76"/>
    <w:rsid w:val="008B30BF"/>
    <w:rsid w:val="008B32CF"/>
    <w:rsid w:val="008B33B7"/>
    <w:rsid w:val="008B3AD7"/>
    <w:rsid w:val="008B3CA1"/>
    <w:rsid w:val="008B452B"/>
    <w:rsid w:val="008B469E"/>
    <w:rsid w:val="008B4814"/>
    <w:rsid w:val="008B48A9"/>
    <w:rsid w:val="008B4A3A"/>
    <w:rsid w:val="008B57B6"/>
    <w:rsid w:val="008B5979"/>
    <w:rsid w:val="008B5DBB"/>
    <w:rsid w:val="008B61F7"/>
    <w:rsid w:val="008B67B5"/>
    <w:rsid w:val="008B6818"/>
    <w:rsid w:val="008B682E"/>
    <w:rsid w:val="008B6AC7"/>
    <w:rsid w:val="008B6D5A"/>
    <w:rsid w:val="008B6F18"/>
    <w:rsid w:val="008B7380"/>
    <w:rsid w:val="008B7423"/>
    <w:rsid w:val="008B753E"/>
    <w:rsid w:val="008B7848"/>
    <w:rsid w:val="008B7C46"/>
    <w:rsid w:val="008C0A9F"/>
    <w:rsid w:val="008C0F26"/>
    <w:rsid w:val="008C1024"/>
    <w:rsid w:val="008C12F4"/>
    <w:rsid w:val="008C1568"/>
    <w:rsid w:val="008C19A9"/>
    <w:rsid w:val="008C1E06"/>
    <w:rsid w:val="008C2B68"/>
    <w:rsid w:val="008C314A"/>
    <w:rsid w:val="008C3343"/>
    <w:rsid w:val="008C344F"/>
    <w:rsid w:val="008C34B7"/>
    <w:rsid w:val="008C3DED"/>
    <w:rsid w:val="008C3E1A"/>
    <w:rsid w:val="008C4038"/>
    <w:rsid w:val="008C4230"/>
    <w:rsid w:val="008C4517"/>
    <w:rsid w:val="008C4838"/>
    <w:rsid w:val="008C48D4"/>
    <w:rsid w:val="008C49CE"/>
    <w:rsid w:val="008C4B90"/>
    <w:rsid w:val="008C4D61"/>
    <w:rsid w:val="008C510E"/>
    <w:rsid w:val="008C5128"/>
    <w:rsid w:val="008C5289"/>
    <w:rsid w:val="008C56C8"/>
    <w:rsid w:val="008C5CBF"/>
    <w:rsid w:val="008C5EB2"/>
    <w:rsid w:val="008C615A"/>
    <w:rsid w:val="008C624B"/>
    <w:rsid w:val="008C627E"/>
    <w:rsid w:val="008C6359"/>
    <w:rsid w:val="008C64CF"/>
    <w:rsid w:val="008C67FA"/>
    <w:rsid w:val="008C6DF1"/>
    <w:rsid w:val="008C715B"/>
    <w:rsid w:val="008C7D70"/>
    <w:rsid w:val="008C7F98"/>
    <w:rsid w:val="008C7FC6"/>
    <w:rsid w:val="008D0430"/>
    <w:rsid w:val="008D04D2"/>
    <w:rsid w:val="008D05CE"/>
    <w:rsid w:val="008D08EB"/>
    <w:rsid w:val="008D13D0"/>
    <w:rsid w:val="008D1D01"/>
    <w:rsid w:val="008D2595"/>
    <w:rsid w:val="008D27A7"/>
    <w:rsid w:val="008D2EC0"/>
    <w:rsid w:val="008D2F35"/>
    <w:rsid w:val="008D2F45"/>
    <w:rsid w:val="008D2F8F"/>
    <w:rsid w:val="008D35C0"/>
    <w:rsid w:val="008D3933"/>
    <w:rsid w:val="008D3ADF"/>
    <w:rsid w:val="008D3BFB"/>
    <w:rsid w:val="008D4720"/>
    <w:rsid w:val="008D4895"/>
    <w:rsid w:val="008D4A1A"/>
    <w:rsid w:val="008D4B4B"/>
    <w:rsid w:val="008D4DE0"/>
    <w:rsid w:val="008D50DC"/>
    <w:rsid w:val="008D5119"/>
    <w:rsid w:val="008D5A8C"/>
    <w:rsid w:val="008D617D"/>
    <w:rsid w:val="008D67A0"/>
    <w:rsid w:val="008D67D0"/>
    <w:rsid w:val="008D6918"/>
    <w:rsid w:val="008D6C83"/>
    <w:rsid w:val="008D7041"/>
    <w:rsid w:val="008D706B"/>
    <w:rsid w:val="008D706C"/>
    <w:rsid w:val="008D73F2"/>
    <w:rsid w:val="008D760A"/>
    <w:rsid w:val="008D778D"/>
    <w:rsid w:val="008D7C3E"/>
    <w:rsid w:val="008E08D1"/>
    <w:rsid w:val="008E0A2D"/>
    <w:rsid w:val="008E0AE8"/>
    <w:rsid w:val="008E0FEE"/>
    <w:rsid w:val="008E17DB"/>
    <w:rsid w:val="008E1945"/>
    <w:rsid w:val="008E1E47"/>
    <w:rsid w:val="008E24ED"/>
    <w:rsid w:val="008E2649"/>
    <w:rsid w:val="008E32DC"/>
    <w:rsid w:val="008E3445"/>
    <w:rsid w:val="008E3461"/>
    <w:rsid w:val="008E3A56"/>
    <w:rsid w:val="008E3FB9"/>
    <w:rsid w:val="008E4248"/>
    <w:rsid w:val="008E466C"/>
    <w:rsid w:val="008E49B2"/>
    <w:rsid w:val="008E4BD8"/>
    <w:rsid w:val="008E5605"/>
    <w:rsid w:val="008E580D"/>
    <w:rsid w:val="008E5F40"/>
    <w:rsid w:val="008E6212"/>
    <w:rsid w:val="008E6853"/>
    <w:rsid w:val="008E6CBC"/>
    <w:rsid w:val="008E6D01"/>
    <w:rsid w:val="008E6EB6"/>
    <w:rsid w:val="008E7348"/>
    <w:rsid w:val="008E7553"/>
    <w:rsid w:val="008E7D27"/>
    <w:rsid w:val="008F0168"/>
    <w:rsid w:val="008F0679"/>
    <w:rsid w:val="008F0937"/>
    <w:rsid w:val="008F0B5F"/>
    <w:rsid w:val="008F1092"/>
    <w:rsid w:val="008F180C"/>
    <w:rsid w:val="008F1958"/>
    <w:rsid w:val="008F2052"/>
    <w:rsid w:val="008F222C"/>
    <w:rsid w:val="008F23C8"/>
    <w:rsid w:val="008F2660"/>
    <w:rsid w:val="008F2B17"/>
    <w:rsid w:val="008F2F21"/>
    <w:rsid w:val="008F340B"/>
    <w:rsid w:val="008F34FA"/>
    <w:rsid w:val="008F36AC"/>
    <w:rsid w:val="008F38E5"/>
    <w:rsid w:val="008F3BEB"/>
    <w:rsid w:val="008F3D22"/>
    <w:rsid w:val="008F418A"/>
    <w:rsid w:val="008F41FB"/>
    <w:rsid w:val="008F421F"/>
    <w:rsid w:val="008F4370"/>
    <w:rsid w:val="008F4B3E"/>
    <w:rsid w:val="008F4F68"/>
    <w:rsid w:val="008F57FA"/>
    <w:rsid w:val="008F5E70"/>
    <w:rsid w:val="008F5EAE"/>
    <w:rsid w:val="008F6239"/>
    <w:rsid w:val="008F66CF"/>
    <w:rsid w:val="008F6787"/>
    <w:rsid w:val="008F68D5"/>
    <w:rsid w:val="008F6C50"/>
    <w:rsid w:val="008F7016"/>
    <w:rsid w:val="008F75D5"/>
    <w:rsid w:val="008F75EA"/>
    <w:rsid w:val="008F771A"/>
    <w:rsid w:val="008F77F3"/>
    <w:rsid w:val="009004B3"/>
    <w:rsid w:val="009007DC"/>
    <w:rsid w:val="00900B42"/>
    <w:rsid w:val="00900D81"/>
    <w:rsid w:val="00900FAE"/>
    <w:rsid w:val="009011AF"/>
    <w:rsid w:val="009011DB"/>
    <w:rsid w:val="009012EA"/>
    <w:rsid w:val="00901A98"/>
    <w:rsid w:val="00901ACC"/>
    <w:rsid w:val="00901C5E"/>
    <w:rsid w:val="00901E7B"/>
    <w:rsid w:val="00902193"/>
    <w:rsid w:val="009026D0"/>
    <w:rsid w:val="00902E8F"/>
    <w:rsid w:val="00902F78"/>
    <w:rsid w:val="00903677"/>
    <w:rsid w:val="00903BAA"/>
    <w:rsid w:val="00903D35"/>
    <w:rsid w:val="009047EE"/>
    <w:rsid w:val="00904E81"/>
    <w:rsid w:val="00905241"/>
    <w:rsid w:val="00905244"/>
    <w:rsid w:val="009054CC"/>
    <w:rsid w:val="00905F4F"/>
    <w:rsid w:val="009060CF"/>
    <w:rsid w:val="00906330"/>
    <w:rsid w:val="00907767"/>
    <w:rsid w:val="00907845"/>
    <w:rsid w:val="00910073"/>
    <w:rsid w:val="009100BB"/>
    <w:rsid w:val="0091059A"/>
    <w:rsid w:val="009108FB"/>
    <w:rsid w:val="00910E99"/>
    <w:rsid w:val="00911069"/>
    <w:rsid w:val="0091171F"/>
    <w:rsid w:val="009119FA"/>
    <w:rsid w:val="00911AEC"/>
    <w:rsid w:val="00911C21"/>
    <w:rsid w:val="00912087"/>
    <w:rsid w:val="00912A4B"/>
    <w:rsid w:val="00912E12"/>
    <w:rsid w:val="00912EA8"/>
    <w:rsid w:val="00913737"/>
    <w:rsid w:val="00914026"/>
    <w:rsid w:val="00914389"/>
    <w:rsid w:val="009146E6"/>
    <w:rsid w:val="0091472A"/>
    <w:rsid w:val="009147B7"/>
    <w:rsid w:val="00914D35"/>
    <w:rsid w:val="00915674"/>
    <w:rsid w:val="00915E36"/>
    <w:rsid w:val="009164B1"/>
    <w:rsid w:val="0091653A"/>
    <w:rsid w:val="0091668B"/>
    <w:rsid w:val="00916910"/>
    <w:rsid w:val="00916A32"/>
    <w:rsid w:val="009170DC"/>
    <w:rsid w:val="009175F4"/>
    <w:rsid w:val="00917797"/>
    <w:rsid w:val="00917BEE"/>
    <w:rsid w:val="00917C56"/>
    <w:rsid w:val="00917CC7"/>
    <w:rsid w:val="00917EE8"/>
    <w:rsid w:val="0092083D"/>
    <w:rsid w:val="00920B30"/>
    <w:rsid w:val="00920BAA"/>
    <w:rsid w:val="00921432"/>
    <w:rsid w:val="0092165B"/>
    <w:rsid w:val="009216E0"/>
    <w:rsid w:val="0092191F"/>
    <w:rsid w:val="00921F88"/>
    <w:rsid w:val="00921FCA"/>
    <w:rsid w:val="00922475"/>
    <w:rsid w:val="00922FDB"/>
    <w:rsid w:val="00923264"/>
    <w:rsid w:val="0092371D"/>
    <w:rsid w:val="00923C3B"/>
    <w:rsid w:val="00924342"/>
    <w:rsid w:val="0092501F"/>
    <w:rsid w:val="0092520F"/>
    <w:rsid w:val="00925289"/>
    <w:rsid w:val="00925387"/>
    <w:rsid w:val="009255C6"/>
    <w:rsid w:val="00925B49"/>
    <w:rsid w:val="00925CA9"/>
    <w:rsid w:val="009260E7"/>
    <w:rsid w:val="0092667E"/>
    <w:rsid w:val="00926742"/>
    <w:rsid w:val="00926C3F"/>
    <w:rsid w:val="009272A0"/>
    <w:rsid w:val="009278AB"/>
    <w:rsid w:val="009301EB"/>
    <w:rsid w:val="0093052D"/>
    <w:rsid w:val="00930E63"/>
    <w:rsid w:val="009310A6"/>
    <w:rsid w:val="009313A7"/>
    <w:rsid w:val="0093188D"/>
    <w:rsid w:val="00931A5E"/>
    <w:rsid w:val="0093244F"/>
    <w:rsid w:val="00932CE8"/>
    <w:rsid w:val="00932E00"/>
    <w:rsid w:val="00932FBD"/>
    <w:rsid w:val="009332B3"/>
    <w:rsid w:val="00933C37"/>
    <w:rsid w:val="00933E8C"/>
    <w:rsid w:val="00933EAF"/>
    <w:rsid w:val="00933EC7"/>
    <w:rsid w:val="00933F57"/>
    <w:rsid w:val="009341F6"/>
    <w:rsid w:val="00934E85"/>
    <w:rsid w:val="00934F1D"/>
    <w:rsid w:val="009350F7"/>
    <w:rsid w:val="0093536B"/>
    <w:rsid w:val="009358CB"/>
    <w:rsid w:val="00935AC8"/>
    <w:rsid w:val="0093617C"/>
    <w:rsid w:val="0093639D"/>
    <w:rsid w:val="009366CA"/>
    <w:rsid w:val="0093686E"/>
    <w:rsid w:val="00936DDF"/>
    <w:rsid w:val="009371C3"/>
    <w:rsid w:val="00937466"/>
    <w:rsid w:val="009374D2"/>
    <w:rsid w:val="00937616"/>
    <w:rsid w:val="00937680"/>
    <w:rsid w:val="00937723"/>
    <w:rsid w:val="009379AC"/>
    <w:rsid w:val="00937BA9"/>
    <w:rsid w:val="00937F43"/>
    <w:rsid w:val="00940979"/>
    <w:rsid w:val="00940B5E"/>
    <w:rsid w:val="0094111B"/>
    <w:rsid w:val="009411BA"/>
    <w:rsid w:val="00941222"/>
    <w:rsid w:val="0094124F"/>
    <w:rsid w:val="00941A92"/>
    <w:rsid w:val="00941D18"/>
    <w:rsid w:val="00941DD8"/>
    <w:rsid w:val="00941F7E"/>
    <w:rsid w:val="0094226E"/>
    <w:rsid w:val="0094248E"/>
    <w:rsid w:val="009426DE"/>
    <w:rsid w:val="00942930"/>
    <w:rsid w:val="00942B5B"/>
    <w:rsid w:val="00942F6C"/>
    <w:rsid w:val="009436BD"/>
    <w:rsid w:val="00943920"/>
    <w:rsid w:val="00943A90"/>
    <w:rsid w:val="00943B1F"/>
    <w:rsid w:val="009445F1"/>
    <w:rsid w:val="0094489E"/>
    <w:rsid w:val="00944F5E"/>
    <w:rsid w:val="00945164"/>
    <w:rsid w:val="00945372"/>
    <w:rsid w:val="009453FC"/>
    <w:rsid w:val="00946029"/>
    <w:rsid w:val="009461B1"/>
    <w:rsid w:val="00946ABE"/>
    <w:rsid w:val="00946B63"/>
    <w:rsid w:val="009471AF"/>
    <w:rsid w:val="00947DC7"/>
    <w:rsid w:val="00947DED"/>
    <w:rsid w:val="00947DFF"/>
    <w:rsid w:val="0095013C"/>
    <w:rsid w:val="009504F9"/>
    <w:rsid w:val="00950722"/>
    <w:rsid w:val="00950D9F"/>
    <w:rsid w:val="00951051"/>
    <w:rsid w:val="009512C4"/>
    <w:rsid w:val="009513B7"/>
    <w:rsid w:val="00952194"/>
    <w:rsid w:val="009525EE"/>
    <w:rsid w:val="0095263A"/>
    <w:rsid w:val="00952E78"/>
    <w:rsid w:val="00952F7E"/>
    <w:rsid w:val="0095301D"/>
    <w:rsid w:val="0095367A"/>
    <w:rsid w:val="0095369D"/>
    <w:rsid w:val="00953880"/>
    <w:rsid w:val="009538EB"/>
    <w:rsid w:val="00953C94"/>
    <w:rsid w:val="009540CA"/>
    <w:rsid w:val="00954C52"/>
    <w:rsid w:val="00954DFD"/>
    <w:rsid w:val="00955DE2"/>
    <w:rsid w:val="00956A3A"/>
    <w:rsid w:val="00956EDF"/>
    <w:rsid w:val="00956FAC"/>
    <w:rsid w:val="00957322"/>
    <w:rsid w:val="0095754E"/>
    <w:rsid w:val="0095760E"/>
    <w:rsid w:val="00960018"/>
    <w:rsid w:val="0096021A"/>
    <w:rsid w:val="0096027D"/>
    <w:rsid w:val="00960416"/>
    <w:rsid w:val="00960718"/>
    <w:rsid w:val="00960DD1"/>
    <w:rsid w:val="00960DD9"/>
    <w:rsid w:val="00961198"/>
    <w:rsid w:val="009616B7"/>
    <w:rsid w:val="00961850"/>
    <w:rsid w:val="00961A79"/>
    <w:rsid w:val="009620CD"/>
    <w:rsid w:val="0096289E"/>
    <w:rsid w:val="00963002"/>
    <w:rsid w:val="009630C0"/>
    <w:rsid w:val="0096324E"/>
    <w:rsid w:val="00963397"/>
    <w:rsid w:val="009633D7"/>
    <w:rsid w:val="009635C0"/>
    <w:rsid w:val="00963913"/>
    <w:rsid w:val="00963A34"/>
    <w:rsid w:val="009647C0"/>
    <w:rsid w:val="00964C66"/>
    <w:rsid w:val="00965C6C"/>
    <w:rsid w:val="00965F7C"/>
    <w:rsid w:val="00966ADC"/>
    <w:rsid w:val="00966CCF"/>
    <w:rsid w:val="00966F1B"/>
    <w:rsid w:val="0096716A"/>
    <w:rsid w:val="00967C8A"/>
    <w:rsid w:val="00970897"/>
    <w:rsid w:val="00970CB4"/>
    <w:rsid w:val="00970F6B"/>
    <w:rsid w:val="00970FE8"/>
    <w:rsid w:val="00971231"/>
    <w:rsid w:val="00971852"/>
    <w:rsid w:val="00971E10"/>
    <w:rsid w:val="00972571"/>
    <w:rsid w:val="009727F5"/>
    <w:rsid w:val="00972DEF"/>
    <w:rsid w:val="00972E77"/>
    <w:rsid w:val="00973901"/>
    <w:rsid w:val="00973E69"/>
    <w:rsid w:val="00974559"/>
    <w:rsid w:val="00974BBF"/>
    <w:rsid w:val="00974D1C"/>
    <w:rsid w:val="009754CE"/>
    <w:rsid w:val="0097554A"/>
    <w:rsid w:val="00975CDC"/>
    <w:rsid w:val="009762EA"/>
    <w:rsid w:val="0097637E"/>
    <w:rsid w:val="009769CB"/>
    <w:rsid w:val="00976C4E"/>
    <w:rsid w:val="0097709F"/>
    <w:rsid w:val="009770EF"/>
    <w:rsid w:val="0097716F"/>
    <w:rsid w:val="00977670"/>
    <w:rsid w:val="009777C8"/>
    <w:rsid w:val="00977EEA"/>
    <w:rsid w:val="00977F4F"/>
    <w:rsid w:val="0098004F"/>
    <w:rsid w:val="0098056B"/>
    <w:rsid w:val="00980993"/>
    <w:rsid w:val="0098108E"/>
    <w:rsid w:val="00981494"/>
    <w:rsid w:val="00981873"/>
    <w:rsid w:val="00981B45"/>
    <w:rsid w:val="00981F65"/>
    <w:rsid w:val="0098227D"/>
    <w:rsid w:val="009822C4"/>
    <w:rsid w:val="00982444"/>
    <w:rsid w:val="00982697"/>
    <w:rsid w:val="00982762"/>
    <w:rsid w:val="00982C64"/>
    <w:rsid w:val="00982CA6"/>
    <w:rsid w:val="00982E18"/>
    <w:rsid w:val="00982F63"/>
    <w:rsid w:val="0098320D"/>
    <w:rsid w:val="00983547"/>
    <w:rsid w:val="009838B7"/>
    <w:rsid w:val="00983F2E"/>
    <w:rsid w:val="00983F7D"/>
    <w:rsid w:val="00984193"/>
    <w:rsid w:val="00984B56"/>
    <w:rsid w:val="00984BAE"/>
    <w:rsid w:val="00984C58"/>
    <w:rsid w:val="00984DF0"/>
    <w:rsid w:val="0098508C"/>
    <w:rsid w:val="00985E28"/>
    <w:rsid w:val="00985F72"/>
    <w:rsid w:val="009860D3"/>
    <w:rsid w:val="00986265"/>
    <w:rsid w:val="009863F5"/>
    <w:rsid w:val="00986428"/>
    <w:rsid w:val="009866B0"/>
    <w:rsid w:val="009867CA"/>
    <w:rsid w:val="009873BE"/>
    <w:rsid w:val="00987C2D"/>
    <w:rsid w:val="00990204"/>
    <w:rsid w:val="00990820"/>
    <w:rsid w:val="00992212"/>
    <w:rsid w:val="009923D7"/>
    <w:rsid w:val="00992506"/>
    <w:rsid w:val="00992A00"/>
    <w:rsid w:val="00992FB1"/>
    <w:rsid w:val="0099335E"/>
    <w:rsid w:val="00993489"/>
    <w:rsid w:val="0099369D"/>
    <w:rsid w:val="00993741"/>
    <w:rsid w:val="009940FF"/>
    <w:rsid w:val="009943EC"/>
    <w:rsid w:val="00994E8F"/>
    <w:rsid w:val="00995B2C"/>
    <w:rsid w:val="00995B90"/>
    <w:rsid w:val="00995E60"/>
    <w:rsid w:val="009964C0"/>
    <w:rsid w:val="00996C16"/>
    <w:rsid w:val="00997216"/>
    <w:rsid w:val="0099723B"/>
    <w:rsid w:val="00997517"/>
    <w:rsid w:val="00997A7A"/>
    <w:rsid w:val="00997AD5"/>
    <w:rsid w:val="00997CBE"/>
    <w:rsid w:val="00997E1A"/>
    <w:rsid w:val="009A0797"/>
    <w:rsid w:val="009A0953"/>
    <w:rsid w:val="009A10A0"/>
    <w:rsid w:val="009A16C8"/>
    <w:rsid w:val="009A1B0C"/>
    <w:rsid w:val="009A1C00"/>
    <w:rsid w:val="009A2414"/>
    <w:rsid w:val="009A24B0"/>
    <w:rsid w:val="009A24C4"/>
    <w:rsid w:val="009A2816"/>
    <w:rsid w:val="009A288B"/>
    <w:rsid w:val="009A2D38"/>
    <w:rsid w:val="009A2F24"/>
    <w:rsid w:val="009A3814"/>
    <w:rsid w:val="009A3B39"/>
    <w:rsid w:val="009A3C31"/>
    <w:rsid w:val="009A3D49"/>
    <w:rsid w:val="009A3DC0"/>
    <w:rsid w:val="009A3EA5"/>
    <w:rsid w:val="009A3F93"/>
    <w:rsid w:val="009A3F9A"/>
    <w:rsid w:val="009A4268"/>
    <w:rsid w:val="009A4421"/>
    <w:rsid w:val="009A4583"/>
    <w:rsid w:val="009A45E2"/>
    <w:rsid w:val="009A46AA"/>
    <w:rsid w:val="009A46E4"/>
    <w:rsid w:val="009A4762"/>
    <w:rsid w:val="009A4A48"/>
    <w:rsid w:val="009A4BF6"/>
    <w:rsid w:val="009A4C5A"/>
    <w:rsid w:val="009A5140"/>
    <w:rsid w:val="009A520B"/>
    <w:rsid w:val="009A533E"/>
    <w:rsid w:val="009A5379"/>
    <w:rsid w:val="009A5384"/>
    <w:rsid w:val="009A590B"/>
    <w:rsid w:val="009A5D6B"/>
    <w:rsid w:val="009A6064"/>
    <w:rsid w:val="009A60A6"/>
    <w:rsid w:val="009A618F"/>
    <w:rsid w:val="009A62D9"/>
    <w:rsid w:val="009A63BF"/>
    <w:rsid w:val="009A6683"/>
    <w:rsid w:val="009A668F"/>
    <w:rsid w:val="009A6DC0"/>
    <w:rsid w:val="009B0F63"/>
    <w:rsid w:val="009B146B"/>
    <w:rsid w:val="009B1850"/>
    <w:rsid w:val="009B1E84"/>
    <w:rsid w:val="009B2456"/>
    <w:rsid w:val="009B2499"/>
    <w:rsid w:val="009B24F8"/>
    <w:rsid w:val="009B2589"/>
    <w:rsid w:val="009B297A"/>
    <w:rsid w:val="009B2B27"/>
    <w:rsid w:val="009B3EE4"/>
    <w:rsid w:val="009B4395"/>
    <w:rsid w:val="009B449F"/>
    <w:rsid w:val="009B4739"/>
    <w:rsid w:val="009B495D"/>
    <w:rsid w:val="009B49C0"/>
    <w:rsid w:val="009B4E46"/>
    <w:rsid w:val="009B50DC"/>
    <w:rsid w:val="009B54CB"/>
    <w:rsid w:val="009B555A"/>
    <w:rsid w:val="009B5C70"/>
    <w:rsid w:val="009B5E73"/>
    <w:rsid w:val="009B625D"/>
    <w:rsid w:val="009B65F3"/>
    <w:rsid w:val="009B6F6D"/>
    <w:rsid w:val="009B7226"/>
    <w:rsid w:val="009B73B5"/>
    <w:rsid w:val="009B742B"/>
    <w:rsid w:val="009B74B4"/>
    <w:rsid w:val="009B7509"/>
    <w:rsid w:val="009B78C0"/>
    <w:rsid w:val="009B7A38"/>
    <w:rsid w:val="009B7FC2"/>
    <w:rsid w:val="009C0544"/>
    <w:rsid w:val="009C0814"/>
    <w:rsid w:val="009C0C2E"/>
    <w:rsid w:val="009C10BE"/>
    <w:rsid w:val="009C11E6"/>
    <w:rsid w:val="009C1E52"/>
    <w:rsid w:val="009C1EAC"/>
    <w:rsid w:val="009C2960"/>
    <w:rsid w:val="009C2CB2"/>
    <w:rsid w:val="009C3140"/>
    <w:rsid w:val="009C35A0"/>
    <w:rsid w:val="009C385D"/>
    <w:rsid w:val="009C3AD4"/>
    <w:rsid w:val="009C3CCE"/>
    <w:rsid w:val="009C4081"/>
    <w:rsid w:val="009C41A2"/>
    <w:rsid w:val="009C4302"/>
    <w:rsid w:val="009C43A9"/>
    <w:rsid w:val="009C4D4C"/>
    <w:rsid w:val="009C4E8E"/>
    <w:rsid w:val="009C4F59"/>
    <w:rsid w:val="009C4F76"/>
    <w:rsid w:val="009C547F"/>
    <w:rsid w:val="009C5CD4"/>
    <w:rsid w:val="009C5CDB"/>
    <w:rsid w:val="009C68BE"/>
    <w:rsid w:val="009C6F70"/>
    <w:rsid w:val="009C73BD"/>
    <w:rsid w:val="009C7DAC"/>
    <w:rsid w:val="009C7E08"/>
    <w:rsid w:val="009D02FE"/>
    <w:rsid w:val="009D04A4"/>
    <w:rsid w:val="009D0C0C"/>
    <w:rsid w:val="009D0D01"/>
    <w:rsid w:val="009D0F66"/>
    <w:rsid w:val="009D1305"/>
    <w:rsid w:val="009D1A94"/>
    <w:rsid w:val="009D2232"/>
    <w:rsid w:val="009D22B5"/>
    <w:rsid w:val="009D2695"/>
    <w:rsid w:val="009D2999"/>
    <w:rsid w:val="009D30C7"/>
    <w:rsid w:val="009D3174"/>
    <w:rsid w:val="009D345A"/>
    <w:rsid w:val="009D3A61"/>
    <w:rsid w:val="009D3B26"/>
    <w:rsid w:val="009D4369"/>
    <w:rsid w:val="009D4528"/>
    <w:rsid w:val="009D4DA5"/>
    <w:rsid w:val="009D5762"/>
    <w:rsid w:val="009D59BD"/>
    <w:rsid w:val="009D6519"/>
    <w:rsid w:val="009D653E"/>
    <w:rsid w:val="009D6990"/>
    <w:rsid w:val="009D726C"/>
    <w:rsid w:val="009D78C7"/>
    <w:rsid w:val="009D7AB6"/>
    <w:rsid w:val="009D7FB5"/>
    <w:rsid w:val="009D7FC7"/>
    <w:rsid w:val="009E00A3"/>
    <w:rsid w:val="009E08C3"/>
    <w:rsid w:val="009E0A12"/>
    <w:rsid w:val="009E0C8D"/>
    <w:rsid w:val="009E106B"/>
    <w:rsid w:val="009E107C"/>
    <w:rsid w:val="009E1151"/>
    <w:rsid w:val="009E115F"/>
    <w:rsid w:val="009E14FB"/>
    <w:rsid w:val="009E1548"/>
    <w:rsid w:val="009E157E"/>
    <w:rsid w:val="009E1671"/>
    <w:rsid w:val="009E1686"/>
    <w:rsid w:val="009E169B"/>
    <w:rsid w:val="009E18F0"/>
    <w:rsid w:val="009E196F"/>
    <w:rsid w:val="009E1C23"/>
    <w:rsid w:val="009E1D4E"/>
    <w:rsid w:val="009E1E36"/>
    <w:rsid w:val="009E2444"/>
    <w:rsid w:val="009E2869"/>
    <w:rsid w:val="009E34B7"/>
    <w:rsid w:val="009E3657"/>
    <w:rsid w:val="009E36C4"/>
    <w:rsid w:val="009E37CE"/>
    <w:rsid w:val="009E389A"/>
    <w:rsid w:val="009E38E3"/>
    <w:rsid w:val="009E3A0E"/>
    <w:rsid w:val="009E4078"/>
    <w:rsid w:val="009E4417"/>
    <w:rsid w:val="009E44BB"/>
    <w:rsid w:val="009E4DEF"/>
    <w:rsid w:val="009E4E82"/>
    <w:rsid w:val="009E51E1"/>
    <w:rsid w:val="009E5820"/>
    <w:rsid w:val="009E5836"/>
    <w:rsid w:val="009E5A22"/>
    <w:rsid w:val="009E5D8C"/>
    <w:rsid w:val="009E5F1A"/>
    <w:rsid w:val="009E6A5C"/>
    <w:rsid w:val="009E6C98"/>
    <w:rsid w:val="009E6E24"/>
    <w:rsid w:val="009E7051"/>
    <w:rsid w:val="009E738D"/>
    <w:rsid w:val="009E776F"/>
    <w:rsid w:val="009E7881"/>
    <w:rsid w:val="009E78C2"/>
    <w:rsid w:val="009E78EB"/>
    <w:rsid w:val="009E7D19"/>
    <w:rsid w:val="009E7D93"/>
    <w:rsid w:val="009F039E"/>
    <w:rsid w:val="009F03C8"/>
    <w:rsid w:val="009F06FF"/>
    <w:rsid w:val="009F0739"/>
    <w:rsid w:val="009F0908"/>
    <w:rsid w:val="009F0C95"/>
    <w:rsid w:val="009F0E1D"/>
    <w:rsid w:val="009F0EB3"/>
    <w:rsid w:val="009F10A0"/>
    <w:rsid w:val="009F10DA"/>
    <w:rsid w:val="009F1196"/>
    <w:rsid w:val="009F1252"/>
    <w:rsid w:val="009F13EE"/>
    <w:rsid w:val="009F1DDD"/>
    <w:rsid w:val="009F272B"/>
    <w:rsid w:val="009F2B41"/>
    <w:rsid w:val="009F2C7C"/>
    <w:rsid w:val="009F2D6D"/>
    <w:rsid w:val="009F2E97"/>
    <w:rsid w:val="009F30A1"/>
    <w:rsid w:val="009F340E"/>
    <w:rsid w:val="009F3530"/>
    <w:rsid w:val="009F359E"/>
    <w:rsid w:val="009F3722"/>
    <w:rsid w:val="009F3727"/>
    <w:rsid w:val="009F39B2"/>
    <w:rsid w:val="009F39EF"/>
    <w:rsid w:val="009F3B23"/>
    <w:rsid w:val="009F3F34"/>
    <w:rsid w:val="009F4156"/>
    <w:rsid w:val="009F4B0E"/>
    <w:rsid w:val="009F4C1A"/>
    <w:rsid w:val="009F4C66"/>
    <w:rsid w:val="009F4EF3"/>
    <w:rsid w:val="009F5B2D"/>
    <w:rsid w:val="009F5F76"/>
    <w:rsid w:val="009F5F90"/>
    <w:rsid w:val="009F61E5"/>
    <w:rsid w:val="009F622A"/>
    <w:rsid w:val="009F675B"/>
    <w:rsid w:val="009F68C3"/>
    <w:rsid w:val="009F69B4"/>
    <w:rsid w:val="009F6EF2"/>
    <w:rsid w:val="009F6F85"/>
    <w:rsid w:val="009F754B"/>
    <w:rsid w:val="009F7F81"/>
    <w:rsid w:val="00A0010B"/>
    <w:rsid w:val="00A001FA"/>
    <w:rsid w:val="00A0025F"/>
    <w:rsid w:val="00A004B2"/>
    <w:rsid w:val="00A00AE4"/>
    <w:rsid w:val="00A00B35"/>
    <w:rsid w:val="00A00B4A"/>
    <w:rsid w:val="00A01E33"/>
    <w:rsid w:val="00A022D1"/>
    <w:rsid w:val="00A022F4"/>
    <w:rsid w:val="00A02C7B"/>
    <w:rsid w:val="00A03334"/>
    <w:rsid w:val="00A03482"/>
    <w:rsid w:val="00A03871"/>
    <w:rsid w:val="00A0396E"/>
    <w:rsid w:val="00A039E7"/>
    <w:rsid w:val="00A03B27"/>
    <w:rsid w:val="00A04401"/>
    <w:rsid w:val="00A04C68"/>
    <w:rsid w:val="00A05603"/>
    <w:rsid w:val="00A059C1"/>
    <w:rsid w:val="00A0649D"/>
    <w:rsid w:val="00A06ED5"/>
    <w:rsid w:val="00A075CE"/>
    <w:rsid w:val="00A07E02"/>
    <w:rsid w:val="00A103B0"/>
    <w:rsid w:val="00A10931"/>
    <w:rsid w:val="00A10A7B"/>
    <w:rsid w:val="00A10FD6"/>
    <w:rsid w:val="00A11271"/>
    <w:rsid w:val="00A11539"/>
    <w:rsid w:val="00A11EC7"/>
    <w:rsid w:val="00A1205B"/>
    <w:rsid w:val="00A12176"/>
    <w:rsid w:val="00A12344"/>
    <w:rsid w:val="00A1260D"/>
    <w:rsid w:val="00A12637"/>
    <w:rsid w:val="00A127F5"/>
    <w:rsid w:val="00A128E7"/>
    <w:rsid w:val="00A13031"/>
    <w:rsid w:val="00A131D5"/>
    <w:rsid w:val="00A13574"/>
    <w:rsid w:val="00A14086"/>
    <w:rsid w:val="00A1452F"/>
    <w:rsid w:val="00A145F7"/>
    <w:rsid w:val="00A1460C"/>
    <w:rsid w:val="00A14A4C"/>
    <w:rsid w:val="00A14CC4"/>
    <w:rsid w:val="00A14DAC"/>
    <w:rsid w:val="00A15004"/>
    <w:rsid w:val="00A153DC"/>
    <w:rsid w:val="00A15A39"/>
    <w:rsid w:val="00A15CD2"/>
    <w:rsid w:val="00A161E8"/>
    <w:rsid w:val="00A1626C"/>
    <w:rsid w:val="00A165C6"/>
    <w:rsid w:val="00A166AB"/>
    <w:rsid w:val="00A16A31"/>
    <w:rsid w:val="00A172A5"/>
    <w:rsid w:val="00A175EB"/>
    <w:rsid w:val="00A17787"/>
    <w:rsid w:val="00A177C2"/>
    <w:rsid w:val="00A17C62"/>
    <w:rsid w:val="00A17E80"/>
    <w:rsid w:val="00A201F4"/>
    <w:rsid w:val="00A204A7"/>
    <w:rsid w:val="00A20CFB"/>
    <w:rsid w:val="00A20DAF"/>
    <w:rsid w:val="00A20FFF"/>
    <w:rsid w:val="00A21168"/>
    <w:rsid w:val="00A21516"/>
    <w:rsid w:val="00A215CD"/>
    <w:rsid w:val="00A216BA"/>
    <w:rsid w:val="00A21825"/>
    <w:rsid w:val="00A21E1E"/>
    <w:rsid w:val="00A21EFD"/>
    <w:rsid w:val="00A22107"/>
    <w:rsid w:val="00A222D6"/>
    <w:rsid w:val="00A228F0"/>
    <w:rsid w:val="00A230D4"/>
    <w:rsid w:val="00A23141"/>
    <w:rsid w:val="00A2396E"/>
    <w:rsid w:val="00A23C45"/>
    <w:rsid w:val="00A24000"/>
    <w:rsid w:val="00A24302"/>
    <w:rsid w:val="00A24349"/>
    <w:rsid w:val="00A2454C"/>
    <w:rsid w:val="00A249EE"/>
    <w:rsid w:val="00A24C02"/>
    <w:rsid w:val="00A25090"/>
    <w:rsid w:val="00A260CF"/>
    <w:rsid w:val="00A26385"/>
    <w:rsid w:val="00A2639A"/>
    <w:rsid w:val="00A263B0"/>
    <w:rsid w:val="00A26618"/>
    <w:rsid w:val="00A26A88"/>
    <w:rsid w:val="00A2726C"/>
    <w:rsid w:val="00A27285"/>
    <w:rsid w:val="00A2738B"/>
    <w:rsid w:val="00A27EC5"/>
    <w:rsid w:val="00A303A8"/>
    <w:rsid w:val="00A30691"/>
    <w:rsid w:val="00A3079C"/>
    <w:rsid w:val="00A30B90"/>
    <w:rsid w:val="00A30C29"/>
    <w:rsid w:val="00A30D01"/>
    <w:rsid w:val="00A316FA"/>
    <w:rsid w:val="00A317D5"/>
    <w:rsid w:val="00A31C70"/>
    <w:rsid w:val="00A31D23"/>
    <w:rsid w:val="00A31EC3"/>
    <w:rsid w:val="00A321EA"/>
    <w:rsid w:val="00A32CEE"/>
    <w:rsid w:val="00A32F6E"/>
    <w:rsid w:val="00A334C8"/>
    <w:rsid w:val="00A336AD"/>
    <w:rsid w:val="00A33819"/>
    <w:rsid w:val="00A338E2"/>
    <w:rsid w:val="00A33A1F"/>
    <w:rsid w:val="00A33BAA"/>
    <w:rsid w:val="00A33D37"/>
    <w:rsid w:val="00A33EF4"/>
    <w:rsid w:val="00A341FD"/>
    <w:rsid w:val="00A344DD"/>
    <w:rsid w:val="00A34629"/>
    <w:rsid w:val="00A34D49"/>
    <w:rsid w:val="00A35262"/>
    <w:rsid w:val="00A3574C"/>
    <w:rsid w:val="00A35DF7"/>
    <w:rsid w:val="00A36058"/>
    <w:rsid w:val="00A360E4"/>
    <w:rsid w:val="00A3635B"/>
    <w:rsid w:val="00A36743"/>
    <w:rsid w:val="00A3675D"/>
    <w:rsid w:val="00A36991"/>
    <w:rsid w:val="00A377EB"/>
    <w:rsid w:val="00A37AE9"/>
    <w:rsid w:val="00A37EEC"/>
    <w:rsid w:val="00A40057"/>
    <w:rsid w:val="00A403DC"/>
    <w:rsid w:val="00A40492"/>
    <w:rsid w:val="00A4058B"/>
    <w:rsid w:val="00A405AA"/>
    <w:rsid w:val="00A40689"/>
    <w:rsid w:val="00A40845"/>
    <w:rsid w:val="00A408B3"/>
    <w:rsid w:val="00A409CB"/>
    <w:rsid w:val="00A40F06"/>
    <w:rsid w:val="00A40FC1"/>
    <w:rsid w:val="00A41479"/>
    <w:rsid w:val="00A41595"/>
    <w:rsid w:val="00A4160A"/>
    <w:rsid w:val="00A41F6C"/>
    <w:rsid w:val="00A42120"/>
    <w:rsid w:val="00A42233"/>
    <w:rsid w:val="00A42371"/>
    <w:rsid w:val="00A430DC"/>
    <w:rsid w:val="00A43690"/>
    <w:rsid w:val="00A43772"/>
    <w:rsid w:val="00A43A15"/>
    <w:rsid w:val="00A44174"/>
    <w:rsid w:val="00A44589"/>
    <w:rsid w:val="00A44592"/>
    <w:rsid w:val="00A44FE8"/>
    <w:rsid w:val="00A452C2"/>
    <w:rsid w:val="00A459B1"/>
    <w:rsid w:val="00A462F1"/>
    <w:rsid w:val="00A46684"/>
    <w:rsid w:val="00A46B97"/>
    <w:rsid w:val="00A46BBD"/>
    <w:rsid w:val="00A46C07"/>
    <w:rsid w:val="00A46D43"/>
    <w:rsid w:val="00A46DB9"/>
    <w:rsid w:val="00A46DE8"/>
    <w:rsid w:val="00A4711E"/>
    <w:rsid w:val="00A47507"/>
    <w:rsid w:val="00A476AA"/>
    <w:rsid w:val="00A47D5C"/>
    <w:rsid w:val="00A50458"/>
    <w:rsid w:val="00A507EE"/>
    <w:rsid w:val="00A509B2"/>
    <w:rsid w:val="00A51481"/>
    <w:rsid w:val="00A51743"/>
    <w:rsid w:val="00A5176A"/>
    <w:rsid w:val="00A5183B"/>
    <w:rsid w:val="00A51C47"/>
    <w:rsid w:val="00A51C8D"/>
    <w:rsid w:val="00A51DE3"/>
    <w:rsid w:val="00A520C5"/>
    <w:rsid w:val="00A521EF"/>
    <w:rsid w:val="00A52661"/>
    <w:rsid w:val="00A52841"/>
    <w:rsid w:val="00A52D67"/>
    <w:rsid w:val="00A52F56"/>
    <w:rsid w:val="00A53055"/>
    <w:rsid w:val="00A532AA"/>
    <w:rsid w:val="00A53916"/>
    <w:rsid w:val="00A53D46"/>
    <w:rsid w:val="00A53FC6"/>
    <w:rsid w:val="00A5413D"/>
    <w:rsid w:val="00A54FBC"/>
    <w:rsid w:val="00A550A9"/>
    <w:rsid w:val="00A55302"/>
    <w:rsid w:val="00A5598F"/>
    <w:rsid w:val="00A55C62"/>
    <w:rsid w:val="00A5698E"/>
    <w:rsid w:val="00A56D74"/>
    <w:rsid w:val="00A576C1"/>
    <w:rsid w:val="00A57735"/>
    <w:rsid w:val="00A57F09"/>
    <w:rsid w:val="00A57F94"/>
    <w:rsid w:val="00A6033B"/>
    <w:rsid w:val="00A604ED"/>
    <w:rsid w:val="00A604FE"/>
    <w:rsid w:val="00A60516"/>
    <w:rsid w:val="00A60A61"/>
    <w:rsid w:val="00A61045"/>
    <w:rsid w:val="00A61281"/>
    <w:rsid w:val="00A612A7"/>
    <w:rsid w:val="00A61627"/>
    <w:rsid w:val="00A616C1"/>
    <w:rsid w:val="00A61D8A"/>
    <w:rsid w:val="00A61EFD"/>
    <w:rsid w:val="00A61F53"/>
    <w:rsid w:val="00A62AD6"/>
    <w:rsid w:val="00A62ECA"/>
    <w:rsid w:val="00A6305C"/>
    <w:rsid w:val="00A6364F"/>
    <w:rsid w:val="00A63802"/>
    <w:rsid w:val="00A6409F"/>
    <w:rsid w:val="00A64E6B"/>
    <w:rsid w:val="00A64FBF"/>
    <w:rsid w:val="00A650D7"/>
    <w:rsid w:val="00A6559B"/>
    <w:rsid w:val="00A65950"/>
    <w:rsid w:val="00A65A26"/>
    <w:rsid w:val="00A65B39"/>
    <w:rsid w:val="00A65D5D"/>
    <w:rsid w:val="00A6600D"/>
    <w:rsid w:val="00A6644F"/>
    <w:rsid w:val="00A66625"/>
    <w:rsid w:val="00A6674C"/>
    <w:rsid w:val="00A66921"/>
    <w:rsid w:val="00A673D4"/>
    <w:rsid w:val="00A67447"/>
    <w:rsid w:val="00A675E6"/>
    <w:rsid w:val="00A676EE"/>
    <w:rsid w:val="00A67787"/>
    <w:rsid w:val="00A67B63"/>
    <w:rsid w:val="00A700CC"/>
    <w:rsid w:val="00A7040B"/>
    <w:rsid w:val="00A706C5"/>
    <w:rsid w:val="00A70727"/>
    <w:rsid w:val="00A70B54"/>
    <w:rsid w:val="00A70C3E"/>
    <w:rsid w:val="00A70E09"/>
    <w:rsid w:val="00A71006"/>
    <w:rsid w:val="00A716B4"/>
    <w:rsid w:val="00A71714"/>
    <w:rsid w:val="00A71D1F"/>
    <w:rsid w:val="00A720E2"/>
    <w:rsid w:val="00A72238"/>
    <w:rsid w:val="00A722BF"/>
    <w:rsid w:val="00A72301"/>
    <w:rsid w:val="00A725A1"/>
    <w:rsid w:val="00A72B27"/>
    <w:rsid w:val="00A72C38"/>
    <w:rsid w:val="00A7340E"/>
    <w:rsid w:val="00A745A8"/>
    <w:rsid w:val="00A7500C"/>
    <w:rsid w:val="00A75374"/>
    <w:rsid w:val="00A75826"/>
    <w:rsid w:val="00A75874"/>
    <w:rsid w:val="00A75D10"/>
    <w:rsid w:val="00A7618A"/>
    <w:rsid w:val="00A761D7"/>
    <w:rsid w:val="00A76527"/>
    <w:rsid w:val="00A768A6"/>
    <w:rsid w:val="00A76A82"/>
    <w:rsid w:val="00A76CC5"/>
    <w:rsid w:val="00A77269"/>
    <w:rsid w:val="00A773C3"/>
    <w:rsid w:val="00A773D1"/>
    <w:rsid w:val="00A7787F"/>
    <w:rsid w:val="00A77921"/>
    <w:rsid w:val="00A77C49"/>
    <w:rsid w:val="00A804A6"/>
    <w:rsid w:val="00A80564"/>
    <w:rsid w:val="00A80DAD"/>
    <w:rsid w:val="00A81800"/>
    <w:rsid w:val="00A81822"/>
    <w:rsid w:val="00A81823"/>
    <w:rsid w:val="00A81A51"/>
    <w:rsid w:val="00A8204C"/>
    <w:rsid w:val="00A82153"/>
    <w:rsid w:val="00A8282D"/>
    <w:rsid w:val="00A82830"/>
    <w:rsid w:val="00A830FA"/>
    <w:rsid w:val="00A8321A"/>
    <w:rsid w:val="00A8337D"/>
    <w:rsid w:val="00A836D2"/>
    <w:rsid w:val="00A839ED"/>
    <w:rsid w:val="00A83D88"/>
    <w:rsid w:val="00A840AA"/>
    <w:rsid w:val="00A84B2B"/>
    <w:rsid w:val="00A84DEE"/>
    <w:rsid w:val="00A85083"/>
    <w:rsid w:val="00A85111"/>
    <w:rsid w:val="00A85457"/>
    <w:rsid w:val="00A8555F"/>
    <w:rsid w:val="00A855A8"/>
    <w:rsid w:val="00A85F54"/>
    <w:rsid w:val="00A860E0"/>
    <w:rsid w:val="00A8634C"/>
    <w:rsid w:val="00A86568"/>
    <w:rsid w:val="00A86D36"/>
    <w:rsid w:val="00A87737"/>
    <w:rsid w:val="00A878A3"/>
    <w:rsid w:val="00A87B51"/>
    <w:rsid w:val="00A87BE6"/>
    <w:rsid w:val="00A87FCC"/>
    <w:rsid w:val="00A90670"/>
    <w:rsid w:val="00A908AF"/>
    <w:rsid w:val="00A90A1A"/>
    <w:rsid w:val="00A90B40"/>
    <w:rsid w:val="00A90D14"/>
    <w:rsid w:val="00A90EE4"/>
    <w:rsid w:val="00A90FDC"/>
    <w:rsid w:val="00A910D9"/>
    <w:rsid w:val="00A912B6"/>
    <w:rsid w:val="00A914F4"/>
    <w:rsid w:val="00A915B6"/>
    <w:rsid w:val="00A91636"/>
    <w:rsid w:val="00A91740"/>
    <w:rsid w:val="00A917C2"/>
    <w:rsid w:val="00A919C1"/>
    <w:rsid w:val="00A91CD9"/>
    <w:rsid w:val="00A924F8"/>
    <w:rsid w:val="00A926A9"/>
    <w:rsid w:val="00A926E2"/>
    <w:rsid w:val="00A930EC"/>
    <w:rsid w:val="00A9315F"/>
    <w:rsid w:val="00A9324A"/>
    <w:rsid w:val="00A94101"/>
    <w:rsid w:val="00A941DC"/>
    <w:rsid w:val="00A9427F"/>
    <w:rsid w:val="00A9482D"/>
    <w:rsid w:val="00A94C04"/>
    <w:rsid w:val="00A95444"/>
    <w:rsid w:val="00A95A68"/>
    <w:rsid w:val="00A95C33"/>
    <w:rsid w:val="00A96312"/>
    <w:rsid w:val="00A9652D"/>
    <w:rsid w:val="00A96A1C"/>
    <w:rsid w:val="00A9723D"/>
    <w:rsid w:val="00A9748D"/>
    <w:rsid w:val="00A97728"/>
    <w:rsid w:val="00A97D57"/>
    <w:rsid w:val="00A97E3F"/>
    <w:rsid w:val="00AA00D3"/>
    <w:rsid w:val="00AA0324"/>
    <w:rsid w:val="00AA1040"/>
    <w:rsid w:val="00AA117B"/>
    <w:rsid w:val="00AA1C85"/>
    <w:rsid w:val="00AA237D"/>
    <w:rsid w:val="00AA2806"/>
    <w:rsid w:val="00AA2951"/>
    <w:rsid w:val="00AA2AEC"/>
    <w:rsid w:val="00AA2CC9"/>
    <w:rsid w:val="00AA2F96"/>
    <w:rsid w:val="00AA33F6"/>
    <w:rsid w:val="00AA3970"/>
    <w:rsid w:val="00AA3A94"/>
    <w:rsid w:val="00AA3E51"/>
    <w:rsid w:val="00AA3F32"/>
    <w:rsid w:val="00AA40A9"/>
    <w:rsid w:val="00AA493C"/>
    <w:rsid w:val="00AA4D11"/>
    <w:rsid w:val="00AA4E39"/>
    <w:rsid w:val="00AA4EFE"/>
    <w:rsid w:val="00AA53CF"/>
    <w:rsid w:val="00AA5549"/>
    <w:rsid w:val="00AA5566"/>
    <w:rsid w:val="00AA5CC4"/>
    <w:rsid w:val="00AA617F"/>
    <w:rsid w:val="00AA640D"/>
    <w:rsid w:val="00AA6C9B"/>
    <w:rsid w:val="00AA6D01"/>
    <w:rsid w:val="00AA7599"/>
    <w:rsid w:val="00AA7645"/>
    <w:rsid w:val="00AA76A7"/>
    <w:rsid w:val="00AA7AAF"/>
    <w:rsid w:val="00AB064B"/>
    <w:rsid w:val="00AB086E"/>
    <w:rsid w:val="00AB09E8"/>
    <w:rsid w:val="00AB0AC0"/>
    <w:rsid w:val="00AB0D4D"/>
    <w:rsid w:val="00AB1490"/>
    <w:rsid w:val="00AB15B7"/>
    <w:rsid w:val="00AB162D"/>
    <w:rsid w:val="00AB1C4B"/>
    <w:rsid w:val="00AB1C56"/>
    <w:rsid w:val="00AB1EB1"/>
    <w:rsid w:val="00AB21E9"/>
    <w:rsid w:val="00AB27E7"/>
    <w:rsid w:val="00AB2DAF"/>
    <w:rsid w:val="00AB32A0"/>
    <w:rsid w:val="00AB3364"/>
    <w:rsid w:val="00AB35C5"/>
    <w:rsid w:val="00AB3C64"/>
    <w:rsid w:val="00AB4017"/>
    <w:rsid w:val="00AB447B"/>
    <w:rsid w:val="00AB47DD"/>
    <w:rsid w:val="00AB5114"/>
    <w:rsid w:val="00AB527D"/>
    <w:rsid w:val="00AB59E1"/>
    <w:rsid w:val="00AB5B9F"/>
    <w:rsid w:val="00AB5CFE"/>
    <w:rsid w:val="00AB610A"/>
    <w:rsid w:val="00AB6452"/>
    <w:rsid w:val="00AB670B"/>
    <w:rsid w:val="00AB6728"/>
    <w:rsid w:val="00AB6805"/>
    <w:rsid w:val="00AB68E5"/>
    <w:rsid w:val="00AB699B"/>
    <w:rsid w:val="00AB6C29"/>
    <w:rsid w:val="00AB6F75"/>
    <w:rsid w:val="00AB710D"/>
    <w:rsid w:val="00AB73C1"/>
    <w:rsid w:val="00AB7A45"/>
    <w:rsid w:val="00AC006D"/>
    <w:rsid w:val="00AC010D"/>
    <w:rsid w:val="00AC018E"/>
    <w:rsid w:val="00AC01B8"/>
    <w:rsid w:val="00AC02B8"/>
    <w:rsid w:val="00AC063A"/>
    <w:rsid w:val="00AC084B"/>
    <w:rsid w:val="00AC0BD4"/>
    <w:rsid w:val="00AC0C43"/>
    <w:rsid w:val="00AC0D83"/>
    <w:rsid w:val="00AC1717"/>
    <w:rsid w:val="00AC1CB1"/>
    <w:rsid w:val="00AC1EAA"/>
    <w:rsid w:val="00AC1F08"/>
    <w:rsid w:val="00AC2032"/>
    <w:rsid w:val="00AC25BE"/>
    <w:rsid w:val="00AC3208"/>
    <w:rsid w:val="00AC3295"/>
    <w:rsid w:val="00AC381D"/>
    <w:rsid w:val="00AC3BA8"/>
    <w:rsid w:val="00AC3F06"/>
    <w:rsid w:val="00AC4803"/>
    <w:rsid w:val="00AC5335"/>
    <w:rsid w:val="00AC55D7"/>
    <w:rsid w:val="00AC5D00"/>
    <w:rsid w:val="00AC6418"/>
    <w:rsid w:val="00AC6783"/>
    <w:rsid w:val="00AC72C9"/>
    <w:rsid w:val="00AC72FB"/>
    <w:rsid w:val="00AC753C"/>
    <w:rsid w:val="00AC7584"/>
    <w:rsid w:val="00AC79C7"/>
    <w:rsid w:val="00AC7D87"/>
    <w:rsid w:val="00AC7E6C"/>
    <w:rsid w:val="00AC7F15"/>
    <w:rsid w:val="00AD0288"/>
    <w:rsid w:val="00AD028E"/>
    <w:rsid w:val="00AD0298"/>
    <w:rsid w:val="00AD0393"/>
    <w:rsid w:val="00AD0B0C"/>
    <w:rsid w:val="00AD1507"/>
    <w:rsid w:val="00AD1644"/>
    <w:rsid w:val="00AD1AA1"/>
    <w:rsid w:val="00AD1F89"/>
    <w:rsid w:val="00AD2381"/>
    <w:rsid w:val="00AD2602"/>
    <w:rsid w:val="00AD26D6"/>
    <w:rsid w:val="00AD287D"/>
    <w:rsid w:val="00AD298B"/>
    <w:rsid w:val="00AD3024"/>
    <w:rsid w:val="00AD3199"/>
    <w:rsid w:val="00AD325A"/>
    <w:rsid w:val="00AD3D34"/>
    <w:rsid w:val="00AD3E95"/>
    <w:rsid w:val="00AD4007"/>
    <w:rsid w:val="00AD4113"/>
    <w:rsid w:val="00AD4128"/>
    <w:rsid w:val="00AD4931"/>
    <w:rsid w:val="00AD4CFA"/>
    <w:rsid w:val="00AD4EA6"/>
    <w:rsid w:val="00AD4EDE"/>
    <w:rsid w:val="00AD4EE4"/>
    <w:rsid w:val="00AD501A"/>
    <w:rsid w:val="00AD58F7"/>
    <w:rsid w:val="00AD5B93"/>
    <w:rsid w:val="00AD5F3D"/>
    <w:rsid w:val="00AD6234"/>
    <w:rsid w:val="00AD65F5"/>
    <w:rsid w:val="00AD6611"/>
    <w:rsid w:val="00AD6BBD"/>
    <w:rsid w:val="00AD6D77"/>
    <w:rsid w:val="00AD6F65"/>
    <w:rsid w:val="00AD7976"/>
    <w:rsid w:val="00AD7CB9"/>
    <w:rsid w:val="00AD7DA1"/>
    <w:rsid w:val="00AD7ED5"/>
    <w:rsid w:val="00AE0484"/>
    <w:rsid w:val="00AE0587"/>
    <w:rsid w:val="00AE084C"/>
    <w:rsid w:val="00AE0E8B"/>
    <w:rsid w:val="00AE14AC"/>
    <w:rsid w:val="00AE1F41"/>
    <w:rsid w:val="00AE2131"/>
    <w:rsid w:val="00AE243C"/>
    <w:rsid w:val="00AE24B4"/>
    <w:rsid w:val="00AE278F"/>
    <w:rsid w:val="00AE2A61"/>
    <w:rsid w:val="00AE2A67"/>
    <w:rsid w:val="00AE30FE"/>
    <w:rsid w:val="00AE37F8"/>
    <w:rsid w:val="00AE3AD1"/>
    <w:rsid w:val="00AE3C75"/>
    <w:rsid w:val="00AE3CE5"/>
    <w:rsid w:val="00AE4A46"/>
    <w:rsid w:val="00AE4CAC"/>
    <w:rsid w:val="00AE4F35"/>
    <w:rsid w:val="00AE6182"/>
    <w:rsid w:val="00AE64D1"/>
    <w:rsid w:val="00AE6700"/>
    <w:rsid w:val="00AE6D28"/>
    <w:rsid w:val="00AE6D4D"/>
    <w:rsid w:val="00AE7357"/>
    <w:rsid w:val="00AE760F"/>
    <w:rsid w:val="00AE7641"/>
    <w:rsid w:val="00AF05C2"/>
    <w:rsid w:val="00AF0B11"/>
    <w:rsid w:val="00AF1456"/>
    <w:rsid w:val="00AF1841"/>
    <w:rsid w:val="00AF1CDD"/>
    <w:rsid w:val="00AF1D5A"/>
    <w:rsid w:val="00AF233D"/>
    <w:rsid w:val="00AF279D"/>
    <w:rsid w:val="00AF304A"/>
    <w:rsid w:val="00AF3093"/>
    <w:rsid w:val="00AF3C2A"/>
    <w:rsid w:val="00AF3D47"/>
    <w:rsid w:val="00AF4240"/>
    <w:rsid w:val="00AF4468"/>
    <w:rsid w:val="00AF4477"/>
    <w:rsid w:val="00AF4537"/>
    <w:rsid w:val="00AF453E"/>
    <w:rsid w:val="00AF47D8"/>
    <w:rsid w:val="00AF4D63"/>
    <w:rsid w:val="00AF4D69"/>
    <w:rsid w:val="00AF4EFE"/>
    <w:rsid w:val="00AF4F0D"/>
    <w:rsid w:val="00AF51F0"/>
    <w:rsid w:val="00AF5304"/>
    <w:rsid w:val="00AF552C"/>
    <w:rsid w:val="00AF55AC"/>
    <w:rsid w:val="00AF5975"/>
    <w:rsid w:val="00AF5B14"/>
    <w:rsid w:val="00AF5D12"/>
    <w:rsid w:val="00AF6477"/>
    <w:rsid w:val="00AF6B9B"/>
    <w:rsid w:val="00AF6BD9"/>
    <w:rsid w:val="00AF6DD3"/>
    <w:rsid w:val="00AF7AC0"/>
    <w:rsid w:val="00AF7B07"/>
    <w:rsid w:val="00AF7C45"/>
    <w:rsid w:val="00AF7DB5"/>
    <w:rsid w:val="00AF7F27"/>
    <w:rsid w:val="00AF7FA1"/>
    <w:rsid w:val="00B00A54"/>
    <w:rsid w:val="00B00B1C"/>
    <w:rsid w:val="00B00C52"/>
    <w:rsid w:val="00B00C73"/>
    <w:rsid w:val="00B00D69"/>
    <w:rsid w:val="00B0130C"/>
    <w:rsid w:val="00B01480"/>
    <w:rsid w:val="00B01988"/>
    <w:rsid w:val="00B01B63"/>
    <w:rsid w:val="00B02000"/>
    <w:rsid w:val="00B0235B"/>
    <w:rsid w:val="00B02747"/>
    <w:rsid w:val="00B028B8"/>
    <w:rsid w:val="00B028BE"/>
    <w:rsid w:val="00B0298D"/>
    <w:rsid w:val="00B02D17"/>
    <w:rsid w:val="00B02FFA"/>
    <w:rsid w:val="00B0383A"/>
    <w:rsid w:val="00B039E3"/>
    <w:rsid w:val="00B04F0E"/>
    <w:rsid w:val="00B04FA2"/>
    <w:rsid w:val="00B05989"/>
    <w:rsid w:val="00B05BD1"/>
    <w:rsid w:val="00B05C45"/>
    <w:rsid w:val="00B05D8B"/>
    <w:rsid w:val="00B06325"/>
    <w:rsid w:val="00B0699F"/>
    <w:rsid w:val="00B06CE8"/>
    <w:rsid w:val="00B073CF"/>
    <w:rsid w:val="00B076D9"/>
    <w:rsid w:val="00B07E37"/>
    <w:rsid w:val="00B07F92"/>
    <w:rsid w:val="00B1013C"/>
    <w:rsid w:val="00B10372"/>
    <w:rsid w:val="00B10718"/>
    <w:rsid w:val="00B107B0"/>
    <w:rsid w:val="00B10A16"/>
    <w:rsid w:val="00B10BBC"/>
    <w:rsid w:val="00B112B4"/>
    <w:rsid w:val="00B11666"/>
    <w:rsid w:val="00B11A17"/>
    <w:rsid w:val="00B11C81"/>
    <w:rsid w:val="00B12076"/>
    <w:rsid w:val="00B13192"/>
    <w:rsid w:val="00B135BF"/>
    <w:rsid w:val="00B13ECC"/>
    <w:rsid w:val="00B13F31"/>
    <w:rsid w:val="00B14A54"/>
    <w:rsid w:val="00B14AC3"/>
    <w:rsid w:val="00B151D7"/>
    <w:rsid w:val="00B153D1"/>
    <w:rsid w:val="00B154C9"/>
    <w:rsid w:val="00B15539"/>
    <w:rsid w:val="00B15950"/>
    <w:rsid w:val="00B1606F"/>
    <w:rsid w:val="00B1614B"/>
    <w:rsid w:val="00B16674"/>
    <w:rsid w:val="00B1669A"/>
    <w:rsid w:val="00B167A8"/>
    <w:rsid w:val="00B169E7"/>
    <w:rsid w:val="00B16A12"/>
    <w:rsid w:val="00B16A8E"/>
    <w:rsid w:val="00B16BE3"/>
    <w:rsid w:val="00B17609"/>
    <w:rsid w:val="00B200F9"/>
    <w:rsid w:val="00B20521"/>
    <w:rsid w:val="00B20F96"/>
    <w:rsid w:val="00B2101F"/>
    <w:rsid w:val="00B21145"/>
    <w:rsid w:val="00B2164A"/>
    <w:rsid w:val="00B21A50"/>
    <w:rsid w:val="00B21B1C"/>
    <w:rsid w:val="00B21CF6"/>
    <w:rsid w:val="00B21F1A"/>
    <w:rsid w:val="00B224DC"/>
    <w:rsid w:val="00B22C2A"/>
    <w:rsid w:val="00B22F59"/>
    <w:rsid w:val="00B23061"/>
    <w:rsid w:val="00B23948"/>
    <w:rsid w:val="00B23B2D"/>
    <w:rsid w:val="00B23D16"/>
    <w:rsid w:val="00B23E36"/>
    <w:rsid w:val="00B240BA"/>
    <w:rsid w:val="00B242BC"/>
    <w:rsid w:val="00B244CA"/>
    <w:rsid w:val="00B24708"/>
    <w:rsid w:val="00B249F3"/>
    <w:rsid w:val="00B253FE"/>
    <w:rsid w:val="00B25534"/>
    <w:rsid w:val="00B25DD5"/>
    <w:rsid w:val="00B2615B"/>
    <w:rsid w:val="00B26723"/>
    <w:rsid w:val="00B26DE8"/>
    <w:rsid w:val="00B26E52"/>
    <w:rsid w:val="00B26F44"/>
    <w:rsid w:val="00B27059"/>
    <w:rsid w:val="00B277E1"/>
    <w:rsid w:val="00B27872"/>
    <w:rsid w:val="00B27CB1"/>
    <w:rsid w:val="00B27F86"/>
    <w:rsid w:val="00B30699"/>
    <w:rsid w:val="00B30710"/>
    <w:rsid w:val="00B31142"/>
    <w:rsid w:val="00B314FD"/>
    <w:rsid w:val="00B31CA0"/>
    <w:rsid w:val="00B31DC2"/>
    <w:rsid w:val="00B32082"/>
    <w:rsid w:val="00B32A23"/>
    <w:rsid w:val="00B32C32"/>
    <w:rsid w:val="00B32C68"/>
    <w:rsid w:val="00B330CF"/>
    <w:rsid w:val="00B333BC"/>
    <w:rsid w:val="00B33C23"/>
    <w:rsid w:val="00B33FD5"/>
    <w:rsid w:val="00B34297"/>
    <w:rsid w:val="00B34A43"/>
    <w:rsid w:val="00B34E86"/>
    <w:rsid w:val="00B353C9"/>
    <w:rsid w:val="00B353CB"/>
    <w:rsid w:val="00B353EA"/>
    <w:rsid w:val="00B35BE1"/>
    <w:rsid w:val="00B35CB9"/>
    <w:rsid w:val="00B36E9F"/>
    <w:rsid w:val="00B36F39"/>
    <w:rsid w:val="00B36FBA"/>
    <w:rsid w:val="00B37277"/>
    <w:rsid w:val="00B373D7"/>
    <w:rsid w:val="00B3777D"/>
    <w:rsid w:val="00B3795C"/>
    <w:rsid w:val="00B37C75"/>
    <w:rsid w:val="00B37CC7"/>
    <w:rsid w:val="00B400D9"/>
    <w:rsid w:val="00B40249"/>
    <w:rsid w:val="00B404B5"/>
    <w:rsid w:val="00B40678"/>
    <w:rsid w:val="00B407FC"/>
    <w:rsid w:val="00B4083E"/>
    <w:rsid w:val="00B40B66"/>
    <w:rsid w:val="00B40F5E"/>
    <w:rsid w:val="00B41472"/>
    <w:rsid w:val="00B414F1"/>
    <w:rsid w:val="00B42098"/>
    <w:rsid w:val="00B4212D"/>
    <w:rsid w:val="00B42200"/>
    <w:rsid w:val="00B42632"/>
    <w:rsid w:val="00B42C70"/>
    <w:rsid w:val="00B43040"/>
    <w:rsid w:val="00B4338A"/>
    <w:rsid w:val="00B43699"/>
    <w:rsid w:val="00B43712"/>
    <w:rsid w:val="00B43822"/>
    <w:rsid w:val="00B43933"/>
    <w:rsid w:val="00B4404A"/>
    <w:rsid w:val="00B442A4"/>
    <w:rsid w:val="00B44BFC"/>
    <w:rsid w:val="00B4537E"/>
    <w:rsid w:val="00B459DA"/>
    <w:rsid w:val="00B45A0F"/>
    <w:rsid w:val="00B460DD"/>
    <w:rsid w:val="00B46A13"/>
    <w:rsid w:val="00B46B37"/>
    <w:rsid w:val="00B46DAE"/>
    <w:rsid w:val="00B47C2F"/>
    <w:rsid w:val="00B5006C"/>
    <w:rsid w:val="00B501A1"/>
    <w:rsid w:val="00B50484"/>
    <w:rsid w:val="00B50519"/>
    <w:rsid w:val="00B506F5"/>
    <w:rsid w:val="00B50B3D"/>
    <w:rsid w:val="00B50E68"/>
    <w:rsid w:val="00B50ED4"/>
    <w:rsid w:val="00B50F93"/>
    <w:rsid w:val="00B5121D"/>
    <w:rsid w:val="00B51351"/>
    <w:rsid w:val="00B51538"/>
    <w:rsid w:val="00B519A4"/>
    <w:rsid w:val="00B51B8B"/>
    <w:rsid w:val="00B520DF"/>
    <w:rsid w:val="00B52162"/>
    <w:rsid w:val="00B5275C"/>
    <w:rsid w:val="00B52BCF"/>
    <w:rsid w:val="00B52D94"/>
    <w:rsid w:val="00B53061"/>
    <w:rsid w:val="00B5354D"/>
    <w:rsid w:val="00B535DD"/>
    <w:rsid w:val="00B536C2"/>
    <w:rsid w:val="00B53910"/>
    <w:rsid w:val="00B53922"/>
    <w:rsid w:val="00B53ADB"/>
    <w:rsid w:val="00B53B3F"/>
    <w:rsid w:val="00B54725"/>
    <w:rsid w:val="00B54E62"/>
    <w:rsid w:val="00B550B6"/>
    <w:rsid w:val="00B5510F"/>
    <w:rsid w:val="00B55142"/>
    <w:rsid w:val="00B55150"/>
    <w:rsid w:val="00B5528E"/>
    <w:rsid w:val="00B55414"/>
    <w:rsid w:val="00B55865"/>
    <w:rsid w:val="00B55AC4"/>
    <w:rsid w:val="00B55F01"/>
    <w:rsid w:val="00B563AE"/>
    <w:rsid w:val="00B5648F"/>
    <w:rsid w:val="00B56924"/>
    <w:rsid w:val="00B56AF0"/>
    <w:rsid w:val="00B56D04"/>
    <w:rsid w:val="00B57280"/>
    <w:rsid w:val="00B57451"/>
    <w:rsid w:val="00B576C0"/>
    <w:rsid w:val="00B577CC"/>
    <w:rsid w:val="00B57E18"/>
    <w:rsid w:val="00B57E8B"/>
    <w:rsid w:val="00B606E4"/>
    <w:rsid w:val="00B6077A"/>
    <w:rsid w:val="00B607FA"/>
    <w:rsid w:val="00B60C54"/>
    <w:rsid w:val="00B610E9"/>
    <w:rsid w:val="00B6182F"/>
    <w:rsid w:val="00B61A0F"/>
    <w:rsid w:val="00B61B94"/>
    <w:rsid w:val="00B61F65"/>
    <w:rsid w:val="00B6209F"/>
    <w:rsid w:val="00B6256B"/>
    <w:rsid w:val="00B62D93"/>
    <w:rsid w:val="00B62DE2"/>
    <w:rsid w:val="00B62DFD"/>
    <w:rsid w:val="00B6302C"/>
    <w:rsid w:val="00B6309D"/>
    <w:rsid w:val="00B631E1"/>
    <w:rsid w:val="00B63275"/>
    <w:rsid w:val="00B6335D"/>
    <w:rsid w:val="00B6382F"/>
    <w:rsid w:val="00B63A39"/>
    <w:rsid w:val="00B63F06"/>
    <w:rsid w:val="00B64862"/>
    <w:rsid w:val="00B65340"/>
    <w:rsid w:val="00B6568D"/>
    <w:rsid w:val="00B656D7"/>
    <w:rsid w:val="00B658AC"/>
    <w:rsid w:val="00B65BD6"/>
    <w:rsid w:val="00B66538"/>
    <w:rsid w:val="00B66BEE"/>
    <w:rsid w:val="00B66CAE"/>
    <w:rsid w:val="00B66D0D"/>
    <w:rsid w:val="00B66FF4"/>
    <w:rsid w:val="00B67615"/>
    <w:rsid w:val="00B6767D"/>
    <w:rsid w:val="00B67962"/>
    <w:rsid w:val="00B679A1"/>
    <w:rsid w:val="00B67A95"/>
    <w:rsid w:val="00B7043B"/>
    <w:rsid w:val="00B706BF"/>
    <w:rsid w:val="00B70FB4"/>
    <w:rsid w:val="00B711B6"/>
    <w:rsid w:val="00B7126D"/>
    <w:rsid w:val="00B716CF"/>
    <w:rsid w:val="00B71CCE"/>
    <w:rsid w:val="00B71EB3"/>
    <w:rsid w:val="00B72520"/>
    <w:rsid w:val="00B7280C"/>
    <w:rsid w:val="00B72862"/>
    <w:rsid w:val="00B72CAA"/>
    <w:rsid w:val="00B73A0C"/>
    <w:rsid w:val="00B73CFB"/>
    <w:rsid w:val="00B73F9F"/>
    <w:rsid w:val="00B74310"/>
    <w:rsid w:val="00B74E6E"/>
    <w:rsid w:val="00B75043"/>
    <w:rsid w:val="00B751CB"/>
    <w:rsid w:val="00B7553F"/>
    <w:rsid w:val="00B7589E"/>
    <w:rsid w:val="00B75B3D"/>
    <w:rsid w:val="00B760B9"/>
    <w:rsid w:val="00B76356"/>
    <w:rsid w:val="00B771BF"/>
    <w:rsid w:val="00B773BF"/>
    <w:rsid w:val="00B776E3"/>
    <w:rsid w:val="00B77892"/>
    <w:rsid w:val="00B803C5"/>
    <w:rsid w:val="00B80402"/>
    <w:rsid w:val="00B80534"/>
    <w:rsid w:val="00B806E9"/>
    <w:rsid w:val="00B812CA"/>
    <w:rsid w:val="00B8178C"/>
    <w:rsid w:val="00B817BC"/>
    <w:rsid w:val="00B81A36"/>
    <w:rsid w:val="00B81AAC"/>
    <w:rsid w:val="00B81DF5"/>
    <w:rsid w:val="00B82023"/>
    <w:rsid w:val="00B8215C"/>
    <w:rsid w:val="00B825F4"/>
    <w:rsid w:val="00B825FD"/>
    <w:rsid w:val="00B827B4"/>
    <w:rsid w:val="00B82812"/>
    <w:rsid w:val="00B82860"/>
    <w:rsid w:val="00B829F3"/>
    <w:rsid w:val="00B82BF1"/>
    <w:rsid w:val="00B8330E"/>
    <w:rsid w:val="00B83C7D"/>
    <w:rsid w:val="00B83E07"/>
    <w:rsid w:val="00B83E86"/>
    <w:rsid w:val="00B84066"/>
    <w:rsid w:val="00B840B3"/>
    <w:rsid w:val="00B84762"/>
    <w:rsid w:val="00B8477C"/>
    <w:rsid w:val="00B849C1"/>
    <w:rsid w:val="00B84C17"/>
    <w:rsid w:val="00B84E03"/>
    <w:rsid w:val="00B8536E"/>
    <w:rsid w:val="00B85439"/>
    <w:rsid w:val="00B86090"/>
    <w:rsid w:val="00B86B41"/>
    <w:rsid w:val="00B86BE1"/>
    <w:rsid w:val="00B87104"/>
    <w:rsid w:val="00B87174"/>
    <w:rsid w:val="00B8718C"/>
    <w:rsid w:val="00B87626"/>
    <w:rsid w:val="00B8765D"/>
    <w:rsid w:val="00B877BC"/>
    <w:rsid w:val="00B8781F"/>
    <w:rsid w:val="00B8792F"/>
    <w:rsid w:val="00B87E54"/>
    <w:rsid w:val="00B9049D"/>
    <w:rsid w:val="00B9075F"/>
    <w:rsid w:val="00B907E9"/>
    <w:rsid w:val="00B90B0B"/>
    <w:rsid w:val="00B90D5B"/>
    <w:rsid w:val="00B910DB"/>
    <w:rsid w:val="00B91163"/>
    <w:rsid w:val="00B91366"/>
    <w:rsid w:val="00B913DB"/>
    <w:rsid w:val="00B916AA"/>
    <w:rsid w:val="00B9192C"/>
    <w:rsid w:val="00B9195E"/>
    <w:rsid w:val="00B91A55"/>
    <w:rsid w:val="00B91E65"/>
    <w:rsid w:val="00B92177"/>
    <w:rsid w:val="00B9260A"/>
    <w:rsid w:val="00B926C1"/>
    <w:rsid w:val="00B929B6"/>
    <w:rsid w:val="00B92A0A"/>
    <w:rsid w:val="00B92A68"/>
    <w:rsid w:val="00B9304F"/>
    <w:rsid w:val="00B93195"/>
    <w:rsid w:val="00B931BF"/>
    <w:rsid w:val="00B9321C"/>
    <w:rsid w:val="00B93AAC"/>
    <w:rsid w:val="00B93B6F"/>
    <w:rsid w:val="00B93DC9"/>
    <w:rsid w:val="00B9412B"/>
    <w:rsid w:val="00B942CE"/>
    <w:rsid w:val="00B94B49"/>
    <w:rsid w:val="00B94BB5"/>
    <w:rsid w:val="00B94F52"/>
    <w:rsid w:val="00B95A92"/>
    <w:rsid w:val="00B960A5"/>
    <w:rsid w:val="00B9679A"/>
    <w:rsid w:val="00B9687A"/>
    <w:rsid w:val="00B96BFB"/>
    <w:rsid w:val="00B96EBD"/>
    <w:rsid w:val="00B972DE"/>
    <w:rsid w:val="00B973F7"/>
    <w:rsid w:val="00B97522"/>
    <w:rsid w:val="00B97702"/>
    <w:rsid w:val="00B978CF"/>
    <w:rsid w:val="00BA031A"/>
    <w:rsid w:val="00BA053C"/>
    <w:rsid w:val="00BA0628"/>
    <w:rsid w:val="00BA0768"/>
    <w:rsid w:val="00BA0868"/>
    <w:rsid w:val="00BA0939"/>
    <w:rsid w:val="00BA11F9"/>
    <w:rsid w:val="00BA14FD"/>
    <w:rsid w:val="00BA17CA"/>
    <w:rsid w:val="00BA1D6D"/>
    <w:rsid w:val="00BA1FF4"/>
    <w:rsid w:val="00BA2218"/>
    <w:rsid w:val="00BA232E"/>
    <w:rsid w:val="00BA241E"/>
    <w:rsid w:val="00BA25A4"/>
    <w:rsid w:val="00BA272A"/>
    <w:rsid w:val="00BA273C"/>
    <w:rsid w:val="00BA2798"/>
    <w:rsid w:val="00BA2B89"/>
    <w:rsid w:val="00BA3644"/>
    <w:rsid w:val="00BA3C5B"/>
    <w:rsid w:val="00BA3CA4"/>
    <w:rsid w:val="00BA3F83"/>
    <w:rsid w:val="00BA401E"/>
    <w:rsid w:val="00BA47A3"/>
    <w:rsid w:val="00BA4961"/>
    <w:rsid w:val="00BA4C78"/>
    <w:rsid w:val="00BA4D0A"/>
    <w:rsid w:val="00BA4DC3"/>
    <w:rsid w:val="00BA5636"/>
    <w:rsid w:val="00BA5700"/>
    <w:rsid w:val="00BA57E1"/>
    <w:rsid w:val="00BA5ABE"/>
    <w:rsid w:val="00BA613C"/>
    <w:rsid w:val="00BA69C9"/>
    <w:rsid w:val="00BA6A0E"/>
    <w:rsid w:val="00BA6D2E"/>
    <w:rsid w:val="00BA6E72"/>
    <w:rsid w:val="00BA6F08"/>
    <w:rsid w:val="00BA6FD0"/>
    <w:rsid w:val="00BA7146"/>
    <w:rsid w:val="00BA720D"/>
    <w:rsid w:val="00BA7299"/>
    <w:rsid w:val="00BA75BE"/>
    <w:rsid w:val="00BA76F8"/>
    <w:rsid w:val="00BA7B1E"/>
    <w:rsid w:val="00BA7E7A"/>
    <w:rsid w:val="00BA7EC0"/>
    <w:rsid w:val="00BB003C"/>
    <w:rsid w:val="00BB0255"/>
    <w:rsid w:val="00BB0B0B"/>
    <w:rsid w:val="00BB0BC4"/>
    <w:rsid w:val="00BB0D39"/>
    <w:rsid w:val="00BB0E6E"/>
    <w:rsid w:val="00BB162E"/>
    <w:rsid w:val="00BB1998"/>
    <w:rsid w:val="00BB1B07"/>
    <w:rsid w:val="00BB1BD3"/>
    <w:rsid w:val="00BB1EC4"/>
    <w:rsid w:val="00BB2727"/>
    <w:rsid w:val="00BB2FB9"/>
    <w:rsid w:val="00BB3530"/>
    <w:rsid w:val="00BB355A"/>
    <w:rsid w:val="00BB3790"/>
    <w:rsid w:val="00BB3872"/>
    <w:rsid w:val="00BB3AC7"/>
    <w:rsid w:val="00BB3E79"/>
    <w:rsid w:val="00BB3FA5"/>
    <w:rsid w:val="00BB44EF"/>
    <w:rsid w:val="00BB48DA"/>
    <w:rsid w:val="00BB557C"/>
    <w:rsid w:val="00BB5713"/>
    <w:rsid w:val="00BB5901"/>
    <w:rsid w:val="00BB593A"/>
    <w:rsid w:val="00BB5C8A"/>
    <w:rsid w:val="00BB6066"/>
    <w:rsid w:val="00BB6302"/>
    <w:rsid w:val="00BB6929"/>
    <w:rsid w:val="00BB69F4"/>
    <w:rsid w:val="00BB6A9F"/>
    <w:rsid w:val="00BB6E31"/>
    <w:rsid w:val="00BB7059"/>
    <w:rsid w:val="00BB74AD"/>
    <w:rsid w:val="00BB753F"/>
    <w:rsid w:val="00BB785E"/>
    <w:rsid w:val="00BB7A2A"/>
    <w:rsid w:val="00BB7EC5"/>
    <w:rsid w:val="00BC024F"/>
    <w:rsid w:val="00BC0398"/>
    <w:rsid w:val="00BC0701"/>
    <w:rsid w:val="00BC0C40"/>
    <w:rsid w:val="00BC11AB"/>
    <w:rsid w:val="00BC1B86"/>
    <w:rsid w:val="00BC1D87"/>
    <w:rsid w:val="00BC1F27"/>
    <w:rsid w:val="00BC1F48"/>
    <w:rsid w:val="00BC2111"/>
    <w:rsid w:val="00BC27A7"/>
    <w:rsid w:val="00BC2BE0"/>
    <w:rsid w:val="00BC32A5"/>
    <w:rsid w:val="00BC33E9"/>
    <w:rsid w:val="00BC3BA0"/>
    <w:rsid w:val="00BC3DD2"/>
    <w:rsid w:val="00BC404E"/>
    <w:rsid w:val="00BC417B"/>
    <w:rsid w:val="00BC49C5"/>
    <w:rsid w:val="00BC4BB1"/>
    <w:rsid w:val="00BC4BD7"/>
    <w:rsid w:val="00BC4DB9"/>
    <w:rsid w:val="00BC50AB"/>
    <w:rsid w:val="00BC543F"/>
    <w:rsid w:val="00BC54E3"/>
    <w:rsid w:val="00BC5C88"/>
    <w:rsid w:val="00BC5EC3"/>
    <w:rsid w:val="00BC65B8"/>
    <w:rsid w:val="00BC67BA"/>
    <w:rsid w:val="00BC716B"/>
    <w:rsid w:val="00BC7357"/>
    <w:rsid w:val="00BC7866"/>
    <w:rsid w:val="00BD0673"/>
    <w:rsid w:val="00BD06A7"/>
    <w:rsid w:val="00BD0831"/>
    <w:rsid w:val="00BD0A1E"/>
    <w:rsid w:val="00BD0BFE"/>
    <w:rsid w:val="00BD0E3B"/>
    <w:rsid w:val="00BD1111"/>
    <w:rsid w:val="00BD11A2"/>
    <w:rsid w:val="00BD1761"/>
    <w:rsid w:val="00BD2314"/>
    <w:rsid w:val="00BD2DA4"/>
    <w:rsid w:val="00BD3466"/>
    <w:rsid w:val="00BD36D2"/>
    <w:rsid w:val="00BD380D"/>
    <w:rsid w:val="00BD3C6A"/>
    <w:rsid w:val="00BD3E58"/>
    <w:rsid w:val="00BD51F6"/>
    <w:rsid w:val="00BD562C"/>
    <w:rsid w:val="00BD5D00"/>
    <w:rsid w:val="00BD5E19"/>
    <w:rsid w:val="00BD6087"/>
    <w:rsid w:val="00BD60D5"/>
    <w:rsid w:val="00BD69E7"/>
    <w:rsid w:val="00BD6AA8"/>
    <w:rsid w:val="00BD70F6"/>
    <w:rsid w:val="00BD73A1"/>
    <w:rsid w:val="00BD74E0"/>
    <w:rsid w:val="00BD78C7"/>
    <w:rsid w:val="00BE0933"/>
    <w:rsid w:val="00BE0ABA"/>
    <w:rsid w:val="00BE0AE1"/>
    <w:rsid w:val="00BE12B0"/>
    <w:rsid w:val="00BE1853"/>
    <w:rsid w:val="00BE1EB0"/>
    <w:rsid w:val="00BE2845"/>
    <w:rsid w:val="00BE2BCB"/>
    <w:rsid w:val="00BE2E00"/>
    <w:rsid w:val="00BE2FF5"/>
    <w:rsid w:val="00BE32B8"/>
    <w:rsid w:val="00BE3985"/>
    <w:rsid w:val="00BE3E5F"/>
    <w:rsid w:val="00BE41AA"/>
    <w:rsid w:val="00BE4235"/>
    <w:rsid w:val="00BE4611"/>
    <w:rsid w:val="00BE4684"/>
    <w:rsid w:val="00BE525E"/>
    <w:rsid w:val="00BE5384"/>
    <w:rsid w:val="00BE58A6"/>
    <w:rsid w:val="00BE643B"/>
    <w:rsid w:val="00BE6692"/>
    <w:rsid w:val="00BE672B"/>
    <w:rsid w:val="00BE6815"/>
    <w:rsid w:val="00BE6914"/>
    <w:rsid w:val="00BE6B16"/>
    <w:rsid w:val="00BE6E70"/>
    <w:rsid w:val="00BE7035"/>
    <w:rsid w:val="00BE706A"/>
    <w:rsid w:val="00BE7472"/>
    <w:rsid w:val="00BE754F"/>
    <w:rsid w:val="00BE786C"/>
    <w:rsid w:val="00BE7AAD"/>
    <w:rsid w:val="00BE7ADC"/>
    <w:rsid w:val="00BE7EC3"/>
    <w:rsid w:val="00BF00D3"/>
    <w:rsid w:val="00BF01C0"/>
    <w:rsid w:val="00BF0771"/>
    <w:rsid w:val="00BF0AAD"/>
    <w:rsid w:val="00BF0AFC"/>
    <w:rsid w:val="00BF0F6A"/>
    <w:rsid w:val="00BF0FC5"/>
    <w:rsid w:val="00BF1298"/>
    <w:rsid w:val="00BF13E5"/>
    <w:rsid w:val="00BF1F01"/>
    <w:rsid w:val="00BF23BC"/>
    <w:rsid w:val="00BF2BCA"/>
    <w:rsid w:val="00BF3181"/>
    <w:rsid w:val="00BF3650"/>
    <w:rsid w:val="00BF3743"/>
    <w:rsid w:val="00BF3FD5"/>
    <w:rsid w:val="00BF4093"/>
    <w:rsid w:val="00BF4379"/>
    <w:rsid w:val="00BF43C7"/>
    <w:rsid w:val="00BF446D"/>
    <w:rsid w:val="00BF45E7"/>
    <w:rsid w:val="00BF547D"/>
    <w:rsid w:val="00BF58A7"/>
    <w:rsid w:val="00BF5964"/>
    <w:rsid w:val="00BF5998"/>
    <w:rsid w:val="00BF5C4B"/>
    <w:rsid w:val="00BF6146"/>
    <w:rsid w:val="00BF6237"/>
    <w:rsid w:val="00BF66BF"/>
    <w:rsid w:val="00BF6DAB"/>
    <w:rsid w:val="00BF6DEB"/>
    <w:rsid w:val="00BF7011"/>
    <w:rsid w:val="00BF71F3"/>
    <w:rsid w:val="00BF7374"/>
    <w:rsid w:val="00C0030A"/>
    <w:rsid w:val="00C0079C"/>
    <w:rsid w:val="00C00982"/>
    <w:rsid w:val="00C0203E"/>
    <w:rsid w:val="00C0265B"/>
    <w:rsid w:val="00C03113"/>
    <w:rsid w:val="00C03C8F"/>
    <w:rsid w:val="00C03CF4"/>
    <w:rsid w:val="00C04095"/>
    <w:rsid w:val="00C04D28"/>
    <w:rsid w:val="00C04E5A"/>
    <w:rsid w:val="00C05602"/>
    <w:rsid w:val="00C05771"/>
    <w:rsid w:val="00C066A3"/>
    <w:rsid w:val="00C07544"/>
    <w:rsid w:val="00C07A2B"/>
    <w:rsid w:val="00C07B75"/>
    <w:rsid w:val="00C101F1"/>
    <w:rsid w:val="00C102AB"/>
    <w:rsid w:val="00C10B2C"/>
    <w:rsid w:val="00C110E9"/>
    <w:rsid w:val="00C111B5"/>
    <w:rsid w:val="00C11ADC"/>
    <w:rsid w:val="00C11B63"/>
    <w:rsid w:val="00C11C12"/>
    <w:rsid w:val="00C123E0"/>
    <w:rsid w:val="00C125CF"/>
    <w:rsid w:val="00C12A78"/>
    <w:rsid w:val="00C12FCA"/>
    <w:rsid w:val="00C133B6"/>
    <w:rsid w:val="00C13AB1"/>
    <w:rsid w:val="00C13C07"/>
    <w:rsid w:val="00C13FC4"/>
    <w:rsid w:val="00C143F8"/>
    <w:rsid w:val="00C144B6"/>
    <w:rsid w:val="00C1478B"/>
    <w:rsid w:val="00C14FD9"/>
    <w:rsid w:val="00C15801"/>
    <w:rsid w:val="00C1625E"/>
    <w:rsid w:val="00C16277"/>
    <w:rsid w:val="00C165C5"/>
    <w:rsid w:val="00C1686D"/>
    <w:rsid w:val="00C168E1"/>
    <w:rsid w:val="00C16B27"/>
    <w:rsid w:val="00C171EB"/>
    <w:rsid w:val="00C179A4"/>
    <w:rsid w:val="00C17A8D"/>
    <w:rsid w:val="00C20025"/>
    <w:rsid w:val="00C201C6"/>
    <w:rsid w:val="00C20208"/>
    <w:rsid w:val="00C2048F"/>
    <w:rsid w:val="00C211DE"/>
    <w:rsid w:val="00C21544"/>
    <w:rsid w:val="00C2187A"/>
    <w:rsid w:val="00C21F19"/>
    <w:rsid w:val="00C2213C"/>
    <w:rsid w:val="00C22334"/>
    <w:rsid w:val="00C22906"/>
    <w:rsid w:val="00C22955"/>
    <w:rsid w:val="00C22DED"/>
    <w:rsid w:val="00C22DEF"/>
    <w:rsid w:val="00C23603"/>
    <w:rsid w:val="00C23C0C"/>
    <w:rsid w:val="00C23E03"/>
    <w:rsid w:val="00C24004"/>
    <w:rsid w:val="00C241DF"/>
    <w:rsid w:val="00C241F9"/>
    <w:rsid w:val="00C24287"/>
    <w:rsid w:val="00C2437E"/>
    <w:rsid w:val="00C2438B"/>
    <w:rsid w:val="00C243F5"/>
    <w:rsid w:val="00C25468"/>
    <w:rsid w:val="00C25C9A"/>
    <w:rsid w:val="00C261F3"/>
    <w:rsid w:val="00C262AD"/>
    <w:rsid w:val="00C26BE9"/>
    <w:rsid w:val="00C26F64"/>
    <w:rsid w:val="00C276FF"/>
    <w:rsid w:val="00C279C8"/>
    <w:rsid w:val="00C30847"/>
    <w:rsid w:val="00C30E34"/>
    <w:rsid w:val="00C30EA9"/>
    <w:rsid w:val="00C3127D"/>
    <w:rsid w:val="00C31652"/>
    <w:rsid w:val="00C31D36"/>
    <w:rsid w:val="00C327DB"/>
    <w:rsid w:val="00C33110"/>
    <w:rsid w:val="00C337AA"/>
    <w:rsid w:val="00C33991"/>
    <w:rsid w:val="00C3403C"/>
    <w:rsid w:val="00C34491"/>
    <w:rsid w:val="00C344E9"/>
    <w:rsid w:val="00C3455E"/>
    <w:rsid w:val="00C34874"/>
    <w:rsid w:val="00C349FD"/>
    <w:rsid w:val="00C34A35"/>
    <w:rsid w:val="00C34D87"/>
    <w:rsid w:val="00C34E04"/>
    <w:rsid w:val="00C34FCD"/>
    <w:rsid w:val="00C3512D"/>
    <w:rsid w:val="00C35431"/>
    <w:rsid w:val="00C35D9D"/>
    <w:rsid w:val="00C35E9F"/>
    <w:rsid w:val="00C3611E"/>
    <w:rsid w:val="00C36242"/>
    <w:rsid w:val="00C3642A"/>
    <w:rsid w:val="00C36541"/>
    <w:rsid w:val="00C36577"/>
    <w:rsid w:val="00C3726E"/>
    <w:rsid w:val="00C37759"/>
    <w:rsid w:val="00C379DD"/>
    <w:rsid w:val="00C37AE1"/>
    <w:rsid w:val="00C37EF4"/>
    <w:rsid w:val="00C407D8"/>
    <w:rsid w:val="00C40ABF"/>
    <w:rsid w:val="00C40EA2"/>
    <w:rsid w:val="00C41574"/>
    <w:rsid w:val="00C416BE"/>
    <w:rsid w:val="00C4193E"/>
    <w:rsid w:val="00C41AF6"/>
    <w:rsid w:val="00C41C97"/>
    <w:rsid w:val="00C42286"/>
    <w:rsid w:val="00C427C4"/>
    <w:rsid w:val="00C42844"/>
    <w:rsid w:val="00C42EC9"/>
    <w:rsid w:val="00C43C2C"/>
    <w:rsid w:val="00C4464D"/>
    <w:rsid w:val="00C44AFC"/>
    <w:rsid w:val="00C44B2A"/>
    <w:rsid w:val="00C44F78"/>
    <w:rsid w:val="00C450B0"/>
    <w:rsid w:val="00C45154"/>
    <w:rsid w:val="00C459CF"/>
    <w:rsid w:val="00C45A07"/>
    <w:rsid w:val="00C45C3E"/>
    <w:rsid w:val="00C45DE8"/>
    <w:rsid w:val="00C46035"/>
    <w:rsid w:val="00C46309"/>
    <w:rsid w:val="00C4635A"/>
    <w:rsid w:val="00C4648D"/>
    <w:rsid w:val="00C46B9F"/>
    <w:rsid w:val="00C475F6"/>
    <w:rsid w:val="00C476B5"/>
    <w:rsid w:val="00C47AD5"/>
    <w:rsid w:val="00C509BE"/>
    <w:rsid w:val="00C50F69"/>
    <w:rsid w:val="00C51208"/>
    <w:rsid w:val="00C515A5"/>
    <w:rsid w:val="00C517DD"/>
    <w:rsid w:val="00C51811"/>
    <w:rsid w:val="00C5197D"/>
    <w:rsid w:val="00C52268"/>
    <w:rsid w:val="00C52513"/>
    <w:rsid w:val="00C5262C"/>
    <w:rsid w:val="00C52C44"/>
    <w:rsid w:val="00C53088"/>
    <w:rsid w:val="00C53256"/>
    <w:rsid w:val="00C53C2D"/>
    <w:rsid w:val="00C53CC9"/>
    <w:rsid w:val="00C5400F"/>
    <w:rsid w:val="00C545F4"/>
    <w:rsid w:val="00C54742"/>
    <w:rsid w:val="00C54ACC"/>
    <w:rsid w:val="00C54FCA"/>
    <w:rsid w:val="00C55193"/>
    <w:rsid w:val="00C5519E"/>
    <w:rsid w:val="00C55208"/>
    <w:rsid w:val="00C55450"/>
    <w:rsid w:val="00C556CD"/>
    <w:rsid w:val="00C55999"/>
    <w:rsid w:val="00C55C76"/>
    <w:rsid w:val="00C55C90"/>
    <w:rsid w:val="00C55CF6"/>
    <w:rsid w:val="00C55E7F"/>
    <w:rsid w:val="00C55FBF"/>
    <w:rsid w:val="00C5617C"/>
    <w:rsid w:val="00C56292"/>
    <w:rsid w:val="00C56A1E"/>
    <w:rsid w:val="00C56F42"/>
    <w:rsid w:val="00C574DA"/>
    <w:rsid w:val="00C574E2"/>
    <w:rsid w:val="00C5771C"/>
    <w:rsid w:val="00C6026D"/>
    <w:rsid w:val="00C605A3"/>
    <w:rsid w:val="00C60E5F"/>
    <w:rsid w:val="00C60FA8"/>
    <w:rsid w:val="00C610E6"/>
    <w:rsid w:val="00C611E1"/>
    <w:rsid w:val="00C61401"/>
    <w:rsid w:val="00C61A11"/>
    <w:rsid w:val="00C61AF7"/>
    <w:rsid w:val="00C61CFC"/>
    <w:rsid w:val="00C61E92"/>
    <w:rsid w:val="00C62421"/>
    <w:rsid w:val="00C62746"/>
    <w:rsid w:val="00C62801"/>
    <w:rsid w:val="00C628E9"/>
    <w:rsid w:val="00C6290A"/>
    <w:rsid w:val="00C63638"/>
    <w:rsid w:val="00C63873"/>
    <w:rsid w:val="00C63D46"/>
    <w:rsid w:val="00C63F19"/>
    <w:rsid w:val="00C6462F"/>
    <w:rsid w:val="00C64731"/>
    <w:rsid w:val="00C65014"/>
    <w:rsid w:val="00C651BA"/>
    <w:rsid w:val="00C652D0"/>
    <w:rsid w:val="00C65546"/>
    <w:rsid w:val="00C656DF"/>
    <w:rsid w:val="00C656E5"/>
    <w:rsid w:val="00C65809"/>
    <w:rsid w:val="00C65B4A"/>
    <w:rsid w:val="00C65C5D"/>
    <w:rsid w:val="00C66757"/>
    <w:rsid w:val="00C6680D"/>
    <w:rsid w:val="00C6682C"/>
    <w:rsid w:val="00C66B8F"/>
    <w:rsid w:val="00C66C61"/>
    <w:rsid w:val="00C671D2"/>
    <w:rsid w:val="00C672C1"/>
    <w:rsid w:val="00C6759A"/>
    <w:rsid w:val="00C678E4"/>
    <w:rsid w:val="00C67B7F"/>
    <w:rsid w:val="00C702E7"/>
    <w:rsid w:val="00C7030D"/>
    <w:rsid w:val="00C70899"/>
    <w:rsid w:val="00C70A24"/>
    <w:rsid w:val="00C70A40"/>
    <w:rsid w:val="00C70D1B"/>
    <w:rsid w:val="00C70DFA"/>
    <w:rsid w:val="00C714FB"/>
    <w:rsid w:val="00C7190C"/>
    <w:rsid w:val="00C71F1E"/>
    <w:rsid w:val="00C71F98"/>
    <w:rsid w:val="00C729A3"/>
    <w:rsid w:val="00C73183"/>
    <w:rsid w:val="00C73237"/>
    <w:rsid w:val="00C73538"/>
    <w:rsid w:val="00C735A1"/>
    <w:rsid w:val="00C73904"/>
    <w:rsid w:val="00C73BDD"/>
    <w:rsid w:val="00C73CEF"/>
    <w:rsid w:val="00C73F60"/>
    <w:rsid w:val="00C7435C"/>
    <w:rsid w:val="00C7472B"/>
    <w:rsid w:val="00C75134"/>
    <w:rsid w:val="00C75382"/>
    <w:rsid w:val="00C7559C"/>
    <w:rsid w:val="00C755CF"/>
    <w:rsid w:val="00C75999"/>
    <w:rsid w:val="00C759C7"/>
    <w:rsid w:val="00C7627C"/>
    <w:rsid w:val="00C76454"/>
    <w:rsid w:val="00C76480"/>
    <w:rsid w:val="00C76A31"/>
    <w:rsid w:val="00C7708D"/>
    <w:rsid w:val="00C773DB"/>
    <w:rsid w:val="00C77559"/>
    <w:rsid w:val="00C77969"/>
    <w:rsid w:val="00C77A0B"/>
    <w:rsid w:val="00C77B10"/>
    <w:rsid w:val="00C77B97"/>
    <w:rsid w:val="00C77D7C"/>
    <w:rsid w:val="00C80040"/>
    <w:rsid w:val="00C8095E"/>
    <w:rsid w:val="00C814FF"/>
    <w:rsid w:val="00C815AA"/>
    <w:rsid w:val="00C816F0"/>
    <w:rsid w:val="00C8178E"/>
    <w:rsid w:val="00C8196B"/>
    <w:rsid w:val="00C819EA"/>
    <w:rsid w:val="00C81CEF"/>
    <w:rsid w:val="00C81DCC"/>
    <w:rsid w:val="00C81E9A"/>
    <w:rsid w:val="00C82482"/>
    <w:rsid w:val="00C82744"/>
    <w:rsid w:val="00C827C5"/>
    <w:rsid w:val="00C8283A"/>
    <w:rsid w:val="00C829F9"/>
    <w:rsid w:val="00C82C1F"/>
    <w:rsid w:val="00C83477"/>
    <w:rsid w:val="00C83AB5"/>
    <w:rsid w:val="00C83AC5"/>
    <w:rsid w:val="00C83C46"/>
    <w:rsid w:val="00C843CD"/>
    <w:rsid w:val="00C84583"/>
    <w:rsid w:val="00C84AB4"/>
    <w:rsid w:val="00C84F7A"/>
    <w:rsid w:val="00C85075"/>
    <w:rsid w:val="00C8541D"/>
    <w:rsid w:val="00C85491"/>
    <w:rsid w:val="00C85883"/>
    <w:rsid w:val="00C85D70"/>
    <w:rsid w:val="00C85E0C"/>
    <w:rsid w:val="00C85E13"/>
    <w:rsid w:val="00C85F66"/>
    <w:rsid w:val="00C85F94"/>
    <w:rsid w:val="00C86AC6"/>
    <w:rsid w:val="00C87216"/>
    <w:rsid w:val="00C875E6"/>
    <w:rsid w:val="00C87860"/>
    <w:rsid w:val="00C878A6"/>
    <w:rsid w:val="00C879AB"/>
    <w:rsid w:val="00C87A10"/>
    <w:rsid w:val="00C87AEC"/>
    <w:rsid w:val="00C87DE0"/>
    <w:rsid w:val="00C87FA9"/>
    <w:rsid w:val="00C87FEB"/>
    <w:rsid w:val="00C90167"/>
    <w:rsid w:val="00C903F4"/>
    <w:rsid w:val="00C90883"/>
    <w:rsid w:val="00C90E05"/>
    <w:rsid w:val="00C90E41"/>
    <w:rsid w:val="00C91688"/>
    <w:rsid w:val="00C916EC"/>
    <w:rsid w:val="00C91DBF"/>
    <w:rsid w:val="00C92162"/>
    <w:rsid w:val="00C92602"/>
    <w:rsid w:val="00C926A3"/>
    <w:rsid w:val="00C92704"/>
    <w:rsid w:val="00C927DC"/>
    <w:rsid w:val="00C929B5"/>
    <w:rsid w:val="00C92B2D"/>
    <w:rsid w:val="00C92D2F"/>
    <w:rsid w:val="00C92F46"/>
    <w:rsid w:val="00C92F4E"/>
    <w:rsid w:val="00C936E8"/>
    <w:rsid w:val="00C93CD8"/>
    <w:rsid w:val="00C940D1"/>
    <w:rsid w:val="00C941D4"/>
    <w:rsid w:val="00C94605"/>
    <w:rsid w:val="00C94BEB"/>
    <w:rsid w:val="00C95636"/>
    <w:rsid w:val="00C9563F"/>
    <w:rsid w:val="00C96300"/>
    <w:rsid w:val="00C96725"/>
    <w:rsid w:val="00C96E3E"/>
    <w:rsid w:val="00C97135"/>
    <w:rsid w:val="00C9719A"/>
    <w:rsid w:val="00C97321"/>
    <w:rsid w:val="00C976DA"/>
    <w:rsid w:val="00C97921"/>
    <w:rsid w:val="00C9794D"/>
    <w:rsid w:val="00C97A99"/>
    <w:rsid w:val="00C97AE6"/>
    <w:rsid w:val="00C97F55"/>
    <w:rsid w:val="00CA0848"/>
    <w:rsid w:val="00CA08FA"/>
    <w:rsid w:val="00CA0B54"/>
    <w:rsid w:val="00CA0CE4"/>
    <w:rsid w:val="00CA0FBA"/>
    <w:rsid w:val="00CA1042"/>
    <w:rsid w:val="00CA1045"/>
    <w:rsid w:val="00CA11D1"/>
    <w:rsid w:val="00CA11FA"/>
    <w:rsid w:val="00CA16BC"/>
    <w:rsid w:val="00CA16E9"/>
    <w:rsid w:val="00CA1775"/>
    <w:rsid w:val="00CA1813"/>
    <w:rsid w:val="00CA1861"/>
    <w:rsid w:val="00CA1A05"/>
    <w:rsid w:val="00CA1B74"/>
    <w:rsid w:val="00CA1C15"/>
    <w:rsid w:val="00CA1F26"/>
    <w:rsid w:val="00CA2087"/>
    <w:rsid w:val="00CA2827"/>
    <w:rsid w:val="00CA2851"/>
    <w:rsid w:val="00CA2A9C"/>
    <w:rsid w:val="00CA3160"/>
    <w:rsid w:val="00CA320A"/>
    <w:rsid w:val="00CA3254"/>
    <w:rsid w:val="00CA38F9"/>
    <w:rsid w:val="00CA3AC6"/>
    <w:rsid w:val="00CA3CE4"/>
    <w:rsid w:val="00CA3E9C"/>
    <w:rsid w:val="00CA4147"/>
    <w:rsid w:val="00CA42B0"/>
    <w:rsid w:val="00CA4376"/>
    <w:rsid w:val="00CA454B"/>
    <w:rsid w:val="00CA45B8"/>
    <w:rsid w:val="00CA4A90"/>
    <w:rsid w:val="00CA4BE8"/>
    <w:rsid w:val="00CA5274"/>
    <w:rsid w:val="00CA5396"/>
    <w:rsid w:val="00CA53E4"/>
    <w:rsid w:val="00CA5544"/>
    <w:rsid w:val="00CA5E11"/>
    <w:rsid w:val="00CA6189"/>
    <w:rsid w:val="00CA621D"/>
    <w:rsid w:val="00CA657C"/>
    <w:rsid w:val="00CA6BA5"/>
    <w:rsid w:val="00CA6CEA"/>
    <w:rsid w:val="00CA6F10"/>
    <w:rsid w:val="00CA7B3A"/>
    <w:rsid w:val="00CA7DC6"/>
    <w:rsid w:val="00CA7F35"/>
    <w:rsid w:val="00CB086A"/>
    <w:rsid w:val="00CB116F"/>
    <w:rsid w:val="00CB1191"/>
    <w:rsid w:val="00CB18E4"/>
    <w:rsid w:val="00CB1C1B"/>
    <w:rsid w:val="00CB20E1"/>
    <w:rsid w:val="00CB2687"/>
    <w:rsid w:val="00CB2729"/>
    <w:rsid w:val="00CB2944"/>
    <w:rsid w:val="00CB29EE"/>
    <w:rsid w:val="00CB2A5C"/>
    <w:rsid w:val="00CB2A77"/>
    <w:rsid w:val="00CB2EA1"/>
    <w:rsid w:val="00CB3137"/>
    <w:rsid w:val="00CB33CD"/>
    <w:rsid w:val="00CB378A"/>
    <w:rsid w:val="00CB3902"/>
    <w:rsid w:val="00CB3BEB"/>
    <w:rsid w:val="00CB3D81"/>
    <w:rsid w:val="00CB4410"/>
    <w:rsid w:val="00CB4EBD"/>
    <w:rsid w:val="00CB5051"/>
    <w:rsid w:val="00CB5642"/>
    <w:rsid w:val="00CB57B3"/>
    <w:rsid w:val="00CB58CF"/>
    <w:rsid w:val="00CB5A33"/>
    <w:rsid w:val="00CB5CB2"/>
    <w:rsid w:val="00CB5E61"/>
    <w:rsid w:val="00CB6003"/>
    <w:rsid w:val="00CB67AF"/>
    <w:rsid w:val="00CB69E6"/>
    <w:rsid w:val="00CB744D"/>
    <w:rsid w:val="00CC021B"/>
    <w:rsid w:val="00CC05A3"/>
    <w:rsid w:val="00CC0C03"/>
    <w:rsid w:val="00CC0E01"/>
    <w:rsid w:val="00CC0E43"/>
    <w:rsid w:val="00CC1306"/>
    <w:rsid w:val="00CC1314"/>
    <w:rsid w:val="00CC1811"/>
    <w:rsid w:val="00CC1CB2"/>
    <w:rsid w:val="00CC1D93"/>
    <w:rsid w:val="00CC1EB8"/>
    <w:rsid w:val="00CC1EC8"/>
    <w:rsid w:val="00CC23C7"/>
    <w:rsid w:val="00CC24B9"/>
    <w:rsid w:val="00CC2B0E"/>
    <w:rsid w:val="00CC2BB4"/>
    <w:rsid w:val="00CC3785"/>
    <w:rsid w:val="00CC38C5"/>
    <w:rsid w:val="00CC3A40"/>
    <w:rsid w:val="00CC3D49"/>
    <w:rsid w:val="00CC3E1D"/>
    <w:rsid w:val="00CC43D9"/>
    <w:rsid w:val="00CC4714"/>
    <w:rsid w:val="00CC4856"/>
    <w:rsid w:val="00CC49DC"/>
    <w:rsid w:val="00CC4A82"/>
    <w:rsid w:val="00CC5192"/>
    <w:rsid w:val="00CC526A"/>
    <w:rsid w:val="00CC538C"/>
    <w:rsid w:val="00CC5448"/>
    <w:rsid w:val="00CC618D"/>
    <w:rsid w:val="00CC6316"/>
    <w:rsid w:val="00CC64B2"/>
    <w:rsid w:val="00CC6A9D"/>
    <w:rsid w:val="00CC71A6"/>
    <w:rsid w:val="00CC7671"/>
    <w:rsid w:val="00CC7951"/>
    <w:rsid w:val="00CC7B52"/>
    <w:rsid w:val="00CC7B6D"/>
    <w:rsid w:val="00CD0BDF"/>
    <w:rsid w:val="00CD0F0A"/>
    <w:rsid w:val="00CD1618"/>
    <w:rsid w:val="00CD16A5"/>
    <w:rsid w:val="00CD17A9"/>
    <w:rsid w:val="00CD17B1"/>
    <w:rsid w:val="00CD1C7B"/>
    <w:rsid w:val="00CD2051"/>
    <w:rsid w:val="00CD227B"/>
    <w:rsid w:val="00CD22B2"/>
    <w:rsid w:val="00CD2873"/>
    <w:rsid w:val="00CD2C09"/>
    <w:rsid w:val="00CD2EA6"/>
    <w:rsid w:val="00CD3EEC"/>
    <w:rsid w:val="00CD4263"/>
    <w:rsid w:val="00CD43B1"/>
    <w:rsid w:val="00CD45C2"/>
    <w:rsid w:val="00CD4961"/>
    <w:rsid w:val="00CD4C00"/>
    <w:rsid w:val="00CD5D2A"/>
    <w:rsid w:val="00CD65BE"/>
    <w:rsid w:val="00CD6890"/>
    <w:rsid w:val="00CD707B"/>
    <w:rsid w:val="00CD720E"/>
    <w:rsid w:val="00CD7633"/>
    <w:rsid w:val="00CD76CE"/>
    <w:rsid w:val="00CD789C"/>
    <w:rsid w:val="00CD7C11"/>
    <w:rsid w:val="00CD7C53"/>
    <w:rsid w:val="00CD7C75"/>
    <w:rsid w:val="00CE053F"/>
    <w:rsid w:val="00CE055B"/>
    <w:rsid w:val="00CE06A3"/>
    <w:rsid w:val="00CE0921"/>
    <w:rsid w:val="00CE0B49"/>
    <w:rsid w:val="00CE11B8"/>
    <w:rsid w:val="00CE1258"/>
    <w:rsid w:val="00CE1783"/>
    <w:rsid w:val="00CE19E1"/>
    <w:rsid w:val="00CE1A31"/>
    <w:rsid w:val="00CE1A76"/>
    <w:rsid w:val="00CE1E09"/>
    <w:rsid w:val="00CE1EFB"/>
    <w:rsid w:val="00CE2010"/>
    <w:rsid w:val="00CE22C1"/>
    <w:rsid w:val="00CE2A91"/>
    <w:rsid w:val="00CE2BBE"/>
    <w:rsid w:val="00CE2E98"/>
    <w:rsid w:val="00CE306E"/>
    <w:rsid w:val="00CE3225"/>
    <w:rsid w:val="00CE33D5"/>
    <w:rsid w:val="00CE3E9A"/>
    <w:rsid w:val="00CE3ED3"/>
    <w:rsid w:val="00CE4506"/>
    <w:rsid w:val="00CE4990"/>
    <w:rsid w:val="00CE4AD2"/>
    <w:rsid w:val="00CE4D78"/>
    <w:rsid w:val="00CE4F9C"/>
    <w:rsid w:val="00CE5637"/>
    <w:rsid w:val="00CE582C"/>
    <w:rsid w:val="00CE5F10"/>
    <w:rsid w:val="00CE5F57"/>
    <w:rsid w:val="00CE64D1"/>
    <w:rsid w:val="00CE66AC"/>
    <w:rsid w:val="00CE68E9"/>
    <w:rsid w:val="00CE68FA"/>
    <w:rsid w:val="00CE695F"/>
    <w:rsid w:val="00CE6B60"/>
    <w:rsid w:val="00CE6D64"/>
    <w:rsid w:val="00CE7646"/>
    <w:rsid w:val="00CF040E"/>
    <w:rsid w:val="00CF05E8"/>
    <w:rsid w:val="00CF1127"/>
    <w:rsid w:val="00CF1B9C"/>
    <w:rsid w:val="00CF1F10"/>
    <w:rsid w:val="00CF1F70"/>
    <w:rsid w:val="00CF2098"/>
    <w:rsid w:val="00CF22FE"/>
    <w:rsid w:val="00CF238A"/>
    <w:rsid w:val="00CF2816"/>
    <w:rsid w:val="00CF287F"/>
    <w:rsid w:val="00CF33A6"/>
    <w:rsid w:val="00CF3996"/>
    <w:rsid w:val="00CF3B1C"/>
    <w:rsid w:val="00CF3B73"/>
    <w:rsid w:val="00CF3C77"/>
    <w:rsid w:val="00CF3DFF"/>
    <w:rsid w:val="00CF3E97"/>
    <w:rsid w:val="00CF4270"/>
    <w:rsid w:val="00CF42E0"/>
    <w:rsid w:val="00CF4399"/>
    <w:rsid w:val="00CF454C"/>
    <w:rsid w:val="00CF470F"/>
    <w:rsid w:val="00CF48E7"/>
    <w:rsid w:val="00CF4D7D"/>
    <w:rsid w:val="00CF5087"/>
    <w:rsid w:val="00CF52D5"/>
    <w:rsid w:val="00CF537B"/>
    <w:rsid w:val="00CF5791"/>
    <w:rsid w:val="00CF6057"/>
    <w:rsid w:val="00CF669E"/>
    <w:rsid w:val="00CF6A23"/>
    <w:rsid w:val="00CF71E4"/>
    <w:rsid w:val="00CF7936"/>
    <w:rsid w:val="00CF7A67"/>
    <w:rsid w:val="00CF7D47"/>
    <w:rsid w:val="00CF7DC6"/>
    <w:rsid w:val="00D006A1"/>
    <w:rsid w:val="00D007FC"/>
    <w:rsid w:val="00D00C5C"/>
    <w:rsid w:val="00D00F4A"/>
    <w:rsid w:val="00D010AC"/>
    <w:rsid w:val="00D011C2"/>
    <w:rsid w:val="00D013F1"/>
    <w:rsid w:val="00D0141B"/>
    <w:rsid w:val="00D016CA"/>
    <w:rsid w:val="00D01918"/>
    <w:rsid w:val="00D01B8C"/>
    <w:rsid w:val="00D026FE"/>
    <w:rsid w:val="00D02709"/>
    <w:rsid w:val="00D0286B"/>
    <w:rsid w:val="00D028A2"/>
    <w:rsid w:val="00D029A6"/>
    <w:rsid w:val="00D02E68"/>
    <w:rsid w:val="00D038CF"/>
    <w:rsid w:val="00D03C4A"/>
    <w:rsid w:val="00D03DFA"/>
    <w:rsid w:val="00D04180"/>
    <w:rsid w:val="00D04241"/>
    <w:rsid w:val="00D048E5"/>
    <w:rsid w:val="00D04936"/>
    <w:rsid w:val="00D04C7E"/>
    <w:rsid w:val="00D05183"/>
    <w:rsid w:val="00D05194"/>
    <w:rsid w:val="00D0539B"/>
    <w:rsid w:val="00D05726"/>
    <w:rsid w:val="00D059DD"/>
    <w:rsid w:val="00D05A81"/>
    <w:rsid w:val="00D06112"/>
    <w:rsid w:val="00D064CB"/>
    <w:rsid w:val="00D064FC"/>
    <w:rsid w:val="00D06E1E"/>
    <w:rsid w:val="00D06E6C"/>
    <w:rsid w:val="00D07AAC"/>
    <w:rsid w:val="00D07E1C"/>
    <w:rsid w:val="00D10109"/>
    <w:rsid w:val="00D1011C"/>
    <w:rsid w:val="00D10478"/>
    <w:rsid w:val="00D1052E"/>
    <w:rsid w:val="00D10537"/>
    <w:rsid w:val="00D10745"/>
    <w:rsid w:val="00D10763"/>
    <w:rsid w:val="00D10D3E"/>
    <w:rsid w:val="00D11C9E"/>
    <w:rsid w:val="00D11CCB"/>
    <w:rsid w:val="00D1224B"/>
    <w:rsid w:val="00D1243F"/>
    <w:rsid w:val="00D12633"/>
    <w:rsid w:val="00D129AB"/>
    <w:rsid w:val="00D13087"/>
    <w:rsid w:val="00D13148"/>
    <w:rsid w:val="00D13588"/>
    <w:rsid w:val="00D13C79"/>
    <w:rsid w:val="00D13D20"/>
    <w:rsid w:val="00D14006"/>
    <w:rsid w:val="00D140C0"/>
    <w:rsid w:val="00D143F9"/>
    <w:rsid w:val="00D14613"/>
    <w:rsid w:val="00D14A26"/>
    <w:rsid w:val="00D1534B"/>
    <w:rsid w:val="00D15497"/>
    <w:rsid w:val="00D15724"/>
    <w:rsid w:val="00D15B86"/>
    <w:rsid w:val="00D15C91"/>
    <w:rsid w:val="00D160AA"/>
    <w:rsid w:val="00D1625F"/>
    <w:rsid w:val="00D17170"/>
    <w:rsid w:val="00D1737E"/>
    <w:rsid w:val="00D173D4"/>
    <w:rsid w:val="00D17482"/>
    <w:rsid w:val="00D176CB"/>
    <w:rsid w:val="00D17B31"/>
    <w:rsid w:val="00D17C12"/>
    <w:rsid w:val="00D17C9C"/>
    <w:rsid w:val="00D20089"/>
    <w:rsid w:val="00D20096"/>
    <w:rsid w:val="00D206EC"/>
    <w:rsid w:val="00D208F8"/>
    <w:rsid w:val="00D20D3D"/>
    <w:rsid w:val="00D20E3B"/>
    <w:rsid w:val="00D21340"/>
    <w:rsid w:val="00D21443"/>
    <w:rsid w:val="00D2226A"/>
    <w:rsid w:val="00D2241D"/>
    <w:rsid w:val="00D22C06"/>
    <w:rsid w:val="00D22F43"/>
    <w:rsid w:val="00D23282"/>
    <w:rsid w:val="00D232A6"/>
    <w:rsid w:val="00D23837"/>
    <w:rsid w:val="00D239B1"/>
    <w:rsid w:val="00D23A11"/>
    <w:rsid w:val="00D23C00"/>
    <w:rsid w:val="00D24471"/>
    <w:rsid w:val="00D24829"/>
    <w:rsid w:val="00D259D6"/>
    <w:rsid w:val="00D25A0A"/>
    <w:rsid w:val="00D25F0F"/>
    <w:rsid w:val="00D26022"/>
    <w:rsid w:val="00D2661D"/>
    <w:rsid w:val="00D2690D"/>
    <w:rsid w:val="00D27992"/>
    <w:rsid w:val="00D27A53"/>
    <w:rsid w:val="00D27A6B"/>
    <w:rsid w:val="00D27B48"/>
    <w:rsid w:val="00D27B4E"/>
    <w:rsid w:val="00D3009C"/>
    <w:rsid w:val="00D3033D"/>
    <w:rsid w:val="00D304CA"/>
    <w:rsid w:val="00D30605"/>
    <w:rsid w:val="00D30C4B"/>
    <w:rsid w:val="00D3193D"/>
    <w:rsid w:val="00D31CBA"/>
    <w:rsid w:val="00D31E0C"/>
    <w:rsid w:val="00D32632"/>
    <w:rsid w:val="00D32D37"/>
    <w:rsid w:val="00D33096"/>
    <w:rsid w:val="00D3321D"/>
    <w:rsid w:val="00D33442"/>
    <w:rsid w:val="00D3389D"/>
    <w:rsid w:val="00D339F5"/>
    <w:rsid w:val="00D33C7C"/>
    <w:rsid w:val="00D340FB"/>
    <w:rsid w:val="00D34255"/>
    <w:rsid w:val="00D342AB"/>
    <w:rsid w:val="00D342C7"/>
    <w:rsid w:val="00D34400"/>
    <w:rsid w:val="00D34814"/>
    <w:rsid w:val="00D34A0A"/>
    <w:rsid w:val="00D34C60"/>
    <w:rsid w:val="00D34CDA"/>
    <w:rsid w:val="00D34EF4"/>
    <w:rsid w:val="00D35E80"/>
    <w:rsid w:val="00D36712"/>
    <w:rsid w:val="00D3681A"/>
    <w:rsid w:val="00D36878"/>
    <w:rsid w:val="00D36D79"/>
    <w:rsid w:val="00D36DC0"/>
    <w:rsid w:val="00D36EEF"/>
    <w:rsid w:val="00D3737C"/>
    <w:rsid w:val="00D37476"/>
    <w:rsid w:val="00D3770A"/>
    <w:rsid w:val="00D37755"/>
    <w:rsid w:val="00D377AD"/>
    <w:rsid w:val="00D378AB"/>
    <w:rsid w:val="00D378FE"/>
    <w:rsid w:val="00D40B2C"/>
    <w:rsid w:val="00D4109F"/>
    <w:rsid w:val="00D4120F"/>
    <w:rsid w:val="00D412AB"/>
    <w:rsid w:val="00D41678"/>
    <w:rsid w:val="00D41867"/>
    <w:rsid w:val="00D41C56"/>
    <w:rsid w:val="00D41F24"/>
    <w:rsid w:val="00D423DE"/>
    <w:rsid w:val="00D4287C"/>
    <w:rsid w:val="00D428A7"/>
    <w:rsid w:val="00D42940"/>
    <w:rsid w:val="00D42AD0"/>
    <w:rsid w:val="00D42B70"/>
    <w:rsid w:val="00D430CF"/>
    <w:rsid w:val="00D4310B"/>
    <w:rsid w:val="00D4449A"/>
    <w:rsid w:val="00D444BE"/>
    <w:rsid w:val="00D444C2"/>
    <w:rsid w:val="00D44AA6"/>
    <w:rsid w:val="00D44E44"/>
    <w:rsid w:val="00D44FD9"/>
    <w:rsid w:val="00D4505D"/>
    <w:rsid w:val="00D451C0"/>
    <w:rsid w:val="00D45D24"/>
    <w:rsid w:val="00D45E9A"/>
    <w:rsid w:val="00D462E6"/>
    <w:rsid w:val="00D46665"/>
    <w:rsid w:val="00D46C5B"/>
    <w:rsid w:val="00D47099"/>
    <w:rsid w:val="00D470A4"/>
    <w:rsid w:val="00D47126"/>
    <w:rsid w:val="00D473DF"/>
    <w:rsid w:val="00D478CA"/>
    <w:rsid w:val="00D47B7B"/>
    <w:rsid w:val="00D47F84"/>
    <w:rsid w:val="00D5019F"/>
    <w:rsid w:val="00D50FB0"/>
    <w:rsid w:val="00D511D5"/>
    <w:rsid w:val="00D512CF"/>
    <w:rsid w:val="00D5137C"/>
    <w:rsid w:val="00D5142E"/>
    <w:rsid w:val="00D51B73"/>
    <w:rsid w:val="00D51E8C"/>
    <w:rsid w:val="00D51F48"/>
    <w:rsid w:val="00D52E64"/>
    <w:rsid w:val="00D52FB5"/>
    <w:rsid w:val="00D53027"/>
    <w:rsid w:val="00D5302D"/>
    <w:rsid w:val="00D532DE"/>
    <w:rsid w:val="00D5338E"/>
    <w:rsid w:val="00D5343F"/>
    <w:rsid w:val="00D5376E"/>
    <w:rsid w:val="00D53F51"/>
    <w:rsid w:val="00D546BC"/>
    <w:rsid w:val="00D549AC"/>
    <w:rsid w:val="00D54E37"/>
    <w:rsid w:val="00D55268"/>
    <w:rsid w:val="00D5548B"/>
    <w:rsid w:val="00D55909"/>
    <w:rsid w:val="00D55914"/>
    <w:rsid w:val="00D55CF9"/>
    <w:rsid w:val="00D55D00"/>
    <w:rsid w:val="00D56218"/>
    <w:rsid w:val="00D564F8"/>
    <w:rsid w:val="00D56560"/>
    <w:rsid w:val="00D56880"/>
    <w:rsid w:val="00D56AB1"/>
    <w:rsid w:val="00D56CBD"/>
    <w:rsid w:val="00D56DDE"/>
    <w:rsid w:val="00D56E85"/>
    <w:rsid w:val="00D57A02"/>
    <w:rsid w:val="00D57CD9"/>
    <w:rsid w:val="00D600BE"/>
    <w:rsid w:val="00D6066E"/>
    <w:rsid w:val="00D60995"/>
    <w:rsid w:val="00D6144F"/>
    <w:rsid w:val="00D61572"/>
    <w:rsid w:val="00D618EF"/>
    <w:rsid w:val="00D61B88"/>
    <w:rsid w:val="00D61C9D"/>
    <w:rsid w:val="00D61D8D"/>
    <w:rsid w:val="00D621A6"/>
    <w:rsid w:val="00D6241F"/>
    <w:rsid w:val="00D62848"/>
    <w:rsid w:val="00D62B4B"/>
    <w:rsid w:val="00D63158"/>
    <w:rsid w:val="00D631BE"/>
    <w:rsid w:val="00D633AC"/>
    <w:rsid w:val="00D634E2"/>
    <w:rsid w:val="00D63600"/>
    <w:rsid w:val="00D63960"/>
    <w:rsid w:val="00D63E41"/>
    <w:rsid w:val="00D64957"/>
    <w:rsid w:val="00D64C13"/>
    <w:rsid w:val="00D64EF2"/>
    <w:rsid w:val="00D65219"/>
    <w:rsid w:val="00D65386"/>
    <w:rsid w:val="00D65561"/>
    <w:rsid w:val="00D65A19"/>
    <w:rsid w:val="00D65F3D"/>
    <w:rsid w:val="00D66291"/>
    <w:rsid w:val="00D662E8"/>
    <w:rsid w:val="00D667BA"/>
    <w:rsid w:val="00D66D80"/>
    <w:rsid w:val="00D66FC6"/>
    <w:rsid w:val="00D67BB5"/>
    <w:rsid w:val="00D67CFB"/>
    <w:rsid w:val="00D67F2D"/>
    <w:rsid w:val="00D706DA"/>
    <w:rsid w:val="00D70FE9"/>
    <w:rsid w:val="00D712B9"/>
    <w:rsid w:val="00D7169B"/>
    <w:rsid w:val="00D7237B"/>
    <w:rsid w:val="00D72D71"/>
    <w:rsid w:val="00D72DC8"/>
    <w:rsid w:val="00D730AE"/>
    <w:rsid w:val="00D73711"/>
    <w:rsid w:val="00D7371D"/>
    <w:rsid w:val="00D738B0"/>
    <w:rsid w:val="00D739EB"/>
    <w:rsid w:val="00D73BBE"/>
    <w:rsid w:val="00D73CCE"/>
    <w:rsid w:val="00D73E06"/>
    <w:rsid w:val="00D7420C"/>
    <w:rsid w:val="00D74707"/>
    <w:rsid w:val="00D74C31"/>
    <w:rsid w:val="00D74D28"/>
    <w:rsid w:val="00D74E43"/>
    <w:rsid w:val="00D7505C"/>
    <w:rsid w:val="00D752EA"/>
    <w:rsid w:val="00D7575D"/>
    <w:rsid w:val="00D75782"/>
    <w:rsid w:val="00D75AFA"/>
    <w:rsid w:val="00D75B2E"/>
    <w:rsid w:val="00D762C1"/>
    <w:rsid w:val="00D7663D"/>
    <w:rsid w:val="00D76F54"/>
    <w:rsid w:val="00D771BE"/>
    <w:rsid w:val="00D77239"/>
    <w:rsid w:val="00D7736A"/>
    <w:rsid w:val="00D77F86"/>
    <w:rsid w:val="00D80078"/>
    <w:rsid w:val="00D804B2"/>
    <w:rsid w:val="00D807AD"/>
    <w:rsid w:val="00D80924"/>
    <w:rsid w:val="00D80C0E"/>
    <w:rsid w:val="00D80D87"/>
    <w:rsid w:val="00D8123B"/>
    <w:rsid w:val="00D81AEA"/>
    <w:rsid w:val="00D81C5E"/>
    <w:rsid w:val="00D81ED3"/>
    <w:rsid w:val="00D81FE7"/>
    <w:rsid w:val="00D821FF"/>
    <w:rsid w:val="00D8242E"/>
    <w:rsid w:val="00D82ED9"/>
    <w:rsid w:val="00D835BC"/>
    <w:rsid w:val="00D83A15"/>
    <w:rsid w:val="00D8409F"/>
    <w:rsid w:val="00D840BA"/>
    <w:rsid w:val="00D84391"/>
    <w:rsid w:val="00D847AB"/>
    <w:rsid w:val="00D84AA3"/>
    <w:rsid w:val="00D850D9"/>
    <w:rsid w:val="00D8529D"/>
    <w:rsid w:val="00D85614"/>
    <w:rsid w:val="00D85749"/>
    <w:rsid w:val="00D859D2"/>
    <w:rsid w:val="00D85BE3"/>
    <w:rsid w:val="00D8600D"/>
    <w:rsid w:val="00D86111"/>
    <w:rsid w:val="00D86EE3"/>
    <w:rsid w:val="00D87348"/>
    <w:rsid w:val="00D874B0"/>
    <w:rsid w:val="00D8755E"/>
    <w:rsid w:val="00D875CC"/>
    <w:rsid w:val="00D87A33"/>
    <w:rsid w:val="00D87D13"/>
    <w:rsid w:val="00D900C1"/>
    <w:rsid w:val="00D900F6"/>
    <w:rsid w:val="00D90171"/>
    <w:rsid w:val="00D9084C"/>
    <w:rsid w:val="00D90BEC"/>
    <w:rsid w:val="00D90F59"/>
    <w:rsid w:val="00D910DB"/>
    <w:rsid w:val="00D912EB"/>
    <w:rsid w:val="00D917CF"/>
    <w:rsid w:val="00D91862"/>
    <w:rsid w:val="00D918EE"/>
    <w:rsid w:val="00D91A43"/>
    <w:rsid w:val="00D91AF2"/>
    <w:rsid w:val="00D91D14"/>
    <w:rsid w:val="00D91E0C"/>
    <w:rsid w:val="00D92035"/>
    <w:rsid w:val="00D92672"/>
    <w:rsid w:val="00D92AB4"/>
    <w:rsid w:val="00D92BD8"/>
    <w:rsid w:val="00D93027"/>
    <w:rsid w:val="00D930CC"/>
    <w:rsid w:val="00D930D2"/>
    <w:rsid w:val="00D931C8"/>
    <w:rsid w:val="00D93792"/>
    <w:rsid w:val="00D9387F"/>
    <w:rsid w:val="00D93A04"/>
    <w:rsid w:val="00D93D54"/>
    <w:rsid w:val="00D93D91"/>
    <w:rsid w:val="00D93EC1"/>
    <w:rsid w:val="00D9404D"/>
    <w:rsid w:val="00D9454C"/>
    <w:rsid w:val="00D94885"/>
    <w:rsid w:val="00D949CA"/>
    <w:rsid w:val="00D94B3C"/>
    <w:rsid w:val="00D94C09"/>
    <w:rsid w:val="00D94E5B"/>
    <w:rsid w:val="00D94FD3"/>
    <w:rsid w:val="00D95293"/>
    <w:rsid w:val="00D955C4"/>
    <w:rsid w:val="00D95842"/>
    <w:rsid w:val="00D95D87"/>
    <w:rsid w:val="00D95E80"/>
    <w:rsid w:val="00D96126"/>
    <w:rsid w:val="00D96297"/>
    <w:rsid w:val="00D96A51"/>
    <w:rsid w:val="00D96BC8"/>
    <w:rsid w:val="00D973B1"/>
    <w:rsid w:val="00D97C58"/>
    <w:rsid w:val="00D97DB8"/>
    <w:rsid w:val="00D97F58"/>
    <w:rsid w:val="00DA04E3"/>
    <w:rsid w:val="00DA0B12"/>
    <w:rsid w:val="00DA109C"/>
    <w:rsid w:val="00DA1217"/>
    <w:rsid w:val="00DA1703"/>
    <w:rsid w:val="00DA178D"/>
    <w:rsid w:val="00DA18AC"/>
    <w:rsid w:val="00DA1961"/>
    <w:rsid w:val="00DA2FC9"/>
    <w:rsid w:val="00DA313D"/>
    <w:rsid w:val="00DA3642"/>
    <w:rsid w:val="00DA3728"/>
    <w:rsid w:val="00DA3A5B"/>
    <w:rsid w:val="00DA3B31"/>
    <w:rsid w:val="00DA3C07"/>
    <w:rsid w:val="00DA3C5C"/>
    <w:rsid w:val="00DA3EF3"/>
    <w:rsid w:val="00DA4337"/>
    <w:rsid w:val="00DA4C51"/>
    <w:rsid w:val="00DA4DDD"/>
    <w:rsid w:val="00DA5507"/>
    <w:rsid w:val="00DA579B"/>
    <w:rsid w:val="00DA5934"/>
    <w:rsid w:val="00DA5941"/>
    <w:rsid w:val="00DA5B01"/>
    <w:rsid w:val="00DA5B7E"/>
    <w:rsid w:val="00DA5BDA"/>
    <w:rsid w:val="00DA5C1B"/>
    <w:rsid w:val="00DA5E15"/>
    <w:rsid w:val="00DA638C"/>
    <w:rsid w:val="00DA6769"/>
    <w:rsid w:val="00DA684A"/>
    <w:rsid w:val="00DA6891"/>
    <w:rsid w:val="00DA69DB"/>
    <w:rsid w:val="00DA6E88"/>
    <w:rsid w:val="00DA7288"/>
    <w:rsid w:val="00DA7EAF"/>
    <w:rsid w:val="00DB068A"/>
    <w:rsid w:val="00DB0727"/>
    <w:rsid w:val="00DB09E0"/>
    <w:rsid w:val="00DB11F3"/>
    <w:rsid w:val="00DB1752"/>
    <w:rsid w:val="00DB1893"/>
    <w:rsid w:val="00DB1BE4"/>
    <w:rsid w:val="00DB1DEE"/>
    <w:rsid w:val="00DB1E2A"/>
    <w:rsid w:val="00DB1E59"/>
    <w:rsid w:val="00DB25BE"/>
    <w:rsid w:val="00DB306C"/>
    <w:rsid w:val="00DB32FF"/>
    <w:rsid w:val="00DB36A2"/>
    <w:rsid w:val="00DB36B8"/>
    <w:rsid w:val="00DB4109"/>
    <w:rsid w:val="00DB461B"/>
    <w:rsid w:val="00DB4669"/>
    <w:rsid w:val="00DB5108"/>
    <w:rsid w:val="00DB5873"/>
    <w:rsid w:val="00DB5A9D"/>
    <w:rsid w:val="00DB60C5"/>
    <w:rsid w:val="00DB654C"/>
    <w:rsid w:val="00DB66AF"/>
    <w:rsid w:val="00DB6F1A"/>
    <w:rsid w:val="00DB7450"/>
    <w:rsid w:val="00DB797E"/>
    <w:rsid w:val="00DB7AB1"/>
    <w:rsid w:val="00DC0BE0"/>
    <w:rsid w:val="00DC0C88"/>
    <w:rsid w:val="00DC1475"/>
    <w:rsid w:val="00DC16A3"/>
    <w:rsid w:val="00DC1B81"/>
    <w:rsid w:val="00DC1DF1"/>
    <w:rsid w:val="00DC1F8F"/>
    <w:rsid w:val="00DC2F5C"/>
    <w:rsid w:val="00DC31A8"/>
    <w:rsid w:val="00DC3215"/>
    <w:rsid w:val="00DC32EE"/>
    <w:rsid w:val="00DC354D"/>
    <w:rsid w:val="00DC36EB"/>
    <w:rsid w:val="00DC3D48"/>
    <w:rsid w:val="00DC4625"/>
    <w:rsid w:val="00DC47B6"/>
    <w:rsid w:val="00DC47D4"/>
    <w:rsid w:val="00DC4EAE"/>
    <w:rsid w:val="00DC57E5"/>
    <w:rsid w:val="00DC5FD3"/>
    <w:rsid w:val="00DC62B6"/>
    <w:rsid w:val="00DC6842"/>
    <w:rsid w:val="00DC6CDA"/>
    <w:rsid w:val="00DC71D0"/>
    <w:rsid w:val="00DC74C3"/>
    <w:rsid w:val="00DC7697"/>
    <w:rsid w:val="00DC77E7"/>
    <w:rsid w:val="00DC7955"/>
    <w:rsid w:val="00DC7C37"/>
    <w:rsid w:val="00DC7C8E"/>
    <w:rsid w:val="00DD0288"/>
    <w:rsid w:val="00DD038B"/>
    <w:rsid w:val="00DD05E4"/>
    <w:rsid w:val="00DD0857"/>
    <w:rsid w:val="00DD1E24"/>
    <w:rsid w:val="00DD1E4C"/>
    <w:rsid w:val="00DD1ED2"/>
    <w:rsid w:val="00DD20F5"/>
    <w:rsid w:val="00DD22C2"/>
    <w:rsid w:val="00DD3148"/>
    <w:rsid w:val="00DD388D"/>
    <w:rsid w:val="00DD3B9F"/>
    <w:rsid w:val="00DD3C5D"/>
    <w:rsid w:val="00DD3F99"/>
    <w:rsid w:val="00DD42CB"/>
    <w:rsid w:val="00DD42F5"/>
    <w:rsid w:val="00DD448D"/>
    <w:rsid w:val="00DD4C13"/>
    <w:rsid w:val="00DD509A"/>
    <w:rsid w:val="00DD51BA"/>
    <w:rsid w:val="00DD561C"/>
    <w:rsid w:val="00DD60D3"/>
    <w:rsid w:val="00DD6119"/>
    <w:rsid w:val="00DD6305"/>
    <w:rsid w:val="00DD68CE"/>
    <w:rsid w:val="00DD6BA2"/>
    <w:rsid w:val="00DD6D23"/>
    <w:rsid w:val="00DD6E51"/>
    <w:rsid w:val="00DD7132"/>
    <w:rsid w:val="00DD7189"/>
    <w:rsid w:val="00DD71B4"/>
    <w:rsid w:val="00DD7315"/>
    <w:rsid w:val="00DD75E2"/>
    <w:rsid w:val="00DD7A17"/>
    <w:rsid w:val="00DE00D8"/>
    <w:rsid w:val="00DE0B95"/>
    <w:rsid w:val="00DE0CA6"/>
    <w:rsid w:val="00DE0D3E"/>
    <w:rsid w:val="00DE11D8"/>
    <w:rsid w:val="00DE1A4E"/>
    <w:rsid w:val="00DE2831"/>
    <w:rsid w:val="00DE2B48"/>
    <w:rsid w:val="00DE2B64"/>
    <w:rsid w:val="00DE2F85"/>
    <w:rsid w:val="00DE301A"/>
    <w:rsid w:val="00DE3936"/>
    <w:rsid w:val="00DE397B"/>
    <w:rsid w:val="00DE3CB7"/>
    <w:rsid w:val="00DE3CD4"/>
    <w:rsid w:val="00DE3E55"/>
    <w:rsid w:val="00DE40F6"/>
    <w:rsid w:val="00DE45B3"/>
    <w:rsid w:val="00DE4649"/>
    <w:rsid w:val="00DE4D97"/>
    <w:rsid w:val="00DE54AA"/>
    <w:rsid w:val="00DE551E"/>
    <w:rsid w:val="00DE56CC"/>
    <w:rsid w:val="00DE5820"/>
    <w:rsid w:val="00DE591F"/>
    <w:rsid w:val="00DE59CA"/>
    <w:rsid w:val="00DE5DB6"/>
    <w:rsid w:val="00DE6195"/>
    <w:rsid w:val="00DE651C"/>
    <w:rsid w:val="00DE7271"/>
    <w:rsid w:val="00DE741D"/>
    <w:rsid w:val="00DE76E8"/>
    <w:rsid w:val="00DE773F"/>
    <w:rsid w:val="00DE7877"/>
    <w:rsid w:val="00DE7A3D"/>
    <w:rsid w:val="00DE7AD5"/>
    <w:rsid w:val="00DE7DC1"/>
    <w:rsid w:val="00DF01D5"/>
    <w:rsid w:val="00DF0513"/>
    <w:rsid w:val="00DF0E7A"/>
    <w:rsid w:val="00DF0F3C"/>
    <w:rsid w:val="00DF15A4"/>
    <w:rsid w:val="00DF1817"/>
    <w:rsid w:val="00DF18C6"/>
    <w:rsid w:val="00DF222C"/>
    <w:rsid w:val="00DF24C7"/>
    <w:rsid w:val="00DF251A"/>
    <w:rsid w:val="00DF2636"/>
    <w:rsid w:val="00DF2829"/>
    <w:rsid w:val="00DF2D24"/>
    <w:rsid w:val="00DF2DBD"/>
    <w:rsid w:val="00DF2E0C"/>
    <w:rsid w:val="00DF389E"/>
    <w:rsid w:val="00DF3972"/>
    <w:rsid w:val="00DF3A27"/>
    <w:rsid w:val="00DF3BF8"/>
    <w:rsid w:val="00DF3DAE"/>
    <w:rsid w:val="00DF4252"/>
    <w:rsid w:val="00DF4329"/>
    <w:rsid w:val="00DF48D0"/>
    <w:rsid w:val="00DF4A9D"/>
    <w:rsid w:val="00DF4ACF"/>
    <w:rsid w:val="00DF4D97"/>
    <w:rsid w:val="00DF4F34"/>
    <w:rsid w:val="00DF55F9"/>
    <w:rsid w:val="00DF5DC1"/>
    <w:rsid w:val="00DF60CE"/>
    <w:rsid w:val="00DF6472"/>
    <w:rsid w:val="00DF6567"/>
    <w:rsid w:val="00DF6CB0"/>
    <w:rsid w:val="00DF70CA"/>
    <w:rsid w:val="00DF74A1"/>
    <w:rsid w:val="00DF76DF"/>
    <w:rsid w:val="00DF798E"/>
    <w:rsid w:val="00DF7A64"/>
    <w:rsid w:val="00DF7E64"/>
    <w:rsid w:val="00DF7FC9"/>
    <w:rsid w:val="00E002A8"/>
    <w:rsid w:val="00E0042A"/>
    <w:rsid w:val="00E0068D"/>
    <w:rsid w:val="00E007E7"/>
    <w:rsid w:val="00E013A2"/>
    <w:rsid w:val="00E013FE"/>
    <w:rsid w:val="00E01858"/>
    <w:rsid w:val="00E01EA6"/>
    <w:rsid w:val="00E01F01"/>
    <w:rsid w:val="00E0242B"/>
    <w:rsid w:val="00E026ED"/>
    <w:rsid w:val="00E027E1"/>
    <w:rsid w:val="00E0284F"/>
    <w:rsid w:val="00E02FE3"/>
    <w:rsid w:val="00E03117"/>
    <w:rsid w:val="00E034FF"/>
    <w:rsid w:val="00E035C6"/>
    <w:rsid w:val="00E03951"/>
    <w:rsid w:val="00E03B4A"/>
    <w:rsid w:val="00E03D74"/>
    <w:rsid w:val="00E043A1"/>
    <w:rsid w:val="00E04B92"/>
    <w:rsid w:val="00E04BBB"/>
    <w:rsid w:val="00E04DE0"/>
    <w:rsid w:val="00E04FF6"/>
    <w:rsid w:val="00E05210"/>
    <w:rsid w:val="00E054A9"/>
    <w:rsid w:val="00E05CA8"/>
    <w:rsid w:val="00E0626E"/>
    <w:rsid w:val="00E0644D"/>
    <w:rsid w:val="00E0688D"/>
    <w:rsid w:val="00E06D21"/>
    <w:rsid w:val="00E07299"/>
    <w:rsid w:val="00E072E0"/>
    <w:rsid w:val="00E07918"/>
    <w:rsid w:val="00E07DE9"/>
    <w:rsid w:val="00E10274"/>
    <w:rsid w:val="00E10283"/>
    <w:rsid w:val="00E10605"/>
    <w:rsid w:val="00E10C35"/>
    <w:rsid w:val="00E10D91"/>
    <w:rsid w:val="00E10EAA"/>
    <w:rsid w:val="00E10F62"/>
    <w:rsid w:val="00E113C3"/>
    <w:rsid w:val="00E11B91"/>
    <w:rsid w:val="00E12117"/>
    <w:rsid w:val="00E12338"/>
    <w:rsid w:val="00E1303A"/>
    <w:rsid w:val="00E1339B"/>
    <w:rsid w:val="00E1359E"/>
    <w:rsid w:val="00E13BE2"/>
    <w:rsid w:val="00E13DE5"/>
    <w:rsid w:val="00E14139"/>
    <w:rsid w:val="00E147BB"/>
    <w:rsid w:val="00E14DAF"/>
    <w:rsid w:val="00E153F7"/>
    <w:rsid w:val="00E157BD"/>
    <w:rsid w:val="00E15CF8"/>
    <w:rsid w:val="00E16078"/>
    <w:rsid w:val="00E162D2"/>
    <w:rsid w:val="00E16418"/>
    <w:rsid w:val="00E165C4"/>
    <w:rsid w:val="00E166CD"/>
    <w:rsid w:val="00E16701"/>
    <w:rsid w:val="00E16A95"/>
    <w:rsid w:val="00E16F56"/>
    <w:rsid w:val="00E176C4"/>
    <w:rsid w:val="00E177B1"/>
    <w:rsid w:val="00E17C9D"/>
    <w:rsid w:val="00E17D66"/>
    <w:rsid w:val="00E2028F"/>
    <w:rsid w:val="00E2034A"/>
    <w:rsid w:val="00E20949"/>
    <w:rsid w:val="00E20FFE"/>
    <w:rsid w:val="00E21348"/>
    <w:rsid w:val="00E21744"/>
    <w:rsid w:val="00E21C3B"/>
    <w:rsid w:val="00E22170"/>
    <w:rsid w:val="00E22719"/>
    <w:rsid w:val="00E2339C"/>
    <w:rsid w:val="00E235DD"/>
    <w:rsid w:val="00E23D8D"/>
    <w:rsid w:val="00E23F05"/>
    <w:rsid w:val="00E23F17"/>
    <w:rsid w:val="00E24923"/>
    <w:rsid w:val="00E25526"/>
    <w:rsid w:val="00E25763"/>
    <w:rsid w:val="00E25E92"/>
    <w:rsid w:val="00E262E3"/>
    <w:rsid w:val="00E262E5"/>
    <w:rsid w:val="00E27520"/>
    <w:rsid w:val="00E27F8C"/>
    <w:rsid w:val="00E30103"/>
    <w:rsid w:val="00E30B4B"/>
    <w:rsid w:val="00E30E4D"/>
    <w:rsid w:val="00E3106F"/>
    <w:rsid w:val="00E3108B"/>
    <w:rsid w:val="00E318D1"/>
    <w:rsid w:val="00E31CC6"/>
    <w:rsid w:val="00E32173"/>
    <w:rsid w:val="00E321BD"/>
    <w:rsid w:val="00E32424"/>
    <w:rsid w:val="00E3259E"/>
    <w:rsid w:val="00E3281A"/>
    <w:rsid w:val="00E32825"/>
    <w:rsid w:val="00E32881"/>
    <w:rsid w:val="00E32CDD"/>
    <w:rsid w:val="00E3312C"/>
    <w:rsid w:val="00E334C8"/>
    <w:rsid w:val="00E33931"/>
    <w:rsid w:val="00E339EE"/>
    <w:rsid w:val="00E33A02"/>
    <w:rsid w:val="00E33A19"/>
    <w:rsid w:val="00E3450D"/>
    <w:rsid w:val="00E345DF"/>
    <w:rsid w:val="00E34823"/>
    <w:rsid w:val="00E34E4B"/>
    <w:rsid w:val="00E34EDB"/>
    <w:rsid w:val="00E353E8"/>
    <w:rsid w:val="00E35CF5"/>
    <w:rsid w:val="00E3606F"/>
    <w:rsid w:val="00E360CA"/>
    <w:rsid w:val="00E36489"/>
    <w:rsid w:val="00E365AA"/>
    <w:rsid w:val="00E36A82"/>
    <w:rsid w:val="00E36DEE"/>
    <w:rsid w:val="00E370BE"/>
    <w:rsid w:val="00E370D0"/>
    <w:rsid w:val="00E37703"/>
    <w:rsid w:val="00E3773A"/>
    <w:rsid w:val="00E37782"/>
    <w:rsid w:val="00E37BB7"/>
    <w:rsid w:val="00E40074"/>
    <w:rsid w:val="00E401A5"/>
    <w:rsid w:val="00E404CC"/>
    <w:rsid w:val="00E40818"/>
    <w:rsid w:val="00E40851"/>
    <w:rsid w:val="00E40A73"/>
    <w:rsid w:val="00E40B38"/>
    <w:rsid w:val="00E40B9D"/>
    <w:rsid w:val="00E413DC"/>
    <w:rsid w:val="00E4165F"/>
    <w:rsid w:val="00E41D2C"/>
    <w:rsid w:val="00E42053"/>
    <w:rsid w:val="00E4216D"/>
    <w:rsid w:val="00E422A7"/>
    <w:rsid w:val="00E422AC"/>
    <w:rsid w:val="00E42950"/>
    <w:rsid w:val="00E42B93"/>
    <w:rsid w:val="00E42C6A"/>
    <w:rsid w:val="00E43466"/>
    <w:rsid w:val="00E434EA"/>
    <w:rsid w:val="00E443BA"/>
    <w:rsid w:val="00E444D8"/>
    <w:rsid w:val="00E4477C"/>
    <w:rsid w:val="00E4482F"/>
    <w:rsid w:val="00E44933"/>
    <w:rsid w:val="00E44D77"/>
    <w:rsid w:val="00E452C4"/>
    <w:rsid w:val="00E4549F"/>
    <w:rsid w:val="00E45728"/>
    <w:rsid w:val="00E45A5D"/>
    <w:rsid w:val="00E45B74"/>
    <w:rsid w:val="00E45E29"/>
    <w:rsid w:val="00E45F40"/>
    <w:rsid w:val="00E460FB"/>
    <w:rsid w:val="00E46EBD"/>
    <w:rsid w:val="00E46EC9"/>
    <w:rsid w:val="00E47185"/>
    <w:rsid w:val="00E475F5"/>
    <w:rsid w:val="00E4764B"/>
    <w:rsid w:val="00E477F7"/>
    <w:rsid w:val="00E47A16"/>
    <w:rsid w:val="00E47D31"/>
    <w:rsid w:val="00E5058A"/>
    <w:rsid w:val="00E509EC"/>
    <w:rsid w:val="00E50B6A"/>
    <w:rsid w:val="00E50E70"/>
    <w:rsid w:val="00E50FCC"/>
    <w:rsid w:val="00E51439"/>
    <w:rsid w:val="00E51669"/>
    <w:rsid w:val="00E51675"/>
    <w:rsid w:val="00E51819"/>
    <w:rsid w:val="00E51984"/>
    <w:rsid w:val="00E519CA"/>
    <w:rsid w:val="00E51B8A"/>
    <w:rsid w:val="00E52755"/>
    <w:rsid w:val="00E527D4"/>
    <w:rsid w:val="00E52853"/>
    <w:rsid w:val="00E5286E"/>
    <w:rsid w:val="00E52A5B"/>
    <w:rsid w:val="00E52F00"/>
    <w:rsid w:val="00E53A51"/>
    <w:rsid w:val="00E53DBD"/>
    <w:rsid w:val="00E53E1E"/>
    <w:rsid w:val="00E53F85"/>
    <w:rsid w:val="00E54398"/>
    <w:rsid w:val="00E54D55"/>
    <w:rsid w:val="00E54D89"/>
    <w:rsid w:val="00E54EE7"/>
    <w:rsid w:val="00E552A5"/>
    <w:rsid w:val="00E5544A"/>
    <w:rsid w:val="00E55849"/>
    <w:rsid w:val="00E55A98"/>
    <w:rsid w:val="00E563D2"/>
    <w:rsid w:val="00E56550"/>
    <w:rsid w:val="00E57016"/>
    <w:rsid w:val="00E57519"/>
    <w:rsid w:val="00E57D57"/>
    <w:rsid w:val="00E6001D"/>
    <w:rsid w:val="00E60A0A"/>
    <w:rsid w:val="00E60A16"/>
    <w:rsid w:val="00E60FB9"/>
    <w:rsid w:val="00E612B4"/>
    <w:rsid w:val="00E6179F"/>
    <w:rsid w:val="00E61990"/>
    <w:rsid w:val="00E61A70"/>
    <w:rsid w:val="00E61B38"/>
    <w:rsid w:val="00E62028"/>
    <w:rsid w:val="00E620A9"/>
    <w:rsid w:val="00E62619"/>
    <w:rsid w:val="00E62E2A"/>
    <w:rsid w:val="00E63097"/>
    <w:rsid w:val="00E631C0"/>
    <w:rsid w:val="00E634DD"/>
    <w:rsid w:val="00E6388D"/>
    <w:rsid w:val="00E64393"/>
    <w:rsid w:val="00E644CB"/>
    <w:rsid w:val="00E650C6"/>
    <w:rsid w:val="00E652DF"/>
    <w:rsid w:val="00E6586D"/>
    <w:rsid w:val="00E67275"/>
    <w:rsid w:val="00E677FF"/>
    <w:rsid w:val="00E67A6F"/>
    <w:rsid w:val="00E67B90"/>
    <w:rsid w:val="00E70326"/>
    <w:rsid w:val="00E706E3"/>
    <w:rsid w:val="00E70C51"/>
    <w:rsid w:val="00E70CE0"/>
    <w:rsid w:val="00E70EA9"/>
    <w:rsid w:val="00E70F3F"/>
    <w:rsid w:val="00E71241"/>
    <w:rsid w:val="00E71557"/>
    <w:rsid w:val="00E71570"/>
    <w:rsid w:val="00E715BD"/>
    <w:rsid w:val="00E71C1D"/>
    <w:rsid w:val="00E72425"/>
    <w:rsid w:val="00E72445"/>
    <w:rsid w:val="00E72B6A"/>
    <w:rsid w:val="00E72C35"/>
    <w:rsid w:val="00E7378B"/>
    <w:rsid w:val="00E73ADD"/>
    <w:rsid w:val="00E744DC"/>
    <w:rsid w:val="00E74ADF"/>
    <w:rsid w:val="00E75587"/>
    <w:rsid w:val="00E757CF"/>
    <w:rsid w:val="00E75927"/>
    <w:rsid w:val="00E75C5C"/>
    <w:rsid w:val="00E75D89"/>
    <w:rsid w:val="00E76521"/>
    <w:rsid w:val="00E76A51"/>
    <w:rsid w:val="00E77C97"/>
    <w:rsid w:val="00E77CD5"/>
    <w:rsid w:val="00E77DFC"/>
    <w:rsid w:val="00E80688"/>
    <w:rsid w:val="00E808D1"/>
    <w:rsid w:val="00E80A5F"/>
    <w:rsid w:val="00E810A2"/>
    <w:rsid w:val="00E810E9"/>
    <w:rsid w:val="00E812A7"/>
    <w:rsid w:val="00E812B2"/>
    <w:rsid w:val="00E81677"/>
    <w:rsid w:val="00E81684"/>
    <w:rsid w:val="00E8264F"/>
    <w:rsid w:val="00E8273A"/>
    <w:rsid w:val="00E82984"/>
    <w:rsid w:val="00E8304C"/>
    <w:rsid w:val="00E833C9"/>
    <w:rsid w:val="00E83A14"/>
    <w:rsid w:val="00E84845"/>
    <w:rsid w:val="00E84E57"/>
    <w:rsid w:val="00E84EE2"/>
    <w:rsid w:val="00E850F8"/>
    <w:rsid w:val="00E8531C"/>
    <w:rsid w:val="00E85AE7"/>
    <w:rsid w:val="00E85DF7"/>
    <w:rsid w:val="00E8632A"/>
    <w:rsid w:val="00E86601"/>
    <w:rsid w:val="00E86637"/>
    <w:rsid w:val="00E866B5"/>
    <w:rsid w:val="00E8671A"/>
    <w:rsid w:val="00E86D25"/>
    <w:rsid w:val="00E87009"/>
    <w:rsid w:val="00E87445"/>
    <w:rsid w:val="00E87537"/>
    <w:rsid w:val="00E87C80"/>
    <w:rsid w:val="00E87DDD"/>
    <w:rsid w:val="00E90ECB"/>
    <w:rsid w:val="00E90F67"/>
    <w:rsid w:val="00E91983"/>
    <w:rsid w:val="00E919D2"/>
    <w:rsid w:val="00E91FE2"/>
    <w:rsid w:val="00E924A7"/>
    <w:rsid w:val="00E92559"/>
    <w:rsid w:val="00E92670"/>
    <w:rsid w:val="00E9275D"/>
    <w:rsid w:val="00E9281E"/>
    <w:rsid w:val="00E92D0B"/>
    <w:rsid w:val="00E92FC6"/>
    <w:rsid w:val="00E934C1"/>
    <w:rsid w:val="00E934E9"/>
    <w:rsid w:val="00E93789"/>
    <w:rsid w:val="00E938F2"/>
    <w:rsid w:val="00E93A1D"/>
    <w:rsid w:val="00E93AC3"/>
    <w:rsid w:val="00E93B3A"/>
    <w:rsid w:val="00E940BA"/>
    <w:rsid w:val="00E94436"/>
    <w:rsid w:val="00E947A8"/>
    <w:rsid w:val="00E94853"/>
    <w:rsid w:val="00E952B4"/>
    <w:rsid w:val="00E9556D"/>
    <w:rsid w:val="00E95802"/>
    <w:rsid w:val="00E95E4F"/>
    <w:rsid w:val="00E960D8"/>
    <w:rsid w:val="00E9627E"/>
    <w:rsid w:val="00E963AA"/>
    <w:rsid w:val="00E9653F"/>
    <w:rsid w:val="00E96D54"/>
    <w:rsid w:val="00E97105"/>
    <w:rsid w:val="00E97228"/>
    <w:rsid w:val="00E974F5"/>
    <w:rsid w:val="00E9750A"/>
    <w:rsid w:val="00E97875"/>
    <w:rsid w:val="00E979B8"/>
    <w:rsid w:val="00EA019D"/>
    <w:rsid w:val="00EA0280"/>
    <w:rsid w:val="00EA02CB"/>
    <w:rsid w:val="00EA035E"/>
    <w:rsid w:val="00EA03F0"/>
    <w:rsid w:val="00EA051B"/>
    <w:rsid w:val="00EA09F0"/>
    <w:rsid w:val="00EA0DCB"/>
    <w:rsid w:val="00EA0DE3"/>
    <w:rsid w:val="00EA193E"/>
    <w:rsid w:val="00EA1B8F"/>
    <w:rsid w:val="00EA201C"/>
    <w:rsid w:val="00EA26D6"/>
    <w:rsid w:val="00EA2AFB"/>
    <w:rsid w:val="00EA2B00"/>
    <w:rsid w:val="00EA2DD9"/>
    <w:rsid w:val="00EA30FE"/>
    <w:rsid w:val="00EA3B59"/>
    <w:rsid w:val="00EA3CDC"/>
    <w:rsid w:val="00EA3F50"/>
    <w:rsid w:val="00EA3F77"/>
    <w:rsid w:val="00EA4629"/>
    <w:rsid w:val="00EA4BE8"/>
    <w:rsid w:val="00EA4EE8"/>
    <w:rsid w:val="00EA5349"/>
    <w:rsid w:val="00EA53D2"/>
    <w:rsid w:val="00EA5D9E"/>
    <w:rsid w:val="00EA68F8"/>
    <w:rsid w:val="00EA7342"/>
    <w:rsid w:val="00EA7471"/>
    <w:rsid w:val="00EA755F"/>
    <w:rsid w:val="00EA7567"/>
    <w:rsid w:val="00EA7D96"/>
    <w:rsid w:val="00EA7E9C"/>
    <w:rsid w:val="00EB0133"/>
    <w:rsid w:val="00EB0173"/>
    <w:rsid w:val="00EB0D7E"/>
    <w:rsid w:val="00EB184C"/>
    <w:rsid w:val="00EB1BD0"/>
    <w:rsid w:val="00EB1CB7"/>
    <w:rsid w:val="00EB1CFB"/>
    <w:rsid w:val="00EB1ECB"/>
    <w:rsid w:val="00EB31D6"/>
    <w:rsid w:val="00EB37DE"/>
    <w:rsid w:val="00EB45A6"/>
    <w:rsid w:val="00EB45C3"/>
    <w:rsid w:val="00EB4AC3"/>
    <w:rsid w:val="00EB4B37"/>
    <w:rsid w:val="00EB4B80"/>
    <w:rsid w:val="00EB5449"/>
    <w:rsid w:val="00EB5453"/>
    <w:rsid w:val="00EB5759"/>
    <w:rsid w:val="00EB591E"/>
    <w:rsid w:val="00EB5BF7"/>
    <w:rsid w:val="00EB61BD"/>
    <w:rsid w:val="00EB6AB0"/>
    <w:rsid w:val="00EB6DAC"/>
    <w:rsid w:val="00EB77D4"/>
    <w:rsid w:val="00EB7837"/>
    <w:rsid w:val="00EB79F5"/>
    <w:rsid w:val="00EB7E3B"/>
    <w:rsid w:val="00EB7F78"/>
    <w:rsid w:val="00EC01A9"/>
    <w:rsid w:val="00EC01D9"/>
    <w:rsid w:val="00EC0BF0"/>
    <w:rsid w:val="00EC10AE"/>
    <w:rsid w:val="00EC129A"/>
    <w:rsid w:val="00EC1443"/>
    <w:rsid w:val="00EC185F"/>
    <w:rsid w:val="00EC23BD"/>
    <w:rsid w:val="00EC24B9"/>
    <w:rsid w:val="00EC3782"/>
    <w:rsid w:val="00EC3A6C"/>
    <w:rsid w:val="00EC3EF1"/>
    <w:rsid w:val="00EC3F02"/>
    <w:rsid w:val="00EC3F5E"/>
    <w:rsid w:val="00EC404F"/>
    <w:rsid w:val="00EC46CC"/>
    <w:rsid w:val="00EC46F7"/>
    <w:rsid w:val="00EC4AC3"/>
    <w:rsid w:val="00EC4BC0"/>
    <w:rsid w:val="00EC4D29"/>
    <w:rsid w:val="00EC5CAB"/>
    <w:rsid w:val="00EC5FDD"/>
    <w:rsid w:val="00EC6C25"/>
    <w:rsid w:val="00EC7279"/>
    <w:rsid w:val="00EC77E3"/>
    <w:rsid w:val="00EC78D3"/>
    <w:rsid w:val="00EC7D43"/>
    <w:rsid w:val="00EC7DAF"/>
    <w:rsid w:val="00EC7E4B"/>
    <w:rsid w:val="00ED039B"/>
    <w:rsid w:val="00ED051E"/>
    <w:rsid w:val="00ED0B3E"/>
    <w:rsid w:val="00ED0DED"/>
    <w:rsid w:val="00ED0F3E"/>
    <w:rsid w:val="00ED1088"/>
    <w:rsid w:val="00ED1258"/>
    <w:rsid w:val="00ED173B"/>
    <w:rsid w:val="00ED1886"/>
    <w:rsid w:val="00ED1DEE"/>
    <w:rsid w:val="00ED23B2"/>
    <w:rsid w:val="00ED2423"/>
    <w:rsid w:val="00ED3604"/>
    <w:rsid w:val="00ED37DD"/>
    <w:rsid w:val="00ED38AC"/>
    <w:rsid w:val="00ED3B60"/>
    <w:rsid w:val="00ED44D5"/>
    <w:rsid w:val="00ED47A3"/>
    <w:rsid w:val="00ED4B3C"/>
    <w:rsid w:val="00ED4EE7"/>
    <w:rsid w:val="00ED4F44"/>
    <w:rsid w:val="00ED5304"/>
    <w:rsid w:val="00ED55B0"/>
    <w:rsid w:val="00ED57D5"/>
    <w:rsid w:val="00ED583C"/>
    <w:rsid w:val="00ED5978"/>
    <w:rsid w:val="00ED5B78"/>
    <w:rsid w:val="00ED5ED9"/>
    <w:rsid w:val="00ED61C3"/>
    <w:rsid w:val="00ED6840"/>
    <w:rsid w:val="00ED6B59"/>
    <w:rsid w:val="00ED717B"/>
    <w:rsid w:val="00ED72FC"/>
    <w:rsid w:val="00ED7327"/>
    <w:rsid w:val="00ED7392"/>
    <w:rsid w:val="00ED73A5"/>
    <w:rsid w:val="00ED75EE"/>
    <w:rsid w:val="00ED7664"/>
    <w:rsid w:val="00ED7A52"/>
    <w:rsid w:val="00ED7D02"/>
    <w:rsid w:val="00EE0296"/>
    <w:rsid w:val="00EE0A2E"/>
    <w:rsid w:val="00EE0B1B"/>
    <w:rsid w:val="00EE0D10"/>
    <w:rsid w:val="00EE11F7"/>
    <w:rsid w:val="00EE13F1"/>
    <w:rsid w:val="00EE14C5"/>
    <w:rsid w:val="00EE163A"/>
    <w:rsid w:val="00EE18D9"/>
    <w:rsid w:val="00EE1F7A"/>
    <w:rsid w:val="00EE252C"/>
    <w:rsid w:val="00EE275D"/>
    <w:rsid w:val="00EE28A6"/>
    <w:rsid w:val="00EE2BB0"/>
    <w:rsid w:val="00EE2DCA"/>
    <w:rsid w:val="00EE2E76"/>
    <w:rsid w:val="00EE3A7D"/>
    <w:rsid w:val="00EE3AA9"/>
    <w:rsid w:val="00EE3FF6"/>
    <w:rsid w:val="00EE43C8"/>
    <w:rsid w:val="00EE47F4"/>
    <w:rsid w:val="00EE4B23"/>
    <w:rsid w:val="00EE4EB8"/>
    <w:rsid w:val="00EE514F"/>
    <w:rsid w:val="00EE5519"/>
    <w:rsid w:val="00EE5812"/>
    <w:rsid w:val="00EE5D26"/>
    <w:rsid w:val="00EE61D2"/>
    <w:rsid w:val="00EE67C1"/>
    <w:rsid w:val="00EE688F"/>
    <w:rsid w:val="00EE6927"/>
    <w:rsid w:val="00EE6CA0"/>
    <w:rsid w:val="00EE6DE9"/>
    <w:rsid w:val="00EE6F69"/>
    <w:rsid w:val="00EF09D7"/>
    <w:rsid w:val="00EF0D26"/>
    <w:rsid w:val="00EF0F91"/>
    <w:rsid w:val="00EF1358"/>
    <w:rsid w:val="00EF1808"/>
    <w:rsid w:val="00EF1960"/>
    <w:rsid w:val="00EF1D1D"/>
    <w:rsid w:val="00EF1E6E"/>
    <w:rsid w:val="00EF1FBB"/>
    <w:rsid w:val="00EF218C"/>
    <w:rsid w:val="00EF2257"/>
    <w:rsid w:val="00EF2808"/>
    <w:rsid w:val="00EF28DE"/>
    <w:rsid w:val="00EF2AAB"/>
    <w:rsid w:val="00EF2B42"/>
    <w:rsid w:val="00EF2F55"/>
    <w:rsid w:val="00EF3518"/>
    <w:rsid w:val="00EF388E"/>
    <w:rsid w:val="00EF3BD5"/>
    <w:rsid w:val="00EF3BD6"/>
    <w:rsid w:val="00EF42B0"/>
    <w:rsid w:val="00EF439E"/>
    <w:rsid w:val="00EF4A2B"/>
    <w:rsid w:val="00EF4EE3"/>
    <w:rsid w:val="00EF5408"/>
    <w:rsid w:val="00EF5712"/>
    <w:rsid w:val="00EF5770"/>
    <w:rsid w:val="00EF59D3"/>
    <w:rsid w:val="00EF59FA"/>
    <w:rsid w:val="00EF5AA9"/>
    <w:rsid w:val="00EF6252"/>
    <w:rsid w:val="00EF62B8"/>
    <w:rsid w:val="00EF6478"/>
    <w:rsid w:val="00EF771A"/>
    <w:rsid w:val="00EF78B4"/>
    <w:rsid w:val="00EF791D"/>
    <w:rsid w:val="00F00198"/>
    <w:rsid w:val="00F002D9"/>
    <w:rsid w:val="00F00459"/>
    <w:rsid w:val="00F00782"/>
    <w:rsid w:val="00F007F9"/>
    <w:rsid w:val="00F00D04"/>
    <w:rsid w:val="00F00F14"/>
    <w:rsid w:val="00F01113"/>
    <w:rsid w:val="00F0141F"/>
    <w:rsid w:val="00F016D6"/>
    <w:rsid w:val="00F01DF3"/>
    <w:rsid w:val="00F01F3C"/>
    <w:rsid w:val="00F0220C"/>
    <w:rsid w:val="00F025EA"/>
    <w:rsid w:val="00F02B47"/>
    <w:rsid w:val="00F02C85"/>
    <w:rsid w:val="00F03063"/>
    <w:rsid w:val="00F0313C"/>
    <w:rsid w:val="00F031AB"/>
    <w:rsid w:val="00F031D7"/>
    <w:rsid w:val="00F03212"/>
    <w:rsid w:val="00F032D9"/>
    <w:rsid w:val="00F033BC"/>
    <w:rsid w:val="00F03AE2"/>
    <w:rsid w:val="00F03C8F"/>
    <w:rsid w:val="00F03EFB"/>
    <w:rsid w:val="00F044F0"/>
    <w:rsid w:val="00F04A52"/>
    <w:rsid w:val="00F04B24"/>
    <w:rsid w:val="00F05CBD"/>
    <w:rsid w:val="00F06090"/>
    <w:rsid w:val="00F06206"/>
    <w:rsid w:val="00F06774"/>
    <w:rsid w:val="00F06881"/>
    <w:rsid w:val="00F06D11"/>
    <w:rsid w:val="00F070AF"/>
    <w:rsid w:val="00F07830"/>
    <w:rsid w:val="00F07E3B"/>
    <w:rsid w:val="00F100A9"/>
    <w:rsid w:val="00F1083C"/>
    <w:rsid w:val="00F10DA8"/>
    <w:rsid w:val="00F10FCA"/>
    <w:rsid w:val="00F112D7"/>
    <w:rsid w:val="00F112DE"/>
    <w:rsid w:val="00F11335"/>
    <w:rsid w:val="00F11892"/>
    <w:rsid w:val="00F11CA3"/>
    <w:rsid w:val="00F11F82"/>
    <w:rsid w:val="00F1207A"/>
    <w:rsid w:val="00F12495"/>
    <w:rsid w:val="00F1261E"/>
    <w:rsid w:val="00F12C69"/>
    <w:rsid w:val="00F12DBF"/>
    <w:rsid w:val="00F12E44"/>
    <w:rsid w:val="00F12F02"/>
    <w:rsid w:val="00F13046"/>
    <w:rsid w:val="00F131A2"/>
    <w:rsid w:val="00F1334D"/>
    <w:rsid w:val="00F13745"/>
    <w:rsid w:val="00F1407B"/>
    <w:rsid w:val="00F141AC"/>
    <w:rsid w:val="00F14200"/>
    <w:rsid w:val="00F1438F"/>
    <w:rsid w:val="00F14521"/>
    <w:rsid w:val="00F14757"/>
    <w:rsid w:val="00F15052"/>
    <w:rsid w:val="00F15A2C"/>
    <w:rsid w:val="00F15DBD"/>
    <w:rsid w:val="00F15EA5"/>
    <w:rsid w:val="00F15EEE"/>
    <w:rsid w:val="00F15FE6"/>
    <w:rsid w:val="00F16320"/>
    <w:rsid w:val="00F1676D"/>
    <w:rsid w:val="00F16863"/>
    <w:rsid w:val="00F16B08"/>
    <w:rsid w:val="00F175D5"/>
    <w:rsid w:val="00F17C12"/>
    <w:rsid w:val="00F17F69"/>
    <w:rsid w:val="00F17FBB"/>
    <w:rsid w:val="00F2003A"/>
    <w:rsid w:val="00F20234"/>
    <w:rsid w:val="00F20A30"/>
    <w:rsid w:val="00F20A61"/>
    <w:rsid w:val="00F211C2"/>
    <w:rsid w:val="00F22142"/>
    <w:rsid w:val="00F2215D"/>
    <w:rsid w:val="00F222D9"/>
    <w:rsid w:val="00F229B8"/>
    <w:rsid w:val="00F22A8C"/>
    <w:rsid w:val="00F231B8"/>
    <w:rsid w:val="00F231C8"/>
    <w:rsid w:val="00F234A4"/>
    <w:rsid w:val="00F23583"/>
    <w:rsid w:val="00F237B8"/>
    <w:rsid w:val="00F23823"/>
    <w:rsid w:val="00F23BC6"/>
    <w:rsid w:val="00F24569"/>
    <w:rsid w:val="00F24625"/>
    <w:rsid w:val="00F24B45"/>
    <w:rsid w:val="00F24D40"/>
    <w:rsid w:val="00F24EC9"/>
    <w:rsid w:val="00F24FAF"/>
    <w:rsid w:val="00F253DD"/>
    <w:rsid w:val="00F2585B"/>
    <w:rsid w:val="00F25B31"/>
    <w:rsid w:val="00F25D39"/>
    <w:rsid w:val="00F2636C"/>
    <w:rsid w:val="00F2656D"/>
    <w:rsid w:val="00F26AB0"/>
    <w:rsid w:val="00F26ADD"/>
    <w:rsid w:val="00F26D82"/>
    <w:rsid w:val="00F270E9"/>
    <w:rsid w:val="00F2750B"/>
    <w:rsid w:val="00F27FB9"/>
    <w:rsid w:val="00F30040"/>
    <w:rsid w:val="00F30263"/>
    <w:rsid w:val="00F3063E"/>
    <w:rsid w:val="00F30BA2"/>
    <w:rsid w:val="00F30DD2"/>
    <w:rsid w:val="00F310F0"/>
    <w:rsid w:val="00F31129"/>
    <w:rsid w:val="00F312E4"/>
    <w:rsid w:val="00F3180D"/>
    <w:rsid w:val="00F31A8D"/>
    <w:rsid w:val="00F31B33"/>
    <w:rsid w:val="00F31BDC"/>
    <w:rsid w:val="00F31BE2"/>
    <w:rsid w:val="00F31C10"/>
    <w:rsid w:val="00F320AF"/>
    <w:rsid w:val="00F321EF"/>
    <w:rsid w:val="00F32455"/>
    <w:rsid w:val="00F32552"/>
    <w:rsid w:val="00F326E7"/>
    <w:rsid w:val="00F32A37"/>
    <w:rsid w:val="00F32D0C"/>
    <w:rsid w:val="00F33147"/>
    <w:rsid w:val="00F33204"/>
    <w:rsid w:val="00F334F4"/>
    <w:rsid w:val="00F339E5"/>
    <w:rsid w:val="00F33A7E"/>
    <w:rsid w:val="00F33B3F"/>
    <w:rsid w:val="00F33B62"/>
    <w:rsid w:val="00F346C6"/>
    <w:rsid w:val="00F347B1"/>
    <w:rsid w:val="00F3524B"/>
    <w:rsid w:val="00F353DD"/>
    <w:rsid w:val="00F35503"/>
    <w:rsid w:val="00F35568"/>
    <w:rsid w:val="00F35F7D"/>
    <w:rsid w:val="00F363A1"/>
    <w:rsid w:val="00F36C37"/>
    <w:rsid w:val="00F36E05"/>
    <w:rsid w:val="00F36E2B"/>
    <w:rsid w:val="00F36E68"/>
    <w:rsid w:val="00F36EEA"/>
    <w:rsid w:val="00F372CD"/>
    <w:rsid w:val="00F37C21"/>
    <w:rsid w:val="00F40317"/>
    <w:rsid w:val="00F40361"/>
    <w:rsid w:val="00F403D9"/>
    <w:rsid w:val="00F40AF6"/>
    <w:rsid w:val="00F40C29"/>
    <w:rsid w:val="00F40D0F"/>
    <w:rsid w:val="00F40E24"/>
    <w:rsid w:val="00F40EAC"/>
    <w:rsid w:val="00F40FCF"/>
    <w:rsid w:val="00F411AB"/>
    <w:rsid w:val="00F41389"/>
    <w:rsid w:val="00F41B92"/>
    <w:rsid w:val="00F41C4B"/>
    <w:rsid w:val="00F41CBE"/>
    <w:rsid w:val="00F41D22"/>
    <w:rsid w:val="00F41FA8"/>
    <w:rsid w:val="00F426DF"/>
    <w:rsid w:val="00F42DB2"/>
    <w:rsid w:val="00F42F0C"/>
    <w:rsid w:val="00F43139"/>
    <w:rsid w:val="00F43625"/>
    <w:rsid w:val="00F443C2"/>
    <w:rsid w:val="00F44715"/>
    <w:rsid w:val="00F44AF1"/>
    <w:rsid w:val="00F44FFA"/>
    <w:rsid w:val="00F45369"/>
    <w:rsid w:val="00F453B0"/>
    <w:rsid w:val="00F45556"/>
    <w:rsid w:val="00F45870"/>
    <w:rsid w:val="00F45C12"/>
    <w:rsid w:val="00F45E01"/>
    <w:rsid w:val="00F464E4"/>
    <w:rsid w:val="00F46743"/>
    <w:rsid w:val="00F46D57"/>
    <w:rsid w:val="00F47C8D"/>
    <w:rsid w:val="00F47E72"/>
    <w:rsid w:val="00F50D72"/>
    <w:rsid w:val="00F50D74"/>
    <w:rsid w:val="00F512E6"/>
    <w:rsid w:val="00F51C72"/>
    <w:rsid w:val="00F51D61"/>
    <w:rsid w:val="00F51F24"/>
    <w:rsid w:val="00F52965"/>
    <w:rsid w:val="00F52B38"/>
    <w:rsid w:val="00F52E34"/>
    <w:rsid w:val="00F53056"/>
    <w:rsid w:val="00F53103"/>
    <w:rsid w:val="00F53119"/>
    <w:rsid w:val="00F532B7"/>
    <w:rsid w:val="00F533EB"/>
    <w:rsid w:val="00F534AD"/>
    <w:rsid w:val="00F53549"/>
    <w:rsid w:val="00F53AE4"/>
    <w:rsid w:val="00F53E48"/>
    <w:rsid w:val="00F53E86"/>
    <w:rsid w:val="00F53FCC"/>
    <w:rsid w:val="00F54B4D"/>
    <w:rsid w:val="00F54C76"/>
    <w:rsid w:val="00F5526F"/>
    <w:rsid w:val="00F55B36"/>
    <w:rsid w:val="00F55B8A"/>
    <w:rsid w:val="00F5631C"/>
    <w:rsid w:val="00F564CC"/>
    <w:rsid w:val="00F566F0"/>
    <w:rsid w:val="00F56B74"/>
    <w:rsid w:val="00F56DCD"/>
    <w:rsid w:val="00F56FF9"/>
    <w:rsid w:val="00F5702F"/>
    <w:rsid w:val="00F6053F"/>
    <w:rsid w:val="00F60637"/>
    <w:rsid w:val="00F60AC9"/>
    <w:rsid w:val="00F60AD5"/>
    <w:rsid w:val="00F60B34"/>
    <w:rsid w:val="00F61308"/>
    <w:rsid w:val="00F619AB"/>
    <w:rsid w:val="00F623B9"/>
    <w:rsid w:val="00F6284B"/>
    <w:rsid w:val="00F6297F"/>
    <w:rsid w:val="00F62ADD"/>
    <w:rsid w:val="00F631C5"/>
    <w:rsid w:val="00F632A3"/>
    <w:rsid w:val="00F6392D"/>
    <w:rsid w:val="00F644DD"/>
    <w:rsid w:val="00F64657"/>
    <w:rsid w:val="00F6497E"/>
    <w:rsid w:val="00F64D0C"/>
    <w:rsid w:val="00F64F6D"/>
    <w:rsid w:val="00F6507D"/>
    <w:rsid w:val="00F65284"/>
    <w:rsid w:val="00F65308"/>
    <w:rsid w:val="00F6537E"/>
    <w:rsid w:val="00F65532"/>
    <w:rsid w:val="00F6579E"/>
    <w:rsid w:val="00F65DC4"/>
    <w:rsid w:val="00F6605A"/>
    <w:rsid w:val="00F665B8"/>
    <w:rsid w:val="00F6671A"/>
    <w:rsid w:val="00F667F0"/>
    <w:rsid w:val="00F66877"/>
    <w:rsid w:val="00F66B7E"/>
    <w:rsid w:val="00F66B81"/>
    <w:rsid w:val="00F66DBA"/>
    <w:rsid w:val="00F670B4"/>
    <w:rsid w:val="00F672DD"/>
    <w:rsid w:val="00F6758C"/>
    <w:rsid w:val="00F6770B"/>
    <w:rsid w:val="00F67A20"/>
    <w:rsid w:val="00F67B0F"/>
    <w:rsid w:val="00F703B9"/>
    <w:rsid w:val="00F70627"/>
    <w:rsid w:val="00F70637"/>
    <w:rsid w:val="00F70BC8"/>
    <w:rsid w:val="00F70DB8"/>
    <w:rsid w:val="00F70DEB"/>
    <w:rsid w:val="00F711F8"/>
    <w:rsid w:val="00F71818"/>
    <w:rsid w:val="00F72069"/>
    <w:rsid w:val="00F7260B"/>
    <w:rsid w:val="00F72847"/>
    <w:rsid w:val="00F72A7D"/>
    <w:rsid w:val="00F72EA0"/>
    <w:rsid w:val="00F7338C"/>
    <w:rsid w:val="00F735AA"/>
    <w:rsid w:val="00F735CD"/>
    <w:rsid w:val="00F73B7B"/>
    <w:rsid w:val="00F73EAA"/>
    <w:rsid w:val="00F73F85"/>
    <w:rsid w:val="00F73F91"/>
    <w:rsid w:val="00F743DF"/>
    <w:rsid w:val="00F7445F"/>
    <w:rsid w:val="00F75E01"/>
    <w:rsid w:val="00F75EB7"/>
    <w:rsid w:val="00F7656D"/>
    <w:rsid w:val="00F76770"/>
    <w:rsid w:val="00F769A3"/>
    <w:rsid w:val="00F76B83"/>
    <w:rsid w:val="00F77475"/>
    <w:rsid w:val="00F77A97"/>
    <w:rsid w:val="00F77C14"/>
    <w:rsid w:val="00F77DCB"/>
    <w:rsid w:val="00F77E54"/>
    <w:rsid w:val="00F77EBB"/>
    <w:rsid w:val="00F8044A"/>
    <w:rsid w:val="00F80805"/>
    <w:rsid w:val="00F80865"/>
    <w:rsid w:val="00F80BAB"/>
    <w:rsid w:val="00F80C42"/>
    <w:rsid w:val="00F80E5A"/>
    <w:rsid w:val="00F81066"/>
    <w:rsid w:val="00F815A7"/>
    <w:rsid w:val="00F81A9D"/>
    <w:rsid w:val="00F81CEC"/>
    <w:rsid w:val="00F81DD2"/>
    <w:rsid w:val="00F81E89"/>
    <w:rsid w:val="00F8240D"/>
    <w:rsid w:val="00F82428"/>
    <w:rsid w:val="00F82C2C"/>
    <w:rsid w:val="00F8368C"/>
    <w:rsid w:val="00F83E6D"/>
    <w:rsid w:val="00F83FE8"/>
    <w:rsid w:val="00F84279"/>
    <w:rsid w:val="00F84478"/>
    <w:rsid w:val="00F84781"/>
    <w:rsid w:val="00F84E3E"/>
    <w:rsid w:val="00F84E43"/>
    <w:rsid w:val="00F84E4B"/>
    <w:rsid w:val="00F84E50"/>
    <w:rsid w:val="00F84EBA"/>
    <w:rsid w:val="00F85043"/>
    <w:rsid w:val="00F8551E"/>
    <w:rsid w:val="00F8579D"/>
    <w:rsid w:val="00F8589F"/>
    <w:rsid w:val="00F85DE5"/>
    <w:rsid w:val="00F86011"/>
    <w:rsid w:val="00F868D2"/>
    <w:rsid w:val="00F86DB7"/>
    <w:rsid w:val="00F86F42"/>
    <w:rsid w:val="00F871B9"/>
    <w:rsid w:val="00F87697"/>
    <w:rsid w:val="00F87E5E"/>
    <w:rsid w:val="00F87F79"/>
    <w:rsid w:val="00F9073B"/>
    <w:rsid w:val="00F90BDA"/>
    <w:rsid w:val="00F91985"/>
    <w:rsid w:val="00F91EF1"/>
    <w:rsid w:val="00F91FCE"/>
    <w:rsid w:val="00F920D2"/>
    <w:rsid w:val="00F922C6"/>
    <w:rsid w:val="00F92C9E"/>
    <w:rsid w:val="00F92E7E"/>
    <w:rsid w:val="00F92F3C"/>
    <w:rsid w:val="00F93689"/>
    <w:rsid w:val="00F93A64"/>
    <w:rsid w:val="00F94A56"/>
    <w:rsid w:val="00F94A66"/>
    <w:rsid w:val="00F952B8"/>
    <w:rsid w:val="00F953DE"/>
    <w:rsid w:val="00F9559E"/>
    <w:rsid w:val="00F959BF"/>
    <w:rsid w:val="00F95C66"/>
    <w:rsid w:val="00F95CEC"/>
    <w:rsid w:val="00F95FC1"/>
    <w:rsid w:val="00F969E6"/>
    <w:rsid w:val="00F96BF4"/>
    <w:rsid w:val="00F97308"/>
    <w:rsid w:val="00F97E81"/>
    <w:rsid w:val="00FA0280"/>
    <w:rsid w:val="00FA0346"/>
    <w:rsid w:val="00FA0652"/>
    <w:rsid w:val="00FA06E1"/>
    <w:rsid w:val="00FA084B"/>
    <w:rsid w:val="00FA08E1"/>
    <w:rsid w:val="00FA1523"/>
    <w:rsid w:val="00FA1995"/>
    <w:rsid w:val="00FA1AE6"/>
    <w:rsid w:val="00FA1BD0"/>
    <w:rsid w:val="00FA232A"/>
    <w:rsid w:val="00FA236F"/>
    <w:rsid w:val="00FA253B"/>
    <w:rsid w:val="00FA2733"/>
    <w:rsid w:val="00FA2947"/>
    <w:rsid w:val="00FA2AA2"/>
    <w:rsid w:val="00FA2B72"/>
    <w:rsid w:val="00FA3728"/>
    <w:rsid w:val="00FA3796"/>
    <w:rsid w:val="00FA3A7A"/>
    <w:rsid w:val="00FA3B10"/>
    <w:rsid w:val="00FA3EB3"/>
    <w:rsid w:val="00FA3EEA"/>
    <w:rsid w:val="00FA4183"/>
    <w:rsid w:val="00FA465B"/>
    <w:rsid w:val="00FA495C"/>
    <w:rsid w:val="00FA4A3D"/>
    <w:rsid w:val="00FA4CE1"/>
    <w:rsid w:val="00FA5148"/>
    <w:rsid w:val="00FA5650"/>
    <w:rsid w:val="00FA5833"/>
    <w:rsid w:val="00FA5866"/>
    <w:rsid w:val="00FA5880"/>
    <w:rsid w:val="00FA6CCA"/>
    <w:rsid w:val="00FA6D02"/>
    <w:rsid w:val="00FA7133"/>
    <w:rsid w:val="00FA733D"/>
    <w:rsid w:val="00FA7818"/>
    <w:rsid w:val="00FA78CC"/>
    <w:rsid w:val="00FA7C20"/>
    <w:rsid w:val="00FA7D2A"/>
    <w:rsid w:val="00FA7E31"/>
    <w:rsid w:val="00FA7EB0"/>
    <w:rsid w:val="00FB0243"/>
    <w:rsid w:val="00FB08F7"/>
    <w:rsid w:val="00FB16E1"/>
    <w:rsid w:val="00FB1743"/>
    <w:rsid w:val="00FB1C35"/>
    <w:rsid w:val="00FB2123"/>
    <w:rsid w:val="00FB21C9"/>
    <w:rsid w:val="00FB246C"/>
    <w:rsid w:val="00FB29C1"/>
    <w:rsid w:val="00FB2ED6"/>
    <w:rsid w:val="00FB39DA"/>
    <w:rsid w:val="00FB3C70"/>
    <w:rsid w:val="00FB4037"/>
    <w:rsid w:val="00FB434F"/>
    <w:rsid w:val="00FB4892"/>
    <w:rsid w:val="00FB4F22"/>
    <w:rsid w:val="00FB4F60"/>
    <w:rsid w:val="00FB512A"/>
    <w:rsid w:val="00FB57EC"/>
    <w:rsid w:val="00FB595B"/>
    <w:rsid w:val="00FB628B"/>
    <w:rsid w:val="00FB64DC"/>
    <w:rsid w:val="00FB72A2"/>
    <w:rsid w:val="00FB75A3"/>
    <w:rsid w:val="00FB78A3"/>
    <w:rsid w:val="00FB7B43"/>
    <w:rsid w:val="00FB7FCD"/>
    <w:rsid w:val="00FC0855"/>
    <w:rsid w:val="00FC0A46"/>
    <w:rsid w:val="00FC0D9C"/>
    <w:rsid w:val="00FC11FD"/>
    <w:rsid w:val="00FC140D"/>
    <w:rsid w:val="00FC1C61"/>
    <w:rsid w:val="00FC2029"/>
    <w:rsid w:val="00FC2850"/>
    <w:rsid w:val="00FC2875"/>
    <w:rsid w:val="00FC2B5C"/>
    <w:rsid w:val="00FC2D76"/>
    <w:rsid w:val="00FC2D8F"/>
    <w:rsid w:val="00FC2E23"/>
    <w:rsid w:val="00FC2ECD"/>
    <w:rsid w:val="00FC33EC"/>
    <w:rsid w:val="00FC3F51"/>
    <w:rsid w:val="00FC4528"/>
    <w:rsid w:val="00FC46A1"/>
    <w:rsid w:val="00FC4813"/>
    <w:rsid w:val="00FC50DF"/>
    <w:rsid w:val="00FC560E"/>
    <w:rsid w:val="00FC5ED2"/>
    <w:rsid w:val="00FC62B6"/>
    <w:rsid w:val="00FC637B"/>
    <w:rsid w:val="00FC650E"/>
    <w:rsid w:val="00FC6A2C"/>
    <w:rsid w:val="00FC6D45"/>
    <w:rsid w:val="00FC7018"/>
    <w:rsid w:val="00FC7168"/>
    <w:rsid w:val="00FC7229"/>
    <w:rsid w:val="00FC73A7"/>
    <w:rsid w:val="00FC7445"/>
    <w:rsid w:val="00FD0085"/>
    <w:rsid w:val="00FD022E"/>
    <w:rsid w:val="00FD0809"/>
    <w:rsid w:val="00FD0945"/>
    <w:rsid w:val="00FD11E5"/>
    <w:rsid w:val="00FD1A74"/>
    <w:rsid w:val="00FD1B0A"/>
    <w:rsid w:val="00FD1E63"/>
    <w:rsid w:val="00FD1EA4"/>
    <w:rsid w:val="00FD22AF"/>
    <w:rsid w:val="00FD2517"/>
    <w:rsid w:val="00FD31C9"/>
    <w:rsid w:val="00FD33F0"/>
    <w:rsid w:val="00FD357B"/>
    <w:rsid w:val="00FD3846"/>
    <w:rsid w:val="00FD3C2D"/>
    <w:rsid w:val="00FD4009"/>
    <w:rsid w:val="00FD4010"/>
    <w:rsid w:val="00FD4281"/>
    <w:rsid w:val="00FD437F"/>
    <w:rsid w:val="00FD4776"/>
    <w:rsid w:val="00FD48D4"/>
    <w:rsid w:val="00FD5461"/>
    <w:rsid w:val="00FD5755"/>
    <w:rsid w:val="00FD5BEF"/>
    <w:rsid w:val="00FD5C41"/>
    <w:rsid w:val="00FD622B"/>
    <w:rsid w:val="00FD64D2"/>
    <w:rsid w:val="00FD65E0"/>
    <w:rsid w:val="00FD673D"/>
    <w:rsid w:val="00FD691B"/>
    <w:rsid w:val="00FD696F"/>
    <w:rsid w:val="00FD6A33"/>
    <w:rsid w:val="00FD6CF3"/>
    <w:rsid w:val="00FD7490"/>
    <w:rsid w:val="00FD7EFB"/>
    <w:rsid w:val="00FE014C"/>
    <w:rsid w:val="00FE01C9"/>
    <w:rsid w:val="00FE0BE9"/>
    <w:rsid w:val="00FE0E8C"/>
    <w:rsid w:val="00FE0FBA"/>
    <w:rsid w:val="00FE1274"/>
    <w:rsid w:val="00FE12FF"/>
    <w:rsid w:val="00FE1D22"/>
    <w:rsid w:val="00FE1D45"/>
    <w:rsid w:val="00FE1E7E"/>
    <w:rsid w:val="00FE2189"/>
    <w:rsid w:val="00FE23D6"/>
    <w:rsid w:val="00FE27B6"/>
    <w:rsid w:val="00FE2908"/>
    <w:rsid w:val="00FE2940"/>
    <w:rsid w:val="00FE2E41"/>
    <w:rsid w:val="00FE2E4B"/>
    <w:rsid w:val="00FE38E7"/>
    <w:rsid w:val="00FE3B92"/>
    <w:rsid w:val="00FE3C5C"/>
    <w:rsid w:val="00FE3D1B"/>
    <w:rsid w:val="00FE421B"/>
    <w:rsid w:val="00FE4474"/>
    <w:rsid w:val="00FE47A0"/>
    <w:rsid w:val="00FE48A0"/>
    <w:rsid w:val="00FE4B32"/>
    <w:rsid w:val="00FE4F4E"/>
    <w:rsid w:val="00FE5434"/>
    <w:rsid w:val="00FE5EBB"/>
    <w:rsid w:val="00FE5F90"/>
    <w:rsid w:val="00FE660B"/>
    <w:rsid w:val="00FE6672"/>
    <w:rsid w:val="00FE6AD6"/>
    <w:rsid w:val="00FE6F83"/>
    <w:rsid w:val="00FE7456"/>
    <w:rsid w:val="00FE7652"/>
    <w:rsid w:val="00FE7712"/>
    <w:rsid w:val="00FE7838"/>
    <w:rsid w:val="00FE7B95"/>
    <w:rsid w:val="00FE7EB1"/>
    <w:rsid w:val="00FF0454"/>
    <w:rsid w:val="00FF0477"/>
    <w:rsid w:val="00FF0838"/>
    <w:rsid w:val="00FF09F1"/>
    <w:rsid w:val="00FF0B7C"/>
    <w:rsid w:val="00FF0F7D"/>
    <w:rsid w:val="00FF14D0"/>
    <w:rsid w:val="00FF14F1"/>
    <w:rsid w:val="00FF18E4"/>
    <w:rsid w:val="00FF19D6"/>
    <w:rsid w:val="00FF1B4A"/>
    <w:rsid w:val="00FF1D30"/>
    <w:rsid w:val="00FF1E5D"/>
    <w:rsid w:val="00FF1E9E"/>
    <w:rsid w:val="00FF21FA"/>
    <w:rsid w:val="00FF229B"/>
    <w:rsid w:val="00FF2ADB"/>
    <w:rsid w:val="00FF2B9A"/>
    <w:rsid w:val="00FF2E7E"/>
    <w:rsid w:val="00FF3762"/>
    <w:rsid w:val="00FF385C"/>
    <w:rsid w:val="00FF3EA8"/>
    <w:rsid w:val="00FF3F9B"/>
    <w:rsid w:val="00FF4061"/>
    <w:rsid w:val="00FF4207"/>
    <w:rsid w:val="00FF44BB"/>
    <w:rsid w:val="00FF4FAF"/>
    <w:rsid w:val="00FF5DFE"/>
    <w:rsid w:val="00FF5E3B"/>
    <w:rsid w:val="00FF5E85"/>
    <w:rsid w:val="00FF6146"/>
    <w:rsid w:val="00FF626E"/>
    <w:rsid w:val="00FF65E0"/>
    <w:rsid w:val="00FF6CDB"/>
    <w:rsid w:val="00FF705F"/>
    <w:rsid w:val="00FF70DF"/>
    <w:rsid w:val="00FF70E0"/>
    <w:rsid w:val="00FF7939"/>
    <w:rsid w:val="00FF7985"/>
    <w:rsid w:val="00FF7B03"/>
    <w:rsid w:val="00FF7F24"/>
    <w:rsid w:val="01555128"/>
    <w:rsid w:val="01FDCEA0"/>
    <w:rsid w:val="0219EF30"/>
    <w:rsid w:val="0276FED5"/>
    <w:rsid w:val="02CCAEDA"/>
    <w:rsid w:val="02FC0D3B"/>
    <w:rsid w:val="037F0FE5"/>
    <w:rsid w:val="045BB939"/>
    <w:rsid w:val="0486A52A"/>
    <w:rsid w:val="0567FA6B"/>
    <w:rsid w:val="05793040"/>
    <w:rsid w:val="05F7071A"/>
    <w:rsid w:val="061CB133"/>
    <w:rsid w:val="06552700"/>
    <w:rsid w:val="068410A7"/>
    <w:rsid w:val="06EDF447"/>
    <w:rsid w:val="071EFBCA"/>
    <w:rsid w:val="07A9ABEE"/>
    <w:rsid w:val="07CAD5A0"/>
    <w:rsid w:val="07FE1E9C"/>
    <w:rsid w:val="0808F7A1"/>
    <w:rsid w:val="08885882"/>
    <w:rsid w:val="0A43CDB6"/>
    <w:rsid w:val="0AF1DDDD"/>
    <w:rsid w:val="0B30A52C"/>
    <w:rsid w:val="0B474706"/>
    <w:rsid w:val="0B700C4E"/>
    <w:rsid w:val="0C75CE4D"/>
    <w:rsid w:val="0CA08BC3"/>
    <w:rsid w:val="0D0421D4"/>
    <w:rsid w:val="0D201CF9"/>
    <w:rsid w:val="0D833702"/>
    <w:rsid w:val="0DB0C4FB"/>
    <w:rsid w:val="0DE6FADD"/>
    <w:rsid w:val="0E697CF8"/>
    <w:rsid w:val="0EC5B4FC"/>
    <w:rsid w:val="0EE0B79C"/>
    <w:rsid w:val="0EE84D91"/>
    <w:rsid w:val="0FA7E23D"/>
    <w:rsid w:val="0FCB5030"/>
    <w:rsid w:val="10A2519F"/>
    <w:rsid w:val="10E3882F"/>
    <w:rsid w:val="111D4BE9"/>
    <w:rsid w:val="11A6B7CC"/>
    <w:rsid w:val="124832DF"/>
    <w:rsid w:val="12992F25"/>
    <w:rsid w:val="129D0A9A"/>
    <w:rsid w:val="129E4DDD"/>
    <w:rsid w:val="12C6E52C"/>
    <w:rsid w:val="12DD0A65"/>
    <w:rsid w:val="13251392"/>
    <w:rsid w:val="13A6106D"/>
    <w:rsid w:val="1400292C"/>
    <w:rsid w:val="140C77FF"/>
    <w:rsid w:val="1420595A"/>
    <w:rsid w:val="142335CC"/>
    <w:rsid w:val="14891577"/>
    <w:rsid w:val="1492351E"/>
    <w:rsid w:val="149677FF"/>
    <w:rsid w:val="1542B661"/>
    <w:rsid w:val="156A6226"/>
    <w:rsid w:val="15828CED"/>
    <w:rsid w:val="159103BF"/>
    <w:rsid w:val="171B4C44"/>
    <w:rsid w:val="175737A6"/>
    <w:rsid w:val="17925587"/>
    <w:rsid w:val="17C5EF43"/>
    <w:rsid w:val="17D21465"/>
    <w:rsid w:val="181C32A1"/>
    <w:rsid w:val="185F4DC6"/>
    <w:rsid w:val="18DBE36A"/>
    <w:rsid w:val="19395A93"/>
    <w:rsid w:val="19866E68"/>
    <w:rsid w:val="1A2B9C8A"/>
    <w:rsid w:val="1A3483FE"/>
    <w:rsid w:val="1ACCE33C"/>
    <w:rsid w:val="1B997A38"/>
    <w:rsid w:val="1C3AA640"/>
    <w:rsid w:val="1DD88704"/>
    <w:rsid w:val="1DE975FC"/>
    <w:rsid w:val="1E85FE4F"/>
    <w:rsid w:val="1EC97BF2"/>
    <w:rsid w:val="1ED32EE5"/>
    <w:rsid w:val="1F05D43A"/>
    <w:rsid w:val="1F1BE53C"/>
    <w:rsid w:val="1FDA9219"/>
    <w:rsid w:val="1FDC336F"/>
    <w:rsid w:val="2094EC57"/>
    <w:rsid w:val="20D0F281"/>
    <w:rsid w:val="214A4B19"/>
    <w:rsid w:val="21739433"/>
    <w:rsid w:val="21EC8BA4"/>
    <w:rsid w:val="21EC98BA"/>
    <w:rsid w:val="2250A27B"/>
    <w:rsid w:val="2255DA6D"/>
    <w:rsid w:val="237E2850"/>
    <w:rsid w:val="2473B6A0"/>
    <w:rsid w:val="2486E082"/>
    <w:rsid w:val="2497FA86"/>
    <w:rsid w:val="24FB783C"/>
    <w:rsid w:val="251A4E9E"/>
    <w:rsid w:val="253F3F2C"/>
    <w:rsid w:val="2567D11D"/>
    <w:rsid w:val="2571FBA2"/>
    <w:rsid w:val="25D81211"/>
    <w:rsid w:val="25DD3D3E"/>
    <w:rsid w:val="25FFA6E8"/>
    <w:rsid w:val="261076B3"/>
    <w:rsid w:val="261F1DCC"/>
    <w:rsid w:val="26CFCDD1"/>
    <w:rsid w:val="280F4EA9"/>
    <w:rsid w:val="283B2F69"/>
    <w:rsid w:val="28E37CF6"/>
    <w:rsid w:val="293A2776"/>
    <w:rsid w:val="29437BDE"/>
    <w:rsid w:val="29D9806E"/>
    <w:rsid w:val="29DE1EA3"/>
    <w:rsid w:val="2B017791"/>
    <w:rsid w:val="2B35A13F"/>
    <w:rsid w:val="2B7F2E0D"/>
    <w:rsid w:val="2C3E3588"/>
    <w:rsid w:val="2C5DBF96"/>
    <w:rsid w:val="2CF4109E"/>
    <w:rsid w:val="2D0CAD24"/>
    <w:rsid w:val="2D1CCE00"/>
    <w:rsid w:val="2D30CF34"/>
    <w:rsid w:val="2D789EC8"/>
    <w:rsid w:val="2E10B17C"/>
    <w:rsid w:val="2E7276F9"/>
    <w:rsid w:val="2EB5A84C"/>
    <w:rsid w:val="2EF2F845"/>
    <w:rsid w:val="2F39ED8C"/>
    <w:rsid w:val="2F541ED3"/>
    <w:rsid w:val="2F7F7728"/>
    <w:rsid w:val="2F81DD1F"/>
    <w:rsid w:val="2FCAB68C"/>
    <w:rsid w:val="2FCC66B0"/>
    <w:rsid w:val="30318E98"/>
    <w:rsid w:val="3057C66B"/>
    <w:rsid w:val="30B6A8D2"/>
    <w:rsid w:val="31BDE21A"/>
    <w:rsid w:val="322E74F3"/>
    <w:rsid w:val="3257E515"/>
    <w:rsid w:val="3285C9D0"/>
    <w:rsid w:val="329DF6F8"/>
    <w:rsid w:val="33602B02"/>
    <w:rsid w:val="33C6F560"/>
    <w:rsid w:val="33E89950"/>
    <w:rsid w:val="34972310"/>
    <w:rsid w:val="34E34E8E"/>
    <w:rsid w:val="34F8B45E"/>
    <w:rsid w:val="35F94AC4"/>
    <w:rsid w:val="366101A1"/>
    <w:rsid w:val="378800EC"/>
    <w:rsid w:val="38016A0F"/>
    <w:rsid w:val="38468DF2"/>
    <w:rsid w:val="39366862"/>
    <w:rsid w:val="3987761A"/>
    <w:rsid w:val="3995F552"/>
    <w:rsid w:val="39C32FB4"/>
    <w:rsid w:val="39E3A07D"/>
    <w:rsid w:val="3A242AC1"/>
    <w:rsid w:val="3A49D994"/>
    <w:rsid w:val="3A780802"/>
    <w:rsid w:val="3ACBB71E"/>
    <w:rsid w:val="3B14EC4A"/>
    <w:rsid w:val="3BFF1E7E"/>
    <w:rsid w:val="3CC752C2"/>
    <w:rsid w:val="3CF264FF"/>
    <w:rsid w:val="3E063E5D"/>
    <w:rsid w:val="3E594827"/>
    <w:rsid w:val="3E796E6B"/>
    <w:rsid w:val="3F533BA7"/>
    <w:rsid w:val="3F80860B"/>
    <w:rsid w:val="3F87BBD8"/>
    <w:rsid w:val="3FF370DA"/>
    <w:rsid w:val="40B4A4E2"/>
    <w:rsid w:val="412F4AA0"/>
    <w:rsid w:val="41928829"/>
    <w:rsid w:val="422C4BDF"/>
    <w:rsid w:val="423DAAA0"/>
    <w:rsid w:val="4242C91C"/>
    <w:rsid w:val="42BA561D"/>
    <w:rsid w:val="42C13AE2"/>
    <w:rsid w:val="43194684"/>
    <w:rsid w:val="4357F873"/>
    <w:rsid w:val="44526D2F"/>
    <w:rsid w:val="44E54EC7"/>
    <w:rsid w:val="456E9716"/>
    <w:rsid w:val="4570F855"/>
    <w:rsid w:val="46279BEB"/>
    <w:rsid w:val="4687724E"/>
    <w:rsid w:val="46D1EA5C"/>
    <w:rsid w:val="46DA3933"/>
    <w:rsid w:val="47448119"/>
    <w:rsid w:val="48435451"/>
    <w:rsid w:val="48A9D71B"/>
    <w:rsid w:val="49048D54"/>
    <w:rsid w:val="4961C4E4"/>
    <w:rsid w:val="49AD0D17"/>
    <w:rsid w:val="4A064627"/>
    <w:rsid w:val="4A3DC66B"/>
    <w:rsid w:val="4B1C2895"/>
    <w:rsid w:val="4C25AAA8"/>
    <w:rsid w:val="4D280383"/>
    <w:rsid w:val="4D3B756C"/>
    <w:rsid w:val="4D3C034D"/>
    <w:rsid w:val="4D46C1B4"/>
    <w:rsid w:val="4D506898"/>
    <w:rsid w:val="4DB4C974"/>
    <w:rsid w:val="4E100B68"/>
    <w:rsid w:val="4E1BDC5E"/>
    <w:rsid w:val="4E8148B7"/>
    <w:rsid w:val="4E894B72"/>
    <w:rsid w:val="4E9B18CB"/>
    <w:rsid w:val="4ED93B22"/>
    <w:rsid w:val="4EF38D52"/>
    <w:rsid w:val="4EFD8CE7"/>
    <w:rsid w:val="4F934FE6"/>
    <w:rsid w:val="4FCC97C5"/>
    <w:rsid w:val="501EC8B4"/>
    <w:rsid w:val="505029C6"/>
    <w:rsid w:val="506435D6"/>
    <w:rsid w:val="5081FA9B"/>
    <w:rsid w:val="50C6A3D9"/>
    <w:rsid w:val="5100E444"/>
    <w:rsid w:val="51117E3B"/>
    <w:rsid w:val="5179E398"/>
    <w:rsid w:val="51F7E0C0"/>
    <w:rsid w:val="521965CA"/>
    <w:rsid w:val="52F08250"/>
    <w:rsid w:val="533BAA96"/>
    <w:rsid w:val="535E1DAD"/>
    <w:rsid w:val="53881CFC"/>
    <w:rsid w:val="53F60D57"/>
    <w:rsid w:val="556DB8DF"/>
    <w:rsid w:val="558F09A5"/>
    <w:rsid w:val="5664C434"/>
    <w:rsid w:val="56961CFA"/>
    <w:rsid w:val="577D5E39"/>
    <w:rsid w:val="57FB56E6"/>
    <w:rsid w:val="5860386F"/>
    <w:rsid w:val="58918EBD"/>
    <w:rsid w:val="58F991B5"/>
    <w:rsid w:val="5994E694"/>
    <w:rsid w:val="5A139EA7"/>
    <w:rsid w:val="5A67479D"/>
    <w:rsid w:val="5A7859F6"/>
    <w:rsid w:val="5BED7C80"/>
    <w:rsid w:val="5D610C84"/>
    <w:rsid w:val="5DC6E261"/>
    <w:rsid w:val="5E18DE0D"/>
    <w:rsid w:val="60132A60"/>
    <w:rsid w:val="6023C291"/>
    <w:rsid w:val="607DB595"/>
    <w:rsid w:val="608ABD2C"/>
    <w:rsid w:val="61AC7DBC"/>
    <w:rsid w:val="61B6833B"/>
    <w:rsid w:val="62080626"/>
    <w:rsid w:val="623D2A38"/>
    <w:rsid w:val="623E83FD"/>
    <w:rsid w:val="63B41466"/>
    <w:rsid w:val="64CE71FF"/>
    <w:rsid w:val="64CF29DE"/>
    <w:rsid w:val="65D1EA56"/>
    <w:rsid w:val="66F99980"/>
    <w:rsid w:val="66FDA6E3"/>
    <w:rsid w:val="6734C754"/>
    <w:rsid w:val="67E6AF48"/>
    <w:rsid w:val="68824F7B"/>
    <w:rsid w:val="68BE08B7"/>
    <w:rsid w:val="6936C181"/>
    <w:rsid w:val="6A2A13E1"/>
    <w:rsid w:val="6AA950C3"/>
    <w:rsid w:val="6B6A03A5"/>
    <w:rsid w:val="6B80D3EA"/>
    <w:rsid w:val="6BA1EFBD"/>
    <w:rsid w:val="6BB369D2"/>
    <w:rsid w:val="6BC5038D"/>
    <w:rsid w:val="6C160846"/>
    <w:rsid w:val="6D423825"/>
    <w:rsid w:val="6DB14441"/>
    <w:rsid w:val="6DC91252"/>
    <w:rsid w:val="6E126409"/>
    <w:rsid w:val="6E2EE4B5"/>
    <w:rsid w:val="6E715203"/>
    <w:rsid w:val="6EF9CF4A"/>
    <w:rsid w:val="6F2F2720"/>
    <w:rsid w:val="6FAF0E25"/>
    <w:rsid w:val="702870B3"/>
    <w:rsid w:val="7086114B"/>
    <w:rsid w:val="71CC9B68"/>
    <w:rsid w:val="72C888DA"/>
    <w:rsid w:val="7328E58F"/>
    <w:rsid w:val="7359151C"/>
    <w:rsid w:val="73D14C34"/>
    <w:rsid w:val="73E9AC02"/>
    <w:rsid w:val="74640AFB"/>
    <w:rsid w:val="747621DD"/>
    <w:rsid w:val="74ACF049"/>
    <w:rsid w:val="752CF513"/>
    <w:rsid w:val="75B6D7CD"/>
    <w:rsid w:val="77845EE6"/>
    <w:rsid w:val="778C2C83"/>
    <w:rsid w:val="77BCFED9"/>
    <w:rsid w:val="77E2CCDD"/>
    <w:rsid w:val="77F1B7EE"/>
    <w:rsid w:val="789C1E8E"/>
    <w:rsid w:val="7913E4D2"/>
    <w:rsid w:val="795E3B48"/>
    <w:rsid w:val="799AF773"/>
    <w:rsid w:val="79AAA854"/>
    <w:rsid w:val="7B6DC2CC"/>
    <w:rsid w:val="7B9ECC14"/>
    <w:rsid w:val="7C1DBE38"/>
    <w:rsid w:val="7C32D23D"/>
    <w:rsid w:val="7C334A1B"/>
    <w:rsid w:val="7C35A676"/>
    <w:rsid w:val="7CCFD8D4"/>
    <w:rsid w:val="7CFFDC52"/>
    <w:rsid w:val="7DD348A5"/>
    <w:rsid w:val="7DDC0691"/>
    <w:rsid w:val="7E860249"/>
    <w:rsid w:val="7F6D31AC"/>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2EC84C"/>
  <w15:docId w15:val="{AF776A9C-6F23-4589-A701-0AB0FE6FB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D83A15"/>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BodyText"/>
    <w:link w:val="Heading1Char"/>
    <w:uiPriority w:val="9"/>
    <w:qFormat/>
    <w:rsid w:val="00D83A15"/>
    <w:pPr>
      <w:keepNext/>
      <w:tabs>
        <w:tab w:val="left" w:pos="284"/>
      </w:tabs>
      <w:spacing w:after="720"/>
      <w:outlineLvl w:val="0"/>
    </w:pPr>
    <w:rPr>
      <w:rFonts w:ascii="Arial" w:hAnsi="Arial"/>
      <w:caps/>
      <w:color w:val="1D3278"/>
      <w:kern w:val="28"/>
      <w:sz w:val="40"/>
      <w:szCs w:val="36"/>
      <w:lang w:val="en-AU"/>
    </w:rPr>
  </w:style>
  <w:style w:type="paragraph" w:styleId="Heading2">
    <w:name w:val="heading 2"/>
    <w:basedOn w:val="Normal"/>
    <w:next w:val="BodyText"/>
    <w:link w:val="Heading2Char"/>
    <w:rsid w:val="00A56D74"/>
    <w:pPr>
      <w:keepNext/>
      <w:widowControl w:val="0"/>
      <w:numPr>
        <w:numId w:val="29"/>
      </w:numPr>
      <w:pBdr>
        <w:bottom w:val="single" w:sz="4" w:space="4" w:color="53C8E9"/>
      </w:pBdr>
      <w:spacing w:before="240" w:after="100"/>
      <w:outlineLvl w:val="1"/>
    </w:pPr>
    <w:rPr>
      <w:rFonts w:ascii="Arial Bold" w:hAnsi="Arial Bold"/>
      <w:b/>
      <w:color w:val="53C8E9"/>
      <w:kern w:val="28"/>
      <w:sz w:val="28"/>
      <w:szCs w:val="36"/>
      <w:lang w:val="en-AU"/>
    </w:rPr>
  </w:style>
  <w:style w:type="paragraph" w:styleId="Heading3">
    <w:name w:val="heading 3"/>
    <w:basedOn w:val="Heading2"/>
    <w:next w:val="BodyText"/>
    <w:link w:val="Heading3Char"/>
    <w:qFormat/>
    <w:rsid w:val="004710D7"/>
    <w:pPr>
      <w:numPr>
        <w:numId w:val="0"/>
      </w:numPr>
      <w:pBdr>
        <w:bottom w:val="none" w:sz="0" w:space="0" w:color="auto"/>
      </w:pBdr>
      <w:spacing w:before="320" w:after="120" w:line="240" w:lineRule="atLeast"/>
      <w:outlineLvl w:val="2"/>
    </w:pPr>
    <w:rPr>
      <w:color w:val="auto"/>
      <w:sz w:val="26"/>
    </w:rPr>
  </w:style>
  <w:style w:type="paragraph" w:styleId="Heading4">
    <w:name w:val="heading 4"/>
    <w:basedOn w:val="Heading3"/>
    <w:next w:val="Normal"/>
    <w:link w:val="Heading4Char"/>
    <w:qFormat/>
    <w:rsid w:val="00D83A15"/>
    <w:pPr>
      <w:outlineLvl w:val="3"/>
    </w:pPr>
    <w:rPr>
      <w:sz w:val="25"/>
    </w:rPr>
  </w:style>
  <w:style w:type="paragraph" w:styleId="Heading5">
    <w:name w:val="heading 5"/>
    <w:basedOn w:val="Heading4"/>
    <w:next w:val="BodyText"/>
    <w:link w:val="Heading5Char"/>
    <w:qFormat/>
    <w:rsid w:val="00D83A15"/>
    <w:pPr>
      <w:spacing w:after="60" w:line="320" w:lineRule="exact"/>
      <w:outlineLvl w:val="4"/>
    </w:pPr>
    <w:rPr>
      <w:b w:val="0"/>
      <w:i/>
      <w:sz w:val="24"/>
    </w:rPr>
  </w:style>
  <w:style w:type="paragraph" w:styleId="Heading6">
    <w:name w:val="heading 6"/>
    <w:basedOn w:val="Heading1"/>
    <w:next w:val="Normal"/>
    <w:link w:val="Heading6Char"/>
    <w:qFormat/>
    <w:rsid w:val="00D83A15"/>
    <w:pPr>
      <w:spacing w:before="120"/>
      <w:outlineLvl w:val="5"/>
    </w:pPr>
    <w:rPr>
      <w:rFonts w:ascii="Times New Roman" w:hAnsi="Times New Roman"/>
      <w:b/>
      <w:i/>
      <w:caps w:val="0"/>
      <w:kern w:val="0"/>
      <w:sz w:val="24"/>
    </w:rPr>
  </w:style>
  <w:style w:type="paragraph" w:styleId="Heading7">
    <w:name w:val="heading 7"/>
    <w:basedOn w:val="Heading5"/>
    <w:next w:val="Normal"/>
    <w:link w:val="Heading7Char"/>
    <w:qFormat/>
    <w:rsid w:val="00D83A15"/>
    <w:pPr>
      <w:spacing w:before="120"/>
      <w:ind w:left="425"/>
      <w:jc w:val="both"/>
      <w:outlineLvl w:val="6"/>
    </w:pPr>
    <w:rPr>
      <w:i w:val="0"/>
      <w:sz w:val="23"/>
    </w:rPr>
  </w:style>
  <w:style w:type="paragraph" w:styleId="Heading8">
    <w:name w:val="heading 8"/>
    <w:basedOn w:val="Heading7"/>
    <w:next w:val="Normal"/>
    <w:link w:val="Heading8Char"/>
    <w:qFormat/>
    <w:rsid w:val="00D83A15"/>
    <w:pPr>
      <w:outlineLvl w:val="7"/>
    </w:pPr>
    <w:rPr>
      <w:i/>
    </w:rPr>
  </w:style>
  <w:style w:type="paragraph" w:styleId="Heading9">
    <w:name w:val="heading 9"/>
    <w:basedOn w:val="Heading8"/>
    <w:next w:val="Normal"/>
    <w:link w:val="Heading9Char"/>
    <w:qFormat/>
    <w:rsid w:val="00D83A15"/>
    <w:pPr>
      <w:ind w:left="851"/>
      <w:outlineLvl w:val="8"/>
    </w:pPr>
    <w:rPr>
      <w:i w: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D83A15"/>
    <w:rPr>
      <w:rFonts w:ascii="Arial" w:eastAsia="Times New Roman" w:hAnsi="Arial" w:cs="Times New Roman"/>
      <w:caps/>
      <w:color w:val="1D3278"/>
      <w:kern w:val="28"/>
      <w:sz w:val="40"/>
      <w:szCs w:val="36"/>
    </w:rPr>
  </w:style>
  <w:style w:type="character" w:customStyle="1" w:styleId="Heading2Char">
    <w:name w:val="Heading 2 Char"/>
    <w:link w:val="Heading2"/>
    <w:rsid w:val="00A56D74"/>
    <w:rPr>
      <w:rFonts w:ascii="Arial Bold" w:eastAsia="Times New Roman" w:hAnsi="Arial Bold" w:cs="Times New Roman"/>
      <w:b/>
      <w:color w:val="53C8E9"/>
      <w:kern w:val="28"/>
      <w:sz w:val="28"/>
      <w:szCs w:val="36"/>
    </w:rPr>
  </w:style>
  <w:style w:type="paragraph" w:styleId="BalloonText">
    <w:name w:val="Balloon Text"/>
    <w:basedOn w:val="Normal"/>
    <w:link w:val="BalloonTextChar"/>
    <w:rsid w:val="00D83A15"/>
    <w:rPr>
      <w:rFonts w:ascii="Tahoma" w:hAnsi="Tahoma" w:cs="Tahoma"/>
      <w:sz w:val="16"/>
      <w:szCs w:val="16"/>
    </w:rPr>
  </w:style>
  <w:style w:type="character" w:customStyle="1" w:styleId="BalloonTextChar">
    <w:name w:val="Balloon Text Char"/>
    <w:link w:val="BalloonText"/>
    <w:rsid w:val="00D83A15"/>
    <w:rPr>
      <w:rFonts w:ascii="Tahoma" w:eastAsia="Times New Roman" w:hAnsi="Tahoma" w:cs="Tahoma"/>
      <w:sz w:val="16"/>
      <w:szCs w:val="16"/>
      <w:lang w:val="en-US"/>
    </w:rPr>
  </w:style>
  <w:style w:type="paragraph" w:styleId="BodyText">
    <w:name w:val="Body Text"/>
    <w:link w:val="BodyTextChar"/>
    <w:autoRedefine/>
    <w:rsid w:val="00A6600D"/>
    <w:pPr>
      <w:spacing w:before="160" w:after="100" w:line="240" w:lineRule="atLeast"/>
    </w:pPr>
    <w:rPr>
      <w:rFonts w:ascii="Arial" w:hAnsi="Arial" w:cs="Arial"/>
      <w:sz w:val="23"/>
      <w:szCs w:val="20"/>
    </w:rPr>
  </w:style>
  <w:style w:type="character" w:customStyle="1" w:styleId="BodyTextChar">
    <w:name w:val="Body Text Char"/>
    <w:basedOn w:val="DefaultParagraphFont"/>
    <w:link w:val="BodyText"/>
    <w:rsid w:val="00A6600D"/>
    <w:rPr>
      <w:rFonts w:ascii="Arial" w:hAnsi="Arial" w:cs="Arial"/>
      <w:sz w:val="23"/>
      <w:szCs w:val="20"/>
    </w:rPr>
  </w:style>
  <w:style w:type="paragraph" w:customStyle="1" w:styleId="BodyText-Box">
    <w:name w:val="Body Text - Box"/>
    <w:basedOn w:val="BodyText"/>
    <w:autoRedefine/>
    <w:rsid w:val="00D83A15"/>
    <w:pPr>
      <w:tabs>
        <w:tab w:val="left" w:pos="567"/>
      </w:tabs>
      <w:spacing w:before="120" w:after="120"/>
      <w:ind w:right="-143"/>
    </w:pPr>
    <w:rPr>
      <w:rFonts w:ascii="Times New Roman" w:hAnsi="Times New Roman"/>
      <w:color w:val="000000"/>
      <w:sz w:val="21"/>
      <w:szCs w:val="21"/>
      <w:lang w:eastAsia="en-AU"/>
    </w:rPr>
  </w:style>
  <w:style w:type="paragraph" w:customStyle="1" w:styleId="BodyTextBox">
    <w:name w:val="Body Text Box"/>
    <w:basedOn w:val="Normal"/>
    <w:autoRedefine/>
    <w:rsid w:val="00F61308"/>
    <w:pPr>
      <w:spacing w:before="120" w:after="80"/>
    </w:pPr>
    <w:rPr>
      <w:rFonts w:ascii="Arial" w:hAnsi="Arial" w:cs="Arial"/>
      <w:noProof/>
      <w:color w:val="008EBA"/>
      <w:sz w:val="23"/>
      <w:szCs w:val="19"/>
      <w:lang w:val="en-AU" w:eastAsia="en-AU"/>
    </w:rPr>
  </w:style>
  <w:style w:type="paragraph" w:customStyle="1" w:styleId="ObjectHeading">
    <w:name w:val="Object Heading"/>
    <w:basedOn w:val="Heading3"/>
    <w:next w:val="Normal"/>
    <w:rsid w:val="00D83A15"/>
    <w:pPr>
      <w:tabs>
        <w:tab w:val="left" w:pos="1418"/>
      </w:tabs>
      <w:ind w:left="1418" w:hanging="1418"/>
    </w:pPr>
    <w:rPr>
      <w:kern w:val="0"/>
    </w:rPr>
  </w:style>
  <w:style w:type="paragraph" w:customStyle="1" w:styleId="Box61BoxHeading">
    <w:name w:val="Box 6.1 Box Heading"/>
    <w:basedOn w:val="ObjectHeading"/>
    <w:autoRedefine/>
    <w:rsid w:val="000745E9"/>
    <w:pPr>
      <w:keepNext w:val="0"/>
      <w:keepLines/>
      <w:numPr>
        <w:numId w:val="57"/>
      </w:numPr>
      <w:tabs>
        <w:tab w:val="clear" w:pos="1418"/>
        <w:tab w:val="left" w:pos="1134"/>
      </w:tabs>
      <w:spacing w:before="80" w:after="60"/>
      <w:outlineLvl w:val="9"/>
    </w:pPr>
    <w:rPr>
      <w:rFonts w:ascii="Arial" w:eastAsia="Arial Unicode MS" w:hAnsi="Arial" w:cs="Arial"/>
      <w:b w:val="0"/>
      <w:bCs/>
      <w:sz w:val="17"/>
      <w:szCs w:val="17"/>
      <w:lang w:eastAsia="en-AU"/>
    </w:rPr>
  </w:style>
  <w:style w:type="paragraph" w:customStyle="1" w:styleId="Bullet1">
    <w:name w:val="Bullet 1"/>
    <w:basedOn w:val="BodyText"/>
    <w:link w:val="Bullet1Char"/>
    <w:autoRedefine/>
    <w:rsid w:val="003B4BAC"/>
    <w:pPr>
      <w:numPr>
        <w:numId w:val="16"/>
      </w:numPr>
      <w:spacing w:before="120" w:after="80"/>
      <w:ind w:left="357" w:hanging="357"/>
    </w:pPr>
    <w:rPr>
      <w:rFonts w:eastAsia="Times New Roman"/>
    </w:rPr>
  </w:style>
  <w:style w:type="character" w:customStyle="1" w:styleId="Bullet1Char">
    <w:name w:val="Bullet 1 Char"/>
    <w:link w:val="Bullet1"/>
    <w:rsid w:val="003B4BAC"/>
    <w:rPr>
      <w:rFonts w:ascii="Arial" w:eastAsia="Times New Roman" w:hAnsi="Arial" w:cs="Arial"/>
      <w:sz w:val="23"/>
      <w:szCs w:val="20"/>
    </w:rPr>
  </w:style>
  <w:style w:type="paragraph" w:customStyle="1" w:styleId="Bullet1inabox">
    <w:name w:val="Bullet 1 in a box"/>
    <w:basedOn w:val="Bullet1"/>
    <w:autoRedefine/>
    <w:rsid w:val="003B4BAC"/>
    <w:pPr>
      <w:numPr>
        <w:numId w:val="60"/>
      </w:numPr>
      <w:spacing w:before="100" w:after="60"/>
      <w:ind w:left="357" w:hanging="357"/>
    </w:pPr>
    <w:rPr>
      <w:rFonts w:cs="Times New Roman"/>
      <w:noProof/>
      <w:color w:val="008EBA"/>
      <w:lang w:eastAsia="en-AU"/>
    </w:rPr>
  </w:style>
  <w:style w:type="character" w:customStyle="1" w:styleId="Heading3Char">
    <w:name w:val="Heading 3 Char"/>
    <w:link w:val="Heading3"/>
    <w:rsid w:val="004710D7"/>
    <w:rPr>
      <w:rFonts w:ascii="Arial Bold" w:eastAsia="Times New Roman" w:hAnsi="Arial Bold" w:cs="Times New Roman"/>
      <w:b/>
      <w:kern w:val="28"/>
      <w:sz w:val="26"/>
      <w:szCs w:val="36"/>
    </w:rPr>
  </w:style>
  <w:style w:type="paragraph" w:customStyle="1" w:styleId="Bullet1Paragraph">
    <w:name w:val="Bullet 1 Paragraph"/>
    <w:basedOn w:val="Normal"/>
    <w:rsid w:val="00D83A15"/>
    <w:pPr>
      <w:ind w:left="425"/>
    </w:pPr>
  </w:style>
  <w:style w:type="paragraph" w:customStyle="1" w:styleId="Bullet2">
    <w:name w:val="Bullet 2"/>
    <w:basedOn w:val="Bullet1"/>
    <w:rsid w:val="000D1820"/>
    <w:pPr>
      <w:numPr>
        <w:numId w:val="1"/>
      </w:numPr>
      <w:tabs>
        <w:tab w:val="left" w:pos="851"/>
      </w:tabs>
      <w:spacing w:before="80" w:after="40"/>
    </w:pPr>
  </w:style>
  <w:style w:type="paragraph" w:customStyle="1" w:styleId="Bullet2innumberedlist">
    <w:name w:val="Bullet 2 in numbered list"/>
    <w:basedOn w:val="Bullet2"/>
    <w:rsid w:val="00D83A15"/>
    <w:pPr>
      <w:numPr>
        <w:numId w:val="0"/>
      </w:numPr>
      <w:tabs>
        <w:tab w:val="num" w:pos="851"/>
      </w:tabs>
      <w:spacing w:after="0"/>
      <w:ind w:left="851" w:hanging="426"/>
    </w:pPr>
  </w:style>
  <w:style w:type="paragraph" w:customStyle="1" w:styleId="Bullet2Paragraph">
    <w:name w:val="Bullet 2 Paragraph"/>
    <w:basedOn w:val="Bullet1Paragraph"/>
    <w:rsid w:val="00D83A15"/>
    <w:pPr>
      <w:ind w:left="851"/>
    </w:pPr>
  </w:style>
  <w:style w:type="paragraph" w:customStyle="1" w:styleId="Bullet3">
    <w:name w:val="Bullet 3"/>
    <w:basedOn w:val="Bullet2"/>
    <w:rsid w:val="00D83A15"/>
    <w:pPr>
      <w:numPr>
        <w:numId w:val="2"/>
      </w:numPr>
    </w:pPr>
  </w:style>
  <w:style w:type="paragraph" w:customStyle="1" w:styleId="Bullet3Paragraph">
    <w:name w:val="Bullet 3 Paragraph"/>
    <w:basedOn w:val="Bullet2Paragraph"/>
    <w:rsid w:val="00D83A15"/>
    <w:pPr>
      <w:ind w:left="1276"/>
    </w:pPr>
  </w:style>
  <w:style w:type="paragraph" w:customStyle="1" w:styleId="Bullet4">
    <w:name w:val="Bullet 4"/>
    <w:basedOn w:val="Bullet3"/>
    <w:rsid w:val="00D83A15"/>
    <w:pPr>
      <w:numPr>
        <w:numId w:val="3"/>
      </w:numPr>
    </w:pPr>
  </w:style>
  <w:style w:type="paragraph" w:customStyle="1" w:styleId="Bullet4Paragraph">
    <w:name w:val="Bullet 4 Paragraph"/>
    <w:basedOn w:val="Bullet3Paragraph"/>
    <w:rsid w:val="00D83A15"/>
    <w:pPr>
      <w:ind w:left="1701"/>
    </w:pPr>
  </w:style>
  <w:style w:type="paragraph" w:customStyle="1" w:styleId="ChapterHeadingStyle">
    <w:name w:val="Chapter Heading Style"/>
    <w:basedOn w:val="Normal"/>
    <w:rsid w:val="00D83A15"/>
    <w:pPr>
      <w:keepNext/>
      <w:keepLines/>
      <w:pBdr>
        <w:bottom w:val="threeDEmboss" w:sz="24" w:space="1" w:color="000000"/>
      </w:pBdr>
      <w:tabs>
        <w:tab w:val="left" w:pos="1134"/>
        <w:tab w:val="left" w:pos="2268"/>
      </w:tabs>
      <w:spacing w:after="120"/>
      <w:ind w:left="2268" w:hanging="2268"/>
      <w:outlineLvl w:val="0"/>
    </w:pPr>
    <w:rPr>
      <w:rFonts w:ascii="Tahoma" w:hAnsi="Tahoma"/>
      <w:b/>
      <w:caps/>
      <w:color w:val="000000"/>
      <w:kern w:val="28"/>
      <w:sz w:val="32"/>
      <w:lang w:val="en-AU"/>
    </w:rPr>
  </w:style>
  <w:style w:type="paragraph" w:customStyle="1" w:styleId="Chart6X">
    <w:name w:val="Chart 6.X"/>
    <w:basedOn w:val="Normal"/>
    <w:next w:val="Normal"/>
    <w:rsid w:val="0063421B"/>
    <w:pPr>
      <w:keepLines/>
      <w:numPr>
        <w:numId w:val="32"/>
      </w:numPr>
      <w:tabs>
        <w:tab w:val="left" w:pos="1304"/>
      </w:tabs>
      <w:spacing w:before="240" w:after="120"/>
      <w:ind w:left="357" w:hanging="357"/>
    </w:pPr>
    <w:rPr>
      <w:rFonts w:ascii="Arial" w:hAnsi="Arial"/>
      <w:i/>
      <w:color w:val="4F4F4F"/>
      <w:sz w:val="22"/>
    </w:rPr>
  </w:style>
  <w:style w:type="paragraph" w:customStyle="1" w:styleId="ChartHeading">
    <w:name w:val="Chart Heading"/>
    <w:basedOn w:val="Normal"/>
    <w:autoRedefine/>
    <w:rsid w:val="00D83A15"/>
    <w:pPr>
      <w:keepNext/>
      <w:widowControl w:val="0"/>
      <w:spacing w:before="240" w:after="120"/>
    </w:pPr>
    <w:rPr>
      <w:rFonts w:ascii="Arial" w:hAnsi="Arial"/>
      <w:b/>
      <w:sz w:val="24"/>
    </w:rPr>
  </w:style>
  <w:style w:type="character" w:styleId="EndnoteReference">
    <w:name w:val="endnote reference"/>
    <w:semiHidden/>
    <w:rsid w:val="00D83A15"/>
    <w:rPr>
      <w:i/>
      <w:sz w:val="16"/>
      <w:vertAlign w:val="superscript"/>
    </w:rPr>
  </w:style>
  <w:style w:type="paragraph" w:styleId="Footer">
    <w:name w:val="footer"/>
    <w:basedOn w:val="Normal"/>
    <w:link w:val="FooterChar"/>
    <w:rsid w:val="00D83A15"/>
    <w:pPr>
      <w:pBdr>
        <w:top w:val="single" w:sz="4" w:space="1" w:color="auto"/>
      </w:pBdr>
      <w:tabs>
        <w:tab w:val="right" w:pos="7655"/>
      </w:tabs>
    </w:pPr>
    <w:rPr>
      <w:rFonts w:ascii="Arial" w:hAnsi="Arial"/>
      <w:sz w:val="18"/>
    </w:rPr>
  </w:style>
  <w:style w:type="character" w:customStyle="1" w:styleId="FooterChar">
    <w:name w:val="Footer Char"/>
    <w:basedOn w:val="DefaultParagraphFont"/>
    <w:link w:val="Footer"/>
    <w:rsid w:val="00D83A15"/>
    <w:rPr>
      <w:rFonts w:ascii="Arial" w:eastAsia="Times New Roman" w:hAnsi="Arial" w:cs="Times New Roman"/>
      <w:sz w:val="18"/>
      <w:szCs w:val="20"/>
      <w:lang w:val="en-US"/>
    </w:rPr>
  </w:style>
  <w:style w:type="character" w:styleId="FootnoteReference">
    <w:name w:val="footnote reference"/>
    <w:semiHidden/>
    <w:rsid w:val="00D83A15"/>
    <w:rPr>
      <w:vertAlign w:val="superscript"/>
    </w:rPr>
  </w:style>
  <w:style w:type="paragraph" w:styleId="FootnoteText">
    <w:name w:val="footnote text"/>
    <w:basedOn w:val="Normal"/>
    <w:link w:val="FootnoteTextChar"/>
    <w:semiHidden/>
    <w:rsid w:val="00D83A15"/>
    <w:pPr>
      <w:spacing w:before="80" w:after="80"/>
      <w:ind w:left="709" w:hanging="142"/>
    </w:pPr>
    <w:rPr>
      <w:i/>
      <w:sz w:val="16"/>
    </w:rPr>
  </w:style>
  <w:style w:type="character" w:customStyle="1" w:styleId="FootnoteTextChar">
    <w:name w:val="Footnote Text Char"/>
    <w:basedOn w:val="DefaultParagraphFont"/>
    <w:link w:val="FootnoteText"/>
    <w:semiHidden/>
    <w:rsid w:val="00D83A15"/>
    <w:rPr>
      <w:rFonts w:ascii="Times New Roman" w:eastAsia="Times New Roman" w:hAnsi="Times New Roman" w:cs="Times New Roman"/>
      <w:i/>
      <w:sz w:val="16"/>
      <w:szCs w:val="20"/>
      <w:lang w:val="en-US"/>
    </w:rPr>
  </w:style>
  <w:style w:type="paragraph" w:styleId="Header">
    <w:name w:val="header"/>
    <w:basedOn w:val="Normal"/>
    <w:link w:val="HeaderChar"/>
    <w:uiPriority w:val="99"/>
    <w:rsid w:val="00D83A15"/>
    <w:pPr>
      <w:tabs>
        <w:tab w:val="center" w:pos="4153"/>
        <w:tab w:val="right" w:pos="8306"/>
      </w:tabs>
    </w:pPr>
  </w:style>
  <w:style w:type="character" w:customStyle="1" w:styleId="HeaderChar">
    <w:name w:val="Header Char"/>
    <w:basedOn w:val="DefaultParagraphFont"/>
    <w:link w:val="Header"/>
    <w:uiPriority w:val="99"/>
    <w:rsid w:val="00D83A15"/>
    <w:rPr>
      <w:rFonts w:ascii="Times New Roman" w:eastAsia="Times New Roman" w:hAnsi="Times New Roman" w:cs="Times New Roman"/>
      <w:sz w:val="20"/>
      <w:szCs w:val="20"/>
      <w:lang w:val="en-US"/>
    </w:rPr>
  </w:style>
  <w:style w:type="paragraph" w:customStyle="1" w:styleId="Heading1BP2">
    <w:name w:val="Heading 1 BP2"/>
    <w:rsid w:val="00D83A15"/>
    <w:pPr>
      <w:keepNext/>
      <w:tabs>
        <w:tab w:val="left" w:pos="284"/>
      </w:tabs>
      <w:spacing w:before="400" w:after="240" w:line="240" w:lineRule="auto"/>
    </w:pPr>
    <w:rPr>
      <w:rFonts w:ascii="Lucida Sans" w:eastAsia="Times New Roman" w:hAnsi="Lucida Sans" w:cs="Times New Roman"/>
      <w:kern w:val="28"/>
      <w:sz w:val="36"/>
      <w:szCs w:val="36"/>
    </w:rPr>
  </w:style>
  <w:style w:type="character" w:customStyle="1" w:styleId="Heading4Char">
    <w:name w:val="Heading 4 Char"/>
    <w:link w:val="Heading4"/>
    <w:rsid w:val="00D83A15"/>
    <w:rPr>
      <w:rFonts w:ascii="Arial Bold" w:eastAsia="Times New Roman" w:hAnsi="Arial Bold" w:cs="Times New Roman"/>
      <w:b/>
      <w:kern w:val="28"/>
      <w:sz w:val="25"/>
      <w:szCs w:val="36"/>
    </w:rPr>
  </w:style>
  <w:style w:type="character" w:customStyle="1" w:styleId="Heading5Char">
    <w:name w:val="Heading 5 Char"/>
    <w:link w:val="Heading5"/>
    <w:rsid w:val="00D83A15"/>
    <w:rPr>
      <w:rFonts w:ascii="Arial Bold" w:eastAsia="Times New Roman" w:hAnsi="Arial Bold" w:cs="Times New Roman"/>
      <w:i/>
      <w:kern w:val="28"/>
      <w:sz w:val="24"/>
      <w:szCs w:val="36"/>
    </w:rPr>
  </w:style>
  <w:style w:type="character" w:customStyle="1" w:styleId="Heading6Char">
    <w:name w:val="Heading 6 Char"/>
    <w:link w:val="Heading6"/>
    <w:rsid w:val="00D83A15"/>
    <w:rPr>
      <w:rFonts w:ascii="Times New Roman" w:eastAsia="Times New Roman" w:hAnsi="Times New Roman" w:cs="Times New Roman"/>
      <w:b/>
      <w:i/>
      <w:color w:val="1D3278"/>
      <w:sz w:val="24"/>
      <w:szCs w:val="36"/>
    </w:rPr>
  </w:style>
  <w:style w:type="character" w:customStyle="1" w:styleId="Heading7Char">
    <w:name w:val="Heading 7 Char"/>
    <w:link w:val="Heading7"/>
    <w:rsid w:val="00D83A15"/>
    <w:rPr>
      <w:rFonts w:ascii="Arial Bold" w:eastAsia="Times New Roman" w:hAnsi="Arial Bold" w:cs="Times New Roman"/>
      <w:kern w:val="28"/>
      <w:sz w:val="23"/>
      <w:szCs w:val="36"/>
    </w:rPr>
  </w:style>
  <w:style w:type="character" w:customStyle="1" w:styleId="Heading8Char">
    <w:name w:val="Heading 8 Char"/>
    <w:link w:val="Heading8"/>
    <w:rsid w:val="00D83A15"/>
    <w:rPr>
      <w:rFonts w:ascii="Arial Bold" w:eastAsia="Times New Roman" w:hAnsi="Arial Bold" w:cs="Times New Roman"/>
      <w:i/>
      <w:kern w:val="28"/>
      <w:sz w:val="23"/>
      <w:szCs w:val="36"/>
    </w:rPr>
  </w:style>
  <w:style w:type="character" w:customStyle="1" w:styleId="Heading9Char">
    <w:name w:val="Heading 9 Char"/>
    <w:link w:val="Heading9"/>
    <w:rsid w:val="00D83A15"/>
    <w:rPr>
      <w:rFonts w:ascii="Arial Bold" w:eastAsia="Times New Roman" w:hAnsi="Arial Bold" w:cs="Times New Roman"/>
      <w:kern w:val="28"/>
      <w:sz w:val="23"/>
      <w:szCs w:val="36"/>
    </w:rPr>
  </w:style>
  <w:style w:type="paragraph" w:customStyle="1" w:styleId="ListBullet1">
    <w:name w:val="List Bullet1"/>
    <w:basedOn w:val="Normal"/>
    <w:autoRedefine/>
    <w:rsid w:val="00D83A15"/>
    <w:pPr>
      <w:numPr>
        <w:numId w:val="4"/>
      </w:numPr>
      <w:spacing w:line="360" w:lineRule="auto"/>
    </w:pPr>
    <w:rPr>
      <w:rFonts w:ascii="Arial" w:hAnsi="Arial"/>
      <w:sz w:val="28"/>
      <w:lang w:val="en-AU"/>
    </w:rPr>
  </w:style>
  <w:style w:type="paragraph" w:styleId="NoSpacing">
    <w:name w:val="No Spacing"/>
    <w:basedOn w:val="Normal"/>
    <w:link w:val="NoSpacingChar"/>
    <w:qFormat/>
    <w:rsid w:val="00D83A15"/>
  </w:style>
  <w:style w:type="character" w:customStyle="1" w:styleId="NoSpacingChar">
    <w:name w:val="No Spacing Char"/>
    <w:link w:val="NoSpacing"/>
    <w:rsid w:val="00D83A15"/>
    <w:rPr>
      <w:rFonts w:ascii="Times New Roman" w:eastAsia="Times New Roman" w:hAnsi="Times New Roman" w:cs="Times New Roman"/>
      <w:sz w:val="20"/>
      <w:szCs w:val="20"/>
      <w:lang w:val="en-US"/>
    </w:rPr>
  </w:style>
  <w:style w:type="paragraph" w:customStyle="1" w:styleId="Object">
    <w:name w:val="Object"/>
    <w:basedOn w:val="Normal"/>
    <w:next w:val="Normal"/>
    <w:rsid w:val="00D83A15"/>
    <w:pPr>
      <w:jc w:val="center"/>
    </w:pPr>
  </w:style>
  <w:style w:type="paragraph" w:customStyle="1" w:styleId="ObjectFootnote">
    <w:name w:val="Object Footnote"/>
    <w:basedOn w:val="Object"/>
    <w:next w:val="Normal"/>
    <w:rsid w:val="00D83A15"/>
    <w:pPr>
      <w:spacing w:after="60"/>
    </w:pPr>
    <w:rPr>
      <w:i/>
      <w:sz w:val="14"/>
    </w:rPr>
  </w:style>
  <w:style w:type="paragraph" w:customStyle="1" w:styleId="ObjectFootnotelettered">
    <w:name w:val="Object Footnote lettered"/>
    <w:basedOn w:val="ObjectFootnote"/>
    <w:rsid w:val="00D83A15"/>
    <w:pPr>
      <w:tabs>
        <w:tab w:val="left" w:pos="709"/>
      </w:tabs>
      <w:ind w:left="426"/>
      <w:jc w:val="left"/>
    </w:pPr>
  </w:style>
  <w:style w:type="paragraph" w:customStyle="1" w:styleId="ObjectFootnoteleft">
    <w:name w:val="Object Footnote left"/>
    <w:basedOn w:val="ObjectFootnotelettered"/>
    <w:rsid w:val="00D83A15"/>
    <w:pPr>
      <w:ind w:left="709" w:hanging="283"/>
    </w:pPr>
  </w:style>
  <w:style w:type="character" w:styleId="PageNumber">
    <w:name w:val="page number"/>
    <w:basedOn w:val="DefaultParagraphFont"/>
    <w:rsid w:val="00D83A15"/>
  </w:style>
  <w:style w:type="paragraph" w:customStyle="1" w:styleId="Style211HeadingBold">
    <w:name w:val="Style 2.1.1 Heading + Bold"/>
    <w:basedOn w:val="Normal"/>
    <w:rsid w:val="00D83A15"/>
    <w:rPr>
      <w:b/>
      <w:bCs/>
      <w:i/>
      <w:iCs/>
    </w:rPr>
  </w:style>
  <w:style w:type="paragraph" w:customStyle="1" w:styleId="StyleBoxHeadingLeft0Firstline0">
    <w:name w:val="Style Box Heading + Left:  0&quot; First line:  0&quot;"/>
    <w:basedOn w:val="Box61BoxHeading"/>
    <w:autoRedefine/>
    <w:rsid w:val="00D83A15"/>
    <w:pPr>
      <w:framePr w:wrap="around" w:hAnchor="text"/>
      <w:widowControl/>
      <w:tabs>
        <w:tab w:val="left" w:pos="567"/>
        <w:tab w:val="num" w:pos="1276"/>
      </w:tabs>
      <w:spacing w:before="120" w:after="120"/>
    </w:pPr>
    <w:rPr>
      <w:bCs w:val="0"/>
      <w:color w:val="000000"/>
    </w:rPr>
  </w:style>
  <w:style w:type="paragraph" w:customStyle="1" w:styleId="StyleName">
    <w:name w:val="Style Name"/>
    <w:basedOn w:val="Normal"/>
    <w:rsid w:val="00D83A15"/>
    <w:pPr>
      <w:ind w:left="851" w:hanging="851"/>
      <w:jc w:val="center"/>
    </w:pPr>
    <w:rPr>
      <w:rFonts w:ascii="Arial" w:hAnsi="Arial"/>
      <w:b/>
      <w:i/>
      <w:color w:val="000000"/>
      <w:sz w:val="24"/>
      <w:lang w:val="en-GB" w:eastAsia="en-AU"/>
    </w:rPr>
  </w:style>
  <w:style w:type="paragraph" w:customStyle="1" w:styleId="TableHeading">
    <w:name w:val="Table Heading"/>
    <w:basedOn w:val="Normal"/>
    <w:autoRedefine/>
    <w:rsid w:val="00D83A15"/>
    <w:pPr>
      <w:keepNext/>
      <w:keepLines/>
      <w:numPr>
        <w:numId w:val="6"/>
      </w:numPr>
      <w:spacing w:before="120" w:after="120"/>
    </w:pPr>
    <w:rPr>
      <w:rFonts w:ascii="Arial" w:hAnsi="Arial"/>
      <w:b/>
      <w:sz w:val="24"/>
    </w:rPr>
  </w:style>
  <w:style w:type="paragraph" w:customStyle="1" w:styleId="Table1X">
    <w:name w:val="Table 1.X"/>
    <w:basedOn w:val="TableHeading"/>
    <w:rsid w:val="00D83A15"/>
    <w:pPr>
      <w:keepNext w:val="0"/>
      <w:keepLines w:val="0"/>
      <w:widowControl w:val="0"/>
      <w:numPr>
        <w:numId w:val="5"/>
      </w:numPr>
      <w:tabs>
        <w:tab w:val="left" w:pos="1304"/>
      </w:tabs>
      <w:spacing w:before="360"/>
    </w:pPr>
    <w:rPr>
      <w:b w:val="0"/>
      <w:bCs/>
      <w:i/>
      <w:color w:val="57514D"/>
      <w:kern w:val="28"/>
      <w:sz w:val="22"/>
      <w:szCs w:val="22"/>
    </w:rPr>
  </w:style>
  <w:style w:type="paragraph" w:customStyle="1" w:styleId="Table6X">
    <w:name w:val="Table 6.X"/>
    <w:basedOn w:val="Table1X"/>
    <w:rsid w:val="000C395C"/>
    <w:pPr>
      <w:numPr>
        <w:numId w:val="85"/>
      </w:numPr>
      <w:tabs>
        <w:tab w:val="left" w:pos="1134"/>
      </w:tabs>
      <w:spacing w:before="240"/>
    </w:pPr>
    <w:rPr>
      <w:color w:val="4F4F4F"/>
    </w:rPr>
  </w:style>
  <w:style w:type="paragraph" w:customStyle="1" w:styleId="TableFootnote0">
    <w:name w:val="Table Footnote"/>
    <w:basedOn w:val="Normal"/>
    <w:rsid w:val="00D83A15"/>
    <w:pPr>
      <w:spacing w:before="60" w:after="60"/>
      <w:ind w:left="284"/>
    </w:pPr>
    <w:rPr>
      <w:rFonts w:ascii="Arial" w:hAnsi="Arial"/>
      <w:i/>
      <w:sz w:val="14"/>
    </w:rPr>
  </w:style>
  <w:style w:type="table" w:styleId="TableGrid">
    <w:name w:val="Table Grid"/>
    <w:basedOn w:val="TableNormal"/>
    <w:uiPriority w:val="39"/>
    <w:rsid w:val="00D83A15"/>
    <w:pPr>
      <w:spacing w:after="0" w:line="240" w:lineRule="auto"/>
    </w:pPr>
    <w:rPr>
      <w:rFonts w:ascii="Times New Roman" w:eastAsia="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Cont">
    <w:name w:val="Table Heading Cont'"/>
    <w:basedOn w:val="TableHeading"/>
    <w:rsid w:val="00D83A15"/>
    <w:pPr>
      <w:tabs>
        <w:tab w:val="clear" w:pos="1440"/>
        <w:tab w:val="left" w:pos="1418"/>
      </w:tabs>
    </w:pPr>
  </w:style>
  <w:style w:type="character" w:styleId="CommentReference">
    <w:name w:val="annotation reference"/>
    <w:basedOn w:val="DefaultParagraphFont"/>
    <w:uiPriority w:val="99"/>
    <w:semiHidden/>
    <w:unhideWhenUsed/>
    <w:rsid w:val="00960018"/>
    <w:rPr>
      <w:sz w:val="16"/>
      <w:szCs w:val="16"/>
    </w:rPr>
  </w:style>
  <w:style w:type="paragraph" w:styleId="CommentText">
    <w:name w:val="annotation text"/>
    <w:basedOn w:val="Normal"/>
    <w:link w:val="CommentTextChar"/>
    <w:uiPriority w:val="99"/>
    <w:unhideWhenUsed/>
    <w:rsid w:val="00960018"/>
  </w:style>
  <w:style w:type="character" w:customStyle="1" w:styleId="CommentTextChar">
    <w:name w:val="Comment Text Char"/>
    <w:basedOn w:val="DefaultParagraphFont"/>
    <w:link w:val="CommentText"/>
    <w:uiPriority w:val="99"/>
    <w:rsid w:val="00960018"/>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960018"/>
    <w:rPr>
      <w:b/>
      <w:bCs/>
    </w:rPr>
  </w:style>
  <w:style w:type="character" w:customStyle="1" w:styleId="CommentSubjectChar">
    <w:name w:val="Comment Subject Char"/>
    <w:basedOn w:val="CommentTextChar"/>
    <w:link w:val="CommentSubject"/>
    <w:uiPriority w:val="99"/>
    <w:semiHidden/>
    <w:rsid w:val="00960018"/>
    <w:rPr>
      <w:rFonts w:ascii="Times New Roman" w:eastAsia="Times New Roman" w:hAnsi="Times New Roman" w:cs="Times New Roman"/>
      <w:b/>
      <w:bCs/>
      <w:sz w:val="20"/>
      <w:szCs w:val="20"/>
      <w:lang w:val="en-US"/>
    </w:rPr>
  </w:style>
  <w:style w:type="paragraph" w:styleId="Revision">
    <w:name w:val="Revision"/>
    <w:hidden/>
    <w:uiPriority w:val="99"/>
    <w:semiHidden/>
    <w:rsid w:val="00687667"/>
    <w:pPr>
      <w:spacing w:after="0" w:line="240" w:lineRule="auto"/>
    </w:pPr>
    <w:rPr>
      <w:rFonts w:ascii="Times New Roman" w:eastAsia="Times New Roman" w:hAnsi="Times New Roman" w:cs="Times New Roman"/>
      <w:sz w:val="20"/>
      <w:szCs w:val="20"/>
      <w:lang w:val="en-US"/>
    </w:rPr>
  </w:style>
  <w:style w:type="paragraph" w:styleId="EndnoteText">
    <w:name w:val="endnote text"/>
    <w:basedOn w:val="Normal"/>
    <w:link w:val="EndnoteTextChar"/>
    <w:uiPriority w:val="99"/>
    <w:semiHidden/>
    <w:unhideWhenUsed/>
    <w:rsid w:val="00734D3B"/>
  </w:style>
  <w:style w:type="character" w:customStyle="1" w:styleId="EndnoteTextChar">
    <w:name w:val="Endnote Text Char"/>
    <w:basedOn w:val="DefaultParagraphFont"/>
    <w:link w:val="EndnoteText"/>
    <w:uiPriority w:val="99"/>
    <w:semiHidden/>
    <w:rsid w:val="00734D3B"/>
    <w:rPr>
      <w:rFonts w:ascii="Times New Roman" w:eastAsia="Times New Roman" w:hAnsi="Times New Roman" w:cs="Times New Roman"/>
      <w:sz w:val="20"/>
      <w:szCs w:val="20"/>
      <w:lang w:val="en-US"/>
    </w:rPr>
  </w:style>
  <w:style w:type="paragraph" w:styleId="ListParagraph">
    <w:name w:val="List Paragraph"/>
    <w:basedOn w:val="Normal"/>
    <w:uiPriority w:val="34"/>
    <w:qFormat/>
    <w:rsid w:val="00E054A9"/>
    <w:pPr>
      <w:spacing w:after="160" w:line="259" w:lineRule="auto"/>
      <w:ind w:left="720"/>
      <w:contextualSpacing/>
    </w:pPr>
    <w:rPr>
      <w:rFonts w:asciiTheme="minorHAnsi" w:eastAsiaTheme="minorHAnsi" w:hAnsiTheme="minorHAnsi" w:cstheme="minorBidi"/>
      <w:sz w:val="22"/>
      <w:szCs w:val="22"/>
      <w:lang w:val="en-AU"/>
    </w:rPr>
  </w:style>
  <w:style w:type="table" w:customStyle="1" w:styleId="TableGrid0">
    <w:name w:val="TableGrid"/>
    <w:rsid w:val="00E054A9"/>
    <w:pPr>
      <w:spacing w:after="0" w:line="240" w:lineRule="auto"/>
    </w:pPr>
    <w:rPr>
      <w:rFonts w:eastAsiaTheme="minorEastAsia"/>
      <w:lang w:eastAsia="en-AU"/>
    </w:rPr>
    <w:tblPr>
      <w:tblCellMar>
        <w:top w:w="0" w:type="dxa"/>
        <w:left w:w="0" w:type="dxa"/>
        <w:bottom w:w="0" w:type="dxa"/>
        <w:right w:w="0" w:type="dxa"/>
      </w:tblCellMar>
    </w:tblPr>
  </w:style>
  <w:style w:type="table" w:customStyle="1" w:styleId="TableGrid1">
    <w:name w:val="TableGrid1"/>
    <w:rsid w:val="007258A3"/>
    <w:pPr>
      <w:spacing w:after="0" w:line="240" w:lineRule="auto"/>
    </w:pPr>
    <w:rPr>
      <w:rFonts w:eastAsia="Times New Roman"/>
      <w:lang w:eastAsia="en-AU"/>
    </w:rPr>
    <w:tblPr>
      <w:tblCellMar>
        <w:top w:w="0" w:type="dxa"/>
        <w:left w:w="0" w:type="dxa"/>
        <w:bottom w:w="0" w:type="dxa"/>
        <w:right w:w="0" w:type="dxa"/>
      </w:tblCellMar>
    </w:tblPr>
  </w:style>
  <w:style w:type="paragraph" w:customStyle="1" w:styleId="Bodytextnumbered">
    <w:name w:val="Body text numbered"/>
    <w:basedOn w:val="Normal"/>
    <w:rsid w:val="00DA5C1B"/>
    <w:pPr>
      <w:tabs>
        <w:tab w:val="num" w:pos="1022"/>
      </w:tabs>
      <w:spacing w:before="200" w:line="320" w:lineRule="atLeast"/>
      <w:ind w:left="1022" w:hanging="454"/>
    </w:pPr>
    <w:rPr>
      <w:rFonts w:ascii="Arial" w:eastAsiaTheme="minorHAnsi" w:hAnsi="Arial" w:cs="Arial"/>
      <w:sz w:val="22"/>
      <w:szCs w:val="22"/>
      <w:lang w:val="en-AU"/>
    </w:rPr>
  </w:style>
  <w:style w:type="paragraph" w:customStyle="1" w:styleId="Source">
    <w:name w:val="Source"/>
    <w:basedOn w:val="Normal"/>
    <w:qFormat/>
    <w:rsid w:val="00FF7B03"/>
    <w:pPr>
      <w:widowControl w:val="0"/>
      <w:spacing w:before="120"/>
    </w:pPr>
    <w:rPr>
      <w:rFonts w:ascii="Arial" w:hAnsi="Arial" w:cs="Arial"/>
      <w:i/>
      <w:noProof/>
      <w:color w:val="4F4F4F"/>
      <w:sz w:val="17"/>
      <w:szCs w:val="17"/>
      <w:lang w:val="en-AU" w:eastAsia="en-AU"/>
    </w:rPr>
  </w:style>
  <w:style w:type="paragraph" w:customStyle="1" w:styleId="Tablefootnote">
    <w:name w:val="Table footnote"/>
    <w:basedOn w:val="Normal"/>
    <w:qFormat/>
    <w:rsid w:val="00E6179F"/>
    <w:pPr>
      <w:numPr>
        <w:numId w:val="23"/>
      </w:numPr>
    </w:pPr>
    <w:rPr>
      <w:rFonts w:ascii="Arial" w:hAnsi="Arial"/>
      <w:sz w:val="17"/>
    </w:rPr>
  </w:style>
  <w:style w:type="paragraph" w:customStyle="1" w:styleId="paragraph">
    <w:name w:val="paragraph"/>
    <w:basedOn w:val="Normal"/>
    <w:rsid w:val="00A05603"/>
    <w:pPr>
      <w:spacing w:before="100" w:beforeAutospacing="1" w:after="100" w:afterAutospacing="1"/>
    </w:pPr>
    <w:rPr>
      <w:rFonts w:ascii="Calibri" w:eastAsiaTheme="minorHAnsi" w:hAnsi="Calibri" w:cs="Calibri"/>
      <w:sz w:val="22"/>
      <w:szCs w:val="22"/>
      <w:lang w:val="en-AU" w:eastAsia="en-AU"/>
    </w:rPr>
  </w:style>
  <w:style w:type="character" w:customStyle="1" w:styleId="normaltextrun">
    <w:name w:val="normaltextrun"/>
    <w:basedOn w:val="DefaultParagraphFont"/>
    <w:rsid w:val="00A05603"/>
  </w:style>
  <w:style w:type="character" w:customStyle="1" w:styleId="eop">
    <w:name w:val="eop"/>
    <w:basedOn w:val="DefaultParagraphFont"/>
    <w:rsid w:val="00A05603"/>
  </w:style>
  <w:style w:type="character" w:styleId="UnresolvedMention">
    <w:name w:val="Unresolved Mention"/>
    <w:basedOn w:val="DefaultParagraphFont"/>
    <w:uiPriority w:val="99"/>
    <w:unhideWhenUsed/>
    <w:rsid w:val="00C97921"/>
    <w:rPr>
      <w:color w:val="605E5C"/>
      <w:shd w:val="clear" w:color="auto" w:fill="E1DFDD"/>
    </w:rPr>
  </w:style>
  <w:style w:type="character" w:styleId="Mention">
    <w:name w:val="Mention"/>
    <w:basedOn w:val="DefaultParagraphFont"/>
    <w:uiPriority w:val="99"/>
    <w:unhideWhenUsed/>
    <w:rsid w:val="009C7E08"/>
    <w:rPr>
      <w:color w:val="2B579A"/>
      <w:shd w:val="clear" w:color="auto" w:fill="E1DFDD"/>
    </w:rPr>
  </w:style>
  <w:style w:type="character" w:customStyle="1" w:styleId="UnresolvedMention1">
    <w:name w:val="Unresolved Mention1"/>
    <w:basedOn w:val="DefaultParagraphFont"/>
    <w:uiPriority w:val="99"/>
    <w:rsid w:val="00D23C00"/>
    <w:rPr>
      <w:color w:val="605E5C"/>
      <w:shd w:val="clear" w:color="auto" w:fill="E1DFDD"/>
    </w:rPr>
  </w:style>
  <w:style w:type="character" w:customStyle="1" w:styleId="Mention1">
    <w:name w:val="Mention1"/>
    <w:basedOn w:val="DefaultParagraphFont"/>
    <w:uiPriority w:val="99"/>
    <w:unhideWhenUsed/>
    <w:rsid w:val="00D23C00"/>
    <w:rPr>
      <w:color w:val="2B579A"/>
      <w:shd w:val="clear" w:color="auto" w:fill="E1DFDD"/>
    </w:rPr>
  </w:style>
  <w:style w:type="paragraph" w:customStyle="1" w:styleId="Box31BoxHeading">
    <w:name w:val="Box 3.1: Box Heading"/>
    <w:basedOn w:val="Normal"/>
    <w:qFormat/>
    <w:rsid w:val="00C55999"/>
    <w:pPr>
      <w:numPr>
        <w:numId w:val="69"/>
      </w:numPr>
      <w:spacing w:before="80" w:after="60"/>
    </w:pPr>
    <w:rPr>
      <w:rFonts w:ascii="Arial" w:hAnsi="Arial"/>
      <w:b/>
      <w:sz w:val="23"/>
      <w:lang w:val="en-AU"/>
    </w:rPr>
  </w:style>
  <w:style w:type="paragraph" w:customStyle="1" w:styleId="Bullet2inabox">
    <w:name w:val="Bullet 2 in a box"/>
    <w:basedOn w:val="Bullet1inabox"/>
    <w:qFormat/>
    <w:rsid w:val="003B4BAC"/>
    <w:pPr>
      <w:numPr>
        <w:numId w:val="61"/>
      </w:numPr>
      <w:ind w:left="714"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548248">
      <w:bodyDiv w:val="1"/>
      <w:marLeft w:val="0"/>
      <w:marRight w:val="0"/>
      <w:marTop w:val="0"/>
      <w:marBottom w:val="0"/>
      <w:divBdr>
        <w:top w:val="none" w:sz="0" w:space="0" w:color="auto"/>
        <w:left w:val="none" w:sz="0" w:space="0" w:color="auto"/>
        <w:bottom w:val="none" w:sz="0" w:space="0" w:color="auto"/>
        <w:right w:val="none" w:sz="0" w:space="0" w:color="auto"/>
      </w:divBdr>
    </w:div>
    <w:div w:id="51663228">
      <w:bodyDiv w:val="1"/>
      <w:marLeft w:val="0"/>
      <w:marRight w:val="0"/>
      <w:marTop w:val="0"/>
      <w:marBottom w:val="0"/>
      <w:divBdr>
        <w:top w:val="none" w:sz="0" w:space="0" w:color="auto"/>
        <w:left w:val="none" w:sz="0" w:space="0" w:color="auto"/>
        <w:bottom w:val="none" w:sz="0" w:space="0" w:color="auto"/>
        <w:right w:val="none" w:sz="0" w:space="0" w:color="auto"/>
      </w:divBdr>
    </w:div>
    <w:div w:id="148250251">
      <w:bodyDiv w:val="1"/>
      <w:marLeft w:val="0"/>
      <w:marRight w:val="0"/>
      <w:marTop w:val="0"/>
      <w:marBottom w:val="0"/>
      <w:divBdr>
        <w:top w:val="none" w:sz="0" w:space="0" w:color="auto"/>
        <w:left w:val="none" w:sz="0" w:space="0" w:color="auto"/>
        <w:bottom w:val="none" w:sz="0" w:space="0" w:color="auto"/>
        <w:right w:val="none" w:sz="0" w:space="0" w:color="auto"/>
      </w:divBdr>
    </w:div>
    <w:div w:id="190801267">
      <w:bodyDiv w:val="1"/>
      <w:marLeft w:val="0"/>
      <w:marRight w:val="0"/>
      <w:marTop w:val="0"/>
      <w:marBottom w:val="0"/>
      <w:divBdr>
        <w:top w:val="none" w:sz="0" w:space="0" w:color="auto"/>
        <w:left w:val="none" w:sz="0" w:space="0" w:color="auto"/>
        <w:bottom w:val="none" w:sz="0" w:space="0" w:color="auto"/>
        <w:right w:val="none" w:sz="0" w:space="0" w:color="auto"/>
      </w:divBdr>
    </w:div>
    <w:div w:id="277611316">
      <w:bodyDiv w:val="1"/>
      <w:marLeft w:val="0"/>
      <w:marRight w:val="0"/>
      <w:marTop w:val="0"/>
      <w:marBottom w:val="0"/>
      <w:divBdr>
        <w:top w:val="none" w:sz="0" w:space="0" w:color="auto"/>
        <w:left w:val="none" w:sz="0" w:space="0" w:color="auto"/>
        <w:bottom w:val="none" w:sz="0" w:space="0" w:color="auto"/>
        <w:right w:val="none" w:sz="0" w:space="0" w:color="auto"/>
      </w:divBdr>
    </w:div>
    <w:div w:id="349376687">
      <w:bodyDiv w:val="1"/>
      <w:marLeft w:val="0"/>
      <w:marRight w:val="0"/>
      <w:marTop w:val="0"/>
      <w:marBottom w:val="0"/>
      <w:divBdr>
        <w:top w:val="none" w:sz="0" w:space="0" w:color="auto"/>
        <w:left w:val="none" w:sz="0" w:space="0" w:color="auto"/>
        <w:bottom w:val="none" w:sz="0" w:space="0" w:color="auto"/>
        <w:right w:val="none" w:sz="0" w:space="0" w:color="auto"/>
      </w:divBdr>
    </w:div>
    <w:div w:id="380633644">
      <w:bodyDiv w:val="1"/>
      <w:marLeft w:val="0"/>
      <w:marRight w:val="0"/>
      <w:marTop w:val="0"/>
      <w:marBottom w:val="0"/>
      <w:divBdr>
        <w:top w:val="none" w:sz="0" w:space="0" w:color="auto"/>
        <w:left w:val="none" w:sz="0" w:space="0" w:color="auto"/>
        <w:bottom w:val="none" w:sz="0" w:space="0" w:color="auto"/>
        <w:right w:val="none" w:sz="0" w:space="0" w:color="auto"/>
      </w:divBdr>
    </w:div>
    <w:div w:id="389378777">
      <w:bodyDiv w:val="1"/>
      <w:marLeft w:val="0"/>
      <w:marRight w:val="0"/>
      <w:marTop w:val="0"/>
      <w:marBottom w:val="0"/>
      <w:divBdr>
        <w:top w:val="none" w:sz="0" w:space="0" w:color="auto"/>
        <w:left w:val="none" w:sz="0" w:space="0" w:color="auto"/>
        <w:bottom w:val="none" w:sz="0" w:space="0" w:color="auto"/>
        <w:right w:val="none" w:sz="0" w:space="0" w:color="auto"/>
      </w:divBdr>
    </w:div>
    <w:div w:id="483858272">
      <w:bodyDiv w:val="1"/>
      <w:marLeft w:val="0"/>
      <w:marRight w:val="0"/>
      <w:marTop w:val="0"/>
      <w:marBottom w:val="0"/>
      <w:divBdr>
        <w:top w:val="none" w:sz="0" w:space="0" w:color="auto"/>
        <w:left w:val="none" w:sz="0" w:space="0" w:color="auto"/>
        <w:bottom w:val="none" w:sz="0" w:space="0" w:color="auto"/>
        <w:right w:val="none" w:sz="0" w:space="0" w:color="auto"/>
      </w:divBdr>
    </w:div>
    <w:div w:id="565651745">
      <w:bodyDiv w:val="1"/>
      <w:marLeft w:val="0"/>
      <w:marRight w:val="0"/>
      <w:marTop w:val="0"/>
      <w:marBottom w:val="0"/>
      <w:divBdr>
        <w:top w:val="none" w:sz="0" w:space="0" w:color="auto"/>
        <w:left w:val="none" w:sz="0" w:space="0" w:color="auto"/>
        <w:bottom w:val="none" w:sz="0" w:space="0" w:color="auto"/>
        <w:right w:val="none" w:sz="0" w:space="0" w:color="auto"/>
      </w:divBdr>
    </w:div>
    <w:div w:id="646712121">
      <w:bodyDiv w:val="1"/>
      <w:marLeft w:val="0"/>
      <w:marRight w:val="0"/>
      <w:marTop w:val="0"/>
      <w:marBottom w:val="0"/>
      <w:divBdr>
        <w:top w:val="none" w:sz="0" w:space="0" w:color="auto"/>
        <w:left w:val="none" w:sz="0" w:space="0" w:color="auto"/>
        <w:bottom w:val="none" w:sz="0" w:space="0" w:color="auto"/>
        <w:right w:val="none" w:sz="0" w:space="0" w:color="auto"/>
      </w:divBdr>
    </w:div>
    <w:div w:id="837765774">
      <w:bodyDiv w:val="1"/>
      <w:marLeft w:val="0"/>
      <w:marRight w:val="0"/>
      <w:marTop w:val="0"/>
      <w:marBottom w:val="0"/>
      <w:divBdr>
        <w:top w:val="none" w:sz="0" w:space="0" w:color="auto"/>
        <w:left w:val="none" w:sz="0" w:space="0" w:color="auto"/>
        <w:bottom w:val="none" w:sz="0" w:space="0" w:color="auto"/>
        <w:right w:val="none" w:sz="0" w:space="0" w:color="auto"/>
      </w:divBdr>
    </w:div>
    <w:div w:id="839321301">
      <w:bodyDiv w:val="1"/>
      <w:marLeft w:val="0"/>
      <w:marRight w:val="0"/>
      <w:marTop w:val="0"/>
      <w:marBottom w:val="0"/>
      <w:divBdr>
        <w:top w:val="none" w:sz="0" w:space="0" w:color="auto"/>
        <w:left w:val="none" w:sz="0" w:space="0" w:color="auto"/>
        <w:bottom w:val="none" w:sz="0" w:space="0" w:color="auto"/>
        <w:right w:val="none" w:sz="0" w:space="0" w:color="auto"/>
      </w:divBdr>
    </w:div>
    <w:div w:id="879394365">
      <w:bodyDiv w:val="1"/>
      <w:marLeft w:val="0"/>
      <w:marRight w:val="0"/>
      <w:marTop w:val="0"/>
      <w:marBottom w:val="0"/>
      <w:divBdr>
        <w:top w:val="none" w:sz="0" w:space="0" w:color="auto"/>
        <w:left w:val="none" w:sz="0" w:space="0" w:color="auto"/>
        <w:bottom w:val="none" w:sz="0" w:space="0" w:color="auto"/>
        <w:right w:val="none" w:sz="0" w:space="0" w:color="auto"/>
      </w:divBdr>
    </w:div>
    <w:div w:id="977492460">
      <w:bodyDiv w:val="1"/>
      <w:marLeft w:val="0"/>
      <w:marRight w:val="0"/>
      <w:marTop w:val="0"/>
      <w:marBottom w:val="0"/>
      <w:divBdr>
        <w:top w:val="none" w:sz="0" w:space="0" w:color="auto"/>
        <w:left w:val="none" w:sz="0" w:space="0" w:color="auto"/>
        <w:bottom w:val="none" w:sz="0" w:space="0" w:color="auto"/>
        <w:right w:val="none" w:sz="0" w:space="0" w:color="auto"/>
      </w:divBdr>
    </w:div>
    <w:div w:id="990406570">
      <w:bodyDiv w:val="1"/>
      <w:marLeft w:val="0"/>
      <w:marRight w:val="0"/>
      <w:marTop w:val="0"/>
      <w:marBottom w:val="0"/>
      <w:divBdr>
        <w:top w:val="none" w:sz="0" w:space="0" w:color="auto"/>
        <w:left w:val="none" w:sz="0" w:space="0" w:color="auto"/>
        <w:bottom w:val="none" w:sz="0" w:space="0" w:color="auto"/>
        <w:right w:val="none" w:sz="0" w:space="0" w:color="auto"/>
      </w:divBdr>
    </w:div>
    <w:div w:id="1193804416">
      <w:bodyDiv w:val="1"/>
      <w:marLeft w:val="0"/>
      <w:marRight w:val="0"/>
      <w:marTop w:val="0"/>
      <w:marBottom w:val="0"/>
      <w:divBdr>
        <w:top w:val="none" w:sz="0" w:space="0" w:color="auto"/>
        <w:left w:val="none" w:sz="0" w:space="0" w:color="auto"/>
        <w:bottom w:val="none" w:sz="0" w:space="0" w:color="auto"/>
        <w:right w:val="none" w:sz="0" w:space="0" w:color="auto"/>
      </w:divBdr>
    </w:div>
    <w:div w:id="1231765365">
      <w:bodyDiv w:val="1"/>
      <w:marLeft w:val="0"/>
      <w:marRight w:val="0"/>
      <w:marTop w:val="0"/>
      <w:marBottom w:val="0"/>
      <w:divBdr>
        <w:top w:val="none" w:sz="0" w:space="0" w:color="auto"/>
        <w:left w:val="none" w:sz="0" w:space="0" w:color="auto"/>
        <w:bottom w:val="none" w:sz="0" w:space="0" w:color="auto"/>
        <w:right w:val="none" w:sz="0" w:space="0" w:color="auto"/>
      </w:divBdr>
    </w:div>
    <w:div w:id="1244025646">
      <w:bodyDiv w:val="1"/>
      <w:marLeft w:val="0"/>
      <w:marRight w:val="0"/>
      <w:marTop w:val="0"/>
      <w:marBottom w:val="0"/>
      <w:divBdr>
        <w:top w:val="none" w:sz="0" w:space="0" w:color="auto"/>
        <w:left w:val="none" w:sz="0" w:space="0" w:color="auto"/>
        <w:bottom w:val="none" w:sz="0" w:space="0" w:color="auto"/>
        <w:right w:val="none" w:sz="0" w:space="0" w:color="auto"/>
      </w:divBdr>
    </w:div>
    <w:div w:id="1260716812">
      <w:bodyDiv w:val="1"/>
      <w:marLeft w:val="0"/>
      <w:marRight w:val="0"/>
      <w:marTop w:val="0"/>
      <w:marBottom w:val="0"/>
      <w:divBdr>
        <w:top w:val="none" w:sz="0" w:space="0" w:color="auto"/>
        <w:left w:val="none" w:sz="0" w:space="0" w:color="auto"/>
        <w:bottom w:val="none" w:sz="0" w:space="0" w:color="auto"/>
        <w:right w:val="none" w:sz="0" w:space="0" w:color="auto"/>
      </w:divBdr>
    </w:div>
    <w:div w:id="1266307521">
      <w:bodyDiv w:val="1"/>
      <w:marLeft w:val="0"/>
      <w:marRight w:val="0"/>
      <w:marTop w:val="0"/>
      <w:marBottom w:val="0"/>
      <w:divBdr>
        <w:top w:val="none" w:sz="0" w:space="0" w:color="auto"/>
        <w:left w:val="none" w:sz="0" w:space="0" w:color="auto"/>
        <w:bottom w:val="none" w:sz="0" w:space="0" w:color="auto"/>
        <w:right w:val="none" w:sz="0" w:space="0" w:color="auto"/>
      </w:divBdr>
    </w:div>
    <w:div w:id="1388263712">
      <w:bodyDiv w:val="1"/>
      <w:marLeft w:val="0"/>
      <w:marRight w:val="0"/>
      <w:marTop w:val="0"/>
      <w:marBottom w:val="0"/>
      <w:divBdr>
        <w:top w:val="none" w:sz="0" w:space="0" w:color="auto"/>
        <w:left w:val="none" w:sz="0" w:space="0" w:color="auto"/>
        <w:bottom w:val="none" w:sz="0" w:space="0" w:color="auto"/>
        <w:right w:val="none" w:sz="0" w:space="0" w:color="auto"/>
      </w:divBdr>
    </w:div>
    <w:div w:id="1537693784">
      <w:bodyDiv w:val="1"/>
      <w:marLeft w:val="0"/>
      <w:marRight w:val="0"/>
      <w:marTop w:val="0"/>
      <w:marBottom w:val="0"/>
      <w:divBdr>
        <w:top w:val="none" w:sz="0" w:space="0" w:color="auto"/>
        <w:left w:val="none" w:sz="0" w:space="0" w:color="auto"/>
        <w:bottom w:val="none" w:sz="0" w:space="0" w:color="auto"/>
        <w:right w:val="none" w:sz="0" w:space="0" w:color="auto"/>
      </w:divBdr>
    </w:div>
    <w:div w:id="1719284916">
      <w:bodyDiv w:val="1"/>
      <w:marLeft w:val="0"/>
      <w:marRight w:val="0"/>
      <w:marTop w:val="0"/>
      <w:marBottom w:val="0"/>
      <w:divBdr>
        <w:top w:val="none" w:sz="0" w:space="0" w:color="auto"/>
        <w:left w:val="none" w:sz="0" w:space="0" w:color="auto"/>
        <w:bottom w:val="none" w:sz="0" w:space="0" w:color="auto"/>
        <w:right w:val="none" w:sz="0" w:space="0" w:color="auto"/>
      </w:divBdr>
    </w:div>
    <w:div w:id="1761484767">
      <w:bodyDiv w:val="1"/>
      <w:marLeft w:val="0"/>
      <w:marRight w:val="0"/>
      <w:marTop w:val="0"/>
      <w:marBottom w:val="0"/>
      <w:divBdr>
        <w:top w:val="none" w:sz="0" w:space="0" w:color="auto"/>
        <w:left w:val="none" w:sz="0" w:space="0" w:color="auto"/>
        <w:bottom w:val="none" w:sz="0" w:space="0" w:color="auto"/>
        <w:right w:val="none" w:sz="0" w:space="0" w:color="auto"/>
      </w:divBdr>
    </w:div>
    <w:div w:id="1792627173">
      <w:bodyDiv w:val="1"/>
      <w:marLeft w:val="0"/>
      <w:marRight w:val="0"/>
      <w:marTop w:val="0"/>
      <w:marBottom w:val="0"/>
      <w:divBdr>
        <w:top w:val="none" w:sz="0" w:space="0" w:color="auto"/>
        <w:left w:val="none" w:sz="0" w:space="0" w:color="auto"/>
        <w:bottom w:val="none" w:sz="0" w:space="0" w:color="auto"/>
        <w:right w:val="none" w:sz="0" w:space="0" w:color="auto"/>
      </w:divBdr>
    </w:div>
    <w:div w:id="1825509865">
      <w:bodyDiv w:val="1"/>
      <w:marLeft w:val="0"/>
      <w:marRight w:val="0"/>
      <w:marTop w:val="0"/>
      <w:marBottom w:val="0"/>
      <w:divBdr>
        <w:top w:val="none" w:sz="0" w:space="0" w:color="auto"/>
        <w:left w:val="none" w:sz="0" w:space="0" w:color="auto"/>
        <w:bottom w:val="none" w:sz="0" w:space="0" w:color="auto"/>
        <w:right w:val="none" w:sz="0" w:space="0" w:color="auto"/>
      </w:divBdr>
    </w:div>
    <w:div w:id="1854221833">
      <w:bodyDiv w:val="1"/>
      <w:marLeft w:val="0"/>
      <w:marRight w:val="0"/>
      <w:marTop w:val="0"/>
      <w:marBottom w:val="0"/>
      <w:divBdr>
        <w:top w:val="none" w:sz="0" w:space="0" w:color="auto"/>
        <w:left w:val="none" w:sz="0" w:space="0" w:color="auto"/>
        <w:bottom w:val="none" w:sz="0" w:space="0" w:color="auto"/>
        <w:right w:val="none" w:sz="0" w:space="0" w:color="auto"/>
      </w:divBdr>
    </w:div>
    <w:div w:id="1915504727">
      <w:bodyDiv w:val="1"/>
      <w:marLeft w:val="0"/>
      <w:marRight w:val="0"/>
      <w:marTop w:val="0"/>
      <w:marBottom w:val="0"/>
      <w:divBdr>
        <w:top w:val="none" w:sz="0" w:space="0" w:color="auto"/>
        <w:left w:val="none" w:sz="0" w:space="0" w:color="auto"/>
        <w:bottom w:val="none" w:sz="0" w:space="0" w:color="auto"/>
        <w:right w:val="none" w:sz="0" w:space="0" w:color="auto"/>
      </w:divBdr>
    </w:div>
    <w:div w:id="1974554921">
      <w:bodyDiv w:val="1"/>
      <w:marLeft w:val="0"/>
      <w:marRight w:val="0"/>
      <w:marTop w:val="0"/>
      <w:marBottom w:val="0"/>
      <w:divBdr>
        <w:top w:val="none" w:sz="0" w:space="0" w:color="auto"/>
        <w:left w:val="none" w:sz="0" w:space="0" w:color="auto"/>
        <w:bottom w:val="none" w:sz="0" w:space="0" w:color="auto"/>
        <w:right w:val="none" w:sz="0" w:space="0" w:color="auto"/>
      </w:divBdr>
    </w:div>
    <w:div w:id="2033801378">
      <w:bodyDiv w:val="1"/>
      <w:marLeft w:val="0"/>
      <w:marRight w:val="0"/>
      <w:marTop w:val="0"/>
      <w:marBottom w:val="0"/>
      <w:divBdr>
        <w:top w:val="none" w:sz="0" w:space="0" w:color="auto"/>
        <w:left w:val="none" w:sz="0" w:space="0" w:color="auto"/>
        <w:bottom w:val="none" w:sz="0" w:space="0" w:color="auto"/>
        <w:right w:val="none" w:sz="0" w:space="0" w:color="auto"/>
      </w:divBdr>
    </w:div>
    <w:div w:id="2057583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3.xml"/><Relationship Id="rId18" Type="http://schemas.openxmlformats.org/officeDocument/2006/relationships/chart" Target="charts/chart8.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chart" Target="charts/chart2.xml"/><Relationship Id="rId17" Type="http://schemas.openxmlformats.org/officeDocument/2006/relationships/chart" Target="charts/chart7.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chart" Target="charts/chart6.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chart" Target="charts/chart1.xm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chart" Target="charts/chart5.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chart" Target="charts/chart9.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4.xml"/><Relationship Id="rId22" Type="http://schemas.openxmlformats.org/officeDocument/2006/relationships/footer" Target="footer1.xml"/><Relationship Id="rId27"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nswgov.sharepoint.com/sites/TSY2019-20Budget/Shared%20Documents/General/2020-21%20Budget/03.%20Budget%20Paper%202%20(Budget%20Statement)/Ch6%20-%20Managing%20the%20State's%20Assets%20and%20Liabilities/Ch6%20tables%20and%20charts%20-%2020201113%20-%20H"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864750271341846E-2"/>
          <c:y val="4.1132464791552331E-2"/>
          <c:w val="0.91818758192119976"/>
          <c:h val="0.8150930451149313"/>
        </c:manualLayout>
      </c:layout>
      <c:barChart>
        <c:barDir val="col"/>
        <c:grouping val="stacked"/>
        <c:varyColors val="0"/>
        <c:ser>
          <c:idx val="1"/>
          <c:order val="0"/>
          <c:tx>
            <c:strRef>
              <c:f>'Chart 6.1&amp;2 Net debt'!$D$62</c:f>
              <c:strCache>
                <c:ptCount val="1"/>
                <c:pt idx="0">
                  <c:v>TMF</c:v>
                </c:pt>
              </c:strCache>
            </c:strRef>
          </c:tx>
          <c:spPr>
            <a:solidFill>
              <a:srgbClr val="00426F"/>
            </a:solidFill>
            <a:ln>
              <a:noFill/>
            </a:ln>
            <a:effectLst/>
          </c:spPr>
          <c:invertIfNegative val="0"/>
          <c:cat>
            <c:strRef>
              <c:f>'Chart 6.1&amp;2 Net debt'!$I$61:$Q$61</c:f>
              <c:strCache>
                <c:ptCount val="9"/>
                <c:pt idx="0">
                  <c:v>June 2016</c:v>
                </c:pt>
                <c:pt idx="1">
                  <c:v>June 2017</c:v>
                </c:pt>
                <c:pt idx="2">
                  <c:v>June 2018</c:v>
                </c:pt>
                <c:pt idx="3">
                  <c:v>June 2019</c:v>
                </c:pt>
                <c:pt idx="4">
                  <c:v>June 2020</c:v>
                </c:pt>
                <c:pt idx="5">
                  <c:v>June 2021</c:v>
                </c:pt>
                <c:pt idx="6">
                  <c:v>June 2022</c:v>
                </c:pt>
                <c:pt idx="7">
                  <c:v>June 2023</c:v>
                </c:pt>
                <c:pt idx="8">
                  <c:v>June 2024</c:v>
                </c:pt>
              </c:strCache>
            </c:strRef>
          </c:cat>
          <c:val>
            <c:numRef>
              <c:f>'Chart 6.1&amp;2 Net debt'!$I$62:$Q$62</c:f>
              <c:numCache>
                <c:formatCode>_(* #,##0.00_);_(* \(#,##0.00\);_(* "-"??_);_(@_)</c:formatCode>
                <c:ptCount val="9"/>
                <c:pt idx="0">
                  <c:v>7239.0883747600001</c:v>
                </c:pt>
                <c:pt idx="1">
                  <c:v>7481.8405608500007</c:v>
                </c:pt>
                <c:pt idx="2">
                  <c:v>7937.1746534399999</c:v>
                </c:pt>
                <c:pt idx="3">
                  <c:v>8392.58124193</c:v>
                </c:pt>
                <c:pt idx="4">
                  <c:v>9449.7804222300001</c:v>
                </c:pt>
                <c:pt idx="5">
                  <c:v>11441.71</c:v>
                </c:pt>
                <c:pt idx="6">
                  <c:v>11778.21</c:v>
                </c:pt>
                <c:pt idx="7">
                  <c:v>12234.9</c:v>
                </c:pt>
                <c:pt idx="8">
                  <c:v>12788.99</c:v>
                </c:pt>
              </c:numCache>
            </c:numRef>
          </c:val>
          <c:extLst>
            <c:ext xmlns:c16="http://schemas.microsoft.com/office/drawing/2014/chart" uri="{C3380CC4-5D6E-409C-BE32-E72D297353CC}">
              <c16:uniqueId val="{00000000-D565-44BC-8AF9-BB35E3EA84DB}"/>
            </c:ext>
          </c:extLst>
        </c:ser>
        <c:ser>
          <c:idx val="0"/>
          <c:order val="1"/>
          <c:tx>
            <c:strRef>
              <c:f>'Chart 6.1&amp;2 Net debt'!$D$63</c:f>
              <c:strCache>
                <c:ptCount val="1"/>
                <c:pt idx="0">
                  <c:v>NGF</c:v>
                </c:pt>
              </c:strCache>
            </c:strRef>
          </c:tx>
          <c:spPr>
            <a:solidFill>
              <a:srgbClr val="008EBA"/>
            </a:solidFill>
            <a:ln>
              <a:noFill/>
            </a:ln>
            <a:effectLst/>
          </c:spPr>
          <c:invertIfNegative val="0"/>
          <c:cat>
            <c:strRef>
              <c:f>'Chart 6.1&amp;2 Net debt'!$I$61:$Q$61</c:f>
              <c:strCache>
                <c:ptCount val="9"/>
                <c:pt idx="0">
                  <c:v>June 2016</c:v>
                </c:pt>
                <c:pt idx="1">
                  <c:v>June 2017</c:v>
                </c:pt>
                <c:pt idx="2">
                  <c:v>June 2018</c:v>
                </c:pt>
                <c:pt idx="3">
                  <c:v>June 2019</c:v>
                </c:pt>
                <c:pt idx="4">
                  <c:v>June 2020</c:v>
                </c:pt>
                <c:pt idx="5">
                  <c:v>June 2021</c:v>
                </c:pt>
                <c:pt idx="6">
                  <c:v>June 2022</c:v>
                </c:pt>
                <c:pt idx="7">
                  <c:v>June 2023</c:v>
                </c:pt>
                <c:pt idx="8">
                  <c:v>June 2024</c:v>
                </c:pt>
              </c:strCache>
            </c:strRef>
          </c:cat>
          <c:val>
            <c:numRef>
              <c:f>'Chart 6.1&amp;2 Net debt'!$I$63:$Q$63</c:f>
              <c:numCache>
                <c:formatCode>_(* #,##0.00_);_(* \(#,##0.00\);_(* "-"??_);_(@_)</c:formatCode>
                <c:ptCount val="9"/>
                <c:pt idx="0">
                  <c:v>0</c:v>
                </c:pt>
                <c:pt idx="1">
                  <c:v>0</c:v>
                </c:pt>
                <c:pt idx="2">
                  <c:v>0</c:v>
                </c:pt>
                <c:pt idx="3">
                  <c:v>10883.97292444</c:v>
                </c:pt>
                <c:pt idx="4">
                  <c:v>11262.435428129998</c:v>
                </c:pt>
                <c:pt idx="5">
                  <c:v>14003.975652082199</c:v>
                </c:pt>
                <c:pt idx="6">
                  <c:v>18335.271646158508</c:v>
                </c:pt>
                <c:pt idx="7">
                  <c:v>22522.488053024605</c:v>
                </c:pt>
                <c:pt idx="8">
                  <c:v>27202.98667080608</c:v>
                </c:pt>
              </c:numCache>
            </c:numRef>
          </c:val>
          <c:extLst>
            <c:ext xmlns:c16="http://schemas.microsoft.com/office/drawing/2014/chart" uri="{C3380CC4-5D6E-409C-BE32-E72D297353CC}">
              <c16:uniqueId val="{00000001-D565-44BC-8AF9-BB35E3EA84DB}"/>
            </c:ext>
          </c:extLst>
        </c:ser>
        <c:ser>
          <c:idx val="2"/>
          <c:order val="2"/>
          <c:tx>
            <c:strRef>
              <c:f>'Chart 6.1&amp;2 Net debt'!$D$64</c:f>
              <c:strCache>
                <c:ptCount val="1"/>
                <c:pt idx="0">
                  <c:v>NIFF</c:v>
                </c:pt>
              </c:strCache>
            </c:strRef>
          </c:tx>
          <c:spPr>
            <a:solidFill>
              <a:srgbClr val="53C8E9"/>
            </a:solidFill>
            <a:ln>
              <a:noFill/>
            </a:ln>
            <a:effectLst/>
          </c:spPr>
          <c:invertIfNegative val="0"/>
          <c:cat>
            <c:strRef>
              <c:f>'Chart 6.1&amp;2 Net debt'!$I$61:$Q$61</c:f>
              <c:strCache>
                <c:ptCount val="9"/>
                <c:pt idx="0">
                  <c:v>June 2016</c:v>
                </c:pt>
                <c:pt idx="1">
                  <c:v>June 2017</c:v>
                </c:pt>
                <c:pt idx="2">
                  <c:v>June 2018</c:v>
                </c:pt>
                <c:pt idx="3">
                  <c:v>June 2019</c:v>
                </c:pt>
                <c:pt idx="4">
                  <c:v>June 2020</c:v>
                </c:pt>
                <c:pt idx="5">
                  <c:v>June 2021</c:v>
                </c:pt>
                <c:pt idx="6">
                  <c:v>June 2022</c:v>
                </c:pt>
                <c:pt idx="7">
                  <c:v>June 2023</c:v>
                </c:pt>
                <c:pt idx="8">
                  <c:v>June 2024</c:v>
                </c:pt>
              </c:strCache>
            </c:strRef>
          </c:cat>
          <c:val>
            <c:numRef>
              <c:f>'Chart 6.1&amp;2 Net debt'!$I$64:$Q$64</c:f>
              <c:numCache>
                <c:formatCode>_(* #,##0.00_);_(* \(#,##0.00\);_(* "-"??_);_(@_)</c:formatCode>
                <c:ptCount val="9"/>
                <c:pt idx="0">
                  <c:v>0</c:v>
                </c:pt>
                <c:pt idx="1">
                  <c:v>14680.6250394</c:v>
                </c:pt>
                <c:pt idx="2">
                  <c:v>19447.05995934</c:v>
                </c:pt>
                <c:pt idx="3">
                  <c:v>18276.586695939997</c:v>
                </c:pt>
                <c:pt idx="4">
                  <c:v>13845.390819520004</c:v>
                </c:pt>
                <c:pt idx="5">
                  <c:v>9882.3716788402253</c:v>
                </c:pt>
                <c:pt idx="6">
                  <c:v>7138.2636524741019</c:v>
                </c:pt>
                <c:pt idx="7">
                  <c:v>5929.310672923013</c:v>
                </c:pt>
                <c:pt idx="8">
                  <c:v>4580.4947541389183</c:v>
                </c:pt>
              </c:numCache>
            </c:numRef>
          </c:val>
          <c:extLst>
            <c:ext xmlns:c16="http://schemas.microsoft.com/office/drawing/2014/chart" uri="{C3380CC4-5D6E-409C-BE32-E72D297353CC}">
              <c16:uniqueId val="{00000002-D565-44BC-8AF9-BB35E3EA84DB}"/>
            </c:ext>
          </c:extLst>
        </c:ser>
        <c:ser>
          <c:idx val="3"/>
          <c:order val="3"/>
          <c:tx>
            <c:strRef>
              <c:f>'Chart 6.1&amp;2 Net debt'!$D$65</c:f>
              <c:strCache>
                <c:ptCount val="1"/>
                <c:pt idx="0">
                  <c:v>SAHF</c:v>
                </c:pt>
              </c:strCache>
            </c:strRef>
          </c:tx>
          <c:spPr>
            <a:solidFill>
              <a:srgbClr val="9ACA3C"/>
            </a:solidFill>
            <a:ln>
              <a:noFill/>
            </a:ln>
            <a:effectLst/>
          </c:spPr>
          <c:invertIfNegative val="0"/>
          <c:cat>
            <c:strRef>
              <c:f>'Chart 6.1&amp;2 Net debt'!$I$61:$Q$61</c:f>
              <c:strCache>
                <c:ptCount val="9"/>
                <c:pt idx="0">
                  <c:v>June 2016</c:v>
                </c:pt>
                <c:pt idx="1">
                  <c:v>June 2017</c:v>
                </c:pt>
                <c:pt idx="2">
                  <c:v>June 2018</c:v>
                </c:pt>
                <c:pt idx="3">
                  <c:v>June 2019</c:v>
                </c:pt>
                <c:pt idx="4">
                  <c:v>June 2020</c:v>
                </c:pt>
                <c:pt idx="5">
                  <c:v>June 2021</c:v>
                </c:pt>
                <c:pt idx="6">
                  <c:v>June 2022</c:v>
                </c:pt>
                <c:pt idx="7">
                  <c:v>June 2023</c:v>
                </c:pt>
                <c:pt idx="8">
                  <c:v>June 2024</c:v>
                </c:pt>
              </c:strCache>
            </c:strRef>
          </c:cat>
          <c:val>
            <c:numRef>
              <c:f>'Chart 6.1&amp;2 Net debt'!$I$65:$Q$65</c:f>
              <c:numCache>
                <c:formatCode>_(* #,##0.00_);_(* \(#,##0.00\);_(* "-"??_);_(@_)</c:formatCode>
                <c:ptCount val="9"/>
                <c:pt idx="0">
                  <c:v>0</c:v>
                </c:pt>
                <c:pt idx="1">
                  <c:v>0</c:v>
                </c:pt>
                <c:pt idx="2">
                  <c:v>1084.4472538699999</c:v>
                </c:pt>
                <c:pt idx="3">
                  <c:v>1216.91880599</c:v>
                </c:pt>
                <c:pt idx="4">
                  <c:v>1484.49759122</c:v>
                </c:pt>
                <c:pt idx="5">
                  <c:v>1531.6857823744472</c:v>
                </c:pt>
                <c:pt idx="6">
                  <c:v>1522.7403280480194</c:v>
                </c:pt>
                <c:pt idx="7">
                  <c:v>1507.2194532245617</c:v>
                </c:pt>
                <c:pt idx="8">
                  <c:v>1485.5849184778281</c:v>
                </c:pt>
              </c:numCache>
            </c:numRef>
          </c:val>
          <c:extLst>
            <c:ext xmlns:c16="http://schemas.microsoft.com/office/drawing/2014/chart" uri="{C3380CC4-5D6E-409C-BE32-E72D297353CC}">
              <c16:uniqueId val="{00000003-D565-44BC-8AF9-BB35E3EA84DB}"/>
            </c:ext>
          </c:extLst>
        </c:ser>
        <c:ser>
          <c:idx val="4"/>
          <c:order val="4"/>
          <c:tx>
            <c:strRef>
              <c:f>'Chart 6.1&amp;2 Net debt'!$D$66</c:f>
              <c:strCache>
                <c:ptCount val="1"/>
                <c:pt idx="0">
                  <c:v>SHLF</c:v>
                </c:pt>
              </c:strCache>
            </c:strRef>
          </c:tx>
          <c:spPr>
            <a:solidFill>
              <a:srgbClr val="009484"/>
            </a:solidFill>
            <a:ln>
              <a:noFill/>
            </a:ln>
            <a:effectLst/>
          </c:spPr>
          <c:invertIfNegative val="0"/>
          <c:cat>
            <c:strRef>
              <c:f>'Chart 6.1&amp;2 Net debt'!$I$61:$Q$61</c:f>
              <c:strCache>
                <c:ptCount val="9"/>
                <c:pt idx="0">
                  <c:v>June 2016</c:v>
                </c:pt>
                <c:pt idx="1">
                  <c:v>June 2017</c:v>
                </c:pt>
                <c:pt idx="2">
                  <c:v>June 2018</c:v>
                </c:pt>
                <c:pt idx="3">
                  <c:v>June 2019</c:v>
                </c:pt>
                <c:pt idx="4">
                  <c:v>June 2020</c:v>
                </c:pt>
                <c:pt idx="5">
                  <c:v>June 2021</c:v>
                </c:pt>
                <c:pt idx="6">
                  <c:v>June 2022</c:v>
                </c:pt>
                <c:pt idx="7">
                  <c:v>June 2023</c:v>
                </c:pt>
                <c:pt idx="8">
                  <c:v>June 2024</c:v>
                </c:pt>
              </c:strCache>
            </c:strRef>
          </c:cat>
          <c:val>
            <c:numRef>
              <c:f>'Chart 6.1&amp;2 Net debt'!$I$66:$Q$66</c:f>
              <c:numCache>
                <c:formatCode>_(* #,##0.00_);_(* \(#,##0.00\);_(* "-"??_);_(@_)</c:formatCode>
                <c:ptCount val="9"/>
                <c:pt idx="0">
                  <c:v>0</c:v>
                </c:pt>
                <c:pt idx="1">
                  <c:v>0</c:v>
                </c:pt>
                <c:pt idx="2">
                  <c:v>0</c:v>
                </c:pt>
                <c:pt idx="3">
                  <c:v>0</c:v>
                </c:pt>
                <c:pt idx="4">
                  <c:v>0</c:v>
                </c:pt>
                <c:pt idx="5">
                  <c:v>1816.6410000000001</c:v>
                </c:pt>
                <c:pt idx="6">
                  <c:v>1534.325</c:v>
                </c:pt>
                <c:pt idx="7">
                  <c:v>1364.74</c:v>
                </c:pt>
                <c:pt idx="8">
                  <c:v>1053.098</c:v>
                </c:pt>
              </c:numCache>
            </c:numRef>
          </c:val>
          <c:extLst>
            <c:ext xmlns:c16="http://schemas.microsoft.com/office/drawing/2014/chart" uri="{C3380CC4-5D6E-409C-BE32-E72D297353CC}">
              <c16:uniqueId val="{00000004-D565-44BC-8AF9-BB35E3EA84DB}"/>
            </c:ext>
          </c:extLst>
        </c:ser>
        <c:ser>
          <c:idx val="5"/>
          <c:order val="5"/>
          <c:tx>
            <c:strRef>
              <c:f>'Chart 6.1&amp;2 Net debt'!$D$67</c:f>
              <c:strCache>
                <c:ptCount val="1"/>
                <c:pt idx="0">
                  <c:v>Other</c:v>
                </c:pt>
              </c:strCache>
            </c:strRef>
          </c:tx>
          <c:spPr>
            <a:solidFill>
              <a:srgbClr val="A50776"/>
            </a:solidFill>
            <a:ln>
              <a:noFill/>
            </a:ln>
            <a:effectLst/>
          </c:spPr>
          <c:invertIfNegative val="0"/>
          <c:cat>
            <c:strRef>
              <c:f>'Chart 6.1&amp;2 Net debt'!$I$61:$Q$61</c:f>
              <c:strCache>
                <c:ptCount val="9"/>
                <c:pt idx="0">
                  <c:v>June 2016</c:v>
                </c:pt>
                <c:pt idx="1">
                  <c:v>June 2017</c:v>
                </c:pt>
                <c:pt idx="2">
                  <c:v>June 2018</c:v>
                </c:pt>
                <c:pt idx="3">
                  <c:v>June 2019</c:v>
                </c:pt>
                <c:pt idx="4">
                  <c:v>June 2020</c:v>
                </c:pt>
                <c:pt idx="5">
                  <c:v>June 2021</c:v>
                </c:pt>
                <c:pt idx="6">
                  <c:v>June 2022</c:v>
                </c:pt>
                <c:pt idx="7">
                  <c:v>June 2023</c:v>
                </c:pt>
                <c:pt idx="8">
                  <c:v>June 2024</c:v>
                </c:pt>
              </c:strCache>
            </c:strRef>
          </c:cat>
          <c:val>
            <c:numRef>
              <c:f>'Chart 6.1&amp;2 Net debt'!$I$67:$Q$67</c:f>
              <c:numCache>
                <c:formatCode>_(* #,##0.00_);_(* \(#,##0.00\);_(* "-"??_);_(@_)</c:formatCode>
                <c:ptCount val="9"/>
                <c:pt idx="0">
                  <c:v>3305.9116252399999</c:v>
                </c:pt>
                <c:pt idx="1">
                  <c:v>4398.5343997500004</c:v>
                </c:pt>
                <c:pt idx="2">
                  <c:v>4109.3181333500024</c:v>
                </c:pt>
                <c:pt idx="3">
                  <c:v>4562.7135667000048</c:v>
                </c:pt>
                <c:pt idx="4">
                  <c:v>4831.8222585399935</c:v>
                </c:pt>
                <c:pt idx="5">
                  <c:v>3193.5080866131289</c:v>
                </c:pt>
                <c:pt idx="6">
                  <c:v>2477.3801069693682</c:v>
                </c:pt>
                <c:pt idx="7">
                  <c:v>1715.3853330278168</c:v>
                </c:pt>
                <c:pt idx="8">
                  <c:v>2085.4950868771821</c:v>
                </c:pt>
              </c:numCache>
            </c:numRef>
          </c:val>
          <c:extLst>
            <c:ext xmlns:c16="http://schemas.microsoft.com/office/drawing/2014/chart" uri="{C3380CC4-5D6E-409C-BE32-E72D297353CC}">
              <c16:uniqueId val="{00000005-D565-44BC-8AF9-BB35E3EA84DB}"/>
            </c:ext>
          </c:extLst>
        </c:ser>
        <c:dLbls>
          <c:showLegendKey val="0"/>
          <c:showVal val="0"/>
          <c:showCatName val="0"/>
          <c:showSerName val="0"/>
          <c:showPercent val="0"/>
          <c:showBubbleSize val="0"/>
        </c:dLbls>
        <c:gapWidth val="150"/>
        <c:overlap val="100"/>
        <c:axId val="619515000"/>
        <c:axId val="619515656"/>
      </c:barChart>
      <c:catAx>
        <c:axId val="619515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max val="600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majorUnit val="20000"/>
        <c:minorUnit val="4000"/>
        <c:dispUnits>
          <c:builtInUnit val="thousands"/>
          <c:dispUnitsLbl>
            <c:layout>
              <c:manualLayout>
                <c:xMode val="edge"/>
                <c:yMode val="edge"/>
                <c:x val="8.8317579506720489E-3"/>
                <c:y val="0.34759082118890194"/>
              </c:manualLayout>
            </c:layout>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billions</a:t>
                  </a:r>
                </a:p>
              </c:rich>
            </c:tx>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0.36770701499251029"/>
          <c:y val="0.94812343200056715"/>
          <c:w val="0.32759744041132938"/>
          <c:h val="5.1876437763048032E-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noFill/>
    <a:ln w="9525" cap="flat" cmpd="sng" algn="ctr">
      <a:noFill/>
      <a:round/>
    </a:ln>
    <a:effectLst/>
  </c:spPr>
  <c:txPr>
    <a:bodyPr/>
    <a:lstStyle/>
    <a:p>
      <a:pPr>
        <a:defRPr sz="700">
          <a:latin typeface="Arial" panose="020B0604020202020204" pitchFamily="34" charset="0"/>
          <a:cs typeface="Arial" panose="020B0604020202020204" pitchFamily="34" charset="0"/>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5248401586240812E-2"/>
          <c:y val="4.1132464791552331E-2"/>
          <c:w val="0.90158656760559008"/>
          <c:h val="0.77443097636752933"/>
        </c:manualLayout>
      </c:layout>
      <c:barChart>
        <c:barDir val="col"/>
        <c:grouping val="stacked"/>
        <c:varyColors val="0"/>
        <c:ser>
          <c:idx val="0"/>
          <c:order val="0"/>
          <c:tx>
            <c:strRef>
              <c:f>'Chart 6.1&amp;2 Net debt'!$D$38</c:f>
              <c:strCache>
                <c:ptCount val="1"/>
                <c:pt idx="0">
                  <c:v>Investments, Loans and Placements</c:v>
                </c:pt>
              </c:strCache>
            </c:strRef>
          </c:tx>
          <c:spPr>
            <a:solidFill>
              <a:srgbClr val="00426F"/>
            </a:solidFill>
            <a:ln>
              <a:noFill/>
            </a:ln>
            <a:effectLst/>
          </c:spPr>
          <c:invertIfNegative val="0"/>
          <c:cat>
            <c:strRef>
              <c:f>'Chart 6.1&amp;2 Net debt'!$L$36:$Q$36</c:f>
              <c:strCache>
                <c:ptCount val="6"/>
                <c:pt idx="0">
                  <c:v>June 2019</c:v>
                </c:pt>
                <c:pt idx="1">
                  <c:v>June 2020</c:v>
                </c:pt>
                <c:pt idx="2">
                  <c:v>June 2021</c:v>
                </c:pt>
                <c:pt idx="3">
                  <c:v>June 2022</c:v>
                </c:pt>
                <c:pt idx="4">
                  <c:v>June 2023</c:v>
                </c:pt>
                <c:pt idx="5">
                  <c:v>June 2024</c:v>
                </c:pt>
              </c:strCache>
            </c:strRef>
          </c:cat>
          <c:val>
            <c:numRef>
              <c:f>'Chart 6.1&amp;2 Net debt'!$L$38:$Q$38</c:f>
              <c:numCache>
                <c:formatCode>_-* #,##0_-;\-* #,##0_-;_-* "-"??_-;_-@_-</c:formatCode>
                <c:ptCount val="6"/>
                <c:pt idx="0">
                  <c:v>45923.655406739999</c:v>
                </c:pt>
                <c:pt idx="1">
                  <c:v>42407.398997639713</c:v>
                </c:pt>
                <c:pt idx="2">
                  <c:v>43662.599592809704</c:v>
                </c:pt>
                <c:pt idx="3">
                  <c:v>44027.023588489799</c:v>
                </c:pt>
                <c:pt idx="4">
                  <c:v>46550.3932291643</c:v>
                </c:pt>
                <c:pt idx="5">
                  <c:v>50485.686575755703</c:v>
                </c:pt>
              </c:numCache>
            </c:numRef>
          </c:val>
          <c:extLst>
            <c:ext xmlns:c16="http://schemas.microsoft.com/office/drawing/2014/chart" uri="{C3380CC4-5D6E-409C-BE32-E72D297353CC}">
              <c16:uniqueId val="{00000000-B811-4355-B589-3BEE49C2B098}"/>
            </c:ext>
          </c:extLst>
        </c:ser>
        <c:ser>
          <c:idx val="1"/>
          <c:order val="1"/>
          <c:tx>
            <c:strRef>
              <c:f>'Chart 6.1&amp;2 Net debt'!$D$37</c:f>
              <c:strCache>
                <c:ptCount val="1"/>
                <c:pt idx="0">
                  <c:v>Cash and Cash Equivalents</c:v>
                </c:pt>
              </c:strCache>
            </c:strRef>
          </c:tx>
          <c:spPr>
            <a:solidFill>
              <a:srgbClr val="008EBA"/>
            </a:solidFill>
            <a:ln>
              <a:noFill/>
            </a:ln>
            <a:effectLst/>
          </c:spPr>
          <c:invertIfNegative val="0"/>
          <c:cat>
            <c:strRef>
              <c:f>'Chart 6.1&amp;2 Net debt'!$L$36:$Q$36</c:f>
              <c:strCache>
                <c:ptCount val="6"/>
                <c:pt idx="0">
                  <c:v>June 2019</c:v>
                </c:pt>
                <c:pt idx="1">
                  <c:v>June 2020</c:v>
                </c:pt>
                <c:pt idx="2">
                  <c:v>June 2021</c:v>
                </c:pt>
                <c:pt idx="3">
                  <c:v>June 2022</c:v>
                </c:pt>
                <c:pt idx="4">
                  <c:v>June 2023</c:v>
                </c:pt>
                <c:pt idx="5">
                  <c:v>June 2024</c:v>
                </c:pt>
              </c:strCache>
            </c:strRef>
          </c:cat>
          <c:val>
            <c:numRef>
              <c:f>'Chart 6.1&amp;2 Net debt'!$L$37:$Q$37</c:f>
              <c:numCache>
                <c:formatCode>_-* #,##0_-;\-* #,##0_-;_-* "-"??_-;_-@_-</c:formatCode>
                <c:ptCount val="6"/>
                <c:pt idx="0">
                  <c:v>1969.04912003</c:v>
                </c:pt>
                <c:pt idx="1">
                  <c:v>6134.2131970099999</c:v>
                </c:pt>
                <c:pt idx="2">
                  <c:v>1063.2324164000099</c:v>
                </c:pt>
                <c:pt idx="3">
                  <c:v>994.07544311000299</c:v>
                </c:pt>
                <c:pt idx="4">
                  <c:v>884.94406531500692</c:v>
                </c:pt>
                <c:pt idx="5">
                  <c:v>836.01364358999797</c:v>
                </c:pt>
              </c:numCache>
            </c:numRef>
          </c:val>
          <c:extLst>
            <c:ext xmlns:c16="http://schemas.microsoft.com/office/drawing/2014/chart" uri="{C3380CC4-5D6E-409C-BE32-E72D297353CC}">
              <c16:uniqueId val="{00000001-B811-4355-B589-3BEE49C2B098}"/>
            </c:ext>
          </c:extLst>
        </c:ser>
        <c:ser>
          <c:idx val="3"/>
          <c:order val="2"/>
          <c:tx>
            <c:strRef>
              <c:f>'Chart 6.1&amp;2 Net debt'!$D$39</c:f>
              <c:strCache>
                <c:ptCount val="1"/>
                <c:pt idx="0">
                  <c:v>Advances Paid</c:v>
                </c:pt>
              </c:strCache>
            </c:strRef>
          </c:tx>
          <c:spPr>
            <a:solidFill>
              <a:srgbClr val="53C8E9"/>
            </a:solidFill>
            <a:ln>
              <a:noFill/>
            </a:ln>
            <a:effectLst/>
          </c:spPr>
          <c:invertIfNegative val="0"/>
          <c:cat>
            <c:strRef>
              <c:f>'Chart 6.1&amp;2 Net debt'!$L$36:$Q$36</c:f>
              <c:strCache>
                <c:ptCount val="6"/>
                <c:pt idx="0">
                  <c:v>June 2019</c:v>
                </c:pt>
                <c:pt idx="1">
                  <c:v>June 2020</c:v>
                </c:pt>
                <c:pt idx="2">
                  <c:v>June 2021</c:v>
                </c:pt>
                <c:pt idx="3">
                  <c:v>June 2022</c:v>
                </c:pt>
                <c:pt idx="4">
                  <c:v>June 2023</c:v>
                </c:pt>
                <c:pt idx="5">
                  <c:v>June 2024</c:v>
                </c:pt>
              </c:strCache>
            </c:strRef>
          </c:cat>
          <c:val>
            <c:numRef>
              <c:f>'Chart 6.1&amp;2 Net debt'!$L$39:$Q$39</c:f>
              <c:numCache>
                <c:formatCode>_-* #,##0_-;\-* #,##0_-;_-* "-"??_-;_-@_-</c:formatCode>
                <c:ptCount val="6"/>
                <c:pt idx="0">
                  <c:v>1193.483600967</c:v>
                </c:pt>
                <c:pt idx="1">
                  <c:v>1239.1116031900001</c:v>
                </c:pt>
                <c:pt idx="2">
                  <c:v>1302.65519819</c:v>
                </c:pt>
                <c:pt idx="3">
                  <c:v>1688.1398671900001</c:v>
                </c:pt>
                <c:pt idx="4">
                  <c:v>2010.90443519</c:v>
                </c:pt>
                <c:pt idx="5">
                  <c:v>2400.9342141900001</c:v>
                </c:pt>
              </c:numCache>
            </c:numRef>
          </c:val>
          <c:extLst>
            <c:ext xmlns:c16="http://schemas.microsoft.com/office/drawing/2014/chart" uri="{C3380CC4-5D6E-409C-BE32-E72D297353CC}">
              <c16:uniqueId val="{00000002-B811-4355-B589-3BEE49C2B098}"/>
            </c:ext>
          </c:extLst>
        </c:ser>
        <c:ser>
          <c:idx val="2"/>
          <c:order val="3"/>
          <c:tx>
            <c:strRef>
              <c:f>'Chart 6.1&amp;2 Net debt'!$D$40</c:f>
              <c:strCache>
                <c:ptCount val="1"/>
                <c:pt idx="0">
                  <c:v>Borrowings</c:v>
                </c:pt>
              </c:strCache>
            </c:strRef>
          </c:tx>
          <c:spPr>
            <a:solidFill>
              <a:srgbClr val="9ACA3C"/>
            </a:solidFill>
            <a:ln>
              <a:noFill/>
            </a:ln>
            <a:effectLst/>
          </c:spPr>
          <c:invertIfNegative val="0"/>
          <c:cat>
            <c:strRef>
              <c:f>'Chart 6.1&amp;2 Net debt'!$L$36:$Q$36</c:f>
              <c:strCache>
                <c:ptCount val="6"/>
                <c:pt idx="0">
                  <c:v>June 2019</c:v>
                </c:pt>
                <c:pt idx="1">
                  <c:v>June 2020</c:v>
                </c:pt>
                <c:pt idx="2">
                  <c:v>June 2021</c:v>
                </c:pt>
                <c:pt idx="3">
                  <c:v>June 2022</c:v>
                </c:pt>
                <c:pt idx="4">
                  <c:v>June 2023</c:v>
                </c:pt>
                <c:pt idx="5">
                  <c:v>June 2024</c:v>
                </c:pt>
              </c:strCache>
            </c:strRef>
          </c:cat>
          <c:val>
            <c:numRef>
              <c:f>'Chart 6.1&amp;2 Net debt'!$L$40:$Q$40</c:f>
              <c:numCache>
                <c:formatCode>_-* #,##0_-;\-* #,##0_-;_-* "-"??_-;_-@_-</c:formatCode>
                <c:ptCount val="6"/>
                <c:pt idx="0">
                  <c:v>-37862.351191469999</c:v>
                </c:pt>
                <c:pt idx="1">
                  <c:v>-68277.151342434794</c:v>
                </c:pt>
                <c:pt idx="2">
                  <c:v>-98561.543218070001</c:v>
                </c:pt>
                <c:pt idx="3">
                  <c:v>-121513.78577384001</c:v>
                </c:pt>
                <c:pt idx="4">
                  <c:v>-140643.60151638</c:v>
                </c:pt>
                <c:pt idx="5">
                  <c:v>-157548.61769625999</c:v>
                </c:pt>
              </c:numCache>
            </c:numRef>
          </c:val>
          <c:extLst>
            <c:ext xmlns:c16="http://schemas.microsoft.com/office/drawing/2014/chart" uri="{C3380CC4-5D6E-409C-BE32-E72D297353CC}">
              <c16:uniqueId val="{00000003-B811-4355-B589-3BEE49C2B098}"/>
            </c:ext>
          </c:extLst>
        </c:ser>
        <c:ser>
          <c:idx val="4"/>
          <c:order val="4"/>
          <c:tx>
            <c:strRef>
              <c:f>'Chart 6.1&amp;2 Net debt'!$D$41</c:f>
              <c:strCache>
                <c:ptCount val="1"/>
                <c:pt idx="0">
                  <c:v>Deposits Held and Advances Received</c:v>
                </c:pt>
              </c:strCache>
            </c:strRef>
          </c:tx>
          <c:spPr>
            <a:solidFill>
              <a:srgbClr val="009484"/>
            </a:solidFill>
            <a:ln>
              <a:noFill/>
            </a:ln>
            <a:effectLst/>
          </c:spPr>
          <c:invertIfNegative val="0"/>
          <c:cat>
            <c:strRef>
              <c:f>'Chart 6.1&amp;2 Net debt'!$L$36:$Q$36</c:f>
              <c:strCache>
                <c:ptCount val="6"/>
                <c:pt idx="0">
                  <c:v>June 2019</c:v>
                </c:pt>
                <c:pt idx="1">
                  <c:v>June 2020</c:v>
                </c:pt>
                <c:pt idx="2">
                  <c:v>June 2021</c:v>
                </c:pt>
                <c:pt idx="3">
                  <c:v>June 2022</c:v>
                </c:pt>
                <c:pt idx="4">
                  <c:v>June 2023</c:v>
                </c:pt>
                <c:pt idx="5">
                  <c:v>June 2024</c:v>
                </c:pt>
              </c:strCache>
            </c:strRef>
          </c:cat>
          <c:val>
            <c:numRef>
              <c:f>'Chart 6.1&amp;2 Net debt'!$L$41:$Q$41</c:f>
              <c:numCache>
                <c:formatCode>_-* #,##0_-;\-* #,##0_-;_-* "-"??_-;_-@_-</c:formatCode>
                <c:ptCount val="6"/>
                <c:pt idx="0">
                  <c:v>-822.38485170999991</c:v>
                </c:pt>
                <c:pt idx="1">
                  <c:v>-764.64839389999997</c:v>
                </c:pt>
                <c:pt idx="2">
                  <c:v>-653.88606089999996</c:v>
                </c:pt>
                <c:pt idx="3">
                  <c:v>-628.82922389999999</c:v>
                </c:pt>
                <c:pt idx="4">
                  <c:v>-574.12702089999993</c:v>
                </c:pt>
                <c:pt idx="5">
                  <c:v>-521.07679389999998</c:v>
                </c:pt>
              </c:numCache>
            </c:numRef>
          </c:val>
          <c:extLst>
            <c:ext xmlns:c16="http://schemas.microsoft.com/office/drawing/2014/chart" uri="{C3380CC4-5D6E-409C-BE32-E72D297353CC}">
              <c16:uniqueId val="{00000004-B811-4355-B589-3BEE49C2B098}"/>
            </c:ext>
          </c:extLst>
        </c:ser>
        <c:dLbls>
          <c:showLegendKey val="0"/>
          <c:showVal val="0"/>
          <c:showCatName val="0"/>
          <c:showSerName val="0"/>
          <c:showPercent val="0"/>
          <c:showBubbleSize val="0"/>
        </c:dLbls>
        <c:gapWidth val="150"/>
        <c:overlap val="100"/>
        <c:axId val="619515000"/>
        <c:axId val="619515656"/>
      </c:barChart>
      <c:lineChart>
        <c:grouping val="standard"/>
        <c:varyColors val="0"/>
        <c:ser>
          <c:idx val="5"/>
          <c:order val="5"/>
          <c:tx>
            <c:strRef>
              <c:f>'Chart 6.1&amp;2 Net debt'!$D$42</c:f>
              <c:strCache>
                <c:ptCount val="1"/>
                <c:pt idx="0">
                  <c:v>Net Debt</c:v>
                </c:pt>
              </c:strCache>
            </c:strRef>
          </c:tx>
          <c:spPr>
            <a:ln w="28575" cap="rnd">
              <a:solidFill>
                <a:srgbClr val="4B5051"/>
              </a:solidFill>
              <a:round/>
            </a:ln>
            <a:effectLst/>
          </c:spPr>
          <c:marker>
            <c:symbol val="none"/>
          </c:marker>
          <c:cat>
            <c:strRef>
              <c:f>'Chart 6.1&amp;2 Net debt'!$K$36:$P$36</c:f>
              <c:strCache>
                <c:ptCount val="6"/>
                <c:pt idx="0">
                  <c:v>June 2018</c:v>
                </c:pt>
                <c:pt idx="1">
                  <c:v>June 2019</c:v>
                </c:pt>
                <c:pt idx="2">
                  <c:v>June 2020</c:v>
                </c:pt>
                <c:pt idx="3">
                  <c:v>June 2021</c:v>
                </c:pt>
                <c:pt idx="4">
                  <c:v>June 2022</c:v>
                </c:pt>
                <c:pt idx="5">
                  <c:v>June 2023</c:v>
                </c:pt>
              </c:strCache>
            </c:strRef>
          </c:cat>
          <c:val>
            <c:numRef>
              <c:f>'Chart 6.1&amp;2 Net debt'!$L$42:$Q$42</c:f>
              <c:numCache>
                <c:formatCode>_-* #,##0_-;\-* #,##0_-;_-* "-"??_-;_-@_-</c:formatCode>
                <c:ptCount val="6"/>
                <c:pt idx="0">
                  <c:v>-10401.452084557006</c:v>
                </c:pt>
                <c:pt idx="1">
                  <c:v>19261.075938495076</c:v>
                </c:pt>
                <c:pt idx="2">
                  <c:v>53186.942071570287</c:v>
                </c:pt>
                <c:pt idx="3">
                  <c:v>75433.376098950204</c:v>
                </c:pt>
                <c:pt idx="4">
                  <c:v>91771.486807610709</c:v>
                </c:pt>
                <c:pt idx="5">
                  <c:v>104347.06005662429</c:v>
                </c:pt>
              </c:numCache>
            </c:numRef>
          </c:val>
          <c:smooth val="0"/>
          <c:extLst>
            <c:ext xmlns:c16="http://schemas.microsoft.com/office/drawing/2014/chart" uri="{C3380CC4-5D6E-409C-BE32-E72D297353CC}">
              <c16:uniqueId val="{00000005-B811-4355-B589-3BEE49C2B098}"/>
            </c:ext>
          </c:extLst>
        </c:ser>
        <c:dLbls>
          <c:showLegendKey val="0"/>
          <c:showVal val="0"/>
          <c:showCatName val="0"/>
          <c:showSerName val="0"/>
          <c:showPercent val="0"/>
          <c:showBubbleSize val="0"/>
        </c:dLbls>
        <c:marker val="1"/>
        <c:smooth val="0"/>
        <c:axId val="619515000"/>
        <c:axId val="619515656"/>
      </c:lineChart>
      <c:catAx>
        <c:axId val="619515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max val="120000"/>
          <c:min val="-16000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majorUnit val="20000"/>
        <c:minorUnit val="4000"/>
        <c:dispUnits>
          <c:builtInUnit val="thousands"/>
          <c:dispUnitsLbl>
            <c:layout>
              <c:manualLayout>
                <c:xMode val="edge"/>
                <c:yMode val="edge"/>
                <c:x val="8.8317579506720489E-3"/>
                <c:y val="0.34759082118890194"/>
              </c:manualLayout>
            </c:layout>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billions</a:t>
                  </a:r>
                </a:p>
              </c:rich>
            </c:tx>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5.6005673082107736E-2"/>
          <c:y val="0.9026247516205933"/>
          <c:w val="0.93378095360142455"/>
          <c:h val="9.3390127737355222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'Chart 6.3 ND_BOR &amp; DS'!$B$9</c:f>
              <c:strCache>
                <c:ptCount val="1"/>
                <c:pt idx="0">
                  <c:v>Net Debt (LHS)</c:v>
                </c:pt>
              </c:strCache>
            </c:strRef>
          </c:tx>
          <c:spPr>
            <a:solidFill>
              <a:srgbClr val="00426F"/>
            </a:solidFill>
            <a:ln>
              <a:noFill/>
            </a:ln>
            <a:effectLst/>
          </c:spPr>
          <c:invertIfNegative val="0"/>
          <c:cat>
            <c:strRef>
              <c:f>'Chart 6.3 ND_BOR &amp; DS'!$C$2:$W$2</c:f>
              <c:strCache>
                <c:ptCount val="21"/>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pt idx="14">
                  <c:v>2023-24</c:v>
                </c:pt>
                <c:pt idx="15">
                  <c:v>2024-25</c:v>
                </c:pt>
                <c:pt idx="16">
                  <c:v>2025-26</c:v>
                </c:pt>
                <c:pt idx="17">
                  <c:v>2026-27</c:v>
                </c:pt>
                <c:pt idx="18">
                  <c:v>2027-28</c:v>
                </c:pt>
                <c:pt idx="19">
                  <c:v>2028-29</c:v>
                </c:pt>
                <c:pt idx="20">
                  <c:v>2029-30</c:v>
                </c:pt>
              </c:strCache>
            </c:strRef>
          </c:cat>
          <c:val>
            <c:numRef>
              <c:f>'Chart 6.3 ND_BOR &amp; DS'!$C$9:$W$9</c:f>
              <c:numCache>
                <c:formatCode>_-* #,##0_-;\-* #,##0_-;_-* "-"??_-;_-@_-</c:formatCode>
                <c:ptCount val="21"/>
                <c:pt idx="0">
                  <c:v>9.1609999999999996</c:v>
                </c:pt>
                <c:pt idx="1">
                  <c:v>7.952</c:v>
                </c:pt>
                <c:pt idx="2">
                  <c:v>14.127000000000001</c:v>
                </c:pt>
                <c:pt idx="3">
                  <c:v>11.907</c:v>
                </c:pt>
                <c:pt idx="4">
                  <c:v>6.8689999999999998</c:v>
                </c:pt>
                <c:pt idx="5">
                  <c:v>5.4610000000000003</c:v>
                </c:pt>
                <c:pt idx="6">
                  <c:v>-5.7000000000000002E-2</c:v>
                </c:pt>
                <c:pt idx="7">
                  <c:v>-9.3439999999999994</c:v>
                </c:pt>
                <c:pt idx="8">
                  <c:v>-11.195</c:v>
                </c:pt>
                <c:pt idx="9">
                  <c:v>-10.401</c:v>
                </c:pt>
                <c:pt idx="10">
                  <c:v>19.261075938495001</c:v>
                </c:pt>
                <c:pt idx="11">
                  <c:v>53.186942071570293</c:v>
                </c:pt>
                <c:pt idx="12">
                  <c:v>75.433376098950191</c:v>
                </c:pt>
                <c:pt idx="13">
                  <c:v>91.771486807610799</c:v>
                </c:pt>
                <c:pt idx="14">
                  <c:v>104.34706005662399</c:v>
                </c:pt>
                <c:pt idx="15">
                  <c:v>104.6756247617182</c:v>
                </c:pt>
                <c:pt idx="16">
                  <c:v>103.09910488440963</c:v>
                </c:pt>
                <c:pt idx="17">
                  <c:v>99.322911726112793</c:v>
                </c:pt>
                <c:pt idx="18">
                  <c:v>94.091673265638704</c:v>
                </c:pt>
                <c:pt idx="19">
                  <c:v>85.708124236906855</c:v>
                </c:pt>
                <c:pt idx="20">
                  <c:v>76.134357180448404</c:v>
                </c:pt>
              </c:numCache>
            </c:numRef>
          </c:val>
          <c:extLst>
            <c:ext xmlns:c16="http://schemas.microsoft.com/office/drawing/2014/chart" uri="{C3380CC4-5D6E-409C-BE32-E72D297353CC}">
              <c16:uniqueId val="{00000000-B707-49EA-B9B1-56EF1F132418}"/>
            </c:ext>
          </c:extLst>
        </c:ser>
        <c:dLbls>
          <c:showLegendKey val="0"/>
          <c:showVal val="0"/>
          <c:showCatName val="0"/>
          <c:showSerName val="0"/>
          <c:showPercent val="0"/>
          <c:showBubbleSize val="0"/>
        </c:dLbls>
        <c:gapWidth val="100"/>
        <c:axId val="2108328656"/>
        <c:axId val="667284719"/>
      </c:barChart>
      <c:lineChart>
        <c:grouping val="standard"/>
        <c:varyColors val="0"/>
        <c:ser>
          <c:idx val="1"/>
          <c:order val="1"/>
          <c:tx>
            <c:strRef>
              <c:f>'Chart 6.3 ND_BOR &amp; DS'!$B$10</c:f>
              <c:strCache>
                <c:ptCount val="1"/>
                <c:pt idx="0">
                  <c:v>Interest Expense / Revenue (RHS)</c:v>
                </c:pt>
              </c:strCache>
            </c:strRef>
          </c:tx>
          <c:spPr>
            <a:ln w="28575" cap="rnd">
              <a:solidFill>
                <a:srgbClr val="53C8E9"/>
              </a:solidFill>
              <a:round/>
            </a:ln>
            <a:effectLst/>
          </c:spPr>
          <c:marker>
            <c:symbol val="none"/>
          </c:marker>
          <c:cat>
            <c:strRef>
              <c:f>'Chart 6.3 ND_BOR &amp; DS'!$C$2:$W$2</c:f>
              <c:strCache>
                <c:ptCount val="21"/>
                <c:pt idx="0">
                  <c:v>2009-10</c:v>
                </c:pt>
                <c:pt idx="1">
                  <c:v>2010-11</c:v>
                </c:pt>
                <c:pt idx="2">
                  <c:v>2011-12</c:v>
                </c:pt>
                <c:pt idx="3">
                  <c:v>2012-13</c:v>
                </c:pt>
                <c:pt idx="4">
                  <c:v>2013-14</c:v>
                </c:pt>
                <c:pt idx="5">
                  <c:v>2014-15</c:v>
                </c:pt>
                <c:pt idx="6">
                  <c:v>2015-16</c:v>
                </c:pt>
                <c:pt idx="7">
                  <c:v>2016-17</c:v>
                </c:pt>
                <c:pt idx="8">
                  <c:v>2017-18</c:v>
                </c:pt>
                <c:pt idx="9">
                  <c:v>2018-19</c:v>
                </c:pt>
                <c:pt idx="10">
                  <c:v>2019-20</c:v>
                </c:pt>
                <c:pt idx="11">
                  <c:v>2020-21</c:v>
                </c:pt>
                <c:pt idx="12">
                  <c:v>2021-22</c:v>
                </c:pt>
                <c:pt idx="13">
                  <c:v>2022-23</c:v>
                </c:pt>
                <c:pt idx="14">
                  <c:v>2023-24</c:v>
                </c:pt>
                <c:pt idx="15">
                  <c:v>2024-25</c:v>
                </c:pt>
                <c:pt idx="16">
                  <c:v>2025-26</c:v>
                </c:pt>
                <c:pt idx="17">
                  <c:v>2026-27</c:v>
                </c:pt>
                <c:pt idx="18">
                  <c:v>2027-28</c:v>
                </c:pt>
                <c:pt idx="19">
                  <c:v>2028-29</c:v>
                </c:pt>
                <c:pt idx="20">
                  <c:v>2029-30</c:v>
                </c:pt>
              </c:strCache>
            </c:strRef>
          </c:cat>
          <c:val>
            <c:numRef>
              <c:f>'Chart 6.3 ND_BOR &amp; DS'!$C$10:$W$10</c:f>
              <c:numCache>
                <c:formatCode>0.0%</c:formatCode>
                <c:ptCount val="21"/>
                <c:pt idx="0">
                  <c:v>2.9345973583297828E-2</c:v>
                </c:pt>
                <c:pt idx="1">
                  <c:v>3.1954360912781747E-2</c:v>
                </c:pt>
                <c:pt idx="2">
                  <c:v>3.5285145326667232E-2</c:v>
                </c:pt>
                <c:pt idx="3">
                  <c:v>3.6919392659360395E-2</c:v>
                </c:pt>
                <c:pt idx="4">
                  <c:v>3.4073176274524657E-2</c:v>
                </c:pt>
                <c:pt idx="5">
                  <c:v>3.2219141876265851E-2</c:v>
                </c:pt>
                <c:pt idx="6">
                  <c:v>2.9676863884628837E-2</c:v>
                </c:pt>
                <c:pt idx="7">
                  <c:v>2.7502271592930547E-2</c:v>
                </c:pt>
                <c:pt idx="8">
                  <c:v>2.4717374057913525E-2</c:v>
                </c:pt>
                <c:pt idx="9">
                  <c:v>2.2181417554168196E-2</c:v>
                </c:pt>
                <c:pt idx="10">
                  <c:v>2.5615143586529304E-2</c:v>
                </c:pt>
                <c:pt idx="11">
                  <c:v>3.1027358194983298E-2</c:v>
                </c:pt>
                <c:pt idx="12">
                  <c:v>3.048672967156978E-2</c:v>
                </c:pt>
                <c:pt idx="13">
                  <c:v>3.1665136351279481E-2</c:v>
                </c:pt>
                <c:pt idx="14">
                  <c:v>3.3131158857421371E-2</c:v>
                </c:pt>
                <c:pt idx="15">
                  <c:v>3.2263208172455086E-2</c:v>
                </c:pt>
                <c:pt idx="16">
                  <c:v>3.3297068022147588E-2</c:v>
                </c:pt>
                <c:pt idx="17">
                  <c:v>3.453052654731182E-2</c:v>
                </c:pt>
                <c:pt idx="18">
                  <c:v>3.5314319253014821E-2</c:v>
                </c:pt>
                <c:pt idx="19">
                  <c:v>3.5313293083163624E-2</c:v>
                </c:pt>
                <c:pt idx="20">
                  <c:v>3.5153400878893196E-2</c:v>
                </c:pt>
              </c:numCache>
            </c:numRef>
          </c:val>
          <c:smooth val="0"/>
          <c:extLst>
            <c:ext xmlns:c16="http://schemas.microsoft.com/office/drawing/2014/chart" uri="{C3380CC4-5D6E-409C-BE32-E72D297353CC}">
              <c16:uniqueId val="{00000001-B707-49EA-B9B1-56EF1F132418}"/>
            </c:ext>
          </c:extLst>
        </c:ser>
        <c:dLbls>
          <c:showLegendKey val="0"/>
          <c:showVal val="0"/>
          <c:showCatName val="0"/>
          <c:showSerName val="0"/>
          <c:showPercent val="0"/>
          <c:showBubbleSize val="0"/>
        </c:dLbls>
        <c:marker val="1"/>
        <c:smooth val="0"/>
        <c:axId val="2108345056"/>
        <c:axId val="667285551"/>
      </c:lineChart>
      <c:catAx>
        <c:axId val="2108328656"/>
        <c:scaling>
          <c:orientation val="minMax"/>
        </c:scaling>
        <c:delete val="0"/>
        <c:axPos val="b"/>
        <c:numFmt formatCode="General" sourceLinked="1"/>
        <c:majorTickMark val="none"/>
        <c:minorTickMark val="none"/>
        <c:tickLblPos val="low"/>
        <c:spPr>
          <a:noFill/>
          <a:ln w="6350" cap="flat" cmpd="sng" algn="ctr">
            <a:solidFill>
              <a:schemeClr val="tx1"/>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67284719"/>
        <c:crosses val="autoZero"/>
        <c:auto val="1"/>
        <c:lblAlgn val="ctr"/>
        <c:lblOffset val="100"/>
        <c:noMultiLvlLbl val="0"/>
      </c:catAx>
      <c:valAx>
        <c:axId val="667284719"/>
        <c:scaling>
          <c:orientation val="minMax"/>
          <c:max val="1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r>
                  <a:rPr lang="en-AU" sz="750" b="0">
                    <a:latin typeface="Arial" panose="020B0604020202020204" pitchFamily="34" charset="0"/>
                    <a:cs typeface="Arial" panose="020B0604020202020204" pitchFamily="34" charset="0"/>
                  </a:rPr>
                  <a:t>$ billion</a:t>
                </a:r>
              </a:p>
            </c:rich>
          </c:tx>
          <c:overlay val="0"/>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mn-lt"/>
                  <a:ea typeface="+mn-ea"/>
                  <a:cs typeface="+mn-cs"/>
                </a:defRPr>
              </a:pPr>
              <a:endParaRPr lang="en-US"/>
            </a:p>
          </c:txPr>
        </c:title>
        <c:numFmt formatCode="_-* #,##0_-;\-* #,##0_-;_-* &quot;-&quot;??_-;_-@_-"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2108328656"/>
        <c:crosses val="autoZero"/>
        <c:crossBetween val="between"/>
      </c:valAx>
      <c:valAx>
        <c:axId val="667285551"/>
        <c:scaling>
          <c:orientation val="minMax"/>
          <c:max val="0.12000000000000001"/>
          <c:min val="-2.0000000000000004E-2"/>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sz="700" b="0">
                    <a:latin typeface="Arial" panose="020B0604020202020204" pitchFamily="34" charset="0"/>
                    <a:cs typeface="Arial" panose="020B0604020202020204" pitchFamily="34" charset="0"/>
                  </a:rPr>
                  <a:t>Per 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0"/>
        <c:majorTickMark val="out"/>
        <c:minorTickMark val="none"/>
        <c:tickLblPos val="nextTo"/>
        <c:spPr>
          <a:noFill/>
          <a:ln w="6350">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8345056"/>
        <c:crosses val="max"/>
        <c:crossBetween val="between"/>
        <c:majorUnit val="2.0000000000000004E-2"/>
      </c:valAx>
      <c:catAx>
        <c:axId val="2108345056"/>
        <c:scaling>
          <c:orientation val="minMax"/>
        </c:scaling>
        <c:delete val="1"/>
        <c:axPos val="b"/>
        <c:numFmt formatCode="General" sourceLinked="1"/>
        <c:majorTickMark val="out"/>
        <c:minorTickMark val="none"/>
        <c:tickLblPos val="nextTo"/>
        <c:crossAx val="667285551"/>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7674914647561683E-2"/>
          <c:y val="4.1132464791552331E-2"/>
          <c:w val="0.89916028356386413"/>
          <c:h val="0.81596884214961474"/>
        </c:manualLayout>
      </c:layout>
      <c:barChart>
        <c:barDir val="col"/>
        <c:grouping val="clustered"/>
        <c:varyColors val="0"/>
        <c:ser>
          <c:idx val="0"/>
          <c:order val="0"/>
          <c:tx>
            <c:strRef>
              <c:f>'Chart 6.4 Net worth'!$E$23</c:f>
              <c:strCache>
                <c:ptCount val="1"/>
                <c:pt idx="0">
                  <c:v>Financial Assets</c:v>
                </c:pt>
              </c:strCache>
            </c:strRef>
          </c:tx>
          <c:spPr>
            <a:solidFill>
              <a:srgbClr val="00426F"/>
            </a:solidFill>
            <a:ln>
              <a:noFill/>
            </a:ln>
            <a:effectLst/>
          </c:spPr>
          <c:invertIfNegative val="0"/>
          <c:cat>
            <c:strRef>
              <c:f>'Chart 6.4 Net worth'!$G$21:$L$21</c:f>
              <c:strCache>
                <c:ptCount val="6"/>
                <c:pt idx="0">
                  <c:v>June 2019</c:v>
                </c:pt>
                <c:pt idx="1">
                  <c:v>June 2020</c:v>
                </c:pt>
                <c:pt idx="2">
                  <c:v>June 2021</c:v>
                </c:pt>
                <c:pt idx="3">
                  <c:v>June 2022</c:v>
                </c:pt>
                <c:pt idx="4">
                  <c:v>June 2023</c:v>
                </c:pt>
                <c:pt idx="5">
                  <c:v>June 2024</c:v>
                </c:pt>
              </c:strCache>
            </c:strRef>
          </c:cat>
          <c:val>
            <c:numRef>
              <c:f>'Chart 6.4 Net worth'!$G$23:$L$23</c:f>
              <c:numCache>
                <c:formatCode>#,##0.0</c:formatCode>
                <c:ptCount val="6"/>
                <c:pt idx="0">
                  <c:v>169905.58161906601</c:v>
                </c:pt>
                <c:pt idx="1">
                  <c:v>175325.955818705</c:v>
                </c:pt>
                <c:pt idx="2">
                  <c:v>173081.40836461098</c:v>
                </c:pt>
                <c:pt idx="3">
                  <c:v>176280.528611099</c:v>
                </c:pt>
                <c:pt idx="4">
                  <c:v>182136.364749389</c:v>
                </c:pt>
                <c:pt idx="5">
                  <c:v>195342.86364846199</c:v>
                </c:pt>
              </c:numCache>
            </c:numRef>
          </c:val>
          <c:extLst>
            <c:ext xmlns:c16="http://schemas.microsoft.com/office/drawing/2014/chart" uri="{C3380CC4-5D6E-409C-BE32-E72D297353CC}">
              <c16:uniqueId val="{00000000-DC9F-4099-9D60-6112C1F388A0}"/>
            </c:ext>
          </c:extLst>
        </c:ser>
        <c:ser>
          <c:idx val="1"/>
          <c:order val="1"/>
          <c:tx>
            <c:strRef>
              <c:f>'Chart 6.4 Net worth'!$E$24</c:f>
              <c:strCache>
                <c:ptCount val="1"/>
                <c:pt idx="0">
                  <c:v>Non-Financial Assets</c:v>
                </c:pt>
              </c:strCache>
            </c:strRef>
          </c:tx>
          <c:spPr>
            <a:solidFill>
              <a:srgbClr val="008EBA"/>
            </a:solidFill>
            <a:ln>
              <a:noFill/>
            </a:ln>
            <a:effectLst/>
          </c:spPr>
          <c:invertIfNegative val="0"/>
          <c:cat>
            <c:strRef>
              <c:f>'Chart 6.4 Net worth'!$G$21:$L$21</c:f>
              <c:strCache>
                <c:ptCount val="6"/>
                <c:pt idx="0">
                  <c:v>June 2019</c:v>
                </c:pt>
                <c:pt idx="1">
                  <c:v>June 2020</c:v>
                </c:pt>
                <c:pt idx="2">
                  <c:v>June 2021</c:v>
                </c:pt>
                <c:pt idx="3">
                  <c:v>June 2022</c:v>
                </c:pt>
                <c:pt idx="4">
                  <c:v>June 2023</c:v>
                </c:pt>
                <c:pt idx="5">
                  <c:v>June 2024</c:v>
                </c:pt>
              </c:strCache>
            </c:strRef>
          </c:cat>
          <c:val>
            <c:numRef>
              <c:f>'Chart 6.4 Net worth'!$G$24:$L$24</c:f>
              <c:numCache>
                <c:formatCode>#,##0.0</c:formatCode>
                <c:ptCount val="6"/>
                <c:pt idx="0">
                  <c:v>232376.73215457998</c:v>
                </c:pt>
                <c:pt idx="1">
                  <c:v>250325.10950254998</c:v>
                </c:pt>
                <c:pt idx="2">
                  <c:v>286649.10828653001</c:v>
                </c:pt>
                <c:pt idx="3">
                  <c:v>304467.56569510698</c:v>
                </c:pt>
                <c:pt idx="4">
                  <c:v>319651.94607000204</c:v>
                </c:pt>
                <c:pt idx="5">
                  <c:v>334631.40080111905</c:v>
                </c:pt>
              </c:numCache>
            </c:numRef>
          </c:val>
          <c:extLst>
            <c:ext xmlns:c16="http://schemas.microsoft.com/office/drawing/2014/chart" uri="{C3380CC4-5D6E-409C-BE32-E72D297353CC}">
              <c16:uniqueId val="{00000001-DC9F-4099-9D60-6112C1F388A0}"/>
            </c:ext>
          </c:extLst>
        </c:ser>
        <c:ser>
          <c:idx val="3"/>
          <c:order val="2"/>
          <c:tx>
            <c:strRef>
              <c:f>'Chart 6.4 Net worth'!$E$25</c:f>
              <c:strCache>
                <c:ptCount val="1"/>
                <c:pt idx="0">
                  <c:v>Liabilities</c:v>
                </c:pt>
              </c:strCache>
            </c:strRef>
          </c:tx>
          <c:spPr>
            <a:solidFill>
              <a:srgbClr val="9ACA3C"/>
            </a:solidFill>
            <a:ln>
              <a:noFill/>
            </a:ln>
            <a:effectLst/>
          </c:spPr>
          <c:invertIfNegative val="0"/>
          <c:cat>
            <c:strRef>
              <c:f>'Chart 6.4 Net worth'!$G$21:$L$21</c:f>
              <c:strCache>
                <c:ptCount val="6"/>
                <c:pt idx="0">
                  <c:v>June 2019</c:v>
                </c:pt>
                <c:pt idx="1">
                  <c:v>June 2020</c:v>
                </c:pt>
                <c:pt idx="2">
                  <c:v>June 2021</c:v>
                </c:pt>
                <c:pt idx="3">
                  <c:v>June 2022</c:v>
                </c:pt>
                <c:pt idx="4">
                  <c:v>June 2023</c:v>
                </c:pt>
                <c:pt idx="5">
                  <c:v>June 2024</c:v>
                </c:pt>
              </c:strCache>
            </c:strRef>
          </c:cat>
          <c:val>
            <c:numRef>
              <c:f>'Chart 6.4 Net worth'!$G$25:$L$25</c:f>
              <c:numCache>
                <c:formatCode>#,##0.0</c:formatCode>
                <c:ptCount val="6"/>
                <c:pt idx="0">
                  <c:v>-152110.48672466102</c:v>
                </c:pt>
                <c:pt idx="1">
                  <c:v>-186963.55708551599</c:v>
                </c:pt>
                <c:pt idx="2">
                  <c:v>-230731.35859252998</c:v>
                </c:pt>
                <c:pt idx="3">
                  <c:v>-252427.36292949601</c:v>
                </c:pt>
                <c:pt idx="4">
                  <c:v>-265389.97845484799</c:v>
                </c:pt>
                <c:pt idx="5">
                  <c:v>-271276.667546299</c:v>
                </c:pt>
              </c:numCache>
            </c:numRef>
          </c:val>
          <c:extLst>
            <c:ext xmlns:c16="http://schemas.microsoft.com/office/drawing/2014/chart" uri="{C3380CC4-5D6E-409C-BE32-E72D297353CC}">
              <c16:uniqueId val="{00000002-DC9F-4099-9D60-6112C1F388A0}"/>
            </c:ext>
          </c:extLst>
        </c:ser>
        <c:dLbls>
          <c:showLegendKey val="0"/>
          <c:showVal val="0"/>
          <c:showCatName val="0"/>
          <c:showSerName val="0"/>
          <c:showPercent val="0"/>
          <c:showBubbleSize val="0"/>
        </c:dLbls>
        <c:gapWidth val="150"/>
        <c:axId val="619515000"/>
        <c:axId val="619515656"/>
      </c:barChart>
      <c:lineChart>
        <c:grouping val="standard"/>
        <c:varyColors val="0"/>
        <c:ser>
          <c:idx val="2"/>
          <c:order val="3"/>
          <c:tx>
            <c:strRef>
              <c:f>'Chart 6.4 Net worth'!$E$26</c:f>
              <c:strCache>
                <c:ptCount val="1"/>
                <c:pt idx="0">
                  <c:v>Net worth</c:v>
                </c:pt>
              </c:strCache>
            </c:strRef>
          </c:tx>
          <c:spPr>
            <a:ln w="28575" cap="rnd">
              <a:solidFill>
                <a:srgbClr val="4B5051"/>
              </a:solidFill>
              <a:round/>
            </a:ln>
            <a:effectLst/>
          </c:spPr>
          <c:marker>
            <c:symbol val="none"/>
          </c:marker>
          <c:cat>
            <c:strRef>
              <c:f>'Chart 6.4 Net worth'!$G$21:$L$21</c:f>
              <c:strCache>
                <c:ptCount val="6"/>
                <c:pt idx="0">
                  <c:v>June 2019</c:v>
                </c:pt>
                <c:pt idx="1">
                  <c:v>June 2020</c:v>
                </c:pt>
                <c:pt idx="2">
                  <c:v>June 2021</c:v>
                </c:pt>
                <c:pt idx="3">
                  <c:v>June 2022</c:v>
                </c:pt>
                <c:pt idx="4">
                  <c:v>June 2023</c:v>
                </c:pt>
                <c:pt idx="5">
                  <c:v>June 2024</c:v>
                </c:pt>
              </c:strCache>
            </c:strRef>
          </c:cat>
          <c:val>
            <c:numRef>
              <c:f>'Chart 6.4 Net worth'!$G$26:$L$26</c:f>
              <c:numCache>
                <c:formatCode>#,##0.0</c:formatCode>
                <c:ptCount val="6"/>
                <c:pt idx="0">
                  <c:v>250171.827048985</c:v>
                </c:pt>
                <c:pt idx="1">
                  <c:v>238687.50823573902</c:v>
                </c:pt>
                <c:pt idx="2">
                  <c:v>228999.15805861101</c:v>
                </c:pt>
                <c:pt idx="3">
                  <c:v>228320.73137670901</c:v>
                </c:pt>
                <c:pt idx="4">
                  <c:v>236398.33236454299</c:v>
                </c:pt>
                <c:pt idx="5">
                  <c:v>258697.596903281</c:v>
                </c:pt>
              </c:numCache>
            </c:numRef>
          </c:val>
          <c:smooth val="0"/>
          <c:extLst>
            <c:ext xmlns:c16="http://schemas.microsoft.com/office/drawing/2014/chart" uri="{C3380CC4-5D6E-409C-BE32-E72D297353CC}">
              <c16:uniqueId val="{00000003-DC9F-4099-9D60-6112C1F388A0}"/>
            </c:ext>
          </c:extLst>
        </c:ser>
        <c:dLbls>
          <c:showLegendKey val="0"/>
          <c:showVal val="0"/>
          <c:showCatName val="0"/>
          <c:showSerName val="0"/>
          <c:showPercent val="0"/>
          <c:showBubbleSize val="0"/>
        </c:dLbls>
        <c:marker val="1"/>
        <c:smooth val="0"/>
        <c:axId val="619515000"/>
        <c:axId val="619515656"/>
      </c:lineChart>
      <c:catAx>
        <c:axId val="619515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dispUnits>
          <c:builtInUnit val="thousands"/>
          <c:dispUnitsLbl>
            <c:layout>
              <c:manualLayout>
                <c:xMode val="edge"/>
                <c:yMode val="edge"/>
                <c:x val="6.261636946099167E-3"/>
                <c:y val="0.34759093574743749"/>
              </c:manualLayout>
            </c:layout>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billions</a:t>
                  </a:r>
                </a:p>
              </c:rich>
            </c:tx>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2.1005736329167198E-2"/>
          <c:y val="0.9221290448188505"/>
          <c:w val="0.96878099771734094"/>
          <c:h val="5.5665394559389104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7674914647561683E-2"/>
          <c:y val="4.1132464791552331E-2"/>
          <c:w val="0.89916028356386413"/>
          <c:h val="0.86748403588077561"/>
        </c:manualLayout>
      </c:layout>
      <c:barChart>
        <c:barDir val="col"/>
        <c:grouping val="clustered"/>
        <c:varyColors val="0"/>
        <c:ser>
          <c:idx val="0"/>
          <c:order val="0"/>
          <c:tx>
            <c:strRef>
              <c:f>'Chart 6.5 Net worth IJC'!$C$10</c:f>
              <c:strCache>
                <c:ptCount val="1"/>
                <c:pt idx="0">
                  <c:v>2019-20</c:v>
                </c:pt>
              </c:strCache>
            </c:strRef>
          </c:tx>
          <c:spPr>
            <a:solidFill>
              <a:schemeClr val="accent1"/>
            </a:solidFill>
            <a:ln>
              <a:noFill/>
            </a:ln>
            <a:effectLst/>
          </c:spPr>
          <c:invertIfNegative val="0"/>
          <c:dPt>
            <c:idx val="0"/>
            <c:invertIfNegative val="0"/>
            <c:bubble3D val="0"/>
            <c:spPr>
              <a:solidFill>
                <a:srgbClr val="00426F"/>
              </a:solidFill>
              <a:ln>
                <a:noFill/>
              </a:ln>
              <a:effectLst/>
            </c:spPr>
            <c:extLst>
              <c:ext xmlns:c16="http://schemas.microsoft.com/office/drawing/2014/chart" uri="{C3380CC4-5D6E-409C-BE32-E72D297353CC}">
                <c16:uniqueId val="{00000001-736F-4DCB-B6B4-DA793E650CEB}"/>
              </c:ext>
            </c:extLst>
          </c:dPt>
          <c:dPt>
            <c:idx val="1"/>
            <c:invertIfNegative val="0"/>
            <c:bubble3D val="0"/>
            <c:spPr>
              <a:solidFill>
                <a:srgbClr val="00B0F0"/>
              </a:solidFill>
              <a:ln>
                <a:noFill/>
              </a:ln>
              <a:effectLst/>
            </c:spPr>
            <c:extLst>
              <c:ext xmlns:c16="http://schemas.microsoft.com/office/drawing/2014/chart" uri="{C3380CC4-5D6E-409C-BE32-E72D297353CC}">
                <c16:uniqueId val="{00000003-736F-4DCB-B6B4-DA793E650CEB}"/>
              </c:ext>
            </c:extLst>
          </c:dPt>
          <c:dPt>
            <c:idx val="2"/>
            <c:invertIfNegative val="0"/>
            <c:bubble3D val="0"/>
            <c:spPr>
              <a:solidFill>
                <a:srgbClr val="00B0F0"/>
              </a:solidFill>
              <a:ln>
                <a:noFill/>
              </a:ln>
              <a:effectLst/>
            </c:spPr>
            <c:extLst>
              <c:ext xmlns:c16="http://schemas.microsoft.com/office/drawing/2014/chart" uri="{C3380CC4-5D6E-409C-BE32-E72D297353CC}">
                <c16:uniqueId val="{00000005-736F-4DCB-B6B4-DA793E650CEB}"/>
              </c:ext>
            </c:extLst>
          </c:dPt>
          <c:dPt>
            <c:idx val="3"/>
            <c:invertIfNegative val="0"/>
            <c:bubble3D val="0"/>
            <c:spPr>
              <a:solidFill>
                <a:srgbClr val="00B0F0"/>
              </a:solidFill>
              <a:ln>
                <a:noFill/>
              </a:ln>
              <a:effectLst/>
            </c:spPr>
            <c:extLst>
              <c:ext xmlns:c16="http://schemas.microsoft.com/office/drawing/2014/chart" uri="{C3380CC4-5D6E-409C-BE32-E72D297353CC}">
                <c16:uniqueId val="{00000007-736F-4DCB-B6B4-DA793E650CEB}"/>
              </c:ext>
            </c:extLst>
          </c:dPt>
          <c:dPt>
            <c:idx val="4"/>
            <c:invertIfNegative val="0"/>
            <c:bubble3D val="0"/>
            <c:spPr>
              <a:solidFill>
                <a:srgbClr val="00B0F0"/>
              </a:solidFill>
              <a:ln>
                <a:noFill/>
              </a:ln>
              <a:effectLst/>
            </c:spPr>
            <c:extLst>
              <c:ext xmlns:c16="http://schemas.microsoft.com/office/drawing/2014/chart" uri="{C3380CC4-5D6E-409C-BE32-E72D297353CC}">
                <c16:uniqueId val="{00000009-736F-4DCB-B6B4-DA793E650CEB}"/>
              </c:ext>
            </c:extLst>
          </c:dPt>
          <c:dPt>
            <c:idx val="5"/>
            <c:invertIfNegative val="0"/>
            <c:bubble3D val="0"/>
            <c:spPr>
              <a:solidFill>
                <a:srgbClr val="00B0F0"/>
              </a:solidFill>
              <a:ln>
                <a:noFill/>
              </a:ln>
              <a:effectLst/>
            </c:spPr>
            <c:extLst>
              <c:ext xmlns:c16="http://schemas.microsoft.com/office/drawing/2014/chart" uri="{C3380CC4-5D6E-409C-BE32-E72D297353CC}">
                <c16:uniqueId val="{0000000B-736F-4DCB-B6B4-DA793E650CEB}"/>
              </c:ext>
            </c:extLst>
          </c:dPt>
          <c:dPt>
            <c:idx val="6"/>
            <c:invertIfNegative val="0"/>
            <c:bubble3D val="0"/>
            <c:spPr>
              <a:solidFill>
                <a:srgbClr val="00B0F0"/>
              </a:solidFill>
              <a:ln>
                <a:noFill/>
              </a:ln>
              <a:effectLst/>
            </c:spPr>
            <c:extLst>
              <c:ext xmlns:c16="http://schemas.microsoft.com/office/drawing/2014/chart" uri="{C3380CC4-5D6E-409C-BE32-E72D297353CC}">
                <c16:uniqueId val="{0000000D-736F-4DCB-B6B4-DA793E650CEB}"/>
              </c:ext>
            </c:extLst>
          </c:dPt>
          <c:dPt>
            <c:idx val="7"/>
            <c:invertIfNegative val="0"/>
            <c:bubble3D val="0"/>
            <c:spPr>
              <a:solidFill>
                <a:srgbClr val="00B0F0"/>
              </a:solidFill>
              <a:ln>
                <a:noFill/>
              </a:ln>
              <a:effectLst/>
            </c:spPr>
            <c:extLst>
              <c:ext xmlns:c16="http://schemas.microsoft.com/office/drawing/2014/chart" uri="{C3380CC4-5D6E-409C-BE32-E72D297353CC}">
                <c16:uniqueId val="{0000000F-736F-4DCB-B6B4-DA793E650CEB}"/>
              </c:ext>
            </c:extLst>
          </c:dPt>
          <c:cat>
            <c:strRef>
              <c:f>'Chart 6.5 Net worth IJC'!$D$8:$K$8</c:f>
              <c:strCache>
                <c:ptCount val="8"/>
                <c:pt idx="0">
                  <c:v>NSW</c:v>
                </c:pt>
                <c:pt idx="1">
                  <c:v>VIC</c:v>
                </c:pt>
                <c:pt idx="2">
                  <c:v>QLD</c:v>
                </c:pt>
                <c:pt idx="3">
                  <c:v>SA</c:v>
                </c:pt>
                <c:pt idx="4">
                  <c:v>WA</c:v>
                </c:pt>
                <c:pt idx="5">
                  <c:v>TAS</c:v>
                </c:pt>
                <c:pt idx="6">
                  <c:v>ACT</c:v>
                </c:pt>
                <c:pt idx="7">
                  <c:v>NT</c:v>
                </c:pt>
              </c:strCache>
            </c:strRef>
          </c:cat>
          <c:val>
            <c:numRef>
              <c:f>'Chart 6.5 Net worth IJC'!$D$10:$K$10</c:f>
              <c:numCache>
                <c:formatCode>0</c:formatCode>
                <c:ptCount val="8"/>
                <c:pt idx="0">
                  <c:v>238688</c:v>
                </c:pt>
                <c:pt idx="1">
                  <c:v>156092</c:v>
                </c:pt>
                <c:pt idx="2">
                  <c:v>195956</c:v>
                </c:pt>
                <c:pt idx="3">
                  <c:v>43426</c:v>
                </c:pt>
                <c:pt idx="4">
                  <c:v>102438</c:v>
                </c:pt>
                <c:pt idx="5">
                  <c:v>7863</c:v>
                </c:pt>
                <c:pt idx="6">
                  <c:v>13110</c:v>
                </c:pt>
                <c:pt idx="7">
                  <c:v>10462</c:v>
                </c:pt>
              </c:numCache>
            </c:numRef>
          </c:val>
          <c:extLst>
            <c:ext xmlns:c16="http://schemas.microsoft.com/office/drawing/2014/chart" uri="{C3380CC4-5D6E-409C-BE32-E72D297353CC}">
              <c16:uniqueId val="{00000010-736F-4DCB-B6B4-DA793E650CEB}"/>
            </c:ext>
          </c:extLst>
        </c:ser>
        <c:dLbls>
          <c:showLegendKey val="0"/>
          <c:showVal val="0"/>
          <c:showCatName val="0"/>
          <c:showSerName val="0"/>
          <c:showPercent val="0"/>
          <c:showBubbleSize val="0"/>
        </c:dLbls>
        <c:gapWidth val="150"/>
        <c:axId val="619515000"/>
        <c:axId val="619515656"/>
      </c:barChart>
      <c:catAx>
        <c:axId val="619515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 billions</a:t>
                </a:r>
              </a:p>
            </c:rich>
          </c:tx>
          <c:overlay val="0"/>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dispUnits>
          <c:builtInUnit val="thousands"/>
          <c:dispUnitsLbl>
            <c:layout>
              <c:manualLayout>
                <c:xMode val="edge"/>
                <c:yMode val="edge"/>
                <c:x val="1.9556596223251027E-3"/>
                <c:y val="0.36905568740444428"/>
              </c:manualLayout>
            </c:layout>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 </a:t>
                  </a:r>
                </a:p>
              </c:rich>
            </c:tx>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1980889072984398E-2"/>
          <c:y val="4.1132464791552331E-2"/>
          <c:w val="0.8948542504119763"/>
          <c:h val="0.77463373903081167"/>
        </c:manualLayout>
      </c:layout>
      <c:barChart>
        <c:barDir val="col"/>
        <c:grouping val="stacked"/>
        <c:varyColors val="0"/>
        <c:ser>
          <c:idx val="4"/>
          <c:order val="0"/>
          <c:tx>
            <c:strRef>
              <c:f>'Chart 6.6 Financial assets'!$C$45</c:f>
              <c:strCache>
                <c:ptCount val="1"/>
                <c:pt idx="0">
                  <c:v>Equity Investments</c:v>
                </c:pt>
              </c:strCache>
            </c:strRef>
          </c:tx>
          <c:spPr>
            <a:solidFill>
              <a:srgbClr val="00426F"/>
            </a:solidFill>
            <a:ln>
              <a:noFill/>
            </a:ln>
            <a:effectLst/>
          </c:spPr>
          <c:invertIfNegative val="0"/>
          <c:cat>
            <c:strRef>
              <c:f>'Chart 6.6 Financial assets'!$D$40:$I$40</c:f>
              <c:strCache>
                <c:ptCount val="6"/>
                <c:pt idx="0">
                  <c:v>June 2019</c:v>
                </c:pt>
                <c:pt idx="1">
                  <c:v>June 2020</c:v>
                </c:pt>
                <c:pt idx="2">
                  <c:v>June 2021</c:v>
                </c:pt>
                <c:pt idx="3">
                  <c:v>June 2022</c:v>
                </c:pt>
                <c:pt idx="4">
                  <c:v>June 2023</c:v>
                </c:pt>
                <c:pt idx="5">
                  <c:v>June 2024</c:v>
                </c:pt>
              </c:strCache>
            </c:strRef>
          </c:cat>
          <c:val>
            <c:numRef>
              <c:f>'Chart 6.6 Financial assets'!$D$45:$I$45</c:f>
              <c:numCache>
                <c:formatCode>0</c:formatCode>
                <c:ptCount val="6"/>
                <c:pt idx="0">
                  <c:v>111053.08646021</c:v>
                </c:pt>
                <c:pt idx="1">
                  <c:v>112121.37935821999</c:v>
                </c:pt>
                <c:pt idx="2">
                  <c:v>114131.57106897399</c:v>
                </c:pt>
                <c:pt idx="3">
                  <c:v>116733.81951720999</c:v>
                </c:pt>
                <c:pt idx="4">
                  <c:v>119537.03384834</c:v>
                </c:pt>
                <c:pt idx="5">
                  <c:v>127559.02070229</c:v>
                </c:pt>
              </c:numCache>
            </c:numRef>
          </c:val>
          <c:extLst>
            <c:ext xmlns:c16="http://schemas.microsoft.com/office/drawing/2014/chart" uri="{C3380CC4-5D6E-409C-BE32-E72D297353CC}">
              <c16:uniqueId val="{00000000-7109-43B5-914E-201A396CB6CD}"/>
            </c:ext>
          </c:extLst>
        </c:ser>
        <c:ser>
          <c:idx val="1"/>
          <c:order val="1"/>
          <c:tx>
            <c:strRef>
              <c:f>'Chart 6.6 Financial assets'!$C$42</c:f>
              <c:strCache>
                <c:ptCount val="1"/>
                <c:pt idx="0">
                  <c:v>Financial Assets at Fair Value</c:v>
                </c:pt>
              </c:strCache>
            </c:strRef>
          </c:tx>
          <c:spPr>
            <a:solidFill>
              <a:srgbClr val="008EBA"/>
            </a:solidFill>
            <a:ln>
              <a:noFill/>
            </a:ln>
            <a:effectLst/>
          </c:spPr>
          <c:invertIfNegative val="0"/>
          <c:cat>
            <c:strRef>
              <c:f>'Chart 6.6 Financial assets'!$D$40:$I$40</c:f>
              <c:strCache>
                <c:ptCount val="6"/>
                <c:pt idx="0">
                  <c:v>June 2019</c:v>
                </c:pt>
                <c:pt idx="1">
                  <c:v>June 2020</c:v>
                </c:pt>
                <c:pt idx="2">
                  <c:v>June 2021</c:v>
                </c:pt>
                <c:pt idx="3">
                  <c:v>June 2022</c:v>
                </c:pt>
                <c:pt idx="4">
                  <c:v>June 2023</c:v>
                </c:pt>
                <c:pt idx="5">
                  <c:v>June 2024</c:v>
                </c:pt>
              </c:strCache>
            </c:strRef>
          </c:cat>
          <c:val>
            <c:numRef>
              <c:f>'Chart 6.6 Financial assets'!$D$42:$I$42</c:f>
              <c:numCache>
                <c:formatCode>0</c:formatCode>
                <c:ptCount val="6"/>
                <c:pt idx="0">
                  <c:v>43332.773235000001</c:v>
                </c:pt>
                <c:pt idx="1">
                  <c:v>40873.926519640001</c:v>
                </c:pt>
                <c:pt idx="2">
                  <c:v>41869.892199910006</c:v>
                </c:pt>
                <c:pt idx="3">
                  <c:v>42786.190733650001</c:v>
                </c:pt>
                <c:pt idx="4">
                  <c:v>45274.043512199998</c:v>
                </c:pt>
                <c:pt idx="5">
                  <c:v>49196.6494303</c:v>
                </c:pt>
              </c:numCache>
            </c:numRef>
          </c:val>
          <c:extLst>
            <c:ext xmlns:c16="http://schemas.microsoft.com/office/drawing/2014/chart" uri="{C3380CC4-5D6E-409C-BE32-E72D297353CC}">
              <c16:uniqueId val="{00000001-7109-43B5-914E-201A396CB6CD}"/>
            </c:ext>
          </c:extLst>
        </c:ser>
        <c:ser>
          <c:idx val="0"/>
          <c:order val="2"/>
          <c:tx>
            <c:strRef>
              <c:f>'Chart 6.6 Financial assets'!$C$41</c:f>
              <c:strCache>
                <c:ptCount val="1"/>
                <c:pt idx="0">
                  <c:v>Receivables</c:v>
                </c:pt>
              </c:strCache>
            </c:strRef>
          </c:tx>
          <c:spPr>
            <a:solidFill>
              <a:srgbClr val="53C8E9"/>
            </a:solidFill>
            <a:ln>
              <a:noFill/>
            </a:ln>
            <a:effectLst/>
          </c:spPr>
          <c:invertIfNegative val="0"/>
          <c:cat>
            <c:strRef>
              <c:f>'Chart 6.6 Financial assets'!$D$40:$I$40</c:f>
              <c:strCache>
                <c:ptCount val="6"/>
                <c:pt idx="0">
                  <c:v>June 2019</c:v>
                </c:pt>
                <c:pt idx="1">
                  <c:v>June 2020</c:v>
                </c:pt>
                <c:pt idx="2">
                  <c:v>June 2021</c:v>
                </c:pt>
                <c:pt idx="3">
                  <c:v>June 2022</c:v>
                </c:pt>
                <c:pt idx="4">
                  <c:v>June 2023</c:v>
                </c:pt>
                <c:pt idx="5">
                  <c:v>June 2024</c:v>
                </c:pt>
              </c:strCache>
            </c:strRef>
          </c:cat>
          <c:val>
            <c:numRef>
              <c:f>'Chart 6.6 Financial assets'!$D$41:$I$41</c:f>
              <c:numCache>
                <c:formatCode>0</c:formatCode>
                <c:ptCount val="6"/>
                <c:pt idx="0">
                  <c:v>7489.1603524893599</c:v>
                </c:pt>
                <c:pt idx="1">
                  <c:v>11281.276986024901</c:v>
                </c:pt>
                <c:pt idx="2">
                  <c:v>10715.910512300101</c:v>
                </c:pt>
                <c:pt idx="3">
                  <c:v>10550.853010707899</c:v>
                </c:pt>
                <c:pt idx="4">
                  <c:v>10785.623161026801</c:v>
                </c:pt>
                <c:pt idx="5">
                  <c:v>11595.850396677401</c:v>
                </c:pt>
              </c:numCache>
            </c:numRef>
          </c:val>
          <c:extLst>
            <c:ext xmlns:c16="http://schemas.microsoft.com/office/drawing/2014/chart" uri="{C3380CC4-5D6E-409C-BE32-E72D297353CC}">
              <c16:uniqueId val="{00000002-7109-43B5-914E-201A396CB6CD}"/>
            </c:ext>
          </c:extLst>
        </c:ser>
        <c:ser>
          <c:idx val="3"/>
          <c:order val="3"/>
          <c:tx>
            <c:strRef>
              <c:f>'Chart 6.6 Financial assets'!$C$43</c:f>
              <c:strCache>
                <c:ptCount val="1"/>
                <c:pt idx="0">
                  <c:v>Cash and Cash Equivalents</c:v>
                </c:pt>
              </c:strCache>
            </c:strRef>
          </c:tx>
          <c:spPr>
            <a:solidFill>
              <a:srgbClr val="9ACA3C"/>
            </a:solidFill>
            <a:ln>
              <a:noFill/>
            </a:ln>
            <a:effectLst/>
          </c:spPr>
          <c:invertIfNegative val="0"/>
          <c:cat>
            <c:strRef>
              <c:f>'Chart 6.6 Financial assets'!$D$40:$I$40</c:f>
              <c:strCache>
                <c:ptCount val="6"/>
                <c:pt idx="0">
                  <c:v>June 2019</c:v>
                </c:pt>
                <c:pt idx="1">
                  <c:v>June 2020</c:v>
                </c:pt>
                <c:pt idx="2">
                  <c:v>June 2021</c:v>
                </c:pt>
                <c:pt idx="3">
                  <c:v>June 2022</c:v>
                </c:pt>
                <c:pt idx="4">
                  <c:v>June 2023</c:v>
                </c:pt>
                <c:pt idx="5">
                  <c:v>June 2024</c:v>
                </c:pt>
              </c:strCache>
            </c:strRef>
          </c:cat>
          <c:val>
            <c:numRef>
              <c:f>'Chart 6.6 Financial assets'!$D$43:$I$43</c:f>
              <c:numCache>
                <c:formatCode>0</c:formatCode>
                <c:ptCount val="6"/>
                <c:pt idx="0">
                  <c:v>1969.04912003</c:v>
                </c:pt>
                <c:pt idx="1">
                  <c:v>6134.2131970099999</c:v>
                </c:pt>
                <c:pt idx="2">
                  <c:v>1063.2324164000099</c:v>
                </c:pt>
                <c:pt idx="3">
                  <c:v>994.07544311000299</c:v>
                </c:pt>
                <c:pt idx="4">
                  <c:v>884.94406531500692</c:v>
                </c:pt>
                <c:pt idx="5">
                  <c:v>836.01364358999797</c:v>
                </c:pt>
              </c:numCache>
            </c:numRef>
          </c:val>
          <c:extLst>
            <c:ext xmlns:c16="http://schemas.microsoft.com/office/drawing/2014/chart" uri="{C3380CC4-5D6E-409C-BE32-E72D297353CC}">
              <c16:uniqueId val="{00000003-7109-43B5-914E-201A396CB6CD}"/>
            </c:ext>
          </c:extLst>
        </c:ser>
        <c:ser>
          <c:idx val="2"/>
          <c:order val="4"/>
          <c:tx>
            <c:strRef>
              <c:f>'Chart 6.6 Financial assets'!$C$44</c:f>
              <c:strCache>
                <c:ptCount val="1"/>
                <c:pt idx="0">
                  <c:v>Other Financial Assets</c:v>
                </c:pt>
              </c:strCache>
            </c:strRef>
          </c:tx>
          <c:spPr>
            <a:solidFill>
              <a:srgbClr val="009484"/>
            </a:solidFill>
            <a:ln>
              <a:noFill/>
            </a:ln>
            <a:effectLst/>
          </c:spPr>
          <c:invertIfNegative val="0"/>
          <c:cat>
            <c:strRef>
              <c:f>'Chart 6.6 Financial assets'!$D$40:$I$40</c:f>
              <c:strCache>
                <c:ptCount val="6"/>
                <c:pt idx="0">
                  <c:v>June 2019</c:v>
                </c:pt>
                <c:pt idx="1">
                  <c:v>June 2020</c:v>
                </c:pt>
                <c:pt idx="2">
                  <c:v>June 2021</c:v>
                </c:pt>
                <c:pt idx="3">
                  <c:v>June 2022</c:v>
                </c:pt>
                <c:pt idx="4">
                  <c:v>June 2023</c:v>
                </c:pt>
                <c:pt idx="5">
                  <c:v>June 2024</c:v>
                </c:pt>
              </c:strCache>
            </c:strRef>
          </c:cat>
          <c:val>
            <c:numRef>
              <c:f>'Chart 6.6 Financial assets'!$D$44:$I$44</c:f>
              <c:numCache>
                <c:formatCode>0</c:formatCode>
                <c:ptCount val="6"/>
                <c:pt idx="0">
                  <c:v>6061.5124513370001</c:v>
                </c:pt>
                <c:pt idx="1">
                  <c:v>4915.1597578097098</c:v>
                </c:pt>
                <c:pt idx="2">
                  <c:v>5300.8021670264006</c:v>
                </c:pt>
                <c:pt idx="3">
                  <c:v>5215.5899064208006</c:v>
                </c:pt>
                <c:pt idx="4">
                  <c:v>5654.7201625068992</c:v>
                </c:pt>
                <c:pt idx="5">
                  <c:v>6155.3294756044997</c:v>
                </c:pt>
              </c:numCache>
            </c:numRef>
          </c:val>
          <c:extLst>
            <c:ext xmlns:c16="http://schemas.microsoft.com/office/drawing/2014/chart" uri="{C3380CC4-5D6E-409C-BE32-E72D297353CC}">
              <c16:uniqueId val="{00000004-7109-43B5-914E-201A396CB6CD}"/>
            </c:ext>
          </c:extLst>
        </c:ser>
        <c:dLbls>
          <c:showLegendKey val="0"/>
          <c:showVal val="0"/>
          <c:showCatName val="0"/>
          <c:showSerName val="0"/>
          <c:showPercent val="0"/>
          <c:showBubbleSize val="0"/>
        </c:dLbls>
        <c:gapWidth val="150"/>
        <c:overlap val="100"/>
        <c:axId val="619515000"/>
        <c:axId val="619515656"/>
      </c:barChart>
      <c:catAx>
        <c:axId val="619515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dispUnits>
          <c:builtInUnit val="thousands"/>
          <c:dispUnitsLbl>
            <c:layout>
              <c:manualLayout>
                <c:xMode val="edge"/>
                <c:yMode val="edge"/>
                <c:x val="1.9367435667788774E-3"/>
                <c:y val="0.38009940658538971"/>
              </c:manualLayout>
            </c:layout>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billions</a:t>
                  </a:r>
                </a:p>
              </c:rich>
            </c:tx>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7.3302003657988377E-2"/>
          <c:y val="0.88383150897229823"/>
          <c:w val="0.88943747276239893"/>
          <c:h val="0.1002572731179347"/>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90675561137477E-2"/>
          <c:y val="4.1132464791552331E-2"/>
          <c:w val="0.90792832950720104"/>
          <c:h val="0.81043412567857576"/>
        </c:manualLayout>
      </c:layout>
      <c:barChart>
        <c:barDir val="col"/>
        <c:grouping val="stacked"/>
        <c:varyColors val="0"/>
        <c:ser>
          <c:idx val="3"/>
          <c:order val="0"/>
          <c:tx>
            <c:strRef>
              <c:f>'Chart 6.7 Nonfinc assets'!$C$36</c:f>
              <c:strCache>
                <c:ptCount val="1"/>
                <c:pt idx="0">
                  <c:v>Infrastructure Systems</c:v>
                </c:pt>
              </c:strCache>
            </c:strRef>
          </c:tx>
          <c:spPr>
            <a:solidFill>
              <a:srgbClr val="00426F"/>
            </a:solidFill>
            <a:ln>
              <a:noFill/>
            </a:ln>
            <a:effectLst/>
          </c:spPr>
          <c:invertIfNegative val="0"/>
          <c:cat>
            <c:strRef>
              <c:f>'Chart 6.7 Nonfinc assets'!$D$32:$I$32</c:f>
              <c:strCache>
                <c:ptCount val="6"/>
                <c:pt idx="0">
                  <c:v>June 2019</c:v>
                </c:pt>
                <c:pt idx="1">
                  <c:v>June 2020</c:v>
                </c:pt>
                <c:pt idx="2">
                  <c:v>June 2021</c:v>
                </c:pt>
                <c:pt idx="3">
                  <c:v>June 2022</c:v>
                </c:pt>
                <c:pt idx="4">
                  <c:v>June 2023</c:v>
                </c:pt>
                <c:pt idx="5">
                  <c:v>June 2024</c:v>
                </c:pt>
              </c:strCache>
            </c:strRef>
          </c:cat>
          <c:val>
            <c:numRef>
              <c:f>'Chart 6.7 Nonfinc assets'!$D$36:$I$36</c:f>
              <c:numCache>
                <c:formatCode>#,##0</c:formatCode>
                <c:ptCount val="6"/>
                <c:pt idx="0">
                  <c:v>119291.35871577999</c:v>
                </c:pt>
                <c:pt idx="1">
                  <c:v>124405.51855733</c:v>
                </c:pt>
                <c:pt idx="2">
                  <c:v>158562.98523250001</c:v>
                </c:pt>
                <c:pt idx="3">
                  <c:v>172043.85727263</c:v>
                </c:pt>
                <c:pt idx="4">
                  <c:v>185475.18749992002</c:v>
                </c:pt>
                <c:pt idx="5">
                  <c:v>200007.51422297</c:v>
                </c:pt>
              </c:numCache>
            </c:numRef>
          </c:val>
          <c:extLst>
            <c:ext xmlns:c16="http://schemas.microsoft.com/office/drawing/2014/chart" uri="{C3380CC4-5D6E-409C-BE32-E72D297353CC}">
              <c16:uniqueId val="{00000000-2412-412B-996D-4BF737F35C7B}"/>
            </c:ext>
          </c:extLst>
        </c:ser>
        <c:ser>
          <c:idx val="1"/>
          <c:order val="1"/>
          <c:tx>
            <c:strRef>
              <c:f>'Chart 6.7 Nonfinc assets'!$C$34</c:f>
              <c:strCache>
                <c:ptCount val="1"/>
                <c:pt idx="0">
                  <c:v>Land and Buildings</c:v>
                </c:pt>
              </c:strCache>
            </c:strRef>
          </c:tx>
          <c:spPr>
            <a:solidFill>
              <a:srgbClr val="008EBA"/>
            </a:solidFill>
            <a:ln>
              <a:noFill/>
            </a:ln>
            <a:effectLst/>
          </c:spPr>
          <c:invertIfNegative val="0"/>
          <c:cat>
            <c:strRef>
              <c:f>'Chart 6.7 Nonfinc assets'!$D$32:$I$32</c:f>
              <c:strCache>
                <c:ptCount val="6"/>
                <c:pt idx="0">
                  <c:v>June 2019</c:v>
                </c:pt>
                <c:pt idx="1">
                  <c:v>June 2020</c:v>
                </c:pt>
                <c:pt idx="2">
                  <c:v>June 2021</c:v>
                </c:pt>
                <c:pt idx="3">
                  <c:v>June 2022</c:v>
                </c:pt>
                <c:pt idx="4">
                  <c:v>June 2023</c:v>
                </c:pt>
                <c:pt idx="5">
                  <c:v>June 2024</c:v>
                </c:pt>
              </c:strCache>
            </c:strRef>
          </c:cat>
          <c:val>
            <c:numRef>
              <c:f>'Chart 6.7 Nonfinc assets'!$D$34:$I$34</c:f>
              <c:numCache>
                <c:formatCode>#,##0</c:formatCode>
                <c:ptCount val="6"/>
                <c:pt idx="0">
                  <c:v>89963.474704600012</c:v>
                </c:pt>
                <c:pt idx="1">
                  <c:v>94822.14450406011</c:v>
                </c:pt>
                <c:pt idx="2">
                  <c:v>100826.8208604</c:v>
                </c:pt>
                <c:pt idx="3">
                  <c:v>104363.58753352999</c:v>
                </c:pt>
                <c:pt idx="4">
                  <c:v>106148.27577177</c:v>
                </c:pt>
                <c:pt idx="5">
                  <c:v>106991.3845574</c:v>
                </c:pt>
              </c:numCache>
            </c:numRef>
          </c:val>
          <c:extLst>
            <c:ext xmlns:c16="http://schemas.microsoft.com/office/drawing/2014/chart" uri="{C3380CC4-5D6E-409C-BE32-E72D297353CC}">
              <c16:uniqueId val="{00000001-2412-412B-996D-4BF737F35C7B}"/>
            </c:ext>
          </c:extLst>
        </c:ser>
        <c:ser>
          <c:idx val="0"/>
          <c:order val="2"/>
          <c:tx>
            <c:strRef>
              <c:f>'Chart 6.7 Nonfinc assets'!$C$35</c:f>
              <c:strCache>
                <c:ptCount val="1"/>
                <c:pt idx="0">
                  <c:v>Plant and Equipment</c:v>
                </c:pt>
              </c:strCache>
            </c:strRef>
          </c:tx>
          <c:spPr>
            <a:solidFill>
              <a:srgbClr val="53C8E9"/>
            </a:solidFill>
            <a:ln>
              <a:noFill/>
            </a:ln>
            <a:effectLst/>
          </c:spPr>
          <c:invertIfNegative val="0"/>
          <c:cat>
            <c:strRef>
              <c:f>'Chart 6.7 Nonfinc assets'!$D$32:$I$32</c:f>
              <c:strCache>
                <c:ptCount val="6"/>
                <c:pt idx="0">
                  <c:v>June 2019</c:v>
                </c:pt>
                <c:pt idx="1">
                  <c:v>June 2020</c:v>
                </c:pt>
                <c:pt idx="2">
                  <c:v>June 2021</c:v>
                </c:pt>
                <c:pt idx="3">
                  <c:v>June 2022</c:v>
                </c:pt>
                <c:pt idx="4">
                  <c:v>June 2023</c:v>
                </c:pt>
                <c:pt idx="5">
                  <c:v>June 2024</c:v>
                </c:pt>
              </c:strCache>
            </c:strRef>
          </c:cat>
          <c:val>
            <c:numRef>
              <c:f>'Chart 6.7 Nonfinc assets'!$D$35:$I$35</c:f>
              <c:numCache>
                <c:formatCode>#,##0</c:formatCode>
                <c:ptCount val="6"/>
                <c:pt idx="0">
                  <c:v>12087.86526916</c:v>
                </c:pt>
                <c:pt idx="1">
                  <c:v>12538.180892703</c:v>
                </c:pt>
                <c:pt idx="2">
                  <c:v>13098.502775749999</c:v>
                </c:pt>
                <c:pt idx="3">
                  <c:v>13421.02713305</c:v>
                </c:pt>
                <c:pt idx="4">
                  <c:v>13316.51309269</c:v>
                </c:pt>
                <c:pt idx="5">
                  <c:v>13259.55842109</c:v>
                </c:pt>
              </c:numCache>
            </c:numRef>
          </c:val>
          <c:extLst>
            <c:ext xmlns:c16="http://schemas.microsoft.com/office/drawing/2014/chart" uri="{C3380CC4-5D6E-409C-BE32-E72D297353CC}">
              <c16:uniqueId val="{00000002-2412-412B-996D-4BF737F35C7B}"/>
            </c:ext>
          </c:extLst>
        </c:ser>
        <c:ser>
          <c:idx val="2"/>
          <c:order val="3"/>
          <c:tx>
            <c:strRef>
              <c:f>'Chart 6.7 Nonfinc assets'!$C$37</c:f>
              <c:strCache>
                <c:ptCount val="1"/>
                <c:pt idx="0">
                  <c:v>Intangibles</c:v>
                </c:pt>
              </c:strCache>
            </c:strRef>
          </c:tx>
          <c:spPr>
            <a:solidFill>
              <a:srgbClr val="9ACA3C"/>
            </a:solidFill>
            <a:ln>
              <a:noFill/>
            </a:ln>
            <a:effectLst/>
          </c:spPr>
          <c:invertIfNegative val="0"/>
          <c:cat>
            <c:strRef>
              <c:f>'Chart 6.7 Nonfinc assets'!$D$32:$I$32</c:f>
              <c:strCache>
                <c:ptCount val="6"/>
                <c:pt idx="0">
                  <c:v>June 2019</c:v>
                </c:pt>
                <c:pt idx="1">
                  <c:v>June 2020</c:v>
                </c:pt>
                <c:pt idx="2">
                  <c:v>June 2021</c:v>
                </c:pt>
                <c:pt idx="3">
                  <c:v>June 2022</c:v>
                </c:pt>
                <c:pt idx="4">
                  <c:v>June 2023</c:v>
                </c:pt>
                <c:pt idx="5">
                  <c:v>June 2024</c:v>
                </c:pt>
              </c:strCache>
            </c:strRef>
          </c:cat>
          <c:val>
            <c:numRef>
              <c:f>'Chart 6.7 Nonfinc assets'!$D$37:$I$37</c:f>
              <c:numCache>
                <c:formatCode>#,##0</c:formatCode>
                <c:ptCount val="6"/>
                <c:pt idx="0">
                  <c:v>3694.4770118900001</c:v>
                </c:pt>
                <c:pt idx="1">
                  <c:v>3686.3035369499999</c:v>
                </c:pt>
                <c:pt idx="2">
                  <c:v>4496.37110639</c:v>
                </c:pt>
                <c:pt idx="3">
                  <c:v>4579.3857853999998</c:v>
                </c:pt>
                <c:pt idx="4">
                  <c:v>4689.2174544199997</c:v>
                </c:pt>
                <c:pt idx="5">
                  <c:v>4475.6035224300003</c:v>
                </c:pt>
              </c:numCache>
            </c:numRef>
          </c:val>
          <c:extLst>
            <c:ext xmlns:c16="http://schemas.microsoft.com/office/drawing/2014/chart" uri="{C3380CC4-5D6E-409C-BE32-E72D297353CC}">
              <c16:uniqueId val="{00000003-2412-412B-996D-4BF737F35C7B}"/>
            </c:ext>
          </c:extLst>
        </c:ser>
        <c:ser>
          <c:idx val="4"/>
          <c:order val="4"/>
          <c:tx>
            <c:strRef>
              <c:f>'Chart 6.7 Nonfinc assets'!$C$33</c:f>
              <c:strCache>
                <c:ptCount val="1"/>
                <c:pt idx="0">
                  <c:v>Other Non-Financial  Assets</c:v>
                </c:pt>
              </c:strCache>
            </c:strRef>
          </c:tx>
          <c:spPr>
            <a:solidFill>
              <a:srgbClr val="009484"/>
            </a:solidFill>
            <a:ln>
              <a:noFill/>
            </a:ln>
            <a:effectLst/>
          </c:spPr>
          <c:invertIfNegative val="0"/>
          <c:dPt>
            <c:idx val="2"/>
            <c:invertIfNegative val="0"/>
            <c:bubble3D val="0"/>
            <c:spPr>
              <a:solidFill>
                <a:srgbClr val="009484"/>
              </a:solidFill>
              <a:ln>
                <a:noFill/>
              </a:ln>
              <a:effectLst/>
            </c:spPr>
            <c:extLst>
              <c:ext xmlns:c16="http://schemas.microsoft.com/office/drawing/2014/chart" uri="{C3380CC4-5D6E-409C-BE32-E72D297353CC}">
                <c16:uniqueId val="{00000005-2412-412B-996D-4BF737F35C7B}"/>
              </c:ext>
            </c:extLst>
          </c:dPt>
          <c:cat>
            <c:strRef>
              <c:f>'Chart 6.7 Nonfinc assets'!$D$32:$I$32</c:f>
              <c:strCache>
                <c:ptCount val="6"/>
                <c:pt idx="0">
                  <c:v>June 2019</c:v>
                </c:pt>
                <c:pt idx="1">
                  <c:v>June 2020</c:v>
                </c:pt>
                <c:pt idx="2">
                  <c:v>June 2021</c:v>
                </c:pt>
                <c:pt idx="3">
                  <c:v>June 2022</c:v>
                </c:pt>
                <c:pt idx="4">
                  <c:v>June 2023</c:v>
                </c:pt>
                <c:pt idx="5">
                  <c:v>June 2024</c:v>
                </c:pt>
              </c:strCache>
            </c:strRef>
          </c:cat>
          <c:val>
            <c:numRef>
              <c:f>'Chart 6.7 Nonfinc assets'!$D$33:$I$33</c:f>
              <c:numCache>
                <c:formatCode>#,##0</c:formatCode>
                <c:ptCount val="6"/>
                <c:pt idx="0">
                  <c:v>7337.8484017799992</c:v>
                </c:pt>
                <c:pt idx="1">
                  <c:v>8345.4000901100007</c:v>
                </c:pt>
                <c:pt idx="2">
                  <c:v>2787.1525218500001</c:v>
                </c:pt>
                <c:pt idx="3">
                  <c:v>3002.71662926</c:v>
                </c:pt>
                <c:pt idx="4">
                  <c:v>3459.3158286200005</c:v>
                </c:pt>
                <c:pt idx="5">
                  <c:v>3541.7857770299997</c:v>
                </c:pt>
              </c:numCache>
            </c:numRef>
          </c:val>
          <c:extLst>
            <c:ext xmlns:c16="http://schemas.microsoft.com/office/drawing/2014/chart" uri="{C3380CC4-5D6E-409C-BE32-E72D297353CC}">
              <c16:uniqueId val="{00000006-2412-412B-996D-4BF737F35C7B}"/>
            </c:ext>
          </c:extLst>
        </c:ser>
        <c:dLbls>
          <c:showLegendKey val="0"/>
          <c:showVal val="0"/>
          <c:showCatName val="0"/>
          <c:showSerName val="0"/>
          <c:showPercent val="0"/>
          <c:showBubbleSize val="0"/>
        </c:dLbls>
        <c:gapWidth val="150"/>
        <c:overlap val="100"/>
        <c:axId val="619515000"/>
        <c:axId val="619515656"/>
      </c:barChart>
      <c:catAx>
        <c:axId val="61951500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dispUnits>
          <c:builtInUnit val="thousands"/>
          <c:dispUnitsLbl>
            <c:layout>
              <c:manualLayout>
                <c:xMode val="edge"/>
                <c:yMode val="edge"/>
                <c:x val="1.9367435667788774E-3"/>
                <c:y val="0.38009940658538971"/>
              </c:manualLayout>
            </c:layout>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 billions</a:t>
                  </a:r>
                </a:p>
              </c:rich>
            </c:tx>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ispUnitsLbl>
        </c:dispUnits>
      </c:valAx>
      <c:spPr>
        <a:noFill/>
        <a:ln>
          <a:noFill/>
        </a:ln>
        <a:effectLst/>
      </c:spPr>
    </c:plotArea>
    <c:legend>
      <c:legendPos val="b"/>
      <c:layout>
        <c:manualLayout>
          <c:xMode val="edge"/>
          <c:yMode val="edge"/>
          <c:x val="5.3690930865392207E-2"/>
          <c:y val="0.89576484055503991"/>
          <c:w val="0.90469052937886263"/>
          <c:h val="0.10423515944496013"/>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1"/>
          <c:order val="0"/>
          <c:tx>
            <c:strRef>
              <c:f>'Chart 6.8 Liabilities'!$D$42</c:f>
              <c:strCache>
                <c:ptCount val="1"/>
                <c:pt idx="0">
                  <c:v>Superannuation Liabilities</c:v>
                </c:pt>
              </c:strCache>
            </c:strRef>
          </c:tx>
          <c:spPr>
            <a:solidFill>
              <a:srgbClr val="00426F"/>
            </a:solidFill>
            <a:ln>
              <a:noFill/>
            </a:ln>
            <a:effectLst/>
          </c:spPr>
          <c:invertIfNegative val="0"/>
          <c:cat>
            <c:strRef>
              <c:f>'Chart 6.8 Liabilities'!$E$39:$J$39</c:f>
              <c:strCache>
                <c:ptCount val="6"/>
                <c:pt idx="0">
                  <c:v>June 2019</c:v>
                </c:pt>
                <c:pt idx="1">
                  <c:v>June 2020</c:v>
                </c:pt>
                <c:pt idx="2">
                  <c:v>June 2021</c:v>
                </c:pt>
                <c:pt idx="3">
                  <c:v>June 2022</c:v>
                </c:pt>
                <c:pt idx="4">
                  <c:v>June 2023</c:v>
                </c:pt>
                <c:pt idx="5">
                  <c:v>June 2024</c:v>
                </c:pt>
              </c:strCache>
            </c:strRef>
          </c:cat>
          <c:val>
            <c:numRef>
              <c:f>'Chart 6.8 Liabilities'!$E$42:$J$42</c:f>
              <c:numCache>
                <c:formatCode>0.0</c:formatCode>
                <c:ptCount val="6"/>
                <c:pt idx="0" formatCode="0">
                  <c:v>67.695671872220004</c:v>
                </c:pt>
                <c:pt idx="1">
                  <c:v>67.890073408160006</c:v>
                </c:pt>
                <c:pt idx="2" formatCode="0">
                  <c:v>66.775630456139794</c:v>
                </c:pt>
                <c:pt idx="3" formatCode="0">
                  <c:v>65.568471292796303</c:v>
                </c:pt>
                <c:pt idx="4" formatCode="0">
                  <c:v>60.2158674079134</c:v>
                </c:pt>
                <c:pt idx="5">
                  <c:v>50.302916545926003</c:v>
                </c:pt>
              </c:numCache>
            </c:numRef>
          </c:val>
          <c:extLst>
            <c:ext xmlns:c16="http://schemas.microsoft.com/office/drawing/2014/chart" uri="{C3380CC4-5D6E-409C-BE32-E72D297353CC}">
              <c16:uniqueId val="{00000000-48CF-407C-A749-DCB8569B8003}"/>
            </c:ext>
          </c:extLst>
        </c:ser>
        <c:ser>
          <c:idx val="0"/>
          <c:order val="1"/>
          <c:tx>
            <c:strRef>
              <c:f>'Chart 6.8 Liabilities'!$D$43</c:f>
              <c:strCache>
                <c:ptCount val="1"/>
                <c:pt idx="0">
                  <c:v>Borrowings</c:v>
                </c:pt>
              </c:strCache>
            </c:strRef>
          </c:tx>
          <c:spPr>
            <a:solidFill>
              <a:srgbClr val="008EBA"/>
            </a:solidFill>
            <a:ln>
              <a:noFill/>
            </a:ln>
            <a:effectLst/>
          </c:spPr>
          <c:invertIfNegative val="0"/>
          <c:cat>
            <c:strRef>
              <c:f>'Chart 6.8 Liabilities'!$E$39:$J$39</c:f>
              <c:strCache>
                <c:ptCount val="6"/>
                <c:pt idx="0">
                  <c:v>June 2019</c:v>
                </c:pt>
                <c:pt idx="1">
                  <c:v>June 2020</c:v>
                </c:pt>
                <c:pt idx="2">
                  <c:v>June 2021</c:v>
                </c:pt>
                <c:pt idx="3">
                  <c:v>June 2022</c:v>
                </c:pt>
                <c:pt idx="4">
                  <c:v>June 2023</c:v>
                </c:pt>
                <c:pt idx="5">
                  <c:v>June 2024</c:v>
                </c:pt>
              </c:strCache>
            </c:strRef>
          </c:cat>
          <c:val>
            <c:numRef>
              <c:f>'Chart 6.8 Liabilities'!$E$43:$J$43</c:f>
              <c:numCache>
                <c:formatCode>0</c:formatCode>
                <c:ptCount val="6"/>
                <c:pt idx="0">
                  <c:v>37.862351191470005</c:v>
                </c:pt>
                <c:pt idx="1">
                  <c:v>68.277151342434792</c:v>
                </c:pt>
                <c:pt idx="2">
                  <c:v>98.56154321807</c:v>
                </c:pt>
                <c:pt idx="3">
                  <c:v>121.51378577384001</c:v>
                </c:pt>
                <c:pt idx="4">
                  <c:v>140.64360151638002</c:v>
                </c:pt>
                <c:pt idx="5">
                  <c:v>157.54861769625998</c:v>
                </c:pt>
              </c:numCache>
            </c:numRef>
          </c:val>
          <c:extLst>
            <c:ext xmlns:c16="http://schemas.microsoft.com/office/drawing/2014/chart" uri="{C3380CC4-5D6E-409C-BE32-E72D297353CC}">
              <c16:uniqueId val="{00000001-48CF-407C-A749-DCB8569B8003}"/>
            </c:ext>
          </c:extLst>
        </c:ser>
        <c:ser>
          <c:idx val="3"/>
          <c:order val="2"/>
          <c:tx>
            <c:strRef>
              <c:f>'Chart 6.8 Liabilities'!$D$41</c:f>
              <c:strCache>
                <c:ptCount val="1"/>
                <c:pt idx="0">
                  <c:v>Employee Provisions</c:v>
                </c:pt>
              </c:strCache>
            </c:strRef>
          </c:tx>
          <c:spPr>
            <a:solidFill>
              <a:srgbClr val="53C8E9"/>
            </a:solidFill>
            <a:ln>
              <a:noFill/>
            </a:ln>
            <a:effectLst/>
          </c:spPr>
          <c:invertIfNegative val="0"/>
          <c:cat>
            <c:strRef>
              <c:f>'Chart 6.8 Liabilities'!$E$39:$J$39</c:f>
              <c:strCache>
                <c:ptCount val="6"/>
                <c:pt idx="0">
                  <c:v>June 2019</c:v>
                </c:pt>
                <c:pt idx="1">
                  <c:v>June 2020</c:v>
                </c:pt>
                <c:pt idx="2">
                  <c:v>June 2021</c:v>
                </c:pt>
                <c:pt idx="3">
                  <c:v>June 2022</c:v>
                </c:pt>
                <c:pt idx="4">
                  <c:v>June 2023</c:v>
                </c:pt>
                <c:pt idx="5">
                  <c:v>June 2024</c:v>
                </c:pt>
              </c:strCache>
            </c:strRef>
          </c:cat>
          <c:val>
            <c:numRef>
              <c:f>'Chart 6.8 Liabilities'!$E$41:$J$41</c:f>
              <c:numCache>
                <c:formatCode>0.0</c:formatCode>
                <c:ptCount val="6"/>
                <c:pt idx="0" formatCode="0">
                  <c:v>20.801829774529999</c:v>
                </c:pt>
                <c:pt idx="1">
                  <c:v>22.56612289065</c:v>
                </c:pt>
                <c:pt idx="2" formatCode="0">
                  <c:v>23.315364989439999</c:v>
                </c:pt>
                <c:pt idx="3" formatCode="0">
                  <c:v>23.889882323430001</c:v>
                </c:pt>
                <c:pt idx="4" formatCode="0">
                  <c:v>24.126050020650002</c:v>
                </c:pt>
                <c:pt idx="5">
                  <c:v>23.780111737240002</c:v>
                </c:pt>
              </c:numCache>
            </c:numRef>
          </c:val>
          <c:extLst>
            <c:ext xmlns:c16="http://schemas.microsoft.com/office/drawing/2014/chart" uri="{C3380CC4-5D6E-409C-BE32-E72D297353CC}">
              <c16:uniqueId val="{00000002-48CF-407C-A749-DCB8569B8003}"/>
            </c:ext>
          </c:extLst>
        </c:ser>
        <c:ser>
          <c:idx val="2"/>
          <c:order val="3"/>
          <c:tx>
            <c:strRef>
              <c:f>'Chart 6.8 Liabilities'!$D$40</c:f>
              <c:strCache>
                <c:ptCount val="1"/>
                <c:pt idx="0">
                  <c:v>Payables</c:v>
                </c:pt>
              </c:strCache>
            </c:strRef>
          </c:tx>
          <c:spPr>
            <a:solidFill>
              <a:srgbClr val="9ACA3C"/>
            </a:solidFill>
            <a:ln>
              <a:noFill/>
            </a:ln>
            <a:effectLst/>
          </c:spPr>
          <c:invertIfNegative val="0"/>
          <c:cat>
            <c:strRef>
              <c:f>'Chart 6.8 Liabilities'!$E$39:$J$39</c:f>
              <c:strCache>
                <c:ptCount val="6"/>
                <c:pt idx="0">
                  <c:v>June 2019</c:v>
                </c:pt>
                <c:pt idx="1">
                  <c:v>June 2020</c:v>
                </c:pt>
                <c:pt idx="2">
                  <c:v>June 2021</c:v>
                </c:pt>
                <c:pt idx="3">
                  <c:v>June 2022</c:v>
                </c:pt>
                <c:pt idx="4">
                  <c:v>June 2023</c:v>
                </c:pt>
                <c:pt idx="5">
                  <c:v>June 2024</c:v>
                </c:pt>
              </c:strCache>
            </c:strRef>
          </c:cat>
          <c:val>
            <c:numRef>
              <c:f>'Chart 6.8 Liabilities'!$E$40:$J$40</c:f>
              <c:numCache>
                <c:formatCode>0</c:formatCode>
                <c:ptCount val="6"/>
                <c:pt idx="0">
                  <c:v>7.0812155050393697</c:v>
                </c:pt>
                <c:pt idx="1">
                  <c:v>7.1112879921513503</c:v>
                </c:pt>
                <c:pt idx="2">
                  <c:v>7.4678429893700002</c:v>
                </c:pt>
                <c:pt idx="3">
                  <c:v>7.7798541652700104</c:v>
                </c:pt>
                <c:pt idx="4">
                  <c:v>7.5968255012700006</c:v>
                </c:pt>
                <c:pt idx="5">
                  <c:v>7.5814548529700003</c:v>
                </c:pt>
              </c:numCache>
            </c:numRef>
          </c:val>
          <c:extLst>
            <c:ext xmlns:c16="http://schemas.microsoft.com/office/drawing/2014/chart" uri="{C3380CC4-5D6E-409C-BE32-E72D297353CC}">
              <c16:uniqueId val="{00000003-48CF-407C-A749-DCB8569B8003}"/>
            </c:ext>
          </c:extLst>
        </c:ser>
        <c:ser>
          <c:idx val="4"/>
          <c:order val="4"/>
          <c:tx>
            <c:strRef>
              <c:f>'Chart 6.8 Liabilities'!$D$44</c:f>
              <c:strCache>
                <c:ptCount val="1"/>
                <c:pt idx="0">
                  <c:v>Other Liabilities</c:v>
                </c:pt>
              </c:strCache>
            </c:strRef>
          </c:tx>
          <c:spPr>
            <a:solidFill>
              <a:srgbClr val="009484"/>
            </a:solidFill>
            <a:ln>
              <a:noFill/>
            </a:ln>
            <a:effectLst/>
          </c:spPr>
          <c:invertIfNegative val="0"/>
          <c:cat>
            <c:strRef>
              <c:f>'Chart 6.8 Liabilities'!$E$39:$J$39</c:f>
              <c:strCache>
                <c:ptCount val="6"/>
                <c:pt idx="0">
                  <c:v>June 2019</c:v>
                </c:pt>
                <c:pt idx="1">
                  <c:v>June 2020</c:v>
                </c:pt>
                <c:pt idx="2">
                  <c:v>June 2021</c:v>
                </c:pt>
                <c:pt idx="3">
                  <c:v>June 2022</c:v>
                </c:pt>
                <c:pt idx="4">
                  <c:v>June 2023</c:v>
                </c:pt>
                <c:pt idx="5">
                  <c:v>June 2024</c:v>
                </c:pt>
              </c:strCache>
            </c:strRef>
          </c:cat>
          <c:val>
            <c:numRef>
              <c:f>'Chart 6.8 Liabilities'!$E$44:$J$44</c:f>
              <c:numCache>
                <c:formatCode>0</c:formatCode>
                <c:ptCount val="6"/>
                <c:pt idx="0">
                  <c:v>18.666912501981997</c:v>
                </c:pt>
                <c:pt idx="1">
                  <c:v>19.962588598779998</c:v>
                </c:pt>
                <c:pt idx="2">
                  <c:v>33.461484724300007</c:v>
                </c:pt>
                <c:pt idx="3">
                  <c:v>32.530808211189999</c:v>
                </c:pt>
                <c:pt idx="4">
                  <c:v>31.662786579664399</c:v>
                </c:pt>
                <c:pt idx="5">
                  <c:v>30.920364222552998</c:v>
                </c:pt>
              </c:numCache>
            </c:numRef>
          </c:val>
          <c:extLst>
            <c:ext xmlns:c16="http://schemas.microsoft.com/office/drawing/2014/chart" uri="{C3380CC4-5D6E-409C-BE32-E72D297353CC}">
              <c16:uniqueId val="{00000004-48CF-407C-A749-DCB8569B8003}"/>
            </c:ext>
          </c:extLst>
        </c:ser>
        <c:dLbls>
          <c:showLegendKey val="0"/>
          <c:showVal val="0"/>
          <c:showCatName val="0"/>
          <c:showSerName val="0"/>
          <c:showPercent val="0"/>
          <c:showBubbleSize val="0"/>
        </c:dLbls>
        <c:gapWidth val="150"/>
        <c:overlap val="100"/>
        <c:axId val="619515000"/>
        <c:axId val="619515656"/>
      </c:barChart>
      <c:catAx>
        <c:axId val="6195150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656"/>
        <c:crosses val="autoZero"/>
        <c:auto val="1"/>
        <c:lblAlgn val="ctr"/>
        <c:lblOffset val="100"/>
        <c:noMultiLvlLbl val="0"/>
      </c:catAx>
      <c:valAx>
        <c:axId val="6195156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 billions</a:t>
                </a:r>
              </a:p>
            </c:rich>
          </c:tx>
          <c:overlay val="0"/>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619515000"/>
        <c:crosses val="autoZero"/>
        <c:crossBetween val="between"/>
      </c:valAx>
      <c:spPr>
        <a:noFill/>
        <a:ln>
          <a:noFill/>
        </a:ln>
        <a:effectLst/>
      </c:spPr>
    </c:plotArea>
    <c:legend>
      <c:legendPos val="b"/>
      <c:layout>
        <c:manualLayout>
          <c:xMode val="edge"/>
          <c:yMode val="edge"/>
          <c:x val="0.12829875557285758"/>
          <c:y val="0.92693672848500386"/>
          <c:w val="0.75128130164271822"/>
          <c:h val="5.0857627434752709E-2"/>
        </c:manualLayout>
      </c:layout>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v>Projected Superannuation Liability (AASB119)</c:v>
          </c:tx>
          <c:spPr>
            <a:solidFill>
              <a:srgbClr val="002060"/>
            </a:solidFill>
            <a:ln>
              <a:noFill/>
            </a:ln>
            <a:effectLst/>
          </c:spPr>
          <c:invertIfNegative val="0"/>
          <c:cat>
            <c:numRef>
              <c:f>'[Ch6 tables and charts - 20201113 - Hardcoded.xlsx]Chart 6.9 Super Liabilities'!$B$11:$B$31</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'[Ch6 tables and charts - 20201113 - Hardcoded.xlsx]Chart 6.9 Super Liabilities'!$C$11:$C$31</c:f>
              <c:numCache>
                <c:formatCode>#,##0</c:formatCode>
                <c:ptCount val="21"/>
                <c:pt idx="0">
                  <c:v>67.662208367181762</c:v>
                </c:pt>
                <c:pt idx="1">
                  <c:v>67.107115502613397</c:v>
                </c:pt>
                <c:pt idx="2">
                  <c:v>65.878722269566694</c:v>
                </c:pt>
                <c:pt idx="3">
                  <c:v>60.483499575263735</c:v>
                </c:pt>
                <c:pt idx="4">
                  <c:v>50.493874640304711</c:v>
                </c:pt>
                <c:pt idx="5">
                  <c:v>42.408579200732497</c:v>
                </c:pt>
                <c:pt idx="6">
                  <c:v>37.474801869906777</c:v>
                </c:pt>
                <c:pt idx="7">
                  <c:v>33.110616259301743</c:v>
                </c:pt>
                <c:pt idx="8">
                  <c:v>32.017886902161528</c:v>
                </c:pt>
                <c:pt idx="9">
                  <c:v>30.675569248317757</c:v>
                </c:pt>
                <c:pt idx="10">
                  <c:v>29.23367206653538</c:v>
                </c:pt>
                <c:pt idx="11">
                  <c:v>27.730953655593158</c:v>
                </c:pt>
                <c:pt idx="12">
                  <c:v>26.107421540665506</c:v>
                </c:pt>
                <c:pt idx="13">
                  <c:v>24.351140282690441</c:v>
                </c:pt>
                <c:pt idx="14">
                  <c:v>22.448916689674732</c:v>
                </c:pt>
                <c:pt idx="15">
                  <c:v>20.3857736053621</c:v>
                </c:pt>
                <c:pt idx="16">
                  <c:v>18.128435359560122</c:v>
                </c:pt>
                <c:pt idx="17">
                  <c:v>15.672734719520253</c:v>
                </c:pt>
                <c:pt idx="18">
                  <c:v>12.998824627934368</c:v>
                </c:pt>
                <c:pt idx="19">
                  <c:v>10.084612229179426</c:v>
                </c:pt>
                <c:pt idx="20">
                  <c:v>6.9061678426838533</c:v>
                </c:pt>
              </c:numCache>
            </c:numRef>
          </c:val>
          <c:extLst>
            <c:ext xmlns:c16="http://schemas.microsoft.com/office/drawing/2014/chart" uri="{C3380CC4-5D6E-409C-BE32-E72D297353CC}">
              <c16:uniqueId val="{00000000-76EE-4346-A7D7-F58CE70AD512}"/>
            </c:ext>
          </c:extLst>
        </c:ser>
        <c:ser>
          <c:idx val="1"/>
          <c:order val="1"/>
          <c:tx>
            <c:v>Projected Superannuation Liability (AASB1056)</c:v>
          </c:tx>
          <c:spPr>
            <a:solidFill>
              <a:srgbClr val="00B0F0"/>
            </a:solidFill>
            <a:ln>
              <a:noFill/>
            </a:ln>
            <a:effectLst/>
          </c:spPr>
          <c:invertIfNegative val="0"/>
          <c:cat>
            <c:numRef>
              <c:f>'[Ch6 tables and charts - 20201113 - Hardcoded.xlsx]Chart 6.9 Super Liabilities'!$B$11:$B$31</c:f>
              <c:numCache>
                <c:formatCode>General</c:formatCode>
                <c:ptCount val="21"/>
                <c:pt idx="0">
                  <c:v>2020</c:v>
                </c:pt>
                <c:pt idx="1">
                  <c:v>2021</c:v>
                </c:pt>
                <c:pt idx="2">
                  <c:v>2022</c:v>
                </c:pt>
                <c:pt idx="3">
                  <c:v>2023</c:v>
                </c:pt>
                <c:pt idx="4">
                  <c:v>2024</c:v>
                </c:pt>
                <c:pt idx="5">
                  <c:v>2025</c:v>
                </c:pt>
                <c:pt idx="6">
                  <c:v>2026</c:v>
                </c:pt>
                <c:pt idx="7">
                  <c:v>2027</c:v>
                </c:pt>
                <c:pt idx="8">
                  <c:v>2028</c:v>
                </c:pt>
                <c:pt idx="9">
                  <c:v>2029</c:v>
                </c:pt>
                <c:pt idx="10">
                  <c:v>2030</c:v>
                </c:pt>
                <c:pt idx="11">
                  <c:v>2031</c:v>
                </c:pt>
                <c:pt idx="12">
                  <c:v>2032</c:v>
                </c:pt>
                <c:pt idx="13">
                  <c:v>2033</c:v>
                </c:pt>
                <c:pt idx="14">
                  <c:v>2034</c:v>
                </c:pt>
                <c:pt idx="15">
                  <c:v>2035</c:v>
                </c:pt>
                <c:pt idx="16">
                  <c:v>2036</c:v>
                </c:pt>
                <c:pt idx="17">
                  <c:v>2037</c:v>
                </c:pt>
                <c:pt idx="18">
                  <c:v>2038</c:v>
                </c:pt>
                <c:pt idx="19">
                  <c:v>2039</c:v>
                </c:pt>
                <c:pt idx="20">
                  <c:v>2040</c:v>
                </c:pt>
              </c:numCache>
            </c:numRef>
          </c:cat>
          <c:val>
            <c:numRef>
              <c:f>'[Ch6 tables and charts - 20201113 - Hardcoded.xlsx]Chart 6.9 Super Liabilities'!$F$11:$F$31</c:f>
              <c:numCache>
                <c:formatCode>#,##0.0</c:formatCode>
                <c:ptCount val="21"/>
                <c:pt idx="0">
                  <c:v>13.670346909936683</c:v>
                </c:pt>
                <c:pt idx="1">
                  <c:v>14.607639807593372</c:v>
                </c:pt>
                <c:pt idx="2">
                  <c:v>15.630946168191251</c:v>
                </c:pt>
                <c:pt idx="3">
                  <c:v>15.634519803229683</c:v>
                </c:pt>
                <c:pt idx="4">
                  <c:v>15.572928717338645</c:v>
                </c:pt>
                <c:pt idx="5">
                  <c:v>15.448322334518872</c:v>
                </c:pt>
                <c:pt idx="6">
                  <c:v>15.247597772430977</c:v>
                </c:pt>
                <c:pt idx="7">
                  <c:v>14.970332480755037</c:v>
                </c:pt>
                <c:pt idx="8">
                  <c:v>14.608910317671123</c:v>
                </c:pt>
                <c:pt idx="9">
                  <c:v>14.143881637013141</c:v>
                </c:pt>
                <c:pt idx="10">
                  <c:v>13.571456585329482</c:v>
                </c:pt>
                <c:pt idx="11">
                  <c:v>12.928894594629947</c:v>
                </c:pt>
                <c:pt idx="12">
                  <c:v>12.162018305002842</c:v>
                </c:pt>
                <c:pt idx="13">
                  <c:v>11.258311206700672</c:v>
                </c:pt>
                <c:pt idx="14">
                  <c:v>10.20420392655657</c:v>
                </c:pt>
                <c:pt idx="15">
                  <c:v>8.9846709742204744</c:v>
                </c:pt>
                <c:pt idx="16">
                  <c:v>7.5832537826150705</c:v>
                </c:pt>
                <c:pt idx="17">
                  <c:v>5.9821503145347519</c:v>
                </c:pt>
                <c:pt idx="18">
                  <c:v>4.1627432873804047</c:v>
                </c:pt>
                <c:pt idx="19">
                  <c:v>2.1045239668988582</c:v>
                </c:pt>
                <c:pt idx="20">
                  <c:v>-0.21448747424949621</c:v>
                </c:pt>
              </c:numCache>
            </c:numRef>
          </c:val>
          <c:extLst>
            <c:ext xmlns:c16="http://schemas.microsoft.com/office/drawing/2014/chart" uri="{C3380CC4-5D6E-409C-BE32-E72D297353CC}">
              <c16:uniqueId val="{00000001-76EE-4346-A7D7-F58CE70AD512}"/>
            </c:ext>
          </c:extLst>
        </c:ser>
        <c:dLbls>
          <c:showLegendKey val="0"/>
          <c:showVal val="0"/>
          <c:showCatName val="0"/>
          <c:showSerName val="0"/>
          <c:showPercent val="0"/>
          <c:showBubbleSize val="0"/>
        </c:dLbls>
        <c:gapWidth val="77"/>
        <c:axId val="584509768"/>
        <c:axId val="584510752"/>
      </c:barChart>
      <c:catAx>
        <c:axId val="584509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4510752"/>
        <c:crosses val="autoZero"/>
        <c:auto val="1"/>
        <c:lblAlgn val="ctr"/>
        <c:lblOffset val="100"/>
        <c:noMultiLvlLbl val="0"/>
      </c:catAx>
      <c:valAx>
        <c:axId val="584510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a:t>$ billions</a:t>
                </a:r>
              </a:p>
            </c:rich>
          </c:tx>
          <c:overlay val="0"/>
          <c:spPr>
            <a:noFill/>
            <a:ln>
              <a:noFill/>
            </a:ln>
            <a:effectLst/>
          </c:spPr>
          <c:txPr>
            <a:bodyPr rot="-54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584509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5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lumMod val="95000"/>
      </a:schemeClr>
    </a:solidFill>
    <a:ln w="9525" cap="flat" cmpd="sng" algn="ctr">
      <a:noFill/>
      <a:round/>
    </a:ln>
    <a:effectLst/>
  </c:spPr>
  <c:txPr>
    <a:bodyPr/>
    <a:lstStyle/>
    <a:p>
      <a:pPr>
        <a:defRPr sz="75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02F16F1AFBDE54EBD2685E90FE1922F" ma:contentTypeVersion="13" ma:contentTypeDescription="Create a new document." ma:contentTypeScope="" ma:versionID="b5babb12e1fedc6ea5b0ddbe9a6dbc85">
  <xsd:schema xmlns:xsd="http://www.w3.org/2001/XMLSchema" xmlns:xs="http://www.w3.org/2001/XMLSchema" xmlns:p="http://schemas.microsoft.com/office/2006/metadata/properties" xmlns:ns2="801a5968-9419-4033-b9de-7ffe8168468e" xmlns:ns3="1c478e85-8130-4c67-8ee4-8bdf1c0e6049" targetNamespace="http://schemas.microsoft.com/office/2006/metadata/properties" ma:root="true" ma:fieldsID="9385a6c5781228858eb2dfc06285a0e9" ns2:_="" ns3:_="">
    <xsd:import namespace="801a5968-9419-4033-b9de-7ffe8168468e"/>
    <xsd:import namespace="1c478e85-8130-4c67-8ee4-8bdf1c0e604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Location" minOccurs="0"/>
                <xsd:element ref="ns3:MediaServiceGenerationTime" minOccurs="0"/>
                <xsd:element ref="ns3:MediaServiceEventHashCode" minOccurs="0"/>
                <xsd:element ref="ns3:_Flow_SignoffStatus"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a5968-9419-4033-b9de-7ffe8168468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c478e85-8130-4c67-8ee4-8bdf1c0e604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1c478e85-8130-4c67-8ee4-8bdf1c0e6049" xsi:nil="true"/>
    <SharedWithUsers xmlns="801a5968-9419-4033-b9de-7ffe8168468e">
      <UserInfo>
        <DisplayName>Nenos Mirza</DisplayName>
        <AccountId>445</AccountId>
        <AccountType/>
      </UserInfo>
      <UserInfo>
        <DisplayName>Angela Cummine</DisplayName>
        <AccountId>109</AccountId>
        <AccountType/>
      </UserInfo>
      <UserInfo>
        <DisplayName>Katherine Palmer</DisplayName>
        <AccountId>787</AccountId>
        <AccountType/>
      </UserInfo>
      <UserInfo>
        <DisplayName>John Lynam</DisplayName>
        <AccountId>81</AccountId>
        <AccountType/>
      </UserInfo>
      <UserInfo>
        <DisplayName>James Atkinson</DisplayName>
        <AccountId>47</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F77A04-23EA-46C8-8D5A-3E73A164AA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1a5968-9419-4033-b9de-7ffe8168468e"/>
    <ds:schemaRef ds:uri="1c478e85-8130-4c67-8ee4-8bdf1c0e60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D8FE32-A048-4E2B-B77E-5666024B274F}">
  <ds:schemaRefs>
    <ds:schemaRef ds:uri="http://schemas.microsoft.com/sharepoint/v3/contenttype/forms"/>
  </ds:schemaRefs>
</ds:datastoreItem>
</file>

<file path=customXml/itemProps3.xml><?xml version="1.0" encoding="utf-8"?>
<ds:datastoreItem xmlns:ds="http://schemas.openxmlformats.org/officeDocument/2006/customXml" ds:itemID="{A696C815-F63F-4F21-8EB2-AFD8767FDA55}">
  <ds:schemaRefs>
    <ds:schemaRef ds:uri="http://schemas.microsoft.com/office/2006/metadata/properties"/>
    <ds:schemaRef ds:uri="http://schemas.microsoft.com/office/infopath/2007/PartnerControls"/>
    <ds:schemaRef ds:uri="1c478e85-8130-4c67-8ee4-8bdf1c0e6049"/>
    <ds:schemaRef ds:uri="801a5968-9419-4033-b9de-7ffe8168468e"/>
  </ds:schemaRefs>
</ds:datastoreItem>
</file>

<file path=customXml/itemProps4.xml><?xml version="1.0" encoding="utf-8"?>
<ds:datastoreItem xmlns:ds="http://schemas.openxmlformats.org/officeDocument/2006/customXml" ds:itemID="{9095F021-BB64-422D-88AD-B11805610261}">
  <ds:schemaRefs>
    <ds:schemaRef ds:uri="http://schemas.openxmlformats.org/officeDocument/2006/bibliography"/>
  </ds:schemaRefs>
</ds:datastoreItem>
</file>

<file path=docMetadata/LabelInfo.xml><?xml version="1.0" encoding="utf-8"?>
<clbl:labelList xmlns:clbl="http://schemas.microsoft.com/office/2020/mipLabelMetadata"/>
</file>

<file path=docMetadata/LabelInfo0.xml><?xml version="1.0" encoding="utf-8"?>
<clbl:labelList xmlns:clbl="http://schemas.microsoft.com/office/2020/mipLabelMetadata"/>
</file>

<file path=docMetadata/LabelInfo1.xml><?xml version="1.0" encoding="utf-8"?>
<clbl:labelList xmlns:clbl="http://schemas.microsoft.com/office/2020/mipLabelMetadata"/>
</file>

<file path=docMetadata/LabelInfo10.xml><?xml version="1.0" encoding="utf-8"?>
<clbl:labelList xmlns:clbl="http://schemas.microsoft.com/office/2020/mipLabelMetadata"/>
</file>

<file path=docMetadata/LabelInfo11.xml><?xml version="1.0" encoding="utf-8"?>
<clbl:labelList xmlns:clbl="http://schemas.microsoft.com/office/2020/mipLabelMetadata"/>
</file>

<file path=docMetadata/LabelInfo12.xml><?xml version="1.0" encoding="utf-8"?>
<clbl:labelList xmlns:clbl="http://schemas.microsoft.com/office/2020/mipLabelMetadata"/>
</file>

<file path=docMetadata/LabelInfo2.xml><?xml version="1.0" encoding="utf-8"?>
<clbl:labelList xmlns:clbl="http://schemas.microsoft.com/office/2020/mipLabelMetadata"/>
</file>

<file path=docMetadata/LabelInfo3.xml><?xml version="1.0" encoding="utf-8"?>
<clbl:labelList xmlns:clbl="http://schemas.microsoft.com/office/2020/mipLabelMetadata"/>
</file>

<file path=docMetadata/LabelInfo4.xml><?xml version="1.0" encoding="utf-8"?>
<clbl:labelList xmlns:clbl="http://schemas.microsoft.com/office/2020/mipLabelMetadata"/>
</file>

<file path=docMetadata/LabelInfo5.xml><?xml version="1.0" encoding="utf-8"?>
<clbl:labelList xmlns:clbl="http://schemas.microsoft.com/office/2020/mipLabelMetadata"/>
</file>

<file path=docMetadata/LabelInfo6.xml><?xml version="1.0" encoding="utf-8"?>
<clbl:labelList xmlns:clbl="http://schemas.microsoft.com/office/2020/mipLabelMetadata"/>
</file>

<file path=docMetadata/LabelInfo7.xml><?xml version="1.0" encoding="utf-8"?>
<clbl:labelList xmlns:clbl="http://schemas.microsoft.com/office/2020/mipLabelMetadata"/>
</file>

<file path=docMetadata/LabelInfo8.xml><?xml version="1.0" encoding="utf-8"?>
<clbl:labelList xmlns:clbl="http://schemas.microsoft.com/office/2020/mipLabelMetadata"/>
</file>

<file path=docMetadata/LabelInfo9.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517</TotalTime>
  <Pages>10</Pages>
  <Words>3191</Words>
  <Characters>18192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2019-20 Budget Paper No. 1 - Budget Statement - Chapter 6 - Managing the State's Assets and Liabilities</vt:lpstr>
    </vt:vector>
  </TitlesOfParts>
  <Company>ServiceFirst</Company>
  <LinksUpToDate>false</LinksUpToDate>
  <CharactersWithSpaces>21341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2020-21 Budget Paper No. 1 - Budget Statement - Chapter 6: Managing the State's Assets and Liabiities</dc:title>
  <dc:subject/>
  <dc:creator>The Treasury</dc:creator>
  <cp:keywords/>
  <cp:lastModifiedBy>Francess Lavorato</cp:lastModifiedBy>
  <cp:revision>3178</cp:revision>
  <cp:lastPrinted>2020-11-14T21:41:00Z</cp:lastPrinted>
  <dcterms:created xsi:type="dcterms:W3CDTF">2018-07-03T21:58:00Z</dcterms:created>
  <dcterms:modified xsi:type="dcterms:W3CDTF">2020-11-15T05:04:00Z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0x010100F02F16F1AFBDE54EBD2685E90FE1922F</vt:lpwstr>
  </property>
  <property fmtid="{D5CDD505-2E9C-101B-9397-08002B2CF9AE}" pid="3" name="AuthorIds_UIVersion_512">
    <vt:lpwstr>6</vt:lpwstr>
  </property>
</Properties>
</file>