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3.xml" ContentType="application/vnd.ms-office.classificationlabels+xml"/>
  <Override PartName="/docMetadata/LabelInfo8.xml" ContentType="application/vnd.ms-office.classificationlabels+xml"/>
  <Override PartName="/docMetadata/LabelInfo12.xml" ContentType="application/vnd.ms-office.classificationlabels+xml"/>
  <Override PartName="/docMetadata/LabelInfo2.xml" ContentType="application/vnd.ms-office.classificationlabels+xml"/>
  <Override PartName="/docMetadata/LabelInfo7.xml" ContentType="application/vnd.ms-office.classificationlabels+xml"/>
  <Override PartName="/docMetadata/LabelInfo4.xml" ContentType="application/vnd.ms-office.classificationlabels+xml"/>
  <Override PartName="/docMetadata/LabelInfo11.xml" ContentType="application/vnd.ms-office.classificationlabels+xml"/>
  <Override PartName="/docMetadata/LabelInfo.xml" ContentType="application/vnd.ms-office.classificationlabels+xml"/>
  <Override PartName="/docMetadata/LabelInfo0.xml" ContentType="application/vnd.ms-office.classificationlabels+xml"/>
  <Override PartName="/docMetadata/LabelInfo6.xml" ContentType="application/vnd.ms-office.classificationlabels+xml"/>
  <Override PartName="/docMetadata/LabelInfo10.xml" ContentType="application/vnd.ms-office.classificationlabels+xml"/>
  <Override PartName="/docMetadata/LabelInfo1.xml" ContentType="application/vnd.ms-office.classificationlabels+xml"/>
  <Override PartName="/docMetadata/LabelInfo5.xml" ContentType="application/vnd.ms-office.classificationlabels+xml"/>
  <Override PartName="/docMetadata/LabelInfo13.xml" ContentType="application/vnd.ms-office.classificationlabels+xml"/>
  <Override PartName="/docMetadata/LabelInfo9.xml" ContentType="application/vnd.ms-office.classificationlabels+xml"/>
  <Override PartName="/word/commentsExtensible.xml" ContentType="application/vnd.openxmlformats-officedocument.wordprocessingml.commentsExtensible+xml"/>
  <Override PartName="/word/documenttasks/documenttasks1.xml" ContentType="application/vnd.ms-office.documenttasks+xml"/>
</Types>
</file>

<file path=_rels/.rels><?xml version="1.0" encoding="UTF-8" standalone="yes"?>
<Relationships xmlns="http://schemas.openxmlformats.org/package/2006/relationships"><Relationship Id="rId8" Type="http://schemas.microsoft.com/office/2020/02/relationships/classificationlabels" Target="docMetadata/LabelInfo3.xml"/><Relationship Id="rId13" Type="http://schemas.microsoft.com/office/2020/02/relationships/classificationlabels" Target="docMetadata/LabelInfo8.xml"/><Relationship Id="rId18" Type="http://schemas.microsoft.com/office/2020/02/relationships/classificationlabels" Target="docMetadata/LabelInfo12.xml"/><Relationship Id="rId3" Type="http://schemas.openxmlformats.org/package/2006/relationships/metadata/core-properties" Target="docProps/core.xml"/><Relationship Id="rId7" Type="http://schemas.microsoft.com/office/2020/02/relationships/classificationlabels" Target="docMetadata/LabelInfo2.xml"/><Relationship Id="rId12" Type="http://schemas.microsoft.com/office/2020/02/relationships/classificationlabels" Target="docMetadata/LabelInfo7.xml"/><Relationship Id="rId17" Type="http://schemas.microsoft.com/office/2020/02/relationships/classificationlabels" Target="docMetadata/LabelInfo4.xml"/><Relationship Id="rId2" Type="http://schemas.openxmlformats.org/package/2006/relationships/metadata/thumbnail" Target="docProps/thumbnail.emf"/><Relationship Id="rId16" Type="http://schemas.microsoft.com/office/2020/02/relationships/classificationlabels" Target="docMetadata/LabelInfo11.xml"/><Relationship Id="rId20" Type="http://schemas.microsoft.com/office/2020/02/relationships/classificationlabels" Target="docMetadata/LabelInfo.xml"/><Relationship Id="rId1" Type="http://schemas.openxmlformats.org/officeDocument/2006/relationships/officeDocument" Target="word/document.xml"/><Relationship Id="rId6" Type="http://schemas.microsoft.com/office/2020/02/relationships/classificationlabels" Target="docMetadata/LabelInfo0.xml"/><Relationship Id="rId11" Type="http://schemas.microsoft.com/office/2020/02/relationships/classificationlabels" Target="docMetadata/LabelInfo6.xml"/><Relationship Id="rId5" Type="http://schemas.openxmlformats.org/officeDocument/2006/relationships/custom-properties" Target="docProps/custom.xml"/><Relationship Id="rId15" Type="http://schemas.microsoft.com/office/2020/02/relationships/classificationlabels" Target="docMetadata/LabelInfo10.xml"/><Relationship Id="rId19" Type="http://schemas.microsoft.com/office/2020/02/relationships/classificationlabels" Target="docMetadata/LabelInfo1.xml"/><Relationship Id="rId10" Type="http://schemas.microsoft.com/office/2020/02/relationships/classificationlabels" Target="docMetadata/LabelInfo5.xml"/><Relationship Id="rId4" Type="http://schemas.openxmlformats.org/officeDocument/2006/relationships/extended-properties" Target="docProps/app.xml"/><Relationship Id="rId14" Type="http://schemas.microsoft.com/office/2020/02/relationships/classificationlabels" Target="docMetadata/LabelInfo13.xml"/><Relationship Id="rId9" Type="http://schemas.microsoft.com/office/2020/02/relationships/classificationlabels" Target="docMetadata/LabelInfo9.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4E324" w14:textId="11A7160D" w:rsidR="00720422" w:rsidRPr="00D47919" w:rsidRDefault="00EF78AA" w:rsidP="00106B23">
      <w:pPr>
        <w:pStyle w:val="Heading1"/>
        <w:spacing w:before="600" w:after="360"/>
      </w:pPr>
      <w:r w:rsidRPr="00B87921">
        <w:t>B</w:t>
      </w:r>
      <w:r w:rsidR="003E17A0" w:rsidRPr="00D47919">
        <w:t>.</w:t>
      </w:r>
      <w:r w:rsidR="000925CB" w:rsidRPr="00D47919">
        <w:tab/>
      </w:r>
      <w:r w:rsidR="006C3082" w:rsidRPr="00D47919">
        <w:t xml:space="preserve">Fiscal Risks and </w:t>
      </w:r>
      <w:r w:rsidR="00720422" w:rsidRPr="00D47919">
        <w:t xml:space="preserve">Budget </w:t>
      </w:r>
      <w:r w:rsidR="005A1E2F" w:rsidRPr="00D47919">
        <w:t>Sensitivities</w:t>
      </w:r>
    </w:p>
    <w:p w14:paraId="678855F2" w14:textId="544C8E20" w:rsidR="00A17B4A" w:rsidRDefault="00B23982" w:rsidP="00D75D75">
      <w:pPr>
        <w:pStyle w:val="BodyText"/>
      </w:pPr>
      <w:r>
        <w:t xml:space="preserve">The prospective nature of the Budget means </w:t>
      </w:r>
      <w:r w:rsidR="00A23D5A">
        <w:t>it is informed by forecasts and assumptions. E</w:t>
      </w:r>
      <w:r>
        <w:t>vents (</w:t>
      </w:r>
      <w:r w:rsidR="005D5F5F">
        <w:t xml:space="preserve">fiscal </w:t>
      </w:r>
      <w:r>
        <w:t>risks)</w:t>
      </w:r>
      <w:r w:rsidR="0024407C">
        <w:t xml:space="preserve"> </w:t>
      </w:r>
      <w:r w:rsidR="00AC4618">
        <w:t>may</w:t>
      </w:r>
      <w:r>
        <w:t xml:space="preserve"> unfold </w:t>
      </w:r>
      <w:r w:rsidR="00A23D5A">
        <w:t xml:space="preserve">which </w:t>
      </w:r>
      <w:r w:rsidR="00CB0EC0">
        <w:t>c</w:t>
      </w:r>
      <w:r>
        <w:t xml:space="preserve">ould </w:t>
      </w:r>
      <w:r w:rsidR="00641322">
        <w:t xml:space="preserve">produce </w:t>
      </w:r>
      <w:r w:rsidR="00CB0EC0">
        <w:t xml:space="preserve">results </w:t>
      </w:r>
      <w:r w:rsidR="00641322">
        <w:t xml:space="preserve">different to </w:t>
      </w:r>
      <w:r>
        <w:t>forecasts</w:t>
      </w:r>
      <w:r w:rsidR="00681540">
        <w:t xml:space="preserve"> – either positive or negative</w:t>
      </w:r>
      <w:r>
        <w:t xml:space="preserve">. </w:t>
      </w:r>
      <w:r w:rsidR="4C862232">
        <w:t>COVID-19</w:t>
      </w:r>
      <w:proofErr w:type="gramStart"/>
      <w:r w:rsidR="4C862232">
        <w:t>, in particular, has</w:t>
      </w:r>
      <w:proofErr w:type="gramEnd"/>
      <w:r w:rsidR="4C862232">
        <w:t xml:space="preserve"> introduced new risks and heightened others. </w:t>
      </w:r>
      <w:r>
        <w:t xml:space="preserve">This appendix </w:t>
      </w:r>
      <w:r w:rsidR="2E3327DC">
        <w:t>analys</w:t>
      </w:r>
      <w:r w:rsidR="1C9D86F3">
        <w:t>es</w:t>
      </w:r>
      <w:r w:rsidR="00641322">
        <w:t xml:space="preserve"> </w:t>
      </w:r>
      <w:r>
        <w:t xml:space="preserve">some of those potential </w:t>
      </w:r>
      <w:r w:rsidR="4BF49645">
        <w:t>risks and</w:t>
      </w:r>
      <w:r w:rsidR="59B5DB25">
        <w:t xml:space="preserve"> </w:t>
      </w:r>
      <w:r>
        <w:t>events. It also helps readers</w:t>
      </w:r>
      <w:r w:rsidR="5B668B6E">
        <w:t xml:space="preserve"> </w:t>
      </w:r>
      <w:r>
        <w:t>understand the magnitude of potential variation</w:t>
      </w:r>
      <w:r w:rsidR="23D28845">
        <w:t>s</w:t>
      </w:r>
      <w:r>
        <w:t xml:space="preserve"> by </w:t>
      </w:r>
      <w:r w:rsidR="006D3E57">
        <w:t>providing a ‘sensitivity analysis’</w:t>
      </w:r>
      <w:r w:rsidR="3418389A">
        <w:t>.</w:t>
      </w:r>
      <w:r w:rsidR="46257591">
        <w:t xml:space="preserve"> </w:t>
      </w:r>
      <w:r w:rsidR="07554ED0">
        <w:t>The</w:t>
      </w:r>
      <w:r w:rsidR="01814224">
        <w:t xml:space="preserve"> impact of the</w:t>
      </w:r>
      <w:r w:rsidR="38B4A4D2">
        <w:t>se</w:t>
      </w:r>
      <w:r w:rsidR="01814224">
        <w:t xml:space="preserve"> variations is</w:t>
      </w:r>
      <w:r w:rsidR="6D96A1CA">
        <w:t xml:space="preserve"> considered</w:t>
      </w:r>
      <w:r w:rsidDel="00ED484B">
        <w:t xml:space="preserve"> </w:t>
      </w:r>
      <w:r w:rsidR="46257591">
        <w:t>on</w:t>
      </w:r>
      <w:r w:rsidDel="00ED484B">
        <w:t xml:space="preserve"> </w:t>
      </w:r>
      <w:r w:rsidR="00ED484B">
        <w:t>the operating statement and the balance sheet.</w:t>
      </w:r>
      <w:r w:rsidR="006D3E57">
        <w:t xml:space="preserve"> </w:t>
      </w:r>
    </w:p>
    <w:p w14:paraId="59439AD7" w14:textId="551BE4B1" w:rsidR="00EA6786" w:rsidRDefault="00227176" w:rsidP="00D75D75">
      <w:pPr>
        <w:pStyle w:val="BodyText"/>
      </w:pPr>
      <w:r>
        <w:t xml:space="preserve">The </w:t>
      </w:r>
      <w:r w:rsidR="00987906">
        <w:t xml:space="preserve">sensitivity analysis </w:t>
      </w:r>
      <w:r w:rsidR="00154100">
        <w:t xml:space="preserve">is </w:t>
      </w:r>
      <w:r w:rsidR="00987906">
        <w:t xml:space="preserve">presented </w:t>
      </w:r>
      <w:r w:rsidR="00154100">
        <w:t>to explain</w:t>
      </w:r>
      <w:r w:rsidR="00252622">
        <w:t xml:space="preserve"> a </w:t>
      </w:r>
      <w:r w:rsidR="003B07DC" w:rsidDel="003B07DC">
        <w:t>1</w:t>
      </w:r>
      <w:r w:rsidR="00252622">
        <w:t xml:space="preserve"> percentage point change to the </w:t>
      </w:r>
      <w:r w:rsidR="00154100">
        <w:t>identified</w:t>
      </w:r>
      <w:r w:rsidR="00CE7A06">
        <w:t xml:space="preserve"> </w:t>
      </w:r>
      <w:r w:rsidR="00C3308E">
        <w:t xml:space="preserve">variable </w:t>
      </w:r>
      <w:r w:rsidR="00DA70DA">
        <w:t xml:space="preserve">in each </w:t>
      </w:r>
      <w:r w:rsidR="00D45143">
        <w:t>year</w:t>
      </w:r>
      <w:r w:rsidR="00311F02">
        <w:t xml:space="preserve"> –</w:t>
      </w:r>
      <w:r w:rsidR="1E60DC3A">
        <w:t xml:space="preserve"> while </w:t>
      </w:r>
      <w:r w:rsidR="00311F02">
        <w:t>other</w:t>
      </w:r>
      <w:r w:rsidR="1E60DC3A">
        <w:t xml:space="preserve"> variables </w:t>
      </w:r>
      <w:r w:rsidR="00311F02">
        <w:t xml:space="preserve">are held </w:t>
      </w:r>
      <w:r w:rsidR="00685E21">
        <w:t>constant</w:t>
      </w:r>
      <w:r w:rsidR="1E60DC3A">
        <w:t xml:space="preserve"> to the forecasts </w:t>
      </w:r>
      <w:r w:rsidR="00685E21">
        <w:t xml:space="preserve">in this </w:t>
      </w:r>
      <w:r w:rsidR="1E60DC3A">
        <w:t>Budget</w:t>
      </w:r>
      <w:r w:rsidR="00DA70DA">
        <w:t>.</w:t>
      </w:r>
      <w:r w:rsidR="003B07DC" w:rsidDel="003B07DC">
        <w:t xml:space="preserve"> </w:t>
      </w:r>
      <w:r w:rsidR="51B70D43">
        <w:t>The result should be used as a ‘rule of thumb’ estimated impact for a change in the relevant variable.</w:t>
      </w:r>
    </w:p>
    <w:p w14:paraId="75377635" w14:textId="552FF236" w:rsidR="00551F06" w:rsidRDefault="005573C8" w:rsidP="00D75D75">
      <w:pPr>
        <w:pStyle w:val="BodyText"/>
      </w:pPr>
      <w:r>
        <w:t>A</w:t>
      </w:r>
      <w:r w:rsidR="00FF476B">
        <w:t xml:space="preserve"> positive impact from the</w:t>
      </w:r>
      <w:r w:rsidR="00030ADE">
        <w:t xml:space="preserve"> variable</w:t>
      </w:r>
      <w:r w:rsidR="00FF476B">
        <w:t xml:space="preserve"> change </w:t>
      </w:r>
      <w:r w:rsidR="00685E21">
        <w:t>would</w:t>
      </w:r>
      <w:r w:rsidR="00FF476B">
        <w:t xml:space="preserve"> improve the</w:t>
      </w:r>
      <w:r w:rsidR="00030ADE">
        <w:t xml:space="preserve"> State’s</w:t>
      </w:r>
      <w:r w:rsidR="00FF476B">
        <w:t xml:space="preserve"> budget position or net worth, while </w:t>
      </w:r>
      <w:r w:rsidR="00F00064">
        <w:t xml:space="preserve">a </w:t>
      </w:r>
      <w:r w:rsidR="00FF476B">
        <w:t xml:space="preserve">negative impact </w:t>
      </w:r>
      <w:r w:rsidR="00685E21">
        <w:t xml:space="preserve">would </w:t>
      </w:r>
      <w:r w:rsidR="00030ADE">
        <w:t xml:space="preserve">weaken the </w:t>
      </w:r>
      <w:r w:rsidR="00C41DF1">
        <w:t>b</w:t>
      </w:r>
      <w:r w:rsidR="00030ADE">
        <w:t>udget position or net worth.</w:t>
      </w:r>
      <w:r w:rsidR="51B70D43">
        <w:t xml:space="preserve"> </w:t>
      </w:r>
    </w:p>
    <w:p w14:paraId="49D8662D" w14:textId="6C55B12E" w:rsidR="00CB4FEC" w:rsidRDefault="00B9338E" w:rsidP="00D75D75">
      <w:pPr>
        <w:pStyle w:val="BodyText"/>
      </w:pPr>
      <w:r>
        <w:t>Due</w:t>
      </w:r>
      <w:r w:rsidR="00D43373">
        <w:t xml:space="preserve"> to the</w:t>
      </w:r>
      <w:r w:rsidR="00AB3934">
        <w:t>ir</w:t>
      </w:r>
      <w:r w:rsidR="00D43373">
        <w:t xml:space="preserve"> uncertainty</w:t>
      </w:r>
      <w:r w:rsidR="00237114">
        <w:t>,</w:t>
      </w:r>
      <w:r w:rsidR="003F04D1">
        <w:t xml:space="preserve"> fiscal risks are </w:t>
      </w:r>
      <w:r w:rsidR="00F15C01">
        <w:t xml:space="preserve">not incorporated into the </w:t>
      </w:r>
      <w:r w:rsidR="00237114">
        <w:t xml:space="preserve">aggregates </w:t>
      </w:r>
      <w:r w:rsidR="00AB3934">
        <w:t xml:space="preserve">presented in the </w:t>
      </w:r>
      <w:r w:rsidR="00F15C01">
        <w:t>20</w:t>
      </w:r>
      <w:r w:rsidR="18A3FDD4">
        <w:t>20-21</w:t>
      </w:r>
      <w:r w:rsidR="007503D8">
        <w:t> </w:t>
      </w:r>
      <w:r w:rsidR="00F15C01">
        <w:t xml:space="preserve">Budget. </w:t>
      </w:r>
      <w:r w:rsidR="0D252FB2">
        <w:t>F</w:t>
      </w:r>
      <w:r w:rsidR="00F15C01">
        <w:t xml:space="preserve">urther information on the State’s contingent assets and liabilities </w:t>
      </w:r>
      <w:r w:rsidR="00AB3934">
        <w:t>is also available in</w:t>
      </w:r>
      <w:r w:rsidR="00F15C01">
        <w:t xml:space="preserve"> Appendix C of this Budget Paper.</w:t>
      </w:r>
    </w:p>
    <w:p w14:paraId="733822C3" w14:textId="167B61DC" w:rsidR="006C3082" w:rsidRPr="004D2D27" w:rsidRDefault="00031CA7" w:rsidP="009D3617">
      <w:pPr>
        <w:pStyle w:val="Heading2"/>
        <w:tabs>
          <w:tab w:val="clear" w:pos="567"/>
          <w:tab w:val="left" w:pos="709"/>
        </w:tabs>
        <w:ind w:left="709" w:hanging="709"/>
      </w:pPr>
      <w:bookmarkStart w:id="0" w:name="_Hlk516140952"/>
      <w:r>
        <w:t xml:space="preserve">Operating </w:t>
      </w:r>
      <w:r w:rsidR="00E72335">
        <w:t>s</w:t>
      </w:r>
      <w:r>
        <w:t>tatement</w:t>
      </w:r>
      <w:r w:rsidR="006C3082" w:rsidRPr="004D2D27">
        <w:t xml:space="preserve"> </w:t>
      </w:r>
      <w:r w:rsidR="0021397C" w:rsidRPr="004D2D27">
        <w:t>r</w:t>
      </w:r>
      <w:r w:rsidR="006C3082" w:rsidRPr="004D2D27">
        <w:t>isks</w:t>
      </w:r>
      <w:r w:rsidR="005221F7">
        <w:t xml:space="preserve"> and </w:t>
      </w:r>
      <w:r w:rsidR="005221F7" w:rsidRPr="00334198">
        <w:t>sensitivities</w:t>
      </w:r>
      <w:r w:rsidR="005221F7">
        <w:t xml:space="preserve"> </w:t>
      </w:r>
    </w:p>
    <w:bookmarkEnd w:id="0"/>
    <w:p w14:paraId="4B9A95E4" w14:textId="3BD149D1" w:rsidR="006C3082" w:rsidRPr="00A21502" w:rsidRDefault="006C3082" w:rsidP="00AB1548">
      <w:pPr>
        <w:pStyle w:val="Heading3"/>
        <w:numPr>
          <w:ilvl w:val="0"/>
          <w:numId w:val="0"/>
        </w:numPr>
      </w:pPr>
      <w:r w:rsidRPr="00A21502">
        <w:t xml:space="preserve">State </w:t>
      </w:r>
      <w:r w:rsidR="001038C3" w:rsidRPr="00A21502">
        <w:t>t</w:t>
      </w:r>
      <w:r w:rsidRPr="00A21502">
        <w:t>ax</w:t>
      </w:r>
      <w:r w:rsidR="005C166C" w:rsidRPr="00A21502">
        <w:t>ation</w:t>
      </w:r>
      <w:r w:rsidRPr="00A21502">
        <w:t xml:space="preserve"> </w:t>
      </w:r>
      <w:r w:rsidR="001038C3" w:rsidRPr="00A21502">
        <w:t>r</w:t>
      </w:r>
      <w:r w:rsidRPr="00A21502">
        <w:t>evenue</w:t>
      </w:r>
    </w:p>
    <w:p w14:paraId="640E5A0D" w14:textId="2BF31D4B" w:rsidR="00F6349D" w:rsidRDefault="44349C46" w:rsidP="00D75D75">
      <w:pPr>
        <w:pStyle w:val="BodyText"/>
      </w:pPr>
      <w:r>
        <w:t xml:space="preserve">The state of the economy </w:t>
      </w:r>
      <w:r w:rsidR="2467661F">
        <w:t>affects</w:t>
      </w:r>
      <w:r w:rsidR="09FF0AB0">
        <w:t xml:space="preserve"> </w:t>
      </w:r>
      <w:r w:rsidR="7524A05B" w:rsidDel="00427832">
        <w:t xml:space="preserve">the </w:t>
      </w:r>
      <w:r w:rsidR="1D8E86FD" w:rsidDel="00427832">
        <w:t>level of</w:t>
      </w:r>
      <w:r w:rsidR="09FF0AB0" w:rsidDel="00427832">
        <w:t xml:space="preserve"> </w:t>
      </w:r>
      <w:r>
        <w:t>tax collect</w:t>
      </w:r>
      <w:r w:rsidR="000735B6">
        <w:t>ed</w:t>
      </w:r>
      <w:r>
        <w:t xml:space="preserve">. </w:t>
      </w:r>
      <w:r w:rsidR="2C819B6F">
        <w:t>Changes in</w:t>
      </w:r>
      <w:r w:rsidR="13BE2BC3">
        <w:t xml:space="preserve"> </w:t>
      </w:r>
      <w:r w:rsidR="00865D85">
        <w:t xml:space="preserve">a range of </w:t>
      </w:r>
      <w:r w:rsidR="5B98A19E">
        <w:t>macro</w:t>
      </w:r>
      <w:r w:rsidR="6D601E28">
        <w:t>e</w:t>
      </w:r>
      <w:r w:rsidR="00F6349D">
        <w:t>conomic drivers</w:t>
      </w:r>
      <w:r w:rsidR="383AE857">
        <w:t xml:space="preserve"> –</w:t>
      </w:r>
      <w:r w:rsidR="00F6349D">
        <w:t xml:space="preserve"> </w:t>
      </w:r>
      <w:r w:rsidR="00865D85">
        <w:t>from</w:t>
      </w:r>
      <w:r w:rsidR="00F6349D">
        <w:t xml:space="preserve"> property </w:t>
      </w:r>
      <w:r w:rsidR="008A64BF">
        <w:t xml:space="preserve">sale </w:t>
      </w:r>
      <w:r w:rsidR="00F6349D">
        <w:t>volumes and prices,</w:t>
      </w:r>
      <w:r w:rsidR="16A32032">
        <w:t xml:space="preserve"> </w:t>
      </w:r>
      <w:r w:rsidR="00865D85">
        <w:t>to</w:t>
      </w:r>
      <w:r w:rsidR="00F6349D">
        <w:t xml:space="preserve"> employment </w:t>
      </w:r>
      <w:r w:rsidR="00865D85">
        <w:t>levels</w:t>
      </w:r>
      <w:r w:rsidR="0B1B26FB">
        <w:t xml:space="preserve"> </w:t>
      </w:r>
      <w:r w:rsidR="00F6349D">
        <w:t>and</w:t>
      </w:r>
      <w:r w:rsidR="00865D85">
        <w:t xml:space="preserve"> </w:t>
      </w:r>
      <w:r w:rsidR="005545B4">
        <w:t xml:space="preserve">wage </w:t>
      </w:r>
      <w:r w:rsidR="00AB28A2">
        <w:t>growth</w:t>
      </w:r>
      <w:r w:rsidR="75759A3C">
        <w:t xml:space="preserve"> –</w:t>
      </w:r>
      <w:r w:rsidR="24BD4645">
        <w:t xml:space="preserve"> </w:t>
      </w:r>
      <w:r w:rsidR="22278269">
        <w:t xml:space="preserve">can </w:t>
      </w:r>
      <w:r w:rsidR="005545B4">
        <w:t>lead to major changes</w:t>
      </w:r>
      <w:r w:rsidR="00F6349D" w:rsidDel="00F6349D">
        <w:t xml:space="preserve"> in </w:t>
      </w:r>
      <w:r w:rsidR="005545B4">
        <w:t xml:space="preserve">the level of </w:t>
      </w:r>
      <w:r w:rsidR="0E503FA7">
        <w:t>tax</w:t>
      </w:r>
      <w:r w:rsidR="00F6349D" w:rsidDel="00F6349D">
        <w:t xml:space="preserve"> collected</w:t>
      </w:r>
      <w:r w:rsidR="0472D149">
        <w:t xml:space="preserve">, increasing or decreasing </w:t>
      </w:r>
      <w:r w:rsidR="008808C3">
        <w:t>G</w:t>
      </w:r>
      <w:r w:rsidR="0472D149">
        <w:t xml:space="preserve">overnment revenues accordingly. </w:t>
      </w:r>
    </w:p>
    <w:p w14:paraId="7E38D7D7" w14:textId="3EA82BF2" w:rsidR="00F6349D" w:rsidRDefault="7CB85366" w:rsidP="00D75D75">
      <w:pPr>
        <w:pStyle w:val="BodyText"/>
      </w:pPr>
      <w:r>
        <w:t>T</w:t>
      </w:r>
      <w:r w:rsidR="0472D149">
        <w:t xml:space="preserve">he Government’s own </w:t>
      </w:r>
      <w:r w:rsidR="6AFA0F64">
        <w:t>forecast assumptions</w:t>
      </w:r>
      <w:r w:rsidR="0472D149">
        <w:t xml:space="preserve"> for key macroeconomic variables across the Budget and forward estimates (as set out in </w:t>
      </w:r>
      <w:r w:rsidR="00A26676" w:rsidRPr="00951842">
        <w:t>T</w:t>
      </w:r>
      <w:r w:rsidR="70170234" w:rsidRPr="00951842">
        <w:t>able</w:t>
      </w:r>
      <w:r w:rsidR="0472D149" w:rsidRPr="00951842">
        <w:t xml:space="preserve"> </w:t>
      </w:r>
      <w:r w:rsidR="00E85079" w:rsidRPr="00951842">
        <w:t>B.1</w:t>
      </w:r>
      <w:r w:rsidR="70170234">
        <w:t xml:space="preserve"> below</w:t>
      </w:r>
      <w:r w:rsidR="0472D149">
        <w:t xml:space="preserve">) are used </w:t>
      </w:r>
      <w:r w:rsidR="009A457A">
        <w:t xml:space="preserve">to inform </w:t>
      </w:r>
      <w:r w:rsidR="00963BA9">
        <w:t xml:space="preserve">the revenue </w:t>
      </w:r>
      <w:r w:rsidR="0472D149">
        <w:t>forecast</w:t>
      </w:r>
      <w:r w:rsidR="00AC0369">
        <w:t>s</w:t>
      </w:r>
      <w:r w:rsidR="0D6635C6">
        <w:t>.</w:t>
      </w:r>
    </w:p>
    <w:p w14:paraId="29EC1513" w14:textId="627A31E8" w:rsidR="008B0B23" w:rsidRDefault="3E87FA7A" w:rsidP="00D75D75">
      <w:pPr>
        <w:pStyle w:val="BodyText"/>
        <w:rPr>
          <w:rFonts w:eastAsia="Arial"/>
        </w:rPr>
      </w:pPr>
      <w:r>
        <w:t xml:space="preserve">The forecasts prepared for the Budget </w:t>
      </w:r>
      <w:r w:rsidR="6A0DC76B">
        <w:t>are</w:t>
      </w:r>
      <w:r>
        <w:t xml:space="preserve"> based </w:t>
      </w:r>
      <w:r w:rsidR="021DE3E5">
        <w:t>on</w:t>
      </w:r>
      <w:r w:rsidR="5079A8E1">
        <w:t xml:space="preserve"> the </w:t>
      </w:r>
      <w:r w:rsidR="00691607">
        <w:t>latest available information</w:t>
      </w:r>
      <w:r w:rsidR="3775BB3B">
        <w:t>. These forecasts</w:t>
      </w:r>
      <w:r w:rsidR="00691607">
        <w:t xml:space="preserve"> </w:t>
      </w:r>
      <w:r w:rsidR="0016755A">
        <w:t>are</w:t>
      </w:r>
      <w:r w:rsidR="00691607">
        <w:t xml:space="preserve"> predictions about the future</w:t>
      </w:r>
      <w:r w:rsidR="5544E940">
        <w:t xml:space="preserve"> </w:t>
      </w:r>
      <w:r w:rsidR="3AA429B9">
        <w:t>and the ultimate results may</w:t>
      </w:r>
      <w:r w:rsidR="00520116">
        <w:t xml:space="preserve"> change</w:t>
      </w:r>
      <w:r w:rsidR="1389ADC1">
        <w:t xml:space="preserve"> </w:t>
      </w:r>
      <w:r w:rsidR="4F2D3758">
        <w:t xml:space="preserve">as </w:t>
      </w:r>
      <w:r w:rsidR="3AA429B9">
        <w:t xml:space="preserve">unknown </w:t>
      </w:r>
      <w:r w:rsidR="4F2D3758">
        <w:t>events unfold</w:t>
      </w:r>
      <w:r w:rsidR="74102405">
        <w:t>.</w:t>
      </w:r>
      <w:r w:rsidR="1389ADC1">
        <w:t xml:space="preserve"> </w:t>
      </w:r>
      <w:r w:rsidR="1389ADC1" w:rsidRPr="701AF562">
        <w:rPr>
          <w:rFonts w:eastAsia="Arial"/>
        </w:rPr>
        <w:t xml:space="preserve">The extent of </w:t>
      </w:r>
      <w:r w:rsidR="009621E9" w:rsidRPr="701AF562">
        <w:rPr>
          <w:rFonts w:eastAsia="Arial"/>
        </w:rPr>
        <w:t>variation</w:t>
      </w:r>
      <w:r w:rsidR="1389ADC1" w:rsidRPr="701AF562">
        <w:rPr>
          <w:rFonts w:eastAsia="Arial"/>
        </w:rPr>
        <w:t xml:space="preserve"> will depend on the weighting accorded to each macroeconomic variable when forecasting the tax head in question. Table </w:t>
      </w:r>
      <w:r w:rsidR="1389ADC1" w:rsidRPr="00951842">
        <w:rPr>
          <w:rFonts w:eastAsia="Arial"/>
        </w:rPr>
        <w:t>B.</w:t>
      </w:r>
      <w:r w:rsidR="00DE1A4D" w:rsidRPr="00951842">
        <w:rPr>
          <w:rFonts w:eastAsia="Arial"/>
        </w:rPr>
        <w:t>2</w:t>
      </w:r>
      <w:r w:rsidR="1389ADC1" w:rsidRPr="701AF562">
        <w:rPr>
          <w:rFonts w:eastAsia="Arial"/>
        </w:rPr>
        <w:t xml:space="preserve"> summarises these weightings</w:t>
      </w:r>
      <w:r w:rsidR="002238C8" w:rsidRPr="701AF562">
        <w:rPr>
          <w:rFonts w:eastAsia="Arial"/>
        </w:rPr>
        <w:t>:</w:t>
      </w:r>
    </w:p>
    <w:p w14:paraId="1DC662F4" w14:textId="77777777" w:rsidR="002E535F" w:rsidRDefault="002E535F">
      <w:pPr>
        <w:spacing w:after="200" w:line="276" w:lineRule="auto"/>
        <w:rPr>
          <w:rFonts w:ascii="Arial" w:eastAsia="Arial" w:hAnsi="Arial"/>
          <w:bCs/>
          <w:i/>
          <w:color w:val="4F4F4F"/>
          <w:kern w:val="28"/>
          <w:sz w:val="22"/>
          <w:szCs w:val="22"/>
        </w:rPr>
      </w:pPr>
      <w:r>
        <w:rPr>
          <w:rFonts w:eastAsia="Arial"/>
        </w:rPr>
        <w:br w:type="page"/>
      </w:r>
    </w:p>
    <w:p w14:paraId="4072B905" w14:textId="3A5D0645" w:rsidR="5A59D65B" w:rsidRDefault="58703C71" w:rsidP="00167430">
      <w:pPr>
        <w:pStyle w:val="Table4X"/>
      </w:pPr>
      <w:r w:rsidRPr="5BBA932E">
        <w:rPr>
          <w:rFonts w:eastAsia="Arial"/>
        </w:rPr>
        <w:lastRenderedPageBreak/>
        <w:t>Forecasting revenue –</w:t>
      </w:r>
      <w:r w:rsidR="00B12640">
        <w:rPr>
          <w:rFonts w:eastAsia="Arial"/>
        </w:rPr>
        <w:t>W</w:t>
      </w:r>
      <w:r w:rsidRPr="5BBA932E">
        <w:rPr>
          <w:rFonts w:eastAsia="Arial"/>
        </w:rPr>
        <w:t>hat</w:t>
      </w:r>
      <w:r w:rsidR="008B0B23">
        <w:rPr>
          <w:rFonts w:eastAsia="Arial"/>
        </w:rPr>
        <w:t xml:space="preserve"> weighting </w:t>
      </w:r>
      <w:r w:rsidRPr="5BBA932E">
        <w:rPr>
          <w:rFonts w:eastAsia="Arial"/>
        </w:rPr>
        <w:t xml:space="preserve">is </w:t>
      </w:r>
      <w:r w:rsidR="008B0B23">
        <w:rPr>
          <w:rFonts w:eastAsia="Arial"/>
        </w:rPr>
        <w:t xml:space="preserve">given to </w:t>
      </w:r>
      <w:r w:rsidRPr="5BBA932E">
        <w:rPr>
          <w:rFonts w:eastAsia="Arial"/>
        </w:rPr>
        <w:t>different</w:t>
      </w:r>
      <w:r w:rsidR="008B0B23">
        <w:rPr>
          <w:rFonts w:eastAsia="Arial"/>
        </w:rPr>
        <w:t xml:space="preserve"> variables</w:t>
      </w:r>
    </w:p>
    <w:tbl>
      <w:tblPr>
        <w:tblW w:w="9640" w:type="dxa"/>
        <w:tblLayout w:type="fixed"/>
        <w:tblLook w:val="06A0" w:firstRow="1" w:lastRow="0" w:firstColumn="1" w:lastColumn="0" w:noHBand="1" w:noVBand="1"/>
        <w:tblCaption w:val="Table B.1: Forecasting revenue –What weighting is given to different variables"/>
        <w:tblDescription w:val="Table B.1: Forecasting revenue –What weighting is given to different variables"/>
      </w:tblPr>
      <w:tblGrid>
        <w:gridCol w:w="1701"/>
        <w:gridCol w:w="1013"/>
        <w:gridCol w:w="1154"/>
        <w:gridCol w:w="1154"/>
        <w:gridCol w:w="1155"/>
        <w:gridCol w:w="1154"/>
        <w:gridCol w:w="1154"/>
        <w:gridCol w:w="1155"/>
      </w:tblGrid>
      <w:tr w:rsidR="56C3D4F7" w14:paraId="56D494C3" w14:textId="77777777" w:rsidTr="000C6B57">
        <w:trPr>
          <w:trHeight w:val="283"/>
        </w:trPr>
        <w:tc>
          <w:tcPr>
            <w:tcW w:w="1701" w:type="dxa"/>
            <w:shd w:val="clear" w:color="auto" w:fill="00426F"/>
          </w:tcPr>
          <w:p w14:paraId="33C0BE3E" w14:textId="2378B2DB" w:rsidR="56C3D4F7" w:rsidRPr="00F443AF" w:rsidRDefault="56C3D4F7" w:rsidP="56C3D4F7">
            <w:pPr>
              <w:rPr>
                <w:rFonts w:ascii="Arial" w:eastAsia="Arial" w:hAnsi="Arial" w:cs="Arial"/>
                <w:sz w:val="18"/>
                <w:szCs w:val="18"/>
              </w:rPr>
            </w:pPr>
          </w:p>
        </w:tc>
        <w:tc>
          <w:tcPr>
            <w:tcW w:w="7939" w:type="dxa"/>
            <w:gridSpan w:val="7"/>
            <w:shd w:val="clear" w:color="auto" w:fill="00426F"/>
            <w:vAlign w:val="bottom"/>
          </w:tcPr>
          <w:p w14:paraId="367C6013" w14:textId="1F366F01" w:rsidR="56C3D4F7" w:rsidRPr="00F443AF" w:rsidRDefault="56C3D4F7" w:rsidP="004B34E0">
            <w:pPr>
              <w:jc w:val="center"/>
              <w:rPr>
                <w:rFonts w:ascii="Arial" w:eastAsia="Arial" w:hAnsi="Arial" w:cs="Arial"/>
                <w:color w:val="FFFFFF" w:themeColor="background1"/>
                <w:sz w:val="18"/>
                <w:szCs w:val="18"/>
              </w:rPr>
            </w:pPr>
            <w:r w:rsidRPr="00F443AF">
              <w:rPr>
                <w:rFonts w:ascii="Arial" w:eastAsia="Arial" w:hAnsi="Arial" w:cs="Arial"/>
                <w:color w:val="FFFFFF" w:themeColor="background1"/>
                <w:sz w:val="18"/>
                <w:szCs w:val="18"/>
              </w:rPr>
              <w:t>Forecast weightings</w:t>
            </w:r>
          </w:p>
        </w:tc>
      </w:tr>
      <w:tr w:rsidR="56C3D4F7" w14:paraId="5F9A0BD0" w14:textId="77777777" w:rsidTr="000C6B57">
        <w:trPr>
          <w:trHeight w:val="752"/>
        </w:trPr>
        <w:tc>
          <w:tcPr>
            <w:tcW w:w="1701" w:type="dxa"/>
            <w:shd w:val="clear" w:color="auto" w:fill="008EBA"/>
          </w:tcPr>
          <w:p w14:paraId="7B35B251" w14:textId="13424DFC" w:rsidR="56C3D4F7" w:rsidRPr="00F443AF" w:rsidRDefault="56C3D4F7">
            <w:pPr>
              <w:rPr>
                <w:sz w:val="18"/>
                <w:szCs w:val="18"/>
              </w:rPr>
            </w:pPr>
            <w:r w:rsidRPr="00F443AF">
              <w:rPr>
                <w:rFonts w:ascii="Arial" w:eastAsia="Arial" w:hAnsi="Arial" w:cs="Arial"/>
                <w:sz w:val="18"/>
                <w:szCs w:val="18"/>
              </w:rPr>
              <w:t xml:space="preserve"> </w:t>
            </w:r>
          </w:p>
        </w:tc>
        <w:tc>
          <w:tcPr>
            <w:tcW w:w="1013" w:type="dxa"/>
            <w:shd w:val="clear" w:color="auto" w:fill="008EBA"/>
            <w:vAlign w:val="center"/>
          </w:tcPr>
          <w:p w14:paraId="46B5841E" w14:textId="7BBC317E" w:rsidR="56C3D4F7" w:rsidRPr="00F443AF" w:rsidRDefault="56C3D4F7" w:rsidP="004B34E0">
            <w:pPr>
              <w:jc w:val="center"/>
              <w:rPr>
                <w:rFonts w:ascii="Arial" w:eastAsia="Arial" w:hAnsi="Arial" w:cs="Arial"/>
                <w:color w:val="FFFFFF" w:themeColor="background1"/>
                <w:sz w:val="18"/>
                <w:szCs w:val="18"/>
              </w:rPr>
            </w:pPr>
            <w:r w:rsidRPr="00F443AF">
              <w:rPr>
                <w:rFonts w:ascii="Arial" w:eastAsia="Arial" w:hAnsi="Arial" w:cs="Arial"/>
                <w:color w:val="FFFFFF" w:themeColor="background1"/>
                <w:sz w:val="18"/>
                <w:szCs w:val="18"/>
              </w:rPr>
              <w:t>GST</w:t>
            </w:r>
          </w:p>
        </w:tc>
        <w:tc>
          <w:tcPr>
            <w:tcW w:w="1154" w:type="dxa"/>
            <w:shd w:val="clear" w:color="auto" w:fill="008EBA"/>
            <w:vAlign w:val="center"/>
          </w:tcPr>
          <w:p w14:paraId="6EE60744" w14:textId="02232663" w:rsidR="56C3D4F7" w:rsidRPr="00F443AF" w:rsidRDefault="56C3D4F7" w:rsidP="004B34E0">
            <w:pPr>
              <w:jc w:val="center"/>
              <w:rPr>
                <w:rFonts w:ascii="Arial" w:eastAsia="Arial" w:hAnsi="Arial" w:cs="Arial"/>
                <w:color w:val="FFFFFF" w:themeColor="background1"/>
                <w:sz w:val="18"/>
                <w:szCs w:val="18"/>
              </w:rPr>
            </w:pPr>
            <w:r w:rsidRPr="00F443AF">
              <w:rPr>
                <w:rFonts w:ascii="Arial" w:eastAsia="Arial" w:hAnsi="Arial" w:cs="Arial"/>
                <w:color w:val="FFFFFF" w:themeColor="background1"/>
                <w:sz w:val="18"/>
                <w:szCs w:val="18"/>
              </w:rPr>
              <w:t>Payroll tax</w:t>
            </w:r>
          </w:p>
        </w:tc>
        <w:tc>
          <w:tcPr>
            <w:tcW w:w="1154" w:type="dxa"/>
            <w:shd w:val="clear" w:color="auto" w:fill="008EBA"/>
            <w:vAlign w:val="center"/>
          </w:tcPr>
          <w:p w14:paraId="23BD1C75" w14:textId="5FF55263" w:rsidR="56C3D4F7" w:rsidRPr="00F443AF" w:rsidRDefault="56C3D4F7" w:rsidP="004B34E0">
            <w:pPr>
              <w:jc w:val="center"/>
              <w:rPr>
                <w:rFonts w:ascii="Arial" w:eastAsia="Arial" w:hAnsi="Arial" w:cs="Arial"/>
                <w:color w:val="FFFFFF" w:themeColor="background1"/>
                <w:sz w:val="18"/>
                <w:szCs w:val="18"/>
              </w:rPr>
            </w:pPr>
            <w:r w:rsidRPr="00F443AF">
              <w:rPr>
                <w:rFonts w:ascii="Arial" w:eastAsia="Arial" w:hAnsi="Arial" w:cs="Arial"/>
                <w:color w:val="FFFFFF" w:themeColor="background1"/>
                <w:sz w:val="18"/>
                <w:szCs w:val="18"/>
              </w:rPr>
              <w:t>Transfer duty</w:t>
            </w:r>
          </w:p>
        </w:tc>
        <w:tc>
          <w:tcPr>
            <w:tcW w:w="1155" w:type="dxa"/>
            <w:shd w:val="clear" w:color="auto" w:fill="008EBA"/>
            <w:vAlign w:val="center"/>
          </w:tcPr>
          <w:p w14:paraId="34BC552E" w14:textId="1A642F74" w:rsidR="56C3D4F7" w:rsidRPr="00F443AF" w:rsidRDefault="56C3D4F7" w:rsidP="004B34E0">
            <w:pPr>
              <w:jc w:val="center"/>
              <w:rPr>
                <w:rFonts w:ascii="Arial" w:eastAsia="Arial" w:hAnsi="Arial" w:cs="Arial"/>
                <w:color w:val="FFFFFF" w:themeColor="background1"/>
                <w:sz w:val="18"/>
                <w:szCs w:val="18"/>
              </w:rPr>
            </w:pPr>
            <w:r w:rsidRPr="00F443AF">
              <w:rPr>
                <w:rFonts w:ascii="Arial" w:eastAsia="Arial" w:hAnsi="Arial" w:cs="Arial"/>
                <w:color w:val="FFFFFF" w:themeColor="background1"/>
                <w:sz w:val="18"/>
                <w:szCs w:val="18"/>
              </w:rPr>
              <w:t>Mineral royalties</w:t>
            </w:r>
          </w:p>
        </w:tc>
        <w:tc>
          <w:tcPr>
            <w:tcW w:w="1154" w:type="dxa"/>
            <w:shd w:val="clear" w:color="auto" w:fill="008EBA"/>
            <w:vAlign w:val="center"/>
          </w:tcPr>
          <w:p w14:paraId="4CD1F8F6" w14:textId="1C44F67E" w:rsidR="56C3D4F7" w:rsidRPr="00F443AF" w:rsidRDefault="56C3D4F7" w:rsidP="004B34E0">
            <w:pPr>
              <w:jc w:val="center"/>
              <w:rPr>
                <w:rFonts w:ascii="Arial" w:eastAsia="Arial" w:hAnsi="Arial" w:cs="Arial"/>
                <w:color w:val="FFFFFF" w:themeColor="background1"/>
                <w:sz w:val="18"/>
                <w:szCs w:val="18"/>
              </w:rPr>
            </w:pPr>
            <w:r w:rsidRPr="00F443AF">
              <w:rPr>
                <w:rFonts w:ascii="Arial" w:eastAsia="Arial" w:hAnsi="Arial" w:cs="Arial"/>
                <w:color w:val="FFFFFF" w:themeColor="background1"/>
                <w:sz w:val="18"/>
                <w:szCs w:val="18"/>
              </w:rPr>
              <w:t>Land tax</w:t>
            </w:r>
          </w:p>
        </w:tc>
        <w:tc>
          <w:tcPr>
            <w:tcW w:w="1154" w:type="dxa"/>
            <w:shd w:val="clear" w:color="auto" w:fill="008EBA"/>
            <w:vAlign w:val="center"/>
          </w:tcPr>
          <w:p w14:paraId="3F5C2967" w14:textId="32A463C7" w:rsidR="56C3D4F7" w:rsidRPr="00F443AF" w:rsidRDefault="56C3D4F7" w:rsidP="004B34E0">
            <w:pPr>
              <w:jc w:val="center"/>
              <w:rPr>
                <w:rFonts w:ascii="Arial" w:eastAsia="Arial" w:hAnsi="Arial" w:cs="Arial"/>
                <w:color w:val="FFFFFF" w:themeColor="background1"/>
                <w:sz w:val="18"/>
                <w:szCs w:val="18"/>
              </w:rPr>
            </w:pPr>
            <w:r w:rsidRPr="00F443AF">
              <w:rPr>
                <w:rFonts w:ascii="Arial" w:eastAsia="Arial" w:hAnsi="Arial" w:cs="Arial"/>
                <w:color w:val="FFFFFF" w:themeColor="background1"/>
                <w:sz w:val="18"/>
                <w:szCs w:val="18"/>
              </w:rPr>
              <w:t>Gambling taxes</w:t>
            </w:r>
          </w:p>
        </w:tc>
        <w:tc>
          <w:tcPr>
            <w:tcW w:w="1155" w:type="dxa"/>
            <w:shd w:val="clear" w:color="auto" w:fill="008EBA"/>
            <w:vAlign w:val="center"/>
          </w:tcPr>
          <w:p w14:paraId="7BE8070F" w14:textId="33A7A0FF" w:rsidR="56C3D4F7" w:rsidRPr="00F443AF" w:rsidRDefault="56C3D4F7" w:rsidP="004B34E0">
            <w:pPr>
              <w:jc w:val="center"/>
              <w:rPr>
                <w:rFonts w:ascii="Arial" w:eastAsia="Arial" w:hAnsi="Arial" w:cs="Arial"/>
                <w:color w:val="FFFFFF" w:themeColor="background1"/>
                <w:sz w:val="18"/>
                <w:szCs w:val="18"/>
              </w:rPr>
            </w:pPr>
            <w:r w:rsidRPr="00F443AF">
              <w:rPr>
                <w:rFonts w:ascii="Arial" w:eastAsia="Arial" w:hAnsi="Arial" w:cs="Arial"/>
                <w:color w:val="FFFFFF" w:themeColor="background1"/>
                <w:sz w:val="18"/>
                <w:szCs w:val="18"/>
              </w:rPr>
              <w:t>Motor vehicle taxes</w:t>
            </w:r>
          </w:p>
        </w:tc>
      </w:tr>
      <w:tr w:rsidR="56C3D4F7" w14:paraId="4A50B186" w14:textId="77777777" w:rsidTr="000C6B57">
        <w:trPr>
          <w:trHeight w:val="283"/>
        </w:trPr>
        <w:tc>
          <w:tcPr>
            <w:tcW w:w="1701" w:type="dxa"/>
            <w:vAlign w:val="center"/>
          </w:tcPr>
          <w:p w14:paraId="00BD7105" w14:textId="4B6B96F4" w:rsidR="56C3D4F7" w:rsidRPr="00F443AF" w:rsidRDefault="56C3D4F7" w:rsidP="000C6B57">
            <w:pPr>
              <w:rPr>
                <w:rFonts w:ascii="Arial" w:hAnsi="Arial" w:cs="Arial"/>
                <w:sz w:val="18"/>
                <w:szCs w:val="18"/>
              </w:rPr>
            </w:pPr>
            <w:r w:rsidRPr="00F443AF">
              <w:rPr>
                <w:rFonts w:ascii="Arial" w:eastAsia="Arial" w:hAnsi="Arial" w:cs="Arial"/>
                <w:sz w:val="18"/>
                <w:szCs w:val="18"/>
              </w:rPr>
              <w:t>Employment</w:t>
            </w:r>
          </w:p>
        </w:tc>
        <w:tc>
          <w:tcPr>
            <w:tcW w:w="1013" w:type="dxa"/>
            <w:vAlign w:val="center"/>
          </w:tcPr>
          <w:p w14:paraId="56782BDC" w14:textId="3AD6728A" w:rsidR="56C3D4F7" w:rsidRPr="00F443AF" w:rsidRDefault="56C3D4F7" w:rsidP="000C6B57">
            <w:pPr>
              <w:jc w:val="center"/>
              <w:rPr>
                <w:rFonts w:ascii="Arial" w:eastAsia="Arial" w:hAnsi="Arial" w:cs="Arial"/>
                <w:sz w:val="18"/>
                <w:szCs w:val="18"/>
              </w:rPr>
            </w:pPr>
            <w:r w:rsidRPr="00F443AF">
              <w:rPr>
                <w:rFonts w:ascii="Arial" w:eastAsia="Arial" w:hAnsi="Arial" w:cs="Arial"/>
                <w:sz w:val="18"/>
                <w:szCs w:val="18"/>
              </w:rPr>
              <w:t>Medium</w:t>
            </w:r>
          </w:p>
        </w:tc>
        <w:tc>
          <w:tcPr>
            <w:tcW w:w="1154" w:type="dxa"/>
            <w:vAlign w:val="center"/>
          </w:tcPr>
          <w:p w14:paraId="6856E300" w14:textId="7A3D09A8" w:rsidR="56C3D4F7" w:rsidRPr="00F443AF" w:rsidRDefault="56C3D4F7" w:rsidP="000C6B57">
            <w:pPr>
              <w:jc w:val="center"/>
              <w:rPr>
                <w:rFonts w:ascii="Arial" w:eastAsia="Arial" w:hAnsi="Arial" w:cs="Arial"/>
                <w:b/>
                <w:sz w:val="18"/>
                <w:szCs w:val="18"/>
              </w:rPr>
            </w:pPr>
            <w:r w:rsidRPr="00F443AF">
              <w:rPr>
                <w:rFonts w:ascii="Arial" w:eastAsia="Arial" w:hAnsi="Arial" w:cs="Arial"/>
                <w:b/>
                <w:sz w:val="18"/>
                <w:szCs w:val="18"/>
              </w:rPr>
              <w:t>High</w:t>
            </w:r>
          </w:p>
        </w:tc>
        <w:tc>
          <w:tcPr>
            <w:tcW w:w="1154" w:type="dxa"/>
            <w:vAlign w:val="center"/>
          </w:tcPr>
          <w:p w14:paraId="42B08490" w14:textId="6B0CE37C" w:rsidR="56C3D4F7" w:rsidRPr="00F443AF" w:rsidRDefault="56C3D4F7" w:rsidP="000C6B57">
            <w:pPr>
              <w:jc w:val="center"/>
              <w:rPr>
                <w:rFonts w:ascii="Arial" w:eastAsia="Arial" w:hAnsi="Arial" w:cs="Arial"/>
                <w:sz w:val="18"/>
                <w:szCs w:val="18"/>
              </w:rPr>
            </w:pPr>
            <w:r w:rsidRPr="00F443AF">
              <w:rPr>
                <w:rFonts w:ascii="Arial" w:eastAsia="Arial" w:hAnsi="Arial" w:cs="Arial"/>
                <w:sz w:val="18"/>
                <w:szCs w:val="18"/>
              </w:rPr>
              <w:t>N/A</w:t>
            </w:r>
          </w:p>
        </w:tc>
        <w:tc>
          <w:tcPr>
            <w:tcW w:w="1155" w:type="dxa"/>
            <w:vAlign w:val="center"/>
          </w:tcPr>
          <w:p w14:paraId="7D3DB95E" w14:textId="7802B170" w:rsidR="56C3D4F7" w:rsidRPr="00F443AF" w:rsidRDefault="56C3D4F7" w:rsidP="000C6B57">
            <w:pPr>
              <w:jc w:val="center"/>
              <w:rPr>
                <w:rFonts w:ascii="Arial" w:eastAsia="Calibri" w:hAnsi="Arial" w:cs="Arial"/>
                <w:sz w:val="18"/>
                <w:szCs w:val="18"/>
              </w:rPr>
            </w:pPr>
            <w:r w:rsidRPr="00F443AF">
              <w:rPr>
                <w:rFonts w:ascii="Arial" w:eastAsia="Arial" w:hAnsi="Arial" w:cs="Arial"/>
                <w:sz w:val="18"/>
                <w:szCs w:val="18"/>
              </w:rPr>
              <w:t>N</w:t>
            </w:r>
            <w:r w:rsidRPr="00F443AF">
              <w:rPr>
                <w:rFonts w:ascii="Arial" w:eastAsia="Calibri" w:hAnsi="Arial" w:cs="Arial"/>
                <w:sz w:val="18"/>
                <w:szCs w:val="18"/>
              </w:rPr>
              <w:t>/A</w:t>
            </w:r>
          </w:p>
        </w:tc>
        <w:tc>
          <w:tcPr>
            <w:tcW w:w="1154" w:type="dxa"/>
            <w:vAlign w:val="center"/>
          </w:tcPr>
          <w:p w14:paraId="05120AA7" w14:textId="55B31FC4" w:rsidR="56C3D4F7" w:rsidRPr="00F443AF" w:rsidRDefault="56C3D4F7" w:rsidP="000C6B57">
            <w:pPr>
              <w:jc w:val="center"/>
              <w:rPr>
                <w:rFonts w:ascii="Arial" w:eastAsia="Arial" w:hAnsi="Arial" w:cs="Arial"/>
                <w:sz w:val="18"/>
                <w:szCs w:val="18"/>
              </w:rPr>
            </w:pPr>
            <w:r w:rsidRPr="00F443AF">
              <w:rPr>
                <w:rFonts w:ascii="Arial" w:eastAsia="Arial" w:hAnsi="Arial" w:cs="Arial"/>
                <w:sz w:val="18"/>
                <w:szCs w:val="18"/>
              </w:rPr>
              <w:t>N/A</w:t>
            </w:r>
          </w:p>
        </w:tc>
        <w:tc>
          <w:tcPr>
            <w:tcW w:w="1154" w:type="dxa"/>
            <w:vAlign w:val="center"/>
          </w:tcPr>
          <w:p w14:paraId="3980FE3E" w14:textId="421154D1" w:rsidR="56C3D4F7" w:rsidRPr="00F443AF" w:rsidRDefault="56C3D4F7" w:rsidP="000C6B57">
            <w:pPr>
              <w:jc w:val="center"/>
              <w:rPr>
                <w:rFonts w:ascii="Arial" w:eastAsia="Arial" w:hAnsi="Arial" w:cs="Arial"/>
                <w:sz w:val="18"/>
                <w:szCs w:val="18"/>
              </w:rPr>
            </w:pPr>
            <w:r w:rsidRPr="00F443AF">
              <w:rPr>
                <w:rFonts w:ascii="Arial" w:eastAsia="Arial" w:hAnsi="Arial" w:cs="Arial"/>
                <w:sz w:val="18"/>
                <w:szCs w:val="18"/>
              </w:rPr>
              <w:t>Medium</w:t>
            </w:r>
          </w:p>
        </w:tc>
        <w:tc>
          <w:tcPr>
            <w:tcW w:w="1155" w:type="dxa"/>
            <w:vAlign w:val="center"/>
          </w:tcPr>
          <w:p w14:paraId="77F0DC71" w14:textId="4C0FE424" w:rsidR="56C3D4F7" w:rsidRPr="00F443AF" w:rsidRDefault="56C3D4F7" w:rsidP="000C6B57">
            <w:pPr>
              <w:jc w:val="center"/>
              <w:rPr>
                <w:rFonts w:ascii="Arial" w:eastAsia="Arial" w:hAnsi="Arial" w:cs="Arial"/>
                <w:b/>
                <w:sz w:val="18"/>
                <w:szCs w:val="18"/>
              </w:rPr>
            </w:pPr>
            <w:r w:rsidRPr="00F443AF">
              <w:rPr>
                <w:rFonts w:ascii="Arial" w:eastAsia="Arial" w:hAnsi="Arial" w:cs="Arial"/>
                <w:b/>
                <w:sz w:val="18"/>
                <w:szCs w:val="18"/>
              </w:rPr>
              <w:t>High</w:t>
            </w:r>
          </w:p>
        </w:tc>
      </w:tr>
      <w:tr w:rsidR="56C3D4F7" w14:paraId="13C4380C" w14:textId="77777777" w:rsidTr="000C6B57">
        <w:trPr>
          <w:trHeight w:val="283"/>
        </w:trPr>
        <w:tc>
          <w:tcPr>
            <w:tcW w:w="1701" w:type="dxa"/>
            <w:vAlign w:val="center"/>
          </w:tcPr>
          <w:p w14:paraId="7C5D9ED0" w14:textId="35BDF553" w:rsidR="56C3D4F7" w:rsidRPr="00F443AF" w:rsidRDefault="56C3D4F7" w:rsidP="000C6B57">
            <w:pPr>
              <w:rPr>
                <w:rFonts w:ascii="Arial" w:hAnsi="Arial" w:cs="Arial"/>
                <w:sz w:val="18"/>
                <w:szCs w:val="18"/>
              </w:rPr>
            </w:pPr>
            <w:r w:rsidRPr="00F443AF">
              <w:rPr>
                <w:rFonts w:ascii="Arial" w:eastAsia="Arial" w:hAnsi="Arial" w:cs="Arial"/>
                <w:sz w:val="18"/>
                <w:szCs w:val="18"/>
              </w:rPr>
              <w:t>Wages</w:t>
            </w:r>
          </w:p>
        </w:tc>
        <w:tc>
          <w:tcPr>
            <w:tcW w:w="1013" w:type="dxa"/>
            <w:vAlign w:val="center"/>
          </w:tcPr>
          <w:p w14:paraId="3A53EF37" w14:textId="1D6DBFE5" w:rsidR="56C3D4F7" w:rsidRPr="00F443AF" w:rsidRDefault="56C3D4F7" w:rsidP="000C6B57">
            <w:pPr>
              <w:jc w:val="center"/>
              <w:rPr>
                <w:rFonts w:ascii="Arial" w:eastAsia="Arial" w:hAnsi="Arial" w:cs="Arial"/>
                <w:sz w:val="18"/>
                <w:szCs w:val="18"/>
              </w:rPr>
            </w:pPr>
            <w:r w:rsidRPr="00F443AF">
              <w:rPr>
                <w:rFonts w:ascii="Arial" w:eastAsia="Arial" w:hAnsi="Arial" w:cs="Arial"/>
                <w:sz w:val="18"/>
                <w:szCs w:val="18"/>
              </w:rPr>
              <w:t>Medium</w:t>
            </w:r>
          </w:p>
        </w:tc>
        <w:tc>
          <w:tcPr>
            <w:tcW w:w="1154" w:type="dxa"/>
            <w:vAlign w:val="center"/>
          </w:tcPr>
          <w:p w14:paraId="52C52EFA" w14:textId="53C119F0" w:rsidR="56C3D4F7" w:rsidRPr="00F443AF" w:rsidRDefault="56C3D4F7" w:rsidP="000C6B57">
            <w:pPr>
              <w:jc w:val="center"/>
              <w:rPr>
                <w:rFonts w:ascii="Arial" w:eastAsia="Arial" w:hAnsi="Arial" w:cs="Arial"/>
                <w:b/>
                <w:sz w:val="18"/>
                <w:szCs w:val="18"/>
              </w:rPr>
            </w:pPr>
            <w:r w:rsidRPr="00F443AF">
              <w:rPr>
                <w:rFonts w:ascii="Arial" w:eastAsia="Arial" w:hAnsi="Arial" w:cs="Arial"/>
                <w:b/>
                <w:sz w:val="18"/>
                <w:szCs w:val="18"/>
              </w:rPr>
              <w:t>High</w:t>
            </w:r>
          </w:p>
        </w:tc>
        <w:tc>
          <w:tcPr>
            <w:tcW w:w="1154" w:type="dxa"/>
            <w:vAlign w:val="center"/>
          </w:tcPr>
          <w:p w14:paraId="3AC87DA0" w14:textId="1C00A588" w:rsidR="56C3D4F7" w:rsidRPr="00F443AF" w:rsidRDefault="56C3D4F7" w:rsidP="000C6B57">
            <w:pPr>
              <w:jc w:val="center"/>
              <w:rPr>
                <w:rFonts w:ascii="Arial" w:eastAsia="Arial" w:hAnsi="Arial" w:cs="Arial"/>
                <w:sz w:val="18"/>
                <w:szCs w:val="18"/>
              </w:rPr>
            </w:pPr>
            <w:r w:rsidRPr="00F443AF">
              <w:rPr>
                <w:rFonts w:ascii="Arial" w:eastAsia="Arial" w:hAnsi="Arial" w:cs="Arial"/>
                <w:sz w:val="18"/>
                <w:szCs w:val="18"/>
              </w:rPr>
              <w:t>N/A</w:t>
            </w:r>
          </w:p>
        </w:tc>
        <w:tc>
          <w:tcPr>
            <w:tcW w:w="1155" w:type="dxa"/>
            <w:vAlign w:val="center"/>
          </w:tcPr>
          <w:p w14:paraId="59E4138B" w14:textId="72C5BAFE" w:rsidR="56C3D4F7" w:rsidRPr="00F443AF" w:rsidRDefault="56C3D4F7" w:rsidP="000C6B57">
            <w:pPr>
              <w:jc w:val="center"/>
              <w:rPr>
                <w:rFonts w:ascii="Arial" w:eastAsia="Calibri" w:hAnsi="Arial" w:cs="Arial"/>
                <w:sz w:val="18"/>
                <w:szCs w:val="18"/>
              </w:rPr>
            </w:pPr>
            <w:r w:rsidRPr="00F443AF">
              <w:rPr>
                <w:rFonts w:ascii="Arial" w:eastAsia="Arial" w:hAnsi="Arial" w:cs="Arial"/>
                <w:sz w:val="18"/>
                <w:szCs w:val="18"/>
              </w:rPr>
              <w:t>N</w:t>
            </w:r>
            <w:r w:rsidRPr="00F443AF">
              <w:rPr>
                <w:rFonts w:ascii="Arial" w:eastAsia="Calibri" w:hAnsi="Arial" w:cs="Arial"/>
                <w:sz w:val="18"/>
                <w:szCs w:val="18"/>
              </w:rPr>
              <w:t>/A</w:t>
            </w:r>
          </w:p>
        </w:tc>
        <w:tc>
          <w:tcPr>
            <w:tcW w:w="1154" w:type="dxa"/>
            <w:vAlign w:val="center"/>
          </w:tcPr>
          <w:p w14:paraId="7CEBCBB7" w14:textId="760A2EBD" w:rsidR="56C3D4F7" w:rsidRPr="00F443AF" w:rsidRDefault="56C3D4F7" w:rsidP="000C6B57">
            <w:pPr>
              <w:jc w:val="center"/>
              <w:rPr>
                <w:rFonts w:ascii="Arial" w:eastAsia="Arial" w:hAnsi="Arial" w:cs="Arial"/>
                <w:sz w:val="18"/>
                <w:szCs w:val="18"/>
              </w:rPr>
            </w:pPr>
            <w:r w:rsidRPr="00F443AF">
              <w:rPr>
                <w:rFonts w:ascii="Arial" w:eastAsia="Arial" w:hAnsi="Arial" w:cs="Arial"/>
                <w:sz w:val="18"/>
                <w:szCs w:val="18"/>
              </w:rPr>
              <w:t>N/A</w:t>
            </w:r>
          </w:p>
        </w:tc>
        <w:tc>
          <w:tcPr>
            <w:tcW w:w="1154" w:type="dxa"/>
            <w:vAlign w:val="center"/>
          </w:tcPr>
          <w:p w14:paraId="615644F2" w14:textId="0B790199" w:rsidR="56C3D4F7" w:rsidRPr="00F443AF" w:rsidRDefault="56C3D4F7" w:rsidP="000C6B57">
            <w:pPr>
              <w:jc w:val="center"/>
              <w:rPr>
                <w:rFonts w:ascii="Arial" w:eastAsia="Arial" w:hAnsi="Arial" w:cs="Arial"/>
                <w:sz w:val="18"/>
                <w:szCs w:val="18"/>
              </w:rPr>
            </w:pPr>
            <w:r w:rsidRPr="00F443AF">
              <w:rPr>
                <w:rFonts w:ascii="Arial" w:eastAsia="Arial" w:hAnsi="Arial" w:cs="Arial"/>
                <w:sz w:val="18"/>
                <w:szCs w:val="18"/>
              </w:rPr>
              <w:t>Low</w:t>
            </w:r>
          </w:p>
        </w:tc>
        <w:tc>
          <w:tcPr>
            <w:tcW w:w="1155" w:type="dxa"/>
            <w:vAlign w:val="center"/>
          </w:tcPr>
          <w:p w14:paraId="2EB3F3E0" w14:textId="4139D8C5" w:rsidR="56C3D4F7" w:rsidRPr="00F443AF" w:rsidRDefault="56C3D4F7" w:rsidP="000C6B57">
            <w:pPr>
              <w:jc w:val="center"/>
              <w:rPr>
                <w:rFonts w:ascii="Arial" w:eastAsia="Arial" w:hAnsi="Arial" w:cs="Arial"/>
                <w:sz w:val="18"/>
                <w:szCs w:val="18"/>
              </w:rPr>
            </w:pPr>
            <w:r w:rsidRPr="00F443AF">
              <w:rPr>
                <w:rFonts w:ascii="Arial" w:eastAsia="Arial" w:hAnsi="Arial" w:cs="Arial"/>
                <w:sz w:val="18"/>
                <w:szCs w:val="18"/>
              </w:rPr>
              <w:t>Medium</w:t>
            </w:r>
          </w:p>
        </w:tc>
      </w:tr>
      <w:tr w:rsidR="56C3D4F7" w14:paraId="2FAA71ED" w14:textId="77777777" w:rsidTr="000C6B57">
        <w:trPr>
          <w:trHeight w:val="283"/>
        </w:trPr>
        <w:tc>
          <w:tcPr>
            <w:tcW w:w="1701" w:type="dxa"/>
            <w:vAlign w:val="center"/>
          </w:tcPr>
          <w:p w14:paraId="7B94D202" w14:textId="7B81D96E" w:rsidR="56C3D4F7" w:rsidRPr="00F443AF" w:rsidRDefault="56C3D4F7" w:rsidP="000C6B57">
            <w:pPr>
              <w:rPr>
                <w:rFonts w:ascii="Arial" w:hAnsi="Arial" w:cs="Arial"/>
                <w:sz w:val="18"/>
                <w:szCs w:val="18"/>
              </w:rPr>
            </w:pPr>
            <w:r w:rsidRPr="00F443AF">
              <w:rPr>
                <w:rFonts w:ascii="Arial" w:eastAsia="Arial" w:hAnsi="Arial" w:cs="Arial"/>
                <w:sz w:val="18"/>
                <w:szCs w:val="18"/>
              </w:rPr>
              <w:t>Consumption</w:t>
            </w:r>
          </w:p>
        </w:tc>
        <w:tc>
          <w:tcPr>
            <w:tcW w:w="1013" w:type="dxa"/>
            <w:vAlign w:val="center"/>
          </w:tcPr>
          <w:p w14:paraId="6F27E920" w14:textId="1E2B344F" w:rsidR="56C3D4F7" w:rsidRPr="00F443AF" w:rsidRDefault="56C3D4F7" w:rsidP="000C6B57">
            <w:pPr>
              <w:jc w:val="center"/>
              <w:rPr>
                <w:rFonts w:ascii="Arial" w:eastAsia="Arial" w:hAnsi="Arial" w:cs="Arial"/>
                <w:b/>
                <w:sz w:val="18"/>
                <w:szCs w:val="18"/>
              </w:rPr>
            </w:pPr>
            <w:r w:rsidRPr="00F443AF">
              <w:rPr>
                <w:rFonts w:ascii="Arial" w:eastAsia="Arial" w:hAnsi="Arial" w:cs="Arial"/>
                <w:b/>
                <w:sz w:val="18"/>
                <w:szCs w:val="18"/>
              </w:rPr>
              <w:t>High</w:t>
            </w:r>
          </w:p>
        </w:tc>
        <w:tc>
          <w:tcPr>
            <w:tcW w:w="1154" w:type="dxa"/>
            <w:vAlign w:val="center"/>
          </w:tcPr>
          <w:p w14:paraId="66D55535" w14:textId="5180FB98" w:rsidR="56C3D4F7" w:rsidRPr="00F443AF" w:rsidRDefault="56C3D4F7" w:rsidP="000C6B57">
            <w:pPr>
              <w:jc w:val="center"/>
              <w:rPr>
                <w:rFonts w:ascii="Arial" w:eastAsia="Calibri" w:hAnsi="Arial" w:cs="Arial"/>
                <w:sz w:val="18"/>
                <w:szCs w:val="18"/>
              </w:rPr>
            </w:pPr>
            <w:r w:rsidRPr="00F443AF">
              <w:rPr>
                <w:rFonts w:ascii="Arial" w:eastAsia="Arial" w:hAnsi="Arial" w:cs="Arial"/>
                <w:sz w:val="18"/>
                <w:szCs w:val="18"/>
              </w:rPr>
              <w:t>N</w:t>
            </w:r>
            <w:r w:rsidRPr="00F443AF">
              <w:rPr>
                <w:rFonts w:ascii="Arial" w:eastAsia="Calibri" w:hAnsi="Arial" w:cs="Arial"/>
                <w:sz w:val="18"/>
                <w:szCs w:val="18"/>
              </w:rPr>
              <w:t>/A</w:t>
            </w:r>
          </w:p>
        </w:tc>
        <w:tc>
          <w:tcPr>
            <w:tcW w:w="1154" w:type="dxa"/>
            <w:vAlign w:val="center"/>
          </w:tcPr>
          <w:p w14:paraId="1AAC9D5D" w14:textId="2067BF9E" w:rsidR="56C3D4F7" w:rsidRPr="00F443AF" w:rsidRDefault="56C3D4F7" w:rsidP="000C6B57">
            <w:pPr>
              <w:jc w:val="center"/>
              <w:rPr>
                <w:rFonts w:ascii="Arial" w:eastAsia="Arial" w:hAnsi="Arial" w:cs="Arial"/>
                <w:sz w:val="18"/>
                <w:szCs w:val="18"/>
              </w:rPr>
            </w:pPr>
            <w:r w:rsidRPr="00F443AF">
              <w:rPr>
                <w:rFonts w:ascii="Arial" w:eastAsia="Arial" w:hAnsi="Arial" w:cs="Arial"/>
                <w:sz w:val="18"/>
                <w:szCs w:val="18"/>
              </w:rPr>
              <w:t>N/A</w:t>
            </w:r>
          </w:p>
        </w:tc>
        <w:tc>
          <w:tcPr>
            <w:tcW w:w="1155" w:type="dxa"/>
            <w:vAlign w:val="center"/>
          </w:tcPr>
          <w:p w14:paraId="52761EAD" w14:textId="0617F1F0" w:rsidR="56C3D4F7" w:rsidRPr="00F443AF" w:rsidRDefault="56C3D4F7" w:rsidP="000C6B57">
            <w:pPr>
              <w:jc w:val="center"/>
              <w:rPr>
                <w:rFonts w:ascii="Arial" w:eastAsia="Calibri" w:hAnsi="Arial" w:cs="Arial"/>
                <w:sz w:val="18"/>
                <w:szCs w:val="18"/>
              </w:rPr>
            </w:pPr>
            <w:r w:rsidRPr="00F443AF">
              <w:rPr>
                <w:rFonts w:ascii="Arial" w:eastAsia="Arial" w:hAnsi="Arial" w:cs="Arial"/>
                <w:sz w:val="18"/>
                <w:szCs w:val="18"/>
              </w:rPr>
              <w:t>N</w:t>
            </w:r>
            <w:r w:rsidRPr="00F443AF">
              <w:rPr>
                <w:rFonts w:ascii="Arial" w:eastAsia="Calibri" w:hAnsi="Arial" w:cs="Arial"/>
                <w:sz w:val="18"/>
                <w:szCs w:val="18"/>
              </w:rPr>
              <w:t>/A</w:t>
            </w:r>
          </w:p>
        </w:tc>
        <w:tc>
          <w:tcPr>
            <w:tcW w:w="1154" w:type="dxa"/>
            <w:vAlign w:val="center"/>
          </w:tcPr>
          <w:p w14:paraId="096EABA9" w14:textId="1A88BB45" w:rsidR="56C3D4F7" w:rsidRPr="00F443AF" w:rsidRDefault="56C3D4F7" w:rsidP="000C6B57">
            <w:pPr>
              <w:jc w:val="center"/>
              <w:rPr>
                <w:rFonts w:ascii="Arial" w:eastAsia="Arial" w:hAnsi="Arial" w:cs="Arial"/>
                <w:sz w:val="18"/>
                <w:szCs w:val="18"/>
              </w:rPr>
            </w:pPr>
            <w:r w:rsidRPr="00F443AF">
              <w:rPr>
                <w:rFonts w:ascii="Arial" w:eastAsia="Arial" w:hAnsi="Arial" w:cs="Arial"/>
                <w:sz w:val="18"/>
                <w:szCs w:val="18"/>
              </w:rPr>
              <w:t>N/A</w:t>
            </w:r>
          </w:p>
        </w:tc>
        <w:tc>
          <w:tcPr>
            <w:tcW w:w="1154" w:type="dxa"/>
            <w:vAlign w:val="center"/>
          </w:tcPr>
          <w:p w14:paraId="5E739C8B" w14:textId="451CE61C" w:rsidR="56C3D4F7" w:rsidRPr="00F443AF" w:rsidRDefault="56C3D4F7" w:rsidP="000C6B57">
            <w:pPr>
              <w:jc w:val="center"/>
              <w:rPr>
                <w:rFonts w:ascii="Arial" w:eastAsia="Arial" w:hAnsi="Arial" w:cs="Arial"/>
                <w:b/>
                <w:sz w:val="18"/>
                <w:szCs w:val="18"/>
              </w:rPr>
            </w:pPr>
            <w:r w:rsidRPr="00F443AF">
              <w:rPr>
                <w:rFonts w:ascii="Arial" w:eastAsia="Arial" w:hAnsi="Arial" w:cs="Arial"/>
                <w:b/>
                <w:sz w:val="18"/>
                <w:szCs w:val="18"/>
              </w:rPr>
              <w:t>High</w:t>
            </w:r>
          </w:p>
        </w:tc>
        <w:tc>
          <w:tcPr>
            <w:tcW w:w="1155" w:type="dxa"/>
            <w:vAlign w:val="center"/>
          </w:tcPr>
          <w:p w14:paraId="0635E04C" w14:textId="28123484" w:rsidR="56C3D4F7" w:rsidRPr="00F443AF" w:rsidRDefault="56C3D4F7" w:rsidP="000C6B57">
            <w:pPr>
              <w:jc w:val="center"/>
              <w:rPr>
                <w:rFonts w:ascii="Arial" w:eastAsia="Arial" w:hAnsi="Arial" w:cs="Arial"/>
                <w:sz w:val="18"/>
                <w:szCs w:val="18"/>
              </w:rPr>
            </w:pPr>
            <w:r w:rsidRPr="00F443AF">
              <w:rPr>
                <w:rFonts w:ascii="Arial" w:eastAsia="Arial" w:hAnsi="Arial" w:cs="Arial"/>
                <w:sz w:val="18"/>
                <w:szCs w:val="18"/>
              </w:rPr>
              <w:t>Medium</w:t>
            </w:r>
          </w:p>
        </w:tc>
      </w:tr>
      <w:tr w:rsidR="56C3D4F7" w14:paraId="5A12D2CD" w14:textId="77777777" w:rsidTr="000C6B57">
        <w:trPr>
          <w:trHeight w:val="283"/>
        </w:trPr>
        <w:tc>
          <w:tcPr>
            <w:tcW w:w="1701" w:type="dxa"/>
            <w:vAlign w:val="center"/>
          </w:tcPr>
          <w:p w14:paraId="40D66DA4" w14:textId="052EB1D6" w:rsidR="56C3D4F7" w:rsidRPr="00F443AF" w:rsidRDefault="56C3D4F7" w:rsidP="000C6B57">
            <w:pPr>
              <w:rPr>
                <w:rFonts w:ascii="Arial" w:hAnsi="Arial" w:cs="Arial"/>
                <w:sz w:val="18"/>
                <w:szCs w:val="18"/>
              </w:rPr>
            </w:pPr>
            <w:r w:rsidRPr="00F443AF">
              <w:rPr>
                <w:rFonts w:ascii="Arial" w:eastAsia="Arial" w:hAnsi="Arial" w:cs="Arial"/>
                <w:sz w:val="18"/>
                <w:szCs w:val="18"/>
              </w:rPr>
              <w:t>Dwelling investment</w:t>
            </w:r>
          </w:p>
        </w:tc>
        <w:tc>
          <w:tcPr>
            <w:tcW w:w="1013" w:type="dxa"/>
            <w:vAlign w:val="center"/>
          </w:tcPr>
          <w:p w14:paraId="3FA1BCF8" w14:textId="7D90E34E" w:rsidR="56C3D4F7" w:rsidRPr="00F443AF" w:rsidRDefault="56C3D4F7" w:rsidP="000C6B57">
            <w:pPr>
              <w:jc w:val="center"/>
              <w:rPr>
                <w:rFonts w:ascii="Arial" w:eastAsia="Arial" w:hAnsi="Arial" w:cs="Arial"/>
                <w:b/>
                <w:sz w:val="18"/>
                <w:szCs w:val="18"/>
              </w:rPr>
            </w:pPr>
            <w:r w:rsidRPr="00F443AF">
              <w:rPr>
                <w:rFonts w:ascii="Arial" w:eastAsia="Arial" w:hAnsi="Arial" w:cs="Arial"/>
                <w:b/>
                <w:sz w:val="18"/>
                <w:szCs w:val="18"/>
              </w:rPr>
              <w:t>High</w:t>
            </w:r>
          </w:p>
        </w:tc>
        <w:tc>
          <w:tcPr>
            <w:tcW w:w="1154" w:type="dxa"/>
            <w:vAlign w:val="center"/>
          </w:tcPr>
          <w:p w14:paraId="5282B450" w14:textId="1D012465" w:rsidR="56C3D4F7" w:rsidRPr="00F443AF" w:rsidRDefault="56C3D4F7" w:rsidP="000C6B57">
            <w:pPr>
              <w:jc w:val="center"/>
              <w:rPr>
                <w:rFonts w:ascii="Arial" w:eastAsia="Calibri" w:hAnsi="Arial" w:cs="Arial"/>
                <w:sz w:val="18"/>
                <w:szCs w:val="18"/>
              </w:rPr>
            </w:pPr>
            <w:r w:rsidRPr="00F443AF">
              <w:rPr>
                <w:rFonts w:ascii="Arial" w:eastAsia="Arial" w:hAnsi="Arial" w:cs="Arial"/>
                <w:sz w:val="18"/>
                <w:szCs w:val="18"/>
              </w:rPr>
              <w:t>N</w:t>
            </w:r>
            <w:r w:rsidRPr="00F443AF">
              <w:rPr>
                <w:rFonts w:ascii="Arial" w:eastAsia="Calibri" w:hAnsi="Arial" w:cs="Arial"/>
                <w:sz w:val="18"/>
                <w:szCs w:val="18"/>
              </w:rPr>
              <w:t>/A</w:t>
            </w:r>
          </w:p>
        </w:tc>
        <w:tc>
          <w:tcPr>
            <w:tcW w:w="1154" w:type="dxa"/>
            <w:vAlign w:val="center"/>
          </w:tcPr>
          <w:p w14:paraId="1BEDC2CE" w14:textId="5D6A6896" w:rsidR="56C3D4F7" w:rsidRPr="00F443AF" w:rsidRDefault="56C3D4F7" w:rsidP="000C6B57">
            <w:pPr>
              <w:jc w:val="center"/>
              <w:rPr>
                <w:rFonts w:ascii="Arial" w:eastAsia="Arial" w:hAnsi="Arial" w:cs="Arial"/>
                <w:sz w:val="18"/>
                <w:szCs w:val="18"/>
              </w:rPr>
            </w:pPr>
            <w:r w:rsidRPr="00F443AF">
              <w:rPr>
                <w:rFonts w:ascii="Arial" w:eastAsia="Arial" w:hAnsi="Arial" w:cs="Arial"/>
                <w:sz w:val="18"/>
                <w:szCs w:val="18"/>
              </w:rPr>
              <w:t>Medium</w:t>
            </w:r>
          </w:p>
        </w:tc>
        <w:tc>
          <w:tcPr>
            <w:tcW w:w="1155" w:type="dxa"/>
            <w:vAlign w:val="center"/>
          </w:tcPr>
          <w:p w14:paraId="546A9133" w14:textId="7CE942E1" w:rsidR="56C3D4F7" w:rsidRPr="00F443AF" w:rsidRDefault="56C3D4F7" w:rsidP="000C6B57">
            <w:pPr>
              <w:jc w:val="center"/>
              <w:rPr>
                <w:rFonts w:ascii="Arial" w:eastAsia="Calibri" w:hAnsi="Arial" w:cs="Arial"/>
                <w:sz w:val="18"/>
                <w:szCs w:val="18"/>
              </w:rPr>
            </w:pPr>
            <w:r w:rsidRPr="00F443AF">
              <w:rPr>
                <w:rFonts w:ascii="Arial" w:eastAsia="Arial" w:hAnsi="Arial" w:cs="Arial"/>
                <w:sz w:val="18"/>
                <w:szCs w:val="18"/>
              </w:rPr>
              <w:t>N</w:t>
            </w:r>
            <w:r w:rsidRPr="00F443AF">
              <w:rPr>
                <w:rFonts w:ascii="Arial" w:eastAsia="Calibri" w:hAnsi="Arial" w:cs="Arial"/>
                <w:sz w:val="18"/>
                <w:szCs w:val="18"/>
              </w:rPr>
              <w:t>/A</w:t>
            </w:r>
          </w:p>
        </w:tc>
        <w:tc>
          <w:tcPr>
            <w:tcW w:w="1154" w:type="dxa"/>
            <w:vAlign w:val="center"/>
          </w:tcPr>
          <w:p w14:paraId="1BE1B6B8" w14:textId="44C38788" w:rsidR="56C3D4F7" w:rsidRPr="00F443AF" w:rsidRDefault="56C3D4F7" w:rsidP="000C6B57">
            <w:pPr>
              <w:jc w:val="center"/>
              <w:rPr>
                <w:rFonts w:ascii="Arial" w:eastAsia="Arial" w:hAnsi="Arial" w:cs="Arial"/>
                <w:sz w:val="18"/>
                <w:szCs w:val="18"/>
              </w:rPr>
            </w:pPr>
            <w:r w:rsidRPr="00F443AF">
              <w:rPr>
                <w:rFonts w:ascii="Arial" w:eastAsia="Arial" w:hAnsi="Arial" w:cs="Arial"/>
                <w:sz w:val="18"/>
                <w:szCs w:val="18"/>
              </w:rPr>
              <w:t>N/A</w:t>
            </w:r>
          </w:p>
        </w:tc>
        <w:tc>
          <w:tcPr>
            <w:tcW w:w="1154" w:type="dxa"/>
            <w:vAlign w:val="center"/>
          </w:tcPr>
          <w:p w14:paraId="2480EEBD" w14:textId="6D979D54" w:rsidR="56C3D4F7" w:rsidRPr="00F443AF" w:rsidRDefault="56C3D4F7" w:rsidP="000C6B57">
            <w:pPr>
              <w:jc w:val="center"/>
              <w:rPr>
                <w:rFonts w:ascii="Arial" w:eastAsia="Arial" w:hAnsi="Arial" w:cs="Arial"/>
                <w:sz w:val="18"/>
                <w:szCs w:val="18"/>
              </w:rPr>
            </w:pPr>
            <w:r w:rsidRPr="00F443AF">
              <w:rPr>
                <w:rFonts w:ascii="Arial" w:eastAsia="Arial" w:hAnsi="Arial" w:cs="Arial"/>
                <w:sz w:val="18"/>
                <w:szCs w:val="18"/>
              </w:rPr>
              <w:t>N/A</w:t>
            </w:r>
          </w:p>
        </w:tc>
        <w:tc>
          <w:tcPr>
            <w:tcW w:w="1155" w:type="dxa"/>
            <w:vAlign w:val="center"/>
          </w:tcPr>
          <w:p w14:paraId="48858CDE" w14:textId="66ACF129" w:rsidR="56C3D4F7" w:rsidRPr="00F443AF" w:rsidRDefault="56C3D4F7" w:rsidP="000C6B57">
            <w:pPr>
              <w:jc w:val="center"/>
              <w:rPr>
                <w:rFonts w:ascii="Arial" w:eastAsia="Arial" w:hAnsi="Arial" w:cs="Arial"/>
                <w:sz w:val="18"/>
                <w:szCs w:val="18"/>
              </w:rPr>
            </w:pPr>
            <w:r w:rsidRPr="00F443AF">
              <w:rPr>
                <w:rFonts w:ascii="Arial" w:eastAsia="Arial" w:hAnsi="Arial" w:cs="Arial"/>
                <w:sz w:val="18"/>
                <w:szCs w:val="18"/>
              </w:rPr>
              <w:t>N/A</w:t>
            </w:r>
          </w:p>
        </w:tc>
      </w:tr>
      <w:tr w:rsidR="56C3D4F7" w14:paraId="399EE898" w14:textId="77777777" w:rsidTr="000C6B57">
        <w:trPr>
          <w:trHeight w:val="283"/>
        </w:trPr>
        <w:tc>
          <w:tcPr>
            <w:tcW w:w="1701" w:type="dxa"/>
            <w:vAlign w:val="center"/>
          </w:tcPr>
          <w:p w14:paraId="5DA3051D" w14:textId="64C8E3B8" w:rsidR="56C3D4F7" w:rsidRPr="00F443AF" w:rsidRDefault="56C3D4F7" w:rsidP="000C6B57">
            <w:pPr>
              <w:rPr>
                <w:rFonts w:ascii="Arial" w:hAnsi="Arial" w:cs="Arial"/>
                <w:sz w:val="18"/>
                <w:szCs w:val="18"/>
              </w:rPr>
            </w:pPr>
            <w:r w:rsidRPr="00F443AF">
              <w:rPr>
                <w:rFonts w:ascii="Arial" w:eastAsia="Arial" w:hAnsi="Arial" w:cs="Arial"/>
                <w:sz w:val="18"/>
                <w:szCs w:val="18"/>
              </w:rPr>
              <w:t>Dwelling prices</w:t>
            </w:r>
          </w:p>
        </w:tc>
        <w:tc>
          <w:tcPr>
            <w:tcW w:w="1013" w:type="dxa"/>
            <w:vAlign w:val="center"/>
          </w:tcPr>
          <w:p w14:paraId="08ABEEB6" w14:textId="3C0FBC22" w:rsidR="56C3D4F7" w:rsidRPr="00F443AF" w:rsidRDefault="56C3D4F7" w:rsidP="000C6B57">
            <w:pPr>
              <w:jc w:val="center"/>
              <w:rPr>
                <w:rFonts w:ascii="Arial" w:eastAsia="Arial" w:hAnsi="Arial" w:cs="Arial"/>
                <w:sz w:val="18"/>
                <w:szCs w:val="18"/>
              </w:rPr>
            </w:pPr>
            <w:r w:rsidRPr="00F443AF">
              <w:rPr>
                <w:rFonts w:ascii="Arial" w:eastAsia="Arial" w:hAnsi="Arial" w:cs="Arial"/>
                <w:sz w:val="18"/>
                <w:szCs w:val="18"/>
              </w:rPr>
              <w:t>Medium</w:t>
            </w:r>
          </w:p>
        </w:tc>
        <w:tc>
          <w:tcPr>
            <w:tcW w:w="1154" w:type="dxa"/>
            <w:vAlign w:val="center"/>
          </w:tcPr>
          <w:p w14:paraId="388CE574" w14:textId="2A28FC95" w:rsidR="56C3D4F7" w:rsidRPr="00F443AF" w:rsidRDefault="56C3D4F7" w:rsidP="000C6B57">
            <w:pPr>
              <w:jc w:val="center"/>
              <w:rPr>
                <w:rFonts w:ascii="Arial" w:eastAsia="Calibri" w:hAnsi="Arial" w:cs="Arial"/>
                <w:sz w:val="18"/>
                <w:szCs w:val="18"/>
              </w:rPr>
            </w:pPr>
            <w:r w:rsidRPr="00F443AF">
              <w:rPr>
                <w:rFonts w:ascii="Arial" w:eastAsia="Arial" w:hAnsi="Arial" w:cs="Arial"/>
                <w:sz w:val="18"/>
                <w:szCs w:val="18"/>
              </w:rPr>
              <w:t>N</w:t>
            </w:r>
            <w:r w:rsidRPr="00F443AF">
              <w:rPr>
                <w:rFonts w:ascii="Arial" w:eastAsia="Calibri" w:hAnsi="Arial" w:cs="Arial"/>
                <w:sz w:val="18"/>
                <w:szCs w:val="18"/>
              </w:rPr>
              <w:t>/A</w:t>
            </w:r>
          </w:p>
        </w:tc>
        <w:tc>
          <w:tcPr>
            <w:tcW w:w="1154" w:type="dxa"/>
            <w:vAlign w:val="center"/>
          </w:tcPr>
          <w:p w14:paraId="74D53664" w14:textId="74CCD94B" w:rsidR="56C3D4F7" w:rsidRPr="00F443AF" w:rsidRDefault="56C3D4F7" w:rsidP="000C6B57">
            <w:pPr>
              <w:jc w:val="center"/>
              <w:rPr>
                <w:rFonts w:ascii="Arial" w:eastAsia="Arial" w:hAnsi="Arial" w:cs="Arial"/>
                <w:b/>
                <w:sz w:val="18"/>
                <w:szCs w:val="18"/>
              </w:rPr>
            </w:pPr>
            <w:r w:rsidRPr="00F443AF">
              <w:rPr>
                <w:rFonts w:ascii="Arial" w:eastAsia="Arial" w:hAnsi="Arial" w:cs="Arial"/>
                <w:b/>
                <w:sz w:val="18"/>
                <w:szCs w:val="18"/>
              </w:rPr>
              <w:t>High</w:t>
            </w:r>
          </w:p>
        </w:tc>
        <w:tc>
          <w:tcPr>
            <w:tcW w:w="1155" w:type="dxa"/>
            <w:vAlign w:val="center"/>
          </w:tcPr>
          <w:p w14:paraId="4FD29934" w14:textId="5155FE13" w:rsidR="56C3D4F7" w:rsidRPr="00F443AF" w:rsidRDefault="56C3D4F7" w:rsidP="000C6B57">
            <w:pPr>
              <w:jc w:val="center"/>
              <w:rPr>
                <w:rFonts w:ascii="Arial" w:eastAsia="Calibri" w:hAnsi="Arial" w:cs="Arial"/>
                <w:sz w:val="18"/>
                <w:szCs w:val="18"/>
              </w:rPr>
            </w:pPr>
            <w:r w:rsidRPr="00F443AF">
              <w:rPr>
                <w:rFonts w:ascii="Arial" w:eastAsia="Arial" w:hAnsi="Arial" w:cs="Arial"/>
                <w:sz w:val="18"/>
                <w:szCs w:val="18"/>
              </w:rPr>
              <w:t>N</w:t>
            </w:r>
            <w:r w:rsidRPr="00F443AF">
              <w:rPr>
                <w:rFonts w:ascii="Arial" w:eastAsia="Calibri" w:hAnsi="Arial" w:cs="Arial"/>
                <w:sz w:val="18"/>
                <w:szCs w:val="18"/>
              </w:rPr>
              <w:t>/A</w:t>
            </w:r>
          </w:p>
        </w:tc>
        <w:tc>
          <w:tcPr>
            <w:tcW w:w="1154" w:type="dxa"/>
            <w:vAlign w:val="center"/>
          </w:tcPr>
          <w:p w14:paraId="566D2ACD" w14:textId="3A9DD63F" w:rsidR="56C3D4F7" w:rsidRPr="00F443AF" w:rsidRDefault="56C3D4F7" w:rsidP="000C6B57">
            <w:pPr>
              <w:jc w:val="center"/>
              <w:rPr>
                <w:rFonts w:ascii="Arial" w:eastAsia="Arial" w:hAnsi="Arial" w:cs="Arial"/>
                <w:b/>
                <w:sz w:val="18"/>
                <w:szCs w:val="18"/>
              </w:rPr>
            </w:pPr>
            <w:r w:rsidRPr="00F443AF">
              <w:rPr>
                <w:rFonts w:ascii="Arial" w:eastAsia="Arial" w:hAnsi="Arial" w:cs="Arial"/>
                <w:b/>
                <w:sz w:val="18"/>
                <w:szCs w:val="18"/>
              </w:rPr>
              <w:t>High</w:t>
            </w:r>
          </w:p>
        </w:tc>
        <w:tc>
          <w:tcPr>
            <w:tcW w:w="1154" w:type="dxa"/>
            <w:vAlign w:val="center"/>
          </w:tcPr>
          <w:p w14:paraId="7277C859" w14:textId="35C6385D" w:rsidR="56C3D4F7" w:rsidRPr="00F443AF" w:rsidRDefault="56C3D4F7" w:rsidP="000C6B57">
            <w:pPr>
              <w:jc w:val="center"/>
              <w:rPr>
                <w:rFonts w:ascii="Arial" w:eastAsia="Arial" w:hAnsi="Arial" w:cs="Arial"/>
                <w:sz w:val="18"/>
                <w:szCs w:val="18"/>
              </w:rPr>
            </w:pPr>
            <w:r w:rsidRPr="00F443AF">
              <w:rPr>
                <w:rFonts w:ascii="Arial" w:eastAsia="Arial" w:hAnsi="Arial" w:cs="Arial"/>
                <w:sz w:val="18"/>
                <w:szCs w:val="18"/>
              </w:rPr>
              <w:t>N/A</w:t>
            </w:r>
          </w:p>
        </w:tc>
        <w:tc>
          <w:tcPr>
            <w:tcW w:w="1155" w:type="dxa"/>
            <w:vAlign w:val="center"/>
          </w:tcPr>
          <w:p w14:paraId="26F82D28" w14:textId="5240CCDA" w:rsidR="56C3D4F7" w:rsidRPr="00F443AF" w:rsidRDefault="56C3D4F7" w:rsidP="000C6B57">
            <w:pPr>
              <w:jc w:val="center"/>
              <w:rPr>
                <w:rFonts w:ascii="Arial" w:eastAsia="Arial" w:hAnsi="Arial" w:cs="Arial"/>
                <w:sz w:val="18"/>
                <w:szCs w:val="18"/>
              </w:rPr>
            </w:pPr>
            <w:r w:rsidRPr="00F443AF">
              <w:rPr>
                <w:rFonts w:ascii="Arial" w:eastAsia="Arial" w:hAnsi="Arial" w:cs="Arial"/>
                <w:sz w:val="18"/>
                <w:szCs w:val="18"/>
              </w:rPr>
              <w:t>Medium</w:t>
            </w:r>
          </w:p>
        </w:tc>
      </w:tr>
      <w:tr w:rsidR="56C3D4F7" w14:paraId="0FBCE5D9" w14:textId="77777777" w:rsidTr="000C6B57">
        <w:trPr>
          <w:trHeight w:val="283"/>
        </w:trPr>
        <w:tc>
          <w:tcPr>
            <w:tcW w:w="1701" w:type="dxa"/>
            <w:vAlign w:val="center"/>
          </w:tcPr>
          <w:p w14:paraId="337E296E" w14:textId="7A87DE1F" w:rsidR="56C3D4F7" w:rsidRPr="00F443AF" w:rsidRDefault="56C3D4F7" w:rsidP="000C6B57">
            <w:pPr>
              <w:rPr>
                <w:rFonts w:ascii="Arial" w:hAnsi="Arial" w:cs="Arial"/>
                <w:sz w:val="18"/>
                <w:szCs w:val="18"/>
              </w:rPr>
            </w:pPr>
            <w:r w:rsidRPr="00F443AF">
              <w:rPr>
                <w:rFonts w:ascii="Arial" w:eastAsia="Arial" w:hAnsi="Arial" w:cs="Arial"/>
                <w:sz w:val="18"/>
                <w:szCs w:val="18"/>
              </w:rPr>
              <w:t>Population growth</w:t>
            </w:r>
          </w:p>
        </w:tc>
        <w:tc>
          <w:tcPr>
            <w:tcW w:w="1013" w:type="dxa"/>
            <w:vAlign w:val="center"/>
          </w:tcPr>
          <w:p w14:paraId="1799AD12" w14:textId="709D235C" w:rsidR="56C3D4F7" w:rsidRPr="00F443AF" w:rsidRDefault="56C3D4F7" w:rsidP="000C6B57">
            <w:pPr>
              <w:jc w:val="center"/>
              <w:rPr>
                <w:rFonts w:ascii="Arial" w:eastAsia="Arial" w:hAnsi="Arial" w:cs="Arial"/>
                <w:b/>
                <w:sz w:val="18"/>
                <w:szCs w:val="18"/>
              </w:rPr>
            </w:pPr>
            <w:r w:rsidRPr="00F443AF">
              <w:rPr>
                <w:rFonts w:ascii="Arial" w:eastAsia="Arial" w:hAnsi="Arial" w:cs="Arial"/>
                <w:b/>
                <w:sz w:val="18"/>
                <w:szCs w:val="18"/>
              </w:rPr>
              <w:t>High</w:t>
            </w:r>
          </w:p>
        </w:tc>
        <w:tc>
          <w:tcPr>
            <w:tcW w:w="1154" w:type="dxa"/>
            <w:vAlign w:val="center"/>
          </w:tcPr>
          <w:p w14:paraId="0FF6E178" w14:textId="213ECCE5" w:rsidR="56C3D4F7" w:rsidRPr="00F443AF" w:rsidRDefault="56C3D4F7" w:rsidP="000C6B57">
            <w:pPr>
              <w:jc w:val="center"/>
              <w:rPr>
                <w:rFonts w:ascii="Arial" w:eastAsia="Calibri" w:hAnsi="Arial" w:cs="Arial"/>
                <w:sz w:val="18"/>
                <w:szCs w:val="18"/>
              </w:rPr>
            </w:pPr>
            <w:r w:rsidRPr="00F443AF">
              <w:rPr>
                <w:rFonts w:ascii="Arial" w:eastAsia="Arial" w:hAnsi="Arial" w:cs="Arial"/>
                <w:sz w:val="18"/>
                <w:szCs w:val="18"/>
              </w:rPr>
              <w:t>L</w:t>
            </w:r>
            <w:r w:rsidRPr="00F443AF">
              <w:rPr>
                <w:rFonts w:ascii="Arial" w:eastAsia="Calibri" w:hAnsi="Arial" w:cs="Arial"/>
                <w:sz w:val="18"/>
                <w:szCs w:val="18"/>
              </w:rPr>
              <w:t>ow</w:t>
            </w:r>
          </w:p>
        </w:tc>
        <w:tc>
          <w:tcPr>
            <w:tcW w:w="1154" w:type="dxa"/>
            <w:vAlign w:val="center"/>
          </w:tcPr>
          <w:p w14:paraId="15CF8929" w14:textId="31171765" w:rsidR="56C3D4F7" w:rsidRPr="00F443AF" w:rsidRDefault="56C3D4F7" w:rsidP="000C6B57">
            <w:pPr>
              <w:jc w:val="center"/>
              <w:rPr>
                <w:rFonts w:ascii="Arial" w:eastAsia="Arial" w:hAnsi="Arial" w:cs="Arial"/>
                <w:sz w:val="18"/>
                <w:szCs w:val="18"/>
              </w:rPr>
            </w:pPr>
            <w:r w:rsidRPr="00F443AF">
              <w:rPr>
                <w:rFonts w:ascii="Arial" w:eastAsia="Arial" w:hAnsi="Arial" w:cs="Arial"/>
                <w:sz w:val="18"/>
                <w:szCs w:val="18"/>
              </w:rPr>
              <w:t>Medium</w:t>
            </w:r>
          </w:p>
        </w:tc>
        <w:tc>
          <w:tcPr>
            <w:tcW w:w="1155" w:type="dxa"/>
            <w:vAlign w:val="center"/>
          </w:tcPr>
          <w:p w14:paraId="19A26A98" w14:textId="2E0FF2A6" w:rsidR="56C3D4F7" w:rsidRPr="00F443AF" w:rsidRDefault="56C3D4F7" w:rsidP="000C6B57">
            <w:pPr>
              <w:jc w:val="center"/>
              <w:rPr>
                <w:rFonts w:ascii="Arial" w:eastAsia="Calibri" w:hAnsi="Arial" w:cs="Arial"/>
                <w:sz w:val="18"/>
                <w:szCs w:val="18"/>
              </w:rPr>
            </w:pPr>
            <w:r w:rsidRPr="00F443AF">
              <w:rPr>
                <w:rFonts w:ascii="Arial" w:eastAsia="Arial" w:hAnsi="Arial" w:cs="Arial"/>
                <w:sz w:val="18"/>
                <w:szCs w:val="18"/>
              </w:rPr>
              <w:t>N</w:t>
            </w:r>
            <w:r w:rsidRPr="00F443AF">
              <w:rPr>
                <w:rFonts w:ascii="Arial" w:eastAsia="Calibri" w:hAnsi="Arial" w:cs="Arial"/>
                <w:sz w:val="18"/>
                <w:szCs w:val="18"/>
              </w:rPr>
              <w:t>/A</w:t>
            </w:r>
          </w:p>
        </w:tc>
        <w:tc>
          <w:tcPr>
            <w:tcW w:w="1154" w:type="dxa"/>
            <w:vAlign w:val="center"/>
          </w:tcPr>
          <w:p w14:paraId="2C1CDAD5" w14:textId="36F1C5BA" w:rsidR="56C3D4F7" w:rsidRPr="00F443AF" w:rsidRDefault="56C3D4F7" w:rsidP="000C6B57">
            <w:pPr>
              <w:jc w:val="center"/>
              <w:rPr>
                <w:rFonts w:ascii="Arial" w:eastAsia="Arial" w:hAnsi="Arial" w:cs="Arial"/>
                <w:sz w:val="18"/>
                <w:szCs w:val="18"/>
              </w:rPr>
            </w:pPr>
            <w:r w:rsidRPr="00F443AF">
              <w:rPr>
                <w:rFonts w:ascii="Arial" w:eastAsia="Arial" w:hAnsi="Arial" w:cs="Arial"/>
                <w:sz w:val="18"/>
                <w:szCs w:val="18"/>
              </w:rPr>
              <w:t>N/A</w:t>
            </w:r>
          </w:p>
        </w:tc>
        <w:tc>
          <w:tcPr>
            <w:tcW w:w="1154" w:type="dxa"/>
            <w:vAlign w:val="center"/>
          </w:tcPr>
          <w:p w14:paraId="294DF450" w14:textId="7B367627" w:rsidR="56C3D4F7" w:rsidRPr="00F443AF" w:rsidRDefault="56C3D4F7" w:rsidP="000C6B57">
            <w:pPr>
              <w:jc w:val="center"/>
              <w:rPr>
                <w:rFonts w:ascii="Arial" w:eastAsia="Arial" w:hAnsi="Arial" w:cs="Arial"/>
                <w:sz w:val="18"/>
                <w:szCs w:val="18"/>
              </w:rPr>
            </w:pPr>
            <w:r w:rsidRPr="00F443AF">
              <w:rPr>
                <w:rFonts w:ascii="Arial" w:eastAsia="Arial" w:hAnsi="Arial" w:cs="Arial"/>
                <w:sz w:val="18"/>
                <w:szCs w:val="18"/>
              </w:rPr>
              <w:t>Low</w:t>
            </w:r>
          </w:p>
        </w:tc>
        <w:tc>
          <w:tcPr>
            <w:tcW w:w="1155" w:type="dxa"/>
            <w:vAlign w:val="center"/>
          </w:tcPr>
          <w:p w14:paraId="6260FF49" w14:textId="793B280B" w:rsidR="56C3D4F7" w:rsidRPr="00F443AF" w:rsidRDefault="56C3D4F7" w:rsidP="000C6B57">
            <w:pPr>
              <w:jc w:val="center"/>
              <w:rPr>
                <w:rFonts w:ascii="Arial" w:eastAsia="Arial" w:hAnsi="Arial" w:cs="Arial"/>
                <w:sz w:val="18"/>
                <w:szCs w:val="18"/>
              </w:rPr>
            </w:pPr>
            <w:r w:rsidRPr="00F443AF">
              <w:rPr>
                <w:rFonts w:ascii="Arial" w:eastAsia="Arial" w:hAnsi="Arial" w:cs="Arial"/>
                <w:sz w:val="18"/>
                <w:szCs w:val="18"/>
              </w:rPr>
              <w:t>Low</w:t>
            </w:r>
          </w:p>
        </w:tc>
      </w:tr>
      <w:tr w:rsidR="56C3D4F7" w14:paraId="00BE616E" w14:textId="77777777" w:rsidTr="000C6B57">
        <w:trPr>
          <w:trHeight w:val="283"/>
        </w:trPr>
        <w:tc>
          <w:tcPr>
            <w:tcW w:w="1701" w:type="dxa"/>
            <w:vAlign w:val="center"/>
          </w:tcPr>
          <w:p w14:paraId="4A5D1C09" w14:textId="0A9D6F91" w:rsidR="56C3D4F7" w:rsidRPr="00F443AF" w:rsidRDefault="56C3D4F7" w:rsidP="000C6B57">
            <w:pPr>
              <w:rPr>
                <w:rFonts w:ascii="Arial" w:hAnsi="Arial" w:cs="Arial"/>
                <w:sz w:val="18"/>
                <w:szCs w:val="18"/>
              </w:rPr>
            </w:pPr>
            <w:r w:rsidRPr="00F443AF">
              <w:rPr>
                <w:rFonts w:ascii="Arial" w:eastAsia="Arial" w:hAnsi="Arial" w:cs="Arial"/>
                <w:sz w:val="18"/>
                <w:szCs w:val="18"/>
              </w:rPr>
              <w:t>AUD exchange rate</w:t>
            </w:r>
          </w:p>
        </w:tc>
        <w:tc>
          <w:tcPr>
            <w:tcW w:w="1013" w:type="dxa"/>
            <w:vAlign w:val="center"/>
          </w:tcPr>
          <w:p w14:paraId="7FD4FF46" w14:textId="3DB624B7" w:rsidR="56C3D4F7" w:rsidRPr="00F443AF" w:rsidRDefault="56C3D4F7" w:rsidP="000C6B57">
            <w:pPr>
              <w:jc w:val="center"/>
              <w:rPr>
                <w:rFonts w:ascii="Arial" w:eastAsia="Calibri" w:hAnsi="Arial" w:cs="Arial"/>
                <w:sz w:val="18"/>
                <w:szCs w:val="18"/>
              </w:rPr>
            </w:pPr>
            <w:r w:rsidRPr="00F443AF">
              <w:rPr>
                <w:rFonts w:ascii="Arial" w:eastAsia="Arial" w:hAnsi="Arial" w:cs="Arial"/>
                <w:sz w:val="18"/>
                <w:szCs w:val="18"/>
              </w:rPr>
              <w:t>N</w:t>
            </w:r>
            <w:r w:rsidRPr="00F443AF">
              <w:rPr>
                <w:rFonts w:ascii="Arial" w:eastAsia="Calibri" w:hAnsi="Arial" w:cs="Arial"/>
                <w:sz w:val="18"/>
                <w:szCs w:val="18"/>
              </w:rPr>
              <w:t>/A</w:t>
            </w:r>
          </w:p>
        </w:tc>
        <w:tc>
          <w:tcPr>
            <w:tcW w:w="1154" w:type="dxa"/>
            <w:vAlign w:val="center"/>
          </w:tcPr>
          <w:p w14:paraId="7F3D5FFB" w14:textId="1DB263E4" w:rsidR="56C3D4F7" w:rsidRPr="00F443AF" w:rsidRDefault="56C3D4F7" w:rsidP="000C6B57">
            <w:pPr>
              <w:jc w:val="center"/>
              <w:rPr>
                <w:rFonts w:ascii="Arial" w:eastAsia="Calibri" w:hAnsi="Arial" w:cs="Arial"/>
                <w:sz w:val="18"/>
                <w:szCs w:val="18"/>
              </w:rPr>
            </w:pPr>
            <w:r w:rsidRPr="00F443AF">
              <w:rPr>
                <w:rFonts w:ascii="Arial" w:eastAsia="Arial" w:hAnsi="Arial" w:cs="Arial"/>
                <w:sz w:val="18"/>
                <w:szCs w:val="18"/>
              </w:rPr>
              <w:t>N</w:t>
            </w:r>
            <w:r w:rsidRPr="00F443AF">
              <w:rPr>
                <w:rFonts w:ascii="Arial" w:eastAsia="Calibri" w:hAnsi="Arial" w:cs="Arial"/>
                <w:sz w:val="18"/>
                <w:szCs w:val="18"/>
              </w:rPr>
              <w:t>/A</w:t>
            </w:r>
          </w:p>
        </w:tc>
        <w:tc>
          <w:tcPr>
            <w:tcW w:w="1154" w:type="dxa"/>
            <w:vAlign w:val="center"/>
          </w:tcPr>
          <w:p w14:paraId="5C944FD4" w14:textId="55D61D6B" w:rsidR="56C3D4F7" w:rsidRPr="00F443AF" w:rsidRDefault="56C3D4F7" w:rsidP="000C6B57">
            <w:pPr>
              <w:jc w:val="center"/>
              <w:rPr>
                <w:rFonts w:ascii="Arial" w:eastAsia="Calibri" w:hAnsi="Arial" w:cs="Arial"/>
                <w:sz w:val="18"/>
                <w:szCs w:val="18"/>
              </w:rPr>
            </w:pPr>
            <w:r w:rsidRPr="00F443AF">
              <w:rPr>
                <w:rFonts w:ascii="Arial" w:eastAsia="Arial" w:hAnsi="Arial" w:cs="Arial"/>
                <w:sz w:val="18"/>
                <w:szCs w:val="18"/>
              </w:rPr>
              <w:t>N</w:t>
            </w:r>
            <w:r w:rsidRPr="00F443AF">
              <w:rPr>
                <w:rFonts w:ascii="Arial" w:eastAsia="Calibri" w:hAnsi="Arial" w:cs="Arial"/>
                <w:sz w:val="18"/>
                <w:szCs w:val="18"/>
              </w:rPr>
              <w:t>/A</w:t>
            </w:r>
          </w:p>
        </w:tc>
        <w:tc>
          <w:tcPr>
            <w:tcW w:w="1155" w:type="dxa"/>
            <w:vAlign w:val="center"/>
          </w:tcPr>
          <w:p w14:paraId="2D8CE67C" w14:textId="7F02B372" w:rsidR="56C3D4F7" w:rsidRPr="00F443AF" w:rsidRDefault="56C3D4F7" w:rsidP="000C6B57">
            <w:pPr>
              <w:jc w:val="center"/>
              <w:rPr>
                <w:rFonts w:ascii="Arial" w:eastAsia="Calibri" w:hAnsi="Arial" w:cs="Arial"/>
                <w:b/>
                <w:sz w:val="18"/>
                <w:szCs w:val="18"/>
              </w:rPr>
            </w:pPr>
            <w:r w:rsidRPr="00F443AF">
              <w:rPr>
                <w:rFonts w:ascii="Arial" w:eastAsia="Arial" w:hAnsi="Arial" w:cs="Arial"/>
                <w:b/>
                <w:sz w:val="18"/>
                <w:szCs w:val="18"/>
              </w:rPr>
              <w:t>H</w:t>
            </w:r>
            <w:r w:rsidRPr="00F443AF">
              <w:rPr>
                <w:rFonts w:ascii="Arial" w:eastAsia="Calibri" w:hAnsi="Arial" w:cs="Arial"/>
                <w:b/>
                <w:sz w:val="18"/>
                <w:szCs w:val="18"/>
              </w:rPr>
              <w:t>igh</w:t>
            </w:r>
          </w:p>
        </w:tc>
        <w:tc>
          <w:tcPr>
            <w:tcW w:w="1154" w:type="dxa"/>
            <w:vAlign w:val="center"/>
          </w:tcPr>
          <w:p w14:paraId="33EDF595" w14:textId="1BAE6CD1" w:rsidR="56C3D4F7" w:rsidRPr="00F443AF" w:rsidRDefault="56C3D4F7" w:rsidP="000C6B57">
            <w:pPr>
              <w:jc w:val="center"/>
              <w:rPr>
                <w:rFonts w:ascii="Arial" w:eastAsia="Arial" w:hAnsi="Arial" w:cs="Arial"/>
                <w:sz w:val="18"/>
                <w:szCs w:val="18"/>
              </w:rPr>
            </w:pPr>
            <w:r w:rsidRPr="00F443AF">
              <w:rPr>
                <w:rFonts w:ascii="Arial" w:eastAsia="Arial" w:hAnsi="Arial" w:cs="Arial"/>
                <w:sz w:val="18"/>
                <w:szCs w:val="18"/>
              </w:rPr>
              <w:t>N/A</w:t>
            </w:r>
          </w:p>
        </w:tc>
        <w:tc>
          <w:tcPr>
            <w:tcW w:w="1154" w:type="dxa"/>
            <w:vAlign w:val="center"/>
          </w:tcPr>
          <w:p w14:paraId="2EC75FA3" w14:textId="77490525" w:rsidR="56C3D4F7" w:rsidRPr="00F443AF" w:rsidRDefault="56C3D4F7" w:rsidP="000C6B57">
            <w:pPr>
              <w:jc w:val="center"/>
              <w:rPr>
                <w:rFonts w:ascii="Arial" w:eastAsia="Arial" w:hAnsi="Arial" w:cs="Arial"/>
                <w:sz w:val="18"/>
                <w:szCs w:val="18"/>
              </w:rPr>
            </w:pPr>
            <w:r w:rsidRPr="00F443AF">
              <w:rPr>
                <w:rFonts w:ascii="Arial" w:eastAsia="Arial" w:hAnsi="Arial" w:cs="Arial"/>
                <w:sz w:val="18"/>
                <w:szCs w:val="18"/>
              </w:rPr>
              <w:t>N/A</w:t>
            </w:r>
          </w:p>
        </w:tc>
        <w:tc>
          <w:tcPr>
            <w:tcW w:w="1155" w:type="dxa"/>
            <w:vAlign w:val="center"/>
          </w:tcPr>
          <w:p w14:paraId="2D7E655A" w14:textId="5959E0C8" w:rsidR="56C3D4F7" w:rsidRPr="00F443AF" w:rsidRDefault="56C3D4F7" w:rsidP="000C6B57">
            <w:pPr>
              <w:jc w:val="center"/>
              <w:rPr>
                <w:rFonts w:ascii="Arial" w:eastAsia="Arial" w:hAnsi="Arial" w:cs="Arial"/>
                <w:sz w:val="18"/>
                <w:szCs w:val="18"/>
              </w:rPr>
            </w:pPr>
            <w:r w:rsidRPr="00F443AF">
              <w:rPr>
                <w:rFonts w:ascii="Arial" w:eastAsia="Arial" w:hAnsi="Arial" w:cs="Arial"/>
                <w:sz w:val="18"/>
                <w:szCs w:val="18"/>
              </w:rPr>
              <w:t>N/A</w:t>
            </w:r>
          </w:p>
        </w:tc>
      </w:tr>
      <w:tr w:rsidR="56C3D4F7" w14:paraId="388F5B6F" w14:textId="77777777" w:rsidTr="000C6B57">
        <w:trPr>
          <w:trHeight w:val="283"/>
        </w:trPr>
        <w:tc>
          <w:tcPr>
            <w:tcW w:w="1701" w:type="dxa"/>
            <w:tcBorders>
              <w:bottom w:val="single" w:sz="4" w:space="0" w:color="auto"/>
            </w:tcBorders>
            <w:vAlign w:val="center"/>
          </w:tcPr>
          <w:p w14:paraId="3A63ADFD" w14:textId="064E9D31" w:rsidR="56C3D4F7" w:rsidRPr="00F443AF" w:rsidRDefault="56C3D4F7" w:rsidP="000C6B57">
            <w:pPr>
              <w:rPr>
                <w:rFonts w:ascii="Arial" w:hAnsi="Arial" w:cs="Arial"/>
                <w:sz w:val="18"/>
                <w:szCs w:val="18"/>
              </w:rPr>
            </w:pPr>
            <w:r w:rsidRPr="00F443AF">
              <w:rPr>
                <w:rFonts w:ascii="Arial" w:eastAsia="Arial" w:hAnsi="Arial" w:cs="Arial"/>
                <w:sz w:val="18"/>
                <w:szCs w:val="18"/>
              </w:rPr>
              <w:t>Energy demand</w:t>
            </w:r>
          </w:p>
        </w:tc>
        <w:tc>
          <w:tcPr>
            <w:tcW w:w="1013" w:type="dxa"/>
            <w:tcBorders>
              <w:bottom w:val="single" w:sz="4" w:space="0" w:color="auto"/>
            </w:tcBorders>
            <w:vAlign w:val="center"/>
          </w:tcPr>
          <w:p w14:paraId="053F1C8A" w14:textId="73342D8B" w:rsidR="56C3D4F7" w:rsidRPr="00F443AF" w:rsidRDefault="56C3D4F7" w:rsidP="000C6B57">
            <w:pPr>
              <w:jc w:val="center"/>
              <w:rPr>
                <w:rFonts w:ascii="Arial" w:eastAsia="Calibri" w:hAnsi="Arial" w:cs="Arial"/>
                <w:sz w:val="18"/>
                <w:szCs w:val="18"/>
              </w:rPr>
            </w:pPr>
            <w:r w:rsidRPr="00F443AF">
              <w:rPr>
                <w:rFonts w:ascii="Arial" w:eastAsia="Arial" w:hAnsi="Arial" w:cs="Arial"/>
                <w:sz w:val="18"/>
                <w:szCs w:val="18"/>
              </w:rPr>
              <w:t>N</w:t>
            </w:r>
            <w:r w:rsidRPr="00F443AF">
              <w:rPr>
                <w:rFonts w:ascii="Arial" w:eastAsia="Calibri" w:hAnsi="Arial" w:cs="Arial"/>
                <w:sz w:val="18"/>
                <w:szCs w:val="18"/>
              </w:rPr>
              <w:t>/A</w:t>
            </w:r>
          </w:p>
        </w:tc>
        <w:tc>
          <w:tcPr>
            <w:tcW w:w="1154" w:type="dxa"/>
            <w:tcBorders>
              <w:bottom w:val="single" w:sz="4" w:space="0" w:color="auto"/>
            </w:tcBorders>
            <w:vAlign w:val="center"/>
          </w:tcPr>
          <w:p w14:paraId="4C76BEAD" w14:textId="60763D40" w:rsidR="56C3D4F7" w:rsidRPr="00F443AF" w:rsidRDefault="56C3D4F7" w:rsidP="000C6B57">
            <w:pPr>
              <w:jc w:val="center"/>
              <w:rPr>
                <w:rFonts w:ascii="Arial" w:eastAsia="Calibri" w:hAnsi="Arial" w:cs="Arial"/>
                <w:sz w:val="18"/>
                <w:szCs w:val="18"/>
              </w:rPr>
            </w:pPr>
            <w:r w:rsidRPr="00F443AF">
              <w:rPr>
                <w:rFonts w:ascii="Arial" w:eastAsia="Arial" w:hAnsi="Arial" w:cs="Arial"/>
                <w:sz w:val="18"/>
                <w:szCs w:val="18"/>
              </w:rPr>
              <w:t>N</w:t>
            </w:r>
            <w:r w:rsidRPr="00F443AF">
              <w:rPr>
                <w:rFonts w:ascii="Arial" w:eastAsia="Calibri" w:hAnsi="Arial" w:cs="Arial"/>
                <w:sz w:val="18"/>
                <w:szCs w:val="18"/>
              </w:rPr>
              <w:t>/A</w:t>
            </w:r>
          </w:p>
        </w:tc>
        <w:tc>
          <w:tcPr>
            <w:tcW w:w="1154" w:type="dxa"/>
            <w:tcBorders>
              <w:bottom w:val="single" w:sz="4" w:space="0" w:color="auto"/>
            </w:tcBorders>
            <w:vAlign w:val="center"/>
          </w:tcPr>
          <w:p w14:paraId="0B23AEC9" w14:textId="2CA1B0F7" w:rsidR="56C3D4F7" w:rsidRPr="00F443AF" w:rsidRDefault="56C3D4F7" w:rsidP="000C6B57">
            <w:pPr>
              <w:jc w:val="center"/>
              <w:rPr>
                <w:rFonts w:ascii="Arial" w:eastAsia="Calibri" w:hAnsi="Arial" w:cs="Arial"/>
                <w:sz w:val="18"/>
                <w:szCs w:val="18"/>
              </w:rPr>
            </w:pPr>
            <w:r w:rsidRPr="00F443AF">
              <w:rPr>
                <w:rFonts w:ascii="Arial" w:eastAsia="Arial" w:hAnsi="Arial" w:cs="Arial"/>
                <w:sz w:val="18"/>
                <w:szCs w:val="18"/>
              </w:rPr>
              <w:t>N</w:t>
            </w:r>
            <w:r w:rsidRPr="00F443AF">
              <w:rPr>
                <w:rFonts w:ascii="Arial" w:eastAsia="Calibri" w:hAnsi="Arial" w:cs="Arial"/>
                <w:sz w:val="18"/>
                <w:szCs w:val="18"/>
              </w:rPr>
              <w:t>/A</w:t>
            </w:r>
          </w:p>
        </w:tc>
        <w:tc>
          <w:tcPr>
            <w:tcW w:w="1155" w:type="dxa"/>
            <w:tcBorders>
              <w:bottom w:val="single" w:sz="4" w:space="0" w:color="auto"/>
            </w:tcBorders>
            <w:vAlign w:val="center"/>
          </w:tcPr>
          <w:p w14:paraId="7A45DBB8" w14:textId="790C03FD" w:rsidR="56C3D4F7" w:rsidRPr="00F443AF" w:rsidRDefault="56C3D4F7" w:rsidP="000C6B57">
            <w:pPr>
              <w:jc w:val="center"/>
              <w:rPr>
                <w:rFonts w:ascii="Arial" w:eastAsia="Calibri" w:hAnsi="Arial" w:cs="Arial"/>
                <w:b/>
                <w:sz w:val="18"/>
                <w:szCs w:val="18"/>
              </w:rPr>
            </w:pPr>
            <w:r w:rsidRPr="00F443AF">
              <w:rPr>
                <w:rFonts w:ascii="Arial" w:eastAsia="Arial" w:hAnsi="Arial" w:cs="Arial"/>
                <w:b/>
                <w:sz w:val="18"/>
                <w:szCs w:val="18"/>
              </w:rPr>
              <w:t>H</w:t>
            </w:r>
            <w:r w:rsidRPr="00F443AF">
              <w:rPr>
                <w:rFonts w:ascii="Arial" w:eastAsia="Calibri" w:hAnsi="Arial" w:cs="Arial"/>
                <w:b/>
                <w:sz w:val="18"/>
                <w:szCs w:val="18"/>
              </w:rPr>
              <w:t>igh</w:t>
            </w:r>
          </w:p>
        </w:tc>
        <w:tc>
          <w:tcPr>
            <w:tcW w:w="1154" w:type="dxa"/>
            <w:tcBorders>
              <w:bottom w:val="single" w:sz="4" w:space="0" w:color="auto"/>
            </w:tcBorders>
            <w:vAlign w:val="center"/>
          </w:tcPr>
          <w:p w14:paraId="78FCD2C2" w14:textId="3AA352DC" w:rsidR="56C3D4F7" w:rsidRPr="00F443AF" w:rsidRDefault="56C3D4F7" w:rsidP="000C6B57">
            <w:pPr>
              <w:jc w:val="center"/>
              <w:rPr>
                <w:rFonts w:ascii="Arial" w:eastAsia="Arial" w:hAnsi="Arial" w:cs="Arial"/>
                <w:sz w:val="18"/>
                <w:szCs w:val="18"/>
              </w:rPr>
            </w:pPr>
            <w:r w:rsidRPr="00F443AF">
              <w:rPr>
                <w:rFonts w:ascii="Arial" w:eastAsia="Arial" w:hAnsi="Arial" w:cs="Arial"/>
                <w:sz w:val="18"/>
                <w:szCs w:val="18"/>
              </w:rPr>
              <w:t>N/A</w:t>
            </w:r>
          </w:p>
        </w:tc>
        <w:tc>
          <w:tcPr>
            <w:tcW w:w="1154" w:type="dxa"/>
            <w:tcBorders>
              <w:bottom w:val="single" w:sz="4" w:space="0" w:color="auto"/>
            </w:tcBorders>
            <w:vAlign w:val="center"/>
          </w:tcPr>
          <w:p w14:paraId="2F3737C9" w14:textId="32AAA6E0" w:rsidR="56C3D4F7" w:rsidRPr="00F443AF" w:rsidRDefault="56C3D4F7" w:rsidP="000C6B57">
            <w:pPr>
              <w:jc w:val="center"/>
              <w:rPr>
                <w:rFonts w:ascii="Arial" w:eastAsia="Arial" w:hAnsi="Arial" w:cs="Arial"/>
                <w:sz w:val="18"/>
                <w:szCs w:val="18"/>
              </w:rPr>
            </w:pPr>
            <w:r w:rsidRPr="00F443AF">
              <w:rPr>
                <w:rFonts w:ascii="Arial" w:eastAsia="Arial" w:hAnsi="Arial" w:cs="Arial"/>
                <w:sz w:val="18"/>
                <w:szCs w:val="18"/>
              </w:rPr>
              <w:t>N/A</w:t>
            </w:r>
          </w:p>
        </w:tc>
        <w:tc>
          <w:tcPr>
            <w:tcW w:w="1155" w:type="dxa"/>
            <w:tcBorders>
              <w:bottom w:val="single" w:sz="4" w:space="0" w:color="auto"/>
            </w:tcBorders>
            <w:vAlign w:val="center"/>
          </w:tcPr>
          <w:p w14:paraId="2E56AC9E" w14:textId="79730FA9" w:rsidR="56C3D4F7" w:rsidRPr="00F443AF" w:rsidRDefault="56C3D4F7" w:rsidP="000C6B57">
            <w:pPr>
              <w:jc w:val="center"/>
              <w:rPr>
                <w:rFonts w:ascii="Arial" w:eastAsia="Arial" w:hAnsi="Arial" w:cs="Arial"/>
                <w:sz w:val="18"/>
                <w:szCs w:val="18"/>
              </w:rPr>
            </w:pPr>
            <w:r w:rsidRPr="00F443AF">
              <w:rPr>
                <w:rFonts w:ascii="Arial" w:eastAsia="Arial" w:hAnsi="Arial" w:cs="Arial"/>
                <w:sz w:val="18"/>
                <w:szCs w:val="18"/>
              </w:rPr>
              <w:t>N/A</w:t>
            </w:r>
          </w:p>
        </w:tc>
      </w:tr>
      <w:tr w:rsidR="56C3D4F7" w14:paraId="2497A73A" w14:textId="77777777" w:rsidTr="00823664">
        <w:trPr>
          <w:trHeight w:val="1008"/>
        </w:trPr>
        <w:tc>
          <w:tcPr>
            <w:tcW w:w="9640" w:type="dxa"/>
            <w:gridSpan w:val="8"/>
            <w:tcBorders>
              <w:top w:val="single" w:sz="4" w:space="0" w:color="auto"/>
            </w:tcBorders>
          </w:tcPr>
          <w:p w14:paraId="3C0A23E7" w14:textId="1F59C990" w:rsidR="56C3D4F7" w:rsidRDefault="56C3D4F7" w:rsidP="000C6B57">
            <w:pPr>
              <w:spacing w:before="120"/>
            </w:pPr>
            <w:r w:rsidRPr="5D88B433">
              <w:rPr>
                <w:rFonts w:ascii="Arial" w:eastAsia="Arial" w:hAnsi="Arial" w:cs="Arial"/>
                <w:sz w:val="16"/>
                <w:szCs w:val="16"/>
              </w:rPr>
              <w:t>Notes:</w:t>
            </w:r>
          </w:p>
          <w:p w14:paraId="000B3723" w14:textId="4CF599C3" w:rsidR="56C3D4F7" w:rsidRPr="004C61C6" w:rsidRDefault="56C3D4F7" w:rsidP="5D88B433">
            <w:pPr>
              <w:pStyle w:val="ListParagraph"/>
              <w:numPr>
                <w:ilvl w:val="0"/>
                <w:numId w:val="34"/>
              </w:numPr>
              <w:rPr>
                <w:rFonts w:asciiTheme="minorHAnsi" w:eastAsiaTheme="minorEastAsia" w:hAnsiTheme="minorHAnsi" w:cstheme="minorBidi"/>
                <w:sz w:val="16"/>
                <w:szCs w:val="16"/>
              </w:rPr>
            </w:pPr>
            <w:r w:rsidRPr="5D88B433">
              <w:rPr>
                <w:rFonts w:ascii="Arial" w:eastAsia="Arial" w:hAnsi="Arial" w:cs="Arial"/>
                <w:sz w:val="16"/>
                <w:szCs w:val="16"/>
              </w:rPr>
              <w:t xml:space="preserve">High, medium and low provide only a broad indication </w:t>
            </w:r>
            <w:r w:rsidR="00FE4F18" w:rsidRPr="5D88B433">
              <w:rPr>
                <w:rFonts w:ascii="Arial" w:eastAsia="Arial" w:hAnsi="Arial" w:cs="Arial"/>
                <w:sz w:val="16"/>
                <w:szCs w:val="16"/>
              </w:rPr>
              <w:t xml:space="preserve">of </w:t>
            </w:r>
            <w:r w:rsidRPr="5D88B433">
              <w:rPr>
                <w:rFonts w:ascii="Arial" w:eastAsia="Arial" w:hAnsi="Arial" w:cs="Arial"/>
                <w:sz w:val="16"/>
                <w:szCs w:val="16"/>
              </w:rPr>
              <w:t>the model weighting</w:t>
            </w:r>
            <w:r w:rsidR="006658A1" w:rsidRPr="5D88B433">
              <w:rPr>
                <w:rFonts w:ascii="Arial" w:eastAsia="Arial" w:hAnsi="Arial" w:cs="Arial"/>
                <w:sz w:val="16"/>
                <w:szCs w:val="16"/>
              </w:rPr>
              <w:t xml:space="preserve"> for illustration</w:t>
            </w:r>
            <w:r w:rsidRPr="5D88B433">
              <w:rPr>
                <w:rFonts w:ascii="Arial" w:eastAsia="Arial" w:hAnsi="Arial" w:cs="Arial"/>
                <w:sz w:val="16"/>
                <w:szCs w:val="16"/>
              </w:rPr>
              <w:t xml:space="preserve">.  </w:t>
            </w:r>
          </w:p>
          <w:p w14:paraId="7706D71A" w14:textId="4C7FF2FC" w:rsidR="56C3D4F7" w:rsidRDefault="56C3D4F7" w:rsidP="5D88B433">
            <w:pPr>
              <w:pStyle w:val="ListParagraph"/>
              <w:numPr>
                <w:ilvl w:val="0"/>
                <w:numId w:val="34"/>
              </w:numPr>
              <w:rPr>
                <w:rFonts w:asciiTheme="minorHAnsi" w:eastAsiaTheme="minorEastAsia" w:hAnsiTheme="minorHAnsi" w:cstheme="minorBidi"/>
                <w:i/>
                <w:iCs/>
                <w:sz w:val="16"/>
                <w:szCs w:val="16"/>
              </w:rPr>
            </w:pPr>
            <w:r w:rsidRPr="5D88B433">
              <w:rPr>
                <w:rFonts w:ascii="Arial" w:eastAsia="Arial" w:hAnsi="Arial" w:cs="Arial"/>
                <w:sz w:val="16"/>
                <w:szCs w:val="16"/>
              </w:rPr>
              <w:t xml:space="preserve">N/A here indicates only that the factor is not directly included as a variable in the relevant forecasting </w:t>
            </w:r>
            <w:proofErr w:type="gramStart"/>
            <w:r w:rsidRPr="5D88B433">
              <w:rPr>
                <w:rFonts w:ascii="Arial" w:eastAsia="Arial" w:hAnsi="Arial" w:cs="Arial"/>
                <w:sz w:val="16"/>
                <w:szCs w:val="16"/>
              </w:rPr>
              <w:t>model, and</w:t>
            </w:r>
            <w:proofErr w:type="gramEnd"/>
            <w:r w:rsidRPr="5D88B433">
              <w:rPr>
                <w:rFonts w:ascii="Arial" w:eastAsia="Arial" w:hAnsi="Arial" w:cs="Arial"/>
                <w:sz w:val="16"/>
                <w:szCs w:val="16"/>
              </w:rPr>
              <w:t xml:space="preserve"> does not signify </w:t>
            </w:r>
            <w:r w:rsidR="000415D3" w:rsidRPr="5D88B433">
              <w:rPr>
                <w:rFonts w:ascii="Arial" w:eastAsia="Arial" w:hAnsi="Arial" w:cs="Arial"/>
                <w:sz w:val="16"/>
                <w:szCs w:val="16"/>
              </w:rPr>
              <w:t>that there is no relationship</w:t>
            </w:r>
            <w:r w:rsidRPr="5D88B433">
              <w:rPr>
                <w:rFonts w:ascii="Arial" w:eastAsia="Arial" w:hAnsi="Arial" w:cs="Arial"/>
                <w:sz w:val="16"/>
                <w:szCs w:val="16"/>
              </w:rPr>
              <w:t xml:space="preserve"> between the respective variable and tax head.</w:t>
            </w:r>
          </w:p>
        </w:tc>
      </w:tr>
    </w:tbl>
    <w:p w14:paraId="4E5BB533" w14:textId="48866F8A" w:rsidR="56C3D4F7" w:rsidRDefault="56C3D4F7" w:rsidP="00A771A4">
      <w:pPr>
        <w:rPr>
          <w:rFonts w:eastAsia="Arial"/>
        </w:rPr>
      </w:pPr>
    </w:p>
    <w:p w14:paraId="4A80DFF6" w14:textId="55B98672" w:rsidR="00BD0DC6" w:rsidRDefault="00F21A52" w:rsidP="00D75D75">
      <w:pPr>
        <w:pStyle w:val="BodyText"/>
      </w:pPr>
      <w:r>
        <w:t xml:space="preserve">Payroll tax </w:t>
      </w:r>
      <w:r w:rsidR="5250993D">
        <w:t>typically</w:t>
      </w:r>
      <w:r>
        <w:t xml:space="preserve"> generates more revenue than any other </w:t>
      </w:r>
      <w:r w:rsidR="00F6349D">
        <w:t>State tax</w:t>
      </w:r>
      <w:r w:rsidR="002E0E70">
        <w:t xml:space="preserve">, </w:t>
      </w:r>
      <w:r>
        <w:t>including transfer duty. T</w:t>
      </w:r>
      <w:r w:rsidR="002E0E70">
        <w:t>he</w:t>
      </w:r>
      <w:r w:rsidR="00F6349D">
        <w:t xml:space="preserve"> main driver of payroll tax is total </w:t>
      </w:r>
      <w:r w:rsidR="002E0E70">
        <w:t xml:space="preserve">employee </w:t>
      </w:r>
      <w:r w:rsidR="00F6349D">
        <w:t>compensation</w:t>
      </w:r>
      <w:r w:rsidR="7314F788">
        <w:t>, which in turn is a function of both wage and employment levels</w:t>
      </w:r>
      <w:r w:rsidR="00F6349D">
        <w:t>.</w:t>
      </w:r>
      <w:r w:rsidR="00E87F4C">
        <w:t xml:space="preserve"> </w:t>
      </w:r>
      <w:r w:rsidR="0F7FFBED">
        <w:t xml:space="preserve">COVID-19 </w:t>
      </w:r>
      <w:r w:rsidR="21155054">
        <w:t xml:space="preserve">has </w:t>
      </w:r>
      <w:r w:rsidR="461918D8">
        <w:t>significant</w:t>
      </w:r>
      <w:r w:rsidR="278E5B08">
        <w:t>ly affected</w:t>
      </w:r>
      <w:r w:rsidR="042B8090">
        <w:t xml:space="preserve"> </w:t>
      </w:r>
      <w:r w:rsidR="00E323D2">
        <w:t xml:space="preserve">both </w:t>
      </w:r>
      <w:r w:rsidR="338EDF28">
        <w:t>the</w:t>
      </w:r>
      <w:r w:rsidR="2836E554">
        <w:t xml:space="preserve"> </w:t>
      </w:r>
      <w:r w:rsidR="5A52F1B2">
        <w:t xml:space="preserve">level of employment and </w:t>
      </w:r>
      <w:r w:rsidR="0ECB28A1">
        <w:t>wage</w:t>
      </w:r>
      <w:r w:rsidR="27DEC689">
        <w:t xml:space="preserve"> </w:t>
      </w:r>
      <w:r w:rsidR="0FEEFC58">
        <w:t>growth</w:t>
      </w:r>
      <w:r w:rsidR="00E323D2">
        <w:t>. All</w:t>
      </w:r>
      <w:r w:rsidR="338EDF28">
        <w:t xml:space="preserve"> </w:t>
      </w:r>
      <w:r w:rsidR="1D525A34">
        <w:t xml:space="preserve">industries </w:t>
      </w:r>
      <w:r w:rsidR="00E323D2">
        <w:t>have been impacted but some particularly so</w:t>
      </w:r>
      <w:r w:rsidR="7C64E88A">
        <w:t>:</w:t>
      </w:r>
      <w:r w:rsidR="00E323D2">
        <w:t xml:space="preserve"> </w:t>
      </w:r>
      <w:r w:rsidR="64961429">
        <w:t>hospitalit</w:t>
      </w:r>
      <w:r w:rsidR="3AFAC257">
        <w:t>y</w:t>
      </w:r>
      <w:r w:rsidR="0C1072E7">
        <w:t xml:space="preserve">, </w:t>
      </w:r>
      <w:r w:rsidR="3BC8C6F4">
        <w:t>tourism</w:t>
      </w:r>
      <w:r w:rsidR="0C1072E7">
        <w:t>, arts, entertainment</w:t>
      </w:r>
      <w:r w:rsidR="5D90C032">
        <w:t>, gaming</w:t>
      </w:r>
      <w:r w:rsidR="0C1072E7">
        <w:t xml:space="preserve"> and recreation</w:t>
      </w:r>
      <w:r w:rsidR="338EDF28">
        <w:t xml:space="preserve">. </w:t>
      </w:r>
      <w:r w:rsidR="4F0EB0B1">
        <w:t xml:space="preserve">In the short term, much </w:t>
      </w:r>
      <w:r w:rsidR="7C64E88A">
        <w:t>of the</w:t>
      </w:r>
      <w:r w:rsidDel="5470CF72">
        <w:t xml:space="preserve"> </w:t>
      </w:r>
      <w:r w:rsidR="4324B9B8">
        <w:t>negative impact</w:t>
      </w:r>
      <w:r w:rsidR="5470CF72">
        <w:t xml:space="preserve"> </w:t>
      </w:r>
      <w:r w:rsidR="34510458">
        <w:t xml:space="preserve">of the pandemic </w:t>
      </w:r>
      <w:r w:rsidR="5470CF72">
        <w:t>on payroll tax</w:t>
      </w:r>
      <w:r w:rsidR="478CE2AD">
        <w:t xml:space="preserve"> </w:t>
      </w:r>
      <w:r w:rsidR="484C9C41">
        <w:t>revenues</w:t>
      </w:r>
      <w:r w:rsidR="478CE2AD">
        <w:t xml:space="preserve"> </w:t>
      </w:r>
      <w:r w:rsidR="228A2C65">
        <w:t>has been</w:t>
      </w:r>
      <w:r w:rsidR="0863CB5A">
        <w:t xml:space="preserve"> mitigated by the</w:t>
      </w:r>
      <w:r w:rsidR="7A5B17F3">
        <w:t xml:space="preserve"> </w:t>
      </w:r>
      <w:r w:rsidR="76C4FE42">
        <w:t>Commonwealth Government</w:t>
      </w:r>
      <w:r w:rsidR="3C49E5DB">
        <w:t>’s</w:t>
      </w:r>
      <w:r w:rsidR="2394101C">
        <w:t xml:space="preserve"> </w:t>
      </w:r>
      <w:proofErr w:type="spellStart"/>
      <w:r w:rsidR="6A36BD5C">
        <w:t>JobKeeper</w:t>
      </w:r>
      <w:proofErr w:type="spellEnd"/>
      <w:r w:rsidR="6A36BD5C">
        <w:t xml:space="preserve"> subsidy scheme</w:t>
      </w:r>
      <w:r w:rsidR="6812FC23">
        <w:t>.</w:t>
      </w:r>
      <w:r w:rsidR="41BD5316">
        <w:t xml:space="preserve"> </w:t>
      </w:r>
      <w:r w:rsidR="2252EBCB">
        <w:t xml:space="preserve">Any longer-term impacts on employment and wage levels, however, will affect future revenues. </w:t>
      </w:r>
    </w:p>
    <w:p w14:paraId="0989F79D" w14:textId="4FE8804D" w:rsidR="007667AC" w:rsidRDefault="2252EBCB" w:rsidP="00D75D75">
      <w:pPr>
        <w:pStyle w:val="BodyText"/>
      </w:pPr>
      <w:r>
        <w:t xml:space="preserve">Table </w:t>
      </w:r>
      <w:r w:rsidRPr="00951842">
        <w:t>B.</w:t>
      </w:r>
      <w:r w:rsidR="00DE1A4D" w:rsidRPr="00951842">
        <w:t>3</w:t>
      </w:r>
      <w:r>
        <w:t xml:space="preserve"> denotes the sensitivity of forecast payroll tax to a one percentage point increase in employment and wages respectively.</w:t>
      </w:r>
    </w:p>
    <w:p w14:paraId="258EFA71" w14:textId="5CFB33F9" w:rsidR="004B69CB" w:rsidRDefault="004B69CB" w:rsidP="004B69CB">
      <w:pPr>
        <w:pStyle w:val="Table4X"/>
      </w:pPr>
      <w:r>
        <w:t xml:space="preserve">Revenue </w:t>
      </w:r>
      <w:r w:rsidRPr="004B69CB">
        <w:rPr>
          <w:rFonts w:eastAsia="Arial"/>
        </w:rPr>
        <w:t>sensitivities</w:t>
      </w:r>
      <w:r w:rsidRPr="26F4B17E">
        <w:rPr>
          <w:rFonts w:eastAsia="Arial"/>
        </w:rPr>
        <w:t xml:space="preserve"> – Payroll tax</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B.2: Revenue sensitivities – Payroll tax"/>
        <w:tblDescription w:val="Table B.2: Revenue sensitivities – Payroll tax"/>
      </w:tblPr>
      <w:tblGrid>
        <w:gridCol w:w="3261"/>
        <w:gridCol w:w="1098"/>
        <w:gridCol w:w="1099"/>
        <w:gridCol w:w="1098"/>
        <w:gridCol w:w="1099"/>
        <w:gridCol w:w="1984"/>
      </w:tblGrid>
      <w:tr w:rsidR="004B34E0" w:rsidRPr="00F443AF" w14:paraId="514CD57D" w14:textId="77777777" w:rsidTr="004B34E0">
        <w:trPr>
          <w:trHeight w:val="283"/>
        </w:trPr>
        <w:tc>
          <w:tcPr>
            <w:tcW w:w="3261" w:type="dxa"/>
            <w:vMerge w:val="restart"/>
            <w:shd w:val="clear" w:color="auto" w:fill="008EBA"/>
            <w:vAlign w:val="center"/>
          </w:tcPr>
          <w:p w14:paraId="7841900E" w14:textId="61F2BFD8" w:rsidR="004B34E0" w:rsidRPr="00F443AF" w:rsidRDefault="004B34E0" w:rsidP="004B34E0">
            <w:pPr>
              <w:rPr>
                <w:rFonts w:ascii="Arial" w:eastAsia="Arial" w:hAnsi="Arial" w:cs="Arial"/>
                <w:color w:val="FFFFFF" w:themeColor="background1"/>
                <w:sz w:val="18"/>
                <w:szCs w:val="18"/>
              </w:rPr>
            </w:pPr>
            <w:r w:rsidRPr="00F443AF">
              <w:rPr>
                <w:rFonts w:ascii="Arial" w:eastAsia="Arial" w:hAnsi="Arial" w:cs="Arial"/>
                <w:color w:val="FFFFFF" w:themeColor="background1"/>
                <w:sz w:val="18"/>
                <w:szCs w:val="18"/>
              </w:rPr>
              <w:t>Factors affecting payroll tax</w:t>
            </w:r>
          </w:p>
        </w:tc>
        <w:tc>
          <w:tcPr>
            <w:tcW w:w="1098" w:type="dxa"/>
            <w:shd w:val="clear" w:color="auto" w:fill="008EBA"/>
            <w:vAlign w:val="bottom"/>
          </w:tcPr>
          <w:p w14:paraId="5A36548A" w14:textId="2EB2D195" w:rsidR="004B34E0" w:rsidRPr="00F443AF" w:rsidRDefault="004B34E0" w:rsidP="004B34E0">
            <w:pPr>
              <w:jc w:val="center"/>
              <w:rPr>
                <w:rFonts w:ascii="Arial" w:eastAsia="Arial" w:hAnsi="Arial" w:cs="Arial"/>
                <w:color w:val="FFFFFF" w:themeColor="background1"/>
                <w:sz w:val="18"/>
                <w:szCs w:val="18"/>
              </w:rPr>
            </w:pPr>
            <w:r w:rsidRPr="00F443AF">
              <w:rPr>
                <w:rFonts w:ascii="Arial" w:eastAsia="Arial" w:hAnsi="Arial" w:cs="Arial"/>
                <w:color w:val="FFFFFF" w:themeColor="background1"/>
                <w:sz w:val="18"/>
                <w:szCs w:val="18"/>
              </w:rPr>
              <w:t>2020-21</w:t>
            </w:r>
          </w:p>
        </w:tc>
        <w:tc>
          <w:tcPr>
            <w:tcW w:w="1099" w:type="dxa"/>
            <w:shd w:val="clear" w:color="auto" w:fill="008EBA"/>
            <w:vAlign w:val="bottom"/>
          </w:tcPr>
          <w:p w14:paraId="22ADD4EC" w14:textId="018B09BD" w:rsidR="004B34E0" w:rsidRPr="00F443AF" w:rsidRDefault="004B34E0" w:rsidP="004B34E0">
            <w:pPr>
              <w:jc w:val="center"/>
              <w:rPr>
                <w:rFonts w:ascii="Arial" w:eastAsia="Arial" w:hAnsi="Arial" w:cs="Arial"/>
                <w:color w:val="FFFFFF" w:themeColor="background1"/>
                <w:sz w:val="18"/>
                <w:szCs w:val="18"/>
              </w:rPr>
            </w:pPr>
            <w:r w:rsidRPr="00F443AF">
              <w:rPr>
                <w:rFonts w:ascii="Arial" w:eastAsia="Arial" w:hAnsi="Arial" w:cs="Arial"/>
                <w:color w:val="FFFFFF" w:themeColor="background1"/>
                <w:sz w:val="18"/>
                <w:szCs w:val="18"/>
              </w:rPr>
              <w:t>2021-22</w:t>
            </w:r>
          </w:p>
        </w:tc>
        <w:tc>
          <w:tcPr>
            <w:tcW w:w="1098" w:type="dxa"/>
            <w:shd w:val="clear" w:color="auto" w:fill="008EBA"/>
            <w:vAlign w:val="bottom"/>
          </w:tcPr>
          <w:p w14:paraId="1479A4EC" w14:textId="2E011F99" w:rsidR="004B34E0" w:rsidRPr="00F443AF" w:rsidRDefault="004B34E0" w:rsidP="004B34E0">
            <w:pPr>
              <w:jc w:val="center"/>
              <w:rPr>
                <w:rFonts w:ascii="Arial" w:eastAsia="Arial" w:hAnsi="Arial" w:cs="Arial"/>
                <w:color w:val="FFFFFF" w:themeColor="background1"/>
                <w:sz w:val="18"/>
                <w:szCs w:val="18"/>
              </w:rPr>
            </w:pPr>
            <w:r w:rsidRPr="00F443AF">
              <w:rPr>
                <w:rFonts w:ascii="Arial" w:eastAsia="Arial" w:hAnsi="Arial" w:cs="Arial"/>
                <w:color w:val="FFFFFF" w:themeColor="background1"/>
                <w:sz w:val="18"/>
                <w:szCs w:val="18"/>
              </w:rPr>
              <w:t>2022-23</w:t>
            </w:r>
          </w:p>
        </w:tc>
        <w:tc>
          <w:tcPr>
            <w:tcW w:w="1099" w:type="dxa"/>
            <w:shd w:val="clear" w:color="auto" w:fill="008EBA"/>
            <w:vAlign w:val="bottom"/>
          </w:tcPr>
          <w:p w14:paraId="187063CB" w14:textId="3B6ABA8C" w:rsidR="004B34E0" w:rsidRPr="00F443AF" w:rsidRDefault="004B34E0" w:rsidP="004B34E0">
            <w:pPr>
              <w:jc w:val="center"/>
              <w:rPr>
                <w:rFonts w:ascii="Arial" w:eastAsia="Arial" w:hAnsi="Arial" w:cs="Arial"/>
                <w:color w:val="FFFFFF" w:themeColor="background1"/>
                <w:sz w:val="18"/>
                <w:szCs w:val="18"/>
              </w:rPr>
            </w:pPr>
            <w:r w:rsidRPr="00F443AF">
              <w:rPr>
                <w:rFonts w:ascii="Arial" w:eastAsia="Arial" w:hAnsi="Arial" w:cs="Arial"/>
                <w:color w:val="FFFFFF" w:themeColor="background1"/>
                <w:sz w:val="18"/>
                <w:szCs w:val="18"/>
              </w:rPr>
              <w:t>2023-24</w:t>
            </w:r>
          </w:p>
        </w:tc>
        <w:tc>
          <w:tcPr>
            <w:tcW w:w="1984" w:type="dxa"/>
            <w:vMerge w:val="restart"/>
            <w:shd w:val="clear" w:color="auto" w:fill="4B5051"/>
            <w:vAlign w:val="center"/>
          </w:tcPr>
          <w:p w14:paraId="3AD77ADA" w14:textId="205A58A2" w:rsidR="004B34E0" w:rsidRPr="00F443AF" w:rsidRDefault="004B34E0" w:rsidP="004B34E0">
            <w:pPr>
              <w:jc w:val="center"/>
              <w:rPr>
                <w:rFonts w:ascii="Arial" w:eastAsia="Arial" w:hAnsi="Arial" w:cs="Arial"/>
                <w:color w:val="FFFFFF" w:themeColor="background1"/>
                <w:sz w:val="18"/>
                <w:szCs w:val="18"/>
              </w:rPr>
            </w:pPr>
            <w:r w:rsidRPr="00F443AF">
              <w:rPr>
                <w:rFonts w:ascii="Arial" w:eastAsia="Arial" w:hAnsi="Arial" w:cs="Arial"/>
                <w:color w:val="FFFFFF" w:themeColor="background1"/>
                <w:sz w:val="18"/>
                <w:szCs w:val="18"/>
              </w:rPr>
              <w:t>Sensitivity</w:t>
            </w:r>
          </w:p>
        </w:tc>
      </w:tr>
      <w:tr w:rsidR="004B34E0" w:rsidRPr="00F443AF" w14:paraId="7E9CE21C" w14:textId="77777777" w:rsidTr="004B34E0">
        <w:trPr>
          <w:trHeight w:val="283"/>
        </w:trPr>
        <w:tc>
          <w:tcPr>
            <w:tcW w:w="3261" w:type="dxa"/>
            <w:vMerge/>
          </w:tcPr>
          <w:p w14:paraId="122B09B1" w14:textId="77777777" w:rsidR="004B34E0" w:rsidRPr="00F443AF" w:rsidRDefault="004B34E0">
            <w:pPr>
              <w:rPr>
                <w:sz w:val="18"/>
                <w:szCs w:val="18"/>
              </w:rPr>
            </w:pPr>
          </w:p>
        </w:tc>
        <w:tc>
          <w:tcPr>
            <w:tcW w:w="2197" w:type="dxa"/>
            <w:gridSpan w:val="2"/>
            <w:shd w:val="clear" w:color="auto" w:fill="008EBA"/>
          </w:tcPr>
          <w:p w14:paraId="7CB8E6BC" w14:textId="77777777" w:rsidR="004B34E0" w:rsidRPr="00F443AF" w:rsidRDefault="004B34E0" w:rsidP="003A44F7">
            <w:pPr>
              <w:jc w:val="center"/>
              <w:rPr>
                <w:rFonts w:ascii="Arial" w:eastAsia="Arial" w:hAnsi="Arial" w:cs="Arial"/>
                <w:color w:val="FFFFFF" w:themeColor="background1"/>
                <w:sz w:val="18"/>
                <w:szCs w:val="18"/>
              </w:rPr>
            </w:pPr>
            <w:r w:rsidRPr="00F443AF">
              <w:rPr>
                <w:rFonts w:ascii="Arial" w:eastAsia="Arial" w:hAnsi="Arial" w:cs="Arial"/>
                <w:color w:val="FFFFFF" w:themeColor="background1"/>
                <w:sz w:val="18"/>
                <w:szCs w:val="18"/>
              </w:rPr>
              <w:t>Budget</w:t>
            </w:r>
          </w:p>
        </w:tc>
        <w:tc>
          <w:tcPr>
            <w:tcW w:w="2197" w:type="dxa"/>
            <w:gridSpan w:val="2"/>
            <w:shd w:val="clear" w:color="auto" w:fill="008EBA"/>
          </w:tcPr>
          <w:p w14:paraId="09CB5B6D" w14:textId="0B975A96" w:rsidR="004B34E0" w:rsidRPr="00F443AF" w:rsidRDefault="004B34E0" w:rsidP="003A44F7">
            <w:pPr>
              <w:jc w:val="center"/>
              <w:rPr>
                <w:rFonts w:ascii="Arial" w:eastAsia="Arial" w:hAnsi="Arial" w:cs="Arial"/>
                <w:color w:val="FFFFFF" w:themeColor="background1"/>
                <w:sz w:val="18"/>
                <w:szCs w:val="18"/>
              </w:rPr>
            </w:pPr>
            <w:r w:rsidRPr="00F443AF">
              <w:rPr>
                <w:rFonts w:ascii="Arial" w:eastAsia="Arial" w:hAnsi="Arial" w:cs="Arial"/>
                <w:color w:val="FFFFFF" w:themeColor="background1"/>
                <w:sz w:val="18"/>
                <w:szCs w:val="18"/>
              </w:rPr>
              <w:t>Forward estimates</w:t>
            </w:r>
          </w:p>
        </w:tc>
        <w:tc>
          <w:tcPr>
            <w:tcW w:w="1984" w:type="dxa"/>
            <w:vMerge/>
            <w:shd w:val="clear" w:color="auto" w:fill="4B5051"/>
          </w:tcPr>
          <w:p w14:paraId="597F2AE1" w14:textId="77777777" w:rsidR="004B34E0" w:rsidRPr="00F443AF" w:rsidRDefault="004B34E0" w:rsidP="003A44F7">
            <w:pPr>
              <w:jc w:val="center"/>
              <w:rPr>
                <w:rFonts w:ascii="Arial" w:eastAsia="Arial" w:hAnsi="Arial" w:cs="Arial"/>
                <w:color w:val="FFFFFF" w:themeColor="background1"/>
                <w:sz w:val="18"/>
                <w:szCs w:val="18"/>
              </w:rPr>
            </w:pPr>
          </w:p>
        </w:tc>
      </w:tr>
      <w:tr w:rsidR="004B34E0" w:rsidRPr="00F443AF" w14:paraId="7A7AF068" w14:textId="77777777" w:rsidTr="004B34E0">
        <w:trPr>
          <w:trHeight w:val="283"/>
        </w:trPr>
        <w:tc>
          <w:tcPr>
            <w:tcW w:w="3261" w:type="dxa"/>
            <w:shd w:val="clear" w:color="auto" w:fill="00426F"/>
          </w:tcPr>
          <w:p w14:paraId="2EA717BF" w14:textId="121E1102" w:rsidR="004B34E0" w:rsidRPr="00F443AF" w:rsidRDefault="004B34E0">
            <w:pPr>
              <w:rPr>
                <w:sz w:val="18"/>
                <w:szCs w:val="18"/>
              </w:rPr>
            </w:pPr>
          </w:p>
        </w:tc>
        <w:tc>
          <w:tcPr>
            <w:tcW w:w="1098" w:type="dxa"/>
            <w:shd w:val="clear" w:color="auto" w:fill="00426F"/>
          </w:tcPr>
          <w:p w14:paraId="47DFA617" w14:textId="73904494" w:rsidR="004B34E0" w:rsidRPr="00F443AF" w:rsidRDefault="004B34E0" w:rsidP="003A44F7">
            <w:pPr>
              <w:jc w:val="center"/>
              <w:rPr>
                <w:rFonts w:ascii="Arial" w:eastAsia="Arial" w:hAnsi="Arial" w:cs="Arial"/>
                <w:color w:val="FFFFFF" w:themeColor="background1"/>
                <w:sz w:val="18"/>
                <w:szCs w:val="18"/>
              </w:rPr>
            </w:pPr>
            <w:r w:rsidRPr="00F443AF">
              <w:rPr>
                <w:rFonts w:ascii="Arial" w:eastAsia="Arial" w:hAnsi="Arial" w:cs="Arial"/>
                <w:color w:val="FFFFFF" w:themeColor="background1"/>
                <w:sz w:val="18"/>
                <w:szCs w:val="18"/>
              </w:rPr>
              <w:t>$m</w:t>
            </w:r>
          </w:p>
        </w:tc>
        <w:tc>
          <w:tcPr>
            <w:tcW w:w="1099" w:type="dxa"/>
            <w:shd w:val="clear" w:color="auto" w:fill="00426F"/>
          </w:tcPr>
          <w:p w14:paraId="6E8EC077" w14:textId="738405E1" w:rsidR="004B34E0" w:rsidRPr="00F443AF" w:rsidRDefault="004B34E0" w:rsidP="003A44F7">
            <w:pPr>
              <w:jc w:val="center"/>
              <w:rPr>
                <w:rFonts w:ascii="Arial" w:eastAsia="Arial" w:hAnsi="Arial" w:cs="Arial"/>
                <w:color w:val="FFFFFF" w:themeColor="background1"/>
                <w:sz w:val="18"/>
                <w:szCs w:val="18"/>
              </w:rPr>
            </w:pPr>
            <w:r w:rsidRPr="00F443AF">
              <w:rPr>
                <w:rFonts w:ascii="Arial" w:eastAsia="Arial" w:hAnsi="Arial" w:cs="Arial"/>
                <w:color w:val="FFFFFF" w:themeColor="background1"/>
                <w:sz w:val="18"/>
                <w:szCs w:val="18"/>
              </w:rPr>
              <w:t>$m</w:t>
            </w:r>
          </w:p>
        </w:tc>
        <w:tc>
          <w:tcPr>
            <w:tcW w:w="1098" w:type="dxa"/>
            <w:shd w:val="clear" w:color="auto" w:fill="00426F"/>
          </w:tcPr>
          <w:p w14:paraId="757A920F" w14:textId="4CF4B698" w:rsidR="004B34E0" w:rsidRPr="00F443AF" w:rsidRDefault="004B34E0" w:rsidP="003A44F7">
            <w:pPr>
              <w:jc w:val="center"/>
              <w:rPr>
                <w:rFonts w:ascii="Arial" w:eastAsia="Arial" w:hAnsi="Arial" w:cs="Arial"/>
                <w:color w:val="FFFFFF" w:themeColor="background1"/>
                <w:sz w:val="18"/>
                <w:szCs w:val="18"/>
              </w:rPr>
            </w:pPr>
            <w:r w:rsidRPr="00F443AF">
              <w:rPr>
                <w:rFonts w:ascii="Arial" w:eastAsia="Arial" w:hAnsi="Arial" w:cs="Arial"/>
                <w:color w:val="FFFFFF" w:themeColor="background1"/>
                <w:sz w:val="18"/>
                <w:szCs w:val="18"/>
              </w:rPr>
              <w:t>$m</w:t>
            </w:r>
          </w:p>
        </w:tc>
        <w:tc>
          <w:tcPr>
            <w:tcW w:w="1099" w:type="dxa"/>
            <w:shd w:val="clear" w:color="auto" w:fill="00426F"/>
          </w:tcPr>
          <w:p w14:paraId="3C795BB3" w14:textId="225BC921" w:rsidR="004B34E0" w:rsidRPr="00F443AF" w:rsidRDefault="004B34E0" w:rsidP="003A44F7">
            <w:pPr>
              <w:jc w:val="center"/>
              <w:rPr>
                <w:rFonts w:ascii="Arial" w:eastAsia="Arial" w:hAnsi="Arial" w:cs="Arial"/>
                <w:color w:val="FFFFFF" w:themeColor="background1"/>
                <w:sz w:val="18"/>
                <w:szCs w:val="18"/>
              </w:rPr>
            </w:pPr>
            <w:r w:rsidRPr="00F443AF">
              <w:rPr>
                <w:rFonts w:ascii="Arial" w:eastAsia="Arial" w:hAnsi="Arial" w:cs="Arial"/>
                <w:color w:val="FFFFFF" w:themeColor="background1"/>
                <w:sz w:val="18"/>
                <w:szCs w:val="18"/>
              </w:rPr>
              <w:t>$m</w:t>
            </w:r>
          </w:p>
        </w:tc>
        <w:tc>
          <w:tcPr>
            <w:tcW w:w="1984" w:type="dxa"/>
            <w:vMerge/>
            <w:shd w:val="clear" w:color="auto" w:fill="4B5051"/>
          </w:tcPr>
          <w:p w14:paraId="09201F1D" w14:textId="640AE8A8" w:rsidR="004B34E0" w:rsidRPr="00F443AF" w:rsidRDefault="004B34E0" w:rsidP="003A44F7">
            <w:pPr>
              <w:jc w:val="center"/>
              <w:rPr>
                <w:rFonts w:ascii="Arial" w:eastAsia="Arial" w:hAnsi="Arial" w:cs="Arial"/>
                <w:color w:val="FFFFFF" w:themeColor="background1"/>
                <w:sz w:val="18"/>
                <w:szCs w:val="18"/>
              </w:rPr>
            </w:pPr>
          </w:p>
        </w:tc>
      </w:tr>
      <w:tr w:rsidR="00F95020" w:rsidRPr="00F443AF" w14:paraId="1B040BB5" w14:textId="77777777" w:rsidTr="00D976BA">
        <w:trPr>
          <w:trHeight w:val="283"/>
        </w:trPr>
        <w:tc>
          <w:tcPr>
            <w:tcW w:w="3261" w:type="dxa"/>
          </w:tcPr>
          <w:p w14:paraId="278F596B" w14:textId="2A8AEB78" w:rsidR="00F95020" w:rsidRPr="00F443AF" w:rsidRDefault="00F95020" w:rsidP="00E8769A">
            <w:pPr>
              <w:spacing w:before="60"/>
              <w:rPr>
                <w:rFonts w:ascii="Arial" w:eastAsia="Arial" w:hAnsi="Arial" w:cs="Arial"/>
                <w:sz w:val="18"/>
                <w:szCs w:val="18"/>
              </w:rPr>
            </w:pPr>
            <w:r w:rsidRPr="00F443AF">
              <w:rPr>
                <w:rFonts w:ascii="Arial" w:eastAsia="Arial" w:hAnsi="Arial" w:cs="Arial"/>
                <w:sz w:val="18"/>
                <w:szCs w:val="18"/>
              </w:rPr>
              <w:t>Average compensation of employees</w:t>
            </w:r>
          </w:p>
        </w:tc>
        <w:tc>
          <w:tcPr>
            <w:tcW w:w="1098" w:type="dxa"/>
          </w:tcPr>
          <w:p w14:paraId="41661AB7" w14:textId="2E781D48" w:rsidR="00F95020" w:rsidRPr="00F443AF" w:rsidRDefault="00F95020" w:rsidP="00E8769A">
            <w:pPr>
              <w:spacing w:before="60"/>
              <w:jc w:val="center"/>
              <w:rPr>
                <w:rFonts w:ascii="Arial" w:eastAsia="Arial" w:hAnsi="Arial" w:cs="Arial"/>
                <w:sz w:val="18"/>
                <w:szCs w:val="18"/>
              </w:rPr>
            </w:pPr>
            <w:r w:rsidRPr="00F443AF">
              <w:rPr>
                <w:rFonts w:ascii="Arial" w:eastAsia="Arial" w:hAnsi="Arial" w:cs="Arial"/>
                <w:sz w:val="18"/>
                <w:szCs w:val="18"/>
              </w:rPr>
              <w:t>109</w:t>
            </w:r>
          </w:p>
        </w:tc>
        <w:tc>
          <w:tcPr>
            <w:tcW w:w="1099" w:type="dxa"/>
            <w:shd w:val="clear" w:color="auto" w:fill="B9BDBF"/>
          </w:tcPr>
          <w:p w14:paraId="051BA4D8" w14:textId="51081FF5" w:rsidR="00F95020" w:rsidRPr="00F443AF" w:rsidRDefault="00F95020" w:rsidP="00E8769A">
            <w:pPr>
              <w:spacing w:before="60"/>
              <w:jc w:val="center"/>
              <w:rPr>
                <w:rFonts w:ascii="Arial" w:eastAsia="Arial" w:hAnsi="Arial" w:cs="Arial"/>
                <w:color w:val="000000" w:themeColor="text1"/>
                <w:sz w:val="18"/>
                <w:szCs w:val="18"/>
              </w:rPr>
            </w:pPr>
            <w:r w:rsidRPr="00F443AF">
              <w:rPr>
                <w:rFonts w:ascii="Arial" w:eastAsia="Arial" w:hAnsi="Arial" w:cs="Arial"/>
                <w:color w:val="000000" w:themeColor="text1"/>
                <w:sz w:val="18"/>
                <w:szCs w:val="18"/>
              </w:rPr>
              <w:t>114</w:t>
            </w:r>
          </w:p>
        </w:tc>
        <w:tc>
          <w:tcPr>
            <w:tcW w:w="1098" w:type="dxa"/>
            <w:shd w:val="clear" w:color="auto" w:fill="B9BDBF"/>
          </w:tcPr>
          <w:p w14:paraId="108F9517" w14:textId="3FBEDAD0" w:rsidR="00F95020" w:rsidRPr="00F443AF" w:rsidRDefault="00F95020" w:rsidP="00E8769A">
            <w:pPr>
              <w:spacing w:before="60"/>
              <w:jc w:val="center"/>
              <w:rPr>
                <w:rFonts w:ascii="Arial" w:eastAsia="Arial" w:hAnsi="Arial" w:cs="Arial"/>
                <w:color w:val="000000" w:themeColor="text1"/>
                <w:sz w:val="18"/>
                <w:szCs w:val="18"/>
              </w:rPr>
            </w:pPr>
            <w:r w:rsidRPr="00F443AF">
              <w:rPr>
                <w:rFonts w:ascii="Arial" w:eastAsia="Arial" w:hAnsi="Arial" w:cs="Arial"/>
                <w:color w:val="000000" w:themeColor="text1"/>
                <w:sz w:val="18"/>
                <w:szCs w:val="18"/>
              </w:rPr>
              <w:t>117</w:t>
            </w:r>
          </w:p>
        </w:tc>
        <w:tc>
          <w:tcPr>
            <w:tcW w:w="1099" w:type="dxa"/>
            <w:shd w:val="clear" w:color="auto" w:fill="B9BDBF"/>
          </w:tcPr>
          <w:p w14:paraId="6F5743AF" w14:textId="17DD2B1E" w:rsidR="00F95020" w:rsidRPr="00F443AF" w:rsidRDefault="00F95020" w:rsidP="00E8769A">
            <w:pPr>
              <w:spacing w:before="60"/>
              <w:jc w:val="center"/>
              <w:rPr>
                <w:rFonts w:ascii="Arial" w:eastAsia="Arial" w:hAnsi="Arial" w:cs="Arial"/>
                <w:color w:val="000000" w:themeColor="text1"/>
                <w:sz w:val="18"/>
                <w:szCs w:val="18"/>
              </w:rPr>
            </w:pPr>
            <w:r w:rsidRPr="00F443AF">
              <w:rPr>
                <w:rFonts w:ascii="Arial" w:eastAsia="Arial" w:hAnsi="Arial" w:cs="Arial"/>
                <w:color w:val="000000" w:themeColor="text1"/>
                <w:sz w:val="18"/>
                <w:szCs w:val="18"/>
              </w:rPr>
              <w:t>120</w:t>
            </w:r>
          </w:p>
        </w:tc>
        <w:tc>
          <w:tcPr>
            <w:tcW w:w="1984" w:type="dxa"/>
          </w:tcPr>
          <w:p w14:paraId="01CC707D" w14:textId="1ACBD14D" w:rsidR="00F95020" w:rsidRPr="00F443AF" w:rsidRDefault="00F95020" w:rsidP="00C72AC6">
            <w:pPr>
              <w:spacing w:before="60"/>
              <w:jc w:val="center"/>
              <w:rPr>
                <w:rFonts w:ascii="Arial" w:eastAsia="Arial" w:hAnsi="Arial" w:cs="Arial"/>
                <w:sz w:val="18"/>
                <w:szCs w:val="18"/>
              </w:rPr>
            </w:pPr>
            <w:r w:rsidRPr="00F443AF">
              <w:rPr>
                <w:rFonts w:ascii="Arial" w:eastAsia="Arial" w:hAnsi="Arial" w:cs="Arial"/>
                <w:sz w:val="18"/>
                <w:szCs w:val="18"/>
              </w:rPr>
              <w:t>Single percentage point increase in factor</w:t>
            </w:r>
          </w:p>
        </w:tc>
      </w:tr>
      <w:tr w:rsidR="26F4B17E" w:rsidRPr="00F443AF" w14:paraId="0F539C4A" w14:textId="77777777" w:rsidTr="00D976BA">
        <w:trPr>
          <w:trHeight w:val="283"/>
        </w:trPr>
        <w:tc>
          <w:tcPr>
            <w:tcW w:w="3261" w:type="dxa"/>
            <w:tcBorders>
              <w:bottom w:val="single" w:sz="4" w:space="0" w:color="auto"/>
            </w:tcBorders>
          </w:tcPr>
          <w:p w14:paraId="0267D8F7" w14:textId="3A93331B" w:rsidR="26F4B17E" w:rsidRPr="00F443AF" w:rsidRDefault="00F95020" w:rsidP="00E8769A">
            <w:pPr>
              <w:spacing w:before="60"/>
              <w:rPr>
                <w:sz w:val="18"/>
                <w:szCs w:val="18"/>
              </w:rPr>
            </w:pPr>
            <w:r w:rsidRPr="00F443AF">
              <w:rPr>
                <w:rFonts w:ascii="Arial" w:eastAsia="Arial" w:hAnsi="Arial" w:cs="Arial"/>
                <w:sz w:val="18"/>
                <w:szCs w:val="18"/>
              </w:rPr>
              <w:t>Employment</w:t>
            </w:r>
          </w:p>
        </w:tc>
        <w:tc>
          <w:tcPr>
            <w:tcW w:w="1098" w:type="dxa"/>
            <w:tcBorders>
              <w:bottom w:val="single" w:sz="4" w:space="0" w:color="auto"/>
            </w:tcBorders>
          </w:tcPr>
          <w:p w14:paraId="7103A670" w14:textId="3C1C6D9F" w:rsidR="26F4B17E" w:rsidRPr="00F443AF" w:rsidRDefault="26F4B17E" w:rsidP="00E8769A">
            <w:pPr>
              <w:spacing w:before="60"/>
              <w:jc w:val="center"/>
              <w:rPr>
                <w:rFonts w:ascii="Arial" w:eastAsia="Arial" w:hAnsi="Arial" w:cs="Arial"/>
                <w:sz w:val="18"/>
                <w:szCs w:val="18"/>
              </w:rPr>
            </w:pPr>
            <w:r w:rsidRPr="00F443AF">
              <w:rPr>
                <w:rFonts w:ascii="Arial" w:eastAsia="Arial" w:hAnsi="Arial" w:cs="Arial"/>
                <w:sz w:val="18"/>
                <w:szCs w:val="18"/>
              </w:rPr>
              <w:t>109</w:t>
            </w:r>
          </w:p>
        </w:tc>
        <w:tc>
          <w:tcPr>
            <w:tcW w:w="1099" w:type="dxa"/>
            <w:tcBorders>
              <w:bottom w:val="single" w:sz="4" w:space="0" w:color="auto"/>
            </w:tcBorders>
            <w:shd w:val="clear" w:color="auto" w:fill="B9BDBF"/>
          </w:tcPr>
          <w:p w14:paraId="29B7EAA7" w14:textId="29A64C4C" w:rsidR="26F4B17E" w:rsidRPr="00F443AF" w:rsidRDefault="26F4B17E" w:rsidP="00E8769A">
            <w:pPr>
              <w:spacing w:before="60"/>
              <w:jc w:val="center"/>
              <w:rPr>
                <w:rFonts w:ascii="Arial" w:eastAsia="Arial" w:hAnsi="Arial" w:cs="Arial"/>
                <w:color w:val="000000" w:themeColor="text1"/>
                <w:sz w:val="18"/>
                <w:szCs w:val="18"/>
              </w:rPr>
            </w:pPr>
            <w:r w:rsidRPr="00F443AF">
              <w:rPr>
                <w:rFonts w:ascii="Arial" w:eastAsia="Arial" w:hAnsi="Arial" w:cs="Arial"/>
                <w:color w:val="000000" w:themeColor="text1"/>
                <w:sz w:val="18"/>
                <w:szCs w:val="18"/>
              </w:rPr>
              <w:t>114</w:t>
            </w:r>
          </w:p>
        </w:tc>
        <w:tc>
          <w:tcPr>
            <w:tcW w:w="1098" w:type="dxa"/>
            <w:tcBorders>
              <w:bottom w:val="single" w:sz="4" w:space="0" w:color="auto"/>
            </w:tcBorders>
            <w:shd w:val="clear" w:color="auto" w:fill="B9BDBF"/>
          </w:tcPr>
          <w:p w14:paraId="7D5CF92E" w14:textId="6BC9C9C9" w:rsidR="26F4B17E" w:rsidRPr="00F443AF" w:rsidRDefault="26F4B17E" w:rsidP="00E8769A">
            <w:pPr>
              <w:spacing w:before="60"/>
              <w:jc w:val="center"/>
              <w:rPr>
                <w:rFonts w:ascii="Arial" w:eastAsia="Arial" w:hAnsi="Arial" w:cs="Arial"/>
                <w:color w:val="000000" w:themeColor="text1"/>
                <w:sz w:val="18"/>
                <w:szCs w:val="18"/>
              </w:rPr>
            </w:pPr>
            <w:r w:rsidRPr="00F443AF">
              <w:rPr>
                <w:rFonts w:ascii="Arial" w:eastAsia="Arial" w:hAnsi="Arial" w:cs="Arial"/>
                <w:color w:val="000000" w:themeColor="text1"/>
                <w:sz w:val="18"/>
                <w:szCs w:val="18"/>
              </w:rPr>
              <w:t>117</w:t>
            </w:r>
          </w:p>
        </w:tc>
        <w:tc>
          <w:tcPr>
            <w:tcW w:w="1099" w:type="dxa"/>
            <w:tcBorders>
              <w:bottom w:val="single" w:sz="4" w:space="0" w:color="auto"/>
            </w:tcBorders>
            <w:shd w:val="clear" w:color="auto" w:fill="B9BDBF"/>
          </w:tcPr>
          <w:p w14:paraId="232C1AB9" w14:textId="374F1D7B" w:rsidR="26F4B17E" w:rsidRPr="00F443AF" w:rsidRDefault="26F4B17E" w:rsidP="00E8769A">
            <w:pPr>
              <w:spacing w:before="60"/>
              <w:jc w:val="center"/>
              <w:rPr>
                <w:rFonts w:ascii="Arial" w:eastAsia="Arial" w:hAnsi="Arial" w:cs="Arial"/>
                <w:color w:val="000000" w:themeColor="text1"/>
                <w:sz w:val="18"/>
                <w:szCs w:val="18"/>
              </w:rPr>
            </w:pPr>
            <w:r w:rsidRPr="00F443AF">
              <w:rPr>
                <w:rFonts w:ascii="Arial" w:eastAsia="Arial" w:hAnsi="Arial" w:cs="Arial"/>
                <w:color w:val="000000" w:themeColor="text1"/>
                <w:sz w:val="18"/>
                <w:szCs w:val="18"/>
              </w:rPr>
              <w:t>120</w:t>
            </w:r>
          </w:p>
        </w:tc>
        <w:tc>
          <w:tcPr>
            <w:tcW w:w="1984" w:type="dxa"/>
            <w:tcBorders>
              <w:bottom w:val="single" w:sz="4" w:space="0" w:color="auto"/>
            </w:tcBorders>
          </w:tcPr>
          <w:p w14:paraId="1C949815" w14:textId="194E14E3" w:rsidR="00E93FA5" w:rsidRPr="00F443AF" w:rsidRDefault="00E93FA5" w:rsidP="00A5131B">
            <w:pPr>
              <w:jc w:val="center"/>
              <w:rPr>
                <w:rFonts w:ascii="Arial" w:eastAsia="Arial" w:hAnsi="Arial" w:cs="Arial"/>
                <w:sz w:val="18"/>
                <w:szCs w:val="18"/>
              </w:rPr>
            </w:pPr>
          </w:p>
        </w:tc>
      </w:tr>
    </w:tbl>
    <w:p w14:paraId="592B0B22" w14:textId="77777777" w:rsidR="00226831" w:rsidRDefault="00226831" w:rsidP="00226831"/>
    <w:p w14:paraId="65BD424C" w14:textId="1F0D3806" w:rsidR="00F6349D" w:rsidRDefault="7D9056FC" w:rsidP="00D75D75">
      <w:pPr>
        <w:pStyle w:val="BodyText"/>
      </w:pPr>
      <w:r>
        <w:t xml:space="preserve">As the economy </w:t>
      </w:r>
      <w:r w:rsidR="06951EDE">
        <w:t>recover</w:t>
      </w:r>
      <w:r w:rsidR="00773E29">
        <w:t>s</w:t>
      </w:r>
      <w:r>
        <w:t xml:space="preserve">, </w:t>
      </w:r>
      <w:r w:rsidR="00F01E4C">
        <w:t xml:space="preserve">further COVID-19 outbreaks </w:t>
      </w:r>
      <w:r w:rsidR="009E7A3A">
        <w:t xml:space="preserve">remain </w:t>
      </w:r>
      <w:r w:rsidR="00366405">
        <w:t xml:space="preserve">a </w:t>
      </w:r>
      <w:r w:rsidR="00575FAD">
        <w:t xml:space="preserve">risk </w:t>
      </w:r>
      <w:r w:rsidR="00366405">
        <w:t>for the labour market</w:t>
      </w:r>
      <w:r w:rsidR="73B8A91E">
        <w:t>.</w:t>
      </w:r>
      <w:r w:rsidR="0F7FFBED">
        <w:t xml:space="preserve"> </w:t>
      </w:r>
      <w:r w:rsidR="00982C6D">
        <w:t xml:space="preserve">Other risks </w:t>
      </w:r>
      <w:r w:rsidR="2228F021">
        <w:t xml:space="preserve">which </w:t>
      </w:r>
      <w:r w:rsidR="00982C6D">
        <w:t>could impact payroll tax revenue in 2020-21 and over the forward estimates</w:t>
      </w:r>
      <w:r w:rsidR="3461C7AE">
        <w:t xml:space="preserve"> </w:t>
      </w:r>
      <w:r w:rsidR="00982C6D">
        <w:t>include m</w:t>
      </w:r>
      <w:r w:rsidR="6BB86C80">
        <w:t>acroeconomic and geopolitical uncertainties</w:t>
      </w:r>
      <w:r w:rsidR="0C86F3B5">
        <w:t xml:space="preserve"> </w:t>
      </w:r>
      <w:r w:rsidR="00982C6D">
        <w:t>(</w:t>
      </w:r>
      <w:r w:rsidR="0C86F3B5">
        <w:t>including</w:t>
      </w:r>
      <w:r w:rsidR="00A21CDB">
        <w:t xml:space="preserve"> reduced </w:t>
      </w:r>
      <w:r w:rsidR="763610FD">
        <w:t>globalisation</w:t>
      </w:r>
      <w:r w:rsidR="00982C6D">
        <w:t>)</w:t>
      </w:r>
      <w:r w:rsidR="00F6349D">
        <w:t xml:space="preserve">, </w:t>
      </w:r>
      <w:r w:rsidR="5C25427A">
        <w:t>decrease</w:t>
      </w:r>
      <w:r w:rsidR="00517F9D">
        <w:t>s</w:t>
      </w:r>
      <w:r w:rsidR="5C25427A">
        <w:t xml:space="preserve"> in </w:t>
      </w:r>
      <w:r w:rsidR="00BD4CEA">
        <w:t>population growth</w:t>
      </w:r>
      <w:r w:rsidR="00F6349D">
        <w:t xml:space="preserve"> </w:t>
      </w:r>
      <w:r w:rsidR="00F415BF">
        <w:t>and</w:t>
      </w:r>
      <w:r w:rsidR="00F6349D">
        <w:t xml:space="preserve"> changes in </w:t>
      </w:r>
      <w:r w:rsidR="009B3416">
        <w:t xml:space="preserve">households’ </w:t>
      </w:r>
      <w:r w:rsidR="42998C16">
        <w:t xml:space="preserve">propensity to </w:t>
      </w:r>
      <w:r w:rsidR="0059175A">
        <w:t>consume</w:t>
      </w:r>
      <w:r w:rsidR="007F682F">
        <w:t>.</w:t>
      </w:r>
      <w:r w:rsidR="00F6349D">
        <w:t xml:space="preserve"> </w:t>
      </w:r>
      <w:r w:rsidR="007F682F">
        <w:t xml:space="preserve"> </w:t>
      </w:r>
    </w:p>
    <w:p w14:paraId="5D1E5986" w14:textId="77777777" w:rsidR="00AD0B40" w:rsidRDefault="00AD0B40">
      <w:pPr>
        <w:spacing w:after="200" w:line="276" w:lineRule="auto"/>
        <w:rPr>
          <w:rFonts w:ascii="Arial" w:eastAsiaTheme="minorHAnsi" w:hAnsi="Arial" w:cs="Arial"/>
          <w:sz w:val="23"/>
          <w:szCs w:val="24"/>
          <w:lang w:val="en-AU"/>
        </w:rPr>
      </w:pPr>
      <w:r>
        <w:br w:type="page"/>
      </w:r>
    </w:p>
    <w:p w14:paraId="7299F1F4" w14:textId="5C239BD6" w:rsidR="00DE739F" w:rsidRDefault="388EEEDC" w:rsidP="00D75D75">
      <w:pPr>
        <w:pStyle w:val="BodyText"/>
      </w:pPr>
      <w:r>
        <w:t xml:space="preserve">Transfer duty </w:t>
      </w:r>
      <w:r w:rsidR="35091929">
        <w:t xml:space="preserve">is forecast to contribute </w:t>
      </w:r>
      <w:r>
        <w:t xml:space="preserve">about </w:t>
      </w:r>
      <w:r w:rsidR="2AD61499">
        <w:t>9.</w:t>
      </w:r>
      <w:r w:rsidR="3688D2AC">
        <w:t>6</w:t>
      </w:r>
      <w:r>
        <w:t xml:space="preserve"> per cent of </w:t>
      </w:r>
      <w:r w:rsidR="3583DCD1">
        <w:t xml:space="preserve">total </w:t>
      </w:r>
      <w:r w:rsidR="30724523">
        <w:t xml:space="preserve">general government </w:t>
      </w:r>
      <w:r w:rsidR="35091929">
        <w:t>revenue in 2020-21</w:t>
      </w:r>
      <w:r w:rsidR="1E8284B2">
        <w:t>.</w:t>
      </w:r>
      <w:r>
        <w:t xml:space="preserve"> </w:t>
      </w:r>
      <w:r w:rsidR="6DFA2F3C">
        <w:t>The actual</w:t>
      </w:r>
      <w:r w:rsidR="3830841C">
        <w:t xml:space="preserve"> </w:t>
      </w:r>
      <w:r w:rsidR="0B6748D6">
        <w:t>percentage</w:t>
      </w:r>
      <w:r w:rsidR="6DFA2F3C">
        <w:t xml:space="preserve"> </w:t>
      </w:r>
      <w:r w:rsidR="6B10A229">
        <w:t xml:space="preserve">will be </w:t>
      </w:r>
      <w:r w:rsidR="6DFA2F3C">
        <w:t xml:space="preserve">subject to </w:t>
      </w:r>
      <w:r w:rsidR="03C0FFE9">
        <w:t xml:space="preserve">the </w:t>
      </w:r>
      <w:r w:rsidR="6DFA2F3C">
        <w:t xml:space="preserve">performance </w:t>
      </w:r>
      <w:r w:rsidR="1308D7CE">
        <w:t xml:space="preserve">of </w:t>
      </w:r>
      <w:r w:rsidR="6DFA2F3C">
        <w:t>the housing market</w:t>
      </w:r>
      <w:r w:rsidR="24276AA8">
        <w:t xml:space="preserve">, including </w:t>
      </w:r>
      <w:r w:rsidR="06202F37">
        <w:t xml:space="preserve">both </w:t>
      </w:r>
      <w:r w:rsidR="79B3F187">
        <w:t xml:space="preserve">the </w:t>
      </w:r>
      <w:r w:rsidR="06202F37">
        <w:t>volume</w:t>
      </w:r>
      <w:r w:rsidR="190C54E7">
        <w:t xml:space="preserve"> of sales and </w:t>
      </w:r>
      <w:r w:rsidR="06202F37">
        <w:t>the</w:t>
      </w:r>
      <w:r w:rsidR="444422B7">
        <w:t xml:space="preserve"> average</w:t>
      </w:r>
      <w:r w:rsidR="06202F37">
        <w:t xml:space="preserve"> transacted </w:t>
      </w:r>
      <w:r w:rsidR="190C54E7">
        <w:t>price</w:t>
      </w:r>
      <w:r w:rsidR="6DFA2F3C">
        <w:t xml:space="preserve">. </w:t>
      </w:r>
      <w:r w:rsidR="3DD9EBC2">
        <w:t>A</w:t>
      </w:r>
      <w:r>
        <w:t xml:space="preserve"> </w:t>
      </w:r>
      <w:r w:rsidR="57A6886B">
        <w:t>downturn in the residential property market</w:t>
      </w:r>
      <w:r>
        <w:t xml:space="preserve">, or </w:t>
      </w:r>
      <w:r w:rsidR="3DD9EBC2">
        <w:t xml:space="preserve">even a market that grows </w:t>
      </w:r>
      <w:r w:rsidR="00773E29">
        <w:t>but</w:t>
      </w:r>
      <w:r w:rsidR="37817226">
        <w:t xml:space="preserve"> </w:t>
      </w:r>
      <w:r w:rsidR="3DD9EBC2">
        <w:t>below expectations</w:t>
      </w:r>
      <w:r>
        <w:t xml:space="preserve">, </w:t>
      </w:r>
      <w:r w:rsidR="6B10A229">
        <w:t xml:space="preserve">would </w:t>
      </w:r>
      <w:r>
        <w:t xml:space="preserve">detract from the State’s budget result. </w:t>
      </w:r>
      <w:r w:rsidR="646E76C7">
        <w:t>Table B.</w:t>
      </w:r>
      <w:r w:rsidR="00DE1A4D">
        <w:t>4</w:t>
      </w:r>
      <w:r w:rsidR="646E76C7">
        <w:t xml:space="preserve"> denotes the sensitivity of forecast transfer duty to a one percentage point </w:t>
      </w:r>
      <w:r w:rsidR="44069DD1">
        <w:t xml:space="preserve">decrease </w:t>
      </w:r>
      <w:r w:rsidR="646E76C7">
        <w:t>in transacted residential prices and volumes respectively.</w:t>
      </w:r>
    </w:p>
    <w:p w14:paraId="624122A1" w14:textId="155CF857" w:rsidR="6A04D207" w:rsidRDefault="00E8769A" w:rsidP="00E8769A">
      <w:pPr>
        <w:pStyle w:val="Table4X"/>
      </w:pPr>
      <w:r w:rsidRPr="1E2F4DFC">
        <w:rPr>
          <w:rFonts w:eastAsia="Arial"/>
        </w:rPr>
        <w:t>Revenue sensitivities – Transfer duty</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B.3: Revenue sensitivities – Transfer duty"/>
        <w:tblDescription w:val="Table B.3: Revenue sensitivities – Transfer duty"/>
      </w:tblPr>
      <w:tblGrid>
        <w:gridCol w:w="3686"/>
        <w:gridCol w:w="992"/>
        <w:gridCol w:w="992"/>
        <w:gridCol w:w="992"/>
        <w:gridCol w:w="993"/>
        <w:gridCol w:w="1984"/>
      </w:tblGrid>
      <w:tr w:rsidR="001E3FAD" w:rsidRPr="00E8769A" w14:paraId="2741CD98" w14:textId="77777777" w:rsidTr="001E3FAD">
        <w:trPr>
          <w:trHeight w:val="283"/>
        </w:trPr>
        <w:tc>
          <w:tcPr>
            <w:tcW w:w="3686" w:type="dxa"/>
            <w:vMerge w:val="restart"/>
            <w:shd w:val="clear" w:color="auto" w:fill="008EBA"/>
            <w:vAlign w:val="center"/>
          </w:tcPr>
          <w:p w14:paraId="730C6888" w14:textId="218A5163" w:rsidR="001E3FAD" w:rsidRPr="00E8769A" w:rsidRDefault="001E3FAD" w:rsidP="001E3FAD">
            <w:pPr>
              <w:rPr>
                <w:rFonts w:ascii="Arial" w:eastAsia="Arial" w:hAnsi="Arial" w:cs="Arial"/>
                <w:color w:val="FFFFFF" w:themeColor="background1"/>
                <w:sz w:val="18"/>
                <w:szCs w:val="18"/>
              </w:rPr>
            </w:pPr>
            <w:r w:rsidRPr="00E8769A">
              <w:rPr>
                <w:rFonts w:ascii="Arial" w:eastAsia="Arial" w:hAnsi="Arial" w:cs="Arial"/>
                <w:color w:val="FFFFFF" w:themeColor="background1"/>
                <w:sz w:val="18"/>
                <w:szCs w:val="18"/>
              </w:rPr>
              <w:t>Factors affecting transfer duty</w:t>
            </w:r>
          </w:p>
        </w:tc>
        <w:tc>
          <w:tcPr>
            <w:tcW w:w="992" w:type="dxa"/>
            <w:shd w:val="clear" w:color="auto" w:fill="008EBA"/>
            <w:vAlign w:val="bottom"/>
          </w:tcPr>
          <w:p w14:paraId="50856A2B" w14:textId="160B4537" w:rsidR="001E3FAD" w:rsidRPr="00E8769A" w:rsidRDefault="001E3FAD" w:rsidP="001E3FAD">
            <w:pPr>
              <w:jc w:val="center"/>
              <w:rPr>
                <w:rFonts w:ascii="Arial" w:eastAsia="Arial" w:hAnsi="Arial" w:cs="Arial"/>
                <w:color w:val="FFFFFF" w:themeColor="background1"/>
                <w:sz w:val="18"/>
                <w:szCs w:val="18"/>
              </w:rPr>
            </w:pPr>
            <w:r w:rsidRPr="00E8769A">
              <w:rPr>
                <w:rFonts w:ascii="Arial" w:eastAsia="Arial" w:hAnsi="Arial" w:cs="Arial"/>
                <w:color w:val="FFFFFF" w:themeColor="background1"/>
                <w:sz w:val="18"/>
                <w:szCs w:val="18"/>
              </w:rPr>
              <w:t>2020-21</w:t>
            </w:r>
          </w:p>
        </w:tc>
        <w:tc>
          <w:tcPr>
            <w:tcW w:w="992" w:type="dxa"/>
            <w:shd w:val="clear" w:color="auto" w:fill="008EBA"/>
            <w:vAlign w:val="bottom"/>
          </w:tcPr>
          <w:p w14:paraId="4F40F267" w14:textId="307C55AB" w:rsidR="001E3FAD" w:rsidRPr="00E8769A" w:rsidRDefault="001E3FAD" w:rsidP="001E3FAD">
            <w:pPr>
              <w:jc w:val="center"/>
              <w:rPr>
                <w:rFonts w:ascii="Arial" w:eastAsia="Arial" w:hAnsi="Arial" w:cs="Arial"/>
                <w:color w:val="FFFFFF" w:themeColor="background1"/>
                <w:sz w:val="18"/>
                <w:szCs w:val="18"/>
              </w:rPr>
            </w:pPr>
            <w:r w:rsidRPr="00E8769A">
              <w:rPr>
                <w:rFonts w:ascii="Arial" w:eastAsia="Arial" w:hAnsi="Arial" w:cs="Arial"/>
                <w:color w:val="FFFFFF" w:themeColor="background1"/>
                <w:sz w:val="18"/>
                <w:szCs w:val="18"/>
              </w:rPr>
              <w:t>2021-22</w:t>
            </w:r>
          </w:p>
        </w:tc>
        <w:tc>
          <w:tcPr>
            <w:tcW w:w="992" w:type="dxa"/>
            <w:shd w:val="clear" w:color="auto" w:fill="008EBA"/>
            <w:vAlign w:val="bottom"/>
          </w:tcPr>
          <w:p w14:paraId="3C0B8A89" w14:textId="043FA9BA" w:rsidR="001E3FAD" w:rsidRPr="00E8769A" w:rsidRDefault="001E3FAD" w:rsidP="001E3FAD">
            <w:pPr>
              <w:jc w:val="center"/>
              <w:rPr>
                <w:rFonts w:ascii="Arial" w:eastAsia="Arial" w:hAnsi="Arial" w:cs="Arial"/>
                <w:color w:val="FFFFFF" w:themeColor="background1"/>
                <w:sz w:val="18"/>
                <w:szCs w:val="18"/>
              </w:rPr>
            </w:pPr>
            <w:r w:rsidRPr="00E8769A">
              <w:rPr>
                <w:rFonts w:ascii="Arial" w:eastAsia="Arial" w:hAnsi="Arial" w:cs="Arial"/>
                <w:color w:val="FFFFFF" w:themeColor="background1"/>
                <w:sz w:val="18"/>
                <w:szCs w:val="18"/>
              </w:rPr>
              <w:t>2022-23</w:t>
            </w:r>
          </w:p>
        </w:tc>
        <w:tc>
          <w:tcPr>
            <w:tcW w:w="993" w:type="dxa"/>
            <w:shd w:val="clear" w:color="auto" w:fill="008EBA"/>
            <w:vAlign w:val="bottom"/>
          </w:tcPr>
          <w:p w14:paraId="358A83F3" w14:textId="29E514A5" w:rsidR="001E3FAD" w:rsidRPr="00E8769A" w:rsidRDefault="001E3FAD" w:rsidP="001E3FAD">
            <w:pPr>
              <w:jc w:val="center"/>
              <w:rPr>
                <w:rFonts w:ascii="Arial" w:eastAsia="Arial" w:hAnsi="Arial" w:cs="Arial"/>
                <w:color w:val="FFFFFF" w:themeColor="background1"/>
                <w:sz w:val="18"/>
                <w:szCs w:val="18"/>
              </w:rPr>
            </w:pPr>
            <w:r w:rsidRPr="00E8769A">
              <w:rPr>
                <w:rFonts w:ascii="Arial" w:eastAsia="Arial" w:hAnsi="Arial" w:cs="Arial"/>
                <w:color w:val="FFFFFF" w:themeColor="background1"/>
                <w:sz w:val="18"/>
                <w:szCs w:val="18"/>
              </w:rPr>
              <w:t>2023-24</w:t>
            </w:r>
          </w:p>
        </w:tc>
        <w:tc>
          <w:tcPr>
            <w:tcW w:w="1984" w:type="dxa"/>
            <w:vMerge w:val="restart"/>
            <w:shd w:val="clear" w:color="auto" w:fill="4B5051"/>
            <w:vAlign w:val="center"/>
          </w:tcPr>
          <w:p w14:paraId="49FE3364" w14:textId="04F4A482" w:rsidR="001E3FAD" w:rsidRPr="00E8769A" w:rsidRDefault="001E3FAD" w:rsidP="001E3FAD">
            <w:pPr>
              <w:jc w:val="center"/>
              <w:rPr>
                <w:rFonts w:ascii="Arial" w:eastAsia="Arial" w:hAnsi="Arial" w:cs="Arial"/>
                <w:color w:val="FFFFFF" w:themeColor="background1"/>
                <w:sz w:val="18"/>
                <w:szCs w:val="18"/>
              </w:rPr>
            </w:pPr>
            <w:r w:rsidRPr="00E8769A">
              <w:rPr>
                <w:rFonts w:ascii="Arial" w:eastAsia="Arial" w:hAnsi="Arial" w:cs="Arial"/>
                <w:color w:val="FFFFFF" w:themeColor="background1"/>
                <w:sz w:val="18"/>
                <w:szCs w:val="18"/>
              </w:rPr>
              <w:t>Sensitivity</w:t>
            </w:r>
          </w:p>
        </w:tc>
      </w:tr>
      <w:tr w:rsidR="001E3FAD" w:rsidRPr="00E8769A" w14:paraId="42B8EC38" w14:textId="77777777" w:rsidTr="001E3FAD">
        <w:trPr>
          <w:trHeight w:val="283"/>
        </w:trPr>
        <w:tc>
          <w:tcPr>
            <w:tcW w:w="3686" w:type="dxa"/>
            <w:vMerge/>
          </w:tcPr>
          <w:p w14:paraId="298F3777" w14:textId="77777777" w:rsidR="001E3FAD" w:rsidRPr="00E8769A" w:rsidRDefault="001E3FAD">
            <w:pPr>
              <w:rPr>
                <w:sz w:val="18"/>
                <w:szCs w:val="18"/>
              </w:rPr>
            </w:pPr>
          </w:p>
        </w:tc>
        <w:tc>
          <w:tcPr>
            <w:tcW w:w="992" w:type="dxa"/>
            <w:shd w:val="clear" w:color="auto" w:fill="008EBA"/>
          </w:tcPr>
          <w:p w14:paraId="34B5B41C" w14:textId="77777777" w:rsidR="001E3FAD" w:rsidRPr="00E8769A" w:rsidRDefault="001E3FAD" w:rsidP="003A289A">
            <w:pPr>
              <w:jc w:val="center"/>
              <w:rPr>
                <w:rFonts w:ascii="Arial" w:eastAsia="Arial" w:hAnsi="Arial" w:cs="Arial"/>
                <w:color w:val="FFFFFF" w:themeColor="background1"/>
                <w:sz w:val="18"/>
                <w:szCs w:val="18"/>
              </w:rPr>
            </w:pPr>
            <w:r w:rsidRPr="00E8769A">
              <w:rPr>
                <w:rFonts w:ascii="Arial" w:eastAsia="Arial" w:hAnsi="Arial" w:cs="Arial"/>
                <w:color w:val="FFFFFF" w:themeColor="background1"/>
                <w:sz w:val="18"/>
                <w:szCs w:val="18"/>
              </w:rPr>
              <w:t>Budget</w:t>
            </w:r>
          </w:p>
        </w:tc>
        <w:tc>
          <w:tcPr>
            <w:tcW w:w="2977" w:type="dxa"/>
            <w:gridSpan w:val="3"/>
            <w:shd w:val="clear" w:color="auto" w:fill="008EBA"/>
          </w:tcPr>
          <w:p w14:paraId="667EE5C4" w14:textId="7CEBF8A0" w:rsidR="001E3FAD" w:rsidRPr="00E8769A" w:rsidRDefault="001E3FAD" w:rsidP="003A289A">
            <w:pPr>
              <w:jc w:val="center"/>
              <w:rPr>
                <w:rFonts w:ascii="Arial" w:eastAsia="Arial" w:hAnsi="Arial" w:cs="Arial"/>
                <w:color w:val="FFFFFF" w:themeColor="background1"/>
                <w:sz w:val="18"/>
                <w:szCs w:val="18"/>
              </w:rPr>
            </w:pPr>
            <w:r w:rsidRPr="00E8769A">
              <w:rPr>
                <w:rFonts w:ascii="Arial" w:eastAsia="Arial" w:hAnsi="Arial" w:cs="Arial"/>
                <w:color w:val="FFFFFF" w:themeColor="background1"/>
                <w:sz w:val="18"/>
                <w:szCs w:val="18"/>
              </w:rPr>
              <w:t>Forward estimates</w:t>
            </w:r>
          </w:p>
        </w:tc>
        <w:tc>
          <w:tcPr>
            <w:tcW w:w="1984" w:type="dxa"/>
            <w:vMerge/>
            <w:shd w:val="clear" w:color="auto" w:fill="4B5051"/>
          </w:tcPr>
          <w:p w14:paraId="2D4171D6" w14:textId="77777777" w:rsidR="001E3FAD" w:rsidRPr="00E8769A" w:rsidRDefault="001E3FAD" w:rsidP="003A289A">
            <w:pPr>
              <w:jc w:val="center"/>
              <w:rPr>
                <w:rFonts w:ascii="Arial" w:eastAsia="Arial" w:hAnsi="Arial" w:cs="Arial"/>
                <w:color w:val="FFFFFF" w:themeColor="background1"/>
                <w:sz w:val="18"/>
                <w:szCs w:val="18"/>
              </w:rPr>
            </w:pPr>
          </w:p>
        </w:tc>
      </w:tr>
      <w:tr w:rsidR="001E3FAD" w:rsidRPr="00E8769A" w14:paraId="4DDC99CF" w14:textId="77777777" w:rsidTr="00D976BA">
        <w:trPr>
          <w:trHeight w:val="283"/>
        </w:trPr>
        <w:tc>
          <w:tcPr>
            <w:tcW w:w="3686" w:type="dxa"/>
            <w:shd w:val="clear" w:color="auto" w:fill="00426F"/>
          </w:tcPr>
          <w:p w14:paraId="141B5FCE" w14:textId="14A4DC98" w:rsidR="001E3FAD" w:rsidRPr="00E8769A" w:rsidRDefault="001E3FAD">
            <w:pPr>
              <w:rPr>
                <w:sz w:val="18"/>
                <w:szCs w:val="18"/>
              </w:rPr>
            </w:pPr>
          </w:p>
        </w:tc>
        <w:tc>
          <w:tcPr>
            <w:tcW w:w="992" w:type="dxa"/>
            <w:shd w:val="clear" w:color="auto" w:fill="00426F"/>
          </w:tcPr>
          <w:p w14:paraId="52BD2C70" w14:textId="6FDD176F" w:rsidR="001E3FAD" w:rsidRPr="00E8769A" w:rsidRDefault="001E3FAD" w:rsidP="003A289A">
            <w:pPr>
              <w:jc w:val="center"/>
              <w:rPr>
                <w:rFonts w:ascii="Arial" w:eastAsia="Arial" w:hAnsi="Arial" w:cs="Arial"/>
                <w:color w:val="FFFFFF" w:themeColor="background1"/>
                <w:sz w:val="18"/>
                <w:szCs w:val="18"/>
              </w:rPr>
            </w:pPr>
            <w:r w:rsidRPr="00E8769A">
              <w:rPr>
                <w:rFonts w:ascii="Arial" w:eastAsia="Arial" w:hAnsi="Arial" w:cs="Arial"/>
                <w:color w:val="FFFFFF" w:themeColor="background1"/>
                <w:sz w:val="18"/>
                <w:szCs w:val="18"/>
              </w:rPr>
              <w:t>$m</w:t>
            </w:r>
          </w:p>
        </w:tc>
        <w:tc>
          <w:tcPr>
            <w:tcW w:w="992" w:type="dxa"/>
            <w:shd w:val="clear" w:color="auto" w:fill="00426F"/>
          </w:tcPr>
          <w:p w14:paraId="5A7BA92F" w14:textId="77777777" w:rsidR="001E3FAD" w:rsidRPr="00E8769A" w:rsidRDefault="001E3FAD" w:rsidP="004D22A1">
            <w:pPr>
              <w:jc w:val="center"/>
              <w:rPr>
                <w:rFonts w:ascii="Arial" w:eastAsia="Arial" w:hAnsi="Arial" w:cs="Arial"/>
                <w:color w:val="FFFFFF" w:themeColor="background1"/>
                <w:sz w:val="18"/>
                <w:szCs w:val="18"/>
              </w:rPr>
            </w:pPr>
            <w:r w:rsidRPr="00E8769A">
              <w:rPr>
                <w:rFonts w:ascii="Arial" w:eastAsia="Arial" w:hAnsi="Arial" w:cs="Arial"/>
                <w:color w:val="FFFFFF" w:themeColor="background1"/>
                <w:sz w:val="18"/>
                <w:szCs w:val="18"/>
              </w:rPr>
              <w:t>$m</w:t>
            </w:r>
          </w:p>
        </w:tc>
        <w:tc>
          <w:tcPr>
            <w:tcW w:w="992" w:type="dxa"/>
            <w:shd w:val="clear" w:color="auto" w:fill="00426F"/>
          </w:tcPr>
          <w:p w14:paraId="73DAEF26" w14:textId="07EC11BC" w:rsidR="001E3FAD" w:rsidRPr="00E8769A" w:rsidRDefault="001E3FAD" w:rsidP="00EA7C1D">
            <w:pPr>
              <w:jc w:val="center"/>
              <w:rPr>
                <w:rFonts w:ascii="Arial" w:eastAsia="Arial" w:hAnsi="Arial" w:cs="Arial"/>
                <w:color w:val="FFFFFF" w:themeColor="background1"/>
                <w:sz w:val="18"/>
                <w:szCs w:val="18"/>
              </w:rPr>
            </w:pPr>
            <w:r w:rsidRPr="00E8769A">
              <w:rPr>
                <w:rFonts w:ascii="Arial" w:eastAsia="Arial" w:hAnsi="Arial" w:cs="Arial"/>
                <w:color w:val="FFFFFF" w:themeColor="background1"/>
                <w:sz w:val="18"/>
                <w:szCs w:val="18"/>
              </w:rPr>
              <w:t>$m</w:t>
            </w:r>
          </w:p>
        </w:tc>
        <w:tc>
          <w:tcPr>
            <w:tcW w:w="993" w:type="dxa"/>
            <w:shd w:val="clear" w:color="auto" w:fill="00426F"/>
          </w:tcPr>
          <w:p w14:paraId="7416F0FD" w14:textId="6C9A3B1E" w:rsidR="001E3FAD" w:rsidRPr="00E8769A" w:rsidRDefault="001E3FAD" w:rsidP="003A289A">
            <w:pPr>
              <w:jc w:val="center"/>
              <w:rPr>
                <w:rFonts w:ascii="Arial" w:eastAsia="Arial" w:hAnsi="Arial" w:cs="Arial"/>
                <w:color w:val="FFFFFF" w:themeColor="background1"/>
                <w:sz w:val="18"/>
                <w:szCs w:val="18"/>
              </w:rPr>
            </w:pPr>
            <w:r w:rsidRPr="00E8769A">
              <w:rPr>
                <w:rFonts w:ascii="Arial" w:eastAsia="Arial" w:hAnsi="Arial" w:cs="Arial"/>
                <w:color w:val="FFFFFF" w:themeColor="background1"/>
                <w:sz w:val="18"/>
                <w:szCs w:val="18"/>
              </w:rPr>
              <w:t>$m</w:t>
            </w:r>
          </w:p>
        </w:tc>
        <w:tc>
          <w:tcPr>
            <w:tcW w:w="1984" w:type="dxa"/>
            <w:vMerge/>
            <w:shd w:val="clear" w:color="auto" w:fill="4B5051"/>
          </w:tcPr>
          <w:p w14:paraId="078E03A2" w14:textId="28728559" w:rsidR="001E3FAD" w:rsidRPr="00E8769A" w:rsidRDefault="001E3FAD" w:rsidP="003A289A">
            <w:pPr>
              <w:jc w:val="center"/>
              <w:rPr>
                <w:rFonts w:ascii="Arial" w:eastAsia="Arial" w:hAnsi="Arial" w:cs="Arial"/>
                <w:color w:val="FFFFFF" w:themeColor="background1"/>
                <w:sz w:val="18"/>
                <w:szCs w:val="18"/>
              </w:rPr>
            </w:pPr>
          </w:p>
        </w:tc>
      </w:tr>
      <w:tr w:rsidR="1E2F4DFC" w:rsidRPr="00E8769A" w14:paraId="1074411C" w14:textId="77777777" w:rsidTr="001E3FAD">
        <w:trPr>
          <w:trHeight w:val="283"/>
        </w:trPr>
        <w:tc>
          <w:tcPr>
            <w:tcW w:w="3686" w:type="dxa"/>
          </w:tcPr>
          <w:p w14:paraId="07E9A7D8" w14:textId="54D0731E" w:rsidR="1E2F4DFC" w:rsidRPr="00E8769A" w:rsidRDefault="1E2F4DFC" w:rsidP="00C72AC6">
            <w:pPr>
              <w:spacing w:before="60"/>
              <w:rPr>
                <w:sz w:val="18"/>
                <w:szCs w:val="18"/>
              </w:rPr>
            </w:pPr>
            <w:r w:rsidRPr="00E8769A">
              <w:rPr>
                <w:rFonts w:ascii="Arial" w:eastAsia="Arial" w:hAnsi="Arial" w:cs="Arial"/>
                <w:sz w:val="18"/>
                <w:szCs w:val="18"/>
              </w:rPr>
              <w:t>Residential prices (average transacted price)</w:t>
            </w:r>
          </w:p>
        </w:tc>
        <w:tc>
          <w:tcPr>
            <w:tcW w:w="992" w:type="dxa"/>
          </w:tcPr>
          <w:p w14:paraId="57854186" w14:textId="116AD8D5" w:rsidR="1E2F4DFC" w:rsidRPr="00E8769A" w:rsidRDefault="3E55F81B" w:rsidP="00C72AC6">
            <w:pPr>
              <w:spacing w:before="60"/>
              <w:jc w:val="center"/>
              <w:rPr>
                <w:rFonts w:ascii="Arial" w:eastAsia="Arial" w:hAnsi="Arial" w:cs="Arial"/>
                <w:sz w:val="18"/>
                <w:szCs w:val="18"/>
              </w:rPr>
            </w:pPr>
            <w:r w:rsidRPr="00E8769A">
              <w:rPr>
                <w:rFonts w:ascii="Arial" w:eastAsia="Arial" w:hAnsi="Arial" w:cs="Arial"/>
                <w:sz w:val="18"/>
                <w:szCs w:val="18"/>
              </w:rPr>
              <w:t>(</w:t>
            </w:r>
            <w:r w:rsidR="1E2F4DFC" w:rsidRPr="00E8769A">
              <w:rPr>
                <w:rFonts w:ascii="Arial" w:eastAsia="Arial" w:hAnsi="Arial" w:cs="Arial"/>
                <w:sz w:val="18"/>
                <w:szCs w:val="18"/>
              </w:rPr>
              <w:t>84</w:t>
            </w:r>
            <w:r w:rsidR="2C3C16AC" w:rsidRPr="00E8769A">
              <w:rPr>
                <w:rFonts w:ascii="Arial" w:eastAsia="Arial" w:hAnsi="Arial" w:cs="Arial"/>
                <w:sz w:val="18"/>
                <w:szCs w:val="18"/>
              </w:rPr>
              <w:t>)</w:t>
            </w:r>
          </w:p>
        </w:tc>
        <w:tc>
          <w:tcPr>
            <w:tcW w:w="992" w:type="dxa"/>
            <w:shd w:val="clear" w:color="auto" w:fill="B9BDBF"/>
          </w:tcPr>
          <w:p w14:paraId="3015649B" w14:textId="1233F7A2" w:rsidR="1E2F4DFC" w:rsidRPr="00E8769A" w:rsidRDefault="24CA539A" w:rsidP="00C72AC6">
            <w:pPr>
              <w:spacing w:before="60"/>
              <w:jc w:val="center"/>
              <w:rPr>
                <w:rFonts w:ascii="Arial" w:eastAsia="Arial" w:hAnsi="Arial" w:cs="Arial"/>
                <w:color w:val="000000" w:themeColor="text1"/>
                <w:sz w:val="18"/>
                <w:szCs w:val="18"/>
              </w:rPr>
            </w:pPr>
            <w:r w:rsidRPr="00E8769A">
              <w:rPr>
                <w:rFonts w:ascii="Arial" w:eastAsia="Arial" w:hAnsi="Arial" w:cs="Arial"/>
                <w:color w:val="000000" w:themeColor="text1"/>
                <w:sz w:val="18"/>
                <w:szCs w:val="18"/>
              </w:rPr>
              <w:t>(</w:t>
            </w:r>
            <w:r w:rsidR="1E2F4DFC" w:rsidRPr="00E8769A">
              <w:rPr>
                <w:rFonts w:ascii="Arial" w:eastAsia="Arial" w:hAnsi="Arial" w:cs="Arial"/>
                <w:color w:val="000000" w:themeColor="text1"/>
                <w:sz w:val="18"/>
                <w:szCs w:val="18"/>
              </w:rPr>
              <w:t>137</w:t>
            </w:r>
            <w:r w:rsidR="7DB8CFF6" w:rsidRPr="00E8769A">
              <w:rPr>
                <w:rFonts w:ascii="Arial" w:eastAsia="Arial" w:hAnsi="Arial" w:cs="Arial"/>
                <w:color w:val="000000" w:themeColor="text1"/>
                <w:sz w:val="18"/>
                <w:szCs w:val="18"/>
              </w:rPr>
              <w:t>)</w:t>
            </w:r>
          </w:p>
        </w:tc>
        <w:tc>
          <w:tcPr>
            <w:tcW w:w="992" w:type="dxa"/>
            <w:shd w:val="clear" w:color="auto" w:fill="B9BDBF"/>
          </w:tcPr>
          <w:p w14:paraId="436ADEFA" w14:textId="4DDE6EFF" w:rsidR="1E2F4DFC" w:rsidRPr="00E8769A" w:rsidRDefault="68C40B46" w:rsidP="00C72AC6">
            <w:pPr>
              <w:spacing w:before="60"/>
              <w:jc w:val="center"/>
              <w:rPr>
                <w:rFonts w:ascii="Arial" w:eastAsia="Arial" w:hAnsi="Arial" w:cs="Arial"/>
                <w:color w:val="000000" w:themeColor="text1"/>
                <w:sz w:val="18"/>
                <w:szCs w:val="18"/>
              </w:rPr>
            </w:pPr>
            <w:r w:rsidRPr="00E8769A">
              <w:rPr>
                <w:rFonts w:ascii="Arial" w:eastAsia="Arial" w:hAnsi="Arial" w:cs="Arial"/>
                <w:color w:val="000000" w:themeColor="text1"/>
                <w:sz w:val="18"/>
                <w:szCs w:val="18"/>
              </w:rPr>
              <w:t>(</w:t>
            </w:r>
            <w:r w:rsidR="1E2F4DFC" w:rsidRPr="00E8769A">
              <w:rPr>
                <w:rFonts w:ascii="Arial" w:eastAsia="Arial" w:hAnsi="Arial" w:cs="Arial"/>
                <w:color w:val="000000" w:themeColor="text1"/>
                <w:sz w:val="18"/>
                <w:szCs w:val="18"/>
              </w:rPr>
              <w:t>153</w:t>
            </w:r>
            <w:r w:rsidR="477B2D4B" w:rsidRPr="00E8769A">
              <w:rPr>
                <w:rFonts w:ascii="Arial" w:eastAsia="Arial" w:hAnsi="Arial" w:cs="Arial"/>
                <w:color w:val="000000" w:themeColor="text1"/>
                <w:sz w:val="18"/>
                <w:szCs w:val="18"/>
              </w:rPr>
              <w:t>)</w:t>
            </w:r>
          </w:p>
        </w:tc>
        <w:tc>
          <w:tcPr>
            <w:tcW w:w="993" w:type="dxa"/>
            <w:shd w:val="clear" w:color="auto" w:fill="B9BDBF"/>
          </w:tcPr>
          <w:p w14:paraId="4369F9F6" w14:textId="1EA9D758" w:rsidR="1E2F4DFC" w:rsidRPr="00E8769A" w:rsidRDefault="7A5AD881" w:rsidP="00C72AC6">
            <w:pPr>
              <w:spacing w:before="60"/>
              <w:jc w:val="center"/>
              <w:rPr>
                <w:rFonts w:ascii="Arial" w:eastAsia="Arial" w:hAnsi="Arial" w:cs="Arial"/>
                <w:color w:val="000000" w:themeColor="text1"/>
                <w:sz w:val="18"/>
                <w:szCs w:val="18"/>
              </w:rPr>
            </w:pPr>
            <w:r w:rsidRPr="00E8769A">
              <w:rPr>
                <w:rFonts w:ascii="Arial" w:eastAsia="Arial" w:hAnsi="Arial" w:cs="Arial"/>
                <w:color w:val="000000" w:themeColor="text1"/>
                <w:sz w:val="18"/>
                <w:szCs w:val="18"/>
              </w:rPr>
              <w:t>(</w:t>
            </w:r>
            <w:r w:rsidR="1E2F4DFC" w:rsidRPr="00E8769A">
              <w:rPr>
                <w:rFonts w:ascii="Arial" w:eastAsia="Arial" w:hAnsi="Arial" w:cs="Arial"/>
                <w:color w:val="000000" w:themeColor="text1"/>
                <w:sz w:val="18"/>
                <w:szCs w:val="18"/>
              </w:rPr>
              <w:t>163</w:t>
            </w:r>
            <w:r w:rsidR="6EB2DBC6" w:rsidRPr="00E8769A">
              <w:rPr>
                <w:rFonts w:ascii="Arial" w:eastAsia="Arial" w:hAnsi="Arial" w:cs="Arial"/>
                <w:color w:val="000000" w:themeColor="text1"/>
                <w:sz w:val="18"/>
                <w:szCs w:val="18"/>
              </w:rPr>
              <w:t>)</w:t>
            </w:r>
          </w:p>
        </w:tc>
        <w:tc>
          <w:tcPr>
            <w:tcW w:w="1984" w:type="dxa"/>
            <w:vMerge w:val="restart"/>
          </w:tcPr>
          <w:p w14:paraId="2885C8D6" w14:textId="2F3911BB" w:rsidR="004D7607" w:rsidRPr="00E8769A" w:rsidRDefault="00022EBD" w:rsidP="00C72AC6">
            <w:pPr>
              <w:spacing w:before="60"/>
              <w:jc w:val="center"/>
              <w:rPr>
                <w:rFonts w:ascii="Arial" w:eastAsia="Arial" w:hAnsi="Arial" w:cs="Arial"/>
                <w:sz w:val="18"/>
                <w:szCs w:val="18"/>
              </w:rPr>
            </w:pPr>
            <w:r w:rsidRPr="00E8769A">
              <w:rPr>
                <w:rFonts w:ascii="Arial" w:eastAsia="Arial" w:hAnsi="Arial" w:cs="Arial"/>
                <w:sz w:val="18"/>
                <w:szCs w:val="18"/>
              </w:rPr>
              <w:t>Single</w:t>
            </w:r>
            <w:r w:rsidR="006B4538" w:rsidRPr="00E8769A">
              <w:rPr>
                <w:rFonts w:ascii="Arial" w:eastAsia="Arial" w:hAnsi="Arial" w:cs="Arial"/>
                <w:sz w:val="18"/>
                <w:szCs w:val="18"/>
              </w:rPr>
              <w:t xml:space="preserve"> </w:t>
            </w:r>
            <w:r w:rsidRPr="00E8769A">
              <w:rPr>
                <w:rFonts w:ascii="Arial" w:eastAsia="Arial" w:hAnsi="Arial" w:cs="Arial"/>
                <w:sz w:val="18"/>
                <w:szCs w:val="18"/>
              </w:rPr>
              <w:t>percentage</w:t>
            </w:r>
            <w:r w:rsidR="006B4538" w:rsidRPr="00E8769A">
              <w:rPr>
                <w:rFonts w:ascii="Arial" w:eastAsia="Arial" w:hAnsi="Arial" w:cs="Arial"/>
                <w:sz w:val="18"/>
                <w:szCs w:val="18"/>
              </w:rPr>
              <w:t xml:space="preserve"> </w:t>
            </w:r>
            <w:r w:rsidRPr="00E8769A">
              <w:rPr>
                <w:rFonts w:ascii="Arial" w:eastAsia="Arial" w:hAnsi="Arial" w:cs="Arial"/>
                <w:sz w:val="18"/>
                <w:szCs w:val="18"/>
              </w:rPr>
              <w:t>point</w:t>
            </w:r>
            <w:r w:rsidR="006B4538" w:rsidRPr="00E8769A">
              <w:rPr>
                <w:rFonts w:ascii="Arial" w:eastAsia="Arial" w:hAnsi="Arial" w:cs="Arial"/>
                <w:sz w:val="18"/>
                <w:szCs w:val="18"/>
              </w:rPr>
              <w:t xml:space="preserve"> </w:t>
            </w:r>
            <w:r w:rsidR="06BBEE9C" w:rsidRPr="00E8769A">
              <w:rPr>
                <w:rFonts w:ascii="Arial" w:eastAsia="Arial" w:hAnsi="Arial" w:cs="Arial"/>
                <w:sz w:val="18"/>
                <w:szCs w:val="18"/>
              </w:rPr>
              <w:t xml:space="preserve">decrease </w:t>
            </w:r>
            <w:r w:rsidRPr="00E8769A">
              <w:rPr>
                <w:rFonts w:ascii="Arial" w:eastAsia="Arial" w:hAnsi="Arial" w:cs="Arial"/>
                <w:sz w:val="18"/>
                <w:szCs w:val="18"/>
              </w:rPr>
              <w:t>in factor</w:t>
            </w:r>
          </w:p>
        </w:tc>
      </w:tr>
      <w:tr w:rsidR="1E2F4DFC" w:rsidRPr="00E8769A" w14:paraId="51D18968" w14:textId="77777777" w:rsidTr="00D976BA">
        <w:tc>
          <w:tcPr>
            <w:tcW w:w="3686" w:type="dxa"/>
            <w:tcBorders>
              <w:bottom w:val="single" w:sz="4" w:space="0" w:color="auto"/>
            </w:tcBorders>
          </w:tcPr>
          <w:p w14:paraId="4B76BF7E" w14:textId="7EAA88F8" w:rsidR="1E2F4DFC" w:rsidRPr="00E8769A" w:rsidRDefault="1E2F4DFC" w:rsidP="00C72AC6">
            <w:pPr>
              <w:spacing w:before="60"/>
              <w:rPr>
                <w:sz w:val="18"/>
                <w:szCs w:val="18"/>
              </w:rPr>
            </w:pPr>
            <w:r w:rsidRPr="00E8769A">
              <w:rPr>
                <w:rFonts w:ascii="Arial" w:eastAsia="Arial" w:hAnsi="Arial" w:cs="Arial"/>
                <w:sz w:val="18"/>
                <w:szCs w:val="18"/>
              </w:rPr>
              <w:t>Residential transaction volumes</w:t>
            </w:r>
          </w:p>
        </w:tc>
        <w:tc>
          <w:tcPr>
            <w:tcW w:w="992" w:type="dxa"/>
            <w:tcBorders>
              <w:bottom w:val="single" w:sz="4" w:space="0" w:color="auto"/>
            </w:tcBorders>
          </w:tcPr>
          <w:p w14:paraId="19F862F1" w14:textId="090541F1" w:rsidR="1E2F4DFC" w:rsidRPr="00E8769A" w:rsidRDefault="7AB2D832" w:rsidP="00C72AC6">
            <w:pPr>
              <w:spacing w:before="60"/>
              <w:jc w:val="center"/>
              <w:rPr>
                <w:rFonts w:ascii="Arial" w:eastAsia="Arial" w:hAnsi="Arial" w:cs="Arial"/>
                <w:sz w:val="18"/>
                <w:szCs w:val="18"/>
              </w:rPr>
            </w:pPr>
            <w:r w:rsidRPr="00E8769A">
              <w:rPr>
                <w:rFonts w:ascii="Arial" w:eastAsia="Arial" w:hAnsi="Arial" w:cs="Arial"/>
                <w:sz w:val="18"/>
                <w:szCs w:val="18"/>
              </w:rPr>
              <w:t>(</w:t>
            </w:r>
            <w:r w:rsidR="1E2F4DFC" w:rsidRPr="00E8769A">
              <w:rPr>
                <w:rFonts w:ascii="Arial" w:eastAsia="Arial" w:hAnsi="Arial" w:cs="Arial"/>
                <w:sz w:val="18"/>
                <w:szCs w:val="18"/>
              </w:rPr>
              <w:t>49</w:t>
            </w:r>
            <w:r w:rsidR="2CB887A3" w:rsidRPr="00E8769A">
              <w:rPr>
                <w:rFonts w:ascii="Arial" w:eastAsia="Arial" w:hAnsi="Arial" w:cs="Arial"/>
                <w:sz w:val="18"/>
                <w:szCs w:val="18"/>
              </w:rPr>
              <w:t>)</w:t>
            </w:r>
          </w:p>
        </w:tc>
        <w:tc>
          <w:tcPr>
            <w:tcW w:w="992" w:type="dxa"/>
            <w:tcBorders>
              <w:bottom w:val="single" w:sz="4" w:space="0" w:color="auto"/>
            </w:tcBorders>
            <w:shd w:val="clear" w:color="auto" w:fill="B9BDBF"/>
          </w:tcPr>
          <w:p w14:paraId="5B1ED1E2" w14:textId="7551947B" w:rsidR="1E2F4DFC" w:rsidRPr="00E8769A" w:rsidRDefault="72291755" w:rsidP="00C72AC6">
            <w:pPr>
              <w:spacing w:before="60"/>
              <w:jc w:val="center"/>
              <w:rPr>
                <w:rFonts w:ascii="Arial" w:eastAsia="Arial" w:hAnsi="Arial" w:cs="Arial"/>
                <w:color w:val="000000" w:themeColor="text1"/>
                <w:sz w:val="18"/>
                <w:szCs w:val="18"/>
              </w:rPr>
            </w:pPr>
            <w:r w:rsidRPr="00E8769A">
              <w:rPr>
                <w:rFonts w:ascii="Arial" w:eastAsia="Arial" w:hAnsi="Arial" w:cs="Arial"/>
                <w:color w:val="000000" w:themeColor="text1"/>
                <w:sz w:val="18"/>
                <w:szCs w:val="18"/>
              </w:rPr>
              <w:t>(</w:t>
            </w:r>
            <w:r w:rsidR="1E2F4DFC" w:rsidRPr="00E8769A">
              <w:rPr>
                <w:rFonts w:ascii="Arial" w:eastAsia="Arial" w:hAnsi="Arial" w:cs="Arial"/>
                <w:color w:val="000000" w:themeColor="text1"/>
                <w:sz w:val="18"/>
                <w:szCs w:val="18"/>
              </w:rPr>
              <w:t>69</w:t>
            </w:r>
            <w:r w:rsidR="322DB94D" w:rsidRPr="00E8769A">
              <w:rPr>
                <w:rFonts w:ascii="Arial" w:eastAsia="Arial" w:hAnsi="Arial" w:cs="Arial"/>
                <w:color w:val="000000" w:themeColor="text1"/>
                <w:sz w:val="18"/>
                <w:szCs w:val="18"/>
              </w:rPr>
              <w:t>)</w:t>
            </w:r>
          </w:p>
        </w:tc>
        <w:tc>
          <w:tcPr>
            <w:tcW w:w="992" w:type="dxa"/>
            <w:tcBorders>
              <w:bottom w:val="single" w:sz="4" w:space="0" w:color="auto"/>
            </w:tcBorders>
            <w:shd w:val="clear" w:color="auto" w:fill="B9BDBF"/>
          </w:tcPr>
          <w:p w14:paraId="6668750B" w14:textId="5475A877" w:rsidR="1E2F4DFC" w:rsidRPr="00E8769A" w:rsidRDefault="55DFE52E" w:rsidP="00C72AC6">
            <w:pPr>
              <w:spacing w:before="60"/>
              <w:jc w:val="center"/>
              <w:rPr>
                <w:rFonts w:ascii="Arial" w:eastAsia="Arial" w:hAnsi="Arial" w:cs="Arial"/>
                <w:color w:val="000000" w:themeColor="text1"/>
                <w:sz w:val="18"/>
                <w:szCs w:val="18"/>
              </w:rPr>
            </w:pPr>
            <w:r w:rsidRPr="00E8769A">
              <w:rPr>
                <w:rFonts w:ascii="Arial" w:eastAsia="Arial" w:hAnsi="Arial" w:cs="Arial"/>
                <w:color w:val="000000" w:themeColor="text1"/>
                <w:sz w:val="18"/>
                <w:szCs w:val="18"/>
              </w:rPr>
              <w:t>(</w:t>
            </w:r>
            <w:r w:rsidR="1E2F4DFC" w:rsidRPr="00E8769A">
              <w:rPr>
                <w:rFonts w:ascii="Arial" w:eastAsia="Arial" w:hAnsi="Arial" w:cs="Arial"/>
                <w:color w:val="000000" w:themeColor="text1"/>
                <w:sz w:val="18"/>
                <w:szCs w:val="18"/>
              </w:rPr>
              <w:t>76</w:t>
            </w:r>
            <w:r w:rsidRPr="00E8769A">
              <w:rPr>
                <w:rFonts w:ascii="Arial" w:eastAsia="Arial" w:hAnsi="Arial" w:cs="Arial"/>
                <w:color w:val="000000" w:themeColor="text1"/>
                <w:sz w:val="18"/>
                <w:szCs w:val="18"/>
              </w:rPr>
              <w:t>)</w:t>
            </w:r>
          </w:p>
        </w:tc>
        <w:tc>
          <w:tcPr>
            <w:tcW w:w="993" w:type="dxa"/>
            <w:tcBorders>
              <w:bottom w:val="single" w:sz="4" w:space="0" w:color="auto"/>
            </w:tcBorders>
            <w:shd w:val="clear" w:color="auto" w:fill="B9BDBF"/>
          </w:tcPr>
          <w:p w14:paraId="6EF7E526" w14:textId="5E647A8F" w:rsidR="1E2F4DFC" w:rsidRPr="00E8769A" w:rsidRDefault="60AFA2A8" w:rsidP="00C72AC6">
            <w:pPr>
              <w:spacing w:before="60"/>
              <w:jc w:val="center"/>
              <w:rPr>
                <w:rFonts w:ascii="Arial" w:eastAsia="Arial" w:hAnsi="Arial" w:cs="Arial"/>
                <w:color w:val="000000" w:themeColor="text1"/>
                <w:sz w:val="18"/>
                <w:szCs w:val="18"/>
              </w:rPr>
            </w:pPr>
            <w:r w:rsidRPr="00E8769A">
              <w:rPr>
                <w:rFonts w:ascii="Arial" w:eastAsia="Arial" w:hAnsi="Arial" w:cs="Arial"/>
                <w:color w:val="000000" w:themeColor="text1"/>
                <w:sz w:val="18"/>
                <w:szCs w:val="18"/>
              </w:rPr>
              <w:t>(</w:t>
            </w:r>
            <w:r w:rsidR="1E2F4DFC" w:rsidRPr="00E8769A">
              <w:rPr>
                <w:rFonts w:ascii="Arial" w:eastAsia="Arial" w:hAnsi="Arial" w:cs="Arial"/>
                <w:color w:val="000000" w:themeColor="text1"/>
                <w:sz w:val="18"/>
                <w:szCs w:val="18"/>
              </w:rPr>
              <w:t>82</w:t>
            </w:r>
            <w:r w:rsidR="1EC736EC" w:rsidRPr="00E8769A">
              <w:rPr>
                <w:rFonts w:ascii="Arial" w:eastAsia="Arial" w:hAnsi="Arial" w:cs="Arial"/>
                <w:color w:val="000000" w:themeColor="text1"/>
                <w:sz w:val="18"/>
                <w:szCs w:val="18"/>
              </w:rPr>
              <w:t>)</w:t>
            </w:r>
          </w:p>
        </w:tc>
        <w:tc>
          <w:tcPr>
            <w:tcW w:w="1984" w:type="dxa"/>
            <w:vMerge/>
            <w:tcBorders>
              <w:bottom w:val="single" w:sz="4" w:space="0" w:color="auto"/>
            </w:tcBorders>
          </w:tcPr>
          <w:p w14:paraId="4558E780" w14:textId="77777777" w:rsidR="004D7607" w:rsidRPr="00E8769A" w:rsidRDefault="004D7607">
            <w:pPr>
              <w:rPr>
                <w:sz w:val="18"/>
                <w:szCs w:val="18"/>
              </w:rPr>
            </w:pPr>
          </w:p>
        </w:tc>
      </w:tr>
    </w:tbl>
    <w:p w14:paraId="7B9A7C24" w14:textId="7C552F71" w:rsidR="006E790C" w:rsidRDefault="006E790C" w:rsidP="00C72AC6">
      <w:pPr>
        <w:rPr>
          <w:rFonts w:eastAsiaTheme="minorHAnsi"/>
        </w:rPr>
      </w:pPr>
    </w:p>
    <w:p w14:paraId="5D83DEEB" w14:textId="0E8E07A4" w:rsidR="005D5CC6" w:rsidRDefault="005D5CC6" w:rsidP="00D75D75">
      <w:pPr>
        <w:pStyle w:val="BodyText"/>
      </w:pPr>
      <w:r w:rsidRPr="0077297F">
        <w:t xml:space="preserve">Other </w:t>
      </w:r>
      <w:r w:rsidR="79FA366A">
        <w:t>S</w:t>
      </w:r>
      <w:r w:rsidR="78FD61DE">
        <w:t>tate</w:t>
      </w:r>
      <w:r w:rsidRPr="0077297F">
        <w:t xml:space="preserve"> taxes are typically less volatile</w:t>
      </w:r>
      <w:r w:rsidR="00263E95">
        <w:t xml:space="preserve"> </w:t>
      </w:r>
      <w:r w:rsidR="79FA366A">
        <w:t>than those mentioned above</w:t>
      </w:r>
      <w:r w:rsidR="655E50D2">
        <w:t>,</w:t>
      </w:r>
      <w:r w:rsidR="79FA366A">
        <w:t xml:space="preserve"> </w:t>
      </w:r>
      <w:r w:rsidR="2322917E">
        <w:t>and</w:t>
      </w:r>
      <w:r w:rsidR="78FD61DE">
        <w:t xml:space="preserve"> </w:t>
      </w:r>
      <w:r w:rsidR="79FA366A">
        <w:t>they</w:t>
      </w:r>
      <w:r>
        <w:t xml:space="preserve"> </w:t>
      </w:r>
      <w:r w:rsidR="00263E95">
        <w:t>generally correlate to</w:t>
      </w:r>
      <w:r w:rsidRPr="0077297F">
        <w:t xml:space="preserve"> changes in the broader </w:t>
      </w:r>
      <w:r w:rsidR="007503D8">
        <w:t>NSW</w:t>
      </w:r>
      <w:r w:rsidRPr="0077297F">
        <w:t xml:space="preserve"> economy. </w:t>
      </w:r>
      <w:r w:rsidR="00263E95">
        <w:t xml:space="preserve">For example, </w:t>
      </w:r>
      <w:r w:rsidR="00492CDB">
        <w:t xml:space="preserve">revenue from </w:t>
      </w:r>
      <w:r w:rsidR="00263E95">
        <w:t>m</w:t>
      </w:r>
      <w:r>
        <w:t>otor</w:t>
      </w:r>
      <w:r w:rsidRPr="0077297F">
        <w:t xml:space="preserve"> vehicle</w:t>
      </w:r>
      <w:r w:rsidR="000B1A47">
        <w:t xml:space="preserve"> </w:t>
      </w:r>
      <w:r w:rsidR="00263E95">
        <w:t xml:space="preserve">taxes, </w:t>
      </w:r>
      <w:r w:rsidRPr="0077297F">
        <w:t xml:space="preserve">gambling taxes and other stamp duties </w:t>
      </w:r>
      <w:r w:rsidR="00263E95">
        <w:t xml:space="preserve">rise and fall </w:t>
      </w:r>
      <w:r w:rsidR="00492CDB">
        <w:t>with</w:t>
      </w:r>
      <w:r w:rsidRPr="0077297F">
        <w:t xml:space="preserve"> consumption patterns across </w:t>
      </w:r>
      <w:r w:rsidR="000B1A47">
        <w:t>the State</w:t>
      </w:r>
      <w:r w:rsidR="00492CDB">
        <w:t>. As witnessed during the pandemic</w:t>
      </w:r>
      <w:r>
        <w:t xml:space="preserve">, </w:t>
      </w:r>
      <w:r w:rsidR="00492CDB">
        <w:t>consumption patterns</w:t>
      </w:r>
      <w:r w:rsidRPr="0077297F">
        <w:t xml:space="preserve"> can change suddenly</w:t>
      </w:r>
      <w:r w:rsidR="68AB3241">
        <w:t xml:space="preserve"> and can be</w:t>
      </w:r>
      <w:r w:rsidRPr="0077297F">
        <w:t xml:space="preserve"> influenced by </w:t>
      </w:r>
      <w:r w:rsidR="00D926AD">
        <w:t>a range of</w:t>
      </w:r>
      <w:r w:rsidRPr="0077297F">
        <w:t xml:space="preserve"> factors </w:t>
      </w:r>
      <w:r w:rsidR="00D926AD">
        <w:t>from</w:t>
      </w:r>
      <w:r w:rsidRPr="0077297F">
        <w:t xml:space="preserve"> employment </w:t>
      </w:r>
      <w:r w:rsidR="00D926AD">
        <w:t>to</w:t>
      </w:r>
      <w:r w:rsidRPr="0077297F">
        <w:t xml:space="preserve"> house</w:t>
      </w:r>
      <w:r w:rsidR="007503D8">
        <w:t xml:space="preserve"> </w:t>
      </w:r>
      <w:r w:rsidRPr="0077297F">
        <w:t>price growth.</w:t>
      </w:r>
    </w:p>
    <w:p w14:paraId="5AE9391D" w14:textId="5409093E" w:rsidR="006C3082" w:rsidRPr="00A21502" w:rsidRDefault="0003789C" w:rsidP="00AB1548">
      <w:pPr>
        <w:pStyle w:val="Heading3"/>
        <w:numPr>
          <w:ilvl w:val="0"/>
          <w:numId w:val="0"/>
        </w:numPr>
      </w:pPr>
      <w:bookmarkStart w:id="1" w:name="_Hlk516140863"/>
      <w:r w:rsidRPr="00A21502">
        <w:t xml:space="preserve">GST </w:t>
      </w:r>
      <w:r w:rsidR="00474235">
        <w:t xml:space="preserve">and other Commonwealth </w:t>
      </w:r>
      <w:r w:rsidR="00BF0F63">
        <w:t>p</w:t>
      </w:r>
      <w:r w:rsidR="00474235">
        <w:t>ayments</w:t>
      </w:r>
    </w:p>
    <w:p w14:paraId="41A2C1A2" w14:textId="3E69932E" w:rsidR="005B50C7" w:rsidRDefault="00F641BF" w:rsidP="00D75D75">
      <w:pPr>
        <w:pStyle w:val="BodyText"/>
      </w:pPr>
      <w:r>
        <w:t xml:space="preserve">GST is collected by the </w:t>
      </w:r>
      <w:r w:rsidR="005B50C7">
        <w:t xml:space="preserve">Commonwealth </w:t>
      </w:r>
      <w:r>
        <w:t xml:space="preserve">Government and </w:t>
      </w:r>
      <w:r w:rsidR="005B50C7">
        <w:t xml:space="preserve">then </w:t>
      </w:r>
      <w:r w:rsidR="004666C2">
        <w:t xml:space="preserve">apportioned </w:t>
      </w:r>
      <w:r>
        <w:t xml:space="preserve">to the </w:t>
      </w:r>
      <w:r w:rsidR="32288F91">
        <w:t>S</w:t>
      </w:r>
      <w:r>
        <w:t xml:space="preserve">tates. </w:t>
      </w:r>
      <w:r w:rsidR="4D910E74">
        <w:t>T</w:t>
      </w:r>
      <w:r w:rsidR="00A10D6C">
        <w:t>hree</w:t>
      </w:r>
      <w:r>
        <w:t xml:space="preserve"> main </w:t>
      </w:r>
      <w:r w:rsidR="6711828F">
        <w:t xml:space="preserve">factors </w:t>
      </w:r>
      <w:r w:rsidR="097D5E0F">
        <w:t>determine</w:t>
      </w:r>
      <w:r w:rsidR="005B50C7">
        <w:t xml:space="preserve"> how much GST New South Wales receives over coming years:</w:t>
      </w:r>
    </w:p>
    <w:p w14:paraId="33AE14D8" w14:textId="1D12FB2B" w:rsidR="005B50C7" w:rsidRDefault="005B50C7" w:rsidP="00D75D75">
      <w:pPr>
        <w:pStyle w:val="Bullet1"/>
      </w:pPr>
      <w:r>
        <w:t xml:space="preserve">how much is </w:t>
      </w:r>
      <w:r w:rsidR="00197437">
        <w:t xml:space="preserve">collected </w:t>
      </w:r>
      <w:r>
        <w:t xml:space="preserve">in total across the nation </w:t>
      </w:r>
      <w:r w:rsidR="00197437">
        <w:t>(</w:t>
      </w:r>
      <w:r>
        <w:t xml:space="preserve">called </w:t>
      </w:r>
      <w:r w:rsidR="00197437">
        <w:t>the pool size)</w:t>
      </w:r>
    </w:p>
    <w:p w14:paraId="0E14F2E1" w14:textId="638B8624" w:rsidR="00B645F1" w:rsidRDefault="00B645F1" w:rsidP="00D75D75">
      <w:pPr>
        <w:pStyle w:val="Bullet1"/>
      </w:pPr>
      <w:r>
        <w:t>New South Wales</w:t>
      </w:r>
      <w:r w:rsidR="00E963D8">
        <w:t>’</w:t>
      </w:r>
      <w:r>
        <w:t xml:space="preserve"> </w:t>
      </w:r>
      <w:r w:rsidR="0026621E">
        <w:t xml:space="preserve">population as a </w:t>
      </w:r>
      <w:r w:rsidR="00CB3EC2">
        <w:t xml:space="preserve">fraction of the </w:t>
      </w:r>
      <w:r w:rsidR="00A806A5">
        <w:t xml:space="preserve">national population </w:t>
      </w:r>
      <w:r w:rsidR="006C53BD">
        <w:t>(called the population share)</w:t>
      </w:r>
    </w:p>
    <w:p w14:paraId="15EC838F" w14:textId="7EE0A38D" w:rsidR="005B50C7" w:rsidRDefault="005B50C7" w:rsidP="00D75D75">
      <w:pPr>
        <w:pStyle w:val="Bullet1"/>
      </w:pPr>
      <w:r>
        <w:t xml:space="preserve">what </w:t>
      </w:r>
      <w:r w:rsidR="004666C2">
        <w:t xml:space="preserve">portion of the pool </w:t>
      </w:r>
      <w:r>
        <w:t xml:space="preserve">is </w:t>
      </w:r>
      <w:r w:rsidR="003A58C2">
        <w:t>allocated</w:t>
      </w:r>
      <w:r>
        <w:t xml:space="preserve"> to New South Wales </w:t>
      </w:r>
      <w:r w:rsidR="00197437">
        <w:t>(</w:t>
      </w:r>
      <w:r>
        <w:t>called the</w:t>
      </w:r>
      <w:r w:rsidR="00197437" w:rsidDel="005B50C7">
        <w:t xml:space="preserve"> </w:t>
      </w:r>
      <w:proofErr w:type="gramStart"/>
      <w:r w:rsidR="00197437">
        <w:t>relativity).</w:t>
      </w:r>
      <w:proofErr w:type="gramEnd"/>
      <w:r w:rsidR="00197437">
        <w:t xml:space="preserve"> </w:t>
      </w:r>
    </w:p>
    <w:p w14:paraId="7D7F9E4F" w14:textId="614CEDDC" w:rsidR="004666C2" w:rsidRDefault="00BF58DD" w:rsidP="00D75D75">
      <w:pPr>
        <w:pStyle w:val="BodyText"/>
      </w:pPr>
      <w:r>
        <w:t>None</w:t>
      </w:r>
      <w:r w:rsidR="004666C2">
        <w:t xml:space="preserve"> of these </w:t>
      </w:r>
      <w:r w:rsidR="00023A35">
        <w:t>components</w:t>
      </w:r>
      <w:r w:rsidR="004666C2">
        <w:t xml:space="preserve"> are fixed and can change year on year.</w:t>
      </w:r>
    </w:p>
    <w:p w14:paraId="6FD8C3D5" w14:textId="598FB801" w:rsidR="3C83736D" w:rsidRDefault="3C83736D" w:rsidP="00D75D75">
      <w:pPr>
        <w:pStyle w:val="BodyText"/>
      </w:pPr>
      <w:r>
        <w:t>The 2020-21 Commonwealth Budget scenario analysis</w:t>
      </w:r>
      <w:r w:rsidRPr="3B42F3ED">
        <w:rPr>
          <w:rStyle w:val="FootnoteReference"/>
          <w:u w:val="single"/>
        </w:rPr>
        <w:footnoteReference w:id="2"/>
      </w:r>
      <w:r>
        <w:t xml:space="preserve"> indicates that there is considerable uncertainty around receipt forecasts.  At the 70 per cent confidence interval, GST receipts range by </w:t>
      </w:r>
      <w:r w:rsidR="00FC1E91">
        <w:t>+/-</w:t>
      </w:r>
      <w:r>
        <w:t xml:space="preserve">1.2 per cent of GDP ($23 billion), and at the 90 per cent confidence interval, the range increases to </w:t>
      </w:r>
      <w:r w:rsidR="00FC1E91">
        <w:t>+/-</w:t>
      </w:r>
      <w:r>
        <w:t xml:space="preserve">1.9 per cent of GDP ($36 billion). </w:t>
      </w:r>
      <w:proofErr w:type="gramStart"/>
      <w:r>
        <w:t>In the event that</w:t>
      </w:r>
      <w:proofErr w:type="gramEnd"/>
      <w:r>
        <w:t xml:space="preserve"> actual GST receipts fall in the lower range, this would lead to a commensurate fall in the State’s GST revenue.</w:t>
      </w:r>
    </w:p>
    <w:p w14:paraId="777EC586" w14:textId="02E0247A" w:rsidR="00767D74" w:rsidRDefault="009156B0" w:rsidP="00D75D75">
      <w:pPr>
        <w:pStyle w:val="BodyText"/>
      </w:pPr>
      <w:r w:rsidRPr="008B0B23">
        <w:t xml:space="preserve">Table </w:t>
      </w:r>
      <w:r w:rsidR="008B0B23" w:rsidRPr="00951842">
        <w:t>B.</w:t>
      </w:r>
      <w:r w:rsidR="00DE1A4D" w:rsidRPr="00951842">
        <w:t>5</w:t>
      </w:r>
      <w:r>
        <w:t xml:space="preserve"> </w:t>
      </w:r>
      <w:r w:rsidR="00AF6ECC">
        <w:t>illustrates</w:t>
      </w:r>
      <w:r>
        <w:t xml:space="preserve"> </w:t>
      </w:r>
      <w:r w:rsidR="002E511B">
        <w:t xml:space="preserve">the sensitivity </w:t>
      </w:r>
      <w:r w:rsidR="007149C8">
        <w:t xml:space="preserve">of forecast GST </w:t>
      </w:r>
      <w:r w:rsidR="261DA4D2">
        <w:t>distribution to NSW</w:t>
      </w:r>
      <w:r w:rsidR="007149C8">
        <w:t xml:space="preserve"> </w:t>
      </w:r>
      <w:r w:rsidR="00F37DE1">
        <w:t xml:space="preserve">to a one percentage </w:t>
      </w:r>
      <w:r w:rsidR="006F4F7A">
        <w:t xml:space="preserve">point increase </w:t>
      </w:r>
      <w:r w:rsidR="00F94AAB">
        <w:t xml:space="preserve">in taxable </w:t>
      </w:r>
      <w:r w:rsidR="00EE3522">
        <w:t xml:space="preserve">consumption </w:t>
      </w:r>
      <w:r w:rsidR="00D61F75">
        <w:t>and dwelling investment</w:t>
      </w:r>
      <w:r w:rsidR="00E820E1">
        <w:t xml:space="preserve"> (</w:t>
      </w:r>
      <w:r w:rsidR="002457D8">
        <w:t xml:space="preserve">the main </w:t>
      </w:r>
      <w:r w:rsidR="00225AF9">
        <w:t xml:space="preserve">drivers of the GST </w:t>
      </w:r>
      <w:r w:rsidR="006E4DFC">
        <w:t>pool size</w:t>
      </w:r>
      <w:r w:rsidR="00E820E1">
        <w:t>)</w:t>
      </w:r>
      <w:r w:rsidR="002052A4">
        <w:t>, and to a</w:t>
      </w:r>
      <w:r w:rsidR="00D447E9">
        <w:t xml:space="preserve">n equivalent increase </w:t>
      </w:r>
      <w:r w:rsidR="00CA15A1">
        <w:t xml:space="preserve">in the NSW </w:t>
      </w:r>
      <w:r w:rsidR="00422B88">
        <w:t>population share.</w:t>
      </w:r>
    </w:p>
    <w:p w14:paraId="2AB36AD9" w14:textId="3B4523C2" w:rsidR="00767D74" w:rsidRDefault="00167430" w:rsidP="00167430">
      <w:pPr>
        <w:pStyle w:val="Table4X"/>
        <w:rPr>
          <w:rStyle w:val="eop"/>
        </w:rPr>
      </w:pPr>
      <w:r>
        <w:rPr>
          <w:rStyle w:val="eop"/>
          <w:rFonts w:cs="Arial"/>
        </w:rPr>
        <w:t>Revenue sensitivities – GST</w:t>
      </w:r>
    </w:p>
    <w:tbl>
      <w:tblPr>
        <w:tblStyle w:val="TableGrid"/>
        <w:tblpPr w:leftFromText="180" w:rightFromText="180" w:vertAnchor="text" w:horzAnchor="margin" w:tblpY="-9"/>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B.4: Revenue sensitivities – GST"/>
        <w:tblDescription w:val="Table B.4: Revenue sensitivities – GST "/>
      </w:tblPr>
      <w:tblGrid>
        <w:gridCol w:w="3683"/>
        <w:gridCol w:w="996"/>
        <w:gridCol w:w="992"/>
        <w:gridCol w:w="993"/>
        <w:gridCol w:w="992"/>
        <w:gridCol w:w="1983"/>
      </w:tblGrid>
      <w:tr w:rsidR="00045EEE" w:rsidRPr="00C72AC6" w14:paraId="6F84AB05" w14:textId="77777777" w:rsidTr="00C72AC6">
        <w:trPr>
          <w:trHeight w:val="283"/>
        </w:trPr>
        <w:tc>
          <w:tcPr>
            <w:tcW w:w="3683" w:type="dxa"/>
            <w:vMerge w:val="restart"/>
            <w:shd w:val="clear" w:color="auto" w:fill="008EBA"/>
            <w:vAlign w:val="center"/>
          </w:tcPr>
          <w:p w14:paraId="50FD9B4C" w14:textId="1CBB9277" w:rsidR="00045EEE" w:rsidRPr="00C72AC6" w:rsidRDefault="00045EEE" w:rsidP="00C72AC6">
            <w:pPr>
              <w:rPr>
                <w:rStyle w:val="eop"/>
                <w:rFonts w:ascii="Arial" w:hAnsi="Arial" w:cs="Arial"/>
                <w:color w:val="FFFFFF" w:themeColor="background1"/>
                <w:sz w:val="18"/>
                <w:szCs w:val="18"/>
                <w:lang w:eastAsia="en-AU"/>
              </w:rPr>
            </w:pPr>
            <w:r w:rsidRPr="00C72AC6">
              <w:rPr>
                <w:rStyle w:val="eop"/>
                <w:rFonts w:ascii="Arial" w:hAnsi="Arial" w:cs="Arial"/>
                <w:color w:val="FFFFFF" w:themeColor="background1"/>
                <w:sz w:val="18"/>
                <w:szCs w:val="18"/>
                <w:lang w:eastAsia="en-AU"/>
              </w:rPr>
              <w:t>Factors affecting GST</w:t>
            </w:r>
          </w:p>
        </w:tc>
        <w:tc>
          <w:tcPr>
            <w:tcW w:w="996" w:type="dxa"/>
            <w:shd w:val="clear" w:color="auto" w:fill="008EBA"/>
            <w:vAlign w:val="bottom"/>
          </w:tcPr>
          <w:p w14:paraId="02F18FD5" w14:textId="77777777" w:rsidR="00045EEE" w:rsidRPr="00C72AC6" w:rsidRDefault="00045EEE" w:rsidP="00C72AC6">
            <w:pPr>
              <w:jc w:val="center"/>
              <w:rPr>
                <w:rStyle w:val="eop"/>
                <w:rFonts w:ascii="Arial" w:hAnsi="Arial" w:cs="Arial"/>
                <w:color w:val="FFFFFF" w:themeColor="background1"/>
                <w:sz w:val="18"/>
                <w:szCs w:val="18"/>
                <w:lang w:eastAsia="en-AU"/>
              </w:rPr>
            </w:pPr>
            <w:r w:rsidRPr="00C72AC6">
              <w:rPr>
                <w:rStyle w:val="eop"/>
                <w:rFonts w:ascii="Arial" w:hAnsi="Arial" w:cs="Arial"/>
                <w:color w:val="FFFFFF" w:themeColor="background1"/>
                <w:sz w:val="18"/>
                <w:szCs w:val="18"/>
                <w:lang w:eastAsia="en-AU"/>
              </w:rPr>
              <w:t>2020-21</w:t>
            </w:r>
          </w:p>
        </w:tc>
        <w:tc>
          <w:tcPr>
            <w:tcW w:w="992" w:type="dxa"/>
            <w:shd w:val="clear" w:color="auto" w:fill="008EBA"/>
            <w:vAlign w:val="bottom"/>
          </w:tcPr>
          <w:p w14:paraId="08279C46" w14:textId="77777777" w:rsidR="00045EEE" w:rsidRPr="00C72AC6" w:rsidRDefault="00045EEE" w:rsidP="00C72AC6">
            <w:pPr>
              <w:jc w:val="center"/>
              <w:rPr>
                <w:rStyle w:val="eop"/>
                <w:rFonts w:ascii="Arial" w:hAnsi="Arial" w:cs="Arial"/>
                <w:color w:val="FFFFFF" w:themeColor="background1"/>
                <w:sz w:val="18"/>
                <w:szCs w:val="18"/>
                <w:lang w:eastAsia="en-AU"/>
              </w:rPr>
            </w:pPr>
            <w:r w:rsidRPr="00C72AC6">
              <w:rPr>
                <w:rStyle w:val="eop"/>
                <w:rFonts w:ascii="Arial" w:hAnsi="Arial" w:cs="Arial"/>
                <w:color w:val="FFFFFF" w:themeColor="background1"/>
                <w:sz w:val="18"/>
                <w:szCs w:val="18"/>
                <w:lang w:eastAsia="en-AU"/>
              </w:rPr>
              <w:t>2021-22</w:t>
            </w:r>
          </w:p>
        </w:tc>
        <w:tc>
          <w:tcPr>
            <w:tcW w:w="993" w:type="dxa"/>
            <w:shd w:val="clear" w:color="auto" w:fill="008EBA"/>
            <w:vAlign w:val="bottom"/>
          </w:tcPr>
          <w:p w14:paraId="72A2DE41" w14:textId="77777777" w:rsidR="00045EEE" w:rsidRPr="00C72AC6" w:rsidRDefault="00045EEE" w:rsidP="00C72AC6">
            <w:pPr>
              <w:jc w:val="center"/>
              <w:rPr>
                <w:rStyle w:val="eop"/>
                <w:rFonts w:ascii="Arial" w:hAnsi="Arial" w:cs="Arial"/>
                <w:color w:val="FFFFFF" w:themeColor="background1"/>
                <w:sz w:val="18"/>
                <w:szCs w:val="18"/>
                <w:lang w:eastAsia="en-AU"/>
              </w:rPr>
            </w:pPr>
            <w:r w:rsidRPr="00C72AC6">
              <w:rPr>
                <w:rStyle w:val="eop"/>
                <w:rFonts w:ascii="Arial" w:hAnsi="Arial" w:cs="Arial"/>
                <w:color w:val="FFFFFF" w:themeColor="background1"/>
                <w:sz w:val="18"/>
                <w:szCs w:val="18"/>
                <w:lang w:eastAsia="en-AU"/>
              </w:rPr>
              <w:t>2022-23</w:t>
            </w:r>
          </w:p>
        </w:tc>
        <w:tc>
          <w:tcPr>
            <w:tcW w:w="992" w:type="dxa"/>
            <w:shd w:val="clear" w:color="auto" w:fill="008EBA"/>
            <w:vAlign w:val="bottom"/>
          </w:tcPr>
          <w:p w14:paraId="6D35569E" w14:textId="77777777" w:rsidR="00045EEE" w:rsidRPr="00C72AC6" w:rsidRDefault="00045EEE" w:rsidP="00C72AC6">
            <w:pPr>
              <w:jc w:val="center"/>
              <w:rPr>
                <w:rStyle w:val="eop"/>
                <w:rFonts w:ascii="Arial" w:hAnsi="Arial" w:cs="Arial"/>
                <w:color w:val="FFFFFF" w:themeColor="background1"/>
                <w:sz w:val="18"/>
                <w:szCs w:val="18"/>
                <w:lang w:eastAsia="en-AU"/>
              </w:rPr>
            </w:pPr>
            <w:r w:rsidRPr="00C72AC6">
              <w:rPr>
                <w:rStyle w:val="eop"/>
                <w:rFonts w:ascii="Arial" w:hAnsi="Arial" w:cs="Arial"/>
                <w:color w:val="FFFFFF" w:themeColor="background1"/>
                <w:sz w:val="18"/>
                <w:szCs w:val="18"/>
                <w:lang w:eastAsia="en-AU"/>
              </w:rPr>
              <w:t>2023-24</w:t>
            </w:r>
          </w:p>
        </w:tc>
        <w:tc>
          <w:tcPr>
            <w:tcW w:w="1983" w:type="dxa"/>
            <w:vMerge w:val="restart"/>
            <w:shd w:val="clear" w:color="auto" w:fill="4B5051"/>
            <w:vAlign w:val="center"/>
          </w:tcPr>
          <w:p w14:paraId="2F306AF9" w14:textId="7F609A56" w:rsidR="00045EEE" w:rsidRPr="00C72AC6" w:rsidRDefault="00346CB4" w:rsidP="00C72AC6">
            <w:pPr>
              <w:jc w:val="center"/>
              <w:rPr>
                <w:rStyle w:val="eop"/>
                <w:rFonts w:ascii="Arial" w:hAnsi="Arial" w:cs="Arial"/>
                <w:color w:val="FFFFFF" w:themeColor="background1"/>
                <w:sz w:val="18"/>
                <w:szCs w:val="18"/>
                <w:lang w:eastAsia="en-AU"/>
              </w:rPr>
            </w:pPr>
            <w:r w:rsidRPr="00C72AC6">
              <w:rPr>
                <w:rStyle w:val="eop"/>
                <w:rFonts w:ascii="Arial" w:hAnsi="Arial" w:cs="Arial"/>
                <w:color w:val="FFFFFF" w:themeColor="background1"/>
                <w:sz w:val="18"/>
                <w:szCs w:val="18"/>
                <w:lang w:eastAsia="en-AU"/>
              </w:rPr>
              <w:t>Sensitivity</w:t>
            </w:r>
          </w:p>
        </w:tc>
      </w:tr>
      <w:tr w:rsidR="00045EEE" w:rsidRPr="00C72AC6" w14:paraId="25E12629" w14:textId="77777777" w:rsidTr="00C72AC6">
        <w:trPr>
          <w:trHeight w:val="283"/>
        </w:trPr>
        <w:tc>
          <w:tcPr>
            <w:tcW w:w="3683" w:type="dxa"/>
            <w:vMerge/>
          </w:tcPr>
          <w:p w14:paraId="592E52C3" w14:textId="77777777" w:rsidR="00045EEE" w:rsidRPr="00C72AC6" w:rsidRDefault="00045EEE" w:rsidP="00C72AC6">
            <w:pPr>
              <w:jc w:val="center"/>
              <w:rPr>
                <w:rStyle w:val="eop"/>
                <w:rFonts w:ascii="Arial" w:hAnsi="Arial" w:cs="Arial"/>
                <w:color w:val="FFFFFF" w:themeColor="background1"/>
                <w:sz w:val="18"/>
                <w:szCs w:val="18"/>
                <w:lang w:eastAsia="en-AU"/>
              </w:rPr>
            </w:pPr>
          </w:p>
        </w:tc>
        <w:tc>
          <w:tcPr>
            <w:tcW w:w="996" w:type="dxa"/>
            <w:shd w:val="clear" w:color="auto" w:fill="008EBA"/>
          </w:tcPr>
          <w:p w14:paraId="0E3AE87C" w14:textId="77777777" w:rsidR="00045EEE" w:rsidRPr="00C72AC6" w:rsidRDefault="00045EEE" w:rsidP="00C72AC6">
            <w:pPr>
              <w:jc w:val="center"/>
              <w:rPr>
                <w:rStyle w:val="eop"/>
                <w:rFonts w:ascii="Arial" w:hAnsi="Arial" w:cs="Arial"/>
                <w:color w:val="FFFFFF" w:themeColor="background1"/>
                <w:sz w:val="18"/>
                <w:szCs w:val="18"/>
                <w:lang w:eastAsia="en-AU"/>
              </w:rPr>
            </w:pPr>
            <w:r w:rsidRPr="00C72AC6">
              <w:rPr>
                <w:rStyle w:val="eop"/>
                <w:rFonts w:ascii="Arial" w:hAnsi="Arial" w:cs="Arial"/>
                <w:color w:val="FFFFFF" w:themeColor="background1"/>
                <w:sz w:val="18"/>
                <w:szCs w:val="18"/>
                <w:lang w:eastAsia="en-AU"/>
              </w:rPr>
              <w:t>Budget</w:t>
            </w:r>
          </w:p>
        </w:tc>
        <w:tc>
          <w:tcPr>
            <w:tcW w:w="2977" w:type="dxa"/>
            <w:gridSpan w:val="3"/>
            <w:shd w:val="clear" w:color="auto" w:fill="008EBA"/>
          </w:tcPr>
          <w:p w14:paraId="04F58583" w14:textId="77777777" w:rsidR="00045EEE" w:rsidRPr="00C72AC6" w:rsidRDefault="00045EEE" w:rsidP="00C72AC6">
            <w:pPr>
              <w:jc w:val="center"/>
              <w:rPr>
                <w:rStyle w:val="eop"/>
                <w:rFonts w:ascii="Arial" w:hAnsi="Arial" w:cs="Arial"/>
                <w:color w:val="FFFFFF" w:themeColor="background1"/>
                <w:sz w:val="18"/>
                <w:szCs w:val="18"/>
                <w:lang w:eastAsia="en-AU"/>
              </w:rPr>
            </w:pPr>
            <w:r w:rsidRPr="00C72AC6">
              <w:rPr>
                <w:rStyle w:val="eop"/>
                <w:rFonts w:ascii="Arial" w:hAnsi="Arial" w:cs="Arial"/>
                <w:color w:val="FFFFFF" w:themeColor="background1"/>
                <w:sz w:val="18"/>
                <w:szCs w:val="18"/>
                <w:lang w:eastAsia="en-AU"/>
              </w:rPr>
              <w:t>Forward estimates</w:t>
            </w:r>
          </w:p>
        </w:tc>
        <w:tc>
          <w:tcPr>
            <w:tcW w:w="1983" w:type="dxa"/>
            <w:vMerge/>
            <w:vAlign w:val="center"/>
          </w:tcPr>
          <w:p w14:paraId="5A0FA95C" w14:textId="77777777" w:rsidR="00045EEE" w:rsidRPr="00C72AC6" w:rsidRDefault="00045EEE" w:rsidP="00C72AC6">
            <w:pPr>
              <w:jc w:val="center"/>
              <w:rPr>
                <w:rStyle w:val="eop"/>
                <w:rFonts w:ascii="Arial" w:hAnsi="Arial" w:cs="Arial"/>
                <w:color w:val="FFFFFF" w:themeColor="background1"/>
                <w:sz w:val="18"/>
                <w:szCs w:val="18"/>
                <w:lang w:eastAsia="en-AU"/>
              </w:rPr>
            </w:pPr>
          </w:p>
        </w:tc>
      </w:tr>
      <w:tr w:rsidR="00DD532B" w:rsidRPr="00C72AC6" w14:paraId="1D6DE001" w14:textId="77777777" w:rsidTr="00D976BA">
        <w:trPr>
          <w:trHeight w:val="283"/>
        </w:trPr>
        <w:tc>
          <w:tcPr>
            <w:tcW w:w="3683" w:type="dxa"/>
            <w:shd w:val="clear" w:color="auto" w:fill="00426F"/>
          </w:tcPr>
          <w:p w14:paraId="4981B069" w14:textId="4166AAF9" w:rsidR="00DD532B" w:rsidRPr="00C72AC6" w:rsidRDefault="00DD532B" w:rsidP="00C72AC6">
            <w:pPr>
              <w:jc w:val="center"/>
              <w:rPr>
                <w:rStyle w:val="eop"/>
                <w:rFonts w:ascii="Arial" w:hAnsi="Arial" w:cs="Arial"/>
                <w:color w:val="FFFFFF" w:themeColor="background1"/>
                <w:sz w:val="18"/>
                <w:szCs w:val="18"/>
                <w:lang w:eastAsia="en-AU"/>
              </w:rPr>
            </w:pPr>
          </w:p>
        </w:tc>
        <w:tc>
          <w:tcPr>
            <w:tcW w:w="996" w:type="dxa"/>
            <w:shd w:val="clear" w:color="auto" w:fill="00426F"/>
            <w:vAlign w:val="center"/>
          </w:tcPr>
          <w:p w14:paraId="0F598ADB" w14:textId="77777777" w:rsidR="00DD532B" w:rsidRPr="00C72AC6" w:rsidRDefault="00DD532B" w:rsidP="00C72AC6">
            <w:pPr>
              <w:jc w:val="center"/>
              <w:rPr>
                <w:rStyle w:val="eop"/>
                <w:rFonts w:ascii="Arial" w:hAnsi="Arial" w:cs="Arial"/>
                <w:color w:val="FFFFFF" w:themeColor="background1"/>
                <w:sz w:val="18"/>
                <w:szCs w:val="18"/>
                <w:lang w:eastAsia="en-AU"/>
              </w:rPr>
            </w:pPr>
            <w:r w:rsidRPr="00C72AC6">
              <w:rPr>
                <w:rStyle w:val="eop"/>
                <w:rFonts w:ascii="Arial" w:hAnsi="Arial" w:cs="Arial"/>
                <w:color w:val="FFFFFF" w:themeColor="background1"/>
                <w:sz w:val="18"/>
                <w:szCs w:val="18"/>
                <w:lang w:eastAsia="en-AU"/>
              </w:rPr>
              <w:t>$m</w:t>
            </w:r>
          </w:p>
        </w:tc>
        <w:tc>
          <w:tcPr>
            <w:tcW w:w="992" w:type="dxa"/>
            <w:shd w:val="clear" w:color="auto" w:fill="00426F"/>
            <w:vAlign w:val="center"/>
          </w:tcPr>
          <w:p w14:paraId="7930BDCF" w14:textId="77777777" w:rsidR="00DD532B" w:rsidRPr="00C72AC6" w:rsidRDefault="00DD532B" w:rsidP="00C72AC6">
            <w:pPr>
              <w:jc w:val="center"/>
              <w:rPr>
                <w:rStyle w:val="eop"/>
                <w:rFonts w:ascii="Arial" w:hAnsi="Arial" w:cs="Arial"/>
                <w:color w:val="FFFFFF" w:themeColor="background1"/>
                <w:sz w:val="18"/>
                <w:szCs w:val="18"/>
                <w:lang w:eastAsia="en-AU"/>
              </w:rPr>
            </w:pPr>
            <w:r w:rsidRPr="00C72AC6">
              <w:rPr>
                <w:rStyle w:val="eop"/>
                <w:rFonts w:ascii="Arial" w:hAnsi="Arial" w:cs="Arial"/>
                <w:color w:val="FFFFFF" w:themeColor="background1"/>
                <w:sz w:val="18"/>
                <w:szCs w:val="18"/>
                <w:lang w:eastAsia="en-AU"/>
              </w:rPr>
              <w:t>$m</w:t>
            </w:r>
          </w:p>
        </w:tc>
        <w:tc>
          <w:tcPr>
            <w:tcW w:w="993" w:type="dxa"/>
            <w:shd w:val="clear" w:color="auto" w:fill="00426F"/>
            <w:vAlign w:val="center"/>
          </w:tcPr>
          <w:p w14:paraId="5DEEAEA0" w14:textId="77777777" w:rsidR="00DD532B" w:rsidRPr="00C72AC6" w:rsidRDefault="00DD532B" w:rsidP="00C72AC6">
            <w:pPr>
              <w:jc w:val="center"/>
              <w:rPr>
                <w:rStyle w:val="eop"/>
                <w:rFonts w:ascii="Arial" w:hAnsi="Arial" w:cs="Arial"/>
                <w:color w:val="FFFFFF" w:themeColor="background1"/>
                <w:sz w:val="18"/>
                <w:szCs w:val="18"/>
                <w:lang w:eastAsia="en-AU"/>
              </w:rPr>
            </w:pPr>
            <w:r w:rsidRPr="00C72AC6">
              <w:rPr>
                <w:rStyle w:val="eop"/>
                <w:rFonts w:ascii="Arial" w:hAnsi="Arial" w:cs="Arial"/>
                <w:color w:val="FFFFFF" w:themeColor="background1"/>
                <w:sz w:val="18"/>
                <w:szCs w:val="18"/>
                <w:lang w:eastAsia="en-AU"/>
              </w:rPr>
              <w:t>$m</w:t>
            </w:r>
          </w:p>
        </w:tc>
        <w:tc>
          <w:tcPr>
            <w:tcW w:w="992" w:type="dxa"/>
            <w:shd w:val="clear" w:color="auto" w:fill="00426F"/>
            <w:vAlign w:val="center"/>
          </w:tcPr>
          <w:p w14:paraId="28AE16DA" w14:textId="77777777" w:rsidR="00DD532B" w:rsidRPr="00C72AC6" w:rsidRDefault="00DD532B" w:rsidP="00C72AC6">
            <w:pPr>
              <w:jc w:val="center"/>
              <w:rPr>
                <w:rStyle w:val="eop"/>
                <w:rFonts w:ascii="Arial" w:hAnsi="Arial" w:cs="Arial"/>
                <w:color w:val="FFFFFF" w:themeColor="background1"/>
                <w:sz w:val="18"/>
                <w:szCs w:val="18"/>
                <w:lang w:eastAsia="en-AU"/>
              </w:rPr>
            </w:pPr>
            <w:r w:rsidRPr="00C72AC6">
              <w:rPr>
                <w:rStyle w:val="eop"/>
                <w:rFonts w:ascii="Arial" w:hAnsi="Arial" w:cs="Arial"/>
                <w:color w:val="FFFFFF" w:themeColor="background1"/>
                <w:sz w:val="18"/>
                <w:szCs w:val="18"/>
                <w:lang w:eastAsia="en-AU"/>
              </w:rPr>
              <w:t>$m</w:t>
            </w:r>
          </w:p>
        </w:tc>
        <w:tc>
          <w:tcPr>
            <w:tcW w:w="1983" w:type="dxa"/>
            <w:vMerge/>
            <w:vAlign w:val="center"/>
          </w:tcPr>
          <w:p w14:paraId="39AF8429" w14:textId="77777777" w:rsidR="00DD532B" w:rsidRPr="00C72AC6" w:rsidRDefault="00DD532B" w:rsidP="00C72AC6">
            <w:pPr>
              <w:jc w:val="center"/>
              <w:rPr>
                <w:rStyle w:val="eop"/>
                <w:rFonts w:ascii="Arial" w:hAnsi="Arial" w:cs="Arial"/>
                <w:color w:val="FFFFFF" w:themeColor="background1"/>
                <w:sz w:val="18"/>
                <w:szCs w:val="18"/>
                <w:lang w:eastAsia="en-AU"/>
              </w:rPr>
            </w:pPr>
          </w:p>
        </w:tc>
      </w:tr>
      <w:tr w:rsidR="00482502" w:rsidRPr="00C72AC6" w14:paraId="21A81645" w14:textId="77777777" w:rsidTr="00C72AC6">
        <w:trPr>
          <w:trHeight w:val="283"/>
        </w:trPr>
        <w:tc>
          <w:tcPr>
            <w:tcW w:w="3683" w:type="dxa"/>
            <w:shd w:val="clear" w:color="auto" w:fill="auto"/>
            <w:vAlign w:val="center"/>
          </w:tcPr>
          <w:p w14:paraId="235CD267" w14:textId="77777777" w:rsidR="00482502" w:rsidRPr="00C72AC6" w:rsidRDefault="00482502" w:rsidP="00C72AC6">
            <w:pPr>
              <w:rPr>
                <w:rFonts w:ascii="Arial" w:hAnsi="Arial" w:cs="Arial"/>
                <w:sz w:val="18"/>
                <w:szCs w:val="18"/>
              </w:rPr>
            </w:pPr>
            <w:r w:rsidRPr="00C72AC6">
              <w:rPr>
                <w:rFonts w:ascii="Arial" w:hAnsi="Arial" w:cs="Arial"/>
                <w:sz w:val="18"/>
                <w:szCs w:val="18"/>
              </w:rPr>
              <w:t>Taxable consumption</w:t>
            </w:r>
          </w:p>
        </w:tc>
        <w:tc>
          <w:tcPr>
            <w:tcW w:w="996" w:type="dxa"/>
            <w:vAlign w:val="center"/>
          </w:tcPr>
          <w:p w14:paraId="3B007CB4" w14:textId="77777777" w:rsidR="00482502" w:rsidRPr="00C72AC6" w:rsidRDefault="00482502" w:rsidP="001D5EDC">
            <w:pPr>
              <w:ind w:right="170"/>
              <w:jc w:val="right"/>
              <w:rPr>
                <w:rFonts w:ascii="Arial" w:hAnsi="Arial" w:cs="Arial"/>
                <w:sz w:val="18"/>
                <w:szCs w:val="18"/>
              </w:rPr>
            </w:pPr>
            <w:r w:rsidRPr="00C72AC6">
              <w:rPr>
                <w:rFonts w:ascii="Arial" w:hAnsi="Arial" w:cs="Arial"/>
                <w:sz w:val="18"/>
                <w:szCs w:val="18"/>
              </w:rPr>
              <w:t>99</w:t>
            </w:r>
          </w:p>
        </w:tc>
        <w:tc>
          <w:tcPr>
            <w:tcW w:w="992" w:type="dxa"/>
            <w:shd w:val="clear" w:color="auto" w:fill="B9BDBF"/>
            <w:vAlign w:val="center"/>
          </w:tcPr>
          <w:p w14:paraId="1CBCE394" w14:textId="77777777" w:rsidR="00482502" w:rsidRPr="00C72AC6" w:rsidRDefault="00482502" w:rsidP="001D5EDC">
            <w:pPr>
              <w:ind w:right="170"/>
              <w:jc w:val="right"/>
              <w:rPr>
                <w:rFonts w:ascii="Arial" w:hAnsi="Arial" w:cs="Arial"/>
                <w:sz w:val="18"/>
                <w:szCs w:val="18"/>
              </w:rPr>
            </w:pPr>
            <w:r w:rsidRPr="00C72AC6">
              <w:rPr>
                <w:rFonts w:ascii="Arial" w:hAnsi="Arial" w:cs="Arial"/>
                <w:sz w:val="18"/>
                <w:szCs w:val="18"/>
              </w:rPr>
              <w:t>106</w:t>
            </w:r>
          </w:p>
        </w:tc>
        <w:tc>
          <w:tcPr>
            <w:tcW w:w="993" w:type="dxa"/>
            <w:shd w:val="clear" w:color="auto" w:fill="B9BDBF"/>
            <w:vAlign w:val="center"/>
          </w:tcPr>
          <w:p w14:paraId="1573649C" w14:textId="77777777" w:rsidR="00482502" w:rsidRPr="00C72AC6" w:rsidRDefault="00482502" w:rsidP="001D5EDC">
            <w:pPr>
              <w:ind w:right="170"/>
              <w:jc w:val="right"/>
              <w:rPr>
                <w:rFonts w:ascii="Arial" w:hAnsi="Arial" w:cs="Arial"/>
                <w:sz w:val="18"/>
                <w:szCs w:val="18"/>
              </w:rPr>
            </w:pPr>
            <w:r w:rsidRPr="00C72AC6">
              <w:rPr>
                <w:rFonts w:ascii="Arial" w:hAnsi="Arial" w:cs="Arial"/>
                <w:sz w:val="18"/>
                <w:szCs w:val="18"/>
              </w:rPr>
              <w:t>112</w:t>
            </w:r>
          </w:p>
        </w:tc>
        <w:tc>
          <w:tcPr>
            <w:tcW w:w="992" w:type="dxa"/>
            <w:shd w:val="clear" w:color="auto" w:fill="B9BDBF"/>
            <w:vAlign w:val="center"/>
          </w:tcPr>
          <w:p w14:paraId="06E75EDC" w14:textId="77777777" w:rsidR="00482502" w:rsidRPr="00C72AC6" w:rsidRDefault="00482502" w:rsidP="001D5EDC">
            <w:pPr>
              <w:ind w:right="170"/>
              <w:jc w:val="right"/>
              <w:rPr>
                <w:rFonts w:ascii="Arial" w:hAnsi="Arial" w:cs="Arial"/>
                <w:sz w:val="18"/>
                <w:szCs w:val="18"/>
              </w:rPr>
            </w:pPr>
            <w:r w:rsidRPr="00C72AC6">
              <w:rPr>
                <w:rFonts w:ascii="Arial" w:hAnsi="Arial" w:cs="Arial"/>
                <w:sz w:val="18"/>
                <w:szCs w:val="18"/>
              </w:rPr>
              <w:t>119</w:t>
            </w:r>
          </w:p>
        </w:tc>
        <w:tc>
          <w:tcPr>
            <w:tcW w:w="1983" w:type="dxa"/>
            <w:vMerge w:val="restart"/>
            <w:vAlign w:val="center"/>
          </w:tcPr>
          <w:p w14:paraId="752EDB83" w14:textId="65B6CBB5" w:rsidR="00482502" w:rsidRPr="00C72AC6" w:rsidRDefault="00B02045" w:rsidP="00C72AC6">
            <w:pPr>
              <w:jc w:val="center"/>
              <w:rPr>
                <w:rFonts w:ascii="Arial" w:hAnsi="Arial" w:cs="Arial"/>
                <w:sz w:val="18"/>
                <w:szCs w:val="18"/>
              </w:rPr>
            </w:pPr>
            <w:r w:rsidRPr="00C72AC6">
              <w:rPr>
                <w:rFonts w:ascii="Arial" w:hAnsi="Arial" w:cs="Arial"/>
                <w:sz w:val="18"/>
                <w:szCs w:val="18"/>
              </w:rPr>
              <w:t xml:space="preserve">Single percentage </w:t>
            </w:r>
            <w:r w:rsidR="00A41193" w:rsidRPr="00C72AC6">
              <w:rPr>
                <w:rFonts w:ascii="Arial" w:hAnsi="Arial" w:cs="Arial"/>
                <w:sz w:val="18"/>
                <w:szCs w:val="18"/>
              </w:rPr>
              <w:t xml:space="preserve">point increase </w:t>
            </w:r>
            <w:r w:rsidR="00315EE7" w:rsidRPr="00C72AC6">
              <w:rPr>
                <w:rFonts w:ascii="Arial" w:hAnsi="Arial" w:cs="Arial"/>
                <w:sz w:val="18"/>
                <w:szCs w:val="18"/>
              </w:rPr>
              <w:t>in factor</w:t>
            </w:r>
          </w:p>
        </w:tc>
      </w:tr>
      <w:tr w:rsidR="00482502" w:rsidRPr="00C72AC6" w14:paraId="783F4836" w14:textId="77777777" w:rsidTr="00C72AC6">
        <w:trPr>
          <w:trHeight w:val="283"/>
        </w:trPr>
        <w:tc>
          <w:tcPr>
            <w:tcW w:w="3683" w:type="dxa"/>
            <w:shd w:val="clear" w:color="auto" w:fill="auto"/>
            <w:vAlign w:val="center"/>
          </w:tcPr>
          <w:p w14:paraId="486B1B46" w14:textId="77777777" w:rsidR="00482502" w:rsidRPr="00C72AC6" w:rsidRDefault="00482502" w:rsidP="00C72AC6">
            <w:pPr>
              <w:rPr>
                <w:rFonts w:ascii="Arial" w:hAnsi="Arial" w:cs="Arial"/>
                <w:sz w:val="18"/>
                <w:szCs w:val="18"/>
              </w:rPr>
            </w:pPr>
            <w:r w:rsidRPr="00C72AC6">
              <w:rPr>
                <w:rFonts w:ascii="Arial" w:hAnsi="Arial" w:cs="Arial"/>
                <w:sz w:val="18"/>
                <w:szCs w:val="18"/>
              </w:rPr>
              <w:t>Dwelling investment</w:t>
            </w:r>
          </w:p>
        </w:tc>
        <w:tc>
          <w:tcPr>
            <w:tcW w:w="996" w:type="dxa"/>
            <w:vAlign w:val="center"/>
          </w:tcPr>
          <w:p w14:paraId="50022DD6" w14:textId="77777777" w:rsidR="00482502" w:rsidRPr="00C72AC6" w:rsidRDefault="00482502" w:rsidP="001D5EDC">
            <w:pPr>
              <w:ind w:right="170"/>
              <w:jc w:val="right"/>
              <w:rPr>
                <w:rFonts w:ascii="Arial" w:hAnsi="Arial" w:cs="Arial"/>
                <w:sz w:val="18"/>
                <w:szCs w:val="18"/>
              </w:rPr>
            </w:pPr>
            <w:r w:rsidRPr="00C72AC6">
              <w:rPr>
                <w:rFonts w:ascii="Arial" w:hAnsi="Arial" w:cs="Arial"/>
                <w:sz w:val="18"/>
                <w:szCs w:val="18"/>
              </w:rPr>
              <w:t>33</w:t>
            </w:r>
          </w:p>
        </w:tc>
        <w:tc>
          <w:tcPr>
            <w:tcW w:w="992" w:type="dxa"/>
            <w:shd w:val="clear" w:color="auto" w:fill="B9BDBF"/>
            <w:vAlign w:val="center"/>
          </w:tcPr>
          <w:p w14:paraId="7EA549AC" w14:textId="77777777" w:rsidR="00482502" w:rsidRPr="00C72AC6" w:rsidRDefault="00482502" w:rsidP="001D5EDC">
            <w:pPr>
              <w:ind w:right="170"/>
              <w:jc w:val="right"/>
              <w:rPr>
                <w:rFonts w:ascii="Arial" w:hAnsi="Arial" w:cs="Arial"/>
                <w:sz w:val="18"/>
                <w:szCs w:val="18"/>
              </w:rPr>
            </w:pPr>
            <w:r w:rsidRPr="00C72AC6">
              <w:rPr>
                <w:rFonts w:ascii="Arial" w:hAnsi="Arial" w:cs="Arial"/>
                <w:sz w:val="18"/>
                <w:szCs w:val="18"/>
              </w:rPr>
              <w:t>35</w:t>
            </w:r>
          </w:p>
        </w:tc>
        <w:tc>
          <w:tcPr>
            <w:tcW w:w="993" w:type="dxa"/>
            <w:shd w:val="clear" w:color="auto" w:fill="B9BDBF"/>
            <w:vAlign w:val="center"/>
          </w:tcPr>
          <w:p w14:paraId="26085102" w14:textId="77777777" w:rsidR="00482502" w:rsidRPr="00C72AC6" w:rsidRDefault="00482502" w:rsidP="001D5EDC">
            <w:pPr>
              <w:ind w:right="170"/>
              <w:jc w:val="right"/>
              <w:rPr>
                <w:rFonts w:ascii="Arial" w:hAnsi="Arial" w:cs="Arial"/>
                <w:sz w:val="18"/>
                <w:szCs w:val="18"/>
              </w:rPr>
            </w:pPr>
            <w:r w:rsidRPr="00C72AC6">
              <w:rPr>
                <w:rFonts w:ascii="Arial" w:hAnsi="Arial" w:cs="Arial"/>
                <w:sz w:val="18"/>
                <w:szCs w:val="18"/>
              </w:rPr>
              <w:t>37</w:t>
            </w:r>
          </w:p>
        </w:tc>
        <w:tc>
          <w:tcPr>
            <w:tcW w:w="992" w:type="dxa"/>
            <w:shd w:val="clear" w:color="auto" w:fill="B9BDBF"/>
            <w:vAlign w:val="center"/>
          </w:tcPr>
          <w:p w14:paraId="28188794" w14:textId="77777777" w:rsidR="00482502" w:rsidRPr="00C72AC6" w:rsidRDefault="00482502" w:rsidP="001D5EDC">
            <w:pPr>
              <w:ind w:right="170"/>
              <w:jc w:val="right"/>
              <w:rPr>
                <w:rFonts w:ascii="Arial" w:hAnsi="Arial" w:cs="Arial"/>
                <w:sz w:val="18"/>
                <w:szCs w:val="18"/>
              </w:rPr>
            </w:pPr>
            <w:r w:rsidRPr="00C72AC6">
              <w:rPr>
                <w:rFonts w:ascii="Arial" w:hAnsi="Arial" w:cs="Arial"/>
                <w:sz w:val="18"/>
                <w:szCs w:val="18"/>
              </w:rPr>
              <w:t>39</w:t>
            </w:r>
          </w:p>
        </w:tc>
        <w:tc>
          <w:tcPr>
            <w:tcW w:w="1983" w:type="dxa"/>
            <w:vMerge/>
          </w:tcPr>
          <w:p w14:paraId="5016080A" w14:textId="77777777" w:rsidR="00482502" w:rsidRPr="00C72AC6" w:rsidRDefault="00482502" w:rsidP="00C72AC6">
            <w:pPr>
              <w:jc w:val="center"/>
              <w:rPr>
                <w:rFonts w:ascii="Arial" w:hAnsi="Arial" w:cs="Arial"/>
                <w:sz w:val="18"/>
                <w:szCs w:val="18"/>
              </w:rPr>
            </w:pPr>
          </w:p>
        </w:tc>
      </w:tr>
      <w:tr w:rsidR="00482502" w:rsidRPr="00C72AC6" w14:paraId="43F04ED1" w14:textId="77777777" w:rsidTr="00D976BA">
        <w:trPr>
          <w:trHeight w:val="283"/>
        </w:trPr>
        <w:tc>
          <w:tcPr>
            <w:tcW w:w="3683" w:type="dxa"/>
            <w:tcBorders>
              <w:bottom w:val="single" w:sz="4" w:space="0" w:color="auto"/>
            </w:tcBorders>
            <w:shd w:val="clear" w:color="auto" w:fill="auto"/>
            <w:vAlign w:val="center"/>
          </w:tcPr>
          <w:p w14:paraId="2EC244FE" w14:textId="77777777" w:rsidR="00482502" w:rsidRPr="00C72AC6" w:rsidRDefault="00482502" w:rsidP="00C72AC6">
            <w:pPr>
              <w:rPr>
                <w:rFonts w:ascii="Arial" w:hAnsi="Arial" w:cs="Arial"/>
                <w:sz w:val="18"/>
                <w:szCs w:val="18"/>
              </w:rPr>
            </w:pPr>
            <w:r w:rsidRPr="00C72AC6">
              <w:rPr>
                <w:rFonts w:ascii="Arial" w:hAnsi="Arial" w:cs="Arial"/>
                <w:sz w:val="18"/>
                <w:szCs w:val="18"/>
              </w:rPr>
              <w:t>Population share</w:t>
            </w:r>
          </w:p>
        </w:tc>
        <w:tc>
          <w:tcPr>
            <w:tcW w:w="996" w:type="dxa"/>
            <w:tcBorders>
              <w:bottom w:val="single" w:sz="4" w:space="0" w:color="auto"/>
            </w:tcBorders>
            <w:vAlign w:val="center"/>
          </w:tcPr>
          <w:p w14:paraId="6DDD8409" w14:textId="77777777" w:rsidR="00482502" w:rsidRPr="00C72AC6" w:rsidRDefault="00482502" w:rsidP="001D5EDC">
            <w:pPr>
              <w:ind w:right="170"/>
              <w:jc w:val="right"/>
              <w:rPr>
                <w:rFonts w:ascii="Arial" w:hAnsi="Arial" w:cs="Arial"/>
                <w:sz w:val="18"/>
                <w:szCs w:val="18"/>
              </w:rPr>
            </w:pPr>
            <w:r w:rsidRPr="00C72AC6">
              <w:rPr>
                <w:rFonts w:ascii="Arial" w:hAnsi="Arial" w:cs="Arial"/>
                <w:sz w:val="18"/>
                <w:szCs w:val="18"/>
              </w:rPr>
              <w:t>163</w:t>
            </w:r>
          </w:p>
        </w:tc>
        <w:tc>
          <w:tcPr>
            <w:tcW w:w="992" w:type="dxa"/>
            <w:tcBorders>
              <w:bottom w:val="single" w:sz="4" w:space="0" w:color="auto"/>
            </w:tcBorders>
            <w:shd w:val="clear" w:color="auto" w:fill="B9BDBF"/>
            <w:vAlign w:val="center"/>
          </w:tcPr>
          <w:p w14:paraId="661F3D36" w14:textId="77777777" w:rsidR="00482502" w:rsidRPr="00C72AC6" w:rsidRDefault="00482502" w:rsidP="001D5EDC">
            <w:pPr>
              <w:ind w:right="170"/>
              <w:jc w:val="right"/>
              <w:rPr>
                <w:rFonts w:ascii="Arial" w:hAnsi="Arial" w:cs="Arial"/>
                <w:sz w:val="18"/>
                <w:szCs w:val="18"/>
              </w:rPr>
            </w:pPr>
            <w:r w:rsidRPr="00C72AC6">
              <w:rPr>
                <w:rFonts w:ascii="Arial" w:hAnsi="Arial" w:cs="Arial"/>
                <w:sz w:val="18"/>
                <w:szCs w:val="18"/>
              </w:rPr>
              <w:t>196</w:t>
            </w:r>
          </w:p>
        </w:tc>
        <w:tc>
          <w:tcPr>
            <w:tcW w:w="993" w:type="dxa"/>
            <w:tcBorders>
              <w:bottom w:val="single" w:sz="4" w:space="0" w:color="auto"/>
            </w:tcBorders>
            <w:shd w:val="clear" w:color="auto" w:fill="B9BDBF"/>
            <w:vAlign w:val="center"/>
          </w:tcPr>
          <w:p w14:paraId="577C28D7" w14:textId="77777777" w:rsidR="00482502" w:rsidRPr="00C72AC6" w:rsidRDefault="00482502" w:rsidP="001D5EDC">
            <w:pPr>
              <w:ind w:right="170"/>
              <w:jc w:val="right"/>
              <w:rPr>
                <w:rFonts w:ascii="Arial" w:hAnsi="Arial" w:cs="Arial"/>
                <w:sz w:val="18"/>
                <w:szCs w:val="18"/>
              </w:rPr>
            </w:pPr>
            <w:r w:rsidRPr="00C72AC6">
              <w:rPr>
                <w:rFonts w:ascii="Arial" w:hAnsi="Arial" w:cs="Arial"/>
                <w:sz w:val="18"/>
                <w:szCs w:val="18"/>
              </w:rPr>
              <w:t>199</w:t>
            </w:r>
          </w:p>
        </w:tc>
        <w:tc>
          <w:tcPr>
            <w:tcW w:w="992" w:type="dxa"/>
            <w:tcBorders>
              <w:bottom w:val="single" w:sz="4" w:space="0" w:color="auto"/>
            </w:tcBorders>
            <w:shd w:val="clear" w:color="auto" w:fill="B9BDBF"/>
            <w:vAlign w:val="center"/>
          </w:tcPr>
          <w:p w14:paraId="5137B358" w14:textId="77777777" w:rsidR="00482502" w:rsidRPr="00C72AC6" w:rsidRDefault="00482502" w:rsidP="001D5EDC">
            <w:pPr>
              <w:ind w:right="170"/>
              <w:jc w:val="right"/>
              <w:rPr>
                <w:rFonts w:ascii="Arial" w:hAnsi="Arial" w:cs="Arial"/>
                <w:sz w:val="18"/>
                <w:szCs w:val="18"/>
              </w:rPr>
            </w:pPr>
            <w:r w:rsidRPr="00C72AC6">
              <w:rPr>
                <w:rFonts w:ascii="Arial" w:hAnsi="Arial" w:cs="Arial"/>
                <w:sz w:val="18"/>
                <w:szCs w:val="18"/>
              </w:rPr>
              <w:t>201</w:t>
            </w:r>
          </w:p>
        </w:tc>
        <w:tc>
          <w:tcPr>
            <w:tcW w:w="1983" w:type="dxa"/>
            <w:vMerge/>
            <w:tcBorders>
              <w:bottom w:val="single" w:sz="4" w:space="0" w:color="auto"/>
            </w:tcBorders>
          </w:tcPr>
          <w:p w14:paraId="60E81EBE" w14:textId="77777777" w:rsidR="00482502" w:rsidRPr="00C72AC6" w:rsidRDefault="00482502" w:rsidP="00C72AC6">
            <w:pPr>
              <w:jc w:val="center"/>
              <w:rPr>
                <w:rFonts w:ascii="Arial" w:hAnsi="Arial" w:cs="Arial"/>
                <w:sz w:val="18"/>
                <w:szCs w:val="18"/>
              </w:rPr>
            </w:pPr>
          </w:p>
        </w:tc>
      </w:tr>
    </w:tbl>
    <w:p w14:paraId="250872E6" w14:textId="58834FF6" w:rsidR="00767D74" w:rsidRDefault="00767D74"/>
    <w:p w14:paraId="3B6A72C6" w14:textId="77777777" w:rsidR="002D053E" w:rsidRDefault="002D053E">
      <w:pPr>
        <w:spacing w:after="200" w:line="276" w:lineRule="auto"/>
        <w:rPr>
          <w:rFonts w:ascii="Arial" w:eastAsiaTheme="minorHAnsi" w:hAnsi="Arial" w:cs="Arial"/>
          <w:sz w:val="23"/>
          <w:szCs w:val="24"/>
          <w:lang w:val="en-AU"/>
        </w:rPr>
      </w:pPr>
      <w:r>
        <w:br w:type="page"/>
      </w:r>
    </w:p>
    <w:p w14:paraId="262A1DA7" w14:textId="49AE366B" w:rsidR="009159F1" w:rsidRDefault="008F0E40" w:rsidP="00D75D75">
      <w:pPr>
        <w:pStyle w:val="BodyText"/>
      </w:pPr>
      <w:r>
        <w:t>Regarding</w:t>
      </w:r>
      <w:r w:rsidR="00327EA9">
        <w:t xml:space="preserve"> the relativity, t</w:t>
      </w:r>
      <w:r w:rsidR="005F1712">
        <w:t xml:space="preserve">here is a formula that drives how much GST </w:t>
      </w:r>
      <w:r w:rsidR="003C0C5A">
        <w:t xml:space="preserve">is provided to each </w:t>
      </w:r>
      <w:r w:rsidR="32B7CC96">
        <w:t>S</w:t>
      </w:r>
      <w:r w:rsidR="003C0C5A">
        <w:t xml:space="preserve">tate. </w:t>
      </w:r>
      <w:r w:rsidR="005F1712">
        <w:t xml:space="preserve">Under this formula, </w:t>
      </w:r>
      <w:r w:rsidR="009159F1">
        <w:t xml:space="preserve">the following events can lead to a </w:t>
      </w:r>
      <w:r w:rsidR="00D92010">
        <w:t>changed</w:t>
      </w:r>
      <w:r w:rsidR="009159F1">
        <w:t xml:space="preserve"> share to New South Wales: </w:t>
      </w:r>
    </w:p>
    <w:p w14:paraId="05DF9909" w14:textId="4F41F4CE" w:rsidR="001D0E95" w:rsidRDefault="0061554B" w:rsidP="00D75D75">
      <w:pPr>
        <w:pStyle w:val="Bullet1"/>
      </w:pPr>
      <w:r>
        <w:t>c</w:t>
      </w:r>
      <w:r w:rsidR="441ACEC7">
        <w:t>hanges</w:t>
      </w:r>
      <w:r w:rsidR="003C140A">
        <w:t xml:space="preserve"> to</w:t>
      </w:r>
      <w:r w:rsidR="00197437">
        <w:t xml:space="preserve"> New South Wales</w:t>
      </w:r>
      <w:r w:rsidR="00B54897">
        <w:t>’</w:t>
      </w:r>
      <w:r w:rsidR="00197437">
        <w:t xml:space="preserve"> own</w:t>
      </w:r>
      <w:r w:rsidR="005B02FB">
        <w:t>-</w:t>
      </w:r>
      <w:r w:rsidR="00EC4E59">
        <w:t>source</w:t>
      </w:r>
      <w:r w:rsidR="00197437">
        <w:t xml:space="preserve"> revenue</w:t>
      </w:r>
      <w:r w:rsidR="009159F1">
        <w:t>,</w:t>
      </w:r>
      <w:r w:rsidR="00197437">
        <w:t xml:space="preserve"> relative to other </w:t>
      </w:r>
      <w:r w:rsidR="024451E6">
        <w:t>S</w:t>
      </w:r>
      <w:r w:rsidR="00197437">
        <w:t>tates</w:t>
      </w:r>
    </w:p>
    <w:p w14:paraId="27B45072" w14:textId="783E54D2" w:rsidR="00306A18" w:rsidRDefault="0061554B" w:rsidP="00D75D75">
      <w:pPr>
        <w:pStyle w:val="Bullet1"/>
      </w:pPr>
      <w:r>
        <w:t>a</w:t>
      </w:r>
      <w:r w:rsidR="00197437" w:rsidDel="0088636D">
        <w:t xml:space="preserve"> </w:t>
      </w:r>
      <w:r w:rsidR="0088636D">
        <w:t xml:space="preserve">change </w:t>
      </w:r>
      <w:r w:rsidR="00197437">
        <w:t xml:space="preserve">in </w:t>
      </w:r>
      <w:r w:rsidR="00306A18">
        <w:t xml:space="preserve">the Commonwealth’s assessment of how much expenditure New South Wales </w:t>
      </w:r>
      <w:r w:rsidR="00197437">
        <w:t>need</w:t>
      </w:r>
      <w:r w:rsidR="00306A18">
        <w:t>s, compared to other States</w:t>
      </w:r>
    </w:p>
    <w:p w14:paraId="5B39A7D2" w14:textId="0FD7FC98" w:rsidR="00197437" w:rsidRDefault="0061554B" w:rsidP="00D75D75">
      <w:pPr>
        <w:pStyle w:val="Bullet1"/>
      </w:pPr>
      <w:r>
        <w:t>a</w:t>
      </w:r>
      <w:r w:rsidR="0088636D">
        <w:t xml:space="preserve"> change to</w:t>
      </w:r>
      <w:r w:rsidR="00197437">
        <w:t xml:space="preserve"> National Agreement and National Partnership payments relative to other </w:t>
      </w:r>
      <w:r w:rsidR="00A63EE1">
        <w:t>S</w:t>
      </w:r>
      <w:r w:rsidR="00197437">
        <w:t>tates</w:t>
      </w:r>
      <w:r w:rsidR="00A63EE1">
        <w:t>.</w:t>
      </w:r>
    </w:p>
    <w:p w14:paraId="7E1C1649" w14:textId="5F5E4C24" w:rsidR="00460733" w:rsidRDefault="284DD1DC" w:rsidP="00D75D75">
      <w:pPr>
        <w:pStyle w:val="BodyText"/>
      </w:pPr>
      <w:r>
        <w:t xml:space="preserve">The </w:t>
      </w:r>
      <w:r w:rsidR="003332CF">
        <w:t xml:space="preserve">formula used to </w:t>
      </w:r>
      <w:r w:rsidR="008D5E4F">
        <w:t xml:space="preserve">determine GST </w:t>
      </w:r>
      <w:r w:rsidR="00FD375F">
        <w:t xml:space="preserve">distributions </w:t>
      </w:r>
      <w:r w:rsidR="00153E13">
        <w:t xml:space="preserve">to the States </w:t>
      </w:r>
      <w:r w:rsidR="00327191">
        <w:t xml:space="preserve">was revised under </w:t>
      </w:r>
      <w:r w:rsidR="003D48AD">
        <w:t xml:space="preserve">the Commonwealth </w:t>
      </w:r>
      <w:r w:rsidR="003D2746">
        <w:t>Grants Commission (CGC)</w:t>
      </w:r>
      <w:r w:rsidR="009B71A9">
        <w:t xml:space="preserve"> 2020 </w:t>
      </w:r>
      <w:r w:rsidR="009B4225">
        <w:t xml:space="preserve">Methodology </w:t>
      </w:r>
      <w:r w:rsidR="00E83694">
        <w:t xml:space="preserve">Review. The </w:t>
      </w:r>
      <w:r w:rsidR="0092194A">
        <w:t xml:space="preserve">outcomes of the Review </w:t>
      </w:r>
      <w:r w:rsidR="00316098">
        <w:t xml:space="preserve">were such that </w:t>
      </w:r>
      <w:r w:rsidR="00AF1F03">
        <w:t xml:space="preserve">New South Wales </w:t>
      </w:r>
      <w:r w:rsidR="00DE5B07">
        <w:t xml:space="preserve">will gain a </w:t>
      </w:r>
      <w:r w:rsidR="004863B0">
        <w:t xml:space="preserve">greater share of </w:t>
      </w:r>
      <w:r w:rsidR="00670430">
        <w:t xml:space="preserve">GST from </w:t>
      </w:r>
      <w:r w:rsidR="004F380E">
        <w:t xml:space="preserve">2020-21 </w:t>
      </w:r>
      <w:r w:rsidR="00B159C4">
        <w:t>to 2025-26</w:t>
      </w:r>
      <w:r w:rsidR="000447A2">
        <w:t>, because of a mo</w:t>
      </w:r>
      <w:r w:rsidR="00B0373C">
        <w:t xml:space="preserve">re </w:t>
      </w:r>
      <w:r w:rsidR="000D3B2A">
        <w:t xml:space="preserve">accurate assessment of </w:t>
      </w:r>
      <w:r w:rsidR="00D11A10">
        <w:t xml:space="preserve">the cost of providing </w:t>
      </w:r>
      <w:r w:rsidR="0082072D">
        <w:t xml:space="preserve">public services </w:t>
      </w:r>
      <w:r w:rsidR="00AC630D">
        <w:t>across the State.</w:t>
      </w:r>
    </w:p>
    <w:p w14:paraId="53BB095F" w14:textId="5B273A4B" w:rsidR="284DD1DC" w:rsidRDefault="284DD1DC" w:rsidP="00D75D75">
      <w:pPr>
        <w:pStyle w:val="BodyText"/>
      </w:pPr>
      <w:r>
        <w:t xml:space="preserve">The forecasts </w:t>
      </w:r>
      <w:r w:rsidR="0061554B">
        <w:t>in this B</w:t>
      </w:r>
      <w:r>
        <w:t xml:space="preserve">udget </w:t>
      </w:r>
      <w:proofErr w:type="gramStart"/>
      <w:r>
        <w:t>take into account</w:t>
      </w:r>
      <w:proofErr w:type="gramEnd"/>
      <w:r>
        <w:t xml:space="preserve"> expected National Agreement and National Partnership Payments. Actual results can vary from forecasts if there are new, renegotiated or ceased programs and infrastructure projects over the forward estimate</w:t>
      </w:r>
      <w:r w:rsidR="00352C17">
        <w:t>s</w:t>
      </w:r>
      <w:r>
        <w:t xml:space="preserve"> period.  </w:t>
      </w:r>
    </w:p>
    <w:p w14:paraId="0348A1BF" w14:textId="6777C05C" w:rsidR="007260C2" w:rsidRDefault="4577C182" w:rsidP="00DA32F8">
      <w:pPr>
        <w:pStyle w:val="Heading3"/>
        <w:numPr>
          <w:ilvl w:val="0"/>
          <w:numId w:val="0"/>
        </w:numPr>
        <w:rPr>
          <w:rFonts w:asciiTheme="minorHAnsi" w:eastAsiaTheme="minorEastAsia" w:hAnsiTheme="minorHAnsi" w:cstheme="minorBidi"/>
        </w:rPr>
      </w:pPr>
      <w:r w:rsidRPr="2EC75A5E">
        <w:rPr>
          <w:rFonts w:eastAsia="Arial Bold"/>
        </w:rPr>
        <w:t>Royalties</w:t>
      </w:r>
    </w:p>
    <w:bookmarkEnd w:id="1"/>
    <w:p w14:paraId="045E607A" w14:textId="354DC3C4" w:rsidR="008E75B1" w:rsidRDefault="00234167" w:rsidP="00D75D75">
      <w:pPr>
        <w:pStyle w:val="BodyText"/>
      </w:pPr>
      <w:r>
        <w:t>New South Wales</w:t>
      </w:r>
      <w:r w:rsidR="00BC091A">
        <w:t>’ mineral royalties</w:t>
      </w:r>
      <w:r>
        <w:t xml:space="preserve"> </w:t>
      </w:r>
      <w:r w:rsidR="008E75B1">
        <w:t>can be volatile</w:t>
      </w:r>
      <w:r w:rsidR="00104427">
        <w:t xml:space="preserve">. </w:t>
      </w:r>
      <w:r w:rsidR="00C626C4">
        <w:t xml:space="preserve">A large share </w:t>
      </w:r>
      <w:r w:rsidR="00104427">
        <w:t xml:space="preserve">of </w:t>
      </w:r>
      <w:proofErr w:type="gramStart"/>
      <w:r w:rsidR="00104427">
        <w:t>royalties</w:t>
      </w:r>
      <w:proofErr w:type="gramEnd"/>
      <w:r w:rsidR="00104427">
        <w:t xml:space="preserve"> </w:t>
      </w:r>
      <w:r w:rsidR="00C626C4">
        <w:t xml:space="preserve">revenue is generated </w:t>
      </w:r>
      <w:r>
        <w:t>from coal</w:t>
      </w:r>
      <w:r w:rsidR="00C626C4">
        <w:t xml:space="preserve"> exports to </w:t>
      </w:r>
      <w:r>
        <w:t>Asia</w:t>
      </w:r>
      <w:r w:rsidR="00C626C4">
        <w:t>,</w:t>
      </w:r>
      <w:r w:rsidR="00104427">
        <w:t xml:space="preserve"> </w:t>
      </w:r>
      <w:r w:rsidR="00C626C4">
        <w:t xml:space="preserve">which means that </w:t>
      </w:r>
      <w:r w:rsidR="3F509A17">
        <w:t>the amount of</w:t>
      </w:r>
      <w:r w:rsidR="00C626C4">
        <w:t xml:space="preserve"> royalties</w:t>
      </w:r>
      <w:r w:rsidDel="00C626C4">
        <w:t xml:space="preserve"> </w:t>
      </w:r>
      <w:r w:rsidR="0067317E">
        <w:t>collected in coming years</w:t>
      </w:r>
      <w:r w:rsidR="2B5599F7">
        <w:t xml:space="preserve"> are sensitive to changes in:</w:t>
      </w:r>
      <w:r>
        <w:t xml:space="preserve"> </w:t>
      </w:r>
    </w:p>
    <w:p w14:paraId="5390E116" w14:textId="3F6F7641" w:rsidR="00234167" w:rsidRPr="004D2D27" w:rsidRDefault="00234167" w:rsidP="00D75D75">
      <w:pPr>
        <w:pStyle w:val="Bullet1"/>
        <w:rPr>
          <w:rFonts w:asciiTheme="minorHAnsi" w:eastAsiaTheme="minorEastAsia" w:hAnsiTheme="minorHAnsi" w:cstheme="minorBidi"/>
        </w:rPr>
      </w:pPr>
      <w:r w:rsidRPr="3694050C">
        <w:t>coal export volumes – an increase in coal volumes increases the quantity of coal that royalties are charge</w:t>
      </w:r>
      <w:r w:rsidR="00BC091A">
        <w:t>d</w:t>
      </w:r>
      <w:r w:rsidRPr="3694050C">
        <w:t xml:space="preserve"> on, hence increasing revenue</w:t>
      </w:r>
    </w:p>
    <w:p w14:paraId="7817EF57" w14:textId="2F0A8D2A" w:rsidR="00234167" w:rsidRPr="004D2D27" w:rsidRDefault="00234167" w:rsidP="00D75D75">
      <w:pPr>
        <w:pStyle w:val="Bullet1"/>
      </w:pPr>
      <w:r w:rsidRPr="3694050C">
        <w:t>coal export prices – an increase in coal export prices increases the value of coal exports</w:t>
      </w:r>
      <w:r w:rsidR="007C78DE">
        <w:t>,</w:t>
      </w:r>
      <w:r w:rsidRPr="3694050C">
        <w:t xml:space="preserve"> increas</w:t>
      </w:r>
      <w:r w:rsidR="00561086">
        <w:t>ing</w:t>
      </w:r>
      <w:r w:rsidRPr="3694050C">
        <w:t xml:space="preserve"> </w:t>
      </w:r>
      <w:proofErr w:type="gramStart"/>
      <w:r w:rsidRPr="3694050C">
        <w:t>royalties</w:t>
      </w:r>
      <w:proofErr w:type="gramEnd"/>
      <w:r w:rsidRPr="3694050C">
        <w:t xml:space="preserve"> revenue</w:t>
      </w:r>
    </w:p>
    <w:p w14:paraId="4945E174" w14:textId="6E75AC0E" w:rsidR="00234167" w:rsidRDefault="00234167" w:rsidP="00D75D75">
      <w:pPr>
        <w:pStyle w:val="Bullet1"/>
      </w:pPr>
      <w:r w:rsidRPr="3694050C">
        <w:t xml:space="preserve">exchange rates – an appreciation of the Australian-US exchange rate reduces the Australian dollar value of coal exports, putting downward pressure on </w:t>
      </w:r>
      <w:proofErr w:type="gramStart"/>
      <w:r w:rsidRPr="3694050C">
        <w:t>royalties</w:t>
      </w:r>
      <w:proofErr w:type="gramEnd"/>
      <w:r w:rsidRPr="3694050C">
        <w:t xml:space="preserve"> revenue</w:t>
      </w:r>
      <w:r w:rsidR="00FE2387">
        <w:t xml:space="preserve"> due to coal exports being transacted in US dollars</w:t>
      </w:r>
      <w:r w:rsidR="00C84322">
        <w:t>.</w:t>
      </w:r>
    </w:p>
    <w:p w14:paraId="33568149" w14:textId="3CB52983" w:rsidR="003210D0" w:rsidRPr="00385B68" w:rsidRDefault="003210D0" w:rsidP="003210D0">
      <w:pPr>
        <w:pStyle w:val="Bullet1"/>
        <w:numPr>
          <w:ilvl w:val="0"/>
          <w:numId w:val="0"/>
        </w:numPr>
      </w:pPr>
      <w:r>
        <w:t xml:space="preserve">Table B.6 </w:t>
      </w:r>
      <w:r w:rsidR="00F675F2">
        <w:t>d</w:t>
      </w:r>
      <w:r>
        <w:t xml:space="preserve">enotes the sensitivity of forecast </w:t>
      </w:r>
      <w:proofErr w:type="gramStart"/>
      <w:r>
        <w:t>royalties</w:t>
      </w:r>
      <w:proofErr w:type="gramEnd"/>
      <w:r>
        <w:t xml:space="preserve"> revenue to a one percentage point increase in coal prices and coal production volumes.</w:t>
      </w:r>
    </w:p>
    <w:p w14:paraId="50C69C90" w14:textId="34945697" w:rsidR="00310A49" w:rsidRDefault="005053D8" w:rsidP="005053D8">
      <w:pPr>
        <w:pStyle w:val="Table4X"/>
        <w:rPr>
          <w:rStyle w:val="eop"/>
        </w:rPr>
      </w:pPr>
      <w:r>
        <w:rPr>
          <w:rStyle w:val="eop"/>
          <w:rFonts w:cs="Arial"/>
        </w:rPr>
        <w:t>Revenue sensitivities – Coal royalties</w:t>
      </w:r>
    </w:p>
    <w:tbl>
      <w:tblPr>
        <w:tblStyle w:val="TableGrid"/>
        <w:tblpPr w:leftFromText="180" w:rightFromText="180" w:vertAnchor="text" w:horzAnchor="margin" w:tblpY="-9"/>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B.5: Revenue sensitivities – Coal royalties"/>
        <w:tblDescription w:val="Table B.5: Revenue sensitivities – Coal royalties"/>
      </w:tblPr>
      <w:tblGrid>
        <w:gridCol w:w="3683"/>
        <w:gridCol w:w="996"/>
        <w:gridCol w:w="992"/>
        <w:gridCol w:w="993"/>
        <w:gridCol w:w="992"/>
        <w:gridCol w:w="1983"/>
      </w:tblGrid>
      <w:tr w:rsidR="00346CB4" w:rsidRPr="001D5EDC" w14:paraId="1F32C5FD" w14:textId="77777777" w:rsidTr="001D5EDC">
        <w:trPr>
          <w:trHeight w:val="283"/>
        </w:trPr>
        <w:tc>
          <w:tcPr>
            <w:tcW w:w="3683" w:type="dxa"/>
            <w:vMerge w:val="restart"/>
            <w:shd w:val="clear" w:color="auto" w:fill="008EBA"/>
            <w:vAlign w:val="center"/>
          </w:tcPr>
          <w:p w14:paraId="11B7ABAA" w14:textId="41B4420F" w:rsidR="00346CB4" w:rsidRPr="001D5EDC" w:rsidRDefault="00346CB4" w:rsidP="001D5EDC">
            <w:pPr>
              <w:rPr>
                <w:rStyle w:val="eop"/>
                <w:rFonts w:ascii="Arial" w:hAnsi="Arial" w:cs="Arial"/>
                <w:color w:val="FFFFFF" w:themeColor="background1"/>
                <w:sz w:val="18"/>
                <w:szCs w:val="18"/>
                <w:lang w:eastAsia="en-AU"/>
              </w:rPr>
            </w:pPr>
            <w:r w:rsidRPr="001D5EDC">
              <w:rPr>
                <w:rStyle w:val="eop"/>
                <w:rFonts w:ascii="Arial" w:hAnsi="Arial" w:cs="Arial"/>
                <w:color w:val="FFFFFF" w:themeColor="background1"/>
                <w:sz w:val="18"/>
                <w:szCs w:val="18"/>
                <w:lang w:eastAsia="en-AU"/>
              </w:rPr>
              <w:t xml:space="preserve">Factors affecting </w:t>
            </w:r>
            <w:proofErr w:type="gramStart"/>
            <w:r w:rsidRPr="001D5EDC">
              <w:rPr>
                <w:rStyle w:val="eop"/>
                <w:rFonts w:ascii="Arial" w:hAnsi="Arial" w:cs="Arial"/>
                <w:color w:val="FFFFFF" w:themeColor="background1"/>
                <w:sz w:val="18"/>
                <w:szCs w:val="18"/>
                <w:lang w:eastAsia="en-AU"/>
              </w:rPr>
              <w:t>royalties</w:t>
            </w:r>
            <w:proofErr w:type="gramEnd"/>
            <w:r w:rsidRPr="001D5EDC">
              <w:rPr>
                <w:rStyle w:val="eop"/>
                <w:rFonts w:ascii="Arial" w:hAnsi="Arial" w:cs="Arial"/>
                <w:color w:val="FFFFFF" w:themeColor="background1"/>
                <w:sz w:val="18"/>
                <w:szCs w:val="18"/>
                <w:lang w:eastAsia="en-AU"/>
              </w:rPr>
              <w:t xml:space="preserve"> revenue</w:t>
            </w:r>
          </w:p>
        </w:tc>
        <w:tc>
          <w:tcPr>
            <w:tcW w:w="996" w:type="dxa"/>
            <w:shd w:val="clear" w:color="auto" w:fill="008EBA"/>
            <w:vAlign w:val="bottom"/>
          </w:tcPr>
          <w:p w14:paraId="3517BBEB" w14:textId="79F8908F" w:rsidR="00346CB4" w:rsidRPr="001D5EDC" w:rsidRDefault="00346CB4" w:rsidP="001D5EDC">
            <w:pPr>
              <w:jc w:val="center"/>
              <w:rPr>
                <w:rStyle w:val="eop"/>
                <w:rFonts w:ascii="Arial" w:hAnsi="Arial" w:cs="Arial"/>
                <w:color w:val="FFFFFF" w:themeColor="background1"/>
                <w:sz w:val="18"/>
                <w:szCs w:val="18"/>
                <w:lang w:eastAsia="en-AU"/>
              </w:rPr>
            </w:pPr>
            <w:r w:rsidRPr="001D5EDC">
              <w:rPr>
                <w:rStyle w:val="eop"/>
                <w:rFonts w:ascii="Arial" w:hAnsi="Arial" w:cs="Arial"/>
                <w:color w:val="FFFFFF" w:themeColor="background1"/>
                <w:sz w:val="18"/>
                <w:szCs w:val="18"/>
                <w:lang w:eastAsia="en-AU"/>
              </w:rPr>
              <w:t>2020-21</w:t>
            </w:r>
          </w:p>
        </w:tc>
        <w:tc>
          <w:tcPr>
            <w:tcW w:w="992" w:type="dxa"/>
            <w:shd w:val="clear" w:color="auto" w:fill="008EBA"/>
            <w:vAlign w:val="bottom"/>
          </w:tcPr>
          <w:p w14:paraId="6A91083A" w14:textId="77777777" w:rsidR="00346CB4" w:rsidRPr="001D5EDC" w:rsidRDefault="00346CB4" w:rsidP="001D5EDC">
            <w:pPr>
              <w:jc w:val="center"/>
              <w:rPr>
                <w:rStyle w:val="eop"/>
                <w:rFonts w:ascii="Arial" w:hAnsi="Arial" w:cs="Arial"/>
                <w:color w:val="FFFFFF" w:themeColor="background1"/>
                <w:sz w:val="18"/>
                <w:szCs w:val="18"/>
                <w:lang w:eastAsia="en-AU"/>
              </w:rPr>
            </w:pPr>
            <w:r w:rsidRPr="001D5EDC">
              <w:rPr>
                <w:rStyle w:val="eop"/>
                <w:rFonts w:ascii="Arial" w:hAnsi="Arial" w:cs="Arial"/>
                <w:color w:val="FFFFFF" w:themeColor="background1"/>
                <w:sz w:val="18"/>
                <w:szCs w:val="18"/>
                <w:lang w:eastAsia="en-AU"/>
              </w:rPr>
              <w:t>2021-22</w:t>
            </w:r>
          </w:p>
        </w:tc>
        <w:tc>
          <w:tcPr>
            <w:tcW w:w="993" w:type="dxa"/>
            <w:shd w:val="clear" w:color="auto" w:fill="008EBA"/>
            <w:vAlign w:val="bottom"/>
          </w:tcPr>
          <w:p w14:paraId="58F57B73" w14:textId="77777777" w:rsidR="00346CB4" w:rsidRPr="001D5EDC" w:rsidRDefault="00346CB4" w:rsidP="001D5EDC">
            <w:pPr>
              <w:jc w:val="center"/>
              <w:rPr>
                <w:rStyle w:val="eop"/>
                <w:rFonts w:ascii="Arial" w:hAnsi="Arial" w:cs="Arial"/>
                <w:color w:val="FFFFFF" w:themeColor="background1"/>
                <w:sz w:val="18"/>
                <w:szCs w:val="18"/>
                <w:lang w:eastAsia="en-AU"/>
              </w:rPr>
            </w:pPr>
            <w:r w:rsidRPr="001D5EDC">
              <w:rPr>
                <w:rStyle w:val="eop"/>
                <w:rFonts w:ascii="Arial" w:hAnsi="Arial" w:cs="Arial"/>
                <w:color w:val="FFFFFF" w:themeColor="background1"/>
                <w:sz w:val="18"/>
                <w:szCs w:val="18"/>
                <w:lang w:eastAsia="en-AU"/>
              </w:rPr>
              <w:t>2022-23</w:t>
            </w:r>
          </w:p>
        </w:tc>
        <w:tc>
          <w:tcPr>
            <w:tcW w:w="992" w:type="dxa"/>
            <w:shd w:val="clear" w:color="auto" w:fill="008EBA"/>
            <w:vAlign w:val="bottom"/>
          </w:tcPr>
          <w:p w14:paraId="5C8DD792" w14:textId="77777777" w:rsidR="00346CB4" w:rsidRPr="001D5EDC" w:rsidRDefault="00346CB4" w:rsidP="001D5EDC">
            <w:pPr>
              <w:jc w:val="center"/>
              <w:rPr>
                <w:rStyle w:val="eop"/>
                <w:rFonts w:ascii="Arial" w:hAnsi="Arial" w:cs="Arial"/>
                <w:color w:val="FFFFFF" w:themeColor="background1"/>
                <w:sz w:val="18"/>
                <w:szCs w:val="18"/>
                <w:lang w:eastAsia="en-AU"/>
              </w:rPr>
            </w:pPr>
            <w:r w:rsidRPr="001D5EDC">
              <w:rPr>
                <w:rStyle w:val="eop"/>
                <w:rFonts w:ascii="Arial" w:hAnsi="Arial" w:cs="Arial"/>
                <w:color w:val="FFFFFF" w:themeColor="background1"/>
                <w:sz w:val="18"/>
                <w:szCs w:val="18"/>
                <w:lang w:eastAsia="en-AU"/>
              </w:rPr>
              <w:t>2023-24</w:t>
            </w:r>
          </w:p>
        </w:tc>
        <w:tc>
          <w:tcPr>
            <w:tcW w:w="1983" w:type="dxa"/>
            <w:vMerge w:val="restart"/>
            <w:shd w:val="clear" w:color="auto" w:fill="4B5051"/>
            <w:vAlign w:val="center"/>
          </w:tcPr>
          <w:p w14:paraId="6EC53944" w14:textId="54DF9431" w:rsidR="00346CB4" w:rsidRPr="001D5EDC" w:rsidRDefault="00346CB4" w:rsidP="001D5EDC">
            <w:pPr>
              <w:jc w:val="center"/>
              <w:rPr>
                <w:rStyle w:val="eop"/>
                <w:rFonts w:ascii="Arial" w:hAnsi="Arial" w:cs="Arial"/>
                <w:color w:val="FFFFFF" w:themeColor="background1"/>
                <w:sz w:val="18"/>
                <w:szCs w:val="18"/>
                <w:lang w:eastAsia="en-AU"/>
              </w:rPr>
            </w:pPr>
            <w:r w:rsidRPr="001D5EDC">
              <w:rPr>
                <w:rStyle w:val="eop"/>
                <w:rFonts w:ascii="Arial" w:hAnsi="Arial" w:cs="Arial"/>
                <w:color w:val="FFFFFF" w:themeColor="background1"/>
                <w:sz w:val="18"/>
                <w:szCs w:val="18"/>
                <w:lang w:eastAsia="en-AU"/>
              </w:rPr>
              <w:t>Sensitivity</w:t>
            </w:r>
          </w:p>
        </w:tc>
      </w:tr>
      <w:tr w:rsidR="00346CB4" w:rsidRPr="001D5EDC" w14:paraId="58798DE1" w14:textId="77777777" w:rsidTr="001D5EDC">
        <w:trPr>
          <w:trHeight w:val="283"/>
        </w:trPr>
        <w:tc>
          <w:tcPr>
            <w:tcW w:w="3683" w:type="dxa"/>
            <w:vMerge/>
          </w:tcPr>
          <w:p w14:paraId="4FD4E032" w14:textId="77777777" w:rsidR="00346CB4" w:rsidRPr="001D5EDC" w:rsidRDefault="00346CB4" w:rsidP="001D5EDC">
            <w:pPr>
              <w:jc w:val="center"/>
              <w:rPr>
                <w:rStyle w:val="eop"/>
                <w:rFonts w:ascii="Arial" w:hAnsi="Arial" w:cs="Arial"/>
                <w:color w:val="FFFFFF" w:themeColor="background1"/>
                <w:sz w:val="18"/>
                <w:szCs w:val="18"/>
                <w:lang w:eastAsia="en-AU"/>
              </w:rPr>
            </w:pPr>
          </w:p>
        </w:tc>
        <w:tc>
          <w:tcPr>
            <w:tcW w:w="996" w:type="dxa"/>
            <w:shd w:val="clear" w:color="auto" w:fill="008EBA"/>
          </w:tcPr>
          <w:p w14:paraId="7776027A" w14:textId="4FCEA7F9" w:rsidR="00346CB4" w:rsidRPr="001D5EDC" w:rsidRDefault="00346CB4" w:rsidP="001D5EDC">
            <w:pPr>
              <w:jc w:val="center"/>
              <w:rPr>
                <w:rStyle w:val="eop"/>
                <w:rFonts w:ascii="Arial" w:hAnsi="Arial" w:cs="Arial"/>
                <w:color w:val="FFFFFF" w:themeColor="background1"/>
                <w:sz w:val="18"/>
                <w:szCs w:val="18"/>
                <w:lang w:eastAsia="en-AU"/>
              </w:rPr>
            </w:pPr>
            <w:r w:rsidRPr="001D5EDC">
              <w:rPr>
                <w:rStyle w:val="eop"/>
                <w:rFonts w:ascii="Arial" w:hAnsi="Arial" w:cs="Arial"/>
                <w:color w:val="FFFFFF" w:themeColor="background1"/>
                <w:sz w:val="18"/>
                <w:szCs w:val="18"/>
                <w:lang w:eastAsia="en-AU"/>
              </w:rPr>
              <w:t>Budget</w:t>
            </w:r>
          </w:p>
        </w:tc>
        <w:tc>
          <w:tcPr>
            <w:tcW w:w="2977" w:type="dxa"/>
            <w:gridSpan w:val="3"/>
            <w:shd w:val="clear" w:color="auto" w:fill="008EBA"/>
          </w:tcPr>
          <w:p w14:paraId="0549ECA6" w14:textId="77777777" w:rsidR="00346CB4" w:rsidRPr="001D5EDC" w:rsidRDefault="00346CB4" w:rsidP="001D5EDC">
            <w:pPr>
              <w:jc w:val="center"/>
              <w:rPr>
                <w:rStyle w:val="eop"/>
                <w:rFonts w:ascii="Arial" w:hAnsi="Arial" w:cs="Arial"/>
                <w:color w:val="FFFFFF" w:themeColor="background1"/>
                <w:sz w:val="18"/>
                <w:szCs w:val="18"/>
                <w:lang w:eastAsia="en-AU"/>
              </w:rPr>
            </w:pPr>
            <w:r w:rsidRPr="001D5EDC">
              <w:rPr>
                <w:rStyle w:val="eop"/>
                <w:rFonts w:ascii="Arial" w:hAnsi="Arial" w:cs="Arial"/>
                <w:color w:val="FFFFFF" w:themeColor="background1"/>
                <w:sz w:val="18"/>
                <w:szCs w:val="18"/>
                <w:lang w:eastAsia="en-AU"/>
              </w:rPr>
              <w:t>Forward estimates</w:t>
            </w:r>
          </w:p>
        </w:tc>
        <w:tc>
          <w:tcPr>
            <w:tcW w:w="1983" w:type="dxa"/>
            <w:vMerge/>
            <w:vAlign w:val="center"/>
          </w:tcPr>
          <w:p w14:paraId="00084632" w14:textId="77777777" w:rsidR="00346CB4" w:rsidRPr="001D5EDC" w:rsidRDefault="00346CB4" w:rsidP="001D5EDC">
            <w:pPr>
              <w:jc w:val="center"/>
              <w:rPr>
                <w:rStyle w:val="eop"/>
                <w:rFonts w:ascii="Arial" w:hAnsi="Arial" w:cs="Arial"/>
                <w:color w:val="FFFFFF" w:themeColor="background1"/>
                <w:sz w:val="18"/>
                <w:szCs w:val="18"/>
                <w:lang w:eastAsia="en-AU"/>
              </w:rPr>
            </w:pPr>
          </w:p>
        </w:tc>
      </w:tr>
      <w:tr w:rsidR="00310A49" w:rsidRPr="001D5EDC" w14:paraId="355E5C0F" w14:textId="77777777" w:rsidTr="00D976BA">
        <w:trPr>
          <w:trHeight w:val="283"/>
        </w:trPr>
        <w:tc>
          <w:tcPr>
            <w:tcW w:w="3683" w:type="dxa"/>
            <w:shd w:val="clear" w:color="auto" w:fill="00426F"/>
          </w:tcPr>
          <w:p w14:paraId="4A44E6E7" w14:textId="77777777" w:rsidR="00310A49" w:rsidRPr="001D5EDC" w:rsidRDefault="00310A49" w:rsidP="001D5EDC">
            <w:pPr>
              <w:jc w:val="center"/>
              <w:rPr>
                <w:rStyle w:val="eop"/>
                <w:rFonts w:ascii="Arial" w:hAnsi="Arial" w:cs="Arial"/>
                <w:color w:val="FFFFFF" w:themeColor="background1"/>
                <w:sz w:val="18"/>
                <w:szCs w:val="18"/>
                <w:lang w:eastAsia="en-AU"/>
              </w:rPr>
            </w:pPr>
          </w:p>
        </w:tc>
        <w:tc>
          <w:tcPr>
            <w:tcW w:w="996" w:type="dxa"/>
            <w:shd w:val="clear" w:color="auto" w:fill="00426F"/>
            <w:vAlign w:val="center"/>
          </w:tcPr>
          <w:p w14:paraId="505AFE30" w14:textId="77777777" w:rsidR="00310A49" w:rsidRPr="001D5EDC" w:rsidRDefault="00310A49" w:rsidP="001D5EDC">
            <w:pPr>
              <w:jc w:val="center"/>
              <w:rPr>
                <w:rStyle w:val="eop"/>
                <w:rFonts w:ascii="Arial" w:hAnsi="Arial" w:cs="Arial"/>
                <w:color w:val="FFFFFF" w:themeColor="background1"/>
                <w:sz w:val="18"/>
                <w:szCs w:val="18"/>
                <w:lang w:eastAsia="en-AU"/>
              </w:rPr>
            </w:pPr>
            <w:r w:rsidRPr="001D5EDC">
              <w:rPr>
                <w:rStyle w:val="eop"/>
                <w:rFonts w:ascii="Arial" w:hAnsi="Arial" w:cs="Arial"/>
                <w:color w:val="FFFFFF" w:themeColor="background1"/>
                <w:sz w:val="18"/>
                <w:szCs w:val="18"/>
                <w:lang w:eastAsia="en-AU"/>
              </w:rPr>
              <w:t>$m</w:t>
            </w:r>
          </w:p>
        </w:tc>
        <w:tc>
          <w:tcPr>
            <w:tcW w:w="992" w:type="dxa"/>
            <w:shd w:val="clear" w:color="auto" w:fill="00426F"/>
            <w:vAlign w:val="center"/>
          </w:tcPr>
          <w:p w14:paraId="4DD66236" w14:textId="77777777" w:rsidR="00310A49" w:rsidRPr="001D5EDC" w:rsidRDefault="00310A49" w:rsidP="001D5EDC">
            <w:pPr>
              <w:jc w:val="center"/>
              <w:rPr>
                <w:rStyle w:val="eop"/>
                <w:rFonts w:ascii="Arial" w:hAnsi="Arial" w:cs="Arial"/>
                <w:color w:val="FFFFFF" w:themeColor="background1"/>
                <w:sz w:val="18"/>
                <w:szCs w:val="18"/>
                <w:lang w:eastAsia="en-AU"/>
              </w:rPr>
            </w:pPr>
            <w:r w:rsidRPr="001D5EDC">
              <w:rPr>
                <w:rStyle w:val="eop"/>
                <w:rFonts w:ascii="Arial" w:hAnsi="Arial" w:cs="Arial"/>
                <w:color w:val="FFFFFF" w:themeColor="background1"/>
                <w:sz w:val="18"/>
                <w:szCs w:val="18"/>
                <w:lang w:eastAsia="en-AU"/>
              </w:rPr>
              <w:t>$m</w:t>
            </w:r>
          </w:p>
        </w:tc>
        <w:tc>
          <w:tcPr>
            <w:tcW w:w="993" w:type="dxa"/>
            <w:shd w:val="clear" w:color="auto" w:fill="00426F"/>
            <w:vAlign w:val="center"/>
          </w:tcPr>
          <w:p w14:paraId="3482853D" w14:textId="77777777" w:rsidR="00310A49" w:rsidRPr="001D5EDC" w:rsidRDefault="00310A49" w:rsidP="001D5EDC">
            <w:pPr>
              <w:jc w:val="center"/>
              <w:rPr>
                <w:rStyle w:val="eop"/>
                <w:rFonts w:ascii="Arial" w:hAnsi="Arial" w:cs="Arial"/>
                <w:color w:val="FFFFFF" w:themeColor="background1"/>
                <w:sz w:val="18"/>
                <w:szCs w:val="18"/>
                <w:lang w:eastAsia="en-AU"/>
              </w:rPr>
            </w:pPr>
            <w:r w:rsidRPr="001D5EDC">
              <w:rPr>
                <w:rStyle w:val="eop"/>
                <w:rFonts w:ascii="Arial" w:hAnsi="Arial" w:cs="Arial"/>
                <w:color w:val="FFFFFF" w:themeColor="background1"/>
                <w:sz w:val="18"/>
                <w:szCs w:val="18"/>
                <w:lang w:eastAsia="en-AU"/>
              </w:rPr>
              <w:t>$m</w:t>
            </w:r>
          </w:p>
        </w:tc>
        <w:tc>
          <w:tcPr>
            <w:tcW w:w="992" w:type="dxa"/>
            <w:shd w:val="clear" w:color="auto" w:fill="00426F"/>
            <w:vAlign w:val="center"/>
          </w:tcPr>
          <w:p w14:paraId="0E3E43EA" w14:textId="77777777" w:rsidR="00310A49" w:rsidRPr="001D5EDC" w:rsidRDefault="00310A49" w:rsidP="001D5EDC">
            <w:pPr>
              <w:jc w:val="center"/>
              <w:rPr>
                <w:rStyle w:val="eop"/>
                <w:rFonts w:ascii="Arial" w:hAnsi="Arial" w:cs="Arial"/>
                <w:color w:val="FFFFFF" w:themeColor="background1"/>
                <w:sz w:val="18"/>
                <w:szCs w:val="18"/>
                <w:lang w:eastAsia="en-AU"/>
              </w:rPr>
            </w:pPr>
            <w:r w:rsidRPr="001D5EDC">
              <w:rPr>
                <w:rStyle w:val="eop"/>
                <w:rFonts w:ascii="Arial" w:hAnsi="Arial" w:cs="Arial"/>
                <w:color w:val="FFFFFF" w:themeColor="background1"/>
                <w:sz w:val="18"/>
                <w:szCs w:val="18"/>
                <w:lang w:eastAsia="en-AU"/>
              </w:rPr>
              <w:t>$m</w:t>
            </w:r>
          </w:p>
        </w:tc>
        <w:tc>
          <w:tcPr>
            <w:tcW w:w="1983" w:type="dxa"/>
            <w:vMerge/>
            <w:vAlign w:val="center"/>
          </w:tcPr>
          <w:p w14:paraId="05C017D1" w14:textId="77777777" w:rsidR="00310A49" w:rsidRPr="001D5EDC" w:rsidRDefault="00310A49" w:rsidP="001D5EDC">
            <w:pPr>
              <w:jc w:val="center"/>
              <w:rPr>
                <w:rStyle w:val="eop"/>
                <w:rFonts w:ascii="Arial" w:hAnsi="Arial" w:cs="Arial"/>
                <w:color w:val="FFFFFF" w:themeColor="background1"/>
                <w:sz w:val="18"/>
                <w:szCs w:val="18"/>
                <w:lang w:eastAsia="en-AU"/>
              </w:rPr>
            </w:pPr>
          </w:p>
        </w:tc>
      </w:tr>
      <w:tr w:rsidR="005F6F71" w:rsidRPr="001D5EDC" w14:paraId="0B59D5E2" w14:textId="77777777" w:rsidTr="001D5EDC">
        <w:trPr>
          <w:trHeight w:val="283"/>
        </w:trPr>
        <w:tc>
          <w:tcPr>
            <w:tcW w:w="3683" w:type="dxa"/>
            <w:shd w:val="clear" w:color="auto" w:fill="auto"/>
            <w:vAlign w:val="center"/>
          </w:tcPr>
          <w:p w14:paraId="798E2F06" w14:textId="77777777" w:rsidR="005F6F71" w:rsidRPr="001D5EDC" w:rsidRDefault="005F6F71" w:rsidP="001D5EDC">
            <w:pPr>
              <w:rPr>
                <w:rFonts w:ascii="Arial" w:hAnsi="Arial" w:cs="Arial"/>
                <w:sz w:val="18"/>
                <w:szCs w:val="18"/>
              </w:rPr>
            </w:pPr>
            <w:r w:rsidRPr="001D5EDC">
              <w:rPr>
                <w:rFonts w:ascii="Arial" w:hAnsi="Arial" w:cs="Arial"/>
                <w:sz w:val="18"/>
                <w:szCs w:val="18"/>
              </w:rPr>
              <w:t>Coal prices</w:t>
            </w:r>
          </w:p>
        </w:tc>
        <w:tc>
          <w:tcPr>
            <w:tcW w:w="996" w:type="dxa"/>
            <w:vAlign w:val="center"/>
          </w:tcPr>
          <w:p w14:paraId="5EAEE4ED" w14:textId="77777777" w:rsidR="005F6F71" w:rsidRPr="001D5EDC" w:rsidRDefault="005F6F71" w:rsidP="001D5EDC">
            <w:pPr>
              <w:ind w:right="170"/>
              <w:jc w:val="right"/>
              <w:rPr>
                <w:rFonts w:ascii="Arial" w:hAnsi="Arial" w:cs="Arial"/>
                <w:sz w:val="18"/>
                <w:szCs w:val="18"/>
              </w:rPr>
            </w:pPr>
            <w:r w:rsidRPr="001D5EDC">
              <w:rPr>
                <w:rFonts w:ascii="Arial" w:hAnsi="Arial" w:cs="Arial"/>
                <w:sz w:val="18"/>
                <w:szCs w:val="18"/>
              </w:rPr>
              <w:t>13</w:t>
            </w:r>
          </w:p>
        </w:tc>
        <w:tc>
          <w:tcPr>
            <w:tcW w:w="992" w:type="dxa"/>
            <w:shd w:val="clear" w:color="auto" w:fill="B9BDBF"/>
            <w:vAlign w:val="center"/>
          </w:tcPr>
          <w:p w14:paraId="7691451E" w14:textId="77777777" w:rsidR="005F6F71" w:rsidRPr="001D5EDC" w:rsidRDefault="005F6F71" w:rsidP="001D5EDC">
            <w:pPr>
              <w:ind w:right="170"/>
              <w:jc w:val="right"/>
              <w:rPr>
                <w:rFonts w:ascii="Arial" w:hAnsi="Arial" w:cs="Arial"/>
                <w:sz w:val="18"/>
                <w:szCs w:val="18"/>
              </w:rPr>
            </w:pPr>
            <w:r w:rsidRPr="001D5EDC">
              <w:rPr>
                <w:rFonts w:ascii="Arial" w:hAnsi="Arial" w:cs="Arial"/>
                <w:sz w:val="18"/>
                <w:szCs w:val="18"/>
              </w:rPr>
              <w:t>14</w:t>
            </w:r>
          </w:p>
        </w:tc>
        <w:tc>
          <w:tcPr>
            <w:tcW w:w="993" w:type="dxa"/>
            <w:shd w:val="clear" w:color="auto" w:fill="B9BDBF"/>
            <w:vAlign w:val="center"/>
          </w:tcPr>
          <w:p w14:paraId="3E1574C1" w14:textId="77777777" w:rsidR="005F6F71" w:rsidRPr="001D5EDC" w:rsidRDefault="005F6F71" w:rsidP="001D5EDC">
            <w:pPr>
              <w:ind w:right="170"/>
              <w:jc w:val="right"/>
              <w:rPr>
                <w:rFonts w:ascii="Arial" w:hAnsi="Arial" w:cs="Arial"/>
                <w:sz w:val="18"/>
                <w:szCs w:val="18"/>
              </w:rPr>
            </w:pPr>
            <w:r w:rsidRPr="001D5EDC">
              <w:rPr>
                <w:rFonts w:ascii="Arial" w:hAnsi="Arial" w:cs="Arial"/>
                <w:sz w:val="18"/>
                <w:szCs w:val="18"/>
              </w:rPr>
              <w:t>14</w:t>
            </w:r>
          </w:p>
        </w:tc>
        <w:tc>
          <w:tcPr>
            <w:tcW w:w="992" w:type="dxa"/>
            <w:shd w:val="clear" w:color="auto" w:fill="B9BDBF"/>
            <w:vAlign w:val="center"/>
          </w:tcPr>
          <w:p w14:paraId="582CD678" w14:textId="77777777" w:rsidR="005F6F71" w:rsidRPr="001D5EDC" w:rsidRDefault="005F6F71" w:rsidP="001D5EDC">
            <w:pPr>
              <w:ind w:right="170"/>
              <w:jc w:val="right"/>
              <w:rPr>
                <w:rFonts w:ascii="Arial" w:hAnsi="Arial" w:cs="Arial"/>
                <w:sz w:val="18"/>
                <w:szCs w:val="18"/>
              </w:rPr>
            </w:pPr>
            <w:r w:rsidRPr="001D5EDC">
              <w:rPr>
                <w:rFonts w:ascii="Arial" w:hAnsi="Arial" w:cs="Arial"/>
                <w:sz w:val="18"/>
                <w:szCs w:val="18"/>
              </w:rPr>
              <w:t>15</w:t>
            </w:r>
          </w:p>
        </w:tc>
        <w:tc>
          <w:tcPr>
            <w:tcW w:w="1983" w:type="dxa"/>
            <w:vMerge w:val="restart"/>
            <w:vAlign w:val="center"/>
          </w:tcPr>
          <w:p w14:paraId="4B2CA8F0" w14:textId="4F94FF85" w:rsidR="005F6F71" w:rsidRPr="001D5EDC" w:rsidRDefault="00D65E7E" w:rsidP="001D5EDC">
            <w:pPr>
              <w:jc w:val="center"/>
              <w:rPr>
                <w:rFonts w:ascii="Arial" w:hAnsi="Arial" w:cs="Arial"/>
                <w:sz w:val="18"/>
                <w:szCs w:val="18"/>
              </w:rPr>
            </w:pPr>
            <w:r w:rsidRPr="001D5EDC">
              <w:rPr>
                <w:rFonts w:ascii="Arial" w:hAnsi="Arial" w:cs="Arial"/>
                <w:sz w:val="18"/>
                <w:szCs w:val="18"/>
              </w:rPr>
              <w:t xml:space="preserve">Single percentage </w:t>
            </w:r>
            <w:r w:rsidR="00AB4494" w:rsidRPr="001D5EDC">
              <w:rPr>
                <w:rFonts w:ascii="Arial" w:hAnsi="Arial" w:cs="Arial"/>
                <w:sz w:val="18"/>
                <w:szCs w:val="18"/>
              </w:rPr>
              <w:t>point increase in factor</w:t>
            </w:r>
          </w:p>
        </w:tc>
      </w:tr>
      <w:tr w:rsidR="005F6F71" w:rsidRPr="001D5EDC" w14:paraId="5435C535" w14:textId="77777777" w:rsidTr="00D976BA">
        <w:trPr>
          <w:trHeight w:hRule="exact" w:val="439"/>
        </w:trPr>
        <w:tc>
          <w:tcPr>
            <w:tcW w:w="3683" w:type="dxa"/>
            <w:tcBorders>
              <w:bottom w:val="single" w:sz="4" w:space="0" w:color="auto"/>
            </w:tcBorders>
            <w:shd w:val="clear" w:color="auto" w:fill="auto"/>
            <w:vAlign w:val="center"/>
          </w:tcPr>
          <w:p w14:paraId="106EF8A6" w14:textId="77777777" w:rsidR="005F6F71" w:rsidRPr="001D5EDC" w:rsidRDefault="005F6F71" w:rsidP="001D5EDC">
            <w:pPr>
              <w:rPr>
                <w:rFonts w:ascii="Arial" w:hAnsi="Arial" w:cs="Arial"/>
                <w:sz w:val="18"/>
                <w:szCs w:val="18"/>
              </w:rPr>
            </w:pPr>
            <w:r w:rsidRPr="001D5EDC">
              <w:rPr>
                <w:rFonts w:ascii="Arial" w:hAnsi="Arial" w:cs="Arial"/>
                <w:sz w:val="18"/>
                <w:szCs w:val="18"/>
              </w:rPr>
              <w:t>Coal volumes</w:t>
            </w:r>
          </w:p>
        </w:tc>
        <w:tc>
          <w:tcPr>
            <w:tcW w:w="996" w:type="dxa"/>
            <w:tcBorders>
              <w:bottom w:val="single" w:sz="4" w:space="0" w:color="auto"/>
            </w:tcBorders>
            <w:vAlign w:val="center"/>
          </w:tcPr>
          <w:p w14:paraId="0C45BEF7" w14:textId="77777777" w:rsidR="005F6F71" w:rsidRPr="001D5EDC" w:rsidRDefault="005F6F71" w:rsidP="001D5EDC">
            <w:pPr>
              <w:ind w:right="170"/>
              <w:jc w:val="right"/>
              <w:rPr>
                <w:rFonts w:ascii="Arial" w:hAnsi="Arial" w:cs="Arial"/>
                <w:sz w:val="18"/>
                <w:szCs w:val="18"/>
              </w:rPr>
            </w:pPr>
            <w:r w:rsidRPr="001D5EDC">
              <w:rPr>
                <w:rFonts w:ascii="Arial" w:hAnsi="Arial" w:cs="Arial"/>
                <w:sz w:val="18"/>
                <w:szCs w:val="18"/>
              </w:rPr>
              <w:t>13</w:t>
            </w:r>
          </w:p>
        </w:tc>
        <w:tc>
          <w:tcPr>
            <w:tcW w:w="992" w:type="dxa"/>
            <w:tcBorders>
              <w:bottom w:val="single" w:sz="4" w:space="0" w:color="auto"/>
            </w:tcBorders>
            <w:shd w:val="clear" w:color="auto" w:fill="B9BDBF"/>
            <w:vAlign w:val="center"/>
          </w:tcPr>
          <w:p w14:paraId="6ABBC838" w14:textId="77777777" w:rsidR="005F6F71" w:rsidRPr="001D5EDC" w:rsidRDefault="005F6F71" w:rsidP="001D5EDC">
            <w:pPr>
              <w:ind w:right="170"/>
              <w:jc w:val="right"/>
              <w:rPr>
                <w:rFonts w:ascii="Arial" w:hAnsi="Arial" w:cs="Arial"/>
                <w:sz w:val="18"/>
                <w:szCs w:val="18"/>
              </w:rPr>
            </w:pPr>
            <w:r w:rsidRPr="001D5EDC">
              <w:rPr>
                <w:rFonts w:ascii="Arial" w:hAnsi="Arial" w:cs="Arial"/>
                <w:sz w:val="18"/>
                <w:szCs w:val="18"/>
              </w:rPr>
              <w:t>13</w:t>
            </w:r>
          </w:p>
        </w:tc>
        <w:tc>
          <w:tcPr>
            <w:tcW w:w="993" w:type="dxa"/>
            <w:tcBorders>
              <w:bottom w:val="single" w:sz="4" w:space="0" w:color="auto"/>
            </w:tcBorders>
            <w:shd w:val="clear" w:color="auto" w:fill="B9BDBF"/>
            <w:vAlign w:val="center"/>
          </w:tcPr>
          <w:p w14:paraId="40FCF8EA" w14:textId="77777777" w:rsidR="005F6F71" w:rsidRPr="001D5EDC" w:rsidRDefault="005F6F71" w:rsidP="001D5EDC">
            <w:pPr>
              <w:ind w:right="170"/>
              <w:jc w:val="right"/>
              <w:rPr>
                <w:rFonts w:ascii="Arial" w:hAnsi="Arial" w:cs="Arial"/>
                <w:sz w:val="18"/>
                <w:szCs w:val="18"/>
              </w:rPr>
            </w:pPr>
            <w:r w:rsidRPr="001D5EDC">
              <w:rPr>
                <w:rFonts w:ascii="Arial" w:hAnsi="Arial" w:cs="Arial"/>
                <w:sz w:val="18"/>
                <w:szCs w:val="18"/>
              </w:rPr>
              <w:t>14</w:t>
            </w:r>
          </w:p>
        </w:tc>
        <w:tc>
          <w:tcPr>
            <w:tcW w:w="992" w:type="dxa"/>
            <w:tcBorders>
              <w:bottom w:val="single" w:sz="4" w:space="0" w:color="auto"/>
            </w:tcBorders>
            <w:shd w:val="clear" w:color="auto" w:fill="B9BDBF"/>
            <w:vAlign w:val="center"/>
          </w:tcPr>
          <w:p w14:paraId="43E60A6A" w14:textId="77777777" w:rsidR="005F6F71" w:rsidRPr="001D5EDC" w:rsidRDefault="005F6F71" w:rsidP="001D5EDC">
            <w:pPr>
              <w:ind w:right="170"/>
              <w:jc w:val="right"/>
              <w:rPr>
                <w:rFonts w:ascii="Arial" w:hAnsi="Arial" w:cs="Arial"/>
                <w:sz w:val="18"/>
                <w:szCs w:val="18"/>
              </w:rPr>
            </w:pPr>
            <w:r w:rsidRPr="001D5EDC">
              <w:rPr>
                <w:rFonts w:ascii="Arial" w:hAnsi="Arial" w:cs="Arial"/>
                <w:sz w:val="18"/>
                <w:szCs w:val="18"/>
              </w:rPr>
              <w:t>14</w:t>
            </w:r>
          </w:p>
        </w:tc>
        <w:tc>
          <w:tcPr>
            <w:tcW w:w="1983" w:type="dxa"/>
            <w:vMerge/>
            <w:tcBorders>
              <w:bottom w:val="single" w:sz="4" w:space="0" w:color="auto"/>
            </w:tcBorders>
          </w:tcPr>
          <w:p w14:paraId="6B2A6371" w14:textId="77777777" w:rsidR="005F6F71" w:rsidRPr="001D5EDC" w:rsidRDefault="005F6F71" w:rsidP="001D5EDC">
            <w:pPr>
              <w:jc w:val="center"/>
              <w:rPr>
                <w:rFonts w:ascii="Arial" w:hAnsi="Arial" w:cs="Arial"/>
                <w:sz w:val="18"/>
                <w:szCs w:val="18"/>
              </w:rPr>
            </w:pPr>
          </w:p>
        </w:tc>
      </w:tr>
    </w:tbl>
    <w:p w14:paraId="15DCC53B" w14:textId="46DB4D24" w:rsidR="00DD39BE" w:rsidRPr="00D47394" w:rsidRDefault="006C3082" w:rsidP="00DA32F8">
      <w:pPr>
        <w:pStyle w:val="Heading3"/>
        <w:numPr>
          <w:ilvl w:val="0"/>
          <w:numId w:val="0"/>
        </w:numPr>
        <w:rPr>
          <w:rFonts w:asciiTheme="minorHAnsi" w:eastAsiaTheme="minorEastAsia" w:hAnsiTheme="minorHAnsi" w:cstheme="minorBidi"/>
        </w:rPr>
      </w:pPr>
      <w:r w:rsidRPr="00177B4B">
        <w:t xml:space="preserve">General </w:t>
      </w:r>
      <w:r w:rsidR="00031CA7" w:rsidRPr="00692F32">
        <w:t xml:space="preserve">expense </w:t>
      </w:r>
      <w:r w:rsidR="001038C3" w:rsidRPr="008E5FC7">
        <w:t>r</w:t>
      </w:r>
      <w:r w:rsidRPr="008E5FC7">
        <w:t>isks</w:t>
      </w:r>
    </w:p>
    <w:p w14:paraId="344CBFF7" w14:textId="5903D4EC" w:rsidR="00DA48C9" w:rsidRDefault="00DA48C9" w:rsidP="00D75D75">
      <w:pPr>
        <w:pStyle w:val="BodyText"/>
      </w:pPr>
      <w:r>
        <w:t xml:space="preserve">Some expenditure risks are </w:t>
      </w:r>
      <w:r w:rsidR="00252E92">
        <w:t xml:space="preserve">largely </w:t>
      </w:r>
      <w:r>
        <w:t xml:space="preserve">within the Government’s control and </w:t>
      </w:r>
      <w:r w:rsidR="00906894">
        <w:t>can</w:t>
      </w:r>
      <w:r>
        <w:t xml:space="preserve"> be actively manage</w:t>
      </w:r>
      <w:r w:rsidR="00D41124">
        <w:t>d</w:t>
      </w:r>
      <w:r w:rsidR="00544B57">
        <w:t>,</w:t>
      </w:r>
      <w:r w:rsidR="007B71B6">
        <w:t xml:space="preserve"> </w:t>
      </w:r>
      <w:r w:rsidR="00544B57">
        <w:t>whereas</w:t>
      </w:r>
      <w:r w:rsidR="007B71B6">
        <w:t xml:space="preserve"> </w:t>
      </w:r>
      <w:r w:rsidR="00252E92">
        <w:t xml:space="preserve">other </w:t>
      </w:r>
      <w:r w:rsidR="00FB3F17">
        <w:t xml:space="preserve">risks are </w:t>
      </w:r>
      <w:r w:rsidR="007B71B6">
        <w:t>primarily</w:t>
      </w:r>
      <w:r w:rsidR="00715D90">
        <w:t xml:space="preserve"> outside of </w:t>
      </w:r>
      <w:r w:rsidR="00B1475A">
        <w:t>its</w:t>
      </w:r>
      <w:r w:rsidR="00715D90">
        <w:t xml:space="preserve"> control.</w:t>
      </w:r>
      <w:r w:rsidR="006B216A">
        <w:t xml:space="preserve"> </w:t>
      </w:r>
      <w:r w:rsidR="00307001">
        <w:t>For example,</w:t>
      </w:r>
      <w:r w:rsidR="541C8505">
        <w:t xml:space="preserve"> </w:t>
      </w:r>
      <w:r w:rsidR="00731D17">
        <w:t xml:space="preserve">impacts associated with existing </w:t>
      </w:r>
      <w:r w:rsidR="00D82DFA">
        <w:t>G</w:t>
      </w:r>
      <w:r w:rsidR="00544B57">
        <w:t xml:space="preserve">overnment </w:t>
      </w:r>
      <w:r w:rsidR="00731D17">
        <w:t>policy</w:t>
      </w:r>
      <w:r w:rsidR="00C971CD">
        <w:t xml:space="preserve">, </w:t>
      </w:r>
      <w:r w:rsidR="00731D17">
        <w:t xml:space="preserve">employee expenses or the reprofiling of </w:t>
      </w:r>
      <w:r w:rsidR="00544B57">
        <w:t>expenditure</w:t>
      </w:r>
      <w:r w:rsidR="00731D17">
        <w:t xml:space="preserve"> can be more actively managed</w:t>
      </w:r>
      <w:r w:rsidR="0D0CA7F1">
        <w:t>, while expenditure linked to Commonwealth payments, interest rate changes or natural disasters are exogenous risks</w:t>
      </w:r>
      <w:r w:rsidR="00731D17">
        <w:t>.</w:t>
      </w:r>
      <w:r w:rsidR="59D6FDD0">
        <w:t xml:space="preserve"> </w:t>
      </w:r>
      <w:r w:rsidR="43B0F0F5">
        <w:t>This includes the expenses associated with the continuation of emergency measures, such as cleaning and disinfecting, in response to the risk of a prolonged effect of COVID-19.</w:t>
      </w:r>
    </w:p>
    <w:p w14:paraId="141B0A1D" w14:textId="77777777" w:rsidR="002D053E" w:rsidRDefault="002D053E">
      <w:pPr>
        <w:spacing w:after="200" w:line="276" w:lineRule="auto"/>
        <w:rPr>
          <w:rFonts w:ascii="Arial" w:eastAsiaTheme="minorHAnsi" w:hAnsi="Arial" w:cs="Arial"/>
          <w:sz w:val="23"/>
          <w:szCs w:val="24"/>
          <w:lang w:val="en-AU"/>
        </w:rPr>
      </w:pPr>
      <w:r>
        <w:br w:type="page"/>
      </w:r>
    </w:p>
    <w:p w14:paraId="1A95655A" w14:textId="7E99ED3B" w:rsidR="001D5EDC" w:rsidRDefault="00555224" w:rsidP="002D053E">
      <w:pPr>
        <w:pStyle w:val="BodyText"/>
      </w:pPr>
      <w:r>
        <w:t>The</w:t>
      </w:r>
      <w:r w:rsidR="00DA4ADA">
        <w:t xml:space="preserve"> </w:t>
      </w:r>
      <w:r w:rsidR="00B1475A">
        <w:t>S</w:t>
      </w:r>
      <w:r w:rsidR="001B0C94">
        <w:t>tate’s</w:t>
      </w:r>
      <w:r w:rsidR="007C4DA4">
        <w:t xml:space="preserve"> largest operating expense is </w:t>
      </w:r>
      <w:r w:rsidR="006B616A">
        <w:t xml:space="preserve">for </w:t>
      </w:r>
      <w:r w:rsidR="007C4DA4">
        <w:t>employee</w:t>
      </w:r>
      <w:r w:rsidR="008E7E50">
        <w:t xml:space="preserve"> </w:t>
      </w:r>
      <w:r w:rsidR="007C4DA4">
        <w:t>related expenses, which includes salaries, wages, superannuation expenses and employ</w:t>
      </w:r>
      <w:r w:rsidR="00047936">
        <w:t>ment on-costs.</w:t>
      </w:r>
      <w:r w:rsidR="00897523">
        <w:t xml:space="preserve"> Employee</w:t>
      </w:r>
      <w:r w:rsidR="008E7E50">
        <w:t xml:space="preserve"> </w:t>
      </w:r>
      <w:r w:rsidR="00897523">
        <w:t xml:space="preserve">related expenses </w:t>
      </w:r>
      <w:r w:rsidR="004E1CEC">
        <w:t>are impacted by factors including new enterprise bargaining agreements,</w:t>
      </w:r>
      <w:r w:rsidR="219187EE">
        <w:t xml:space="preserve"> public sector wage </w:t>
      </w:r>
      <w:r w:rsidR="0000607A">
        <w:t>growth rates</w:t>
      </w:r>
      <w:r w:rsidDel="000318B1">
        <w:t xml:space="preserve"> </w:t>
      </w:r>
      <w:r w:rsidR="0000607A">
        <w:t xml:space="preserve">and </w:t>
      </w:r>
      <w:r w:rsidR="004E1CEC">
        <w:t xml:space="preserve">the </w:t>
      </w:r>
      <w:r w:rsidR="008476B1">
        <w:t>workforce</w:t>
      </w:r>
      <w:r w:rsidR="5E26FA18">
        <w:t xml:space="preserve"> size</w:t>
      </w:r>
      <w:r w:rsidR="008142E1">
        <w:t>.</w:t>
      </w:r>
      <w:r w:rsidR="00630F0A">
        <w:t xml:space="preserve"> </w:t>
      </w:r>
      <w:r w:rsidR="008142E1">
        <w:t>C</w:t>
      </w:r>
      <w:r w:rsidR="004E1CEC">
        <w:t xml:space="preserve">hanges in these parameters </w:t>
      </w:r>
      <w:r w:rsidR="00FE3282">
        <w:t xml:space="preserve">can impact the </w:t>
      </w:r>
      <w:r w:rsidR="00595F39">
        <w:t>b</w:t>
      </w:r>
      <w:r w:rsidR="00FE3282">
        <w:t xml:space="preserve">udget result. </w:t>
      </w:r>
    </w:p>
    <w:p w14:paraId="12269A95" w14:textId="21D2445D" w:rsidR="00985151" w:rsidRPr="00257616" w:rsidRDefault="00752E85" w:rsidP="00D75D75">
      <w:pPr>
        <w:pStyle w:val="BodyText"/>
        <w:rPr>
          <w:rStyle w:val="eop"/>
        </w:rPr>
      </w:pPr>
      <w:r>
        <w:t xml:space="preserve">Some of the </w:t>
      </w:r>
      <w:r w:rsidR="6B0391EE">
        <w:t>Government’s</w:t>
      </w:r>
      <w:r>
        <w:t xml:space="preserve"> larger n</w:t>
      </w:r>
      <w:r w:rsidR="00B4195B">
        <w:t xml:space="preserve">on-labour </w:t>
      </w:r>
      <w:r w:rsidR="00F66BDC" w:rsidRPr="00657DB7">
        <w:t xml:space="preserve">operating expenses </w:t>
      </w:r>
      <w:r w:rsidR="00B4195B">
        <w:t xml:space="preserve">include </w:t>
      </w:r>
      <w:r w:rsidR="00F66BDC" w:rsidRPr="00657DB7">
        <w:t>the maintenance and depreciation of assets, electricity, insurance and fuel</w:t>
      </w:r>
      <w:r w:rsidR="00B4195B">
        <w:t xml:space="preserve"> costs</w:t>
      </w:r>
      <w:r w:rsidR="00F66BDC" w:rsidRPr="00657DB7">
        <w:t xml:space="preserve">. </w:t>
      </w:r>
      <w:r>
        <w:t xml:space="preserve">Market fluctuations can see variations above or below what is forecast at the time of the Budget. </w:t>
      </w:r>
      <w:r w:rsidR="00F66BDC" w:rsidRPr="00657DB7">
        <w:t xml:space="preserve">For example, </w:t>
      </w:r>
      <w:r w:rsidR="00C64A9E">
        <w:t xml:space="preserve">higher </w:t>
      </w:r>
      <w:r w:rsidR="00F66BDC" w:rsidRPr="00657DB7">
        <w:t xml:space="preserve">inflation could increase the cost of goods and services, which </w:t>
      </w:r>
      <w:r w:rsidR="6E04B2A6">
        <w:t xml:space="preserve">have historically </w:t>
      </w:r>
      <w:r w:rsidR="4C5C1323">
        <w:t>outweigh</w:t>
      </w:r>
      <w:r w:rsidR="6E04B2A6">
        <w:t>ed</w:t>
      </w:r>
      <w:r w:rsidR="00F66BDC" w:rsidRPr="00657DB7">
        <w:t xml:space="preserve"> the positive impacts </w:t>
      </w:r>
      <w:r w:rsidR="00A63769">
        <w:t>on</w:t>
      </w:r>
      <w:r w:rsidR="00DF09E3">
        <w:t xml:space="preserve"> </w:t>
      </w:r>
      <w:r w:rsidR="4A6F3A02">
        <w:t>own-source revenues.</w:t>
      </w:r>
    </w:p>
    <w:p w14:paraId="67207757" w14:textId="3A738BAE" w:rsidR="583F88E1" w:rsidRDefault="583F88E1" w:rsidP="7E0E8BD3">
      <w:pPr>
        <w:pStyle w:val="Table4X"/>
        <w:rPr>
          <w:rStyle w:val="eop"/>
          <w:rFonts w:asciiTheme="minorHAnsi" w:eastAsiaTheme="minorEastAsia" w:hAnsiTheme="minorHAnsi" w:cstheme="minorBidi"/>
        </w:rPr>
      </w:pPr>
      <w:r w:rsidRPr="7E0E8BD3">
        <w:rPr>
          <w:rStyle w:val="eop"/>
          <w:rFonts w:cs="Arial"/>
        </w:rPr>
        <w:t>Expense sensitivities</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B.6: Expense sensitivities"/>
        <w:tblDescription w:val="Table B.6: Expense sensitivities"/>
      </w:tblPr>
      <w:tblGrid>
        <w:gridCol w:w="3683"/>
        <w:gridCol w:w="996"/>
        <w:gridCol w:w="992"/>
        <w:gridCol w:w="993"/>
        <w:gridCol w:w="992"/>
        <w:gridCol w:w="1983"/>
      </w:tblGrid>
      <w:tr w:rsidR="7E0E8BD3" w:rsidRPr="001D5EDC" w14:paraId="38710396" w14:textId="77777777" w:rsidTr="001D5EDC">
        <w:trPr>
          <w:trHeight w:val="283"/>
        </w:trPr>
        <w:tc>
          <w:tcPr>
            <w:tcW w:w="3683" w:type="dxa"/>
            <w:vMerge w:val="restart"/>
            <w:shd w:val="clear" w:color="auto" w:fill="008EBA"/>
            <w:vAlign w:val="center"/>
          </w:tcPr>
          <w:p w14:paraId="0BC861D4" w14:textId="5B5A4827" w:rsidR="7E0E8BD3" w:rsidRPr="001D5EDC" w:rsidRDefault="7E0E8BD3" w:rsidP="000B6189">
            <w:pPr>
              <w:rPr>
                <w:rStyle w:val="eop"/>
                <w:rFonts w:ascii="Arial" w:hAnsi="Arial" w:cs="Arial"/>
                <w:color w:val="FFFFFF" w:themeColor="background1"/>
                <w:sz w:val="18"/>
                <w:szCs w:val="18"/>
                <w:lang w:eastAsia="en-AU"/>
              </w:rPr>
            </w:pPr>
            <w:r w:rsidRPr="001D5EDC">
              <w:rPr>
                <w:rStyle w:val="eop"/>
                <w:rFonts w:ascii="Arial" w:hAnsi="Arial" w:cs="Arial"/>
                <w:color w:val="FFFFFF" w:themeColor="background1"/>
                <w:sz w:val="18"/>
                <w:szCs w:val="18"/>
                <w:lang w:eastAsia="en-AU"/>
              </w:rPr>
              <w:t xml:space="preserve">Factors affecting </w:t>
            </w:r>
            <w:r w:rsidR="6A61C9DD" w:rsidRPr="001D5EDC">
              <w:rPr>
                <w:rStyle w:val="eop"/>
                <w:rFonts w:ascii="Arial" w:hAnsi="Arial" w:cs="Arial"/>
                <w:color w:val="FFFFFF" w:themeColor="background1"/>
                <w:sz w:val="18"/>
                <w:szCs w:val="18"/>
                <w:lang w:eastAsia="en-AU"/>
              </w:rPr>
              <w:t>expenses</w:t>
            </w:r>
          </w:p>
        </w:tc>
        <w:tc>
          <w:tcPr>
            <w:tcW w:w="996" w:type="dxa"/>
            <w:shd w:val="clear" w:color="auto" w:fill="008EBA"/>
            <w:vAlign w:val="bottom"/>
          </w:tcPr>
          <w:p w14:paraId="4DD7E51D" w14:textId="79F8908F" w:rsidR="7E0E8BD3" w:rsidRPr="001D5EDC" w:rsidRDefault="7E0E8BD3" w:rsidP="7E0E8BD3">
            <w:pPr>
              <w:jc w:val="center"/>
              <w:rPr>
                <w:rStyle w:val="eop"/>
                <w:rFonts w:ascii="Arial" w:hAnsi="Arial" w:cs="Arial"/>
                <w:color w:val="FFFFFF" w:themeColor="background1"/>
                <w:sz w:val="18"/>
                <w:szCs w:val="18"/>
                <w:lang w:eastAsia="en-AU"/>
              </w:rPr>
            </w:pPr>
            <w:r w:rsidRPr="001D5EDC">
              <w:rPr>
                <w:rStyle w:val="eop"/>
                <w:rFonts w:ascii="Arial" w:hAnsi="Arial" w:cs="Arial"/>
                <w:color w:val="FFFFFF" w:themeColor="background1"/>
                <w:sz w:val="18"/>
                <w:szCs w:val="18"/>
                <w:lang w:eastAsia="en-AU"/>
              </w:rPr>
              <w:t>2020-21</w:t>
            </w:r>
          </w:p>
        </w:tc>
        <w:tc>
          <w:tcPr>
            <w:tcW w:w="992" w:type="dxa"/>
            <w:shd w:val="clear" w:color="auto" w:fill="008EBA"/>
            <w:vAlign w:val="bottom"/>
          </w:tcPr>
          <w:p w14:paraId="5B54895A" w14:textId="77777777" w:rsidR="7E0E8BD3" w:rsidRPr="001D5EDC" w:rsidRDefault="7E0E8BD3" w:rsidP="7E0E8BD3">
            <w:pPr>
              <w:jc w:val="center"/>
              <w:rPr>
                <w:rStyle w:val="eop"/>
                <w:rFonts w:ascii="Arial" w:hAnsi="Arial" w:cs="Arial"/>
                <w:color w:val="FFFFFF" w:themeColor="background1"/>
                <w:sz w:val="18"/>
                <w:szCs w:val="18"/>
                <w:lang w:eastAsia="en-AU"/>
              </w:rPr>
            </w:pPr>
            <w:r w:rsidRPr="001D5EDC">
              <w:rPr>
                <w:rStyle w:val="eop"/>
                <w:rFonts w:ascii="Arial" w:hAnsi="Arial" w:cs="Arial"/>
                <w:color w:val="FFFFFF" w:themeColor="background1"/>
                <w:sz w:val="18"/>
                <w:szCs w:val="18"/>
                <w:lang w:eastAsia="en-AU"/>
              </w:rPr>
              <w:t>2021-22</w:t>
            </w:r>
          </w:p>
        </w:tc>
        <w:tc>
          <w:tcPr>
            <w:tcW w:w="993" w:type="dxa"/>
            <w:shd w:val="clear" w:color="auto" w:fill="008EBA"/>
            <w:vAlign w:val="bottom"/>
          </w:tcPr>
          <w:p w14:paraId="177C47DC" w14:textId="77777777" w:rsidR="7E0E8BD3" w:rsidRPr="001D5EDC" w:rsidRDefault="7E0E8BD3" w:rsidP="7E0E8BD3">
            <w:pPr>
              <w:jc w:val="center"/>
              <w:rPr>
                <w:rStyle w:val="eop"/>
                <w:rFonts w:ascii="Arial" w:hAnsi="Arial" w:cs="Arial"/>
                <w:color w:val="FFFFFF" w:themeColor="background1"/>
                <w:sz w:val="18"/>
                <w:szCs w:val="18"/>
                <w:lang w:eastAsia="en-AU"/>
              </w:rPr>
            </w:pPr>
            <w:r w:rsidRPr="001D5EDC">
              <w:rPr>
                <w:rStyle w:val="eop"/>
                <w:rFonts w:ascii="Arial" w:hAnsi="Arial" w:cs="Arial"/>
                <w:color w:val="FFFFFF" w:themeColor="background1"/>
                <w:sz w:val="18"/>
                <w:szCs w:val="18"/>
                <w:lang w:eastAsia="en-AU"/>
              </w:rPr>
              <w:t>2022-23</w:t>
            </w:r>
          </w:p>
        </w:tc>
        <w:tc>
          <w:tcPr>
            <w:tcW w:w="992" w:type="dxa"/>
            <w:shd w:val="clear" w:color="auto" w:fill="008EBA"/>
            <w:vAlign w:val="bottom"/>
          </w:tcPr>
          <w:p w14:paraId="6953A7FA" w14:textId="77777777" w:rsidR="7E0E8BD3" w:rsidRPr="001D5EDC" w:rsidRDefault="7E0E8BD3" w:rsidP="7E0E8BD3">
            <w:pPr>
              <w:jc w:val="center"/>
              <w:rPr>
                <w:rStyle w:val="eop"/>
                <w:rFonts w:ascii="Arial" w:hAnsi="Arial" w:cs="Arial"/>
                <w:color w:val="FFFFFF" w:themeColor="background1"/>
                <w:sz w:val="18"/>
                <w:szCs w:val="18"/>
                <w:lang w:eastAsia="en-AU"/>
              </w:rPr>
            </w:pPr>
            <w:r w:rsidRPr="001D5EDC">
              <w:rPr>
                <w:rStyle w:val="eop"/>
                <w:rFonts w:ascii="Arial" w:hAnsi="Arial" w:cs="Arial"/>
                <w:color w:val="FFFFFF" w:themeColor="background1"/>
                <w:sz w:val="18"/>
                <w:szCs w:val="18"/>
                <w:lang w:eastAsia="en-AU"/>
              </w:rPr>
              <w:t>2023-24</w:t>
            </w:r>
          </w:p>
        </w:tc>
        <w:tc>
          <w:tcPr>
            <w:tcW w:w="1983" w:type="dxa"/>
            <w:vMerge w:val="restart"/>
            <w:shd w:val="clear" w:color="auto" w:fill="4B5051"/>
            <w:vAlign w:val="center"/>
          </w:tcPr>
          <w:p w14:paraId="01029157" w14:textId="54DF9431" w:rsidR="7E0E8BD3" w:rsidRPr="001D5EDC" w:rsidRDefault="7E0E8BD3" w:rsidP="7E0E8BD3">
            <w:pPr>
              <w:jc w:val="center"/>
              <w:rPr>
                <w:rStyle w:val="eop"/>
                <w:rFonts w:ascii="Arial" w:hAnsi="Arial" w:cs="Arial"/>
                <w:color w:val="FFFFFF" w:themeColor="background1"/>
                <w:sz w:val="18"/>
                <w:szCs w:val="18"/>
                <w:lang w:eastAsia="en-AU"/>
              </w:rPr>
            </w:pPr>
            <w:r w:rsidRPr="001D5EDC">
              <w:rPr>
                <w:rStyle w:val="eop"/>
                <w:rFonts w:ascii="Arial" w:hAnsi="Arial" w:cs="Arial"/>
                <w:color w:val="FFFFFF" w:themeColor="background1"/>
                <w:sz w:val="18"/>
                <w:szCs w:val="18"/>
                <w:lang w:eastAsia="en-AU"/>
              </w:rPr>
              <w:t>Sensitivity</w:t>
            </w:r>
          </w:p>
        </w:tc>
      </w:tr>
      <w:tr w:rsidR="7E0E8BD3" w:rsidRPr="001D5EDC" w14:paraId="2ED56C6B" w14:textId="77777777" w:rsidTr="001D5EDC">
        <w:trPr>
          <w:trHeight w:val="283"/>
        </w:trPr>
        <w:tc>
          <w:tcPr>
            <w:tcW w:w="3683" w:type="dxa"/>
            <w:vMerge/>
          </w:tcPr>
          <w:p w14:paraId="57A80566" w14:textId="77777777" w:rsidR="008858FF" w:rsidRPr="001D5EDC" w:rsidRDefault="008858FF">
            <w:pPr>
              <w:rPr>
                <w:sz w:val="18"/>
                <w:szCs w:val="18"/>
              </w:rPr>
            </w:pPr>
          </w:p>
        </w:tc>
        <w:tc>
          <w:tcPr>
            <w:tcW w:w="996" w:type="dxa"/>
            <w:shd w:val="clear" w:color="auto" w:fill="008EBA"/>
          </w:tcPr>
          <w:p w14:paraId="31C8EE4E" w14:textId="4FCEA7F9" w:rsidR="7E0E8BD3" w:rsidRPr="001D5EDC" w:rsidRDefault="7E0E8BD3" w:rsidP="7E0E8BD3">
            <w:pPr>
              <w:jc w:val="center"/>
              <w:rPr>
                <w:rStyle w:val="eop"/>
                <w:rFonts w:ascii="Arial" w:hAnsi="Arial" w:cs="Arial"/>
                <w:color w:val="FFFFFF" w:themeColor="background1"/>
                <w:sz w:val="18"/>
                <w:szCs w:val="18"/>
                <w:lang w:eastAsia="en-AU"/>
              </w:rPr>
            </w:pPr>
            <w:r w:rsidRPr="001D5EDC">
              <w:rPr>
                <w:rStyle w:val="eop"/>
                <w:rFonts w:ascii="Arial" w:hAnsi="Arial" w:cs="Arial"/>
                <w:color w:val="FFFFFF" w:themeColor="background1"/>
                <w:sz w:val="18"/>
                <w:szCs w:val="18"/>
                <w:lang w:eastAsia="en-AU"/>
              </w:rPr>
              <w:t>Budget</w:t>
            </w:r>
          </w:p>
        </w:tc>
        <w:tc>
          <w:tcPr>
            <w:tcW w:w="2977" w:type="dxa"/>
            <w:gridSpan w:val="3"/>
            <w:shd w:val="clear" w:color="auto" w:fill="008EBA"/>
          </w:tcPr>
          <w:p w14:paraId="18FD2570" w14:textId="77777777" w:rsidR="7E0E8BD3" w:rsidRPr="001D5EDC" w:rsidRDefault="7E0E8BD3" w:rsidP="7E0E8BD3">
            <w:pPr>
              <w:jc w:val="center"/>
              <w:rPr>
                <w:rStyle w:val="eop"/>
                <w:rFonts w:ascii="Arial" w:hAnsi="Arial" w:cs="Arial"/>
                <w:color w:val="FFFFFF" w:themeColor="background1"/>
                <w:sz w:val="18"/>
                <w:szCs w:val="18"/>
                <w:lang w:eastAsia="en-AU"/>
              </w:rPr>
            </w:pPr>
            <w:r w:rsidRPr="001D5EDC">
              <w:rPr>
                <w:rStyle w:val="eop"/>
                <w:rFonts w:ascii="Arial" w:hAnsi="Arial" w:cs="Arial"/>
                <w:color w:val="FFFFFF" w:themeColor="background1"/>
                <w:sz w:val="18"/>
                <w:szCs w:val="18"/>
                <w:lang w:eastAsia="en-AU"/>
              </w:rPr>
              <w:t>Forward estimates</w:t>
            </w:r>
          </w:p>
        </w:tc>
        <w:tc>
          <w:tcPr>
            <w:tcW w:w="1983" w:type="dxa"/>
            <w:vMerge/>
          </w:tcPr>
          <w:p w14:paraId="0A8C9D41" w14:textId="77777777" w:rsidR="008858FF" w:rsidRPr="001D5EDC" w:rsidRDefault="008858FF">
            <w:pPr>
              <w:rPr>
                <w:sz w:val="18"/>
                <w:szCs w:val="18"/>
              </w:rPr>
            </w:pPr>
          </w:p>
        </w:tc>
      </w:tr>
      <w:tr w:rsidR="7E0E8BD3" w:rsidRPr="001D5EDC" w14:paraId="359D95F1" w14:textId="77777777" w:rsidTr="00D976BA">
        <w:trPr>
          <w:trHeight w:val="283"/>
        </w:trPr>
        <w:tc>
          <w:tcPr>
            <w:tcW w:w="3683" w:type="dxa"/>
            <w:shd w:val="clear" w:color="auto" w:fill="00426F"/>
          </w:tcPr>
          <w:p w14:paraId="2489428B" w14:textId="77777777" w:rsidR="7E0E8BD3" w:rsidRPr="001D5EDC" w:rsidRDefault="7E0E8BD3" w:rsidP="7E0E8BD3">
            <w:pPr>
              <w:jc w:val="center"/>
              <w:rPr>
                <w:rStyle w:val="eop"/>
                <w:rFonts w:ascii="Arial" w:hAnsi="Arial" w:cs="Arial"/>
                <w:color w:val="FFFFFF" w:themeColor="background1"/>
                <w:sz w:val="18"/>
                <w:szCs w:val="18"/>
                <w:lang w:eastAsia="en-AU"/>
              </w:rPr>
            </w:pPr>
          </w:p>
        </w:tc>
        <w:tc>
          <w:tcPr>
            <w:tcW w:w="996" w:type="dxa"/>
            <w:shd w:val="clear" w:color="auto" w:fill="00426F"/>
            <w:vAlign w:val="center"/>
          </w:tcPr>
          <w:p w14:paraId="0D594278" w14:textId="77777777" w:rsidR="7E0E8BD3" w:rsidRPr="001D5EDC" w:rsidRDefault="7E0E8BD3" w:rsidP="7E0E8BD3">
            <w:pPr>
              <w:jc w:val="center"/>
              <w:rPr>
                <w:rStyle w:val="eop"/>
                <w:rFonts w:ascii="Arial" w:hAnsi="Arial" w:cs="Arial"/>
                <w:color w:val="FFFFFF" w:themeColor="background1"/>
                <w:sz w:val="18"/>
                <w:szCs w:val="18"/>
                <w:lang w:eastAsia="en-AU"/>
              </w:rPr>
            </w:pPr>
            <w:r w:rsidRPr="001D5EDC">
              <w:rPr>
                <w:rStyle w:val="eop"/>
                <w:rFonts w:ascii="Arial" w:hAnsi="Arial" w:cs="Arial"/>
                <w:color w:val="FFFFFF" w:themeColor="background1"/>
                <w:sz w:val="18"/>
                <w:szCs w:val="18"/>
                <w:lang w:eastAsia="en-AU"/>
              </w:rPr>
              <w:t>$m</w:t>
            </w:r>
          </w:p>
        </w:tc>
        <w:tc>
          <w:tcPr>
            <w:tcW w:w="992" w:type="dxa"/>
            <w:shd w:val="clear" w:color="auto" w:fill="00426F"/>
            <w:vAlign w:val="center"/>
          </w:tcPr>
          <w:p w14:paraId="6129EF7D" w14:textId="77777777" w:rsidR="7E0E8BD3" w:rsidRPr="001D5EDC" w:rsidRDefault="7E0E8BD3" w:rsidP="7E0E8BD3">
            <w:pPr>
              <w:jc w:val="center"/>
              <w:rPr>
                <w:rStyle w:val="eop"/>
                <w:rFonts w:ascii="Arial" w:hAnsi="Arial" w:cs="Arial"/>
                <w:color w:val="FFFFFF" w:themeColor="background1"/>
                <w:sz w:val="18"/>
                <w:szCs w:val="18"/>
                <w:lang w:eastAsia="en-AU"/>
              </w:rPr>
            </w:pPr>
            <w:r w:rsidRPr="001D5EDC">
              <w:rPr>
                <w:rStyle w:val="eop"/>
                <w:rFonts w:ascii="Arial" w:hAnsi="Arial" w:cs="Arial"/>
                <w:color w:val="FFFFFF" w:themeColor="background1"/>
                <w:sz w:val="18"/>
                <w:szCs w:val="18"/>
                <w:lang w:eastAsia="en-AU"/>
              </w:rPr>
              <w:t>$m</w:t>
            </w:r>
          </w:p>
        </w:tc>
        <w:tc>
          <w:tcPr>
            <w:tcW w:w="993" w:type="dxa"/>
            <w:shd w:val="clear" w:color="auto" w:fill="00426F"/>
            <w:vAlign w:val="center"/>
          </w:tcPr>
          <w:p w14:paraId="51BB018F" w14:textId="77777777" w:rsidR="7E0E8BD3" w:rsidRPr="001D5EDC" w:rsidRDefault="7E0E8BD3" w:rsidP="7E0E8BD3">
            <w:pPr>
              <w:jc w:val="center"/>
              <w:rPr>
                <w:rStyle w:val="eop"/>
                <w:rFonts w:ascii="Arial" w:hAnsi="Arial" w:cs="Arial"/>
                <w:color w:val="FFFFFF" w:themeColor="background1"/>
                <w:sz w:val="18"/>
                <w:szCs w:val="18"/>
                <w:lang w:eastAsia="en-AU"/>
              </w:rPr>
            </w:pPr>
            <w:r w:rsidRPr="001D5EDC">
              <w:rPr>
                <w:rStyle w:val="eop"/>
                <w:rFonts w:ascii="Arial" w:hAnsi="Arial" w:cs="Arial"/>
                <w:color w:val="FFFFFF" w:themeColor="background1"/>
                <w:sz w:val="18"/>
                <w:szCs w:val="18"/>
                <w:lang w:eastAsia="en-AU"/>
              </w:rPr>
              <w:t>$m</w:t>
            </w:r>
          </w:p>
        </w:tc>
        <w:tc>
          <w:tcPr>
            <w:tcW w:w="992" w:type="dxa"/>
            <w:shd w:val="clear" w:color="auto" w:fill="00426F"/>
            <w:vAlign w:val="center"/>
          </w:tcPr>
          <w:p w14:paraId="6A770F18" w14:textId="77777777" w:rsidR="7E0E8BD3" w:rsidRPr="001D5EDC" w:rsidRDefault="7E0E8BD3" w:rsidP="7E0E8BD3">
            <w:pPr>
              <w:jc w:val="center"/>
              <w:rPr>
                <w:rStyle w:val="eop"/>
                <w:rFonts w:ascii="Arial" w:hAnsi="Arial" w:cs="Arial"/>
                <w:color w:val="FFFFFF" w:themeColor="background1"/>
                <w:sz w:val="18"/>
                <w:szCs w:val="18"/>
                <w:lang w:eastAsia="en-AU"/>
              </w:rPr>
            </w:pPr>
            <w:r w:rsidRPr="001D5EDC">
              <w:rPr>
                <w:rStyle w:val="eop"/>
                <w:rFonts w:ascii="Arial" w:hAnsi="Arial" w:cs="Arial"/>
                <w:color w:val="FFFFFF" w:themeColor="background1"/>
                <w:sz w:val="18"/>
                <w:szCs w:val="18"/>
                <w:lang w:eastAsia="en-AU"/>
              </w:rPr>
              <w:t>$m</w:t>
            </w:r>
          </w:p>
        </w:tc>
        <w:tc>
          <w:tcPr>
            <w:tcW w:w="1983" w:type="dxa"/>
            <w:vMerge/>
          </w:tcPr>
          <w:p w14:paraId="48E25DFC" w14:textId="77777777" w:rsidR="008858FF" w:rsidRPr="001D5EDC" w:rsidRDefault="008858FF">
            <w:pPr>
              <w:rPr>
                <w:sz w:val="18"/>
                <w:szCs w:val="18"/>
              </w:rPr>
            </w:pPr>
          </w:p>
        </w:tc>
      </w:tr>
      <w:tr w:rsidR="7E0E8BD3" w:rsidRPr="001D5EDC" w14:paraId="70A93BB9" w14:textId="77777777" w:rsidTr="001D5EDC">
        <w:trPr>
          <w:trHeight w:val="283"/>
        </w:trPr>
        <w:tc>
          <w:tcPr>
            <w:tcW w:w="3683" w:type="dxa"/>
            <w:shd w:val="clear" w:color="auto" w:fill="auto"/>
            <w:vAlign w:val="center"/>
          </w:tcPr>
          <w:p w14:paraId="5FD029D5" w14:textId="423376B2" w:rsidR="44F2F47B" w:rsidRPr="001D5EDC" w:rsidRDefault="44F2F47B" w:rsidP="001D5EDC">
            <w:pPr>
              <w:rPr>
                <w:rFonts w:ascii="Arial" w:hAnsi="Arial" w:cs="Arial"/>
                <w:b/>
                <w:bCs/>
                <w:sz w:val="18"/>
                <w:szCs w:val="18"/>
              </w:rPr>
            </w:pPr>
            <w:r w:rsidRPr="001D5EDC">
              <w:rPr>
                <w:rFonts w:ascii="Arial" w:hAnsi="Arial" w:cs="Arial"/>
                <w:b/>
                <w:bCs/>
                <w:sz w:val="18"/>
                <w:szCs w:val="18"/>
              </w:rPr>
              <w:t>Expenses</w:t>
            </w:r>
          </w:p>
        </w:tc>
        <w:tc>
          <w:tcPr>
            <w:tcW w:w="996" w:type="dxa"/>
            <w:vAlign w:val="center"/>
          </w:tcPr>
          <w:p w14:paraId="42851A69" w14:textId="6038A510" w:rsidR="7E0E8BD3" w:rsidRPr="001D5EDC" w:rsidRDefault="7E0E8BD3" w:rsidP="001D5EDC">
            <w:pPr>
              <w:ind w:right="170"/>
              <w:jc w:val="right"/>
              <w:rPr>
                <w:rFonts w:ascii="Arial" w:hAnsi="Arial" w:cs="Arial"/>
                <w:sz w:val="18"/>
                <w:szCs w:val="18"/>
              </w:rPr>
            </w:pPr>
          </w:p>
        </w:tc>
        <w:tc>
          <w:tcPr>
            <w:tcW w:w="992" w:type="dxa"/>
            <w:shd w:val="clear" w:color="auto" w:fill="B9BDBF"/>
            <w:vAlign w:val="center"/>
          </w:tcPr>
          <w:p w14:paraId="0987F65B" w14:textId="3BB5911A" w:rsidR="7E0E8BD3" w:rsidRPr="001D5EDC" w:rsidRDefault="7E0E8BD3" w:rsidP="001D5EDC">
            <w:pPr>
              <w:ind w:right="170"/>
              <w:jc w:val="right"/>
              <w:rPr>
                <w:rFonts w:ascii="Arial" w:hAnsi="Arial" w:cs="Arial"/>
                <w:sz w:val="18"/>
                <w:szCs w:val="18"/>
              </w:rPr>
            </w:pPr>
          </w:p>
        </w:tc>
        <w:tc>
          <w:tcPr>
            <w:tcW w:w="993" w:type="dxa"/>
            <w:shd w:val="clear" w:color="auto" w:fill="B9BDBF"/>
            <w:vAlign w:val="center"/>
          </w:tcPr>
          <w:p w14:paraId="135B5CFA" w14:textId="325EEBD4" w:rsidR="7E0E8BD3" w:rsidRPr="001D5EDC" w:rsidRDefault="7E0E8BD3" w:rsidP="001D5EDC">
            <w:pPr>
              <w:ind w:right="170"/>
              <w:jc w:val="right"/>
              <w:rPr>
                <w:rFonts w:ascii="Arial" w:hAnsi="Arial" w:cs="Arial"/>
                <w:sz w:val="18"/>
                <w:szCs w:val="18"/>
              </w:rPr>
            </w:pPr>
          </w:p>
        </w:tc>
        <w:tc>
          <w:tcPr>
            <w:tcW w:w="992" w:type="dxa"/>
            <w:shd w:val="clear" w:color="auto" w:fill="B9BDBF"/>
            <w:vAlign w:val="center"/>
          </w:tcPr>
          <w:p w14:paraId="6AAE20BC" w14:textId="002F7E14" w:rsidR="7E0E8BD3" w:rsidRPr="001D5EDC" w:rsidRDefault="7E0E8BD3" w:rsidP="001D5EDC">
            <w:pPr>
              <w:ind w:right="170"/>
              <w:jc w:val="right"/>
              <w:rPr>
                <w:rFonts w:ascii="Arial" w:hAnsi="Arial" w:cs="Arial"/>
                <w:sz w:val="18"/>
                <w:szCs w:val="18"/>
              </w:rPr>
            </w:pPr>
          </w:p>
        </w:tc>
        <w:tc>
          <w:tcPr>
            <w:tcW w:w="1983" w:type="dxa"/>
            <w:vMerge w:val="restart"/>
            <w:vAlign w:val="center"/>
          </w:tcPr>
          <w:p w14:paraId="4F0A110C" w14:textId="4F94FF85" w:rsidR="357627FA" w:rsidRPr="001D5EDC" w:rsidRDefault="357627FA" w:rsidP="001D5EDC">
            <w:pPr>
              <w:jc w:val="center"/>
              <w:rPr>
                <w:rFonts w:ascii="Arial" w:hAnsi="Arial" w:cs="Arial"/>
                <w:sz w:val="18"/>
                <w:szCs w:val="18"/>
              </w:rPr>
            </w:pPr>
            <w:r w:rsidRPr="001D5EDC">
              <w:rPr>
                <w:rFonts w:ascii="Arial" w:hAnsi="Arial" w:cs="Arial"/>
                <w:sz w:val="18"/>
                <w:szCs w:val="18"/>
              </w:rPr>
              <w:t>Single percentage point increase in factor</w:t>
            </w:r>
          </w:p>
          <w:p w14:paraId="34D09670" w14:textId="7CAA8317" w:rsidR="7E0E8BD3" w:rsidRPr="001D5EDC" w:rsidRDefault="7E0E8BD3" w:rsidP="001D5EDC">
            <w:pPr>
              <w:jc w:val="center"/>
              <w:rPr>
                <w:rFonts w:ascii="Arial" w:hAnsi="Arial" w:cs="Arial"/>
                <w:sz w:val="18"/>
                <w:szCs w:val="18"/>
              </w:rPr>
            </w:pPr>
          </w:p>
        </w:tc>
      </w:tr>
      <w:tr w:rsidR="7E0E8BD3" w:rsidRPr="001D5EDC" w14:paraId="0F3BA98B" w14:textId="77777777" w:rsidTr="001D5EDC">
        <w:trPr>
          <w:trHeight w:val="283"/>
        </w:trPr>
        <w:tc>
          <w:tcPr>
            <w:tcW w:w="3683" w:type="dxa"/>
            <w:shd w:val="clear" w:color="auto" w:fill="auto"/>
            <w:vAlign w:val="center"/>
          </w:tcPr>
          <w:p w14:paraId="13A492D5" w14:textId="7BECDC72" w:rsidR="357627FA" w:rsidRPr="001D5EDC" w:rsidRDefault="357627FA" w:rsidP="001D5EDC">
            <w:pPr>
              <w:rPr>
                <w:rFonts w:ascii="Arial" w:hAnsi="Arial" w:cs="Arial"/>
                <w:sz w:val="18"/>
                <w:szCs w:val="18"/>
              </w:rPr>
            </w:pPr>
            <w:r w:rsidRPr="001D5EDC">
              <w:rPr>
                <w:rFonts w:ascii="Arial" w:hAnsi="Arial" w:cs="Arial"/>
                <w:sz w:val="18"/>
                <w:szCs w:val="18"/>
              </w:rPr>
              <w:t>Employee expenses (excl super)</w:t>
            </w:r>
          </w:p>
        </w:tc>
        <w:tc>
          <w:tcPr>
            <w:tcW w:w="996" w:type="dxa"/>
            <w:vAlign w:val="center"/>
          </w:tcPr>
          <w:p w14:paraId="153FE1DC" w14:textId="4A47F8B2" w:rsidR="357627FA" w:rsidRPr="001D5EDC" w:rsidRDefault="357627FA" w:rsidP="001D5EDC">
            <w:pPr>
              <w:ind w:right="170"/>
              <w:jc w:val="right"/>
              <w:rPr>
                <w:rFonts w:ascii="Arial" w:hAnsi="Arial" w:cs="Arial"/>
                <w:sz w:val="18"/>
                <w:szCs w:val="18"/>
              </w:rPr>
            </w:pPr>
            <w:r w:rsidRPr="001D5EDC">
              <w:rPr>
                <w:rFonts w:ascii="Arial" w:hAnsi="Arial" w:cs="Arial"/>
                <w:sz w:val="18"/>
                <w:szCs w:val="18"/>
              </w:rPr>
              <w:t>(</w:t>
            </w:r>
            <w:r w:rsidR="1C0AB4C5" w:rsidRPr="001D5EDC">
              <w:rPr>
                <w:rFonts w:ascii="Arial" w:hAnsi="Arial" w:cs="Arial"/>
                <w:sz w:val="18"/>
                <w:szCs w:val="18"/>
              </w:rPr>
              <w:t>3</w:t>
            </w:r>
            <w:r w:rsidR="37CDC9E1" w:rsidRPr="001D5EDC">
              <w:rPr>
                <w:rFonts w:ascii="Arial" w:hAnsi="Arial" w:cs="Arial"/>
                <w:sz w:val="18"/>
                <w:szCs w:val="18"/>
              </w:rPr>
              <w:t>71</w:t>
            </w:r>
            <w:r w:rsidRPr="001D5EDC">
              <w:rPr>
                <w:rFonts w:ascii="Arial" w:hAnsi="Arial" w:cs="Arial"/>
                <w:sz w:val="18"/>
                <w:szCs w:val="18"/>
              </w:rPr>
              <w:t>)</w:t>
            </w:r>
          </w:p>
        </w:tc>
        <w:tc>
          <w:tcPr>
            <w:tcW w:w="992" w:type="dxa"/>
            <w:shd w:val="clear" w:color="auto" w:fill="B9BDBF"/>
            <w:vAlign w:val="center"/>
          </w:tcPr>
          <w:p w14:paraId="16467CBA" w14:textId="2707CBA9" w:rsidR="357627FA" w:rsidRPr="001D5EDC" w:rsidRDefault="357627FA" w:rsidP="001D5EDC">
            <w:pPr>
              <w:ind w:right="170"/>
              <w:jc w:val="right"/>
              <w:rPr>
                <w:rFonts w:ascii="Arial" w:hAnsi="Arial" w:cs="Arial"/>
                <w:sz w:val="18"/>
                <w:szCs w:val="18"/>
              </w:rPr>
            </w:pPr>
            <w:r w:rsidRPr="001D5EDC">
              <w:rPr>
                <w:rFonts w:ascii="Arial" w:hAnsi="Arial" w:cs="Arial"/>
                <w:sz w:val="18"/>
                <w:szCs w:val="18"/>
              </w:rPr>
              <w:t>(</w:t>
            </w:r>
            <w:r w:rsidR="1C0AB4C5" w:rsidRPr="001D5EDC">
              <w:rPr>
                <w:rFonts w:ascii="Arial" w:hAnsi="Arial" w:cs="Arial"/>
                <w:sz w:val="18"/>
                <w:szCs w:val="18"/>
              </w:rPr>
              <w:t>3</w:t>
            </w:r>
            <w:r w:rsidR="554AA720" w:rsidRPr="001D5EDC">
              <w:rPr>
                <w:rFonts w:ascii="Arial" w:hAnsi="Arial" w:cs="Arial"/>
                <w:sz w:val="18"/>
                <w:szCs w:val="18"/>
              </w:rPr>
              <w:t>75</w:t>
            </w:r>
            <w:r w:rsidRPr="001D5EDC">
              <w:rPr>
                <w:rFonts w:ascii="Arial" w:hAnsi="Arial" w:cs="Arial"/>
                <w:sz w:val="18"/>
                <w:szCs w:val="18"/>
              </w:rPr>
              <w:t>)</w:t>
            </w:r>
          </w:p>
        </w:tc>
        <w:tc>
          <w:tcPr>
            <w:tcW w:w="993" w:type="dxa"/>
            <w:shd w:val="clear" w:color="auto" w:fill="B9BDBF"/>
            <w:vAlign w:val="center"/>
          </w:tcPr>
          <w:p w14:paraId="1A514E94" w14:textId="53C7B738" w:rsidR="357627FA" w:rsidRPr="001D5EDC" w:rsidRDefault="357627FA" w:rsidP="001D5EDC">
            <w:pPr>
              <w:ind w:right="170"/>
              <w:jc w:val="right"/>
              <w:rPr>
                <w:rFonts w:ascii="Arial" w:hAnsi="Arial" w:cs="Arial"/>
                <w:sz w:val="18"/>
                <w:szCs w:val="18"/>
              </w:rPr>
            </w:pPr>
            <w:r w:rsidRPr="001D5EDC">
              <w:rPr>
                <w:rFonts w:ascii="Arial" w:hAnsi="Arial" w:cs="Arial"/>
                <w:sz w:val="18"/>
                <w:szCs w:val="18"/>
              </w:rPr>
              <w:t>(</w:t>
            </w:r>
            <w:r w:rsidR="1C0AB4C5" w:rsidRPr="001D5EDC">
              <w:rPr>
                <w:rFonts w:ascii="Arial" w:hAnsi="Arial" w:cs="Arial"/>
                <w:sz w:val="18"/>
                <w:szCs w:val="18"/>
              </w:rPr>
              <w:t>3</w:t>
            </w:r>
            <w:r w:rsidR="496C647D" w:rsidRPr="001D5EDC">
              <w:rPr>
                <w:rFonts w:ascii="Arial" w:hAnsi="Arial" w:cs="Arial"/>
                <w:sz w:val="18"/>
                <w:szCs w:val="18"/>
              </w:rPr>
              <w:t>87</w:t>
            </w:r>
            <w:r w:rsidRPr="001D5EDC">
              <w:rPr>
                <w:rFonts w:ascii="Arial" w:hAnsi="Arial" w:cs="Arial"/>
                <w:sz w:val="18"/>
                <w:szCs w:val="18"/>
              </w:rPr>
              <w:t>)</w:t>
            </w:r>
          </w:p>
        </w:tc>
        <w:tc>
          <w:tcPr>
            <w:tcW w:w="992" w:type="dxa"/>
            <w:shd w:val="clear" w:color="auto" w:fill="B9BDBF"/>
            <w:vAlign w:val="center"/>
          </w:tcPr>
          <w:p w14:paraId="29813AAD" w14:textId="600C18C3" w:rsidR="357627FA" w:rsidRPr="001D5EDC" w:rsidRDefault="357627FA" w:rsidP="001D5EDC">
            <w:pPr>
              <w:ind w:right="170"/>
              <w:jc w:val="right"/>
              <w:rPr>
                <w:rFonts w:ascii="Arial" w:hAnsi="Arial" w:cs="Arial"/>
                <w:sz w:val="18"/>
                <w:szCs w:val="18"/>
              </w:rPr>
            </w:pPr>
            <w:r w:rsidRPr="001D5EDC">
              <w:rPr>
                <w:rFonts w:ascii="Arial" w:hAnsi="Arial" w:cs="Arial"/>
                <w:sz w:val="18"/>
                <w:szCs w:val="18"/>
              </w:rPr>
              <w:t>(</w:t>
            </w:r>
            <w:r w:rsidR="1C0AB4C5" w:rsidRPr="001D5EDC">
              <w:rPr>
                <w:rFonts w:ascii="Arial" w:hAnsi="Arial" w:cs="Arial"/>
                <w:sz w:val="18"/>
                <w:szCs w:val="18"/>
              </w:rPr>
              <w:t>39</w:t>
            </w:r>
            <w:r w:rsidR="50EAD60E" w:rsidRPr="001D5EDC">
              <w:rPr>
                <w:rFonts w:ascii="Arial" w:hAnsi="Arial" w:cs="Arial"/>
                <w:sz w:val="18"/>
                <w:szCs w:val="18"/>
              </w:rPr>
              <w:t>9</w:t>
            </w:r>
            <w:r w:rsidRPr="001D5EDC">
              <w:rPr>
                <w:rFonts w:ascii="Arial" w:hAnsi="Arial" w:cs="Arial"/>
                <w:sz w:val="18"/>
                <w:szCs w:val="18"/>
              </w:rPr>
              <w:t>)</w:t>
            </w:r>
          </w:p>
        </w:tc>
        <w:tc>
          <w:tcPr>
            <w:tcW w:w="1983" w:type="dxa"/>
            <w:vMerge/>
          </w:tcPr>
          <w:p w14:paraId="5F044F95" w14:textId="77777777" w:rsidR="008858FF" w:rsidRPr="001D5EDC" w:rsidRDefault="008858FF">
            <w:pPr>
              <w:rPr>
                <w:sz w:val="18"/>
                <w:szCs w:val="18"/>
              </w:rPr>
            </w:pPr>
          </w:p>
        </w:tc>
      </w:tr>
      <w:tr w:rsidR="7E0E8BD3" w:rsidRPr="001D5EDC" w14:paraId="60FAA15F" w14:textId="77777777" w:rsidTr="001D5EDC">
        <w:trPr>
          <w:trHeight w:val="283"/>
        </w:trPr>
        <w:tc>
          <w:tcPr>
            <w:tcW w:w="3683" w:type="dxa"/>
            <w:shd w:val="clear" w:color="auto" w:fill="auto"/>
            <w:vAlign w:val="center"/>
          </w:tcPr>
          <w:p w14:paraId="01CCD918" w14:textId="398D89A5" w:rsidR="357627FA" w:rsidRPr="001D5EDC" w:rsidRDefault="357627FA" w:rsidP="001D5EDC">
            <w:pPr>
              <w:rPr>
                <w:rFonts w:ascii="Arial" w:hAnsi="Arial" w:cs="Arial"/>
                <w:sz w:val="18"/>
                <w:szCs w:val="18"/>
              </w:rPr>
            </w:pPr>
            <w:r w:rsidRPr="001D5EDC">
              <w:rPr>
                <w:rFonts w:ascii="Arial" w:hAnsi="Arial" w:cs="Arial"/>
                <w:sz w:val="18"/>
                <w:szCs w:val="18"/>
              </w:rPr>
              <w:t>Cost of goods and services</w:t>
            </w:r>
          </w:p>
        </w:tc>
        <w:tc>
          <w:tcPr>
            <w:tcW w:w="996" w:type="dxa"/>
            <w:vAlign w:val="center"/>
          </w:tcPr>
          <w:p w14:paraId="1E9A5DCD" w14:textId="48E4CBE6" w:rsidR="357627FA" w:rsidRPr="001D5EDC" w:rsidRDefault="357627FA" w:rsidP="001D5EDC">
            <w:pPr>
              <w:ind w:right="170"/>
              <w:jc w:val="right"/>
              <w:rPr>
                <w:rFonts w:ascii="Arial" w:hAnsi="Arial" w:cs="Arial"/>
                <w:sz w:val="18"/>
                <w:szCs w:val="18"/>
              </w:rPr>
            </w:pPr>
            <w:r w:rsidRPr="001D5EDC">
              <w:rPr>
                <w:rFonts w:ascii="Arial" w:hAnsi="Arial" w:cs="Arial"/>
                <w:sz w:val="18"/>
                <w:szCs w:val="18"/>
              </w:rPr>
              <w:t>(</w:t>
            </w:r>
            <w:r w:rsidR="1C0AB4C5" w:rsidRPr="001D5EDC">
              <w:rPr>
                <w:rFonts w:ascii="Arial" w:hAnsi="Arial" w:cs="Arial"/>
                <w:sz w:val="18"/>
                <w:szCs w:val="18"/>
              </w:rPr>
              <w:t>2</w:t>
            </w:r>
            <w:r w:rsidR="74B1293A" w:rsidRPr="001D5EDC">
              <w:rPr>
                <w:rFonts w:ascii="Arial" w:hAnsi="Arial" w:cs="Arial"/>
                <w:sz w:val="18"/>
                <w:szCs w:val="18"/>
              </w:rPr>
              <w:t>48</w:t>
            </w:r>
            <w:r w:rsidRPr="001D5EDC">
              <w:rPr>
                <w:rFonts w:ascii="Arial" w:hAnsi="Arial" w:cs="Arial"/>
                <w:sz w:val="18"/>
                <w:szCs w:val="18"/>
              </w:rPr>
              <w:t>)</w:t>
            </w:r>
          </w:p>
        </w:tc>
        <w:tc>
          <w:tcPr>
            <w:tcW w:w="992" w:type="dxa"/>
            <w:shd w:val="clear" w:color="auto" w:fill="B9BDBF"/>
            <w:vAlign w:val="center"/>
          </w:tcPr>
          <w:p w14:paraId="6682AB4E" w14:textId="2A40F7F3" w:rsidR="357627FA" w:rsidRPr="001D5EDC" w:rsidRDefault="357627FA" w:rsidP="001D5EDC">
            <w:pPr>
              <w:ind w:right="170"/>
              <w:jc w:val="right"/>
              <w:rPr>
                <w:rFonts w:ascii="Arial" w:hAnsi="Arial" w:cs="Arial"/>
                <w:sz w:val="18"/>
                <w:szCs w:val="18"/>
              </w:rPr>
            </w:pPr>
            <w:r w:rsidRPr="001D5EDC">
              <w:rPr>
                <w:rFonts w:ascii="Arial" w:hAnsi="Arial" w:cs="Arial"/>
                <w:sz w:val="18"/>
                <w:szCs w:val="18"/>
              </w:rPr>
              <w:t>(</w:t>
            </w:r>
            <w:r w:rsidR="1C0AB4C5" w:rsidRPr="001D5EDC">
              <w:rPr>
                <w:rFonts w:ascii="Arial" w:hAnsi="Arial" w:cs="Arial"/>
                <w:sz w:val="18"/>
                <w:szCs w:val="18"/>
              </w:rPr>
              <w:t>2</w:t>
            </w:r>
            <w:r w:rsidR="6BEB6470" w:rsidRPr="001D5EDC">
              <w:rPr>
                <w:rFonts w:ascii="Arial" w:hAnsi="Arial" w:cs="Arial"/>
                <w:sz w:val="18"/>
                <w:szCs w:val="18"/>
              </w:rPr>
              <w:t>35</w:t>
            </w:r>
            <w:r w:rsidRPr="001D5EDC">
              <w:rPr>
                <w:rFonts w:ascii="Arial" w:hAnsi="Arial" w:cs="Arial"/>
                <w:sz w:val="18"/>
                <w:szCs w:val="18"/>
              </w:rPr>
              <w:t>)</w:t>
            </w:r>
          </w:p>
        </w:tc>
        <w:tc>
          <w:tcPr>
            <w:tcW w:w="993" w:type="dxa"/>
            <w:shd w:val="clear" w:color="auto" w:fill="B9BDBF"/>
            <w:vAlign w:val="center"/>
          </w:tcPr>
          <w:p w14:paraId="1D4DFDF5" w14:textId="4D18E797" w:rsidR="357627FA" w:rsidRPr="001D5EDC" w:rsidRDefault="357627FA" w:rsidP="001D5EDC">
            <w:pPr>
              <w:ind w:right="170"/>
              <w:jc w:val="right"/>
              <w:rPr>
                <w:rFonts w:ascii="Arial" w:hAnsi="Arial" w:cs="Arial"/>
                <w:sz w:val="18"/>
                <w:szCs w:val="18"/>
              </w:rPr>
            </w:pPr>
            <w:r w:rsidRPr="001D5EDC">
              <w:rPr>
                <w:rFonts w:ascii="Arial" w:hAnsi="Arial" w:cs="Arial"/>
                <w:sz w:val="18"/>
                <w:szCs w:val="18"/>
              </w:rPr>
              <w:t>(</w:t>
            </w:r>
            <w:r w:rsidR="1C0AB4C5" w:rsidRPr="001D5EDC">
              <w:rPr>
                <w:rFonts w:ascii="Arial" w:hAnsi="Arial" w:cs="Arial"/>
                <w:sz w:val="18"/>
                <w:szCs w:val="18"/>
              </w:rPr>
              <w:t>2</w:t>
            </w:r>
            <w:r w:rsidR="42E8EC14" w:rsidRPr="001D5EDC">
              <w:rPr>
                <w:rFonts w:ascii="Arial" w:hAnsi="Arial" w:cs="Arial"/>
                <w:sz w:val="18"/>
                <w:szCs w:val="18"/>
              </w:rPr>
              <w:t>21</w:t>
            </w:r>
            <w:r w:rsidRPr="001D5EDC">
              <w:rPr>
                <w:rFonts w:ascii="Arial" w:hAnsi="Arial" w:cs="Arial"/>
                <w:sz w:val="18"/>
                <w:szCs w:val="18"/>
              </w:rPr>
              <w:t>)</w:t>
            </w:r>
          </w:p>
        </w:tc>
        <w:tc>
          <w:tcPr>
            <w:tcW w:w="992" w:type="dxa"/>
            <w:shd w:val="clear" w:color="auto" w:fill="B9BDBF"/>
            <w:vAlign w:val="center"/>
          </w:tcPr>
          <w:p w14:paraId="1211A185" w14:textId="75A083C2" w:rsidR="357627FA" w:rsidRPr="001D5EDC" w:rsidRDefault="357627FA" w:rsidP="001D5EDC">
            <w:pPr>
              <w:ind w:right="170"/>
              <w:jc w:val="right"/>
              <w:rPr>
                <w:rFonts w:ascii="Arial" w:hAnsi="Arial" w:cs="Arial"/>
                <w:sz w:val="18"/>
                <w:szCs w:val="18"/>
              </w:rPr>
            </w:pPr>
            <w:r w:rsidRPr="001D5EDC">
              <w:rPr>
                <w:rFonts w:ascii="Arial" w:hAnsi="Arial" w:cs="Arial"/>
                <w:sz w:val="18"/>
                <w:szCs w:val="18"/>
              </w:rPr>
              <w:t>(</w:t>
            </w:r>
            <w:r w:rsidR="052DF23E" w:rsidRPr="001D5EDC">
              <w:rPr>
                <w:rFonts w:ascii="Arial" w:hAnsi="Arial" w:cs="Arial"/>
                <w:sz w:val="18"/>
                <w:szCs w:val="18"/>
              </w:rPr>
              <w:t>216</w:t>
            </w:r>
            <w:r w:rsidRPr="001D5EDC">
              <w:rPr>
                <w:rFonts w:ascii="Arial" w:hAnsi="Arial" w:cs="Arial"/>
                <w:sz w:val="18"/>
                <w:szCs w:val="18"/>
              </w:rPr>
              <w:t>)</w:t>
            </w:r>
          </w:p>
        </w:tc>
        <w:tc>
          <w:tcPr>
            <w:tcW w:w="1983" w:type="dxa"/>
            <w:vMerge/>
          </w:tcPr>
          <w:p w14:paraId="36FFFC3C" w14:textId="77777777" w:rsidR="008858FF" w:rsidRPr="001D5EDC" w:rsidRDefault="008858FF">
            <w:pPr>
              <w:rPr>
                <w:sz w:val="18"/>
                <w:szCs w:val="18"/>
              </w:rPr>
            </w:pPr>
          </w:p>
        </w:tc>
      </w:tr>
      <w:tr w:rsidR="7E0E8BD3" w:rsidRPr="001D5EDC" w14:paraId="523BFB36" w14:textId="77777777" w:rsidTr="001D5EDC">
        <w:trPr>
          <w:trHeight w:val="283"/>
        </w:trPr>
        <w:tc>
          <w:tcPr>
            <w:tcW w:w="3683" w:type="dxa"/>
            <w:shd w:val="clear" w:color="auto" w:fill="auto"/>
            <w:vAlign w:val="center"/>
          </w:tcPr>
          <w:p w14:paraId="7986F30E" w14:textId="00EDC73A" w:rsidR="357627FA" w:rsidRPr="001D5EDC" w:rsidRDefault="357627FA" w:rsidP="001D5EDC">
            <w:pPr>
              <w:rPr>
                <w:rFonts w:ascii="Arial" w:hAnsi="Arial" w:cs="Arial"/>
                <w:b/>
                <w:bCs/>
                <w:sz w:val="18"/>
                <w:szCs w:val="18"/>
              </w:rPr>
            </w:pPr>
            <w:r w:rsidRPr="001D5EDC">
              <w:rPr>
                <w:rFonts w:ascii="Arial" w:hAnsi="Arial" w:cs="Arial"/>
                <w:b/>
                <w:bCs/>
                <w:sz w:val="18"/>
                <w:szCs w:val="18"/>
              </w:rPr>
              <w:t>Government services demand growth</w:t>
            </w:r>
          </w:p>
        </w:tc>
        <w:tc>
          <w:tcPr>
            <w:tcW w:w="996" w:type="dxa"/>
            <w:vAlign w:val="center"/>
          </w:tcPr>
          <w:p w14:paraId="3D782D49" w14:textId="20290981" w:rsidR="7E0E8BD3" w:rsidRPr="001D5EDC" w:rsidRDefault="7E0E8BD3" w:rsidP="001D5EDC">
            <w:pPr>
              <w:ind w:right="170"/>
              <w:jc w:val="right"/>
              <w:rPr>
                <w:rFonts w:ascii="Arial" w:hAnsi="Arial" w:cs="Arial"/>
                <w:sz w:val="18"/>
                <w:szCs w:val="18"/>
              </w:rPr>
            </w:pPr>
          </w:p>
        </w:tc>
        <w:tc>
          <w:tcPr>
            <w:tcW w:w="992" w:type="dxa"/>
            <w:shd w:val="clear" w:color="auto" w:fill="B9BDBF"/>
            <w:vAlign w:val="center"/>
          </w:tcPr>
          <w:p w14:paraId="56F78347" w14:textId="1B837B30" w:rsidR="7E0E8BD3" w:rsidRPr="001D5EDC" w:rsidRDefault="7E0E8BD3" w:rsidP="001D5EDC">
            <w:pPr>
              <w:ind w:right="170"/>
              <w:jc w:val="right"/>
              <w:rPr>
                <w:rFonts w:ascii="Arial" w:hAnsi="Arial" w:cs="Arial"/>
                <w:sz w:val="18"/>
                <w:szCs w:val="18"/>
              </w:rPr>
            </w:pPr>
          </w:p>
        </w:tc>
        <w:tc>
          <w:tcPr>
            <w:tcW w:w="993" w:type="dxa"/>
            <w:shd w:val="clear" w:color="auto" w:fill="B9BDBF"/>
            <w:vAlign w:val="center"/>
          </w:tcPr>
          <w:p w14:paraId="64822EE1" w14:textId="235CF591" w:rsidR="7E0E8BD3" w:rsidRPr="001D5EDC" w:rsidRDefault="7E0E8BD3" w:rsidP="001D5EDC">
            <w:pPr>
              <w:ind w:right="170"/>
              <w:jc w:val="right"/>
              <w:rPr>
                <w:rFonts w:ascii="Arial" w:hAnsi="Arial" w:cs="Arial"/>
                <w:sz w:val="18"/>
                <w:szCs w:val="18"/>
              </w:rPr>
            </w:pPr>
          </w:p>
        </w:tc>
        <w:tc>
          <w:tcPr>
            <w:tcW w:w="992" w:type="dxa"/>
            <w:shd w:val="clear" w:color="auto" w:fill="B9BDBF"/>
            <w:vAlign w:val="center"/>
          </w:tcPr>
          <w:p w14:paraId="0A060E48" w14:textId="7C5EC5F9" w:rsidR="7E0E8BD3" w:rsidRPr="001D5EDC" w:rsidRDefault="7E0E8BD3" w:rsidP="001D5EDC">
            <w:pPr>
              <w:ind w:right="170"/>
              <w:jc w:val="right"/>
              <w:rPr>
                <w:rFonts w:ascii="Arial" w:hAnsi="Arial" w:cs="Arial"/>
                <w:sz w:val="18"/>
                <w:szCs w:val="18"/>
              </w:rPr>
            </w:pPr>
          </w:p>
        </w:tc>
        <w:tc>
          <w:tcPr>
            <w:tcW w:w="1983" w:type="dxa"/>
            <w:vMerge/>
          </w:tcPr>
          <w:p w14:paraId="295F25AA" w14:textId="77777777" w:rsidR="008858FF" w:rsidRPr="001D5EDC" w:rsidRDefault="008858FF">
            <w:pPr>
              <w:rPr>
                <w:sz w:val="18"/>
                <w:szCs w:val="18"/>
              </w:rPr>
            </w:pPr>
          </w:p>
        </w:tc>
      </w:tr>
      <w:tr w:rsidR="7E0E8BD3" w:rsidRPr="001D5EDC" w14:paraId="52BD5C41" w14:textId="77777777" w:rsidTr="00D976BA">
        <w:trPr>
          <w:trHeight w:val="283"/>
        </w:trPr>
        <w:tc>
          <w:tcPr>
            <w:tcW w:w="3683" w:type="dxa"/>
            <w:tcBorders>
              <w:bottom w:val="single" w:sz="4" w:space="0" w:color="auto"/>
            </w:tcBorders>
            <w:shd w:val="clear" w:color="auto" w:fill="auto"/>
            <w:vAlign w:val="center"/>
          </w:tcPr>
          <w:p w14:paraId="5F272F93" w14:textId="0DF13134" w:rsidR="357627FA" w:rsidRPr="001D5EDC" w:rsidRDefault="357627FA" w:rsidP="001D5EDC">
            <w:pPr>
              <w:rPr>
                <w:rFonts w:ascii="Arial" w:hAnsi="Arial" w:cs="Arial"/>
                <w:sz w:val="18"/>
                <w:szCs w:val="18"/>
              </w:rPr>
            </w:pPr>
            <w:r w:rsidRPr="001D5EDC">
              <w:rPr>
                <w:rFonts w:ascii="Arial" w:hAnsi="Arial" w:cs="Arial"/>
                <w:sz w:val="18"/>
                <w:szCs w:val="18"/>
              </w:rPr>
              <w:t xml:space="preserve">Health and </w:t>
            </w:r>
            <w:r w:rsidR="00266954" w:rsidRPr="001D5EDC">
              <w:rPr>
                <w:rFonts w:ascii="Arial" w:hAnsi="Arial" w:cs="Arial"/>
                <w:sz w:val="18"/>
                <w:szCs w:val="18"/>
              </w:rPr>
              <w:t>e</w:t>
            </w:r>
            <w:r w:rsidRPr="001D5EDC">
              <w:rPr>
                <w:rFonts w:ascii="Arial" w:hAnsi="Arial" w:cs="Arial"/>
                <w:sz w:val="18"/>
                <w:szCs w:val="18"/>
              </w:rPr>
              <w:t>ducation expenses</w:t>
            </w:r>
          </w:p>
        </w:tc>
        <w:tc>
          <w:tcPr>
            <w:tcW w:w="996" w:type="dxa"/>
            <w:tcBorders>
              <w:bottom w:val="single" w:sz="4" w:space="0" w:color="auto"/>
            </w:tcBorders>
            <w:vAlign w:val="center"/>
          </w:tcPr>
          <w:p w14:paraId="6D73EE9D" w14:textId="4DD2AB28" w:rsidR="357627FA" w:rsidRPr="001D5EDC" w:rsidRDefault="357627FA" w:rsidP="001D5EDC">
            <w:pPr>
              <w:ind w:right="170"/>
              <w:jc w:val="right"/>
              <w:rPr>
                <w:rFonts w:ascii="Arial" w:hAnsi="Arial" w:cs="Arial"/>
                <w:sz w:val="18"/>
                <w:szCs w:val="18"/>
              </w:rPr>
            </w:pPr>
            <w:r w:rsidRPr="001D5EDC">
              <w:rPr>
                <w:rFonts w:ascii="Arial" w:hAnsi="Arial" w:cs="Arial"/>
                <w:sz w:val="18"/>
                <w:szCs w:val="18"/>
              </w:rPr>
              <w:t>(</w:t>
            </w:r>
            <w:r w:rsidR="1C0AB4C5" w:rsidRPr="001D5EDC">
              <w:rPr>
                <w:rFonts w:ascii="Arial" w:hAnsi="Arial" w:cs="Arial"/>
                <w:sz w:val="18"/>
                <w:szCs w:val="18"/>
              </w:rPr>
              <w:t>4</w:t>
            </w:r>
            <w:r w:rsidR="1F5EF3BC" w:rsidRPr="001D5EDC">
              <w:rPr>
                <w:rFonts w:ascii="Arial" w:hAnsi="Arial" w:cs="Arial"/>
                <w:sz w:val="18"/>
                <w:szCs w:val="18"/>
              </w:rPr>
              <w:t>36</w:t>
            </w:r>
            <w:r w:rsidRPr="001D5EDC">
              <w:rPr>
                <w:rFonts w:ascii="Arial" w:hAnsi="Arial" w:cs="Arial"/>
                <w:sz w:val="18"/>
                <w:szCs w:val="18"/>
              </w:rPr>
              <w:t>)</w:t>
            </w:r>
          </w:p>
        </w:tc>
        <w:tc>
          <w:tcPr>
            <w:tcW w:w="992" w:type="dxa"/>
            <w:tcBorders>
              <w:bottom w:val="single" w:sz="4" w:space="0" w:color="auto"/>
            </w:tcBorders>
            <w:shd w:val="clear" w:color="auto" w:fill="B9BDBF"/>
            <w:vAlign w:val="center"/>
          </w:tcPr>
          <w:p w14:paraId="0FCD47BD" w14:textId="6023CBD7" w:rsidR="357627FA" w:rsidRPr="001D5EDC" w:rsidRDefault="357627FA" w:rsidP="001D5EDC">
            <w:pPr>
              <w:ind w:right="170"/>
              <w:jc w:val="right"/>
              <w:rPr>
                <w:rFonts w:ascii="Arial" w:hAnsi="Arial" w:cs="Arial"/>
                <w:sz w:val="18"/>
                <w:szCs w:val="18"/>
              </w:rPr>
            </w:pPr>
            <w:r w:rsidRPr="001D5EDC">
              <w:rPr>
                <w:rFonts w:ascii="Arial" w:hAnsi="Arial" w:cs="Arial"/>
                <w:sz w:val="18"/>
                <w:szCs w:val="18"/>
              </w:rPr>
              <w:t>(</w:t>
            </w:r>
            <w:r w:rsidR="1C0AB4C5" w:rsidRPr="001D5EDC">
              <w:rPr>
                <w:rFonts w:ascii="Arial" w:hAnsi="Arial" w:cs="Arial"/>
                <w:sz w:val="18"/>
                <w:szCs w:val="18"/>
              </w:rPr>
              <w:t>4</w:t>
            </w:r>
            <w:r w:rsidR="4C2C8FC6" w:rsidRPr="001D5EDC">
              <w:rPr>
                <w:rFonts w:ascii="Arial" w:hAnsi="Arial" w:cs="Arial"/>
                <w:sz w:val="18"/>
                <w:szCs w:val="18"/>
              </w:rPr>
              <w:t>36</w:t>
            </w:r>
            <w:r w:rsidRPr="001D5EDC">
              <w:rPr>
                <w:rFonts w:ascii="Arial" w:hAnsi="Arial" w:cs="Arial"/>
                <w:sz w:val="18"/>
                <w:szCs w:val="18"/>
              </w:rPr>
              <w:t>)</w:t>
            </w:r>
          </w:p>
        </w:tc>
        <w:tc>
          <w:tcPr>
            <w:tcW w:w="993" w:type="dxa"/>
            <w:tcBorders>
              <w:bottom w:val="single" w:sz="4" w:space="0" w:color="auto"/>
            </w:tcBorders>
            <w:shd w:val="clear" w:color="auto" w:fill="B9BDBF"/>
            <w:vAlign w:val="center"/>
          </w:tcPr>
          <w:p w14:paraId="4E7DB0DA" w14:textId="53E5BBF2" w:rsidR="357627FA" w:rsidRPr="001D5EDC" w:rsidRDefault="357627FA" w:rsidP="001D5EDC">
            <w:pPr>
              <w:ind w:right="170"/>
              <w:jc w:val="right"/>
              <w:rPr>
                <w:rFonts w:ascii="Arial" w:hAnsi="Arial" w:cs="Arial"/>
                <w:sz w:val="18"/>
                <w:szCs w:val="18"/>
              </w:rPr>
            </w:pPr>
            <w:r w:rsidRPr="001D5EDC">
              <w:rPr>
                <w:rFonts w:ascii="Arial" w:hAnsi="Arial" w:cs="Arial"/>
                <w:sz w:val="18"/>
                <w:szCs w:val="18"/>
              </w:rPr>
              <w:t>(</w:t>
            </w:r>
            <w:r w:rsidR="1C0AB4C5" w:rsidRPr="001D5EDC">
              <w:rPr>
                <w:rFonts w:ascii="Arial" w:hAnsi="Arial" w:cs="Arial"/>
                <w:sz w:val="18"/>
                <w:szCs w:val="18"/>
              </w:rPr>
              <w:t>4</w:t>
            </w:r>
            <w:r w:rsidR="78ACD04C" w:rsidRPr="001D5EDC">
              <w:rPr>
                <w:rFonts w:ascii="Arial" w:hAnsi="Arial" w:cs="Arial"/>
                <w:sz w:val="18"/>
                <w:szCs w:val="18"/>
              </w:rPr>
              <w:t>43</w:t>
            </w:r>
            <w:r w:rsidRPr="001D5EDC">
              <w:rPr>
                <w:rFonts w:ascii="Arial" w:hAnsi="Arial" w:cs="Arial"/>
                <w:sz w:val="18"/>
                <w:szCs w:val="18"/>
              </w:rPr>
              <w:t>)</w:t>
            </w:r>
          </w:p>
        </w:tc>
        <w:tc>
          <w:tcPr>
            <w:tcW w:w="992" w:type="dxa"/>
            <w:tcBorders>
              <w:bottom w:val="single" w:sz="4" w:space="0" w:color="auto"/>
            </w:tcBorders>
            <w:shd w:val="clear" w:color="auto" w:fill="B9BDBF"/>
            <w:vAlign w:val="center"/>
          </w:tcPr>
          <w:p w14:paraId="102F9C63" w14:textId="745F9E68" w:rsidR="357627FA" w:rsidRPr="001D5EDC" w:rsidRDefault="357627FA" w:rsidP="001D5EDC">
            <w:pPr>
              <w:ind w:right="170"/>
              <w:jc w:val="right"/>
              <w:rPr>
                <w:rFonts w:ascii="Arial" w:hAnsi="Arial" w:cs="Arial"/>
                <w:sz w:val="18"/>
                <w:szCs w:val="18"/>
              </w:rPr>
            </w:pPr>
            <w:r w:rsidRPr="001D5EDC">
              <w:rPr>
                <w:rFonts w:ascii="Arial" w:hAnsi="Arial" w:cs="Arial"/>
                <w:sz w:val="18"/>
                <w:szCs w:val="18"/>
              </w:rPr>
              <w:t>(</w:t>
            </w:r>
            <w:r w:rsidR="1C0AB4C5" w:rsidRPr="001D5EDC">
              <w:rPr>
                <w:rFonts w:ascii="Arial" w:hAnsi="Arial" w:cs="Arial"/>
                <w:sz w:val="18"/>
                <w:szCs w:val="18"/>
              </w:rPr>
              <w:t>4</w:t>
            </w:r>
            <w:r w:rsidR="17373EF4" w:rsidRPr="001D5EDC">
              <w:rPr>
                <w:rFonts w:ascii="Arial" w:hAnsi="Arial" w:cs="Arial"/>
                <w:sz w:val="18"/>
                <w:szCs w:val="18"/>
              </w:rPr>
              <w:t>62</w:t>
            </w:r>
            <w:r w:rsidRPr="001D5EDC">
              <w:rPr>
                <w:rFonts w:ascii="Arial" w:hAnsi="Arial" w:cs="Arial"/>
                <w:sz w:val="18"/>
                <w:szCs w:val="18"/>
              </w:rPr>
              <w:t>)</w:t>
            </w:r>
          </w:p>
        </w:tc>
        <w:tc>
          <w:tcPr>
            <w:tcW w:w="1983" w:type="dxa"/>
            <w:vMerge/>
            <w:tcBorders>
              <w:bottom w:val="single" w:sz="4" w:space="0" w:color="auto"/>
            </w:tcBorders>
          </w:tcPr>
          <w:p w14:paraId="0AD50499" w14:textId="77777777" w:rsidR="008858FF" w:rsidRPr="001D5EDC" w:rsidRDefault="008858FF">
            <w:pPr>
              <w:rPr>
                <w:sz w:val="18"/>
                <w:szCs w:val="18"/>
              </w:rPr>
            </w:pPr>
          </w:p>
        </w:tc>
      </w:tr>
    </w:tbl>
    <w:p w14:paraId="3082C6FC" w14:textId="04A047AA" w:rsidR="7E0E8BD3" w:rsidRDefault="7E0E8BD3" w:rsidP="001D5EDC"/>
    <w:p w14:paraId="7FD467C0" w14:textId="7820D021" w:rsidR="00840942" w:rsidRDefault="00840942" w:rsidP="00D75D75">
      <w:pPr>
        <w:pStyle w:val="BodyText"/>
      </w:pPr>
      <w:r>
        <w:t>Health</w:t>
      </w:r>
      <w:r w:rsidR="00823A2C">
        <w:t xml:space="preserve"> and education services </w:t>
      </w:r>
      <w:r>
        <w:t>represent a</w:t>
      </w:r>
      <w:r w:rsidR="00823A2C">
        <w:t xml:space="preserve"> significant proportion of public sector </w:t>
      </w:r>
      <w:r w:rsidR="006948C9">
        <w:t>expenditure</w:t>
      </w:r>
      <w:r w:rsidR="00A14EEE">
        <w:t xml:space="preserve"> </w:t>
      </w:r>
      <w:r w:rsidR="007A2231">
        <w:t xml:space="preserve">in New South Wales. </w:t>
      </w:r>
      <w:r w:rsidR="009D126E">
        <w:t xml:space="preserve">Heightened </w:t>
      </w:r>
      <w:r w:rsidR="00823A2C">
        <w:t xml:space="preserve">demand for these services </w:t>
      </w:r>
      <w:r w:rsidR="005D3921">
        <w:t xml:space="preserve">can worsen the </w:t>
      </w:r>
      <w:r w:rsidR="00961A3D">
        <w:t>b</w:t>
      </w:r>
      <w:r w:rsidR="005D3921">
        <w:t>udget result.</w:t>
      </w:r>
      <w:r w:rsidR="699B6B9A">
        <w:t xml:space="preserve"> </w:t>
      </w:r>
      <w:r w:rsidR="43AAB77C">
        <w:t xml:space="preserve">COVID-19 </w:t>
      </w:r>
      <w:r w:rsidR="000D2BEA">
        <w:t>has led to an</w:t>
      </w:r>
      <w:r w:rsidR="3CE29378">
        <w:t xml:space="preserve"> </w:t>
      </w:r>
      <w:r w:rsidR="67083525">
        <w:t xml:space="preserve">increase in </w:t>
      </w:r>
      <w:r w:rsidR="009D126E">
        <w:t>G</w:t>
      </w:r>
      <w:r w:rsidR="34EEBB5A">
        <w:t xml:space="preserve">overnment </w:t>
      </w:r>
      <w:r w:rsidR="67083525">
        <w:t>expenditure related to</w:t>
      </w:r>
      <w:r w:rsidR="699B6B9A">
        <w:t xml:space="preserve"> </w:t>
      </w:r>
      <w:r w:rsidR="4746F380">
        <w:t xml:space="preserve">aged care, </w:t>
      </w:r>
      <w:r w:rsidR="3CDF1892">
        <w:t>mental health</w:t>
      </w:r>
      <w:r w:rsidR="4ED0833C">
        <w:t>, and personal protective equipment</w:t>
      </w:r>
      <w:r w:rsidR="0AB73F43">
        <w:t xml:space="preserve">. </w:t>
      </w:r>
      <w:r w:rsidR="009D126E">
        <w:t>A</w:t>
      </w:r>
      <w:r w:rsidR="2AC7877D">
        <w:t>ny</w:t>
      </w:r>
      <w:r w:rsidR="005D3921">
        <w:t xml:space="preserve"> decrease in </w:t>
      </w:r>
      <w:r w:rsidR="00747B79">
        <w:t>Commonwealth</w:t>
      </w:r>
      <w:r w:rsidR="005D3921">
        <w:t xml:space="preserve"> Government payments towards </w:t>
      </w:r>
      <w:r w:rsidR="5D340862">
        <w:t xml:space="preserve">health and education </w:t>
      </w:r>
      <w:r w:rsidR="005D3921">
        <w:t xml:space="preserve">services </w:t>
      </w:r>
      <w:r w:rsidR="009D126E">
        <w:t xml:space="preserve">would </w:t>
      </w:r>
      <w:r w:rsidR="00747B79">
        <w:t xml:space="preserve">worsen the </w:t>
      </w:r>
      <w:r w:rsidR="00595F39">
        <w:t>b</w:t>
      </w:r>
      <w:r w:rsidR="00747B79">
        <w:t xml:space="preserve">udget result </w:t>
      </w:r>
      <w:r w:rsidR="009D126E">
        <w:t xml:space="preserve">for the State </w:t>
      </w:r>
      <w:r w:rsidR="00747B79">
        <w:t>if the same level of service is maintained</w:t>
      </w:r>
      <w:r w:rsidR="4130EF3B">
        <w:t>.</w:t>
      </w:r>
      <w:r w:rsidR="50659C4E">
        <w:t xml:space="preserve"> </w:t>
      </w:r>
      <w:r w:rsidR="442CE2EA">
        <w:t xml:space="preserve">Any further </w:t>
      </w:r>
      <w:r w:rsidR="006D4986">
        <w:t xml:space="preserve">major </w:t>
      </w:r>
      <w:r w:rsidR="442CE2EA">
        <w:t xml:space="preserve">outbreaks of </w:t>
      </w:r>
      <w:r w:rsidR="00577370">
        <w:br/>
      </w:r>
      <w:r w:rsidR="442CE2EA">
        <w:t xml:space="preserve">COVID-19 would </w:t>
      </w:r>
      <w:r w:rsidR="006D4986">
        <w:t xml:space="preserve">likely </w:t>
      </w:r>
      <w:r w:rsidR="442CE2EA">
        <w:t>cause another short-term intensive public health response.</w:t>
      </w:r>
    </w:p>
    <w:p w14:paraId="07435401" w14:textId="461E9D36" w:rsidR="004E17D7" w:rsidRDefault="00295C59" w:rsidP="00D75D75">
      <w:pPr>
        <w:pStyle w:val="BodyText"/>
      </w:pPr>
      <w:r>
        <w:t>The 2019-20 Budget</w:t>
      </w:r>
      <w:r w:rsidDel="00295C59">
        <w:t xml:space="preserve"> </w:t>
      </w:r>
      <w:r w:rsidR="69CE3FFF">
        <w:t>announced</w:t>
      </w:r>
      <w:r>
        <w:t xml:space="preserve"> </w:t>
      </w:r>
      <w:r w:rsidR="00CB6F90">
        <w:t>several</w:t>
      </w:r>
      <w:r>
        <w:t xml:space="preserve"> </w:t>
      </w:r>
      <w:r w:rsidR="00387847">
        <w:t>savings initiatives</w:t>
      </w:r>
      <w:r w:rsidR="00CB6F90">
        <w:t xml:space="preserve"> </w:t>
      </w:r>
      <w:r w:rsidR="00387847">
        <w:t>as well a</w:t>
      </w:r>
      <w:r w:rsidR="008142E1">
        <w:t>s</w:t>
      </w:r>
      <w:r w:rsidR="00387847">
        <w:t xml:space="preserve"> </w:t>
      </w:r>
      <w:r w:rsidR="007A7C1C">
        <w:t xml:space="preserve">policy </w:t>
      </w:r>
      <w:r w:rsidR="00CB6F90">
        <w:t>measures</w:t>
      </w:r>
      <w:r w:rsidR="007A7C1C">
        <w:t xml:space="preserve"> and election commitments being funded from within existing agency budget</w:t>
      </w:r>
      <w:r w:rsidR="00BB0675">
        <w:t>s</w:t>
      </w:r>
      <w:r w:rsidR="007A7C1C">
        <w:t>.</w:t>
      </w:r>
      <w:r w:rsidR="00D42C2A">
        <w:t xml:space="preserve"> Changes to factors </w:t>
      </w:r>
      <w:r w:rsidR="008142E1">
        <w:t>–</w:t>
      </w:r>
      <w:r w:rsidR="001C4B85">
        <w:t xml:space="preserve"> </w:t>
      </w:r>
      <w:r w:rsidR="00D42C2A">
        <w:t>such as demand</w:t>
      </w:r>
      <w:r w:rsidR="00116683">
        <w:t xml:space="preserve"> </w:t>
      </w:r>
      <w:r w:rsidR="00D97AA1">
        <w:t>growth</w:t>
      </w:r>
      <w:r w:rsidR="00DE41B5">
        <w:t xml:space="preserve"> or</w:t>
      </w:r>
      <w:r w:rsidR="00D97AA1">
        <w:t xml:space="preserve"> inflation</w:t>
      </w:r>
      <w:r w:rsidR="00E04430">
        <w:t xml:space="preserve"> </w:t>
      </w:r>
      <w:r w:rsidR="008142E1">
        <w:t xml:space="preserve">– </w:t>
      </w:r>
      <w:r w:rsidR="00D97AA1">
        <w:t>c</w:t>
      </w:r>
      <w:r w:rsidR="008142E1">
        <w:t>ould</w:t>
      </w:r>
      <w:r w:rsidR="00E04430">
        <w:t xml:space="preserve"> impact agency budgets and</w:t>
      </w:r>
      <w:r w:rsidR="009950BB">
        <w:t xml:space="preserve"> risk the ability of agencies to meet these commitments from within existing budget allocations</w:t>
      </w:r>
      <w:r w:rsidR="008142E1">
        <w:t>.</w:t>
      </w:r>
      <w:r w:rsidR="00921400">
        <w:t xml:space="preserve"> </w:t>
      </w:r>
    </w:p>
    <w:p w14:paraId="3C0B11CC" w14:textId="477FA755" w:rsidR="00DF4B61" w:rsidRDefault="009968E2" w:rsidP="00D75D75">
      <w:pPr>
        <w:pStyle w:val="BodyText"/>
      </w:pPr>
      <w:r>
        <w:t>Other expenditure</w:t>
      </w:r>
      <w:r w:rsidR="00D076C2">
        <w:t xml:space="preserve"> challenges </w:t>
      </w:r>
      <w:r w:rsidR="00B07EC4">
        <w:t>that</w:t>
      </w:r>
      <w:r>
        <w:t xml:space="preserve"> </w:t>
      </w:r>
      <w:r w:rsidR="00D076C2">
        <w:t xml:space="preserve">could impact the </w:t>
      </w:r>
      <w:r w:rsidR="00985151">
        <w:t>b</w:t>
      </w:r>
      <w:r w:rsidR="00D076C2">
        <w:t>udget result</w:t>
      </w:r>
      <w:r>
        <w:t xml:space="preserve"> include</w:t>
      </w:r>
      <w:r w:rsidR="00D076C2">
        <w:t>:</w:t>
      </w:r>
    </w:p>
    <w:p w14:paraId="599AC6E3" w14:textId="43817214" w:rsidR="00D076C2" w:rsidRDefault="00BD4293" w:rsidP="00D75D75">
      <w:pPr>
        <w:pStyle w:val="Bullet1"/>
      </w:pPr>
      <w:r>
        <w:t>higher maintenance</w:t>
      </w:r>
      <w:r w:rsidR="00093323">
        <w:t xml:space="preserve">, </w:t>
      </w:r>
      <w:r>
        <w:t>depreciation and operating costs associated with the Government</w:t>
      </w:r>
      <w:r w:rsidR="008142E1">
        <w:t>’</w:t>
      </w:r>
      <w:r>
        <w:t xml:space="preserve">s </w:t>
      </w:r>
      <w:r w:rsidR="008142E1">
        <w:t xml:space="preserve">record </w:t>
      </w:r>
      <w:r>
        <w:t>infrastructure program</w:t>
      </w:r>
    </w:p>
    <w:p w14:paraId="0A89207F" w14:textId="518D7ADC" w:rsidR="004C44D8" w:rsidRDefault="470A4238" w:rsidP="00D75D75">
      <w:pPr>
        <w:pStyle w:val="Bullet1"/>
      </w:pPr>
      <w:r>
        <w:t>if current</w:t>
      </w:r>
      <w:r w:rsidR="004C44D8">
        <w:t xml:space="preserve"> time-limited programs</w:t>
      </w:r>
      <w:r>
        <w:t xml:space="preserve"> were extended</w:t>
      </w:r>
    </w:p>
    <w:p w14:paraId="20EBB859" w14:textId="1B333E56" w:rsidR="00AB20D4" w:rsidRDefault="00AB20D4" w:rsidP="00D75D75">
      <w:pPr>
        <w:pStyle w:val="Bullet1"/>
      </w:pPr>
      <w:r>
        <w:t>unfor</w:t>
      </w:r>
      <w:r w:rsidR="00423C1E">
        <w:t>e</w:t>
      </w:r>
      <w:r>
        <w:t>seen legal expenses or costs associated with litigation</w:t>
      </w:r>
    </w:p>
    <w:p w14:paraId="7A8AAC5B" w14:textId="2E038A4E" w:rsidR="002763CA" w:rsidRDefault="002763CA" w:rsidP="00D75D75">
      <w:pPr>
        <w:pStyle w:val="Bullet1"/>
      </w:pPr>
      <w:r>
        <w:t xml:space="preserve">changes to </w:t>
      </w:r>
      <w:r w:rsidR="00996BEB">
        <w:t>parameters</w:t>
      </w:r>
      <w:r>
        <w:t xml:space="preserve"> that </w:t>
      </w:r>
      <w:r w:rsidR="00326D98">
        <w:t>impact the liabilities and associated expenditure for superannuation, long service leave, other employee provisions and insurance provisions</w:t>
      </w:r>
      <w:r w:rsidR="00667998">
        <w:t xml:space="preserve"> (see below for further balance sheet risks and sensitivities)</w:t>
      </w:r>
      <w:r w:rsidR="008142E1">
        <w:t>.</w:t>
      </w:r>
    </w:p>
    <w:p w14:paraId="3EE6FBE1" w14:textId="65EBFF6A" w:rsidR="00D731E1" w:rsidRPr="007202BF" w:rsidRDefault="00C968E9" w:rsidP="00242234">
      <w:pPr>
        <w:pStyle w:val="Heading3"/>
        <w:numPr>
          <w:ilvl w:val="0"/>
          <w:numId w:val="0"/>
        </w:numPr>
        <w:rPr>
          <w:rFonts w:asciiTheme="minorHAnsi" w:eastAsiaTheme="minorEastAsia" w:hAnsiTheme="minorHAnsi" w:cstheme="minorBidi"/>
          <w:color w:val="000000" w:themeColor="text1"/>
        </w:rPr>
      </w:pPr>
      <w:r>
        <w:t xml:space="preserve">Investment </w:t>
      </w:r>
      <w:r w:rsidR="00E94F48">
        <w:t xml:space="preserve">revenue </w:t>
      </w:r>
      <w:r>
        <w:t xml:space="preserve">and borrowing costs </w:t>
      </w:r>
    </w:p>
    <w:p w14:paraId="136A8914" w14:textId="68CB342F" w:rsidR="00D731E1" w:rsidRPr="00E66693" w:rsidRDefault="7944A387" w:rsidP="00D75D75">
      <w:pPr>
        <w:pStyle w:val="BodyText"/>
        <w:rPr>
          <w:lang w:eastAsia="en-AU"/>
        </w:rPr>
      </w:pPr>
      <w:r w:rsidRPr="08468557">
        <w:rPr>
          <w:lang w:eastAsia="en-AU"/>
        </w:rPr>
        <w:t>COVID-</w:t>
      </w:r>
      <w:r w:rsidRPr="6BEF74B0">
        <w:rPr>
          <w:lang w:eastAsia="en-AU"/>
        </w:rPr>
        <w:t>1</w:t>
      </w:r>
      <w:r w:rsidR="00F07C06" w:rsidRPr="6BEF74B0">
        <w:rPr>
          <w:lang w:eastAsia="en-AU"/>
        </w:rPr>
        <w:t>9</w:t>
      </w:r>
      <w:r w:rsidRPr="08468557">
        <w:rPr>
          <w:lang w:eastAsia="en-AU"/>
        </w:rPr>
        <w:t xml:space="preserve"> has caused significant volatility in global financial markets. The S&amp;P500 </w:t>
      </w:r>
      <w:r w:rsidR="00DF4EB3">
        <w:rPr>
          <w:lang w:eastAsia="en-AU"/>
        </w:rPr>
        <w:t>fell</w:t>
      </w:r>
      <w:r w:rsidRPr="08468557">
        <w:rPr>
          <w:lang w:eastAsia="en-AU"/>
        </w:rPr>
        <w:t xml:space="preserve"> by 35</w:t>
      </w:r>
      <w:r w:rsidR="008D5B86" w:rsidRPr="08DBA0F0">
        <w:rPr>
          <w:lang w:eastAsia="en-AU"/>
        </w:rPr>
        <w:t> </w:t>
      </w:r>
      <w:r w:rsidRPr="08468557">
        <w:rPr>
          <w:lang w:eastAsia="en-AU"/>
        </w:rPr>
        <w:t xml:space="preserve">per cent and the ASX200 </w:t>
      </w:r>
      <w:r w:rsidR="00DF4EB3" w:rsidRPr="08468557">
        <w:rPr>
          <w:lang w:eastAsia="en-AU"/>
        </w:rPr>
        <w:t>d</w:t>
      </w:r>
      <w:r w:rsidR="00DF4EB3">
        <w:rPr>
          <w:lang w:eastAsia="en-AU"/>
        </w:rPr>
        <w:t>eclin</w:t>
      </w:r>
      <w:r w:rsidR="00DF4EB3" w:rsidRPr="08468557">
        <w:rPr>
          <w:lang w:eastAsia="en-AU"/>
        </w:rPr>
        <w:t>ed</w:t>
      </w:r>
      <w:r w:rsidRPr="08468557">
        <w:rPr>
          <w:lang w:eastAsia="en-AU"/>
        </w:rPr>
        <w:t xml:space="preserve"> by </w:t>
      </w:r>
      <w:r w:rsidR="001A5C2C" w:rsidRPr="08DBA0F0">
        <w:rPr>
          <w:lang w:eastAsia="en-AU"/>
        </w:rPr>
        <w:t>44</w:t>
      </w:r>
      <w:r w:rsidRPr="08468557">
        <w:rPr>
          <w:lang w:eastAsia="en-AU"/>
        </w:rPr>
        <w:t xml:space="preserve"> per cent during the first wave of restrictions </w:t>
      </w:r>
      <w:r w:rsidR="00A0094A" w:rsidRPr="6BEF74B0">
        <w:rPr>
          <w:lang w:eastAsia="en-AU"/>
        </w:rPr>
        <w:t>(</w:t>
      </w:r>
      <w:r w:rsidRPr="08468557">
        <w:rPr>
          <w:lang w:eastAsia="en-AU"/>
        </w:rPr>
        <w:t>February and March</w:t>
      </w:r>
      <w:r w:rsidR="008A3D97">
        <w:rPr>
          <w:lang w:eastAsia="en-AU"/>
        </w:rPr>
        <w:t xml:space="preserve"> 2020</w:t>
      </w:r>
      <w:r w:rsidR="00A0094A" w:rsidRPr="6BEF74B0">
        <w:rPr>
          <w:lang w:eastAsia="en-AU"/>
        </w:rPr>
        <w:t>)</w:t>
      </w:r>
      <w:r w:rsidRPr="6BEF74B0">
        <w:rPr>
          <w:lang w:eastAsia="en-AU"/>
        </w:rPr>
        <w:t>.</w:t>
      </w:r>
      <w:r w:rsidR="6194F396" w:rsidRPr="08468557">
        <w:rPr>
          <w:lang w:eastAsia="en-AU"/>
        </w:rPr>
        <w:t xml:space="preserve"> Unprecedented </w:t>
      </w:r>
      <w:r w:rsidR="728968FB" w:rsidRPr="08468557">
        <w:rPr>
          <w:lang w:eastAsia="en-AU"/>
        </w:rPr>
        <w:t xml:space="preserve">monetary and fiscal policy measures </w:t>
      </w:r>
      <w:r w:rsidR="005F7D43" w:rsidRPr="6BEF74B0">
        <w:rPr>
          <w:lang w:eastAsia="en-AU"/>
        </w:rPr>
        <w:t>have</w:t>
      </w:r>
      <w:r w:rsidR="005F7D43">
        <w:rPr>
          <w:lang w:eastAsia="en-AU"/>
        </w:rPr>
        <w:t xml:space="preserve"> been</w:t>
      </w:r>
      <w:r w:rsidR="728968FB" w:rsidRPr="08468557">
        <w:rPr>
          <w:lang w:eastAsia="en-AU"/>
        </w:rPr>
        <w:t xml:space="preserve"> implemented to support businesses and individuals.</w:t>
      </w:r>
    </w:p>
    <w:p w14:paraId="0D6533E1" w14:textId="77777777" w:rsidR="002D053E" w:rsidRDefault="002D053E">
      <w:pPr>
        <w:spacing w:after="200" w:line="276" w:lineRule="auto"/>
        <w:rPr>
          <w:rFonts w:ascii="Arial" w:eastAsiaTheme="minorHAnsi" w:hAnsi="Arial" w:cs="Arial"/>
          <w:sz w:val="23"/>
          <w:szCs w:val="24"/>
          <w:lang w:val="en-AU" w:eastAsia="en-AU"/>
        </w:rPr>
      </w:pPr>
      <w:r>
        <w:rPr>
          <w:lang w:eastAsia="en-AU"/>
        </w:rPr>
        <w:br w:type="page"/>
      </w:r>
    </w:p>
    <w:p w14:paraId="30D8CB58" w14:textId="722EEDC9" w:rsidR="00D731E1" w:rsidRPr="00097CF9" w:rsidRDefault="00D731E1" w:rsidP="00D75D75">
      <w:pPr>
        <w:pStyle w:val="BodyText"/>
      </w:pPr>
      <w:r w:rsidRPr="08468557">
        <w:rPr>
          <w:lang w:eastAsia="en-AU"/>
        </w:rPr>
        <w:t xml:space="preserve">The </w:t>
      </w:r>
      <w:r w:rsidR="002E4E38" w:rsidRPr="08468557">
        <w:rPr>
          <w:lang w:eastAsia="en-AU"/>
        </w:rPr>
        <w:t>B</w:t>
      </w:r>
      <w:r w:rsidRPr="08468557">
        <w:rPr>
          <w:lang w:eastAsia="en-AU"/>
        </w:rPr>
        <w:t xml:space="preserve">udget is susceptible to the performance of global financial markets and changes in interest rates. </w:t>
      </w:r>
      <w:r w:rsidR="4C8C1B03" w:rsidRPr="08468557">
        <w:rPr>
          <w:lang w:eastAsia="en-AU"/>
        </w:rPr>
        <w:t xml:space="preserve">Lower interest rates may result in lower costs for new borrowings, while at the same time providing lower interest revenue. </w:t>
      </w:r>
      <w:r w:rsidR="6A1B168C" w:rsidRPr="16BB2E35">
        <w:rPr>
          <w:lang w:eastAsia="en-AU"/>
        </w:rPr>
        <w:t>The Government’s e</w:t>
      </w:r>
      <w:r w:rsidR="2399DDCC" w:rsidRPr="16BB2E35">
        <w:rPr>
          <w:lang w:eastAsia="en-AU"/>
        </w:rPr>
        <w:t>xposure</w:t>
      </w:r>
      <w:r w:rsidR="3A417ECC" w:rsidRPr="08468557">
        <w:rPr>
          <w:lang w:eastAsia="en-AU"/>
        </w:rPr>
        <w:t xml:space="preserve"> to risk assets means </w:t>
      </w:r>
      <w:r w:rsidR="70AEBBBC" w:rsidRPr="16BB2E35">
        <w:rPr>
          <w:lang w:eastAsia="en-AU"/>
        </w:rPr>
        <w:t xml:space="preserve">its </w:t>
      </w:r>
      <w:r w:rsidR="3A417ECC" w:rsidRPr="08468557">
        <w:rPr>
          <w:lang w:eastAsia="en-AU"/>
        </w:rPr>
        <w:t>investment returns</w:t>
      </w:r>
      <w:r w:rsidR="02511F4A" w:rsidRPr="08468557">
        <w:rPr>
          <w:lang w:eastAsia="en-AU"/>
        </w:rPr>
        <w:t xml:space="preserve"> are </w:t>
      </w:r>
      <w:r w:rsidR="6CDA312B" w:rsidRPr="08DBA0F0">
        <w:rPr>
          <w:lang w:eastAsia="en-AU"/>
        </w:rPr>
        <w:t>sensitive</w:t>
      </w:r>
      <w:r w:rsidR="02511F4A" w:rsidRPr="08468557">
        <w:rPr>
          <w:lang w:eastAsia="en-AU"/>
        </w:rPr>
        <w:t xml:space="preserve"> to </w:t>
      </w:r>
      <w:r w:rsidR="50C399B1" w:rsidRPr="16BB2E35">
        <w:rPr>
          <w:lang w:eastAsia="en-AU"/>
        </w:rPr>
        <w:t>var</w:t>
      </w:r>
      <w:r w:rsidR="05A56DCF" w:rsidRPr="16BB2E35">
        <w:rPr>
          <w:lang w:eastAsia="en-AU"/>
        </w:rPr>
        <w:t>iation</w:t>
      </w:r>
      <w:r w:rsidR="50C399B1" w:rsidRPr="16BB2E35">
        <w:rPr>
          <w:lang w:eastAsia="en-AU"/>
        </w:rPr>
        <w:t xml:space="preserve"> </w:t>
      </w:r>
      <w:r w:rsidR="4E9D026D" w:rsidRPr="16BB2E35">
        <w:rPr>
          <w:lang w:eastAsia="en-AU"/>
        </w:rPr>
        <w:t>from forecasts,</w:t>
      </w:r>
      <w:r w:rsidR="02511F4A" w:rsidRPr="08468557">
        <w:rPr>
          <w:lang w:eastAsia="en-AU"/>
        </w:rPr>
        <w:t xml:space="preserve"> </w:t>
      </w:r>
      <w:r w:rsidR="003723E4">
        <w:rPr>
          <w:lang w:eastAsia="en-AU"/>
        </w:rPr>
        <w:t xml:space="preserve">due </w:t>
      </w:r>
      <w:r w:rsidR="003723E4" w:rsidRPr="6BEF74B0">
        <w:rPr>
          <w:lang w:eastAsia="en-AU"/>
        </w:rPr>
        <w:t>to</w:t>
      </w:r>
      <w:r w:rsidR="02511F4A" w:rsidRPr="08468557">
        <w:rPr>
          <w:lang w:eastAsia="en-AU"/>
        </w:rPr>
        <w:t xml:space="preserve"> the uncertainty in the </w:t>
      </w:r>
      <w:r w:rsidR="50F1770D" w:rsidRPr="08468557">
        <w:rPr>
          <w:lang w:eastAsia="en-AU"/>
        </w:rPr>
        <w:t xml:space="preserve">economic </w:t>
      </w:r>
      <w:r w:rsidR="02511F4A" w:rsidRPr="08468557">
        <w:rPr>
          <w:lang w:eastAsia="en-AU"/>
        </w:rPr>
        <w:t>outlook.</w:t>
      </w:r>
      <w:r w:rsidR="3A417ECC" w:rsidRPr="08468557">
        <w:rPr>
          <w:lang w:eastAsia="en-AU"/>
        </w:rPr>
        <w:t xml:space="preserve"> </w:t>
      </w:r>
      <w:r w:rsidR="05A56DCF" w:rsidRPr="16BB2E35">
        <w:rPr>
          <w:lang w:eastAsia="en-AU"/>
        </w:rPr>
        <w:t>I</w:t>
      </w:r>
      <w:r w:rsidR="5700F675" w:rsidRPr="16BB2E35">
        <w:rPr>
          <w:lang w:eastAsia="en-AU"/>
        </w:rPr>
        <w:t xml:space="preserve">nvestment </w:t>
      </w:r>
      <w:r w:rsidRPr="08468557">
        <w:rPr>
          <w:lang w:eastAsia="en-AU"/>
        </w:rPr>
        <w:t xml:space="preserve">returns </w:t>
      </w:r>
      <w:r w:rsidR="05A56DCF" w:rsidRPr="16BB2E35">
        <w:rPr>
          <w:lang w:eastAsia="en-AU"/>
        </w:rPr>
        <w:t xml:space="preserve">may </w:t>
      </w:r>
      <w:r w:rsidR="3F32183A" w:rsidRPr="16BB2E35">
        <w:rPr>
          <w:lang w:eastAsia="en-AU"/>
        </w:rPr>
        <w:t xml:space="preserve">be </w:t>
      </w:r>
      <w:r w:rsidRPr="08468557">
        <w:rPr>
          <w:lang w:eastAsia="en-AU"/>
        </w:rPr>
        <w:t>above</w:t>
      </w:r>
      <w:r w:rsidR="008142E1" w:rsidRPr="08468557">
        <w:rPr>
          <w:lang w:eastAsia="en-AU"/>
        </w:rPr>
        <w:t xml:space="preserve"> or </w:t>
      </w:r>
      <w:r w:rsidRPr="08468557">
        <w:rPr>
          <w:lang w:eastAsia="en-AU"/>
        </w:rPr>
        <w:t xml:space="preserve">below </w:t>
      </w:r>
      <w:proofErr w:type="gramStart"/>
      <w:r w:rsidRPr="08468557">
        <w:rPr>
          <w:lang w:eastAsia="en-AU"/>
        </w:rPr>
        <w:t>estimate</w:t>
      </w:r>
      <w:r w:rsidR="008142E1" w:rsidRPr="08468557">
        <w:rPr>
          <w:lang w:eastAsia="en-AU"/>
        </w:rPr>
        <w:t>s</w:t>
      </w:r>
      <w:proofErr w:type="gramEnd"/>
      <w:r w:rsidR="008142E1" w:rsidRPr="08468557">
        <w:rPr>
          <w:lang w:eastAsia="en-AU"/>
        </w:rPr>
        <w:t>,</w:t>
      </w:r>
      <w:r w:rsidRPr="08468557">
        <w:rPr>
          <w:lang w:eastAsia="en-AU"/>
        </w:rPr>
        <w:t xml:space="preserve"> which </w:t>
      </w:r>
      <w:r w:rsidR="3F32183A" w:rsidRPr="16BB2E35">
        <w:rPr>
          <w:lang w:eastAsia="en-AU"/>
        </w:rPr>
        <w:t>would</w:t>
      </w:r>
      <w:r w:rsidR="008142E1" w:rsidRPr="08468557">
        <w:rPr>
          <w:lang w:eastAsia="en-AU"/>
        </w:rPr>
        <w:t xml:space="preserve"> </w:t>
      </w:r>
      <w:r w:rsidRPr="08468557">
        <w:rPr>
          <w:lang w:eastAsia="en-AU"/>
        </w:rPr>
        <w:t>impact revenue.</w:t>
      </w:r>
      <w:r w:rsidR="0087656E" w:rsidRPr="08468557">
        <w:rPr>
          <w:lang w:eastAsia="en-AU"/>
        </w:rPr>
        <w:t xml:space="preserve"> </w:t>
      </w:r>
      <w:r w:rsidR="004361D2" w:rsidRPr="08468557">
        <w:rPr>
          <w:lang w:eastAsia="en-AU"/>
        </w:rPr>
        <w:t xml:space="preserve">Adopting the </w:t>
      </w:r>
      <w:r w:rsidR="000C2EC6">
        <w:t xml:space="preserve">Attribution Managed Investment Trust </w:t>
      </w:r>
      <w:r w:rsidR="3481ED7F">
        <w:t>(</w:t>
      </w:r>
      <w:r w:rsidR="000C2EC6">
        <w:t>AMIT</w:t>
      </w:r>
      <w:r w:rsidR="15F84BEA">
        <w:t>)</w:t>
      </w:r>
      <w:r w:rsidR="000C2EC6">
        <w:t xml:space="preserve"> regime </w:t>
      </w:r>
      <w:r w:rsidR="00F6620C">
        <w:t xml:space="preserve">for </w:t>
      </w:r>
      <w:proofErr w:type="gramStart"/>
      <w:r w:rsidR="000C2EC6">
        <w:t xml:space="preserve">the </w:t>
      </w:r>
      <w:r w:rsidR="751EBD5E">
        <w:t>majority of</w:t>
      </w:r>
      <w:proofErr w:type="gramEnd"/>
      <w:r w:rsidR="751EBD5E">
        <w:t xml:space="preserve"> </w:t>
      </w:r>
      <w:r w:rsidR="0093072B">
        <w:t>G</w:t>
      </w:r>
      <w:r w:rsidR="751EBD5E">
        <w:t>overnment investment funds can reduce investment revenue volatility by smoothing fund distributions over time.</w:t>
      </w:r>
    </w:p>
    <w:p w14:paraId="0BF6F0C4" w14:textId="42B25227" w:rsidR="0098172A" w:rsidRPr="00A149CA" w:rsidRDefault="1F020E7F" w:rsidP="00D75D75">
      <w:pPr>
        <w:pStyle w:val="BodyText"/>
      </w:pPr>
      <w:r>
        <w:t xml:space="preserve">The large size of the State’s investments means that a one percentage movement in </w:t>
      </w:r>
      <w:r w:rsidR="00394275">
        <w:t xml:space="preserve">assumed </w:t>
      </w:r>
      <w:r>
        <w:t xml:space="preserve">investment </w:t>
      </w:r>
      <w:r w:rsidR="00394275">
        <w:t>return rates</w:t>
      </w:r>
      <w:r>
        <w:t xml:space="preserve"> has a large impact on the Government’s Budget result. In comparison, a one perce</w:t>
      </w:r>
      <w:r w:rsidR="200BB0E3">
        <w:t xml:space="preserve">ntage movement in interest rates would </w:t>
      </w:r>
      <w:r w:rsidR="00C10771">
        <w:t>change</w:t>
      </w:r>
      <w:r w:rsidR="200BB0E3">
        <w:t xml:space="preserve"> interest expenses on borrowings, </w:t>
      </w:r>
      <w:r w:rsidR="00964B96">
        <w:t xml:space="preserve">while also </w:t>
      </w:r>
      <w:r w:rsidR="00A82D71">
        <w:t>impacting</w:t>
      </w:r>
      <w:r w:rsidR="200BB0E3">
        <w:t xml:space="preserve"> interest revenue </w:t>
      </w:r>
      <w:r w:rsidR="00302367">
        <w:t>on any cash invested</w:t>
      </w:r>
      <w:r w:rsidR="00A02F27">
        <w:t xml:space="preserve"> in the same way</w:t>
      </w:r>
      <w:r w:rsidR="0010132E">
        <w:t>, and so providing some offset</w:t>
      </w:r>
      <w:r w:rsidR="200BB0E3">
        <w:t xml:space="preserve">. </w:t>
      </w:r>
    </w:p>
    <w:p w14:paraId="7F4A6DFB" w14:textId="1ECC576D" w:rsidR="00A2078B" w:rsidRPr="00E66693" w:rsidRDefault="00A2078B" w:rsidP="001D5EDC">
      <w:pPr>
        <w:pStyle w:val="Table4X"/>
        <w:rPr>
          <w:rFonts w:eastAsia="Calibri"/>
          <w:color w:val="57514D"/>
          <w:lang w:val="en-AU" w:eastAsia="en-AU"/>
        </w:rPr>
      </w:pPr>
      <w:r w:rsidRPr="008A3C87">
        <w:t>Financial markets and interest rates sensitivities</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B.7: Financial markets and interest rates sensitivities"/>
        <w:tblDescription w:val="Table B.7: Financial markets and interest rates sensitivities"/>
      </w:tblPr>
      <w:tblGrid>
        <w:gridCol w:w="3683"/>
        <w:gridCol w:w="996"/>
        <w:gridCol w:w="992"/>
        <w:gridCol w:w="993"/>
        <w:gridCol w:w="992"/>
        <w:gridCol w:w="1983"/>
      </w:tblGrid>
      <w:tr w:rsidR="74230067" w:rsidRPr="001D5EDC" w14:paraId="7595B2D0" w14:textId="77777777" w:rsidTr="001D5EDC">
        <w:trPr>
          <w:trHeight w:val="283"/>
        </w:trPr>
        <w:tc>
          <w:tcPr>
            <w:tcW w:w="3683" w:type="dxa"/>
            <w:vMerge w:val="restart"/>
            <w:shd w:val="clear" w:color="auto" w:fill="008EBA"/>
            <w:vAlign w:val="center"/>
          </w:tcPr>
          <w:p w14:paraId="16347A78" w14:textId="144FADF0" w:rsidR="68740EB8" w:rsidRPr="001D5EDC" w:rsidRDefault="68740EB8" w:rsidP="000B6189">
            <w:pPr>
              <w:rPr>
                <w:sz w:val="18"/>
                <w:szCs w:val="18"/>
              </w:rPr>
            </w:pPr>
            <w:r w:rsidRPr="001D5EDC">
              <w:rPr>
                <w:rStyle w:val="eop"/>
                <w:rFonts w:ascii="Arial" w:hAnsi="Arial" w:cs="Arial"/>
                <w:color w:val="FFFFFF" w:themeColor="background1"/>
                <w:sz w:val="18"/>
                <w:szCs w:val="18"/>
                <w:lang w:eastAsia="en-AU"/>
              </w:rPr>
              <w:t>Financial markets and interest rate sensitivities</w:t>
            </w:r>
          </w:p>
        </w:tc>
        <w:tc>
          <w:tcPr>
            <w:tcW w:w="996" w:type="dxa"/>
            <w:shd w:val="clear" w:color="auto" w:fill="008EBA"/>
            <w:vAlign w:val="bottom"/>
          </w:tcPr>
          <w:p w14:paraId="3B3E569C" w14:textId="79F8908F" w:rsidR="74230067" w:rsidRPr="001D5EDC" w:rsidRDefault="74230067" w:rsidP="74230067">
            <w:pPr>
              <w:jc w:val="center"/>
              <w:rPr>
                <w:rStyle w:val="eop"/>
                <w:rFonts w:ascii="Arial" w:hAnsi="Arial" w:cs="Arial"/>
                <w:color w:val="FFFFFF" w:themeColor="background1"/>
                <w:sz w:val="18"/>
                <w:szCs w:val="18"/>
                <w:lang w:eastAsia="en-AU"/>
              </w:rPr>
            </w:pPr>
            <w:r w:rsidRPr="001D5EDC">
              <w:rPr>
                <w:rStyle w:val="eop"/>
                <w:rFonts w:ascii="Arial" w:hAnsi="Arial" w:cs="Arial"/>
                <w:color w:val="FFFFFF" w:themeColor="background1"/>
                <w:sz w:val="18"/>
                <w:szCs w:val="18"/>
                <w:lang w:eastAsia="en-AU"/>
              </w:rPr>
              <w:t>2020-21</w:t>
            </w:r>
          </w:p>
        </w:tc>
        <w:tc>
          <w:tcPr>
            <w:tcW w:w="992" w:type="dxa"/>
            <w:shd w:val="clear" w:color="auto" w:fill="008EBA"/>
            <w:vAlign w:val="bottom"/>
          </w:tcPr>
          <w:p w14:paraId="7A02D9F2" w14:textId="77777777" w:rsidR="74230067" w:rsidRPr="001D5EDC" w:rsidRDefault="74230067" w:rsidP="74230067">
            <w:pPr>
              <w:jc w:val="center"/>
              <w:rPr>
                <w:rStyle w:val="eop"/>
                <w:rFonts w:ascii="Arial" w:hAnsi="Arial" w:cs="Arial"/>
                <w:color w:val="FFFFFF" w:themeColor="background1"/>
                <w:sz w:val="18"/>
                <w:szCs w:val="18"/>
                <w:lang w:eastAsia="en-AU"/>
              </w:rPr>
            </w:pPr>
            <w:r w:rsidRPr="001D5EDC">
              <w:rPr>
                <w:rStyle w:val="eop"/>
                <w:rFonts w:ascii="Arial" w:hAnsi="Arial" w:cs="Arial"/>
                <w:color w:val="FFFFFF" w:themeColor="background1"/>
                <w:sz w:val="18"/>
                <w:szCs w:val="18"/>
                <w:lang w:eastAsia="en-AU"/>
              </w:rPr>
              <w:t>2021-22</w:t>
            </w:r>
          </w:p>
        </w:tc>
        <w:tc>
          <w:tcPr>
            <w:tcW w:w="993" w:type="dxa"/>
            <w:shd w:val="clear" w:color="auto" w:fill="008EBA"/>
            <w:vAlign w:val="bottom"/>
          </w:tcPr>
          <w:p w14:paraId="23EAFD35" w14:textId="77777777" w:rsidR="74230067" w:rsidRPr="001D5EDC" w:rsidRDefault="74230067" w:rsidP="74230067">
            <w:pPr>
              <w:jc w:val="center"/>
              <w:rPr>
                <w:rStyle w:val="eop"/>
                <w:rFonts w:ascii="Arial" w:hAnsi="Arial" w:cs="Arial"/>
                <w:color w:val="FFFFFF" w:themeColor="background1"/>
                <w:sz w:val="18"/>
                <w:szCs w:val="18"/>
                <w:lang w:eastAsia="en-AU"/>
              </w:rPr>
            </w:pPr>
            <w:r w:rsidRPr="001D5EDC">
              <w:rPr>
                <w:rStyle w:val="eop"/>
                <w:rFonts w:ascii="Arial" w:hAnsi="Arial" w:cs="Arial"/>
                <w:color w:val="FFFFFF" w:themeColor="background1"/>
                <w:sz w:val="18"/>
                <w:szCs w:val="18"/>
                <w:lang w:eastAsia="en-AU"/>
              </w:rPr>
              <w:t>2022-23</w:t>
            </w:r>
          </w:p>
        </w:tc>
        <w:tc>
          <w:tcPr>
            <w:tcW w:w="992" w:type="dxa"/>
            <w:shd w:val="clear" w:color="auto" w:fill="008EBA"/>
            <w:vAlign w:val="bottom"/>
          </w:tcPr>
          <w:p w14:paraId="1B06F696" w14:textId="77777777" w:rsidR="74230067" w:rsidRPr="001D5EDC" w:rsidRDefault="74230067" w:rsidP="74230067">
            <w:pPr>
              <w:jc w:val="center"/>
              <w:rPr>
                <w:rStyle w:val="eop"/>
                <w:rFonts w:ascii="Arial" w:hAnsi="Arial" w:cs="Arial"/>
                <w:color w:val="FFFFFF" w:themeColor="background1"/>
                <w:sz w:val="18"/>
                <w:szCs w:val="18"/>
                <w:lang w:eastAsia="en-AU"/>
              </w:rPr>
            </w:pPr>
            <w:r w:rsidRPr="001D5EDC">
              <w:rPr>
                <w:rStyle w:val="eop"/>
                <w:rFonts w:ascii="Arial" w:hAnsi="Arial" w:cs="Arial"/>
                <w:color w:val="FFFFFF" w:themeColor="background1"/>
                <w:sz w:val="18"/>
                <w:szCs w:val="18"/>
                <w:lang w:eastAsia="en-AU"/>
              </w:rPr>
              <w:t>2023-24</w:t>
            </w:r>
          </w:p>
        </w:tc>
        <w:tc>
          <w:tcPr>
            <w:tcW w:w="1983" w:type="dxa"/>
            <w:vMerge w:val="restart"/>
            <w:shd w:val="clear" w:color="auto" w:fill="4B5051"/>
            <w:vAlign w:val="center"/>
          </w:tcPr>
          <w:p w14:paraId="522A51B8" w14:textId="54DF9431" w:rsidR="74230067" w:rsidRPr="001D5EDC" w:rsidRDefault="74230067" w:rsidP="74230067">
            <w:pPr>
              <w:jc w:val="center"/>
              <w:rPr>
                <w:rStyle w:val="eop"/>
                <w:rFonts w:ascii="Arial" w:hAnsi="Arial" w:cs="Arial"/>
                <w:color w:val="FFFFFF" w:themeColor="background1"/>
                <w:sz w:val="18"/>
                <w:szCs w:val="18"/>
                <w:lang w:eastAsia="en-AU"/>
              </w:rPr>
            </w:pPr>
            <w:r w:rsidRPr="001D5EDC">
              <w:rPr>
                <w:rStyle w:val="eop"/>
                <w:rFonts w:ascii="Arial" w:hAnsi="Arial" w:cs="Arial"/>
                <w:color w:val="FFFFFF" w:themeColor="background1"/>
                <w:sz w:val="18"/>
                <w:szCs w:val="18"/>
                <w:lang w:eastAsia="en-AU"/>
              </w:rPr>
              <w:t>Sensitivity</w:t>
            </w:r>
          </w:p>
        </w:tc>
      </w:tr>
      <w:tr w:rsidR="74230067" w:rsidRPr="001D5EDC" w14:paraId="04E92668" w14:textId="77777777" w:rsidTr="001D5EDC">
        <w:trPr>
          <w:trHeight w:val="283"/>
        </w:trPr>
        <w:tc>
          <w:tcPr>
            <w:tcW w:w="3683" w:type="dxa"/>
            <w:vMerge/>
          </w:tcPr>
          <w:p w14:paraId="42F7BB2B" w14:textId="77777777" w:rsidR="00EC786D" w:rsidRPr="001D5EDC" w:rsidRDefault="00EC786D">
            <w:pPr>
              <w:rPr>
                <w:sz w:val="18"/>
                <w:szCs w:val="18"/>
              </w:rPr>
            </w:pPr>
          </w:p>
        </w:tc>
        <w:tc>
          <w:tcPr>
            <w:tcW w:w="996" w:type="dxa"/>
            <w:shd w:val="clear" w:color="auto" w:fill="008EBA"/>
          </w:tcPr>
          <w:p w14:paraId="17711D63" w14:textId="4FCEA7F9" w:rsidR="74230067" w:rsidRPr="001D5EDC" w:rsidRDefault="74230067" w:rsidP="74230067">
            <w:pPr>
              <w:jc w:val="center"/>
              <w:rPr>
                <w:rStyle w:val="eop"/>
                <w:rFonts w:ascii="Arial" w:hAnsi="Arial" w:cs="Arial"/>
                <w:color w:val="FFFFFF" w:themeColor="background1"/>
                <w:sz w:val="18"/>
                <w:szCs w:val="18"/>
                <w:lang w:eastAsia="en-AU"/>
              </w:rPr>
            </w:pPr>
            <w:r w:rsidRPr="001D5EDC">
              <w:rPr>
                <w:rStyle w:val="eop"/>
                <w:rFonts w:ascii="Arial" w:hAnsi="Arial" w:cs="Arial"/>
                <w:color w:val="FFFFFF" w:themeColor="background1"/>
                <w:sz w:val="18"/>
                <w:szCs w:val="18"/>
                <w:lang w:eastAsia="en-AU"/>
              </w:rPr>
              <w:t>Budget</w:t>
            </w:r>
          </w:p>
        </w:tc>
        <w:tc>
          <w:tcPr>
            <w:tcW w:w="2977" w:type="dxa"/>
            <w:gridSpan w:val="3"/>
            <w:shd w:val="clear" w:color="auto" w:fill="008EBA"/>
          </w:tcPr>
          <w:p w14:paraId="7F90CB33" w14:textId="77777777" w:rsidR="74230067" w:rsidRPr="001D5EDC" w:rsidRDefault="74230067" w:rsidP="74230067">
            <w:pPr>
              <w:jc w:val="center"/>
              <w:rPr>
                <w:rStyle w:val="eop"/>
                <w:rFonts w:ascii="Arial" w:hAnsi="Arial" w:cs="Arial"/>
                <w:color w:val="FFFFFF" w:themeColor="background1"/>
                <w:sz w:val="18"/>
                <w:szCs w:val="18"/>
                <w:lang w:eastAsia="en-AU"/>
              </w:rPr>
            </w:pPr>
            <w:r w:rsidRPr="001D5EDC">
              <w:rPr>
                <w:rStyle w:val="eop"/>
                <w:rFonts w:ascii="Arial" w:hAnsi="Arial" w:cs="Arial"/>
                <w:color w:val="FFFFFF" w:themeColor="background1"/>
                <w:sz w:val="18"/>
                <w:szCs w:val="18"/>
                <w:lang w:eastAsia="en-AU"/>
              </w:rPr>
              <w:t>Forward estimates</w:t>
            </w:r>
          </w:p>
        </w:tc>
        <w:tc>
          <w:tcPr>
            <w:tcW w:w="1983" w:type="dxa"/>
            <w:vMerge/>
          </w:tcPr>
          <w:p w14:paraId="7E706E45" w14:textId="77777777" w:rsidR="00EC786D" w:rsidRPr="001D5EDC" w:rsidRDefault="00EC786D">
            <w:pPr>
              <w:rPr>
                <w:sz w:val="18"/>
                <w:szCs w:val="18"/>
              </w:rPr>
            </w:pPr>
          </w:p>
        </w:tc>
      </w:tr>
      <w:tr w:rsidR="74230067" w:rsidRPr="001D5EDC" w14:paraId="3DE71E3F" w14:textId="77777777" w:rsidTr="00D976BA">
        <w:trPr>
          <w:trHeight w:val="283"/>
        </w:trPr>
        <w:tc>
          <w:tcPr>
            <w:tcW w:w="3683" w:type="dxa"/>
            <w:shd w:val="clear" w:color="auto" w:fill="00426F"/>
          </w:tcPr>
          <w:p w14:paraId="5933EA2B" w14:textId="77777777" w:rsidR="74230067" w:rsidRPr="001D5EDC" w:rsidRDefault="74230067" w:rsidP="74230067">
            <w:pPr>
              <w:jc w:val="center"/>
              <w:rPr>
                <w:rStyle w:val="eop"/>
                <w:rFonts w:ascii="Arial" w:hAnsi="Arial" w:cs="Arial"/>
                <w:color w:val="FFFFFF" w:themeColor="background1"/>
                <w:sz w:val="18"/>
                <w:szCs w:val="18"/>
                <w:lang w:eastAsia="en-AU"/>
              </w:rPr>
            </w:pPr>
          </w:p>
        </w:tc>
        <w:tc>
          <w:tcPr>
            <w:tcW w:w="996" w:type="dxa"/>
            <w:shd w:val="clear" w:color="auto" w:fill="00426F"/>
            <w:vAlign w:val="center"/>
          </w:tcPr>
          <w:p w14:paraId="6BF9E584" w14:textId="77777777" w:rsidR="74230067" w:rsidRPr="001D5EDC" w:rsidRDefault="74230067" w:rsidP="74230067">
            <w:pPr>
              <w:jc w:val="center"/>
              <w:rPr>
                <w:rStyle w:val="eop"/>
                <w:rFonts w:ascii="Arial" w:hAnsi="Arial" w:cs="Arial"/>
                <w:color w:val="FFFFFF" w:themeColor="background1"/>
                <w:sz w:val="18"/>
                <w:szCs w:val="18"/>
                <w:lang w:eastAsia="en-AU"/>
              </w:rPr>
            </w:pPr>
            <w:r w:rsidRPr="001D5EDC">
              <w:rPr>
                <w:rStyle w:val="eop"/>
                <w:rFonts w:ascii="Arial" w:hAnsi="Arial" w:cs="Arial"/>
                <w:color w:val="FFFFFF" w:themeColor="background1"/>
                <w:sz w:val="18"/>
                <w:szCs w:val="18"/>
                <w:lang w:eastAsia="en-AU"/>
              </w:rPr>
              <w:t>$m</w:t>
            </w:r>
          </w:p>
        </w:tc>
        <w:tc>
          <w:tcPr>
            <w:tcW w:w="992" w:type="dxa"/>
            <w:shd w:val="clear" w:color="auto" w:fill="00426F"/>
            <w:vAlign w:val="center"/>
          </w:tcPr>
          <w:p w14:paraId="71657868" w14:textId="77777777" w:rsidR="74230067" w:rsidRPr="001D5EDC" w:rsidRDefault="74230067" w:rsidP="74230067">
            <w:pPr>
              <w:jc w:val="center"/>
              <w:rPr>
                <w:rStyle w:val="eop"/>
                <w:rFonts w:ascii="Arial" w:hAnsi="Arial" w:cs="Arial"/>
                <w:color w:val="FFFFFF" w:themeColor="background1"/>
                <w:sz w:val="18"/>
                <w:szCs w:val="18"/>
                <w:lang w:eastAsia="en-AU"/>
              </w:rPr>
            </w:pPr>
            <w:r w:rsidRPr="001D5EDC">
              <w:rPr>
                <w:rStyle w:val="eop"/>
                <w:rFonts w:ascii="Arial" w:hAnsi="Arial" w:cs="Arial"/>
                <w:color w:val="FFFFFF" w:themeColor="background1"/>
                <w:sz w:val="18"/>
                <w:szCs w:val="18"/>
                <w:lang w:eastAsia="en-AU"/>
              </w:rPr>
              <w:t>$m</w:t>
            </w:r>
          </w:p>
        </w:tc>
        <w:tc>
          <w:tcPr>
            <w:tcW w:w="993" w:type="dxa"/>
            <w:shd w:val="clear" w:color="auto" w:fill="00426F"/>
            <w:vAlign w:val="center"/>
          </w:tcPr>
          <w:p w14:paraId="4F44D9A7" w14:textId="77777777" w:rsidR="74230067" w:rsidRPr="001D5EDC" w:rsidRDefault="74230067" w:rsidP="74230067">
            <w:pPr>
              <w:jc w:val="center"/>
              <w:rPr>
                <w:rStyle w:val="eop"/>
                <w:rFonts w:ascii="Arial" w:hAnsi="Arial" w:cs="Arial"/>
                <w:color w:val="FFFFFF" w:themeColor="background1"/>
                <w:sz w:val="18"/>
                <w:szCs w:val="18"/>
                <w:lang w:eastAsia="en-AU"/>
              </w:rPr>
            </w:pPr>
            <w:r w:rsidRPr="001D5EDC">
              <w:rPr>
                <w:rStyle w:val="eop"/>
                <w:rFonts w:ascii="Arial" w:hAnsi="Arial" w:cs="Arial"/>
                <w:color w:val="FFFFFF" w:themeColor="background1"/>
                <w:sz w:val="18"/>
                <w:szCs w:val="18"/>
                <w:lang w:eastAsia="en-AU"/>
              </w:rPr>
              <w:t>$m</w:t>
            </w:r>
          </w:p>
        </w:tc>
        <w:tc>
          <w:tcPr>
            <w:tcW w:w="992" w:type="dxa"/>
            <w:shd w:val="clear" w:color="auto" w:fill="00426F"/>
            <w:vAlign w:val="center"/>
          </w:tcPr>
          <w:p w14:paraId="48E65706" w14:textId="77777777" w:rsidR="74230067" w:rsidRPr="001D5EDC" w:rsidRDefault="74230067" w:rsidP="74230067">
            <w:pPr>
              <w:jc w:val="center"/>
              <w:rPr>
                <w:rStyle w:val="eop"/>
                <w:rFonts w:ascii="Arial" w:hAnsi="Arial" w:cs="Arial"/>
                <w:color w:val="FFFFFF" w:themeColor="background1"/>
                <w:sz w:val="18"/>
                <w:szCs w:val="18"/>
                <w:lang w:eastAsia="en-AU"/>
              </w:rPr>
            </w:pPr>
            <w:r w:rsidRPr="001D5EDC">
              <w:rPr>
                <w:rStyle w:val="eop"/>
                <w:rFonts w:ascii="Arial" w:hAnsi="Arial" w:cs="Arial"/>
                <w:color w:val="FFFFFF" w:themeColor="background1"/>
                <w:sz w:val="18"/>
                <w:szCs w:val="18"/>
                <w:lang w:eastAsia="en-AU"/>
              </w:rPr>
              <w:t>$m</w:t>
            </w:r>
          </w:p>
        </w:tc>
        <w:tc>
          <w:tcPr>
            <w:tcW w:w="1983" w:type="dxa"/>
            <w:vMerge/>
          </w:tcPr>
          <w:p w14:paraId="2D0182E3" w14:textId="77777777" w:rsidR="00EC786D" w:rsidRPr="001D5EDC" w:rsidRDefault="00EC786D">
            <w:pPr>
              <w:rPr>
                <w:sz w:val="18"/>
                <w:szCs w:val="18"/>
              </w:rPr>
            </w:pPr>
          </w:p>
        </w:tc>
      </w:tr>
      <w:tr w:rsidR="00180FC8" w:rsidRPr="001D5EDC" w14:paraId="2F01B025" w14:textId="77777777" w:rsidTr="001D5EDC">
        <w:trPr>
          <w:trHeight w:val="283"/>
        </w:trPr>
        <w:tc>
          <w:tcPr>
            <w:tcW w:w="3683" w:type="dxa"/>
            <w:shd w:val="clear" w:color="auto" w:fill="auto"/>
            <w:vAlign w:val="center"/>
          </w:tcPr>
          <w:p w14:paraId="6E906F54" w14:textId="25A550C4" w:rsidR="00180FC8" w:rsidRPr="001D5EDC" w:rsidRDefault="00180FC8" w:rsidP="001D5EDC">
            <w:pPr>
              <w:rPr>
                <w:sz w:val="18"/>
                <w:szCs w:val="18"/>
                <w:vertAlign w:val="superscript"/>
              </w:rPr>
            </w:pPr>
            <w:r w:rsidRPr="001D5EDC">
              <w:rPr>
                <w:rFonts w:ascii="Arial" w:hAnsi="Arial" w:cs="Arial"/>
                <w:sz w:val="18"/>
                <w:szCs w:val="18"/>
              </w:rPr>
              <w:t>Investment revenue</w:t>
            </w:r>
            <w:r w:rsidR="00D61B95" w:rsidRPr="001D5EDC">
              <w:rPr>
                <w:rFonts w:ascii="Arial" w:hAnsi="Arial" w:cs="Arial"/>
                <w:sz w:val="18"/>
                <w:szCs w:val="18"/>
                <w:vertAlign w:val="superscript"/>
              </w:rPr>
              <w:t>(a)</w:t>
            </w:r>
          </w:p>
        </w:tc>
        <w:tc>
          <w:tcPr>
            <w:tcW w:w="996" w:type="dxa"/>
            <w:vAlign w:val="center"/>
          </w:tcPr>
          <w:p w14:paraId="1AAABD61" w14:textId="2375467A" w:rsidR="00180FC8" w:rsidRPr="001D5EDC" w:rsidRDefault="00180FC8" w:rsidP="001D5EDC">
            <w:pPr>
              <w:jc w:val="center"/>
              <w:rPr>
                <w:rFonts w:ascii="Arial" w:hAnsi="Arial" w:cs="Arial"/>
                <w:sz w:val="18"/>
                <w:szCs w:val="18"/>
              </w:rPr>
            </w:pPr>
            <w:r w:rsidRPr="001D5EDC">
              <w:rPr>
                <w:rFonts w:ascii="Arial" w:hAnsi="Arial" w:cs="Arial"/>
                <w:sz w:val="18"/>
                <w:szCs w:val="18"/>
              </w:rPr>
              <w:t>182</w:t>
            </w:r>
          </w:p>
        </w:tc>
        <w:tc>
          <w:tcPr>
            <w:tcW w:w="992" w:type="dxa"/>
            <w:shd w:val="clear" w:color="auto" w:fill="B9BDBF"/>
            <w:vAlign w:val="center"/>
          </w:tcPr>
          <w:p w14:paraId="0C676000" w14:textId="651D872B" w:rsidR="00180FC8" w:rsidRPr="001D5EDC" w:rsidRDefault="00180FC8" w:rsidP="001D5EDC">
            <w:pPr>
              <w:jc w:val="center"/>
              <w:rPr>
                <w:rFonts w:ascii="Arial" w:hAnsi="Arial" w:cs="Arial"/>
                <w:sz w:val="18"/>
                <w:szCs w:val="18"/>
              </w:rPr>
            </w:pPr>
            <w:r w:rsidRPr="001D5EDC">
              <w:rPr>
                <w:rFonts w:ascii="Arial" w:hAnsi="Arial" w:cs="Arial"/>
                <w:sz w:val="18"/>
                <w:szCs w:val="18"/>
              </w:rPr>
              <w:t>248</w:t>
            </w:r>
          </w:p>
        </w:tc>
        <w:tc>
          <w:tcPr>
            <w:tcW w:w="993" w:type="dxa"/>
            <w:shd w:val="clear" w:color="auto" w:fill="B9BDBF"/>
            <w:vAlign w:val="center"/>
          </w:tcPr>
          <w:p w14:paraId="5CF495E4" w14:textId="38D76D17" w:rsidR="00180FC8" w:rsidRPr="001D5EDC" w:rsidRDefault="00180FC8" w:rsidP="001D5EDC">
            <w:pPr>
              <w:jc w:val="center"/>
              <w:rPr>
                <w:rFonts w:ascii="Arial" w:hAnsi="Arial" w:cs="Arial"/>
                <w:sz w:val="18"/>
                <w:szCs w:val="18"/>
              </w:rPr>
            </w:pPr>
            <w:r w:rsidRPr="001D5EDC">
              <w:rPr>
                <w:rFonts w:ascii="Arial" w:hAnsi="Arial" w:cs="Arial"/>
                <w:sz w:val="18"/>
                <w:szCs w:val="18"/>
              </w:rPr>
              <w:t>289</w:t>
            </w:r>
          </w:p>
        </w:tc>
        <w:tc>
          <w:tcPr>
            <w:tcW w:w="992" w:type="dxa"/>
            <w:shd w:val="clear" w:color="auto" w:fill="B9BDBF"/>
            <w:vAlign w:val="center"/>
          </w:tcPr>
          <w:p w14:paraId="54642CD3" w14:textId="3B80D77C" w:rsidR="00180FC8" w:rsidRPr="001D5EDC" w:rsidRDefault="00180FC8" w:rsidP="001D5EDC">
            <w:pPr>
              <w:jc w:val="center"/>
              <w:rPr>
                <w:rFonts w:ascii="Arial" w:hAnsi="Arial" w:cs="Arial"/>
                <w:sz w:val="18"/>
                <w:szCs w:val="18"/>
              </w:rPr>
            </w:pPr>
            <w:r w:rsidRPr="001D5EDC">
              <w:rPr>
                <w:rFonts w:ascii="Arial" w:hAnsi="Arial" w:cs="Arial"/>
                <w:sz w:val="18"/>
                <w:szCs w:val="18"/>
              </w:rPr>
              <w:t>340</w:t>
            </w:r>
          </w:p>
        </w:tc>
        <w:tc>
          <w:tcPr>
            <w:tcW w:w="1983" w:type="dxa"/>
            <w:vMerge w:val="restart"/>
            <w:vAlign w:val="center"/>
          </w:tcPr>
          <w:p w14:paraId="46B19033" w14:textId="3F169947" w:rsidR="00180FC8" w:rsidRPr="001D5EDC" w:rsidRDefault="00180FC8" w:rsidP="001D5EDC">
            <w:pPr>
              <w:jc w:val="center"/>
              <w:rPr>
                <w:rFonts w:ascii="Arial" w:hAnsi="Arial" w:cs="Arial"/>
                <w:sz w:val="18"/>
                <w:szCs w:val="18"/>
              </w:rPr>
            </w:pPr>
            <w:r w:rsidRPr="001D5EDC">
              <w:rPr>
                <w:rFonts w:ascii="Arial" w:hAnsi="Arial" w:cs="Arial"/>
                <w:sz w:val="18"/>
                <w:szCs w:val="18"/>
              </w:rPr>
              <w:t>Single percentage point increase in factor</w:t>
            </w:r>
          </w:p>
        </w:tc>
      </w:tr>
      <w:tr w:rsidR="00180FC8" w:rsidRPr="001D5EDC" w14:paraId="5968C35B" w14:textId="77777777" w:rsidTr="001D5EDC">
        <w:trPr>
          <w:trHeight w:val="283"/>
        </w:trPr>
        <w:tc>
          <w:tcPr>
            <w:tcW w:w="3683" w:type="dxa"/>
            <w:shd w:val="clear" w:color="auto" w:fill="auto"/>
            <w:vAlign w:val="center"/>
          </w:tcPr>
          <w:p w14:paraId="4041F3F1" w14:textId="1C6DCAEC" w:rsidR="00180FC8" w:rsidRPr="001D5EDC" w:rsidRDefault="00180FC8" w:rsidP="001D5EDC">
            <w:pPr>
              <w:rPr>
                <w:sz w:val="18"/>
                <w:szCs w:val="18"/>
                <w:vertAlign w:val="superscript"/>
              </w:rPr>
            </w:pPr>
            <w:r w:rsidRPr="001D5EDC">
              <w:rPr>
                <w:rFonts w:ascii="Arial" w:hAnsi="Arial" w:cs="Arial"/>
                <w:sz w:val="18"/>
                <w:szCs w:val="18"/>
              </w:rPr>
              <w:t>Interest revenue</w:t>
            </w:r>
            <w:r w:rsidR="006B7569" w:rsidRPr="001D5EDC">
              <w:rPr>
                <w:rFonts w:ascii="Arial" w:hAnsi="Arial" w:cs="Arial"/>
                <w:sz w:val="18"/>
                <w:szCs w:val="18"/>
                <w:vertAlign w:val="superscript"/>
              </w:rPr>
              <w:t>(b)</w:t>
            </w:r>
          </w:p>
        </w:tc>
        <w:tc>
          <w:tcPr>
            <w:tcW w:w="996" w:type="dxa"/>
            <w:vAlign w:val="center"/>
          </w:tcPr>
          <w:p w14:paraId="50E89F1A" w14:textId="2E0E7873" w:rsidR="00180FC8" w:rsidRPr="001D5EDC" w:rsidRDefault="3BE35B20" w:rsidP="001D5EDC">
            <w:pPr>
              <w:jc w:val="center"/>
              <w:rPr>
                <w:rFonts w:ascii="Arial" w:hAnsi="Arial" w:cs="Arial"/>
                <w:sz w:val="18"/>
                <w:szCs w:val="18"/>
              </w:rPr>
            </w:pPr>
            <w:r w:rsidRPr="001D5EDC">
              <w:rPr>
                <w:rFonts w:ascii="Arial" w:hAnsi="Arial" w:cs="Arial"/>
                <w:sz w:val="18"/>
                <w:szCs w:val="18"/>
              </w:rPr>
              <w:t>11</w:t>
            </w:r>
          </w:p>
        </w:tc>
        <w:tc>
          <w:tcPr>
            <w:tcW w:w="992" w:type="dxa"/>
            <w:shd w:val="clear" w:color="auto" w:fill="B9BDBF"/>
            <w:vAlign w:val="center"/>
          </w:tcPr>
          <w:p w14:paraId="3234C567" w14:textId="5718695F" w:rsidR="00180FC8" w:rsidRPr="001D5EDC" w:rsidRDefault="7DC8FD59" w:rsidP="001D5EDC">
            <w:pPr>
              <w:jc w:val="center"/>
              <w:rPr>
                <w:rFonts w:ascii="Arial" w:hAnsi="Arial" w:cs="Arial"/>
                <w:sz w:val="18"/>
                <w:szCs w:val="18"/>
              </w:rPr>
            </w:pPr>
            <w:r w:rsidRPr="001D5EDC">
              <w:rPr>
                <w:rFonts w:ascii="Arial" w:hAnsi="Arial" w:cs="Arial"/>
                <w:sz w:val="18"/>
                <w:szCs w:val="18"/>
              </w:rPr>
              <w:t>1</w:t>
            </w:r>
            <w:r w:rsidR="34DF502D" w:rsidRPr="001D5EDC">
              <w:rPr>
                <w:rFonts w:ascii="Arial" w:hAnsi="Arial" w:cs="Arial"/>
                <w:sz w:val="18"/>
                <w:szCs w:val="18"/>
              </w:rPr>
              <w:t>0</w:t>
            </w:r>
          </w:p>
        </w:tc>
        <w:tc>
          <w:tcPr>
            <w:tcW w:w="993" w:type="dxa"/>
            <w:shd w:val="clear" w:color="auto" w:fill="B9BDBF"/>
            <w:vAlign w:val="center"/>
          </w:tcPr>
          <w:p w14:paraId="626AA173" w14:textId="5280916A" w:rsidR="00180FC8" w:rsidRPr="001D5EDC" w:rsidRDefault="34DF502D" w:rsidP="001D5EDC">
            <w:pPr>
              <w:jc w:val="center"/>
              <w:rPr>
                <w:rFonts w:ascii="Arial" w:hAnsi="Arial" w:cs="Arial"/>
                <w:sz w:val="18"/>
                <w:szCs w:val="18"/>
              </w:rPr>
            </w:pPr>
            <w:r w:rsidRPr="001D5EDC">
              <w:rPr>
                <w:rFonts w:ascii="Arial" w:hAnsi="Arial" w:cs="Arial"/>
                <w:sz w:val="18"/>
                <w:szCs w:val="18"/>
              </w:rPr>
              <w:t>9</w:t>
            </w:r>
          </w:p>
        </w:tc>
        <w:tc>
          <w:tcPr>
            <w:tcW w:w="992" w:type="dxa"/>
            <w:shd w:val="clear" w:color="auto" w:fill="B9BDBF"/>
            <w:vAlign w:val="center"/>
          </w:tcPr>
          <w:p w14:paraId="4E88D1CA" w14:textId="29576B39" w:rsidR="00180FC8" w:rsidRPr="001D5EDC" w:rsidRDefault="34DF502D" w:rsidP="001D5EDC">
            <w:pPr>
              <w:jc w:val="center"/>
              <w:rPr>
                <w:rFonts w:ascii="Arial" w:hAnsi="Arial" w:cs="Arial"/>
                <w:sz w:val="18"/>
                <w:szCs w:val="18"/>
              </w:rPr>
            </w:pPr>
            <w:r w:rsidRPr="001D5EDC">
              <w:rPr>
                <w:rFonts w:ascii="Arial" w:hAnsi="Arial" w:cs="Arial"/>
                <w:sz w:val="18"/>
                <w:szCs w:val="18"/>
              </w:rPr>
              <w:t>8</w:t>
            </w:r>
          </w:p>
        </w:tc>
        <w:tc>
          <w:tcPr>
            <w:tcW w:w="1983" w:type="dxa"/>
            <w:vMerge/>
          </w:tcPr>
          <w:p w14:paraId="03A284C6" w14:textId="77777777" w:rsidR="00180FC8" w:rsidRPr="001D5EDC" w:rsidRDefault="00180FC8" w:rsidP="00180FC8">
            <w:pPr>
              <w:rPr>
                <w:sz w:val="18"/>
                <w:szCs w:val="18"/>
              </w:rPr>
            </w:pPr>
          </w:p>
        </w:tc>
      </w:tr>
      <w:tr w:rsidR="00180FC8" w:rsidRPr="001D5EDC" w14:paraId="454C2A16" w14:textId="77777777" w:rsidTr="00D976BA">
        <w:trPr>
          <w:trHeight w:val="283"/>
        </w:trPr>
        <w:tc>
          <w:tcPr>
            <w:tcW w:w="3683" w:type="dxa"/>
            <w:tcBorders>
              <w:bottom w:val="single" w:sz="4" w:space="0" w:color="auto"/>
            </w:tcBorders>
            <w:shd w:val="clear" w:color="auto" w:fill="auto"/>
            <w:vAlign w:val="center"/>
          </w:tcPr>
          <w:p w14:paraId="67FCEFA9" w14:textId="337EE2D9" w:rsidR="00180FC8" w:rsidRPr="001D5EDC" w:rsidRDefault="00180FC8" w:rsidP="001D5EDC">
            <w:pPr>
              <w:rPr>
                <w:strike/>
                <w:sz w:val="18"/>
                <w:szCs w:val="18"/>
                <w:vertAlign w:val="superscript"/>
              </w:rPr>
            </w:pPr>
            <w:r w:rsidRPr="001D5EDC">
              <w:rPr>
                <w:rFonts w:ascii="Arial" w:hAnsi="Arial" w:cs="Arial"/>
                <w:sz w:val="18"/>
                <w:szCs w:val="18"/>
              </w:rPr>
              <w:t>Interest expenses</w:t>
            </w:r>
            <w:r w:rsidR="006B7569" w:rsidRPr="001D5EDC">
              <w:rPr>
                <w:rFonts w:ascii="Arial" w:hAnsi="Arial" w:cs="Arial"/>
                <w:sz w:val="18"/>
                <w:szCs w:val="18"/>
                <w:vertAlign w:val="superscript"/>
              </w:rPr>
              <w:t>(b)</w:t>
            </w:r>
          </w:p>
        </w:tc>
        <w:tc>
          <w:tcPr>
            <w:tcW w:w="996" w:type="dxa"/>
            <w:tcBorders>
              <w:bottom w:val="single" w:sz="4" w:space="0" w:color="auto"/>
            </w:tcBorders>
            <w:vAlign w:val="center"/>
          </w:tcPr>
          <w:p w14:paraId="0ED9118C" w14:textId="3704087B" w:rsidR="00180FC8" w:rsidRPr="001D5EDC" w:rsidRDefault="4CD7FADE" w:rsidP="001D5EDC">
            <w:pPr>
              <w:jc w:val="center"/>
              <w:rPr>
                <w:rFonts w:ascii="Arial" w:hAnsi="Arial" w:cs="Arial"/>
                <w:sz w:val="18"/>
                <w:szCs w:val="18"/>
              </w:rPr>
            </w:pPr>
            <w:r w:rsidRPr="001D5EDC">
              <w:rPr>
                <w:rFonts w:ascii="Arial" w:hAnsi="Arial" w:cs="Arial"/>
                <w:sz w:val="18"/>
                <w:szCs w:val="18"/>
              </w:rPr>
              <w:t>(</w:t>
            </w:r>
            <w:r w:rsidR="1E57067A" w:rsidRPr="001D5EDC">
              <w:rPr>
                <w:rFonts w:ascii="Arial" w:hAnsi="Arial" w:cs="Arial"/>
                <w:sz w:val="18"/>
                <w:szCs w:val="18"/>
              </w:rPr>
              <w:t>86</w:t>
            </w:r>
            <w:r w:rsidRPr="001D5EDC">
              <w:rPr>
                <w:rFonts w:ascii="Arial" w:hAnsi="Arial" w:cs="Arial"/>
                <w:sz w:val="18"/>
                <w:szCs w:val="18"/>
              </w:rPr>
              <w:t>)</w:t>
            </w:r>
          </w:p>
        </w:tc>
        <w:tc>
          <w:tcPr>
            <w:tcW w:w="992" w:type="dxa"/>
            <w:tcBorders>
              <w:bottom w:val="single" w:sz="4" w:space="0" w:color="auto"/>
            </w:tcBorders>
            <w:shd w:val="clear" w:color="auto" w:fill="B9BDBF"/>
            <w:vAlign w:val="center"/>
          </w:tcPr>
          <w:p w14:paraId="526DD2AE" w14:textId="70423365" w:rsidR="00180FC8" w:rsidRPr="001D5EDC" w:rsidRDefault="4CD7FADE" w:rsidP="001D5EDC">
            <w:pPr>
              <w:jc w:val="center"/>
              <w:rPr>
                <w:rFonts w:ascii="Arial" w:hAnsi="Arial" w:cs="Arial"/>
                <w:sz w:val="18"/>
                <w:szCs w:val="18"/>
              </w:rPr>
            </w:pPr>
            <w:r w:rsidRPr="001D5EDC">
              <w:rPr>
                <w:rFonts w:ascii="Arial" w:hAnsi="Arial" w:cs="Arial"/>
                <w:sz w:val="18"/>
                <w:szCs w:val="18"/>
              </w:rPr>
              <w:t>(</w:t>
            </w:r>
            <w:r w:rsidR="479D85CA" w:rsidRPr="001D5EDC">
              <w:rPr>
                <w:rFonts w:ascii="Arial" w:hAnsi="Arial" w:cs="Arial"/>
                <w:sz w:val="18"/>
                <w:szCs w:val="18"/>
              </w:rPr>
              <w:t>373</w:t>
            </w:r>
            <w:r w:rsidRPr="001D5EDC">
              <w:rPr>
                <w:rFonts w:ascii="Arial" w:hAnsi="Arial" w:cs="Arial"/>
                <w:sz w:val="18"/>
                <w:szCs w:val="18"/>
              </w:rPr>
              <w:t>)</w:t>
            </w:r>
          </w:p>
        </w:tc>
        <w:tc>
          <w:tcPr>
            <w:tcW w:w="993" w:type="dxa"/>
            <w:tcBorders>
              <w:bottom w:val="single" w:sz="4" w:space="0" w:color="auto"/>
            </w:tcBorders>
            <w:shd w:val="clear" w:color="auto" w:fill="B9BDBF"/>
            <w:vAlign w:val="center"/>
          </w:tcPr>
          <w:p w14:paraId="3CA42862" w14:textId="54D4CCA8" w:rsidR="00180FC8" w:rsidRPr="001D5EDC" w:rsidRDefault="761A9DC6" w:rsidP="001D5EDC">
            <w:pPr>
              <w:jc w:val="center"/>
              <w:rPr>
                <w:rFonts w:ascii="Arial" w:hAnsi="Arial" w:cs="Arial"/>
                <w:sz w:val="18"/>
                <w:szCs w:val="18"/>
              </w:rPr>
            </w:pPr>
            <w:r w:rsidRPr="001D5EDC">
              <w:rPr>
                <w:rFonts w:ascii="Arial" w:hAnsi="Arial" w:cs="Arial"/>
                <w:sz w:val="18"/>
                <w:szCs w:val="18"/>
              </w:rPr>
              <w:t>(</w:t>
            </w:r>
            <w:r w:rsidR="549C99FF" w:rsidRPr="001D5EDC">
              <w:rPr>
                <w:rFonts w:ascii="Arial" w:hAnsi="Arial" w:cs="Arial"/>
                <w:sz w:val="18"/>
                <w:szCs w:val="18"/>
              </w:rPr>
              <w:t>599</w:t>
            </w:r>
            <w:r w:rsidRPr="001D5EDC">
              <w:rPr>
                <w:rFonts w:ascii="Arial" w:hAnsi="Arial" w:cs="Arial"/>
                <w:sz w:val="18"/>
                <w:szCs w:val="18"/>
              </w:rPr>
              <w:t>)</w:t>
            </w:r>
          </w:p>
        </w:tc>
        <w:tc>
          <w:tcPr>
            <w:tcW w:w="992" w:type="dxa"/>
            <w:tcBorders>
              <w:bottom w:val="single" w:sz="4" w:space="0" w:color="auto"/>
            </w:tcBorders>
            <w:shd w:val="clear" w:color="auto" w:fill="B9BDBF"/>
            <w:vAlign w:val="center"/>
          </w:tcPr>
          <w:p w14:paraId="515AC37D" w14:textId="4DAB025A" w:rsidR="00180FC8" w:rsidRPr="001D5EDC" w:rsidRDefault="761A9DC6" w:rsidP="001D5EDC">
            <w:pPr>
              <w:jc w:val="center"/>
              <w:rPr>
                <w:rFonts w:ascii="Arial" w:hAnsi="Arial" w:cs="Arial"/>
                <w:sz w:val="18"/>
                <w:szCs w:val="18"/>
              </w:rPr>
            </w:pPr>
            <w:r w:rsidRPr="001D5EDC">
              <w:rPr>
                <w:rFonts w:ascii="Arial" w:hAnsi="Arial" w:cs="Arial"/>
                <w:sz w:val="18"/>
                <w:szCs w:val="18"/>
              </w:rPr>
              <w:t>(</w:t>
            </w:r>
            <w:r w:rsidR="53DBCBB4" w:rsidRPr="001D5EDC">
              <w:rPr>
                <w:rFonts w:ascii="Arial" w:hAnsi="Arial" w:cs="Arial"/>
                <w:sz w:val="18"/>
                <w:szCs w:val="18"/>
              </w:rPr>
              <w:t>8</w:t>
            </w:r>
            <w:r w:rsidR="361A8273" w:rsidRPr="001D5EDC">
              <w:rPr>
                <w:rFonts w:ascii="Arial" w:hAnsi="Arial" w:cs="Arial"/>
                <w:sz w:val="18"/>
                <w:szCs w:val="18"/>
              </w:rPr>
              <w:t>19</w:t>
            </w:r>
            <w:r w:rsidRPr="001D5EDC">
              <w:rPr>
                <w:rFonts w:ascii="Arial" w:hAnsi="Arial" w:cs="Arial"/>
                <w:sz w:val="18"/>
                <w:szCs w:val="18"/>
              </w:rPr>
              <w:t>)</w:t>
            </w:r>
          </w:p>
        </w:tc>
        <w:tc>
          <w:tcPr>
            <w:tcW w:w="1983" w:type="dxa"/>
            <w:vMerge/>
            <w:tcBorders>
              <w:bottom w:val="single" w:sz="4" w:space="0" w:color="auto"/>
            </w:tcBorders>
          </w:tcPr>
          <w:p w14:paraId="0C1C2DED" w14:textId="77777777" w:rsidR="00180FC8" w:rsidRPr="001D5EDC" w:rsidRDefault="00180FC8" w:rsidP="00180FC8">
            <w:pPr>
              <w:rPr>
                <w:sz w:val="18"/>
                <w:szCs w:val="18"/>
              </w:rPr>
            </w:pPr>
          </w:p>
        </w:tc>
      </w:tr>
    </w:tbl>
    <w:p w14:paraId="0B0ECB31" w14:textId="2B087752" w:rsidR="00A2078B" w:rsidRDefault="006B7569" w:rsidP="001D5EDC">
      <w:pPr>
        <w:pStyle w:val="ListParagraph"/>
        <w:numPr>
          <w:ilvl w:val="0"/>
          <w:numId w:val="2"/>
        </w:numPr>
        <w:spacing w:before="120"/>
        <w:ind w:left="357" w:hanging="357"/>
        <w:contextualSpacing w:val="0"/>
        <w:rPr>
          <w:rFonts w:ascii="Arial" w:hAnsi="Arial" w:cs="Arial"/>
          <w:sz w:val="17"/>
          <w:szCs w:val="17"/>
        </w:rPr>
      </w:pPr>
      <w:r>
        <w:rPr>
          <w:rFonts w:ascii="Arial" w:hAnsi="Arial" w:cs="Arial"/>
          <w:sz w:val="17"/>
          <w:szCs w:val="17"/>
        </w:rPr>
        <w:t xml:space="preserve">A </w:t>
      </w:r>
      <w:r w:rsidR="00F71793">
        <w:rPr>
          <w:rFonts w:ascii="Arial" w:hAnsi="Arial" w:cs="Arial"/>
          <w:sz w:val="17"/>
          <w:szCs w:val="17"/>
        </w:rPr>
        <w:t xml:space="preserve">single percentage point increase in </w:t>
      </w:r>
      <w:r w:rsidR="00825FFB">
        <w:rPr>
          <w:rFonts w:ascii="Arial" w:hAnsi="Arial" w:cs="Arial"/>
          <w:sz w:val="17"/>
          <w:szCs w:val="17"/>
        </w:rPr>
        <w:t xml:space="preserve">the </w:t>
      </w:r>
      <w:r w:rsidR="00C6421B">
        <w:rPr>
          <w:rFonts w:ascii="Arial" w:hAnsi="Arial" w:cs="Arial"/>
          <w:sz w:val="17"/>
          <w:szCs w:val="17"/>
        </w:rPr>
        <w:t xml:space="preserve">expected investment </w:t>
      </w:r>
      <w:r w:rsidR="00825FFB">
        <w:rPr>
          <w:rFonts w:ascii="Arial" w:hAnsi="Arial" w:cs="Arial"/>
          <w:sz w:val="17"/>
          <w:szCs w:val="17"/>
        </w:rPr>
        <w:t xml:space="preserve">rate of </w:t>
      </w:r>
      <w:r w:rsidR="00C6421B">
        <w:rPr>
          <w:rFonts w:ascii="Arial" w:hAnsi="Arial" w:cs="Arial"/>
          <w:sz w:val="17"/>
          <w:szCs w:val="17"/>
        </w:rPr>
        <w:t>return</w:t>
      </w:r>
      <w:r w:rsidR="60D99D9A" w:rsidRPr="43E3DEA8">
        <w:rPr>
          <w:rFonts w:ascii="Arial" w:hAnsi="Arial" w:cs="Arial"/>
          <w:sz w:val="17"/>
          <w:szCs w:val="17"/>
        </w:rPr>
        <w:t xml:space="preserve"> (NIFF, SAHF, NGF only)</w:t>
      </w:r>
      <w:r w:rsidR="05B389DD" w:rsidRPr="43E3DEA8">
        <w:rPr>
          <w:rFonts w:ascii="Arial" w:hAnsi="Arial" w:cs="Arial"/>
          <w:sz w:val="17"/>
          <w:szCs w:val="17"/>
        </w:rPr>
        <w:t>.</w:t>
      </w:r>
    </w:p>
    <w:p w14:paraId="01790C99" w14:textId="3C032EE1" w:rsidR="00A2078B" w:rsidRDefault="00F71793" w:rsidP="16BB2E35">
      <w:pPr>
        <w:numPr>
          <w:ilvl w:val="0"/>
          <w:numId w:val="2"/>
        </w:numPr>
        <w:ind w:left="357" w:hanging="357"/>
      </w:pPr>
      <w:r>
        <w:rPr>
          <w:rFonts w:ascii="Arial" w:hAnsi="Arial" w:cs="Arial"/>
          <w:sz w:val="17"/>
          <w:szCs w:val="17"/>
        </w:rPr>
        <w:t xml:space="preserve">A single percentage point increase in </w:t>
      </w:r>
      <w:r w:rsidR="00897853">
        <w:rPr>
          <w:rFonts w:ascii="Arial" w:hAnsi="Arial" w:cs="Arial"/>
          <w:sz w:val="17"/>
          <w:szCs w:val="17"/>
        </w:rPr>
        <w:t>interest rates.</w:t>
      </w:r>
    </w:p>
    <w:p w14:paraId="656A4359" w14:textId="1E2076ED" w:rsidR="00A2078B" w:rsidRDefault="00A2078B" w:rsidP="00323CD1">
      <w:pPr>
        <w:rPr>
          <w:rFonts w:eastAsia="Calibri"/>
        </w:rPr>
      </w:pPr>
    </w:p>
    <w:p w14:paraId="5F730534" w14:textId="58188A41" w:rsidR="008142E1" w:rsidRDefault="008142E1" w:rsidP="00D75D75">
      <w:pPr>
        <w:pStyle w:val="BodyText"/>
        <w:rPr>
          <w:lang w:eastAsia="en-AU"/>
        </w:rPr>
      </w:pPr>
      <w:r w:rsidRPr="541D845C">
        <w:rPr>
          <w:lang w:eastAsia="en-AU"/>
        </w:rPr>
        <w:t xml:space="preserve">NSW </w:t>
      </w:r>
      <w:r w:rsidR="002C1901" w:rsidRPr="541D845C">
        <w:rPr>
          <w:lang w:eastAsia="en-AU"/>
        </w:rPr>
        <w:t xml:space="preserve">Treasury continues to develop financial risk management strategies that optimise and protect the State’s balance sheet. For example, this year Treasury and </w:t>
      </w:r>
      <w:proofErr w:type="spellStart"/>
      <w:r w:rsidR="002C1901" w:rsidRPr="541D845C">
        <w:rPr>
          <w:lang w:eastAsia="en-AU"/>
        </w:rPr>
        <w:t>TCorp</w:t>
      </w:r>
      <w:proofErr w:type="spellEnd"/>
      <w:r w:rsidR="002C1901" w:rsidRPr="541D845C">
        <w:rPr>
          <w:lang w:eastAsia="en-AU"/>
        </w:rPr>
        <w:t xml:space="preserve"> have worked closely to </w:t>
      </w:r>
      <w:r w:rsidR="21917625" w:rsidRPr="541D845C">
        <w:rPr>
          <w:lang w:eastAsia="en-AU"/>
        </w:rPr>
        <w:t xml:space="preserve">introduce the Total Portfolio </w:t>
      </w:r>
      <w:r w:rsidR="1060B4B5" w:rsidRPr="541D845C">
        <w:rPr>
          <w:lang w:eastAsia="en-AU"/>
        </w:rPr>
        <w:t>A</w:t>
      </w:r>
      <w:r w:rsidR="21917625" w:rsidRPr="541D845C">
        <w:rPr>
          <w:lang w:eastAsia="en-AU"/>
        </w:rPr>
        <w:t>pproach to constructing and managing investment portfolio</w:t>
      </w:r>
      <w:r w:rsidR="00DE1061" w:rsidRPr="541D845C">
        <w:rPr>
          <w:lang w:eastAsia="en-AU"/>
        </w:rPr>
        <w:t>s</w:t>
      </w:r>
      <w:r w:rsidR="002C1901" w:rsidRPr="541D845C">
        <w:rPr>
          <w:lang w:eastAsia="en-AU"/>
        </w:rPr>
        <w:t xml:space="preserve">. This approach </w:t>
      </w:r>
      <w:r w:rsidR="161C9BEC" w:rsidRPr="541D845C">
        <w:rPr>
          <w:lang w:eastAsia="en-AU"/>
        </w:rPr>
        <w:t>is designed to produce</w:t>
      </w:r>
      <w:r w:rsidR="002C1901" w:rsidRPr="541D845C">
        <w:rPr>
          <w:lang w:eastAsia="en-AU"/>
        </w:rPr>
        <w:t xml:space="preserve"> greater</w:t>
      </w:r>
      <w:r w:rsidR="7B38B9BA" w:rsidRPr="541D845C">
        <w:rPr>
          <w:lang w:eastAsia="en-AU"/>
        </w:rPr>
        <w:t xml:space="preserve"> returns per unit of risk through a </w:t>
      </w:r>
      <w:r w:rsidR="005B09D5" w:rsidRPr="541D845C">
        <w:rPr>
          <w:lang w:eastAsia="en-AU"/>
        </w:rPr>
        <w:t xml:space="preserve">more </w:t>
      </w:r>
      <w:r w:rsidR="7B38B9BA" w:rsidRPr="541D845C">
        <w:rPr>
          <w:lang w:eastAsia="en-AU"/>
        </w:rPr>
        <w:t>systematic method of diversifying</w:t>
      </w:r>
      <w:r w:rsidR="1B595B8B" w:rsidRPr="541D845C">
        <w:rPr>
          <w:lang w:eastAsia="en-AU"/>
        </w:rPr>
        <w:t xml:space="preserve"> </w:t>
      </w:r>
      <w:r w:rsidR="7736126D" w:rsidRPr="541D845C">
        <w:rPr>
          <w:lang w:eastAsia="en-AU"/>
        </w:rPr>
        <w:t>portfolio</w:t>
      </w:r>
      <w:r w:rsidR="1B595B8B" w:rsidRPr="541D845C">
        <w:rPr>
          <w:lang w:eastAsia="en-AU"/>
        </w:rPr>
        <w:t xml:space="preserve"> risk</w:t>
      </w:r>
      <w:r w:rsidR="117A0D50" w:rsidRPr="541D845C">
        <w:rPr>
          <w:lang w:eastAsia="en-AU"/>
        </w:rPr>
        <w:t>.</w:t>
      </w:r>
      <w:r w:rsidR="009C69AF" w:rsidRPr="541D845C">
        <w:rPr>
          <w:lang w:eastAsia="en-AU"/>
        </w:rPr>
        <w:t xml:space="preserve"> </w:t>
      </w:r>
    </w:p>
    <w:p w14:paraId="520195A6" w14:textId="51E51356" w:rsidR="67F12AE0" w:rsidRDefault="79E05CBE" w:rsidP="00D75D75">
      <w:pPr>
        <w:pStyle w:val="BodyText"/>
        <w:rPr>
          <w:lang w:eastAsia="en-AU"/>
        </w:rPr>
      </w:pPr>
      <w:r w:rsidRPr="6A04D207">
        <w:rPr>
          <w:lang w:eastAsia="en-AU"/>
        </w:rPr>
        <w:t>T</w:t>
      </w:r>
      <w:r w:rsidR="10A79E14" w:rsidRPr="6A04D207">
        <w:rPr>
          <w:lang w:eastAsia="en-AU"/>
        </w:rPr>
        <w:t xml:space="preserve">here has been a significant increase in borrowing requirements since the 2019-20 </w:t>
      </w:r>
      <w:r w:rsidR="5F212438" w:rsidRPr="6A04D207">
        <w:rPr>
          <w:lang w:eastAsia="en-AU"/>
        </w:rPr>
        <w:t>B</w:t>
      </w:r>
      <w:r w:rsidR="10A79E14" w:rsidRPr="6A04D207">
        <w:rPr>
          <w:lang w:eastAsia="en-AU"/>
        </w:rPr>
        <w:t xml:space="preserve">udget, with a corresponding increase in </w:t>
      </w:r>
      <w:r w:rsidR="1C94A676" w:rsidRPr="6A04D207">
        <w:rPr>
          <w:lang w:eastAsia="en-AU"/>
        </w:rPr>
        <w:t xml:space="preserve">future </w:t>
      </w:r>
      <w:r w:rsidR="3AACA39C" w:rsidRPr="6A04D207">
        <w:rPr>
          <w:lang w:eastAsia="en-AU"/>
        </w:rPr>
        <w:t xml:space="preserve">interest </w:t>
      </w:r>
      <w:r w:rsidR="7B542CCB" w:rsidRPr="6A04D207">
        <w:rPr>
          <w:lang w:eastAsia="en-AU"/>
        </w:rPr>
        <w:t xml:space="preserve">expense </w:t>
      </w:r>
      <w:r w:rsidR="3AACA39C" w:rsidRPr="6A04D207">
        <w:rPr>
          <w:lang w:eastAsia="en-AU"/>
        </w:rPr>
        <w:t>sensitivity. G</w:t>
      </w:r>
      <w:r w:rsidR="22FF89E2" w:rsidRPr="6A04D207">
        <w:rPr>
          <w:lang w:eastAsia="en-AU"/>
        </w:rPr>
        <w:t xml:space="preserve">overnment has </w:t>
      </w:r>
      <w:r w:rsidR="0982E950" w:rsidRPr="6A04D207">
        <w:rPr>
          <w:lang w:eastAsia="en-AU"/>
        </w:rPr>
        <w:t>continued to lengthen the maturity profile of its borrowings in order to lock in the current histo</w:t>
      </w:r>
      <w:r w:rsidR="530B9CF8" w:rsidRPr="6A04D207">
        <w:rPr>
          <w:lang w:eastAsia="en-AU"/>
        </w:rPr>
        <w:t>rically low rates for as long as possible</w:t>
      </w:r>
      <w:r w:rsidR="38B2ABFE" w:rsidRPr="6A04D207">
        <w:rPr>
          <w:lang w:eastAsia="en-AU"/>
        </w:rPr>
        <w:t xml:space="preserve">. </w:t>
      </w:r>
      <w:proofErr w:type="spellStart"/>
      <w:r w:rsidR="38B2ABFE" w:rsidRPr="6A04D207">
        <w:rPr>
          <w:lang w:eastAsia="en-AU"/>
        </w:rPr>
        <w:t>TCorp</w:t>
      </w:r>
      <w:proofErr w:type="spellEnd"/>
      <w:r w:rsidR="38B2ABFE" w:rsidRPr="6A04D207">
        <w:rPr>
          <w:lang w:eastAsia="en-AU"/>
        </w:rPr>
        <w:t xml:space="preserve"> has also</w:t>
      </w:r>
      <w:r w:rsidR="530B9CF8" w:rsidRPr="6A04D207">
        <w:rPr>
          <w:lang w:eastAsia="en-AU"/>
        </w:rPr>
        <w:t xml:space="preserve"> </w:t>
      </w:r>
      <w:r w:rsidR="3BB340FD" w:rsidRPr="6A04D207">
        <w:rPr>
          <w:lang w:eastAsia="en-AU"/>
        </w:rPr>
        <w:t>f</w:t>
      </w:r>
      <w:r w:rsidR="7331C39A" w:rsidRPr="6A04D207">
        <w:rPr>
          <w:lang w:eastAsia="en-AU"/>
        </w:rPr>
        <w:t xml:space="preserve">ocussed on </w:t>
      </w:r>
      <w:r w:rsidR="530B9CF8" w:rsidRPr="6A04D207">
        <w:rPr>
          <w:lang w:eastAsia="en-AU"/>
        </w:rPr>
        <w:t>diversify</w:t>
      </w:r>
      <w:r w:rsidR="7EC82420" w:rsidRPr="6A04D207">
        <w:rPr>
          <w:lang w:eastAsia="en-AU"/>
        </w:rPr>
        <w:t>ing</w:t>
      </w:r>
      <w:r w:rsidR="530B9CF8" w:rsidRPr="6A04D207">
        <w:rPr>
          <w:lang w:eastAsia="en-AU"/>
        </w:rPr>
        <w:t xml:space="preserve"> its</w:t>
      </w:r>
      <w:r w:rsidR="5639F8FE" w:rsidRPr="6A04D207">
        <w:rPr>
          <w:lang w:eastAsia="en-AU"/>
        </w:rPr>
        <w:t xml:space="preserve"> investor base</w:t>
      </w:r>
      <w:r w:rsidR="1D2A1505" w:rsidRPr="6A04D207">
        <w:rPr>
          <w:lang w:eastAsia="en-AU"/>
        </w:rPr>
        <w:t>, particularly by accessi</w:t>
      </w:r>
      <w:r w:rsidR="5084F708" w:rsidRPr="6A04D207">
        <w:rPr>
          <w:lang w:eastAsia="en-AU"/>
        </w:rPr>
        <w:t>ng the rapidly growing demand for sustainable bond offerings.</w:t>
      </w:r>
    </w:p>
    <w:p w14:paraId="513F32E8" w14:textId="41909AD8" w:rsidR="000D2AFB" w:rsidRPr="00AC5EA0" w:rsidRDefault="002E5644" w:rsidP="009D3617">
      <w:pPr>
        <w:pStyle w:val="Heading2"/>
        <w:tabs>
          <w:tab w:val="clear" w:pos="567"/>
          <w:tab w:val="left" w:pos="709"/>
        </w:tabs>
        <w:ind w:left="709" w:hanging="709"/>
        <w:rPr>
          <w:rFonts w:cs="Arial"/>
        </w:rPr>
      </w:pPr>
      <w:r w:rsidRPr="00AC5EA0">
        <w:rPr>
          <w:rFonts w:cs="Arial"/>
        </w:rPr>
        <w:t xml:space="preserve">Balance </w:t>
      </w:r>
      <w:r w:rsidR="00555422">
        <w:rPr>
          <w:rFonts w:cs="Arial"/>
        </w:rPr>
        <w:t>s</w:t>
      </w:r>
      <w:r w:rsidRPr="00AC5EA0">
        <w:rPr>
          <w:rFonts w:cs="Arial"/>
        </w:rPr>
        <w:t xml:space="preserve">heet </w:t>
      </w:r>
      <w:r w:rsidR="000D2AFB" w:rsidRPr="00AC5EA0">
        <w:rPr>
          <w:rFonts w:cs="Arial"/>
        </w:rPr>
        <w:t>risks and sensitivities</w:t>
      </w:r>
    </w:p>
    <w:p w14:paraId="25FAEE09" w14:textId="77777777" w:rsidR="004337D8" w:rsidRDefault="00FA3F08" w:rsidP="00D75D75">
      <w:pPr>
        <w:pStyle w:val="BodyText"/>
      </w:pPr>
      <w:r w:rsidRPr="00347E44">
        <w:t xml:space="preserve">Risks </w:t>
      </w:r>
      <w:r w:rsidR="00FE4A68">
        <w:t>to</w:t>
      </w:r>
      <w:r w:rsidRPr="00347E44">
        <w:t xml:space="preserve"> the State’s balance sheet include unanticipated changes</w:t>
      </w:r>
      <w:r w:rsidR="004337D8">
        <w:t>:</w:t>
      </w:r>
    </w:p>
    <w:p w14:paraId="0A0CCE91" w14:textId="33FD72E8" w:rsidR="004337D8" w:rsidRDefault="00FA3F08" w:rsidP="00D75D75">
      <w:pPr>
        <w:pStyle w:val="Bullet1"/>
      </w:pPr>
      <w:r w:rsidRPr="00347E44">
        <w:t xml:space="preserve">to </w:t>
      </w:r>
      <w:r>
        <w:t xml:space="preserve">the value of </w:t>
      </w:r>
      <w:r w:rsidRPr="00347E44">
        <w:t>existing assets and liabilities (</w:t>
      </w:r>
      <w:r w:rsidR="00590299">
        <w:t>those</w:t>
      </w:r>
      <w:r w:rsidR="00590299" w:rsidRPr="00347E44">
        <w:t xml:space="preserve"> </w:t>
      </w:r>
      <w:r w:rsidR="00B05EDF">
        <w:t>already</w:t>
      </w:r>
      <w:r w:rsidRPr="00347E44">
        <w:t xml:space="preserve"> on </w:t>
      </w:r>
      <w:r w:rsidR="004D60D9">
        <w:t xml:space="preserve">the </w:t>
      </w:r>
      <w:r w:rsidRPr="00347E44">
        <w:t>balance sheet</w:t>
      </w:r>
      <w:r>
        <w:t>)</w:t>
      </w:r>
      <w:r w:rsidR="4D4CF1B3">
        <w:t>,</w:t>
      </w:r>
      <w:r w:rsidRPr="00347E44">
        <w:t xml:space="preserve"> and</w:t>
      </w:r>
      <w:r>
        <w:t xml:space="preserve"> </w:t>
      </w:r>
    </w:p>
    <w:p w14:paraId="59952CD5" w14:textId="159A039A" w:rsidR="00FA3F08" w:rsidRDefault="641569F6" w:rsidP="00D75D75">
      <w:pPr>
        <w:pStyle w:val="Bullet1"/>
      </w:pPr>
      <w:r>
        <w:t>from</w:t>
      </w:r>
      <w:r w:rsidR="00FA3F08" w:rsidRPr="00347E44">
        <w:t xml:space="preserve"> the</w:t>
      </w:r>
      <w:r w:rsidR="00FA3F08">
        <w:t xml:space="preserve"> potential</w:t>
      </w:r>
      <w:r w:rsidR="00FA3F08" w:rsidRPr="00347E44">
        <w:t xml:space="preserve"> recognition of </w:t>
      </w:r>
      <w:r w:rsidR="00FA3F08" w:rsidRPr="00EB0A60">
        <w:t>contingent</w:t>
      </w:r>
      <w:r w:rsidR="00FA3F08" w:rsidRPr="00347E44">
        <w:t xml:space="preserve"> assets and liabilities (</w:t>
      </w:r>
      <w:r w:rsidR="00590299">
        <w:t>those</w:t>
      </w:r>
      <w:r w:rsidR="00FA3F08" w:rsidRPr="00347E44">
        <w:t xml:space="preserve"> not shown on</w:t>
      </w:r>
      <w:r w:rsidR="004D60D9">
        <w:t xml:space="preserve"> the</w:t>
      </w:r>
      <w:r w:rsidR="00FA3F08" w:rsidRPr="00347E44">
        <w:t xml:space="preserve"> balance sheet as the accounting recognition criteria are not yet met).</w:t>
      </w:r>
    </w:p>
    <w:p w14:paraId="7E948849" w14:textId="40105063" w:rsidR="00EB1518" w:rsidRPr="001508D2" w:rsidRDefault="7BAF9D45" w:rsidP="00D75D75">
      <w:pPr>
        <w:pStyle w:val="BodyText"/>
        <w:rPr>
          <w:lang w:eastAsia="en-AU"/>
        </w:rPr>
      </w:pPr>
      <w:r w:rsidRPr="3B42F3ED">
        <w:rPr>
          <w:lang w:eastAsia="en-AU"/>
        </w:rPr>
        <w:t xml:space="preserve">The significant market volatility caused by </w:t>
      </w:r>
      <w:r w:rsidR="4CED97DA" w:rsidRPr="3B42F3ED">
        <w:rPr>
          <w:lang w:eastAsia="en-AU"/>
        </w:rPr>
        <w:t>COVID-19</w:t>
      </w:r>
      <w:r w:rsidR="0023578C">
        <w:rPr>
          <w:lang w:eastAsia="en-AU"/>
        </w:rPr>
        <w:t xml:space="preserve"> has </w:t>
      </w:r>
      <w:r w:rsidR="00151FDB">
        <w:rPr>
          <w:lang w:eastAsia="en-AU"/>
        </w:rPr>
        <w:t>had more</w:t>
      </w:r>
      <w:r w:rsidR="4CED97DA" w:rsidRPr="3B42F3ED">
        <w:rPr>
          <w:lang w:eastAsia="en-AU"/>
        </w:rPr>
        <w:t xml:space="preserve"> impact</w:t>
      </w:r>
      <w:r w:rsidR="14E61B6F" w:rsidRPr="3B42F3ED">
        <w:rPr>
          <w:lang w:eastAsia="en-AU"/>
        </w:rPr>
        <w:t xml:space="preserve"> </w:t>
      </w:r>
      <w:r w:rsidR="00151FDB">
        <w:rPr>
          <w:lang w:eastAsia="en-AU"/>
        </w:rPr>
        <w:t>on</w:t>
      </w:r>
      <w:r w:rsidR="008168A0" w:rsidRPr="3B42F3ED" w:rsidDel="00EB1518">
        <w:rPr>
          <w:lang w:eastAsia="en-AU"/>
        </w:rPr>
        <w:t xml:space="preserve"> those</w:t>
      </w:r>
      <w:r w:rsidR="00EB1518" w:rsidRPr="3B42F3ED">
        <w:rPr>
          <w:lang w:eastAsia="en-AU"/>
        </w:rPr>
        <w:t xml:space="preserve"> </w:t>
      </w:r>
      <w:r w:rsidR="14E61B6F" w:rsidRPr="6BEF74B0">
        <w:rPr>
          <w:lang w:eastAsia="en-AU"/>
        </w:rPr>
        <w:t>funds</w:t>
      </w:r>
      <w:r w:rsidR="00EB1518" w:rsidRPr="6BEF74B0">
        <w:rPr>
          <w:lang w:eastAsia="en-AU"/>
        </w:rPr>
        <w:t xml:space="preserve"> </w:t>
      </w:r>
      <w:r w:rsidR="00EB1518" w:rsidRPr="3B42F3ED">
        <w:rPr>
          <w:lang w:eastAsia="en-AU"/>
        </w:rPr>
        <w:t>with a higher weighting to growth assets</w:t>
      </w:r>
      <w:r w:rsidR="41617BD7" w:rsidRPr="3B42F3ED">
        <w:rPr>
          <w:lang w:eastAsia="en-AU"/>
        </w:rPr>
        <w:t xml:space="preserve"> </w:t>
      </w:r>
      <w:r w:rsidR="72A9C515" w:rsidRPr="16BB2E35">
        <w:rPr>
          <w:lang w:eastAsia="en-AU"/>
        </w:rPr>
        <w:t>–</w:t>
      </w:r>
      <w:r w:rsidR="0F65565B" w:rsidRPr="16BB2E35">
        <w:rPr>
          <w:lang w:eastAsia="en-AU"/>
        </w:rPr>
        <w:t xml:space="preserve"> </w:t>
      </w:r>
      <w:r w:rsidR="72A9C515" w:rsidRPr="16BB2E35">
        <w:rPr>
          <w:lang w:eastAsia="en-AU"/>
        </w:rPr>
        <w:t>for example,</w:t>
      </w:r>
      <w:r w:rsidR="00991340">
        <w:rPr>
          <w:lang w:eastAsia="en-AU"/>
        </w:rPr>
        <w:t xml:space="preserve"> equities</w:t>
      </w:r>
      <w:r w:rsidR="00EB1518" w:rsidRPr="6BEF74B0">
        <w:rPr>
          <w:lang w:eastAsia="en-AU"/>
        </w:rPr>
        <w:t>.</w:t>
      </w:r>
      <w:r w:rsidR="04A08005" w:rsidRPr="3B42F3ED">
        <w:rPr>
          <w:lang w:eastAsia="en-AU"/>
        </w:rPr>
        <w:t xml:space="preserve"> The easing of monetary policy and the unprecedented fiscal policy response to </w:t>
      </w:r>
      <w:r w:rsidR="35CFE1C1" w:rsidRPr="3B42F3ED">
        <w:rPr>
          <w:lang w:eastAsia="en-AU"/>
        </w:rPr>
        <w:t xml:space="preserve">the </w:t>
      </w:r>
      <w:r w:rsidR="00AC41AF" w:rsidRPr="6BEF74B0">
        <w:rPr>
          <w:lang w:eastAsia="en-AU"/>
        </w:rPr>
        <w:t>crisis</w:t>
      </w:r>
      <w:r w:rsidR="35CFE1C1" w:rsidRPr="3B42F3ED">
        <w:rPr>
          <w:lang w:eastAsia="en-AU"/>
        </w:rPr>
        <w:t xml:space="preserve"> have introduced </w:t>
      </w:r>
      <w:r w:rsidR="0A53C663" w:rsidRPr="3B42F3ED">
        <w:rPr>
          <w:lang w:eastAsia="en-AU"/>
        </w:rPr>
        <w:t>new risks</w:t>
      </w:r>
      <w:r w:rsidR="008168A0" w:rsidRPr="3B42F3ED" w:rsidDel="00EB1518">
        <w:rPr>
          <w:lang w:eastAsia="en-AU"/>
        </w:rPr>
        <w:t xml:space="preserve"> </w:t>
      </w:r>
      <w:r w:rsidR="1DD48341" w:rsidRPr="3B42F3ED">
        <w:rPr>
          <w:lang w:eastAsia="en-AU"/>
        </w:rPr>
        <w:t>to</w:t>
      </w:r>
      <w:r w:rsidR="733836E1" w:rsidRPr="3B42F3ED">
        <w:rPr>
          <w:lang w:eastAsia="en-AU"/>
        </w:rPr>
        <w:t xml:space="preserve"> each of the </w:t>
      </w:r>
      <w:r w:rsidR="18552296" w:rsidRPr="3B42F3ED">
        <w:rPr>
          <w:lang w:eastAsia="en-AU"/>
        </w:rPr>
        <w:t xml:space="preserve">investible </w:t>
      </w:r>
      <w:r w:rsidR="3EB064EE" w:rsidRPr="3B42F3ED">
        <w:rPr>
          <w:lang w:eastAsia="en-AU"/>
        </w:rPr>
        <w:t>asset classes</w:t>
      </w:r>
      <w:r w:rsidR="79551BC9" w:rsidRPr="3B42F3ED">
        <w:rPr>
          <w:lang w:eastAsia="en-AU"/>
        </w:rPr>
        <w:t>.</w:t>
      </w:r>
      <w:r w:rsidR="5299DFF3" w:rsidRPr="3B42F3ED">
        <w:rPr>
          <w:lang w:eastAsia="en-AU"/>
        </w:rPr>
        <w:t xml:space="preserve"> </w:t>
      </w:r>
      <w:r w:rsidR="00EB1518" w:rsidRPr="3B42F3ED">
        <w:rPr>
          <w:lang w:eastAsia="en-AU"/>
        </w:rPr>
        <w:t>The risks and performance of funds are monitored closely,</w:t>
      </w:r>
      <w:r w:rsidR="1D91401C" w:rsidRPr="3B42F3ED">
        <w:rPr>
          <w:lang w:eastAsia="en-AU"/>
        </w:rPr>
        <w:t xml:space="preserve"> with risk appetites and asset allocation strategies reviewed annually to ensure they remain appropriate.</w:t>
      </w:r>
      <w:r w:rsidR="00EB1518" w:rsidRPr="3B42F3ED">
        <w:rPr>
          <w:lang w:eastAsia="en-AU"/>
        </w:rPr>
        <w:t xml:space="preserve"> </w:t>
      </w:r>
    </w:p>
    <w:p w14:paraId="05FFDBFD" w14:textId="79A71E8E" w:rsidR="00FA3F08" w:rsidRPr="00347E44" w:rsidRDefault="00FA3F08" w:rsidP="00D75D75">
      <w:pPr>
        <w:pStyle w:val="BodyText"/>
      </w:pPr>
      <w:r w:rsidRPr="00347E44">
        <w:t xml:space="preserve">Liabilities for superannuation and long service leave are estimated with reference to </w:t>
      </w:r>
      <w:r w:rsidR="0030047E">
        <w:t xml:space="preserve">a range of factors, including but not limited to </w:t>
      </w:r>
      <w:r w:rsidRPr="00347E44">
        <w:t>assumed rates of investment returns, salary growth, inflation</w:t>
      </w:r>
      <w:r w:rsidR="0030047E">
        <w:t xml:space="preserve"> and</w:t>
      </w:r>
      <w:r>
        <w:t xml:space="preserve"> </w:t>
      </w:r>
      <w:r w:rsidRPr="00347E44">
        <w:t>discount rates</w:t>
      </w:r>
      <w:r>
        <w:t>.</w:t>
      </w:r>
      <w:r w:rsidRPr="00347E44">
        <w:t xml:space="preserve"> Changes in </w:t>
      </w:r>
      <w:r w:rsidR="00E53E3B">
        <w:t xml:space="preserve">any </w:t>
      </w:r>
      <w:r>
        <w:t>parameter</w:t>
      </w:r>
      <w:r w:rsidRPr="00347E44">
        <w:t xml:space="preserve"> can affect </w:t>
      </w:r>
      <w:r w:rsidR="00E53E3B">
        <w:t xml:space="preserve">the liability for </w:t>
      </w:r>
      <w:r w:rsidRPr="00347E44">
        <w:t>defined benefit superannuation and long service leave.</w:t>
      </w:r>
    </w:p>
    <w:p w14:paraId="71B2888F" w14:textId="1F182B7D" w:rsidR="00E975BB" w:rsidRDefault="00FA3F08" w:rsidP="00D75D75">
      <w:pPr>
        <w:pStyle w:val="BodyText"/>
      </w:pPr>
      <w:r>
        <w:t xml:space="preserve">The State faces potential obligations that are non-quantifiable, </w:t>
      </w:r>
      <w:r w:rsidR="00876815">
        <w:t>but</w:t>
      </w:r>
      <w:r>
        <w:t xml:space="preserve"> which can be broadly grouped into commercial transactions</w:t>
      </w:r>
      <w:r w:rsidRPr="14678BA1">
        <w:rPr>
          <w:rFonts w:eastAsia="SymbolMT"/>
        </w:rPr>
        <w:t xml:space="preserve"> </w:t>
      </w:r>
      <w:r>
        <w:t xml:space="preserve">and other contingent liabilities. As an example, the Government provided limited general warranties to purchasers and lessees under several energy </w:t>
      </w:r>
      <w:r w:rsidR="00837CD4">
        <w:t>transactions and has</w:t>
      </w:r>
      <w:r>
        <w:t xml:space="preserve"> also retained responsibility for the costs associated with remediating pre-existing contamination at several power station sites.</w:t>
      </w:r>
      <w:r w:rsidR="7776CDF7">
        <w:t xml:space="preserve"> </w:t>
      </w:r>
    </w:p>
    <w:p w14:paraId="0D5533ED" w14:textId="15082B67" w:rsidR="00836458" w:rsidRDefault="00DC2381" w:rsidP="00E975BB">
      <w:pPr>
        <w:pStyle w:val="Heading3"/>
        <w:numPr>
          <w:ilvl w:val="0"/>
          <w:numId w:val="0"/>
        </w:numPr>
      </w:pPr>
      <w:r w:rsidRPr="00AC5EA0">
        <w:t>Investments</w:t>
      </w:r>
    </w:p>
    <w:p w14:paraId="1AC1F429" w14:textId="4A9ED824" w:rsidR="00BF5576" w:rsidRPr="00BF5576" w:rsidRDefault="001508D2" w:rsidP="00D75D75">
      <w:pPr>
        <w:pStyle w:val="BodyText"/>
        <w:rPr>
          <w:lang w:eastAsia="en-AU"/>
        </w:rPr>
      </w:pPr>
      <w:r w:rsidRPr="001508D2">
        <w:rPr>
          <w:lang w:eastAsia="en-AU"/>
        </w:rPr>
        <w:t>The State holds </w:t>
      </w:r>
      <w:r w:rsidR="00FE4B50">
        <w:rPr>
          <w:lang w:eastAsia="en-AU"/>
        </w:rPr>
        <w:t xml:space="preserve">several </w:t>
      </w:r>
      <w:r w:rsidRPr="001508D2">
        <w:rPr>
          <w:lang w:eastAsia="en-AU"/>
        </w:rPr>
        <w:t xml:space="preserve">investment funds which are managed by </w:t>
      </w:r>
      <w:proofErr w:type="spellStart"/>
      <w:r w:rsidRPr="001508D2">
        <w:rPr>
          <w:lang w:eastAsia="en-AU"/>
        </w:rPr>
        <w:t>TCorp</w:t>
      </w:r>
      <w:proofErr w:type="spellEnd"/>
      <w:r w:rsidRPr="001508D2">
        <w:rPr>
          <w:lang w:eastAsia="en-AU"/>
        </w:rPr>
        <w:t>, including the NSW Generations Fund</w:t>
      </w:r>
      <w:r w:rsidR="00541A4C">
        <w:rPr>
          <w:lang w:eastAsia="en-AU"/>
        </w:rPr>
        <w:t xml:space="preserve"> (NGF)</w:t>
      </w:r>
      <w:r w:rsidRPr="001508D2">
        <w:rPr>
          <w:lang w:eastAsia="en-AU"/>
        </w:rPr>
        <w:t>, NSW Infrastructure Future Fund</w:t>
      </w:r>
      <w:r w:rsidR="00541A4C">
        <w:rPr>
          <w:lang w:eastAsia="en-AU"/>
        </w:rPr>
        <w:t xml:space="preserve"> (NIFF)</w:t>
      </w:r>
      <w:r w:rsidRPr="001508D2">
        <w:rPr>
          <w:lang w:eastAsia="en-AU"/>
        </w:rPr>
        <w:t>, Social and Affordable Housing Fund </w:t>
      </w:r>
      <w:r w:rsidR="00541A4C">
        <w:rPr>
          <w:lang w:eastAsia="en-AU"/>
        </w:rPr>
        <w:t xml:space="preserve">(SAHF) </w:t>
      </w:r>
      <w:r w:rsidRPr="001508D2">
        <w:rPr>
          <w:lang w:eastAsia="en-AU"/>
        </w:rPr>
        <w:t>and the Treasury Managed Fund</w:t>
      </w:r>
      <w:r w:rsidR="00541A4C">
        <w:rPr>
          <w:lang w:eastAsia="en-AU"/>
        </w:rPr>
        <w:t xml:space="preserve"> (TMF)</w:t>
      </w:r>
      <w:r w:rsidRPr="001508D2">
        <w:rPr>
          <w:lang w:eastAsia="en-AU"/>
        </w:rPr>
        <w:t>. </w:t>
      </w:r>
    </w:p>
    <w:p w14:paraId="504304F0" w14:textId="027DC0F1" w:rsidR="72BD1433" w:rsidRDefault="38869E99" w:rsidP="00D75D75">
      <w:pPr>
        <w:pStyle w:val="BodyText"/>
      </w:pPr>
      <w:r>
        <w:t xml:space="preserve">These Funds have varying levels of exposures to </w:t>
      </w:r>
      <w:r w:rsidR="1A7BC95A">
        <w:t>growth assets</w:t>
      </w:r>
      <w:r w:rsidR="74BBE24A">
        <w:t xml:space="preserve"> (assets with higher levels of risk)</w:t>
      </w:r>
      <w:r w:rsidR="371F2660">
        <w:t>.</w:t>
      </w:r>
      <w:r w:rsidR="7B491AD5">
        <w:t xml:space="preserve"> </w:t>
      </w:r>
      <w:r w:rsidR="057AD55A">
        <w:t>The NIFF</w:t>
      </w:r>
      <w:r w:rsidR="30AA85FD">
        <w:t>,</w:t>
      </w:r>
      <w:r w:rsidR="057AD55A">
        <w:t xml:space="preserve"> </w:t>
      </w:r>
      <w:r w:rsidR="10E34A3C">
        <w:t>for instance</w:t>
      </w:r>
      <w:r w:rsidR="1415BB00">
        <w:t>,</w:t>
      </w:r>
      <w:r w:rsidR="057AD55A">
        <w:t xml:space="preserve"> has </w:t>
      </w:r>
      <w:r w:rsidR="582DC807">
        <w:t>a relatively small allocation</w:t>
      </w:r>
      <w:r w:rsidR="057AD55A">
        <w:t xml:space="preserve"> to equities</w:t>
      </w:r>
      <w:r w:rsidR="20895C98">
        <w:t xml:space="preserve"> (at 26 per cent)</w:t>
      </w:r>
      <w:r w:rsidR="387694A9">
        <w:t xml:space="preserve"> and keeps </w:t>
      </w:r>
      <w:r w:rsidR="6DEB38E2">
        <w:t>around two-thirds</w:t>
      </w:r>
      <w:r w:rsidR="387694A9">
        <w:t xml:space="preserve"> of its portfolio in liquid cash</w:t>
      </w:r>
      <w:r w:rsidR="03EDC34F">
        <w:t xml:space="preserve"> and bonds</w:t>
      </w:r>
      <w:r w:rsidR="41D09F15">
        <w:t xml:space="preserve">, which </w:t>
      </w:r>
      <w:r w:rsidR="485A7D98">
        <w:t>a</w:t>
      </w:r>
      <w:r w:rsidR="3E4FE36F">
        <w:t>re</w:t>
      </w:r>
      <w:r w:rsidR="41D09F15">
        <w:t xml:space="preserve"> defensive </w:t>
      </w:r>
      <w:r w:rsidR="485A7D98">
        <w:t>asset</w:t>
      </w:r>
      <w:r w:rsidR="3E4FE36F">
        <w:t>s</w:t>
      </w:r>
      <w:r w:rsidR="41D09F15">
        <w:t>,</w:t>
      </w:r>
      <w:r w:rsidR="18C4F6B1">
        <w:t xml:space="preserve"> </w:t>
      </w:r>
      <w:r w:rsidR="00327683">
        <w:t xml:space="preserve">so it can </w:t>
      </w:r>
      <w:r w:rsidR="18C4F6B1">
        <w:t>meet</w:t>
      </w:r>
      <w:r w:rsidR="75E7F2BC">
        <w:t xml:space="preserve"> the State’s</w:t>
      </w:r>
      <w:r w:rsidR="18C4F6B1">
        <w:t xml:space="preserve"> short</w:t>
      </w:r>
      <w:r w:rsidR="25BFA0E5">
        <w:t>-</w:t>
      </w:r>
      <w:r w:rsidR="18C4F6B1">
        <w:t xml:space="preserve"> to medium-term infrastructure </w:t>
      </w:r>
      <w:r w:rsidR="00327683">
        <w:t>expenditure</w:t>
      </w:r>
      <w:r w:rsidR="18C4F6B1">
        <w:t>.</w:t>
      </w:r>
      <w:r w:rsidR="363696DD">
        <w:t xml:space="preserve"> On the other hand, the NGF has a high allocation </w:t>
      </w:r>
      <w:r w:rsidR="19CF2B24">
        <w:t>of</w:t>
      </w:r>
      <w:r w:rsidR="363696DD">
        <w:t xml:space="preserve"> growth assets because of its long-term investment horizon, with about 40 per cent of its portfolio invested in Australian and internationally listed shares. This is in line with its strategic policy objective of helping ease the debt burden on the State’s future generations.</w:t>
      </w:r>
    </w:p>
    <w:p w14:paraId="563998BA" w14:textId="62528F6C" w:rsidR="363696DD" w:rsidRDefault="755F3887" w:rsidP="00D75D75">
      <w:pPr>
        <w:pStyle w:val="BodyText"/>
      </w:pPr>
      <w:r>
        <w:t>Under t</w:t>
      </w:r>
      <w:r w:rsidR="5AA91DEB">
        <w:t xml:space="preserve">he </w:t>
      </w:r>
      <w:r w:rsidR="363696DD" w:rsidRPr="6BEF74B0">
        <w:rPr>
          <w:i/>
          <w:iCs/>
        </w:rPr>
        <w:t>NSW Generations Funds Act 2018</w:t>
      </w:r>
      <w:r>
        <w:t>,</w:t>
      </w:r>
      <w:r w:rsidR="363696DD">
        <w:t xml:space="preserve"> funds in the NGF can only be directed towards the repayment of the State’s debt. Both Moody’s and S&amp;P Global recognise the balance of the NGF </w:t>
      </w:r>
      <w:r w:rsidR="7F5F37F3">
        <w:t>D</w:t>
      </w:r>
      <w:r w:rsidR="5AA91DEB">
        <w:t xml:space="preserve">ebt </w:t>
      </w:r>
      <w:r w:rsidR="537836A3">
        <w:t>R</w:t>
      </w:r>
      <w:r w:rsidR="5AA91DEB">
        <w:t xml:space="preserve">etirement </w:t>
      </w:r>
      <w:r w:rsidR="45CD87DF">
        <w:t>F</w:t>
      </w:r>
      <w:r w:rsidR="5AA91DEB">
        <w:t>und</w:t>
      </w:r>
      <w:r w:rsidR="363696DD">
        <w:t xml:space="preserve"> as an offset to the State’s debt metrics. Accordingly, market volatility that impacts the balance of the NGF carries additional risks to the State’s debt metrics. Treasury manages this risk through the NGF investment strategy (the mix of assets it is invested in) which remains aligned to a long-term investment horizon. The NGF is invested in a diverse range of assets including domestic and international equities, bonds, property and infrastructure. Under the </w:t>
      </w:r>
      <w:r w:rsidR="4F767E30">
        <w:t>existing</w:t>
      </w:r>
      <w:r w:rsidR="363696DD">
        <w:t xml:space="preserve"> governance arrangements, NSW Treasury </w:t>
      </w:r>
      <w:r w:rsidR="5DF68684">
        <w:t>recommends</w:t>
      </w:r>
      <w:r w:rsidR="363696DD">
        <w:t xml:space="preserve"> the risk appetite and the NGF Advisory Board endorses </w:t>
      </w:r>
      <w:r w:rsidR="0F262C46">
        <w:t>and recommends</w:t>
      </w:r>
      <w:r w:rsidR="1D3C759D">
        <w:t xml:space="preserve"> </w:t>
      </w:r>
      <w:r w:rsidR="363696DD">
        <w:t>the investment strategy to the Treasurer.</w:t>
      </w:r>
    </w:p>
    <w:p w14:paraId="64940C18" w14:textId="4562FDD2" w:rsidR="270FE6EF" w:rsidRDefault="0FEA1497" w:rsidP="00D75D75">
      <w:pPr>
        <w:pStyle w:val="BodyText"/>
      </w:pPr>
      <w:r w:rsidRPr="647710F0">
        <w:t xml:space="preserve">The forward outlook for financial markets is highly uncertain. </w:t>
      </w:r>
      <w:r w:rsidR="002A25E4">
        <w:t xml:space="preserve">There is uncertainty on </w:t>
      </w:r>
      <w:r w:rsidR="00F02661">
        <w:t>further COVID-19 outbreaks</w:t>
      </w:r>
      <w:r w:rsidR="00621B8D">
        <w:t xml:space="preserve">, </w:t>
      </w:r>
      <w:r w:rsidR="00294CC2">
        <w:t>vaccine development timelines,</w:t>
      </w:r>
      <w:r w:rsidR="331060B0" w:rsidRPr="647710F0">
        <w:t xml:space="preserve"> the extent and the duration of </w:t>
      </w:r>
      <w:r w:rsidR="00BA26F0">
        <w:t>G</w:t>
      </w:r>
      <w:r w:rsidR="331060B0" w:rsidRPr="647710F0">
        <w:t xml:space="preserve">overnment support, </w:t>
      </w:r>
      <w:r w:rsidR="002A25E4">
        <w:t xml:space="preserve">future </w:t>
      </w:r>
      <w:r w:rsidR="17E4FF89">
        <w:t>employment growth</w:t>
      </w:r>
      <w:r w:rsidR="009B3563">
        <w:t xml:space="preserve"> </w:t>
      </w:r>
      <w:r w:rsidR="49468158">
        <w:t xml:space="preserve">and </w:t>
      </w:r>
      <w:r w:rsidR="17E4FF89">
        <w:t>other risks</w:t>
      </w:r>
      <w:r w:rsidR="4DFC87DF">
        <w:t>.</w:t>
      </w:r>
      <w:r w:rsidR="00227D1D">
        <w:t xml:space="preserve"> Each can </w:t>
      </w:r>
      <w:r w:rsidR="69E6AD84">
        <w:t>impact</w:t>
      </w:r>
      <w:r w:rsidR="4A0E8EBA" w:rsidRPr="647710F0">
        <w:t xml:space="preserve"> business and investor confidence</w:t>
      </w:r>
      <w:r w:rsidR="00164DBE">
        <w:t xml:space="preserve"> and therefore asset values</w:t>
      </w:r>
      <w:r w:rsidR="4A0E8EBA" w:rsidRPr="647710F0">
        <w:t>.</w:t>
      </w:r>
    </w:p>
    <w:p w14:paraId="48287612" w14:textId="627AEF9C" w:rsidR="00CF455D" w:rsidRDefault="48D997A0" w:rsidP="00D75D75">
      <w:pPr>
        <w:pStyle w:val="BodyText"/>
      </w:pPr>
      <w:r>
        <w:t xml:space="preserve">During this period of increased uncertainty, NSW </w:t>
      </w:r>
      <w:r w:rsidR="5E041ADF">
        <w:t xml:space="preserve">Treasury continues to work alongside </w:t>
      </w:r>
      <w:proofErr w:type="spellStart"/>
      <w:r w:rsidR="5E041ADF">
        <w:t>TCorp</w:t>
      </w:r>
      <w:proofErr w:type="spellEnd"/>
      <w:r w:rsidR="5E041ADF">
        <w:t xml:space="preserve"> to closely monitor </w:t>
      </w:r>
      <w:r w:rsidR="005643AC">
        <w:t xml:space="preserve">and manage </w:t>
      </w:r>
      <w:r w:rsidR="5E041ADF">
        <w:t>the risk exposures of the State’s investment funds</w:t>
      </w:r>
      <w:r w:rsidR="19BB8317">
        <w:t>.</w:t>
      </w:r>
      <w:r w:rsidR="48FFB35A">
        <w:t xml:space="preserve"> </w:t>
      </w:r>
      <w:proofErr w:type="spellStart"/>
      <w:r w:rsidR="48FFB35A">
        <w:t>TCorp</w:t>
      </w:r>
      <w:proofErr w:type="spellEnd"/>
      <w:r w:rsidR="48FFB35A">
        <w:t xml:space="preserve"> </w:t>
      </w:r>
      <w:r w:rsidR="6803107A">
        <w:t xml:space="preserve">is set to </w:t>
      </w:r>
      <w:r w:rsidR="48FFB35A">
        <w:t>b</w:t>
      </w:r>
      <w:r w:rsidR="678668FC">
        <w:t xml:space="preserve">egin the transition </w:t>
      </w:r>
      <w:r w:rsidR="00DC0DC1">
        <w:t xml:space="preserve">of </w:t>
      </w:r>
      <w:r w:rsidR="0044487D">
        <w:t>its funds management</w:t>
      </w:r>
      <w:r w:rsidR="678668FC">
        <w:t xml:space="preserve"> to using a Total Portfolio Approach </w:t>
      </w:r>
      <w:r w:rsidR="58059001">
        <w:t xml:space="preserve">from 2020-21 </w:t>
      </w:r>
      <w:r w:rsidR="678668FC">
        <w:t xml:space="preserve">to optimise the construction and </w:t>
      </w:r>
      <w:r w:rsidR="00B922BC">
        <w:t>management</w:t>
      </w:r>
      <w:r w:rsidR="678668FC">
        <w:t xml:space="preserve"> of</w:t>
      </w:r>
      <w:r w:rsidR="347EB458">
        <w:t xml:space="preserve"> these</w:t>
      </w:r>
      <w:r w:rsidR="678668FC">
        <w:t xml:space="preserve"> portfolios. </w:t>
      </w:r>
      <w:r w:rsidR="21A2DAB7">
        <w:t>Th</w:t>
      </w:r>
      <w:r w:rsidR="40F64868">
        <w:t>is</w:t>
      </w:r>
      <w:r w:rsidR="21A2DAB7">
        <w:t xml:space="preserve"> approach</w:t>
      </w:r>
      <w:r w:rsidR="230EEC26">
        <w:t xml:space="preserve"> facilitates a more systematic diversification of risk within each portfolio, allowing the</w:t>
      </w:r>
      <w:r w:rsidR="6610524E">
        <w:t xml:space="preserve"> State to better manage </w:t>
      </w:r>
      <w:r w:rsidR="72FFA156">
        <w:t xml:space="preserve">its </w:t>
      </w:r>
      <w:r w:rsidR="60F40436">
        <w:t>total risk exposure across th</w:t>
      </w:r>
      <w:r w:rsidR="60F40436" w:rsidDel="00AA2715">
        <w:t>e</w:t>
      </w:r>
      <w:r w:rsidR="00AA2715">
        <w:t xml:space="preserve"> </w:t>
      </w:r>
      <w:r w:rsidR="60F40436">
        <w:t>various asset classes</w:t>
      </w:r>
      <w:r w:rsidR="677D1F7A">
        <w:t xml:space="preserve"> under investment</w:t>
      </w:r>
      <w:r w:rsidR="60F40436">
        <w:t>.</w:t>
      </w:r>
      <w:r w:rsidR="00AA2715">
        <w:t xml:space="preserve"> </w:t>
      </w:r>
    </w:p>
    <w:p w14:paraId="0090C248" w14:textId="19883EEE" w:rsidR="00B63665" w:rsidRPr="006B43FD" w:rsidRDefault="00B63665" w:rsidP="00BA23E0">
      <w:pPr>
        <w:pStyle w:val="Heading3"/>
        <w:numPr>
          <w:ilvl w:val="0"/>
          <w:numId w:val="0"/>
        </w:numPr>
        <w:rPr>
          <w:rFonts w:asciiTheme="minorHAnsi" w:eastAsiaTheme="minorEastAsia" w:hAnsiTheme="minorHAnsi" w:cstheme="minorBidi"/>
          <w:sz w:val="23"/>
          <w:szCs w:val="23"/>
        </w:rPr>
      </w:pPr>
      <w:r w:rsidRPr="00100C80">
        <w:rPr>
          <w:rFonts w:eastAsia="Arial Bold"/>
        </w:rPr>
        <w:t>Superannuation</w:t>
      </w:r>
      <w:r w:rsidRPr="00997BDA">
        <w:rPr>
          <w:rFonts w:eastAsia="Arial Bold" w:cs="Arial Bold"/>
          <w:szCs w:val="26"/>
        </w:rPr>
        <w:t xml:space="preserve"> </w:t>
      </w:r>
      <w:r w:rsidR="00B85134" w:rsidRPr="00997BDA">
        <w:rPr>
          <w:rFonts w:eastAsia="Arial Bold" w:cs="Arial Bold"/>
          <w:szCs w:val="26"/>
        </w:rPr>
        <w:t xml:space="preserve">and long service leave </w:t>
      </w:r>
      <w:r w:rsidRPr="00997BDA">
        <w:rPr>
          <w:rFonts w:eastAsia="Arial Bold" w:cs="Arial Bold"/>
          <w:szCs w:val="26"/>
        </w:rPr>
        <w:t>liabilities</w:t>
      </w:r>
    </w:p>
    <w:p w14:paraId="38898D9D" w14:textId="095CCFED" w:rsidR="004E21A9" w:rsidRDefault="00632158" w:rsidP="00D75D75">
      <w:pPr>
        <w:pStyle w:val="BodyText"/>
      </w:pPr>
      <w:r>
        <w:t>Forecast l</w:t>
      </w:r>
      <w:r w:rsidR="004E21A9" w:rsidRPr="004D2D27">
        <w:t>iabilities for superannuation and long service leave are based on a wide range of parameters. These include assumptions around salary growth, inflation, investment returns and discount rates. A change in any of these parameters may affect the actual liabilities of superannuation and long</w:t>
      </w:r>
      <w:r w:rsidR="008C49F4">
        <w:t xml:space="preserve"> </w:t>
      </w:r>
      <w:r w:rsidR="004E21A9" w:rsidRPr="004D2D27">
        <w:t>service leave. The long</w:t>
      </w:r>
      <w:r w:rsidR="008C49F4">
        <w:t xml:space="preserve"> </w:t>
      </w:r>
      <w:r w:rsidR="004E21A9" w:rsidRPr="004D2D27">
        <w:t>service leave liability is also subject to variations in the rate of employee retention</w:t>
      </w:r>
      <w:r w:rsidR="004E21A9">
        <w:t>.</w:t>
      </w:r>
    </w:p>
    <w:p w14:paraId="7380CD8A" w14:textId="56DDC811" w:rsidR="001D5EDC" w:rsidRDefault="001D5EDC">
      <w:pPr>
        <w:spacing w:after="200" w:line="276" w:lineRule="auto"/>
        <w:rPr>
          <w:rFonts w:ascii="Arial" w:eastAsiaTheme="minorHAnsi" w:hAnsi="Arial" w:cs="Arial"/>
          <w:sz w:val="23"/>
          <w:szCs w:val="24"/>
          <w:lang w:val="en-AU"/>
        </w:rPr>
      </w:pPr>
      <w:r>
        <w:br w:type="page"/>
      </w:r>
    </w:p>
    <w:p w14:paraId="0C9BD280" w14:textId="79EBD7AB" w:rsidR="007260C2" w:rsidRDefault="00530D2C" w:rsidP="001D5EDC">
      <w:pPr>
        <w:pStyle w:val="Table4X"/>
        <w:rPr>
          <w:rFonts w:asciiTheme="minorHAnsi" w:eastAsiaTheme="minorEastAsia" w:hAnsiTheme="minorHAnsi" w:cstheme="minorBidi"/>
        </w:rPr>
      </w:pPr>
      <w:r w:rsidRPr="001D5EDC">
        <w:t>Superannuation</w:t>
      </w:r>
      <w:r w:rsidRPr="00D3563C">
        <w:t xml:space="preserve"> liabilities </w:t>
      </w:r>
      <w:r>
        <w:t>sensitivities</w:t>
      </w:r>
      <w:r w:rsidR="0CB871C0" w:rsidRPr="74FABDDA">
        <w:rPr>
          <w:rFonts w:cs="Arial"/>
          <w:sz w:val="14"/>
          <w:szCs w:val="14"/>
          <w:vertAlign w:val="superscript"/>
        </w:rPr>
        <w:t xml:space="preserve"> (a)</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B.8: Superannuation liabilities sensitivities (a)"/>
        <w:tblDescription w:val="Table B.8: Superannuation liabilities sensitivities (a)"/>
      </w:tblPr>
      <w:tblGrid>
        <w:gridCol w:w="3642"/>
        <w:gridCol w:w="1057"/>
        <w:gridCol w:w="991"/>
        <w:gridCol w:w="992"/>
        <w:gridCol w:w="991"/>
        <w:gridCol w:w="1966"/>
      </w:tblGrid>
      <w:tr w:rsidR="7E0E8BD3" w:rsidRPr="001D5EDC" w14:paraId="425E180D" w14:textId="77777777" w:rsidTr="00750F94">
        <w:trPr>
          <w:trHeight w:val="283"/>
        </w:trPr>
        <w:tc>
          <w:tcPr>
            <w:tcW w:w="3683" w:type="dxa"/>
            <w:vMerge w:val="restart"/>
            <w:shd w:val="clear" w:color="auto" w:fill="008EBA"/>
            <w:vAlign w:val="center"/>
          </w:tcPr>
          <w:p w14:paraId="31CFCD8C" w14:textId="4B69B859" w:rsidR="7E0E8BD3" w:rsidRPr="001D5EDC" w:rsidRDefault="7E0E8BD3" w:rsidP="000B6189">
            <w:pPr>
              <w:rPr>
                <w:rStyle w:val="eop"/>
                <w:rFonts w:ascii="Arial" w:hAnsi="Arial" w:cs="Arial"/>
                <w:color w:val="FFFFFF" w:themeColor="background1"/>
                <w:sz w:val="18"/>
                <w:szCs w:val="18"/>
                <w:vertAlign w:val="superscript"/>
                <w:lang w:eastAsia="en-AU"/>
              </w:rPr>
            </w:pPr>
            <w:r w:rsidRPr="001D5EDC">
              <w:rPr>
                <w:rStyle w:val="eop"/>
                <w:rFonts w:ascii="Arial" w:hAnsi="Arial" w:cs="Arial"/>
                <w:color w:val="FFFFFF" w:themeColor="background1"/>
                <w:sz w:val="18"/>
                <w:szCs w:val="18"/>
                <w:lang w:eastAsia="en-AU"/>
              </w:rPr>
              <w:t>Factors affecting s</w:t>
            </w:r>
            <w:r w:rsidR="246D1C2D" w:rsidRPr="001D5EDC">
              <w:rPr>
                <w:rStyle w:val="eop"/>
                <w:rFonts w:ascii="Arial" w:hAnsi="Arial" w:cs="Arial"/>
                <w:color w:val="FFFFFF" w:themeColor="background1"/>
                <w:sz w:val="18"/>
                <w:szCs w:val="18"/>
                <w:lang w:eastAsia="en-AU"/>
              </w:rPr>
              <w:t>uperannuation liabilities</w:t>
            </w:r>
            <w:r w:rsidR="005C14FE" w:rsidRPr="001D5EDC">
              <w:rPr>
                <w:rStyle w:val="eop"/>
                <w:rFonts w:ascii="Arial" w:hAnsi="Arial" w:cs="Arial"/>
                <w:color w:val="FFFFFF" w:themeColor="background1"/>
                <w:sz w:val="18"/>
                <w:szCs w:val="18"/>
                <w:vertAlign w:val="superscript"/>
                <w:lang w:eastAsia="en-AU"/>
              </w:rPr>
              <w:t>(</w:t>
            </w:r>
            <w:r w:rsidR="15E5BB40" w:rsidRPr="001D5EDC">
              <w:rPr>
                <w:rStyle w:val="eop"/>
                <w:rFonts w:ascii="Arial" w:hAnsi="Arial" w:cs="Arial"/>
                <w:color w:val="FFFFFF" w:themeColor="background1"/>
                <w:sz w:val="18"/>
                <w:szCs w:val="18"/>
                <w:vertAlign w:val="superscript"/>
                <w:lang w:eastAsia="en-AU"/>
              </w:rPr>
              <w:t>b</w:t>
            </w:r>
            <w:r w:rsidR="005C14FE" w:rsidRPr="001D5EDC">
              <w:rPr>
                <w:rStyle w:val="eop"/>
                <w:rFonts w:ascii="Arial" w:hAnsi="Arial" w:cs="Arial"/>
                <w:color w:val="FFFFFF" w:themeColor="background1"/>
                <w:sz w:val="18"/>
                <w:szCs w:val="18"/>
                <w:vertAlign w:val="superscript"/>
                <w:lang w:eastAsia="en-AU"/>
              </w:rPr>
              <w:t>)</w:t>
            </w:r>
          </w:p>
        </w:tc>
        <w:tc>
          <w:tcPr>
            <w:tcW w:w="996" w:type="dxa"/>
            <w:shd w:val="clear" w:color="auto" w:fill="008EBA"/>
            <w:vAlign w:val="bottom"/>
          </w:tcPr>
          <w:p w14:paraId="16C028D2" w14:textId="79F8908F" w:rsidR="7E0E8BD3" w:rsidRPr="001D5EDC" w:rsidRDefault="7E0E8BD3" w:rsidP="7E0E8BD3">
            <w:pPr>
              <w:jc w:val="center"/>
              <w:rPr>
                <w:rStyle w:val="eop"/>
                <w:rFonts w:ascii="Arial" w:hAnsi="Arial" w:cs="Arial"/>
                <w:color w:val="FFFFFF" w:themeColor="background1"/>
                <w:sz w:val="18"/>
                <w:szCs w:val="18"/>
                <w:lang w:eastAsia="en-AU"/>
              </w:rPr>
            </w:pPr>
            <w:r w:rsidRPr="001D5EDC">
              <w:rPr>
                <w:rStyle w:val="eop"/>
                <w:rFonts w:ascii="Arial" w:hAnsi="Arial" w:cs="Arial"/>
                <w:color w:val="FFFFFF" w:themeColor="background1"/>
                <w:sz w:val="18"/>
                <w:szCs w:val="18"/>
                <w:lang w:eastAsia="en-AU"/>
              </w:rPr>
              <w:t>2020-21</w:t>
            </w:r>
          </w:p>
        </w:tc>
        <w:tc>
          <w:tcPr>
            <w:tcW w:w="992" w:type="dxa"/>
            <w:shd w:val="clear" w:color="auto" w:fill="008EBA"/>
            <w:vAlign w:val="bottom"/>
          </w:tcPr>
          <w:p w14:paraId="260CA2BE" w14:textId="77777777" w:rsidR="7E0E8BD3" w:rsidRPr="001D5EDC" w:rsidRDefault="7E0E8BD3" w:rsidP="7E0E8BD3">
            <w:pPr>
              <w:jc w:val="center"/>
              <w:rPr>
                <w:rStyle w:val="eop"/>
                <w:rFonts w:ascii="Arial" w:hAnsi="Arial" w:cs="Arial"/>
                <w:color w:val="FFFFFF" w:themeColor="background1"/>
                <w:sz w:val="18"/>
                <w:szCs w:val="18"/>
                <w:lang w:eastAsia="en-AU"/>
              </w:rPr>
            </w:pPr>
            <w:r w:rsidRPr="001D5EDC">
              <w:rPr>
                <w:rStyle w:val="eop"/>
                <w:rFonts w:ascii="Arial" w:hAnsi="Arial" w:cs="Arial"/>
                <w:color w:val="FFFFFF" w:themeColor="background1"/>
                <w:sz w:val="18"/>
                <w:szCs w:val="18"/>
                <w:lang w:eastAsia="en-AU"/>
              </w:rPr>
              <w:t>2021-22</w:t>
            </w:r>
          </w:p>
        </w:tc>
        <w:tc>
          <w:tcPr>
            <w:tcW w:w="993" w:type="dxa"/>
            <w:shd w:val="clear" w:color="auto" w:fill="008EBA"/>
            <w:vAlign w:val="bottom"/>
          </w:tcPr>
          <w:p w14:paraId="5D1B8F79" w14:textId="77777777" w:rsidR="7E0E8BD3" w:rsidRPr="001D5EDC" w:rsidRDefault="7E0E8BD3" w:rsidP="7E0E8BD3">
            <w:pPr>
              <w:jc w:val="center"/>
              <w:rPr>
                <w:rStyle w:val="eop"/>
                <w:rFonts w:ascii="Arial" w:hAnsi="Arial" w:cs="Arial"/>
                <w:color w:val="FFFFFF" w:themeColor="background1"/>
                <w:sz w:val="18"/>
                <w:szCs w:val="18"/>
                <w:lang w:eastAsia="en-AU"/>
              </w:rPr>
            </w:pPr>
            <w:r w:rsidRPr="001D5EDC">
              <w:rPr>
                <w:rStyle w:val="eop"/>
                <w:rFonts w:ascii="Arial" w:hAnsi="Arial" w:cs="Arial"/>
                <w:color w:val="FFFFFF" w:themeColor="background1"/>
                <w:sz w:val="18"/>
                <w:szCs w:val="18"/>
                <w:lang w:eastAsia="en-AU"/>
              </w:rPr>
              <w:t>2022-23</w:t>
            </w:r>
          </w:p>
        </w:tc>
        <w:tc>
          <w:tcPr>
            <w:tcW w:w="992" w:type="dxa"/>
            <w:shd w:val="clear" w:color="auto" w:fill="008EBA"/>
            <w:vAlign w:val="bottom"/>
          </w:tcPr>
          <w:p w14:paraId="3AA7D7E2" w14:textId="77777777" w:rsidR="7E0E8BD3" w:rsidRPr="001D5EDC" w:rsidRDefault="7E0E8BD3" w:rsidP="7E0E8BD3">
            <w:pPr>
              <w:jc w:val="center"/>
              <w:rPr>
                <w:rStyle w:val="eop"/>
                <w:rFonts w:ascii="Arial" w:hAnsi="Arial" w:cs="Arial"/>
                <w:color w:val="FFFFFF" w:themeColor="background1"/>
                <w:sz w:val="18"/>
                <w:szCs w:val="18"/>
                <w:lang w:eastAsia="en-AU"/>
              </w:rPr>
            </w:pPr>
            <w:r w:rsidRPr="001D5EDC">
              <w:rPr>
                <w:rStyle w:val="eop"/>
                <w:rFonts w:ascii="Arial" w:hAnsi="Arial" w:cs="Arial"/>
                <w:color w:val="FFFFFF" w:themeColor="background1"/>
                <w:sz w:val="18"/>
                <w:szCs w:val="18"/>
                <w:lang w:eastAsia="en-AU"/>
              </w:rPr>
              <w:t>2023-24</w:t>
            </w:r>
          </w:p>
        </w:tc>
        <w:tc>
          <w:tcPr>
            <w:tcW w:w="1983" w:type="dxa"/>
            <w:vMerge w:val="restart"/>
            <w:shd w:val="clear" w:color="auto" w:fill="4B5051"/>
            <w:vAlign w:val="center"/>
          </w:tcPr>
          <w:p w14:paraId="40F1BCDC" w14:textId="54DF9431" w:rsidR="7E0E8BD3" w:rsidRPr="001D5EDC" w:rsidRDefault="7E0E8BD3" w:rsidP="7E0E8BD3">
            <w:pPr>
              <w:jc w:val="center"/>
              <w:rPr>
                <w:rStyle w:val="eop"/>
                <w:rFonts w:ascii="Arial" w:hAnsi="Arial" w:cs="Arial"/>
                <w:color w:val="FFFFFF" w:themeColor="background1"/>
                <w:sz w:val="18"/>
                <w:szCs w:val="18"/>
                <w:lang w:eastAsia="en-AU"/>
              </w:rPr>
            </w:pPr>
            <w:r w:rsidRPr="001D5EDC">
              <w:rPr>
                <w:rStyle w:val="eop"/>
                <w:rFonts w:ascii="Arial" w:hAnsi="Arial" w:cs="Arial"/>
                <w:color w:val="FFFFFF" w:themeColor="background1"/>
                <w:sz w:val="18"/>
                <w:szCs w:val="18"/>
                <w:lang w:eastAsia="en-AU"/>
              </w:rPr>
              <w:t>Sensitivity</w:t>
            </w:r>
          </w:p>
        </w:tc>
      </w:tr>
      <w:tr w:rsidR="7E0E8BD3" w:rsidRPr="001D5EDC" w14:paraId="720CD3EF" w14:textId="77777777" w:rsidTr="00750F94">
        <w:trPr>
          <w:trHeight w:val="283"/>
        </w:trPr>
        <w:tc>
          <w:tcPr>
            <w:tcW w:w="3683" w:type="dxa"/>
            <w:vMerge/>
          </w:tcPr>
          <w:p w14:paraId="794CF281" w14:textId="77777777" w:rsidR="008858FF" w:rsidRPr="001D5EDC" w:rsidRDefault="008858FF">
            <w:pPr>
              <w:rPr>
                <w:sz w:val="18"/>
                <w:szCs w:val="18"/>
              </w:rPr>
            </w:pPr>
          </w:p>
        </w:tc>
        <w:tc>
          <w:tcPr>
            <w:tcW w:w="996" w:type="dxa"/>
            <w:shd w:val="clear" w:color="auto" w:fill="008EBA"/>
          </w:tcPr>
          <w:p w14:paraId="741AB654" w14:textId="4FCEA7F9" w:rsidR="7E0E8BD3" w:rsidRPr="001D5EDC" w:rsidRDefault="7E0E8BD3" w:rsidP="7E0E8BD3">
            <w:pPr>
              <w:jc w:val="center"/>
              <w:rPr>
                <w:rStyle w:val="eop"/>
                <w:rFonts w:ascii="Arial" w:hAnsi="Arial" w:cs="Arial"/>
                <w:color w:val="FFFFFF" w:themeColor="background1"/>
                <w:sz w:val="18"/>
                <w:szCs w:val="18"/>
                <w:lang w:eastAsia="en-AU"/>
              </w:rPr>
            </w:pPr>
            <w:r w:rsidRPr="001D5EDC">
              <w:rPr>
                <w:rStyle w:val="eop"/>
                <w:rFonts w:ascii="Arial" w:hAnsi="Arial" w:cs="Arial"/>
                <w:color w:val="FFFFFF" w:themeColor="background1"/>
                <w:sz w:val="18"/>
                <w:szCs w:val="18"/>
                <w:lang w:eastAsia="en-AU"/>
              </w:rPr>
              <w:t>Budget</w:t>
            </w:r>
          </w:p>
        </w:tc>
        <w:tc>
          <w:tcPr>
            <w:tcW w:w="2977" w:type="dxa"/>
            <w:gridSpan w:val="3"/>
            <w:shd w:val="clear" w:color="auto" w:fill="008EBA"/>
          </w:tcPr>
          <w:p w14:paraId="191B7B7E" w14:textId="77777777" w:rsidR="7E0E8BD3" w:rsidRPr="001D5EDC" w:rsidRDefault="7E0E8BD3" w:rsidP="7E0E8BD3">
            <w:pPr>
              <w:jc w:val="center"/>
              <w:rPr>
                <w:rStyle w:val="eop"/>
                <w:rFonts w:ascii="Arial" w:hAnsi="Arial" w:cs="Arial"/>
                <w:color w:val="FFFFFF" w:themeColor="background1"/>
                <w:sz w:val="18"/>
                <w:szCs w:val="18"/>
                <w:lang w:eastAsia="en-AU"/>
              </w:rPr>
            </w:pPr>
            <w:r w:rsidRPr="001D5EDC">
              <w:rPr>
                <w:rStyle w:val="eop"/>
                <w:rFonts w:ascii="Arial" w:hAnsi="Arial" w:cs="Arial"/>
                <w:color w:val="FFFFFF" w:themeColor="background1"/>
                <w:sz w:val="18"/>
                <w:szCs w:val="18"/>
                <w:lang w:eastAsia="en-AU"/>
              </w:rPr>
              <w:t>Forward estimates</w:t>
            </w:r>
          </w:p>
        </w:tc>
        <w:tc>
          <w:tcPr>
            <w:tcW w:w="1983" w:type="dxa"/>
            <w:vMerge/>
          </w:tcPr>
          <w:p w14:paraId="133A1933" w14:textId="77777777" w:rsidR="008858FF" w:rsidRPr="001D5EDC" w:rsidRDefault="008858FF">
            <w:pPr>
              <w:rPr>
                <w:sz w:val="18"/>
                <w:szCs w:val="18"/>
              </w:rPr>
            </w:pPr>
          </w:p>
        </w:tc>
      </w:tr>
      <w:tr w:rsidR="7E0E8BD3" w:rsidRPr="001D5EDC" w14:paraId="6C6E3C56" w14:textId="77777777" w:rsidTr="00750F94">
        <w:trPr>
          <w:trHeight w:val="283"/>
        </w:trPr>
        <w:tc>
          <w:tcPr>
            <w:tcW w:w="3683" w:type="dxa"/>
            <w:shd w:val="clear" w:color="auto" w:fill="00426F"/>
          </w:tcPr>
          <w:p w14:paraId="232C6ADB" w14:textId="77777777" w:rsidR="7E0E8BD3" w:rsidRPr="001D5EDC" w:rsidRDefault="7E0E8BD3" w:rsidP="7E0E8BD3">
            <w:pPr>
              <w:jc w:val="center"/>
              <w:rPr>
                <w:rStyle w:val="eop"/>
                <w:rFonts w:ascii="Arial" w:hAnsi="Arial" w:cs="Arial"/>
                <w:color w:val="FFFFFF" w:themeColor="background1"/>
                <w:sz w:val="18"/>
                <w:szCs w:val="18"/>
                <w:lang w:eastAsia="en-AU"/>
              </w:rPr>
            </w:pPr>
          </w:p>
        </w:tc>
        <w:tc>
          <w:tcPr>
            <w:tcW w:w="996" w:type="dxa"/>
            <w:shd w:val="clear" w:color="auto" w:fill="00426F"/>
            <w:vAlign w:val="center"/>
          </w:tcPr>
          <w:p w14:paraId="2B49B426" w14:textId="77777777" w:rsidR="7E0E8BD3" w:rsidRPr="001D5EDC" w:rsidRDefault="7E0E8BD3" w:rsidP="7E0E8BD3">
            <w:pPr>
              <w:jc w:val="center"/>
              <w:rPr>
                <w:rStyle w:val="eop"/>
                <w:rFonts w:ascii="Arial" w:hAnsi="Arial" w:cs="Arial"/>
                <w:color w:val="FFFFFF" w:themeColor="background1"/>
                <w:sz w:val="18"/>
                <w:szCs w:val="18"/>
                <w:lang w:eastAsia="en-AU"/>
              </w:rPr>
            </w:pPr>
            <w:r w:rsidRPr="001D5EDC">
              <w:rPr>
                <w:rStyle w:val="eop"/>
                <w:rFonts w:ascii="Arial" w:hAnsi="Arial" w:cs="Arial"/>
                <w:color w:val="FFFFFF" w:themeColor="background1"/>
                <w:sz w:val="18"/>
                <w:szCs w:val="18"/>
                <w:lang w:eastAsia="en-AU"/>
              </w:rPr>
              <w:t>$m</w:t>
            </w:r>
          </w:p>
        </w:tc>
        <w:tc>
          <w:tcPr>
            <w:tcW w:w="992" w:type="dxa"/>
            <w:shd w:val="clear" w:color="auto" w:fill="00426F"/>
            <w:vAlign w:val="center"/>
          </w:tcPr>
          <w:p w14:paraId="6B8EDEF2" w14:textId="77777777" w:rsidR="7E0E8BD3" w:rsidRPr="001D5EDC" w:rsidRDefault="7E0E8BD3" w:rsidP="7E0E8BD3">
            <w:pPr>
              <w:jc w:val="center"/>
              <w:rPr>
                <w:rStyle w:val="eop"/>
                <w:rFonts w:ascii="Arial" w:hAnsi="Arial" w:cs="Arial"/>
                <w:color w:val="FFFFFF" w:themeColor="background1"/>
                <w:sz w:val="18"/>
                <w:szCs w:val="18"/>
                <w:lang w:eastAsia="en-AU"/>
              </w:rPr>
            </w:pPr>
            <w:r w:rsidRPr="001D5EDC">
              <w:rPr>
                <w:rStyle w:val="eop"/>
                <w:rFonts w:ascii="Arial" w:hAnsi="Arial" w:cs="Arial"/>
                <w:color w:val="FFFFFF" w:themeColor="background1"/>
                <w:sz w:val="18"/>
                <w:szCs w:val="18"/>
                <w:lang w:eastAsia="en-AU"/>
              </w:rPr>
              <w:t>$m</w:t>
            </w:r>
          </w:p>
        </w:tc>
        <w:tc>
          <w:tcPr>
            <w:tcW w:w="993" w:type="dxa"/>
            <w:shd w:val="clear" w:color="auto" w:fill="00426F"/>
            <w:vAlign w:val="center"/>
          </w:tcPr>
          <w:p w14:paraId="6B706DC5" w14:textId="77777777" w:rsidR="7E0E8BD3" w:rsidRPr="001D5EDC" w:rsidRDefault="7E0E8BD3" w:rsidP="7E0E8BD3">
            <w:pPr>
              <w:jc w:val="center"/>
              <w:rPr>
                <w:rStyle w:val="eop"/>
                <w:rFonts w:ascii="Arial" w:hAnsi="Arial" w:cs="Arial"/>
                <w:color w:val="FFFFFF" w:themeColor="background1"/>
                <w:sz w:val="18"/>
                <w:szCs w:val="18"/>
                <w:lang w:eastAsia="en-AU"/>
              </w:rPr>
            </w:pPr>
            <w:r w:rsidRPr="001D5EDC">
              <w:rPr>
                <w:rStyle w:val="eop"/>
                <w:rFonts w:ascii="Arial" w:hAnsi="Arial" w:cs="Arial"/>
                <w:color w:val="FFFFFF" w:themeColor="background1"/>
                <w:sz w:val="18"/>
                <w:szCs w:val="18"/>
                <w:lang w:eastAsia="en-AU"/>
              </w:rPr>
              <w:t>$m</w:t>
            </w:r>
          </w:p>
        </w:tc>
        <w:tc>
          <w:tcPr>
            <w:tcW w:w="992" w:type="dxa"/>
            <w:shd w:val="clear" w:color="auto" w:fill="00426F"/>
            <w:vAlign w:val="center"/>
          </w:tcPr>
          <w:p w14:paraId="33FEE148" w14:textId="77777777" w:rsidR="7E0E8BD3" w:rsidRPr="001D5EDC" w:rsidRDefault="7E0E8BD3" w:rsidP="7E0E8BD3">
            <w:pPr>
              <w:jc w:val="center"/>
              <w:rPr>
                <w:rStyle w:val="eop"/>
                <w:rFonts w:ascii="Arial" w:hAnsi="Arial" w:cs="Arial"/>
                <w:color w:val="FFFFFF" w:themeColor="background1"/>
                <w:sz w:val="18"/>
                <w:szCs w:val="18"/>
                <w:lang w:eastAsia="en-AU"/>
              </w:rPr>
            </w:pPr>
            <w:r w:rsidRPr="001D5EDC">
              <w:rPr>
                <w:rStyle w:val="eop"/>
                <w:rFonts w:ascii="Arial" w:hAnsi="Arial" w:cs="Arial"/>
                <w:color w:val="FFFFFF" w:themeColor="background1"/>
                <w:sz w:val="18"/>
                <w:szCs w:val="18"/>
                <w:lang w:eastAsia="en-AU"/>
              </w:rPr>
              <w:t>$m</w:t>
            </w:r>
          </w:p>
        </w:tc>
        <w:tc>
          <w:tcPr>
            <w:tcW w:w="1983" w:type="dxa"/>
            <w:vMerge/>
          </w:tcPr>
          <w:p w14:paraId="28BC5308" w14:textId="77777777" w:rsidR="008858FF" w:rsidRPr="001D5EDC" w:rsidRDefault="008858FF">
            <w:pPr>
              <w:rPr>
                <w:sz w:val="18"/>
                <w:szCs w:val="18"/>
              </w:rPr>
            </w:pPr>
          </w:p>
        </w:tc>
      </w:tr>
      <w:tr w:rsidR="00257616" w:rsidRPr="001D5EDC" w14:paraId="1291265F" w14:textId="77777777" w:rsidTr="00750F94">
        <w:trPr>
          <w:trHeight w:val="283"/>
        </w:trPr>
        <w:tc>
          <w:tcPr>
            <w:tcW w:w="3683" w:type="dxa"/>
            <w:shd w:val="clear" w:color="auto" w:fill="auto"/>
            <w:vAlign w:val="center"/>
          </w:tcPr>
          <w:p w14:paraId="00B8EC85" w14:textId="1C664673" w:rsidR="00257616" w:rsidRPr="001D5EDC" w:rsidRDefault="00257616" w:rsidP="00750F94">
            <w:pPr>
              <w:rPr>
                <w:rFonts w:ascii="Arial" w:hAnsi="Arial" w:cs="Arial"/>
                <w:b/>
                <w:bCs/>
                <w:sz w:val="18"/>
                <w:szCs w:val="18"/>
              </w:rPr>
            </w:pPr>
            <w:r w:rsidRPr="001D5EDC">
              <w:rPr>
                <w:rFonts w:ascii="Arial" w:hAnsi="Arial" w:cs="Arial"/>
                <w:sz w:val="18"/>
                <w:szCs w:val="18"/>
              </w:rPr>
              <w:t>Change in public sector wages and salaries</w:t>
            </w:r>
          </w:p>
        </w:tc>
        <w:tc>
          <w:tcPr>
            <w:tcW w:w="996" w:type="dxa"/>
            <w:vAlign w:val="center"/>
          </w:tcPr>
          <w:p w14:paraId="46405510" w14:textId="4D61E3F5" w:rsidR="00257616" w:rsidRPr="001D5EDC" w:rsidRDefault="000570F5" w:rsidP="00750F94">
            <w:pPr>
              <w:ind w:right="170"/>
              <w:jc w:val="right"/>
              <w:rPr>
                <w:rFonts w:ascii="Arial" w:hAnsi="Arial" w:cs="Arial"/>
                <w:sz w:val="18"/>
                <w:szCs w:val="18"/>
              </w:rPr>
            </w:pPr>
            <w:r w:rsidRPr="001D5EDC">
              <w:rPr>
                <w:rFonts w:ascii="Arial" w:hAnsi="Arial" w:cs="Arial"/>
                <w:sz w:val="18"/>
                <w:szCs w:val="18"/>
              </w:rPr>
              <w:t>(140)</w:t>
            </w:r>
          </w:p>
        </w:tc>
        <w:tc>
          <w:tcPr>
            <w:tcW w:w="992" w:type="dxa"/>
            <w:shd w:val="clear" w:color="auto" w:fill="B9BDBF"/>
            <w:vAlign w:val="center"/>
          </w:tcPr>
          <w:p w14:paraId="1A723D81" w14:textId="7E4774AB" w:rsidR="00257616" w:rsidRPr="001D5EDC" w:rsidRDefault="000570F5" w:rsidP="00750F94">
            <w:pPr>
              <w:ind w:right="170"/>
              <w:jc w:val="right"/>
              <w:rPr>
                <w:rFonts w:ascii="Arial" w:hAnsi="Arial" w:cs="Arial"/>
                <w:sz w:val="18"/>
                <w:szCs w:val="18"/>
              </w:rPr>
            </w:pPr>
            <w:r w:rsidRPr="001D5EDC">
              <w:rPr>
                <w:rFonts w:ascii="Arial" w:hAnsi="Arial" w:cs="Arial"/>
                <w:sz w:val="18"/>
                <w:szCs w:val="18"/>
              </w:rPr>
              <w:t>(270)</w:t>
            </w:r>
          </w:p>
        </w:tc>
        <w:tc>
          <w:tcPr>
            <w:tcW w:w="993" w:type="dxa"/>
            <w:shd w:val="clear" w:color="auto" w:fill="B9BDBF"/>
            <w:vAlign w:val="center"/>
          </w:tcPr>
          <w:p w14:paraId="1C75DA45" w14:textId="54BEB5A0" w:rsidR="00257616" w:rsidRPr="001D5EDC" w:rsidRDefault="000570F5" w:rsidP="00750F94">
            <w:pPr>
              <w:ind w:right="170"/>
              <w:jc w:val="right"/>
              <w:rPr>
                <w:rFonts w:ascii="Arial" w:hAnsi="Arial" w:cs="Arial"/>
                <w:sz w:val="18"/>
                <w:szCs w:val="18"/>
              </w:rPr>
            </w:pPr>
            <w:r w:rsidRPr="001D5EDC">
              <w:rPr>
                <w:rFonts w:ascii="Arial" w:hAnsi="Arial" w:cs="Arial"/>
                <w:sz w:val="18"/>
                <w:szCs w:val="18"/>
              </w:rPr>
              <w:t>(350)</w:t>
            </w:r>
          </w:p>
        </w:tc>
        <w:tc>
          <w:tcPr>
            <w:tcW w:w="992" w:type="dxa"/>
            <w:shd w:val="clear" w:color="auto" w:fill="B9BDBF"/>
            <w:vAlign w:val="center"/>
          </w:tcPr>
          <w:p w14:paraId="4A85D4B4" w14:textId="6B8EB7C7" w:rsidR="00257616" w:rsidRPr="001D5EDC" w:rsidRDefault="000570F5" w:rsidP="00750F94">
            <w:pPr>
              <w:ind w:right="170"/>
              <w:jc w:val="right"/>
              <w:rPr>
                <w:rFonts w:ascii="Arial" w:hAnsi="Arial" w:cs="Arial"/>
                <w:sz w:val="18"/>
                <w:szCs w:val="18"/>
              </w:rPr>
            </w:pPr>
            <w:r w:rsidRPr="001D5EDC">
              <w:rPr>
                <w:rFonts w:ascii="Arial" w:hAnsi="Arial" w:cs="Arial"/>
                <w:sz w:val="18"/>
                <w:szCs w:val="18"/>
              </w:rPr>
              <w:t>(410)</w:t>
            </w:r>
          </w:p>
        </w:tc>
        <w:tc>
          <w:tcPr>
            <w:tcW w:w="1983" w:type="dxa"/>
            <w:vMerge w:val="restart"/>
            <w:vAlign w:val="center"/>
          </w:tcPr>
          <w:p w14:paraId="3645554C" w14:textId="0EC1A7E4" w:rsidR="00257616" w:rsidRPr="001D5EDC" w:rsidRDefault="00257616" w:rsidP="00750F94">
            <w:pPr>
              <w:jc w:val="center"/>
              <w:rPr>
                <w:rFonts w:ascii="Arial" w:hAnsi="Arial" w:cs="Arial"/>
                <w:sz w:val="18"/>
                <w:szCs w:val="18"/>
              </w:rPr>
            </w:pPr>
            <w:r w:rsidRPr="001D5EDC">
              <w:rPr>
                <w:rFonts w:ascii="Arial" w:hAnsi="Arial" w:cs="Arial"/>
                <w:sz w:val="18"/>
                <w:szCs w:val="18"/>
              </w:rPr>
              <w:t>Single percentage point increase in factor</w:t>
            </w:r>
          </w:p>
        </w:tc>
      </w:tr>
      <w:tr w:rsidR="00257616" w:rsidRPr="001D5EDC" w14:paraId="6701AAEC" w14:textId="77777777" w:rsidTr="00750F94">
        <w:trPr>
          <w:trHeight w:val="283"/>
        </w:trPr>
        <w:tc>
          <w:tcPr>
            <w:tcW w:w="3683" w:type="dxa"/>
            <w:shd w:val="clear" w:color="auto" w:fill="auto"/>
            <w:vAlign w:val="center"/>
          </w:tcPr>
          <w:p w14:paraId="0F77EDCE" w14:textId="6C006BE8" w:rsidR="00257616" w:rsidRPr="001D5EDC" w:rsidRDefault="00257616" w:rsidP="00750F94">
            <w:pPr>
              <w:rPr>
                <w:sz w:val="18"/>
                <w:szCs w:val="18"/>
              </w:rPr>
            </w:pPr>
            <w:r w:rsidRPr="001D5EDC">
              <w:rPr>
                <w:rFonts w:ascii="Arial" w:hAnsi="Arial" w:cs="Arial"/>
                <w:sz w:val="18"/>
                <w:szCs w:val="18"/>
              </w:rPr>
              <w:t>Change in Sydney CPI</w:t>
            </w:r>
          </w:p>
        </w:tc>
        <w:tc>
          <w:tcPr>
            <w:tcW w:w="996" w:type="dxa"/>
            <w:vAlign w:val="center"/>
          </w:tcPr>
          <w:p w14:paraId="628C6645" w14:textId="1CBBADDF" w:rsidR="00257616" w:rsidRPr="001D5EDC" w:rsidRDefault="00257616" w:rsidP="00750F94">
            <w:pPr>
              <w:ind w:right="170"/>
              <w:jc w:val="right"/>
              <w:rPr>
                <w:rFonts w:ascii="Arial" w:hAnsi="Arial" w:cs="Arial"/>
                <w:sz w:val="18"/>
                <w:szCs w:val="18"/>
              </w:rPr>
            </w:pPr>
            <w:r w:rsidRPr="001D5EDC">
              <w:rPr>
                <w:rFonts w:ascii="Arial" w:hAnsi="Arial" w:cs="Arial"/>
                <w:sz w:val="18"/>
                <w:szCs w:val="18"/>
              </w:rPr>
              <w:t>(</w:t>
            </w:r>
            <w:r w:rsidR="000570F5" w:rsidRPr="001D5EDC">
              <w:rPr>
                <w:rFonts w:ascii="Arial" w:hAnsi="Arial" w:cs="Arial"/>
                <w:sz w:val="18"/>
                <w:szCs w:val="18"/>
              </w:rPr>
              <w:t>830)</w:t>
            </w:r>
          </w:p>
        </w:tc>
        <w:tc>
          <w:tcPr>
            <w:tcW w:w="992" w:type="dxa"/>
            <w:shd w:val="clear" w:color="auto" w:fill="B9BDBF"/>
            <w:vAlign w:val="center"/>
          </w:tcPr>
          <w:p w14:paraId="1C017808" w14:textId="2E7107D7" w:rsidR="00257616" w:rsidRPr="001D5EDC" w:rsidRDefault="00257616" w:rsidP="00750F94">
            <w:pPr>
              <w:ind w:right="170"/>
              <w:jc w:val="right"/>
              <w:rPr>
                <w:rFonts w:ascii="Arial" w:hAnsi="Arial" w:cs="Arial"/>
                <w:sz w:val="18"/>
                <w:szCs w:val="18"/>
              </w:rPr>
            </w:pPr>
            <w:r w:rsidRPr="001D5EDC">
              <w:rPr>
                <w:rFonts w:ascii="Arial" w:hAnsi="Arial" w:cs="Arial"/>
                <w:sz w:val="18"/>
                <w:szCs w:val="18"/>
              </w:rPr>
              <w:t>(</w:t>
            </w:r>
            <w:r w:rsidR="000570F5" w:rsidRPr="001D5EDC">
              <w:rPr>
                <w:rFonts w:ascii="Arial" w:hAnsi="Arial" w:cs="Arial"/>
                <w:sz w:val="18"/>
                <w:szCs w:val="18"/>
              </w:rPr>
              <w:t>1</w:t>
            </w:r>
            <w:r w:rsidR="00B6206C" w:rsidRPr="001D5EDC">
              <w:rPr>
                <w:rFonts w:ascii="Arial" w:hAnsi="Arial" w:cs="Arial"/>
                <w:sz w:val="18"/>
                <w:szCs w:val="18"/>
              </w:rPr>
              <w:t>,</w:t>
            </w:r>
            <w:r w:rsidR="000570F5" w:rsidRPr="001D5EDC">
              <w:rPr>
                <w:rFonts w:ascii="Arial" w:hAnsi="Arial" w:cs="Arial"/>
                <w:sz w:val="18"/>
                <w:szCs w:val="18"/>
              </w:rPr>
              <w:t>660)</w:t>
            </w:r>
          </w:p>
        </w:tc>
        <w:tc>
          <w:tcPr>
            <w:tcW w:w="993" w:type="dxa"/>
            <w:shd w:val="clear" w:color="auto" w:fill="B9BDBF"/>
            <w:vAlign w:val="center"/>
          </w:tcPr>
          <w:p w14:paraId="3BEE5DFA" w14:textId="41469DD8" w:rsidR="00257616" w:rsidRPr="001D5EDC" w:rsidRDefault="00257616" w:rsidP="00750F94">
            <w:pPr>
              <w:ind w:right="170"/>
              <w:jc w:val="right"/>
              <w:rPr>
                <w:rFonts w:ascii="Arial" w:hAnsi="Arial" w:cs="Arial"/>
                <w:sz w:val="18"/>
                <w:szCs w:val="18"/>
              </w:rPr>
            </w:pPr>
            <w:r w:rsidRPr="001D5EDC">
              <w:rPr>
                <w:rFonts w:ascii="Arial" w:hAnsi="Arial" w:cs="Arial"/>
                <w:sz w:val="18"/>
                <w:szCs w:val="18"/>
              </w:rPr>
              <w:t>(</w:t>
            </w:r>
            <w:r w:rsidR="00C1037A" w:rsidRPr="001D5EDC">
              <w:rPr>
                <w:rFonts w:ascii="Arial" w:hAnsi="Arial" w:cs="Arial"/>
                <w:sz w:val="18"/>
                <w:szCs w:val="18"/>
              </w:rPr>
              <w:t>2</w:t>
            </w:r>
            <w:r w:rsidR="00B6206C" w:rsidRPr="001D5EDC">
              <w:rPr>
                <w:rFonts w:ascii="Arial" w:hAnsi="Arial" w:cs="Arial"/>
                <w:sz w:val="18"/>
                <w:szCs w:val="18"/>
              </w:rPr>
              <w:t>,</w:t>
            </w:r>
            <w:r w:rsidR="00C1037A" w:rsidRPr="001D5EDC">
              <w:rPr>
                <w:rFonts w:ascii="Arial" w:hAnsi="Arial" w:cs="Arial"/>
                <w:sz w:val="18"/>
                <w:szCs w:val="18"/>
              </w:rPr>
              <w:t>390)</w:t>
            </w:r>
          </w:p>
        </w:tc>
        <w:tc>
          <w:tcPr>
            <w:tcW w:w="992" w:type="dxa"/>
            <w:shd w:val="clear" w:color="auto" w:fill="B9BDBF"/>
            <w:vAlign w:val="center"/>
          </w:tcPr>
          <w:p w14:paraId="3F6937DC" w14:textId="4D224009" w:rsidR="00257616" w:rsidRPr="001D5EDC" w:rsidRDefault="00257616" w:rsidP="00750F94">
            <w:pPr>
              <w:ind w:right="170"/>
              <w:jc w:val="right"/>
              <w:rPr>
                <w:rFonts w:ascii="Arial" w:hAnsi="Arial" w:cs="Arial"/>
                <w:sz w:val="18"/>
                <w:szCs w:val="18"/>
              </w:rPr>
            </w:pPr>
            <w:r w:rsidRPr="001D5EDC">
              <w:rPr>
                <w:rFonts w:ascii="Arial" w:hAnsi="Arial" w:cs="Arial"/>
                <w:sz w:val="18"/>
                <w:szCs w:val="18"/>
              </w:rPr>
              <w:t>(</w:t>
            </w:r>
            <w:r w:rsidR="00C1037A" w:rsidRPr="001D5EDC">
              <w:rPr>
                <w:rFonts w:ascii="Arial" w:hAnsi="Arial" w:cs="Arial"/>
                <w:sz w:val="18"/>
                <w:szCs w:val="18"/>
              </w:rPr>
              <w:t>3</w:t>
            </w:r>
            <w:r w:rsidR="00B6206C" w:rsidRPr="001D5EDC">
              <w:rPr>
                <w:rFonts w:ascii="Arial" w:hAnsi="Arial" w:cs="Arial"/>
                <w:sz w:val="18"/>
                <w:szCs w:val="18"/>
              </w:rPr>
              <w:t>,</w:t>
            </w:r>
            <w:r w:rsidR="00C1037A" w:rsidRPr="001D5EDC">
              <w:rPr>
                <w:rFonts w:ascii="Arial" w:hAnsi="Arial" w:cs="Arial"/>
                <w:sz w:val="18"/>
                <w:szCs w:val="18"/>
              </w:rPr>
              <w:t>180</w:t>
            </w:r>
            <w:r w:rsidRPr="001D5EDC">
              <w:rPr>
                <w:rFonts w:ascii="Arial" w:hAnsi="Arial" w:cs="Arial"/>
                <w:sz w:val="18"/>
                <w:szCs w:val="18"/>
              </w:rPr>
              <w:t>)</w:t>
            </w:r>
          </w:p>
        </w:tc>
        <w:tc>
          <w:tcPr>
            <w:tcW w:w="1983" w:type="dxa"/>
            <w:vMerge/>
            <w:vAlign w:val="center"/>
          </w:tcPr>
          <w:p w14:paraId="2C106F83" w14:textId="77777777" w:rsidR="00257616" w:rsidRPr="001D5EDC" w:rsidRDefault="00257616" w:rsidP="00750F94">
            <w:pPr>
              <w:jc w:val="center"/>
              <w:rPr>
                <w:sz w:val="18"/>
                <w:szCs w:val="18"/>
              </w:rPr>
            </w:pPr>
          </w:p>
        </w:tc>
      </w:tr>
      <w:tr w:rsidR="00257616" w:rsidRPr="001D5EDC" w14:paraId="09C723F5" w14:textId="77777777" w:rsidTr="00750F94">
        <w:trPr>
          <w:trHeight w:val="283"/>
        </w:trPr>
        <w:tc>
          <w:tcPr>
            <w:tcW w:w="3683" w:type="dxa"/>
            <w:shd w:val="clear" w:color="auto" w:fill="auto"/>
            <w:vAlign w:val="center"/>
          </w:tcPr>
          <w:p w14:paraId="128F95C4" w14:textId="5521A8F9" w:rsidR="00257616" w:rsidRPr="001D5EDC" w:rsidRDefault="00257616" w:rsidP="00750F94">
            <w:pPr>
              <w:rPr>
                <w:rFonts w:ascii="Arial" w:hAnsi="Arial" w:cs="Arial"/>
                <w:sz w:val="18"/>
                <w:szCs w:val="18"/>
                <w:vertAlign w:val="superscript"/>
              </w:rPr>
            </w:pPr>
            <w:r w:rsidRPr="001D5EDC">
              <w:rPr>
                <w:rFonts w:ascii="Arial" w:hAnsi="Arial" w:cs="Arial"/>
                <w:sz w:val="18"/>
                <w:szCs w:val="18"/>
              </w:rPr>
              <w:t>Change in investment return</w:t>
            </w:r>
          </w:p>
        </w:tc>
        <w:tc>
          <w:tcPr>
            <w:tcW w:w="996" w:type="dxa"/>
            <w:vAlign w:val="center"/>
          </w:tcPr>
          <w:p w14:paraId="67B13D94" w14:textId="2CF2CBDC" w:rsidR="00257616" w:rsidRPr="001D5EDC" w:rsidRDefault="00C1037A" w:rsidP="00750F94">
            <w:pPr>
              <w:ind w:right="170"/>
              <w:jc w:val="right"/>
              <w:rPr>
                <w:rFonts w:ascii="Arial" w:hAnsi="Arial" w:cs="Arial"/>
                <w:sz w:val="18"/>
                <w:szCs w:val="18"/>
              </w:rPr>
            </w:pPr>
            <w:r w:rsidRPr="001D5EDC">
              <w:rPr>
                <w:rFonts w:ascii="Arial" w:hAnsi="Arial" w:cs="Arial"/>
                <w:sz w:val="18"/>
                <w:szCs w:val="18"/>
              </w:rPr>
              <w:t>330</w:t>
            </w:r>
          </w:p>
        </w:tc>
        <w:tc>
          <w:tcPr>
            <w:tcW w:w="992" w:type="dxa"/>
            <w:shd w:val="clear" w:color="auto" w:fill="B9BDBF"/>
            <w:vAlign w:val="center"/>
          </w:tcPr>
          <w:p w14:paraId="27B0C38C" w14:textId="7DB6F5A6" w:rsidR="00257616" w:rsidRPr="001D5EDC" w:rsidRDefault="00037575" w:rsidP="00750F94">
            <w:pPr>
              <w:ind w:right="170"/>
              <w:jc w:val="right"/>
              <w:rPr>
                <w:rFonts w:ascii="Arial" w:hAnsi="Arial" w:cs="Arial"/>
                <w:sz w:val="18"/>
                <w:szCs w:val="18"/>
              </w:rPr>
            </w:pPr>
            <w:r w:rsidRPr="001D5EDC">
              <w:rPr>
                <w:rFonts w:ascii="Arial" w:hAnsi="Arial" w:cs="Arial"/>
                <w:sz w:val="18"/>
                <w:szCs w:val="18"/>
              </w:rPr>
              <w:t>670</w:t>
            </w:r>
          </w:p>
        </w:tc>
        <w:tc>
          <w:tcPr>
            <w:tcW w:w="993" w:type="dxa"/>
            <w:shd w:val="clear" w:color="auto" w:fill="B9BDBF"/>
            <w:vAlign w:val="center"/>
          </w:tcPr>
          <w:p w14:paraId="3B9299D4" w14:textId="35FF6792" w:rsidR="00257616" w:rsidRPr="001D5EDC" w:rsidRDefault="00037575" w:rsidP="00750F94">
            <w:pPr>
              <w:ind w:right="170"/>
              <w:jc w:val="right"/>
              <w:rPr>
                <w:rFonts w:ascii="Arial" w:hAnsi="Arial" w:cs="Arial"/>
                <w:sz w:val="18"/>
                <w:szCs w:val="18"/>
              </w:rPr>
            </w:pPr>
            <w:r w:rsidRPr="001D5EDC">
              <w:rPr>
                <w:rFonts w:ascii="Arial" w:hAnsi="Arial" w:cs="Arial"/>
                <w:sz w:val="18"/>
                <w:szCs w:val="18"/>
              </w:rPr>
              <w:t>1</w:t>
            </w:r>
            <w:r w:rsidR="00B6206C" w:rsidRPr="001D5EDC">
              <w:rPr>
                <w:rFonts w:ascii="Arial" w:hAnsi="Arial" w:cs="Arial"/>
                <w:sz w:val="18"/>
                <w:szCs w:val="18"/>
              </w:rPr>
              <w:t>,</w:t>
            </w:r>
            <w:r w:rsidRPr="001D5EDC">
              <w:rPr>
                <w:rFonts w:ascii="Arial" w:hAnsi="Arial" w:cs="Arial"/>
                <w:sz w:val="18"/>
                <w:szCs w:val="18"/>
              </w:rPr>
              <w:t>030</w:t>
            </w:r>
          </w:p>
        </w:tc>
        <w:tc>
          <w:tcPr>
            <w:tcW w:w="992" w:type="dxa"/>
            <w:shd w:val="clear" w:color="auto" w:fill="B9BDBF"/>
            <w:vAlign w:val="center"/>
          </w:tcPr>
          <w:p w14:paraId="6B09AF22" w14:textId="2751A978" w:rsidR="00257616" w:rsidRPr="001D5EDC" w:rsidRDefault="00037575" w:rsidP="00750F94">
            <w:pPr>
              <w:ind w:right="170"/>
              <w:jc w:val="right"/>
              <w:rPr>
                <w:rFonts w:ascii="Arial" w:hAnsi="Arial" w:cs="Arial"/>
                <w:sz w:val="18"/>
                <w:szCs w:val="18"/>
              </w:rPr>
            </w:pPr>
            <w:r w:rsidRPr="001D5EDC">
              <w:rPr>
                <w:rFonts w:ascii="Arial" w:hAnsi="Arial" w:cs="Arial"/>
                <w:sz w:val="18"/>
                <w:szCs w:val="18"/>
              </w:rPr>
              <w:t>1</w:t>
            </w:r>
            <w:r w:rsidR="00B6206C" w:rsidRPr="001D5EDC">
              <w:rPr>
                <w:rFonts w:ascii="Arial" w:hAnsi="Arial" w:cs="Arial"/>
                <w:sz w:val="18"/>
                <w:szCs w:val="18"/>
              </w:rPr>
              <w:t>,</w:t>
            </w:r>
            <w:r w:rsidRPr="001D5EDC">
              <w:rPr>
                <w:rFonts w:ascii="Arial" w:hAnsi="Arial" w:cs="Arial"/>
                <w:sz w:val="18"/>
                <w:szCs w:val="18"/>
              </w:rPr>
              <w:t>410</w:t>
            </w:r>
          </w:p>
        </w:tc>
        <w:tc>
          <w:tcPr>
            <w:tcW w:w="1983" w:type="dxa"/>
            <w:vMerge/>
            <w:vAlign w:val="center"/>
          </w:tcPr>
          <w:p w14:paraId="2979AD81" w14:textId="77777777" w:rsidR="00257616" w:rsidRPr="001D5EDC" w:rsidRDefault="00257616" w:rsidP="00750F94">
            <w:pPr>
              <w:jc w:val="center"/>
              <w:rPr>
                <w:sz w:val="18"/>
                <w:szCs w:val="18"/>
              </w:rPr>
            </w:pPr>
          </w:p>
        </w:tc>
      </w:tr>
      <w:tr w:rsidR="00257616" w:rsidRPr="001D5EDC" w14:paraId="655CDE4D" w14:textId="77777777" w:rsidTr="00D976BA">
        <w:trPr>
          <w:trHeight w:val="283"/>
        </w:trPr>
        <w:tc>
          <w:tcPr>
            <w:tcW w:w="3683" w:type="dxa"/>
            <w:tcBorders>
              <w:bottom w:val="single" w:sz="4" w:space="0" w:color="auto"/>
            </w:tcBorders>
            <w:shd w:val="clear" w:color="auto" w:fill="auto"/>
            <w:vAlign w:val="center"/>
          </w:tcPr>
          <w:p w14:paraId="6A768B2A" w14:textId="1DC3BDB9" w:rsidR="00257616" w:rsidRPr="001D5EDC" w:rsidRDefault="00257616" w:rsidP="00750F94">
            <w:pPr>
              <w:rPr>
                <w:sz w:val="18"/>
                <w:szCs w:val="18"/>
              </w:rPr>
            </w:pPr>
            <w:r w:rsidRPr="001D5EDC">
              <w:rPr>
                <w:rFonts w:ascii="Arial" w:hAnsi="Arial" w:cs="Arial"/>
                <w:sz w:val="18"/>
                <w:szCs w:val="18"/>
              </w:rPr>
              <w:t>Change in discount rate</w:t>
            </w:r>
          </w:p>
        </w:tc>
        <w:tc>
          <w:tcPr>
            <w:tcW w:w="996" w:type="dxa"/>
            <w:tcBorders>
              <w:bottom w:val="single" w:sz="4" w:space="0" w:color="auto"/>
            </w:tcBorders>
            <w:vAlign w:val="center"/>
          </w:tcPr>
          <w:p w14:paraId="1B5CFC74" w14:textId="5E022918" w:rsidR="00257616" w:rsidRPr="001D5EDC" w:rsidRDefault="00037575" w:rsidP="00750F94">
            <w:pPr>
              <w:ind w:right="170"/>
              <w:jc w:val="right"/>
              <w:rPr>
                <w:rFonts w:ascii="Arial" w:hAnsi="Arial" w:cs="Arial"/>
                <w:sz w:val="18"/>
                <w:szCs w:val="18"/>
              </w:rPr>
            </w:pPr>
            <w:r w:rsidRPr="001D5EDC">
              <w:rPr>
                <w:rFonts w:ascii="Arial" w:hAnsi="Arial" w:cs="Arial"/>
                <w:sz w:val="18"/>
                <w:szCs w:val="18"/>
              </w:rPr>
              <w:t>12</w:t>
            </w:r>
            <w:r w:rsidR="00B6206C" w:rsidRPr="001D5EDC">
              <w:rPr>
                <w:rFonts w:ascii="Arial" w:hAnsi="Arial" w:cs="Arial"/>
                <w:sz w:val="18"/>
                <w:szCs w:val="18"/>
              </w:rPr>
              <w:t>,</w:t>
            </w:r>
            <w:r w:rsidRPr="001D5EDC">
              <w:rPr>
                <w:rFonts w:ascii="Arial" w:hAnsi="Arial" w:cs="Arial"/>
                <w:sz w:val="18"/>
                <w:szCs w:val="18"/>
              </w:rPr>
              <w:t>300</w:t>
            </w:r>
          </w:p>
        </w:tc>
        <w:tc>
          <w:tcPr>
            <w:tcW w:w="992" w:type="dxa"/>
            <w:tcBorders>
              <w:bottom w:val="single" w:sz="4" w:space="0" w:color="auto"/>
            </w:tcBorders>
            <w:shd w:val="clear" w:color="auto" w:fill="B9BDBF"/>
            <w:vAlign w:val="center"/>
          </w:tcPr>
          <w:p w14:paraId="7B5948A1" w14:textId="1B837B30" w:rsidR="00257616" w:rsidRPr="001D5EDC" w:rsidRDefault="00257616" w:rsidP="00750F94">
            <w:pPr>
              <w:ind w:right="170"/>
              <w:jc w:val="right"/>
              <w:rPr>
                <w:rFonts w:ascii="Arial" w:hAnsi="Arial" w:cs="Arial"/>
                <w:sz w:val="18"/>
                <w:szCs w:val="18"/>
              </w:rPr>
            </w:pPr>
          </w:p>
        </w:tc>
        <w:tc>
          <w:tcPr>
            <w:tcW w:w="993" w:type="dxa"/>
            <w:tcBorders>
              <w:bottom w:val="single" w:sz="4" w:space="0" w:color="auto"/>
            </w:tcBorders>
            <w:shd w:val="clear" w:color="auto" w:fill="B9BDBF"/>
            <w:vAlign w:val="center"/>
          </w:tcPr>
          <w:p w14:paraId="04B00809" w14:textId="235CF591" w:rsidR="00257616" w:rsidRPr="001D5EDC" w:rsidRDefault="00257616" w:rsidP="00750F94">
            <w:pPr>
              <w:ind w:right="170"/>
              <w:jc w:val="right"/>
              <w:rPr>
                <w:rFonts w:ascii="Arial" w:hAnsi="Arial" w:cs="Arial"/>
                <w:sz w:val="18"/>
                <w:szCs w:val="18"/>
              </w:rPr>
            </w:pPr>
          </w:p>
        </w:tc>
        <w:tc>
          <w:tcPr>
            <w:tcW w:w="992" w:type="dxa"/>
            <w:tcBorders>
              <w:bottom w:val="single" w:sz="4" w:space="0" w:color="auto"/>
            </w:tcBorders>
            <w:shd w:val="clear" w:color="auto" w:fill="B9BDBF"/>
            <w:vAlign w:val="center"/>
          </w:tcPr>
          <w:p w14:paraId="25932D05" w14:textId="7C5EC5F9" w:rsidR="00257616" w:rsidRPr="001D5EDC" w:rsidRDefault="00257616" w:rsidP="00750F94">
            <w:pPr>
              <w:ind w:right="170"/>
              <w:jc w:val="right"/>
              <w:rPr>
                <w:rFonts w:ascii="Arial" w:hAnsi="Arial" w:cs="Arial"/>
                <w:sz w:val="18"/>
                <w:szCs w:val="18"/>
              </w:rPr>
            </w:pPr>
          </w:p>
        </w:tc>
        <w:tc>
          <w:tcPr>
            <w:tcW w:w="1983" w:type="dxa"/>
            <w:vMerge/>
            <w:tcBorders>
              <w:bottom w:val="single" w:sz="4" w:space="0" w:color="auto"/>
            </w:tcBorders>
            <w:vAlign w:val="center"/>
          </w:tcPr>
          <w:p w14:paraId="048B82B1" w14:textId="77777777" w:rsidR="00257616" w:rsidRPr="001D5EDC" w:rsidRDefault="00257616" w:rsidP="00750F94">
            <w:pPr>
              <w:jc w:val="center"/>
              <w:rPr>
                <w:sz w:val="18"/>
                <w:szCs w:val="18"/>
              </w:rPr>
            </w:pPr>
          </w:p>
        </w:tc>
      </w:tr>
      <w:tr w:rsidR="00257616" w:rsidRPr="001D5EDC" w14:paraId="108EB10A" w14:textId="77777777" w:rsidTr="00750F94">
        <w:trPr>
          <w:trHeight w:val="283"/>
        </w:trPr>
        <w:tc>
          <w:tcPr>
            <w:tcW w:w="3683" w:type="dxa"/>
            <w:tcBorders>
              <w:top w:val="single" w:sz="4" w:space="0" w:color="auto"/>
            </w:tcBorders>
            <w:shd w:val="clear" w:color="auto" w:fill="auto"/>
            <w:vAlign w:val="center"/>
          </w:tcPr>
          <w:p w14:paraId="5ECEFEA1" w14:textId="72A943D2" w:rsidR="00257616" w:rsidRPr="00750F94" w:rsidRDefault="00257616" w:rsidP="00750F94">
            <w:pPr>
              <w:rPr>
                <w:rFonts w:ascii="Arial" w:hAnsi="Arial" w:cs="Arial"/>
                <w:b/>
                <w:bCs/>
                <w:sz w:val="18"/>
                <w:szCs w:val="18"/>
              </w:rPr>
            </w:pPr>
            <w:r w:rsidRPr="001D5EDC">
              <w:rPr>
                <w:rFonts w:ascii="Arial" w:hAnsi="Arial" w:cs="Arial"/>
                <w:sz w:val="18"/>
                <w:szCs w:val="18"/>
              </w:rPr>
              <w:t>Change in public sector wages and salaries</w:t>
            </w:r>
          </w:p>
        </w:tc>
        <w:tc>
          <w:tcPr>
            <w:tcW w:w="996" w:type="dxa"/>
            <w:tcBorders>
              <w:top w:val="single" w:sz="4" w:space="0" w:color="auto"/>
            </w:tcBorders>
            <w:vAlign w:val="center"/>
          </w:tcPr>
          <w:p w14:paraId="3EFE4D30" w14:textId="466457C7" w:rsidR="00257616" w:rsidRPr="001D5EDC" w:rsidRDefault="00037575" w:rsidP="00750F94">
            <w:pPr>
              <w:ind w:right="170"/>
              <w:jc w:val="right"/>
              <w:rPr>
                <w:rFonts w:ascii="Arial" w:hAnsi="Arial" w:cs="Arial"/>
                <w:sz w:val="18"/>
                <w:szCs w:val="18"/>
              </w:rPr>
            </w:pPr>
            <w:r w:rsidRPr="001D5EDC">
              <w:rPr>
                <w:rFonts w:ascii="Arial" w:hAnsi="Arial" w:cs="Arial"/>
                <w:sz w:val="18"/>
                <w:szCs w:val="18"/>
              </w:rPr>
              <w:t>140</w:t>
            </w:r>
          </w:p>
        </w:tc>
        <w:tc>
          <w:tcPr>
            <w:tcW w:w="992" w:type="dxa"/>
            <w:tcBorders>
              <w:top w:val="single" w:sz="4" w:space="0" w:color="auto"/>
            </w:tcBorders>
            <w:shd w:val="clear" w:color="auto" w:fill="B9BDBF"/>
            <w:vAlign w:val="center"/>
          </w:tcPr>
          <w:p w14:paraId="21CADE3E" w14:textId="701600D3" w:rsidR="00257616" w:rsidRPr="001D5EDC" w:rsidRDefault="001277EE" w:rsidP="00750F94">
            <w:pPr>
              <w:ind w:right="170"/>
              <w:jc w:val="right"/>
              <w:rPr>
                <w:rFonts w:ascii="Arial" w:hAnsi="Arial" w:cs="Arial"/>
                <w:sz w:val="18"/>
                <w:szCs w:val="18"/>
              </w:rPr>
            </w:pPr>
            <w:r w:rsidRPr="001D5EDC">
              <w:rPr>
                <w:rFonts w:ascii="Arial" w:hAnsi="Arial" w:cs="Arial"/>
                <w:sz w:val="18"/>
                <w:szCs w:val="18"/>
              </w:rPr>
              <w:t>270</w:t>
            </w:r>
          </w:p>
        </w:tc>
        <w:tc>
          <w:tcPr>
            <w:tcW w:w="993" w:type="dxa"/>
            <w:tcBorders>
              <w:top w:val="single" w:sz="4" w:space="0" w:color="auto"/>
            </w:tcBorders>
            <w:shd w:val="clear" w:color="auto" w:fill="B9BDBF"/>
            <w:vAlign w:val="center"/>
          </w:tcPr>
          <w:p w14:paraId="47B3037E" w14:textId="10C1288A" w:rsidR="00257616" w:rsidRPr="001D5EDC" w:rsidRDefault="001277EE" w:rsidP="00750F94">
            <w:pPr>
              <w:ind w:right="170"/>
              <w:jc w:val="right"/>
              <w:rPr>
                <w:rFonts w:ascii="Arial" w:hAnsi="Arial" w:cs="Arial"/>
                <w:sz w:val="18"/>
                <w:szCs w:val="18"/>
              </w:rPr>
            </w:pPr>
            <w:r w:rsidRPr="001D5EDC">
              <w:rPr>
                <w:rFonts w:ascii="Arial" w:hAnsi="Arial" w:cs="Arial"/>
                <w:sz w:val="18"/>
                <w:szCs w:val="18"/>
              </w:rPr>
              <w:t>360</w:t>
            </w:r>
          </w:p>
        </w:tc>
        <w:tc>
          <w:tcPr>
            <w:tcW w:w="992" w:type="dxa"/>
            <w:tcBorders>
              <w:top w:val="single" w:sz="4" w:space="0" w:color="auto"/>
            </w:tcBorders>
            <w:shd w:val="clear" w:color="auto" w:fill="B9BDBF"/>
            <w:vAlign w:val="center"/>
          </w:tcPr>
          <w:p w14:paraId="00A69A5A" w14:textId="02CF691A" w:rsidR="00257616" w:rsidRPr="001D5EDC" w:rsidRDefault="001277EE" w:rsidP="00750F94">
            <w:pPr>
              <w:ind w:right="170"/>
              <w:jc w:val="right"/>
              <w:rPr>
                <w:rFonts w:ascii="Arial" w:hAnsi="Arial" w:cs="Arial"/>
                <w:sz w:val="18"/>
                <w:szCs w:val="18"/>
              </w:rPr>
            </w:pPr>
            <w:r w:rsidRPr="001D5EDC">
              <w:rPr>
                <w:rFonts w:ascii="Arial" w:hAnsi="Arial" w:cs="Arial"/>
                <w:sz w:val="18"/>
                <w:szCs w:val="18"/>
              </w:rPr>
              <w:t>390</w:t>
            </w:r>
          </w:p>
        </w:tc>
        <w:tc>
          <w:tcPr>
            <w:tcW w:w="1983" w:type="dxa"/>
            <w:vMerge w:val="restart"/>
            <w:tcBorders>
              <w:top w:val="single" w:sz="4" w:space="0" w:color="auto"/>
            </w:tcBorders>
            <w:vAlign w:val="center"/>
          </w:tcPr>
          <w:p w14:paraId="70C9C45E" w14:textId="3133AA96" w:rsidR="00257616" w:rsidRPr="001D5EDC" w:rsidRDefault="00257616" w:rsidP="00750F94">
            <w:pPr>
              <w:jc w:val="center"/>
              <w:rPr>
                <w:sz w:val="18"/>
                <w:szCs w:val="18"/>
              </w:rPr>
            </w:pPr>
            <w:r w:rsidRPr="001D5EDC">
              <w:rPr>
                <w:rFonts w:ascii="Arial" w:hAnsi="Arial" w:cs="Arial"/>
                <w:sz w:val="18"/>
                <w:szCs w:val="18"/>
              </w:rPr>
              <w:t xml:space="preserve">Single percentage point </w:t>
            </w:r>
            <w:r w:rsidR="001D1CC3" w:rsidRPr="001D5EDC">
              <w:rPr>
                <w:rFonts w:ascii="Arial" w:hAnsi="Arial" w:cs="Arial"/>
                <w:sz w:val="18"/>
                <w:szCs w:val="18"/>
              </w:rPr>
              <w:t>decrease</w:t>
            </w:r>
            <w:r w:rsidRPr="001D5EDC">
              <w:rPr>
                <w:rFonts w:ascii="Arial" w:hAnsi="Arial" w:cs="Arial"/>
                <w:sz w:val="18"/>
                <w:szCs w:val="18"/>
              </w:rPr>
              <w:t xml:space="preserve"> in factor</w:t>
            </w:r>
          </w:p>
        </w:tc>
      </w:tr>
      <w:tr w:rsidR="00257616" w:rsidRPr="001D5EDC" w14:paraId="69531FE0" w14:textId="77777777" w:rsidTr="00750F94">
        <w:trPr>
          <w:trHeight w:val="283"/>
        </w:trPr>
        <w:tc>
          <w:tcPr>
            <w:tcW w:w="3683" w:type="dxa"/>
            <w:shd w:val="clear" w:color="auto" w:fill="auto"/>
            <w:vAlign w:val="center"/>
          </w:tcPr>
          <w:p w14:paraId="132C518D" w14:textId="31681942" w:rsidR="00257616" w:rsidRPr="00750F94" w:rsidRDefault="00257616" w:rsidP="00750F94">
            <w:pPr>
              <w:rPr>
                <w:sz w:val="18"/>
                <w:szCs w:val="18"/>
              </w:rPr>
            </w:pPr>
            <w:r w:rsidRPr="001D5EDC">
              <w:rPr>
                <w:rFonts w:ascii="Arial" w:hAnsi="Arial" w:cs="Arial"/>
                <w:sz w:val="18"/>
                <w:szCs w:val="18"/>
              </w:rPr>
              <w:t>Change in Sydney CPI</w:t>
            </w:r>
          </w:p>
        </w:tc>
        <w:tc>
          <w:tcPr>
            <w:tcW w:w="996" w:type="dxa"/>
            <w:vAlign w:val="center"/>
          </w:tcPr>
          <w:p w14:paraId="2F0FC1DE" w14:textId="0A3A97BF" w:rsidR="00257616" w:rsidRPr="001D5EDC" w:rsidRDefault="001277EE" w:rsidP="00750F94">
            <w:pPr>
              <w:ind w:right="170"/>
              <w:jc w:val="right"/>
              <w:rPr>
                <w:rFonts w:ascii="Arial" w:hAnsi="Arial" w:cs="Arial"/>
                <w:sz w:val="18"/>
                <w:szCs w:val="18"/>
              </w:rPr>
            </w:pPr>
            <w:r w:rsidRPr="001D5EDC">
              <w:rPr>
                <w:rFonts w:ascii="Arial" w:hAnsi="Arial" w:cs="Arial"/>
                <w:sz w:val="18"/>
                <w:szCs w:val="18"/>
              </w:rPr>
              <w:t>830</w:t>
            </w:r>
          </w:p>
        </w:tc>
        <w:tc>
          <w:tcPr>
            <w:tcW w:w="992" w:type="dxa"/>
            <w:shd w:val="clear" w:color="auto" w:fill="B9BDBF"/>
            <w:vAlign w:val="center"/>
          </w:tcPr>
          <w:p w14:paraId="2A7E1107" w14:textId="743EF605" w:rsidR="00257616" w:rsidRPr="001D5EDC" w:rsidRDefault="001277EE" w:rsidP="00750F94">
            <w:pPr>
              <w:ind w:right="170"/>
              <w:jc w:val="right"/>
              <w:rPr>
                <w:rFonts w:ascii="Arial" w:hAnsi="Arial" w:cs="Arial"/>
                <w:sz w:val="18"/>
                <w:szCs w:val="18"/>
              </w:rPr>
            </w:pPr>
            <w:r w:rsidRPr="001D5EDC">
              <w:rPr>
                <w:rFonts w:ascii="Arial" w:hAnsi="Arial" w:cs="Arial"/>
                <w:sz w:val="18"/>
                <w:szCs w:val="18"/>
              </w:rPr>
              <w:t>1</w:t>
            </w:r>
            <w:r w:rsidR="00B6206C" w:rsidRPr="001D5EDC">
              <w:rPr>
                <w:rFonts w:ascii="Arial" w:hAnsi="Arial" w:cs="Arial"/>
                <w:sz w:val="18"/>
                <w:szCs w:val="18"/>
              </w:rPr>
              <w:t>,</w:t>
            </w:r>
            <w:r w:rsidRPr="001D5EDC">
              <w:rPr>
                <w:rFonts w:ascii="Arial" w:hAnsi="Arial" w:cs="Arial"/>
                <w:sz w:val="18"/>
                <w:szCs w:val="18"/>
              </w:rPr>
              <w:t>780</w:t>
            </w:r>
          </w:p>
        </w:tc>
        <w:tc>
          <w:tcPr>
            <w:tcW w:w="993" w:type="dxa"/>
            <w:shd w:val="clear" w:color="auto" w:fill="B9BDBF"/>
            <w:vAlign w:val="center"/>
          </w:tcPr>
          <w:p w14:paraId="651C0538" w14:textId="46A99ED4" w:rsidR="00257616" w:rsidRPr="001D5EDC" w:rsidRDefault="001277EE" w:rsidP="00750F94">
            <w:pPr>
              <w:ind w:right="170"/>
              <w:jc w:val="right"/>
              <w:rPr>
                <w:rFonts w:ascii="Arial" w:hAnsi="Arial" w:cs="Arial"/>
                <w:sz w:val="18"/>
                <w:szCs w:val="18"/>
              </w:rPr>
            </w:pPr>
            <w:r w:rsidRPr="001D5EDC">
              <w:rPr>
                <w:rFonts w:ascii="Arial" w:hAnsi="Arial" w:cs="Arial"/>
                <w:sz w:val="18"/>
                <w:szCs w:val="18"/>
              </w:rPr>
              <w:t>2</w:t>
            </w:r>
            <w:r w:rsidR="00B6206C" w:rsidRPr="001D5EDC">
              <w:rPr>
                <w:rFonts w:ascii="Arial" w:hAnsi="Arial" w:cs="Arial"/>
                <w:sz w:val="18"/>
                <w:szCs w:val="18"/>
              </w:rPr>
              <w:t>,</w:t>
            </w:r>
            <w:r w:rsidRPr="001D5EDC">
              <w:rPr>
                <w:rFonts w:ascii="Arial" w:hAnsi="Arial" w:cs="Arial"/>
                <w:sz w:val="18"/>
                <w:szCs w:val="18"/>
              </w:rPr>
              <w:t>510</w:t>
            </w:r>
          </w:p>
        </w:tc>
        <w:tc>
          <w:tcPr>
            <w:tcW w:w="992" w:type="dxa"/>
            <w:shd w:val="clear" w:color="auto" w:fill="B9BDBF"/>
            <w:vAlign w:val="center"/>
          </w:tcPr>
          <w:p w14:paraId="0176E6ED" w14:textId="02DF2C0D" w:rsidR="00257616" w:rsidRPr="001D5EDC" w:rsidRDefault="001277EE" w:rsidP="00750F94">
            <w:pPr>
              <w:ind w:right="170"/>
              <w:jc w:val="right"/>
              <w:rPr>
                <w:rFonts w:ascii="Arial" w:hAnsi="Arial" w:cs="Arial"/>
                <w:sz w:val="18"/>
                <w:szCs w:val="18"/>
              </w:rPr>
            </w:pPr>
            <w:r w:rsidRPr="001D5EDC">
              <w:rPr>
                <w:rFonts w:ascii="Arial" w:hAnsi="Arial" w:cs="Arial"/>
                <w:sz w:val="18"/>
                <w:szCs w:val="18"/>
              </w:rPr>
              <w:t>3</w:t>
            </w:r>
            <w:r w:rsidR="00B6206C" w:rsidRPr="001D5EDC">
              <w:rPr>
                <w:rFonts w:ascii="Arial" w:hAnsi="Arial" w:cs="Arial"/>
                <w:sz w:val="18"/>
                <w:szCs w:val="18"/>
              </w:rPr>
              <w:t>,</w:t>
            </w:r>
            <w:r w:rsidRPr="001D5EDC">
              <w:rPr>
                <w:rFonts w:ascii="Arial" w:hAnsi="Arial" w:cs="Arial"/>
                <w:sz w:val="18"/>
                <w:szCs w:val="18"/>
              </w:rPr>
              <w:t>340</w:t>
            </w:r>
          </w:p>
        </w:tc>
        <w:tc>
          <w:tcPr>
            <w:tcW w:w="1983" w:type="dxa"/>
            <w:vMerge/>
          </w:tcPr>
          <w:p w14:paraId="6428902B" w14:textId="77777777" w:rsidR="00257616" w:rsidRPr="001D5EDC" w:rsidRDefault="00257616">
            <w:pPr>
              <w:rPr>
                <w:sz w:val="18"/>
                <w:szCs w:val="18"/>
              </w:rPr>
            </w:pPr>
          </w:p>
        </w:tc>
      </w:tr>
      <w:tr w:rsidR="00257616" w:rsidRPr="001D5EDC" w14:paraId="02BF74B8" w14:textId="77777777" w:rsidTr="00750F94">
        <w:trPr>
          <w:trHeight w:val="283"/>
        </w:trPr>
        <w:tc>
          <w:tcPr>
            <w:tcW w:w="3683" w:type="dxa"/>
            <w:shd w:val="clear" w:color="auto" w:fill="auto"/>
            <w:vAlign w:val="center"/>
          </w:tcPr>
          <w:p w14:paraId="2FECAE1C" w14:textId="593689E7" w:rsidR="00257616" w:rsidRPr="00750F94" w:rsidRDefault="00257616" w:rsidP="00750F94">
            <w:pPr>
              <w:rPr>
                <w:rFonts w:ascii="Arial" w:hAnsi="Arial" w:cs="Arial"/>
                <w:sz w:val="18"/>
                <w:szCs w:val="18"/>
                <w:vertAlign w:val="superscript"/>
              </w:rPr>
            </w:pPr>
            <w:r w:rsidRPr="001D5EDC">
              <w:rPr>
                <w:rFonts w:ascii="Arial" w:hAnsi="Arial" w:cs="Arial"/>
                <w:sz w:val="18"/>
                <w:szCs w:val="18"/>
              </w:rPr>
              <w:t>Change in investment return</w:t>
            </w:r>
          </w:p>
        </w:tc>
        <w:tc>
          <w:tcPr>
            <w:tcW w:w="996" w:type="dxa"/>
            <w:vAlign w:val="center"/>
          </w:tcPr>
          <w:p w14:paraId="26E63B2F" w14:textId="6B7550E1" w:rsidR="00257616" w:rsidRPr="001D5EDC" w:rsidRDefault="00575EE6" w:rsidP="00750F94">
            <w:pPr>
              <w:ind w:right="170"/>
              <w:jc w:val="right"/>
              <w:rPr>
                <w:rFonts w:ascii="Arial" w:hAnsi="Arial" w:cs="Arial"/>
                <w:sz w:val="18"/>
                <w:szCs w:val="18"/>
              </w:rPr>
            </w:pPr>
            <w:r w:rsidRPr="001D5EDC">
              <w:rPr>
                <w:rFonts w:ascii="Arial" w:hAnsi="Arial" w:cs="Arial"/>
                <w:sz w:val="18"/>
                <w:szCs w:val="18"/>
              </w:rPr>
              <w:t>(330)</w:t>
            </w:r>
          </w:p>
        </w:tc>
        <w:tc>
          <w:tcPr>
            <w:tcW w:w="992" w:type="dxa"/>
            <w:shd w:val="clear" w:color="auto" w:fill="B9BDBF"/>
            <w:vAlign w:val="center"/>
          </w:tcPr>
          <w:p w14:paraId="1175A1BD" w14:textId="70442E4E" w:rsidR="00257616" w:rsidRPr="001D5EDC" w:rsidRDefault="00575EE6" w:rsidP="00750F94">
            <w:pPr>
              <w:ind w:right="170"/>
              <w:jc w:val="right"/>
              <w:rPr>
                <w:rFonts w:ascii="Arial" w:hAnsi="Arial" w:cs="Arial"/>
                <w:sz w:val="18"/>
                <w:szCs w:val="18"/>
              </w:rPr>
            </w:pPr>
            <w:r w:rsidRPr="001D5EDC">
              <w:rPr>
                <w:rFonts w:ascii="Arial" w:hAnsi="Arial" w:cs="Arial"/>
                <w:sz w:val="18"/>
                <w:szCs w:val="18"/>
              </w:rPr>
              <w:t>(660)</w:t>
            </w:r>
          </w:p>
        </w:tc>
        <w:tc>
          <w:tcPr>
            <w:tcW w:w="993" w:type="dxa"/>
            <w:shd w:val="clear" w:color="auto" w:fill="B9BDBF"/>
            <w:vAlign w:val="center"/>
          </w:tcPr>
          <w:p w14:paraId="429B3782" w14:textId="638B31C1" w:rsidR="00257616" w:rsidRPr="001D5EDC" w:rsidRDefault="00575EE6" w:rsidP="00750F94">
            <w:pPr>
              <w:ind w:right="170"/>
              <w:jc w:val="right"/>
              <w:rPr>
                <w:rFonts w:ascii="Arial" w:hAnsi="Arial" w:cs="Arial"/>
                <w:sz w:val="18"/>
                <w:szCs w:val="18"/>
              </w:rPr>
            </w:pPr>
            <w:r w:rsidRPr="001D5EDC">
              <w:rPr>
                <w:rFonts w:ascii="Arial" w:hAnsi="Arial" w:cs="Arial"/>
                <w:sz w:val="18"/>
                <w:szCs w:val="18"/>
              </w:rPr>
              <w:t>(1</w:t>
            </w:r>
            <w:r w:rsidR="00B6206C" w:rsidRPr="001D5EDC">
              <w:rPr>
                <w:rFonts w:ascii="Arial" w:hAnsi="Arial" w:cs="Arial"/>
                <w:sz w:val="18"/>
                <w:szCs w:val="18"/>
              </w:rPr>
              <w:t>,</w:t>
            </w:r>
            <w:r w:rsidRPr="001D5EDC">
              <w:rPr>
                <w:rFonts w:ascii="Arial" w:hAnsi="Arial" w:cs="Arial"/>
                <w:sz w:val="18"/>
                <w:szCs w:val="18"/>
              </w:rPr>
              <w:t>010)</w:t>
            </w:r>
          </w:p>
        </w:tc>
        <w:tc>
          <w:tcPr>
            <w:tcW w:w="992" w:type="dxa"/>
            <w:shd w:val="clear" w:color="auto" w:fill="B9BDBF"/>
            <w:vAlign w:val="center"/>
          </w:tcPr>
          <w:p w14:paraId="1B79AC7E" w14:textId="6E009499" w:rsidR="00257616" w:rsidRPr="001D5EDC" w:rsidRDefault="00575EE6" w:rsidP="00750F94">
            <w:pPr>
              <w:ind w:right="170"/>
              <w:jc w:val="right"/>
              <w:rPr>
                <w:rFonts w:ascii="Arial" w:hAnsi="Arial" w:cs="Arial"/>
                <w:sz w:val="18"/>
                <w:szCs w:val="18"/>
              </w:rPr>
            </w:pPr>
            <w:r w:rsidRPr="001D5EDC">
              <w:rPr>
                <w:rFonts w:ascii="Arial" w:hAnsi="Arial" w:cs="Arial"/>
                <w:sz w:val="18"/>
                <w:szCs w:val="18"/>
              </w:rPr>
              <w:t>(1</w:t>
            </w:r>
            <w:r w:rsidR="00B6206C" w:rsidRPr="001D5EDC">
              <w:rPr>
                <w:rFonts w:ascii="Arial" w:hAnsi="Arial" w:cs="Arial"/>
                <w:sz w:val="18"/>
                <w:szCs w:val="18"/>
              </w:rPr>
              <w:t>,</w:t>
            </w:r>
            <w:r w:rsidRPr="001D5EDC">
              <w:rPr>
                <w:rFonts w:ascii="Arial" w:hAnsi="Arial" w:cs="Arial"/>
                <w:sz w:val="18"/>
                <w:szCs w:val="18"/>
              </w:rPr>
              <w:t>370)</w:t>
            </w:r>
          </w:p>
        </w:tc>
        <w:tc>
          <w:tcPr>
            <w:tcW w:w="1983" w:type="dxa"/>
            <w:vMerge/>
          </w:tcPr>
          <w:p w14:paraId="7669BD9B" w14:textId="77777777" w:rsidR="00257616" w:rsidRPr="001D5EDC" w:rsidRDefault="00257616">
            <w:pPr>
              <w:rPr>
                <w:sz w:val="18"/>
                <w:szCs w:val="18"/>
              </w:rPr>
            </w:pPr>
          </w:p>
        </w:tc>
      </w:tr>
      <w:tr w:rsidR="00257616" w:rsidRPr="001D5EDC" w14:paraId="55A57CDD" w14:textId="77777777" w:rsidTr="00D976BA">
        <w:trPr>
          <w:trHeight w:val="283"/>
        </w:trPr>
        <w:tc>
          <w:tcPr>
            <w:tcW w:w="3683" w:type="dxa"/>
            <w:tcBorders>
              <w:bottom w:val="single" w:sz="4" w:space="0" w:color="auto"/>
            </w:tcBorders>
            <w:shd w:val="clear" w:color="auto" w:fill="auto"/>
            <w:vAlign w:val="center"/>
          </w:tcPr>
          <w:p w14:paraId="43D62E22" w14:textId="5C0BCE1E" w:rsidR="00257616" w:rsidRPr="00750F94" w:rsidRDefault="00257616" w:rsidP="00750F94">
            <w:pPr>
              <w:rPr>
                <w:sz w:val="18"/>
                <w:szCs w:val="18"/>
              </w:rPr>
            </w:pPr>
            <w:r w:rsidRPr="001D5EDC">
              <w:rPr>
                <w:rFonts w:ascii="Arial" w:hAnsi="Arial" w:cs="Arial"/>
                <w:sz w:val="18"/>
                <w:szCs w:val="18"/>
              </w:rPr>
              <w:t>Change in discount rate</w:t>
            </w:r>
          </w:p>
        </w:tc>
        <w:tc>
          <w:tcPr>
            <w:tcW w:w="996" w:type="dxa"/>
            <w:tcBorders>
              <w:bottom w:val="single" w:sz="4" w:space="0" w:color="auto"/>
            </w:tcBorders>
            <w:vAlign w:val="center"/>
          </w:tcPr>
          <w:p w14:paraId="1838A940" w14:textId="13EF6F3D" w:rsidR="00257616" w:rsidRPr="001D5EDC" w:rsidRDefault="00575EE6" w:rsidP="00750F94">
            <w:pPr>
              <w:ind w:right="170"/>
              <w:jc w:val="right"/>
              <w:rPr>
                <w:rFonts w:ascii="Arial" w:hAnsi="Arial" w:cs="Arial"/>
                <w:sz w:val="18"/>
                <w:szCs w:val="18"/>
              </w:rPr>
            </w:pPr>
            <w:r w:rsidRPr="001D5EDC">
              <w:rPr>
                <w:rFonts w:ascii="Arial" w:hAnsi="Arial" w:cs="Arial"/>
                <w:sz w:val="18"/>
                <w:szCs w:val="18"/>
              </w:rPr>
              <w:t>(14</w:t>
            </w:r>
            <w:r w:rsidR="00B6206C" w:rsidRPr="001D5EDC">
              <w:rPr>
                <w:rFonts w:ascii="Arial" w:hAnsi="Arial" w:cs="Arial"/>
                <w:sz w:val="18"/>
                <w:szCs w:val="18"/>
              </w:rPr>
              <w:t>,</w:t>
            </w:r>
            <w:r w:rsidRPr="001D5EDC">
              <w:rPr>
                <w:rFonts w:ascii="Arial" w:hAnsi="Arial" w:cs="Arial"/>
                <w:sz w:val="18"/>
                <w:szCs w:val="18"/>
              </w:rPr>
              <w:t>100)</w:t>
            </w:r>
          </w:p>
        </w:tc>
        <w:tc>
          <w:tcPr>
            <w:tcW w:w="992" w:type="dxa"/>
            <w:tcBorders>
              <w:bottom w:val="single" w:sz="4" w:space="0" w:color="auto"/>
            </w:tcBorders>
            <w:shd w:val="clear" w:color="auto" w:fill="B9BDBF"/>
            <w:vAlign w:val="center"/>
          </w:tcPr>
          <w:p w14:paraId="1358CFFF" w14:textId="61DF7C82" w:rsidR="00257616" w:rsidRPr="001D5EDC" w:rsidRDefault="00257616" w:rsidP="00750F94">
            <w:pPr>
              <w:ind w:right="170"/>
              <w:jc w:val="right"/>
              <w:rPr>
                <w:rFonts w:ascii="Arial" w:hAnsi="Arial" w:cs="Arial"/>
                <w:sz w:val="18"/>
                <w:szCs w:val="18"/>
              </w:rPr>
            </w:pPr>
          </w:p>
        </w:tc>
        <w:tc>
          <w:tcPr>
            <w:tcW w:w="993" w:type="dxa"/>
            <w:tcBorders>
              <w:bottom w:val="single" w:sz="4" w:space="0" w:color="auto"/>
            </w:tcBorders>
            <w:shd w:val="clear" w:color="auto" w:fill="B9BDBF"/>
            <w:vAlign w:val="center"/>
          </w:tcPr>
          <w:p w14:paraId="30D19BB5" w14:textId="61C8E1B4" w:rsidR="00257616" w:rsidRPr="001D5EDC" w:rsidRDefault="00257616" w:rsidP="00750F94">
            <w:pPr>
              <w:ind w:right="170"/>
              <w:jc w:val="right"/>
              <w:rPr>
                <w:rFonts w:ascii="Arial" w:hAnsi="Arial" w:cs="Arial"/>
                <w:sz w:val="18"/>
                <w:szCs w:val="18"/>
              </w:rPr>
            </w:pPr>
          </w:p>
        </w:tc>
        <w:tc>
          <w:tcPr>
            <w:tcW w:w="992" w:type="dxa"/>
            <w:tcBorders>
              <w:bottom w:val="single" w:sz="4" w:space="0" w:color="auto"/>
            </w:tcBorders>
            <w:shd w:val="clear" w:color="auto" w:fill="B9BDBF"/>
            <w:vAlign w:val="center"/>
          </w:tcPr>
          <w:p w14:paraId="1F96687F" w14:textId="77977B52" w:rsidR="00257616" w:rsidRPr="001D5EDC" w:rsidRDefault="00257616" w:rsidP="00750F94">
            <w:pPr>
              <w:ind w:right="170"/>
              <w:jc w:val="right"/>
              <w:rPr>
                <w:rFonts w:ascii="Arial" w:hAnsi="Arial" w:cs="Arial"/>
                <w:sz w:val="18"/>
                <w:szCs w:val="18"/>
              </w:rPr>
            </w:pPr>
          </w:p>
        </w:tc>
        <w:tc>
          <w:tcPr>
            <w:tcW w:w="1983" w:type="dxa"/>
            <w:vMerge/>
            <w:tcBorders>
              <w:bottom w:val="single" w:sz="4" w:space="0" w:color="auto"/>
            </w:tcBorders>
          </w:tcPr>
          <w:p w14:paraId="1E5994D7" w14:textId="77777777" w:rsidR="00257616" w:rsidRPr="001D5EDC" w:rsidRDefault="00257616">
            <w:pPr>
              <w:rPr>
                <w:sz w:val="18"/>
                <w:szCs w:val="18"/>
              </w:rPr>
            </w:pPr>
          </w:p>
        </w:tc>
      </w:tr>
    </w:tbl>
    <w:p w14:paraId="06EEB8CF" w14:textId="3A4B2A90" w:rsidR="7EA264A7" w:rsidRDefault="7B3FAC11" w:rsidP="00750F94">
      <w:pPr>
        <w:numPr>
          <w:ilvl w:val="0"/>
          <w:numId w:val="35"/>
        </w:numPr>
        <w:spacing w:before="120"/>
        <w:ind w:left="357" w:hanging="357"/>
        <w:rPr>
          <w:sz w:val="17"/>
          <w:szCs w:val="17"/>
        </w:rPr>
      </w:pPr>
      <w:r w:rsidRPr="2366D2F6">
        <w:rPr>
          <w:rFonts w:ascii="Arial" w:eastAsia="Arial" w:hAnsi="Arial" w:cs="Arial"/>
          <w:sz w:val="17"/>
          <w:szCs w:val="17"/>
        </w:rPr>
        <w:t>A</w:t>
      </w:r>
      <w:r w:rsidR="74CF4B82" w:rsidRPr="74FABDDA">
        <w:rPr>
          <w:rFonts w:ascii="Arial" w:eastAsia="Arial" w:hAnsi="Arial" w:cs="Arial"/>
          <w:sz w:val="17"/>
          <w:szCs w:val="17"/>
        </w:rPr>
        <w:t xml:space="preserve"> positive</w:t>
      </w:r>
      <w:r w:rsidRPr="74FABDDA">
        <w:rPr>
          <w:rFonts w:ascii="Arial" w:eastAsia="Arial" w:hAnsi="Arial" w:cs="Arial"/>
          <w:sz w:val="17"/>
          <w:szCs w:val="17"/>
        </w:rPr>
        <w:t xml:space="preserve"> number</w:t>
      </w:r>
      <w:r w:rsidR="732413F6" w:rsidRPr="74FABDDA">
        <w:rPr>
          <w:rFonts w:ascii="Arial" w:eastAsia="Arial" w:hAnsi="Arial" w:cs="Arial"/>
          <w:sz w:val="17"/>
          <w:szCs w:val="17"/>
        </w:rPr>
        <w:t xml:space="preserve"> in the </w:t>
      </w:r>
      <w:r w:rsidR="732413F6" w:rsidRPr="2366D2F6">
        <w:rPr>
          <w:rFonts w:ascii="Arial" w:eastAsia="Arial" w:hAnsi="Arial" w:cs="Arial"/>
          <w:sz w:val="17"/>
          <w:szCs w:val="17"/>
        </w:rPr>
        <w:t>table</w:t>
      </w:r>
      <w:r w:rsidRPr="74FABDDA">
        <w:rPr>
          <w:rFonts w:ascii="Arial" w:eastAsia="Arial" w:hAnsi="Arial" w:cs="Arial"/>
          <w:sz w:val="17"/>
          <w:szCs w:val="17"/>
        </w:rPr>
        <w:t xml:space="preserve"> indicate</w:t>
      </w:r>
      <w:r w:rsidR="627D5BED" w:rsidRPr="74FABDDA">
        <w:rPr>
          <w:rFonts w:ascii="Arial" w:eastAsia="Arial" w:hAnsi="Arial" w:cs="Arial"/>
          <w:sz w:val="17"/>
          <w:szCs w:val="17"/>
        </w:rPr>
        <w:t>s</w:t>
      </w:r>
      <w:r w:rsidRPr="74FABDDA">
        <w:rPr>
          <w:rFonts w:ascii="Arial" w:eastAsia="Arial" w:hAnsi="Arial" w:cs="Arial"/>
          <w:sz w:val="17"/>
          <w:szCs w:val="17"/>
        </w:rPr>
        <w:t xml:space="preserve"> a decrease in the size of the liabilities</w:t>
      </w:r>
      <w:r w:rsidR="1ED0CAA6" w:rsidRPr="74FABDDA">
        <w:rPr>
          <w:rFonts w:ascii="Arial" w:eastAsia="Arial" w:hAnsi="Arial" w:cs="Arial"/>
          <w:sz w:val="17"/>
          <w:szCs w:val="17"/>
        </w:rPr>
        <w:t>, and vice versa.</w:t>
      </w:r>
      <w:r w:rsidR="23F6F9A2" w:rsidRPr="74FABDDA">
        <w:rPr>
          <w:rFonts w:ascii="Arial" w:eastAsia="Arial" w:hAnsi="Arial" w:cs="Arial"/>
          <w:sz w:val="17"/>
          <w:szCs w:val="17"/>
        </w:rPr>
        <w:t xml:space="preserve"> For example,</w:t>
      </w:r>
      <w:r w:rsidR="2AAE033F" w:rsidRPr="74FABDDA">
        <w:rPr>
          <w:rFonts w:ascii="Arial" w:eastAsia="Arial" w:hAnsi="Arial" w:cs="Arial"/>
          <w:sz w:val="17"/>
          <w:szCs w:val="17"/>
        </w:rPr>
        <w:t xml:space="preserve"> a single percentage increase</w:t>
      </w:r>
      <w:r w:rsidR="23F6F9A2" w:rsidRPr="74FABDDA">
        <w:rPr>
          <w:rFonts w:ascii="Arial" w:eastAsia="Arial" w:hAnsi="Arial" w:cs="Arial"/>
          <w:sz w:val="17"/>
          <w:szCs w:val="17"/>
        </w:rPr>
        <w:t xml:space="preserve"> </w:t>
      </w:r>
      <w:r w:rsidR="10EE7135" w:rsidRPr="74FABDDA">
        <w:rPr>
          <w:rFonts w:ascii="Arial" w:eastAsia="Arial" w:hAnsi="Arial" w:cs="Arial"/>
          <w:sz w:val="17"/>
          <w:szCs w:val="17"/>
        </w:rPr>
        <w:t>in</w:t>
      </w:r>
      <w:r w:rsidR="23F6F9A2" w:rsidRPr="74FABDDA">
        <w:rPr>
          <w:rFonts w:ascii="Arial" w:eastAsia="Arial" w:hAnsi="Arial" w:cs="Arial"/>
          <w:sz w:val="17"/>
          <w:szCs w:val="17"/>
        </w:rPr>
        <w:t xml:space="preserve"> public sector wages increases </w:t>
      </w:r>
      <w:r w:rsidR="1FF6B536" w:rsidRPr="74FABDDA">
        <w:rPr>
          <w:rFonts w:ascii="Arial" w:eastAsia="Arial" w:hAnsi="Arial" w:cs="Arial"/>
          <w:sz w:val="17"/>
          <w:szCs w:val="17"/>
        </w:rPr>
        <w:t>net liabilities</w:t>
      </w:r>
      <w:r w:rsidR="23F6F9A2" w:rsidRPr="74FABDDA">
        <w:rPr>
          <w:rFonts w:ascii="Arial" w:eastAsia="Arial" w:hAnsi="Arial" w:cs="Arial"/>
          <w:sz w:val="17"/>
          <w:szCs w:val="17"/>
        </w:rPr>
        <w:t xml:space="preserve">, </w:t>
      </w:r>
      <w:r w:rsidR="33F4DFF5" w:rsidRPr="74FABDDA">
        <w:rPr>
          <w:rFonts w:ascii="Arial" w:eastAsia="Arial" w:hAnsi="Arial" w:cs="Arial"/>
          <w:sz w:val="17"/>
          <w:szCs w:val="17"/>
        </w:rPr>
        <w:t xml:space="preserve">which </w:t>
      </w:r>
      <w:r w:rsidR="23F6F9A2" w:rsidRPr="74FABDDA">
        <w:rPr>
          <w:rFonts w:ascii="Arial" w:eastAsia="Arial" w:hAnsi="Arial" w:cs="Arial"/>
          <w:sz w:val="17"/>
          <w:szCs w:val="17"/>
        </w:rPr>
        <w:t>weakens the financial position.</w:t>
      </w:r>
    </w:p>
    <w:p w14:paraId="652CC70F" w14:textId="24134D72" w:rsidR="00185DC1" w:rsidRDefault="03A64A50" w:rsidP="43A25529">
      <w:pPr>
        <w:numPr>
          <w:ilvl w:val="0"/>
          <w:numId w:val="35"/>
        </w:numPr>
        <w:ind w:left="357" w:hanging="357"/>
        <w:rPr>
          <w:rFonts w:asciiTheme="minorHAnsi" w:eastAsiaTheme="minorEastAsia" w:hAnsiTheme="minorHAnsi" w:cstheme="minorBidi"/>
          <w:sz w:val="17"/>
          <w:szCs w:val="17"/>
        </w:rPr>
      </w:pPr>
      <w:r w:rsidRPr="43A25529">
        <w:rPr>
          <w:rFonts w:ascii="Arial" w:eastAsia="Arial" w:hAnsi="Arial" w:cs="Arial"/>
          <w:sz w:val="17"/>
          <w:szCs w:val="17"/>
        </w:rPr>
        <w:t>For producing superannuation liabilities sensitivities, AASB 119 Employee Benefits</w:t>
      </w:r>
      <w:r w:rsidR="43737504" w:rsidRPr="74FABDDA">
        <w:rPr>
          <w:rFonts w:ascii="Arial" w:eastAsia="Arial" w:hAnsi="Arial" w:cs="Arial"/>
          <w:sz w:val="17"/>
          <w:szCs w:val="17"/>
        </w:rPr>
        <w:t>,</w:t>
      </w:r>
      <w:r w:rsidRPr="43A25529">
        <w:rPr>
          <w:rFonts w:ascii="Arial" w:eastAsia="Arial" w:hAnsi="Arial" w:cs="Arial"/>
          <w:sz w:val="17"/>
          <w:szCs w:val="17"/>
        </w:rPr>
        <w:t xml:space="preserve"> is used. </w:t>
      </w:r>
    </w:p>
    <w:p w14:paraId="7525B537" w14:textId="1C92A01F" w:rsidR="7E0E8BD3" w:rsidRDefault="7E0E8BD3" w:rsidP="7E0E8BD3">
      <w:pPr>
        <w:rPr>
          <w:rFonts w:ascii="Arial" w:hAnsi="Arial" w:cs="Arial"/>
          <w:sz w:val="17"/>
          <w:szCs w:val="17"/>
        </w:rPr>
      </w:pPr>
    </w:p>
    <w:p w14:paraId="168C9C9A" w14:textId="0C757C03" w:rsidR="00534F0E" w:rsidRDefault="7FD39BA9" w:rsidP="00D75D75">
      <w:pPr>
        <w:pStyle w:val="BodyText"/>
      </w:pPr>
      <w:r>
        <w:t xml:space="preserve">Any </w:t>
      </w:r>
      <w:r w:rsidR="00E21436">
        <w:t xml:space="preserve">change </w:t>
      </w:r>
      <w:r>
        <w:t>in the growth of</w:t>
      </w:r>
      <w:r w:rsidR="191F577A">
        <w:t xml:space="preserve"> </w:t>
      </w:r>
      <w:r w:rsidR="00530D2C">
        <w:t xml:space="preserve">public sector salaries will </w:t>
      </w:r>
      <w:r w:rsidR="00E21436">
        <w:t>affect</w:t>
      </w:r>
      <w:r w:rsidR="5166D5CC">
        <w:t xml:space="preserve"> </w:t>
      </w:r>
      <w:r w:rsidR="00B85D76">
        <w:t xml:space="preserve">the </w:t>
      </w:r>
      <w:r w:rsidR="00530D2C">
        <w:t xml:space="preserve">superannuation entitlements of those employees on a defined benefit scheme </w:t>
      </w:r>
      <w:r w:rsidR="00B85D76">
        <w:t xml:space="preserve">that are </w:t>
      </w:r>
      <w:r w:rsidR="005B4222">
        <w:t xml:space="preserve">still </w:t>
      </w:r>
      <w:r w:rsidR="00530D2C">
        <w:t xml:space="preserve">in the workforce, while a </w:t>
      </w:r>
      <w:r w:rsidR="462AA516">
        <w:t xml:space="preserve">decrease </w:t>
      </w:r>
      <w:r w:rsidR="00530D2C">
        <w:t xml:space="preserve">in CPI will </w:t>
      </w:r>
      <w:r w:rsidR="14674982">
        <w:t xml:space="preserve">lower </w:t>
      </w:r>
      <w:r w:rsidR="00530D2C">
        <w:t xml:space="preserve">the benefit payments to </w:t>
      </w:r>
      <w:r w:rsidR="004E199E">
        <w:t>all members</w:t>
      </w:r>
      <w:r w:rsidR="00530D2C">
        <w:t xml:space="preserve"> as their pension is indexed by the Sydney CPI. An increase in the investment return on superannuation assets will increase the</w:t>
      </w:r>
      <w:r w:rsidR="6385A318">
        <w:t xml:space="preserve"> funding level of the superannuation liability</w:t>
      </w:r>
      <w:r w:rsidR="00530D2C">
        <w:t xml:space="preserve"> </w:t>
      </w:r>
      <w:r w:rsidR="05B09A0B">
        <w:t>and</w:t>
      </w:r>
      <w:r w:rsidR="00530D2C">
        <w:t xml:space="preserve"> improve the </w:t>
      </w:r>
      <w:r w:rsidR="00F15235">
        <w:t>b</w:t>
      </w:r>
      <w:r w:rsidR="00530D2C">
        <w:t xml:space="preserve">udget result. </w:t>
      </w:r>
      <w:r w:rsidR="111BACA2" w:rsidRPr="00951842">
        <w:t xml:space="preserve">For </w:t>
      </w:r>
      <w:r w:rsidR="1E810837" w:rsidRPr="00951842">
        <w:t>further</w:t>
      </w:r>
      <w:r w:rsidR="111BACA2" w:rsidRPr="00951842">
        <w:t xml:space="preserve"> </w:t>
      </w:r>
      <w:r w:rsidR="140B4E33" w:rsidRPr="00951842">
        <w:t>information on</w:t>
      </w:r>
      <w:r w:rsidR="00530D2C" w:rsidRPr="00951842">
        <w:t xml:space="preserve"> the unfunded superannuation liability, refer to Chapter</w:t>
      </w:r>
      <w:r w:rsidR="00C41928" w:rsidRPr="00951842">
        <w:t> </w:t>
      </w:r>
      <w:r w:rsidR="00E13A9C" w:rsidRPr="00951842">
        <w:t>6</w:t>
      </w:r>
      <w:r w:rsidR="00530D2C" w:rsidRPr="00951842">
        <w:t xml:space="preserve"> of this Budget</w:t>
      </w:r>
      <w:r w:rsidR="140B4E33" w:rsidRPr="00951842">
        <w:t xml:space="preserve"> Paper</w:t>
      </w:r>
      <w:r w:rsidR="00530D2C">
        <w:t>.</w:t>
      </w:r>
    </w:p>
    <w:p w14:paraId="34B880AF" w14:textId="48459C8F" w:rsidR="006C3082" w:rsidRPr="00667998" w:rsidRDefault="006C3082" w:rsidP="00D63587">
      <w:pPr>
        <w:pStyle w:val="Heading2"/>
        <w:tabs>
          <w:tab w:val="clear" w:pos="567"/>
          <w:tab w:val="left" w:pos="709"/>
        </w:tabs>
        <w:ind w:left="709" w:hanging="709"/>
      </w:pPr>
      <w:bookmarkStart w:id="2" w:name="_Hlk516140928"/>
      <w:r w:rsidRPr="00667998">
        <w:t xml:space="preserve">Specific </w:t>
      </w:r>
      <w:r w:rsidR="0021397C" w:rsidRPr="00667998">
        <w:t>f</w:t>
      </w:r>
      <w:r w:rsidRPr="00667998">
        <w:t xml:space="preserve">iscal </w:t>
      </w:r>
      <w:r w:rsidR="0021397C" w:rsidRPr="00667998">
        <w:t>r</w:t>
      </w:r>
      <w:r w:rsidRPr="00667998">
        <w:t xml:space="preserve">isks </w:t>
      </w:r>
    </w:p>
    <w:bookmarkEnd w:id="2"/>
    <w:p w14:paraId="21F2970A" w14:textId="08C3C032" w:rsidR="00620C1D" w:rsidRPr="00A64214" w:rsidRDefault="1BFBA6F9" w:rsidP="007D554C">
      <w:pPr>
        <w:pStyle w:val="Heading3"/>
        <w:numPr>
          <w:ilvl w:val="0"/>
          <w:numId w:val="0"/>
        </w:numPr>
      </w:pPr>
      <w:r>
        <w:t xml:space="preserve">The </w:t>
      </w:r>
      <w:r w:rsidR="00145B55">
        <w:t>c</w:t>
      </w:r>
      <w:r>
        <w:t xml:space="preserve">oronavirus </w:t>
      </w:r>
      <w:r w:rsidR="00145B55">
        <w:t>p</w:t>
      </w:r>
      <w:r>
        <w:t>andemic</w:t>
      </w:r>
    </w:p>
    <w:p w14:paraId="647531FF" w14:textId="1F45184E" w:rsidR="00620C1D" w:rsidRPr="00A64214" w:rsidRDefault="1BFBA6F9" w:rsidP="00D75D75">
      <w:pPr>
        <w:pStyle w:val="BodyText"/>
      </w:pPr>
      <w:r>
        <w:t xml:space="preserve">COVID-19 has triggered the most severe </w:t>
      </w:r>
      <w:r w:rsidR="00C021BD">
        <w:t>recession</w:t>
      </w:r>
      <w:r w:rsidR="3B44FB97">
        <w:t xml:space="preserve"> since the Great Depression.</w:t>
      </w:r>
      <w:r w:rsidR="2C459D41">
        <w:t xml:space="preserve"> </w:t>
      </w:r>
      <w:r w:rsidR="009048C3">
        <w:t>Over</w:t>
      </w:r>
      <w:r w:rsidR="2C459D41">
        <w:t xml:space="preserve"> 10 per cent of the national labour force became unemployed or had working hours</w:t>
      </w:r>
      <w:r w:rsidR="3E43821C">
        <w:t xml:space="preserve"> reduced to zero during the peak of the April lockdown. </w:t>
      </w:r>
      <w:r w:rsidR="23DE1890">
        <w:t xml:space="preserve">Unprecedented forms of monetary and fiscal policy have been implemented to support </w:t>
      </w:r>
      <w:r w:rsidR="3CC4D4A1">
        <w:t xml:space="preserve">the economy. </w:t>
      </w:r>
    </w:p>
    <w:p w14:paraId="15C5AB6E" w14:textId="458584B4" w:rsidR="00620C1D" w:rsidRPr="00A64214" w:rsidRDefault="33C957FB" w:rsidP="00D75D75">
      <w:pPr>
        <w:pStyle w:val="BodyText"/>
      </w:pPr>
      <w:r>
        <w:t xml:space="preserve">The most significant fiscal risk for </w:t>
      </w:r>
      <w:r w:rsidR="3CC4D4A1">
        <w:t xml:space="preserve">New South Wales </w:t>
      </w:r>
      <w:r w:rsidR="4816CEB8">
        <w:t xml:space="preserve">is a </w:t>
      </w:r>
      <w:r w:rsidR="007B4B20">
        <w:t xml:space="preserve">further </w:t>
      </w:r>
      <w:r w:rsidR="4816CEB8">
        <w:t>outbreak</w:t>
      </w:r>
      <w:r w:rsidR="4DA45744">
        <w:t xml:space="preserve">. As seen in Victoria, </w:t>
      </w:r>
      <w:r w:rsidR="731CAF31">
        <w:t xml:space="preserve">this would have a direct impact on </w:t>
      </w:r>
      <w:r w:rsidR="55FCF54B">
        <w:t>key econ</w:t>
      </w:r>
      <w:r w:rsidR="7B08F7BB">
        <w:t>o</w:t>
      </w:r>
      <w:r w:rsidR="55FCF54B">
        <w:t xml:space="preserve">mic drivers </w:t>
      </w:r>
      <w:r w:rsidR="539CE2F6">
        <w:t xml:space="preserve">such as </w:t>
      </w:r>
      <w:r w:rsidR="731CAF31">
        <w:t>employment</w:t>
      </w:r>
      <w:r w:rsidR="715C9EF6">
        <w:t xml:space="preserve"> and</w:t>
      </w:r>
      <w:r w:rsidR="731CAF31">
        <w:t xml:space="preserve"> </w:t>
      </w:r>
      <w:r w:rsidR="7E3A360E">
        <w:t>business and consumer confidence</w:t>
      </w:r>
      <w:r w:rsidR="74C97520">
        <w:t>.</w:t>
      </w:r>
    </w:p>
    <w:p w14:paraId="62FA584F" w14:textId="1DD3A033" w:rsidR="75B49A43" w:rsidRDefault="6EC3F759" w:rsidP="007D554C">
      <w:pPr>
        <w:pStyle w:val="Heading3"/>
        <w:numPr>
          <w:ilvl w:val="0"/>
          <w:numId w:val="0"/>
        </w:numPr>
      </w:pPr>
      <w:r>
        <w:t>Natural Disasters</w:t>
      </w:r>
    </w:p>
    <w:p w14:paraId="0F461AC5" w14:textId="27C3001B" w:rsidR="009E1A13" w:rsidRPr="00506369" w:rsidRDefault="1FC17A55" w:rsidP="00D75D75">
      <w:pPr>
        <w:pStyle w:val="BodyText"/>
      </w:pPr>
      <w:r>
        <w:t xml:space="preserve">Between September 2019 to March 2020 bushfires </w:t>
      </w:r>
      <w:r w:rsidR="00490131">
        <w:t xml:space="preserve">were widespread </w:t>
      </w:r>
      <w:r w:rsidR="053369DB">
        <w:t xml:space="preserve">across </w:t>
      </w:r>
      <w:r w:rsidR="00EB4105">
        <w:t>the State. The scale</w:t>
      </w:r>
      <w:r w:rsidR="37C22F14">
        <w:t xml:space="preserve"> and </w:t>
      </w:r>
      <w:r w:rsidR="00EB4105">
        <w:t>intensity of the fires were unprecedented.</w:t>
      </w:r>
      <w:r w:rsidR="5F4B3F3C">
        <w:t xml:space="preserve"> </w:t>
      </w:r>
      <w:r w:rsidR="516707C8">
        <w:t xml:space="preserve">Further bushfires would present greater downside risk to the Budget, particularly as the current </w:t>
      </w:r>
      <w:r w:rsidR="0B3C8333">
        <w:t xml:space="preserve">relief </w:t>
      </w:r>
      <w:r w:rsidR="516707C8">
        <w:t xml:space="preserve">effort is still underway and many towns have not yet </w:t>
      </w:r>
      <w:r w:rsidR="001A0784">
        <w:t xml:space="preserve">fully </w:t>
      </w:r>
      <w:r w:rsidR="516707C8">
        <w:t>recovered.</w:t>
      </w:r>
      <w:r w:rsidR="60CDCAE6">
        <w:t xml:space="preserve"> </w:t>
      </w:r>
    </w:p>
    <w:p w14:paraId="3DD3E400" w14:textId="7F9842C2" w:rsidR="00620C1D" w:rsidRPr="00A64214" w:rsidRDefault="00620C1D" w:rsidP="007D554C">
      <w:pPr>
        <w:pStyle w:val="Heading3"/>
        <w:numPr>
          <w:ilvl w:val="0"/>
          <w:numId w:val="0"/>
        </w:numPr>
      </w:pPr>
      <w:r>
        <w:t>National Redress Scheme for survivors of institutional child sexual abuse</w:t>
      </w:r>
    </w:p>
    <w:p w14:paraId="485A5C89" w14:textId="4A261DEC" w:rsidR="00620C1D" w:rsidRDefault="00620C1D" w:rsidP="00D75D75">
      <w:pPr>
        <w:pStyle w:val="BodyText"/>
        <w:rPr>
          <w:rFonts w:ascii="Arial Bold" w:eastAsia="Arial Bold" w:hAnsi="Arial Bold" w:cs="Arial Bold"/>
          <w:sz w:val="26"/>
          <w:szCs w:val="26"/>
        </w:rPr>
      </w:pPr>
      <w:r>
        <w:t>On 9 March 2018, the NSW Government announced it would opt</w:t>
      </w:r>
      <w:r w:rsidR="45EA40A3">
        <w:t xml:space="preserve"> </w:t>
      </w:r>
      <w:r w:rsidR="00369F7D">
        <w:t>into</w:t>
      </w:r>
      <w:r>
        <w:t xml:space="preserve"> the National Redress Scheme for survivors of institutional child sexual abuse. </w:t>
      </w:r>
      <w:r w:rsidR="45EA40A3">
        <w:t>The forecast l</w:t>
      </w:r>
      <w:r w:rsidR="6F06731B">
        <w:t>iabilities</w:t>
      </w:r>
      <w:r>
        <w:t xml:space="preserve"> for the Scheme are based on a wide range of </w:t>
      </w:r>
      <w:r w:rsidR="0013598D">
        <w:t>assumptions and</w:t>
      </w:r>
      <w:r w:rsidR="00376EF3">
        <w:t xml:space="preserve"> </w:t>
      </w:r>
      <w:r>
        <w:t>parameters. These include assumptions about the exposure and latency of reporting abuse in New South Wales, and the number of applicants. Adjustments may be made to these parameters once more applications are received</w:t>
      </w:r>
      <w:r w:rsidR="41331715">
        <w:t xml:space="preserve"> or as</w:t>
      </w:r>
      <w:r>
        <w:t xml:space="preserve"> more data becomes available. </w:t>
      </w:r>
      <w:r w:rsidR="41331715">
        <w:t>In turn this could</w:t>
      </w:r>
      <w:r>
        <w:t xml:space="preserve"> affect the actual liabilities and expenses of redress over the </w:t>
      </w:r>
      <w:r w:rsidR="006545C1">
        <w:t>10</w:t>
      </w:r>
      <w:r w:rsidR="2DFFD7A1">
        <w:t>-</w:t>
      </w:r>
      <w:r>
        <w:t>year life of the Scheme</w:t>
      </w:r>
      <w:r w:rsidR="396706B9">
        <w:t>.</w:t>
      </w:r>
    </w:p>
    <w:p w14:paraId="18CDCD13" w14:textId="1E6F793A" w:rsidR="00A05D13" w:rsidRPr="00455108" w:rsidRDefault="000911E9" w:rsidP="00846DFF">
      <w:pPr>
        <w:pStyle w:val="Heading3"/>
        <w:numPr>
          <w:ilvl w:val="0"/>
          <w:numId w:val="0"/>
        </w:numPr>
        <w:rPr>
          <w:rFonts w:eastAsia="Arial Bold" w:cs="Arial Bold"/>
          <w:b w:val="0"/>
        </w:rPr>
      </w:pPr>
      <w:r w:rsidRPr="56C3D4F7">
        <w:rPr>
          <w:rFonts w:eastAsia="Arial Bold"/>
        </w:rPr>
        <w:t>Infrastructure</w:t>
      </w:r>
      <w:r w:rsidR="00DA45EC" w:rsidRPr="00951842">
        <w:rPr>
          <w:rFonts w:eastAsia="Arial Bold" w:cs="Arial Bold"/>
        </w:rPr>
        <w:t xml:space="preserve"> </w:t>
      </w:r>
      <w:r w:rsidR="001C3139" w:rsidRPr="00951842">
        <w:rPr>
          <w:rFonts w:eastAsia="Arial Bold" w:cs="Arial Bold"/>
        </w:rPr>
        <w:t>r</w:t>
      </w:r>
      <w:r w:rsidR="00192787" w:rsidRPr="00951842">
        <w:rPr>
          <w:rFonts w:eastAsia="Arial Bold" w:cs="Arial Bold"/>
        </w:rPr>
        <w:t>elated risks</w:t>
      </w:r>
    </w:p>
    <w:p w14:paraId="104C7747" w14:textId="48AF097F" w:rsidR="00E079AF" w:rsidRPr="00455108" w:rsidRDefault="00E61B83" w:rsidP="00952601">
      <w:pPr>
        <w:pStyle w:val="Heading5"/>
        <w:numPr>
          <w:ilvl w:val="0"/>
          <w:numId w:val="0"/>
        </w:numPr>
        <w:rPr>
          <w:b w:val="0"/>
        </w:rPr>
      </w:pPr>
      <w:r w:rsidRPr="1F7C02EF">
        <w:rPr>
          <w:b w:val="0"/>
        </w:rPr>
        <w:t>Infrastructure</w:t>
      </w:r>
      <w:r w:rsidR="00E079AF" w:rsidRPr="1F7C02EF">
        <w:rPr>
          <w:b w:val="0"/>
        </w:rPr>
        <w:t xml:space="preserve"> </w:t>
      </w:r>
      <w:r w:rsidR="002D1DB0" w:rsidRPr="1F7C02EF">
        <w:rPr>
          <w:b w:val="0"/>
        </w:rPr>
        <w:t>p</w:t>
      </w:r>
      <w:r w:rsidR="00E079AF" w:rsidRPr="1F7C02EF">
        <w:rPr>
          <w:b w:val="0"/>
        </w:rPr>
        <w:t>rojects</w:t>
      </w:r>
    </w:p>
    <w:p w14:paraId="65E9F942" w14:textId="6A761A34" w:rsidR="003870CA" w:rsidRDefault="000B33C0" w:rsidP="00D75D75">
      <w:pPr>
        <w:pStyle w:val="BodyText"/>
      </w:pPr>
      <w:r>
        <w:t>The cost of the State’s</w:t>
      </w:r>
      <w:r w:rsidR="00785B7D">
        <w:t xml:space="preserve"> total estimated infrastructure program </w:t>
      </w:r>
      <w:r w:rsidR="003507CA" w:rsidRPr="003D6C96">
        <w:t>is</w:t>
      </w:r>
      <w:r w:rsidR="00785B7D" w:rsidRPr="003D6C96">
        <w:t xml:space="preserve"> $</w:t>
      </w:r>
      <w:r w:rsidR="00BE0B9F" w:rsidRPr="003D6C96">
        <w:t>107.1</w:t>
      </w:r>
      <w:r w:rsidR="00785B7D" w:rsidRPr="003D6C96">
        <w:t xml:space="preserve"> billion </w:t>
      </w:r>
      <w:r w:rsidR="3AE77240">
        <w:t>but this could</w:t>
      </w:r>
      <w:r w:rsidR="00785B7D">
        <w:t xml:space="preserve"> vary during the project life cycle</w:t>
      </w:r>
      <w:r w:rsidR="00CD57E7">
        <w:t xml:space="preserve">, </w:t>
      </w:r>
      <w:r w:rsidR="2FC5D95A">
        <w:t xml:space="preserve">particularly </w:t>
      </w:r>
      <w:r w:rsidR="084579C6">
        <w:t xml:space="preserve">if there </w:t>
      </w:r>
      <w:r w:rsidR="1CA8E244">
        <w:t>are</w:t>
      </w:r>
      <w:r w:rsidR="3A7EA9B4">
        <w:t xml:space="preserve"> renewed </w:t>
      </w:r>
      <w:r w:rsidR="2FC5D95A">
        <w:t xml:space="preserve">COVID-19 </w:t>
      </w:r>
      <w:r w:rsidR="3A7EA9B4">
        <w:t>restrictions</w:t>
      </w:r>
      <w:r w:rsidR="787C9EE4">
        <w:t>.</w:t>
      </w:r>
      <w:r w:rsidDel="00785B7D">
        <w:t xml:space="preserve"> </w:t>
      </w:r>
      <w:r w:rsidR="00785B7D">
        <w:t>Factors such as availability of expert labour and capital equipment, weather and cost escalations can</w:t>
      </w:r>
      <w:r w:rsidR="003507CA">
        <w:t xml:space="preserve"> also</w:t>
      </w:r>
      <w:r w:rsidR="00785B7D">
        <w:t xml:space="preserve"> impact project</w:t>
      </w:r>
      <w:r w:rsidR="00EC5978">
        <w:t xml:space="preserve"> cost</w:t>
      </w:r>
      <w:r w:rsidR="00785B7D">
        <w:t xml:space="preserve"> estimates.</w:t>
      </w:r>
    </w:p>
    <w:p w14:paraId="1EE04F15" w14:textId="3267DAA7" w:rsidR="00E079AF" w:rsidRPr="00455108" w:rsidRDefault="00E079AF" w:rsidP="00846DFF">
      <w:pPr>
        <w:pStyle w:val="Heading5"/>
        <w:numPr>
          <w:ilvl w:val="0"/>
          <w:numId w:val="0"/>
        </w:numPr>
        <w:rPr>
          <w:rFonts w:ascii="Arial Bold" w:eastAsia="Arial Bold" w:hAnsi="Arial Bold" w:cs="Arial Bold"/>
          <w:sz w:val="26"/>
          <w:szCs w:val="26"/>
        </w:rPr>
      </w:pPr>
      <w:r w:rsidRPr="00846DFF">
        <w:rPr>
          <w:rFonts w:eastAsia="Arial Bold"/>
          <w:b w:val="0"/>
        </w:rPr>
        <w:t>Restart</w:t>
      </w:r>
      <w:r w:rsidR="002D1DB0">
        <w:rPr>
          <w:rFonts w:eastAsia="Arial Bold"/>
          <w:b w:val="0"/>
        </w:rPr>
        <w:t xml:space="preserve"> NSW</w:t>
      </w:r>
    </w:p>
    <w:p w14:paraId="4259AA81" w14:textId="7D5B886B" w:rsidR="00785B7D" w:rsidRDefault="00785B7D" w:rsidP="00D75D75">
      <w:pPr>
        <w:pStyle w:val="BodyText"/>
      </w:pPr>
      <w:r w:rsidRPr="29E871A7">
        <w:t xml:space="preserve">This Budget includes the estimated impact of </w:t>
      </w:r>
      <w:r>
        <w:t xml:space="preserve">expensing </w:t>
      </w:r>
      <w:r w:rsidR="00F83BD7">
        <w:t xml:space="preserve">funds </w:t>
      </w:r>
      <w:r>
        <w:t xml:space="preserve">from the </w:t>
      </w:r>
      <w:r w:rsidRPr="29E871A7">
        <w:t xml:space="preserve">Restart NSW </w:t>
      </w:r>
      <w:r w:rsidR="00FD2D0B">
        <w:t>F</w:t>
      </w:r>
      <w:r>
        <w:t xml:space="preserve">und </w:t>
      </w:r>
      <w:r w:rsidRPr="29E871A7">
        <w:t>to government agencies (capital expenditure) and non-government proponents, principally local councils (</w:t>
      </w:r>
      <w:r>
        <w:t>recurrent expenditure</w:t>
      </w:r>
      <w:r w:rsidR="00C51255">
        <w:t xml:space="preserve"> in the form </w:t>
      </w:r>
      <w:r w:rsidR="001E1EAD">
        <w:t>of grants</w:t>
      </w:r>
      <w:r w:rsidRPr="29E871A7">
        <w:t xml:space="preserve">). These estimates </w:t>
      </w:r>
      <w:r w:rsidR="00515D3F">
        <w:t>are informed by</w:t>
      </w:r>
      <w:r w:rsidRPr="29E871A7">
        <w:t xml:space="preserve"> assumptions </w:t>
      </w:r>
      <w:r>
        <w:t>around</w:t>
      </w:r>
      <w:r w:rsidRPr="29E871A7">
        <w:t xml:space="preserve"> the </w:t>
      </w:r>
      <w:r>
        <w:t>expenditure</w:t>
      </w:r>
      <w:r w:rsidRPr="29E871A7">
        <w:t xml:space="preserve"> profile</w:t>
      </w:r>
      <w:r>
        <w:t>s</w:t>
      </w:r>
      <w:r w:rsidRPr="29E871A7">
        <w:t xml:space="preserve"> of approved projects and </w:t>
      </w:r>
      <w:r>
        <w:t>unapproved</w:t>
      </w:r>
      <w:r w:rsidRPr="29E871A7">
        <w:t xml:space="preserve"> projects (</w:t>
      </w:r>
      <w:r>
        <w:t>on the</w:t>
      </w:r>
      <w:r w:rsidRPr="29E871A7">
        <w:t xml:space="preserve"> assumption </w:t>
      </w:r>
      <w:r>
        <w:t>that a</w:t>
      </w:r>
      <w:r w:rsidRPr="29E871A7">
        <w:t xml:space="preserve"> formal approval will be </w:t>
      </w:r>
      <w:r>
        <w:t>forthcoming</w:t>
      </w:r>
      <w:r w:rsidRPr="29E871A7">
        <w:t xml:space="preserve">). </w:t>
      </w:r>
    </w:p>
    <w:p w14:paraId="04EEE23F" w14:textId="0CA9E57C" w:rsidR="00785B7D" w:rsidRDefault="00785B7D" w:rsidP="00D75D75">
      <w:pPr>
        <w:pStyle w:val="BodyText"/>
        <w:rPr>
          <w:highlight w:val="yellow"/>
        </w:rPr>
      </w:pPr>
      <w:r>
        <w:t xml:space="preserve">Changes to the timing of these approvals and project delivery schedules may affect the </w:t>
      </w:r>
      <w:r w:rsidR="309B38D1">
        <w:t>profile of actual expenditure</w:t>
      </w:r>
      <w:r w:rsidR="574C111E">
        <w:t>.</w:t>
      </w:r>
      <w:r>
        <w:t xml:space="preserve"> Unreserved balances in Restart NSW are not reflected in the </w:t>
      </w:r>
      <w:r w:rsidR="00CD57E7">
        <w:t>B</w:t>
      </w:r>
      <w:r>
        <w:t xml:space="preserve">udget until a reservation or commitment is made. </w:t>
      </w:r>
      <w:r w:rsidRPr="00EE5CCE">
        <w:t xml:space="preserve">See Chapter 3 of </w:t>
      </w:r>
      <w:r w:rsidR="017E1C5E" w:rsidRPr="00951842">
        <w:t>Budget Paper No. 3</w:t>
      </w:r>
      <w:r w:rsidRPr="00EE5CCE">
        <w:t xml:space="preserve"> </w:t>
      </w:r>
      <w:r w:rsidRPr="00951842">
        <w:rPr>
          <w:i/>
        </w:rPr>
        <w:t>Infrastructure Statement</w:t>
      </w:r>
      <w:r w:rsidRPr="00EE5CCE">
        <w:t xml:space="preserve"> for more information.</w:t>
      </w:r>
    </w:p>
    <w:p w14:paraId="2AC79F79" w14:textId="3C529837" w:rsidR="00B15032" w:rsidRPr="004D2D27" w:rsidRDefault="00B15032" w:rsidP="00D75D75">
      <w:pPr>
        <w:pStyle w:val="BodyText"/>
      </w:pPr>
      <w:bookmarkStart w:id="3" w:name="_GoBack"/>
      <w:bookmarkEnd w:id="3"/>
    </w:p>
    <w:sectPr w:rsidR="00B15032" w:rsidRPr="004D2D27" w:rsidSect="006E790C">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737" w:left="1134" w:header="454" w:footer="454" w:gutter="0"/>
      <w:pgNumType w:chapSep="emDash"/>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14A105FD" w16cex:dateUtc="2020-11-02T23:13:00Z"/>
  <w16cex:commentExtensible w16cex:durableId="661F074B" w16cex:dateUtc="2020-11-09T06:15:00Z"/>
  <w16cex:commentExtensible w16cex:durableId="2B8D7F57" w16cex:dateUtc="2020-10-26T03:35:00Z"/>
  <w16cex:commentExtensible w16cex:durableId="3C23E73C" w16cex:dateUtc="2020-10-26T03:50:00Z"/>
  <w16cex:commentExtensible w16cex:durableId="0A349FDA" w16cex:dateUtc="2020-11-09T06:16:00Z"/>
  <w16cex:commentExtensible w16cex:durableId="3CF9E634" w16cex:dateUtc="2020-11-05T03:01:00Z"/>
  <w16cex:commentExtensible w16cex:durableId="14AC822E" w16cex:dateUtc="2020-11-12T22:33:00Z"/>
  <w16cex:commentExtensible w16cex:durableId="374B42D9" w16cex:dateUtc="2020-11-09T06:16:00Z"/>
  <w16cex:commentExtensible w16cex:durableId="559AA83B" w16cex:dateUtc="2020-10-28T02:39:00Z"/>
  <w16cex:commentExtensible w16cex:durableId="5AE84A58" w16cex:dateUtc="2020-10-26T03:41:00Z"/>
  <w16cex:commentExtensible w16cex:durableId="4D2DCC25" w16cex:dateUtc="2020-10-28T23:43:00Z"/>
  <w16cex:commentExtensible w16cex:durableId="2CF041F8" w16cex:dateUtc="2020-10-26T03:44:00Z"/>
  <w16cex:commentExtensible w16cex:durableId="564F94C3" w16cex:dateUtc="2020-11-11T07:16:00Z"/>
  <w16cex:commentExtensible w16cex:durableId="0AD6B111" w16cex:dateUtc="2020-11-12T05:10:00Z"/>
  <w16cex:commentExtensible w16cex:durableId="5903C419" w16cex:dateUtc="2020-11-12T05:12:00Z"/>
  <w16cex:commentExtensible w16cex:durableId="12C95801" w16cex:dateUtc="2020-11-12T06:13:00Z"/>
  <w16cex:commentExtensible w16cex:durableId="129B4AF4" w16cex:dateUtc="2020-11-12T06:18:00Z"/>
  <w16cex:commentExtensible w16cex:durableId="4226A529" w16cex:dateUtc="2020-11-12T06:55:00Z"/>
  <w16cex:commentExtensible w16cex:durableId="1D4F03F7" w16cex:dateUtc="2020-11-12T07:00:00Z"/>
  <w16cex:commentExtensible w16cex:durableId="70997D67" w16cex:dateUtc="2020-11-12T07:05:00Z"/>
  <w16cex:commentExtensible w16cex:durableId="66FE55F7" w16cex:dateUtc="2020-11-12T07:37:00Z"/>
  <w16cex:commentExtensible w16cex:durableId="2D4965A6" w16cex:dateUtc="2020-10-08T11:05:00Z"/>
  <w16cex:commentExtensible w16cex:durableId="49270A84" w16cex:dateUtc="2020-10-20T00:29:00Z"/>
  <w16cex:commentExtensible w16cex:durableId="1602E3A2" w16cex:dateUtc="2020-11-12T22:56:00Z"/>
  <w16cex:commentExtensible w16cex:durableId="24C97110" w16cex:dateUtc="2020-11-13T00: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9D632" w14:textId="77777777" w:rsidR="00391921" w:rsidRDefault="00391921" w:rsidP="00BC0548">
      <w:r>
        <w:separator/>
      </w:r>
    </w:p>
  </w:endnote>
  <w:endnote w:type="continuationSeparator" w:id="0">
    <w:p w14:paraId="41F463E0" w14:textId="77777777" w:rsidR="00391921" w:rsidRDefault="00391921" w:rsidP="00BC0548">
      <w:r>
        <w:continuationSeparator/>
      </w:r>
    </w:p>
  </w:endnote>
  <w:endnote w:type="continuationNotice" w:id="1">
    <w:p w14:paraId="6ED5CBCB" w14:textId="77777777" w:rsidR="00391921" w:rsidRDefault="003919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83045" w14:textId="1C25D5B6" w:rsidR="003A69E7" w:rsidRPr="00106B23" w:rsidRDefault="00C37984" w:rsidP="00396108">
    <w:pPr>
      <w:pBdr>
        <w:top w:val="single" w:sz="4" w:space="4" w:color="auto"/>
      </w:pBdr>
      <w:tabs>
        <w:tab w:val="right" w:pos="9639"/>
      </w:tabs>
      <w:rPr>
        <w:rFonts w:ascii="Arial" w:hAnsi="Arial" w:cs="Arial"/>
        <w:sz w:val="18"/>
        <w:szCs w:val="18"/>
      </w:rPr>
    </w:pPr>
    <w:r w:rsidRPr="00AB2F54">
      <w:rPr>
        <w:rFonts w:ascii="Arial" w:hAnsi="Arial" w:cs="Arial"/>
        <w:sz w:val="18"/>
        <w:szCs w:val="18"/>
      </w:rPr>
      <w:t xml:space="preserve">B - </w:t>
    </w:r>
    <w:r w:rsidRPr="00AB2F54">
      <w:rPr>
        <w:rFonts w:ascii="Arial" w:hAnsi="Arial" w:cs="Arial"/>
        <w:sz w:val="18"/>
        <w:szCs w:val="18"/>
      </w:rPr>
      <w:fldChar w:fldCharType="begin"/>
    </w:r>
    <w:r w:rsidRPr="00AB2F54">
      <w:rPr>
        <w:rFonts w:ascii="Arial" w:hAnsi="Arial" w:cs="Arial"/>
        <w:sz w:val="18"/>
        <w:szCs w:val="18"/>
      </w:rPr>
      <w:instrText xml:space="preserve"> PAGE  \* MERGEFORMAT </w:instrText>
    </w:r>
    <w:r w:rsidRPr="00AB2F54">
      <w:rPr>
        <w:rFonts w:ascii="Arial" w:hAnsi="Arial" w:cs="Arial"/>
        <w:sz w:val="18"/>
        <w:szCs w:val="18"/>
      </w:rPr>
      <w:fldChar w:fldCharType="separate"/>
    </w:r>
    <w:r w:rsidR="0059755B">
      <w:rPr>
        <w:rFonts w:ascii="Arial" w:hAnsi="Arial" w:cs="Arial"/>
        <w:noProof/>
        <w:sz w:val="18"/>
        <w:szCs w:val="18"/>
      </w:rPr>
      <w:t>8</w:t>
    </w:r>
    <w:r w:rsidRPr="00AB2F54">
      <w:rPr>
        <w:rFonts w:ascii="Arial" w:hAnsi="Arial" w:cs="Arial"/>
        <w:sz w:val="18"/>
        <w:szCs w:val="18"/>
      </w:rPr>
      <w:fldChar w:fldCharType="end"/>
    </w:r>
    <w:r>
      <w:rPr>
        <w:rFonts w:ascii="Arial" w:hAnsi="Arial" w:cs="Arial"/>
        <w:sz w:val="18"/>
        <w:szCs w:val="18"/>
      </w:rPr>
      <w:tab/>
    </w:r>
    <w:r w:rsidRPr="00AB2F54">
      <w:rPr>
        <w:rFonts w:ascii="Arial" w:hAnsi="Arial" w:cs="Arial"/>
        <w:sz w:val="18"/>
        <w:szCs w:val="18"/>
      </w:rPr>
      <w:t xml:space="preserve">Budget </w:t>
    </w:r>
    <w:r w:rsidRPr="00BF1B4F">
      <w:rPr>
        <w:rFonts w:ascii="Arial" w:hAnsi="Arial" w:cs="Arial"/>
        <w:sz w:val="18"/>
        <w:szCs w:val="18"/>
      </w:rPr>
      <w:t xml:space="preserve">Statement </w:t>
    </w:r>
    <w:r w:rsidR="00BF1B4F" w:rsidRPr="00BF1B4F">
      <w:rPr>
        <w:rFonts w:ascii="Arial" w:hAnsi="Arial" w:cs="Arial"/>
        <w:sz w:val="18"/>
        <w:szCs w:val="18"/>
      </w:rPr>
      <w:t>2020-21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63B75" w14:textId="237807E5" w:rsidR="003A69E7" w:rsidRPr="00106B23" w:rsidRDefault="00C37984" w:rsidP="00396108">
    <w:pPr>
      <w:pBdr>
        <w:top w:val="single" w:sz="4" w:space="4" w:color="auto"/>
      </w:pBdr>
      <w:tabs>
        <w:tab w:val="right" w:pos="9639"/>
      </w:tabs>
      <w:rPr>
        <w:rFonts w:ascii="Arial" w:hAnsi="Arial" w:cs="Arial"/>
        <w:sz w:val="18"/>
        <w:szCs w:val="18"/>
      </w:rPr>
    </w:pPr>
    <w:r w:rsidRPr="00AB2F54">
      <w:rPr>
        <w:rFonts w:ascii="Arial" w:hAnsi="Arial" w:cs="Arial"/>
        <w:sz w:val="18"/>
        <w:szCs w:val="18"/>
      </w:rPr>
      <w:t xml:space="preserve">Budget Statement </w:t>
    </w:r>
    <w:r w:rsidR="00BF1B4F" w:rsidRPr="00BF1B4F">
      <w:rPr>
        <w:rFonts w:ascii="Arial" w:hAnsi="Arial" w:cs="Arial"/>
        <w:sz w:val="18"/>
        <w:szCs w:val="18"/>
      </w:rPr>
      <w:t>2020-21</w:t>
    </w:r>
    <w:r>
      <w:rPr>
        <w:rFonts w:ascii="Arial" w:hAnsi="Arial" w:cs="Arial"/>
        <w:sz w:val="18"/>
        <w:szCs w:val="18"/>
      </w:rPr>
      <w:tab/>
    </w:r>
    <w:r w:rsidRPr="00AB2F54">
      <w:rPr>
        <w:rFonts w:ascii="Arial" w:hAnsi="Arial" w:cs="Arial"/>
        <w:sz w:val="18"/>
        <w:szCs w:val="18"/>
      </w:rPr>
      <w:t xml:space="preserve">B - </w:t>
    </w:r>
    <w:r w:rsidRPr="00AB2F54">
      <w:rPr>
        <w:rFonts w:ascii="Arial" w:hAnsi="Arial" w:cs="Arial"/>
        <w:sz w:val="18"/>
        <w:szCs w:val="18"/>
      </w:rPr>
      <w:fldChar w:fldCharType="begin"/>
    </w:r>
    <w:r w:rsidRPr="00AB2F54">
      <w:rPr>
        <w:rFonts w:ascii="Arial" w:hAnsi="Arial" w:cs="Arial"/>
        <w:sz w:val="18"/>
        <w:szCs w:val="18"/>
      </w:rPr>
      <w:instrText xml:space="preserve"> PAGE  \* MERGEFORMAT </w:instrText>
    </w:r>
    <w:r w:rsidRPr="00AB2F54">
      <w:rPr>
        <w:rFonts w:ascii="Arial" w:hAnsi="Arial" w:cs="Arial"/>
        <w:sz w:val="18"/>
        <w:szCs w:val="18"/>
      </w:rPr>
      <w:fldChar w:fldCharType="separate"/>
    </w:r>
    <w:r w:rsidR="0059755B">
      <w:rPr>
        <w:rFonts w:ascii="Arial" w:hAnsi="Arial" w:cs="Arial"/>
        <w:noProof/>
        <w:sz w:val="18"/>
        <w:szCs w:val="18"/>
      </w:rPr>
      <w:t>9</w:t>
    </w:r>
    <w:r w:rsidRPr="00AB2F54">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60C59" w14:textId="1635487B" w:rsidR="003A69E7" w:rsidRPr="00AD0B40" w:rsidRDefault="00C37984" w:rsidP="00396108">
    <w:pPr>
      <w:pBdr>
        <w:top w:val="single" w:sz="4" w:space="4" w:color="auto"/>
      </w:pBdr>
      <w:tabs>
        <w:tab w:val="right" w:pos="9639"/>
      </w:tabs>
      <w:rPr>
        <w:rFonts w:ascii="Arial" w:hAnsi="Arial" w:cs="Arial"/>
        <w:sz w:val="18"/>
        <w:szCs w:val="18"/>
      </w:rPr>
    </w:pPr>
    <w:r w:rsidRPr="00AB2F54">
      <w:rPr>
        <w:rFonts w:ascii="Arial" w:hAnsi="Arial" w:cs="Arial"/>
        <w:sz w:val="18"/>
        <w:szCs w:val="18"/>
      </w:rPr>
      <w:t xml:space="preserve">Budget </w:t>
    </w:r>
    <w:r w:rsidRPr="00BF1B4F">
      <w:rPr>
        <w:rFonts w:ascii="Arial" w:hAnsi="Arial" w:cs="Arial"/>
        <w:sz w:val="18"/>
        <w:szCs w:val="18"/>
      </w:rPr>
      <w:t xml:space="preserve">Statement </w:t>
    </w:r>
    <w:r w:rsidR="00BF1B4F" w:rsidRPr="00BF1B4F">
      <w:rPr>
        <w:rFonts w:ascii="Arial" w:hAnsi="Arial" w:cs="Arial"/>
        <w:sz w:val="18"/>
        <w:szCs w:val="18"/>
      </w:rPr>
      <w:t>2020-21</w:t>
    </w:r>
    <w:r w:rsidR="000009E4">
      <w:rPr>
        <w:rFonts w:ascii="Arial" w:hAnsi="Arial" w:cs="Arial"/>
        <w:sz w:val="18"/>
        <w:szCs w:val="18"/>
      </w:rPr>
      <w:tab/>
    </w:r>
    <w:r w:rsidR="000009E4" w:rsidRPr="00AB2F54">
      <w:rPr>
        <w:rFonts w:ascii="Arial" w:hAnsi="Arial" w:cs="Arial"/>
        <w:sz w:val="18"/>
        <w:szCs w:val="18"/>
      </w:rPr>
      <w:t xml:space="preserve">B - </w:t>
    </w:r>
    <w:r w:rsidR="000009E4" w:rsidRPr="00AB2F54">
      <w:rPr>
        <w:rFonts w:ascii="Arial" w:hAnsi="Arial" w:cs="Arial"/>
        <w:sz w:val="18"/>
        <w:szCs w:val="18"/>
      </w:rPr>
      <w:fldChar w:fldCharType="begin"/>
    </w:r>
    <w:r w:rsidR="000009E4" w:rsidRPr="00AB2F54">
      <w:rPr>
        <w:rFonts w:ascii="Arial" w:hAnsi="Arial" w:cs="Arial"/>
        <w:sz w:val="18"/>
        <w:szCs w:val="18"/>
      </w:rPr>
      <w:instrText xml:space="preserve"> PAGE  \* MERGEFORMAT </w:instrText>
    </w:r>
    <w:r w:rsidR="000009E4" w:rsidRPr="00AB2F54">
      <w:rPr>
        <w:rFonts w:ascii="Arial" w:hAnsi="Arial" w:cs="Arial"/>
        <w:sz w:val="18"/>
        <w:szCs w:val="18"/>
      </w:rPr>
      <w:fldChar w:fldCharType="separate"/>
    </w:r>
    <w:r w:rsidR="0059755B">
      <w:rPr>
        <w:rFonts w:ascii="Arial" w:hAnsi="Arial" w:cs="Arial"/>
        <w:noProof/>
        <w:sz w:val="18"/>
        <w:szCs w:val="18"/>
      </w:rPr>
      <w:t>1</w:t>
    </w:r>
    <w:r w:rsidR="000009E4" w:rsidRPr="00AB2F54">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ECE10" w14:textId="77777777" w:rsidR="00391921" w:rsidRDefault="00391921" w:rsidP="00BC0548">
      <w:r>
        <w:separator/>
      </w:r>
    </w:p>
  </w:footnote>
  <w:footnote w:type="continuationSeparator" w:id="0">
    <w:p w14:paraId="3BB29FAD" w14:textId="77777777" w:rsidR="00391921" w:rsidRDefault="00391921" w:rsidP="00BC0548">
      <w:r>
        <w:continuationSeparator/>
      </w:r>
    </w:p>
  </w:footnote>
  <w:footnote w:type="continuationNotice" w:id="1">
    <w:p w14:paraId="1AB5C5EE" w14:textId="77777777" w:rsidR="00391921" w:rsidRDefault="00391921"/>
  </w:footnote>
  <w:footnote w:id="2">
    <w:p w14:paraId="4F822163" w14:textId="39B6B08B" w:rsidR="3B42F3ED" w:rsidRDefault="3B42F3ED" w:rsidP="3B42F3ED">
      <w:pPr>
        <w:pStyle w:val="FootnoteText"/>
        <w:ind w:hanging="283"/>
        <w:rPr>
          <w:rFonts w:ascii="Arial" w:hAnsi="Arial" w:cs="Arial"/>
          <w:i w:val="0"/>
          <w:sz w:val="17"/>
          <w:szCs w:val="17"/>
        </w:rPr>
      </w:pPr>
      <w:r w:rsidRPr="3B42F3ED">
        <w:rPr>
          <w:rStyle w:val="FootnoteReference"/>
          <w:i w:val="0"/>
          <w:sz w:val="17"/>
          <w:szCs w:val="17"/>
        </w:rPr>
        <w:footnoteRef/>
      </w:r>
      <w:r w:rsidRPr="3B42F3ED">
        <w:rPr>
          <w:i w:val="0"/>
          <w:sz w:val="17"/>
          <w:szCs w:val="17"/>
        </w:rPr>
        <w:t xml:space="preserve"> </w:t>
      </w:r>
      <w:r w:rsidRPr="3B42F3ED">
        <w:rPr>
          <w:rFonts w:ascii="Arial" w:hAnsi="Arial" w:cs="Arial"/>
          <w:i w:val="0"/>
          <w:sz w:val="17"/>
          <w:szCs w:val="17"/>
        </w:rPr>
        <w:t>Commonwealth Budget 2020-21, Budget Paper 1, Statement 8: Forecasting Performance and Scenario Analysis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6502C" w14:textId="77777777" w:rsidR="00C37984" w:rsidRPr="00AB2F54" w:rsidRDefault="00C37984" w:rsidP="00AB2F54">
    <w:pPr>
      <w:pBdr>
        <w:bottom w:val="single" w:sz="4" w:space="4" w:color="auto"/>
      </w:pBdr>
      <w:rPr>
        <w:rFonts w:ascii="Arial" w:eastAsia="Calibri" w:hAnsi="Arial" w:cs="Arial"/>
        <w:sz w:val="18"/>
        <w:szCs w:val="18"/>
      </w:rPr>
    </w:pPr>
    <w:r w:rsidRPr="00AB2F54">
      <w:rPr>
        <w:rFonts w:ascii="Arial" w:eastAsia="Calibri" w:hAnsi="Arial" w:cs="Arial"/>
        <w:sz w:val="18"/>
        <w:szCs w:val="18"/>
      </w:rPr>
      <w:t>Fiscal Risks and Budget Sensitivities</w:t>
    </w:r>
  </w:p>
  <w:p w14:paraId="3AFE50BF" w14:textId="77777777" w:rsidR="00C37984" w:rsidRDefault="00C379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23BFC" w14:textId="77777777" w:rsidR="00C37984" w:rsidRPr="00AB2F54" w:rsidRDefault="00C37984" w:rsidP="00AB2F54">
    <w:pPr>
      <w:pBdr>
        <w:bottom w:val="single" w:sz="4" w:space="4" w:color="auto"/>
      </w:pBdr>
      <w:jc w:val="right"/>
      <w:rPr>
        <w:rFonts w:ascii="Arial" w:eastAsia="Calibri" w:hAnsi="Arial" w:cs="Arial"/>
        <w:sz w:val="18"/>
        <w:szCs w:val="18"/>
      </w:rPr>
    </w:pPr>
    <w:r w:rsidRPr="00AB2F54">
      <w:rPr>
        <w:rFonts w:ascii="Arial" w:eastAsia="Calibri" w:hAnsi="Arial" w:cs="Arial"/>
        <w:sz w:val="18"/>
        <w:szCs w:val="18"/>
      </w:rPr>
      <w:t>Fiscal Risks and Budget Sensitivities</w:t>
    </w:r>
  </w:p>
  <w:p w14:paraId="4EF3EBB7" w14:textId="77777777" w:rsidR="00C37984" w:rsidRPr="00AB2F54" w:rsidRDefault="00C37984" w:rsidP="00AB2F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4C210" w14:textId="77777777" w:rsidR="00BF1B4F" w:rsidRDefault="00BF1B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96656"/>
    <w:multiLevelType w:val="hybridMultilevel"/>
    <w:tmpl w:val="830872C6"/>
    <w:lvl w:ilvl="0" w:tplc="FFFFFFFF">
      <w:start w:val="1"/>
      <w:numFmt w:val="decimal"/>
      <w:lvlText w:val="%1."/>
      <w:lvlJc w:val="left"/>
      <w:pPr>
        <w:ind w:left="720" w:hanging="360"/>
      </w:pPr>
      <w:rPr>
        <w:color w:val="53C8E9"/>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9B26F1"/>
    <w:multiLevelType w:val="hybridMultilevel"/>
    <w:tmpl w:val="6DE8C1B2"/>
    <w:lvl w:ilvl="0" w:tplc="4606C086">
      <w:start w:val="1"/>
      <w:numFmt w:val="decimal"/>
      <w:lvlText w:val="Table B.%1:"/>
      <w:lvlJc w:val="left"/>
      <w:pPr>
        <w:ind w:left="720" w:hanging="360"/>
      </w:pPr>
    </w:lvl>
    <w:lvl w:ilvl="1" w:tplc="58C84544">
      <w:start w:val="1"/>
      <w:numFmt w:val="lowerLetter"/>
      <w:lvlText w:val="%2."/>
      <w:lvlJc w:val="left"/>
      <w:pPr>
        <w:ind w:left="1440" w:hanging="360"/>
      </w:pPr>
    </w:lvl>
    <w:lvl w:ilvl="2" w:tplc="B8308E62">
      <w:start w:val="1"/>
      <w:numFmt w:val="lowerRoman"/>
      <w:lvlText w:val="%3."/>
      <w:lvlJc w:val="right"/>
      <w:pPr>
        <w:ind w:left="2160" w:hanging="180"/>
      </w:pPr>
    </w:lvl>
    <w:lvl w:ilvl="3" w:tplc="C1A679F4">
      <w:start w:val="1"/>
      <w:numFmt w:val="decimal"/>
      <w:lvlText w:val="%4."/>
      <w:lvlJc w:val="left"/>
      <w:pPr>
        <w:ind w:left="2880" w:hanging="360"/>
      </w:pPr>
    </w:lvl>
    <w:lvl w:ilvl="4" w:tplc="03D68F0A">
      <w:start w:val="1"/>
      <w:numFmt w:val="lowerLetter"/>
      <w:lvlText w:val="%5."/>
      <w:lvlJc w:val="left"/>
      <w:pPr>
        <w:ind w:left="3600" w:hanging="360"/>
      </w:pPr>
    </w:lvl>
    <w:lvl w:ilvl="5" w:tplc="1F2C306A">
      <w:start w:val="1"/>
      <w:numFmt w:val="lowerRoman"/>
      <w:lvlText w:val="%6."/>
      <w:lvlJc w:val="right"/>
      <w:pPr>
        <w:ind w:left="4320" w:hanging="180"/>
      </w:pPr>
    </w:lvl>
    <w:lvl w:ilvl="6" w:tplc="E182FDEA">
      <w:start w:val="1"/>
      <w:numFmt w:val="decimal"/>
      <w:lvlText w:val="%7."/>
      <w:lvlJc w:val="left"/>
      <w:pPr>
        <w:ind w:left="5040" w:hanging="360"/>
      </w:pPr>
    </w:lvl>
    <w:lvl w:ilvl="7" w:tplc="9C0C1756">
      <w:start w:val="1"/>
      <w:numFmt w:val="lowerLetter"/>
      <w:lvlText w:val="%8."/>
      <w:lvlJc w:val="left"/>
      <w:pPr>
        <w:ind w:left="5760" w:hanging="360"/>
      </w:pPr>
    </w:lvl>
    <w:lvl w:ilvl="8" w:tplc="A66864B8">
      <w:start w:val="1"/>
      <w:numFmt w:val="lowerRoman"/>
      <w:lvlText w:val="%9."/>
      <w:lvlJc w:val="right"/>
      <w:pPr>
        <w:ind w:left="6480" w:hanging="180"/>
      </w:pPr>
    </w:lvl>
  </w:abstractNum>
  <w:abstractNum w:abstractNumId="2" w15:restartNumberingAfterBreak="0">
    <w:nsid w:val="05860651"/>
    <w:multiLevelType w:val="hybridMultilevel"/>
    <w:tmpl w:val="73B8E940"/>
    <w:lvl w:ilvl="0" w:tplc="E7E84494">
      <w:start w:val="1"/>
      <w:numFmt w:val="decimal"/>
      <w:pStyle w:val="Table4X"/>
      <w:lvlText w:val="Table B.%1:"/>
      <w:lvlJc w:val="left"/>
      <w:pPr>
        <w:ind w:left="501" w:hanging="360"/>
      </w:pPr>
      <w:rPr>
        <w:rFonts w:ascii="Arial" w:hAnsi="Arial" w:cs="Arial" w:hint="default"/>
        <w:b w:val="0"/>
        <w:i/>
        <w:caps w:val="0"/>
        <w:color w:val="57514D"/>
        <w:sz w:val="22"/>
      </w:rPr>
    </w:lvl>
    <w:lvl w:ilvl="1" w:tplc="0C090019" w:tentative="1">
      <w:start w:val="1"/>
      <w:numFmt w:val="lowerLetter"/>
      <w:lvlText w:val="%2."/>
      <w:lvlJc w:val="left"/>
      <w:pPr>
        <w:ind w:left="1581" w:hanging="360"/>
      </w:pPr>
    </w:lvl>
    <w:lvl w:ilvl="2" w:tplc="0C09001B" w:tentative="1">
      <w:start w:val="1"/>
      <w:numFmt w:val="lowerRoman"/>
      <w:lvlText w:val="%3."/>
      <w:lvlJc w:val="right"/>
      <w:pPr>
        <w:ind w:left="2301" w:hanging="180"/>
      </w:pPr>
    </w:lvl>
    <w:lvl w:ilvl="3" w:tplc="0C09000F" w:tentative="1">
      <w:start w:val="1"/>
      <w:numFmt w:val="decimal"/>
      <w:lvlText w:val="%4."/>
      <w:lvlJc w:val="left"/>
      <w:pPr>
        <w:ind w:left="3021" w:hanging="360"/>
      </w:pPr>
    </w:lvl>
    <w:lvl w:ilvl="4" w:tplc="0C090019" w:tentative="1">
      <w:start w:val="1"/>
      <w:numFmt w:val="lowerLetter"/>
      <w:lvlText w:val="%5."/>
      <w:lvlJc w:val="left"/>
      <w:pPr>
        <w:ind w:left="3741" w:hanging="360"/>
      </w:pPr>
    </w:lvl>
    <w:lvl w:ilvl="5" w:tplc="0C09001B" w:tentative="1">
      <w:start w:val="1"/>
      <w:numFmt w:val="lowerRoman"/>
      <w:lvlText w:val="%6."/>
      <w:lvlJc w:val="right"/>
      <w:pPr>
        <w:ind w:left="4461" w:hanging="180"/>
      </w:pPr>
    </w:lvl>
    <w:lvl w:ilvl="6" w:tplc="0C09000F" w:tentative="1">
      <w:start w:val="1"/>
      <w:numFmt w:val="decimal"/>
      <w:lvlText w:val="%7."/>
      <w:lvlJc w:val="left"/>
      <w:pPr>
        <w:ind w:left="5181" w:hanging="360"/>
      </w:pPr>
    </w:lvl>
    <w:lvl w:ilvl="7" w:tplc="0C090019" w:tentative="1">
      <w:start w:val="1"/>
      <w:numFmt w:val="lowerLetter"/>
      <w:lvlText w:val="%8."/>
      <w:lvlJc w:val="left"/>
      <w:pPr>
        <w:ind w:left="5901" w:hanging="360"/>
      </w:pPr>
    </w:lvl>
    <w:lvl w:ilvl="8" w:tplc="0C09001B" w:tentative="1">
      <w:start w:val="1"/>
      <w:numFmt w:val="lowerRoman"/>
      <w:lvlText w:val="%9."/>
      <w:lvlJc w:val="right"/>
      <w:pPr>
        <w:ind w:left="6621" w:hanging="180"/>
      </w:pPr>
    </w:lvl>
  </w:abstractNum>
  <w:abstractNum w:abstractNumId="3" w15:restartNumberingAfterBreak="0">
    <w:nsid w:val="05925548"/>
    <w:multiLevelType w:val="hybridMultilevel"/>
    <w:tmpl w:val="D38A0606"/>
    <w:lvl w:ilvl="0" w:tplc="981611DE">
      <w:start w:val="1"/>
      <w:numFmt w:val="bullet"/>
      <w:lvlText w:val=""/>
      <w:lvlJc w:val="left"/>
      <w:pPr>
        <w:ind w:left="720" w:hanging="360"/>
      </w:pPr>
      <w:rPr>
        <w:rFonts w:ascii="Symbol" w:hAnsi="Symbol" w:hint="default"/>
      </w:rPr>
    </w:lvl>
    <w:lvl w:ilvl="1" w:tplc="E71CB0DC">
      <w:start w:val="1"/>
      <w:numFmt w:val="bullet"/>
      <w:lvlText w:val="o"/>
      <w:lvlJc w:val="left"/>
      <w:pPr>
        <w:ind w:left="1440" w:hanging="360"/>
      </w:pPr>
      <w:rPr>
        <w:rFonts w:ascii="Courier New" w:hAnsi="Courier New" w:hint="default"/>
      </w:rPr>
    </w:lvl>
    <w:lvl w:ilvl="2" w:tplc="8C260240">
      <w:start w:val="1"/>
      <w:numFmt w:val="bullet"/>
      <w:lvlText w:val=""/>
      <w:lvlJc w:val="left"/>
      <w:pPr>
        <w:ind w:left="2160" w:hanging="360"/>
      </w:pPr>
      <w:rPr>
        <w:rFonts w:ascii="Wingdings" w:hAnsi="Wingdings" w:hint="default"/>
      </w:rPr>
    </w:lvl>
    <w:lvl w:ilvl="3" w:tplc="8D848FC6">
      <w:start w:val="1"/>
      <w:numFmt w:val="bullet"/>
      <w:lvlText w:val=""/>
      <w:lvlJc w:val="left"/>
      <w:pPr>
        <w:ind w:left="2880" w:hanging="360"/>
      </w:pPr>
      <w:rPr>
        <w:rFonts w:ascii="Symbol" w:hAnsi="Symbol" w:hint="default"/>
      </w:rPr>
    </w:lvl>
    <w:lvl w:ilvl="4" w:tplc="261A0108">
      <w:start w:val="1"/>
      <w:numFmt w:val="bullet"/>
      <w:lvlText w:val="o"/>
      <w:lvlJc w:val="left"/>
      <w:pPr>
        <w:ind w:left="3600" w:hanging="360"/>
      </w:pPr>
      <w:rPr>
        <w:rFonts w:ascii="Courier New" w:hAnsi="Courier New" w:hint="default"/>
      </w:rPr>
    </w:lvl>
    <w:lvl w:ilvl="5" w:tplc="DD7C99D8">
      <w:start w:val="1"/>
      <w:numFmt w:val="bullet"/>
      <w:lvlText w:val=""/>
      <w:lvlJc w:val="left"/>
      <w:pPr>
        <w:ind w:left="4320" w:hanging="360"/>
      </w:pPr>
      <w:rPr>
        <w:rFonts w:ascii="Wingdings" w:hAnsi="Wingdings" w:hint="default"/>
      </w:rPr>
    </w:lvl>
    <w:lvl w:ilvl="6" w:tplc="58B4456A">
      <w:start w:val="1"/>
      <w:numFmt w:val="bullet"/>
      <w:lvlText w:val=""/>
      <w:lvlJc w:val="left"/>
      <w:pPr>
        <w:ind w:left="5040" w:hanging="360"/>
      </w:pPr>
      <w:rPr>
        <w:rFonts w:ascii="Symbol" w:hAnsi="Symbol" w:hint="default"/>
      </w:rPr>
    </w:lvl>
    <w:lvl w:ilvl="7" w:tplc="771604AA">
      <w:start w:val="1"/>
      <w:numFmt w:val="bullet"/>
      <w:lvlText w:val="o"/>
      <w:lvlJc w:val="left"/>
      <w:pPr>
        <w:ind w:left="5760" w:hanging="360"/>
      </w:pPr>
      <w:rPr>
        <w:rFonts w:ascii="Courier New" w:hAnsi="Courier New" w:hint="default"/>
      </w:rPr>
    </w:lvl>
    <w:lvl w:ilvl="8" w:tplc="2840A596">
      <w:start w:val="1"/>
      <w:numFmt w:val="bullet"/>
      <w:lvlText w:val=""/>
      <w:lvlJc w:val="left"/>
      <w:pPr>
        <w:ind w:left="6480" w:hanging="360"/>
      </w:pPr>
      <w:rPr>
        <w:rFonts w:ascii="Wingdings" w:hAnsi="Wingdings" w:hint="default"/>
      </w:rPr>
    </w:lvl>
  </w:abstractNum>
  <w:abstractNum w:abstractNumId="4" w15:restartNumberingAfterBreak="0">
    <w:nsid w:val="0E533147"/>
    <w:multiLevelType w:val="hybridMultilevel"/>
    <w:tmpl w:val="47F28C78"/>
    <w:lvl w:ilvl="0" w:tplc="83409576">
      <w:start w:val="1"/>
      <w:numFmt w:val="decimal"/>
      <w:lvlText w:val="Table A2.%1:"/>
      <w:lvlJc w:val="left"/>
      <w:pPr>
        <w:ind w:left="720" w:hanging="360"/>
      </w:pPr>
    </w:lvl>
    <w:lvl w:ilvl="1" w:tplc="62864872">
      <w:start w:val="1"/>
      <w:numFmt w:val="lowerLetter"/>
      <w:lvlText w:val="%2."/>
      <w:lvlJc w:val="left"/>
      <w:pPr>
        <w:ind w:left="1440" w:hanging="360"/>
      </w:pPr>
    </w:lvl>
    <w:lvl w:ilvl="2" w:tplc="C08EAF6A">
      <w:start w:val="1"/>
      <w:numFmt w:val="lowerRoman"/>
      <w:lvlText w:val="%3."/>
      <w:lvlJc w:val="right"/>
      <w:pPr>
        <w:ind w:left="2160" w:hanging="180"/>
      </w:pPr>
    </w:lvl>
    <w:lvl w:ilvl="3" w:tplc="0CA0D84A">
      <w:start w:val="1"/>
      <w:numFmt w:val="decimal"/>
      <w:lvlText w:val="%4."/>
      <w:lvlJc w:val="left"/>
      <w:pPr>
        <w:ind w:left="2880" w:hanging="360"/>
      </w:pPr>
    </w:lvl>
    <w:lvl w:ilvl="4" w:tplc="37701662">
      <w:start w:val="1"/>
      <w:numFmt w:val="lowerLetter"/>
      <w:lvlText w:val="%5."/>
      <w:lvlJc w:val="left"/>
      <w:pPr>
        <w:ind w:left="3600" w:hanging="360"/>
      </w:pPr>
    </w:lvl>
    <w:lvl w:ilvl="5" w:tplc="27DEB410">
      <w:start w:val="1"/>
      <w:numFmt w:val="lowerRoman"/>
      <w:lvlText w:val="%6."/>
      <w:lvlJc w:val="right"/>
      <w:pPr>
        <w:ind w:left="4320" w:hanging="180"/>
      </w:pPr>
    </w:lvl>
    <w:lvl w:ilvl="6" w:tplc="41A26F2E">
      <w:start w:val="1"/>
      <w:numFmt w:val="decimal"/>
      <w:lvlText w:val="%7."/>
      <w:lvlJc w:val="left"/>
      <w:pPr>
        <w:ind w:left="5040" w:hanging="360"/>
      </w:pPr>
    </w:lvl>
    <w:lvl w:ilvl="7" w:tplc="CD8C0FB6">
      <w:start w:val="1"/>
      <w:numFmt w:val="lowerLetter"/>
      <w:lvlText w:val="%8."/>
      <w:lvlJc w:val="left"/>
      <w:pPr>
        <w:ind w:left="5760" w:hanging="360"/>
      </w:pPr>
    </w:lvl>
    <w:lvl w:ilvl="8" w:tplc="0A407A3A">
      <w:start w:val="1"/>
      <w:numFmt w:val="lowerRoman"/>
      <w:lvlText w:val="%9."/>
      <w:lvlJc w:val="right"/>
      <w:pPr>
        <w:ind w:left="6480" w:hanging="180"/>
      </w:pPr>
    </w:lvl>
  </w:abstractNum>
  <w:abstractNum w:abstractNumId="5" w15:restartNumberingAfterBreak="0">
    <w:nsid w:val="15940E8A"/>
    <w:multiLevelType w:val="hybridMultilevel"/>
    <w:tmpl w:val="F9F4A0A6"/>
    <w:lvl w:ilvl="0" w:tplc="A3D81DB0">
      <w:start w:val="1"/>
      <w:numFmt w:val="bullet"/>
      <w:lvlText w:val=""/>
      <w:lvlJc w:val="left"/>
      <w:pPr>
        <w:ind w:left="720" w:hanging="360"/>
      </w:pPr>
      <w:rPr>
        <w:rFonts w:ascii="Symbol" w:hAnsi="Symbol" w:hint="default"/>
      </w:rPr>
    </w:lvl>
    <w:lvl w:ilvl="1" w:tplc="6D885994">
      <w:start w:val="1"/>
      <w:numFmt w:val="bullet"/>
      <w:lvlText w:val="o"/>
      <w:lvlJc w:val="left"/>
      <w:pPr>
        <w:ind w:left="1440" w:hanging="360"/>
      </w:pPr>
      <w:rPr>
        <w:rFonts w:ascii="Courier New" w:hAnsi="Courier New" w:hint="default"/>
      </w:rPr>
    </w:lvl>
    <w:lvl w:ilvl="2" w:tplc="D4C8BD08">
      <w:start w:val="1"/>
      <w:numFmt w:val="bullet"/>
      <w:lvlText w:val=""/>
      <w:lvlJc w:val="left"/>
      <w:pPr>
        <w:ind w:left="2160" w:hanging="360"/>
      </w:pPr>
      <w:rPr>
        <w:rFonts w:ascii="Wingdings" w:hAnsi="Wingdings" w:hint="default"/>
      </w:rPr>
    </w:lvl>
    <w:lvl w:ilvl="3" w:tplc="60562632">
      <w:start w:val="1"/>
      <w:numFmt w:val="bullet"/>
      <w:lvlText w:val=""/>
      <w:lvlJc w:val="left"/>
      <w:pPr>
        <w:ind w:left="2880" w:hanging="360"/>
      </w:pPr>
      <w:rPr>
        <w:rFonts w:ascii="Symbol" w:hAnsi="Symbol" w:hint="default"/>
      </w:rPr>
    </w:lvl>
    <w:lvl w:ilvl="4" w:tplc="D0E0E00C">
      <w:start w:val="1"/>
      <w:numFmt w:val="bullet"/>
      <w:lvlText w:val="o"/>
      <w:lvlJc w:val="left"/>
      <w:pPr>
        <w:ind w:left="3600" w:hanging="360"/>
      </w:pPr>
      <w:rPr>
        <w:rFonts w:ascii="Courier New" w:hAnsi="Courier New" w:hint="default"/>
      </w:rPr>
    </w:lvl>
    <w:lvl w:ilvl="5" w:tplc="DB561354">
      <w:start w:val="1"/>
      <w:numFmt w:val="bullet"/>
      <w:lvlText w:val=""/>
      <w:lvlJc w:val="left"/>
      <w:pPr>
        <w:ind w:left="4320" w:hanging="360"/>
      </w:pPr>
      <w:rPr>
        <w:rFonts w:ascii="Wingdings" w:hAnsi="Wingdings" w:hint="default"/>
      </w:rPr>
    </w:lvl>
    <w:lvl w:ilvl="6" w:tplc="CEFE8CF2">
      <w:start w:val="1"/>
      <w:numFmt w:val="bullet"/>
      <w:lvlText w:val=""/>
      <w:lvlJc w:val="left"/>
      <w:pPr>
        <w:ind w:left="5040" w:hanging="360"/>
      </w:pPr>
      <w:rPr>
        <w:rFonts w:ascii="Symbol" w:hAnsi="Symbol" w:hint="default"/>
      </w:rPr>
    </w:lvl>
    <w:lvl w:ilvl="7" w:tplc="9E583EB4">
      <w:start w:val="1"/>
      <w:numFmt w:val="bullet"/>
      <w:lvlText w:val="o"/>
      <w:lvlJc w:val="left"/>
      <w:pPr>
        <w:ind w:left="5760" w:hanging="360"/>
      </w:pPr>
      <w:rPr>
        <w:rFonts w:ascii="Courier New" w:hAnsi="Courier New" w:hint="default"/>
      </w:rPr>
    </w:lvl>
    <w:lvl w:ilvl="8" w:tplc="CA281C66">
      <w:start w:val="1"/>
      <w:numFmt w:val="bullet"/>
      <w:lvlText w:val=""/>
      <w:lvlJc w:val="left"/>
      <w:pPr>
        <w:ind w:left="6480" w:hanging="360"/>
      </w:pPr>
      <w:rPr>
        <w:rFonts w:ascii="Wingdings" w:hAnsi="Wingdings" w:hint="default"/>
      </w:rPr>
    </w:lvl>
  </w:abstractNum>
  <w:abstractNum w:abstractNumId="6" w15:restartNumberingAfterBreak="0">
    <w:nsid w:val="18E414F2"/>
    <w:multiLevelType w:val="hybridMultilevel"/>
    <w:tmpl w:val="82EE5CC8"/>
    <w:lvl w:ilvl="0" w:tplc="FE9E85F2">
      <w:start w:val="1"/>
      <w:numFmt w:val="bullet"/>
      <w:lvlText w:val="·"/>
      <w:lvlJc w:val="left"/>
      <w:pPr>
        <w:ind w:left="720" w:hanging="360"/>
      </w:pPr>
      <w:rPr>
        <w:rFonts w:ascii="Symbol" w:hAnsi="Symbol" w:hint="default"/>
      </w:rPr>
    </w:lvl>
    <w:lvl w:ilvl="1" w:tplc="336E6DC4">
      <w:start w:val="1"/>
      <w:numFmt w:val="bullet"/>
      <w:lvlText w:val="o"/>
      <w:lvlJc w:val="left"/>
      <w:pPr>
        <w:ind w:left="1440" w:hanging="360"/>
      </w:pPr>
      <w:rPr>
        <w:rFonts w:ascii="Courier New" w:hAnsi="Courier New" w:hint="default"/>
      </w:rPr>
    </w:lvl>
    <w:lvl w:ilvl="2" w:tplc="54A6D89A">
      <w:start w:val="1"/>
      <w:numFmt w:val="bullet"/>
      <w:lvlText w:val=""/>
      <w:lvlJc w:val="left"/>
      <w:pPr>
        <w:ind w:left="2160" w:hanging="360"/>
      </w:pPr>
      <w:rPr>
        <w:rFonts w:ascii="Wingdings" w:hAnsi="Wingdings" w:hint="default"/>
      </w:rPr>
    </w:lvl>
    <w:lvl w:ilvl="3" w:tplc="4A7E5B48">
      <w:start w:val="1"/>
      <w:numFmt w:val="bullet"/>
      <w:lvlText w:val=""/>
      <w:lvlJc w:val="left"/>
      <w:pPr>
        <w:ind w:left="2880" w:hanging="360"/>
      </w:pPr>
      <w:rPr>
        <w:rFonts w:ascii="Symbol" w:hAnsi="Symbol" w:hint="default"/>
      </w:rPr>
    </w:lvl>
    <w:lvl w:ilvl="4" w:tplc="2F00579C">
      <w:start w:val="1"/>
      <w:numFmt w:val="bullet"/>
      <w:lvlText w:val="o"/>
      <w:lvlJc w:val="left"/>
      <w:pPr>
        <w:ind w:left="3600" w:hanging="360"/>
      </w:pPr>
      <w:rPr>
        <w:rFonts w:ascii="Courier New" w:hAnsi="Courier New" w:hint="default"/>
      </w:rPr>
    </w:lvl>
    <w:lvl w:ilvl="5" w:tplc="8D405D2A">
      <w:start w:val="1"/>
      <w:numFmt w:val="bullet"/>
      <w:lvlText w:val=""/>
      <w:lvlJc w:val="left"/>
      <w:pPr>
        <w:ind w:left="4320" w:hanging="360"/>
      </w:pPr>
      <w:rPr>
        <w:rFonts w:ascii="Wingdings" w:hAnsi="Wingdings" w:hint="default"/>
      </w:rPr>
    </w:lvl>
    <w:lvl w:ilvl="6" w:tplc="B25C1D9E">
      <w:start w:val="1"/>
      <w:numFmt w:val="bullet"/>
      <w:lvlText w:val=""/>
      <w:lvlJc w:val="left"/>
      <w:pPr>
        <w:ind w:left="5040" w:hanging="360"/>
      </w:pPr>
      <w:rPr>
        <w:rFonts w:ascii="Symbol" w:hAnsi="Symbol" w:hint="default"/>
      </w:rPr>
    </w:lvl>
    <w:lvl w:ilvl="7" w:tplc="A0660AF0">
      <w:start w:val="1"/>
      <w:numFmt w:val="bullet"/>
      <w:lvlText w:val="o"/>
      <w:lvlJc w:val="left"/>
      <w:pPr>
        <w:ind w:left="5760" w:hanging="360"/>
      </w:pPr>
      <w:rPr>
        <w:rFonts w:ascii="Courier New" w:hAnsi="Courier New" w:hint="default"/>
      </w:rPr>
    </w:lvl>
    <w:lvl w:ilvl="8" w:tplc="E47C033C">
      <w:start w:val="1"/>
      <w:numFmt w:val="bullet"/>
      <w:lvlText w:val=""/>
      <w:lvlJc w:val="left"/>
      <w:pPr>
        <w:ind w:left="6480" w:hanging="360"/>
      </w:pPr>
      <w:rPr>
        <w:rFonts w:ascii="Wingdings" w:hAnsi="Wingdings" w:hint="default"/>
      </w:rPr>
    </w:lvl>
  </w:abstractNum>
  <w:abstractNum w:abstractNumId="7" w15:restartNumberingAfterBreak="0">
    <w:nsid w:val="1BD73A11"/>
    <w:multiLevelType w:val="hybridMultilevel"/>
    <w:tmpl w:val="61E85D8E"/>
    <w:lvl w:ilvl="0" w:tplc="999A11A4">
      <w:start w:val="1"/>
      <w:numFmt w:val="bullet"/>
      <w:pStyle w:val="Bullet"/>
      <w:lvlText w:val=""/>
      <w:lvlJc w:val="left"/>
      <w:pPr>
        <w:tabs>
          <w:tab w:val="num" w:pos="113"/>
        </w:tabs>
        <w:ind w:left="0" w:firstLine="113"/>
      </w:pPr>
      <w:rPr>
        <w:rFonts w:ascii="Wingdings" w:hAnsi="Wingdings"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8" w15:restartNumberingAfterBreak="0">
    <w:nsid w:val="1D283B33"/>
    <w:multiLevelType w:val="hybridMultilevel"/>
    <w:tmpl w:val="8732FE24"/>
    <w:lvl w:ilvl="0" w:tplc="36EA31BC">
      <w:start w:val="1"/>
      <w:numFmt w:val="bullet"/>
      <w:lvlText w:val=""/>
      <w:lvlJc w:val="left"/>
      <w:pPr>
        <w:ind w:left="720" w:hanging="360"/>
      </w:pPr>
      <w:rPr>
        <w:rFonts w:ascii="Symbol" w:hAnsi="Symbol" w:hint="default"/>
      </w:rPr>
    </w:lvl>
    <w:lvl w:ilvl="1" w:tplc="813C5A88">
      <w:start w:val="1"/>
      <w:numFmt w:val="bullet"/>
      <w:lvlText w:val="o"/>
      <w:lvlJc w:val="left"/>
      <w:pPr>
        <w:ind w:left="1440" w:hanging="360"/>
      </w:pPr>
      <w:rPr>
        <w:rFonts w:ascii="Courier New" w:hAnsi="Courier New" w:hint="default"/>
      </w:rPr>
    </w:lvl>
    <w:lvl w:ilvl="2" w:tplc="7234A00A">
      <w:start w:val="1"/>
      <w:numFmt w:val="bullet"/>
      <w:lvlText w:val=""/>
      <w:lvlJc w:val="left"/>
      <w:pPr>
        <w:ind w:left="2160" w:hanging="360"/>
      </w:pPr>
      <w:rPr>
        <w:rFonts w:ascii="Wingdings" w:hAnsi="Wingdings" w:hint="default"/>
      </w:rPr>
    </w:lvl>
    <w:lvl w:ilvl="3" w:tplc="15C815DE">
      <w:start w:val="1"/>
      <w:numFmt w:val="bullet"/>
      <w:lvlText w:val=""/>
      <w:lvlJc w:val="left"/>
      <w:pPr>
        <w:ind w:left="2880" w:hanging="360"/>
      </w:pPr>
      <w:rPr>
        <w:rFonts w:ascii="Symbol" w:hAnsi="Symbol" w:hint="default"/>
      </w:rPr>
    </w:lvl>
    <w:lvl w:ilvl="4" w:tplc="2B2EC7E8">
      <w:start w:val="1"/>
      <w:numFmt w:val="bullet"/>
      <w:lvlText w:val="o"/>
      <w:lvlJc w:val="left"/>
      <w:pPr>
        <w:ind w:left="3600" w:hanging="360"/>
      </w:pPr>
      <w:rPr>
        <w:rFonts w:ascii="Courier New" w:hAnsi="Courier New" w:hint="default"/>
      </w:rPr>
    </w:lvl>
    <w:lvl w:ilvl="5" w:tplc="983CA988">
      <w:start w:val="1"/>
      <w:numFmt w:val="bullet"/>
      <w:lvlText w:val=""/>
      <w:lvlJc w:val="left"/>
      <w:pPr>
        <w:ind w:left="4320" w:hanging="360"/>
      </w:pPr>
      <w:rPr>
        <w:rFonts w:ascii="Wingdings" w:hAnsi="Wingdings" w:hint="default"/>
      </w:rPr>
    </w:lvl>
    <w:lvl w:ilvl="6" w:tplc="69848586">
      <w:start w:val="1"/>
      <w:numFmt w:val="bullet"/>
      <w:lvlText w:val=""/>
      <w:lvlJc w:val="left"/>
      <w:pPr>
        <w:ind w:left="5040" w:hanging="360"/>
      </w:pPr>
      <w:rPr>
        <w:rFonts w:ascii="Symbol" w:hAnsi="Symbol" w:hint="default"/>
      </w:rPr>
    </w:lvl>
    <w:lvl w:ilvl="7" w:tplc="D24072D6">
      <w:start w:val="1"/>
      <w:numFmt w:val="bullet"/>
      <w:lvlText w:val="o"/>
      <w:lvlJc w:val="left"/>
      <w:pPr>
        <w:ind w:left="5760" w:hanging="360"/>
      </w:pPr>
      <w:rPr>
        <w:rFonts w:ascii="Courier New" w:hAnsi="Courier New" w:hint="default"/>
      </w:rPr>
    </w:lvl>
    <w:lvl w:ilvl="8" w:tplc="EE7A81DC">
      <w:start w:val="1"/>
      <w:numFmt w:val="bullet"/>
      <w:lvlText w:val=""/>
      <w:lvlJc w:val="left"/>
      <w:pPr>
        <w:ind w:left="6480" w:hanging="360"/>
      </w:pPr>
      <w:rPr>
        <w:rFonts w:ascii="Wingdings" w:hAnsi="Wingdings" w:hint="default"/>
      </w:rPr>
    </w:lvl>
  </w:abstractNum>
  <w:abstractNum w:abstractNumId="9" w15:restartNumberingAfterBreak="0">
    <w:nsid w:val="1E4B5826"/>
    <w:multiLevelType w:val="hybridMultilevel"/>
    <w:tmpl w:val="EBA48938"/>
    <w:lvl w:ilvl="0" w:tplc="A1A02A36">
      <w:start w:val="1"/>
      <w:numFmt w:val="lowerLetter"/>
      <w:lvlText w:val="(%1)"/>
      <w:lvlJc w:val="left"/>
      <w:pPr>
        <w:ind w:left="360" w:hanging="360"/>
      </w:pPr>
      <w:rPr>
        <w:rFonts w:ascii="Arial" w:hAnsi="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1CC49F6"/>
    <w:multiLevelType w:val="hybridMultilevel"/>
    <w:tmpl w:val="5FA0D1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5006D5"/>
    <w:multiLevelType w:val="hybridMultilevel"/>
    <w:tmpl w:val="5D7CED7C"/>
    <w:lvl w:ilvl="0" w:tplc="2564E418">
      <w:start w:val="1"/>
      <w:numFmt w:val="lowerLetter"/>
      <w:pStyle w:val="Tablefootnote"/>
      <w:lvlText w:val="(%1)"/>
      <w:lvlJc w:val="left"/>
      <w:pPr>
        <w:ind w:left="720" w:hanging="360"/>
      </w:pPr>
      <w:rPr>
        <w:rFonts w:ascii="Arial" w:hAnsi="Arial" w:cs="Times New Roman" w:hint="default"/>
        <w:b w:val="0"/>
        <w:i w:val="0"/>
        <w:caps w:val="0"/>
        <w:color w:val="auto"/>
        <w:sz w:val="1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36C16DD"/>
    <w:multiLevelType w:val="hybridMultilevel"/>
    <w:tmpl w:val="7ABCE232"/>
    <w:lvl w:ilvl="0" w:tplc="FFFFFFFF">
      <w:start w:val="1"/>
      <w:numFmt w:val="decimal"/>
      <w:pStyle w:val="TableBX"/>
      <w:lvlText w:val="Tabel B.%1:"/>
      <w:lvlJc w:val="left"/>
      <w:pPr>
        <w:ind w:left="720" w:hanging="360"/>
      </w:pPr>
      <w:rPr>
        <w:b w:val="0"/>
        <w:i/>
        <w:caps w:val="0"/>
        <w:color w:val="4F4F4F"/>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A02418B"/>
    <w:multiLevelType w:val="hybridMultilevel"/>
    <w:tmpl w:val="B2A04436"/>
    <w:lvl w:ilvl="0" w:tplc="4780777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B3672BE"/>
    <w:multiLevelType w:val="hybridMultilevel"/>
    <w:tmpl w:val="0402F938"/>
    <w:lvl w:ilvl="0" w:tplc="651C6862">
      <w:start w:val="1"/>
      <w:numFmt w:val="bullet"/>
      <w:pStyle w:val="Bullet1"/>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B674B48"/>
    <w:multiLevelType w:val="hybridMultilevel"/>
    <w:tmpl w:val="1B5E3904"/>
    <w:lvl w:ilvl="0" w:tplc="2098A8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C4D4835"/>
    <w:multiLevelType w:val="hybridMultilevel"/>
    <w:tmpl w:val="FFFFFFFF"/>
    <w:lvl w:ilvl="0" w:tplc="B25C1C32">
      <w:start w:val="1"/>
      <w:numFmt w:val="decimal"/>
      <w:lvlText w:val="Table B.%1:"/>
      <w:lvlJc w:val="left"/>
      <w:pPr>
        <w:ind w:left="720" w:hanging="360"/>
      </w:pPr>
    </w:lvl>
    <w:lvl w:ilvl="1" w:tplc="F4645CBE">
      <w:start w:val="1"/>
      <w:numFmt w:val="lowerLetter"/>
      <w:lvlText w:val="%2."/>
      <w:lvlJc w:val="left"/>
      <w:pPr>
        <w:ind w:left="1440" w:hanging="360"/>
      </w:pPr>
    </w:lvl>
    <w:lvl w:ilvl="2" w:tplc="58B0AE02">
      <w:start w:val="1"/>
      <w:numFmt w:val="lowerRoman"/>
      <w:lvlText w:val="%3."/>
      <w:lvlJc w:val="right"/>
      <w:pPr>
        <w:ind w:left="2160" w:hanging="180"/>
      </w:pPr>
    </w:lvl>
    <w:lvl w:ilvl="3" w:tplc="096CDC5A">
      <w:start w:val="1"/>
      <w:numFmt w:val="decimal"/>
      <w:lvlText w:val="%4."/>
      <w:lvlJc w:val="left"/>
      <w:pPr>
        <w:ind w:left="2880" w:hanging="360"/>
      </w:pPr>
    </w:lvl>
    <w:lvl w:ilvl="4" w:tplc="E188D432">
      <w:start w:val="1"/>
      <w:numFmt w:val="lowerLetter"/>
      <w:lvlText w:val="%5."/>
      <w:lvlJc w:val="left"/>
      <w:pPr>
        <w:ind w:left="3600" w:hanging="360"/>
      </w:pPr>
    </w:lvl>
    <w:lvl w:ilvl="5" w:tplc="417CAA08">
      <w:start w:val="1"/>
      <w:numFmt w:val="lowerRoman"/>
      <w:lvlText w:val="%6."/>
      <w:lvlJc w:val="right"/>
      <w:pPr>
        <w:ind w:left="4320" w:hanging="180"/>
      </w:pPr>
    </w:lvl>
    <w:lvl w:ilvl="6" w:tplc="8AD2315A">
      <w:start w:val="1"/>
      <w:numFmt w:val="decimal"/>
      <w:lvlText w:val="%7."/>
      <w:lvlJc w:val="left"/>
      <w:pPr>
        <w:ind w:left="5040" w:hanging="360"/>
      </w:pPr>
    </w:lvl>
    <w:lvl w:ilvl="7" w:tplc="D24414E6">
      <w:start w:val="1"/>
      <w:numFmt w:val="lowerLetter"/>
      <w:lvlText w:val="%8."/>
      <w:lvlJc w:val="left"/>
      <w:pPr>
        <w:ind w:left="5760" w:hanging="360"/>
      </w:pPr>
    </w:lvl>
    <w:lvl w:ilvl="8" w:tplc="2B8CF50C">
      <w:start w:val="1"/>
      <w:numFmt w:val="lowerRoman"/>
      <w:lvlText w:val="%9."/>
      <w:lvlJc w:val="right"/>
      <w:pPr>
        <w:ind w:left="6480" w:hanging="180"/>
      </w:pPr>
    </w:lvl>
  </w:abstractNum>
  <w:abstractNum w:abstractNumId="17" w15:restartNumberingAfterBreak="0">
    <w:nsid w:val="2E0770B3"/>
    <w:multiLevelType w:val="hybridMultilevel"/>
    <w:tmpl w:val="D2546492"/>
    <w:lvl w:ilvl="0" w:tplc="B5B21356">
      <w:start w:val="1"/>
      <w:numFmt w:val="lowerLetter"/>
      <w:lvlText w:val="(%1)"/>
      <w:lvlJc w:val="left"/>
      <w:pPr>
        <w:ind w:left="360" w:hanging="360"/>
      </w:pPr>
      <w:rPr>
        <w:rFonts w:ascii="Arial" w:hAnsi="Arial" w:cs="Arial" w:hint="default"/>
        <w:i w:val="0"/>
        <w:color w:val="auto"/>
        <w:sz w:val="17"/>
        <w:szCs w:val="17"/>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2E7C146A"/>
    <w:multiLevelType w:val="hybridMultilevel"/>
    <w:tmpl w:val="FFFFFFFF"/>
    <w:lvl w:ilvl="0" w:tplc="C0E4A502">
      <w:start w:val="1"/>
      <w:numFmt w:val="bullet"/>
      <w:lvlText w:val=""/>
      <w:lvlJc w:val="left"/>
      <w:pPr>
        <w:ind w:left="720" w:hanging="360"/>
      </w:pPr>
      <w:rPr>
        <w:rFonts w:ascii="Symbol" w:hAnsi="Symbol" w:hint="default"/>
      </w:rPr>
    </w:lvl>
    <w:lvl w:ilvl="1" w:tplc="BC721832">
      <w:start w:val="1"/>
      <w:numFmt w:val="bullet"/>
      <w:lvlText w:val="o"/>
      <w:lvlJc w:val="left"/>
      <w:pPr>
        <w:ind w:left="1440" w:hanging="360"/>
      </w:pPr>
      <w:rPr>
        <w:rFonts w:ascii="Courier New" w:hAnsi="Courier New" w:hint="default"/>
      </w:rPr>
    </w:lvl>
    <w:lvl w:ilvl="2" w:tplc="C0028E66">
      <w:start w:val="1"/>
      <w:numFmt w:val="bullet"/>
      <w:lvlText w:val=""/>
      <w:lvlJc w:val="left"/>
      <w:pPr>
        <w:ind w:left="2160" w:hanging="360"/>
      </w:pPr>
      <w:rPr>
        <w:rFonts w:ascii="Wingdings" w:hAnsi="Wingdings" w:hint="default"/>
      </w:rPr>
    </w:lvl>
    <w:lvl w:ilvl="3" w:tplc="72ACA65E">
      <w:start w:val="1"/>
      <w:numFmt w:val="bullet"/>
      <w:lvlText w:val=""/>
      <w:lvlJc w:val="left"/>
      <w:pPr>
        <w:ind w:left="2880" w:hanging="360"/>
      </w:pPr>
      <w:rPr>
        <w:rFonts w:ascii="Symbol" w:hAnsi="Symbol" w:hint="default"/>
      </w:rPr>
    </w:lvl>
    <w:lvl w:ilvl="4" w:tplc="E80A6DE6">
      <w:start w:val="1"/>
      <w:numFmt w:val="bullet"/>
      <w:lvlText w:val="o"/>
      <w:lvlJc w:val="left"/>
      <w:pPr>
        <w:ind w:left="3600" w:hanging="360"/>
      </w:pPr>
      <w:rPr>
        <w:rFonts w:ascii="Courier New" w:hAnsi="Courier New" w:hint="default"/>
      </w:rPr>
    </w:lvl>
    <w:lvl w:ilvl="5" w:tplc="9B5EE576">
      <w:start w:val="1"/>
      <w:numFmt w:val="bullet"/>
      <w:lvlText w:val=""/>
      <w:lvlJc w:val="left"/>
      <w:pPr>
        <w:ind w:left="4320" w:hanging="360"/>
      </w:pPr>
      <w:rPr>
        <w:rFonts w:ascii="Wingdings" w:hAnsi="Wingdings" w:hint="default"/>
      </w:rPr>
    </w:lvl>
    <w:lvl w:ilvl="6" w:tplc="8736A26E">
      <w:start w:val="1"/>
      <w:numFmt w:val="bullet"/>
      <w:lvlText w:val=""/>
      <w:lvlJc w:val="left"/>
      <w:pPr>
        <w:ind w:left="5040" w:hanging="360"/>
      </w:pPr>
      <w:rPr>
        <w:rFonts w:ascii="Symbol" w:hAnsi="Symbol" w:hint="default"/>
      </w:rPr>
    </w:lvl>
    <w:lvl w:ilvl="7" w:tplc="D152BC98">
      <w:start w:val="1"/>
      <w:numFmt w:val="bullet"/>
      <w:lvlText w:val="o"/>
      <w:lvlJc w:val="left"/>
      <w:pPr>
        <w:ind w:left="5760" w:hanging="360"/>
      </w:pPr>
      <w:rPr>
        <w:rFonts w:ascii="Courier New" w:hAnsi="Courier New" w:hint="default"/>
      </w:rPr>
    </w:lvl>
    <w:lvl w:ilvl="8" w:tplc="A8EE50BA">
      <w:start w:val="1"/>
      <w:numFmt w:val="bullet"/>
      <w:lvlText w:val=""/>
      <w:lvlJc w:val="left"/>
      <w:pPr>
        <w:ind w:left="6480" w:hanging="360"/>
      </w:pPr>
      <w:rPr>
        <w:rFonts w:ascii="Wingdings" w:hAnsi="Wingdings" w:hint="default"/>
      </w:rPr>
    </w:lvl>
  </w:abstractNum>
  <w:abstractNum w:abstractNumId="19" w15:restartNumberingAfterBreak="0">
    <w:nsid w:val="334C2C8F"/>
    <w:multiLevelType w:val="hybridMultilevel"/>
    <w:tmpl w:val="2D3EEEFE"/>
    <w:lvl w:ilvl="0" w:tplc="2DE4121E">
      <w:start w:val="1"/>
      <w:numFmt w:val="bullet"/>
      <w:lvlText w:val=""/>
      <w:lvlJc w:val="left"/>
      <w:pPr>
        <w:ind w:left="720" w:hanging="360"/>
      </w:pPr>
      <w:rPr>
        <w:rFonts w:ascii="Symbol" w:hAnsi="Symbol" w:hint="default"/>
      </w:rPr>
    </w:lvl>
    <w:lvl w:ilvl="1" w:tplc="63D2F20E">
      <w:start w:val="1"/>
      <w:numFmt w:val="bullet"/>
      <w:lvlText w:val="o"/>
      <w:lvlJc w:val="left"/>
      <w:pPr>
        <w:ind w:left="1440" w:hanging="360"/>
      </w:pPr>
      <w:rPr>
        <w:rFonts w:ascii="Courier New" w:hAnsi="Courier New" w:hint="default"/>
      </w:rPr>
    </w:lvl>
    <w:lvl w:ilvl="2" w:tplc="9132CFCE">
      <w:start w:val="1"/>
      <w:numFmt w:val="bullet"/>
      <w:lvlText w:val=""/>
      <w:lvlJc w:val="left"/>
      <w:pPr>
        <w:ind w:left="2160" w:hanging="360"/>
      </w:pPr>
      <w:rPr>
        <w:rFonts w:ascii="Wingdings" w:hAnsi="Wingdings" w:hint="default"/>
      </w:rPr>
    </w:lvl>
    <w:lvl w:ilvl="3" w:tplc="B4722782">
      <w:start w:val="1"/>
      <w:numFmt w:val="bullet"/>
      <w:lvlText w:val=""/>
      <w:lvlJc w:val="left"/>
      <w:pPr>
        <w:ind w:left="2880" w:hanging="360"/>
      </w:pPr>
      <w:rPr>
        <w:rFonts w:ascii="Symbol" w:hAnsi="Symbol" w:hint="default"/>
      </w:rPr>
    </w:lvl>
    <w:lvl w:ilvl="4" w:tplc="113C6962">
      <w:start w:val="1"/>
      <w:numFmt w:val="bullet"/>
      <w:lvlText w:val="o"/>
      <w:lvlJc w:val="left"/>
      <w:pPr>
        <w:ind w:left="3600" w:hanging="360"/>
      </w:pPr>
      <w:rPr>
        <w:rFonts w:ascii="Courier New" w:hAnsi="Courier New" w:hint="default"/>
      </w:rPr>
    </w:lvl>
    <w:lvl w:ilvl="5" w:tplc="4C6C374E">
      <w:start w:val="1"/>
      <w:numFmt w:val="bullet"/>
      <w:lvlText w:val=""/>
      <w:lvlJc w:val="left"/>
      <w:pPr>
        <w:ind w:left="4320" w:hanging="360"/>
      </w:pPr>
      <w:rPr>
        <w:rFonts w:ascii="Wingdings" w:hAnsi="Wingdings" w:hint="default"/>
      </w:rPr>
    </w:lvl>
    <w:lvl w:ilvl="6" w:tplc="2A6837C0">
      <w:start w:val="1"/>
      <w:numFmt w:val="bullet"/>
      <w:lvlText w:val=""/>
      <w:lvlJc w:val="left"/>
      <w:pPr>
        <w:ind w:left="5040" w:hanging="360"/>
      </w:pPr>
      <w:rPr>
        <w:rFonts w:ascii="Symbol" w:hAnsi="Symbol" w:hint="default"/>
      </w:rPr>
    </w:lvl>
    <w:lvl w:ilvl="7" w:tplc="0A047724">
      <w:start w:val="1"/>
      <w:numFmt w:val="bullet"/>
      <w:lvlText w:val="o"/>
      <w:lvlJc w:val="left"/>
      <w:pPr>
        <w:ind w:left="5760" w:hanging="360"/>
      </w:pPr>
      <w:rPr>
        <w:rFonts w:ascii="Courier New" w:hAnsi="Courier New" w:hint="default"/>
      </w:rPr>
    </w:lvl>
    <w:lvl w:ilvl="8" w:tplc="0F627E3E">
      <w:start w:val="1"/>
      <w:numFmt w:val="bullet"/>
      <w:lvlText w:val=""/>
      <w:lvlJc w:val="left"/>
      <w:pPr>
        <w:ind w:left="6480" w:hanging="360"/>
      </w:pPr>
      <w:rPr>
        <w:rFonts w:ascii="Wingdings" w:hAnsi="Wingdings" w:hint="default"/>
      </w:rPr>
    </w:lvl>
  </w:abstractNum>
  <w:abstractNum w:abstractNumId="20" w15:restartNumberingAfterBreak="0">
    <w:nsid w:val="340B5989"/>
    <w:multiLevelType w:val="hybridMultilevel"/>
    <w:tmpl w:val="71BE1B06"/>
    <w:lvl w:ilvl="0" w:tplc="D53CD6DC">
      <w:start w:val="1"/>
      <w:numFmt w:val="decimal"/>
      <w:pStyle w:val="Chart31"/>
      <w:lvlText w:val="Chart 3.%1:"/>
      <w:lvlJc w:val="left"/>
      <w:pPr>
        <w:ind w:left="720" w:hanging="360"/>
      </w:pPr>
      <w:rPr>
        <w:rFonts w:ascii="Arial" w:hAnsi="Arial" w:hint="default"/>
        <w:b w:val="0"/>
        <w:i/>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5A2397A"/>
    <w:multiLevelType w:val="hybridMultilevel"/>
    <w:tmpl w:val="5564576E"/>
    <w:lvl w:ilvl="0" w:tplc="0C09000F">
      <w:start w:val="1"/>
      <w:numFmt w:val="decimal"/>
      <w:lvlText w:val="%1."/>
      <w:lvlJc w:val="left"/>
      <w:pPr>
        <w:ind w:left="360" w:hanging="360"/>
      </w:pPr>
      <w:rPr>
        <w:rFonts w:hint="default"/>
      </w:rPr>
    </w:lvl>
    <w:lvl w:ilvl="1" w:tplc="336E6DC4">
      <w:start w:val="1"/>
      <w:numFmt w:val="bullet"/>
      <w:lvlText w:val="o"/>
      <w:lvlJc w:val="left"/>
      <w:pPr>
        <w:ind w:left="1080" w:hanging="360"/>
      </w:pPr>
      <w:rPr>
        <w:rFonts w:ascii="Courier New" w:hAnsi="Courier New" w:hint="default"/>
      </w:rPr>
    </w:lvl>
    <w:lvl w:ilvl="2" w:tplc="54A6D89A">
      <w:start w:val="1"/>
      <w:numFmt w:val="bullet"/>
      <w:lvlText w:val=""/>
      <w:lvlJc w:val="left"/>
      <w:pPr>
        <w:ind w:left="1800" w:hanging="360"/>
      </w:pPr>
      <w:rPr>
        <w:rFonts w:ascii="Wingdings" w:hAnsi="Wingdings" w:hint="default"/>
      </w:rPr>
    </w:lvl>
    <w:lvl w:ilvl="3" w:tplc="4A7E5B48">
      <w:start w:val="1"/>
      <w:numFmt w:val="bullet"/>
      <w:lvlText w:val=""/>
      <w:lvlJc w:val="left"/>
      <w:pPr>
        <w:ind w:left="2520" w:hanging="360"/>
      </w:pPr>
      <w:rPr>
        <w:rFonts w:ascii="Symbol" w:hAnsi="Symbol" w:hint="default"/>
      </w:rPr>
    </w:lvl>
    <w:lvl w:ilvl="4" w:tplc="2F00579C">
      <w:start w:val="1"/>
      <w:numFmt w:val="bullet"/>
      <w:lvlText w:val="o"/>
      <w:lvlJc w:val="left"/>
      <w:pPr>
        <w:ind w:left="3240" w:hanging="360"/>
      </w:pPr>
      <w:rPr>
        <w:rFonts w:ascii="Courier New" w:hAnsi="Courier New" w:hint="default"/>
      </w:rPr>
    </w:lvl>
    <w:lvl w:ilvl="5" w:tplc="8D405D2A">
      <w:start w:val="1"/>
      <w:numFmt w:val="bullet"/>
      <w:lvlText w:val=""/>
      <w:lvlJc w:val="left"/>
      <w:pPr>
        <w:ind w:left="3960" w:hanging="360"/>
      </w:pPr>
      <w:rPr>
        <w:rFonts w:ascii="Wingdings" w:hAnsi="Wingdings" w:hint="default"/>
      </w:rPr>
    </w:lvl>
    <w:lvl w:ilvl="6" w:tplc="B25C1D9E">
      <w:start w:val="1"/>
      <w:numFmt w:val="bullet"/>
      <w:lvlText w:val=""/>
      <w:lvlJc w:val="left"/>
      <w:pPr>
        <w:ind w:left="4680" w:hanging="360"/>
      </w:pPr>
      <w:rPr>
        <w:rFonts w:ascii="Symbol" w:hAnsi="Symbol" w:hint="default"/>
      </w:rPr>
    </w:lvl>
    <w:lvl w:ilvl="7" w:tplc="A0660AF0">
      <w:start w:val="1"/>
      <w:numFmt w:val="bullet"/>
      <w:lvlText w:val="o"/>
      <w:lvlJc w:val="left"/>
      <w:pPr>
        <w:ind w:left="5400" w:hanging="360"/>
      </w:pPr>
      <w:rPr>
        <w:rFonts w:ascii="Courier New" w:hAnsi="Courier New" w:hint="default"/>
      </w:rPr>
    </w:lvl>
    <w:lvl w:ilvl="8" w:tplc="E47C033C">
      <w:start w:val="1"/>
      <w:numFmt w:val="bullet"/>
      <w:lvlText w:val=""/>
      <w:lvlJc w:val="left"/>
      <w:pPr>
        <w:ind w:left="6120" w:hanging="360"/>
      </w:pPr>
      <w:rPr>
        <w:rFonts w:ascii="Wingdings" w:hAnsi="Wingdings" w:hint="default"/>
      </w:rPr>
    </w:lvl>
  </w:abstractNum>
  <w:abstractNum w:abstractNumId="22" w15:restartNumberingAfterBreak="0">
    <w:nsid w:val="3E9945D6"/>
    <w:multiLevelType w:val="hybridMultilevel"/>
    <w:tmpl w:val="EBA48938"/>
    <w:lvl w:ilvl="0" w:tplc="A1A02A36">
      <w:start w:val="1"/>
      <w:numFmt w:val="lowerLetter"/>
      <w:lvlText w:val="(%1)"/>
      <w:lvlJc w:val="left"/>
      <w:pPr>
        <w:ind w:left="360" w:hanging="360"/>
      </w:pPr>
      <w:rPr>
        <w:rFonts w:ascii="Arial" w:hAnsi="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6660C62"/>
    <w:multiLevelType w:val="hybridMultilevel"/>
    <w:tmpl w:val="EF2E6A28"/>
    <w:lvl w:ilvl="0" w:tplc="FC6A3BDC">
      <w:start w:val="1"/>
      <w:numFmt w:val="bullet"/>
      <w:pStyle w:val="Bullet1inabox"/>
      <w:lvlText w:val=""/>
      <w:lvlJc w:val="left"/>
      <w:pPr>
        <w:ind w:left="360" w:hanging="360"/>
      </w:pPr>
      <w:rPr>
        <w:rFonts w:ascii="Symbol" w:hAnsi="Symbol" w:hint="default"/>
        <w:color w:val="0A7CB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71062EF"/>
    <w:multiLevelType w:val="hybridMultilevel"/>
    <w:tmpl w:val="22CC7474"/>
    <w:lvl w:ilvl="0" w:tplc="13EC9B3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C1D3330"/>
    <w:multiLevelType w:val="hybridMultilevel"/>
    <w:tmpl w:val="EBA48938"/>
    <w:lvl w:ilvl="0" w:tplc="A1A02A36">
      <w:start w:val="1"/>
      <w:numFmt w:val="lowerLetter"/>
      <w:lvlText w:val="(%1)"/>
      <w:lvlJc w:val="left"/>
      <w:pPr>
        <w:ind w:left="360" w:hanging="360"/>
      </w:pPr>
      <w:rPr>
        <w:rFonts w:ascii="Arial" w:hAnsi="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2A25C40"/>
    <w:multiLevelType w:val="hybridMultilevel"/>
    <w:tmpl w:val="5EB6014C"/>
    <w:lvl w:ilvl="0" w:tplc="34A272BE">
      <w:start w:val="1"/>
      <w:numFmt w:val="lowerLetter"/>
      <w:lvlText w:val="(%1)"/>
      <w:lvlJc w:val="left"/>
      <w:pPr>
        <w:ind w:left="360" w:hanging="360"/>
      </w:pPr>
      <w:rPr>
        <w:rFonts w:ascii="Arial" w:hAnsi="Arial" w:hint="default"/>
        <w:sz w:val="17"/>
        <w:szCs w:val="17"/>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DED26F1"/>
    <w:multiLevelType w:val="hybridMultilevel"/>
    <w:tmpl w:val="5E9023F8"/>
    <w:lvl w:ilvl="0" w:tplc="3B708710">
      <w:start w:val="1"/>
      <w:numFmt w:val="decimal"/>
      <w:pStyle w:val="Heading2"/>
      <w:lvlText w:val="B.%1"/>
      <w:lvlJc w:val="left"/>
      <w:pPr>
        <w:ind w:left="720" w:hanging="360"/>
      </w:pPr>
      <w:rPr>
        <w:rFonts w:ascii="Arial Bold" w:hAnsi="Arial Bold" w:hint="default"/>
        <w:b/>
        <w:i w:val="0"/>
        <w:color w:val="00ABE6"/>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3446218"/>
    <w:multiLevelType w:val="hybridMultilevel"/>
    <w:tmpl w:val="3D344F98"/>
    <w:lvl w:ilvl="0" w:tplc="3F0E45CE">
      <w:start w:val="1"/>
      <w:numFmt w:val="bullet"/>
      <w:lvlText w:val=""/>
      <w:lvlJc w:val="left"/>
      <w:pPr>
        <w:ind w:left="720" w:hanging="360"/>
      </w:pPr>
      <w:rPr>
        <w:rFonts w:ascii="Symbol" w:eastAsiaTheme="minorHAns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69087C"/>
    <w:multiLevelType w:val="hybridMultilevel"/>
    <w:tmpl w:val="EBA48938"/>
    <w:lvl w:ilvl="0" w:tplc="A1A02A36">
      <w:start w:val="1"/>
      <w:numFmt w:val="lowerLetter"/>
      <w:lvlText w:val="(%1)"/>
      <w:lvlJc w:val="left"/>
      <w:pPr>
        <w:ind w:left="360" w:hanging="360"/>
      </w:pPr>
      <w:rPr>
        <w:rFonts w:ascii="Arial" w:hAnsi="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6F881604"/>
    <w:multiLevelType w:val="hybridMultilevel"/>
    <w:tmpl w:val="D8364C8A"/>
    <w:lvl w:ilvl="0" w:tplc="DAF6AACE">
      <w:start w:val="1"/>
      <w:numFmt w:val="lowerLetter"/>
      <w:lvlText w:val="(%1)"/>
      <w:lvlJc w:val="left"/>
      <w:pPr>
        <w:ind w:left="720" w:hanging="360"/>
      </w:pPr>
      <w:rPr>
        <w:rFonts w:ascii="Arial" w:hAnsi="Arial" w:cs="Arial" w:hint="default"/>
      </w:rPr>
    </w:lvl>
    <w:lvl w:ilvl="1" w:tplc="4100FEF6">
      <w:start w:val="1"/>
      <w:numFmt w:val="lowerLetter"/>
      <w:lvlText w:val="%2."/>
      <w:lvlJc w:val="left"/>
      <w:pPr>
        <w:ind w:left="1440" w:hanging="360"/>
      </w:pPr>
    </w:lvl>
    <w:lvl w:ilvl="2" w:tplc="EBC0C138">
      <w:start w:val="1"/>
      <w:numFmt w:val="lowerRoman"/>
      <w:lvlText w:val="%3."/>
      <w:lvlJc w:val="right"/>
      <w:pPr>
        <w:ind w:left="2160" w:hanging="180"/>
      </w:pPr>
    </w:lvl>
    <w:lvl w:ilvl="3" w:tplc="0F92A9E8">
      <w:start w:val="1"/>
      <w:numFmt w:val="decimal"/>
      <w:lvlText w:val="%4."/>
      <w:lvlJc w:val="left"/>
      <w:pPr>
        <w:ind w:left="2880" w:hanging="360"/>
      </w:pPr>
    </w:lvl>
    <w:lvl w:ilvl="4" w:tplc="92DC92C4">
      <w:start w:val="1"/>
      <w:numFmt w:val="lowerLetter"/>
      <w:lvlText w:val="%5."/>
      <w:lvlJc w:val="left"/>
      <w:pPr>
        <w:ind w:left="3600" w:hanging="360"/>
      </w:pPr>
    </w:lvl>
    <w:lvl w:ilvl="5" w:tplc="D7F2F70E">
      <w:start w:val="1"/>
      <w:numFmt w:val="lowerRoman"/>
      <w:lvlText w:val="%6."/>
      <w:lvlJc w:val="right"/>
      <w:pPr>
        <w:ind w:left="4320" w:hanging="180"/>
      </w:pPr>
    </w:lvl>
    <w:lvl w:ilvl="6" w:tplc="78C21908">
      <w:start w:val="1"/>
      <w:numFmt w:val="decimal"/>
      <w:lvlText w:val="%7."/>
      <w:lvlJc w:val="left"/>
      <w:pPr>
        <w:ind w:left="5040" w:hanging="360"/>
      </w:pPr>
    </w:lvl>
    <w:lvl w:ilvl="7" w:tplc="976E000A">
      <w:start w:val="1"/>
      <w:numFmt w:val="lowerLetter"/>
      <w:lvlText w:val="%8."/>
      <w:lvlJc w:val="left"/>
      <w:pPr>
        <w:ind w:left="5760" w:hanging="360"/>
      </w:pPr>
    </w:lvl>
    <w:lvl w:ilvl="8" w:tplc="F03CB644">
      <w:start w:val="1"/>
      <w:numFmt w:val="lowerRoman"/>
      <w:lvlText w:val="%9."/>
      <w:lvlJc w:val="right"/>
      <w:pPr>
        <w:ind w:left="6480" w:hanging="180"/>
      </w:pPr>
    </w:lvl>
  </w:abstractNum>
  <w:abstractNum w:abstractNumId="31" w15:restartNumberingAfterBreak="0">
    <w:nsid w:val="7AC23F9F"/>
    <w:multiLevelType w:val="hybridMultilevel"/>
    <w:tmpl w:val="CA56D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E5606FA"/>
    <w:multiLevelType w:val="hybridMultilevel"/>
    <w:tmpl w:val="9C20E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6"/>
  </w:num>
  <w:num w:numId="3">
    <w:abstractNumId w:val="25"/>
  </w:num>
  <w:num w:numId="4">
    <w:abstractNumId w:val="7"/>
  </w:num>
  <w:num w:numId="5">
    <w:abstractNumId w:val="14"/>
  </w:num>
  <w:num w:numId="6">
    <w:abstractNumId w:val="23"/>
  </w:num>
  <w:num w:numId="7">
    <w:abstractNumId w:val="2"/>
  </w:num>
  <w:num w:numId="8">
    <w:abstractNumId w:val="17"/>
  </w:num>
  <w:num w:numId="9">
    <w:abstractNumId w:val="5"/>
  </w:num>
  <w:num w:numId="10">
    <w:abstractNumId w:val="13"/>
  </w:num>
  <w:num w:numId="11">
    <w:abstractNumId w:val="10"/>
  </w:num>
  <w:num w:numId="12">
    <w:abstractNumId w:val="20"/>
  </w:num>
  <w:num w:numId="13">
    <w:abstractNumId w:val="11"/>
  </w:num>
  <w:num w:numId="14">
    <w:abstractNumId w:val="11"/>
    <w:lvlOverride w:ilvl="0">
      <w:startOverride w:val="1"/>
    </w:lvlOverride>
  </w:num>
  <w:num w:numId="15">
    <w:abstractNumId w:val="32"/>
  </w:num>
  <w:num w:numId="16">
    <w:abstractNumId w:val="2"/>
  </w:num>
  <w:num w:numId="17">
    <w:abstractNumId w:val="28"/>
  </w:num>
  <w:num w:numId="18">
    <w:abstractNumId w:val="15"/>
  </w:num>
  <w:num w:numId="19">
    <w:abstractNumId w:val="0"/>
  </w:num>
  <w:num w:numId="20">
    <w:abstractNumId w:val="12"/>
  </w:num>
  <w:num w:numId="21">
    <w:abstractNumId w:val="24"/>
  </w:num>
  <w:num w:numId="22">
    <w:abstractNumId w:val="3"/>
  </w:num>
  <w:num w:numId="23">
    <w:abstractNumId w:val="1"/>
  </w:num>
  <w:num w:numId="24">
    <w:abstractNumId w:val="18"/>
  </w:num>
  <w:num w:numId="25">
    <w:abstractNumId w:val="16"/>
  </w:num>
  <w:num w:numId="26">
    <w:abstractNumId w:val="6"/>
  </w:num>
  <w:num w:numId="27">
    <w:abstractNumId w:val="19"/>
  </w:num>
  <w:num w:numId="28">
    <w:abstractNumId w:val="9"/>
  </w:num>
  <w:num w:numId="29">
    <w:abstractNumId w:val="22"/>
  </w:num>
  <w:num w:numId="30">
    <w:abstractNumId w:val="29"/>
  </w:num>
  <w:num w:numId="31">
    <w:abstractNumId w:val="27"/>
  </w:num>
  <w:num w:numId="32">
    <w:abstractNumId w:val="31"/>
  </w:num>
  <w:num w:numId="33">
    <w:abstractNumId w:val="4"/>
  </w:num>
  <w:num w:numId="34">
    <w:abstractNumId w:val="21"/>
  </w:num>
  <w:num w:numId="35">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evenAndOddHeaders/>
  <w:characterSpacingControl w:val="doNotCompress"/>
  <w:savePreviewPicture/>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422"/>
    <w:rsid w:val="000001D6"/>
    <w:rsid w:val="000009E4"/>
    <w:rsid w:val="00000E76"/>
    <w:rsid w:val="00000EB7"/>
    <w:rsid w:val="00002A2C"/>
    <w:rsid w:val="00003F67"/>
    <w:rsid w:val="000040BF"/>
    <w:rsid w:val="00004355"/>
    <w:rsid w:val="00005979"/>
    <w:rsid w:val="0000607A"/>
    <w:rsid w:val="00006937"/>
    <w:rsid w:val="00007179"/>
    <w:rsid w:val="000072E2"/>
    <w:rsid w:val="000072FC"/>
    <w:rsid w:val="000113BC"/>
    <w:rsid w:val="0001169B"/>
    <w:rsid w:val="00011C1C"/>
    <w:rsid w:val="00011C44"/>
    <w:rsid w:val="000128AD"/>
    <w:rsid w:val="000156D7"/>
    <w:rsid w:val="00015F6C"/>
    <w:rsid w:val="0001640D"/>
    <w:rsid w:val="0001659D"/>
    <w:rsid w:val="00016688"/>
    <w:rsid w:val="0001708C"/>
    <w:rsid w:val="000210AE"/>
    <w:rsid w:val="000212BD"/>
    <w:rsid w:val="000217AD"/>
    <w:rsid w:val="00022EBD"/>
    <w:rsid w:val="00023A35"/>
    <w:rsid w:val="00023FE5"/>
    <w:rsid w:val="000240BD"/>
    <w:rsid w:val="00024D55"/>
    <w:rsid w:val="00025278"/>
    <w:rsid w:val="0002586C"/>
    <w:rsid w:val="000261D6"/>
    <w:rsid w:val="000267ED"/>
    <w:rsid w:val="00026FA2"/>
    <w:rsid w:val="00027547"/>
    <w:rsid w:val="00030ADE"/>
    <w:rsid w:val="000318B1"/>
    <w:rsid w:val="00031CA7"/>
    <w:rsid w:val="00031D1E"/>
    <w:rsid w:val="00031DF4"/>
    <w:rsid w:val="00032A4F"/>
    <w:rsid w:val="000337C5"/>
    <w:rsid w:val="000357C4"/>
    <w:rsid w:val="000357D5"/>
    <w:rsid w:val="00036696"/>
    <w:rsid w:val="00036B7B"/>
    <w:rsid w:val="00037575"/>
    <w:rsid w:val="0003789C"/>
    <w:rsid w:val="000403A5"/>
    <w:rsid w:val="00040771"/>
    <w:rsid w:val="00040810"/>
    <w:rsid w:val="00040F3A"/>
    <w:rsid w:val="000415D3"/>
    <w:rsid w:val="000417C4"/>
    <w:rsid w:val="000420A8"/>
    <w:rsid w:val="0004366C"/>
    <w:rsid w:val="0004404C"/>
    <w:rsid w:val="000447A2"/>
    <w:rsid w:val="000449DD"/>
    <w:rsid w:val="0004507A"/>
    <w:rsid w:val="000450F4"/>
    <w:rsid w:val="00045D42"/>
    <w:rsid w:val="00045EEE"/>
    <w:rsid w:val="0004646F"/>
    <w:rsid w:val="000469C8"/>
    <w:rsid w:val="000475B2"/>
    <w:rsid w:val="00047936"/>
    <w:rsid w:val="0005028C"/>
    <w:rsid w:val="000521B7"/>
    <w:rsid w:val="00052EE5"/>
    <w:rsid w:val="00053E71"/>
    <w:rsid w:val="000552AF"/>
    <w:rsid w:val="00056883"/>
    <w:rsid w:val="000570F5"/>
    <w:rsid w:val="00057A00"/>
    <w:rsid w:val="000607D1"/>
    <w:rsid w:val="00062A59"/>
    <w:rsid w:val="00062CB1"/>
    <w:rsid w:val="00063E21"/>
    <w:rsid w:val="0006515E"/>
    <w:rsid w:val="000667BB"/>
    <w:rsid w:val="00066CB7"/>
    <w:rsid w:val="00066DC0"/>
    <w:rsid w:val="00070D61"/>
    <w:rsid w:val="000713A1"/>
    <w:rsid w:val="00072934"/>
    <w:rsid w:val="00072B5B"/>
    <w:rsid w:val="000735B6"/>
    <w:rsid w:val="00073B92"/>
    <w:rsid w:val="00074EB5"/>
    <w:rsid w:val="00074F83"/>
    <w:rsid w:val="000760E1"/>
    <w:rsid w:val="00076EAD"/>
    <w:rsid w:val="000774F9"/>
    <w:rsid w:val="000776BE"/>
    <w:rsid w:val="000802A6"/>
    <w:rsid w:val="00080B99"/>
    <w:rsid w:val="0008171F"/>
    <w:rsid w:val="000822C8"/>
    <w:rsid w:val="000830C8"/>
    <w:rsid w:val="00083206"/>
    <w:rsid w:val="00083533"/>
    <w:rsid w:val="00083786"/>
    <w:rsid w:val="00083C56"/>
    <w:rsid w:val="000842ED"/>
    <w:rsid w:val="000846E2"/>
    <w:rsid w:val="000846F3"/>
    <w:rsid w:val="00084A59"/>
    <w:rsid w:val="00084E3C"/>
    <w:rsid w:val="000856BB"/>
    <w:rsid w:val="00086408"/>
    <w:rsid w:val="00086F4A"/>
    <w:rsid w:val="000909F0"/>
    <w:rsid w:val="00090F27"/>
    <w:rsid w:val="000911E9"/>
    <w:rsid w:val="00091C6D"/>
    <w:rsid w:val="000925CB"/>
    <w:rsid w:val="00093323"/>
    <w:rsid w:val="00093BC9"/>
    <w:rsid w:val="000946D5"/>
    <w:rsid w:val="00095472"/>
    <w:rsid w:val="00095C6F"/>
    <w:rsid w:val="00096184"/>
    <w:rsid w:val="00096DDA"/>
    <w:rsid w:val="00097098"/>
    <w:rsid w:val="00097165"/>
    <w:rsid w:val="00097A1B"/>
    <w:rsid w:val="00097CF9"/>
    <w:rsid w:val="000A1864"/>
    <w:rsid w:val="000A2D15"/>
    <w:rsid w:val="000A7B1F"/>
    <w:rsid w:val="000A7CDA"/>
    <w:rsid w:val="000B0BDA"/>
    <w:rsid w:val="000B1A47"/>
    <w:rsid w:val="000B282A"/>
    <w:rsid w:val="000B33C0"/>
    <w:rsid w:val="000B3903"/>
    <w:rsid w:val="000B5204"/>
    <w:rsid w:val="000B5C51"/>
    <w:rsid w:val="000B6189"/>
    <w:rsid w:val="000B7901"/>
    <w:rsid w:val="000B7D3D"/>
    <w:rsid w:val="000C2547"/>
    <w:rsid w:val="000C2646"/>
    <w:rsid w:val="000C2CB6"/>
    <w:rsid w:val="000C2EC6"/>
    <w:rsid w:val="000C311F"/>
    <w:rsid w:val="000C32B9"/>
    <w:rsid w:val="000C4785"/>
    <w:rsid w:val="000C4799"/>
    <w:rsid w:val="000C49AA"/>
    <w:rsid w:val="000C4C3A"/>
    <w:rsid w:val="000C6902"/>
    <w:rsid w:val="000C6B57"/>
    <w:rsid w:val="000C733F"/>
    <w:rsid w:val="000D00B8"/>
    <w:rsid w:val="000D13A7"/>
    <w:rsid w:val="000D1585"/>
    <w:rsid w:val="000D16BF"/>
    <w:rsid w:val="000D176F"/>
    <w:rsid w:val="000D2AFB"/>
    <w:rsid w:val="000D2BEA"/>
    <w:rsid w:val="000D3892"/>
    <w:rsid w:val="000D3B2A"/>
    <w:rsid w:val="000D3C58"/>
    <w:rsid w:val="000D52E3"/>
    <w:rsid w:val="000D5EEA"/>
    <w:rsid w:val="000D746F"/>
    <w:rsid w:val="000D747A"/>
    <w:rsid w:val="000E13B2"/>
    <w:rsid w:val="000E2AF3"/>
    <w:rsid w:val="000E3435"/>
    <w:rsid w:val="000E3AC3"/>
    <w:rsid w:val="000E4494"/>
    <w:rsid w:val="000E4863"/>
    <w:rsid w:val="000E5736"/>
    <w:rsid w:val="000E6316"/>
    <w:rsid w:val="000E6E21"/>
    <w:rsid w:val="000F14B6"/>
    <w:rsid w:val="000F28BF"/>
    <w:rsid w:val="000F2DD7"/>
    <w:rsid w:val="000F37F8"/>
    <w:rsid w:val="000F44ED"/>
    <w:rsid w:val="000F4C75"/>
    <w:rsid w:val="000F4F4D"/>
    <w:rsid w:val="000F4F5E"/>
    <w:rsid w:val="000F51F1"/>
    <w:rsid w:val="000F6A11"/>
    <w:rsid w:val="000F7D67"/>
    <w:rsid w:val="00100176"/>
    <w:rsid w:val="00100AFC"/>
    <w:rsid w:val="00100C80"/>
    <w:rsid w:val="0010132E"/>
    <w:rsid w:val="0010158D"/>
    <w:rsid w:val="00101BFE"/>
    <w:rsid w:val="001025C6"/>
    <w:rsid w:val="00102C23"/>
    <w:rsid w:val="00102C55"/>
    <w:rsid w:val="001038C3"/>
    <w:rsid w:val="00104427"/>
    <w:rsid w:val="00104593"/>
    <w:rsid w:val="001045DF"/>
    <w:rsid w:val="00104C3E"/>
    <w:rsid w:val="00105148"/>
    <w:rsid w:val="00105185"/>
    <w:rsid w:val="00105C1D"/>
    <w:rsid w:val="0010629A"/>
    <w:rsid w:val="00106B23"/>
    <w:rsid w:val="00110835"/>
    <w:rsid w:val="00110FBC"/>
    <w:rsid w:val="00111648"/>
    <w:rsid w:val="001118A0"/>
    <w:rsid w:val="001146A9"/>
    <w:rsid w:val="0011530A"/>
    <w:rsid w:val="00116029"/>
    <w:rsid w:val="001164DC"/>
    <w:rsid w:val="00116683"/>
    <w:rsid w:val="00116AD1"/>
    <w:rsid w:val="0011776B"/>
    <w:rsid w:val="00117875"/>
    <w:rsid w:val="00117A49"/>
    <w:rsid w:val="00117C97"/>
    <w:rsid w:val="00120133"/>
    <w:rsid w:val="001207AE"/>
    <w:rsid w:val="00121023"/>
    <w:rsid w:val="00121EF8"/>
    <w:rsid w:val="00121F09"/>
    <w:rsid w:val="00121FF8"/>
    <w:rsid w:val="00122506"/>
    <w:rsid w:val="0012288F"/>
    <w:rsid w:val="00122CF3"/>
    <w:rsid w:val="001233AB"/>
    <w:rsid w:val="0012354D"/>
    <w:rsid w:val="0012653F"/>
    <w:rsid w:val="00126640"/>
    <w:rsid w:val="00127146"/>
    <w:rsid w:val="001277EE"/>
    <w:rsid w:val="001302C5"/>
    <w:rsid w:val="001313C2"/>
    <w:rsid w:val="0013188F"/>
    <w:rsid w:val="00132A17"/>
    <w:rsid w:val="00132C85"/>
    <w:rsid w:val="001337AD"/>
    <w:rsid w:val="001337CC"/>
    <w:rsid w:val="00134282"/>
    <w:rsid w:val="001355A5"/>
    <w:rsid w:val="0013598D"/>
    <w:rsid w:val="001371E7"/>
    <w:rsid w:val="0013745D"/>
    <w:rsid w:val="00137958"/>
    <w:rsid w:val="00137B04"/>
    <w:rsid w:val="00137FE8"/>
    <w:rsid w:val="0014046F"/>
    <w:rsid w:val="00141AAE"/>
    <w:rsid w:val="00142572"/>
    <w:rsid w:val="0014268F"/>
    <w:rsid w:val="00142BB8"/>
    <w:rsid w:val="00142D0F"/>
    <w:rsid w:val="00143491"/>
    <w:rsid w:val="00143760"/>
    <w:rsid w:val="00144744"/>
    <w:rsid w:val="00145B55"/>
    <w:rsid w:val="00145C63"/>
    <w:rsid w:val="001474C7"/>
    <w:rsid w:val="00147B98"/>
    <w:rsid w:val="0015076B"/>
    <w:rsid w:val="001508D2"/>
    <w:rsid w:val="00150A3A"/>
    <w:rsid w:val="00150AA8"/>
    <w:rsid w:val="00150FE0"/>
    <w:rsid w:val="0015194B"/>
    <w:rsid w:val="00151FDB"/>
    <w:rsid w:val="00152159"/>
    <w:rsid w:val="00153E13"/>
    <w:rsid w:val="00154100"/>
    <w:rsid w:val="0015476E"/>
    <w:rsid w:val="00154AE7"/>
    <w:rsid w:val="00155B06"/>
    <w:rsid w:val="00155B25"/>
    <w:rsid w:val="00157012"/>
    <w:rsid w:val="001605A0"/>
    <w:rsid w:val="0016090F"/>
    <w:rsid w:val="00160D74"/>
    <w:rsid w:val="001625C7"/>
    <w:rsid w:val="001625FA"/>
    <w:rsid w:val="00162718"/>
    <w:rsid w:val="00164374"/>
    <w:rsid w:val="0016471F"/>
    <w:rsid w:val="00164A47"/>
    <w:rsid w:val="00164BEC"/>
    <w:rsid w:val="00164C2C"/>
    <w:rsid w:val="00164DBE"/>
    <w:rsid w:val="00164E3B"/>
    <w:rsid w:val="00165F81"/>
    <w:rsid w:val="00167430"/>
    <w:rsid w:val="0016755A"/>
    <w:rsid w:val="00167AC7"/>
    <w:rsid w:val="00171072"/>
    <w:rsid w:val="00173D2C"/>
    <w:rsid w:val="00174A03"/>
    <w:rsid w:val="001752C0"/>
    <w:rsid w:val="0017550A"/>
    <w:rsid w:val="0017668C"/>
    <w:rsid w:val="00176CD7"/>
    <w:rsid w:val="00177835"/>
    <w:rsid w:val="00177B26"/>
    <w:rsid w:val="00177B4B"/>
    <w:rsid w:val="00177F87"/>
    <w:rsid w:val="0017CB7B"/>
    <w:rsid w:val="0018062A"/>
    <w:rsid w:val="00180DEB"/>
    <w:rsid w:val="00180FC8"/>
    <w:rsid w:val="00182357"/>
    <w:rsid w:val="0018273B"/>
    <w:rsid w:val="00183DCC"/>
    <w:rsid w:val="00185D2E"/>
    <w:rsid w:val="00185DC1"/>
    <w:rsid w:val="00185F81"/>
    <w:rsid w:val="001868F0"/>
    <w:rsid w:val="00186E73"/>
    <w:rsid w:val="00187B95"/>
    <w:rsid w:val="00192192"/>
    <w:rsid w:val="00192787"/>
    <w:rsid w:val="00193309"/>
    <w:rsid w:val="00193F00"/>
    <w:rsid w:val="001953BF"/>
    <w:rsid w:val="00196734"/>
    <w:rsid w:val="00196CF5"/>
    <w:rsid w:val="001970E9"/>
    <w:rsid w:val="001972AF"/>
    <w:rsid w:val="00197437"/>
    <w:rsid w:val="001A0784"/>
    <w:rsid w:val="001A13D6"/>
    <w:rsid w:val="001A202D"/>
    <w:rsid w:val="001A2EA8"/>
    <w:rsid w:val="001A3A67"/>
    <w:rsid w:val="001A4126"/>
    <w:rsid w:val="001A4639"/>
    <w:rsid w:val="001A4844"/>
    <w:rsid w:val="001A5BD2"/>
    <w:rsid w:val="001A5C2C"/>
    <w:rsid w:val="001A6316"/>
    <w:rsid w:val="001A7DE8"/>
    <w:rsid w:val="001B08C5"/>
    <w:rsid w:val="001B0B8D"/>
    <w:rsid w:val="001B0C94"/>
    <w:rsid w:val="001B1ADB"/>
    <w:rsid w:val="001B3C03"/>
    <w:rsid w:val="001B46B9"/>
    <w:rsid w:val="001B4931"/>
    <w:rsid w:val="001B6167"/>
    <w:rsid w:val="001C07ED"/>
    <w:rsid w:val="001C0EF7"/>
    <w:rsid w:val="001C3139"/>
    <w:rsid w:val="001C3FDA"/>
    <w:rsid w:val="001C4B85"/>
    <w:rsid w:val="001C4D08"/>
    <w:rsid w:val="001C5F01"/>
    <w:rsid w:val="001C7820"/>
    <w:rsid w:val="001D0BED"/>
    <w:rsid w:val="001D0CD8"/>
    <w:rsid w:val="001D0E95"/>
    <w:rsid w:val="001D178D"/>
    <w:rsid w:val="001D1CC3"/>
    <w:rsid w:val="001D3A06"/>
    <w:rsid w:val="001D3CAA"/>
    <w:rsid w:val="001D3F5A"/>
    <w:rsid w:val="001D4AB3"/>
    <w:rsid w:val="001D4EB6"/>
    <w:rsid w:val="001D4F04"/>
    <w:rsid w:val="001D5A53"/>
    <w:rsid w:val="001D5EDC"/>
    <w:rsid w:val="001E00B5"/>
    <w:rsid w:val="001E106B"/>
    <w:rsid w:val="001E1EAD"/>
    <w:rsid w:val="001E3710"/>
    <w:rsid w:val="001E3DE7"/>
    <w:rsid w:val="001E3EE3"/>
    <w:rsid w:val="001E3FAD"/>
    <w:rsid w:val="001E4846"/>
    <w:rsid w:val="001E564B"/>
    <w:rsid w:val="001E569D"/>
    <w:rsid w:val="001E6A91"/>
    <w:rsid w:val="001E76ED"/>
    <w:rsid w:val="001E7E48"/>
    <w:rsid w:val="001F061A"/>
    <w:rsid w:val="001F23BE"/>
    <w:rsid w:val="001F3580"/>
    <w:rsid w:val="001F484A"/>
    <w:rsid w:val="001F4AE2"/>
    <w:rsid w:val="001F5669"/>
    <w:rsid w:val="001F5750"/>
    <w:rsid w:val="001F5901"/>
    <w:rsid w:val="001F5BCE"/>
    <w:rsid w:val="001F64D4"/>
    <w:rsid w:val="001F673E"/>
    <w:rsid w:val="001F68FA"/>
    <w:rsid w:val="0020015A"/>
    <w:rsid w:val="00200ADA"/>
    <w:rsid w:val="00201819"/>
    <w:rsid w:val="00201BC9"/>
    <w:rsid w:val="002029B3"/>
    <w:rsid w:val="00204A95"/>
    <w:rsid w:val="002052A4"/>
    <w:rsid w:val="00205604"/>
    <w:rsid w:val="00205F29"/>
    <w:rsid w:val="00206617"/>
    <w:rsid w:val="00206F44"/>
    <w:rsid w:val="0020760E"/>
    <w:rsid w:val="002077FD"/>
    <w:rsid w:val="00207DF2"/>
    <w:rsid w:val="0021006C"/>
    <w:rsid w:val="00210AC6"/>
    <w:rsid w:val="00210FC1"/>
    <w:rsid w:val="0021104C"/>
    <w:rsid w:val="00211444"/>
    <w:rsid w:val="002115F0"/>
    <w:rsid w:val="0021397C"/>
    <w:rsid w:val="00214584"/>
    <w:rsid w:val="002148FE"/>
    <w:rsid w:val="00215CE2"/>
    <w:rsid w:val="002166B7"/>
    <w:rsid w:val="00216AAC"/>
    <w:rsid w:val="002170D8"/>
    <w:rsid w:val="00220EA5"/>
    <w:rsid w:val="00221108"/>
    <w:rsid w:val="002212B7"/>
    <w:rsid w:val="00221409"/>
    <w:rsid w:val="00221413"/>
    <w:rsid w:val="00222B94"/>
    <w:rsid w:val="00223399"/>
    <w:rsid w:val="002238C8"/>
    <w:rsid w:val="00225AF9"/>
    <w:rsid w:val="00226831"/>
    <w:rsid w:val="00226882"/>
    <w:rsid w:val="00227176"/>
    <w:rsid w:val="00227D1D"/>
    <w:rsid w:val="00227E9D"/>
    <w:rsid w:val="00230382"/>
    <w:rsid w:val="0023063D"/>
    <w:rsid w:val="0023084D"/>
    <w:rsid w:val="00230A1C"/>
    <w:rsid w:val="00231099"/>
    <w:rsid w:val="00231E2C"/>
    <w:rsid w:val="00232878"/>
    <w:rsid w:val="00232D7A"/>
    <w:rsid w:val="00234167"/>
    <w:rsid w:val="00234748"/>
    <w:rsid w:val="0023510F"/>
    <w:rsid w:val="0023578C"/>
    <w:rsid w:val="0023666C"/>
    <w:rsid w:val="00237114"/>
    <w:rsid w:val="0023748C"/>
    <w:rsid w:val="00241691"/>
    <w:rsid w:val="00241A05"/>
    <w:rsid w:val="00241B6F"/>
    <w:rsid w:val="00242234"/>
    <w:rsid w:val="00243766"/>
    <w:rsid w:val="0024407C"/>
    <w:rsid w:val="002445C2"/>
    <w:rsid w:val="0024576A"/>
    <w:rsid w:val="002457D8"/>
    <w:rsid w:val="0024600B"/>
    <w:rsid w:val="00246B19"/>
    <w:rsid w:val="00246FD5"/>
    <w:rsid w:val="002470E6"/>
    <w:rsid w:val="002478AE"/>
    <w:rsid w:val="00247CC4"/>
    <w:rsid w:val="00251770"/>
    <w:rsid w:val="00252585"/>
    <w:rsid w:val="00252622"/>
    <w:rsid w:val="0025290B"/>
    <w:rsid w:val="00252E92"/>
    <w:rsid w:val="00253597"/>
    <w:rsid w:val="00253797"/>
    <w:rsid w:val="00253880"/>
    <w:rsid w:val="002539A8"/>
    <w:rsid w:val="0025431C"/>
    <w:rsid w:val="002545F1"/>
    <w:rsid w:val="00255B84"/>
    <w:rsid w:val="00257616"/>
    <w:rsid w:val="0025766C"/>
    <w:rsid w:val="002579A9"/>
    <w:rsid w:val="00257AB5"/>
    <w:rsid w:val="00257F33"/>
    <w:rsid w:val="00260913"/>
    <w:rsid w:val="00261A16"/>
    <w:rsid w:val="00263BB1"/>
    <w:rsid w:val="00263E95"/>
    <w:rsid w:val="00264CB8"/>
    <w:rsid w:val="002655D1"/>
    <w:rsid w:val="002660AC"/>
    <w:rsid w:val="0026621E"/>
    <w:rsid w:val="00266954"/>
    <w:rsid w:val="00266DBB"/>
    <w:rsid w:val="002702D8"/>
    <w:rsid w:val="002707A1"/>
    <w:rsid w:val="00270A43"/>
    <w:rsid w:val="00270E64"/>
    <w:rsid w:val="002711BD"/>
    <w:rsid w:val="00272F22"/>
    <w:rsid w:val="00273836"/>
    <w:rsid w:val="00274A61"/>
    <w:rsid w:val="00274D39"/>
    <w:rsid w:val="00275026"/>
    <w:rsid w:val="00275E2E"/>
    <w:rsid w:val="00276376"/>
    <w:rsid w:val="002763CA"/>
    <w:rsid w:val="0027764C"/>
    <w:rsid w:val="00277C97"/>
    <w:rsid w:val="00281BA8"/>
    <w:rsid w:val="00282279"/>
    <w:rsid w:val="002834D6"/>
    <w:rsid w:val="002836A9"/>
    <w:rsid w:val="00283B3E"/>
    <w:rsid w:val="0028496F"/>
    <w:rsid w:val="00285040"/>
    <w:rsid w:val="00286137"/>
    <w:rsid w:val="002874A9"/>
    <w:rsid w:val="0028765C"/>
    <w:rsid w:val="00287DEB"/>
    <w:rsid w:val="00287ED8"/>
    <w:rsid w:val="00291D6B"/>
    <w:rsid w:val="002927CC"/>
    <w:rsid w:val="00292A67"/>
    <w:rsid w:val="00294CC2"/>
    <w:rsid w:val="00294E66"/>
    <w:rsid w:val="002953C8"/>
    <w:rsid w:val="0029564E"/>
    <w:rsid w:val="00295B10"/>
    <w:rsid w:val="00295C59"/>
    <w:rsid w:val="00296035"/>
    <w:rsid w:val="00296B9C"/>
    <w:rsid w:val="00297CEF"/>
    <w:rsid w:val="002A06BA"/>
    <w:rsid w:val="002A12EC"/>
    <w:rsid w:val="002A1781"/>
    <w:rsid w:val="002A1B1A"/>
    <w:rsid w:val="002A210E"/>
    <w:rsid w:val="002A25E4"/>
    <w:rsid w:val="002A462B"/>
    <w:rsid w:val="002A4839"/>
    <w:rsid w:val="002A5041"/>
    <w:rsid w:val="002A51CD"/>
    <w:rsid w:val="002A52D5"/>
    <w:rsid w:val="002A5567"/>
    <w:rsid w:val="002A607A"/>
    <w:rsid w:val="002A6D06"/>
    <w:rsid w:val="002A7C38"/>
    <w:rsid w:val="002B006C"/>
    <w:rsid w:val="002B0837"/>
    <w:rsid w:val="002B2681"/>
    <w:rsid w:val="002B2C91"/>
    <w:rsid w:val="002B3683"/>
    <w:rsid w:val="002B3757"/>
    <w:rsid w:val="002B3843"/>
    <w:rsid w:val="002B410D"/>
    <w:rsid w:val="002B535C"/>
    <w:rsid w:val="002B5C6E"/>
    <w:rsid w:val="002B5EEA"/>
    <w:rsid w:val="002B5EF7"/>
    <w:rsid w:val="002B6AEA"/>
    <w:rsid w:val="002B6C6D"/>
    <w:rsid w:val="002B7363"/>
    <w:rsid w:val="002B74BD"/>
    <w:rsid w:val="002B797B"/>
    <w:rsid w:val="002C0305"/>
    <w:rsid w:val="002C0D50"/>
    <w:rsid w:val="002C1240"/>
    <w:rsid w:val="002C1705"/>
    <w:rsid w:val="002C1901"/>
    <w:rsid w:val="002C1D21"/>
    <w:rsid w:val="002C230D"/>
    <w:rsid w:val="002C2B70"/>
    <w:rsid w:val="002C2BA5"/>
    <w:rsid w:val="002C36DB"/>
    <w:rsid w:val="002C4CE7"/>
    <w:rsid w:val="002C6471"/>
    <w:rsid w:val="002C69FE"/>
    <w:rsid w:val="002C781D"/>
    <w:rsid w:val="002D053E"/>
    <w:rsid w:val="002D181E"/>
    <w:rsid w:val="002D1DB0"/>
    <w:rsid w:val="002D2362"/>
    <w:rsid w:val="002D3CED"/>
    <w:rsid w:val="002D4024"/>
    <w:rsid w:val="002D4A19"/>
    <w:rsid w:val="002D4FC0"/>
    <w:rsid w:val="002D5C79"/>
    <w:rsid w:val="002D5D7B"/>
    <w:rsid w:val="002D69C0"/>
    <w:rsid w:val="002D7ACE"/>
    <w:rsid w:val="002D7C28"/>
    <w:rsid w:val="002E0933"/>
    <w:rsid w:val="002E0E70"/>
    <w:rsid w:val="002E199C"/>
    <w:rsid w:val="002E1A5B"/>
    <w:rsid w:val="002E1EC4"/>
    <w:rsid w:val="002E258D"/>
    <w:rsid w:val="002E3244"/>
    <w:rsid w:val="002E3441"/>
    <w:rsid w:val="002E38B1"/>
    <w:rsid w:val="002E4334"/>
    <w:rsid w:val="002E4E38"/>
    <w:rsid w:val="002E4FB5"/>
    <w:rsid w:val="002E511B"/>
    <w:rsid w:val="002E535F"/>
    <w:rsid w:val="002E5644"/>
    <w:rsid w:val="002E5A69"/>
    <w:rsid w:val="002E6785"/>
    <w:rsid w:val="002E6C9F"/>
    <w:rsid w:val="002E6E0F"/>
    <w:rsid w:val="002E6E4C"/>
    <w:rsid w:val="002E7380"/>
    <w:rsid w:val="002E7E83"/>
    <w:rsid w:val="002F054C"/>
    <w:rsid w:val="002F061C"/>
    <w:rsid w:val="002F0D7C"/>
    <w:rsid w:val="002F0F8F"/>
    <w:rsid w:val="002F32C2"/>
    <w:rsid w:val="002F3483"/>
    <w:rsid w:val="002F4D7D"/>
    <w:rsid w:val="002F5086"/>
    <w:rsid w:val="002F59A0"/>
    <w:rsid w:val="002F5B31"/>
    <w:rsid w:val="002F6BAA"/>
    <w:rsid w:val="0030047E"/>
    <w:rsid w:val="00300C58"/>
    <w:rsid w:val="00300EBD"/>
    <w:rsid w:val="00301654"/>
    <w:rsid w:val="00301CBD"/>
    <w:rsid w:val="00301CE0"/>
    <w:rsid w:val="00302367"/>
    <w:rsid w:val="00302CB4"/>
    <w:rsid w:val="00302DF8"/>
    <w:rsid w:val="00302ECA"/>
    <w:rsid w:val="00303158"/>
    <w:rsid w:val="003054E9"/>
    <w:rsid w:val="00305520"/>
    <w:rsid w:val="00305C9B"/>
    <w:rsid w:val="00305CC1"/>
    <w:rsid w:val="0030642C"/>
    <w:rsid w:val="00306A18"/>
    <w:rsid w:val="00307001"/>
    <w:rsid w:val="00307CEF"/>
    <w:rsid w:val="00307D4F"/>
    <w:rsid w:val="00310505"/>
    <w:rsid w:val="00310A49"/>
    <w:rsid w:val="003114B5"/>
    <w:rsid w:val="00311F02"/>
    <w:rsid w:val="00312B05"/>
    <w:rsid w:val="00314FE7"/>
    <w:rsid w:val="00315E72"/>
    <w:rsid w:val="00315EE7"/>
    <w:rsid w:val="00316098"/>
    <w:rsid w:val="00316316"/>
    <w:rsid w:val="00317104"/>
    <w:rsid w:val="003175EA"/>
    <w:rsid w:val="0032060A"/>
    <w:rsid w:val="00320922"/>
    <w:rsid w:val="003210D0"/>
    <w:rsid w:val="003213EA"/>
    <w:rsid w:val="003219BF"/>
    <w:rsid w:val="003226B3"/>
    <w:rsid w:val="00323748"/>
    <w:rsid w:val="00323CD1"/>
    <w:rsid w:val="00324423"/>
    <w:rsid w:val="00324620"/>
    <w:rsid w:val="00324B88"/>
    <w:rsid w:val="00326C72"/>
    <w:rsid w:val="00326D98"/>
    <w:rsid w:val="00327191"/>
    <w:rsid w:val="00327683"/>
    <w:rsid w:val="00327EA9"/>
    <w:rsid w:val="00330614"/>
    <w:rsid w:val="00330B80"/>
    <w:rsid w:val="00331029"/>
    <w:rsid w:val="0033113E"/>
    <w:rsid w:val="00331512"/>
    <w:rsid w:val="00331D52"/>
    <w:rsid w:val="00331FE3"/>
    <w:rsid w:val="003321F8"/>
    <w:rsid w:val="00332C1E"/>
    <w:rsid w:val="003332CF"/>
    <w:rsid w:val="00334198"/>
    <w:rsid w:val="003347B5"/>
    <w:rsid w:val="00335499"/>
    <w:rsid w:val="00335A58"/>
    <w:rsid w:val="00335BC9"/>
    <w:rsid w:val="00337095"/>
    <w:rsid w:val="00337595"/>
    <w:rsid w:val="003375B2"/>
    <w:rsid w:val="00337CB6"/>
    <w:rsid w:val="003404F3"/>
    <w:rsid w:val="003419DC"/>
    <w:rsid w:val="0034431C"/>
    <w:rsid w:val="00344475"/>
    <w:rsid w:val="003448C7"/>
    <w:rsid w:val="00344D41"/>
    <w:rsid w:val="00345287"/>
    <w:rsid w:val="0034622F"/>
    <w:rsid w:val="003462EF"/>
    <w:rsid w:val="00346371"/>
    <w:rsid w:val="0034685A"/>
    <w:rsid w:val="00346CB4"/>
    <w:rsid w:val="00346EBE"/>
    <w:rsid w:val="00347AAD"/>
    <w:rsid w:val="00350528"/>
    <w:rsid w:val="003507CA"/>
    <w:rsid w:val="00350BA0"/>
    <w:rsid w:val="00351930"/>
    <w:rsid w:val="00351F82"/>
    <w:rsid w:val="00352A50"/>
    <w:rsid w:val="00352C17"/>
    <w:rsid w:val="00354EC2"/>
    <w:rsid w:val="003555E7"/>
    <w:rsid w:val="003563AE"/>
    <w:rsid w:val="00357244"/>
    <w:rsid w:val="00360658"/>
    <w:rsid w:val="0036068E"/>
    <w:rsid w:val="00362ED2"/>
    <w:rsid w:val="00363777"/>
    <w:rsid w:val="00363C44"/>
    <w:rsid w:val="00364C0B"/>
    <w:rsid w:val="003653B9"/>
    <w:rsid w:val="00365C03"/>
    <w:rsid w:val="00365FA1"/>
    <w:rsid w:val="00366405"/>
    <w:rsid w:val="003671D1"/>
    <w:rsid w:val="003673E9"/>
    <w:rsid w:val="00367C13"/>
    <w:rsid w:val="00367D00"/>
    <w:rsid w:val="00369F7D"/>
    <w:rsid w:val="0037061F"/>
    <w:rsid w:val="00370BAE"/>
    <w:rsid w:val="00371117"/>
    <w:rsid w:val="003723E4"/>
    <w:rsid w:val="00372729"/>
    <w:rsid w:val="0037354B"/>
    <w:rsid w:val="0037376E"/>
    <w:rsid w:val="00374886"/>
    <w:rsid w:val="00375748"/>
    <w:rsid w:val="00376DC6"/>
    <w:rsid w:val="00376EF3"/>
    <w:rsid w:val="003772BD"/>
    <w:rsid w:val="00377DBB"/>
    <w:rsid w:val="00380B12"/>
    <w:rsid w:val="003821DF"/>
    <w:rsid w:val="003827E8"/>
    <w:rsid w:val="00382A9F"/>
    <w:rsid w:val="003830E4"/>
    <w:rsid w:val="003833FA"/>
    <w:rsid w:val="0038430F"/>
    <w:rsid w:val="00384F2B"/>
    <w:rsid w:val="0038579A"/>
    <w:rsid w:val="003858AF"/>
    <w:rsid w:val="003859C3"/>
    <w:rsid w:val="0038639A"/>
    <w:rsid w:val="00386877"/>
    <w:rsid w:val="00386E0B"/>
    <w:rsid w:val="003870CA"/>
    <w:rsid w:val="00387847"/>
    <w:rsid w:val="00387A90"/>
    <w:rsid w:val="00387E54"/>
    <w:rsid w:val="003900DE"/>
    <w:rsid w:val="0039018A"/>
    <w:rsid w:val="00390B35"/>
    <w:rsid w:val="003913B1"/>
    <w:rsid w:val="0039161E"/>
    <w:rsid w:val="00391921"/>
    <w:rsid w:val="00391A33"/>
    <w:rsid w:val="003922AA"/>
    <w:rsid w:val="0039334E"/>
    <w:rsid w:val="00394275"/>
    <w:rsid w:val="003952A2"/>
    <w:rsid w:val="003955EE"/>
    <w:rsid w:val="00395835"/>
    <w:rsid w:val="00396108"/>
    <w:rsid w:val="00396AC7"/>
    <w:rsid w:val="003971FC"/>
    <w:rsid w:val="003974D6"/>
    <w:rsid w:val="00397D35"/>
    <w:rsid w:val="003A03EC"/>
    <w:rsid w:val="003A077F"/>
    <w:rsid w:val="003A0CB4"/>
    <w:rsid w:val="003A0F5D"/>
    <w:rsid w:val="003A1131"/>
    <w:rsid w:val="003A1ED4"/>
    <w:rsid w:val="003A231F"/>
    <w:rsid w:val="003A26AE"/>
    <w:rsid w:val="003A289A"/>
    <w:rsid w:val="003A2BFB"/>
    <w:rsid w:val="003A3903"/>
    <w:rsid w:val="003A44F7"/>
    <w:rsid w:val="003A55FC"/>
    <w:rsid w:val="003A58C2"/>
    <w:rsid w:val="003A6006"/>
    <w:rsid w:val="003A61ED"/>
    <w:rsid w:val="003A69E7"/>
    <w:rsid w:val="003A7470"/>
    <w:rsid w:val="003B07DC"/>
    <w:rsid w:val="003B091C"/>
    <w:rsid w:val="003B0DC9"/>
    <w:rsid w:val="003B191C"/>
    <w:rsid w:val="003B368E"/>
    <w:rsid w:val="003B3CE5"/>
    <w:rsid w:val="003B4A90"/>
    <w:rsid w:val="003B582A"/>
    <w:rsid w:val="003B6258"/>
    <w:rsid w:val="003B692A"/>
    <w:rsid w:val="003B720E"/>
    <w:rsid w:val="003C0831"/>
    <w:rsid w:val="003C0C5A"/>
    <w:rsid w:val="003C140A"/>
    <w:rsid w:val="003C35B5"/>
    <w:rsid w:val="003C4678"/>
    <w:rsid w:val="003C52A6"/>
    <w:rsid w:val="003C5955"/>
    <w:rsid w:val="003C6C6C"/>
    <w:rsid w:val="003C7C4C"/>
    <w:rsid w:val="003C7D04"/>
    <w:rsid w:val="003D0524"/>
    <w:rsid w:val="003D2131"/>
    <w:rsid w:val="003D2746"/>
    <w:rsid w:val="003D2B5E"/>
    <w:rsid w:val="003D33DE"/>
    <w:rsid w:val="003D48AD"/>
    <w:rsid w:val="003D4903"/>
    <w:rsid w:val="003D4FFD"/>
    <w:rsid w:val="003D6C96"/>
    <w:rsid w:val="003D71E0"/>
    <w:rsid w:val="003D7891"/>
    <w:rsid w:val="003E022A"/>
    <w:rsid w:val="003E17A0"/>
    <w:rsid w:val="003E375C"/>
    <w:rsid w:val="003E3D9A"/>
    <w:rsid w:val="003E4441"/>
    <w:rsid w:val="003E5AE3"/>
    <w:rsid w:val="003E779F"/>
    <w:rsid w:val="003F04D1"/>
    <w:rsid w:val="003F147C"/>
    <w:rsid w:val="003F1654"/>
    <w:rsid w:val="003F1A1B"/>
    <w:rsid w:val="003F1C0F"/>
    <w:rsid w:val="003F213E"/>
    <w:rsid w:val="003F299B"/>
    <w:rsid w:val="003F2E2D"/>
    <w:rsid w:val="003F30C3"/>
    <w:rsid w:val="003F3311"/>
    <w:rsid w:val="003F3F53"/>
    <w:rsid w:val="003F4411"/>
    <w:rsid w:val="003F44D5"/>
    <w:rsid w:val="003F4D5B"/>
    <w:rsid w:val="003F4DB3"/>
    <w:rsid w:val="003F530C"/>
    <w:rsid w:val="003F6164"/>
    <w:rsid w:val="003F64D9"/>
    <w:rsid w:val="003F66E5"/>
    <w:rsid w:val="003F6978"/>
    <w:rsid w:val="003F7A85"/>
    <w:rsid w:val="003F7C18"/>
    <w:rsid w:val="00400809"/>
    <w:rsid w:val="0040187C"/>
    <w:rsid w:val="00402A15"/>
    <w:rsid w:val="004053A8"/>
    <w:rsid w:val="00405934"/>
    <w:rsid w:val="004062C3"/>
    <w:rsid w:val="0040677A"/>
    <w:rsid w:val="00406F6D"/>
    <w:rsid w:val="00407422"/>
    <w:rsid w:val="00407CDC"/>
    <w:rsid w:val="0040E81D"/>
    <w:rsid w:val="0041039B"/>
    <w:rsid w:val="0041155E"/>
    <w:rsid w:val="00412987"/>
    <w:rsid w:val="004153EB"/>
    <w:rsid w:val="004157F5"/>
    <w:rsid w:val="00415897"/>
    <w:rsid w:val="004163A8"/>
    <w:rsid w:val="0042105B"/>
    <w:rsid w:val="00421104"/>
    <w:rsid w:val="00422481"/>
    <w:rsid w:val="00422B88"/>
    <w:rsid w:val="0042322D"/>
    <w:rsid w:val="00423C1E"/>
    <w:rsid w:val="004242CF"/>
    <w:rsid w:val="00425525"/>
    <w:rsid w:val="004266DC"/>
    <w:rsid w:val="00427263"/>
    <w:rsid w:val="00427832"/>
    <w:rsid w:val="00430627"/>
    <w:rsid w:val="004307D1"/>
    <w:rsid w:val="00430C1A"/>
    <w:rsid w:val="00431238"/>
    <w:rsid w:val="00432CAB"/>
    <w:rsid w:val="0043306E"/>
    <w:rsid w:val="00433732"/>
    <w:rsid w:val="004337D8"/>
    <w:rsid w:val="00433BAF"/>
    <w:rsid w:val="00434CD8"/>
    <w:rsid w:val="004350D0"/>
    <w:rsid w:val="004358A5"/>
    <w:rsid w:val="004361D2"/>
    <w:rsid w:val="004362AC"/>
    <w:rsid w:val="00436B73"/>
    <w:rsid w:val="004378B1"/>
    <w:rsid w:val="00437BEB"/>
    <w:rsid w:val="00442269"/>
    <w:rsid w:val="00442EE4"/>
    <w:rsid w:val="00443C5A"/>
    <w:rsid w:val="0044487D"/>
    <w:rsid w:val="00445A65"/>
    <w:rsid w:val="00445A6E"/>
    <w:rsid w:val="00450AD4"/>
    <w:rsid w:val="00450ED2"/>
    <w:rsid w:val="00451E5C"/>
    <w:rsid w:val="00452766"/>
    <w:rsid w:val="00452A6C"/>
    <w:rsid w:val="004541BF"/>
    <w:rsid w:val="00454CF8"/>
    <w:rsid w:val="00454D65"/>
    <w:rsid w:val="00454FD9"/>
    <w:rsid w:val="00455108"/>
    <w:rsid w:val="00455384"/>
    <w:rsid w:val="0045570C"/>
    <w:rsid w:val="0045589C"/>
    <w:rsid w:val="00455E68"/>
    <w:rsid w:val="004600E5"/>
    <w:rsid w:val="00460733"/>
    <w:rsid w:val="00460A88"/>
    <w:rsid w:val="0046181E"/>
    <w:rsid w:val="004625B3"/>
    <w:rsid w:val="00462943"/>
    <w:rsid w:val="00463BB3"/>
    <w:rsid w:val="00464918"/>
    <w:rsid w:val="00464C8E"/>
    <w:rsid w:val="00465D01"/>
    <w:rsid w:val="0046631D"/>
    <w:rsid w:val="004666C2"/>
    <w:rsid w:val="004669C5"/>
    <w:rsid w:val="00466FED"/>
    <w:rsid w:val="0046764A"/>
    <w:rsid w:val="0046786E"/>
    <w:rsid w:val="0047080D"/>
    <w:rsid w:val="00471013"/>
    <w:rsid w:val="004712B6"/>
    <w:rsid w:val="004712F9"/>
    <w:rsid w:val="00471A68"/>
    <w:rsid w:val="00472B49"/>
    <w:rsid w:val="00473297"/>
    <w:rsid w:val="00474235"/>
    <w:rsid w:val="00474541"/>
    <w:rsid w:val="0047510E"/>
    <w:rsid w:val="00475218"/>
    <w:rsid w:val="004753BF"/>
    <w:rsid w:val="00475666"/>
    <w:rsid w:val="00475AD3"/>
    <w:rsid w:val="004800AE"/>
    <w:rsid w:val="0048037C"/>
    <w:rsid w:val="004810C4"/>
    <w:rsid w:val="00481D4B"/>
    <w:rsid w:val="00481D4E"/>
    <w:rsid w:val="00482502"/>
    <w:rsid w:val="004851EA"/>
    <w:rsid w:val="00485352"/>
    <w:rsid w:val="00486214"/>
    <w:rsid w:val="004863B0"/>
    <w:rsid w:val="00487BF7"/>
    <w:rsid w:val="0049012D"/>
    <w:rsid w:val="00490131"/>
    <w:rsid w:val="00491035"/>
    <w:rsid w:val="0049167B"/>
    <w:rsid w:val="0049235E"/>
    <w:rsid w:val="004928FD"/>
    <w:rsid w:val="00492CDB"/>
    <w:rsid w:val="00492EF3"/>
    <w:rsid w:val="0049352F"/>
    <w:rsid w:val="0049369D"/>
    <w:rsid w:val="0049412C"/>
    <w:rsid w:val="00494632"/>
    <w:rsid w:val="00495C90"/>
    <w:rsid w:val="00496978"/>
    <w:rsid w:val="00497C71"/>
    <w:rsid w:val="0049F9A9"/>
    <w:rsid w:val="004A03BD"/>
    <w:rsid w:val="004A0474"/>
    <w:rsid w:val="004A0526"/>
    <w:rsid w:val="004A09F5"/>
    <w:rsid w:val="004A4491"/>
    <w:rsid w:val="004B1399"/>
    <w:rsid w:val="004B1CE0"/>
    <w:rsid w:val="004B20EA"/>
    <w:rsid w:val="004B212E"/>
    <w:rsid w:val="004B34E0"/>
    <w:rsid w:val="004B3587"/>
    <w:rsid w:val="004B4EB4"/>
    <w:rsid w:val="004B5770"/>
    <w:rsid w:val="004B5851"/>
    <w:rsid w:val="004B69CB"/>
    <w:rsid w:val="004C10F5"/>
    <w:rsid w:val="004C12F6"/>
    <w:rsid w:val="004C16A4"/>
    <w:rsid w:val="004C3849"/>
    <w:rsid w:val="004C44D8"/>
    <w:rsid w:val="004C493C"/>
    <w:rsid w:val="004C5107"/>
    <w:rsid w:val="004C61C6"/>
    <w:rsid w:val="004C6436"/>
    <w:rsid w:val="004C6D51"/>
    <w:rsid w:val="004D03D6"/>
    <w:rsid w:val="004D1060"/>
    <w:rsid w:val="004D1399"/>
    <w:rsid w:val="004D144C"/>
    <w:rsid w:val="004D1AE8"/>
    <w:rsid w:val="004D1BD0"/>
    <w:rsid w:val="004D22A1"/>
    <w:rsid w:val="004D2D27"/>
    <w:rsid w:val="004D5D5B"/>
    <w:rsid w:val="004D5E21"/>
    <w:rsid w:val="004D60D9"/>
    <w:rsid w:val="004D6162"/>
    <w:rsid w:val="004D654E"/>
    <w:rsid w:val="004D6B6A"/>
    <w:rsid w:val="004D7607"/>
    <w:rsid w:val="004D76A3"/>
    <w:rsid w:val="004D76FE"/>
    <w:rsid w:val="004D7CB4"/>
    <w:rsid w:val="004E06B3"/>
    <w:rsid w:val="004E0B73"/>
    <w:rsid w:val="004E129B"/>
    <w:rsid w:val="004E17D7"/>
    <w:rsid w:val="004E199E"/>
    <w:rsid w:val="004E1CEC"/>
    <w:rsid w:val="004E21A9"/>
    <w:rsid w:val="004E3244"/>
    <w:rsid w:val="004E33D4"/>
    <w:rsid w:val="004E3FE8"/>
    <w:rsid w:val="004E4108"/>
    <w:rsid w:val="004F146F"/>
    <w:rsid w:val="004F1C9F"/>
    <w:rsid w:val="004F2407"/>
    <w:rsid w:val="004F27D0"/>
    <w:rsid w:val="004F380E"/>
    <w:rsid w:val="004F4D42"/>
    <w:rsid w:val="004F5094"/>
    <w:rsid w:val="004F5501"/>
    <w:rsid w:val="004F5ED2"/>
    <w:rsid w:val="004F7643"/>
    <w:rsid w:val="004F79E4"/>
    <w:rsid w:val="004F7B0B"/>
    <w:rsid w:val="005007DB"/>
    <w:rsid w:val="00500CAF"/>
    <w:rsid w:val="00501843"/>
    <w:rsid w:val="0050369D"/>
    <w:rsid w:val="00503E98"/>
    <w:rsid w:val="005042E0"/>
    <w:rsid w:val="005049BE"/>
    <w:rsid w:val="005053D8"/>
    <w:rsid w:val="00506369"/>
    <w:rsid w:val="00507244"/>
    <w:rsid w:val="0050771E"/>
    <w:rsid w:val="005102DB"/>
    <w:rsid w:val="0051152D"/>
    <w:rsid w:val="00511C5C"/>
    <w:rsid w:val="00512215"/>
    <w:rsid w:val="0051358A"/>
    <w:rsid w:val="0051489C"/>
    <w:rsid w:val="005152AF"/>
    <w:rsid w:val="005155FD"/>
    <w:rsid w:val="00515873"/>
    <w:rsid w:val="00515D3F"/>
    <w:rsid w:val="005166CC"/>
    <w:rsid w:val="00516B70"/>
    <w:rsid w:val="00517F9D"/>
    <w:rsid w:val="00520116"/>
    <w:rsid w:val="005221F7"/>
    <w:rsid w:val="005225AE"/>
    <w:rsid w:val="00522EF7"/>
    <w:rsid w:val="00522FDF"/>
    <w:rsid w:val="005242AF"/>
    <w:rsid w:val="00524646"/>
    <w:rsid w:val="00524F1B"/>
    <w:rsid w:val="00525B6F"/>
    <w:rsid w:val="00525B94"/>
    <w:rsid w:val="005270B5"/>
    <w:rsid w:val="00527447"/>
    <w:rsid w:val="00527989"/>
    <w:rsid w:val="00527A25"/>
    <w:rsid w:val="005303DF"/>
    <w:rsid w:val="00530D2C"/>
    <w:rsid w:val="00530E54"/>
    <w:rsid w:val="00531595"/>
    <w:rsid w:val="005326BB"/>
    <w:rsid w:val="00533A34"/>
    <w:rsid w:val="00533A8D"/>
    <w:rsid w:val="00534A8B"/>
    <w:rsid w:val="00534F0E"/>
    <w:rsid w:val="005354EE"/>
    <w:rsid w:val="0053670E"/>
    <w:rsid w:val="005367FF"/>
    <w:rsid w:val="00536B84"/>
    <w:rsid w:val="00537505"/>
    <w:rsid w:val="00537623"/>
    <w:rsid w:val="00537B9F"/>
    <w:rsid w:val="00537DE8"/>
    <w:rsid w:val="00541905"/>
    <w:rsid w:val="00541A4C"/>
    <w:rsid w:val="00542641"/>
    <w:rsid w:val="00542CBC"/>
    <w:rsid w:val="00543E7C"/>
    <w:rsid w:val="005441E8"/>
    <w:rsid w:val="00544692"/>
    <w:rsid w:val="00544B57"/>
    <w:rsid w:val="00545787"/>
    <w:rsid w:val="00546DD1"/>
    <w:rsid w:val="005473D8"/>
    <w:rsid w:val="00547E24"/>
    <w:rsid w:val="005519DF"/>
    <w:rsid w:val="00551C93"/>
    <w:rsid w:val="00551F06"/>
    <w:rsid w:val="00551F49"/>
    <w:rsid w:val="00554565"/>
    <w:rsid w:val="005545B4"/>
    <w:rsid w:val="00554683"/>
    <w:rsid w:val="0055520D"/>
    <w:rsid w:val="00555224"/>
    <w:rsid w:val="00555422"/>
    <w:rsid w:val="005556BD"/>
    <w:rsid w:val="005573C8"/>
    <w:rsid w:val="005579D3"/>
    <w:rsid w:val="00557BCC"/>
    <w:rsid w:val="00560E1B"/>
    <w:rsid w:val="00561086"/>
    <w:rsid w:val="0056171A"/>
    <w:rsid w:val="005621C9"/>
    <w:rsid w:val="00562DEC"/>
    <w:rsid w:val="0056389C"/>
    <w:rsid w:val="00564245"/>
    <w:rsid w:val="005643AC"/>
    <w:rsid w:val="0056480D"/>
    <w:rsid w:val="005651D1"/>
    <w:rsid w:val="00566517"/>
    <w:rsid w:val="00566B5E"/>
    <w:rsid w:val="00566BA2"/>
    <w:rsid w:val="0056705B"/>
    <w:rsid w:val="00567CF4"/>
    <w:rsid w:val="00567DB4"/>
    <w:rsid w:val="00571B44"/>
    <w:rsid w:val="00571BBD"/>
    <w:rsid w:val="00574651"/>
    <w:rsid w:val="00574764"/>
    <w:rsid w:val="00574E46"/>
    <w:rsid w:val="0057513B"/>
    <w:rsid w:val="0057563B"/>
    <w:rsid w:val="0057563D"/>
    <w:rsid w:val="00575EE6"/>
    <w:rsid w:val="00575FAD"/>
    <w:rsid w:val="0057646D"/>
    <w:rsid w:val="00577370"/>
    <w:rsid w:val="00577380"/>
    <w:rsid w:val="005773AE"/>
    <w:rsid w:val="00577A04"/>
    <w:rsid w:val="0058166B"/>
    <w:rsid w:val="00581754"/>
    <w:rsid w:val="00581F2E"/>
    <w:rsid w:val="0058264B"/>
    <w:rsid w:val="00583034"/>
    <w:rsid w:val="0058546F"/>
    <w:rsid w:val="00586270"/>
    <w:rsid w:val="00586E2F"/>
    <w:rsid w:val="00587A98"/>
    <w:rsid w:val="00590299"/>
    <w:rsid w:val="00590C3D"/>
    <w:rsid w:val="00590EAE"/>
    <w:rsid w:val="00591537"/>
    <w:rsid w:val="0059175A"/>
    <w:rsid w:val="005924E8"/>
    <w:rsid w:val="00592727"/>
    <w:rsid w:val="00592AD4"/>
    <w:rsid w:val="005931DB"/>
    <w:rsid w:val="0059335E"/>
    <w:rsid w:val="00594DF8"/>
    <w:rsid w:val="00595A94"/>
    <w:rsid w:val="00595B09"/>
    <w:rsid w:val="00595F39"/>
    <w:rsid w:val="00595F7A"/>
    <w:rsid w:val="00596177"/>
    <w:rsid w:val="005969E4"/>
    <w:rsid w:val="00596A03"/>
    <w:rsid w:val="0059755B"/>
    <w:rsid w:val="005A0C66"/>
    <w:rsid w:val="005A0EA1"/>
    <w:rsid w:val="005A1E2F"/>
    <w:rsid w:val="005A2768"/>
    <w:rsid w:val="005A2A72"/>
    <w:rsid w:val="005A4762"/>
    <w:rsid w:val="005A4CEC"/>
    <w:rsid w:val="005A52AB"/>
    <w:rsid w:val="005A635D"/>
    <w:rsid w:val="005A6484"/>
    <w:rsid w:val="005A6F57"/>
    <w:rsid w:val="005A7583"/>
    <w:rsid w:val="005A75F7"/>
    <w:rsid w:val="005AED0F"/>
    <w:rsid w:val="005B02FB"/>
    <w:rsid w:val="005B048D"/>
    <w:rsid w:val="005B09D5"/>
    <w:rsid w:val="005B0F48"/>
    <w:rsid w:val="005B16BC"/>
    <w:rsid w:val="005B2232"/>
    <w:rsid w:val="005B28A0"/>
    <w:rsid w:val="005B2B6A"/>
    <w:rsid w:val="005B2C16"/>
    <w:rsid w:val="005B3E46"/>
    <w:rsid w:val="005B3E81"/>
    <w:rsid w:val="005B4222"/>
    <w:rsid w:val="005B50C7"/>
    <w:rsid w:val="005B6006"/>
    <w:rsid w:val="005B6322"/>
    <w:rsid w:val="005B6A1B"/>
    <w:rsid w:val="005C0EA0"/>
    <w:rsid w:val="005C14FE"/>
    <w:rsid w:val="005C1645"/>
    <w:rsid w:val="005C166C"/>
    <w:rsid w:val="005C1CEC"/>
    <w:rsid w:val="005C2CA7"/>
    <w:rsid w:val="005C38E1"/>
    <w:rsid w:val="005C3C1B"/>
    <w:rsid w:val="005C4077"/>
    <w:rsid w:val="005C54E5"/>
    <w:rsid w:val="005C5D8A"/>
    <w:rsid w:val="005C5E46"/>
    <w:rsid w:val="005C6323"/>
    <w:rsid w:val="005C6AE8"/>
    <w:rsid w:val="005D0498"/>
    <w:rsid w:val="005D0720"/>
    <w:rsid w:val="005D22A6"/>
    <w:rsid w:val="005D27A7"/>
    <w:rsid w:val="005D3023"/>
    <w:rsid w:val="005D3921"/>
    <w:rsid w:val="005D57AE"/>
    <w:rsid w:val="005D5CC6"/>
    <w:rsid w:val="005D5F5F"/>
    <w:rsid w:val="005D6441"/>
    <w:rsid w:val="005D75F7"/>
    <w:rsid w:val="005D78F5"/>
    <w:rsid w:val="005E09BA"/>
    <w:rsid w:val="005E1887"/>
    <w:rsid w:val="005E2101"/>
    <w:rsid w:val="005E2886"/>
    <w:rsid w:val="005E3307"/>
    <w:rsid w:val="005E34B8"/>
    <w:rsid w:val="005E39DF"/>
    <w:rsid w:val="005E5465"/>
    <w:rsid w:val="005E587F"/>
    <w:rsid w:val="005E59B4"/>
    <w:rsid w:val="005E5BB0"/>
    <w:rsid w:val="005E5C4C"/>
    <w:rsid w:val="005E653A"/>
    <w:rsid w:val="005E6F61"/>
    <w:rsid w:val="005E70D4"/>
    <w:rsid w:val="005E7F0A"/>
    <w:rsid w:val="005F0EA0"/>
    <w:rsid w:val="005F1712"/>
    <w:rsid w:val="005F1C6F"/>
    <w:rsid w:val="005F2406"/>
    <w:rsid w:val="005F317E"/>
    <w:rsid w:val="005F4181"/>
    <w:rsid w:val="005F6F71"/>
    <w:rsid w:val="005F7D43"/>
    <w:rsid w:val="006001F2"/>
    <w:rsid w:val="00600E58"/>
    <w:rsid w:val="00601361"/>
    <w:rsid w:val="00601E57"/>
    <w:rsid w:val="006021BB"/>
    <w:rsid w:val="00604A25"/>
    <w:rsid w:val="006050AA"/>
    <w:rsid w:val="0060682A"/>
    <w:rsid w:val="00606984"/>
    <w:rsid w:val="00606D63"/>
    <w:rsid w:val="0060773A"/>
    <w:rsid w:val="0061025F"/>
    <w:rsid w:val="006127B6"/>
    <w:rsid w:val="0061280F"/>
    <w:rsid w:val="00612978"/>
    <w:rsid w:val="00612F0C"/>
    <w:rsid w:val="006146D0"/>
    <w:rsid w:val="0061554B"/>
    <w:rsid w:val="00616433"/>
    <w:rsid w:val="00620B95"/>
    <w:rsid w:val="00620C1D"/>
    <w:rsid w:val="00621AFF"/>
    <w:rsid w:val="00621B8D"/>
    <w:rsid w:val="00621CBE"/>
    <w:rsid w:val="006221E6"/>
    <w:rsid w:val="0062385A"/>
    <w:rsid w:val="00624BDF"/>
    <w:rsid w:val="00625446"/>
    <w:rsid w:val="00625F77"/>
    <w:rsid w:val="00626195"/>
    <w:rsid w:val="006261DB"/>
    <w:rsid w:val="00626284"/>
    <w:rsid w:val="00627F1A"/>
    <w:rsid w:val="00630F0A"/>
    <w:rsid w:val="00632158"/>
    <w:rsid w:val="00632398"/>
    <w:rsid w:val="00632E29"/>
    <w:rsid w:val="006339AE"/>
    <w:rsid w:val="00633DC8"/>
    <w:rsid w:val="00633F39"/>
    <w:rsid w:val="00633FF5"/>
    <w:rsid w:val="00634CDB"/>
    <w:rsid w:val="006356CB"/>
    <w:rsid w:val="006359A7"/>
    <w:rsid w:val="00635FB8"/>
    <w:rsid w:val="00636277"/>
    <w:rsid w:val="00636D74"/>
    <w:rsid w:val="00637F2A"/>
    <w:rsid w:val="0064002E"/>
    <w:rsid w:val="006410D7"/>
    <w:rsid w:val="00641322"/>
    <w:rsid w:val="0064200A"/>
    <w:rsid w:val="00643D7C"/>
    <w:rsid w:val="006442A5"/>
    <w:rsid w:val="00644C2E"/>
    <w:rsid w:val="00644E7A"/>
    <w:rsid w:val="0064532E"/>
    <w:rsid w:val="00645607"/>
    <w:rsid w:val="006461DD"/>
    <w:rsid w:val="006472F9"/>
    <w:rsid w:val="00650466"/>
    <w:rsid w:val="00651081"/>
    <w:rsid w:val="00651D76"/>
    <w:rsid w:val="00652254"/>
    <w:rsid w:val="0065246C"/>
    <w:rsid w:val="0065264E"/>
    <w:rsid w:val="0065322B"/>
    <w:rsid w:val="006545C1"/>
    <w:rsid w:val="00654C70"/>
    <w:rsid w:val="00655462"/>
    <w:rsid w:val="00655696"/>
    <w:rsid w:val="0065720D"/>
    <w:rsid w:val="006579FB"/>
    <w:rsid w:val="00657B77"/>
    <w:rsid w:val="00657DB7"/>
    <w:rsid w:val="0066044F"/>
    <w:rsid w:val="00660723"/>
    <w:rsid w:val="0066187A"/>
    <w:rsid w:val="006623DE"/>
    <w:rsid w:val="00663620"/>
    <w:rsid w:val="006650B5"/>
    <w:rsid w:val="006658A1"/>
    <w:rsid w:val="00665CEB"/>
    <w:rsid w:val="00667998"/>
    <w:rsid w:val="0066E434"/>
    <w:rsid w:val="00670141"/>
    <w:rsid w:val="00670430"/>
    <w:rsid w:val="00671334"/>
    <w:rsid w:val="00671D48"/>
    <w:rsid w:val="00671E05"/>
    <w:rsid w:val="00672AFE"/>
    <w:rsid w:val="0067317E"/>
    <w:rsid w:val="00674186"/>
    <w:rsid w:val="00675B7A"/>
    <w:rsid w:val="00676DA2"/>
    <w:rsid w:val="00677A9B"/>
    <w:rsid w:val="00680A0B"/>
    <w:rsid w:val="00681352"/>
    <w:rsid w:val="00681540"/>
    <w:rsid w:val="00681553"/>
    <w:rsid w:val="00681A42"/>
    <w:rsid w:val="00681AC5"/>
    <w:rsid w:val="00682BA2"/>
    <w:rsid w:val="00682D39"/>
    <w:rsid w:val="00682E11"/>
    <w:rsid w:val="0068396A"/>
    <w:rsid w:val="00685E21"/>
    <w:rsid w:val="0068615E"/>
    <w:rsid w:val="00686B28"/>
    <w:rsid w:val="00687216"/>
    <w:rsid w:val="00687CBC"/>
    <w:rsid w:val="00691607"/>
    <w:rsid w:val="00691F54"/>
    <w:rsid w:val="0069276C"/>
    <w:rsid w:val="00692F32"/>
    <w:rsid w:val="006930B8"/>
    <w:rsid w:val="00694191"/>
    <w:rsid w:val="0069459D"/>
    <w:rsid w:val="0069486E"/>
    <w:rsid w:val="006948C9"/>
    <w:rsid w:val="00695FB9"/>
    <w:rsid w:val="006969B6"/>
    <w:rsid w:val="006975FF"/>
    <w:rsid w:val="006A0062"/>
    <w:rsid w:val="006A0D13"/>
    <w:rsid w:val="006A1341"/>
    <w:rsid w:val="006A235A"/>
    <w:rsid w:val="006A340C"/>
    <w:rsid w:val="006A3F49"/>
    <w:rsid w:val="006A442A"/>
    <w:rsid w:val="006A4C80"/>
    <w:rsid w:val="006A503A"/>
    <w:rsid w:val="006A523F"/>
    <w:rsid w:val="006A64D5"/>
    <w:rsid w:val="006A6C56"/>
    <w:rsid w:val="006A7EC9"/>
    <w:rsid w:val="006B216A"/>
    <w:rsid w:val="006B25CC"/>
    <w:rsid w:val="006B2AA0"/>
    <w:rsid w:val="006B2BB3"/>
    <w:rsid w:val="006B2D21"/>
    <w:rsid w:val="006B313A"/>
    <w:rsid w:val="006B3DA8"/>
    <w:rsid w:val="006B43FD"/>
    <w:rsid w:val="006B4538"/>
    <w:rsid w:val="006B4F7D"/>
    <w:rsid w:val="006B52CB"/>
    <w:rsid w:val="006B55BD"/>
    <w:rsid w:val="006B5917"/>
    <w:rsid w:val="006B616A"/>
    <w:rsid w:val="006B6E6C"/>
    <w:rsid w:val="006B71A9"/>
    <w:rsid w:val="006B7569"/>
    <w:rsid w:val="006B7FD5"/>
    <w:rsid w:val="006C059E"/>
    <w:rsid w:val="006C1E00"/>
    <w:rsid w:val="006C1EA5"/>
    <w:rsid w:val="006C3082"/>
    <w:rsid w:val="006C53BD"/>
    <w:rsid w:val="006C5659"/>
    <w:rsid w:val="006C5695"/>
    <w:rsid w:val="006C5985"/>
    <w:rsid w:val="006D137A"/>
    <w:rsid w:val="006D34A7"/>
    <w:rsid w:val="006D3E57"/>
    <w:rsid w:val="006D4057"/>
    <w:rsid w:val="006D4986"/>
    <w:rsid w:val="006D5FD0"/>
    <w:rsid w:val="006D63EC"/>
    <w:rsid w:val="006D6D72"/>
    <w:rsid w:val="006D6FC9"/>
    <w:rsid w:val="006D789F"/>
    <w:rsid w:val="006E0747"/>
    <w:rsid w:val="006E17C0"/>
    <w:rsid w:val="006E2BDC"/>
    <w:rsid w:val="006E329F"/>
    <w:rsid w:val="006E49CA"/>
    <w:rsid w:val="006E4DFC"/>
    <w:rsid w:val="006E5291"/>
    <w:rsid w:val="006E6E13"/>
    <w:rsid w:val="006E790C"/>
    <w:rsid w:val="006E7AFB"/>
    <w:rsid w:val="006F00C0"/>
    <w:rsid w:val="006F0262"/>
    <w:rsid w:val="006F1256"/>
    <w:rsid w:val="006F2748"/>
    <w:rsid w:val="006F324E"/>
    <w:rsid w:val="006F361B"/>
    <w:rsid w:val="006F395F"/>
    <w:rsid w:val="006F4C9A"/>
    <w:rsid w:val="006F4EBA"/>
    <w:rsid w:val="006F4F7A"/>
    <w:rsid w:val="006F5903"/>
    <w:rsid w:val="006F62CE"/>
    <w:rsid w:val="007000BB"/>
    <w:rsid w:val="007008BD"/>
    <w:rsid w:val="00700A05"/>
    <w:rsid w:val="00702A90"/>
    <w:rsid w:val="00702CF9"/>
    <w:rsid w:val="00702F43"/>
    <w:rsid w:val="007032D3"/>
    <w:rsid w:val="00703855"/>
    <w:rsid w:val="007042B4"/>
    <w:rsid w:val="007049AE"/>
    <w:rsid w:val="0070591B"/>
    <w:rsid w:val="007063F3"/>
    <w:rsid w:val="00710584"/>
    <w:rsid w:val="00710C9D"/>
    <w:rsid w:val="00711019"/>
    <w:rsid w:val="00711657"/>
    <w:rsid w:val="00711911"/>
    <w:rsid w:val="007122DA"/>
    <w:rsid w:val="007124CD"/>
    <w:rsid w:val="00713B2E"/>
    <w:rsid w:val="00713C23"/>
    <w:rsid w:val="007148C0"/>
    <w:rsid w:val="007149C8"/>
    <w:rsid w:val="00715A7F"/>
    <w:rsid w:val="00715D90"/>
    <w:rsid w:val="007202BF"/>
    <w:rsid w:val="00720422"/>
    <w:rsid w:val="00720741"/>
    <w:rsid w:val="0072115E"/>
    <w:rsid w:val="007233A3"/>
    <w:rsid w:val="00723778"/>
    <w:rsid w:val="00723E16"/>
    <w:rsid w:val="00723ED2"/>
    <w:rsid w:val="0072452B"/>
    <w:rsid w:val="007260C2"/>
    <w:rsid w:val="007261E6"/>
    <w:rsid w:val="00730352"/>
    <w:rsid w:val="0073046F"/>
    <w:rsid w:val="007306C0"/>
    <w:rsid w:val="00730D65"/>
    <w:rsid w:val="007319BB"/>
    <w:rsid w:val="00731A75"/>
    <w:rsid w:val="00731D17"/>
    <w:rsid w:val="007366EC"/>
    <w:rsid w:val="007369E0"/>
    <w:rsid w:val="007372C1"/>
    <w:rsid w:val="0074116D"/>
    <w:rsid w:val="00741290"/>
    <w:rsid w:val="00743A86"/>
    <w:rsid w:val="00743DCF"/>
    <w:rsid w:val="00744456"/>
    <w:rsid w:val="00744C79"/>
    <w:rsid w:val="007458DE"/>
    <w:rsid w:val="00746040"/>
    <w:rsid w:val="00747B79"/>
    <w:rsid w:val="007503D8"/>
    <w:rsid w:val="00750F94"/>
    <w:rsid w:val="0075145A"/>
    <w:rsid w:val="00751605"/>
    <w:rsid w:val="007521C4"/>
    <w:rsid w:val="0075255D"/>
    <w:rsid w:val="00752E85"/>
    <w:rsid w:val="007537D3"/>
    <w:rsid w:val="007560D4"/>
    <w:rsid w:val="007566B7"/>
    <w:rsid w:val="00757D86"/>
    <w:rsid w:val="00757F3B"/>
    <w:rsid w:val="00760CD6"/>
    <w:rsid w:val="00760D04"/>
    <w:rsid w:val="00761779"/>
    <w:rsid w:val="007617EB"/>
    <w:rsid w:val="0076272A"/>
    <w:rsid w:val="00762873"/>
    <w:rsid w:val="00763D49"/>
    <w:rsid w:val="00764095"/>
    <w:rsid w:val="00764198"/>
    <w:rsid w:val="007644E5"/>
    <w:rsid w:val="00765331"/>
    <w:rsid w:val="007654F2"/>
    <w:rsid w:val="00765FF2"/>
    <w:rsid w:val="007665E9"/>
    <w:rsid w:val="007667AC"/>
    <w:rsid w:val="00767D74"/>
    <w:rsid w:val="0077012B"/>
    <w:rsid w:val="00770199"/>
    <w:rsid w:val="007703A2"/>
    <w:rsid w:val="007706CE"/>
    <w:rsid w:val="00770982"/>
    <w:rsid w:val="00770EE2"/>
    <w:rsid w:val="00771645"/>
    <w:rsid w:val="00771D8E"/>
    <w:rsid w:val="00772195"/>
    <w:rsid w:val="00772575"/>
    <w:rsid w:val="0077297F"/>
    <w:rsid w:val="00773E29"/>
    <w:rsid w:val="00774476"/>
    <w:rsid w:val="007744B9"/>
    <w:rsid w:val="00776C91"/>
    <w:rsid w:val="00776D74"/>
    <w:rsid w:val="00777140"/>
    <w:rsid w:val="0078097A"/>
    <w:rsid w:val="00780C3D"/>
    <w:rsid w:val="00780CBE"/>
    <w:rsid w:val="0078102E"/>
    <w:rsid w:val="0078180F"/>
    <w:rsid w:val="007819DB"/>
    <w:rsid w:val="00781A63"/>
    <w:rsid w:val="00781A66"/>
    <w:rsid w:val="007841FE"/>
    <w:rsid w:val="00784824"/>
    <w:rsid w:val="00784963"/>
    <w:rsid w:val="00784B63"/>
    <w:rsid w:val="00785B7D"/>
    <w:rsid w:val="00786573"/>
    <w:rsid w:val="00786DF1"/>
    <w:rsid w:val="00787890"/>
    <w:rsid w:val="007908AF"/>
    <w:rsid w:val="00790EE0"/>
    <w:rsid w:val="00791B4F"/>
    <w:rsid w:val="00793379"/>
    <w:rsid w:val="00793BAC"/>
    <w:rsid w:val="00793DF4"/>
    <w:rsid w:val="00794378"/>
    <w:rsid w:val="00795DBB"/>
    <w:rsid w:val="00796A6F"/>
    <w:rsid w:val="007971C5"/>
    <w:rsid w:val="00797720"/>
    <w:rsid w:val="007A17E8"/>
    <w:rsid w:val="007A1CF4"/>
    <w:rsid w:val="007A1D5E"/>
    <w:rsid w:val="007A1F94"/>
    <w:rsid w:val="007A2231"/>
    <w:rsid w:val="007A243B"/>
    <w:rsid w:val="007A2864"/>
    <w:rsid w:val="007A50A6"/>
    <w:rsid w:val="007A5196"/>
    <w:rsid w:val="007A5FE6"/>
    <w:rsid w:val="007A6107"/>
    <w:rsid w:val="007A66A1"/>
    <w:rsid w:val="007A7718"/>
    <w:rsid w:val="007A7C1C"/>
    <w:rsid w:val="007B05DF"/>
    <w:rsid w:val="007B06B6"/>
    <w:rsid w:val="007B156E"/>
    <w:rsid w:val="007B34ED"/>
    <w:rsid w:val="007B351F"/>
    <w:rsid w:val="007B353A"/>
    <w:rsid w:val="007B38DA"/>
    <w:rsid w:val="007B48EB"/>
    <w:rsid w:val="007B4B20"/>
    <w:rsid w:val="007B69BC"/>
    <w:rsid w:val="007B6DBB"/>
    <w:rsid w:val="007B71B6"/>
    <w:rsid w:val="007B7C18"/>
    <w:rsid w:val="007C0322"/>
    <w:rsid w:val="007C139F"/>
    <w:rsid w:val="007C24AE"/>
    <w:rsid w:val="007C2E58"/>
    <w:rsid w:val="007C3899"/>
    <w:rsid w:val="007C3C4C"/>
    <w:rsid w:val="007C438D"/>
    <w:rsid w:val="007C44A2"/>
    <w:rsid w:val="007C4B8D"/>
    <w:rsid w:val="007C4DA4"/>
    <w:rsid w:val="007C68B8"/>
    <w:rsid w:val="007C7058"/>
    <w:rsid w:val="007C71BF"/>
    <w:rsid w:val="007C78DE"/>
    <w:rsid w:val="007C7C87"/>
    <w:rsid w:val="007D014B"/>
    <w:rsid w:val="007D0694"/>
    <w:rsid w:val="007D1D23"/>
    <w:rsid w:val="007D3436"/>
    <w:rsid w:val="007D3F94"/>
    <w:rsid w:val="007D4077"/>
    <w:rsid w:val="007D47BA"/>
    <w:rsid w:val="007D554C"/>
    <w:rsid w:val="007D55B8"/>
    <w:rsid w:val="007D637D"/>
    <w:rsid w:val="007D68DD"/>
    <w:rsid w:val="007D75CD"/>
    <w:rsid w:val="007E0843"/>
    <w:rsid w:val="007E0DE8"/>
    <w:rsid w:val="007E3A0D"/>
    <w:rsid w:val="007E441C"/>
    <w:rsid w:val="007E4C6B"/>
    <w:rsid w:val="007E4DA4"/>
    <w:rsid w:val="007E4F30"/>
    <w:rsid w:val="007E5218"/>
    <w:rsid w:val="007E67E6"/>
    <w:rsid w:val="007E776D"/>
    <w:rsid w:val="007E7DB1"/>
    <w:rsid w:val="007F0792"/>
    <w:rsid w:val="007F0D82"/>
    <w:rsid w:val="007F1ABC"/>
    <w:rsid w:val="007F245D"/>
    <w:rsid w:val="007F36CA"/>
    <w:rsid w:val="007F3B10"/>
    <w:rsid w:val="007F4163"/>
    <w:rsid w:val="007F44DA"/>
    <w:rsid w:val="007F48D3"/>
    <w:rsid w:val="007F5163"/>
    <w:rsid w:val="007F5FE7"/>
    <w:rsid w:val="007F682F"/>
    <w:rsid w:val="00800204"/>
    <w:rsid w:val="00800398"/>
    <w:rsid w:val="008010AB"/>
    <w:rsid w:val="00801EE9"/>
    <w:rsid w:val="00802275"/>
    <w:rsid w:val="00802BA0"/>
    <w:rsid w:val="0080380A"/>
    <w:rsid w:val="0080397D"/>
    <w:rsid w:val="00803B02"/>
    <w:rsid w:val="00803C1E"/>
    <w:rsid w:val="00803F44"/>
    <w:rsid w:val="00805165"/>
    <w:rsid w:val="00805924"/>
    <w:rsid w:val="0080671F"/>
    <w:rsid w:val="00806918"/>
    <w:rsid w:val="00806FB2"/>
    <w:rsid w:val="00807ACE"/>
    <w:rsid w:val="00807DEC"/>
    <w:rsid w:val="00810763"/>
    <w:rsid w:val="00810979"/>
    <w:rsid w:val="00810F42"/>
    <w:rsid w:val="00812310"/>
    <w:rsid w:val="0081429E"/>
    <w:rsid w:val="008142E1"/>
    <w:rsid w:val="00814F4A"/>
    <w:rsid w:val="00815052"/>
    <w:rsid w:val="0081619C"/>
    <w:rsid w:val="00816783"/>
    <w:rsid w:val="008168A0"/>
    <w:rsid w:val="008200A4"/>
    <w:rsid w:val="0082072D"/>
    <w:rsid w:val="008215E5"/>
    <w:rsid w:val="00823664"/>
    <w:rsid w:val="00823A2C"/>
    <w:rsid w:val="0082466E"/>
    <w:rsid w:val="00824955"/>
    <w:rsid w:val="00824B71"/>
    <w:rsid w:val="00824DDB"/>
    <w:rsid w:val="008254C4"/>
    <w:rsid w:val="00825ABE"/>
    <w:rsid w:val="00825FFB"/>
    <w:rsid w:val="00826AEC"/>
    <w:rsid w:val="00826B82"/>
    <w:rsid w:val="008275AC"/>
    <w:rsid w:val="008275C7"/>
    <w:rsid w:val="00830005"/>
    <w:rsid w:val="0083040A"/>
    <w:rsid w:val="0083064C"/>
    <w:rsid w:val="008307BE"/>
    <w:rsid w:val="00830997"/>
    <w:rsid w:val="00831C31"/>
    <w:rsid w:val="00831F2D"/>
    <w:rsid w:val="008329D3"/>
    <w:rsid w:val="008331EE"/>
    <w:rsid w:val="008334F2"/>
    <w:rsid w:val="00834114"/>
    <w:rsid w:val="00836458"/>
    <w:rsid w:val="00836631"/>
    <w:rsid w:val="008366CA"/>
    <w:rsid w:val="00837669"/>
    <w:rsid w:val="00837CD4"/>
    <w:rsid w:val="00840942"/>
    <w:rsid w:val="00841024"/>
    <w:rsid w:val="008422AB"/>
    <w:rsid w:val="00843D0A"/>
    <w:rsid w:val="00844F34"/>
    <w:rsid w:val="00844FAB"/>
    <w:rsid w:val="0084690F"/>
    <w:rsid w:val="00846DFF"/>
    <w:rsid w:val="008476B1"/>
    <w:rsid w:val="008479B0"/>
    <w:rsid w:val="008508FA"/>
    <w:rsid w:val="00850CAD"/>
    <w:rsid w:val="00851006"/>
    <w:rsid w:val="0085123D"/>
    <w:rsid w:val="0085189B"/>
    <w:rsid w:val="0085209C"/>
    <w:rsid w:val="00852C64"/>
    <w:rsid w:val="00852D4E"/>
    <w:rsid w:val="008538F2"/>
    <w:rsid w:val="00854E9B"/>
    <w:rsid w:val="00855C9E"/>
    <w:rsid w:val="0085671D"/>
    <w:rsid w:val="00856789"/>
    <w:rsid w:val="00856E3B"/>
    <w:rsid w:val="0085778E"/>
    <w:rsid w:val="00857A6D"/>
    <w:rsid w:val="00857DBE"/>
    <w:rsid w:val="00861695"/>
    <w:rsid w:val="00861C23"/>
    <w:rsid w:val="00862A51"/>
    <w:rsid w:val="00863C62"/>
    <w:rsid w:val="008644B2"/>
    <w:rsid w:val="00864C29"/>
    <w:rsid w:val="00864C4E"/>
    <w:rsid w:val="00864F92"/>
    <w:rsid w:val="00865214"/>
    <w:rsid w:val="00865D85"/>
    <w:rsid w:val="00866502"/>
    <w:rsid w:val="00866EE5"/>
    <w:rsid w:val="00867819"/>
    <w:rsid w:val="00870E84"/>
    <w:rsid w:val="00872725"/>
    <w:rsid w:val="0087365D"/>
    <w:rsid w:val="00873E04"/>
    <w:rsid w:val="00874622"/>
    <w:rsid w:val="0087572F"/>
    <w:rsid w:val="00875A89"/>
    <w:rsid w:val="00875E7C"/>
    <w:rsid w:val="0087656E"/>
    <w:rsid w:val="008767FB"/>
    <w:rsid w:val="00876815"/>
    <w:rsid w:val="008801AF"/>
    <w:rsid w:val="008802A1"/>
    <w:rsid w:val="008807B9"/>
    <w:rsid w:val="008808C3"/>
    <w:rsid w:val="00882373"/>
    <w:rsid w:val="00882467"/>
    <w:rsid w:val="00883733"/>
    <w:rsid w:val="008837FF"/>
    <w:rsid w:val="008849AE"/>
    <w:rsid w:val="00884AB0"/>
    <w:rsid w:val="00884CD1"/>
    <w:rsid w:val="00884DBF"/>
    <w:rsid w:val="00885317"/>
    <w:rsid w:val="008858FF"/>
    <w:rsid w:val="0088636D"/>
    <w:rsid w:val="00886453"/>
    <w:rsid w:val="0088647C"/>
    <w:rsid w:val="00886BE4"/>
    <w:rsid w:val="00886E8A"/>
    <w:rsid w:val="008876F4"/>
    <w:rsid w:val="008876FA"/>
    <w:rsid w:val="0089017C"/>
    <w:rsid w:val="00890387"/>
    <w:rsid w:val="008904FD"/>
    <w:rsid w:val="00890BAF"/>
    <w:rsid w:val="008918F8"/>
    <w:rsid w:val="00892724"/>
    <w:rsid w:val="00894C94"/>
    <w:rsid w:val="00894E54"/>
    <w:rsid w:val="00894F57"/>
    <w:rsid w:val="0089592A"/>
    <w:rsid w:val="00896148"/>
    <w:rsid w:val="008967A9"/>
    <w:rsid w:val="0089699E"/>
    <w:rsid w:val="008969E4"/>
    <w:rsid w:val="00896EFF"/>
    <w:rsid w:val="00897523"/>
    <w:rsid w:val="00897853"/>
    <w:rsid w:val="0089785D"/>
    <w:rsid w:val="008A088C"/>
    <w:rsid w:val="008A10DA"/>
    <w:rsid w:val="008A2FEF"/>
    <w:rsid w:val="008A3C87"/>
    <w:rsid w:val="008A3D97"/>
    <w:rsid w:val="008A4763"/>
    <w:rsid w:val="008A496B"/>
    <w:rsid w:val="008A4AEE"/>
    <w:rsid w:val="008A52B8"/>
    <w:rsid w:val="008A59D4"/>
    <w:rsid w:val="008A6281"/>
    <w:rsid w:val="008A64BF"/>
    <w:rsid w:val="008A6CD8"/>
    <w:rsid w:val="008A728E"/>
    <w:rsid w:val="008A757B"/>
    <w:rsid w:val="008B07B9"/>
    <w:rsid w:val="008B0A68"/>
    <w:rsid w:val="008B0B23"/>
    <w:rsid w:val="008B0DCE"/>
    <w:rsid w:val="008B12CD"/>
    <w:rsid w:val="008B1533"/>
    <w:rsid w:val="008B237F"/>
    <w:rsid w:val="008B2D94"/>
    <w:rsid w:val="008B2EFB"/>
    <w:rsid w:val="008B37D2"/>
    <w:rsid w:val="008B3C27"/>
    <w:rsid w:val="008B43CD"/>
    <w:rsid w:val="008B4F4F"/>
    <w:rsid w:val="008B4F54"/>
    <w:rsid w:val="008B6031"/>
    <w:rsid w:val="008B74DB"/>
    <w:rsid w:val="008C0C12"/>
    <w:rsid w:val="008C49F4"/>
    <w:rsid w:val="008C56C2"/>
    <w:rsid w:val="008C5849"/>
    <w:rsid w:val="008C625A"/>
    <w:rsid w:val="008C6307"/>
    <w:rsid w:val="008C63C7"/>
    <w:rsid w:val="008C6577"/>
    <w:rsid w:val="008C743C"/>
    <w:rsid w:val="008C79C6"/>
    <w:rsid w:val="008D0439"/>
    <w:rsid w:val="008D1507"/>
    <w:rsid w:val="008D153B"/>
    <w:rsid w:val="008D2179"/>
    <w:rsid w:val="008D221B"/>
    <w:rsid w:val="008D2537"/>
    <w:rsid w:val="008D2C3C"/>
    <w:rsid w:val="008D3BC3"/>
    <w:rsid w:val="008D5B86"/>
    <w:rsid w:val="008D5E4F"/>
    <w:rsid w:val="008D5FEA"/>
    <w:rsid w:val="008D6071"/>
    <w:rsid w:val="008D6CB6"/>
    <w:rsid w:val="008E1416"/>
    <w:rsid w:val="008E153C"/>
    <w:rsid w:val="008E1605"/>
    <w:rsid w:val="008E3AB6"/>
    <w:rsid w:val="008E3CDE"/>
    <w:rsid w:val="008E41C0"/>
    <w:rsid w:val="008E5FC7"/>
    <w:rsid w:val="008E75B1"/>
    <w:rsid w:val="008E760D"/>
    <w:rsid w:val="008E7E50"/>
    <w:rsid w:val="008F0524"/>
    <w:rsid w:val="008F0810"/>
    <w:rsid w:val="008F0966"/>
    <w:rsid w:val="008F0E40"/>
    <w:rsid w:val="008F10B1"/>
    <w:rsid w:val="008F29F8"/>
    <w:rsid w:val="008F3E36"/>
    <w:rsid w:val="008F41C5"/>
    <w:rsid w:val="008F5DF0"/>
    <w:rsid w:val="008F65C1"/>
    <w:rsid w:val="008F6BBC"/>
    <w:rsid w:val="008F6CE9"/>
    <w:rsid w:val="008F72B5"/>
    <w:rsid w:val="008F7A5A"/>
    <w:rsid w:val="009006CF"/>
    <w:rsid w:val="00900717"/>
    <w:rsid w:val="00901A17"/>
    <w:rsid w:val="0090425F"/>
    <w:rsid w:val="00904835"/>
    <w:rsid w:val="009048C3"/>
    <w:rsid w:val="00904C01"/>
    <w:rsid w:val="0090515C"/>
    <w:rsid w:val="009057A3"/>
    <w:rsid w:val="00906894"/>
    <w:rsid w:val="00906B0D"/>
    <w:rsid w:val="00906EA7"/>
    <w:rsid w:val="00907E6F"/>
    <w:rsid w:val="0091011B"/>
    <w:rsid w:val="0091041A"/>
    <w:rsid w:val="00910CDF"/>
    <w:rsid w:val="0091181D"/>
    <w:rsid w:val="00911B58"/>
    <w:rsid w:val="00912025"/>
    <w:rsid w:val="00912805"/>
    <w:rsid w:val="00913AAD"/>
    <w:rsid w:val="00914D8D"/>
    <w:rsid w:val="00915022"/>
    <w:rsid w:val="0091564F"/>
    <w:rsid w:val="009156B0"/>
    <w:rsid w:val="009159F1"/>
    <w:rsid w:val="00915B6C"/>
    <w:rsid w:val="009169CE"/>
    <w:rsid w:val="00916E11"/>
    <w:rsid w:val="00916F7D"/>
    <w:rsid w:val="00921400"/>
    <w:rsid w:val="0092185C"/>
    <w:rsid w:val="0092194A"/>
    <w:rsid w:val="00922733"/>
    <w:rsid w:val="00923C26"/>
    <w:rsid w:val="00924167"/>
    <w:rsid w:val="00924E80"/>
    <w:rsid w:val="009251C1"/>
    <w:rsid w:val="00925F11"/>
    <w:rsid w:val="0093072B"/>
    <w:rsid w:val="00932CF3"/>
    <w:rsid w:val="00934175"/>
    <w:rsid w:val="00934A70"/>
    <w:rsid w:val="00934C04"/>
    <w:rsid w:val="0093533B"/>
    <w:rsid w:val="0093758A"/>
    <w:rsid w:val="00940086"/>
    <w:rsid w:val="0094165E"/>
    <w:rsid w:val="00941CFE"/>
    <w:rsid w:val="009431D8"/>
    <w:rsid w:val="009437D2"/>
    <w:rsid w:val="00943ACF"/>
    <w:rsid w:val="00944305"/>
    <w:rsid w:val="009445C0"/>
    <w:rsid w:val="00944B72"/>
    <w:rsid w:val="00944DC7"/>
    <w:rsid w:val="0094572E"/>
    <w:rsid w:val="00945D9A"/>
    <w:rsid w:val="00946D28"/>
    <w:rsid w:val="00947463"/>
    <w:rsid w:val="00947F46"/>
    <w:rsid w:val="0095048D"/>
    <w:rsid w:val="00950823"/>
    <w:rsid w:val="009508F1"/>
    <w:rsid w:val="009510FD"/>
    <w:rsid w:val="00951842"/>
    <w:rsid w:val="00952601"/>
    <w:rsid w:val="00953DC8"/>
    <w:rsid w:val="00954419"/>
    <w:rsid w:val="00954706"/>
    <w:rsid w:val="0095613E"/>
    <w:rsid w:val="00957B31"/>
    <w:rsid w:val="009606A7"/>
    <w:rsid w:val="00961A3D"/>
    <w:rsid w:val="009621E9"/>
    <w:rsid w:val="00963573"/>
    <w:rsid w:val="00963BA9"/>
    <w:rsid w:val="009647F6"/>
    <w:rsid w:val="00964B96"/>
    <w:rsid w:val="00966223"/>
    <w:rsid w:val="00966D59"/>
    <w:rsid w:val="00966DEF"/>
    <w:rsid w:val="00966EDA"/>
    <w:rsid w:val="00967372"/>
    <w:rsid w:val="0096742B"/>
    <w:rsid w:val="00967BD6"/>
    <w:rsid w:val="00970EF4"/>
    <w:rsid w:val="009721EC"/>
    <w:rsid w:val="00972D53"/>
    <w:rsid w:val="00973B38"/>
    <w:rsid w:val="00973C0C"/>
    <w:rsid w:val="00975C83"/>
    <w:rsid w:val="00975EF0"/>
    <w:rsid w:val="009777C0"/>
    <w:rsid w:val="00977936"/>
    <w:rsid w:val="00980481"/>
    <w:rsid w:val="00980680"/>
    <w:rsid w:val="0098104D"/>
    <w:rsid w:val="0098172A"/>
    <w:rsid w:val="00981BBE"/>
    <w:rsid w:val="00981EAD"/>
    <w:rsid w:val="0098226B"/>
    <w:rsid w:val="00982C6D"/>
    <w:rsid w:val="00983611"/>
    <w:rsid w:val="0098388F"/>
    <w:rsid w:val="009848C7"/>
    <w:rsid w:val="00985151"/>
    <w:rsid w:val="009857E9"/>
    <w:rsid w:val="00986A52"/>
    <w:rsid w:val="00987906"/>
    <w:rsid w:val="00990068"/>
    <w:rsid w:val="00991340"/>
    <w:rsid w:val="00992734"/>
    <w:rsid w:val="00992759"/>
    <w:rsid w:val="00992FB4"/>
    <w:rsid w:val="009950BB"/>
    <w:rsid w:val="0099594D"/>
    <w:rsid w:val="00995979"/>
    <w:rsid w:val="009968E2"/>
    <w:rsid w:val="00996BEB"/>
    <w:rsid w:val="00996E1D"/>
    <w:rsid w:val="009971B5"/>
    <w:rsid w:val="00997BDA"/>
    <w:rsid w:val="00997D6F"/>
    <w:rsid w:val="009A0699"/>
    <w:rsid w:val="009A06B2"/>
    <w:rsid w:val="009A0A72"/>
    <w:rsid w:val="009A0E8F"/>
    <w:rsid w:val="009A134D"/>
    <w:rsid w:val="009A2041"/>
    <w:rsid w:val="009A2742"/>
    <w:rsid w:val="009A2C44"/>
    <w:rsid w:val="009A3EA8"/>
    <w:rsid w:val="009A457A"/>
    <w:rsid w:val="009A5E9D"/>
    <w:rsid w:val="009A639A"/>
    <w:rsid w:val="009A6A68"/>
    <w:rsid w:val="009A6FCE"/>
    <w:rsid w:val="009A7B85"/>
    <w:rsid w:val="009A7CDA"/>
    <w:rsid w:val="009B0D5A"/>
    <w:rsid w:val="009B0FD4"/>
    <w:rsid w:val="009B2238"/>
    <w:rsid w:val="009B27AB"/>
    <w:rsid w:val="009B2ECA"/>
    <w:rsid w:val="009B3416"/>
    <w:rsid w:val="009B3563"/>
    <w:rsid w:val="009B4225"/>
    <w:rsid w:val="009B5E30"/>
    <w:rsid w:val="009B6645"/>
    <w:rsid w:val="009B67D0"/>
    <w:rsid w:val="009B7131"/>
    <w:rsid w:val="009B71A9"/>
    <w:rsid w:val="009C0DD1"/>
    <w:rsid w:val="009C13AE"/>
    <w:rsid w:val="009C1D20"/>
    <w:rsid w:val="009C2034"/>
    <w:rsid w:val="009C2128"/>
    <w:rsid w:val="009C3485"/>
    <w:rsid w:val="009C3B9A"/>
    <w:rsid w:val="009C4B0D"/>
    <w:rsid w:val="009C5146"/>
    <w:rsid w:val="009C5ABA"/>
    <w:rsid w:val="009C69AF"/>
    <w:rsid w:val="009C6AEA"/>
    <w:rsid w:val="009D0A95"/>
    <w:rsid w:val="009D126E"/>
    <w:rsid w:val="009D15AA"/>
    <w:rsid w:val="009D1C67"/>
    <w:rsid w:val="009D211E"/>
    <w:rsid w:val="009D217C"/>
    <w:rsid w:val="009D27D2"/>
    <w:rsid w:val="009D2C29"/>
    <w:rsid w:val="009D2D98"/>
    <w:rsid w:val="009D32ED"/>
    <w:rsid w:val="009D3617"/>
    <w:rsid w:val="009D3BDE"/>
    <w:rsid w:val="009D4152"/>
    <w:rsid w:val="009D579B"/>
    <w:rsid w:val="009D60C9"/>
    <w:rsid w:val="009D695E"/>
    <w:rsid w:val="009D6C3B"/>
    <w:rsid w:val="009D6E37"/>
    <w:rsid w:val="009D7111"/>
    <w:rsid w:val="009D71EF"/>
    <w:rsid w:val="009D7E87"/>
    <w:rsid w:val="009E056F"/>
    <w:rsid w:val="009E1A13"/>
    <w:rsid w:val="009E1E9A"/>
    <w:rsid w:val="009E2C76"/>
    <w:rsid w:val="009E2F53"/>
    <w:rsid w:val="009E355E"/>
    <w:rsid w:val="009E4200"/>
    <w:rsid w:val="009E42C9"/>
    <w:rsid w:val="009E5055"/>
    <w:rsid w:val="009E5138"/>
    <w:rsid w:val="009E5CC2"/>
    <w:rsid w:val="009E772E"/>
    <w:rsid w:val="009E7A3A"/>
    <w:rsid w:val="009F047E"/>
    <w:rsid w:val="009F052A"/>
    <w:rsid w:val="009F2AD7"/>
    <w:rsid w:val="009F3BEC"/>
    <w:rsid w:val="009F4AC0"/>
    <w:rsid w:val="009F5E7D"/>
    <w:rsid w:val="009F67F9"/>
    <w:rsid w:val="009F69B3"/>
    <w:rsid w:val="009F6E1B"/>
    <w:rsid w:val="009F7A5A"/>
    <w:rsid w:val="00A0013D"/>
    <w:rsid w:val="00A0094A"/>
    <w:rsid w:val="00A0137B"/>
    <w:rsid w:val="00A01A89"/>
    <w:rsid w:val="00A01F87"/>
    <w:rsid w:val="00A02CBE"/>
    <w:rsid w:val="00A02E5F"/>
    <w:rsid w:val="00A02F27"/>
    <w:rsid w:val="00A04669"/>
    <w:rsid w:val="00A04FD3"/>
    <w:rsid w:val="00A05D13"/>
    <w:rsid w:val="00A0701E"/>
    <w:rsid w:val="00A07B9A"/>
    <w:rsid w:val="00A07D66"/>
    <w:rsid w:val="00A10D6C"/>
    <w:rsid w:val="00A11C97"/>
    <w:rsid w:val="00A11EE3"/>
    <w:rsid w:val="00A12FA2"/>
    <w:rsid w:val="00A12FEC"/>
    <w:rsid w:val="00A130BB"/>
    <w:rsid w:val="00A139D4"/>
    <w:rsid w:val="00A149CA"/>
    <w:rsid w:val="00A14EEE"/>
    <w:rsid w:val="00A1736D"/>
    <w:rsid w:val="00A17B4A"/>
    <w:rsid w:val="00A2078B"/>
    <w:rsid w:val="00A21333"/>
    <w:rsid w:val="00A21447"/>
    <w:rsid w:val="00A21502"/>
    <w:rsid w:val="00A21CDB"/>
    <w:rsid w:val="00A229BF"/>
    <w:rsid w:val="00A22C38"/>
    <w:rsid w:val="00A237B4"/>
    <w:rsid w:val="00A23AE4"/>
    <w:rsid w:val="00A23D5A"/>
    <w:rsid w:val="00A23DFE"/>
    <w:rsid w:val="00A240B8"/>
    <w:rsid w:val="00A2459D"/>
    <w:rsid w:val="00A24CE1"/>
    <w:rsid w:val="00A2505E"/>
    <w:rsid w:val="00A26676"/>
    <w:rsid w:val="00A27152"/>
    <w:rsid w:val="00A27413"/>
    <w:rsid w:val="00A27454"/>
    <w:rsid w:val="00A307B3"/>
    <w:rsid w:val="00A3263B"/>
    <w:rsid w:val="00A32C41"/>
    <w:rsid w:val="00A32FB5"/>
    <w:rsid w:val="00A33842"/>
    <w:rsid w:val="00A33C0C"/>
    <w:rsid w:val="00A3451B"/>
    <w:rsid w:val="00A34870"/>
    <w:rsid w:val="00A34C9B"/>
    <w:rsid w:val="00A35E78"/>
    <w:rsid w:val="00A3643A"/>
    <w:rsid w:val="00A37CE3"/>
    <w:rsid w:val="00A41193"/>
    <w:rsid w:val="00A41635"/>
    <w:rsid w:val="00A42FFF"/>
    <w:rsid w:val="00A43755"/>
    <w:rsid w:val="00A43B25"/>
    <w:rsid w:val="00A457A3"/>
    <w:rsid w:val="00A4587D"/>
    <w:rsid w:val="00A45A99"/>
    <w:rsid w:val="00A460A3"/>
    <w:rsid w:val="00A4631E"/>
    <w:rsid w:val="00A470E4"/>
    <w:rsid w:val="00A47C8E"/>
    <w:rsid w:val="00A47E32"/>
    <w:rsid w:val="00A50280"/>
    <w:rsid w:val="00A50C3E"/>
    <w:rsid w:val="00A5131B"/>
    <w:rsid w:val="00A513D2"/>
    <w:rsid w:val="00A51BCA"/>
    <w:rsid w:val="00A52E18"/>
    <w:rsid w:val="00A534FB"/>
    <w:rsid w:val="00A5410F"/>
    <w:rsid w:val="00A5481B"/>
    <w:rsid w:val="00A548C3"/>
    <w:rsid w:val="00A54C2A"/>
    <w:rsid w:val="00A54D62"/>
    <w:rsid w:val="00A54DD2"/>
    <w:rsid w:val="00A56C1F"/>
    <w:rsid w:val="00A56F44"/>
    <w:rsid w:val="00A61E18"/>
    <w:rsid w:val="00A62233"/>
    <w:rsid w:val="00A62AA4"/>
    <w:rsid w:val="00A63499"/>
    <w:rsid w:val="00A63769"/>
    <w:rsid w:val="00A63B1A"/>
    <w:rsid w:val="00A63EE1"/>
    <w:rsid w:val="00A64A9C"/>
    <w:rsid w:val="00A64F06"/>
    <w:rsid w:val="00A65B2E"/>
    <w:rsid w:val="00A65C59"/>
    <w:rsid w:val="00A65E01"/>
    <w:rsid w:val="00A66A0F"/>
    <w:rsid w:val="00A67A5C"/>
    <w:rsid w:val="00A70436"/>
    <w:rsid w:val="00A70E8F"/>
    <w:rsid w:val="00A71A40"/>
    <w:rsid w:val="00A7225D"/>
    <w:rsid w:val="00A72452"/>
    <w:rsid w:val="00A7405B"/>
    <w:rsid w:val="00A75FEC"/>
    <w:rsid w:val="00A7642D"/>
    <w:rsid w:val="00A770A8"/>
    <w:rsid w:val="00A771A4"/>
    <w:rsid w:val="00A77FB1"/>
    <w:rsid w:val="00A80237"/>
    <w:rsid w:val="00A80583"/>
    <w:rsid w:val="00A806A5"/>
    <w:rsid w:val="00A80FB1"/>
    <w:rsid w:val="00A82D20"/>
    <w:rsid w:val="00A82D41"/>
    <w:rsid w:val="00A82D71"/>
    <w:rsid w:val="00A84B4C"/>
    <w:rsid w:val="00A85C00"/>
    <w:rsid w:val="00A861F7"/>
    <w:rsid w:val="00A86E24"/>
    <w:rsid w:val="00A86F27"/>
    <w:rsid w:val="00A873F8"/>
    <w:rsid w:val="00A907AA"/>
    <w:rsid w:val="00A90A41"/>
    <w:rsid w:val="00A91D15"/>
    <w:rsid w:val="00A92D41"/>
    <w:rsid w:val="00A94D80"/>
    <w:rsid w:val="00A958E1"/>
    <w:rsid w:val="00A9661C"/>
    <w:rsid w:val="00A96E2A"/>
    <w:rsid w:val="00A96E94"/>
    <w:rsid w:val="00A97D5C"/>
    <w:rsid w:val="00A97FF6"/>
    <w:rsid w:val="00AA0A12"/>
    <w:rsid w:val="00AA1B39"/>
    <w:rsid w:val="00AA223F"/>
    <w:rsid w:val="00AA2715"/>
    <w:rsid w:val="00AA59DE"/>
    <w:rsid w:val="00AA5CBF"/>
    <w:rsid w:val="00AA60AB"/>
    <w:rsid w:val="00AA65FC"/>
    <w:rsid w:val="00AA678C"/>
    <w:rsid w:val="00AA69BD"/>
    <w:rsid w:val="00AA7B63"/>
    <w:rsid w:val="00AB004B"/>
    <w:rsid w:val="00AB0D03"/>
    <w:rsid w:val="00AB0FA3"/>
    <w:rsid w:val="00AB1548"/>
    <w:rsid w:val="00AB1A68"/>
    <w:rsid w:val="00AB20D4"/>
    <w:rsid w:val="00AB20DE"/>
    <w:rsid w:val="00AB23DB"/>
    <w:rsid w:val="00AB28A2"/>
    <w:rsid w:val="00AB28DA"/>
    <w:rsid w:val="00AB2F54"/>
    <w:rsid w:val="00AB3934"/>
    <w:rsid w:val="00AB3D94"/>
    <w:rsid w:val="00AB4494"/>
    <w:rsid w:val="00AB4602"/>
    <w:rsid w:val="00AB49AE"/>
    <w:rsid w:val="00AB5028"/>
    <w:rsid w:val="00AB5089"/>
    <w:rsid w:val="00AB5B5B"/>
    <w:rsid w:val="00AB5EE5"/>
    <w:rsid w:val="00AB61C1"/>
    <w:rsid w:val="00AB6E50"/>
    <w:rsid w:val="00AB7BD1"/>
    <w:rsid w:val="00AC0369"/>
    <w:rsid w:val="00AC1060"/>
    <w:rsid w:val="00AC1D11"/>
    <w:rsid w:val="00AC234D"/>
    <w:rsid w:val="00AC24B8"/>
    <w:rsid w:val="00AC2659"/>
    <w:rsid w:val="00AC29E3"/>
    <w:rsid w:val="00AC3707"/>
    <w:rsid w:val="00AC3A35"/>
    <w:rsid w:val="00AC41AF"/>
    <w:rsid w:val="00AC4618"/>
    <w:rsid w:val="00AC599F"/>
    <w:rsid w:val="00AC5BB6"/>
    <w:rsid w:val="00AC5DD3"/>
    <w:rsid w:val="00AC5EA0"/>
    <w:rsid w:val="00AC630D"/>
    <w:rsid w:val="00AC6846"/>
    <w:rsid w:val="00AC6F1A"/>
    <w:rsid w:val="00AC77E0"/>
    <w:rsid w:val="00AC7C4E"/>
    <w:rsid w:val="00AD0B40"/>
    <w:rsid w:val="00AD12F6"/>
    <w:rsid w:val="00AD1688"/>
    <w:rsid w:val="00AD1AA6"/>
    <w:rsid w:val="00AD364C"/>
    <w:rsid w:val="00AD444C"/>
    <w:rsid w:val="00AD5D36"/>
    <w:rsid w:val="00AD71CF"/>
    <w:rsid w:val="00AD7451"/>
    <w:rsid w:val="00AD7987"/>
    <w:rsid w:val="00AE0E41"/>
    <w:rsid w:val="00AE2CD9"/>
    <w:rsid w:val="00AE376A"/>
    <w:rsid w:val="00AE3C4E"/>
    <w:rsid w:val="00AE3E70"/>
    <w:rsid w:val="00AE470D"/>
    <w:rsid w:val="00AE544D"/>
    <w:rsid w:val="00AE5C62"/>
    <w:rsid w:val="00AE656E"/>
    <w:rsid w:val="00AE68D9"/>
    <w:rsid w:val="00AE74EB"/>
    <w:rsid w:val="00AF00B0"/>
    <w:rsid w:val="00AF0D9D"/>
    <w:rsid w:val="00AF1F03"/>
    <w:rsid w:val="00AF1FE5"/>
    <w:rsid w:val="00AF269A"/>
    <w:rsid w:val="00AF3CDA"/>
    <w:rsid w:val="00AF512D"/>
    <w:rsid w:val="00AF623E"/>
    <w:rsid w:val="00AF6AF9"/>
    <w:rsid w:val="00AF6ECC"/>
    <w:rsid w:val="00AF71F1"/>
    <w:rsid w:val="00B000D8"/>
    <w:rsid w:val="00B01015"/>
    <w:rsid w:val="00B01055"/>
    <w:rsid w:val="00B02045"/>
    <w:rsid w:val="00B024CE"/>
    <w:rsid w:val="00B02BA4"/>
    <w:rsid w:val="00B0373C"/>
    <w:rsid w:val="00B0442A"/>
    <w:rsid w:val="00B04C89"/>
    <w:rsid w:val="00B057FB"/>
    <w:rsid w:val="00B05EDF"/>
    <w:rsid w:val="00B066C3"/>
    <w:rsid w:val="00B07249"/>
    <w:rsid w:val="00B0724E"/>
    <w:rsid w:val="00B07EC4"/>
    <w:rsid w:val="00B100CA"/>
    <w:rsid w:val="00B11153"/>
    <w:rsid w:val="00B11CB1"/>
    <w:rsid w:val="00B12640"/>
    <w:rsid w:val="00B1319D"/>
    <w:rsid w:val="00B1330A"/>
    <w:rsid w:val="00B13554"/>
    <w:rsid w:val="00B13FAA"/>
    <w:rsid w:val="00B1467E"/>
    <w:rsid w:val="00B1475A"/>
    <w:rsid w:val="00B149C3"/>
    <w:rsid w:val="00B15032"/>
    <w:rsid w:val="00B159C4"/>
    <w:rsid w:val="00B16D2C"/>
    <w:rsid w:val="00B17CDE"/>
    <w:rsid w:val="00B21EBE"/>
    <w:rsid w:val="00B2301C"/>
    <w:rsid w:val="00B2319E"/>
    <w:rsid w:val="00B23982"/>
    <w:rsid w:val="00B23BB2"/>
    <w:rsid w:val="00B24B1B"/>
    <w:rsid w:val="00B24CE0"/>
    <w:rsid w:val="00B25224"/>
    <w:rsid w:val="00B262CB"/>
    <w:rsid w:val="00B27655"/>
    <w:rsid w:val="00B27A83"/>
    <w:rsid w:val="00B3018E"/>
    <w:rsid w:val="00B30204"/>
    <w:rsid w:val="00B3047A"/>
    <w:rsid w:val="00B3162D"/>
    <w:rsid w:val="00B31E09"/>
    <w:rsid w:val="00B32BCF"/>
    <w:rsid w:val="00B34796"/>
    <w:rsid w:val="00B3515A"/>
    <w:rsid w:val="00B35207"/>
    <w:rsid w:val="00B35C5C"/>
    <w:rsid w:val="00B35E61"/>
    <w:rsid w:val="00B36123"/>
    <w:rsid w:val="00B362FD"/>
    <w:rsid w:val="00B36E2D"/>
    <w:rsid w:val="00B36E54"/>
    <w:rsid w:val="00B36E77"/>
    <w:rsid w:val="00B3721E"/>
    <w:rsid w:val="00B412D3"/>
    <w:rsid w:val="00B418DB"/>
    <w:rsid w:val="00B4195B"/>
    <w:rsid w:val="00B4272D"/>
    <w:rsid w:val="00B42B4D"/>
    <w:rsid w:val="00B433EC"/>
    <w:rsid w:val="00B4468F"/>
    <w:rsid w:val="00B45051"/>
    <w:rsid w:val="00B455A1"/>
    <w:rsid w:val="00B466A4"/>
    <w:rsid w:val="00B46CFA"/>
    <w:rsid w:val="00B46D8C"/>
    <w:rsid w:val="00B470DB"/>
    <w:rsid w:val="00B510E9"/>
    <w:rsid w:val="00B53087"/>
    <w:rsid w:val="00B531E8"/>
    <w:rsid w:val="00B53745"/>
    <w:rsid w:val="00B54897"/>
    <w:rsid w:val="00B56BA7"/>
    <w:rsid w:val="00B56C87"/>
    <w:rsid w:val="00B57353"/>
    <w:rsid w:val="00B576E9"/>
    <w:rsid w:val="00B6002B"/>
    <w:rsid w:val="00B617D7"/>
    <w:rsid w:val="00B619AE"/>
    <w:rsid w:val="00B6206C"/>
    <w:rsid w:val="00B6250F"/>
    <w:rsid w:val="00B63665"/>
    <w:rsid w:val="00B645F1"/>
    <w:rsid w:val="00B647F9"/>
    <w:rsid w:val="00B648F0"/>
    <w:rsid w:val="00B670C0"/>
    <w:rsid w:val="00B701D2"/>
    <w:rsid w:val="00B70C17"/>
    <w:rsid w:val="00B71FA5"/>
    <w:rsid w:val="00B725D6"/>
    <w:rsid w:val="00B72A65"/>
    <w:rsid w:val="00B751D4"/>
    <w:rsid w:val="00B75A3F"/>
    <w:rsid w:val="00B771CB"/>
    <w:rsid w:val="00B7723F"/>
    <w:rsid w:val="00B77C64"/>
    <w:rsid w:val="00B77CA7"/>
    <w:rsid w:val="00B77F16"/>
    <w:rsid w:val="00B80F66"/>
    <w:rsid w:val="00B81640"/>
    <w:rsid w:val="00B81901"/>
    <w:rsid w:val="00B81D83"/>
    <w:rsid w:val="00B82EA8"/>
    <w:rsid w:val="00B835E7"/>
    <w:rsid w:val="00B83C8E"/>
    <w:rsid w:val="00B844F4"/>
    <w:rsid w:val="00B85134"/>
    <w:rsid w:val="00B85D76"/>
    <w:rsid w:val="00B86C62"/>
    <w:rsid w:val="00B86EF4"/>
    <w:rsid w:val="00B86FC5"/>
    <w:rsid w:val="00B8734A"/>
    <w:rsid w:val="00B87921"/>
    <w:rsid w:val="00B922BC"/>
    <w:rsid w:val="00B92B8A"/>
    <w:rsid w:val="00B93351"/>
    <w:rsid w:val="00B9338E"/>
    <w:rsid w:val="00B94866"/>
    <w:rsid w:val="00B948EA"/>
    <w:rsid w:val="00B94D65"/>
    <w:rsid w:val="00B9651B"/>
    <w:rsid w:val="00B96656"/>
    <w:rsid w:val="00B96FB0"/>
    <w:rsid w:val="00B977ED"/>
    <w:rsid w:val="00B97925"/>
    <w:rsid w:val="00B97A2A"/>
    <w:rsid w:val="00B97F89"/>
    <w:rsid w:val="00B97F9B"/>
    <w:rsid w:val="00BA08E1"/>
    <w:rsid w:val="00BA0916"/>
    <w:rsid w:val="00BA0969"/>
    <w:rsid w:val="00BA11B1"/>
    <w:rsid w:val="00BA1579"/>
    <w:rsid w:val="00BA20E7"/>
    <w:rsid w:val="00BA23E0"/>
    <w:rsid w:val="00BA2441"/>
    <w:rsid w:val="00BA26F0"/>
    <w:rsid w:val="00BA4725"/>
    <w:rsid w:val="00BA47BC"/>
    <w:rsid w:val="00BA54EA"/>
    <w:rsid w:val="00BA5587"/>
    <w:rsid w:val="00BA5A31"/>
    <w:rsid w:val="00BA5E05"/>
    <w:rsid w:val="00BA6F76"/>
    <w:rsid w:val="00BA7E75"/>
    <w:rsid w:val="00BB0405"/>
    <w:rsid w:val="00BB0498"/>
    <w:rsid w:val="00BB0675"/>
    <w:rsid w:val="00BB0B51"/>
    <w:rsid w:val="00BB1ACA"/>
    <w:rsid w:val="00BB1D4E"/>
    <w:rsid w:val="00BB21B0"/>
    <w:rsid w:val="00BB225B"/>
    <w:rsid w:val="00BB2528"/>
    <w:rsid w:val="00BB2717"/>
    <w:rsid w:val="00BB36AD"/>
    <w:rsid w:val="00BB3881"/>
    <w:rsid w:val="00BB38C3"/>
    <w:rsid w:val="00BB5320"/>
    <w:rsid w:val="00BB67CF"/>
    <w:rsid w:val="00BB6B7F"/>
    <w:rsid w:val="00BC0548"/>
    <w:rsid w:val="00BC05CF"/>
    <w:rsid w:val="00BC091A"/>
    <w:rsid w:val="00BC0DB1"/>
    <w:rsid w:val="00BC0DEB"/>
    <w:rsid w:val="00BC25A5"/>
    <w:rsid w:val="00BC25E0"/>
    <w:rsid w:val="00BC2959"/>
    <w:rsid w:val="00BC399B"/>
    <w:rsid w:val="00BC3A92"/>
    <w:rsid w:val="00BC5104"/>
    <w:rsid w:val="00BC5535"/>
    <w:rsid w:val="00BC5A9A"/>
    <w:rsid w:val="00BC5D86"/>
    <w:rsid w:val="00BC6DBF"/>
    <w:rsid w:val="00BD0432"/>
    <w:rsid w:val="00BD0795"/>
    <w:rsid w:val="00BD0AB0"/>
    <w:rsid w:val="00BD0DC6"/>
    <w:rsid w:val="00BD14D8"/>
    <w:rsid w:val="00BD1E89"/>
    <w:rsid w:val="00BD257F"/>
    <w:rsid w:val="00BD2612"/>
    <w:rsid w:val="00BD2C28"/>
    <w:rsid w:val="00BD3684"/>
    <w:rsid w:val="00BD4293"/>
    <w:rsid w:val="00BD4CEA"/>
    <w:rsid w:val="00BD52B1"/>
    <w:rsid w:val="00BD59D0"/>
    <w:rsid w:val="00BD59ED"/>
    <w:rsid w:val="00BD5D26"/>
    <w:rsid w:val="00BD60D3"/>
    <w:rsid w:val="00BD62A7"/>
    <w:rsid w:val="00BD786F"/>
    <w:rsid w:val="00BE008E"/>
    <w:rsid w:val="00BE040C"/>
    <w:rsid w:val="00BE0B9F"/>
    <w:rsid w:val="00BE1272"/>
    <w:rsid w:val="00BE18BA"/>
    <w:rsid w:val="00BE1E5D"/>
    <w:rsid w:val="00BE2AFE"/>
    <w:rsid w:val="00BE2CFA"/>
    <w:rsid w:val="00BE2EB6"/>
    <w:rsid w:val="00BE35E0"/>
    <w:rsid w:val="00BE4B3F"/>
    <w:rsid w:val="00BE5508"/>
    <w:rsid w:val="00BE5CC0"/>
    <w:rsid w:val="00BF0031"/>
    <w:rsid w:val="00BF0780"/>
    <w:rsid w:val="00BF0F63"/>
    <w:rsid w:val="00BF1B4F"/>
    <w:rsid w:val="00BF1CFB"/>
    <w:rsid w:val="00BF2389"/>
    <w:rsid w:val="00BF25D4"/>
    <w:rsid w:val="00BF2BF0"/>
    <w:rsid w:val="00BF3318"/>
    <w:rsid w:val="00BF3E9D"/>
    <w:rsid w:val="00BF473B"/>
    <w:rsid w:val="00BF4EE0"/>
    <w:rsid w:val="00BF5576"/>
    <w:rsid w:val="00BF58DD"/>
    <w:rsid w:val="00BF60BD"/>
    <w:rsid w:val="00BF6E5B"/>
    <w:rsid w:val="00BF708B"/>
    <w:rsid w:val="00BF7B17"/>
    <w:rsid w:val="00BF7E3C"/>
    <w:rsid w:val="00C021BD"/>
    <w:rsid w:val="00C02B26"/>
    <w:rsid w:val="00C03092"/>
    <w:rsid w:val="00C039F7"/>
    <w:rsid w:val="00C04103"/>
    <w:rsid w:val="00C0416D"/>
    <w:rsid w:val="00C04C61"/>
    <w:rsid w:val="00C04FA2"/>
    <w:rsid w:val="00C057C0"/>
    <w:rsid w:val="00C05FC4"/>
    <w:rsid w:val="00C1037A"/>
    <w:rsid w:val="00C10763"/>
    <w:rsid w:val="00C10771"/>
    <w:rsid w:val="00C11D98"/>
    <w:rsid w:val="00C121E3"/>
    <w:rsid w:val="00C122AD"/>
    <w:rsid w:val="00C1427A"/>
    <w:rsid w:val="00C14A97"/>
    <w:rsid w:val="00C1502B"/>
    <w:rsid w:val="00C161E7"/>
    <w:rsid w:val="00C1664C"/>
    <w:rsid w:val="00C16966"/>
    <w:rsid w:val="00C1738C"/>
    <w:rsid w:val="00C200EC"/>
    <w:rsid w:val="00C2132D"/>
    <w:rsid w:val="00C228E1"/>
    <w:rsid w:val="00C241A0"/>
    <w:rsid w:val="00C2525B"/>
    <w:rsid w:val="00C25BF5"/>
    <w:rsid w:val="00C2619D"/>
    <w:rsid w:val="00C268DB"/>
    <w:rsid w:val="00C315F2"/>
    <w:rsid w:val="00C3308E"/>
    <w:rsid w:val="00C33544"/>
    <w:rsid w:val="00C3477A"/>
    <w:rsid w:val="00C34B3C"/>
    <w:rsid w:val="00C365BE"/>
    <w:rsid w:val="00C369A1"/>
    <w:rsid w:val="00C37984"/>
    <w:rsid w:val="00C402A7"/>
    <w:rsid w:val="00C409F0"/>
    <w:rsid w:val="00C41288"/>
    <w:rsid w:val="00C41928"/>
    <w:rsid w:val="00C41DF1"/>
    <w:rsid w:val="00C41FE3"/>
    <w:rsid w:val="00C428B4"/>
    <w:rsid w:val="00C42E29"/>
    <w:rsid w:val="00C44478"/>
    <w:rsid w:val="00C446AD"/>
    <w:rsid w:val="00C4610E"/>
    <w:rsid w:val="00C46195"/>
    <w:rsid w:val="00C4695B"/>
    <w:rsid w:val="00C46B6B"/>
    <w:rsid w:val="00C46C8B"/>
    <w:rsid w:val="00C474C7"/>
    <w:rsid w:val="00C478ED"/>
    <w:rsid w:val="00C50708"/>
    <w:rsid w:val="00C50D93"/>
    <w:rsid w:val="00C51255"/>
    <w:rsid w:val="00C52D7D"/>
    <w:rsid w:val="00C533E0"/>
    <w:rsid w:val="00C540C7"/>
    <w:rsid w:val="00C55790"/>
    <w:rsid w:val="00C57959"/>
    <w:rsid w:val="00C60748"/>
    <w:rsid w:val="00C623D2"/>
    <w:rsid w:val="00C624D4"/>
    <w:rsid w:val="00C626C4"/>
    <w:rsid w:val="00C62725"/>
    <w:rsid w:val="00C62885"/>
    <w:rsid w:val="00C6421B"/>
    <w:rsid w:val="00C64500"/>
    <w:rsid w:val="00C64A9E"/>
    <w:rsid w:val="00C64B71"/>
    <w:rsid w:val="00C658E8"/>
    <w:rsid w:val="00C65B92"/>
    <w:rsid w:val="00C66925"/>
    <w:rsid w:val="00C670BA"/>
    <w:rsid w:val="00C672AE"/>
    <w:rsid w:val="00C705A5"/>
    <w:rsid w:val="00C7080F"/>
    <w:rsid w:val="00C7089C"/>
    <w:rsid w:val="00C70B91"/>
    <w:rsid w:val="00C711DA"/>
    <w:rsid w:val="00C72AC6"/>
    <w:rsid w:val="00C75210"/>
    <w:rsid w:val="00C76B41"/>
    <w:rsid w:val="00C771D6"/>
    <w:rsid w:val="00C77DF6"/>
    <w:rsid w:val="00C80966"/>
    <w:rsid w:val="00C80B3E"/>
    <w:rsid w:val="00C80F84"/>
    <w:rsid w:val="00C81435"/>
    <w:rsid w:val="00C81649"/>
    <w:rsid w:val="00C81889"/>
    <w:rsid w:val="00C82991"/>
    <w:rsid w:val="00C83F26"/>
    <w:rsid w:val="00C84322"/>
    <w:rsid w:val="00C85086"/>
    <w:rsid w:val="00C85472"/>
    <w:rsid w:val="00C856E5"/>
    <w:rsid w:val="00C8642E"/>
    <w:rsid w:val="00C86E93"/>
    <w:rsid w:val="00C8B747"/>
    <w:rsid w:val="00C91F71"/>
    <w:rsid w:val="00C9205E"/>
    <w:rsid w:val="00C923F7"/>
    <w:rsid w:val="00C92A29"/>
    <w:rsid w:val="00C93087"/>
    <w:rsid w:val="00C9325D"/>
    <w:rsid w:val="00C93CFE"/>
    <w:rsid w:val="00C94B5B"/>
    <w:rsid w:val="00C9563E"/>
    <w:rsid w:val="00C95CB7"/>
    <w:rsid w:val="00C95F57"/>
    <w:rsid w:val="00C968E9"/>
    <w:rsid w:val="00C971CD"/>
    <w:rsid w:val="00C97743"/>
    <w:rsid w:val="00C97D7A"/>
    <w:rsid w:val="00CA0443"/>
    <w:rsid w:val="00CA04C4"/>
    <w:rsid w:val="00CA0BAC"/>
    <w:rsid w:val="00CA0F67"/>
    <w:rsid w:val="00CA11B2"/>
    <w:rsid w:val="00CA15A1"/>
    <w:rsid w:val="00CA1A75"/>
    <w:rsid w:val="00CA21CA"/>
    <w:rsid w:val="00CA3E36"/>
    <w:rsid w:val="00CA40FF"/>
    <w:rsid w:val="00CA4754"/>
    <w:rsid w:val="00CA4C3C"/>
    <w:rsid w:val="00CA4E79"/>
    <w:rsid w:val="00CA7F43"/>
    <w:rsid w:val="00CB074C"/>
    <w:rsid w:val="00CB0EC0"/>
    <w:rsid w:val="00CB2B07"/>
    <w:rsid w:val="00CB3EC2"/>
    <w:rsid w:val="00CB4FEC"/>
    <w:rsid w:val="00CB5B97"/>
    <w:rsid w:val="00CB6F90"/>
    <w:rsid w:val="00CB78F2"/>
    <w:rsid w:val="00CB78F8"/>
    <w:rsid w:val="00CB7BAC"/>
    <w:rsid w:val="00CC2977"/>
    <w:rsid w:val="00CC3362"/>
    <w:rsid w:val="00CC346F"/>
    <w:rsid w:val="00CC3AD5"/>
    <w:rsid w:val="00CC4202"/>
    <w:rsid w:val="00CC4AF2"/>
    <w:rsid w:val="00CC52A8"/>
    <w:rsid w:val="00CC608F"/>
    <w:rsid w:val="00CC6295"/>
    <w:rsid w:val="00CC7167"/>
    <w:rsid w:val="00CC723E"/>
    <w:rsid w:val="00CD01BD"/>
    <w:rsid w:val="00CD0F4B"/>
    <w:rsid w:val="00CD2823"/>
    <w:rsid w:val="00CD2BB7"/>
    <w:rsid w:val="00CD30A0"/>
    <w:rsid w:val="00CD3599"/>
    <w:rsid w:val="00CD3688"/>
    <w:rsid w:val="00CD3A07"/>
    <w:rsid w:val="00CD3E08"/>
    <w:rsid w:val="00CD482F"/>
    <w:rsid w:val="00CD57E7"/>
    <w:rsid w:val="00CD5AFE"/>
    <w:rsid w:val="00CD772F"/>
    <w:rsid w:val="00CD7CBD"/>
    <w:rsid w:val="00CE03EE"/>
    <w:rsid w:val="00CE0F7F"/>
    <w:rsid w:val="00CE1758"/>
    <w:rsid w:val="00CE1766"/>
    <w:rsid w:val="00CE2383"/>
    <w:rsid w:val="00CE3DA2"/>
    <w:rsid w:val="00CE664D"/>
    <w:rsid w:val="00CE6D26"/>
    <w:rsid w:val="00CE75DC"/>
    <w:rsid w:val="00CE7A06"/>
    <w:rsid w:val="00CF0D7C"/>
    <w:rsid w:val="00CF184F"/>
    <w:rsid w:val="00CF1CB6"/>
    <w:rsid w:val="00CF2001"/>
    <w:rsid w:val="00CF235E"/>
    <w:rsid w:val="00CF2E5E"/>
    <w:rsid w:val="00CF3388"/>
    <w:rsid w:val="00CF3571"/>
    <w:rsid w:val="00CF455D"/>
    <w:rsid w:val="00CF5125"/>
    <w:rsid w:val="00CF69FD"/>
    <w:rsid w:val="00CF729F"/>
    <w:rsid w:val="00D01345"/>
    <w:rsid w:val="00D0249B"/>
    <w:rsid w:val="00D03C94"/>
    <w:rsid w:val="00D04213"/>
    <w:rsid w:val="00D047BF"/>
    <w:rsid w:val="00D04DE6"/>
    <w:rsid w:val="00D05BB5"/>
    <w:rsid w:val="00D05C95"/>
    <w:rsid w:val="00D05E59"/>
    <w:rsid w:val="00D060E9"/>
    <w:rsid w:val="00D076C2"/>
    <w:rsid w:val="00D07ED7"/>
    <w:rsid w:val="00D101DE"/>
    <w:rsid w:val="00D10D53"/>
    <w:rsid w:val="00D10DA0"/>
    <w:rsid w:val="00D1179F"/>
    <w:rsid w:val="00D11A10"/>
    <w:rsid w:val="00D11E5D"/>
    <w:rsid w:val="00D1219E"/>
    <w:rsid w:val="00D123CA"/>
    <w:rsid w:val="00D12621"/>
    <w:rsid w:val="00D13C70"/>
    <w:rsid w:val="00D142C4"/>
    <w:rsid w:val="00D142F4"/>
    <w:rsid w:val="00D14AA9"/>
    <w:rsid w:val="00D14F9B"/>
    <w:rsid w:val="00D150B3"/>
    <w:rsid w:val="00D15188"/>
    <w:rsid w:val="00D170EC"/>
    <w:rsid w:val="00D2023D"/>
    <w:rsid w:val="00D2024C"/>
    <w:rsid w:val="00D202C0"/>
    <w:rsid w:val="00D207EE"/>
    <w:rsid w:val="00D20CB8"/>
    <w:rsid w:val="00D212FF"/>
    <w:rsid w:val="00D21E7C"/>
    <w:rsid w:val="00D22782"/>
    <w:rsid w:val="00D22A05"/>
    <w:rsid w:val="00D2323A"/>
    <w:rsid w:val="00D23863"/>
    <w:rsid w:val="00D23CC8"/>
    <w:rsid w:val="00D243AC"/>
    <w:rsid w:val="00D24E09"/>
    <w:rsid w:val="00D25853"/>
    <w:rsid w:val="00D25DE4"/>
    <w:rsid w:val="00D26B11"/>
    <w:rsid w:val="00D27976"/>
    <w:rsid w:val="00D30458"/>
    <w:rsid w:val="00D34616"/>
    <w:rsid w:val="00D34763"/>
    <w:rsid w:val="00D352B4"/>
    <w:rsid w:val="00D35484"/>
    <w:rsid w:val="00D35609"/>
    <w:rsid w:val="00D3563C"/>
    <w:rsid w:val="00D356F7"/>
    <w:rsid w:val="00D36036"/>
    <w:rsid w:val="00D36037"/>
    <w:rsid w:val="00D36092"/>
    <w:rsid w:val="00D3777E"/>
    <w:rsid w:val="00D40E1A"/>
    <w:rsid w:val="00D40FCC"/>
    <w:rsid w:val="00D41124"/>
    <w:rsid w:val="00D41462"/>
    <w:rsid w:val="00D42C2A"/>
    <w:rsid w:val="00D43373"/>
    <w:rsid w:val="00D4406F"/>
    <w:rsid w:val="00D447E9"/>
    <w:rsid w:val="00D45143"/>
    <w:rsid w:val="00D45B1C"/>
    <w:rsid w:val="00D465FF"/>
    <w:rsid w:val="00D46888"/>
    <w:rsid w:val="00D46DBE"/>
    <w:rsid w:val="00D47394"/>
    <w:rsid w:val="00D47919"/>
    <w:rsid w:val="00D47B24"/>
    <w:rsid w:val="00D50343"/>
    <w:rsid w:val="00D50BF8"/>
    <w:rsid w:val="00D50DBB"/>
    <w:rsid w:val="00D50E70"/>
    <w:rsid w:val="00D5165B"/>
    <w:rsid w:val="00D52E08"/>
    <w:rsid w:val="00D52ECA"/>
    <w:rsid w:val="00D53696"/>
    <w:rsid w:val="00D54A75"/>
    <w:rsid w:val="00D5514B"/>
    <w:rsid w:val="00D553B3"/>
    <w:rsid w:val="00D56D0D"/>
    <w:rsid w:val="00D5703E"/>
    <w:rsid w:val="00D57689"/>
    <w:rsid w:val="00D60E0A"/>
    <w:rsid w:val="00D61084"/>
    <w:rsid w:val="00D611A1"/>
    <w:rsid w:val="00D61B95"/>
    <w:rsid w:val="00D61F75"/>
    <w:rsid w:val="00D63587"/>
    <w:rsid w:val="00D65AA5"/>
    <w:rsid w:val="00D65E7E"/>
    <w:rsid w:val="00D65E87"/>
    <w:rsid w:val="00D67780"/>
    <w:rsid w:val="00D70B8D"/>
    <w:rsid w:val="00D72CEA"/>
    <w:rsid w:val="00D72D1F"/>
    <w:rsid w:val="00D731E1"/>
    <w:rsid w:val="00D745FF"/>
    <w:rsid w:val="00D74737"/>
    <w:rsid w:val="00D747F5"/>
    <w:rsid w:val="00D757CC"/>
    <w:rsid w:val="00D75D75"/>
    <w:rsid w:val="00D75F6F"/>
    <w:rsid w:val="00D762D3"/>
    <w:rsid w:val="00D764BB"/>
    <w:rsid w:val="00D766F3"/>
    <w:rsid w:val="00D76959"/>
    <w:rsid w:val="00D76A71"/>
    <w:rsid w:val="00D77727"/>
    <w:rsid w:val="00D77BA3"/>
    <w:rsid w:val="00D77CDC"/>
    <w:rsid w:val="00D80B58"/>
    <w:rsid w:val="00D811D7"/>
    <w:rsid w:val="00D82DEF"/>
    <w:rsid w:val="00D82DFA"/>
    <w:rsid w:val="00D8313C"/>
    <w:rsid w:val="00D84003"/>
    <w:rsid w:val="00D85872"/>
    <w:rsid w:val="00D85FB6"/>
    <w:rsid w:val="00D860F6"/>
    <w:rsid w:val="00D86540"/>
    <w:rsid w:val="00D86E50"/>
    <w:rsid w:val="00D87A60"/>
    <w:rsid w:val="00D91421"/>
    <w:rsid w:val="00D91AD4"/>
    <w:rsid w:val="00D92010"/>
    <w:rsid w:val="00D926AD"/>
    <w:rsid w:val="00D92FEB"/>
    <w:rsid w:val="00D93924"/>
    <w:rsid w:val="00D94F36"/>
    <w:rsid w:val="00D95394"/>
    <w:rsid w:val="00D95C99"/>
    <w:rsid w:val="00D96558"/>
    <w:rsid w:val="00D970AB"/>
    <w:rsid w:val="00D976BA"/>
    <w:rsid w:val="00D97AA1"/>
    <w:rsid w:val="00DA019A"/>
    <w:rsid w:val="00DA13B9"/>
    <w:rsid w:val="00DA19D2"/>
    <w:rsid w:val="00DA234F"/>
    <w:rsid w:val="00DA2DBD"/>
    <w:rsid w:val="00DA32F8"/>
    <w:rsid w:val="00DA38F6"/>
    <w:rsid w:val="00DA45EC"/>
    <w:rsid w:val="00DA48C9"/>
    <w:rsid w:val="00DA4ADA"/>
    <w:rsid w:val="00DA4CA9"/>
    <w:rsid w:val="00DA61B8"/>
    <w:rsid w:val="00DA61FD"/>
    <w:rsid w:val="00DA6C0C"/>
    <w:rsid w:val="00DA6F7C"/>
    <w:rsid w:val="00DA70DA"/>
    <w:rsid w:val="00DA7470"/>
    <w:rsid w:val="00DB0336"/>
    <w:rsid w:val="00DB0944"/>
    <w:rsid w:val="00DB1560"/>
    <w:rsid w:val="00DB1AC2"/>
    <w:rsid w:val="00DB2AE7"/>
    <w:rsid w:val="00DB39D6"/>
    <w:rsid w:val="00DB49AE"/>
    <w:rsid w:val="00DB541E"/>
    <w:rsid w:val="00DB56A5"/>
    <w:rsid w:val="00DC0DC1"/>
    <w:rsid w:val="00DC1F67"/>
    <w:rsid w:val="00DC2381"/>
    <w:rsid w:val="00DC270C"/>
    <w:rsid w:val="00DC2C1B"/>
    <w:rsid w:val="00DC3467"/>
    <w:rsid w:val="00DC4DB1"/>
    <w:rsid w:val="00DC6B6E"/>
    <w:rsid w:val="00DC79E0"/>
    <w:rsid w:val="00DD10FC"/>
    <w:rsid w:val="00DD175E"/>
    <w:rsid w:val="00DD1A2F"/>
    <w:rsid w:val="00DD1B80"/>
    <w:rsid w:val="00DD2F14"/>
    <w:rsid w:val="00DD39BE"/>
    <w:rsid w:val="00DD4847"/>
    <w:rsid w:val="00DD532B"/>
    <w:rsid w:val="00DD5B1A"/>
    <w:rsid w:val="00DD6AC2"/>
    <w:rsid w:val="00DD74FF"/>
    <w:rsid w:val="00DE1061"/>
    <w:rsid w:val="00DE161A"/>
    <w:rsid w:val="00DE1A4D"/>
    <w:rsid w:val="00DE2A35"/>
    <w:rsid w:val="00DE3045"/>
    <w:rsid w:val="00DE3C33"/>
    <w:rsid w:val="00DE41B5"/>
    <w:rsid w:val="00DE42A0"/>
    <w:rsid w:val="00DE4EB0"/>
    <w:rsid w:val="00DE5B07"/>
    <w:rsid w:val="00DE5BCC"/>
    <w:rsid w:val="00DE6DA1"/>
    <w:rsid w:val="00DE739F"/>
    <w:rsid w:val="00DE7A00"/>
    <w:rsid w:val="00DE7AEB"/>
    <w:rsid w:val="00DF07A7"/>
    <w:rsid w:val="00DF09E3"/>
    <w:rsid w:val="00DF30A2"/>
    <w:rsid w:val="00DF31C4"/>
    <w:rsid w:val="00DF3BA8"/>
    <w:rsid w:val="00DF40E8"/>
    <w:rsid w:val="00DF4837"/>
    <w:rsid w:val="00DF4B61"/>
    <w:rsid w:val="00DF4EB3"/>
    <w:rsid w:val="00DF5720"/>
    <w:rsid w:val="00DF59E4"/>
    <w:rsid w:val="00DF6766"/>
    <w:rsid w:val="00DF6E46"/>
    <w:rsid w:val="00E01A9F"/>
    <w:rsid w:val="00E02568"/>
    <w:rsid w:val="00E02DFC"/>
    <w:rsid w:val="00E031A5"/>
    <w:rsid w:val="00E04430"/>
    <w:rsid w:val="00E073D4"/>
    <w:rsid w:val="00E079AF"/>
    <w:rsid w:val="00E07D79"/>
    <w:rsid w:val="00E11595"/>
    <w:rsid w:val="00E136B6"/>
    <w:rsid w:val="00E13A9C"/>
    <w:rsid w:val="00E13CDC"/>
    <w:rsid w:val="00E147F4"/>
    <w:rsid w:val="00E15560"/>
    <w:rsid w:val="00E1615B"/>
    <w:rsid w:val="00E16CF4"/>
    <w:rsid w:val="00E16E1B"/>
    <w:rsid w:val="00E16E84"/>
    <w:rsid w:val="00E17A14"/>
    <w:rsid w:val="00E200B1"/>
    <w:rsid w:val="00E21436"/>
    <w:rsid w:val="00E216A0"/>
    <w:rsid w:val="00E21EC8"/>
    <w:rsid w:val="00E229C5"/>
    <w:rsid w:val="00E23617"/>
    <w:rsid w:val="00E239E4"/>
    <w:rsid w:val="00E259AA"/>
    <w:rsid w:val="00E25EDC"/>
    <w:rsid w:val="00E26069"/>
    <w:rsid w:val="00E262F2"/>
    <w:rsid w:val="00E26D6B"/>
    <w:rsid w:val="00E2700C"/>
    <w:rsid w:val="00E27DB5"/>
    <w:rsid w:val="00E3089D"/>
    <w:rsid w:val="00E313B5"/>
    <w:rsid w:val="00E323D2"/>
    <w:rsid w:val="00E32435"/>
    <w:rsid w:val="00E32F3A"/>
    <w:rsid w:val="00E331CF"/>
    <w:rsid w:val="00E3446A"/>
    <w:rsid w:val="00E35A67"/>
    <w:rsid w:val="00E36711"/>
    <w:rsid w:val="00E37806"/>
    <w:rsid w:val="00E40202"/>
    <w:rsid w:val="00E40B33"/>
    <w:rsid w:val="00E41484"/>
    <w:rsid w:val="00E415DA"/>
    <w:rsid w:val="00E42BE9"/>
    <w:rsid w:val="00E42F14"/>
    <w:rsid w:val="00E43671"/>
    <w:rsid w:val="00E43FA3"/>
    <w:rsid w:val="00E442B5"/>
    <w:rsid w:val="00E44FB2"/>
    <w:rsid w:val="00E45246"/>
    <w:rsid w:val="00E45B46"/>
    <w:rsid w:val="00E46DAE"/>
    <w:rsid w:val="00E47E7C"/>
    <w:rsid w:val="00E47F3D"/>
    <w:rsid w:val="00E50341"/>
    <w:rsid w:val="00E52361"/>
    <w:rsid w:val="00E53013"/>
    <w:rsid w:val="00E538F7"/>
    <w:rsid w:val="00E53E3B"/>
    <w:rsid w:val="00E54440"/>
    <w:rsid w:val="00E55AC2"/>
    <w:rsid w:val="00E5633D"/>
    <w:rsid w:val="00E567D7"/>
    <w:rsid w:val="00E56F47"/>
    <w:rsid w:val="00E57B63"/>
    <w:rsid w:val="00E60736"/>
    <w:rsid w:val="00E61B83"/>
    <w:rsid w:val="00E62658"/>
    <w:rsid w:val="00E62735"/>
    <w:rsid w:val="00E62ED4"/>
    <w:rsid w:val="00E62FD7"/>
    <w:rsid w:val="00E6345A"/>
    <w:rsid w:val="00E635F6"/>
    <w:rsid w:val="00E63872"/>
    <w:rsid w:val="00E65053"/>
    <w:rsid w:val="00E656A8"/>
    <w:rsid w:val="00E65759"/>
    <w:rsid w:val="00E65EA8"/>
    <w:rsid w:val="00E67497"/>
    <w:rsid w:val="00E72335"/>
    <w:rsid w:val="00E73945"/>
    <w:rsid w:val="00E74B20"/>
    <w:rsid w:val="00E7638D"/>
    <w:rsid w:val="00E77395"/>
    <w:rsid w:val="00E779F0"/>
    <w:rsid w:val="00E810FD"/>
    <w:rsid w:val="00E81CC3"/>
    <w:rsid w:val="00E81F02"/>
    <w:rsid w:val="00E820E1"/>
    <w:rsid w:val="00E820F6"/>
    <w:rsid w:val="00E821D9"/>
    <w:rsid w:val="00E83694"/>
    <w:rsid w:val="00E8473B"/>
    <w:rsid w:val="00E85079"/>
    <w:rsid w:val="00E85833"/>
    <w:rsid w:val="00E85D42"/>
    <w:rsid w:val="00E8769A"/>
    <w:rsid w:val="00E87A55"/>
    <w:rsid w:val="00E87F4C"/>
    <w:rsid w:val="00E9002F"/>
    <w:rsid w:val="00E90230"/>
    <w:rsid w:val="00E90E3D"/>
    <w:rsid w:val="00E92AA1"/>
    <w:rsid w:val="00E93FA5"/>
    <w:rsid w:val="00E94F48"/>
    <w:rsid w:val="00E963D8"/>
    <w:rsid w:val="00E970B9"/>
    <w:rsid w:val="00E975BB"/>
    <w:rsid w:val="00E97A34"/>
    <w:rsid w:val="00EA00BD"/>
    <w:rsid w:val="00EA1191"/>
    <w:rsid w:val="00EA15AA"/>
    <w:rsid w:val="00EA18E0"/>
    <w:rsid w:val="00EA4610"/>
    <w:rsid w:val="00EA4A9E"/>
    <w:rsid w:val="00EA4E31"/>
    <w:rsid w:val="00EA5304"/>
    <w:rsid w:val="00EA5701"/>
    <w:rsid w:val="00EA6558"/>
    <w:rsid w:val="00EA6786"/>
    <w:rsid w:val="00EA7B3C"/>
    <w:rsid w:val="00EA7C1D"/>
    <w:rsid w:val="00EB0A60"/>
    <w:rsid w:val="00EB1518"/>
    <w:rsid w:val="00EB1744"/>
    <w:rsid w:val="00EB1DCF"/>
    <w:rsid w:val="00EB22D8"/>
    <w:rsid w:val="00EB2315"/>
    <w:rsid w:val="00EB282D"/>
    <w:rsid w:val="00EB375B"/>
    <w:rsid w:val="00EB4105"/>
    <w:rsid w:val="00EB5569"/>
    <w:rsid w:val="00EB5BBF"/>
    <w:rsid w:val="00EB601C"/>
    <w:rsid w:val="00EB67B7"/>
    <w:rsid w:val="00EC02BB"/>
    <w:rsid w:val="00EC0307"/>
    <w:rsid w:val="00EC1635"/>
    <w:rsid w:val="00EC178D"/>
    <w:rsid w:val="00EC1D60"/>
    <w:rsid w:val="00EC3999"/>
    <w:rsid w:val="00EC3D51"/>
    <w:rsid w:val="00EC42C1"/>
    <w:rsid w:val="00EC4E59"/>
    <w:rsid w:val="00EC5322"/>
    <w:rsid w:val="00EC5978"/>
    <w:rsid w:val="00EC5CAE"/>
    <w:rsid w:val="00EC6505"/>
    <w:rsid w:val="00EC6E82"/>
    <w:rsid w:val="00EC70C9"/>
    <w:rsid w:val="00EC786D"/>
    <w:rsid w:val="00EC788B"/>
    <w:rsid w:val="00EC7BF4"/>
    <w:rsid w:val="00ED0CF0"/>
    <w:rsid w:val="00ED32A0"/>
    <w:rsid w:val="00ED3ED9"/>
    <w:rsid w:val="00ED484B"/>
    <w:rsid w:val="00ED6BCB"/>
    <w:rsid w:val="00EE06D0"/>
    <w:rsid w:val="00EE0A90"/>
    <w:rsid w:val="00EE0F0F"/>
    <w:rsid w:val="00EE1B45"/>
    <w:rsid w:val="00EE1EE0"/>
    <w:rsid w:val="00EE25BE"/>
    <w:rsid w:val="00EE3522"/>
    <w:rsid w:val="00EE383D"/>
    <w:rsid w:val="00EE4606"/>
    <w:rsid w:val="00EE4D70"/>
    <w:rsid w:val="00EE5CCE"/>
    <w:rsid w:val="00EE6233"/>
    <w:rsid w:val="00EE65F8"/>
    <w:rsid w:val="00EE6C93"/>
    <w:rsid w:val="00EE7D31"/>
    <w:rsid w:val="00EF0FEE"/>
    <w:rsid w:val="00EF24EA"/>
    <w:rsid w:val="00EF4163"/>
    <w:rsid w:val="00EF5A8A"/>
    <w:rsid w:val="00EF621D"/>
    <w:rsid w:val="00EF72AF"/>
    <w:rsid w:val="00EF7568"/>
    <w:rsid w:val="00EF78AA"/>
    <w:rsid w:val="00EF8C20"/>
    <w:rsid w:val="00F00064"/>
    <w:rsid w:val="00F00F0B"/>
    <w:rsid w:val="00F019CF"/>
    <w:rsid w:val="00F01E4C"/>
    <w:rsid w:val="00F01E84"/>
    <w:rsid w:val="00F02661"/>
    <w:rsid w:val="00F03967"/>
    <w:rsid w:val="00F04589"/>
    <w:rsid w:val="00F04627"/>
    <w:rsid w:val="00F04CCF"/>
    <w:rsid w:val="00F05D46"/>
    <w:rsid w:val="00F06AF5"/>
    <w:rsid w:val="00F06D19"/>
    <w:rsid w:val="00F078CF"/>
    <w:rsid w:val="00F07C06"/>
    <w:rsid w:val="00F10289"/>
    <w:rsid w:val="00F10567"/>
    <w:rsid w:val="00F10BEA"/>
    <w:rsid w:val="00F1111E"/>
    <w:rsid w:val="00F13E9E"/>
    <w:rsid w:val="00F1452E"/>
    <w:rsid w:val="00F14727"/>
    <w:rsid w:val="00F14A9D"/>
    <w:rsid w:val="00F150ED"/>
    <w:rsid w:val="00F15235"/>
    <w:rsid w:val="00F1549D"/>
    <w:rsid w:val="00F15C01"/>
    <w:rsid w:val="00F2008C"/>
    <w:rsid w:val="00F21717"/>
    <w:rsid w:val="00F21A52"/>
    <w:rsid w:val="00F21E24"/>
    <w:rsid w:val="00F22D77"/>
    <w:rsid w:val="00F235D1"/>
    <w:rsid w:val="00F254E7"/>
    <w:rsid w:val="00F26F57"/>
    <w:rsid w:val="00F27666"/>
    <w:rsid w:val="00F30115"/>
    <w:rsid w:val="00F307A5"/>
    <w:rsid w:val="00F31500"/>
    <w:rsid w:val="00F3189E"/>
    <w:rsid w:val="00F32EA1"/>
    <w:rsid w:val="00F33105"/>
    <w:rsid w:val="00F3498E"/>
    <w:rsid w:val="00F34A54"/>
    <w:rsid w:val="00F35268"/>
    <w:rsid w:val="00F352C4"/>
    <w:rsid w:val="00F3557C"/>
    <w:rsid w:val="00F366F6"/>
    <w:rsid w:val="00F367E7"/>
    <w:rsid w:val="00F36C62"/>
    <w:rsid w:val="00F36D4A"/>
    <w:rsid w:val="00F376CC"/>
    <w:rsid w:val="00F37B32"/>
    <w:rsid w:val="00F37DE1"/>
    <w:rsid w:val="00F40776"/>
    <w:rsid w:val="00F40DE0"/>
    <w:rsid w:val="00F4102E"/>
    <w:rsid w:val="00F415BF"/>
    <w:rsid w:val="00F4200A"/>
    <w:rsid w:val="00F4298B"/>
    <w:rsid w:val="00F43BF2"/>
    <w:rsid w:val="00F443AF"/>
    <w:rsid w:val="00F449EA"/>
    <w:rsid w:val="00F45B6A"/>
    <w:rsid w:val="00F468EF"/>
    <w:rsid w:val="00F46DB3"/>
    <w:rsid w:val="00F5010A"/>
    <w:rsid w:val="00F523ED"/>
    <w:rsid w:val="00F532F2"/>
    <w:rsid w:val="00F5332F"/>
    <w:rsid w:val="00F54AFD"/>
    <w:rsid w:val="00F55252"/>
    <w:rsid w:val="00F5547C"/>
    <w:rsid w:val="00F55892"/>
    <w:rsid w:val="00F55CBE"/>
    <w:rsid w:val="00F56101"/>
    <w:rsid w:val="00F57523"/>
    <w:rsid w:val="00F61C9C"/>
    <w:rsid w:val="00F61F44"/>
    <w:rsid w:val="00F62E7D"/>
    <w:rsid w:val="00F62EFA"/>
    <w:rsid w:val="00F6349D"/>
    <w:rsid w:val="00F637F2"/>
    <w:rsid w:val="00F64015"/>
    <w:rsid w:val="00F641BF"/>
    <w:rsid w:val="00F6523D"/>
    <w:rsid w:val="00F6547B"/>
    <w:rsid w:val="00F6620C"/>
    <w:rsid w:val="00F66A55"/>
    <w:rsid w:val="00F66BDC"/>
    <w:rsid w:val="00F66BDE"/>
    <w:rsid w:val="00F675F2"/>
    <w:rsid w:val="00F67EB8"/>
    <w:rsid w:val="00F70B8A"/>
    <w:rsid w:val="00F70C10"/>
    <w:rsid w:val="00F70E32"/>
    <w:rsid w:val="00F716F6"/>
    <w:rsid w:val="00F71793"/>
    <w:rsid w:val="00F72849"/>
    <w:rsid w:val="00F733C5"/>
    <w:rsid w:val="00F73D21"/>
    <w:rsid w:val="00F7492E"/>
    <w:rsid w:val="00F74B9A"/>
    <w:rsid w:val="00F75426"/>
    <w:rsid w:val="00F754E4"/>
    <w:rsid w:val="00F7603D"/>
    <w:rsid w:val="00F81223"/>
    <w:rsid w:val="00F81C82"/>
    <w:rsid w:val="00F81DC5"/>
    <w:rsid w:val="00F83BD7"/>
    <w:rsid w:val="00F83C7A"/>
    <w:rsid w:val="00F84B02"/>
    <w:rsid w:val="00F85AD8"/>
    <w:rsid w:val="00F9116B"/>
    <w:rsid w:val="00F9234D"/>
    <w:rsid w:val="00F928D0"/>
    <w:rsid w:val="00F92CC1"/>
    <w:rsid w:val="00F9356A"/>
    <w:rsid w:val="00F946C3"/>
    <w:rsid w:val="00F94AAB"/>
    <w:rsid w:val="00F95020"/>
    <w:rsid w:val="00F95E5B"/>
    <w:rsid w:val="00F96EC6"/>
    <w:rsid w:val="00F97DC8"/>
    <w:rsid w:val="00F97DD8"/>
    <w:rsid w:val="00F97F4E"/>
    <w:rsid w:val="00FA060C"/>
    <w:rsid w:val="00FA2486"/>
    <w:rsid w:val="00FA24A9"/>
    <w:rsid w:val="00FA29B3"/>
    <w:rsid w:val="00FA3403"/>
    <w:rsid w:val="00FA3F08"/>
    <w:rsid w:val="00FA415B"/>
    <w:rsid w:val="00FA5DA7"/>
    <w:rsid w:val="00FA6A15"/>
    <w:rsid w:val="00FA7A1D"/>
    <w:rsid w:val="00FB03D4"/>
    <w:rsid w:val="00FB07C7"/>
    <w:rsid w:val="00FB088C"/>
    <w:rsid w:val="00FB0A2C"/>
    <w:rsid w:val="00FB1922"/>
    <w:rsid w:val="00FB2917"/>
    <w:rsid w:val="00FB2AEB"/>
    <w:rsid w:val="00FB2E3E"/>
    <w:rsid w:val="00FB3CCE"/>
    <w:rsid w:val="00FB3F17"/>
    <w:rsid w:val="00FB4312"/>
    <w:rsid w:val="00FB4C51"/>
    <w:rsid w:val="00FB4E59"/>
    <w:rsid w:val="00FB50A1"/>
    <w:rsid w:val="00FB52E5"/>
    <w:rsid w:val="00FB636A"/>
    <w:rsid w:val="00FB785B"/>
    <w:rsid w:val="00FC1E91"/>
    <w:rsid w:val="00FC2C22"/>
    <w:rsid w:val="00FC2D24"/>
    <w:rsid w:val="00FC416F"/>
    <w:rsid w:val="00FC42A1"/>
    <w:rsid w:val="00FC42E3"/>
    <w:rsid w:val="00FC5059"/>
    <w:rsid w:val="00FC54B8"/>
    <w:rsid w:val="00FC6060"/>
    <w:rsid w:val="00FC689F"/>
    <w:rsid w:val="00FC7A6D"/>
    <w:rsid w:val="00FD06A2"/>
    <w:rsid w:val="00FD224C"/>
    <w:rsid w:val="00FD22FE"/>
    <w:rsid w:val="00FD2D0B"/>
    <w:rsid w:val="00FD32CD"/>
    <w:rsid w:val="00FD375F"/>
    <w:rsid w:val="00FD66B9"/>
    <w:rsid w:val="00FD6B3F"/>
    <w:rsid w:val="00FE0589"/>
    <w:rsid w:val="00FE1479"/>
    <w:rsid w:val="00FE2387"/>
    <w:rsid w:val="00FE28CE"/>
    <w:rsid w:val="00FE3282"/>
    <w:rsid w:val="00FE36D5"/>
    <w:rsid w:val="00FE4476"/>
    <w:rsid w:val="00FE4555"/>
    <w:rsid w:val="00FE49B6"/>
    <w:rsid w:val="00FE4A68"/>
    <w:rsid w:val="00FE4AC6"/>
    <w:rsid w:val="00FE4B50"/>
    <w:rsid w:val="00FE4F18"/>
    <w:rsid w:val="00FE536E"/>
    <w:rsid w:val="00FE5382"/>
    <w:rsid w:val="00FF0500"/>
    <w:rsid w:val="00FF0A77"/>
    <w:rsid w:val="00FF1828"/>
    <w:rsid w:val="00FF1E55"/>
    <w:rsid w:val="00FF3299"/>
    <w:rsid w:val="00FF476B"/>
    <w:rsid w:val="00FF4BF7"/>
    <w:rsid w:val="00FF5355"/>
    <w:rsid w:val="00FF55FD"/>
    <w:rsid w:val="00FF575B"/>
    <w:rsid w:val="00FF59B3"/>
    <w:rsid w:val="00FF5C69"/>
    <w:rsid w:val="00FF61DF"/>
    <w:rsid w:val="00FF694F"/>
    <w:rsid w:val="00FF6BDA"/>
    <w:rsid w:val="01008230"/>
    <w:rsid w:val="011062FA"/>
    <w:rsid w:val="0132BD6D"/>
    <w:rsid w:val="013BCD46"/>
    <w:rsid w:val="017E1C5E"/>
    <w:rsid w:val="01814224"/>
    <w:rsid w:val="019CB78C"/>
    <w:rsid w:val="01A5B4B8"/>
    <w:rsid w:val="01AF0B28"/>
    <w:rsid w:val="01BF87FE"/>
    <w:rsid w:val="01DF3E1F"/>
    <w:rsid w:val="01E0CACC"/>
    <w:rsid w:val="01FAA48D"/>
    <w:rsid w:val="01FDF6BC"/>
    <w:rsid w:val="01FF4BDE"/>
    <w:rsid w:val="021DE3E5"/>
    <w:rsid w:val="022BDD46"/>
    <w:rsid w:val="023F582A"/>
    <w:rsid w:val="0242CA5D"/>
    <w:rsid w:val="024451E6"/>
    <w:rsid w:val="02511F4A"/>
    <w:rsid w:val="0267510F"/>
    <w:rsid w:val="026A7BA3"/>
    <w:rsid w:val="026B4DC4"/>
    <w:rsid w:val="026ECFD3"/>
    <w:rsid w:val="029845ED"/>
    <w:rsid w:val="0299D9E1"/>
    <w:rsid w:val="029A2D72"/>
    <w:rsid w:val="02A1A833"/>
    <w:rsid w:val="02AA629E"/>
    <w:rsid w:val="02B4BAF2"/>
    <w:rsid w:val="02B7137A"/>
    <w:rsid w:val="02BBDF75"/>
    <w:rsid w:val="02D0375E"/>
    <w:rsid w:val="02D21901"/>
    <w:rsid w:val="02D41306"/>
    <w:rsid w:val="02F21FE6"/>
    <w:rsid w:val="02F7A603"/>
    <w:rsid w:val="02FABFBA"/>
    <w:rsid w:val="02FE8A5B"/>
    <w:rsid w:val="03128B66"/>
    <w:rsid w:val="031528C4"/>
    <w:rsid w:val="0319A7F6"/>
    <w:rsid w:val="031BBC70"/>
    <w:rsid w:val="031E4A16"/>
    <w:rsid w:val="0325E767"/>
    <w:rsid w:val="033A8373"/>
    <w:rsid w:val="033B3A2A"/>
    <w:rsid w:val="0340022F"/>
    <w:rsid w:val="0344C136"/>
    <w:rsid w:val="03481B49"/>
    <w:rsid w:val="035A0ADD"/>
    <w:rsid w:val="03606619"/>
    <w:rsid w:val="0360B6CE"/>
    <w:rsid w:val="03758730"/>
    <w:rsid w:val="0377E822"/>
    <w:rsid w:val="037AD01F"/>
    <w:rsid w:val="03A3BAF9"/>
    <w:rsid w:val="03A64A50"/>
    <w:rsid w:val="03AA846B"/>
    <w:rsid w:val="03B38F51"/>
    <w:rsid w:val="03C0FFE9"/>
    <w:rsid w:val="03D3B5B6"/>
    <w:rsid w:val="03DE9239"/>
    <w:rsid w:val="03E08FDB"/>
    <w:rsid w:val="03E8F3E1"/>
    <w:rsid w:val="03EDC34F"/>
    <w:rsid w:val="040A75EE"/>
    <w:rsid w:val="040BDF7E"/>
    <w:rsid w:val="04174239"/>
    <w:rsid w:val="04296127"/>
    <w:rsid w:val="0429C80F"/>
    <w:rsid w:val="042B8090"/>
    <w:rsid w:val="04319F08"/>
    <w:rsid w:val="04331A5C"/>
    <w:rsid w:val="044CACAA"/>
    <w:rsid w:val="044F4FEE"/>
    <w:rsid w:val="0460919A"/>
    <w:rsid w:val="04687A28"/>
    <w:rsid w:val="046AA5EA"/>
    <w:rsid w:val="0472D149"/>
    <w:rsid w:val="0479CBC6"/>
    <w:rsid w:val="0488B6AD"/>
    <w:rsid w:val="048CC85D"/>
    <w:rsid w:val="04A08005"/>
    <w:rsid w:val="04A303FB"/>
    <w:rsid w:val="04AFF256"/>
    <w:rsid w:val="04B7F2C4"/>
    <w:rsid w:val="04D3FCD6"/>
    <w:rsid w:val="04EDAE21"/>
    <w:rsid w:val="04EF1F79"/>
    <w:rsid w:val="04F1B179"/>
    <w:rsid w:val="04FDFA43"/>
    <w:rsid w:val="050C00C8"/>
    <w:rsid w:val="050CB3A4"/>
    <w:rsid w:val="051D19F0"/>
    <w:rsid w:val="051E9EAC"/>
    <w:rsid w:val="052DF23E"/>
    <w:rsid w:val="052F6CC9"/>
    <w:rsid w:val="05329577"/>
    <w:rsid w:val="053369DB"/>
    <w:rsid w:val="055D506E"/>
    <w:rsid w:val="0578845D"/>
    <w:rsid w:val="057AD55A"/>
    <w:rsid w:val="058A4EB6"/>
    <w:rsid w:val="058E2ECA"/>
    <w:rsid w:val="0590AB37"/>
    <w:rsid w:val="059197AC"/>
    <w:rsid w:val="05A32005"/>
    <w:rsid w:val="05A56DCF"/>
    <w:rsid w:val="05A755D0"/>
    <w:rsid w:val="05B09A0B"/>
    <w:rsid w:val="05B389DD"/>
    <w:rsid w:val="05CFF241"/>
    <w:rsid w:val="05D51B63"/>
    <w:rsid w:val="05DBDE76"/>
    <w:rsid w:val="05E533AA"/>
    <w:rsid w:val="05E7802F"/>
    <w:rsid w:val="060C6CC9"/>
    <w:rsid w:val="06202F37"/>
    <w:rsid w:val="0621AB63"/>
    <w:rsid w:val="0630947F"/>
    <w:rsid w:val="064380D9"/>
    <w:rsid w:val="064A2527"/>
    <w:rsid w:val="065DED9C"/>
    <w:rsid w:val="065F9044"/>
    <w:rsid w:val="06632D2A"/>
    <w:rsid w:val="0675C5E8"/>
    <w:rsid w:val="067CB239"/>
    <w:rsid w:val="06951EDE"/>
    <w:rsid w:val="06B4A135"/>
    <w:rsid w:val="06BB7352"/>
    <w:rsid w:val="06BBEE9C"/>
    <w:rsid w:val="06C13BA5"/>
    <w:rsid w:val="06C29EEA"/>
    <w:rsid w:val="06E29C20"/>
    <w:rsid w:val="06E8B6D6"/>
    <w:rsid w:val="06EC0678"/>
    <w:rsid w:val="06EE4B06"/>
    <w:rsid w:val="06F2BC92"/>
    <w:rsid w:val="06F7A53F"/>
    <w:rsid w:val="06FB6162"/>
    <w:rsid w:val="06FDEF49"/>
    <w:rsid w:val="071A699C"/>
    <w:rsid w:val="072647AD"/>
    <w:rsid w:val="072938E6"/>
    <w:rsid w:val="073228C3"/>
    <w:rsid w:val="0733042C"/>
    <w:rsid w:val="0733E242"/>
    <w:rsid w:val="0744565E"/>
    <w:rsid w:val="07554ED0"/>
    <w:rsid w:val="075DEBE4"/>
    <w:rsid w:val="07830CAC"/>
    <w:rsid w:val="078A91F3"/>
    <w:rsid w:val="07A386D7"/>
    <w:rsid w:val="07A47565"/>
    <w:rsid w:val="07B3B4C4"/>
    <w:rsid w:val="07C082B5"/>
    <w:rsid w:val="07C2BC92"/>
    <w:rsid w:val="07CBECE6"/>
    <w:rsid w:val="07E82F86"/>
    <w:rsid w:val="07F6B680"/>
    <w:rsid w:val="07F880BA"/>
    <w:rsid w:val="0828B2A5"/>
    <w:rsid w:val="0830E2E9"/>
    <w:rsid w:val="083681AA"/>
    <w:rsid w:val="08412C55"/>
    <w:rsid w:val="0843E765"/>
    <w:rsid w:val="084579C6"/>
    <w:rsid w:val="08468557"/>
    <w:rsid w:val="084E2B06"/>
    <w:rsid w:val="0863CB5A"/>
    <w:rsid w:val="08658E07"/>
    <w:rsid w:val="086D1F84"/>
    <w:rsid w:val="086D40AE"/>
    <w:rsid w:val="087D9D9A"/>
    <w:rsid w:val="088737B6"/>
    <w:rsid w:val="08951DF8"/>
    <w:rsid w:val="08AB8F9B"/>
    <w:rsid w:val="08AC5C57"/>
    <w:rsid w:val="08CC604A"/>
    <w:rsid w:val="08DBA0F0"/>
    <w:rsid w:val="08F1124A"/>
    <w:rsid w:val="09021959"/>
    <w:rsid w:val="09036801"/>
    <w:rsid w:val="0906E036"/>
    <w:rsid w:val="09220AAF"/>
    <w:rsid w:val="092935DC"/>
    <w:rsid w:val="09337184"/>
    <w:rsid w:val="0944C8E6"/>
    <w:rsid w:val="095AAB4E"/>
    <w:rsid w:val="0966DD5E"/>
    <w:rsid w:val="097356FF"/>
    <w:rsid w:val="09796492"/>
    <w:rsid w:val="097D5E0F"/>
    <w:rsid w:val="0982E950"/>
    <w:rsid w:val="09858D63"/>
    <w:rsid w:val="099AD16D"/>
    <w:rsid w:val="09AB2DB4"/>
    <w:rsid w:val="09B063DF"/>
    <w:rsid w:val="09B1879B"/>
    <w:rsid w:val="09B59976"/>
    <w:rsid w:val="09BE0AFF"/>
    <w:rsid w:val="09DA40DD"/>
    <w:rsid w:val="09E6625B"/>
    <w:rsid w:val="09F7F497"/>
    <w:rsid w:val="09FE7201"/>
    <w:rsid w:val="09FF0AB0"/>
    <w:rsid w:val="0A0B10D2"/>
    <w:rsid w:val="0A0B97B5"/>
    <w:rsid w:val="0A3033A8"/>
    <w:rsid w:val="0A3E4EC1"/>
    <w:rsid w:val="0A50F5C8"/>
    <w:rsid w:val="0A53C663"/>
    <w:rsid w:val="0A558A5B"/>
    <w:rsid w:val="0A5D167F"/>
    <w:rsid w:val="0A5EB246"/>
    <w:rsid w:val="0A626731"/>
    <w:rsid w:val="0A728B5F"/>
    <w:rsid w:val="0A743227"/>
    <w:rsid w:val="0A76D52E"/>
    <w:rsid w:val="0A83676C"/>
    <w:rsid w:val="0A888103"/>
    <w:rsid w:val="0A8C5D0C"/>
    <w:rsid w:val="0A8F3AE0"/>
    <w:rsid w:val="0A9D4025"/>
    <w:rsid w:val="0AACFEB7"/>
    <w:rsid w:val="0AB4835C"/>
    <w:rsid w:val="0AB702D8"/>
    <w:rsid w:val="0AB73F43"/>
    <w:rsid w:val="0AC344CE"/>
    <w:rsid w:val="0AC4BB3E"/>
    <w:rsid w:val="0AC83ADC"/>
    <w:rsid w:val="0AD67CCC"/>
    <w:rsid w:val="0AE19137"/>
    <w:rsid w:val="0AFD2C1E"/>
    <w:rsid w:val="0B132536"/>
    <w:rsid w:val="0B137FCB"/>
    <w:rsid w:val="0B1B26FB"/>
    <w:rsid w:val="0B288BCB"/>
    <w:rsid w:val="0B340FFB"/>
    <w:rsid w:val="0B3C8333"/>
    <w:rsid w:val="0B3F6E75"/>
    <w:rsid w:val="0B502D84"/>
    <w:rsid w:val="0B5108BE"/>
    <w:rsid w:val="0B524B54"/>
    <w:rsid w:val="0B5B4E06"/>
    <w:rsid w:val="0B6748D6"/>
    <w:rsid w:val="0B6D9486"/>
    <w:rsid w:val="0B7A9DEC"/>
    <w:rsid w:val="0B855A31"/>
    <w:rsid w:val="0B9253A4"/>
    <w:rsid w:val="0B97F929"/>
    <w:rsid w:val="0B9F8B41"/>
    <w:rsid w:val="0BA57260"/>
    <w:rsid w:val="0BB3CE28"/>
    <w:rsid w:val="0BB9E44A"/>
    <w:rsid w:val="0BC26618"/>
    <w:rsid w:val="0BE90023"/>
    <w:rsid w:val="0BF32345"/>
    <w:rsid w:val="0BFA6F07"/>
    <w:rsid w:val="0C0860CA"/>
    <w:rsid w:val="0C1072E7"/>
    <w:rsid w:val="0C195E3B"/>
    <w:rsid w:val="0C1C02B1"/>
    <w:rsid w:val="0C20AF67"/>
    <w:rsid w:val="0C2771E4"/>
    <w:rsid w:val="0C2D5B3A"/>
    <w:rsid w:val="0C36279D"/>
    <w:rsid w:val="0C5877B8"/>
    <w:rsid w:val="0C6E2672"/>
    <w:rsid w:val="0C720EB2"/>
    <w:rsid w:val="0C738390"/>
    <w:rsid w:val="0C86F3B5"/>
    <w:rsid w:val="0C920242"/>
    <w:rsid w:val="0C9AA072"/>
    <w:rsid w:val="0CAF91B7"/>
    <w:rsid w:val="0CB871C0"/>
    <w:rsid w:val="0CC7543E"/>
    <w:rsid w:val="0CCA106C"/>
    <w:rsid w:val="0CDE63BC"/>
    <w:rsid w:val="0CE0CC54"/>
    <w:rsid w:val="0CE380AE"/>
    <w:rsid w:val="0CE611C2"/>
    <w:rsid w:val="0CE8AAD5"/>
    <w:rsid w:val="0CE8B4CF"/>
    <w:rsid w:val="0CFBB545"/>
    <w:rsid w:val="0CFBC3B4"/>
    <w:rsid w:val="0CFC855C"/>
    <w:rsid w:val="0CFFC645"/>
    <w:rsid w:val="0D0CA7F1"/>
    <w:rsid w:val="0D252FB2"/>
    <w:rsid w:val="0D2A72DE"/>
    <w:rsid w:val="0D2BE3B0"/>
    <w:rsid w:val="0D2E2764"/>
    <w:rsid w:val="0D3DF95D"/>
    <w:rsid w:val="0D3ECFFD"/>
    <w:rsid w:val="0D509A39"/>
    <w:rsid w:val="0D56B247"/>
    <w:rsid w:val="0D63E19B"/>
    <w:rsid w:val="0D6590D2"/>
    <w:rsid w:val="0D6635C6"/>
    <w:rsid w:val="0D742FE1"/>
    <w:rsid w:val="0D80C49E"/>
    <w:rsid w:val="0DB213F1"/>
    <w:rsid w:val="0DB8FBCF"/>
    <w:rsid w:val="0DC17D1C"/>
    <w:rsid w:val="0DDEA97A"/>
    <w:rsid w:val="0DF24CDE"/>
    <w:rsid w:val="0E0F9706"/>
    <w:rsid w:val="0E1A5151"/>
    <w:rsid w:val="0E200739"/>
    <w:rsid w:val="0E2BFE92"/>
    <w:rsid w:val="0E3E9265"/>
    <w:rsid w:val="0E4F06A4"/>
    <w:rsid w:val="0E503FA7"/>
    <w:rsid w:val="0E52EE24"/>
    <w:rsid w:val="0E61299F"/>
    <w:rsid w:val="0E6E1370"/>
    <w:rsid w:val="0E97B292"/>
    <w:rsid w:val="0E99970B"/>
    <w:rsid w:val="0E9D9B12"/>
    <w:rsid w:val="0EBB0308"/>
    <w:rsid w:val="0ECB28A1"/>
    <w:rsid w:val="0ED79064"/>
    <w:rsid w:val="0F262C46"/>
    <w:rsid w:val="0F3B56BA"/>
    <w:rsid w:val="0F3D9871"/>
    <w:rsid w:val="0F4E9990"/>
    <w:rsid w:val="0F539BBF"/>
    <w:rsid w:val="0F587EFB"/>
    <w:rsid w:val="0F65565B"/>
    <w:rsid w:val="0F65C27C"/>
    <w:rsid w:val="0F6B7857"/>
    <w:rsid w:val="0F77E669"/>
    <w:rsid w:val="0F7FFBED"/>
    <w:rsid w:val="0F909D77"/>
    <w:rsid w:val="0F93F853"/>
    <w:rsid w:val="0FA250E9"/>
    <w:rsid w:val="0FC1E84F"/>
    <w:rsid w:val="0FC6F48C"/>
    <w:rsid w:val="0FCC140F"/>
    <w:rsid w:val="0FCE9474"/>
    <w:rsid w:val="0FEA1497"/>
    <w:rsid w:val="0FEEFC58"/>
    <w:rsid w:val="0FFEF5AE"/>
    <w:rsid w:val="0FFFB7C0"/>
    <w:rsid w:val="101FF259"/>
    <w:rsid w:val="10208688"/>
    <w:rsid w:val="102DBBC0"/>
    <w:rsid w:val="1042EB4C"/>
    <w:rsid w:val="104E3D69"/>
    <w:rsid w:val="1052B6D8"/>
    <w:rsid w:val="105E2248"/>
    <w:rsid w:val="1060B4B5"/>
    <w:rsid w:val="106186D9"/>
    <w:rsid w:val="106802D7"/>
    <w:rsid w:val="106CCC6A"/>
    <w:rsid w:val="106ECAE3"/>
    <w:rsid w:val="108FED82"/>
    <w:rsid w:val="10996DF8"/>
    <w:rsid w:val="10A79E14"/>
    <w:rsid w:val="10BA0024"/>
    <w:rsid w:val="10BB0D39"/>
    <w:rsid w:val="10BBD155"/>
    <w:rsid w:val="10C1D3E0"/>
    <w:rsid w:val="10E34A3C"/>
    <w:rsid w:val="10EE7135"/>
    <w:rsid w:val="10F7DA43"/>
    <w:rsid w:val="1105535E"/>
    <w:rsid w:val="111BACA2"/>
    <w:rsid w:val="111E5573"/>
    <w:rsid w:val="11227F12"/>
    <w:rsid w:val="1131094D"/>
    <w:rsid w:val="1131DB23"/>
    <w:rsid w:val="11545956"/>
    <w:rsid w:val="11565621"/>
    <w:rsid w:val="1158BD71"/>
    <w:rsid w:val="115E6A70"/>
    <w:rsid w:val="115FC514"/>
    <w:rsid w:val="117633C3"/>
    <w:rsid w:val="117A0D50"/>
    <w:rsid w:val="118A14C1"/>
    <w:rsid w:val="119AC625"/>
    <w:rsid w:val="11A3DFA2"/>
    <w:rsid w:val="11AB3BEE"/>
    <w:rsid w:val="11B6E5DA"/>
    <w:rsid w:val="11CF52E8"/>
    <w:rsid w:val="11CF6295"/>
    <w:rsid w:val="11E08282"/>
    <w:rsid w:val="11EA9C4B"/>
    <w:rsid w:val="11ED9FFF"/>
    <w:rsid w:val="11EE343A"/>
    <w:rsid w:val="11F46181"/>
    <w:rsid w:val="11F469C3"/>
    <w:rsid w:val="11FB0CD1"/>
    <w:rsid w:val="120597B5"/>
    <w:rsid w:val="12151311"/>
    <w:rsid w:val="1222C2F0"/>
    <w:rsid w:val="12286D7A"/>
    <w:rsid w:val="122EF391"/>
    <w:rsid w:val="123576EC"/>
    <w:rsid w:val="1240C0CA"/>
    <w:rsid w:val="124F1E62"/>
    <w:rsid w:val="1253A5BF"/>
    <w:rsid w:val="1257A191"/>
    <w:rsid w:val="125AC453"/>
    <w:rsid w:val="125C8656"/>
    <w:rsid w:val="125FBD37"/>
    <w:rsid w:val="127A55D8"/>
    <w:rsid w:val="127AE5C9"/>
    <w:rsid w:val="129AB323"/>
    <w:rsid w:val="129B641B"/>
    <w:rsid w:val="12B75AF7"/>
    <w:rsid w:val="12B7DE94"/>
    <w:rsid w:val="12C1D0ED"/>
    <w:rsid w:val="12D119A8"/>
    <w:rsid w:val="12E4D7EE"/>
    <w:rsid w:val="12FD1FF3"/>
    <w:rsid w:val="130096EF"/>
    <w:rsid w:val="1308D7CE"/>
    <w:rsid w:val="131D057E"/>
    <w:rsid w:val="131E50A7"/>
    <w:rsid w:val="132B41AD"/>
    <w:rsid w:val="134F5FD5"/>
    <w:rsid w:val="1356278E"/>
    <w:rsid w:val="135C3AF2"/>
    <w:rsid w:val="1370438A"/>
    <w:rsid w:val="1389ADC1"/>
    <w:rsid w:val="138A1E67"/>
    <w:rsid w:val="138BD708"/>
    <w:rsid w:val="138D816F"/>
    <w:rsid w:val="13915B34"/>
    <w:rsid w:val="13B538DB"/>
    <w:rsid w:val="13BE2BC3"/>
    <w:rsid w:val="13C51DB0"/>
    <w:rsid w:val="13CFF92F"/>
    <w:rsid w:val="13D68F5C"/>
    <w:rsid w:val="13D7B110"/>
    <w:rsid w:val="13DB0AFF"/>
    <w:rsid w:val="13DCEC89"/>
    <w:rsid w:val="13DFDFDA"/>
    <w:rsid w:val="13EBBE2C"/>
    <w:rsid w:val="140B4E33"/>
    <w:rsid w:val="140CEDEE"/>
    <w:rsid w:val="1410A776"/>
    <w:rsid w:val="1415BB00"/>
    <w:rsid w:val="1424E80E"/>
    <w:rsid w:val="14348E34"/>
    <w:rsid w:val="14535CC1"/>
    <w:rsid w:val="14637F19"/>
    <w:rsid w:val="14674982"/>
    <w:rsid w:val="14678BA1"/>
    <w:rsid w:val="14725740"/>
    <w:rsid w:val="14783296"/>
    <w:rsid w:val="147ABD39"/>
    <w:rsid w:val="14881862"/>
    <w:rsid w:val="148E0852"/>
    <w:rsid w:val="14AB2F14"/>
    <w:rsid w:val="14B32DF3"/>
    <w:rsid w:val="14BAFE96"/>
    <w:rsid w:val="14BE75DB"/>
    <w:rsid w:val="14C1EF3C"/>
    <w:rsid w:val="14DD9EFF"/>
    <w:rsid w:val="14DF0AB6"/>
    <w:rsid w:val="14E61B6F"/>
    <w:rsid w:val="14FCD31E"/>
    <w:rsid w:val="15091531"/>
    <w:rsid w:val="15243662"/>
    <w:rsid w:val="152E386D"/>
    <w:rsid w:val="153BBC84"/>
    <w:rsid w:val="153C5CD8"/>
    <w:rsid w:val="15428CE0"/>
    <w:rsid w:val="155BBDA9"/>
    <w:rsid w:val="15632C04"/>
    <w:rsid w:val="156BB5F5"/>
    <w:rsid w:val="159FF95D"/>
    <w:rsid w:val="15A357A6"/>
    <w:rsid w:val="15AF3E97"/>
    <w:rsid w:val="15CF7C27"/>
    <w:rsid w:val="15E08170"/>
    <w:rsid w:val="15E5BB40"/>
    <w:rsid w:val="15EB6154"/>
    <w:rsid w:val="15F84BEA"/>
    <w:rsid w:val="160B95DE"/>
    <w:rsid w:val="161C9BEC"/>
    <w:rsid w:val="161CF824"/>
    <w:rsid w:val="1623A44B"/>
    <w:rsid w:val="1626B737"/>
    <w:rsid w:val="162A6AFC"/>
    <w:rsid w:val="1631A541"/>
    <w:rsid w:val="1637CF17"/>
    <w:rsid w:val="16443F38"/>
    <w:rsid w:val="1645F7AF"/>
    <w:rsid w:val="167A11F3"/>
    <w:rsid w:val="167BABC0"/>
    <w:rsid w:val="167CC984"/>
    <w:rsid w:val="16830BEF"/>
    <w:rsid w:val="168F31A0"/>
    <w:rsid w:val="1695F2E2"/>
    <w:rsid w:val="16A32032"/>
    <w:rsid w:val="16AACA6B"/>
    <w:rsid w:val="16ADAFBD"/>
    <w:rsid w:val="16BB2E35"/>
    <w:rsid w:val="16BD97A3"/>
    <w:rsid w:val="16BEA19D"/>
    <w:rsid w:val="16C0BDDE"/>
    <w:rsid w:val="16C0CED8"/>
    <w:rsid w:val="16C6A920"/>
    <w:rsid w:val="16C6CF1C"/>
    <w:rsid w:val="16DDB2E6"/>
    <w:rsid w:val="16E1E8EC"/>
    <w:rsid w:val="16E236F6"/>
    <w:rsid w:val="16E8CE11"/>
    <w:rsid w:val="1704CB76"/>
    <w:rsid w:val="17143015"/>
    <w:rsid w:val="171EA8AA"/>
    <w:rsid w:val="172558E5"/>
    <w:rsid w:val="17373EF4"/>
    <w:rsid w:val="17395E4E"/>
    <w:rsid w:val="1739AE46"/>
    <w:rsid w:val="174D9833"/>
    <w:rsid w:val="174E6818"/>
    <w:rsid w:val="175EDE01"/>
    <w:rsid w:val="176DF269"/>
    <w:rsid w:val="17709F64"/>
    <w:rsid w:val="177AFFE1"/>
    <w:rsid w:val="178A547A"/>
    <w:rsid w:val="178E5E81"/>
    <w:rsid w:val="1797F03C"/>
    <w:rsid w:val="179E39BB"/>
    <w:rsid w:val="17B49E97"/>
    <w:rsid w:val="17C4A433"/>
    <w:rsid w:val="17E4FF89"/>
    <w:rsid w:val="1801D1F5"/>
    <w:rsid w:val="18029C3C"/>
    <w:rsid w:val="18092A82"/>
    <w:rsid w:val="18128A81"/>
    <w:rsid w:val="181700CE"/>
    <w:rsid w:val="181EE6FF"/>
    <w:rsid w:val="18241095"/>
    <w:rsid w:val="182AC7C9"/>
    <w:rsid w:val="183229E6"/>
    <w:rsid w:val="18336589"/>
    <w:rsid w:val="1849F03F"/>
    <w:rsid w:val="18552296"/>
    <w:rsid w:val="18592AC5"/>
    <w:rsid w:val="185A05FE"/>
    <w:rsid w:val="18667A02"/>
    <w:rsid w:val="188D5EF9"/>
    <w:rsid w:val="1895F5D2"/>
    <w:rsid w:val="18A3FDD4"/>
    <w:rsid w:val="18C4F6B1"/>
    <w:rsid w:val="18D01D02"/>
    <w:rsid w:val="18DE9788"/>
    <w:rsid w:val="18DFB9DB"/>
    <w:rsid w:val="18E831B0"/>
    <w:rsid w:val="190C54E7"/>
    <w:rsid w:val="19109795"/>
    <w:rsid w:val="1911BD30"/>
    <w:rsid w:val="1916CB86"/>
    <w:rsid w:val="191F577A"/>
    <w:rsid w:val="1921C22F"/>
    <w:rsid w:val="193A8F02"/>
    <w:rsid w:val="195835C1"/>
    <w:rsid w:val="19687C90"/>
    <w:rsid w:val="19791FBB"/>
    <w:rsid w:val="198891C6"/>
    <w:rsid w:val="198FE2C7"/>
    <w:rsid w:val="1990DA43"/>
    <w:rsid w:val="19961007"/>
    <w:rsid w:val="1997673E"/>
    <w:rsid w:val="199D470D"/>
    <w:rsid w:val="19B71793"/>
    <w:rsid w:val="19BB8317"/>
    <w:rsid w:val="19BC457D"/>
    <w:rsid w:val="19CF2B24"/>
    <w:rsid w:val="19D7D8F1"/>
    <w:rsid w:val="1A04C5E6"/>
    <w:rsid w:val="1A1B42C2"/>
    <w:rsid w:val="1A23FC5B"/>
    <w:rsid w:val="1A269E97"/>
    <w:rsid w:val="1A2E13EC"/>
    <w:rsid w:val="1A2E4BEB"/>
    <w:rsid w:val="1A58D1CF"/>
    <w:rsid w:val="1A672DAD"/>
    <w:rsid w:val="1A7BC95A"/>
    <w:rsid w:val="1A9527F6"/>
    <w:rsid w:val="1A995C75"/>
    <w:rsid w:val="1AAA7E81"/>
    <w:rsid w:val="1AB3C3CF"/>
    <w:rsid w:val="1AC11178"/>
    <w:rsid w:val="1AC28075"/>
    <w:rsid w:val="1AC34F39"/>
    <w:rsid w:val="1AC56E3F"/>
    <w:rsid w:val="1AC93A5C"/>
    <w:rsid w:val="1AE6F397"/>
    <w:rsid w:val="1B0C56D3"/>
    <w:rsid w:val="1B1123D0"/>
    <w:rsid w:val="1B1AFD75"/>
    <w:rsid w:val="1B20EA41"/>
    <w:rsid w:val="1B2536A4"/>
    <w:rsid w:val="1B4173DC"/>
    <w:rsid w:val="1B4C583B"/>
    <w:rsid w:val="1B4EE32F"/>
    <w:rsid w:val="1B595B8B"/>
    <w:rsid w:val="1B5E57F2"/>
    <w:rsid w:val="1B671D96"/>
    <w:rsid w:val="1B86083E"/>
    <w:rsid w:val="1B89A527"/>
    <w:rsid w:val="1B8EA3BD"/>
    <w:rsid w:val="1B90FE5F"/>
    <w:rsid w:val="1B924F0B"/>
    <w:rsid w:val="1B9B34A8"/>
    <w:rsid w:val="1BB04925"/>
    <w:rsid w:val="1BDC4057"/>
    <w:rsid w:val="1BE63312"/>
    <w:rsid w:val="1BEA9CE6"/>
    <w:rsid w:val="1BEDBCAF"/>
    <w:rsid w:val="1BFBA6F9"/>
    <w:rsid w:val="1C0AB4C5"/>
    <w:rsid w:val="1C0EF63B"/>
    <w:rsid w:val="1C2F58EF"/>
    <w:rsid w:val="1C339C13"/>
    <w:rsid w:val="1C3CDCD0"/>
    <w:rsid w:val="1C453668"/>
    <w:rsid w:val="1C4FEA16"/>
    <w:rsid w:val="1C538B4A"/>
    <w:rsid w:val="1C539467"/>
    <w:rsid w:val="1C6045B4"/>
    <w:rsid w:val="1C6FDEEF"/>
    <w:rsid w:val="1C7CF897"/>
    <w:rsid w:val="1C8D7B5D"/>
    <w:rsid w:val="1C9356E3"/>
    <w:rsid w:val="1C94A676"/>
    <w:rsid w:val="1C9D86F3"/>
    <w:rsid w:val="1CA8E244"/>
    <w:rsid w:val="1CB0D0B2"/>
    <w:rsid w:val="1CC35575"/>
    <w:rsid w:val="1CC6C4D3"/>
    <w:rsid w:val="1CCB788B"/>
    <w:rsid w:val="1CD91CE4"/>
    <w:rsid w:val="1CD9D3FB"/>
    <w:rsid w:val="1CDA7220"/>
    <w:rsid w:val="1CE994C5"/>
    <w:rsid w:val="1CF6D1FA"/>
    <w:rsid w:val="1D0B54CD"/>
    <w:rsid w:val="1D0DA49D"/>
    <w:rsid w:val="1D135F54"/>
    <w:rsid w:val="1D1C735E"/>
    <w:rsid w:val="1D2A1505"/>
    <w:rsid w:val="1D3C759D"/>
    <w:rsid w:val="1D3DE8B7"/>
    <w:rsid w:val="1D525A34"/>
    <w:rsid w:val="1D565138"/>
    <w:rsid w:val="1D5817DD"/>
    <w:rsid w:val="1D6BE56B"/>
    <w:rsid w:val="1D8531AD"/>
    <w:rsid w:val="1D8E86FD"/>
    <w:rsid w:val="1D91401C"/>
    <w:rsid w:val="1D92DC52"/>
    <w:rsid w:val="1DD48341"/>
    <w:rsid w:val="1DDD80C6"/>
    <w:rsid w:val="1DEAF14D"/>
    <w:rsid w:val="1DF8BBFC"/>
    <w:rsid w:val="1E082D99"/>
    <w:rsid w:val="1E100E5B"/>
    <w:rsid w:val="1E1965CD"/>
    <w:rsid w:val="1E280D43"/>
    <w:rsid w:val="1E2F4DFC"/>
    <w:rsid w:val="1E30C2FC"/>
    <w:rsid w:val="1E386541"/>
    <w:rsid w:val="1E3AC526"/>
    <w:rsid w:val="1E57067A"/>
    <w:rsid w:val="1E60DC3A"/>
    <w:rsid w:val="1E7279C2"/>
    <w:rsid w:val="1E72C08D"/>
    <w:rsid w:val="1E7BC1DB"/>
    <w:rsid w:val="1E810837"/>
    <w:rsid w:val="1E8284B2"/>
    <w:rsid w:val="1E89268B"/>
    <w:rsid w:val="1E8977C4"/>
    <w:rsid w:val="1E98352D"/>
    <w:rsid w:val="1E9DB75C"/>
    <w:rsid w:val="1EB17D19"/>
    <w:rsid w:val="1EC0CA57"/>
    <w:rsid w:val="1EC4929D"/>
    <w:rsid w:val="1EC736EC"/>
    <w:rsid w:val="1ECD7D94"/>
    <w:rsid w:val="1ED0CAA6"/>
    <w:rsid w:val="1EDCD552"/>
    <w:rsid w:val="1EE0ECFB"/>
    <w:rsid w:val="1EE13D38"/>
    <w:rsid w:val="1EF6F664"/>
    <w:rsid w:val="1EF815E7"/>
    <w:rsid w:val="1EFCE1CD"/>
    <w:rsid w:val="1F020E7F"/>
    <w:rsid w:val="1F02748E"/>
    <w:rsid w:val="1F055473"/>
    <w:rsid w:val="1F0E2B50"/>
    <w:rsid w:val="1F103273"/>
    <w:rsid w:val="1F10CC75"/>
    <w:rsid w:val="1F15BEB1"/>
    <w:rsid w:val="1F2A6F05"/>
    <w:rsid w:val="1F2EC282"/>
    <w:rsid w:val="1F3F0C7A"/>
    <w:rsid w:val="1F5D810F"/>
    <w:rsid w:val="1F5EF3BC"/>
    <w:rsid w:val="1F738444"/>
    <w:rsid w:val="1F7C02EF"/>
    <w:rsid w:val="1F80C4F8"/>
    <w:rsid w:val="1F8B96A5"/>
    <w:rsid w:val="1FA4F11E"/>
    <w:rsid w:val="1FA79649"/>
    <w:rsid w:val="1FB6A08F"/>
    <w:rsid w:val="1FBDCF46"/>
    <w:rsid w:val="1FC17A55"/>
    <w:rsid w:val="1FE07CAB"/>
    <w:rsid w:val="1FF4A290"/>
    <w:rsid w:val="1FF6B536"/>
    <w:rsid w:val="1FF8B70F"/>
    <w:rsid w:val="1FFA6BCB"/>
    <w:rsid w:val="20041578"/>
    <w:rsid w:val="20064F69"/>
    <w:rsid w:val="200BB0E3"/>
    <w:rsid w:val="201A13C8"/>
    <w:rsid w:val="201F1A20"/>
    <w:rsid w:val="2022EF18"/>
    <w:rsid w:val="2026E5BB"/>
    <w:rsid w:val="20287D72"/>
    <w:rsid w:val="20399C72"/>
    <w:rsid w:val="2053352D"/>
    <w:rsid w:val="206CE149"/>
    <w:rsid w:val="2076ADB5"/>
    <w:rsid w:val="208119E0"/>
    <w:rsid w:val="20895C98"/>
    <w:rsid w:val="2097BBB5"/>
    <w:rsid w:val="20A4048E"/>
    <w:rsid w:val="20B7824A"/>
    <w:rsid w:val="20B8FE9C"/>
    <w:rsid w:val="20C38DE5"/>
    <w:rsid w:val="20FA0F93"/>
    <w:rsid w:val="21068482"/>
    <w:rsid w:val="21110A2A"/>
    <w:rsid w:val="21155054"/>
    <w:rsid w:val="212E2682"/>
    <w:rsid w:val="21348B40"/>
    <w:rsid w:val="213F87D6"/>
    <w:rsid w:val="214B5519"/>
    <w:rsid w:val="2162F14F"/>
    <w:rsid w:val="2164AE07"/>
    <w:rsid w:val="2172B01F"/>
    <w:rsid w:val="21741389"/>
    <w:rsid w:val="218B4A3D"/>
    <w:rsid w:val="21917625"/>
    <w:rsid w:val="219187EE"/>
    <w:rsid w:val="21932C26"/>
    <w:rsid w:val="219C4ADD"/>
    <w:rsid w:val="21A2DAB7"/>
    <w:rsid w:val="21AA1500"/>
    <w:rsid w:val="21B84DC3"/>
    <w:rsid w:val="21C342A0"/>
    <w:rsid w:val="21C8056E"/>
    <w:rsid w:val="21CB9FEB"/>
    <w:rsid w:val="21D36B2D"/>
    <w:rsid w:val="21DEE9DB"/>
    <w:rsid w:val="21E344A2"/>
    <w:rsid w:val="21F5700A"/>
    <w:rsid w:val="21FECF7B"/>
    <w:rsid w:val="2205BAEF"/>
    <w:rsid w:val="220855C0"/>
    <w:rsid w:val="220A9420"/>
    <w:rsid w:val="2213E8EB"/>
    <w:rsid w:val="2215A51A"/>
    <w:rsid w:val="22164FE7"/>
    <w:rsid w:val="22278269"/>
    <w:rsid w:val="2228F021"/>
    <w:rsid w:val="22343742"/>
    <w:rsid w:val="2252EBCB"/>
    <w:rsid w:val="225A84E8"/>
    <w:rsid w:val="22696768"/>
    <w:rsid w:val="228A2C65"/>
    <w:rsid w:val="2290AA85"/>
    <w:rsid w:val="22976FC1"/>
    <w:rsid w:val="229FD9B1"/>
    <w:rsid w:val="22AC9E5A"/>
    <w:rsid w:val="22B54738"/>
    <w:rsid w:val="22C140BE"/>
    <w:rsid w:val="22C310CD"/>
    <w:rsid w:val="22CA54F5"/>
    <w:rsid w:val="22E0E071"/>
    <w:rsid w:val="22E39AA8"/>
    <w:rsid w:val="22E87140"/>
    <w:rsid w:val="22E947C0"/>
    <w:rsid w:val="22F49D42"/>
    <w:rsid w:val="22F8F360"/>
    <w:rsid w:val="22FA1ACA"/>
    <w:rsid w:val="22FC4C7D"/>
    <w:rsid w:val="22FF89E2"/>
    <w:rsid w:val="230612FB"/>
    <w:rsid w:val="230EEC26"/>
    <w:rsid w:val="2322917E"/>
    <w:rsid w:val="2344C556"/>
    <w:rsid w:val="23467DBE"/>
    <w:rsid w:val="235E1708"/>
    <w:rsid w:val="23606ECB"/>
    <w:rsid w:val="2366D2F6"/>
    <w:rsid w:val="236EDE58"/>
    <w:rsid w:val="2389D89B"/>
    <w:rsid w:val="2394101C"/>
    <w:rsid w:val="2399DDCC"/>
    <w:rsid w:val="23B7E134"/>
    <w:rsid w:val="23CBADDB"/>
    <w:rsid w:val="23D28845"/>
    <w:rsid w:val="23D80653"/>
    <w:rsid w:val="23DE1890"/>
    <w:rsid w:val="23DE5C4F"/>
    <w:rsid w:val="23F44C52"/>
    <w:rsid w:val="23F58B88"/>
    <w:rsid w:val="23F6F9A2"/>
    <w:rsid w:val="2400EF6C"/>
    <w:rsid w:val="2402626D"/>
    <w:rsid w:val="24179FA1"/>
    <w:rsid w:val="24276AA8"/>
    <w:rsid w:val="242CE4D2"/>
    <w:rsid w:val="24340E5D"/>
    <w:rsid w:val="2453E829"/>
    <w:rsid w:val="245CD300"/>
    <w:rsid w:val="2467661F"/>
    <w:rsid w:val="246AEC7A"/>
    <w:rsid w:val="246D1C2D"/>
    <w:rsid w:val="24718235"/>
    <w:rsid w:val="2480C7F5"/>
    <w:rsid w:val="249424EC"/>
    <w:rsid w:val="249C4EC9"/>
    <w:rsid w:val="24BD4645"/>
    <w:rsid w:val="24C1F7BE"/>
    <w:rsid w:val="24CA539A"/>
    <w:rsid w:val="24D9D102"/>
    <w:rsid w:val="24E1F999"/>
    <w:rsid w:val="24EF7719"/>
    <w:rsid w:val="251161A9"/>
    <w:rsid w:val="252E11FB"/>
    <w:rsid w:val="2534AFD1"/>
    <w:rsid w:val="2541F044"/>
    <w:rsid w:val="2550E214"/>
    <w:rsid w:val="25615ED4"/>
    <w:rsid w:val="256E9873"/>
    <w:rsid w:val="25782D8E"/>
    <w:rsid w:val="257B4196"/>
    <w:rsid w:val="2589DEA2"/>
    <w:rsid w:val="258C54D8"/>
    <w:rsid w:val="259C5021"/>
    <w:rsid w:val="25A1792C"/>
    <w:rsid w:val="25BFA0E5"/>
    <w:rsid w:val="25D28A3D"/>
    <w:rsid w:val="261DA4D2"/>
    <w:rsid w:val="2632E3E1"/>
    <w:rsid w:val="2648BA4F"/>
    <w:rsid w:val="2676E5FB"/>
    <w:rsid w:val="26A0C4CE"/>
    <w:rsid w:val="26B297E1"/>
    <w:rsid w:val="26C0B1B1"/>
    <w:rsid w:val="26D604D0"/>
    <w:rsid w:val="26E37E04"/>
    <w:rsid w:val="26F4B17E"/>
    <w:rsid w:val="27053016"/>
    <w:rsid w:val="270FE6EF"/>
    <w:rsid w:val="271D1203"/>
    <w:rsid w:val="27332D0B"/>
    <w:rsid w:val="273B36AE"/>
    <w:rsid w:val="27417775"/>
    <w:rsid w:val="2773CE1C"/>
    <w:rsid w:val="2776A106"/>
    <w:rsid w:val="2780E4F3"/>
    <w:rsid w:val="278158F1"/>
    <w:rsid w:val="27818CA7"/>
    <w:rsid w:val="278AE651"/>
    <w:rsid w:val="278E5B08"/>
    <w:rsid w:val="27997916"/>
    <w:rsid w:val="279D845B"/>
    <w:rsid w:val="27BAAEDA"/>
    <w:rsid w:val="27D38B26"/>
    <w:rsid w:val="27D63F12"/>
    <w:rsid w:val="27DA7341"/>
    <w:rsid w:val="27DEC689"/>
    <w:rsid w:val="27E52860"/>
    <w:rsid w:val="2819B417"/>
    <w:rsid w:val="282461D1"/>
    <w:rsid w:val="2826F964"/>
    <w:rsid w:val="282B184A"/>
    <w:rsid w:val="28335476"/>
    <w:rsid w:val="2836E554"/>
    <w:rsid w:val="284DD1DC"/>
    <w:rsid w:val="284F6E1F"/>
    <w:rsid w:val="28577EF0"/>
    <w:rsid w:val="285C2456"/>
    <w:rsid w:val="285DDCCD"/>
    <w:rsid w:val="2871B8E3"/>
    <w:rsid w:val="28753B28"/>
    <w:rsid w:val="2894B777"/>
    <w:rsid w:val="28996090"/>
    <w:rsid w:val="289E2138"/>
    <w:rsid w:val="28AA1E77"/>
    <w:rsid w:val="28C46950"/>
    <w:rsid w:val="28DF01EB"/>
    <w:rsid w:val="28ED7C36"/>
    <w:rsid w:val="28F473C2"/>
    <w:rsid w:val="28FD317C"/>
    <w:rsid w:val="2921223A"/>
    <w:rsid w:val="293FCDA3"/>
    <w:rsid w:val="2942A4CD"/>
    <w:rsid w:val="29474538"/>
    <w:rsid w:val="294A2ED0"/>
    <w:rsid w:val="295F91B9"/>
    <w:rsid w:val="29655DF4"/>
    <w:rsid w:val="296FBFEC"/>
    <w:rsid w:val="29729250"/>
    <w:rsid w:val="2977B1C9"/>
    <w:rsid w:val="29793BB9"/>
    <w:rsid w:val="297EFD00"/>
    <w:rsid w:val="2986BCE1"/>
    <w:rsid w:val="298D16CD"/>
    <w:rsid w:val="298EED36"/>
    <w:rsid w:val="29A309A6"/>
    <w:rsid w:val="29A89F07"/>
    <w:rsid w:val="29AA02A0"/>
    <w:rsid w:val="29C025B5"/>
    <w:rsid w:val="29CEF99C"/>
    <w:rsid w:val="29D9BD51"/>
    <w:rsid w:val="29E34404"/>
    <w:rsid w:val="29E95D63"/>
    <w:rsid w:val="29FDBBA0"/>
    <w:rsid w:val="2A2478C4"/>
    <w:rsid w:val="2A284920"/>
    <w:rsid w:val="2A341006"/>
    <w:rsid w:val="2A4652CF"/>
    <w:rsid w:val="2A46FF90"/>
    <w:rsid w:val="2A52E291"/>
    <w:rsid w:val="2A594392"/>
    <w:rsid w:val="2A709448"/>
    <w:rsid w:val="2A7F2B31"/>
    <w:rsid w:val="2AAE033F"/>
    <w:rsid w:val="2AAF5739"/>
    <w:rsid w:val="2AB8A14F"/>
    <w:rsid w:val="2AB8BCD0"/>
    <w:rsid w:val="2AC7877D"/>
    <w:rsid w:val="2AC8ADFB"/>
    <w:rsid w:val="2ACA5D76"/>
    <w:rsid w:val="2ACC5124"/>
    <w:rsid w:val="2AD61499"/>
    <w:rsid w:val="2ADD8E8F"/>
    <w:rsid w:val="2AE624D7"/>
    <w:rsid w:val="2AF61F98"/>
    <w:rsid w:val="2AF79A50"/>
    <w:rsid w:val="2AFA3C6A"/>
    <w:rsid w:val="2B03E16E"/>
    <w:rsid w:val="2B0A5923"/>
    <w:rsid w:val="2B165A28"/>
    <w:rsid w:val="2B24B8AA"/>
    <w:rsid w:val="2B2B4486"/>
    <w:rsid w:val="2B364ECB"/>
    <w:rsid w:val="2B4AB1A4"/>
    <w:rsid w:val="2B53E5A9"/>
    <w:rsid w:val="2B5599F7"/>
    <w:rsid w:val="2B62B46D"/>
    <w:rsid w:val="2B6FA69E"/>
    <w:rsid w:val="2B704E09"/>
    <w:rsid w:val="2B7EE0FA"/>
    <w:rsid w:val="2B875784"/>
    <w:rsid w:val="2B8AA790"/>
    <w:rsid w:val="2B941AD3"/>
    <w:rsid w:val="2BA1B7DF"/>
    <w:rsid w:val="2BA1C7DB"/>
    <w:rsid w:val="2BACF128"/>
    <w:rsid w:val="2BB32EC2"/>
    <w:rsid w:val="2BC0839C"/>
    <w:rsid w:val="2BC35F89"/>
    <w:rsid w:val="2BD7EAD3"/>
    <w:rsid w:val="2BEF465E"/>
    <w:rsid w:val="2BF41FE7"/>
    <w:rsid w:val="2C011734"/>
    <w:rsid w:val="2C014F18"/>
    <w:rsid w:val="2C0ADB34"/>
    <w:rsid w:val="2C110DB4"/>
    <w:rsid w:val="2C298E8B"/>
    <w:rsid w:val="2C34FBC0"/>
    <w:rsid w:val="2C3BE880"/>
    <w:rsid w:val="2C3C16AC"/>
    <w:rsid w:val="2C459D41"/>
    <w:rsid w:val="2C46EA0F"/>
    <w:rsid w:val="2C5369ED"/>
    <w:rsid w:val="2C5A1E68"/>
    <w:rsid w:val="2C5B1FCA"/>
    <w:rsid w:val="2C63D5E4"/>
    <w:rsid w:val="2C7B3055"/>
    <w:rsid w:val="2C819B6F"/>
    <w:rsid w:val="2C925008"/>
    <w:rsid w:val="2C97E0F2"/>
    <w:rsid w:val="2C99E09E"/>
    <w:rsid w:val="2CB887A3"/>
    <w:rsid w:val="2CD824B2"/>
    <w:rsid w:val="2CF37730"/>
    <w:rsid w:val="2D09C4BF"/>
    <w:rsid w:val="2D0B6C5A"/>
    <w:rsid w:val="2D0FFF62"/>
    <w:rsid w:val="2D333C5F"/>
    <w:rsid w:val="2D44C479"/>
    <w:rsid w:val="2D849677"/>
    <w:rsid w:val="2D91CA21"/>
    <w:rsid w:val="2D9EEED6"/>
    <w:rsid w:val="2DA0725A"/>
    <w:rsid w:val="2DA8C1B6"/>
    <w:rsid w:val="2DBD4A2A"/>
    <w:rsid w:val="2DBEF5E5"/>
    <w:rsid w:val="2DC1620A"/>
    <w:rsid w:val="2DCCEA33"/>
    <w:rsid w:val="2DCD0C06"/>
    <w:rsid w:val="2DD1DFDA"/>
    <w:rsid w:val="2DD6CA59"/>
    <w:rsid w:val="2DDF8F72"/>
    <w:rsid w:val="2DE9DA63"/>
    <w:rsid w:val="2DFFD7A1"/>
    <w:rsid w:val="2E17C160"/>
    <w:rsid w:val="2E1C1429"/>
    <w:rsid w:val="2E21BF29"/>
    <w:rsid w:val="2E233B24"/>
    <w:rsid w:val="2E2D82DC"/>
    <w:rsid w:val="2E2F14F3"/>
    <w:rsid w:val="2E3327DC"/>
    <w:rsid w:val="2E398201"/>
    <w:rsid w:val="2E45E068"/>
    <w:rsid w:val="2E46BB02"/>
    <w:rsid w:val="2E5A0E50"/>
    <w:rsid w:val="2E5ED826"/>
    <w:rsid w:val="2E76FD31"/>
    <w:rsid w:val="2E78F10F"/>
    <w:rsid w:val="2E7974B7"/>
    <w:rsid w:val="2E9A25DA"/>
    <w:rsid w:val="2EA6D6B3"/>
    <w:rsid w:val="2EABA5B2"/>
    <w:rsid w:val="2EB941BA"/>
    <w:rsid w:val="2EBCEA0C"/>
    <w:rsid w:val="2EC75A5E"/>
    <w:rsid w:val="2ECC6D21"/>
    <w:rsid w:val="2ED4F877"/>
    <w:rsid w:val="2ED64843"/>
    <w:rsid w:val="2EECB898"/>
    <w:rsid w:val="2EEE0536"/>
    <w:rsid w:val="2EF088DA"/>
    <w:rsid w:val="2EF8674F"/>
    <w:rsid w:val="2F0B52E5"/>
    <w:rsid w:val="2F0E4D7E"/>
    <w:rsid w:val="2F0EE243"/>
    <w:rsid w:val="2F31E430"/>
    <w:rsid w:val="2F3FB154"/>
    <w:rsid w:val="2F40B213"/>
    <w:rsid w:val="2F4692E5"/>
    <w:rsid w:val="2F4AB2D2"/>
    <w:rsid w:val="2F4F613B"/>
    <w:rsid w:val="2F56632F"/>
    <w:rsid w:val="2F5938AF"/>
    <w:rsid w:val="2F5B1E82"/>
    <w:rsid w:val="2F5C9489"/>
    <w:rsid w:val="2F7231DD"/>
    <w:rsid w:val="2F7CCFD9"/>
    <w:rsid w:val="2F882CFE"/>
    <w:rsid w:val="2F93083A"/>
    <w:rsid w:val="2F93C684"/>
    <w:rsid w:val="2F9728A5"/>
    <w:rsid w:val="2F97D21D"/>
    <w:rsid w:val="2F9B82EE"/>
    <w:rsid w:val="2FA0D749"/>
    <w:rsid w:val="2FB1B493"/>
    <w:rsid w:val="2FB3F501"/>
    <w:rsid w:val="2FBB7317"/>
    <w:rsid w:val="2FC5D95A"/>
    <w:rsid w:val="2FD49804"/>
    <w:rsid w:val="2FD6E214"/>
    <w:rsid w:val="2FDB9258"/>
    <w:rsid w:val="2FDFB7EC"/>
    <w:rsid w:val="2FF5231F"/>
    <w:rsid w:val="2FF7441D"/>
    <w:rsid w:val="2FF8F88A"/>
    <w:rsid w:val="2FFB7B63"/>
    <w:rsid w:val="30001BC7"/>
    <w:rsid w:val="300EAB85"/>
    <w:rsid w:val="3018F497"/>
    <w:rsid w:val="303BF1CC"/>
    <w:rsid w:val="3050EB60"/>
    <w:rsid w:val="30634B12"/>
    <w:rsid w:val="30724523"/>
    <w:rsid w:val="3075B142"/>
    <w:rsid w:val="307D0647"/>
    <w:rsid w:val="30823CE5"/>
    <w:rsid w:val="30868E56"/>
    <w:rsid w:val="309B38D1"/>
    <w:rsid w:val="309FA44D"/>
    <w:rsid w:val="30A402A4"/>
    <w:rsid w:val="30A8C0B0"/>
    <w:rsid w:val="30AA85FD"/>
    <w:rsid w:val="30B0D776"/>
    <w:rsid w:val="30B4505D"/>
    <w:rsid w:val="30B576E8"/>
    <w:rsid w:val="30BBE487"/>
    <w:rsid w:val="30D10667"/>
    <w:rsid w:val="30E3D1D8"/>
    <w:rsid w:val="30E5D5AC"/>
    <w:rsid w:val="3104011A"/>
    <w:rsid w:val="310B351F"/>
    <w:rsid w:val="3113D388"/>
    <w:rsid w:val="3126CB1A"/>
    <w:rsid w:val="31301518"/>
    <w:rsid w:val="31385132"/>
    <w:rsid w:val="313CC9C0"/>
    <w:rsid w:val="314BAF60"/>
    <w:rsid w:val="315B6782"/>
    <w:rsid w:val="31667FD3"/>
    <w:rsid w:val="3177CD57"/>
    <w:rsid w:val="3188FFB1"/>
    <w:rsid w:val="3193182E"/>
    <w:rsid w:val="3193E770"/>
    <w:rsid w:val="31981456"/>
    <w:rsid w:val="31987ED4"/>
    <w:rsid w:val="31CB8295"/>
    <w:rsid w:val="31CE859A"/>
    <w:rsid w:val="31D28B2E"/>
    <w:rsid w:val="31D66EB4"/>
    <w:rsid w:val="31D6C60E"/>
    <w:rsid w:val="31D81C53"/>
    <w:rsid w:val="31E05E0C"/>
    <w:rsid w:val="31EF6B87"/>
    <w:rsid w:val="320718BD"/>
    <w:rsid w:val="3207A25D"/>
    <w:rsid w:val="3209E90F"/>
    <w:rsid w:val="320D454A"/>
    <w:rsid w:val="321BF604"/>
    <w:rsid w:val="3224802B"/>
    <w:rsid w:val="3226B65D"/>
    <w:rsid w:val="32288F91"/>
    <w:rsid w:val="322D7543"/>
    <w:rsid w:val="322DB94D"/>
    <w:rsid w:val="324F05F3"/>
    <w:rsid w:val="32640023"/>
    <w:rsid w:val="3280FBA3"/>
    <w:rsid w:val="3286BEC8"/>
    <w:rsid w:val="32983321"/>
    <w:rsid w:val="32B7CC96"/>
    <w:rsid w:val="32C0C543"/>
    <w:rsid w:val="32E56E62"/>
    <w:rsid w:val="32E87A65"/>
    <w:rsid w:val="32EDD09C"/>
    <w:rsid w:val="32F9B1A9"/>
    <w:rsid w:val="330C848A"/>
    <w:rsid w:val="331060B0"/>
    <w:rsid w:val="3319FE1D"/>
    <w:rsid w:val="332317A3"/>
    <w:rsid w:val="332EB778"/>
    <w:rsid w:val="33301994"/>
    <w:rsid w:val="333040CA"/>
    <w:rsid w:val="333FD1BA"/>
    <w:rsid w:val="33447561"/>
    <w:rsid w:val="335A958E"/>
    <w:rsid w:val="336C7AFB"/>
    <w:rsid w:val="338D50FF"/>
    <w:rsid w:val="338EDF28"/>
    <w:rsid w:val="33962AD7"/>
    <w:rsid w:val="33979382"/>
    <w:rsid w:val="339C6A32"/>
    <w:rsid w:val="33A57D0A"/>
    <w:rsid w:val="33B1AF53"/>
    <w:rsid w:val="33BBFC4B"/>
    <w:rsid w:val="33C3363D"/>
    <w:rsid w:val="33C4F253"/>
    <w:rsid w:val="33C957FB"/>
    <w:rsid w:val="33CE6C1B"/>
    <w:rsid w:val="33DD46FE"/>
    <w:rsid w:val="33F0B2BB"/>
    <w:rsid w:val="33F2F7E3"/>
    <w:rsid w:val="33F4DFF5"/>
    <w:rsid w:val="33F506BC"/>
    <w:rsid w:val="33F58F7F"/>
    <w:rsid w:val="33F8AD71"/>
    <w:rsid w:val="33FC6265"/>
    <w:rsid w:val="33FE8AA1"/>
    <w:rsid w:val="340325F8"/>
    <w:rsid w:val="3408C888"/>
    <w:rsid w:val="34182DEC"/>
    <w:rsid w:val="3418389A"/>
    <w:rsid w:val="34261D62"/>
    <w:rsid w:val="3426216F"/>
    <w:rsid w:val="343475F6"/>
    <w:rsid w:val="3450FD7F"/>
    <w:rsid w:val="34510458"/>
    <w:rsid w:val="3451C1AB"/>
    <w:rsid w:val="3453F2AC"/>
    <w:rsid w:val="3457E0E3"/>
    <w:rsid w:val="345B0CB7"/>
    <w:rsid w:val="345F3FDB"/>
    <w:rsid w:val="3461C7AE"/>
    <w:rsid w:val="347EB458"/>
    <w:rsid w:val="3481ED7F"/>
    <w:rsid w:val="34853744"/>
    <w:rsid w:val="348FB95B"/>
    <w:rsid w:val="34B2BDB6"/>
    <w:rsid w:val="34B98B37"/>
    <w:rsid w:val="34BF0B4F"/>
    <w:rsid w:val="34BFA7B9"/>
    <w:rsid w:val="34D590BB"/>
    <w:rsid w:val="34DA559D"/>
    <w:rsid w:val="34DF502D"/>
    <w:rsid w:val="34E03DF8"/>
    <w:rsid w:val="34E3C412"/>
    <w:rsid w:val="34EA67C7"/>
    <w:rsid w:val="34EEBB5A"/>
    <w:rsid w:val="35091929"/>
    <w:rsid w:val="350BECE8"/>
    <w:rsid w:val="35101148"/>
    <w:rsid w:val="35102E9B"/>
    <w:rsid w:val="351176C7"/>
    <w:rsid w:val="3515B2F4"/>
    <w:rsid w:val="3521BB7F"/>
    <w:rsid w:val="3523BA48"/>
    <w:rsid w:val="35282AB8"/>
    <w:rsid w:val="352EEFCB"/>
    <w:rsid w:val="352F4521"/>
    <w:rsid w:val="3561B509"/>
    <w:rsid w:val="3575DB5B"/>
    <w:rsid w:val="357627FA"/>
    <w:rsid w:val="357FCE3F"/>
    <w:rsid w:val="3583DCD1"/>
    <w:rsid w:val="3595B0B4"/>
    <w:rsid w:val="359A3CEB"/>
    <w:rsid w:val="35A0A735"/>
    <w:rsid w:val="35B0663D"/>
    <w:rsid w:val="35BB0FEE"/>
    <w:rsid w:val="35CFE1C1"/>
    <w:rsid w:val="35D71C00"/>
    <w:rsid w:val="35DE2F7B"/>
    <w:rsid w:val="35EEEEF5"/>
    <w:rsid w:val="360052A2"/>
    <w:rsid w:val="360BBFB4"/>
    <w:rsid w:val="360CDB5F"/>
    <w:rsid w:val="3611C21C"/>
    <w:rsid w:val="361A8273"/>
    <w:rsid w:val="363696DD"/>
    <w:rsid w:val="36402212"/>
    <w:rsid w:val="3641A19C"/>
    <w:rsid w:val="36469CB1"/>
    <w:rsid w:val="364C2F0C"/>
    <w:rsid w:val="364D3172"/>
    <w:rsid w:val="36613993"/>
    <w:rsid w:val="3663B22A"/>
    <w:rsid w:val="3688D2AC"/>
    <w:rsid w:val="3694F41F"/>
    <w:rsid w:val="369E0277"/>
    <w:rsid w:val="36B0F4CF"/>
    <w:rsid w:val="36C003D8"/>
    <w:rsid w:val="36CB6817"/>
    <w:rsid w:val="36D35DDA"/>
    <w:rsid w:val="36DEB606"/>
    <w:rsid w:val="36E21D47"/>
    <w:rsid w:val="37069B1D"/>
    <w:rsid w:val="371F2660"/>
    <w:rsid w:val="37261D7A"/>
    <w:rsid w:val="3730FCE6"/>
    <w:rsid w:val="37318D8D"/>
    <w:rsid w:val="37379AA0"/>
    <w:rsid w:val="373DFBF4"/>
    <w:rsid w:val="374C01B3"/>
    <w:rsid w:val="374DCCF8"/>
    <w:rsid w:val="3767DE2D"/>
    <w:rsid w:val="3775BB3B"/>
    <w:rsid w:val="37817226"/>
    <w:rsid w:val="3782A654"/>
    <w:rsid w:val="37991D7A"/>
    <w:rsid w:val="37B5DF98"/>
    <w:rsid w:val="37C0CF2B"/>
    <w:rsid w:val="37C22F14"/>
    <w:rsid w:val="37C8FCE2"/>
    <w:rsid w:val="37CDC9E1"/>
    <w:rsid w:val="37D1C319"/>
    <w:rsid w:val="37D73500"/>
    <w:rsid w:val="37EE70E7"/>
    <w:rsid w:val="37F0C49C"/>
    <w:rsid w:val="380025DA"/>
    <w:rsid w:val="381012AF"/>
    <w:rsid w:val="38116C52"/>
    <w:rsid w:val="38141751"/>
    <w:rsid w:val="381D65F4"/>
    <w:rsid w:val="381F35BE"/>
    <w:rsid w:val="3830841C"/>
    <w:rsid w:val="383753DB"/>
    <w:rsid w:val="383AE857"/>
    <w:rsid w:val="383B73C7"/>
    <w:rsid w:val="383FE934"/>
    <w:rsid w:val="3845A0A1"/>
    <w:rsid w:val="384C6D7C"/>
    <w:rsid w:val="384F2E01"/>
    <w:rsid w:val="386D68F1"/>
    <w:rsid w:val="387694A9"/>
    <w:rsid w:val="38796E12"/>
    <w:rsid w:val="38820C0C"/>
    <w:rsid w:val="38869E99"/>
    <w:rsid w:val="38890925"/>
    <w:rsid w:val="388EEEDC"/>
    <w:rsid w:val="3893F732"/>
    <w:rsid w:val="3895D7FB"/>
    <w:rsid w:val="389DDCF9"/>
    <w:rsid w:val="389F1D72"/>
    <w:rsid w:val="38A1BA5D"/>
    <w:rsid w:val="38B2ABFE"/>
    <w:rsid w:val="38B4A4D2"/>
    <w:rsid w:val="38F47095"/>
    <w:rsid w:val="38F473C7"/>
    <w:rsid w:val="3904014C"/>
    <w:rsid w:val="39091406"/>
    <w:rsid w:val="391C04C7"/>
    <w:rsid w:val="3928C5A1"/>
    <w:rsid w:val="393020DF"/>
    <w:rsid w:val="393B3D49"/>
    <w:rsid w:val="39481377"/>
    <w:rsid w:val="394D394E"/>
    <w:rsid w:val="3955096F"/>
    <w:rsid w:val="396706B9"/>
    <w:rsid w:val="396D9099"/>
    <w:rsid w:val="396FB404"/>
    <w:rsid w:val="397FE719"/>
    <w:rsid w:val="39916283"/>
    <w:rsid w:val="399B808B"/>
    <w:rsid w:val="399DF9C9"/>
    <w:rsid w:val="39A7C856"/>
    <w:rsid w:val="39B3E524"/>
    <w:rsid w:val="39BBF41D"/>
    <w:rsid w:val="39CE15F1"/>
    <w:rsid w:val="39D09963"/>
    <w:rsid w:val="39D0C6B8"/>
    <w:rsid w:val="39EFE53D"/>
    <w:rsid w:val="3A2E1901"/>
    <w:rsid w:val="3A344558"/>
    <w:rsid w:val="3A38723A"/>
    <w:rsid w:val="3A3BDFED"/>
    <w:rsid w:val="3A417ECC"/>
    <w:rsid w:val="3A42589B"/>
    <w:rsid w:val="3A757E87"/>
    <w:rsid w:val="3A7EA9B4"/>
    <w:rsid w:val="3A8403BC"/>
    <w:rsid w:val="3A8F5E87"/>
    <w:rsid w:val="3A9A718C"/>
    <w:rsid w:val="3A9A804A"/>
    <w:rsid w:val="3AA429B9"/>
    <w:rsid w:val="3AACA39C"/>
    <w:rsid w:val="3AB09553"/>
    <w:rsid w:val="3AD566B0"/>
    <w:rsid w:val="3AD89E06"/>
    <w:rsid w:val="3ADC8A78"/>
    <w:rsid w:val="3AE4B054"/>
    <w:rsid w:val="3AE77240"/>
    <w:rsid w:val="3AFAC257"/>
    <w:rsid w:val="3AFC56A3"/>
    <w:rsid w:val="3B0682BA"/>
    <w:rsid w:val="3B0C7580"/>
    <w:rsid w:val="3B133969"/>
    <w:rsid w:val="3B2F2C9E"/>
    <w:rsid w:val="3B421F92"/>
    <w:rsid w:val="3B42F3ED"/>
    <w:rsid w:val="3B443D09"/>
    <w:rsid w:val="3B44FB97"/>
    <w:rsid w:val="3B54DD5D"/>
    <w:rsid w:val="3B6803BB"/>
    <w:rsid w:val="3B754CF5"/>
    <w:rsid w:val="3B7788EB"/>
    <w:rsid w:val="3B84C60C"/>
    <w:rsid w:val="3B88C39A"/>
    <w:rsid w:val="3B924BED"/>
    <w:rsid w:val="3B9E21B6"/>
    <w:rsid w:val="3BAE8043"/>
    <w:rsid w:val="3BAE891C"/>
    <w:rsid w:val="3BB340FD"/>
    <w:rsid w:val="3BB4771B"/>
    <w:rsid w:val="3BC6ADBD"/>
    <w:rsid w:val="3BC7596B"/>
    <w:rsid w:val="3BC8C6F4"/>
    <w:rsid w:val="3BD6943F"/>
    <w:rsid w:val="3BE35B20"/>
    <w:rsid w:val="3BFC8130"/>
    <w:rsid w:val="3BFFF853"/>
    <w:rsid w:val="3C06337B"/>
    <w:rsid w:val="3C0B84FB"/>
    <w:rsid w:val="3C0F9214"/>
    <w:rsid w:val="3C1D87F2"/>
    <w:rsid w:val="3C2F1984"/>
    <w:rsid w:val="3C43F9DE"/>
    <w:rsid w:val="3C45E18E"/>
    <w:rsid w:val="3C4720DB"/>
    <w:rsid w:val="3C49E5DB"/>
    <w:rsid w:val="3C542112"/>
    <w:rsid w:val="3C5ACBF7"/>
    <w:rsid w:val="3C7F5191"/>
    <w:rsid w:val="3C83736D"/>
    <w:rsid w:val="3C8C7731"/>
    <w:rsid w:val="3CAAC336"/>
    <w:rsid w:val="3CAAE122"/>
    <w:rsid w:val="3CB0D720"/>
    <w:rsid w:val="3CB935C4"/>
    <w:rsid w:val="3CC4D4A1"/>
    <w:rsid w:val="3CC58949"/>
    <w:rsid w:val="3CD591F5"/>
    <w:rsid w:val="3CD89E6F"/>
    <w:rsid w:val="3CDF1892"/>
    <w:rsid w:val="3CDFB4C9"/>
    <w:rsid w:val="3CE29378"/>
    <w:rsid w:val="3CF15042"/>
    <w:rsid w:val="3D0C907C"/>
    <w:rsid w:val="3D1A2377"/>
    <w:rsid w:val="3D20BB20"/>
    <w:rsid w:val="3D233571"/>
    <w:rsid w:val="3D2A26E6"/>
    <w:rsid w:val="3D447F32"/>
    <w:rsid w:val="3D5C9905"/>
    <w:rsid w:val="3D7017FE"/>
    <w:rsid w:val="3D7CC0AE"/>
    <w:rsid w:val="3D87ECD8"/>
    <w:rsid w:val="3D90BBCA"/>
    <w:rsid w:val="3DB946BA"/>
    <w:rsid w:val="3DBF3C04"/>
    <w:rsid w:val="3DC229DD"/>
    <w:rsid w:val="3DC99F04"/>
    <w:rsid w:val="3DCF4F65"/>
    <w:rsid w:val="3DD9EBC2"/>
    <w:rsid w:val="3DEB7DA0"/>
    <w:rsid w:val="3DFD8211"/>
    <w:rsid w:val="3DFFCA26"/>
    <w:rsid w:val="3E0350E8"/>
    <w:rsid w:val="3E054E22"/>
    <w:rsid w:val="3E227788"/>
    <w:rsid w:val="3E2A77CF"/>
    <w:rsid w:val="3E371ED9"/>
    <w:rsid w:val="3E3DD509"/>
    <w:rsid w:val="3E43821C"/>
    <w:rsid w:val="3E448689"/>
    <w:rsid w:val="3E469F67"/>
    <w:rsid w:val="3E46F22C"/>
    <w:rsid w:val="3E4FE36F"/>
    <w:rsid w:val="3E520429"/>
    <w:rsid w:val="3E52CA26"/>
    <w:rsid w:val="3E55F81B"/>
    <w:rsid w:val="3E57D1A1"/>
    <w:rsid w:val="3E5DCFD7"/>
    <w:rsid w:val="3E60135F"/>
    <w:rsid w:val="3E62DF54"/>
    <w:rsid w:val="3E6CE30F"/>
    <w:rsid w:val="3E7D6B29"/>
    <w:rsid w:val="3E87FA7A"/>
    <w:rsid w:val="3E89E12D"/>
    <w:rsid w:val="3E8B4EAA"/>
    <w:rsid w:val="3E999BFA"/>
    <w:rsid w:val="3EA11912"/>
    <w:rsid w:val="3EA1B158"/>
    <w:rsid w:val="3EA3AAE5"/>
    <w:rsid w:val="3EAC36E1"/>
    <w:rsid w:val="3EB064EE"/>
    <w:rsid w:val="3EB1E724"/>
    <w:rsid w:val="3EC44C0A"/>
    <w:rsid w:val="3ED3BDE3"/>
    <w:rsid w:val="3EE53242"/>
    <w:rsid w:val="3EE90433"/>
    <w:rsid w:val="3EEB7B64"/>
    <w:rsid w:val="3EECF93F"/>
    <w:rsid w:val="3F0082E7"/>
    <w:rsid w:val="3F012067"/>
    <w:rsid w:val="3F130B9C"/>
    <w:rsid w:val="3F20336F"/>
    <w:rsid w:val="3F32183A"/>
    <w:rsid w:val="3F386F6F"/>
    <w:rsid w:val="3F4A8FAB"/>
    <w:rsid w:val="3F509A17"/>
    <w:rsid w:val="3F54E4AD"/>
    <w:rsid w:val="3F6A7C18"/>
    <w:rsid w:val="3F6E0F88"/>
    <w:rsid w:val="3F6EEFA0"/>
    <w:rsid w:val="3F76EDDF"/>
    <w:rsid w:val="3F85748E"/>
    <w:rsid w:val="3FA5434C"/>
    <w:rsid w:val="3FBC4AEC"/>
    <w:rsid w:val="3FBE13AB"/>
    <w:rsid w:val="3FC4A5DF"/>
    <w:rsid w:val="3FCF7D2A"/>
    <w:rsid w:val="3FD07FA9"/>
    <w:rsid w:val="3FD5E9BA"/>
    <w:rsid w:val="3FE14FE6"/>
    <w:rsid w:val="4001625E"/>
    <w:rsid w:val="4002E2F8"/>
    <w:rsid w:val="4030B5FA"/>
    <w:rsid w:val="4034F63F"/>
    <w:rsid w:val="403650A8"/>
    <w:rsid w:val="403DCF58"/>
    <w:rsid w:val="404003FC"/>
    <w:rsid w:val="404B0260"/>
    <w:rsid w:val="405D55FF"/>
    <w:rsid w:val="405F718D"/>
    <w:rsid w:val="40653524"/>
    <w:rsid w:val="40657356"/>
    <w:rsid w:val="407E81C2"/>
    <w:rsid w:val="408896DF"/>
    <w:rsid w:val="408E6548"/>
    <w:rsid w:val="408FC234"/>
    <w:rsid w:val="40A2E32A"/>
    <w:rsid w:val="40AA4283"/>
    <w:rsid w:val="40B39358"/>
    <w:rsid w:val="40F28A20"/>
    <w:rsid w:val="40F49A8F"/>
    <w:rsid w:val="40F64868"/>
    <w:rsid w:val="41001115"/>
    <w:rsid w:val="4101E5B0"/>
    <w:rsid w:val="410495BF"/>
    <w:rsid w:val="411236BE"/>
    <w:rsid w:val="41195A50"/>
    <w:rsid w:val="41247C2B"/>
    <w:rsid w:val="4130EF3B"/>
    <w:rsid w:val="41328E67"/>
    <w:rsid w:val="41331715"/>
    <w:rsid w:val="413623DC"/>
    <w:rsid w:val="414C7027"/>
    <w:rsid w:val="414F1FBB"/>
    <w:rsid w:val="415F58EE"/>
    <w:rsid w:val="41617BD7"/>
    <w:rsid w:val="416B2ECA"/>
    <w:rsid w:val="4172B6E5"/>
    <w:rsid w:val="41794BC4"/>
    <w:rsid w:val="418C76CF"/>
    <w:rsid w:val="4195C79D"/>
    <w:rsid w:val="419BD507"/>
    <w:rsid w:val="41AB0419"/>
    <w:rsid w:val="41ABB6FE"/>
    <w:rsid w:val="41B437F0"/>
    <w:rsid w:val="41BD5316"/>
    <w:rsid w:val="41C44E05"/>
    <w:rsid w:val="41D09F15"/>
    <w:rsid w:val="41E06E3D"/>
    <w:rsid w:val="41E352E5"/>
    <w:rsid w:val="41EC0FD1"/>
    <w:rsid w:val="41EEEF25"/>
    <w:rsid w:val="42117DF6"/>
    <w:rsid w:val="421FA09C"/>
    <w:rsid w:val="4220E0A2"/>
    <w:rsid w:val="42221895"/>
    <w:rsid w:val="4225A0BD"/>
    <w:rsid w:val="42344833"/>
    <w:rsid w:val="4234A55A"/>
    <w:rsid w:val="424212E0"/>
    <w:rsid w:val="4247ED87"/>
    <w:rsid w:val="42552965"/>
    <w:rsid w:val="425F8C03"/>
    <w:rsid w:val="42634954"/>
    <w:rsid w:val="42681AA2"/>
    <w:rsid w:val="426A1F6D"/>
    <w:rsid w:val="427B2486"/>
    <w:rsid w:val="428B270E"/>
    <w:rsid w:val="4298BCF2"/>
    <w:rsid w:val="42998C16"/>
    <w:rsid w:val="42ADB112"/>
    <w:rsid w:val="42BBFAF9"/>
    <w:rsid w:val="42C2F6B5"/>
    <w:rsid w:val="42C9F200"/>
    <w:rsid w:val="42D31CBD"/>
    <w:rsid w:val="42E8EC14"/>
    <w:rsid w:val="42EAE29E"/>
    <w:rsid w:val="42F05C8B"/>
    <w:rsid w:val="42F65098"/>
    <w:rsid w:val="431E2AF0"/>
    <w:rsid w:val="4324B9B8"/>
    <w:rsid w:val="4336C94A"/>
    <w:rsid w:val="433AE618"/>
    <w:rsid w:val="434CEB78"/>
    <w:rsid w:val="43640085"/>
    <w:rsid w:val="4370A843"/>
    <w:rsid w:val="43737504"/>
    <w:rsid w:val="437807C7"/>
    <w:rsid w:val="4386B142"/>
    <w:rsid w:val="4397F1B7"/>
    <w:rsid w:val="439DB008"/>
    <w:rsid w:val="439ECEB1"/>
    <w:rsid w:val="43A10DAF"/>
    <w:rsid w:val="43A25529"/>
    <w:rsid w:val="43AAB77C"/>
    <w:rsid w:val="43B0F0F5"/>
    <w:rsid w:val="43BB5D5D"/>
    <w:rsid w:val="43BCE237"/>
    <w:rsid w:val="43CDE9B3"/>
    <w:rsid w:val="43D22FBD"/>
    <w:rsid w:val="43D4F4F0"/>
    <w:rsid w:val="43D943E9"/>
    <w:rsid w:val="43E3DEA8"/>
    <w:rsid w:val="43EB4531"/>
    <w:rsid w:val="43F45E85"/>
    <w:rsid w:val="43FA2AE6"/>
    <w:rsid w:val="44069DD1"/>
    <w:rsid w:val="441ACEC7"/>
    <w:rsid w:val="44219AE0"/>
    <w:rsid w:val="442CE2EA"/>
    <w:rsid w:val="44349C46"/>
    <w:rsid w:val="44417B91"/>
    <w:rsid w:val="444422B7"/>
    <w:rsid w:val="4452CF3B"/>
    <w:rsid w:val="445707E5"/>
    <w:rsid w:val="445A27A5"/>
    <w:rsid w:val="445FD5DC"/>
    <w:rsid w:val="44623536"/>
    <w:rsid w:val="446D6688"/>
    <w:rsid w:val="447BE53F"/>
    <w:rsid w:val="44B3B195"/>
    <w:rsid w:val="44B93F35"/>
    <w:rsid w:val="44C62857"/>
    <w:rsid w:val="44C6C2BD"/>
    <w:rsid w:val="44EA3185"/>
    <w:rsid w:val="44F2F47B"/>
    <w:rsid w:val="45066306"/>
    <w:rsid w:val="452699B9"/>
    <w:rsid w:val="4529A3E5"/>
    <w:rsid w:val="452AD0F0"/>
    <w:rsid w:val="452CAFE7"/>
    <w:rsid w:val="453036DD"/>
    <w:rsid w:val="453453EF"/>
    <w:rsid w:val="453E805D"/>
    <w:rsid w:val="4558EE11"/>
    <w:rsid w:val="456CD7EF"/>
    <w:rsid w:val="4575F908"/>
    <w:rsid w:val="4577C182"/>
    <w:rsid w:val="4577EEA0"/>
    <w:rsid w:val="45870B54"/>
    <w:rsid w:val="4591740A"/>
    <w:rsid w:val="45B77317"/>
    <w:rsid w:val="45BC5950"/>
    <w:rsid w:val="45C41D6D"/>
    <w:rsid w:val="45CD87DF"/>
    <w:rsid w:val="45D9DD30"/>
    <w:rsid w:val="45DD06A4"/>
    <w:rsid w:val="45EA40A3"/>
    <w:rsid w:val="45F9D53B"/>
    <w:rsid w:val="45FCEC4C"/>
    <w:rsid w:val="46046497"/>
    <w:rsid w:val="461918D8"/>
    <w:rsid w:val="46257591"/>
    <w:rsid w:val="4625763F"/>
    <w:rsid w:val="4629F4C1"/>
    <w:rsid w:val="462AA516"/>
    <w:rsid w:val="46377A52"/>
    <w:rsid w:val="465A7AA0"/>
    <w:rsid w:val="466A8857"/>
    <w:rsid w:val="467C674A"/>
    <w:rsid w:val="467CB387"/>
    <w:rsid w:val="468AC144"/>
    <w:rsid w:val="46BC2FF5"/>
    <w:rsid w:val="46C63347"/>
    <w:rsid w:val="46C9CB3C"/>
    <w:rsid w:val="46CCB15B"/>
    <w:rsid w:val="46E6D4A6"/>
    <w:rsid w:val="46E84015"/>
    <w:rsid w:val="46F49090"/>
    <w:rsid w:val="4704FB9F"/>
    <w:rsid w:val="470A4238"/>
    <w:rsid w:val="4726C874"/>
    <w:rsid w:val="4726CDA5"/>
    <w:rsid w:val="4727E48B"/>
    <w:rsid w:val="47313ECB"/>
    <w:rsid w:val="4746F380"/>
    <w:rsid w:val="474D8716"/>
    <w:rsid w:val="475BA56C"/>
    <w:rsid w:val="475DF697"/>
    <w:rsid w:val="4764FDB1"/>
    <w:rsid w:val="476509D1"/>
    <w:rsid w:val="476A0A2E"/>
    <w:rsid w:val="477B2D4B"/>
    <w:rsid w:val="478CE2AD"/>
    <w:rsid w:val="479D85CA"/>
    <w:rsid w:val="479EACD3"/>
    <w:rsid w:val="47A664F1"/>
    <w:rsid w:val="47B23A7C"/>
    <w:rsid w:val="47B5C7C7"/>
    <w:rsid w:val="47B62633"/>
    <w:rsid w:val="47C246EE"/>
    <w:rsid w:val="47D3870D"/>
    <w:rsid w:val="47DAAA4A"/>
    <w:rsid w:val="47E181D6"/>
    <w:rsid w:val="47E21891"/>
    <w:rsid w:val="47FD4FD7"/>
    <w:rsid w:val="480595E8"/>
    <w:rsid w:val="48067AF1"/>
    <w:rsid w:val="4816CEB8"/>
    <w:rsid w:val="48179B5D"/>
    <w:rsid w:val="481E0F66"/>
    <w:rsid w:val="481F8CD8"/>
    <w:rsid w:val="482DDFA3"/>
    <w:rsid w:val="482EEE9B"/>
    <w:rsid w:val="484C9C41"/>
    <w:rsid w:val="4859227B"/>
    <w:rsid w:val="485A7D98"/>
    <w:rsid w:val="486D7699"/>
    <w:rsid w:val="487A6D28"/>
    <w:rsid w:val="487E9615"/>
    <w:rsid w:val="4886CAFE"/>
    <w:rsid w:val="4893F907"/>
    <w:rsid w:val="4895DD41"/>
    <w:rsid w:val="48BA990B"/>
    <w:rsid w:val="48CBB283"/>
    <w:rsid w:val="48D997A0"/>
    <w:rsid w:val="48E17AB7"/>
    <w:rsid w:val="48EBDAB6"/>
    <w:rsid w:val="48FA7F5C"/>
    <w:rsid w:val="48FFB35A"/>
    <w:rsid w:val="490687F3"/>
    <w:rsid w:val="493B31DF"/>
    <w:rsid w:val="49420F34"/>
    <w:rsid w:val="4943074C"/>
    <w:rsid w:val="49468158"/>
    <w:rsid w:val="496C647D"/>
    <w:rsid w:val="4983C506"/>
    <w:rsid w:val="49875689"/>
    <w:rsid w:val="498C8CF0"/>
    <w:rsid w:val="49B4471C"/>
    <w:rsid w:val="49BAAA51"/>
    <w:rsid w:val="49BFE75B"/>
    <w:rsid w:val="49D4A491"/>
    <w:rsid w:val="49D65056"/>
    <w:rsid w:val="49DBFB44"/>
    <w:rsid w:val="49F0D68F"/>
    <w:rsid w:val="4A0E8EBA"/>
    <w:rsid w:val="4A0EB9AF"/>
    <w:rsid w:val="4A14C856"/>
    <w:rsid w:val="4A17953D"/>
    <w:rsid w:val="4A2B27E9"/>
    <w:rsid w:val="4A2F57BA"/>
    <w:rsid w:val="4A5309A8"/>
    <w:rsid w:val="4A6F3A02"/>
    <w:rsid w:val="4A72E93A"/>
    <w:rsid w:val="4A7CBBE5"/>
    <w:rsid w:val="4AC18D52"/>
    <w:rsid w:val="4AD06BF7"/>
    <w:rsid w:val="4AE3F058"/>
    <w:rsid w:val="4AEB29E3"/>
    <w:rsid w:val="4AF61BD7"/>
    <w:rsid w:val="4B23235F"/>
    <w:rsid w:val="4B25FA61"/>
    <w:rsid w:val="4B2B2A70"/>
    <w:rsid w:val="4B2E984F"/>
    <w:rsid w:val="4B47B3F7"/>
    <w:rsid w:val="4B49D835"/>
    <w:rsid w:val="4B5FF8BD"/>
    <w:rsid w:val="4B7572A3"/>
    <w:rsid w:val="4B841EBD"/>
    <w:rsid w:val="4B84261B"/>
    <w:rsid w:val="4B8ACB45"/>
    <w:rsid w:val="4B8C8082"/>
    <w:rsid w:val="4B8D8DC4"/>
    <w:rsid w:val="4B9CA386"/>
    <w:rsid w:val="4BA429AB"/>
    <w:rsid w:val="4BB43CE9"/>
    <w:rsid w:val="4BC086B5"/>
    <w:rsid w:val="4BC9DCEE"/>
    <w:rsid w:val="4BD0D31C"/>
    <w:rsid w:val="4BD25E97"/>
    <w:rsid w:val="4BE3D340"/>
    <w:rsid w:val="4BE66A59"/>
    <w:rsid w:val="4BF1CFFA"/>
    <w:rsid w:val="4BF2FACE"/>
    <w:rsid w:val="4BF49645"/>
    <w:rsid w:val="4C079E21"/>
    <w:rsid w:val="4C0AE65B"/>
    <w:rsid w:val="4C237B78"/>
    <w:rsid w:val="4C260417"/>
    <w:rsid w:val="4C27DDF3"/>
    <w:rsid w:val="4C2C8FC6"/>
    <w:rsid w:val="4C338CCE"/>
    <w:rsid w:val="4C376F88"/>
    <w:rsid w:val="4C4A2A5E"/>
    <w:rsid w:val="4C4CFA1E"/>
    <w:rsid w:val="4C5C1323"/>
    <w:rsid w:val="4C68D6E6"/>
    <w:rsid w:val="4C862232"/>
    <w:rsid w:val="4C8C1B03"/>
    <w:rsid w:val="4C8DCBE5"/>
    <w:rsid w:val="4C8F74E1"/>
    <w:rsid w:val="4C948123"/>
    <w:rsid w:val="4CADE23D"/>
    <w:rsid w:val="4CC5DCB6"/>
    <w:rsid w:val="4CD759B2"/>
    <w:rsid w:val="4CD7FADE"/>
    <w:rsid w:val="4CDB9DA9"/>
    <w:rsid w:val="4CE5F10B"/>
    <w:rsid w:val="4CE70D15"/>
    <w:rsid w:val="4CEA27DD"/>
    <w:rsid w:val="4CED97DA"/>
    <w:rsid w:val="4D1E0F7A"/>
    <w:rsid w:val="4D233D73"/>
    <w:rsid w:val="4D32BB44"/>
    <w:rsid w:val="4D332233"/>
    <w:rsid w:val="4D4BD388"/>
    <w:rsid w:val="4D4CF1B3"/>
    <w:rsid w:val="4D56D5DC"/>
    <w:rsid w:val="4D60CB10"/>
    <w:rsid w:val="4D63FA61"/>
    <w:rsid w:val="4D72F097"/>
    <w:rsid w:val="4D765E4D"/>
    <w:rsid w:val="4D8B23F2"/>
    <w:rsid w:val="4D910E74"/>
    <w:rsid w:val="4DA45744"/>
    <w:rsid w:val="4DCD54AD"/>
    <w:rsid w:val="4DD59FE4"/>
    <w:rsid w:val="4DD846D4"/>
    <w:rsid w:val="4DDFDCBD"/>
    <w:rsid w:val="4DFC87DF"/>
    <w:rsid w:val="4E1C3216"/>
    <w:rsid w:val="4E24B399"/>
    <w:rsid w:val="4E291A4B"/>
    <w:rsid w:val="4E295323"/>
    <w:rsid w:val="4E3E6F21"/>
    <w:rsid w:val="4E54F2A7"/>
    <w:rsid w:val="4E59E7CA"/>
    <w:rsid w:val="4E7D2976"/>
    <w:rsid w:val="4E9D026D"/>
    <w:rsid w:val="4EA91EB6"/>
    <w:rsid w:val="4EB29388"/>
    <w:rsid w:val="4ECDA7F6"/>
    <w:rsid w:val="4ECE9669"/>
    <w:rsid w:val="4ED0833C"/>
    <w:rsid w:val="4ED5D8FA"/>
    <w:rsid w:val="4EDCB766"/>
    <w:rsid w:val="4F0EB0B1"/>
    <w:rsid w:val="4F1444DE"/>
    <w:rsid w:val="4F214A06"/>
    <w:rsid w:val="4F2D3758"/>
    <w:rsid w:val="4F491195"/>
    <w:rsid w:val="4F4F7351"/>
    <w:rsid w:val="4F5990FE"/>
    <w:rsid w:val="4F6094D1"/>
    <w:rsid w:val="4F61F5DA"/>
    <w:rsid w:val="4F65FD81"/>
    <w:rsid w:val="4F72B9C8"/>
    <w:rsid w:val="4F767E30"/>
    <w:rsid w:val="4F798A59"/>
    <w:rsid w:val="4F7C2CEC"/>
    <w:rsid w:val="4F8EF5AE"/>
    <w:rsid w:val="4F903042"/>
    <w:rsid w:val="4F9689FC"/>
    <w:rsid w:val="4F99D7C7"/>
    <w:rsid w:val="4FAD3A59"/>
    <w:rsid w:val="4FB39A74"/>
    <w:rsid w:val="4FD4BA71"/>
    <w:rsid w:val="4FE6C66C"/>
    <w:rsid w:val="4FED5456"/>
    <w:rsid w:val="4FF88E66"/>
    <w:rsid w:val="5011FEE5"/>
    <w:rsid w:val="5016CAB2"/>
    <w:rsid w:val="5019F004"/>
    <w:rsid w:val="502E38A6"/>
    <w:rsid w:val="50331201"/>
    <w:rsid w:val="505599DF"/>
    <w:rsid w:val="50659C4E"/>
    <w:rsid w:val="50795B60"/>
    <w:rsid w:val="5079A8E1"/>
    <w:rsid w:val="5084F708"/>
    <w:rsid w:val="508B7B33"/>
    <w:rsid w:val="508DCFC4"/>
    <w:rsid w:val="50C399B1"/>
    <w:rsid w:val="50DDC43E"/>
    <w:rsid w:val="50EAD60E"/>
    <w:rsid w:val="50F1770D"/>
    <w:rsid w:val="5101DDC5"/>
    <w:rsid w:val="510318B9"/>
    <w:rsid w:val="51058ADD"/>
    <w:rsid w:val="510E63DA"/>
    <w:rsid w:val="51263B8B"/>
    <w:rsid w:val="512903A6"/>
    <w:rsid w:val="513846F5"/>
    <w:rsid w:val="5139C0AD"/>
    <w:rsid w:val="514590F8"/>
    <w:rsid w:val="5161401F"/>
    <w:rsid w:val="51663D34"/>
    <w:rsid w:val="5166D5CC"/>
    <w:rsid w:val="516707C8"/>
    <w:rsid w:val="51769BB8"/>
    <w:rsid w:val="51875059"/>
    <w:rsid w:val="51A8105B"/>
    <w:rsid w:val="51AF7B79"/>
    <w:rsid w:val="51B5F3DA"/>
    <w:rsid w:val="51B70D43"/>
    <w:rsid w:val="51C7D6D1"/>
    <w:rsid w:val="51CF3238"/>
    <w:rsid w:val="51DCD965"/>
    <w:rsid w:val="51EFC5B5"/>
    <w:rsid w:val="51FA0B8D"/>
    <w:rsid w:val="5205CD34"/>
    <w:rsid w:val="52141B17"/>
    <w:rsid w:val="52355964"/>
    <w:rsid w:val="523ABF8F"/>
    <w:rsid w:val="524E47E3"/>
    <w:rsid w:val="5250993D"/>
    <w:rsid w:val="526BC1F6"/>
    <w:rsid w:val="526C5EBE"/>
    <w:rsid w:val="52728CFC"/>
    <w:rsid w:val="528F2F44"/>
    <w:rsid w:val="5299DFF3"/>
    <w:rsid w:val="52B2F411"/>
    <w:rsid w:val="52B3C7E5"/>
    <w:rsid w:val="52B9303B"/>
    <w:rsid w:val="52BF526C"/>
    <w:rsid w:val="52D0478B"/>
    <w:rsid w:val="52DDA838"/>
    <w:rsid w:val="52EB4221"/>
    <w:rsid w:val="52EF14B0"/>
    <w:rsid w:val="530232CD"/>
    <w:rsid w:val="53096D6E"/>
    <w:rsid w:val="530B9CF8"/>
    <w:rsid w:val="530F0BDF"/>
    <w:rsid w:val="530F8185"/>
    <w:rsid w:val="53165EAA"/>
    <w:rsid w:val="53211AA5"/>
    <w:rsid w:val="5326691A"/>
    <w:rsid w:val="532D185A"/>
    <w:rsid w:val="533E329B"/>
    <w:rsid w:val="534AB376"/>
    <w:rsid w:val="534FF2B9"/>
    <w:rsid w:val="5359F71B"/>
    <w:rsid w:val="536D37C5"/>
    <w:rsid w:val="53710026"/>
    <w:rsid w:val="5374ADB7"/>
    <w:rsid w:val="537836A3"/>
    <w:rsid w:val="5378F223"/>
    <w:rsid w:val="537A2CB4"/>
    <w:rsid w:val="539CE2F6"/>
    <w:rsid w:val="539F80CE"/>
    <w:rsid w:val="53AAE31B"/>
    <w:rsid w:val="53B6FC39"/>
    <w:rsid w:val="53D37899"/>
    <w:rsid w:val="53DAE48F"/>
    <w:rsid w:val="53DBCBB4"/>
    <w:rsid w:val="53E70DFF"/>
    <w:rsid w:val="53EC9BCD"/>
    <w:rsid w:val="53EF51F5"/>
    <w:rsid w:val="53F66693"/>
    <w:rsid w:val="53FDEED4"/>
    <w:rsid w:val="540470CF"/>
    <w:rsid w:val="54048201"/>
    <w:rsid w:val="5413DF27"/>
    <w:rsid w:val="541C8505"/>
    <w:rsid w:val="541D845C"/>
    <w:rsid w:val="542A8AD1"/>
    <w:rsid w:val="542D2097"/>
    <w:rsid w:val="543FEE66"/>
    <w:rsid w:val="5450E43F"/>
    <w:rsid w:val="54515878"/>
    <w:rsid w:val="5470CF72"/>
    <w:rsid w:val="547A229F"/>
    <w:rsid w:val="549C99FF"/>
    <w:rsid w:val="54A2A195"/>
    <w:rsid w:val="54AFBA68"/>
    <w:rsid w:val="54C0ABAA"/>
    <w:rsid w:val="54C2273E"/>
    <w:rsid w:val="54F15364"/>
    <w:rsid w:val="54F61714"/>
    <w:rsid w:val="54F9CB12"/>
    <w:rsid w:val="551131C3"/>
    <w:rsid w:val="553C4A61"/>
    <w:rsid w:val="5544E940"/>
    <w:rsid w:val="554AA720"/>
    <w:rsid w:val="55545404"/>
    <w:rsid w:val="5554847B"/>
    <w:rsid w:val="5562266B"/>
    <w:rsid w:val="556B6B55"/>
    <w:rsid w:val="5573B325"/>
    <w:rsid w:val="5596E36F"/>
    <w:rsid w:val="55976D12"/>
    <w:rsid w:val="55A08E2B"/>
    <w:rsid w:val="55A79662"/>
    <w:rsid w:val="55AD41CF"/>
    <w:rsid w:val="55B85C35"/>
    <w:rsid w:val="55CBB3EF"/>
    <w:rsid w:val="55DC4518"/>
    <w:rsid w:val="55DFE52E"/>
    <w:rsid w:val="55EA6904"/>
    <w:rsid w:val="55FCE7C2"/>
    <w:rsid w:val="55FCF54B"/>
    <w:rsid w:val="55FE61E1"/>
    <w:rsid w:val="56028B59"/>
    <w:rsid w:val="56150110"/>
    <w:rsid w:val="56178380"/>
    <w:rsid w:val="56224584"/>
    <w:rsid w:val="5623ABCC"/>
    <w:rsid w:val="5633DDFD"/>
    <w:rsid w:val="5634B735"/>
    <w:rsid w:val="5639F8FE"/>
    <w:rsid w:val="563C1AC1"/>
    <w:rsid w:val="5641EA6B"/>
    <w:rsid w:val="5643B3AB"/>
    <w:rsid w:val="5660D1A3"/>
    <w:rsid w:val="5667578A"/>
    <w:rsid w:val="5679FB66"/>
    <w:rsid w:val="567FF586"/>
    <w:rsid w:val="568C029B"/>
    <w:rsid w:val="5694EBB5"/>
    <w:rsid w:val="56A13CC2"/>
    <w:rsid w:val="56A64EFA"/>
    <w:rsid w:val="56B4C169"/>
    <w:rsid w:val="56C3D4F7"/>
    <w:rsid w:val="56CBA07C"/>
    <w:rsid w:val="56F1E43D"/>
    <w:rsid w:val="56F2FAB7"/>
    <w:rsid w:val="5700F675"/>
    <w:rsid w:val="5715783C"/>
    <w:rsid w:val="571BF2B2"/>
    <w:rsid w:val="57202FCE"/>
    <w:rsid w:val="5725C496"/>
    <w:rsid w:val="57340495"/>
    <w:rsid w:val="5746A706"/>
    <w:rsid w:val="574C111E"/>
    <w:rsid w:val="574E60B1"/>
    <w:rsid w:val="57530185"/>
    <w:rsid w:val="5758F26D"/>
    <w:rsid w:val="575D7CD0"/>
    <w:rsid w:val="57620AE9"/>
    <w:rsid w:val="576D4BD7"/>
    <w:rsid w:val="57720A2C"/>
    <w:rsid w:val="578C659C"/>
    <w:rsid w:val="57A6886B"/>
    <w:rsid w:val="57C8601D"/>
    <w:rsid w:val="57DB4AD0"/>
    <w:rsid w:val="57E2EBDD"/>
    <w:rsid w:val="57EC022C"/>
    <w:rsid w:val="57EFD813"/>
    <w:rsid w:val="57F91CC9"/>
    <w:rsid w:val="57FF586A"/>
    <w:rsid w:val="58059001"/>
    <w:rsid w:val="5818BE3B"/>
    <w:rsid w:val="582DBB49"/>
    <w:rsid w:val="582DC807"/>
    <w:rsid w:val="583F88E1"/>
    <w:rsid w:val="58413638"/>
    <w:rsid w:val="5842AFCA"/>
    <w:rsid w:val="5850452F"/>
    <w:rsid w:val="585132B5"/>
    <w:rsid w:val="58547CAD"/>
    <w:rsid w:val="58588016"/>
    <w:rsid w:val="585F59A7"/>
    <w:rsid w:val="58696852"/>
    <w:rsid w:val="58703C71"/>
    <w:rsid w:val="5886B651"/>
    <w:rsid w:val="5895D3ED"/>
    <w:rsid w:val="589BBAC9"/>
    <w:rsid w:val="589CA145"/>
    <w:rsid w:val="58ABF09D"/>
    <w:rsid w:val="58ADAB92"/>
    <w:rsid w:val="58CA7397"/>
    <w:rsid w:val="58D78D67"/>
    <w:rsid w:val="58D9D771"/>
    <w:rsid w:val="58DC38E1"/>
    <w:rsid w:val="59229E3B"/>
    <w:rsid w:val="5924AE3B"/>
    <w:rsid w:val="592F3604"/>
    <w:rsid w:val="59385E83"/>
    <w:rsid w:val="594DDF20"/>
    <w:rsid w:val="5966C717"/>
    <w:rsid w:val="59743FB1"/>
    <w:rsid w:val="5990C8DF"/>
    <w:rsid w:val="59925E00"/>
    <w:rsid w:val="59944F5F"/>
    <w:rsid w:val="599BF59D"/>
    <w:rsid w:val="59A7B850"/>
    <w:rsid w:val="59B5DB25"/>
    <w:rsid w:val="59B95516"/>
    <w:rsid w:val="59CE0C17"/>
    <w:rsid w:val="59CE321C"/>
    <w:rsid w:val="59D4CF25"/>
    <w:rsid w:val="59D6FDD0"/>
    <w:rsid w:val="59D7A6E0"/>
    <w:rsid w:val="5A0F05E0"/>
    <w:rsid w:val="5A0F41D8"/>
    <w:rsid w:val="5A136743"/>
    <w:rsid w:val="5A17CAC4"/>
    <w:rsid w:val="5A2322D4"/>
    <w:rsid w:val="5A24CF1D"/>
    <w:rsid w:val="5A25FFCC"/>
    <w:rsid w:val="5A36B99A"/>
    <w:rsid w:val="5A4463DD"/>
    <w:rsid w:val="5A48ABA1"/>
    <w:rsid w:val="5A52F1B2"/>
    <w:rsid w:val="5A59D65B"/>
    <w:rsid w:val="5A6661E2"/>
    <w:rsid w:val="5A79BA03"/>
    <w:rsid w:val="5A7C8728"/>
    <w:rsid w:val="5A94EC44"/>
    <w:rsid w:val="5A99C9E0"/>
    <w:rsid w:val="5AA91DEB"/>
    <w:rsid w:val="5ABB7482"/>
    <w:rsid w:val="5ABBD1BD"/>
    <w:rsid w:val="5ABBF6A7"/>
    <w:rsid w:val="5AC4C8B9"/>
    <w:rsid w:val="5AD32D45"/>
    <w:rsid w:val="5AF27757"/>
    <w:rsid w:val="5AF39E81"/>
    <w:rsid w:val="5B036CCA"/>
    <w:rsid w:val="5B274F7F"/>
    <w:rsid w:val="5B2B6849"/>
    <w:rsid w:val="5B2FBBC1"/>
    <w:rsid w:val="5B396790"/>
    <w:rsid w:val="5B63AD68"/>
    <w:rsid w:val="5B668B6E"/>
    <w:rsid w:val="5B69D4CE"/>
    <w:rsid w:val="5B7F8CB4"/>
    <w:rsid w:val="5B838256"/>
    <w:rsid w:val="5B8EC9C8"/>
    <w:rsid w:val="5B8F245E"/>
    <w:rsid w:val="5B98A19E"/>
    <w:rsid w:val="5B9AAD6F"/>
    <w:rsid w:val="5BB53537"/>
    <w:rsid w:val="5BBA932E"/>
    <w:rsid w:val="5BC0B8D9"/>
    <w:rsid w:val="5BC4B598"/>
    <w:rsid w:val="5BE8F2D3"/>
    <w:rsid w:val="5BE972E2"/>
    <w:rsid w:val="5BEAE9E9"/>
    <w:rsid w:val="5BEB5B2C"/>
    <w:rsid w:val="5C185789"/>
    <w:rsid w:val="5C1DE6E0"/>
    <w:rsid w:val="5C240927"/>
    <w:rsid w:val="5C25427A"/>
    <w:rsid w:val="5C2C625C"/>
    <w:rsid w:val="5C38C1CE"/>
    <w:rsid w:val="5C3AF546"/>
    <w:rsid w:val="5C3CE319"/>
    <w:rsid w:val="5C418051"/>
    <w:rsid w:val="5C5070C3"/>
    <w:rsid w:val="5C558BA0"/>
    <w:rsid w:val="5C731DE8"/>
    <w:rsid w:val="5C984A8A"/>
    <w:rsid w:val="5C9E0F16"/>
    <w:rsid w:val="5CAD56D6"/>
    <w:rsid w:val="5CCFED8D"/>
    <w:rsid w:val="5CD5AD34"/>
    <w:rsid w:val="5CDBA07F"/>
    <w:rsid w:val="5CE12DE7"/>
    <w:rsid w:val="5CF0A8EB"/>
    <w:rsid w:val="5D0BA51C"/>
    <w:rsid w:val="5D0BF244"/>
    <w:rsid w:val="5D0E3CFE"/>
    <w:rsid w:val="5D19D325"/>
    <w:rsid w:val="5D31EF9B"/>
    <w:rsid w:val="5D340862"/>
    <w:rsid w:val="5D37FA80"/>
    <w:rsid w:val="5D4598D6"/>
    <w:rsid w:val="5D4E9202"/>
    <w:rsid w:val="5D5220D6"/>
    <w:rsid w:val="5D7D55D1"/>
    <w:rsid w:val="5D7FB548"/>
    <w:rsid w:val="5D88B433"/>
    <w:rsid w:val="5D900F38"/>
    <w:rsid w:val="5D90C032"/>
    <w:rsid w:val="5DA6AFF4"/>
    <w:rsid w:val="5DABA055"/>
    <w:rsid w:val="5DC3C5DB"/>
    <w:rsid w:val="5DD2802F"/>
    <w:rsid w:val="5DE79ADC"/>
    <w:rsid w:val="5DF44047"/>
    <w:rsid w:val="5DF68684"/>
    <w:rsid w:val="5E041ADF"/>
    <w:rsid w:val="5E26FA18"/>
    <w:rsid w:val="5E4F0B73"/>
    <w:rsid w:val="5E58F600"/>
    <w:rsid w:val="5E617502"/>
    <w:rsid w:val="5E648FB1"/>
    <w:rsid w:val="5E7A28E2"/>
    <w:rsid w:val="5E92AA98"/>
    <w:rsid w:val="5E9C3B1D"/>
    <w:rsid w:val="5EA5C014"/>
    <w:rsid w:val="5EBA79D0"/>
    <w:rsid w:val="5EC60708"/>
    <w:rsid w:val="5EE80B73"/>
    <w:rsid w:val="5F077BC5"/>
    <w:rsid w:val="5F0AB07E"/>
    <w:rsid w:val="5F0CBD16"/>
    <w:rsid w:val="5F212438"/>
    <w:rsid w:val="5F2C64F3"/>
    <w:rsid w:val="5F2DC35D"/>
    <w:rsid w:val="5F4B3F3C"/>
    <w:rsid w:val="5F4EEB5C"/>
    <w:rsid w:val="5F7BA1D3"/>
    <w:rsid w:val="5F8A0E47"/>
    <w:rsid w:val="5F8AD7C3"/>
    <w:rsid w:val="5F8C5DE5"/>
    <w:rsid w:val="5F8E3327"/>
    <w:rsid w:val="5F9ACC62"/>
    <w:rsid w:val="5FB1BB36"/>
    <w:rsid w:val="5FB23609"/>
    <w:rsid w:val="5FB66360"/>
    <w:rsid w:val="5FB69BA7"/>
    <w:rsid w:val="5FB997F3"/>
    <w:rsid w:val="5FBA87D3"/>
    <w:rsid w:val="5FBC5553"/>
    <w:rsid w:val="5FC0AA34"/>
    <w:rsid w:val="5FC9DDC0"/>
    <w:rsid w:val="5FD79B0D"/>
    <w:rsid w:val="5FDA3854"/>
    <w:rsid w:val="60020218"/>
    <w:rsid w:val="600B3F54"/>
    <w:rsid w:val="600ED357"/>
    <w:rsid w:val="600F496A"/>
    <w:rsid w:val="601B8927"/>
    <w:rsid w:val="60202293"/>
    <w:rsid w:val="602CC9C9"/>
    <w:rsid w:val="603254D9"/>
    <w:rsid w:val="603EC5B4"/>
    <w:rsid w:val="605359F1"/>
    <w:rsid w:val="60610EE9"/>
    <w:rsid w:val="606262CB"/>
    <w:rsid w:val="606513D7"/>
    <w:rsid w:val="6076A05A"/>
    <w:rsid w:val="609EE532"/>
    <w:rsid w:val="60AE76D0"/>
    <w:rsid w:val="60AFA2A8"/>
    <w:rsid w:val="60B7B971"/>
    <w:rsid w:val="60C44ABD"/>
    <w:rsid w:val="60CDCAE6"/>
    <w:rsid w:val="60D99D9A"/>
    <w:rsid w:val="60E9111C"/>
    <w:rsid w:val="60EE1144"/>
    <w:rsid w:val="60F40436"/>
    <w:rsid w:val="610047CF"/>
    <w:rsid w:val="61219190"/>
    <w:rsid w:val="61274072"/>
    <w:rsid w:val="613962FE"/>
    <w:rsid w:val="6155943B"/>
    <w:rsid w:val="615A0B9A"/>
    <w:rsid w:val="617AC95C"/>
    <w:rsid w:val="6189C3E3"/>
    <w:rsid w:val="618BC2F7"/>
    <w:rsid w:val="618BF46A"/>
    <w:rsid w:val="6194F396"/>
    <w:rsid w:val="61AC7AFA"/>
    <w:rsid w:val="61C95F45"/>
    <w:rsid w:val="6208C552"/>
    <w:rsid w:val="620F4EBC"/>
    <w:rsid w:val="621D80BF"/>
    <w:rsid w:val="623350FA"/>
    <w:rsid w:val="62486414"/>
    <w:rsid w:val="62679602"/>
    <w:rsid w:val="6279EEA0"/>
    <w:rsid w:val="627A14C7"/>
    <w:rsid w:val="627D5BED"/>
    <w:rsid w:val="628879CC"/>
    <w:rsid w:val="62A681B0"/>
    <w:rsid w:val="62DE32A1"/>
    <w:rsid w:val="62DEDD86"/>
    <w:rsid w:val="62EA045C"/>
    <w:rsid w:val="62EDBE36"/>
    <w:rsid w:val="63083E1B"/>
    <w:rsid w:val="631123C9"/>
    <w:rsid w:val="6321DFB0"/>
    <w:rsid w:val="63402DC5"/>
    <w:rsid w:val="6346072B"/>
    <w:rsid w:val="635C5620"/>
    <w:rsid w:val="63614C11"/>
    <w:rsid w:val="636338C5"/>
    <w:rsid w:val="63770C36"/>
    <w:rsid w:val="637A4CE0"/>
    <w:rsid w:val="637ECBD1"/>
    <w:rsid w:val="6385A318"/>
    <w:rsid w:val="638ACCF1"/>
    <w:rsid w:val="63A01834"/>
    <w:rsid w:val="63A092FC"/>
    <w:rsid w:val="63BD9E45"/>
    <w:rsid w:val="63C12E90"/>
    <w:rsid w:val="63C2C727"/>
    <w:rsid w:val="63EF2F28"/>
    <w:rsid w:val="641569F6"/>
    <w:rsid w:val="641B44BA"/>
    <w:rsid w:val="641D6765"/>
    <w:rsid w:val="643CF57C"/>
    <w:rsid w:val="643F97A4"/>
    <w:rsid w:val="64452A2A"/>
    <w:rsid w:val="64516A2E"/>
    <w:rsid w:val="6463CEF1"/>
    <w:rsid w:val="646E76C7"/>
    <w:rsid w:val="647710F0"/>
    <w:rsid w:val="6480F1BA"/>
    <w:rsid w:val="64819464"/>
    <w:rsid w:val="648680E8"/>
    <w:rsid w:val="6489DF6C"/>
    <w:rsid w:val="64961429"/>
    <w:rsid w:val="64977DFA"/>
    <w:rsid w:val="649A4C74"/>
    <w:rsid w:val="649BFB96"/>
    <w:rsid w:val="649D50D7"/>
    <w:rsid w:val="64A060A1"/>
    <w:rsid w:val="64A993E3"/>
    <w:rsid w:val="64D132E9"/>
    <w:rsid w:val="64DF5826"/>
    <w:rsid w:val="64E5E9AD"/>
    <w:rsid w:val="6509229C"/>
    <w:rsid w:val="651E353D"/>
    <w:rsid w:val="654976FA"/>
    <w:rsid w:val="6553BD99"/>
    <w:rsid w:val="655E50D2"/>
    <w:rsid w:val="656018F6"/>
    <w:rsid w:val="657BCA60"/>
    <w:rsid w:val="6593A68E"/>
    <w:rsid w:val="659DEF0B"/>
    <w:rsid w:val="65B00281"/>
    <w:rsid w:val="65B8A484"/>
    <w:rsid w:val="65C4866E"/>
    <w:rsid w:val="65CCC5B7"/>
    <w:rsid w:val="65CD409A"/>
    <w:rsid w:val="65D9EBDD"/>
    <w:rsid w:val="65E497EE"/>
    <w:rsid w:val="65E8F1BE"/>
    <w:rsid w:val="65F8B23A"/>
    <w:rsid w:val="660E03EA"/>
    <w:rsid w:val="660FA3F8"/>
    <w:rsid w:val="6610524E"/>
    <w:rsid w:val="66106046"/>
    <w:rsid w:val="661AFF5B"/>
    <w:rsid w:val="662DE301"/>
    <w:rsid w:val="66310666"/>
    <w:rsid w:val="6633B8D0"/>
    <w:rsid w:val="664BB9AB"/>
    <w:rsid w:val="665B1CAE"/>
    <w:rsid w:val="66696490"/>
    <w:rsid w:val="66739039"/>
    <w:rsid w:val="66957FB8"/>
    <w:rsid w:val="669E30FE"/>
    <w:rsid w:val="669EEF1B"/>
    <w:rsid w:val="66A92344"/>
    <w:rsid w:val="66B5C0BC"/>
    <w:rsid w:val="66BBBF40"/>
    <w:rsid w:val="66BDA24E"/>
    <w:rsid w:val="66C7BED5"/>
    <w:rsid w:val="66C92AFA"/>
    <w:rsid w:val="66CC480A"/>
    <w:rsid w:val="66E8756E"/>
    <w:rsid w:val="67046E9D"/>
    <w:rsid w:val="67083525"/>
    <w:rsid w:val="6711828F"/>
    <w:rsid w:val="6711D53E"/>
    <w:rsid w:val="671FB891"/>
    <w:rsid w:val="67291E57"/>
    <w:rsid w:val="672B0943"/>
    <w:rsid w:val="67738C62"/>
    <w:rsid w:val="677C6D57"/>
    <w:rsid w:val="677D1F7A"/>
    <w:rsid w:val="6785CE49"/>
    <w:rsid w:val="678668FC"/>
    <w:rsid w:val="67887A30"/>
    <w:rsid w:val="67888396"/>
    <w:rsid w:val="678B20A7"/>
    <w:rsid w:val="6794829B"/>
    <w:rsid w:val="679CADFA"/>
    <w:rsid w:val="67B169BE"/>
    <w:rsid w:val="67CF4D8C"/>
    <w:rsid w:val="67D75EF4"/>
    <w:rsid w:val="67DBFEF1"/>
    <w:rsid w:val="67DC3C14"/>
    <w:rsid w:val="67E14D9A"/>
    <w:rsid w:val="67EE1ED8"/>
    <w:rsid w:val="67F12AE0"/>
    <w:rsid w:val="67F9EF94"/>
    <w:rsid w:val="67FEBB3D"/>
    <w:rsid w:val="6803107A"/>
    <w:rsid w:val="680AF5BB"/>
    <w:rsid w:val="680B8D72"/>
    <w:rsid w:val="6810E3E5"/>
    <w:rsid w:val="6812FC23"/>
    <w:rsid w:val="6815C66E"/>
    <w:rsid w:val="681DBA43"/>
    <w:rsid w:val="6830348C"/>
    <w:rsid w:val="68446FCD"/>
    <w:rsid w:val="684E7A48"/>
    <w:rsid w:val="68581083"/>
    <w:rsid w:val="6860A084"/>
    <w:rsid w:val="6864FB2C"/>
    <w:rsid w:val="6869B167"/>
    <w:rsid w:val="686A630B"/>
    <w:rsid w:val="68740EB8"/>
    <w:rsid w:val="68766088"/>
    <w:rsid w:val="687C76C3"/>
    <w:rsid w:val="687D9BC1"/>
    <w:rsid w:val="6899D73C"/>
    <w:rsid w:val="68A0694A"/>
    <w:rsid w:val="68A4AFCD"/>
    <w:rsid w:val="68AB3241"/>
    <w:rsid w:val="68B03323"/>
    <w:rsid w:val="68B7BC3E"/>
    <w:rsid w:val="68BAB63D"/>
    <w:rsid w:val="68BCFC82"/>
    <w:rsid w:val="68C40B46"/>
    <w:rsid w:val="68E210A8"/>
    <w:rsid w:val="68E3FAA9"/>
    <w:rsid w:val="68ED4713"/>
    <w:rsid w:val="691D88C1"/>
    <w:rsid w:val="69210C06"/>
    <w:rsid w:val="6924EC51"/>
    <w:rsid w:val="692B7B91"/>
    <w:rsid w:val="69401C82"/>
    <w:rsid w:val="6952ED3E"/>
    <w:rsid w:val="6958457E"/>
    <w:rsid w:val="696D0272"/>
    <w:rsid w:val="69741AFB"/>
    <w:rsid w:val="69762DB5"/>
    <w:rsid w:val="699B6B9A"/>
    <w:rsid w:val="699F9A22"/>
    <w:rsid w:val="69A581B5"/>
    <w:rsid w:val="69C0609D"/>
    <w:rsid w:val="69C4FCF7"/>
    <w:rsid w:val="69C88378"/>
    <w:rsid w:val="69CE3FFF"/>
    <w:rsid w:val="69D1324E"/>
    <w:rsid w:val="69D46559"/>
    <w:rsid w:val="69D55425"/>
    <w:rsid w:val="69D77F4E"/>
    <w:rsid w:val="69E6AD84"/>
    <w:rsid w:val="69E8B6E7"/>
    <w:rsid w:val="69F0F379"/>
    <w:rsid w:val="69F2FD73"/>
    <w:rsid w:val="69F46027"/>
    <w:rsid w:val="6A04D207"/>
    <w:rsid w:val="6A0DC76B"/>
    <w:rsid w:val="6A0F2CAB"/>
    <w:rsid w:val="6A10C8E5"/>
    <w:rsid w:val="6A1B168C"/>
    <w:rsid w:val="6A36433C"/>
    <w:rsid w:val="6A36BD5C"/>
    <w:rsid w:val="6A4363A3"/>
    <w:rsid w:val="6A61C9DD"/>
    <w:rsid w:val="6A7ECC0D"/>
    <w:rsid w:val="6A87DA0F"/>
    <w:rsid w:val="6ABA9A50"/>
    <w:rsid w:val="6AC2165B"/>
    <w:rsid w:val="6AC33DF1"/>
    <w:rsid w:val="6ACCC4C6"/>
    <w:rsid w:val="6ACD5BC5"/>
    <w:rsid w:val="6ACEDB68"/>
    <w:rsid w:val="6AE7AE7E"/>
    <w:rsid w:val="6AEB17BA"/>
    <w:rsid w:val="6AFA0F64"/>
    <w:rsid w:val="6AFB2DF9"/>
    <w:rsid w:val="6B0391EE"/>
    <w:rsid w:val="6B10A229"/>
    <w:rsid w:val="6B2C3535"/>
    <w:rsid w:val="6B47334C"/>
    <w:rsid w:val="6B48D8D9"/>
    <w:rsid w:val="6B66B173"/>
    <w:rsid w:val="6B69D3CE"/>
    <w:rsid w:val="6B6BDB3C"/>
    <w:rsid w:val="6B9128DF"/>
    <w:rsid w:val="6BA0F9FF"/>
    <w:rsid w:val="6BA7F433"/>
    <w:rsid w:val="6BAFFE24"/>
    <w:rsid w:val="6BB2BEE3"/>
    <w:rsid w:val="6BB86C80"/>
    <w:rsid w:val="6BBE68E7"/>
    <w:rsid w:val="6BC07C4C"/>
    <w:rsid w:val="6BD4DB70"/>
    <w:rsid w:val="6BEB6470"/>
    <w:rsid w:val="6BEF74B0"/>
    <w:rsid w:val="6BF9E831"/>
    <w:rsid w:val="6BFECC23"/>
    <w:rsid w:val="6C082486"/>
    <w:rsid w:val="6C169B97"/>
    <w:rsid w:val="6C228B0D"/>
    <w:rsid w:val="6C261B67"/>
    <w:rsid w:val="6C34D559"/>
    <w:rsid w:val="6C368594"/>
    <w:rsid w:val="6C3FB101"/>
    <w:rsid w:val="6C421077"/>
    <w:rsid w:val="6C43A0E3"/>
    <w:rsid w:val="6C460786"/>
    <w:rsid w:val="6C5EE918"/>
    <w:rsid w:val="6C68C4D5"/>
    <w:rsid w:val="6C6F37C2"/>
    <w:rsid w:val="6C8C674B"/>
    <w:rsid w:val="6CCB31C4"/>
    <w:rsid w:val="6CD19B65"/>
    <w:rsid w:val="6CD2E74A"/>
    <w:rsid w:val="6CDA312B"/>
    <w:rsid w:val="6CDB0C56"/>
    <w:rsid w:val="6CDBF675"/>
    <w:rsid w:val="6CED4F3D"/>
    <w:rsid w:val="6CEF51E6"/>
    <w:rsid w:val="6CEFD750"/>
    <w:rsid w:val="6CF0233C"/>
    <w:rsid w:val="6CFA5A31"/>
    <w:rsid w:val="6CFEA7EA"/>
    <w:rsid w:val="6D20165E"/>
    <w:rsid w:val="6D34C919"/>
    <w:rsid w:val="6D396A0C"/>
    <w:rsid w:val="6D5A573A"/>
    <w:rsid w:val="6D601E28"/>
    <w:rsid w:val="6D623D04"/>
    <w:rsid w:val="6D64C0BE"/>
    <w:rsid w:val="6D67BFEC"/>
    <w:rsid w:val="6D729393"/>
    <w:rsid w:val="6D96A1CA"/>
    <w:rsid w:val="6D97B966"/>
    <w:rsid w:val="6DA314AF"/>
    <w:rsid w:val="6DC3F1CA"/>
    <w:rsid w:val="6DCCB99E"/>
    <w:rsid w:val="6DD8EFD9"/>
    <w:rsid w:val="6DDDF75B"/>
    <w:rsid w:val="6DE47DF5"/>
    <w:rsid w:val="6DEB38E2"/>
    <w:rsid w:val="6DFA2F3C"/>
    <w:rsid w:val="6E04B2A6"/>
    <w:rsid w:val="6E1A5C53"/>
    <w:rsid w:val="6E1BC7A4"/>
    <w:rsid w:val="6E3D9CEA"/>
    <w:rsid w:val="6E3FBBE0"/>
    <w:rsid w:val="6E4C3818"/>
    <w:rsid w:val="6E57B56C"/>
    <w:rsid w:val="6E5809EA"/>
    <w:rsid w:val="6E5E8C93"/>
    <w:rsid w:val="6E7996F5"/>
    <w:rsid w:val="6E7F27C9"/>
    <w:rsid w:val="6E7FF6B8"/>
    <w:rsid w:val="6E9267D4"/>
    <w:rsid w:val="6E99F41D"/>
    <w:rsid w:val="6EB1BEFB"/>
    <w:rsid w:val="6EB2DBC6"/>
    <w:rsid w:val="6EB2EA35"/>
    <w:rsid w:val="6EB6ABA3"/>
    <w:rsid w:val="6EB978FC"/>
    <w:rsid w:val="6EC3F759"/>
    <w:rsid w:val="6ED28370"/>
    <w:rsid w:val="6ED693C7"/>
    <w:rsid w:val="6EDC699E"/>
    <w:rsid w:val="6EDE37FD"/>
    <w:rsid w:val="6EF9EB1E"/>
    <w:rsid w:val="6F018DC6"/>
    <w:rsid w:val="6F064CCA"/>
    <w:rsid w:val="6F06731B"/>
    <w:rsid w:val="6F08279C"/>
    <w:rsid w:val="6F0A22E1"/>
    <w:rsid w:val="6F104540"/>
    <w:rsid w:val="6F2B0B25"/>
    <w:rsid w:val="6F500A75"/>
    <w:rsid w:val="6F5055D9"/>
    <w:rsid w:val="6F58CA4C"/>
    <w:rsid w:val="6F58E36B"/>
    <w:rsid w:val="6F5FB62B"/>
    <w:rsid w:val="6F6F58B3"/>
    <w:rsid w:val="6F722527"/>
    <w:rsid w:val="6F75E02B"/>
    <w:rsid w:val="6F8060A6"/>
    <w:rsid w:val="6F88A1B9"/>
    <w:rsid w:val="6F8A4A3E"/>
    <w:rsid w:val="6FA262EA"/>
    <w:rsid w:val="6FA83C68"/>
    <w:rsid w:val="6FB9DA6F"/>
    <w:rsid w:val="6FC69A75"/>
    <w:rsid w:val="6FC8829E"/>
    <w:rsid w:val="6FD7A0DD"/>
    <w:rsid w:val="700CA2C9"/>
    <w:rsid w:val="701272F2"/>
    <w:rsid w:val="70156269"/>
    <w:rsid w:val="70170234"/>
    <w:rsid w:val="7019608A"/>
    <w:rsid w:val="701A8DFF"/>
    <w:rsid w:val="701AF562"/>
    <w:rsid w:val="701DA786"/>
    <w:rsid w:val="703943FF"/>
    <w:rsid w:val="70556936"/>
    <w:rsid w:val="705F1945"/>
    <w:rsid w:val="7075C8F4"/>
    <w:rsid w:val="7076417D"/>
    <w:rsid w:val="70A2A25C"/>
    <w:rsid w:val="70A3D415"/>
    <w:rsid w:val="70A45E66"/>
    <w:rsid w:val="70A77597"/>
    <w:rsid w:val="70AEBBBC"/>
    <w:rsid w:val="70AFC8C2"/>
    <w:rsid w:val="70B174BB"/>
    <w:rsid w:val="70C0A467"/>
    <w:rsid w:val="70D2F336"/>
    <w:rsid w:val="70D3A1E0"/>
    <w:rsid w:val="70E0F196"/>
    <w:rsid w:val="70E9C195"/>
    <w:rsid w:val="70EB7656"/>
    <w:rsid w:val="70EF959C"/>
    <w:rsid w:val="70F616A0"/>
    <w:rsid w:val="71029B12"/>
    <w:rsid w:val="71155661"/>
    <w:rsid w:val="712357C3"/>
    <w:rsid w:val="7130F288"/>
    <w:rsid w:val="71339DC9"/>
    <w:rsid w:val="713EB35D"/>
    <w:rsid w:val="7147A15C"/>
    <w:rsid w:val="715C9EF6"/>
    <w:rsid w:val="715EDA34"/>
    <w:rsid w:val="71709C07"/>
    <w:rsid w:val="7176DBAE"/>
    <w:rsid w:val="717CB110"/>
    <w:rsid w:val="717F4E9E"/>
    <w:rsid w:val="7189D0C4"/>
    <w:rsid w:val="718CBF7F"/>
    <w:rsid w:val="718F93D4"/>
    <w:rsid w:val="71904442"/>
    <w:rsid w:val="71B0DE67"/>
    <w:rsid w:val="71B1BA08"/>
    <w:rsid w:val="71B5D8F8"/>
    <w:rsid w:val="71B9D2BA"/>
    <w:rsid w:val="71BD3736"/>
    <w:rsid w:val="71D0139F"/>
    <w:rsid w:val="71DF30F8"/>
    <w:rsid w:val="71E9711B"/>
    <w:rsid w:val="71EAA22B"/>
    <w:rsid w:val="720E6610"/>
    <w:rsid w:val="7227BEE2"/>
    <w:rsid w:val="72291755"/>
    <w:rsid w:val="72325F22"/>
    <w:rsid w:val="724937A2"/>
    <w:rsid w:val="72508328"/>
    <w:rsid w:val="725187B6"/>
    <w:rsid w:val="725669FC"/>
    <w:rsid w:val="726C51CE"/>
    <w:rsid w:val="728968FB"/>
    <w:rsid w:val="728C1969"/>
    <w:rsid w:val="728FBBC0"/>
    <w:rsid w:val="72921715"/>
    <w:rsid w:val="72948174"/>
    <w:rsid w:val="7296FFFA"/>
    <w:rsid w:val="729BFEBF"/>
    <w:rsid w:val="72A9C515"/>
    <w:rsid w:val="72B4D5A9"/>
    <w:rsid w:val="72B71C7C"/>
    <w:rsid w:val="72B7329C"/>
    <w:rsid w:val="72BD1433"/>
    <w:rsid w:val="72C811DC"/>
    <w:rsid w:val="72DC617A"/>
    <w:rsid w:val="72E075CC"/>
    <w:rsid w:val="72ED1E01"/>
    <w:rsid w:val="72FFA156"/>
    <w:rsid w:val="7307975E"/>
    <w:rsid w:val="7308ADDB"/>
    <w:rsid w:val="7313E904"/>
    <w:rsid w:val="7314F788"/>
    <w:rsid w:val="73175E04"/>
    <w:rsid w:val="731CAF31"/>
    <w:rsid w:val="732413F6"/>
    <w:rsid w:val="732754EF"/>
    <w:rsid w:val="732D1B3E"/>
    <w:rsid w:val="732FF0C9"/>
    <w:rsid w:val="7331C39A"/>
    <w:rsid w:val="7337640E"/>
    <w:rsid w:val="733836E1"/>
    <w:rsid w:val="73418F42"/>
    <w:rsid w:val="73454E04"/>
    <w:rsid w:val="734A416E"/>
    <w:rsid w:val="734BBA08"/>
    <w:rsid w:val="735877DF"/>
    <w:rsid w:val="735BD576"/>
    <w:rsid w:val="735EBF0C"/>
    <w:rsid w:val="7373CAA6"/>
    <w:rsid w:val="738F6E23"/>
    <w:rsid w:val="73A720C9"/>
    <w:rsid w:val="73A85E87"/>
    <w:rsid w:val="73A9641E"/>
    <w:rsid w:val="73B8A91E"/>
    <w:rsid w:val="73BE82FF"/>
    <w:rsid w:val="73BFD8E8"/>
    <w:rsid w:val="73D4D678"/>
    <w:rsid w:val="73DB585C"/>
    <w:rsid w:val="73EB378C"/>
    <w:rsid w:val="73F75D65"/>
    <w:rsid w:val="740CF3E1"/>
    <w:rsid w:val="74102405"/>
    <w:rsid w:val="74203DFC"/>
    <w:rsid w:val="7422D807"/>
    <w:rsid w:val="74230067"/>
    <w:rsid w:val="742BFCF7"/>
    <w:rsid w:val="74371E1B"/>
    <w:rsid w:val="743C8BF8"/>
    <w:rsid w:val="7447CDC5"/>
    <w:rsid w:val="744B15C7"/>
    <w:rsid w:val="7452F6EE"/>
    <w:rsid w:val="74792521"/>
    <w:rsid w:val="747926B6"/>
    <w:rsid w:val="7488CEB2"/>
    <w:rsid w:val="7497B886"/>
    <w:rsid w:val="7498750D"/>
    <w:rsid w:val="749BF798"/>
    <w:rsid w:val="749CC492"/>
    <w:rsid w:val="74B1293A"/>
    <w:rsid w:val="74B4C458"/>
    <w:rsid w:val="74BBE24A"/>
    <w:rsid w:val="74C29D6D"/>
    <w:rsid w:val="74C74454"/>
    <w:rsid w:val="74C97520"/>
    <w:rsid w:val="74CC7B99"/>
    <w:rsid w:val="74CF4B82"/>
    <w:rsid w:val="74D0F548"/>
    <w:rsid w:val="74D5D6D0"/>
    <w:rsid w:val="74D97045"/>
    <w:rsid w:val="74DF4062"/>
    <w:rsid w:val="74E109E2"/>
    <w:rsid w:val="74E10F47"/>
    <w:rsid w:val="74E94512"/>
    <w:rsid w:val="74EB431A"/>
    <w:rsid w:val="74EC6B32"/>
    <w:rsid w:val="74F068AF"/>
    <w:rsid w:val="74F48AF6"/>
    <w:rsid w:val="74FABDDA"/>
    <w:rsid w:val="7501AEF6"/>
    <w:rsid w:val="75083C3C"/>
    <w:rsid w:val="750B0872"/>
    <w:rsid w:val="751A4781"/>
    <w:rsid w:val="751EBD5E"/>
    <w:rsid w:val="7524A05B"/>
    <w:rsid w:val="752BFBD5"/>
    <w:rsid w:val="752C0EDE"/>
    <w:rsid w:val="753DF6B4"/>
    <w:rsid w:val="753F27E9"/>
    <w:rsid w:val="754B3C1B"/>
    <w:rsid w:val="7553839C"/>
    <w:rsid w:val="755445B3"/>
    <w:rsid w:val="755BE28D"/>
    <w:rsid w:val="755F3887"/>
    <w:rsid w:val="756805CE"/>
    <w:rsid w:val="7569EC21"/>
    <w:rsid w:val="75759A3C"/>
    <w:rsid w:val="757D45D1"/>
    <w:rsid w:val="757E27BD"/>
    <w:rsid w:val="758BA67C"/>
    <w:rsid w:val="759B594F"/>
    <w:rsid w:val="75B49A43"/>
    <w:rsid w:val="75B77F65"/>
    <w:rsid w:val="75C23657"/>
    <w:rsid w:val="75CB45FF"/>
    <w:rsid w:val="75D7BF64"/>
    <w:rsid w:val="75E48D07"/>
    <w:rsid w:val="75E7F2BC"/>
    <w:rsid w:val="75EB8621"/>
    <w:rsid w:val="75EDB009"/>
    <w:rsid w:val="75FF3409"/>
    <w:rsid w:val="7611574D"/>
    <w:rsid w:val="7612882C"/>
    <w:rsid w:val="7614B806"/>
    <w:rsid w:val="76179B02"/>
    <w:rsid w:val="761A9DC6"/>
    <w:rsid w:val="762A5B1C"/>
    <w:rsid w:val="763610FD"/>
    <w:rsid w:val="76430771"/>
    <w:rsid w:val="76560833"/>
    <w:rsid w:val="766380AF"/>
    <w:rsid w:val="7663967F"/>
    <w:rsid w:val="767027E8"/>
    <w:rsid w:val="7683977D"/>
    <w:rsid w:val="7686A133"/>
    <w:rsid w:val="7695F266"/>
    <w:rsid w:val="76ADF909"/>
    <w:rsid w:val="76B29E05"/>
    <w:rsid w:val="76B6E497"/>
    <w:rsid w:val="76BBCE6F"/>
    <w:rsid w:val="76BE0D40"/>
    <w:rsid w:val="76C4FE42"/>
    <w:rsid w:val="76DC6BBC"/>
    <w:rsid w:val="76E14523"/>
    <w:rsid w:val="76F20DAF"/>
    <w:rsid w:val="76F7AB7A"/>
    <w:rsid w:val="76FA157D"/>
    <w:rsid w:val="77007194"/>
    <w:rsid w:val="770079A8"/>
    <w:rsid w:val="7710A009"/>
    <w:rsid w:val="7712E132"/>
    <w:rsid w:val="7713B2CB"/>
    <w:rsid w:val="771E4BB2"/>
    <w:rsid w:val="7736126D"/>
    <w:rsid w:val="773E3CF7"/>
    <w:rsid w:val="77481FDB"/>
    <w:rsid w:val="7754D116"/>
    <w:rsid w:val="77602B42"/>
    <w:rsid w:val="7776CDF7"/>
    <w:rsid w:val="7795EF92"/>
    <w:rsid w:val="779D9329"/>
    <w:rsid w:val="77A6D6C2"/>
    <w:rsid w:val="77B9D098"/>
    <w:rsid w:val="77BF73C9"/>
    <w:rsid w:val="77C406BC"/>
    <w:rsid w:val="77E82F4B"/>
    <w:rsid w:val="77E97020"/>
    <w:rsid w:val="77F433A9"/>
    <w:rsid w:val="780404A5"/>
    <w:rsid w:val="781E66ED"/>
    <w:rsid w:val="7829BD99"/>
    <w:rsid w:val="782A2809"/>
    <w:rsid w:val="78377076"/>
    <w:rsid w:val="784D7C50"/>
    <w:rsid w:val="785F6E56"/>
    <w:rsid w:val="7874B3F4"/>
    <w:rsid w:val="787C9EE4"/>
    <w:rsid w:val="788A009C"/>
    <w:rsid w:val="788EC083"/>
    <w:rsid w:val="789BB6F1"/>
    <w:rsid w:val="78A36D01"/>
    <w:rsid w:val="78A7BCCD"/>
    <w:rsid w:val="78ACD04C"/>
    <w:rsid w:val="78CE9FB4"/>
    <w:rsid w:val="78DC6564"/>
    <w:rsid w:val="78E39331"/>
    <w:rsid w:val="78F5F14F"/>
    <w:rsid w:val="78FD61DE"/>
    <w:rsid w:val="7915B681"/>
    <w:rsid w:val="79174E3B"/>
    <w:rsid w:val="79182A6B"/>
    <w:rsid w:val="79185171"/>
    <w:rsid w:val="791E2D03"/>
    <w:rsid w:val="7921F698"/>
    <w:rsid w:val="7944A387"/>
    <w:rsid w:val="79551BC9"/>
    <w:rsid w:val="795A9B86"/>
    <w:rsid w:val="795E0488"/>
    <w:rsid w:val="7960178D"/>
    <w:rsid w:val="79659681"/>
    <w:rsid w:val="797D5994"/>
    <w:rsid w:val="797DC823"/>
    <w:rsid w:val="7982F1A9"/>
    <w:rsid w:val="7993A7D8"/>
    <w:rsid w:val="79B3F187"/>
    <w:rsid w:val="79C16CDE"/>
    <w:rsid w:val="79CFCF80"/>
    <w:rsid w:val="79DBEB50"/>
    <w:rsid w:val="79E05CBE"/>
    <w:rsid w:val="79E5297D"/>
    <w:rsid w:val="79E6F178"/>
    <w:rsid w:val="79E7D99D"/>
    <w:rsid w:val="79F57DEB"/>
    <w:rsid w:val="79FA366A"/>
    <w:rsid w:val="7A048E60"/>
    <w:rsid w:val="7A139047"/>
    <w:rsid w:val="7A19056A"/>
    <w:rsid w:val="7A1DBD3E"/>
    <w:rsid w:val="7A1DDC85"/>
    <w:rsid w:val="7A2FA9B7"/>
    <w:rsid w:val="7A499F66"/>
    <w:rsid w:val="7A4AB06B"/>
    <w:rsid w:val="7A5AD881"/>
    <w:rsid w:val="7A5B17F3"/>
    <w:rsid w:val="7A5DDDEC"/>
    <w:rsid w:val="7A69E585"/>
    <w:rsid w:val="7A80727B"/>
    <w:rsid w:val="7A870F10"/>
    <w:rsid w:val="7A98B36B"/>
    <w:rsid w:val="7AA6B6AF"/>
    <w:rsid w:val="7AB2D832"/>
    <w:rsid w:val="7ABC632A"/>
    <w:rsid w:val="7ACE4179"/>
    <w:rsid w:val="7ADBB017"/>
    <w:rsid w:val="7AF3944A"/>
    <w:rsid w:val="7AF8AD00"/>
    <w:rsid w:val="7AFDAFC3"/>
    <w:rsid w:val="7B07FA31"/>
    <w:rsid w:val="7B08F7BB"/>
    <w:rsid w:val="7B3331BA"/>
    <w:rsid w:val="7B38B9BA"/>
    <w:rsid w:val="7B3FAC11"/>
    <w:rsid w:val="7B43D4B0"/>
    <w:rsid w:val="7B491AD5"/>
    <w:rsid w:val="7B537AC7"/>
    <w:rsid w:val="7B542CCB"/>
    <w:rsid w:val="7B685706"/>
    <w:rsid w:val="7B6895ED"/>
    <w:rsid w:val="7B73E7D7"/>
    <w:rsid w:val="7B7AE22B"/>
    <w:rsid w:val="7B829F68"/>
    <w:rsid w:val="7B98F253"/>
    <w:rsid w:val="7BAF9D45"/>
    <w:rsid w:val="7BD6D36B"/>
    <w:rsid w:val="7BEAAF53"/>
    <w:rsid w:val="7BF05FBC"/>
    <w:rsid w:val="7C088C24"/>
    <w:rsid w:val="7C0E60BD"/>
    <w:rsid w:val="7C170599"/>
    <w:rsid w:val="7C177BAC"/>
    <w:rsid w:val="7C1AD011"/>
    <w:rsid w:val="7C1CBF75"/>
    <w:rsid w:val="7C230C35"/>
    <w:rsid w:val="7C30A34F"/>
    <w:rsid w:val="7C355586"/>
    <w:rsid w:val="7C35B8C2"/>
    <w:rsid w:val="7C42BC45"/>
    <w:rsid w:val="7C4BD3CC"/>
    <w:rsid w:val="7C4E8A3F"/>
    <w:rsid w:val="7C52BA3E"/>
    <w:rsid w:val="7C57A8CB"/>
    <w:rsid w:val="7C58CD24"/>
    <w:rsid w:val="7C5DB3F3"/>
    <w:rsid w:val="7C60796F"/>
    <w:rsid w:val="7C64E88A"/>
    <w:rsid w:val="7C6B6266"/>
    <w:rsid w:val="7C6D1DC7"/>
    <w:rsid w:val="7C76A97C"/>
    <w:rsid w:val="7C8DA307"/>
    <w:rsid w:val="7CAE5BAE"/>
    <w:rsid w:val="7CB85366"/>
    <w:rsid w:val="7CBAE436"/>
    <w:rsid w:val="7CD352FA"/>
    <w:rsid w:val="7CE0C4BD"/>
    <w:rsid w:val="7CE8A911"/>
    <w:rsid w:val="7CEB7E96"/>
    <w:rsid w:val="7CFB401E"/>
    <w:rsid w:val="7CFB8432"/>
    <w:rsid w:val="7D0050EC"/>
    <w:rsid w:val="7D1D8538"/>
    <w:rsid w:val="7D20F953"/>
    <w:rsid w:val="7D28F0B5"/>
    <w:rsid w:val="7D401E75"/>
    <w:rsid w:val="7D4474C3"/>
    <w:rsid w:val="7D47ED4C"/>
    <w:rsid w:val="7D4DFDEC"/>
    <w:rsid w:val="7D5A9D87"/>
    <w:rsid w:val="7D630D46"/>
    <w:rsid w:val="7D791EFF"/>
    <w:rsid w:val="7D7AE5DE"/>
    <w:rsid w:val="7D8A0CF5"/>
    <w:rsid w:val="7D8E293A"/>
    <w:rsid w:val="7D9056FC"/>
    <w:rsid w:val="7D95F847"/>
    <w:rsid w:val="7DB8CFF6"/>
    <w:rsid w:val="7DC4A042"/>
    <w:rsid w:val="7DC8FD59"/>
    <w:rsid w:val="7DD0FBB7"/>
    <w:rsid w:val="7DD92F81"/>
    <w:rsid w:val="7DDC2D8C"/>
    <w:rsid w:val="7DDD6318"/>
    <w:rsid w:val="7DE0DC18"/>
    <w:rsid w:val="7DFA34C2"/>
    <w:rsid w:val="7E010FA5"/>
    <w:rsid w:val="7E0E8BD3"/>
    <w:rsid w:val="7E2A3437"/>
    <w:rsid w:val="7E2E8573"/>
    <w:rsid w:val="7E33C288"/>
    <w:rsid w:val="7E3A360E"/>
    <w:rsid w:val="7E408E39"/>
    <w:rsid w:val="7E473920"/>
    <w:rsid w:val="7E4D70D9"/>
    <w:rsid w:val="7E530864"/>
    <w:rsid w:val="7E53B3DC"/>
    <w:rsid w:val="7E56AD09"/>
    <w:rsid w:val="7E58BE68"/>
    <w:rsid w:val="7E590CCD"/>
    <w:rsid w:val="7E664CA2"/>
    <w:rsid w:val="7E6C45D0"/>
    <w:rsid w:val="7E6E9D68"/>
    <w:rsid w:val="7E7ACBE1"/>
    <w:rsid w:val="7E7D64BD"/>
    <w:rsid w:val="7E86B0B0"/>
    <w:rsid w:val="7EA00DE8"/>
    <w:rsid w:val="7EA264A7"/>
    <w:rsid w:val="7EB0BC6D"/>
    <w:rsid w:val="7EB78880"/>
    <w:rsid w:val="7EC82420"/>
    <w:rsid w:val="7ED11C13"/>
    <w:rsid w:val="7ED3FAC0"/>
    <w:rsid w:val="7ED54DBE"/>
    <w:rsid w:val="7ED732A7"/>
    <w:rsid w:val="7EE4B58D"/>
    <w:rsid w:val="7EFC48B1"/>
    <w:rsid w:val="7EFF647F"/>
    <w:rsid w:val="7F08F01A"/>
    <w:rsid w:val="7F17ACB5"/>
    <w:rsid w:val="7F1E296A"/>
    <w:rsid w:val="7F39A5F1"/>
    <w:rsid w:val="7F3A7590"/>
    <w:rsid w:val="7F4742A7"/>
    <w:rsid w:val="7F5F37F3"/>
    <w:rsid w:val="7F6BB4F0"/>
    <w:rsid w:val="7F6EA4EE"/>
    <w:rsid w:val="7F79EF24"/>
    <w:rsid w:val="7F7B11EA"/>
    <w:rsid w:val="7F7F6209"/>
    <w:rsid w:val="7F8D5BA4"/>
    <w:rsid w:val="7F8DBD7A"/>
    <w:rsid w:val="7F9177D7"/>
    <w:rsid w:val="7F994634"/>
    <w:rsid w:val="7FB2859A"/>
    <w:rsid w:val="7FBAD67D"/>
    <w:rsid w:val="7FC0CCFE"/>
    <w:rsid w:val="7FD39BA9"/>
    <w:rsid w:val="7FD45BBD"/>
    <w:rsid w:val="7FED6C0D"/>
    <w:rsid w:val="7FFE774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ADCA0C"/>
  <w15:docId w15:val="{A7EF8BBF-C54E-45D0-9177-2E4EEE4E4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34198"/>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9D3617"/>
    <w:pPr>
      <w:keepNext/>
      <w:keepLines/>
      <w:spacing w:after="720"/>
      <w:outlineLvl w:val="0"/>
    </w:pPr>
    <w:rPr>
      <w:rFonts w:ascii="Arial" w:eastAsiaTheme="majorEastAsia" w:hAnsi="Arial" w:cstheme="majorBidi"/>
      <w:caps/>
      <w:color w:val="00426F"/>
      <w:sz w:val="40"/>
      <w:szCs w:val="32"/>
    </w:rPr>
  </w:style>
  <w:style w:type="paragraph" w:styleId="Heading2">
    <w:name w:val="heading 2"/>
    <w:basedOn w:val="Normal"/>
    <w:next w:val="BodyText"/>
    <w:link w:val="Heading2Char"/>
    <w:qFormat/>
    <w:rsid w:val="00334198"/>
    <w:pPr>
      <w:keepNext/>
      <w:widowControl w:val="0"/>
      <w:numPr>
        <w:numId w:val="31"/>
      </w:numPr>
      <w:pBdr>
        <w:bottom w:val="single" w:sz="4" w:space="2" w:color="00ABE6"/>
      </w:pBdr>
      <w:tabs>
        <w:tab w:val="left" w:pos="567"/>
      </w:tabs>
      <w:spacing w:before="360" w:after="100"/>
      <w:outlineLvl w:val="1"/>
    </w:pPr>
    <w:rPr>
      <w:rFonts w:ascii="Arial Bold" w:eastAsia="Arial Unicode MS" w:hAnsi="Arial Bold"/>
      <w:b/>
      <w:color w:val="00ABE6"/>
      <w:kern w:val="28"/>
      <w:sz w:val="28"/>
      <w:szCs w:val="36"/>
      <w:lang w:val="en-AU"/>
    </w:rPr>
  </w:style>
  <w:style w:type="paragraph" w:styleId="Heading3">
    <w:name w:val="heading 3"/>
    <w:basedOn w:val="Heading2"/>
    <w:next w:val="BodyText"/>
    <w:link w:val="Heading3Char"/>
    <w:qFormat/>
    <w:rsid w:val="00C2619D"/>
    <w:pPr>
      <w:pBdr>
        <w:bottom w:val="none" w:sz="0" w:space="0" w:color="auto"/>
      </w:pBdr>
      <w:tabs>
        <w:tab w:val="clear" w:pos="567"/>
      </w:tabs>
      <w:spacing w:before="320" w:after="120" w:line="240" w:lineRule="atLeast"/>
      <w:outlineLvl w:val="2"/>
    </w:pPr>
    <w:rPr>
      <w:rFonts w:eastAsia="Times New Roman"/>
      <w:color w:val="auto"/>
      <w:sz w:val="26"/>
    </w:rPr>
  </w:style>
  <w:style w:type="paragraph" w:styleId="Heading4">
    <w:name w:val="heading 4"/>
    <w:basedOn w:val="Heading3"/>
    <w:next w:val="Normal"/>
    <w:link w:val="Heading4Char"/>
    <w:qFormat/>
    <w:rsid w:val="002D1DB0"/>
    <w:pPr>
      <w:keepNext w:val="0"/>
      <w:tabs>
        <w:tab w:val="left" w:pos="567"/>
      </w:tabs>
      <w:spacing w:line="320" w:lineRule="exact"/>
      <w:outlineLvl w:val="3"/>
    </w:pPr>
    <w:rPr>
      <w:rFonts w:eastAsia="Arial Unicode MS"/>
      <w:sz w:val="25"/>
    </w:rPr>
  </w:style>
  <w:style w:type="paragraph" w:styleId="Heading5">
    <w:name w:val="heading 5"/>
    <w:basedOn w:val="Heading4"/>
    <w:next w:val="BodyText"/>
    <w:link w:val="Heading5Char"/>
    <w:qFormat/>
    <w:rsid w:val="007260C2"/>
    <w:pPr>
      <w:keepNext/>
      <w:tabs>
        <w:tab w:val="clear" w:pos="567"/>
      </w:tabs>
      <w:spacing w:before="240" w:after="60" w:line="240" w:lineRule="atLeast"/>
      <w:outlineLvl w:val="4"/>
    </w:pPr>
    <w:rPr>
      <w:rFonts w:ascii="Arial" w:eastAsia="Times New Roman" w:hAnsi="Arial"/>
      <w:i/>
    </w:rPr>
  </w:style>
  <w:style w:type="paragraph" w:styleId="Heading6">
    <w:name w:val="heading 6"/>
    <w:basedOn w:val="Heading1"/>
    <w:next w:val="Normal"/>
    <w:link w:val="Heading6Char"/>
    <w:qFormat/>
    <w:rsid w:val="00AB5B5B"/>
    <w:pPr>
      <w:spacing w:before="320" w:after="120"/>
      <w:outlineLvl w:val="5"/>
    </w:pPr>
    <w:rPr>
      <w:sz w:val="20"/>
    </w:rPr>
  </w:style>
  <w:style w:type="paragraph" w:styleId="Heading7">
    <w:name w:val="heading 7"/>
    <w:basedOn w:val="Heading5"/>
    <w:next w:val="Normal"/>
    <w:link w:val="Heading7Char"/>
    <w:qFormat/>
    <w:rsid w:val="00AB5B5B"/>
    <w:pPr>
      <w:spacing w:before="120"/>
      <w:ind w:left="425"/>
      <w:jc w:val="both"/>
      <w:outlineLvl w:val="6"/>
    </w:pPr>
    <w:rPr>
      <w:i w:val="0"/>
      <w:sz w:val="23"/>
    </w:rPr>
  </w:style>
  <w:style w:type="paragraph" w:styleId="Heading8">
    <w:name w:val="heading 8"/>
    <w:basedOn w:val="Heading7"/>
    <w:next w:val="Normal"/>
    <w:link w:val="Heading8Char"/>
    <w:qFormat/>
    <w:rsid w:val="00AB5B5B"/>
    <w:pPr>
      <w:outlineLvl w:val="7"/>
    </w:pPr>
    <w:rPr>
      <w:i/>
    </w:rPr>
  </w:style>
  <w:style w:type="paragraph" w:styleId="Heading9">
    <w:name w:val="heading 9"/>
    <w:basedOn w:val="Heading8"/>
    <w:next w:val="Normal"/>
    <w:link w:val="Heading9Char"/>
    <w:qFormat/>
    <w:rsid w:val="00AB5B5B"/>
    <w:pPr>
      <w:ind w:left="851"/>
      <w:outlineLvl w:val="8"/>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34198"/>
    <w:rPr>
      <w:rFonts w:ascii="Arial Bold" w:eastAsia="Arial Unicode MS" w:hAnsi="Arial Bold" w:cs="Times New Roman"/>
      <w:b/>
      <w:color w:val="00ABE6"/>
      <w:kern w:val="28"/>
      <w:sz w:val="28"/>
      <w:szCs w:val="36"/>
    </w:rPr>
  </w:style>
  <w:style w:type="paragraph" w:styleId="BalloonText">
    <w:name w:val="Balloon Text"/>
    <w:basedOn w:val="Normal"/>
    <w:link w:val="BalloonTextChar"/>
    <w:uiPriority w:val="99"/>
    <w:semiHidden/>
    <w:unhideWhenUsed/>
    <w:rsid w:val="003341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198"/>
    <w:rPr>
      <w:rFonts w:ascii="Segoe UI" w:eastAsia="Times New Roman" w:hAnsi="Segoe UI" w:cs="Segoe UI"/>
      <w:sz w:val="18"/>
      <w:szCs w:val="18"/>
      <w:lang w:val="en-US"/>
    </w:rPr>
  </w:style>
  <w:style w:type="paragraph" w:styleId="BodyText">
    <w:name w:val="Body Text"/>
    <w:link w:val="BodyTextChar"/>
    <w:autoRedefine/>
    <w:rsid w:val="00D75D75"/>
    <w:pPr>
      <w:spacing w:before="160" w:after="100" w:line="240" w:lineRule="atLeast"/>
    </w:pPr>
    <w:rPr>
      <w:rFonts w:ascii="Arial" w:hAnsi="Arial" w:cs="Arial"/>
      <w:sz w:val="23"/>
      <w:szCs w:val="24"/>
    </w:rPr>
  </w:style>
  <w:style w:type="character" w:customStyle="1" w:styleId="BodyTextChar">
    <w:name w:val="Body Text Char"/>
    <w:basedOn w:val="DefaultParagraphFont"/>
    <w:link w:val="BodyText"/>
    <w:rsid w:val="00D75D75"/>
    <w:rPr>
      <w:rFonts w:ascii="Arial" w:hAnsi="Arial" w:cs="Arial"/>
      <w:sz w:val="23"/>
      <w:szCs w:val="24"/>
    </w:rPr>
  </w:style>
  <w:style w:type="paragraph" w:customStyle="1" w:styleId="BodyTextBox">
    <w:name w:val="Body Text Box"/>
    <w:basedOn w:val="Normal"/>
    <w:link w:val="BodyTextBoxChar"/>
    <w:autoRedefine/>
    <w:rsid w:val="00334198"/>
    <w:pPr>
      <w:spacing w:before="120" w:after="80" w:line="260" w:lineRule="exact"/>
    </w:pPr>
    <w:rPr>
      <w:rFonts w:ascii="Arial" w:hAnsi="Arial"/>
      <w:color w:val="0A7CB9"/>
      <w:sz w:val="23"/>
      <w:szCs w:val="22"/>
    </w:rPr>
  </w:style>
  <w:style w:type="character" w:customStyle="1" w:styleId="BodyTextBoxChar">
    <w:name w:val="Body Text Box Char"/>
    <w:link w:val="BodyTextBox"/>
    <w:rsid w:val="00334198"/>
    <w:rPr>
      <w:rFonts w:ascii="Arial" w:eastAsia="Times New Roman" w:hAnsi="Arial" w:cs="Times New Roman"/>
      <w:color w:val="0A7CB9"/>
      <w:sz w:val="23"/>
      <w:lang w:val="en-US"/>
    </w:rPr>
  </w:style>
  <w:style w:type="paragraph" w:customStyle="1" w:styleId="BoxHeading">
    <w:name w:val="Box Heading"/>
    <w:basedOn w:val="Normal"/>
    <w:link w:val="BoxHeadingChar"/>
    <w:autoRedefine/>
    <w:rsid w:val="00334198"/>
    <w:pPr>
      <w:keepNext/>
      <w:widowControl w:val="0"/>
      <w:tabs>
        <w:tab w:val="left" w:pos="567"/>
        <w:tab w:val="left" w:pos="1168"/>
      </w:tabs>
      <w:spacing w:before="120" w:after="60" w:line="240" w:lineRule="atLeast"/>
      <w:ind w:left="1168" w:hanging="1168"/>
    </w:pPr>
    <w:rPr>
      <w:rFonts w:ascii="Arial" w:eastAsia="Arial Unicode MS" w:hAnsi="Arial"/>
      <w:b/>
      <w:bCs/>
      <w:sz w:val="23"/>
      <w:szCs w:val="23"/>
    </w:rPr>
  </w:style>
  <w:style w:type="character" w:customStyle="1" w:styleId="Heading1Char">
    <w:name w:val="Heading 1 Char"/>
    <w:basedOn w:val="DefaultParagraphFont"/>
    <w:link w:val="Heading1"/>
    <w:uiPriority w:val="9"/>
    <w:rsid w:val="00B87921"/>
    <w:rPr>
      <w:rFonts w:ascii="Arial" w:eastAsiaTheme="majorEastAsia" w:hAnsi="Arial" w:cstheme="majorBidi"/>
      <w:caps/>
      <w:color w:val="00426F"/>
      <w:sz w:val="40"/>
      <w:szCs w:val="32"/>
      <w:lang w:val="en-US"/>
    </w:rPr>
  </w:style>
  <w:style w:type="character" w:customStyle="1" w:styleId="BoxHeadingChar">
    <w:name w:val="Box Heading Char"/>
    <w:link w:val="BoxHeading"/>
    <w:rsid w:val="00334198"/>
    <w:rPr>
      <w:rFonts w:ascii="Arial" w:eastAsia="Arial Unicode MS" w:hAnsi="Arial" w:cs="Times New Roman"/>
      <w:b/>
      <w:bCs/>
      <w:sz w:val="23"/>
      <w:szCs w:val="23"/>
      <w:lang w:val="en-US"/>
    </w:rPr>
  </w:style>
  <w:style w:type="paragraph" w:customStyle="1" w:styleId="Bullet">
    <w:name w:val="Bullet"/>
    <w:basedOn w:val="BodyText"/>
    <w:rsid w:val="00334198"/>
    <w:pPr>
      <w:numPr>
        <w:numId w:val="4"/>
      </w:numPr>
      <w:spacing w:before="180" w:after="180" w:line="288" w:lineRule="auto"/>
      <w:outlineLvl w:val="0"/>
    </w:pPr>
    <w:rPr>
      <w:i/>
      <w:color w:val="595959" w:themeColor="text1" w:themeTint="A6"/>
      <w:szCs w:val="22"/>
    </w:rPr>
  </w:style>
  <w:style w:type="paragraph" w:customStyle="1" w:styleId="Bullet1">
    <w:name w:val="Bullet 1"/>
    <w:basedOn w:val="BodyText"/>
    <w:link w:val="Bullet1Char"/>
    <w:autoRedefine/>
    <w:rsid w:val="00C72AC6"/>
    <w:pPr>
      <w:numPr>
        <w:numId w:val="5"/>
      </w:numPr>
      <w:spacing w:before="120" w:after="80"/>
      <w:ind w:left="357" w:hanging="357"/>
    </w:pPr>
    <w:rPr>
      <w:szCs w:val="20"/>
    </w:rPr>
  </w:style>
  <w:style w:type="character" w:customStyle="1" w:styleId="Bullet1Char">
    <w:name w:val="Bullet 1 Char"/>
    <w:link w:val="Bullet1"/>
    <w:rsid w:val="00C72AC6"/>
    <w:rPr>
      <w:rFonts w:ascii="Arial" w:hAnsi="Arial" w:cs="Arial"/>
      <w:sz w:val="23"/>
      <w:szCs w:val="20"/>
    </w:rPr>
  </w:style>
  <w:style w:type="character" w:customStyle="1" w:styleId="Heading3Char">
    <w:name w:val="Heading 3 Char"/>
    <w:basedOn w:val="DefaultParagraphFont"/>
    <w:link w:val="Heading3"/>
    <w:rsid w:val="00C2619D"/>
    <w:rPr>
      <w:rFonts w:ascii="Arial Bold" w:eastAsia="Times New Roman" w:hAnsi="Arial Bold" w:cs="Times New Roman"/>
      <w:b/>
      <w:kern w:val="28"/>
      <w:sz w:val="26"/>
      <w:szCs w:val="36"/>
    </w:rPr>
  </w:style>
  <w:style w:type="paragraph" w:customStyle="1" w:styleId="Bullet1inabox">
    <w:name w:val="Bullet 1 in a box"/>
    <w:basedOn w:val="Normal"/>
    <w:autoRedefine/>
    <w:rsid w:val="00334198"/>
    <w:pPr>
      <w:numPr>
        <w:numId w:val="6"/>
      </w:numPr>
      <w:spacing w:before="120" w:after="100" w:line="260" w:lineRule="exact"/>
    </w:pPr>
    <w:rPr>
      <w:rFonts w:ascii="Arial" w:eastAsia="Arial" w:hAnsi="Arial" w:cs="Arial"/>
      <w:color w:val="0A7CB9"/>
      <w:sz w:val="23"/>
      <w:szCs w:val="24"/>
      <w:lang w:val="en-AU"/>
    </w:rPr>
  </w:style>
  <w:style w:type="character" w:styleId="CommentReference">
    <w:name w:val="annotation reference"/>
    <w:uiPriority w:val="99"/>
    <w:rsid w:val="00334198"/>
    <w:rPr>
      <w:sz w:val="16"/>
      <w:szCs w:val="16"/>
    </w:rPr>
  </w:style>
  <w:style w:type="paragraph" w:styleId="CommentText">
    <w:name w:val="annotation text"/>
    <w:basedOn w:val="Normal"/>
    <w:link w:val="CommentTextChar"/>
    <w:uiPriority w:val="99"/>
    <w:rsid w:val="00334198"/>
  </w:style>
  <w:style w:type="character" w:customStyle="1" w:styleId="CommentTextChar">
    <w:name w:val="Comment Text Char"/>
    <w:basedOn w:val="DefaultParagraphFont"/>
    <w:link w:val="CommentText"/>
    <w:uiPriority w:val="99"/>
    <w:rsid w:val="00334198"/>
    <w:rPr>
      <w:rFonts w:ascii="Times New Roman" w:eastAsia="Times New Roman" w:hAnsi="Times New Roman" w:cs="Times New Roman"/>
      <w:sz w:val="20"/>
      <w:szCs w:val="20"/>
      <w:lang w:val="en-US"/>
    </w:rPr>
  </w:style>
  <w:style w:type="paragraph" w:customStyle="1" w:styleId="Default">
    <w:name w:val="Default"/>
    <w:rsid w:val="00334198"/>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Footer">
    <w:name w:val="footer"/>
    <w:basedOn w:val="Normal"/>
    <w:link w:val="FooterChar"/>
    <w:unhideWhenUsed/>
    <w:rsid w:val="00334198"/>
    <w:pPr>
      <w:tabs>
        <w:tab w:val="center" w:pos="4513"/>
        <w:tab w:val="right" w:pos="9026"/>
      </w:tabs>
    </w:pPr>
  </w:style>
  <w:style w:type="character" w:customStyle="1" w:styleId="FooterChar">
    <w:name w:val="Footer Char"/>
    <w:basedOn w:val="DefaultParagraphFont"/>
    <w:link w:val="Footer"/>
    <w:rsid w:val="00334198"/>
    <w:rPr>
      <w:rFonts w:ascii="Times New Roman" w:eastAsia="Times New Roman" w:hAnsi="Times New Roman" w:cs="Times New Roman"/>
      <w:sz w:val="20"/>
      <w:szCs w:val="20"/>
      <w:lang w:val="en-US"/>
    </w:rPr>
  </w:style>
  <w:style w:type="character" w:styleId="FootnoteReference">
    <w:name w:val="footnote reference"/>
    <w:rsid w:val="00334198"/>
    <w:rPr>
      <w:vertAlign w:val="superscript"/>
    </w:rPr>
  </w:style>
  <w:style w:type="paragraph" w:styleId="FootnoteText">
    <w:name w:val="footnote text"/>
    <w:basedOn w:val="Normal"/>
    <w:link w:val="FootnoteTextChar"/>
    <w:rsid w:val="00334198"/>
    <w:pPr>
      <w:spacing w:before="80" w:after="80"/>
      <w:ind w:left="709" w:hanging="142"/>
    </w:pPr>
    <w:rPr>
      <w:i/>
      <w:sz w:val="16"/>
      <w:lang w:val="en-AU"/>
    </w:rPr>
  </w:style>
  <w:style w:type="character" w:customStyle="1" w:styleId="FootnoteTextChar">
    <w:name w:val="Footnote Text Char"/>
    <w:basedOn w:val="DefaultParagraphFont"/>
    <w:link w:val="FootnoteText"/>
    <w:rsid w:val="00334198"/>
    <w:rPr>
      <w:rFonts w:ascii="Times New Roman" w:eastAsia="Times New Roman" w:hAnsi="Times New Roman" w:cs="Times New Roman"/>
      <w:i/>
      <w:sz w:val="16"/>
      <w:szCs w:val="20"/>
    </w:rPr>
  </w:style>
  <w:style w:type="paragraph" w:styleId="Header">
    <w:name w:val="header"/>
    <w:basedOn w:val="Normal"/>
    <w:link w:val="HeaderChar"/>
    <w:uiPriority w:val="99"/>
    <w:unhideWhenUsed/>
    <w:rsid w:val="00334198"/>
    <w:pPr>
      <w:tabs>
        <w:tab w:val="center" w:pos="4513"/>
        <w:tab w:val="right" w:pos="9026"/>
      </w:tabs>
    </w:pPr>
  </w:style>
  <w:style w:type="character" w:customStyle="1" w:styleId="HeaderChar">
    <w:name w:val="Header Char"/>
    <w:basedOn w:val="DefaultParagraphFont"/>
    <w:link w:val="Header"/>
    <w:uiPriority w:val="99"/>
    <w:rsid w:val="00334198"/>
    <w:rPr>
      <w:rFonts w:ascii="Times New Roman" w:eastAsia="Times New Roman" w:hAnsi="Times New Roman" w:cs="Times New Roman"/>
      <w:sz w:val="20"/>
      <w:szCs w:val="20"/>
      <w:lang w:val="en-US"/>
    </w:rPr>
  </w:style>
  <w:style w:type="paragraph" w:styleId="ListParagraph">
    <w:name w:val="List Paragraph"/>
    <w:basedOn w:val="Normal"/>
    <w:link w:val="ListParagraphChar"/>
    <w:uiPriority w:val="34"/>
    <w:qFormat/>
    <w:rsid w:val="00334198"/>
    <w:pPr>
      <w:ind w:left="720"/>
      <w:contextualSpacing/>
    </w:pPr>
  </w:style>
  <w:style w:type="character" w:customStyle="1" w:styleId="ListParagraphChar">
    <w:name w:val="List Paragraph Char"/>
    <w:link w:val="ListParagraph"/>
    <w:uiPriority w:val="34"/>
    <w:locked/>
    <w:rsid w:val="00334198"/>
    <w:rPr>
      <w:rFonts w:ascii="Times New Roman" w:eastAsia="Times New Roman" w:hAnsi="Times New Roman" w:cs="Times New Roman"/>
      <w:sz w:val="20"/>
      <w:szCs w:val="20"/>
      <w:lang w:val="en-US"/>
    </w:rPr>
  </w:style>
  <w:style w:type="paragraph" w:customStyle="1" w:styleId="Table4X">
    <w:name w:val="Table 4.X"/>
    <w:basedOn w:val="Normal"/>
    <w:qFormat/>
    <w:rsid w:val="004B69CB"/>
    <w:pPr>
      <w:widowControl w:val="0"/>
      <w:numPr>
        <w:numId w:val="7"/>
      </w:numPr>
      <w:tabs>
        <w:tab w:val="left" w:pos="1134"/>
      </w:tabs>
      <w:spacing w:before="240" w:after="120"/>
      <w:ind w:left="1134" w:hanging="1134"/>
    </w:pPr>
    <w:rPr>
      <w:rFonts w:ascii="Arial" w:hAnsi="Arial"/>
      <w:bCs/>
      <w:i/>
      <w:color w:val="4F4F4F"/>
      <w:kern w:val="28"/>
      <w:sz w:val="22"/>
      <w:szCs w:val="22"/>
    </w:rPr>
  </w:style>
  <w:style w:type="character" w:styleId="Hyperlink">
    <w:name w:val="Hyperlink"/>
    <w:basedOn w:val="DefaultParagraphFont"/>
    <w:uiPriority w:val="99"/>
    <w:unhideWhenUsed/>
    <w:rsid w:val="00C428B4"/>
    <w:rPr>
      <w:color w:val="0000FF" w:themeColor="hyperlink"/>
      <w:u w:val="single"/>
    </w:rPr>
  </w:style>
  <w:style w:type="paragraph" w:customStyle="1" w:styleId="TableParagraph">
    <w:name w:val="Table Paragraph"/>
    <w:basedOn w:val="Normal"/>
    <w:uiPriority w:val="1"/>
    <w:qFormat/>
    <w:rsid w:val="00334198"/>
    <w:rPr>
      <w:lang w:val="en-AU"/>
    </w:rPr>
  </w:style>
  <w:style w:type="character" w:customStyle="1" w:styleId="Heading4Char">
    <w:name w:val="Heading 4 Char"/>
    <w:link w:val="Heading4"/>
    <w:rsid w:val="002D1DB0"/>
    <w:rPr>
      <w:rFonts w:ascii="Arial Bold" w:eastAsia="Arial Unicode MS" w:hAnsi="Arial Bold" w:cs="Times New Roman"/>
      <w:b/>
      <w:kern w:val="28"/>
      <w:sz w:val="25"/>
      <w:szCs w:val="36"/>
    </w:rPr>
  </w:style>
  <w:style w:type="character" w:customStyle="1" w:styleId="Heading5Char">
    <w:name w:val="Heading 5 Char"/>
    <w:link w:val="Heading5"/>
    <w:rsid w:val="007260C2"/>
    <w:rPr>
      <w:rFonts w:ascii="Arial" w:eastAsia="Times New Roman" w:hAnsi="Arial" w:cs="Times New Roman"/>
      <w:b/>
      <w:i/>
      <w:kern w:val="28"/>
      <w:sz w:val="25"/>
      <w:szCs w:val="36"/>
    </w:rPr>
  </w:style>
  <w:style w:type="character" w:customStyle="1" w:styleId="Heading6Char">
    <w:name w:val="Heading 6 Char"/>
    <w:link w:val="Heading6"/>
    <w:rsid w:val="00AB5B5B"/>
    <w:rPr>
      <w:rFonts w:ascii="Arial" w:eastAsia="Times New Roman" w:hAnsi="Arial" w:cs="Times New Roman"/>
      <w:bCs/>
      <w:caps/>
      <w:color w:val="1D3278"/>
      <w:sz w:val="20"/>
      <w:szCs w:val="28"/>
      <w:lang w:eastAsia="en-AU"/>
    </w:rPr>
  </w:style>
  <w:style w:type="character" w:customStyle="1" w:styleId="Heading7Char">
    <w:name w:val="Heading 7 Char"/>
    <w:link w:val="Heading7"/>
    <w:rsid w:val="00AB5B5B"/>
    <w:rPr>
      <w:rFonts w:ascii="Arial" w:eastAsia="Times New Roman" w:hAnsi="Arial" w:cs="Times New Roman"/>
      <w:b/>
      <w:i/>
      <w:sz w:val="23"/>
      <w:szCs w:val="20"/>
      <w:lang w:eastAsia="en-AU"/>
    </w:rPr>
  </w:style>
  <w:style w:type="character" w:customStyle="1" w:styleId="Heading8Char">
    <w:name w:val="Heading 8 Char"/>
    <w:link w:val="Heading8"/>
    <w:rsid w:val="00AB5B5B"/>
    <w:rPr>
      <w:rFonts w:ascii="Arial" w:eastAsia="Times New Roman" w:hAnsi="Arial" w:cs="Times New Roman"/>
      <w:b/>
      <w:sz w:val="23"/>
      <w:szCs w:val="20"/>
      <w:lang w:eastAsia="en-AU"/>
    </w:rPr>
  </w:style>
  <w:style w:type="character" w:customStyle="1" w:styleId="Heading9Char">
    <w:name w:val="Heading 9 Char"/>
    <w:link w:val="Heading9"/>
    <w:rsid w:val="00AB5B5B"/>
    <w:rPr>
      <w:rFonts w:ascii="Arial" w:eastAsia="Times New Roman" w:hAnsi="Arial" w:cs="Times New Roman"/>
      <w:b/>
      <w:i/>
      <w:sz w:val="23"/>
      <w:szCs w:val="20"/>
      <w:lang w:eastAsia="en-AU"/>
    </w:rPr>
  </w:style>
  <w:style w:type="paragraph" w:styleId="Revision">
    <w:name w:val="Revision"/>
    <w:hidden/>
    <w:uiPriority w:val="99"/>
    <w:semiHidden/>
    <w:rsid w:val="00437BEB"/>
    <w:pPr>
      <w:spacing w:after="0" w:line="240" w:lineRule="auto"/>
    </w:pPr>
    <w:rPr>
      <w:rFonts w:ascii="Arial" w:eastAsia="Times New Roman" w:hAnsi="Arial" w:cs="Arial"/>
      <w:sz w:val="20"/>
      <w:szCs w:val="20"/>
      <w:lang w:eastAsia="en-AU"/>
    </w:rPr>
  </w:style>
  <w:style w:type="character" w:styleId="Emphasis">
    <w:name w:val="Emphasis"/>
    <w:basedOn w:val="DefaultParagraphFont"/>
    <w:qFormat/>
    <w:rsid w:val="004242CF"/>
    <w:rPr>
      <w:i/>
      <w:iCs/>
    </w:rPr>
  </w:style>
  <w:style w:type="paragraph" w:customStyle="1" w:styleId="paragraph">
    <w:name w:val="paragraph"/>
    <w:basedOn w:val="Normal"/>
    <w:rsid w:val="007032D3"/>
    <w:pPr>
      <w:spacing w:before="100" w:beforeAutospacing="1" w:after="100" w:afterAutospacing="1"/>
    </w:pPr>
    <w:rPr>
      <w:sz w:val="24"/>
      <w:szCs w:val="24"/>
      <w:lang w:val="en-AU" w:eastAsia="en-AU"/>
    </w:rPr>
  </w:style>
  <w:style w:type="character" w:customStyle="1" w:styleId="normaltextrun">
    <w:name w:val="normaltextrun"/>
    <w:basedOn w:val="DefaultParagraphFont"/>
    <w:rsid w:val="007032D3"/>
  </w:style>
  <w:style w:type="character" w:customStyle="1" w:styleId="eop">
    <w:name w:val="eop"/>
    <w:basedOn w:val="DefaultParagraphFont"/>
    <w:rsid w:val="007032D3"/>
  </w:style>
  <w:style w:type="character" w:customStyle="1" w:styleId="contextualspellingandgrammarerror">
    <w:name w:val="contextualspellingandgrammarerror"/>
    <w:basedOn w:val="DefaultParagraphFont"/>
    <w:rsid w:val="0037061F"/>
  </w:style>
  <w:style w:type="character" w:customStyle="1" w:styleId="BulletPointStyleChar">
    <w:name w:val="Bullet Point Style Char"/>
    <w:basedOn w:val="DefaultParagraphFont"/>
    <w:link w:val="BulletPointStyle"/>
    <w:locked/>
    <w:rsid w:val="00894F57"/>
    <w:rPr>
      <w:rFonts w:ascii="Garamond" w:hAnsi="Garamond"/>
      <w:lang w:eastAsia="x-none"/>
    </w:rPr>
  </w:style>
  <w:style w:type="paragraph" w:customStyle="1" w:styleId="BulletPointStyle">
    <w:name w:val="Bullet Point Style"/>
    <w:basedOn w:val="Normal"/>
    <w:link w:val="BulletPointStyleChar"/>
    <w:rsid w:val="00894F57"/>
    <w:pPr>
      <w:spacing w:after="80" w:line="280" w:lineRule="exact"/>
    </w:pPr>
    <w:rPr>
      <w:rFonts w:ascii="Garamond" w:eastAsiaTheme="minorHAnsi" w:hAnsi="Garamond" w:cstheme="minorBidi"/>
      <w:sz w:val="22"/>
      <w:szCs w:val="22"/>
      <w:lang w:val="en-AU" w:eastAsia="x-none"/>
    </w:rPr>
  </w:style>
  <w:style w:type="paragraph" w:styleId="NormalWeb">
    <w:name w:val="Normal (Web)"/>
    <w:basedOn w:val="Normal"/>
    <w:uiPriority w:val="99"/>
    <w:semiHidden/>
    <w:unhideWhenUsed/>
    <w:rsid w:val="006A3F49"/>
    <w:pPr>
      <w:spacing w:before="100" w:beforeAutospacing="1" w:after="100" w:afterAutospacing="1"/>
    </w:pPr>
    <w:rPr>
      <w:rFonts w:ascii="Calibri" w:eastAsiaTheme="minorHAnsi" w:hAnsi="Calibri" w:cs="Calibri"/>
      <w:sz w:val="22"/>
      <w:szCs w:val="22"/>
      <w:lang w:val="en-AU" w:eastAsia="en-AU"/>
    </w:rPr>
  </w:style>
  <w:style w:type="paragraph" w:customStyle="1" w:styleId="Chart31">
    <w:name w:val="Chart 3.1"/>
    <w:basedOn w:val="Normal"/>
    <w:qFormat/>
    <w:rsid w:val="00A32FB5"/>
    <w:pPr>
      <w:numPr>
        <w:numId w:val="12"/>
      </w:numPr>
      <w:spacing w:before="360" w:after="120"/>
      <w:ind w:left="1247" w:hanging="1247"/>
    </w:pPr>
    <w:rPr>
      <w:rFonts w:ascii="Arial" w:hAnsi="Arial"/>
      <w:i/>
      <w:color w:val="4F4F4F"/>
      <w:sz w:val="22"/>
    </w:rPr>
  </w:style>
  <w:style w:type="paragraph" w:customStyle="1" w:styleId="Tablefootnote">
    <w:name w:val="Table footnote"/>
    <w:basedOn w:val="Normal"/>
    <w:qFormat/>
    <w:rsid w:val="00A32FB5"/>
    <w:pPr>
      <w:numPr>
        <w:numId w:val="13"/>
      </w:numPr>
      <w:ind w:left="357" w:hanging="357"/>
    </w:pPr>
    <w:rPr>
      <w:rFonts w:ascii="Arial" w:hAnsi="Arial"/>
      <w:sz w:val="17"/>
    </w:rPr>
  </w:style>
  <w:style w:type="paragraph" w:styleId="CommentSubject">
    <w:name w:val="annotation subject"/>
    <w:basedOn w:val="CommentText"/>
    <w:next w:val="CommentText"/>
    <w:link w:val="CommentSubjectChar"/>
    <w:uiPriority w:val="99"/>
    <w:semiHidden/>
    <w:unhideWhenUsed/>
    <w:rsid w:val="006B52CB"/>
    <w:rPr>
      <w:b/>
      <w:bCs/>
    </w:rPr>
  </w:style>
  <w:style w:type="character" w:customStyle="1" w:styleId="CommentSubjectChar">
    <w:name w:val="Comment Subject Char"/>
    <w:basedOn w:val="CommentTextChar"/>
    <w:link w:val="CommentSubject"/>
    <w:uiPriority w:val="99"/>
    <w:semiHidden/>
    <w:rsid w:val="006B52CB"/>
    <w:rPr>
      <w:rFonts w:ascii="Times New Roman" w:eastAsia="Times New Roman" w:hAnsi="Times New Roman" w:cs="Times New Roman"/>
      <w:b/>
      <w:bCs/>
      <w:sz w:val="20"/>
      <w:szCs w:val="20"/>
      <w:lang w:val="en-US"/>
    </w:rPr>
  </w:style>
  <w:style w:type="character" w:customStyle="1" w:styleId="advancedproofingissue">
    <w:name w:val="advancedproofingissue"/>
    <w:basedOn w:val="DefaultParagraphFont"/>
    <w:rsid w:val="001508D2"/>
  </w:style>
  <w:style w:type="character" w:styleId="UnresolvedMention">
    <w:name w:val="Unresolved Mention"/>
    <w:basedOn w:val="DefaultParagraphFont"/>
    <w:uiPriority w:val="99"/>
    <w:rsid w:val="008D1507"/>
    <w:rPr>
      <w:color w:val="605E5C"/>
      <w:shd w:val="clear" w:color="auto" w:fill="E1DFDD"/>
    </w:rPr>
  </w:style>
  <w:style w:type="character" w:styleId="Mention">
    <w:name w:val="Mention"/>
    <w:basedOn w:val="DefaultParagraphFont"/>
    <w:uiPriority w:val="99"/>
    <w:unhideWhenUsed/>
    <w:rsid w:val="008D1507"/>
    <w:rPr>
      <w:color w:val="2B579A"/>
      <w:shd w:val="clear" w:color="auto" w:fill="E1DFDD"/>
    </w:rPr>
  </w:style>
  <w:style w:type="table" w:styleId="TableGrid">
    <w:name w:val="Table Grid"/>
    <w:basedOn w:val="TableNormal"/>
    <w:uiPriority w:val="39"/>
    <w:rsid w:val="00C92A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BX">
    <w:name w:val="Table B.X"/>
    <w:basedOn w:val="Normal"/>
    <w:qFormat/>
    <w:rsid w:val="00D47394"/>
    <w:pPr>
      <w:widowControl w:val="0"/>
      <w:numPr>
        <w:numId w:val="20"/>
      </w:numPr>
      <w:tabs>
        <w:tab w:val="left" w:pos="1134"/>
      </w:tabs>
      <w:spacing w:before="360" w:after="120"/>
    </w:pPr>
    <w:rPr>
      <w:rFonts w:ascii="Arial" w:hAnsi="Arial"/>
      <w:bCs/>
      <w:i/>
      <w:color w:val="4F4F4F"/>
      <w:kern w:val="28"/>
      <w:sz w:val="22"/>
      <w:szCs w:val="22"/>
      <w:lang w:val="en-AU"/>
    </w:rPr>
  </w:style>
  <w:style w:type="paragraph" w:customStyle="1" w:styleId="Source">
    <w:name w:val="Source"/>
    <w:basedOn w:val="Normal"/>
    <w:qFormat/>
    <w:rsid w:val="00B32BCF"/>
    <w:pPr>
      <w:widowControl w:val="0"/>
      <w:spacing w:before="120"/>
    </w:pPr>
    <w:rPr>
      <w:rFonts w:ascii="Arial" w:hAnsi="Arial" w:cs="Arial"/>
      <w:i/>
      <w:noProof/>
      <w:color w:val="4F4F4F"/>
      <w:sz w:val="22"/>
      <w:szCs w:val="17"/>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0724">
      <w:bodyDiv w:val="1"/>
      <w:marLeft w:val="0"/>
      <w:marRight w:val="0"/>
      <w:marTop w:val="0"/>
      <w:marBottom w:val="0"/>
      <w:divBdr>
        <w:top w:val="none" w:sz="0" w:space="0" w:color="auto"/>
        <w:left w:val="none" w:sz="0" w:space="0" w:color="auto"/>
        <w:bottom w:val="none" w:sz="0" w:space="0" w:color="auto"/>
        <w:right w:val="none" w:sz="0" w:space="0" w:color="auto"/>
      </w:divBdr>
    </w:div>
    <w:div w:id="14887021">
      <w:bodyDiv w:val="1"/>
      <w:marLeft w:val="0"/>
      <w:marRight w:val="0"/>
      <w:marTop w:val="0"/>
      <w:marBottom w:val="0"/>
      <w:divBdr>
        <w:top w:val="none" w:sz="0" w:space="0" w:color="auto"/>
        <w:left w:val="none" w:sz="0" w:space="0" w:color="auto"/>
        <w:bottom w:val="none" w:sz="0" w:space="0" w:color="auto"/>
        <w:right w:val="none" w:sz="0" w:space="0" w:color="auto"/>
      </w:divBdr>
    </w:div>
    <w:div w:id="36245987">
      <w:bodyDiv w:val="1"/>
      <w:marLeft w:val="0"/>
      <w:marRight w:val="0"/>
      <w:marTop w:val="0"/>
      <w:marBottom w:val="0"/>
      <w:divBdr>
        <w:top w:val="none" w:sz="0" w:space="0" w:color="auto"/>
        <w:left w:val="none" w:sz="0" w:space="0" w:color="auto"/>
        <w:bottom w:val="none" w:sz="0" w:space="0" w:color="auto"/>
        <w:right w:val="none" w:sz="0" w:space="0" w:color="auto"/>
      </w:divBdr>
    </w:div>
    <w:div w:id="47801735">
      <w:bodyDiv w:val="1"/>
      <w:marLeft w:val="0"/>
      <w:marRight w:val="0"/>
      <w:marTop w:val="0"/>
      <w:marBottom w:val="0"/>
      <w:divBdr>
        <w:top w:val="none" w:sz="0" w:space="0" w:color="auto"/>
        <w:left w:val="none" w:sz="0" w:space="0" w:color="auto"/>
        <w:bottom w:val="none" w:sz="0" w:space="0" w:color="auto"/>
        <w:right w:val="none" w:sz="0" w:space="0" w:color="auto"/>
      </w:divBdr>
      <w:divsChild>
        <w:div w:id="408579059">
          <w:marLeft w:val="0"/>
          <w:marRight w:val="0"/>
          <w:marTop w:val="0"/>
          <w:marBottom w:val="0"/>
          <w:divBdr>
            <w:top w:val="none" w:sz="0" w:space="0" w:color="auto"/>
            <w:left w:val="none" w:sz="0" w:space="0" w:color="auto"/>
            <w:bottom w:val="none" w:sz="0" w:space="0" w:color="auto"/>
            <w:right w:val="none" w:sz="0" w:space="0" w:color="auto"/>
          </w:divBdr>
        </w:div>
        <w:div w:id="1271166234">
          <w:marLeft w:val="0"/>
          <w:marRight w:val="0"/>
          <w:marTop w:val="0"/>
          <w:marBottom w:val="0"/>
          <w:divBdr>
            <w:top w:val="none" w:sz="0" w:space="0" w:color="auto"/>
            <w:left w:val="none" w:sz="0" w:space="0" w:color="auto"/>
            <w:bottom w:val="none" w:sz="0" w:space="0" w:color="auto"/>
            <w:right w:val="none" w:sz="0" w:space="0" w:color="auto"/>
          </w:divBdr>
        </w:div>
      </w:divsChild>
    </w:div>
    <w:div w:id="61755722">
      <w:bodyDiv w:val="1"/>
      <w:marLeft w:val="0"/>
      <w:marRight w:val="0"/>
      <w:marTop w:val="0"/>
      <w:marBottom w:val="0"/>
      <w:divBdr>
        <w:top w:val="none" w:sz="0" w:space="0" w:color="auto"/>
        <w:left w:val="none" w:sz="0" w:space="0" w:color="auto"/>
        <w:bottom w:val="none" w:sz="0" w:space="0" w:color="auto"/>
        <w:right w:val="none" w:sz="0" w:space="0" w:color="auto"/>
      </w:divBdr>
    </w:div>
    <w:div w:id="71582425">
      <w:bodyDiv w:val="1"/>
      <w:marLeft w:val="0"/>
      <w:marRight w:val="0"/>
      <w:marTop w:val="0"/>
      <w:marBottom w:val="0"/>
      <w:divBdr>
        <w:top w:val="none" w:sz="0" w:space="0" w:color="auto"/>
        <w:left w:val="none" w:sz="0" w:space="0" w:color="auto"/>
        <w:bottom w:val="none" w:sz="0" w:space="0" w:color="auto"/>
        <w:right w:val="none" w:sz="0" w:space="0" w:color="auto"/>
      </w:divBdr>
    </w:div>
    <w:div w:id="87432938">
      <w:bodyDiv w:val="1"/>
      <w:marLeft w:val="0"/>
      <w:marRight w:val="0"/>
      <w:marTop w:val="0"/>
      <w:marBottom w:val="0"/>
      <w:divBdr>
        <w:top w:val="none" w:sz="0" w:space="0" w:color="auto"/>
        <w:left w:val="none" w:sz="0" w:space="0" w:color="auto"/>
        <w:bottom w:val="none" w:sz="0" w:space="0" w:color="auto"/>
        <w:right w:val="none" w:sz="0" w:space="0" w:color="auto"/>
      </w:divBdr>
    </w:div>
    <w:div w:id="99036664">
      <w:bodyDiv w:val="1"/>
      <w:marLeft w:val="0"/>
      <w:marRight w:val="0"/>
      <w:marTop w:val="0"/>
      <w:marBottom w:val="0"/>
      <w:divBdr>
        <w:top w:val="none" w:sz="0" w:space="0" w:color="auto"/>
        <w:left w:val="none" w:sz="0" w:space="0" w:color="auto"/>
        <w:bottom w:val="none" w:sz="0" w:space="0" w:color="auto"/>
        <w:right w:val="none" w:sz="0" w:space="0" w:color="auto"/>
      </w:divBdr>
    </w:div>
    <w:div w:id="138615512">
      <w:bodyDiv w:val="1"/>
      <w:marLeft w:val="0"/>
      <w:marRight w:val="0"/>
      <w:marTop w:val="0"/>
      <w:marBottom w:val="0"/>
      <w:divBdr>
        <w:top w:val="none" w:sz="0" w:space="0" w:color="auto"/>
        <w:left w:val="none" w:sz="0" w:space="0" w:color="auto"/>
        <w:bottom w:val="none" w:sz="0" w:space="0" w:color="auto"/>
        <w:right w:val="none" w:sz="0" w:space="0" w:color="auto"/>
      </w:divBdr>
      <w:divsChild>
        <w:div w:id="68961467">
          <w:marLeft w:val="0"/>
          <w:marRight w:val="0"/>
          <w:marTop w:val="0"/>
          <w:marBottom w:val="0"/>
          <w:divBdr>
            <w:top w:val="none" w:sz="0" w:space="0" w:color="auto"/>
            <w:left w:val="none" w:sz="0" w:space="0" w:color="auto"/>
            <w:bottom w:val="none" w:sz="0" w:space="0" w:color="auto"/>
            <w:right w:val="none" w:sz="0" w:space="0" w:color="auto"/>
          </w:divBdr>
        </w:div>
        <w:div w:id="620503084">
          <w:marLeft w:val="0"/>
          <w:marRight w:val="0"/>
          <w:marTop w:val="0"/>
          <w:marBottom w:val="0"/>
          <w:divBdr>
            <w:top w:val="none" w:sz="0" w:space="0" w:color="auto"/>
            <w:left w:val="none" w:sz="0" w:space="0" w:color="auto"/>
            <w:bottom w:val="none" w:sz="0" w:space="0" w:color="auto"/>
            <w:right w:val="none" w:sz="0" w:space="0" w:color="auto"/>
          </w:divBdr>
        </w:div>
        <w:div w:id="1276519463">
          <w:marLeft w:val="0"/>
          <w:marRight w:val="0"/>
          <w:marTop w:val="0"/>
          <w:marBottom w:val="0"/>
          <w:divBdr>
            <w:top w:val="none" w:sz="0" w:space="0" w:color="auto"/>
            <w:left w:val="none" w:sz="0" w:space="0" w:color="auto"/>
            <w:bottom w:val="none" w:sz="0" w:space="0" w:color="auto"/>
            <w:right w:val="none" w:sz="0" w:space="0" w:color="auto"/>
          </w:divBdr>
        </w:div>
        <w:div w:id="1649213450">
          <w:marLeft w:val="0"/>
          <w:marRight w:val="0"/>
          <w:marTop w:val="0"/>
          <w:marBottom w:val="0"/>
          <w:divBdr>
            <w:top w:val="none" w:sz="0" w:space="0" w:color="auto"/>
            <w:left w:val="none" w:sz="0" w:space="0" w:color="auto"/>
            <w:bottom w:val="none" w:sz="0" w:space="0" w:color="auto"/>
            <w:right w:val="none" w:sz="0" w:space="0" w:color="auto"/>
          </w:divBdr>
        </w:div>
      </w:divsChild>
    </w:div>
    <w:div w:id="140970799">
      <w:bodyDiv w:val="1"/>
      <w:marLeft w:val="0"/>
      <w:marRight w:val="0"/>
      <w:marTop w:val="0"/>
      <w:marBottom w:val="0"/>
      <w:divBdr>
        <w:top w:val="none" w:sz="0" w:space="0" w:color="auto"/>
        <w:left w:val="none" w:sz="0" w:space="0" w:color="auto"/>
        <w:bottom w:val="none" w:sz="0" w:space="0" w:color="auto"/>
        <w:right w:val="none" w:sz="0" w:space="0" w:color="auto"/>
      </w:divBdr>
    </w:div>
    <w:div w:id="171262221">
      <w:bodyDiv w:val="1"/>
      <w:marLeft w:val="0"/>
      <w:marRight w:val="0"/>
      <w:marTop w:val="0"/>
      <w:marBottom w:val="0"/>
      <w:divBdr>
        <w:top w:val="none" w:sz="0" w:space="0" w:color="auto"/>
        <w:left w:val="none" w:sz="0" w:space="0" w:color="auto"/>
        <w:bottom w:val="none" w:sz="0" w:space="0" w:color="auto"/>
        <w:right w:val="none" w:sz="0" w:space="0" w:color="auto"/>
      </w:divBdr>
    </w:div>
    <w:div w:id="239602735">
      <w:bodyDiv w:val="1"/>
      <w:marLeft w:val="0"/>
      <w:marRight w:val="0"/>
      <w:marTop w:val="0"/>
      <w:marBottom w:val="0"/>
      <w:divBdr>
        <w:top w:val="none" w:sz="0" w:space="0" w:color="auto"/>
        <w:left w:val="none" w:sz="0" w:space="0" w:color="auto"/>
        <w:bottom w:val="none" w:sz="0" w:space="0" w:color="auto"/>
        <w:right w:val="none" w:sz="0" w:space="0" w:color="auto"/>
      </w:divBdr>
    </w:div>
    <w:div w:id="261306636">
      <w:bodyDiv w:val="1"/>
      <w:marLeft w:val="0"/>
      <w:marRight w:val="0"/>
      <w:marTop w:val="0"/>
      <w:marBottom w:val="0"/>
      <w:divBdr>
        <w:top w:val="none" w:sz="0" w:space="0" w:color="auto"/>
        <w:left w:val="none" w:sz="0" w:space="0" w:color="auto"/>
        <w:bottom w:val="none" w:sz="0" w:space="0" w:color="auto"/>
        <w:right w:val="none" w:sz="0" w:space="0" w:color="auto"/>
      </w:divBdr>
    </w:div>
    <w:div w:id="420763652">
      <w:bodyDiv w:val="1"/>
      <w:marLeft w:val="0"/>
      <w:marRight w:val="0"/>
      <w:marTop w:val="0"/>
      <w:marBottom w:val="0"/>
      <w:divBdr>
        <w:top w:val="none" w:sz="0" w:space="0" w:color="auto"/>
        <w:left w:val="none" w:sz="0" w:space="0" w:color="auto"/>
        <w:bottom w:val="none" w:sz="0" w:space="0" w:color="auto"/>
        <w:right w:val="none" w:sz="0" w:space="0" w:color="auto"/>
      </w:divBdr>
    </w:div>
    <w:div w:id="434254465">
      <w:bodyDiv w:val="1"/>
      <w:marLeft w:val="0"/>
      <w:marRight w:val="0"/>
      <w:marTop w:val="0"/>
      <w:marBottom w:val="0"/>
      <w:divBdr>
        <w:top w:val="none" w:sz="0" w:space="0" w:color="auto"/>
        <w:left w:val="none" w:sz="0" w:space="0" w:color="auto"/>
        <w:bottom w:val="none" w:sz="0" w:space="0" w:color="auto"/>
        <w:right w:val="none" w:sz="0" w:space="0" w:color="auto"/>
      </w:divBdr>
    </w:div>
    <w:div w:id="501431753">
      <w:bodyDiv w:val="1"/>
      <w:marLeft w:val="0"/>
      <w:marRight w:val="0"/>
      <w:marTop w:val="0"/>
      <w:marBottom w:val="0"/>
      <w:divBdr>
        <w:top w:val="none" w:sz="0" w:space="0" w:color="auto"/>
        <w:left w:val="none" w:sz="0" w:space="0" w:color="auto"/>
        <w:bottom w:val="none" w:sz="0" w:space="0" w:color="auto"/>
        <w:right w:val="none" w:sz="0" w:space="0" w:color="auto"/>
      </w:divBdr>
    </w:div>
    <w:div w:id="530726008">
      <w:bodyDiv w:val="1"/>
      <w:marLeft w:val="0"/>
      <w:marRight w:val="0"/>
      <w:marTop w:val="0"/>
      <w:marBottom w:val="0"/>
      <w:divBdr>
        <w:top w:val="none" w:sz="0" w:space="0" w:color="auto"/>
        <w:left w:val="none" w:sz="0" w:space="0" w:color="auto"/>
        <w:bottom w:val="none" w:sz="0" w:space="0" w:color="auto"/>
        <w:right w:val="none" w:sz="0" w:space="0" w:color="auto"/>
      </w:divBdr>
    </w:div>
    <w:div w:id="546526624">
      <w:bodyDiv w:val="1"/>
      <w:marLeft w:val="0"/>
      <w:marRight w:val="0"/>
      <w:marTop w:val="0"/>
      <w:marBottom w:val="0"/>
      <w:divBdr>
        <w:top w:val="none" w:sz="0" w:space="0" w:color="auto"/>
        <w:left w:val="none" w:sz="0" w:space="0" w:color="auto"/>
        <w:bottom w:val="none" w:sz="0" w:space="0" w:color="auto"/>
        <w:right w:val="none" w:sz="0" w:space="0" w:color="auto"/>
      </w:divBdr>
    </w:div>
    <w:div w:id="611937773">
      <w:bodyDiv w:val="1"/>
      <w:marLeft w:val="0"/>
      <w:marRight w:val="0"/>
      <w:marTop w:val="0"/>
      <w:marBottom w:val="0"/>
      <w:divBdr>
        <w:top w:val="none" w:sz="0" w:space="0" w:color="auto"/>
        <w:left w:val="none" w:sz="0" w:space="0" w:color="auto"/>
        <w:bottom w:val="none" w:sz="0" w:space="0" w:color="auto"/>
        <w:right w:val="none" w:sz="0" w:space="0" w:color="auto"/>
      </w:divBdr>
    </w:div>
    <w:div w:id="691497455">
      <w:bodyDiv w:val="1"/>
      <w:marLeft w:val="0"/>
      <w:marRight w:val="0"/>
      <w:marTop w:val="0"/>
      <w:marBottom w:val="0"/>
      <w:divBdr>
        <w:top w:val="none" w:sz="0" w:space="0" w:color="auto"/>
        <w:left w:val="none" w:sz="0" w:space="0" w:color="auto"/>
        <w:bottom w:val="none" w:sz="0" w:space="0" w:color="auto"/>
        <w:right w:val="none" w:sz="0" w:space="0" w:color="auto"/>
      </w:divBdr>
    </w:div>
    <w:div w:id="746611311">
      <w:bodyDiv w:val="1"/>
      <w:marLeft w:val="0"/>
      <w:marRight w:val="0"/>
      <w:marTop w:val="0"/>
      <w:marBottom w:val="0"/>
      <w:divBdr>
        <w:top w:val="none" w:sz="0" w:space="0" w:color="auto"/>
        <w:left w:val="none" w:sz="0" w:space="0" w:color="auto"/>
        <w:bottom w:val="none" w:sz="0" w:space="0" w:color="auto"/>
        <w:right w:val="none" w:sz="0" w:space="0" w:color="auto"/>
      </w:divBdr>
    </w:div>
    <w:div w:id="760834878">
      <w:bodyDiv w:val="1"/>
      <w:marLeft w:val="0"/>
      <w:marRight w:val="0"/>
      <w:marTop w:val="0"/>
      <w:marBottom w:val="0"/>
      <w:divBdr>
        <w:top w:val="none" w:sz="0" w:space="0" w:color="auto"/>
        <w:left w:val="none" w:sz="0" w:space="0" w:color="auto"/>
        <w:bottom w:val="none" w:sz="0" w:space="0" w:color="auto"/>
        <w:right w:val="none" w:sz="0" w:space="0" w:color="auto"/>
      </w:divBdr>
    </w:div>
    <w:div w:id="768698171">
      <w:bodyDiv w:val="1"/>
      <w:marLeft w:val="0"/>
      <w:marRight w:val="0"/>
      <w:marTop w:val="0"/>
      <w:marBottom w:val="0"/>
      <w:divBdr>
        <w:top w:val="none" w:sz="0" w:space="0" w:color="auto"/>
        <w:left w:val="none" w:sz="0" w:space="0" w:color="auto"/>
        <w:bottom w:val="none" w:sz="0" w:space="0" w:color="auto"/>
        <w:right w:val="none" w:sz="0" w:space="0" w:color="auto"/>
      </w:divBdr>
    </w:div>
    <w:div w:id="795608466">
      <w:bodyDiv w:val="1"/>
      <w:marLeft w:val="0"/>
      <w:marRight w:val="0"/>
      <w:marTop w:val="0"/>
      <w:marBottom w:val="0"/>
      <w:divBdr>
        <w:top w:val="none" w:sz="0" w:space="0" w:color="auto"/>
        <w:left w:val="none" w:sz="0" w:space="0" w:color="auto"/>
        <w:bottom w:val="none" w:sz="0" w:space="0" w:color="auto"/>
        <w:right w:val="none" w:sz="0" w:space="0" w:color="auto"/>
      </w:divBdr>
    </w:div>
    <w:div w:id="822114447">
      <w:bodyDiv w:val="1"/>
      <w:marLeft w:val="0"/>
      <w:marRight w:val="0"/>
      <w:marTop w:val="0"/>
      <w:marBottom w:val="0"/>
      <w:divBdr>
        <w:top w:val="none" w:sz="0" w:space="0" w:color="auto"/>
        <w:left w:val="none" w:sz="0" w:space="0" w:color="auto"/>
        <w:bottom w:val="none" w:sz="0" w:space="0" w:color="auto"/>
        <w:right w:val="none" w:sz="0" w:space="0" w:color="auto"/>
      </w:divBdr>
      <w:divsChild>
        <w:div w:id="1897278515">
          <w:marLeft w:val="0"/>
          <w:marRight w:val="0"/>
          <w:marTop w:val="0"/>
          <w:marBottom w:val="0"/>
          <w:divBdr>
            <w:top w:val="none" w:sz="0" w:space="0" w:color="auto"/>
            <w:left w:val="none" w:sz="0" w:space="0" w:color="auto"/>
            <w:bottom w:val="none" w:sz="0" w:space="0" w:color="auto"/>
            <w:right w:val="none" w:sz="0" w:space="0" w:color="auto"/>
          </w:divBdr>
        </w:div>
      </w:divsChild>
    </w:div>
    <w:div w:id="900750030">
      <w:bodyDiv w:val="1"/>
      <w:marLeft w:val="0"/>
      <w:marRight w:val="0"/>
      <w:marTop w:val="0"/>
      <w:marBottom w:val="0"/>
      <w:divBdr>
        <w:top w:val="none" w:sz="0" w:space="0" w:color="auto"/>
        <w:left w:val="none" w:sz="0" w:space="0" w:color="auto"/>
        <w:bottom w:val="none" w:sz="0" w:space="0" w:color="auto"/>
        <w:right w:val="none" w:sz="0" w:space="0" w:color="auto"/>
      </w:divBdr>
    </w:div>
    <w:div w:id="938757783">
      <w:bodyDiv w:val="1"/>
      <w:marLeft w:val="0"/>
      <w:marRight w:val="0"/>
      <w:marTop w:val="0"/>
      <w:marBottom w:val="0"/>
      <w:divBdr>
        <w:top w:val="none" w:sz="0" w:space="0" w:color="auto"/>
        <w:left w:val="none" w:sz="0" w:space="0" w:color="auto"/>
        <w:bottom w:val="none" w:sz="0" w:space="0" w:color="auto"/>
        <w:right w:val="none" w:sz="0" w:space="0" w:color="auto"/>
      </w:divBdr>
      <w:divsChild>
        <w:div w:id="452796134">
          <w:marLeft w:val="0"/>
          <w:marRight w:val="0"/>
          <w:marTop w:val="0"/>
          <w:marBottom w:val="0"/>
          <w:divBdr>
            <w:top w:val="none" w:sz="0" w:space="0" w:color="auto"/>
            <w:left w:val="none" w:sz="0" w:space="0" w:color="auto"/>
            <w:bottom w:val="none" w:sz="0" w:space="0" w:color="auto"/>
            <w:right w:val="none" w:sz="0" w:space="0" w:color="auto"/>
          </w:divBdr>
        </w:div>
        <w:div w:id="620692023">
          <w:marLeft w:val="0"/>
          <w:marRight w:val="0"/>
          <w:marTop w:val="0"/>
          <w:marBottom w:val="0"/>
          <w:divBdr>
            <w:top w:val="none" w:sz="0" w:space="0" w:color="auto"/>
            <w:left w:val="none" w:sz="0" w:space="0" w:color="auto"/>
            <w:bottom w:val="none" w:sz="0" w:space="0" w:color="auto"/>
            <w:right w:val="none" w:sz="0" w:space="0" w:color="auto"/>
          </w:divBdr>
        </w:div>
        <w:div w:id="693925471">
          <w:marLeft w:val="0"/>
          <w:marRight w:val="0"/>
          <w:marTop w:val="0"/>
          <w:marBottom w:val="0"/>
          <w:divBdr>
            <w:top w:val="none" w:sz="0" w:space="0" w:color="auto"/>
            <w:left w:val="none" w:sz="0" w:space="0" w:color="auto"/>
            <w:bottom w:val="none" w:sz="0" w:space="0" w:color="auto"/>
            <w:right w:val="none" w:sz="0" w:space="0" w:color="auto"/>
          </w:divBdr>
        </w:div>
        <w:div w:id="1019430147">
          <w:marLeft w:val="0"/>
          <w:marRight w:val="0"/>
          <w:marTop w:val="0"/>
          <w:marBottom w:val="0"/>
          <w:divBdr>
            <w:top w:val="none" w:sz="0" w:space="0" w:color="auto"/>
            <w:left w:val="none" w:sz="0" w:space="0" w:color="auto"/>
            <w:bottom w:val="none" w:sz="0" w:space="0" w:color="auto"/>
            <w:right w:val="none" w:sz="0" w:space="0" w:color="auto"/>
          </w:divBdr>
        </w:div>
        <w:div w:id="1049768185">
          <w:marLeft w:val="0"/>
          <w:marRight w:val="0"/>
          <w:marTop w:val="0"/>
          <w:marBottom w:val="0"/>
          <w:divBdr>
            <w:top w:val="none" w:sz="0" w:space="0" w:color="auto"/>
            <w:left w:val="none" w:sz="0" w:space="0" w:color="auto"/>
            <w:bottom w:val="none" w:sz="0" w:space="0" w:color="auto"/>
            <w:right w:val="none" w:sz="0" w:space="0" w:color="auto"/>
          </w:divBdr>
        </w:div>
        <w:div w:id="1206868776">
          <w:marLeft w:val="0"/>
          <w:marRight w:val="0"/>
          <w:marTop w:val="0"/>
          <w:marBottom w:val="0"/>
          <w:divBdr>
            <w:top w:val="none" w:sz="0" w:space="0" w:color="auto"/>
            <w:left w:val="none" w:sz="0" w:space="0" w:color="auto"/>
            <w:bottom w:val="none" w:sz="0" w:space="0" w:color="auto"/>
            <w:right w:val="none" w:sz="0" w:space="0" w:color="auto"/>
          </w:divBdr>
          <w:divsChild>
            <w:div w:id="1109272880">
              <w:marLeft w:val="0"/>
              <w:marRight w:val="0"/>
              <w:marTop w:val="0"/>
              <w:marBottom w:val="0"/>
              <w:divBdr>
                <w:top w:val="none" w:sz="0" w:space="0" w:color="auto"/>
                <w:left w:val="none" w:sz="0" w:space="0" w:color="auto"/>
                <w:bottom w:val="none" w:sz="0" w:space="0" w:color="auto"/>
                <w:right w:val="none" w:sz="0" w:space="0" w:color="auto"/>
              </w:divBdr>
            </w:div>
            <w:div w:id="1122266398">
              <w:marLeft w:val="0"/>
              <w:marRight w:val="0"/>
              <w:marTop w:val="0"/>
              <w:marBottom w:val="0"/>
              <w:divBdr>
                <w:top w:val="none" w:sz="0" w:space="0" w:color="auto"/>
                <w:left w:val="none" w:sz="0" w:space="0" w:color="auto"/>
                <w:bottom w:val="none" w:sz="0" w:space="0" w:color="auto"/>
                <w:right w:val="none" w:sz="0" w:space="0" w:color="auto"/>
              </w:divBdr>
            </w:div>
            <w:div w:id="1248463451">
              <w:marLeft w:val="0"/>
              <w:marRight w:val="0"/>
              <w:marTop w:val="0"/>
              <w:marBottom w:val="0"/>
              <w:divBdr>
                <w:top w:val="none" w:sz="0" w:space="0" w:color="auto"/>
                <w:left w:val="none" w:sz="0" w:space="0" w:color="auto"/>
                <w:bottom w:val="none" w:sz="0" w:space="0" w:color="auto"/>
                <w:right w:val="none" w:sz="0" w:space="0" w:color="auto"/>
              </w:divBdr>
            </w:div>
          </w:divsChild>
        </w:div>
        <w:div w:id="1649430594">
          <w:marLeft w:val="0"/>
          <w:marRight w:val="0"/>
          <w:marTop w:val="0"/>
          <w:marBottom w:val="0"/>
          <w:divBdr>
            <w:top w:val="none" w:sz="0" w:space="0" w:color="auto"/>
            <w:left w:val="none" w:sz="0" w:space="0" w:color="auto"/>
            <w:bottom w:val="none" w:sz="0" w:space="0" w:color="auto"/>
            <w:right w:val="none" w:sz="0" w:space="0" w:color="auto"/>
          </w:divBdr>
        </w:div>
        <w:div w:id="1875774303">
          <w:marLeft w:val="0"/>
          <w:marRight w:val="0"/>
          <w:marTop w:val="0"/>
          <w:marBottom w:val="0"/>
          <w:divBdr>
            <w:top w:val="none" w:sz="0" w:space="0" w:color="auto"/>
            <w:left w:val="none" w:sz="0" w:space="0" w:color="auto"/>
            <w:bottom w:val="none" w:sz="0" w:space="0" w:color="auto"/>
            <w:right w:val="none" w:sz="0" w:space="0" w:color="auto"/>
          </w:divBdr>
        </w:div>
        <w:div w:id="1906842513">
          <w:marLeft w:val="0"/>
          <w:marRight w:val="0"/>
          <w:marTop w:val="0"/>
          <w:marBottom w:val="0"/>
          <w:divBdr>
            <w:top w:val="none" w:sz="0" w:space="0" w:color="auto"/>
            <w:left w:val="none" w:sz="0" w:space="0" w:color="auto"/>
            <w:bottom w:val="none" w:sz="0" w:space="0" w:color="auto"/>
            <w:right w:val="none" w:sz="0" w:space="0" w:color="auto"/>
          </w:divBdr>
          <w:divsChild>
            <w:div w:id="373580543">
              <w:marLeft w:val="0"/>
              <w:marRight w:val="0"/>
              <w:marTop w:val="0"/>
              <w:marBottom w:val="0"/>
              <w:divBdr>
                <w:top w:val="none" w:sz="0" w:space="0" w:color="auto"/>
                <w:left w:val="none" w:sz="0" w:space="0" w:color="auto"/>
                <w:bottom w:val="none" w:sz="0" w:space="0" w:color="auto"/>
                <w:right w:val="none" w:sz="0" w:space="0" w:color="auto"/>
              </w:divBdr>
            </w:div>
            <w:div w:id="836964143">
              <w:marLeft w:val="0"/>
              <w:marRight w:val="0"/>
              <w:marTop w:val="0"/>
              <w:marBottom w:val="0"/>
              <w:divBdr>
                <w:top w:val="none" w:sz="0" w:space="0" w:color="auto"/>
                <w:left w:val="none" w:sz="0" w:space="0" w:color="auto"/>
                <w:bottom w:val="none" w:sz="0" w:space="0" w:color="auto"/>
                <w:right w:val="none" w:sz="0" w:space="0" w:color="auto"/>
              </w:divBdr>
            </w:div>
            <w:div w:id="1716076673">
              <w:marLeft w:val="0"/>
              <w:marRight w:val="0"/>
              <w:marTop w:val="0"/>
              <w:marBottom w:val="0"/>
              <w:divBdr>
                <w:top w:val="none" w:sz="0" w:space="0" w:color="auto"/>
                <w:left w:val="none" w:sz="0" w:space="0" w:color="auto"/>
                <w:bottom w:val="none" w:sz="0" w:space="0" w:color="auto"/>
                <w:right w:val="none" w:sz="0" w:space="0" w:color="auto"/>
              </w:divBdr>
            </w:div>
            <w:div w:id="214256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132477">
      <w:bodyDiv w:val="1"/>
      <w:marLeft w:val="0"/>
      <w:marRight w:val="0"/>
      <w:marTop w:val="0"/>
      <w:marBottom w:val="0"/>
      <w:divBdr>
        <w:top w:val="none" w:sz="0" w:space="0" w:color="auto"/>
        <w:left w:val="none" w:sz="0" w:space="0" w:color="auto"/>
        <w:bottom w:val="none" w:sz="0" w:space="0" w:color="auto"/>
        <w:right w:val="none" w:sz="0" w:space="0" w:color="auto"/>
      </w:divBdr>
    </w:div>
    <w:div w:id="989556317">
      <w:bodyDiv w:val="1"/>
      <w:marLeft w:val="0"/>
      <w:marRight w:val="0"/>
      <w:marTop w:val="0"/>
      <w:marBottom w:val="0"/>
      <w:divBdr>
        <w:top w:val="none" w:sz="0" w:space="0" w:color="auto"/>
        <w:left w:val="none" w:sz="0" w:space="0" w:color="auto"/>
        <w:bottom w:val="none" w:sz="0" w:space="0" w:color="auto"/>
        <w:right w:val="none" w:sz="0" w:space="0" w:color="auto"/>
      </w:divBdr>
    </w:div>
    <w:div w:id="1095056968">
      <w:bodyDiv w:val="1"/>
      <w:marLeft w:val="0"/>
      <w:marRight w:val="0"/>
      <w:marTop w:val="0"/>
      <w:marBottom w:val="0"/>
      <w:divBdr>
        <w:top w:val="none" w:sz="0" w:space="0" w:color="auto"/>
        <w:left w:val="none" w:sz="0" w:space="0" w:color="auto"/>
        <w:bottom w:val="none" w:sz="0" w:space="0" w:color="auto"/>
        <w:right w:val="none" w:sz="0" w:space="0" w:color="auto"/>
      </w:divBdr>
    </w:div>
    <w:div w:id="1139229740">
      <w:bodyDiv w:val="1"/>
      <w:marLeft w:val="0"/>
      <w:marRight w:val="0"/>
      <w:marTop w:val="0"/>
      <w:marBottom w:val="0"/>
      <w:divBdr>
        <w:top w:val="none" w:sz="0" w:space="0" w:color="auto"/>
        <w:left w:val="none" w:sz="0" w:space="0" w:color="auto"/>
        <w:bottom w:val="none" w:sz="0" w:space="0" w:color="auto"/>
        <w:right w:val="none" w:sz="0" w:space="0" w:color="auto"/>
      </w:divBdr>
    </w:div>
    <w:div w:id="1146439183">
      <w:bodyDiv w:val="1"/>
      <w:marLeft w:val="0"/>
      <w:marRight w:val="0"/>
      <w:marTop w:val="0"/>
      <w:marBottom w:val="0"/>
      <w:divBdr>
        <w:top w:val="none" w:sz="0" w:space="0" w:color="auto"/>
        <w:left w:val="none" w:sz="0" w:space="0" w:color="auto"/>
        <w:bottom w:val="none" w:sz="0" w:space="0" w:color="auto"/>
        <w:right w:val="none" w:sz="0" w:space="0" w:color="auto"/>
      </w:divBdr>
    </w:div>
    <w:div w:id="1156645627">
      <w:bodyDiv w:val="1"/>
      <w:marLeft w:val="0"/>
      <w:marRight w:val="0"/>
      <w:marTop w:val="0"/>
      <w:marBottom w:val="0"/>
      <w:divBdr>
        <w:top w:val="none" w:sz="0" w:space="0" w:color="auto"/>
        <w:left w:val="none" w:sz="0" w:space="0" w:color="auto"/>
        <w:bottom w:val="none" w:sz="0" w:space="0" w:color="auto"/>
        <w:right w:val="none" w:sz="0" w:space="0" w:color="auto"/>
      </w:divBdr>
    </w:div>
    <w:div w:id="1164470512">
      <w:bodyDiv w:val="1"/>
      <w:marLeft w:val="0"/>
      <w:marRight w:val="0"/>
      <w:marTop w:val="0"/>
      <w:marBottom w:val="0"/>
      <w:divBdr>
        <w:top w:val="none" w:sz="0" w:space="0" w:color="auto"/>
        <w:left w:val="none" w:sz="0" w:space="0" w:color="auto"/>
        <w:bottom w:val="none" w:sz="0" w:space="0" w:color="auto"/>
        <w:right w:val="none" w:sz="0" w:space="0" w:color="auto"/>
      </w:divBdr>
    </w:div>
    <w:div w:id="1182666126">
      <w:bodyDiv w:val="1"/>
      <w:marLeft w:val="0"/>
      <w:marRight w:val="0"/>
      <w:marTop w:val="0"/>
      <w:marBottom w:val="0"/>
      <w:divBdr>
        <w:top w:val="none" w:sz="0" w:space="0" w:color="auto"/>
        <w:left w:val="none" w:sz="0" w:space="0" w:color="auto"/>
        <w:bottom w:val="none" w:sz="0" w:space="0" w:color="auto"/>
        <w:right w:val="none" w:sz="0" w:space="0" w:color="auto"/>
      </w:divBdr>
    </w:div>
    <w:div w:id="1290432316">
      <w:bodyDiv w:val="1"/>
      <w:marLeft w:val="0"/>
      <w:marRight w:val="0"/>
      <w:marTop w:val="0"/>
      <w:marBottom w:val="0"/>
      <w:divBdr>
        <w:top w:val="none" w:sz="0" w:space="0" w:color="auto"/>
        <w:left w:val="none" w:sz="0" w:space="0" w:color="auto"/>
        <w:bottom w:val="none" w:sz="0" w:space="0" w:color="auto"/>
        <w:right w:val="none" w:sz="0" w:space="0" w:color="auto"/>
      </w:divBdr>
    </w:div>
    <w:div w:id="1465805470">
      <w:bodyDiv w:val="1"/>
      <w:marLeft w:val="0"/>
      <w:marRight w:val="0"/>
      <w:marTop w:val="0"/>
      <w:marBottom w:val="0"/>
      <w:divBdr>
        <w:top w:val="none" w:sz="0" w:space="0" w:color="auto"/>
        <w:left w:val="none" w:sz="0" w:space="0" w:color="auto"/>
        <w:bottom w:val="none" w:sz="0" w:space="0" w:color="auto"/>
        <w:right w:val="none" w:sz="0" w:space="0" w:color="auto"/>
      </w:divBdr>
    </w:div>
    <w:div w:id="1498691832">
      <w:bodyDiv w:val="1"/>
      <w:marLeft w:val="0"/>
      <w:marRight w:val="0"/>
      <w:marTop w:val="0"/>
      <w:marBottom w:val="0"/>
      <w:divBdr>
        <w:top w:val="none" w:sz="0" w:space="0" w:color="auto"/>
        <w:left w:val="none" w:sz="0" w:space="0" w:color="auto"/>
        <w:bottom w:val="none" w:sz="0" w:space="0" w:color="auto"/>
        <w:right w:val="none" w:sz="0" w:space="0" w:color="auto"/>
      </w:divBdr>
    </w:div>
    <w:div w:id="1505053460">
      <w:bodyDiv w:val="1"/>
      <w:marLeft w:val="0"/>
      <w:marRight w:val="0"/>
      <w:marTop w:val="0"/>
      <w:marBottom w:val="0"/>
      <w:divBdr>
        <w:top w:val="none" w:sz="0" w:space="0" w:color="auto"/>
        <w:left w:val="none" w:sz="0" w:space="0" w:color="auto"/>
        <w:bottom w:val="none" w:sz="0" w:space="0" w:color="auto"/>
        <w:right w:val="none" w:sz="0" w:space="0" w:color="auto"/>
      </w:divBdr>
    </w:div>
    <w:div w:id="1514605910">
      <w:bodyDiv w:val="1"/>
      <w:marLeft w:val="0"/>
      <w:marRight w:val="0"/>
      <w:marTop w:val="0"/>
      <w:marBottom w:val="0"/>
      <w:divBdr>
        <w:top w:val="none" w:sz="0" w:space="0" w:color="auto"/>
        <w:left w:val="none" w:sz="0" w:space="0" w:color="auto"/>
        <w:bottom w:val="none" w:sz="0" w:space="0" w:color="auto"/>
        <w:right w:val="none" w:sz="0" w:space="0" w:color="auto"/>
      </w:divBdr>
      <w:divsChild>
        <w:div w:id="777606906">
          <w:marLeft w:val="0"/>
          <w:marRight w:val="0"/>
          <w:marTop w:val="0"/>
          <w:marBottom w:val="0"/>
          <w:divBdr>
            <w:top w:val="none" w:sz="0" w:space="0" w:color="auto"/>
            <w:left w:val="none" w:sz="0" w:space="0" w:color="auto"/>
            <w:bottom w:val="none" w:sz="0" w:space="0" w:color="auto"/>
            <w:right w:val="none" w:sz="0" w:space="0" w:color="auto"/>
          </w:divBdr>
        </w:div>
        <w:div w:id="956761333">
          <w:marLeft w:val="0"/>
          <w:marRight w:val="0"/>
          <w:marTop w:val="0"/>
          <w:marBottom w:val="0"/>
          <w:divBdr>
            <w:top w:val="none" w:sz="0" w:space="0" w:color="auto"/>
            <w:left w:val="none" w:sz="0" w:space="0" w:color="auto"/>
            <w:bottom w:val="none" w:sz="0" w:space="0" w:color="auto"/>
            <w:right w:val="none" w:sz="0" w:space="0" w:color="auto"/>
          </w:divBdr>
        </w:div>
        <w:div w:id="1032534912">
          <w:marLeft w:val="0"/>
          <w:marRight w:val="0"/>
          <w:marTop w:val="0"/>
          <w:marBottom w:val="0"/>
          <w:divBdr>
            <w:top w:val="none" w:sz="0" w:space="0" w:color="auto"/>
            <w:left w:val="none" w:sz="0" w:space="0" w:color="auto"/>
            <w:bottom w:val="none" w:sz="0" w:space="0" w:color="auto"/>
            <w:right w:val="none" w:sz="0" w:space="0" w:color="auto"/>
          </w:divBdr>
        </w:div>
        <w:div w:id="1731535724">
          <w:marLeft w:val="0"/>
          <w:marRight w:val="0"/>
          <w:marTop w:val="0"/>
          <w:marBottom w:val="0"/>
          <w:divBdr>
            <w:top w:val="none" w:sz="0" w:space="0" w:color="auto"/>
            <w:left w:val="none" w:sz="0" w:space="0" w:color="auto"/>
            <w:bottom w:val="none" w:sz="0" w:space="0" w:color="auto"/>
            <w:right w:val="none" w:sz="0" w:space="0" w:color="auto"/>
          </w:divBdr>
        </w:div>
      </w:divsChild>
    </w:div>
    <w:div w:id="1526363022">
      <w:bodyDiv w:val="1"/>
      <w:marLeft w:val="0"/>
      <w:marRight w:val="0"/>
      <w:marTop w:val="0"/>
      <w:marBottom w:val="0"/>
      <w:divBdr>
        <w:top w:val="none" w:sz="0" w:space="0" w:color="auto"/>
        <w:left w:val="none" w:sz="0" w:space="0" w:color="auto"/>
        <w:bottom w:val="none" w:sz="0" w:space="0" w:color="auto"/>
        <w:right w:val="none" w:sz="0" w:space="0" w:color="auto"/>
      </w:divBdr>
    </w:div>
    <w:div w:id="1541740309">
      <w:bodyDiv w:val="1"/>
      <w:marLeft w:val="0"/>
      <w:marRight w:val="0"/>
      <w:marTop w:val="0"/>
      <w:marBottom w:val="0"/>
      <w:divBdr>
        <w:top w:val="none" w:sz="0" w:space="0" w:color="auto"/>
        <w:left w:val="none" w:sz="0" w:space="0" w:color="auto"/>
        <w:bottom w:val="none" w:sz="0" w:space="0" w:color="auto"/>
        <w:right w:val="none" w:sz="0" w:space="0" w:color="auto"/>
      </w:divBdr>
      <w:divsChild>
        <w:div w:id="626090210">
          <w:marLeft w:val="0"/>
          <w:marRight w:val="0"/>
          <w:marTop w:val="0"/>
          <w:marBottom w:val="0"/>
          <w:divBdr>
            <w:top w:val="none" w:sz="0" w:space="0" w:color="auto"/>
            <w:left w:val="none" w:sz="0" w:space="0" w:color="auto"/>
            <w:bottom w:val="none" w:sz="0" w:space="0" w:color="auto"/>
            <w:right w:val="none" w:sz="0" w:space="0" w:color="auto"/>
          </w:divBdr>
          <w:divsChild>
            <w:div w:id="1467813700">
              <w:marLeft w:val="0"/>
              <w:marRight w:val="0"/>
              <w:marTop w:val="0"/>
              <w:marBottom w:val="0"/>
              <w:divBdr>
                <w:top w:val="none" w:sz="0" w:space="0" w:color="auto"/>
                <w:left w:val="none" w:sz="0" w:space="0" w:color="auto"/>
                <w:bottom w:val="none" w:sz="0" w:space="0" w:color="auto"/>
                <w:right w:val="none" w:sz="0" w:space="0" w:color="auto"/>
              </w:divBdr>
            </w:div>
          </w:divsChild>
        </w:div>
        <w:div w:id="1383209860">
          <w:marLeft w:val="0"/>
          <w:marRight w:val="0"/>
          <w:marTop w:val="0"/>
          <w:marBottom w:val="0"/>
          <w:divBdr>
            <w:top w:val="none" w:sz="0" w:space="0" w:color="auto"/>
            <w:left w:val="none" w:sz="0" w:space="0" w:color="auto"/>
            <w:bottom w:val="none" w:sz="0" w:space="0" w:color="auto"/>
            <w:right w:val="none" w:sz="0" w:space="0" w:color="auto"/>
          </w:divBdr>
          <w:divsChild>
            <w:div w:id="283578309">
              <w:marLeft w:val="0"/>
              <w:marRight w:val="0"/>
              <w:marTop w:val="0"/>
              <w:marBottom w:val="0"/>
              <w:divBdr>
                <w:top w:val="none" w:sz="0" w:space="0" w:color="auto"/>
                <w:left w:val="none" w:sz="0" w:space="0" w:color="auto"/>
                <w:bottom w:val="none" w:sz="0" w:space="0" w:color="auto"/>
                <w:right w:val="none" w:sz="0" w:space="0" w:color="auto"/>
              </w:divBdr>
            </w:div>
            <w:div w:id="78049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90051">
      <w:bodyDiv w:val="1"/>
      <w:marLeft w:val="0"/>
      <w:marRight w:val="0"/>
      <w:marTop w:val="0"/>
      <w:marBottom w:val="0"/>
      <w:divBdr>
        <w:top w:val="none" w:sz="0" w:space="0" w:color="auto"/>
        <w:left w:val="none" w:sz="0" w:space="0" w:color="auto"/>
        <w:bottom w:val="none" w:sz="0" w:space="0" w:color="auto"/>
        <w:right w:val="none" w:sz="0" w:space="0" w:color="auto"/>
      </w:divBdr>
    </w:div>
    <w:div w:id="1571845430">
      <w:bodyDiv w:val="1"/>
      <w:marLeft w:val="0"/>
      <w:marRight w:val="0"/>
      <w:marTop w:val="0"/>
      <w:marBottom w:val="0"/>
      <w:divBdr>
        <w:top w:val="none" w:sz="0" w:space="0" w:color="auto"/>
        <w:left w:val="none" w:sz="0" w:space="0" w:color="auto"/>
        <w:bottom w:val="none" w:sz="0" w:space="0" w:color="auto"/>
        <w:right w:val="none" w:sz="0" w:space="0" w:color="auto"/>
      </w:divBdr>
      <w:divsChild>
        <w:div w:id="102118803">
          <w:marLeft w:val="0"/>
          <w:marRight w:val="0"/>
          <w:marTop w:val="0"/>
          <w:marBottom w:val="0"/>
          <w:divBdr>
            <w:top w:val="none" w:sz="0" w:space="0" w:color="auto"/>
            <w:left w:val="none" w:sz="0" w:space="0" w:color="auto"/>
            <w:bottom w:val="none" w:sz="0" w:space="0" w:color="auto"/>
            <w:right w:val="none" w:sz="0" w:space="0" w:color="auto"/>
          </w:divBdr>
        </w:div>
        <w:div w:id="481317223">
          <w:marLeft w:val="0"/>
          <w:marRight w:val="0"/>
          <w:marTop w:val="0"/>
          <w:marBottom w:val="0"/>
          <w:divBdr>
            <w:top w:val="none" w:sz="0" w:space="0" w:color="auto"/>
            <w:left w:val="none" w:sz="0" w:space="0" w:color="auto"/>
            <w:bottom w:val="none" w:sz="0" w:space="0" w:color="auto"/>
            <w:right w:val="none" w:sz="0" w:space="0" w:color="auto"/>
          </w:divBdr>
        </w:div>
      </w:divsChild>
    </w:div>
    <w:div w:id="1639610264">
      <w:bodyDiv w:val="1"/>
      <w:marLeft w:val="0"/>
      <w:marRight w:val="0"/>
      <w:marTop w:val="0"/>
      <w:marBottom w:val="0"/>
      <w:divBdr>
        <w:top w:val="none" w:sz="0" w:space="0" w:color="auto"/>
        <w:left w:val="none" w:sz="0" w:space="0" w:color="auto"/>
        <w:bottom w:val="none" w:sz="0" w:space="0" w:color="auto"/>
        <w:right w:val="none" w:sz="0" w:space="0" w:color="auto"/>
      </w:divBdr>
    </w:div>
    <w:div w:id="1676880578">
      <w:bodyDiv w:val="1"/>
      <w:marLeft w:val="0"/>
      <w:marRight w:val="0"/>
      <w:marTop w:val="0"/>
      <w:marBottom w:val="0"/>
      <w:divBdr>
        <w:top w:val="none" w:sz="0" w:space="0" w:color="auto"/>
        <w:left w:val="none" w:sz="0" w:space="0" w:color="auto"/>
        <w:bottom w:val="none" w:sz="0" w:space="0" w:color="auto"/>
        <w:right w:val="none" w:sz="0" w:space="0" w:color="auto"/>
      </w:divBdr>
    </w:div>
    <w:div w:id="1680308747">
      <w:bodyDiv w:val="1"/>
      <w:marLeft w:val="0"/>
      <w:marRight w:val="0"/>
      <w:marTop w:val="0"/>
      <w:marBottom w:val="0"/>
      <w:divBdr>
        <w:top w:val="none" w:sz="0" w:space="0" w:color="auto"/>
        <w:left w:val="none" w:sz="0" w:space="0" w:color="auto"/>
        <w:bottom w:val="none" w:sz="0" w:space="0" w:color="auto"/>
        <w:right w:val="none" w:sz="0" w:space="0" w:color="auto"/>
      </w:divBdr>
    </w:div>
    <w:div w:id="1682706739">
      <w:bodyDiv w:val="1"/>
      <w:marLeft w:val="0"/>
      <w:marRight w:val="0"/>
      <w:marTop w:val="0"/>
      <w:marBottom w:val="0"/>
      <w:divBdr>
        <w:top w:val="none" w:sz="0" w:space="0" w:color="auto"/>
        <w:left w:val="none" w:sz="0" w:space="0" w:color="auto"/>
        <w:bottom w:val="none" w:sz="0" w:space="0" w:color="auto"/>
        <w:right w:val="none" w:sz="0" w:space="0" w:color="auto"/>
      </w:divBdr>
    </w:div>
    <w:div w:id="1715035496">
      <w:bodyDiv w:val="1"/>
      <w:marLeft w:val="0"/>
      <w:marRight w:val="0"/>
      <w:marTop w:val="0"/>
      <w:marBottom w:val="0"/>
      <w:divBdr>
        <w:top w:val="none" w:sz="0" w:space="0" w:color="auto"/>
        <w:left w:val="none" w:sz="0" w:space="0" w:color="auto"/>
        <w:bottom w:val="none" w:sz="0" w:space="0" w:color="auto"/>
        <w:right w:val="none" w:sz="0" w:space="0" w:color="auto"/>
      </w:divBdr>
    </w:div>
    <w:div w:id="1920291067">
      <w:bodyDiv w:val="1"/>
      <w:marLeft w:val="0"/>
      <w:marRight w:val="0"/>
      <w:marTop w:val="0"/>
      <w:marBottom w:val="0"/>
      <w:divBdr>
        <w:top w:val="none" w:sz="0" w:space="0" w:color="auto"/>
        <w:left w:val="none" w:sz="0" w:space="0" w:color="auto"/>
        <w:bottom w:val="none" w:sz="0" w:space="0" w:color="auto"/>
        <w:right w:val="none" w:sz="0" w:space="0" w:color="auto"/>
      </w:divBdr>
    </w:div>
    <w:div w:id="1958483835">
      <w:bodyDiv w:val="1"/>
      <w:marLeft w:val="0"/>
      <w:marRight w:val="0"/>
      <w:marTop w:val="0"/>
      <w:marBottom w:val="0"/>
      <w:divBdr>
        <w:top w:val="none" w:sz="0" w:space="0" w:color="auto"/>
        <w:left w:val="none" w:sz="0" w:space="0" w:color="auto"/>
        <w:bottom w:val="none" w:sz="0" w:space="0" w:color="auto"/>
        <w:right w:val="none" w:sz="0" w:space="0" w:color="auto"/>
      </w:divBdr>
    </w:div>
    <w:div w:id="1977486005">
      <w:bodyDiv w:val="1"/>
      <w:marLeft w:val="0"/>
      <w:marRight w:val="0"/>
      <w:marTop w:val="0"/>
      <w:marBottom w:val="0"/>
      <w:divBdr>
        <w:top w:val="none" w:sz="0" w:space="0" w:color="auto"/>
        <w:left w:val="none" w:sz="0" w:space="0" w:color="auto"/>
        <w:bottom w:val="none" w:sz="0" w:space="0" w:color="auto"/>
        <w:right w:val="none" w:sz="0" w:space="0" w:color="auto"/>
      </w:divBdr>
    </w:div>
    <w:div w:id="2067292817">
      <w:bodyDiv w:val="1"/>
      <w:marLeft w:val="0"/>
      <w:marRight w:val="0"/>
      <w:marTop w:val="0"/>
      <w:marBottom w:val="0"/>
      <w:divBdr>
        <w:top w:val="none" w:sz="0" w:space="0" w:color="auto"/>
        <w:left w:val="none" w:sz="0" w:space="0" w:color="auto"/>
        <w:bottom w:val="none" w:sz="0" w:space="0" w:color="auto"/>
        <w:right w:val="none" w:sz="0" w:space="0" w:color="auto"/>
      </w:divBdr>
    </w:div>
    <w:div w:id="213073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26"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5"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documenttasks/documenttasks1.xml><?xml version="1.0" encoding="utf-8"?>
<t:Tasks xmlns:t="http://schemas.microsoft.com/office/tasks/2019/documenttasks">
  <t:Task id="{5DF5F114-D973-49DA-A12A-B8CFC610D48A}">
    <t:Anchor>
      <t:Comment id="592875539"/>
    </t:Anchor>
    <t:History>
      <t:Event id="{37A46D79-EE33-4F52-AEEB-21BB90D911E7}" time="2020-11-11T22:50:26Z">
        <t:Attribution userId="S::roger.zhang@treasury.nsw.gov.au::793226b8-65d9-47db-ad42-5b6d78d1bdae" userProvider="AD" userName="Roger Zhang"/>
        <t:Anchor>
          <t:Comment id="1617963716"/>
        </t:Anchor>
        <t:Create/>
      </t:Event>
      <t:Event id="{E435EE1B-411E-459F-9C3B-BBFCF3CE067B}" time="2020-11-11T22:50:26Z">
        <t:Attribution userId="S::roger.zhang@treasury.nsw.gov.au::793226b8-65d9-47db-ad42-5b6d78d1bdae" userProvider="AD" userName="Roger Zhang"/>
        <t:Anchor>
          <t:Comment id="1617963716"/>
        </t:Anchor>
        <t:Assign userId="S::james.atkinson@treasury.nsw.gov.au::6165cb50-c28f-4586-95e5-37dcecd1a7ac" userProvider="AD" userName="James Atkinson"/>
      </t:Event>
      <t:Event id="{54339879-56A0-4970-B304-D33E7DE51D94}" time="2020-11-11T22:50:26Z">
        <t:Attribution userId="S::roger.zhang@treasury.nsw.gov.au::793226b8-65d9-47db-ad42-5b6d78d1bdae" userProvider="AD" userName="Roger Zhang"/>
        <t:Anchor>
          <t:Comment id="1617963716"/>
        </t:Anchor>
        <t:SetTitle title="@James Atkinson please confirm"/>
      </t:Event>
      <t:Event id="{E7130122-B497-4F3D-94EC-527B01071226}" time="2020-11-12T05:12:57Z">
        <t:Attribution userId="S::roger.zhang@treasury.nsw.gov.au::793226b8-65d9-47db-ad42-5b6d78d1bdae" userProvider="AD" userName="Roger Zhang"/>
        <t:Anchor>
          <t:Comment id="1493419033"/>
        </t:Anchor>
        <t:UnassignAll/>
      </t:Event>
      <t:Event id="{0665B0FC-1B5C-4B82-8469-67170048E02F}" time="2020-11-12T05:12:57Z">
        <t:Attribution userId="S::roger.zhang@treasury.nsw.gov.au::793226b8-65d9-47db-ad42-5b6d78d1bdae" userProvider="AD" userName="Roger Zhang"/>
        <t:Anchor>
          <t:Comment id="1493419033"/>
        </t:Anchor>
        <t:Assign userId="S::john.lynam@treasury.nsw.gov.au::12482225-9e61-479c-8e34-75dabd4815bd" userProvider="AD" userName="John Lynam"/>
      </t:Event>
    </t:History>
  </t:Task>
  <t:Task id="{4720974F-D912-4515-8AF7-E1E9985D0E37}">
    <t:Anchor>
      <t:Comment id="346849838"/>
    </t:Anchor>
    <t:History>
      <t:Event id="{DF70FAAB-C5E2-42F6-A1F7-2A2761669B68}" time="2020-11-12T22:33:43Z">
        <t:Attribution userId="S::roger.zhang@treasury.nsw.gov.au::793226b8-65d9-47db-ad42-5b6d78d1bdae" userProvider="AD" userName="Roger Zhang"/>
        <t:Anchor>
          <t:Comment id="346849838"/>
        </t:Anchor>
        <t:Create/>
      </t:Event>
      <t:Event id="{91C54FFF-78AD-4018-AC0E-7A6B42096773}" time="2020-11-12T22:33:43Z">
        <t:Attribution userId="S::roger.zhang@treasury.nsw.gov.au::793226b8-65d9-47db-ad42-5b6d78d1bdae" userProvider="AD" userName="Roger Zhang"/>
        <t:Anchor>
          <t:Comment id="346849838"/>
        </t:Anchor>
        <t:Assign userId="S::Kevin.Pugh@treasury.nsw.gov.au::1a424276-77c7-4e6f-ab08-bba21c87c0b2" userProvider="AD" userName="Kevin Pugh"/>
      </t:Event>
      <t:Event id="{7DA4F17B-EE23-4BB4-BB4C-2AE26A102D55}" time="2020-11-12T22:33:43Z">
        <t:Attribution userId="S::roger.zhang@treasury.nsw.gov.au::793226b8-65d9-47db-ad42-5b6d78d1bdae" userProvider="AD" userName="Roger Zhang"/>
        <t:Anchor>
          <t:Comment id="346849838"/>
        </t:Anchor>
        <t:SetTitle title="@Kevin Pugh"/>
      </t:Event>
    </t:History>
  </t:Task>
  <t:Task id="{7AD67BAA-4688-4060-90F3-5EBE23DBA14B}">
    <t:Anchor>
      <t:Comment id="369288098"/>
    </t:Anchor>
    <t:History>
      <t:Event id="{51E2BE3F-CF90-494A-8EC3-2D15150AD70B}" time="2020-11-12T22:56:44Z">
        <t:Attribution userId="S::roger.zhang@treasury.nsw.gov.au::793226b8-65d9-47db-ad42-5b6d78d1bdae" userProvider="AD" userName="Roger Zhang"/>
        <t:Anchor>
          <t:Comment id="369288098"/>
        </t:Anchor>
        <t:Create/>
      </t:Event>
      <t:Event id="{4C6EDCBA-E066-4E6A-AFD4-3779484D71CA}" time="2020-11-12T22:56:44Z">
        <t:Attribution userId="S::roger.zhang@treasury.nsw.gov.au::793226b8-65d9-47db-ad42-5b6d78d1bdae" userProvider="AD" userName="Roger Zhang"/>
        <t:Anchor>
          <t:Comment id="369288098"/>
        </t:Anchor>
        <t:Assign userId="S::josh.milner@treasury.nsw.gov.au::0e3ba57f-a874-4e74-90a7-b2f7995e633e" userProvider="AD" userName="Josh Milner"/>
      </t:Event>
      <t:Event id="{097AB340-1FFA-4E5A-B6CD-5DEC8A3C5E00}" time="2020-11-12T22:56:44Z">
        <t:Attribution userId="S::roger.zhang@treasury.nsw.gov.au::793226b8-65d9-47db-ad42-5b6d78d1bdae" userProvider="AD" userName="Roger Zhang"/>
        <t:Anchor>
          <t:Comment id="369288098"/>
        </t:Anchor>
        <t:SetTitle title="@Josh Milner"/>
      </t:Event>
    </t:History>
  </t:Task>
  <t:Task id="{0207AB06-C4B0-47D6-933B-BFD3C9BA2E87}">
    <t:Anchor>
      <t:Comment id="588430522"/>
    </t:Anchor>
    <t:History>
      <t:Event id="{B9D3B67F-F13C-4B1D-A26D-87233F1F25FE}" time="2020-11-13T00:54:42Z">
        <t:Attribution userId="S::roger.zhang@treasury.nsw.gov.au::793226b8-65d9-47db-ad42-5b6d78d1bdae" userProvider="AD" userName="Roger Zhang"/>
        <t:Anchor>
          <t:Comment id="588430522"/>
        </t:Anchor>
        <t:Create/>
      </t:Event>
      <t:Event id="{76723EF2-63F8-4F5C-8D96-37556E7895D5}" time="2020-11-13T00:54:42Z">
        <t:Attribution userId="S::roger.zhang@treasury.nsw.gov.au::793226b8-65d9-47db-ad42-5b6d78d1bdae" userProvider="AD" userName="Roger Zhang"/>
        <t:Anchor>
          <t:Comment id="588430522"/>
        </t:Anchor>
        <t:Assign userId="S::Georgina.Ewart@treasury.nsw.gov.au::6387dff2-3e92-4257-8ff8-3df471466446" userProvider="AD" userName="Georgina Ewart"/>
      </t:Event>
      <t:Event id="{99BA7C74-F854-42D7-A08B-CC27B90E276F}" time="2020-11-13T00:54:42Z">
        <t:Attribution userId="S::roger.zhang@treasury.nsw.gov.au::793226b8-65d9-47db-ad42-5b6d78d1bdae" userProvider="AD" userName="Roger Zhang"/>
        <t:Anchor>
          <t:Comment id="588430522"/>
        </t:Anchor>
        <t:SetTitle title="@Georgina Ewar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1c478e85-8130-4c67-8ee4-8bdf1c0e6049" xsi:nil="true"/>
    <SharedWithUsers xmlns="801a5968-9419-4033-b9de-7ffe8168468e">
      <UserInfo>
        <DisplayName>Johan Linde</DisplayName>
        <AccountId>82</AccountId>
        <AccountType/>
      </UserInfo>
      <UserInfo>
        <DisplayName>Jim Kalotheos</DisplayName>
        <AccountId>259</AccountId>
        <AccountType/>
      </UserInfo>
      <UserInfo>
        <DisplayName>Jacqui Ripamonti</DisplayName>
        <AccountId>16</AccountId>
        <AccountType/>
      </UserInfo>
      <UserInfo>
        <DisplayName>Josh Milner</DisplayName>
        <AccountId>186</AccountId>
        <AccountType/>
      </UserInfo>
      <UserInfo>
        <DisplayName>John Lynam</DisplayName>
        <AccountId>81</AccountId>
        <AccountType/>
      </UserInfo>
      <UserInfo>
        <DisplayName>Kathleen Chua</DisplayName>
        <AccountId>205</AccountId>
        <AccountType/>
      </UserInfo>
      <UserInfo>
        <DisplayName>Jun Wen</DisplayName>
        <AccountId>84</AccountId>
        <AccountType/>
      </UserInfo>
      <UserInfo>
        <DisplayName>James Glenn</DisplayName>
        <AccountId>88</AccountId>
        <AccountType/>
      </UserInfo>
      <UserInfo>
        <DisplayName>Katherine Palmer</DisplayName>
        <AccountId>787</AccountId>
        <AccountType/>
      </UserInfo>
      <UserInfo>
        <DisplayName>Lewis South</DisplayName>
        <AccountId>714</AccountId>
        <AccountType/>
      </UserInfo>
      <UserInfo>
        <DisplayName>James Atkinson</DisplayName>
        <AccountId>47</AccountId>
        <AccountType/>
      </UserInfo>
      <UserInfo>
        <DisplayName>Kevin Pugh</DisplayName>
        <AccountId>21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2F16F1AFBDE54EBD2685E90FE1922F" ma:contentTypeVersion="13" ma:contentTypeDescription="Create a new document." ma:contentTypeScope="" ma:versionID="b5babb12e1fedc6ea5b0ddbe9a6dbc85">
  <xsd:schema xmlns:xsd="http://www.w3.org/2001/XMLSchema" xmlns:xs="http://www.w3.org/2001/XMLSchema" xmlns:p="http://schemas.microsoft.com/office/2006/metadata/properties" xmlns:ns2="801a5968-9419-4033-b9de-7ffe8168468e" xmlns:ns3="1c478e85-8130-4c67-8ee4-8bdf1c0e6049" targetNamespace="http://schemas.microsoft.com/office/2006/metadata/properties" ma:root="true" ma:fieldsID="9385a6c5781228858eb2dfc06285a0e9" ns2:_="" ns3:_="">
    <xsd:import namespace="801a5968-9419-4033-b9de-7ffe8168468e"/>
    <xsd:import namespace="1c478e85-8130-4c67-8ee4-8bdf1c0e604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5968-9419-4033-b9de-7ffe816846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478e85-8130-4c67-8ee4-8bdf1c0e60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F4145-514F-4DF6-A217-C0470D68600F}">
  <ds:schemaRefs>
    <ds:schemaRef ds:uri="http://schemas.microsoft.com/office/2006/metadata/properties"/>
    <ds:schemaRef ds:uri="http://schemas.microsoft.com/office/infopath/2007/PartnerControls"/>
    <ds:schemaRef ds:uri="1c478e85-8130-4c67-8ee4-8bdf1c0e6049"/>
    <ds:schemaRef ds:uri="801a5968-9419-4033-b9de-7ffe8168468e"/>
  </ds:schemaRefs>
</ds:datastoreItem>
</file>

<file path=customXml/itemProps2.xml><?xml version="1.0" encoding="utf-8"?>
<ds:datastoreItem xmlns:ds="http://schemas.openxmlformats.org/officeDocument/2006/customXml" ds:itemID="{15FF182E-3EBA-4B9A-B9FC-FB5919F3B7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a5968-9419-4033-b9de-7ffe8168468e"/>
    <ds:schemaRef ds:uri="1c478e85-8130-4c67-8ee4-8bdf1c0e6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EF6AA5-02BC-4D8E-9DAA-796C3AB12E6B}">
  <ds:schemaRefs>
    <ds:schemaRef ds:uri="http://schemas.microsoft.com/sharepoint/v3/contenttype/forms"/>
  </ds:schemaRefs>
</ds:datastoreItem>
</file>

<file path=customXml/itemProps4.xml><?xml version="1.0" encoding="utf-8"?>
<ds:datastoreItem xmlns:ds="http://schemas.openxmlformats.org/officeDocument/2006/customXml" ds:itemID="{C01C2253-C3FD-4CCC-9412-99C45971F7D1}">
  <ds:schemaRefs>
    <ds:schemaRef ds:uri="http://schemas.openxmlformats.org/officeDocument/2006/bibliography"/>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Metadata/LabelInfo1.xml><?xml version="1.0" encoding="utf-8"?>
<clbl:labelList xmlns:clbl="http://schemas.microsoft.com/office/2020/mipLabelMetadata"/>
</file>

<file path=docMetadata/LabelInfo10.xml><?xml version="1.0" encoding="utf-8"?>
<clbl:labelList xmlns:clbl="http://schemas.microsoft.com/office/2020/mipLabelMetadata"/>
</file>

<file path=docMetadata/LabelInfo11.xml><?xml version="1.0" encoding="utf-8"?>
<clbl:labelList xmlns:clbl="http://schemas.microsoft.com/office/2020/mipLabelMetadata"/>
</file>

<file path=docMetadata/LabelInfo12.xml><?xml version="1.0" encoding="utf-8"?>
<clbl:labelList xmlns:clbl="http://schemas.microsoft.com/office/2020/mipLabelMetadata"/>
</file>

<file path=docMetadata/LabelInfo13.xml><?xml version="1.0" encoding="utf-8"?>
<clbl:labelList xmlns:clbl="http://schemas.microsoft.com/office/2020/mipLabelMetadata"/>
</file>

<file path=docMetadata/LabelInfo2.xml><?xml version="1.0" encoding="utf-8"?>
<clbl:labelList xmlns:clbl="http://schemas.microsoft.com/office/2020/mipLabelMetadata"/>
</file>

<file path=docMetadata/LabelInfo3.xml><?xml version="1.0" encoding="utf-8"?>
<clbl:labelList xmlns:clbl="http://schemas.microsoft.com/office/2020/mipLabelMetadata"/>
</file>

<file path=docMetadata/LabelInfo4.xml><?xml version="1.0" encoding="utf-8"?>
<clbl:labelList xmlns:clbl="http://schemas.microsoft.com/office/2020/mipLabelMetadata"/>
</file>

<file path=docMetadata/LabelInfo5.xml><?xml version="1.0" encoding="utf-8"?>
<clbl:labelList xmlns:clbl="http://schemas.microsoft.com/office/2020/mipLabelMetadata"/>
</file>

<file path=docMetadata/LabelInfo6.xml><?xml version="1.0" encoding="utf-8"?>
<clbl:labelList xmlns:clbl="http://schemas.microsoft.com/office/2020/mipLabelMetadata"/>
</file>

<file path=docMetadata/LabelInfo7.xml><?xml version="1.0" encoding="utf-8"?>
<clbl:labelList xmlns:clbl="http://schemas.microsoft.com/office/2020/mipLabelMetadata"/>
</file>

<file path=docMetadata/LabelInfo8.xml><?xml version="1.0" encoding="utf-8"?>
<clbl:labelList xmlns:clbl="http://schemas.microsoft.com/office/2020/mipLabelMetadata"/>
</file>

<file path=docMetadata/LabelInfo9.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40</TotalTime>
  <Pages>9</Pages>
  <Words>3672</Words>
  <Characters>20936</Characters>
  <Application>Microsoft Office Word</Application>
  <DocSecurity>0</DocSecurity>
  <Lines>174</Lines>
  <Paragraphs>49</Paragraphs>
  <ScaleCrop>false</ScaleCrop>
  <Company>ServiceFirst</Company>
  <LinksUpToDate>false</LinksUpToDate>
  <CharactersWithSpaces>24559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Budget Paper No. 1 - Budget Statement - Appendices B - Fiscal Risks and Budget Sensitivities</dc:title>
  <dc:subject/>
  <dc:creator>The Treasury</dc:creator>
  <cp:keywords/>
  <cp:lastModifiedBy>Francess Lavorato</cp:lastModifiedBy>
  <cp:revision>296</cp:revision>
  <cp:lastPrinted>2020-11-14T03:09:00Z</cp:lastPrinted>
  <dcterms:created xsi:type="dcterms:W3CDTF">2019-06-15T04:29:00Z</dcterms:created>
  <dcterms:modified xsi:type="dcterms:W3CDTF">2020-11-15T05:29:00Z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0x010100F02F16F1AFBDE54EBD2685E90FE1922F</vt:lpwstr>
  </property>
  <property fmtid="{D5CDD505-2E9C-101B-9397-08002B2CF9AE}" pid="3" name="AuthorIds_UIVersion_512">
    <vt:lpwstr>6</vt:lpwstr>
  </property>
</Properties>
</file>