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Override PartName="/docMetadata/LabelInfo2.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package/2006/relationships/metadata/core-properties" Target="docProps/core.xml"/><Relationship Id="rId7" Type="http://schemas.microsoft.com/office/2020/02/relationships/classificationlabels" Target="docMetadata/LabelInfo1.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10" Type="http://schemas.microsoft.com/office/2020/02/relationships/classificationlabels" Target="docMetadata/LabelInfo.xml"/><Relationship Id="rId4" Type="http://schemas.openxmlformats.org/officeDocument/2006/relationships/extended-properties" Target="docProps/app.xml"/><Relationship Id="rId9" Type="http://schemas.microsoft.com/office/2020/02/relationships/classificationlabels" Target="docMetadata/LabelInfo2.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E262" w14:textId="56D1C25E" w:rsidR="00E522E6" w:rsidRPr="00785BE2" w:rsidRDefault="00450324" w:rsidP="00450324">
      <w:pPr>
        <w:pStyle w:val="Heading1"/>
        <w:keepLines w:val="0"/>
        <w:tabs>
          <w:tab w:val="left" w:pos="284"/>
        </w:tabs>
        <w:spacing w:before="480" w:after="480"/>
        <w:ind w:left="357" w:hanging="357"/>
        <w:rPr>
          <w:rFonts w:cs="Times New Roman"/>
          <w:caps w:val="0"/>
          <w:color w:val="1D3278"/>
          <w:kern w:val="28"/>
          <w:szCs w:val="36"/>
        </w:rPr>
      </w:pPr>
      <w:r w:rsidRPr="00DC222F">
        <w:rPr>
          <w:rFonts w:eastAsia="Times New Roman" w:cs="Times New Roman"/>
          <w:kern w:val="28"/>
          <w:szCs w:val="36"/>
        </w:rPr>
        <w:t>C.</w:t>
      </w:r>
      <w:r w:rsidRPr="00DC222F">
        <w:rPr>
          <w:rFonts w:eastAsia="Times New Roman" w:cs="Times New Roman"/>
          <w:kern w:val="28"/>
          <w:szCs w:val="36"/>
        </w:rPr>
        <w:tab/>
      </w:r>
      <w:r w:rsidR="0034556D" w:rsidRPr="00785BE2">
        <w:rPr>
          <w:rFonts w:eastAsia="Times New Roman" w:cs="Times New Roman"/>
          <w:color w:val="1D3278"/>
          <w:kern w:val="28"/>
          <w:szCs w:val="36"/>
        </w:rPr>
        <w:t>CONTINGENT ASSETS AND LIABILITIES</w:t>
      </w:r>
    </w:p>
    <w:p w14:paraId="517CB0A3" w14:textId="1F6885EB" w:rsidR="007B0CF5" w:rsidRDefault="00B33A08" w:rsidP="00BC181B">
      <w:pPr>
        <w:pStyle w:val="BodyText"/>
      </w:pPr>
      <w:bookmarkStart w:id="0" w:name="_Hlk512284738"/>
      <w:bookmarkStart w:id="1" w:name="_Hlk515461213"/>
      <w:r>
        <w:t>C</w:t>
      </w:r>
      <w:r w:rsidR="00C84AC7">
        <w:t xml:space="preserve">ontingent assets and liabilities are </w:t>
      </w:r>
      <w:r w:rsidR="00A61D33">
        <w:t xml:space="preserve">possible </w:t>
      </w:r>
      <w:r w:rsidR="0001481B">
        <w:t xml:space="preserve">assets </w:t>
      </w:r>
      <w:r w:rsidR="76638E51">
        <w:t>and</w:t>
      </w:r>
      <w:r w:rsidR="0069379E">
        <w:t xml:space="preserve"> obligations </w:t>
      </w:r>
      <w:r w:rsidR="0001481B">
        <w:t xml:space="preserve">that </w:t>
      </w:r>
      <w:r w:rsidR="5EDBD70F">
        <w:t xml:space="preserve">arise from past events and </w:t>
      </w:r>
      <w:r w:rsidR="00010DF6">
        <w:t>their</w:t>
      </w:r>
      <w:r w:rsidR="5EDBD70F">
        <w:t xml:space="preserve"> exi</w:t>
      </w:r>
      <w:r w:rsidR="3F4130CC">
        <w:t>s</w:t>
      </w:r>
      <w:r w:rsidR="5EDBD70F">
        <w:t xml:space="preserve">tence will </w:t>
      </w:r>
      <w:r w:rsidR="009B36C5">
        <w:t>only</w:t>
      </w:r>
      <w:r w:rsidR="5EDBD70F">
        <w:t xml:space="preserve"> be confirmed by the occurrence or non-occurrence of uncertain fut</w:t>
      </w:r>
      <w:r w:rsidR="2F07F1D5">
        <w:t>u</w:t>
      </w:r>
      <w:r w:rsidR="5EDBD70F">
        <w:t>re events that are not wholly</w:t>
      </w:r>
      <w:r w:rsidR="11E777F0">
        <w:t xml:space="preserve"> within the control of the Government.</w:t>
      </w:r>
      <w:r w:rsidR="14EFACB2">
        <w:t xml:space="preserve"> </w:t>
      </w:r>
      <w:r w:rsidR="11E777F0">
        <w:t>In the case of contingent liabilities</w:t>
      </w:r>
      <w:r w:rsidR="00494994">
        <w:t>,</w:t>
      </w:r>
      <w:r w:rsidR="11E777F0">
        <w:t xml:space="preserve"> the obligation may also be a present obligation </w:t>
      </w:r>
      <w:r w:rsidR="3B7BE906">
        <w:t xml:space="preserve">that is not recognised because the amount of the obligation cannot be measured with </w:t>
      </w:r>
      <w:proofErr w:type="gramStart"/>
      <w:r w:rsidR="3B7BE906">
        <w:t>sufficient</w:t>
      </w:r>
      <w:proofErr w:type="gramEnd"/>
      <w:r w:rsidR="3B7BE906">
        <w:t xml:space="preserve"> reliabilit</w:t>
      </w:r>
      <w:r w:rsidR="001F5516">
        <w:t>y.</w:t>
      </w:r>
      <w:r w:rsidR="003B7566">
        <w:t xml:space="preserve"> </w:t>
      </w:r>
      <w:r w:rsidR="0096337D">
        <w:t xml:space="preserve">Contingent assets and liabilities </w:t>
      </w:r>
      <w:r w:rsidR="00023522">
        <w:t xml:space="preserve">are </w:t>
      </w:r>
      <w:r w:rsidR="0096337D">
        <w:t xml:space="preserve">defined </w:t>
      </w:r>
      <w:r w:rsidR="78B88029">
        <w:t xml:space="preserve">in </w:t>
      </w:r>
      <w:r w:rsidR="00A30276">
        <w:t>accounting standard AASB 137</w:t>
      </w:r>
      <w:r w:rsidR="00A30276" w:rsidRPr="008A31A0">
        <w:rPr>
          <w:i/>
          <w:iCs/>
        </w:rPr>
        <w:t xml:space="preserve"> </w:t>
      </w:r>
      <w:r w:rsidR="00A30276" w:rsidRPr="008A31A0">
        <w:rPr>
          <w:i/>
          <w:iCs/>
          <w:szCs w:val="20"/>
        </w:rPr>
        <w:t xml:space="preserve">Provisions, Contingent Liabilities and Contingent Assets. </w:t>
      </w:r>
    </w:p>
    <w:p w14:paraId="3D0548D9" w14:textId="1BBB0BF0" w:rsidR="00FD4A32" w:rsidRDefault="401FC18E" w:rsidP="00BC181B">
      <w:pPr>
        <w:pStyle w:val="BodyText"/>
      </w:pPr>
      <w:r w:rsidRPr="1448C906">
        <w:rPr>
          <w:rStyle w:val="BodyTextChar"/>
        </w:rPr>
        <w:t>If a contingent asset or liability becomes sufficiently likely or quantifiable</w:t>
      </w:r>
      <w:r w:rsidR="004E5832">
        <w:rPr>
          <w:rStyle w:val="BodyTextChar"/>
        </w:rPr>
        <w:t>,</w:t>
      </w:r>
      <w:r w:rsidRPr="1448C906">
        <w:rPr>
          <w:rStyle w:val="BodyTextChar"/>
        </w:rPr>
        <w:t xml:space="preserve"> then the asset or </w:t>
      </w:r>
      <w:r w:rsidR="51ABA459" w:rsidRPr="1448C906">
        <w:rPr>
          <w:rStyle w:val="BodyTextChar"/>
        </w:rPr>
        <w:t>liability would be rec</w:t>
      </w:r>
      <w:r w:rsidR="63F9E8F3" w:rsidRPr="1448C906">
        <w:rPr>
          <w:rStyle w:val="BodyTextChar"/>
        </w:rPr>
        <w:t>ognised on the balance sheet and cease to be considered contingent.</w:t>
      </w:r>
      <w:r w:rsidR="51ABA459" w:rsidRPr="1448C906">
        <w:rPr>
          <w:rStyle w:val="BodyTextChar"/>
        </w:rPr>
        <w:t xml:space="preserve"> </w:t>
      </w:r>
      <w:r w:rsidR="00617786" w:rsidRPr="00785BE2">
        <w:rPr>
          <w:rStyle w:val="BodyTextChar"/>
        </w:rPr>
        <w:t xml:space="preserve">The </w:t>
      </w:r>
      <w:r w:rsidR="00272379">
        <w:rPr>
          <w:rStyle w:val="BodyTextChar"/>
        </w:rPr>
        <w:t>recognition</w:t>
      </w:r>
      <w:r w:rsidR="00272379" w:rsidRPr="00785BE2">
        <w:rPr>
          <w:rStyle w:val="BodyTextChar"/>
        </w:rPr>
        <w:t xml:space="preserve"> </w:t>
      </w:r>
      <w:r w:rsidR="00617786" w:rsidRPr="00785BE2">
        <w:rPr>
          <w:rStyle w:val="BodyTextChar"/>
        </w:rPr>
        <w:t xml:space="preserve">of </w:t>
      </w:r>
      <w:r w:rsidR="00F45A10" w:rsidRPr="00785BE2">
        <w:rPr>
          <w:rStyle w:val="BodyTextChar"/>
        </w:rPr>
        <w:t xml:space="preserve">a </w:t>
      </w:r>
      <w:r w:rsidR="00617786" w:rsidRPr="00785BE2">
        <w:rPr>
          <w:rStyle w:val="BodyTextChar"/>
        </w:rPr>
        <w:t>contingent asset or liabilit</w:t>
      </w:r>
      <w:r w:rsidR="00F45A10" w:rsidRPr="00785BE2">
        <w:rPr>
          <w:rStyle w:val="BodyTextChar"/>
        </w:rPr>
        <w:t>y</w:t>
      </w:r>
      <w:r w:rsidR="00617786" w:rsidRPr="00785BE2">
        <w:rPr>
          <w:rStyle w:val="BodyTextChar"/>
        </w:rPr>
        <w:t xml:space="preserve"> </w:t>
      </w:r>
      <w:r w:rsidR="00272379">
        <w:rPr>
          <w:rStyle w:val="BodyTextChar"/>
        </w:rPr>
        <w:t xml:space="preserve">on the </w:t>
      </w:r>
      <w:r w:rsidR="00C5722F">
        <w:rPr>
          <w:rStyle w:val="BodyTextChar"/>
        </w:rPr>
        <w:t xml:space="preserve">State’s balance sheet </w:t>
      </w:r>
      <w:r w:rsidR="00617786" w:rsidRPr="00785BE2">
        <w:rPr>
          <w:rStyle w:val="BodyTextChar"/>
        </w:rPr>
        <w:t>c</w:t>
      </w:r>
      <w:r w:rsidR="6C59CCCE" w:rsidRPr="1448C906">
        <w:rPr>
          <w:rStyle w:val="BodyTextChar"/>
        </w:rPr>
        <w:t>ould have</w:t>
      </w:r>
      <w:r w:rsidR="00617786" w:rsidRPr="1448C906">
        <w:rPr>
          <w:rStyle w:val="BodyTextChar"/>
        </w:rPr>
        <w:t xml:space="preserve"> </w:t>
      </w:r>
      <w:r w:rsidR="682AD792" w:rsidRPr="1448C906">
        <w:rPr>
          <w:rStyle w:val="BodyTextChar"/>
        </w:rPr>
        <w:t>a</w:t>
      </w:r>
      <w:r w:rsidR="00617786" w:rsidRPr="00785BE2">
        <w:rPr>
          <w:rStyle w:val="BodyTextChar"/>
        </w:rPr>
        <w:t xml:space="preserve"> significant impact </w:t>
      </w:r>
      <w:r w:rsidR="1B8FDE8B" w:rsidRPr="1448C906">
        <w:rPr>
          <w:rStyle w:val="BodyTextChar"/>
        </w:rPr>
        <w:t>on the State’s finances</w:t>
      </w:r>
      <w:r w:rsidR="00617786" w:rsidRPr="1448C906">
        <w:rPr>
          <w:rStyle w:val="BodyTextChar"/>
        </w:rPr>
        <w:t>.</w:t>
      </w:r>
      <w:r w:rsidR="00617786" w:rsidRPr="00785BE2">
        <w:rPr>
          <w:rStyle w:val="BodyTextChar"/>
        </w:rPr>
        <w:t xml:space="preserve"> </w:t>
      </w:r>
      <w:r w:rsidR="00E972CE" w:rsidRPr="00785BE2">
        <w:rPr>
          <w:rStyle w:val="BodyTextChar"/>
        </w:rPr>
        <w:t xml:space="preserve">By identifying and, where possible, quantifying these contingent assets and liabilities, </w:t>
      </w:r>
      <w:r w:rsidR="00CB3769">
        <w:rPr>
          <w:rStyle w:val="BodyTextChar"/>
        </w:rPr>
        <w:t>the G</w:t>
      </w:r>
      <w:r w:rsidR="00E972CE" w:rsidRPr="00785BE2">
        <w:rPr>
          <w:rStyle w:val="BodyTextChar"/>
        </w:rPr>
        <w:t xml:space="preserve">overnment </w:t>
      </w:r>
      <w:r w:rsidR="1B9D0DB3" w:rsidRPr="382B46E5">
        <w:rPr>
          <w:rStyle w:val="BodyTextChar"/>
        </w:rPr>
        <w:t>can</w:t>
      </w:r>
      <w:r w:rsidR="00E972CE" w:rsidRPr="00785BE2">
        <w:rPr>
          <w:rStyle w:val="BodyTextChar"/>
        </w:rPr>
        <w:t xml:space="preserve"> better </w:t>
      </w:r>
      <w:r w:rsidR="00F45A10" w:rsidRPr="00785BE2">
        <w:rPr>
          <w:rStyle w:val="BodyTextChar"/>
        </w:rPr>
        <w:t xml:space="preserve">manage </w:t>
      </w:r>
      <w:r w:rsidR="00E972CE" w:rsidRPr="00785BE2">
        <w:rPr>
          <w:rStyle w:val="BodyTextChar"/>
        </w:rPr>
        <w:t xml:space="preserve">risks </w:t>
      </w:r>
      <w:r w:rsidR="00BB017F" w:rsidRPr="00785BE2">
        <w:rPr>
          <w:rStyle w:val="BodyTextChar"/>
        </w:rPr>
        <w:t>and opportunities</w:t>
      </w:r>
      <w:r w:rsidR="00E972CE">
        <w:t>.</w:t>
      </w:r>
      <w:r w:rsidR="00171913">
        <w:t xml:space="preserve">  </w:t>
      </w:r>
    </w:p>
    <w:bookmarkEnd w:id="0"/>
    <w:p w14:paraId="28B5A273" w14:textId="3CBE8500" w:rsidR="006028C4" w:rsidRPr="00E522E6" w:rsidRDefault="006028C4" w:rsidP="00714259">
      <w:pPr>
        <w:pStyle w:val="Heading3"/>
        <w:rPr>
          <w:rFonts w:eastAsia="Arial Unicode MS"/>
          <w:bCs/>
        </w:rPr>
      </w:pPr>
      <w:r w:rsidRPr="002569F8">
        <w:rPr>
          <w:rFonts w:eastAsia="Arial Unicode MS"/>
        </w:rPr>
        <w:t>Contingent</w:t>
      </w:r>
      <w:r w:rsidRPr="00E522E6">
        <w:rPr>
          <w:rFonts w:eastAsia="Arial Unicode MS"/>
        </w:rPr>
        <w:t xml:space="preserve"> </w:t>
      </w:r>
      <w:r w:rsidRPr="00714259">
        <w:rPr>
          <w:rFonts w:eastAsia="Arial Unicode MS"/>
        </w:rPr>
        <w:t>assets</w:t>
      </w:r>
    </w:p>
    <w:p w14:paraId="32A5CECA" w14:textId="77777777" w:rsidR="00E91728" w:rsidRDefault="00AB1E57" w:rsidP="009A2F7E">
      <w:pPr>
        <w:spacing w:before="240" w:after="100"/>
        <w:rPr>
          <w:rFonts w:ascii="Arial" w:hAnsi="Arial" w:cs="Arial"/>
          <w:sz w:val="23"/>
          <w:szCs w:val="23"/>
          <w:lang w:eastAsia="en-AU"/>
        </w:rPr>
      </w:pPr>
      <w:r>
        <w:rPr>
          <w:rFonts w:ascii="Arial" w:hAnsi="Arial" w:cs="Arial"/>
          <w:sz w:val="23"/>
          <w:szCs w:val="23"/>
          <w:lang w:eastAsia="en-AU"/>
        </w:rPr>
        <w:t>C</w:t>
      </w:r>
      <w:r w:rsidR="006028C4" w:rsidRPr="00E522E6">
        <w:rPr>
          <w:rFonts w:ascii="Arial" w:hAnsi="Arial" w:cs="Arial"/>
          <w:sz w:val="23"/>
          <w:szCs w:val="23"/>
          <w:lang w:eastAsia="en-AU"/>
        </w:rPr>
        <w:t xml:space="preserve">ontingent assets </w:t>
      </w:r>
      <w:r>
        <w:rPr>
          <w:rFonts w:ascii="Arial" w:hAnsi="Arial" w:cs="Arial"/>
          <w:sz w:val="23"/>
          <w:szCs w:val="23"/>
          <w:lang w:eastAsia="en-AU"/>
        </w:rPr>
        <w:t>are classified as either</w:t>
      </w:r>
      <w:r w:rsidR="00E91728">
        <w:rPr>
          <w:rFonts w:ascii="Arial" w:hAnsi="Arial" w:cs="Arial"/>
          <w:sz w:val="23"/>
          <w:szCs w:val="23"/>
          <w:lang w:eastAsia="en-AU"/>
        </w:rPr>
        <w:t>:</w:t>
      </w:r>
    </w:p>
    <w:p w14:paraId="21C03348" w14:textId="3860C6FC" w:rsidR="00E91728" w:rsidRDefault="00AB1E57" w:rsidP="001D7EDA">
      <w:pPr>
        <w:pStyle w:val="Bullet1"/>
        <w:rPr>
          <w:lang w:eastAsia="en-AU"/>
        </w:rPr>
      </w:pPr>
      <w:r>
        <w:rPr>
          <w:lang w:eastAsia="en-AU"/>
        </w:rPr>
        <w:t>quantifiable, where their financial value is known or can be reasonably estimated</w:t>
      </w:r>
    </w:p>
    <w:p w14:paraId="66904C90" w14:textId="77777777" w:rsidR="00E91728" w:rsidRDefault="00AB1E57" w:rsidP="00F95F2A">
      <w:pPr>
        <w:pStyle w:val="Bullet1"/>
        <w:rPr>
          <w:lang w:eastAsia="en-AU"/>
        </w:rPr>
      </w:pPr>
      <w:r>
        <w:rPr>
          <w:lang w:eastAsia="en-AU"/>
        </w:rPr>
        <w:t>non-quantifiable</w:t>
      </w:r>
      <w:r w:rsidR="00F45A10">
        <w:rPr>
          <w:lang w:eastAsia="en-AU"/>
        </w:rPr>
        <w:t>,</w:t>
      </w:r>
      <w:r>
        <w:rPr>
          <w:lang w:eastAsia="en-AU"/>
        </w:rPr>
        <w:t xml:space="preserve"> where the</w:t>
      </w:r>
      <w:r w:rsidR="00A0645B">
        <w:rPr>
          <w:lang w:eastAsia="en-AU"/>
        </w:rPr>
        <w:t>ir</w:t>
      </w:r>
      <w:r>
        <w:rPr>
          <w:lang w:eastAsia="en-AU"/>
        </w:rPr>
        <w:t xml:space="preserve"> financial value cannot be reasonabl</w:t>
      </w:r>
      <w:r w:rsidR="00DE0B8C">
        <w:rPr>
          <w:lang w:eastAsia="en-AU"/>
        </w:rPr>
        <w:t>y</w:t>
      </w:r>
      <w:r>
        <w:rPr>
          <w:lang w:eastAsia="en-AU"/>
        </w:rPr>
        <w:t xml:space="preserve"> determined.</w:t>
      </w:r>
      <w:r w:rsidR="006028C4">
        <w:rPr>
          <w:lang w:eastAsia="en-AU"/>
        </w:rPr>
        <w:t xml:space="preserve"> </w:t>
      </w:r>
    </w:p>
    <w:p w14:paraId="64998163" w14:textId="7377D646" w:rsidR="00CA7591" w:rsidRDefault="00CF7B2B" w:rsidP="009A2F7E">
      <w:pPr>
        <w:spacing w:before="240" w:after="100"/>
        <w:rPr>
          <w:rFonts w:ascii="Arial" w:hAnsi="Arial" w:cs="Arial"/>
          <w:sz w:val="23"/>
          <w:szCs w:val="23"/>
          <w:lang w:eastAsia="en-AU"/>
        </w:rPr>
      </w:pPr>
      <w:r w:rsidRPr="00CF7B2B">
        <w:rPr>
          <w:rFonts w:ascii="Arial" w:hAnsi="Arial" w:cs="Arial"/>
          <w:sz w:val="23"/>
          <w:szCs w:val="23"/>
          <w:lang w:eastAsia="en-AU"/>
        </w:rPr>
        <w:t>Table C.</w:t>
      </w:r>
      <w:r>
        <w:rPr>
          <w:rFonts w:ascii="Arial" w:hAnsi="Arial" w:cs="Arial"/>
          <w:sz w:val="23"/>
          <w:szCs w:val="23"/>
          <w:lang w:eastAsia="en-AU"/>
        </w:rPr>
        <w:t>1</w:t>
      </w:r>
      <w:r w:rsidRPr="00CF7B2B">
        <w:rPr>
          <w:rFonts w:ascii="Arial" w:hAnsi="Arial" w:cs="Arial"/>
          <w:sz w:val="23"/>
          <w:szCs w:val="23"/>
          <w:lang w:eastAsia="en-AU"/>
        </w:rPr>
        <w:t xml:space="preserve"> lists the </w:t>
      </w:r>
      <w:r w:rsidR="0094385A">
        <w:rPr>
          <w:rFonts w:ascii="Arial" w:hAnsi="Arial" w:cs="Arial"/>
          <w:sz w:val="23"/>
          <w:szCs w:val="23"/>
          <w:lang w:eastAsia="en-AU"/>
        </w:rPr>
        <w:t>g</w:t>
      </w:r>
      <w:r w:rsidR="00DF6B46">
        <w:rPr>
          <w:rFonts w:ascii="Arial" w:hAnsi="Arial" w:cs="Arial"/>
          <w:sz w:val="23"/>
          <w:szCs w:val="23"/>
          <w:lang w:eastAsia="en-AU"/>
        </w:rPr>
        <w:t xml:space="preserve">eneral </w:t>
      </w:r>
      <w:r w:rsidR="00E906BD">
        <w:rPr>
          <w:rFonts w:ascii="Arial" w:hAnsi="Arial" w:cs="Arial"/>
          <w:sz w:val="23"/>
          <w:szCs w:val="23"/>
          <w:lang w:eastAsia="en-AU"/>
        </w:rPr>
        <w:t>g</w:t>
      </w:r>
      <w:r w:rsidR="00DF6B46">
        <w:rPr>
          <w:rFonts w:ascii="Arial" w:hAnsi="Arial" w:cs="Arial"/>
          <w:sz w:val="23"/>
          <w:szCs w:val="23"/>
          <w:lang w:eastAsia="en-AU"/>
        </w:rPr>
        <w:t>overnment</w:t>
      </w:r>
      <w:r w:rsidRPr="00572A41">
        <w:rPr>
          <w:rFonts w:ascii="Arial" w:hAnsi="Arial" w:cs="Arial"/>
          <w:sz w:val="23"/>
          <w:szCs w:val="23"/>
          <w:lang w:eastAsia="en-AU"/>
        </w:rPr>
        <w:t>’s</w:t>
      </w:r>
      <w:r w:rsidRPr="00CF7B2B">
        <w:rPr>
          <w:rFonts w:ascii="Arial" w:hAnsi="Arial" w:cs="Arial"/>
          <w:sz w:val="23"/>
          <w:szCs w:val="23"/>
          <w:lang w:eastAsia="en-AU"/>
        </w:rPr>
        <w:t xml:space="preserve"> quantifiable contingent </w:t>
      </w:r>
      <w:r>
        <w:rPr>
          <w:rFonts w:ascii="Arial" w:hAnsi="Arial" w:cs="Arial"/>
          <w:sz w:val="23"/>
          <w:szCs w:val="23"/>
          <w:lang w:eastAsia="en-AU"/>
        </w:rPr>
        <w:t>asset</w:t>
      </w:r>
      <w:r w:rsidR="002543F5">
        <w:rPr>
          <w:rFonts w:ascii="Arial" w:hAnsi="Arial" w:cs="Arial"/>
          <w:sz w:val="23"/>
          <w:szCs w:val="23"/>
          <w:lang w:eastAsia="en-AU"/>
        </w:rPr>
        <w:t>s</w:t>
      </w:r>
      <w:r w:rsidRPr="00CF7B2B">
        <w:rPr>
          <w:rFonts w:ascii="Arial" w:hAnsi="Arial" w:cs="Arial"/>
          <w:sz w:val="23"/>
          <w:szCs w:val="23"/>
          <w:lang w:eastAsia="en-AU"/>
        </w:rPr>
        <w:t xml:space="preserve"> as at 30</w:t>
      </w:r>
      <w:r w:rsidR="0048464E">
        <w:rPr>
          <w:rFonts w:ascii="Arial" w:hAnsi="Arial" w:cs="Arial"/>
          <w:sz w:val="23"/>
          <w:szCs w:val="23"/>
          <w:lang w:eastAsia="en-AU"/>
        </w:rPr>
        <w:t> </w:t>
      </w:r>
      <w:r w:rsidRPr="00CF7B2B">
        <w:rPr>
          <w:rFonts w:ascii="Arial" w:hAnsi="Arial" w:cs="Arial"/>
          <w:sz w:val="23"/>
          <w:szCs w:val="23"/>
          <w:lang w:eastAsia="en-AU"/>
        </w:rPr>
        <w:t>September 2020.</w:t>
      </w:r>
    </w:p>
    <w:p w14:paraId="539CE895" w14:textId="7E71548E" w:rsidR="00DB6BC4" w:rsidRPr="00E43148" w:rsidRDefault="00DB6BC4" w:rsidP="00B50FB2">
      <w:pPr>
        <w:pStyle w:val="Table7X"/>
      </w:pPr>
      <w:r w:rsidRPr="00E43148">
        <w:t xml:space="preserve">General </w:t>
      </w:r>
      <w:r w:rsidR="00E02558">
        <w:t>g</w:t>
      </w:r>
      <w:r w:rsidRPr="00E43148">
        <w:t xml:space="preserve">overnment quantifiable contingent </w:t>
      </w:r>
      <w:r>
        <w:t>assets</w:t>
      </w:r>
    </w:p>
    <w:tbl>
      <w:tblPr>
        <w:tblStyle w:val="TableGrid1"/>
        <w:tblW w:w="9622" w:type="dxa"/>
        <w:tblInd w:w="17" w:type="dxa"/>
        <w:tblCellMar>
          <w:right w:w="223" w:type="dxa"/>
        </w:tblCellMar>
        <w:tblLook w:val="04A0" w:firstRow="1" w:lastRow="0" w:firstColumn="1" w:lastColumn="0" w:noHBand="0" w:noVBand="1"/>
        <w:tblCaption w:val="Table C.1: General government quantifiable contingent assets"/>
        <w:tblDescription w:val="Table C.1: General government quantifiable contingent assets"/>
      </w:tblPr>
      <w:tblGrid>
        <w:gridCol w:w="6743"/>
        <w:gridCol w:w="1439"/>
        <w:gridCol w:w="1440"/>
      </w:tblGrid>
      <w:tr w:rsidR="00DB6BC4" w:rsidRPr="00E43148" w14:paraId="2E780936" w14:textId="77777777" w:rsidTr="002C6AF2">
        <w:trPr>
          <w:trHeight w:val="183"/>
        </w:trPr>
        <w:tc>
          <w:tcPr>
            <w:tcW w:w="6743" w:type="dxa"/>
            <w:tcBorders>
              <w:top w:val="nil"/>
              <w:left w:val="nil"/>
              <w:bottom w:val="nil"/>
              <w:right w:val="nil"/>
            </w:tcBorders>
            <w:shd w:val="clear" w:color="auto" w:fill="008EBA"/>
            <w:vAlign w:val="bottom"/>
          </w:tcPr>
          <w:p w14:paraId="459381E2" w14:textId="77777777" w:rsidR="00DB6BC4" w:rsidRPr="00E43148" w:rsidRDefault="00DB6BC4" w:rsidP="002C6AF2">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46EA8834" w14:textId="77777777" w:rsidR="00DB6BC4" w:rsidRPr="00E43148" w:rsidRDefault="00DB6BC4" w:rsidP="002C6AF2">
            <w:pPr>
              <w:spacing w:before="80"/>
              <w:jc w:val="center"/>
              <w:rPr>
                <w:rFonts w:ascii="Arial" w:hAnsi="Arial" w:cs="Arial"/>
                <w:sz w:val="18"/>
                <w:szCs w:val="16"/>
              </w:rPr>
            </w:pPr>
            <w:r w:rsidRPr="00E43148">
              <w:rPr>
                <w:rFonts w:ascii="Arial" w:hAnsi="Arial" w:cs="Arial"/>
                <w:color w:val="FFFFFF"/>
                <w:sz w:val="18"/>
                <w:szCs w:val="16"/>
              </w:rPr>
              <w:t>General Government Sector</w:t>
            </w:r>
          </w:p>
        </w:tc>
      </w:tr>
      <w:tr w:rsidR="00DB6BC4" w:rsidRPr="00E43148" w14:paraId="22CE6606" w14:textId="77777777" w:rsidTr="008A467C">
        <w:trPr>
          <w:trHeight w:val="156"/>
        </w:trPr>
        <w:tc>
          <w:tcPr>
            <w:tcW w:w="6743" w:type="dxa"/>
            <w:tcBorders>
              <w:top w:val="nil"/>
              <w:left w:val="nil"/>
              <w:bottom w:val="nil"/>
              <w:right w:val="nil"/>
            </w:tcBorders>
            <w:shd w:val="clear" w:color="auto" w:fill="008EBA"/>
          </w:tcPr>
          <w:p w14:paraId="4E0619AF" w14:textId="77777777" w:rsidR="00DB6BC4" w:rsidRPr="00E43148" w:rsidRDefault="00DB6BC4" w:rsidP="002C6AF2">
            <w:pPr>
              <w:spacing w:before="40" w:after="40"/>
              <w:rPr>
                <w:rFonts w:ascii="Arial" w:hAnsi="Arial" w:cs="Arial"/>
                <w:sz w:val="18"/>
                <w:szCs w:val="16"/>
              </w:rPr>
            </w:pPr>
          </w:p>
        </w:tc>
        <w:tc>
          <w:tcPr>
            <w:tcW w:w="1439" w:type="dxa"/>
            <w:tcBorders>
              <w:top w:val="nil"/>
              <w:left w:val="nil"/>
              <w:bottom w:val="nil"/>
              <w:right w:val="nil"/>
            </w:tcBorders>
            <w:shd w:val="clear" w:color="auto" w:fill="008EBA"/>
            <w:vAlign w:val="bottom"/>
          </w:tcPr>
          <w:p w14:paraId="5B1429D6" w14:textId="67FF9B12" w:rsidR="00DB6BC4" w:rsidRPr="00E43148" w:rsidRDefault="00DB6BC4" w:rsidP="00B76E4A">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2020</w:t>
            </w:r>
            <w:r w:rsidR="00110AAD">
              <w:rPr>
                <w:rFonts w:ascii="Arial" w:hAnsi="Arial" w:cs="Arial"/>
                <w:color w:val="FFFFFF"/>
                <w:sz w:val="18"/>
                <w:szCs w:val="16"/>
              </w:rPr>
              <w:t>-21</w:t>
            </w:r>
            <w:r w:rsidRPr="00E43148">
              <w:rPr>
                <w:rFonts w:ascii="Arial" w:hAnsi="Arial" w:cs="Arial"/>
                <w:color w:val="FFFFFF"/>
                <w:sz w:val="18"/>
                <w:szCs w:val="16"/>
                <w:vertAlign w:val="superscript"/>
              </w:rPr>
              <w:t>(</w:t>
            </w:r>
            <w:r w:rsidR="00A97FF3">
              <w:rPr>
                <w:rFonts w:ascii="Arial" w:hAnsi="Arial" w:cs="Arial"/>
                <w:color w:val="FFFFFF"/>
                <w:sz w:val="18"/>
                <w:szCs w:val="16"/>
                <w:vertAlign w:val="superscript"/>
              </w:rPr>
              <w:t>c</w:t>
            </w:r>
            <w:r w:rsidRPr="00E43148">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2F95D9B9" w14:textId="41836015" w:rsidR="00DB6BC4" w:rsidRPr="00E43148" w:rsidRDefault="00DB6BC4" w:rsidP="00DC5837">
            <w:pPr>
              <w:spacing w:before="40" w:after="40"/>
              <w:jc w:val="center"/>
              <w:rPr>
                <w:rFonts w:ascii="Arial" w:hAnsi="Arial" w:cs="Arial"/>
                <w:sz w:val="18"/>
                <w:szCs w:val="16"/>
              </w:rPr>
            </w:pPr>
            <w:r w:rsidRPr="00E43148">
              <w:rPr>
                <w:rFonts w:ascii="Arial" w:hAnsi="Arial" w:cs="Arial"/>
                <w:color w:val="FFFFFF"/>
                <w:sz w:val="18"/>
                <w:szCs w:val="16"/>
              </w:rPr>
              <w:t>2019</w:t>
            </w:r>
            <w:r w:rsidR="00110AAD">
              <w:rPr>
                <w:rFonts w:ascii="Arial" w:hAnsi="Arial" w:cs="Arial"/>
                <w:color w:val="FFFFFF"/>
                <w:sz w:val="18"/>
                <w:szCs w:val="16"/>
              </w:rPr>
              <w:t>-20</w:t>
            </w:r>
            <w:r w:rsidR="000B7BCB" w:rsidRPr="00E43148">
              <w:rPr>
                <w:rFonts w:ascii="Arial" w:hAnsi="Arial" w:cs="Arial"/>
                <w:color w:val="FFFFFF"/>
                <w:sz w:val="18"/>
                <w:szCs w:val="16"/>
                <w:vertAlign w:val="superscript"/>
              </w:rPr>
              <w:t>(</w:t>
            </w:r>
            <w:r w:rsidR="00A97FF3">
              <w:rPr>
                <w:rFonts w:ascii="Arial" w:hAnsi="Arial" w:cs="Arial"/>
                <w:color w:val="FFFFFF"/>
                <w:sz w:val="18"/>
                <w:szCs w:val="16"/>
                <w:vertAlign w:val="superscript"/>
              </w:rPr>
              <w:t>d</w:t>
            </w:r>
            <w:r w:rsidR="000B7BCB" w:rsidRPr="00E43148">
              <w:rPr>
                <w:rFonts w:ascii="Arial" w:hAnsi="Arial" w:cs="Arial"/>
                <w:color w:val="FFFFFF"/>
                <w:sz w:val="18"/>
                <w:szCs w:val="16"/>
                <w:vertAlign w:val="superscript"/>
              </w:rPr>
              <w:t>)</w:t>
            </w:r>
          </w:p>
        </w:tc>
      </w:tr>
      <w:tr w:rsidR="00DB6BC4" w:rsidRPr="00E43148" w14:paraId="0B3D5D89" w14:textId="77777777" w:rsidTr="008A467C">
        <w:trPr>
          <w:trHeight w:val="175"/>
        </w:trPr>
        <w:tc>
          <w:tcPr>
            <w:tcW w:w="6743" w:type="dxa"/>
            <w:tcBorders>
              <w:top w:val="nil"/>
              <w:left w:val="nil"/>
              <w:bottom w:val="nil"/>
              <w:right w:val="nil"/>
            </w:tcBorders>
            <w:shd w:val="clear" w:color="auto" w:fill="00426F"/>
          </w:tcPr>
          <w:p w14:paraId="632CC985" w14:textId="77777777" w:rsidR="00DB6BC4" w:rsidRPr="00E43148" w:rsidRDefault="00DB6BC4" w:rsidP="002C6AF2">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483BEF3F" w14:textId="77777777" w:rsidR="00DB6BC4" w:rsidRPr="00E43148" w:rsidRDefault="00DB6BC4" w:rsidP="00194EE3">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3E562E5C" w14:textId="77777777" w:rsidR="00DB6BC4" w:rsidRPr="00E43148" w:rsidRDefault="00DB6BC4" w:rsidP="008A467C">
            <w:pPr>
              <w:spacing w:after="80"/>
              <w:jc w:val="center"/>
              <w:rPr>
                <w:rFonts w:ascii="Arial" w:hAnsi="Arial" w:cs="Arial"/>
                <w:sz w:val="18"/>
                <w:szCs w:val="16"/>
              </w:rPr>
            </w:pPr>
            <w:r w:rsidRPr="00E43148">
              <w:rPr>
                <w:rFonts w:ascii="Arial" w:hAnsi="Arial" w:cs="Arial"/>
                <w:color w:val="FFFFFF"/>
                <w:sz w:val="18"/>
                <w:szCs w:val="16"/>
              </w:rPr>
              <w:t>$m</w:t>
            </w:r>
          </w:p>
        </w:tc>
      </w:tr>
      <w:tr w:rsidR="00DB6BC4" w:rsidRPr="00E43148" w14:paraId="5E090C4C" w14:textId="77777777" w:rsidTr="001E7E12">
        <w:trPr>
          <w:trHeight w:val="510"/>
        </w:trPr>
        <w:tc>
          <w:tcPr>
            <w:tcW w:w="6743" w:type="dxa"/>
            <w:tcBorders>
              <w:top w:val="nil"/>
              <w:left w:val="nil"/>
              <w:bottom w:val="nil"/>
              <w:right w:val="nil"/>
            </w:tcBorders>
            <w:vAlign w:val="bottom"/>
          </w:tcPr>
          <w:p w14:paraId="54EA9A09" w14:textId="77777777" w:rsidR="00DB6BC4" w:rsidRDefault="00DB6BC4" w:rsidP="007B3414">
            <w:pPr>
              <w:ind w:left="28"/>
              <w:rPr>
                <w:rFonts w:ascii="Arial" w:hAnsi="Arial" w:cs="Arial"/>
                <w:sz w:val="18"/>
                <w:szCs w:val="16"/>
              </w:rPr>
            </w:pPr>
            <w:r>
              <w:rPr>
                <w:rFonts w:ascii="Arial" w:hAnsi="Arial" w:cs="Arial"/>
                <w:sz w:val="18"/>
                <w:szCs w:val="16"/>
              </w:rPr>
              <w:t xml:space="preserve">Transport for NSW </w:t>
            </w:r>
          </w:p>
          <w:p w14:paraId="4724397D" w14:textId="4064F41E" w:rsidR="00DB6BC4" w:rsidRPr="00E43148" w:rsidRDefault="00DB6BC4" w:rsidP="007B3414">
            <w:pPr>
              <w:ind w:left="28"/>
              <w:rPr>
                <w:rFonts w:ascii="Arial" w:hAnsi="Arial" w:cs="Arial"/>
                <w:sz w:val="18"/>
                <w:szCs w:val="16"/>
              </w:rPr>
            </w:pPr>
            <w:r>
              <w:rPr>
                <w:rFonts w:ascii="Arial" w:hAnsi="Arial" w:cs="Arial"/>
                <w:sz w:val="18"/>
                <w:szCs w:val="16"/>
              </w:rPr>
              <w:t xml:space="preserve">    (</w:t>
            </w:r>
            <w:r w:rsidR="00CF7B2B">
              <w:rPr>
                <w:rFonts w:ascii="Arial" w:hAnsi="Arial" w:cs="Arial"/>
                <w:sz w:val="18"/>
                <w:szCs w:val="16"/>
              </w:rPr>
              <w:t>Transport for NSW initiated c</w:t>
            </w:r>
            <w:r>
              <w:rPr>
                <w:rFonts w:ascii="Arial" w:hAnsi="Arial" w:cs="Arial"/>
                <w:sz w:val="18"/>
                <w:szCs w:val="16"/>
              </w:rPr>
              <w:t>laims)</w:t>
            </w:r>
          </w:p>
        </w:tc>
        <w:tc>
          <w:tcPr>
            <w:tcW w:w="1439" w:type="dxa"/>
            <w:tcBorders>
              <w:top w:val="nil"/>
              <w:left w:val="nil"/>
              <w:bottom w:val="nil"/>
              <w:right w:val="nil"/>
            </w:tcBorders>
            <w:vAlign w:val="bottom"/>
          </w:tcPr>
          <w:p w14:paraId="53BE51AB" w14:textId="2D080F35" w:rsidR="00DB6BC4" w:rsidRPr="00E43148" w:rsidRDefault="00CA73F6" w:rsidP="001E7E12">
            <w:pPr>
              <w:ind w:left="28" w:right="340"/>
              <w:jc w:val="right"/>
              <w:rPr>
                <w:rFonts w:ascii="Arial" w:hAnsi="Arial" w:cs="Arial"/>
                <w:sz w:val="18"/>
                <w:szCs w:val="16"/>
              </w:rPr>
            </w:pPr>
            <w:r>
              <w:rPr>
                <w:rFonts w:ascii="Arial" w:hAnsi="Arial" w:cs="Arial"/>
                <w:sz w:val="18"/>
                <w:szCs w:val="16"/>
              </w:rPr>
              <w:t xml:space="preserve">       </w:t>
            </w:r>
            <w:r w:rsidR="00CF7B2B">
              <w:rPr>
                <w:rFonts w:ascii="Arial" w:hAnsi="Arial" w:cs="Arial"/>
                <w:sz w:val="18"/>
                <w:szCs w:val="16"/>
              </w:rPr>
              <w:t>4</w:t>
            </w:r>
          </w:p>
        </w:tc>
        <w:tc>
          <w:tcPr>
            <w:tcW w:w="1440" w:type="dxa"/>
            <w:tcBorders>
              <w:top w:val="nil"/>
              <w:left w:val="nil"/>
              <w:bottom w:val="nil"/>
              <w:right w:val="nil"/>
            </w:tcBorders>
            <w:vAlign w:val="bottom"/>
          </w:tcPr>
          <w:p w14:paraId="474FDE1E" w14:textId="3EC721BC" w:rsidR="00DB6BC4" w:rsidRPr="00E43148" w:rsidRDefault="00D56E7A" w:rsidP="001E7E12">
            <w:pPr>
              <w:ind w:left="28" w:right="340"/>
              <w:jc w:val="right"/>
              <w:rPr>
                <w:rFonts w:ascii="Arial" w:hAnsi="Arial" w:cs="Arial"/>
                <w:sz w:val="18"/>
                <w:szCs w:val="16"/>
              </w:rPr>
            </w:pPr>
            <w:r>
              <w:rPr>
                <w:rFonts w:ascii="Arial" w:hAnsi="Arial" w:cs="Arial"/>
                <w:sz w:val="18"/>
                <w:szCs w:val="16"/>
              </w:rPr>
              <w:t xml:space="preserve">     </w:t>
            </w:r>
            <w:r w:rsidR="00DB6BC4">
              <w:rPr>
                <w:rFonts w:ascii="Arial" w:hAnsi="Arial" w:cs="Arial"/>
                <w:sz w:val="18"/>
                <w:szCs w:val="16"/>
              </w:rPr>
              <w:t>0</w:t>
            </w:r>
          </w:p>
        </w:tc>
      </w:tr>
      <w:tr w:rsidR="00027F12" w:rsidRPr="00E43148" w14:paraId="794E30BD" w14:textId="77777777" w:rsidTr="001E7E12">
        <w:trPr>
          <w:trHeight w:val="318"/>
        </w:trPr>
        <w:tc>
          <w:tcPr>
            <w:tcW w:w="6743" w:type="dxa"/>
            <w:tcBorders>
              <w:top w:val="nil"/>
              <w:left w:val="nil"/>
              <w:bottom w:val="nil"/>
              <w:right w:val="nil"/>
            </w:tcBorders>
            <w:vAlign w:val="bottom"/>
          </w:tcPr>
          <w:p w14:paraId="52053108" w14:textId="6AAD7E1B" w:rsidR="000766CF" w:rsidRDefault="00027F12" w:rsidP="007B3414">
            <w:pPr>
              <w:ind w:left="28"/>
              <w:rPr>
                <w:rFonts w:ascii="Arial" w:hAnsi="Arial" w:cs="Arial"/>
                <w:sz w:val="18"/>
                <w:szCs w:val="16"/>
              </w:rPr>
            </w:pPr>
            <w:r>
              <w:rPr>
                <w:rFonts w:ascii="Arial" w:hAnsi="Arial" w:cs="Arial"/>
                <w:sz w:val="18"/>
                <w:szCs w:val="16"/>
              </w:rPr>
              <w:t xml:space="preserve">Aboriginal Housing </w:t>
            </w:r>
            <w:r w:rsidR="000766CF" w:rsidRPr="00CD701A">
              <w:rPr>
                <w:rFonts w:ascii="Arial" w:hAnsi="Arial" w:cs="Arial"/>
                <w:color w:val="000000" w:themeColor="text1"/>
                <w:sz w:val="18"/>
                <w:szCs w:val="16"/>
              </w:rPr>
              <w:t>Office</w:t>
            </w:r>
            <w:r w:rsidR="00CD701A" w:rsidRPr="00CD701A">
              <w:rPr>
                <w:rFonts w:ascii="Arial" w:hAnsi="Arial" w:cs="Arial"/>
                <w:color w:val="000000" w:themeColor="text1"/>
                <w:sz w:val="18"/>
                <w:szCs w:val="16"/>
                <w:vertAlign w:val="superscript"/>
              </w:rPr>
              <w:t>(a)</w:t>
            </w:r>
          </w:p>
        </w:tc>
        <w:tc>
          <w:tcPr>
            <w:tcW w:w="1439" w:type="dxa"/>
            <w:tcBorders>
              <w:top w:val="nil"/>
              <w:left w:val="nil"/>
              <w:bottom w:val="nil"/>
              <w:right w:val="nil"/>
            </w:tcBorders>
            <w:vAlign w:val="center"/>
          </w:tcPr>
          <w:p w14:paraId="2C36D5B3" w14:textId="0B0A1AA6" w:rsidR="00027F12" w:rsidRDefault="00CA73F6" w:rsidP="001E7E12">
            <w:pPr>
              <w:ind w:left="28" w:right="340"/>
              <w:jc w:val="right"/>
              <w:rPr>
                <w:rFonts w:ascii="Arial" w:hAnsi="Arial" w:cs="Arial"/>
                <w:sz w:val="18"/>
                <w:szCs w:val="16"/>
              </w:rPr>
            </w:pPr>
            <w:r>
              <w:rPr>
                <w:rFonts w:ascii="Arial" w:hAnsi="Arial" w:cs="Arial"/>
                <w:sz w:val="18"/>
                <w:szCs w:val="16"/>
              </w:rPr>
              <w:t xml:space="preserve">    </w:t>
            </w:r>
            <w:r w:rsidR="007924FC">
              <w:rPr>
                <w:rFonts w:ascii="Arial" w:hAnsi="Arial" w:cs="Arial"/>
                <w:sz w:val="18"/>
                <w:szCs w:val="16"/>
              </w:rPr>
              <w:t xml:space="preserve"> </w:t>
            </w:r>
            <w:r>
              <w:rPr>
                <w:rFonts w:ascii="Arial" w:hAnsi="Arial" w:cs="Arial"/>
                <w:sz w:val="18"/>
                <w:szCs w:val="16"/>
              </w:rPr>
              <w:t xml:space="preserve"> </w:t>
            </w:r>
            <w:r w:rsidR="002A1292">
              <w:rPr>
                <w:rFonts w:ascii="Arial" w:hAnsi="Arial" w:cs="Arial"/>
                <w:sz w:val="18"/>
                <w:szCs w:val="16"/>
              </w:rPr>
              <w:t>5</w:t>
            </w:r>
          </w:p>
        </w:tc>
        <w:tc>
          <w:tcPr>
            <w:tcW w:w="1440" w:type="dxa"/>
            <w:tcBorders>
              <w:top w:val="nil"/>
              <w:left w:val="nil"/>
              <w:bottom w:val="nil"/>
              <w:right w:val="nil"/>
            </w:tcBorders>
            <w:vAlign w:val="center"/>
          </w:tcPr>
          <w:p w14:paraId="4EB10D0B" w14:textId="374ADD78" w:rsidR="00027F12" w:rsidRDefault="00D56E7A" w:rsidP="001E7E12">
            <w:pPr>
              <w:ind w:left="28" w:right="340"/>
              <w:jc w:val="right"/>
              <w:rPr>
                <w:rFonts w:ascii="Arial" w:hAnsi="Arial" w:cs="Arial"/>
                <w:sz w:val="18"/>
                <w:szCs w:val="16"/>
              </w:rPr>
            </w:pPr>
            <w:r>
              <w:rPr>
                <w:rFonts w:ascii="Arial" w:hAnsi="Arial" w:cs="Arial"/>
                <w:sz w:val="18"/>
                <w:szCs w:val="16"/>
              </w:rPr>
              <w:t xml:space="preserve">     </w:t>
            </w:r>
            <w:r w:rsidR="00672A2F">
              <w:rPr>
                <w:rFonts w:ascii="Arial" w:hAnsi="Arial" w:cs="Arial"/>
                <w:sz w:val="18"/>
                <w:szCs w:val="16"/>
              </w:rPr>
              <w:t>5</w:t>
            </w:r>
          </w:p>
        </w:tc>
      </w:tr>
      <w:tr w:rsidR="00BD17B0" w:rsidRPr="00E43148" w14:paraId="6D59DCCA" w14:textId="77777777" w:rsidTr="001E7E12">
        <w:trPr>
          <w:trHeight w:val="510"/>
        </w:trPr>
        <w:tc>
          <w:tcPr>
            <w:tcW w:w="6743" w:type="dxa"/>
            <w:tcBorders>
              <w:top w:val="nil"/>
              <w:left w:val="nil"/>
              <w:bottom w:val="nil"/>
              <w:right w:val="nil"/>
            </w:tcBorders>
            <w:vAlign w:val="bottom"/>
          </w:tcPr>
          <w:p w14:paraId="19A5B220" w14:textId="77777777" w:rsidR="00021F95" w:rsidRDefault="00BD17B0" w:rsidP="007B3414">
            <w:pPr>
              <w:ind w:left="28"/>
              <w:rPr>
                <w:rFonts w:ascii="Arial" w:hAnsi="Arial" w:cs="Arial"/>
                <w:sz w:val="18"/>
                <w:szCs w:val="16"/>
              </w:rPr>
            </w:pPr>
            <w:r>
              <w:rPr>
                <w:rFonts w:ascii="Arial" w:hAnsi="Arial" w:cs="Arial"/>
                <w:sz w:val="18"/>
                <w:szCs w:val="16"/>
              </w:rPr>
              <w:t>Planning Ministerial Corporation</w:t>
            </w:r>
            <w:r w:rsidRPr="00CD701A">
              <w:rPr>
                <w:rFonts w:ascii="Arial" w:hAnsi="Arial" w:cs="Arial"/>
                <w:color w:val="000000" w:themeColor="text1"/>
                <w:sz w:val="18"/>
                <w:szCs w:val="16"/>
                <w:vertAlign w:val="superscript"/>
              </w:rPr>
              <w:t>(</w:t>
            </w:r>
            <w:r>
              <w:rPr>
                <w:rFonts w:ascii="Arial" w:hAnsi="Arial" w:cs="Arial"/>
                <w:color w:val="000000" w:themeColor="text1"/>
                <w:sz w:val="18"/>
                <w:szCs w:val="16"/>
                <w:vertAlign w:val="superscript"/>
              </w:rPr>
              <w:t>b</w:t>
            </w:r>
            <w:r w:rsidRPr="00CD701A">
              <w:rPr>
                <w:rFonts w:ascii="Arial" w:hAnsi="Arial" w:cs="Arial"/>
                <w:color w:val="000000" w:themeColor="text1"/>
                <w:sz w:val="18"/>
                <w:szCs w:val="16"/>
                <w:vertAlign w:val="superscript"/>
              </w:rPr>
              <w:t>)</w:t>
            </w:r>
            <w:r>
              <w:rPr>
                <w:rFonts w:ascii="Arial" w:hAnsi="Arial" w:cs="Arial"/>
                <w:sz w:val="18"/>
                <w:szCs w:val="16"/>
              </w:rPr>
              <w:t xml:space="preserve"> </w:t>
            </w:r>
          </w:p>
          <w:p w14:paraId="64859654" w14:textId="157D3915" w:rsidR="00BD17B0" w:rsidRDefault="00021F95" w:rsidP="007B3414">
            <w:pPr>
              <w:ind w:left="28"/>
              <w:rPr>
                <w:rFonts w:ascii="Arial" w:hAnsi="Arial" w:cs="Arial"/>
                <w:sz w:val="18"/>
                <w:szCs w:val="16"/>
              </w:rPr>
            </w:pPr>
            <w:r>
              <w:rPr>
                <w:rFonts w:ascii="Arial" w:hAnsi="Arial" w:cs="Arial"/>
                <w:sz w:val="18"/>
                <w:szCs w:val="16"/>
              </w:rPr>
              <w:t xml:space="preserve">    (Land acquisition</w:t>
            </w:r>
            <w:r w:rsidR="003214C6">
              <w:rPr>
                <w:rFonts w:ascii="Arial" w:hAnsi="Arial" w:cs="Arial"/>
                <w:sz w:val="18"/>
                <w:szCs w:val="16"/>
              </w:rPr>
              <w:t>s</w:t>
            </w:r>
            <w:r>
              <w:rPr>
                <w:rFonts w:ascii="Arial" w:hAnsi="Arial" w:cs="Arial"/>
                <w:sz w:val="18"/>
                <w:szCs w:val="16"/>
              </w:rPr>
              <w:t xml:space="preserve">) </w:t>
            </w:r>
            <w:r w:rsidR="00BD17B0">
              <w:rPr>
                <w:rFonts w:ascii="Arial" w:hAnsi="Arial" w:cs="Arial"/>
                <w:sz w:val="18"/>
                <w:szCs w:val="16"/>
              </w:rPr>
              <w:t xml:space="preserve"> </w:t>
            </w:r>
          </w:p>
        </w:tc>
        <w:tc>
          <w:tcPr>
            <w:tcW w:w="1439" w:type="dxa"/>
            <w:tcBorders>
              <w:top w:val="nil"/>
              <w:left w:val="nil"/>
              <w:bottom w:val="nil"/>
              <w:right w:val="nil"/>
            </w:tcBorders>
            <w:vAlign w:val="bottom"/>
          </w:tcPr>
          <w:p w14:paraId="73E4F70B" w14:textId="6035DDCE" w:rsidR="00BD17B0" w:rsidRDefault="007924FC" w:rsidP="001E7E12">
            <w:pPr>
              <w:ind w:right="340"/>
              <w:jc w:val="right"/>
              <w:rPr>
                <w:rFonts w:ascii="Arial" w:hAnsi="Arial" w:cs="Arial"/>
                <w:sz w:val="18"/>
                <w:szCs w:val="16"/>
              </w:rPr>
            </w:pPr>
            <w:r>
              <w:rPr>
                <w:rFonts w:ascii="Arial" w:hAnsi="Arial" w:cs="Arial"/>
                <w:sz w:val="18"/>
                <w:szCs w:val="16"/>
              </w:rPr>
              <w:t xml:space="preserve">         </w:t>
            </w:r>
            <w:r w:rsidR="00203A8F">
              <w:rPr>
                <w:rFonts w:ascii="Arial" w:hAnsi="Arial" w:cs="Arial"/>
                <w:sz w:val="18"/>
                <w:szCs w:val="16"/>
              </w:rPr>
              <w:t>167</w:t>
            </w:r>
          </w:p>
        </w:tc>
        <w:tc>
          <w:tcPr>
            <w:tcW w:w="1440" w:type="dxa"/>
            <w:tcBorders>
              <w:top w:val="nil"/>
              <w:left w:val="nil"/>
              <w:bottom w:val="nil"/>
              <w:right w:val="nil"/>
            </w:tcBorders>
            <w:vAlign w:val="bottom"/>
          </w:tcPr>
          <w:p w14:paraId="31E65BBB" w14:textId="000FD88C" w:rsidR="00BD17B0" w:rsidRDefault="00D56E7A" w:rsidP="001E7E12">
            <w:pPr>
              <w:ind w:left="28" w:right="340"/>
              <w:jc w:val="right"/>
              <w:rPr>
                <w:rFonts w:ascii="Arial" w:hAnsi="Arial" w:cs="Arial"/>
                <w:sz w:val="18"/>
                <w:szCs w:val="16"/>
              </w:rPr>
            </w:pPr>
            <w:r>
              <w:rPr>
                <w:rFonts w:ascii="Arial" w:hAnsi="Arial" w:cs="Arial"/>
                <w:sz w:val="18"/>
                <w:szCs w:val="16"/>
              </w:rPr>
              <w:t xml:space="preserve">     </w:t>
            </w:r>
            <w:r w:rsidR="00203A8F">
              <w:rPr>
                <w:rFonts w:ascii="Arial" w:hAnsi="Arial" w:cs="Arial"/>
                <w:sz w:val="18"/>
                <w:szCs w:val="16"/>
              </w:rPr>
              <w:t>185</w:t>
            </w:r>
          </w:p>
        </w:tc>
      </w:tr>
      <w:tr w:rsidR="00DB6BC4" w:rsidRPr="00E43148" w14:paraId="220297CA" w14:textId="77777777" w:rsidTr="001E7E12">
        <w:trPr>
          <w:trHeight w:val="283"/>
        </w:trPr>
        <w:tc>
          <w:tcPr>
            <w:tcW w:w="6743" w:type="dxa"/>
            <w:tcBorders>
              <w:top w:val="nil"/>
              <w:left w:val="nil"/>
              <w:right w:val="nil"/>
            </w:tcBorders>
            <w:vAlign w:val="center"/>
          </w:tcPr>
          <w:p w14:paraId="1C29B2ED" w14:textId="77777777" w:rsidR="00DB6BC4" w:rsidRPr="00E43148" w:rsidRDefault="00DB6BC4" w:rsidP="001E7E12">
            <w:pPr>
              <w:ind w:right="2446"/>
              <w:rPr>
                <w:rFonts w:ascii="Arial" w:hAnsi="Arial" w:cs="Arial"/>
                <w:sz w:val="18"/>
                <w:szCs w:val="16"/>
              </w:rPr>
            </w:pPr>
            <w:r w:rsidRPr="00E43148">
              <w:rPr>
                <w:rFonts w:ascii="Arial" w:hAnsi="Arial" w:cs="Arial"/>
                <w:sz w:val="18"/>
                <w:szCs w:val="16"/>
              </w:rPr>
              <w:t>Other Agencies</w:t>
            </w:r>
          </w:p>
        </w:tc>
        <w:tc>
          <w:tcPr>
            <w:tcW w:w="1439" w:type="dxa"/>
            <w:tcBorders>
              <w:top w:val="nil"/>
              <w:left w:val="nil"/>
              <w:right w:val="nil"/>
            </w:tcBorders>
            <w:vAlign w:val="center"/>
          </w:tcPr>
          <w:p w14:paraId="06C1F67B" w14:textId="2FD65E53" w:rsidR="00DB6BC4" w:rsidRPr="00161190" w:rsidRDefault="00CA73F6" w:rsidP="001E7E12">
            <w:pPr>
              <w:ind w:left="28" w:right="340"/>
              <w:jc w:val="right"/>
              <w:rPr>
                <w:rFonts w:ascii="Arial" w:hAnsi="Arial" w:cs="Arial"/>
                <w:sz w:val="18"/>
                <w:szCs w:val="16"/>
              </w:rPr>
            </w:pPr>
            <w:r>
              <w:rPr>
                <w:rFonts w:ascii="Arial" w:hAnsi="Arial" w:cs="Arial"/>
                <w:sz w:val="18"/>
                <w:szCs w:val="16"/>
              </w:rPr>
              <w:t xml:space="preserve">    </w:t>
            </w:r>
            <w:r w:rsidR="007924FC">
              <w:rPr>
                <w:rFonts w:ascii="Arial" w:hAnsi="Arial" w:cs="Arial"/>
                <w:sz w:val="18"/>
                <w:szCs w:val="16"/>
              </w:rPr>
              <w:t xml:space="preserve"> </w:t>
            </w:r>
            <w:r>
              <w:rPr>
                <w:rFonts w:ascii="Arial" w:hAnsi="Arial" w:cs="Arial"/>
                <w:sz w:val="18"/>
                <w:szCs w:val="16"/>
              </w:rPr>
              <w:t xml:space="preserve">  </w:t>
            </w:r>
            <w:r w:rsidR="00B3452C">
              <w:rPr>
                <w:rFonts w:ascii="Arial" w:hAnsi="Arial" w:cs="Arial"/>
                <w:sz w:val="18"/>
                <w:szCs w:val="16"/>
              </w:rPr>
              <w:t>2</w:t>
            </w:r>
            <w:r w:rsidR="001132C0">
              <w:rPr>
                <w:rFonts w:ascii="Arial" w:hAnsi="Arial" w:cs="Arial"/>
                <w:sz w:val="18"/>
                <w:szCs w:val="16"/>
              </w:rPr>
              <w:t>0</w:t>
            </w:r>
          </w:p>
        </w:tc>
        <w:tc>
          <w:tcPr>
            <w:tcW w:w="1440" w:type="dxa"/>
            <w:tcBorders>
              <w:top w:val="nil"/>
              <w:left w:val="nil"/>
              <w:right w:val="nil"/>
            </w:tcBorders>
            <w:vAlign w:val="center"/>
          </w:tcPr>
          <w:p w14:paraId="5A1991FE" w14:textId="20FBAED5" w:rsidR="00DB6BC4" w:rsidRPr="00161190" w:rsidRDefault="00D56E7A" w:rsidP="001E7E12">
            <w:pPr>
              <w:ind w:left="28" w:right="340"/>
              <w:jc w:val="right"/>
              <w:rPr>
                <w:rFonts w:ascii="Arial" w:hAnsi="Arial" w:cs="Arial"/>
                <w:sz w:val="18"/>
                <w:szCs w:val="16"/>
              </w:rPr>
            </w:pPr>
            <w:r>
              <w:rPr>
                <w:rFonts w:ascii="Arial" w:hAnsi="Arial" w:cs="Arial"/>
                <w:sz w:val="18"/>
                <w:szCs w:val="16"/>
              </w:rPr>
              <w:t xml:space="preserve">  </w:t>
            </w:r>
            <w:r w:rsidR="007924FC">
              <w:rPr>
                <w:rFonts w:ascii="Arial" w:hAnsi="Arial" w:cs="Arial"/>
                <w:sz w:val="18"/>
                <w:szCs w:val="16"/>
              </w:rPr>
              <w:t xml:space="preserve"> </w:t>
            </w:r>
            <w:r>
              <w:rPr>
                <w:rFonts w:ascii="Arial" w:hAnsi="Arial" w:cs="Arial"/>
                <w:sz w:val="18"/>
                <w:szCs w:val="16"/>
              </w:rPr>
              <w:t xml:space="preserve">  </w:t>
            </w:r>
            <w:r w:rsidR="00CF7B2B">
              <w:rPr>
                <w:rFonts w:ascii="Arial" w:hAnsi="Arial" w:cs="Arial"/>
                <w:sz w:val="18"/>
                <w:szCs w:val="16"/>
              </w:rPr>
              <w:t>0</w:t>
            </w:r>
          </w:p>
        </w:tc>
      </w:tr>
      <w:tr w:rsidR="00DB6BC4" w:rsidRPr="00BA7D8D" w14:paraId="5505EAB2" w14:textId="77777777" w:rsidTr="001E7E12">
        <w:trPr>
          <w:trHeight w:val="340"/>
        </w:trPr>
        <w:tc>
          <w:tcPr>
            <w:tcW w:w="6743" w:type="dxa"/>
            <w:tcBorders>
              <w:top w:val="single" w:sz="4" w:space="0" w:color="auto"/>
              <w:left w:val="nil"/>
              <w:bottom w:val="single" w:sz="6" w:space="0" w:color="000000" w:themeColor="text1"/>
              <w:right w:val="nil"/>
            </w:tcBorders>
          </w:tcPr>
          <w:p w14:paraId="5885E40B" w14:textId="77777777" w:rsidR="00DB6BC4" w:rsidRPr="00E43148" w:rsidRDefault="00DB6BC4" w:rsidP="001E7E12">
            <w:pP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238A54A9" w14:textId="7C1FB5F9" w:rsidR="00DB6BC4" w:rsidRPr="00161190" w:rsidRDefault="00D56E7A" w:rsidP="001E7E12">
            <w:pPr>
              <w:ind w:right="340"/>
              <w:jc w:val="right"/>
              <w:rPr>
                <w:rFonts w:ascii="Arial" w:eastAsia="Arial" w:hAnsi="Arial" w:cs="Arial"/>
                <w:b/>
                <w:bCs/>
                <w:color w:val="008EBA"/>
                <w:sz w:val="18"/>
                <w:szCs w:val="18"/>
              </w:rPr>
            </w:pPr>
            <w:r>
              <w:rPr>
                <w:rFonts w:ascii="Arial" w:eastAsia="Arial" w:hAnsi="Arial" w:cs="Arial"/>
                <w:b/>
                <w:bCs/>
                <w:color w:val="008EBA"/>
                <w:sz w:val="18"/>
                <w:szCs w:val="18"/>
              </w:rPr>
              <w:t xml:space="preserve">     </w:t>
            </w:r>
            <w:r w:rsidR="007924FC">
              <w:rPr>
                <w:rFonts w:ascii="Arial" w:eastAsia="Arial" w:hAnsi="Arial" w:cs="Arial"/>
                <w:b/>
                <w:bCs/>
                <w:color w:val="008EBA"/>
                <w:sz w:val="18"/>
                <w:szCs w:val="18"/>
              </w:rPr>
              <w:t xml:space="preserve"> </w:t>
            </w:r>
            <w:r w:rsidR="00BC3CA5">
              <w:rPr>
                <w:rFonts w:ascii="Arial" w:eastAsia="Arial" w:hAnsi="Arial" w:cs="Arial"/>
                <w:b/>
                <w:bCs/>
                <w:color w:val="008EBA"/>
                <w:sz w:val="18"/>
                <w:szCs w:val="18"/>
              </w:rPr>
              <w:t>196</w:t>
            </w:r>
          </w:p>
        </w:tc>
        <w:tc>
          <w:tcPr>
            <w:tcW w:w="1440" w:type="dxa"/>
            <w:tcBorders>
              <w:top w:val="single" w:sz="4" w:space="0" w:color="auto"/>
              <w:left w:val="nil"/>
              <w:bottom w:val="single" w:sz="6" w:space="0" w:color="000000" w:themeColor="text1"/>
              <w:right w:val="nil"/>
            </w:tcBorders>
            <w:vAlign w:val="center"/>
          </w:tcPr>
          <w:p w14:paraId="0CDEA8FF" w14:textId="00F9F77E" w:rsidR="00DB6BC4" w:rsidRPr="009C3199" w:rsidRDefault="00D56E7A" w:rsidP="001E7E12">
            <w:pPr>
              <w:ind w:right="340"/>
              <w:jc w:val="right"/>
              <w:rPr>
                <w:rFonts w:ascii="Arial" w:hAnsi="Arial" w:cs="Arial"/>
                <w:b/>
                <w:color w:val="008EBA"/>
                <w:sz w:val="18"/>
                <w:szCs w:val="16"/>
              </w:rPr>
            </w:pPr>
            <w:r>
              <w:rPr>
                <w:rFonts w:ascii="Arial" w:hAnsi="Arial" w:cs="Arial"/>
                <w:b/>
                <w:bCs/>
                <w:color w:val="008EBA"/>
                <w:sz w:val="18"/>
                <w:szCs w:val="16"/>
              </w:rPr>
              <w:t xml:space="preserve">    </w:t>
            </w:r>
            <w:r w:rsidR="00BE0052">
              <w:rPr>
                <w:rFonts w:ascii="Arial" w:hAnsi="Arial" w:cs="Arial"/>
                <w:b/>
                <w:bCs/>
                <w:color w:val="008EBA"/>
                <w:sz w:val="18"/>
                <w:szCs w:val="16"/>
              </w:rPr>
              <w:t xml:space="preserve"> </w:t>
            </w:r>
            <w:r w:rsidR="00203A8F">
              <w:rPr>
                <w:rFonts w:ascii="Arial" w:hAnsi="Arial" w:cs="Arial"/>
                <w:b/>
                <w:bCs/>
                <w:color w:val="008EBA"/>
                <w:sz w:val="18"/>
                <w:szCs w:val="16"/>
              </w:rPr>
              <w:t>190</w:t>
            </w:r>
          </w:p>
        </w:tc>
      </w:tr>
    </w:tbl>
    <w:p w14:paraId="5F098102" w14:textId="77777777" w:rsidR="00DB6BC4" w:rsidRPr="0082609F" w:rsidRDefault="00DB6BC4" w:rsidP="00DB6BC4">
      <w:pPr>
        <w:spacing w:before="240" w:after="100" w:line="259" w:lineRule="auto"/>
        <w:contextualSpacing/>
        <w:rPr>
          <w:rFonts w:ascii="Arial" w:eastAsia="Calibri" w:hAnsi="Arial" w:cs="Arial"/>
          <w:sz w:val="6"/>
          <w:szCs w:val="6"/>
          <w:lang w:val="en-AU"/>
        </w:rPr>
      </w:pPr>
    </w:p>
    <w:p w14:paraId="41A4E6FE" w14:textId="6AB80C3B" w:rsidR="000766CF" w:rsidRPr="00BD17B0" w:rsidRDefault="000766CF">
      <w:pPr>
        <w:numPr>
          <w:ilvl w:val="0"/>
          <w:numId w:val="3"/>
        </w:numPr>
        <w:spacing w:before="240" w:after="100" w:line="259" w:lineRule="auto"/>
        <w:ind w:left="357" w:hanging="357"/>
        <w:contextualSpacing/>
        <w:rPr>
          <w:rFonts w:ascii="Arial" w:eastAsia="Calibri" w:hAnsi="Arial" w:cs="Arial"/>
          <w:sz w:val="17"/>
          <w:szCs w:val="17"/>
          <w:lang w:val="en-AU"/>
        </w:rPr>
      </w:pPr>
      <w:r w:rsidRPr="00E648B1">
        <w:rPr>
          <w:rFonts w:ascii="Arial" w:hAnsi="Arial" w:cs="Arial"/>
          <w:sz w:val="17"/>
          <w:szCs w:val="17"/>
        </w:rPr>
        <w:t>As part of the Housing Aboriginal Communities Program, there were 15 properties that the A</w:t>
      </w:r>
      <w:r w:rsidR="00CE3136">
        <w:rPr>
          <w:rFonts w:ascii="Arial" w:hAnsi="Arial" w:cs="Arial"/>
          <w:sz w:val="17"/>
          <w:szCs w:val="17"/>
        </w:rPr>
        <w:t>boriginal Housing Office</w:t>
      </w:r>
      <w:r w:rsidRPr="00E648B1">
        <w:rPr>
          <w:rFonts w:ascii="Arial" w:hAnsi="Arial" w:cs="Arial"/>
          <w:sz w:val="17"/>
          <w:szCs w:val="17"/>
        </w:rPr>
        <w:t xml:space="preserve"> does not have definitive control over. As a result, they will not be </w:t>
      </w:r>
      <w:proofErr w:type="spellStart"/>
      <w:r w:rsidRPr="00E648B1">
        <w:rPr>
          <w:rFonts w:ascii="Arial" w:hAnsi="Arial" w:cs="Arial"/>
          <w:sz w:val="17"/>
          <w:szCs w:val="17"/>
        </w:rPr>
        <w:t>recognised</w:t>
      </w:r>
      <w:proofErr w:type="spellEnd"/>
      <w:r w:rsidRPr="00E648B1">
        <w:rPr>
          <w:rFonts w:ascii="Arial" w:hAnsi="Arial" w:cs="Arial"/>
          <w:sz w:val="17"/>
          <w:szCs w:val="17"/>
        </w:rPr>
        <w:t xml:space="preserve"> until such time as full control is established. </w:t>
      </w:r>
    </w:p>
    <w:p w14:paraId="6E7CDD1D" w14:textId="2AA00727" w:rsidR="00BD17B0" w:rsidRPr="00E648B1" w:rsidRDefault="00C565C0">
      <w:pPr>
        <w:numPr>
          <w:ilvl w:val="0"/>
          <w:numId w:val="3"/>
        </w:numPr>
        <w:spacing w:before="240" w:after="100" w:line="259" w:lineRule="auto"/>
        <w:ind w:left="357" w:hanging="357"/>
        <w:contextualSpacing/>
        <w:rPr>
          <w:rFonts w:ascii="Arial" w:eastAsia="Calibri" w:hAnsi="Arial" w:cs="Arial"/>
          <w:sz w:val="17"/>
          <w:szCs w:val="17"/>
          <w:lang w:val="en-AU"/>
        </w:rPr>
      </w:pPr>
      <w:r w:rsidRPr="00C565C0">
        <w:rPr>
          <w:rFonts w:ascii="Arial" w:eastAsia="Calibri" w:hAnsi="Arial" w:cs="Arial"/>
          <w:sz w:val="17"/>
          <w:szCs w:val="17"/>
          <w:lang w:val="en-AU"/>
        </w:rPr>
        <w:t xml:space="preserve">As of 30 September 2020, the </w:t>
      </w:r>
      <w:r w:rsidR="00B33C23">
        <w:rPr>
          <w:rFonts w:ascii="Arial" w:eastAsia="Calibri" w:hAnsi="Arial" w:cs="Arial"/>
          <w:sz w:val="17"/>
          <w:szCs w:val="17"/>
          <w:lang w:val="en-AU"/>
        </w:rPr>
        <w:t xml:space="preserve">Planning Ministerial </w:t>
      </w:r>
      <w:r w:rsidRPr="00C565C0">
        <w:rPr>
          <w:rFonts w:ascii="Arial" w:eastAsia="Calibri" w:hAnsi="Arial" w:cs="Arial"/>
          <w:sz w:val="17"/>
          <w:szCs w:val="17"/>
          <w:lang w:val="en-AU"/>
        </w:rPr>
        <w:t>Corporation had made offers to purchase properties totalling $167</w:t>
      </w:r>
      <w:r w:rsidR="00F95F2A">
        <w:rPr>
          <w:rFonts w:ascii="Arial" w:eastAsia="Calibri" w:hAnsi="Arial" w:cs="Arial"/>
          <w:sz w:val="17"/>
          <w:szCs w:val="17"/>
          <w:lang w:val="en-AU"/>
        </w:rPr>
        <w:t> </w:t>
      </w:r>
      <w:r w:rsidRPr="00C565C0">
        <w:rPr>
          <w:rFonts w:ascii="Arial" w:eastAsia="Calibri" w:hAnsi="Arial" w:cs="Arial"/>
          <w:sz w:val="17"/>
          <w:szCs w:val="17"/>
          <w:lang w:val="en-AU"/>
        </w:rPr>
        <w:t>million. These offers are dependent on the actions of the landowners to either accept or reject the Corporation's offer. Offers to purchase made by the Corporation lapse if the landowner does not accept the offer.</w:t>
      </w:r>
      <w:r w:rsidR="006B4613">
        <w:rPr>
          <w:rFonts w:ascii="Arial" w:eastAsia="Calibri" w:hAnsi="Arial" w:cs="Arial"/>
          <w:sz w:val="17"/>
          <w:szCs w:val="17"/>
          <w:lang w:val="en-AU"/>
        </w:rPr>
        <w:t xml:space="preserve"> </w:t>
      </w:r>
    </w:p>
    <w:p w14:paraId="5D7E5C04" w14:textId="272A9A03" w:rsidR="00DB6BC4" w:rsidRPr="00E648B1" w:rsidRDefault="00CF7B2B">
      <w:pPr>
        <w:numPr>
          <w:ilvl w:val="0"/>
          <w:numId w:val="3"/>
        </w:numPr>
        <w:spacing w:before="240" w:after="100" w:line="259" w:lineRule="auto"/>
        <w:ind w:left="357" w:hanging="357"/>
        <w:contextualSpacing/>
        <w:rPr>
          <w:rFonts w:ascii="Arial" w:eastAsia="Calibri" w:hAnsi="Arial" w:cs="Arial"/>
          <w:sz w:val="17"/>
          <w:szCs w:val="17"/>
          <w:lang w:val="en-AU"/>
        </w:rPr>
      </w:pPr>
      <w:r w:rsidRPr="00E43148">
        <w:rPr>
          <w:rFonts w:ascii="Arial" w:eastAsia="Calibri" w:hAnsi="Arial" w:cs="Arial"/>
          <w:sz w:val="17"/>
          <w:szCs w:val="17"/>
          <w:lang w:val="en-AU"/>
        </w:rPr>
        <w:t xml:space="preserve">As </w:t>
      </w:r>
      <w:r w:rsidR="00A413AF">
        <w:rPr>
          <w:rFonts w:ascii="Arial" w:eastAsia="Calibri" w:hAnsi="Arial" w:cs="Arial"/>
          <w:sz w:val="17"/>
          <w:szCs w:val="17"/>
          <w:lang w:val="en-AU"/>
        </w:rPr>
        <w:t>at</w:t>
      </w:r>
      <w:r w:rsidR="00ED63F5">
        <w:rPr>
          <w:rFonts w:ascii="Arial" w:eastAsia="Calibri" w:hAnsi="Arial" w:cs="Arial"/>
          <w:sz w:val="17"/>
          <w:szCs w:val="17"/>
          <w:lang w:val="en-AU"/>
        </w:rPr>
        <w:t xml:space="preserve"> reporting date </w:t>
      </w:r>
      <w:r w:rsidR="00435ECE">
        <w:rPr>
          <w:rFonts w:ascii="Arial" w:eastAsia="Calibri" w:hAnsi="Arial" w:cs="Arial"/>
          <w:sz w:val="17"/>
          <w:szCs w:val="17"/>
          <w:lang w:val="en-AU"/>
        </w:rPr>
        <w:t xml:space="preserve">of </w:t>
      </w:r>
      <w:r w:rsidRPr="00161190">
        <w:rPr>
          <w:rFonts w:ascii="Arial" w:eastAsia="Calibri" w:hAnsi="Arial" w:cs="Arial"/>
          <w:sz w:val="17"/>
          <w:szCs w:val="17"/>
          <w:lang w:val="en-AU"/>
        </w:rPr>
        <w:t>30 September 2020</w:t>
      </w:r>
      <w:r w:rsidRPr="00E43148">
        <w:rPr>
          <w:rFonts w:ascii="Arial" w:eastAsia="Calibri" w:hAnsi="Arial" w:cs="Arial"/>
          <w:sz w:val="17"/>
          <w:szCs w:val="17"/>
          <w:lang w:val="en-AU"/>
        </w:rPr>
        <w:t>.</w:t>
      </w:r>
    </w:p>
    <w:p w14:paraId="10145B54" w14:textId="00839862" w:rsidR="000B7BCB" w:rsidRPr="00E648B1" w:rsidRDefault="000B7BCB">
      <w:pPr>
        <w:numPr>
          <w:ilvl w:val="0"/>
          <w:numId w:val="3"/>
        </w:numPr>
        <w:spacing w:before="240" w:after="100" w:line="259" w:lineRule="auto"/>
        <w:ind w:left="357" w:hanging="357"/>
        <w:contextualSpacing/>
        <w:rPr>
          <w:rFonts w:ascii="Arial" w:eastAsia="Calibri" w:hAnsi="Arial" w:cs="Arial"/>
          <w:sz w:val="17"/>
          <w:szCs w:val="17"/>
          <w:lang w:val="en-AU"/>
        </w:rPr>
      </w:pPr>
      <w:r w:rsidRPr="00E648B1">
        <w:rPr>
          <w:rFonts w:ascii="Arial" w:eastAsia="Calibri" w:hAnsi="Arial" w:cs="Arial"/>
          <w:sz w:val="17"/>
          <w:szCs w:val="17"/>
          <w:lang w:val="en-AU"/>
        </w:rPr>
        <w:t xml:space="preserve">As </w:t>
      </w:r>
      <w:r w:rsidR="00A413AF">
        <w:rPr>
          <w:rFonts w:ascii="Arial" w:eastAsia="Calibri" w:hAnsi="Arial" w:cs="Arial"/>
          <w:sz w:val="17"/>
          <w:szCs w:val="17"/>
          <w:lang w:val="en-AU"/>
        </w:rPr>
        <w:t>at</w:t>
      </w:r>
      <w:r w:rsidR="00ED63F5">
        <w:rPr>
          <w:rFonts w:ascii="Arial" w:eastAsia="Calibri" w:hAnsi="Arial" w:cs="Arial"/>
          <w:sz w:val="17"/>
          <w:szCs w:val="17"/>
          <w:lang w:val="en-AU"/>
        </w:rPr>
        <w:t xml:space="preserve"> reporting date</w:t>
      </w:r>
      <w:r w:rsidRPr="00E648B1">
        <w:rPr>
          <w:rFonts w:ascii="Arial" w:eastAsia="Calibri" w:hAnsi="Arial" w:cs="Arial"/>
          <w:sz w:val="17"/>
          <w:szCs w:val="17"/>
          <w:lang w:val="en-AU"/>
        </w:rPr>
        <w:t xml:space="preserve"> </w:t>
      </w:r>
      <w:r w:rsidR="00435ECE">
        <w:rPr>
          <w:rFonts w:ascii="Arial" w:eastAsia="Calibri" w:hAnsi="Arial" w:cs="Arial"/>
          <w:sz w:val="17"/>
          <w:szCs w:val="17"/>
          <w:lang w:val="en-AU"/>
        </w:rPr>
        <w:t xml:space="preserve">of </w:t>
      </w:r>
      <w:r w:rsidRPr="00E648B1">
        <w:rPr>
          <w:rFonts w:ascii="Arial" w:eastAsia="Calibri" w:hAnsi="Arial" w:cs="Arial"/>
          <w:sz w:val="17"/>
          <w:szCs w:val="17"/>
          <w:lang w:val="en-AU"/>
        </w:rPr>
        <w:t xml:space="preserve">30 </w:t>
      </w:r>
      <w:r w:rsidR="00672A2F" w:rsidRPr="00E648B1">
        <w:rPr>
          <w:rFonts w:ascii="Arial" w:eastAsia="Calibri" w:hAnsi="Arial" w:cs="Arial"/>
          <w:sz w:val="17"/>
          <w:szCs w:val="17"/>
          <w:lang w:val="en-AU"/>
        </w:rPr>
        <w:t>June 2020</w:t>
      </w:r>
      <w:r w:rsidRPr="00E648B1">
        <w:rPr>
          <w:rFonts w:ascii="Arial" w:eastAsia="Calibri" w:hAnsi="Arial" w:cs="Arial"/>
          <w:sz w:val="17"/>
          <w:szCs w:val="17"/>
          <w:lang w:val="en-AU"/>
        </w:rPr>
        <w:t xml:space="preserve">. </w:t>
      </w:r>
    </w:p>
    <w:p w14:paraId="7FD1D75D" w14:textId="66381DE4" w:rsidR="000766CF" w:rsidRPr="00C57F84" w:rsidRDefault="000766CF" w:rsidP="000766CF">
      <w:pPr>
        <w:spacing w:before="240" w:after="100" w:line="259" w:lineRule="auto"/>
        <w:contextualSpacing/>
        <w:rPr>
          <w:rFonts w:ascii="Arial" w:eastAsia="Calibri" w:hAnsi="Arial" w:cs="Arial"/>
          <w:sz w:val="17"/>
          <w:szCs w:val="17"/>
          <w:lang w:val="en-AU"/>
        </w:rPr>
      </w:pPr>
    </w:p>
    <w:p w14:paraId="7F59095D" w14:textId="69E38761" w:rsidR="004D1D69" w:rsidRDefault="004D1D69">
      <w:pPr>
        <w:spacing w:after="200" w:line="276" w:lineRule="auto"/>
        <w:rPr>
          <w:rFonts w:ascii="Arial Bold" w:eastAsia="Arial Unicode MS" w:hAnsi="Arial Bold"/>
          <w:b/>
          <w:kern w:val="28"/>
          <w:sz w:val="26"/>
          <w:szCs w:val="36"/>
          <w:lang w:val="en-AU"/>
        </w:rPr>
      </w:pPr>
      <w:r>
        <w:rPr>
          <w:rFonts w:eastAsia="Arial Unicode MS"/>
        </w:rPr>
        <w:br w:type="page"/>
      </w:r>
    </w:p>
    <w:p w14:paraId="55489F48" w14:textId="767E4250" w:rsidR="00864678" w:rsidRPr="00E522E6" w:rsidRDefault="00864678" w:rsidP="00714259">
      <w:pPr>
        <w:pStyle w:val="Heading3"/>
        <w:rPr>
          <w:rFonts w:eastAsia="Arial Unicode MS"/>
          <w:bCs/>
        </w:rPr>
      </w:pPr>
      <w:r w:rsidRPr="00F93717">
        <w:rPr>
          <w:rFonts w:eastAsia="Arial Unicode MS"/>
        </w:rPr>
        <w:lastRenderedPageBreak/>
        <w:t>Non-quantifiable contingent assets</w:t>
      </w:r>
    </w:p>
    <w:p w14:paraId="29D966B1" w14:textId="421500FF" w:rsidR="006028C4" w:rsidRPr="003B288E" w:rsidRDefault="009A2F7E" w:rsidP="00BC181B">
      <w:pPr>
        <w:pStyle w:val="BodyText"/>
      </w:pPr>
      <w:r>
        <w:t xml:space="preserve">Table </w:t>
      </w:r>
      <w:r w:rsidR="00D94F56">
        <w:t>C</w:t>
      </w:r>
      <w:r>
        <w:t>.</w:t>
      </w:r>
      <w:r w:rsidR="00CF7B2B">
        <w:t>2</w:t>
      </w:r>
      <w:r w:rsidR="00A0645B" w:rsidRPr="00312103">
        <w:t xml:space="preserve"> </w:t>
      </w:r>
      <w:r w:rsidR="4D54A693">
        <w:t xml:space="preserve">lists </w:t>
      </w:r>
      <w:r w:rsidR="00A0645B" w:rsidRPr="00312103">
        <w:t xml:space="preserve">the </w:t>
      </w:r>
      <w:r w:rsidR="0094385A">
        <w:t>g</w:t>
      </w:r>
      <w:r w:rsidR="00F9551C">
        <w:t xml:space="preserve">eneral </w:t>
      </w:r>
      <w:r w:rsidR="00E02558">
        <w:t>g</w:t>
      </w:r>
      <w:r w:rsidR="00F9551C">
        <w:t>overnment</w:t>
      </w:r>
      <w:r w:rsidR="00A0645B" w:rsidRPr="00312103">
        <w:t xml:space="preserve">’s </w:t>
      </w:r>
      <w:r w:rsidR="006028C4" w:rsidRPr="00312103">
        <w:t>non-quantifiable contingent asset</w:t>
      </w:r>
      <w:r w:rsidR="00A0645B" w:rsidRPr="003B288E">
        <w:t>s</w:t>
      </w:r>
      <w:r w:rsidR="003B288E" w:rsidRPr="003B288E">
        <w:t>.</w:t>
      </w:r>
    </w:p>
    <w:p w14:paraId="1D8D991C" w14:textId="4E3B244F" w:rsidR="003B288E" w:rsidRPr="006B3192" w:rsidRDefault="00BB017F" w:rsidP="00AF0457">
      <w:pPr>
        <w:pStyle w:val="Table7X"/>
      </w:pPr>
      <w:r>
        <w:t>G</w:t>
      </w:r>
      <w:r w:rsidR="003B288E" w:rsidRPr="006B3192">
        <w:t xml:space="preserve">eneral </w:t>
      </w:r>
      <w:r w:rsidR="00E02558">
        <w:t>g</w:t>
      </w:r>
      <w:r w:rsidR="003B288E" w:rsidRPr="006B3192">
        <w:t>overnment non-quantifiable contingent assets</w:t>
      </w:r>
    </w:p>
    <w:tbl>
      <w:tblPr>
        <w:tblStyle w:val="TableGrid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2: General government non-quantifiable contingent assets"/>
        <w:tblDescription w:val="Table C.2: General government non-quantifiable contingent assets"/>
      </w:tblPr>
      <w:tblGrid>
        <w:gridCol w:w="4248"/>
        <w:gridCol w:w="5386"/>
      </w:tblGrid>
      <w:tr w:rsidR="006028C4" w:rsidRPr="003B288E" w14:paraId="4A4E91E2" w14:textId="77777777" w:rsidTr="002C183F">
        <w:tc>
          <w:tcPr>
            <w:tcW w:w="4248" w:type="dxa"/>
            <w:shd w:val="clear" w:color="auto" w:fill="00426F"/>
          </w:tcPr>
          <w:p w14:paraId="14455E8F" w14:textId="77777777" w:rsidR="006028C4" w:rsidRPr="00785BE2" w:rsidRDefault="006028C4" w:rsidP="002C183F">
            <w:pPr>
              <w:spacing w:before="120" w:after="120"/>
              <w:rPr>
                <w:rFonts w:ascii="Arial" w:hAnsi="Arial" w:cs="Arial"/>
                <w:b/>
                <w:color w:val="FFFFFF" w:themeColor="background1"/>
                <w:sz w:val="18"/>
                <w:szCs w:val="16"/>
              </w:rPr>
            </w:pPr>
            <w:r w:rsidRPr="00785BE2">
              <w:rPr>
                <w:rFonts w:ascii="Arial" w:hAnsi="Arial" w:cs="Arial"/>
                <w:b/>
                <w:color w:val="FFFFFF" w:themeColor="background1"/>
                <w:sz w:val="18"/>
                <w:szCs w:val="16"/>
              </w:rPr>
              <w:t>Contingent Asset</w:t>
            </w:r>
          </w:p>
        </w:tc>
        <w:tc>
          <w:tcPr>
            <w:tcW w:w="5386" w:type="dxa"/>
            <w:shd w:val="clear" w:color="auto" w:fill="00426F"/>
          </w:tcPr>
          <w:p w14:paraId="444947A6" w14:textId="77777777" w:rsidR="006028C4" w:rsidRPr="00785BE2" w:rsidRDefault="006028C4" w:rsidP="002C183F">
            <w:pPr>
              <w:spacing w:before="120" w:after="120"/>
              <w:rPr>
                <w:rFonts w:ascii="Arial" w:hAnsi="Arial" w:cs="Arial"/>
                <w:b/>
                <w:color w:val="FFFFFF" w:themeColor="background1"/>
                <w:sz w:val="18"/>
                <w:szCs w:val="16"/>
              </w:rPr>
            </w:pPr>
            <w:r w:rsidRPr="00785BE2">
              <w:rPr>
                <w:rFonts w:ascii="Arial" w:hAnsi="Arial" w:cs="Arial"/>
                <w:b/>
                <w:color w:val="FFFFFF" w:themeColor="background1"/>
                <w:sz w:val="18"/>
                <w:szCs w:val="16"/>
              </w:rPr>
              <w:t>Nature of the contingent asset</w:t>
            </w:r>
          </w:p>
        </w:tc>
      </w:tr>
      <w:tr w:rsidR="004931AC" w:rsidRPr="00C36B99" w14:paraId="0BBDC1D8" w14:textId="77777777" w:rsidTr="00145CF5">
        <w:trPr>
          <w:trHeight w:val="172"/>
        </w:trPr>
        <w:tc>
          <w:tcPr>
            <w:tcW w:w="4248" w:type="dxa"/>
            <w:tcBorders>
              <w:top w:val="single" w:sz="4" w:space="0" w:color="A6A6A6" w:themeColor="background1" w:themeShade="A6"/>
              <w:bottom w:val="single" w:sz="4" w:space="0" w:color="A6A6A6" w:themeColor="background1" w:themeShade="A6"/>
            </w:tcBorders>
          </w:tcPr>
          <w:p w14:paraId="1E6A6356" w14:textId="0B132E39" w:rsidR="004931AC" w:rsidRPr="00785BE2" w:rsidRDefault="004931AC" w:rsidP="009D6BE5">
            <w:pPr>
              <w:spacing w:before="80" w:after="80"/>
              <w:rPr>
                <w:rFonts w:ascii="Arial" w:hAnsi="Arial" w:cs="Arial"/>
                <w:sz w:val="18"/>
                <w:szCs w:val="16"/>
              </w:rPr>
            </w:pPr>
            <w:r w:rsidRPr="00785BE2">
              <w:rPr>
                <w:rFonts w:ascii="Arial" w:hAnsi="Arial" w:cs="Arial"/>
                <w:sz w:val="18"/>
                <w:szCs w:val="16"/>
              </w:rPr>
              <w:t>Eastern Creek Alternative Waste Treatment Plant</w:t>
            </w:r>
          </w:p>
        </w:tc>
        <w:tc>
          <w:tcPr>
            <w:tcW w:w="5386" w:type="dxa"/>
            <w:tcBorders>
              <w:top w:val="single" w:sz="4" w:space="0" w:color="A6A6A6" w:themeColor="background1" w:themeShade="A6"/>
              <w:bottom w:val="single" w:sz="4" w:space="0" w:color="A6A6A6" w:themeColor="background1" w:themeShade="A6"/>
            </w:tcBorders>
          </w:tcPr>
          <w:p w14:paraId="72719DC0" w14:textId="22D2A75B" w:rsidR="004931AC" w:rsidRPr="00785BE2" w:rsidRDefault="004931AC" w:rsidP="009D6BE5">
            <w:pPr>
              <w:spacing w:before="80" w:after="80"/>
              <w:rPr>
                <w:rFonts w:ascii="Arial" w:hAnsi="Arial" w:cs="Arial"/>
                <w:sz w:val="18"/>
                <w:szCs w:val="18"/>
              </w:rPr>
            </w:pPr>
            <w:r w:rsidRPr="382B46E5">
              <w:rPr>
                <w:rFonts w:ascii="Arial" w:hAnsi="Arial" w:cs="Arial"/>
                <w:sz w:val="18"/>
                <w:szCs w:val="18"/>
              </w:rPr>
              <w:t>The Crown Entity holds a guarantee, a contingent asset, which fully offsets the same contingent liability.</w:t>
            </w:r>
            <w:r w:rsidR="000869F9">
              <w:rPr>
                <w:rFonts w:ascii="Arial" w:hAnsi="Arial" w:cs="Arial"/>
                <w:sz w:val="18"/>
                <w:szCs w:val="18"/>
              </w:rPr>
              <w:t xml:space="preserve"> </w:t>
            </w:r>
            <w:r w:rsidR="0075524C">
              <w:rPr>
                <w:rFonts w:ascii="Arial" w:hAnsi="Arial" w:cs="Arial"/>
                <w:sz w:val="18"/>
                <w:szCs w:val="18"/>
              </w:rPr>
              <w:t xml:space="preserve">The contingent asset </w:t>
            </w:r>
            <w:r w:rsidR="005E5AA2">
              <w:rPr>
                <w:rFonts w:ascii="Arial" w:hAnsi="Arial" w:cs="Arial"/>
                <w:sz w:val="18"/>
                <w:szCs w:val="18"/>
              </w:rPr>
              <w:t xml:space="preserve">arises when the guarantee has been executed. </w:t>
            </w:r>
          </w:p>
        </w:tc>
      </w:tr>
      <w:tr w:rsidR="00D770C1" w:rsidRPr="00C36B99" w14:paraId="30604A56" w14:textId="31AFDDDF" w:rsidTr="00C57F84">
        <w:trPr>
          <w:trHeight w:val="172"/>
        </w:trPr>
        <w:tc>
          <w:tcPr>
            <w:tcW w:w="4248" w:type="dxa"/>
            <w:tcBorders>
              <w:top w:val="single" w:sz="4" w:space="0" w:color="A6A6A6" w:themeColor="background1" w:themeShade="A6"/>
              <w:bottom w:val="single" w:sz="4" w:space="0" w:color="A6A6A6" w:themeColor="background1" w:themeShade="A6"/>
            </w:tcBorders>
          </w:tcPr>
          <w:p w14:paraId="735E0974" w14:textId="6E7AD37A" w:rsidR="00D770C1" w:rsidRPr="00785BE2" w:rsidRDefault="00D770C1" w:rsidP="00D770C1">
            <w:pPr>
              <w:spacing w:before="80" w:after="80"/>
              <w:rPr>
                <w:rFonts w:ascii="Arial" w:hAnsi="Arial" w:cs="Arial"/>
                <w:sz w:val="18"/>
                <w:szCs w:val="16"/>
              </w:rPr>
            </w:pPr>
            <w:r w:rsidRPr="00785BE2">
              <w:rPr>
                <w:rFonts w:ascii="Arial" w:hAnsi="Arial" w:cs="Arial"/>
                <w:sz w:val="18"/>
                <w:szCs w:val="16"/>
              </w:rPr>
              <w:t xml:space="preserve">HIH Insurance </w:t>
            </w:r>
          </w:p>
        </w:tc>
        <w:tc>
          <w:tcPr>
            <w:tcW w:w="5386" w:type="dxa"/>
            <w:tcBorders>
              <w:top w:val="single" w:sz="4" w:space="0" w:color="A6A6A6" w:themeColor="background1" w:themeShade="A6"/>
              <w:bottom w:val="single" w:sz="4" w:space="0" w:color="A6A6A6" w:themeColor="background1" w:themeShade="A6"/>
            </w:tcBorders>
          </w:tcPr>
          <w:p w14:paraId="799DA8C3" w14:textId="5B1A179B" w:rsidR="00D770C1" w:rsidRPr="00785BE2" w:rsidRDefault="00D770C1" w:rsidP="00D770C1">
            <w:pPr>
              <w:spacing w:before="80" w:after="80"/>
              <w:rPr>
                <w:rFonts w:ascii="Arial" w:hAnsi="Arial" w:cs="Arial"/>
                <w:sz w:val="18"/>
                <w:szCs w:val="16"/>
              </w:rPr>
            </w:pPr>
            <w:r w:rsidRPr="00785BE2">
              <w:rPr>
                <w:rFonts w:ascii="Arial" w:hAnsi="Arial" w:cs="Arial"/>
                <w:sz w:val="18"/>
                <w:szCs w:val="16"/>
              </w:rPr>
              <w:t>Potential proceeds relating to the liquidation of HIH Insurance.</w:t>
            </w:r>
          </w:p>
        </w:tc>
      </w:tr>
      <w:tr w:rsidR="008A5D4A" w:rsidRPr="00C36B99" w14:paraId="57F315E4" w14:textId="77777777" w:rsidTr="003E77C8">
        <w:trPr>
          <w:trHeight w:val="172"/>
        </w:trPr>
        <w:tc>
          <w:tcPr>
            <w:tcW w:w="4248" w:type="dxa"/>
            <w:tcBorders>
              <w:top w:val="single" w:sz="4" w:space="0" w:color="A6A6A6" w:themeColor="background1" w:themeShade="A6"/>
              <w:bottom w:val="single" w:sz="4" w:space="0" w:color="A6A6A6" w:themeColor="background1" w:themeShade="A6"/>
            </w:tcBorders>
          </w:tcPr>
          <w:p w14:paraId="5B08CC67" w14:textId="6599CE23" w:rsidR="008A5D4A" w:rsidRPr="00785BE2" w:rsidRDefault="00523F7D" w:rsidP="00D770C1">
            <w:pPr>
              <w:spacing w:before="80" w:after="80"/>
              <w:rPr>
                <w:rFonts w:ascii="Arial" w:hAnsi="Arial" w:cs="Arial"/>
                <w:sz w:val="18"/>
                <w:szCs w:val="16"/>
              </w:rPr>
            </w:pPr>
            <w:r>
              <w:rPr>
                <w:rFonts w:ascii="Arial" w:hAnsi="Arial" w:cs="Arial"/>
                <w:sz w:val="18"/>
                <w:szCs w:val="16"/>
              </w:rPr>
              <w:t xml:space="preserve">Leases and subleases </w:t>
            </w:r>
          </w:p>
        </w:tc>
        <w:tc>
          <w:tcPr>
            <w:tcW w:w="5386" w:type="dxa"/>
            <w:tcBorders>
              <w:top w:val="single" w:sz="4" w:space="0" w:color="A6A6A6" w:themeColor="background1" w:themeShade="A6"/>
              <w:bottom w:val="single" w:sz="4" w:space="0" w:color="A6A6A6" w:themeColor="background1" w:themeShade="A6"/>
            </w:tcBorders>
          </w:tcPr>
          <w:p w14:paraId="7B968180" w14:textId="7C63AF38" w:rsidR="008A5D4A" w:rsidRPr="00785BE2" w:rsidRDefault="00967D8C" w:rsidP="00D770C1">
            <w:pPr>
              <w:spacing w:before="80" w:after="80"/>
              <w:rPr>
                <w:rFonts w:ascii="Arial" w:hAnsi="Arial" w:cs="Arial"/>
                <w:sz w:val="18"/>
                <w:szCs w:val="16"/>
              </w:rPr>
            </w:pPr>
            <w:r>
              <w:rPr>
                <w:rFonts w:ascii="Arial" w:hAnsi="Arial" w:cs="Arial"/>
                <w:sz w:val="18"/>
                <w:szCs w:val="16"/>
              </w:rPr>
              <w:t xml:space="preserve">Potential assets </w:t>
            </w:r>
            <w:r w:rsidR="00990295">
              <w:rPr>
                <w:rFonts w:ascii="Arial" w:hAnsi="Arial" w:cs="Arial"/>
                <w:sz w:val="18"/>
                <w:szCs w:val="16"/>
              </w:rPr>
              <w:t xml:space="preserve">related to leases. In the case that a lease </w:t>
            </w:r>
            <w:r w:rsidR="00A93E86">
              <w:rPr>
                <w:rFonts w:ascii="Arial" w:hAnsi="Arial" w:cs="Arial"/>
                <w:sz w:val="18"/>
                <w:szCs w:val="16"/>
              </w:rPr>
              <w:t>terminates</w:t>
            </w:r>
            <w:r w:rsidR="00990295">
              <w:rPr>
                <w:rFonts w:ascii="Arial" w:hAnsi="Arial" w:cs="Arial"/>
                <w:sz w:val="18"/>
                <w:szCs w:val="16"/>
              </w:rPr>
              <w:t xml:space="preserve">, </w:t>
            </w:r>
            <w:r w:rsidR="00E9453E">
              <w:rPr>
                <w:rFonts w:ascii="Arial" w:hAnsi="Arial" w:cs="Arial"/>
                <w:sz w:val="18"/>
                <w:szCs w:val="16"/>
              </w:rPr>
              <w:t xml:space="preserve">there is potential for a </w:t>
            </w:r>
            <w:r w:rsidR="00523F7D">
              <w:rPr>
                <w:rFonts w:ascii="Arial" w:hAnsi="Arial" w:cs="Arial"/>
                <w:sz w:val="18"/>
                <w:szCs w:val="16"/>
              </w:rPr>
              <w:t>re-</w:t>
            </w:r>
            <w:r w:rsidR="00990295">
              <w:rPr>
                <w:rFonts w:ascii="Arial" w:hAnsi="Arial" w:cs="Arial"/>
                <w:sz w:val="18"/>
                <w:szCs w:val="16"/>
              </w:rPr>
              <w:t xml:space="preserve">possession </w:t>
            </w:r>
            <w:r w:rsidR="001E1EB3">
              <w:rPr>
                <w:rFonts w:ascii="Arial" w:hAnsi="Arial" w:cs="Arial"/>
                <w:sz w:val="18"/>
                <w:szCs w:val="16"/>
              </w:rPr>
              <w:t xml:space="preserve">of assets subjected to leases and certain subleases. </w:t>
            </w:r>
          </w:p>
        </w:tc>
      </w:tr>
      <w:tr w:rsidR="00D404C1" w:rsidRPr="00C36B99" w14:paraId="64469A4E" w14:textId="77777777" w:rsidTr="003E77C8">
        <w:trPr>
          <w:trHeight w:val="172"/>
        </w:trPr>
        <w:tc>
          <w:tcPr>
            <w:tcW w:w="4248" w:type="dxa"/>
            <w:tcBorders>
              <w:top w:val="single" w:sz="4" w:space="0" w:color="A6A6A6" w:themeColor="background1" w:themeShade="A6"/>
              <w:bottom w:val="single" w:sz="4" w:space="0" w:color="auto"/>
            </w:tcBorders>
          </w:tcPr>
          <w:p w14:paraId="5B49A712" w14:textId="08AB2260" w:rsidR="00D404C1" w:rsidRPr="00785BE2" w:rsidRDefault="006F44BC" w:rsidP="00D770C1">
            <w:pPr>
              <w:spacing w:before="80" w:after="80"/>
              <w:rPr>
                <w:rFonts w:ascii="Arial" w:hAnsi="Arial" w:cs="Arial"/>
                <w:sz w:val="18"/>
                <w:szCs w:val="16"/>
              </w:rPr>
            </w:pPr>
            <w:r>
              <w:rPr>
                <w:rFonts w:ascii="Arial" w:hAnsi="Arial" w:cs="Arial"/>
                <w:sz w:val="18"/>
                <w:szCs w:val="16"/>
              </w:rPr>
              <w:t xml:space="preserve">Business interruption insurance claims </w:t>
            </w:r>
            <w:r w:rsidR="003E1C4A">
              <w:rPr>
                <w:rFonts w:ascii="Arial" w:hAnsi="Arial" w:cs="Arial"/>
                <w:sz w:val="18"/>
                <w:szCs w:val="16"/>
              </w:rPr>
              <w:t xml:space="preserve"> </w:t>
            </w:r>
          </w:p>
        </w:tc>
        <w:tc>
          <w:tcPr>
            <w:tcW w:w="5386" w:type="dxa"/>
            <w:tcBorders>
              <w:top w:val="single" w:sz="4" w:space="0" w:color="A6A6A6" w:themeColor="background1" w:themeShade="A6"/>
              <w:bottom w:val="single" w:sz="4" w:space="0" w:color="auto"/>
            </w:tcBorders>
          </w:tcPr>
          <w:p w14:paraId="339B34D5" w14:textId="5A4B0F07" w:rsidR="00D404C1" w:rsidRPr="00785BE2" w:rsidRDefault="00E25D27" w:rsidP="00D770C1">
            <w:pPr>
              <w:spacing w:before="80" w:after="80"/>
              <w:rPr>
                <w:rFonts w:ascii="Arial" w:hAnsi="Arial" w:cs="Arial"/>
                <w:sz w:val="18"/>
                <w:szCs w:val="16"/>
              </w:rPr>
            </w:pPr>
            <w:r>
              <w:rPr>
                <w:rFonts w:ascii="Arial" w:hAnsi="Arial" w:cs="Arial"/>
                <w:sz w:val="18"/>
                <w:szCs w:val="16"/>
              </w:rPr>
              <w:t xml:space="preserve">The State has </w:t>
            </w:r>
            <w:r w:rsidR="00BF0D79">
              <w:rPr>
                <w:rFonts w:ascii="Arial" w:hAnsi="Arial" w:cs="Arial"/>
                <w:sz w:val="18"/>
                <w:szCs w:val="16"/>
              </w:rPr>
              <w:t xml:space="preserve">submitted a business interruption </w:t>
            </w:r>
            <w:r w:rsidR="00916076">
              <w:rPr>
                <w:rFonts w:ascii="Arial" w:hAnsi="Arial" w:cs="Arial"/>
                <w:sz w:val="18"/>
                <w:szCs w:val="16"/>
              </w:rPr>
              <w:t xml:space="preserve">insurance </w:t>
            </w:r>
            <w:r w:rsidR="00BF0D79">
              <w:rPr>
                <w:rFonts w:ascii="Arial" w:hAnsi="Arial" w:cs="Arial"/>
                <w:sz w:val="18"/>
                <w:szCs w:val="16"/>
              </w:rPr>
              <w:t>claim for financial losses during the</w:t>
            </w:r>
            <w:r w:rsidR="003211C9">
              <w:rPr>
                <w:rFonts w:ascii="Arial" w:hAnsi="Arial" w:cs="Arial"/>
                <w:sz w:val="18"/>
                <w:szCs w:val="16"/>
              </w:rPr>
              <w:t xml:space="preserve"> Commonwealth</w:t>
            </w:r>
            <w:r w:rsidR="00BF0D79">
              <w:rPr>
                <w:rFonts w:ascii="Arial" w:hAnsi="Arial" w:cs="Arial"/>
                <w:sz w:val="18"/>
                <w:szCs w:val="16"/>
              </w:rPr>
              <w:t xml:space="preserve"> and State Government restriction on </w:t>
            </w:r>
            <w:r w:rsidR="00E62FE7">
              <w:rPr>
                <w:rFonts w:ascii="Arial" w:hAnsi="Arial" w:cs="Arial"/>
                <w:sz w:val="18"/>
                <w:szCs w:val="16"/>
              </w:rPr>
              <w:t xml:space="preserve">cruise ships due to COVID-19. </w:t>
            </w:r>
            <w:r w:rsidR="001D3E1F">
              <w:rPr>
                <w:rFonts w:ascii="Arial" w:hAnsi="Arial" w:cs="Arial"/>
                <w:sz w:val="18"/>
                <w:szCs w:val="16"/>
              </w:rPr>
              <w:t>An interim ins</w:t>
            </w:r>
            <w:r w:rsidR="00B64C51">
              <w:rPr>
                <w:rFonts w:ascii="Arial" w:hAnsi="Arial" w:cs="Arial"/>
                <w:sz w:val="18"/>
                <w:szCs w:val="16"/>
              </w:rPr>
              <w:t>urance recovery payment has been received but f</w:t>
            </w:r>
            <w:r w:rsidR="00E62FE7">
              <w:rPr>
                <w:rFonts w:ascii="Arial" w:hAnsi="Arial" w:cs="Arial"/>
                <w:sz w:val="18"/>
                <w:szCs w:val="16"/>
              </w:rPr>
              <w:t>urther lo</w:t>
            </w:r>
            <w:r w:rsidR="00D074CF">
              <w:rPr>
                <w:rFonts w:ascii="Arial" w:hAnsi="Arial" w:cs="Arial"/>
                <w:sz w:val="18"/>
                <w:szCs w:val="16"/>
              </w:rPr>
              <w:t>s</w:t>
            </w:r>
            <w:r w:rsidR="00E62FE7">
              <w:rPr>
                <w:rFonts w:ascii="Arial" w:hAnsi="Arial" w:cs="Arial"/>
                <w:sz w:val="18"/>
                <w:szCs w:val="16"/>
              </w:rPr>
              <w:t>ses are unknown at this stage due to the length of the ban</w:t>
            </w:r>
            <w:r w:rsidR="00856CC4">
              <w:rPr>
                <w:rFonts w:ascii="Arial" w:hAnsi="Arial" w:cs="Arial"/>
                <w:sz w:val="18"/>
                <w:szCs w:val="16"/>
              </w:rPr>
              <w:t xml:space="preserve"> which would require further payments.</w:t>
            </w:r>
            <w:r w:rsidR="00FD2338">
              <w:rPr>
                <w:rFonts w:ascii="Arial" w:hAnsi="Arial" w:cs="Arial"/>
                <w:sz w:val="18"/>
                <w:szCs w:val="16"/>
              </w:rPr>
              <w:t xml:space="preserve"> </w:t>
            </w:r>
          </w:p>
        </w:tc>
      </w:tr>
    </w:tbl>
    <w:p w14:paraId="6FD30E2C" w14:textId="77777777" w:rsidR="002C183F" w:rsidRPr="00C57F84" w:rsidRDefault="002C183F" w:rsidP="00AF0457">
      <w:pPr>
        <w:rPr>
          <w:rFonts w:eastAsia="Arial Unicode MS"/>
          <w:lang w:val="en-AU"/>
        </w:rPr>
      </w:pPr>
    </w:p>
    <w:p w14:paraId="7E2F4EE5" w14:textId="2FFE2B29" w:rsidR="00E522E6" w:rsidRPr="00C57F84" w:rsidRDefault="00DD5E8F">
      <w:pPr>
        <w:pStyle w:val="Heading3"/>
        <w:rPr>
          <w:rFonts w:ascii="Arial" w:eastAsia="Arial Unicode MS" w:hAnsi="Arial" w:cs="Arial"/>
          <w:b w:val="0"/>
          <w:kern w:val="0"/>
          <w:sz w:val="20"/>
          <w:szCs w:val="26"/>
          <w:lang w:val="en-US"/>
        </w:rPr>
      </w:pPr>
      <w:r w:rsidRPr="00C57F84">
        <w:rPr>
          <w:rFonts w:eastAsia="Arial Unicode MS"/>
          <w:kern w:val="0"/>
          <w:lang w:val="en-US"/>
        </w:rPr>
        <w:t>Contingent liabilities</w:t>
      </w:r>
    </w:p>
    <w:p w14:paraId="77F294A9" w14:textId="30FE9E5D" w:rsidR="00E522E6" w:rsidRPr="004B26B8" w:rsidRDefault="00E65D2D" w:rsidP="00C57F84">
      <w:pPr>
        <w:pStyle w:val="BodyText"/>
      </w:pPr>
      <w:r>
        <w:t xml:space="preserve">Contingent liabilities are also classified as </w:t>
      </w:r>
      <w:r w:rsidRPr="00E43148">
        <w:t>either q</w:t>
      </w:r>
      <w:r w:rsidR="00E522E6" w:rsidRPr="00934008">
        <w:t xml:space="preserve">uantifiable </w:t>
      </w:r>
      <w:r w:rsidRPr="00934008">
        <w:t xml:space="preserve">or non-quantifiable. </w:t>
      </w:r>
      <w:r w:rsidR="00E522E6" w:rsidRPr="00CD19F6">
        <w:t xml:space="preserve">Table </w:t>
      </w:r>
      <w:r w:rsidR="00D94F56" w:rsidRPr="00CD19F6">
        <w:t>C</w:t>
      </w:r>
      <w:r w:rsidR="00E522E6" w:rsidRPr="00CD19F6">
        <w:t>.</w:t>
      </w:r>
      <w:r w:rsidR="00CA7591">
        <w:t>3</w:t>
      </w:r>
      <w:r w:rsidR="00E522E6" w:rsidRPr="00CD19F6">
        <w:t xml:space="preserve"> lists the </w:t>
      </w:r>
      <w:r w:rsidR="0094385A">
        <w:t>g</w:t>
      </w:r>
      <w:r w:rsidR="007B3D38">
        <w:t xml:space="preserve">eneral </w:t>
      </w:r>
      <w:r w:rsidR="0094385A">
        <w:t>g</w:t>
      </w:r>
      <w:r w:rsidR="007B3D38">
        <w:t>overnment</w:t>
      </w:r>
      <w:r w:rsidRPr="004B26B8">
        <w:t>’s</w:t>
      </w:r>
      <w:r w:rsidR="00E522E6" w:rsidRPr="00265302">
        <w:t xml:space="preserve"> quantifiable contingent liabilities</w:t>
      </w:r>
      <w:r w:rsidRPr="00265302">
        <w:t xml:space="preserve"> </w:t>
      </w:r>
      <w:r w:rsidR="0022054B" w:rsidRPr="00EA2D95">
        <w:t xml:space="preserve">as </w:t>
      </w:r>
      <w:r w:rsidRPr="00F07FBB">
        <w:t xml:space="preserve">at </w:t>
      </w:r>
      <w:r w:rsidR="00B001E5" w:rsidRPr="00C57F84">
        <w:t>30</w:t>
      </w:r>
      <w:r w:rsidR="00B001E5">
        <w:t xml:space="preserve"> September</w:t>
      </w:r>
      <w:r w:rsidR="00B001E5" w:rsidRPr="00C57F84">
        <w:t xml:space="preserve"> 2020</w:t>
      </w:r>
      <w:r w:rsidR="00E522E6" w:rsidRPr="00E43148">
        <w:t xml:space="preserve">. </w:t>
      </w:r>
    </w:p>
    <w:p w14:paraId="67F12E49" w14:textId="765DC1D1" w:rsidR="004819B0" w:rsidRDefault="00BB017F" w:rsidP="00AF0457">
      <w:pPr>
        <w:pStyle w:val="Table7X"/>
      </w:pPr>
      <w:r w:rsidRPr="00E43148">
        <w:t>G</w:t>
      </w:r>
      <w:r w:rsidR="004819B0" w:rsidRPr="00E43148">
        <w:t xml:space="preserve">eneral </w:t>
      </w:r>
      <w:r w:rsidR="0094385A">
        <w:t>g</w:t>
      </w:r>
      <w:r w:rsidR="004819B0" w:rsidRPr="00E43148">
        <w:t>overnment quantifiable contingent liabilities</w:t>
      </w:r>
    </w:p>
    <w:tbl>
      <w:tblPr>
        <w:tblStyle w:val="TableGrid1"/>
        <w:tblW w:w="9622" w:type="dxa"/>
        <w:tblInd w:w="17" w:type="dxa"/>
        <w:tblCellMar>
          <w:right w:w="223" w:type="dxa"/>
        </w:tblCellMar>
        <w:tblLook w:val="04A0" w:firstRow="1" w:lastRow="0" w:firstColumn="1" w:lastColumn="0" w:noHBand="0" w:noVBand="1"/>
        <w:tblCaption w:val="Table C.3: General government quantifiable contingent liabilities"/>
        <w:tblDescription w:val="Table C.3: General government quantifiable contingent liabilities"/>
      </w:tblPr>
      <w:tblGrid>
        <w:gridCol w:w="6743"/>
        <w:gridCol w:w="1439"/>
        <w:gridCol w:w="1440"/>
      </w:tblGrid>
      <w:tr w:rsidR="00E8322B" w:rsidRPr="00E43148" w14:paraId="33C5D67D" w14:textId="77777777" w:rsidTr="0093708F">
        <w:trPr>
          <w:trHeight w:val="283"/>
        </w:trPr>
        <w:tc>
          <w:tcPr>
            <w:tcW w:w="6743" w:type="dxa"/>
            <w:tcBorders>
              <w:top w:val="nil"/>
              <w:left w:val="nil"/>
              <w:bottom w:val="nil"/>
              <w:right w:val="nil"/>
            </w:tcBorders>
            <w:shd w:val="clear" w:color="auto" w:fill="008EBA"/>
            <w:vAlign w:val="bottom"/>
          </w:tcPr>
          <w:p w14:paraId="0ACCFC72" w14:textId="77777777" w:rsidR="00E8322B" w:rsidRPr="00E43148" w:rsidRDefault="00E8322B" w:rsidP="00AD7529">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74FD4826" w14:textId="77777777" w:rsidR="00E8322B" w:rsidRPr="00E43148" w:rsidRDefault="00E8322B" w:rsidP="00AD7529">
            <w:pPr>
              <w:spacing w:before="80"/>
              <w:jc w:val="center"/>
              <w:rPr>
                <w:rFonts w:ascii="Arial" w:hAnsi="Arial" w:cs="Arial"/>
                <w:sz w:val="18"/>
                <w:szCs w:val="16"/>
              </w:rPr>
            </w:pPr>
            <w:r w:rsidRPr="00E43148">
              <w:rPr>
                <w:rFonts w:ascii="Arial" w:hAnsi="Arial" w:cs="Arial"/>
                <w:color w:val="FFFFFF"/>
                <w:sz w:val="18"/>
                <w:szCs w:val="16"/>
              </w:rPr>
              <w:t>General Government Sector</w:t>
            </w:r>
          </w:p>
        </w:tc>
      </w:tr>
      <w:tr w:rsidR="00E8322B" w:rsidRPr="00E43148" w14:paraId="394A8DFD" w14:textId="77777777" w:rsidTr="0093708F">
        <w:trPr>
          <w:trHeight w:val="227"/>
        </w:trPr>
        <w:tc>
          <w:tcPr>
            <w:tcW w:w="6743" w:type="dxa"/>
            <w:tcBorders>
              <w:top w:val="nil"/>
              <w:left w:val="nil"/>
              <w:bottom w:val="nil"/>
              <w:right w:val="nil"/>
            </w:tcBorders>
            <w:shd w:val="clear" w:color="auto" w:fill="008EBA"/>
          </w:tcPr>
          <w:p w14:paraId="47C2367A" w14:textId="77777777" w:rsidR="00E8322B" w:rsidRPr="00E43148" w:rsidRDefault="00E8322B" w:rsidP="00AD7529">
            <w:pPr>
              <w:spacing w:before="40" w:after="40"/>
              <w:rPr>
                <w:rFonts w:ascii="Arial" w:hAnsi="Arial" w:cs="Arial"/>
                <w:sz w:val="18"/>
                <w:szCs w:val="16"/>
              </w:rPr>
            </w:pPr>
          </w:p>
        </w:tc>
        <w:tc>
          <w:tcPr>
            <w:tcW w:w="1439" w:type="dxa"/>
            <w:tcBorders>
              <w:top w:val="nil"/>
              <w:left w:val="nil"/>
              <w:bottom w:val="nil"/>
              <w:right w:val="nil"/>
            </w:tcBorders>
            <w:shd w:val="clear" w:color="auto" w:fill="008EBA"/>
            <w:vAlign w:val="bottom"/>
          </w:tcPr>
          <w:p w14:paraId="00B0C196" w14:textId="4F6066E6" w:rsidR="00E8322B" w:rsidRPr="00E43148" w:rsidRDefault="00E8322B" w:rsidP="00AD7529">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2020</w:t>
            </w:r>
            <w:r>
              <w:rPr>
                <w:rFonts w:ascii="Arial" w:hAnsi="Arial" w:cs="Arial"/>
                <w:color w:val="FFFFFF"/>
                <w:sz w:val="18"/>
                <w:szCs w:val="16"/>
              </w:rPr>
              <w:t>-21</w:t>
            </w:r>
            <w:r w:rsidRPr="00E43148">
              <w:rPr>
                <w:rFonts w:ascii="Arial" w:hAnsi="Arial" w:cs="Arial"/>
                <w:color w:val="FFFFFF"/>
                <w:sz w:val="18"/>
                <w:szCs w:val="16"/>
                <w:vertAlign w:val="superscript"/>
              </w:rPr>
              <w:t>(</w:t>
            </w:r>
            <w:r w:rsidR="00396BCD">
              <w:rPr>
                <w:rFonts w:ascii="Arial" w:hAnsi="Arial" w:cs="Arial"/>
                <w:color w:val="FFFFFF"/>
                <w:sz w:val="18"/>
                <w:szCs w:val="16"/>
                <w:vertAlign w:val="superscript"/>
              </w:rPr>
              <w:t>f</w:t>
            </w:r>
            <w:r w:rsidRPr="00E43148">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17FF541D" w14:textId="23C83C3C" w:rsidR="00E8322B" w:rsidRPr="00E43148" w:rsidRDefault="00E8322B" w:rsidP="00AD7529">
            <w:pPr>
              <w:spacing w:before="40" w:after="40"/>
              <w:jc w:val="center"/>
              <w:rPr>
                <w:rFonts w:ascii="Arial" w:hAnsi="Arial" w:cs="Arial"/>
                <w:sz w:val="18"/>
                <w:szCs w:val="16"/>
              </w:rPr>
            </w:pPr>
            <w:r w:rsidRPr="00E43148">
              <w:rPr>
                <w:rFonts w:ascii="Arial" w:hAnsi="Arial" w:cs="Arial"/>
                <w:color w:val="FFFFFF"/>
                <w:sz w:val="18"/>
                <w:szCs w:val="16"/>
              </w:rPr>
              <w:t>2019</w:t>
            </w:r>
            <w:r>
              <w:rPr>
                <w:rFonts w:ascii="Arial" w:hAnsi="Arial" w:cs="Arial"/>
                <w:color w:val="FFFFFF"/>
                <w:sz w:val="18"/>
                <w:szCs w:val="16"/>
              </w:rPr>
              <w:t>-20</w:t>
            </w:r>
            <w:r w:rsidRPr="00E43148">
              <w:rPr>
                <w:rFonts w:ascii="Arial" w:hAnsi="Arial" w:cs="Arial"/>
                <w:color w:val="FFFFFF"/>
                <w:sz w:val="18"/>
                <w:szCs w:val="16"/>
                <w:vertAlign w:val="superscript"/>
              </w:rPr>
              <w:t>(</w:t>
            </w:r>
            <w:r w:rsidR="00396BCD">
              <w:rPr>
                <w:rFonts w:ascii="Arial" w:hAnsi="Arial" w:cs="Arial"/>
                <w:color w:val="FFFFFF"/>
                <w:sz w:val="18"/>
                <w:szCs w:val="16"/>
                <w:vertAlign w:val="superscript"/>
              </w:rPr>
              <w:t>g</w:t>
            </w:r>
            <w:r w:rsidRPr="00E43148">
              <w:rPr>
                <w:rFonts w:ascii="Arial" w:hAnsi="Arial" w:cs="Arial"/>
                <w:color w:val="FFFFFF"/>
                <w:sz w:val="18"/>
                <w:szCs w:val="16"/>
                <w:vertAlign w:val="superscript"/>
              </w:rPr>
              <w:t>)</w:t>
            </w:r>
          </w:p>
        </w:tc>
      </w:tr>
      <w:tr w:rsidR="00E8322B" w:rsidRPr="00E43148" w14:paraId="6E796AFE" w14:textId="77777777" w:rsidTr="0093708F">
        <w:trPr>
          <w:trHeight w:val="283"/>
        </w:trPr>
        <w:tc>
          <w:tcPr>
            <w:tcW w:w="6743" w:type="dxa"/>
            <w:tcBorders>
              <w:top w:val="nil"/>
              <w:left w:val="nil"/>
              <w:bottom w:val="nil"/>
              <w:right w:val="nil"/>
            </w:tcBorders>
            <w:shd w:val="clear" w:color="auto" w:fill="00426F"/>
          </w:tcPr>
          <w:p w14:paraId="7C3603C0" w14:textId="77777777" w:rsidR="00E8322B" w:rsidRPr="00E43148" w:rsidRDefault="00E8322B" w:rsidP="00AD7529">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3F3AE75E" w14:textId="77777777" w:rsidR="00E8322B" w:rsidRPr="00E43148" w:rsidRDefault="00E8322B" w:rsidP="00AD7529">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51CADC7C" w14:textId="2B2EE56E" w:rsidR="00E8322B" w:rsidRPr="00E43148" w:rsidRDefault="00E8322B" w:rsidP="00F816C1">
            <w:pPr>
              <w:spacing w:after="80"/>
              <w:jc w:val="center"/>
              <w:rPr>
                <w:rFonts w:ascii="Arial" w:hAnsi="Arial" w:cs="Arial"/>
                <w:sz w:val="18"/>
                <w:szCs w:val="16"/>
              </w:rPr>
            </w:pPr>
            <w:r w:rsidRPr="00E43148">
              <w:rPr>
                <w:rFonts w:ascii="Arial" w:hAnsi="Arial" w:cs="Arial"/>
                <w:color w:val="FFFFFF"/>
                <w:sz w:val="18"/>
                <w:szCs w:val="16"/>
              </w:rPr>
              <w:t>$m</w:t>
            </w:r>
          </w:p>
        </w:tc>
      </w:tr>
      <w:tr w:rsidR="00E8322B" w:rsidRPr="00E43148" w14:paraId="7CEC4E3E" w14:textId="77777777" w:rsidTr="007B3414">
        <w:trPr>
          <w:trHeight w:val="510"/>
        </w:trPr>
        <w:tc>
          <w:tcPr>
            <w:tcW w:w="6743" w:type="dxa"/>
            <w:tcBorders>
              <w:top w:val="nil"/>
              <w:left w:val="nil"/>
              <w:bottom w:val="nil"/>
              <w:right w:val="nil"/>
            </w:tcBorders>
            <w:vAlign w:val="bottom"/>
          </w:tcPr>
          <w:p w14:paraId="114CAD4C" w14:textId="77777777" w:rsidR="00E8322B" w:rsidRPr="004B26B8" w:rsidRDefault="00E8322B" w:rsidP="001C31AD">
            <w:pPr>
              <w:ind w:left="28"/>
              <w:rPr>
                <w:rFonts w:ascii="Arial" w:hAnsi="Arial" w:cs="Arial"/>
                <w:sz w:val="18"/>
                <w:szCs w:val="16"/>
              </w:rPr>
            </w:pPr>
            <w:r w:rsidRPr="00E43148">
              <w:rPr>
                <w:rFonts w:ascii="Arial" w:hAnsi="Arial" w:cs="Arial"/>
                <w:sz w:val="18"/>
                <w:szCs w:val="16"/>
              </w:rPr>
              <w:t>Department of Communities and Justice</w:t>
            </w:r>
            <w:r w:rsidRPr="00E43148">
              <w:rPr>
                <w:rFonts w:ascii="Arial" w:hAnsi="Arial" w:cs="Arial"/>
                <w:sz w:val="18"/>
                <w:szCs w:val="16"/>
                <w:vertAlign w:val="superscript"/>
              </w:rPr>
              <w:t>(a)</w:t>
            </w:r>
            <w:r>
              <w:rPr>
                <w:rFonts w:ascii="Arial" w:hAnsi="Arial" w:cs="Arial"/>
                <w:sz w:val="18"/>
                <w:szCs w:val="16"/>
                <w:vertAlign w:val="superscript"/>
              </w:rPr>
              <w:t xml:space="preserve"> </w:t>
            </w:r>
            <w:r w:rsidRPr="00CD19F6">
              <w:rPr>
                <w:rFonts w:ascii="Arial" w:hAnsi="Arial" w:cs="Arial"/>
                <w:sz w:val="18"/>
                <w:szCs w:val="16"/>
                <w:vertAlign w:val="superscript"/>
              </w:rPr>
              <w:t xml:space="preserve"> </w:t>
            </w:r>
          </w:p>
          <w:p w14:paraId="06B66EAD" w14:textId="13E7133E" w:rsidR="00E8322B" w:rsidRPr="00E43148" w:rsidRDefault="00E8322B" w:rsidP="001C31AD">
            <w:pPr>
              <w:ind w:left="28"/>
              <w:rPr>
                <w:rFonts w:ascii="Arial" w:hAnsi="Arial" w:cs="Arial"/>
                <w:sz w:val="18"/>
                <w:szCs w:val="16"/>
              </w:rPr>
            </w:pPr>
            <w:r>
              <w:rPr>
                <w:rFonts w:ascii="Arial" w:hAnsi="Arial" w:cs="Arial"/>
                <w:sz w:val="18"/>
                <w:szCs w:val="16"/>
              </w:rPr>
              <w:t xml:space="preserve">   </w:t>
            </w:r>
            <w:r w:rsidRPr="00E43148">
              <w:rPr>
                <w:rFonts w:ascii="Arial" w:hAnsi="Arial" w:cs="Arial"/>
                <w:sz w:val="18"/>
                <w:szCs w:val="16"/>
              </w:rPr>
              <w:t>(Claims in Respect of Compensation</w:t>
            </w:r>
            <w:r>
              <w:rPr>
                <w:rFonts w:ascii="Arial" w:hAnsi="Arial" w:cs="Arial"/>
                <w:sz w:val="18"/>
                <w:szCs w:val="16"/>
              </w:rPr>
              <w:t xml:space="preserve"> and Others</w:t>
            </w:r>
            <w:r w:rsidRPr="00934008">
              <w:rPr>
                <w:rFonts w:ascii="Arial" w:hAnsi="Arial" w:cs="Arial"/>
                <w:sz w:val="18"/>
                <w:szCs w:val="16"/>
              </w:rPr>
              <w:t>)</w:t>
            </w:r>
          </w:p>
        </w:tc>
        <w:tc>
          <w:tcPr>
            <w:tcW w:w="1439" w:type="dxa"/>
            <w:tcBorders>
              <w:top w:val="nil"/>
              <w:left w:val="nil"/>
              <w:bottom w:val="nil"/>
              <w:right w:val="nil"/>
            </w:tcBorders>
            <w:vAlign w:val="bottom"/>
          </w:tcPr>
          <w:p w14:paraId="1FC09580" w14:textId="7C5100EE" w:rsidR="00E8322B" w:rsidRPr="00E43148" w:rsidRDefault="00E8322B" w:rsidP="007E01E3">
            <w:pPr>
              <w:ind w:left="28" w:right="340"/>
              <w:jc w:val="right"/>
              <w:rPr>
                <w:rFonts w:ascii="Arial" w:hAnsi="Arial" w:cs="Arial"/>
                <w:sz w:val="18"/>
                <w:szCs w:val="16"/>
              </w:rPr>
            </w:pPr>
            <w:r>
              <w:rPr>
                <w:rFonts w:ascii="Arial" w:hAnsi="Arial" w:cs="Arial"/>
                <w:sz w:val="18"/>
                <w:szCs w:val="16"/>
              </w:rPr>
              <w:t xml:space="preserve"> 670</w:t>
            </w:r>
          </w:p>
        </w:tc>
        <w:tc>
          <w:tcPr>
            <w:tcW w:w="1440" w:type="dxa"/>
            <w:tcBorders>
              <w:top w:val="nil"/>
              <w:left w:val="nil"/>
              <w:bottom w:val="nil"/>
              <w:right w:val="nil"/>
            </w:tcBorders>
            <w:vAlign w:val="bottom"/>
          </w:tcPr>
          <w:p w14:paraId="3A34213F" w14:textId="2544B4D3" w:rsidR="00E8322B" w:rsidRPr="00E43148" w:rsidRDefault="00981BAE" w:rsidP="007E01E3">
            <w:pPr>
              <w:ind w:left="28" w:right="340"/>
              <w:jc w:val="right"/>
              <w:rPr>
                <w:rFonts w:ascii="Arial" w:hAnsi="Arial" w:cs="Arial"/>
                <w:sz w:val="18"/>
                <w:szCs w:val="16"/>
              </w:rPr>
            </w:pPr>
            <w:r>
              <w:rPr>
                <w:rFonts w:ascii="Arial" w:hAnsi="Arial" w:cs="Arial"/>
                <w:sz w:val="18"/>
                <w:szCs w:val="16"/>
              </w:rPr>
              <w:t xml:space="preserve">  </w:t>
            </w:r>
            <w:r w:rsidR="00E8322B">
              <w:rPr>
                <w:rFonts w:ascii="Arial" w:hAnsi="Arial" w:cs="Arial"/>
                <w:sz w:val="18"/>
                <w:szCs w:val="16"/>
              </w:rPr>
              <w:t xml:space="preserve">     </w:t>
            </w:r>
            <w:r w:rsidR="00F816C1">
              <w:rPr>
                <w:rFonts w:ascii="Arial" w:hAnsi="Arial" w:cs="Arial"/>
                <w:sz w:val="18"/>
                <w:szCs w:val="16"/>
              </w:rPr>
              <w:t>566</w:t>
            </w:r>
          </w:p>
        </w:tc>
      </w:tr>
      <w:tr w:rsidR="00E8322B" w:rsidRPr="00E43148" w14:paraId="21464E8B" w14:textId="77777777" w:rsidTr="007B3414">
        <w:trPr>
          <w:trHeight w:val="510"/>
        </w:trPr>
        <w:tc>
          <w:tcPr>
            <w:tcW w:w="6743" w:type="dxa"/>
            <w:tcBorders>
              <w:top w:val="nil"/>
              <w:left w:val="nil"/>
              <w:bottom w:val="nil"/>
              <w:right w:val="nil"/>
            </w:tcBorders>
            <w:vAlign w:val="bottom"/>
          </w:tcPr>
          <w:p w14:paraId="0B6BAC5A" w14:textId="77777777" w:rsidR="00E8322B" w:rsidRPr="00E8322B" w:rsidRDefault="00E8322B" w:rsidP="001C31AD">
            <w:pPr>
              <w:ind w:left="28"/>
              <w:rPr>
                <w:rFonts w:ascii="Arial" w:hAnsi="Arial" w:cs="Arial"/>
                <w:sz w:val="18"/>
                <w:szCs w:val="16"/>
              </w:rPr>
            </w:pPr>
            <w:r w:rsidRPr="00E8322B">
              <w:rPr>
                <w:rFonts w:ascii="Arial" w:hAnsi="Arial" w:cs="Arial"/>
                <w:sz w:val="18"/>
                <w:szCs w:val="16"/>
              </w:rPr>
              <w:t>Transport for NSW</w:t>
            </w:r>
            <w:r w:rsidRPr="00E8322B">
              <w:rPr>
                <w:rFonts w:ascii="Arial" w:hAnsi="Arial" w:cs="Arial"/>
                <w:sz w:val="18"/>
                <w:szCs w:val="16"/>
                <w:vertAlign w:val="superscript"/>
              </w:rPr>
              <w:t xml:space="preserve">(b)(c)  </w:t>
            </w:r>
            <w:r w:rsidRPr="00E8322B">
              <w:rPr>
                <w:rFonts w:ascii="Arial" w:hAnsi="Arial" w:cs="Arial"/>
                <w:sz w:val="18"/>
                <w:szCs w:val="16"/>
              </w:rPr>
              <w:t xml:space="preserve">  </w:t>
            </w:r>
          </w:p>
          <w:p w14:paraId="108290FE" w14:textId="3CBFB95C" w:rsidR="00E8322B" w:rsidRDefault="00E8322B" w:rsidP="001C31AD">
            <w:pPr>
              <w:ind w:left="28"/>
              <w:rPr>
                <w:rFonts w:ascii="Arial" w:hAnsi="Arial" w:cs="Arial"/>
                <w:sz w:val="18"/>
                <w:szCs w:val="16"/>
              </w:rPr>
            </w:pPr>
            <w:r w:rsidRPr="00E8322B">
              <w:rPr>
                <w:rFonts w:ascii="Arial" w:hAnsi="Arial" w:cs="Arial"/>
                <w:sz w:val="18"/>
                <w:szCs w:val="16"/>
              </w:rPr>
              <w:t xml:space="preserve">    (Land acquisitions, contractual disputes)</w:t>
            </w:r>
          </w:p>
        </w:tc>
        <w:tc>
          <w:tcPr>
            <w:tcW w:w="1439" w:type="dxa"/>
            <w:tcBorders>
              <w:top w:val="nil"/>
              <w:left w:val="nil"/>
              <w:bottom w:val="nil"/>
              <w:right w:val="nil"/>
            </w:tcBorders>
            <w:vAlign w:val="bottom"/>
          </w:tcPr>
          <w:p w14:paraId="7C012C79" w14:textId="19F1EEFA" w:rsidR="00E8322B" w:rsidRDefault="00E8322B" w:rsidP="007E01E3">
            <w:pPr>
              <w:ind w:left="28" w:right="340"/>
              <w:jc w:val="right"/>
              <w:rPr>
                <w:rFonts w:ascii="Arial" w:hAnsi="Arial" w:cs="Arial"/>
                <w:sz w:val="18"/>
                <w:szCs w:val="16"/>
              </w:rPr>
            </w:pPr>
            <w:r>
              <w:rPr>
                <w:rFonts w:ascii="Arial" w:hAnsi="Arial" w:cs="Arial"/>
                <w:sz w:val="18"/>
                <w:szCs w:val="16"/>
              </w:rPr>
              <w:t xml:space="preserve"> 1</w:t>
            </w:r>
            <w:r w:rsidR="00FA7AE7">
              <w:rPr>
                <w:rFonts w:ascii="Arial" w:hAnsi="Arial" w:cs="Arial"/>
                <w:sz w:val="18"/>
                <w:szCs w:val="16"/>
              </w:rPr>
              <w:t>,</w:t>
            </w:r>
            <w:r>
              <w:rPr>
                <w:rFonts w:ascii="Arial" w:hAnsi="Arial" w:cs="Arial"/>
                <w:sz w:val="18"/>
                <w:szCs w:val="16"/>
              </w:rPr>
              <w:t>435</w:t>
            </w:r>
          </w:p>
        </w:tc>
        <w:tc>
          <w:tcPr>
            <w:tcW w:w="1440" w:type="dxa"/>
            <w:tcBorders>
              <w:top w:val="nil"/>
              <w:left w:val="nil"/>
              <w:bottom w:val="nil"/>
              <w:right w:val="nil"/>
            </w:tcBorders>
            <w:vAlign w:val="bottom"/>
          </w:tcPr>
          <w:p w14:paraId="541413BE" w14:textId="3607BEDE" w:rsidR="00E8322B" w:rsidRDefault="00E8322B" w:rsidP="007E01E3">
            <w:pPr>
              <w:ind w:left="28" w:right="340"/>
              <w:jc w:val="right"/>
              <w:rPr>
                <w:rFonts w:ascii="Arial" w:hAnsi="Arial" w:cs="Arial"/>
                <w:sz w:val="18"/>
                <w:szCs w:val="16"/>
              </w:rPr>
            </w:pPr>
            <w:r>
              <w:rPr>
                <w:rFonts w:ascii="Arial" w:hAnsi="Arial" w:cs="Arial"/>
                <w:sz w:val="18"/>
                <w:szCs w:val="16"/>
              </w:rPr>
              <w:t xml:space="preserve">   </w:t>
            </w:r>
            <w:r w:rsidR="00981BAE">
              <w:rPr>
                <w:rFonts w:ascii="Arial" w:hAnsi="Arial" w:cs="Arial"/>
                <w:sz w:val="18"/>
                <w:szCs w:val="16"/>
              </w:rPr>
              <w:t xml:space="preserve">  </w:t>
            </w:r>
            <w:r>
              <w:rPr>
                <w:rFonts w:ascii="Arial" w:hAnsi="Arial" w:cs="Arial"/>
                <w:sz w:val="18"/>
                <w:szCs w:val="16"/>
              </w:rPr>
              <w:t xml:space="preserve">  </w:t>
            </w:r>
            <w:r w:rsidR="00981BAE">
              <w:rPr>
                <w:rFonts w:ascii="Arial" w:hAnsi="Arial" w:cs="Arial"/>
                <w:sz w:val="18"/>
                <w:szCs w:val="16"/>
              </w:rPr>
              <w:t>1,435</w:t>
            </w:r>
          </w:p>
        </w:tc>
      </w:tr>
      <w:tr w:rsidR="00E8322B" w:rsidRPr="00E43148" w14:paraId="3D53F4DB" w14:textId="77777777" w:rsidTr="007B3414">
        <w:trPr>
          <w:trHeight w:val="510"/>
        </w:trPr>
        <w:tc>
          <w:tcPr>
            <w:tcW w:w="6743" w:type="dxa"/>
            <w:tcBorders>
              <w:top w:val="nil"/>
              <w:left w:val="nil"/>
              <w:bottom w:val="nil"/>
              <w:right w:val="nil"/>
            </w:tcBorders>
            <w:vAlign w:val="bottom"/>
          </w:tcPr>
          <w:p w14:paraId="594293CE" w14:textId="77777777" w:rsidR="00E8322B" w:rsidRPr="00E8322B" w:rsidRDefault="00E8322B" w:rsidP="001C31AD">
            <w:pPr>
              <w:ind w:left="28"/>
              <w:rPr>
                <w:rFonts w:ascii="Arial" w:hAnsi="Arial" w:cs="Arial"/>
                <w:sz w:val="18"/>
                <w:szCs w:val="16"/>
              </w:rPr>
            </w:pPr>
            <w:r>
              <w:rPr>
                <w:rFonts w:ascii="Arial" w:hAnsi="Arial" w:cs="Arial"/>
                <w:sz w:val="18"/>
                <w:szCs w:val="16"/>
              </w:rPr>
              <w:t xml:space="preserve"> </w:t>
            </w:r>
            <w:r w:rsidRPr="00E8322B">
              <w:rPr>
                <w:rFonts w:ascii="Arial" w:hAnsi="Arial" w:cs="Arial"/>
                <w:sz w:val="18"/>
                <w:szCs w:val="16"/>
              </w:rPr>
              <w:t>Service NSW</w:t>
            </w:r>
            <w:r w:rsidRPr="00E8322B">
              <w:rPr>
                <w:rFonts w:ascii="Arial" w:hAnsi="Arial" w:cs="Arial"/>
                <w:sz w:val="18"/>
                <w:szCs w:val="16"/>
                <w:vertAlign w:val="superscript"/>
              </w:rPr>
              <w:t xml:space="preserve">(d)  </w:t>
            </w:r>
            <w:r w:rsidRPr="00E8322B">
              <w:rPr>
                <w:rFonts w:ascii="Arial" w:hAnsi="Arial" w:cs="Arial"/>
                <w:sz w:val="18"/>
                <w:szCs w:val="16"/>
              </w:rPr>
              <w:t xml:space="preserve">   </w:t>
            </w:r>
          </w:p>
          <w:p w14:paraId="2F7D4E38" w14:textId="6A2D2285" w:rsidR="00E8322B" w:rsidRDefault="00E8322B" w:rsidP="001C31AD">
            <w:pPr>
              <w:ind w:left="28"/>
              <w:rPr>
                <w:rFonts w:ascii="Arial" w:hAnsi="Arial" w:cs="Arial"/>
                <w:sz w:val="18"/>
                <w:szCs w:val="16"/>
              </w:rPr>
            </w:pPr>
            <w:r w:rsidRPr="00E8322B">
              <w:rPr>
                <w:rFonts w:ascii="Arial" w:hAnsi="Arial" w:cs="Arial"/>
                <w:sz w:val="18"/>
                <w:szCs w:val="16"/>
              </w:rPr>
              <w:t xml:space="preserve">    (Litigation)</w:t>
            </w:r>
          </w:p>
        </w:tc>
        <w:tc>
          <w:tcPr>
            <w:tcW w:w="1439" w:type="dxa"/>
            <w:tcBorders>
              <w:top w:val="nil"/>
              <w:left w:val="nil"/>
              <w:bottom w:val="nil"/>
              <w:right w:val="nil"/>
            </w:tcBorders>
            <w:vAlign w:val="bottom"/>
          </w:tcPr>
          <w:p w14:paraId="752E7CE1" w14:textId="70FE3F25" w:rsidR="00E8322B" w:rsidRDefault="00E8322B" w:rsidP="007E01E3">
            <w:pPr>
              <w:ind w:left="28" w:right="340"/>
              <w:jc w:val="right"/>
              <w:rPr>
                <w:rFonts w:ascii="Arial" w:hAnsi="Arial" w:cs="Arial"/>
                <w:sz w:val="18"/>
                <w:szCs w:val="16"/>
              </w:rPr>
            </w:pPr>
            <w:r>
              <w:rPr>
                <w:rFonts w:ascii="Arial" w:hAnsi="Arial" w:cs="Arial"/>
                <w:sz w:val="18"/>
                <w:szCs w:val="16"/>
              </w:rPr>
              <w:t xml:space="preserve"> 7</w:t>
            </w:r>
          </w:p>
        </w:tc>
        <w:tc>
          <w:tcPr>
            <w:tcW w:w="1440" w:type="dxa"/>
            <w:tcBorders>
              <w:top w:val="nil"/>
              <w:left w:val="nil"/>
              <w:bottom w:val="nil"/>
              <w:right w:val="nil"/>
            </w:tcBorders>
            <w:vAlign w:val="bottom"/>
          </w:tcPr>
          <w:p w14:paraId="1379A8F8" w14:textId="48582378" w:rsidR="00E8322B" w:rsidRDefault="00E8322B" w:rsidP="007E01E3">
            <w:pPr>
              <w:ind w:left="28" w:right="340"/>
              <w:jc w:val="right"/>
              <w:rPr>
                <w:rFonts w:ascii="Arial" w:hAnsi="Arial" w:cs="Arial"/>
                <w:sz w:val="18"/>
                <w:szCs w:val="16"/>
              </w:rPr>
            </w:pPr>
            <w:r>
              <w:rPr>
                <w:rFonts w:ascii="Arial" w:hAnsi="Arial" w:cs="Arial"/>
                <w:sz w:val="18"/>
                <w:szCs w:val="16"/>
              </w:rPr>
              <w:t xml:space="preserve"> </w:t>
            </w:r>
            <w:r w:rsidR="00981BAE">
              <w:rPr>
                <w:rFonts w:ascii="Arial" w:hAnsi="Arial" w:cs="Arial"/>
                <w:sz w:val="18"/>
                <w:szCs w:val="16"/>
              </w:rPr>
              <w:t xml:space="preserve">  </w:t>
            </w:r>
            <w:r>
              <w:rPr>
                <w:rFonts w:ascii="Arial" w:hAnsi="Arial" w:cs="Arial"/>
                <w:sz w:val="18"/>
                <w:szCs w:val="16"/>
              </w:rPr>
              <w:t xml:space="preserve">    </w:t>
            </w:r>
            <w:r w:rsidR="00981BAE">
              <w:rPr>
                <w:rFonts w:ascii="Arial" w:hAnsi="Arial" w:cs="Arial"/>
                <w:sz w:val="18"/>
                <w:szCs w:val="16"/>
              </w:rPr>
              <w:t>0</w:t>
            </w:r>
          </w:p>
        </w:tc>
      </w:tr>
      <w:tr w:rsidR="00E8322B" w:rsidRPr="00E43148" w14:paraId="18628173" w14:textId="77777777" w:rsidTr="007B3414">
        <w:trPr>
          <w:trHeight w:val="510"/>
        </w:trPr>
        <w:tc>
          <w:tcPr>
            <w:tcW w:w="6743" w:type="dxa"/>
            <w:tcBorders>
              <w:top w:val="nil"/>
              <w:left w:val="nil"/>
              <w:bottom w:val="nil"/>
              <w:right w:val="nil"/>
            </w:tcBorders>
            <w:vAlign w:val="bottom"/>
          </w:tcPr>
          <w:p w14:paraId="7D59F0EB" w14:textId="77777777" w:rsidR="00E8322B" w:rsidRPr="00E8322B" w:rsidRDefault="00E8322B" w:rsidP="001C31AD">
            <w:pPr>
              <w:ind w:left="28"/>
              <w:rPr>
                <w:rFonts w:ascii="Arial" w:hAnsi="Arial" w:cs="Arial"/>
                <w:sz w:val="18"/>
                <w:szCs w:val="16"/>
              </w:rPr>
            </w:pPr>
            <w:r w:rsidRPr="00E8322B">
              <w:rPr>
                <w:rFonts w:ascii="Arial" w:hAnsi="Arial" w:cs="Arial"/>
                <w:sz w:val="18"/>
                <w:szCs w:val="16"/>
              </w:rPr>
              <w:t>Roads Retained Interest Pty Ltd</w:t>
            </w:r>
            <w:r w:rsidRPr="00E8322B">
              <w:rPr>
                <w:rFonts w:ascii="Arial" w:hAnsi="Arial" w:cs="Arial"/>
                <w:sz w:val="18"/>
                <w:szCs w:val="16"/>
                <w:vertAlign w:val="superscript"/>
              </w:rPr>
              <w:t>(e)</w:t>
            </w:r>
            <w:r w:rsidRPr="00E8322B">
              <w:rPr>
                <w:rFonts w:ascii="Arial" w:hAnsi="Arial" w:cs="Arial"/>
                <w:sz w:val="18"/>
                <w:szCs w:val="16"/>
              </w:rPr>
              <w:t xml:space="preserve"> </w:t>
            </w:r>
          </w:p>
          <w:p w14:paraId="67840933" w14:textId="7E7C74E8" w:rsidR="00E8322B" w:rsidRDefault="00E8322B" w:rsidP="001C31AD">
            <w:pPr>
              <w:ind w:left="28"/>
              <w:rPr>
                <w:rFonts w:ascii="Arial" w:hAnsi="Arial" w:cs="Arial"/>
                <w:sz w:val="18"/>
                <w:szCs w:val="16"/>
              </w:rPr>
            </w:pPr>
            <w:r w:rsidRPr="00E8322B">
              <w:rPr>
                <w:rFonts w:ascii="Arial" w:hAnsi="Arial" w:cs="Arial"/>
                <w:sz w:val="18"/>
                <w:szCs w:val="16"/>
              </w:rPr>
              <w:t xml:space="preserve">    (Equity Commitment Deed)</w:t>
            </w:r>
          </w:p>
        </w:tc>
        <w:tc>
          <w:tcPr>
            <w:tcW w:w="1439" w:type="dxa"/>
            <w:tcBorders>
              <w:top w:val="nil"/>
              <w:left w:val="nil"/>
              <w:bottom w:val="nil"/>
              <w:right w:val="nil"/>
            </w:tcBorders>
            <w:vAlign w:val="bottom"/>
          </w:tcPr>
          <w:p w14:paraId="4F61E888" w14:textId="5D207B7E" w:rsidR="00E8322B" w:rsidRDefault="00E8322B" w:rsidP="007E01E3">
            <w:pPr>
              <w:ind w:left="28" w:right="340"/>
              <w:jc w:val="right"/>
              <w:rPr>
                <w:rFonts w:ascii="Arial" w:hAnsi="Arial" w:cs="Arial"/>
                <w:sz w:val="18"/>
                <w:szCs w:val="16"/>
              </w:rPr>
            </w:pPr>
            <w:r>
              <w:rPr>
                <w:rFonts w:ascii="Arial" w:hAnsi="Arial" w:cs="Arial"/>
                <w:sz w:val="18"/>
                <w:szCs w:val="16"/>
              </w:rPr>
              <w:t xml:space="preserve">       604</w:t>
            </w:r>
          </w:p>
        </w:tc>
        <w:tc>
          <w:tcPr>
            <w:tcW w:w="1440" w:type="dxa"/>
            <w:tcBorders>
              <w:top w:val="nil"/>
              <w:left w:val="nil"/>
              <w:bottom w:val="nil"/>
              <w:right w:val="nil"/>
            </w:tcBorders>
            <w:vAlign w:val="bottom"/>
          </w:tcPr>
          <w:p w14:paraId="7A227EAC" w14:textId="35A02FBD" w:rsidR="00E8322B" w:rsidRDefault="00981BAE" w:rsidP="007E01E3">
            <w:pPr>
              <w:ind w:left="28" w:right="340"/>
              <w:jc w:val="right"/>
              <w:rPr>
                <w:rFonts w:ascii="Arial" w:hAnsi="Arial" w:cs="Arial"/>
                <w:sz w:val="18"/>
                <w:szCs w:val="16"/>
              </w:rPr>
            </w:pPr>
            <w:r>
              <w:rPr>
                <w:rFonts w:ascii="Arial" w:hAnsi="Arial" w:cs="Arial"/>
                <w:sz w:val="18"/>
                <w:szCs w:val="16"/>
              </w:rPr>
              <w:t xml:space="preserve">       655</w:t>
            </w:r>
          </w:p>
        </w:tc>
      </w:tr>
      <w:tr w:rsidR="00E8322B" w:rsidRPr="00E43148" w14:paraId="669C182B" w14:textId="77777777" w:rsidTr="001C31AD">
        <w:trPr>
          <w:trHeight w:val="64"/>
        </w:trPr>
        <w:tc>
          <w:tcPr>
            <w:tcW w:w="6743" w:type="dxa"/>
            <w:tcBorders>
              <w:top w:val="nil"/>
              <w:left w:val="nil"/>
              <w:right w:val="nil"/>
            </w:tcBorders>
            <w:vAlign w:val="center"/>
          </w:tcPr>
          <w:p w14:paraId="58E54954" w14:textId="29FB48F5" w:rsidR="00E8322B" w:rsidRPr="00E43148" w:rsidRDefault="00E8322B" w:rsidP="001C31AD">
            <w:pPr>
              <w:ind w:left="28"/>
              <w:rPr>
                <w:rFonts w:ascii="Arial" w:hAnsi="Arial" w:cs="Arial"/>
                <w:sz w:val="18"/>
                <w:szCs w:val="16"/>
              </w:rPr>
            </w:pPr>
            <w:r w:rsidRPr="00E8322B">
              <w:rPr>
                <w:rFonts w:ascii="Arial" w:hAnsi="Arial" w:cs="Arial"/>
                <w:sz w:val="18"/>
                <w:szCs w:val="16"/>
              </w:rPr>
              <w:t>Other Agencies</w:t>
            </w:r>
          </w:p>
        </w:tc>
        <w:tc>
          <w:tcPr>
            <w:tcW w:w="1439" w:type="dxa"/>
            <w:tcBorders>
              <w:top w:val="nil"/>
              <w:left w:val="nil"/>
              <w:right w:val="nil"/>
            </w:tcBorders>
            <w:vAlign w:val="bottom"/>
          </w:tcPr>
          <w:p w14:paraId="6F3AF833" w14:textId="34800EF2" w:rsidR="00E8322B" w:rsidRPr="00161190" w:rsidRDefault="00E8322B" w:rsidP="001C31AD">
            <w:pPr>
              <w:spacing w:before="80" w:after="80"/>
              <w:ind w:left="28" w:right="340"/>
              <w:jc w:val="right"/>
              <w:rPr>
                <w:rFonts w:ascii="Arial" w:hAnsi="Arial" w:cs="Arial"/>
                <w:sz w:val="18"/>
                <w:szCs w:val="16"/>
              </w:rPr>
            </w:pPr>
            <w:r>
              <w:rPr>
                <w:rFonts w:ascii="Arial" w:hAnsi="Arial" w:cs="Arial"/>
                <w:sz w:val="18"/>
                <w:szCs w:val="16"/>
              </w:rPr>
              <w:t xml:space="preserve">    </w:t>
            </w:r>
            <w:r w:rsidR="007924FC">
              <w:rPr>
                <w:rFonts w:ascii="Arial" w:hAnsi="Arial" w:cs="Arial"/>
                <w:sz w:val="18"/>
                <w:szCs w:val="16"/>
              </w:rPr>
              <w:t xml:space="preserve"> </w:t>
            </w:r>
            <w:r>
              <w:rPr>
                <w:rFonts w:ascii="Arial" w:hAnsi="Arial" w:cs="Arial"/>
                <w:sz w:val="18"/>
                <w:szCs w:val="16"/>
              </w:rPr>
              <w:t xml:space="preserve">  </w:t>
            </w:r>
            <w:r w:rsidR="00585688">
              <w:rPr>
                <w:rFonts w:ascii="Arial" w:hAnsi="Arial" w:cs="Arial"/>
                <w:sz w:val="18"/>
                <w:szCs w:val="16"/>
              </w:rPr>
              <w:t>202</w:t>
            </w:r>
          </w:p>
        </w:tc>
        <w:tc>
          <w:tcPr>
            <w:tcW w:w="1440" w:type="dxa"/>
            <w:tcBorders>
              <w:top w:val="nil"/>
              <w:left w:val="nil"/>
              <w:right w:val="nil"/>
            </w:tcBorders>
            <w:vAlign w:val="bottom"/>
          </w:tcPr>
          <w:p w14:paraId="4450B0D1" w14:textId="6C65FC87" w:rsidR="00E8322B" w:rsidRPr="00161190" w:rsidRDefault="00E8322B" w:rsidP="001C31AD">
            <w:pPr>
              <w:spacing w:before="80" w:after="80"/>
              <w:ind w:left="28" w:right="340"/>
              <w:jc w:val="right"/>
              <w:rPr>
                <w:rFonts w:ascii="Arial" w:hAnsi="Arial" w:cs="Arial"/>
                <w:sz w:val="18"/>
                <w:szCs w:val="16"/>
              </w:rPr>
            </w:pPr>
            <w:r>
              <w:rPr>
                <w:rFonts w:ascii="Arial" w:hAnsi="Arial" w:cs="Arial"/>
                <w:sz w:val="18"/>
                <w:szCs w:val="16"/>
              </w:rPr>
              <w:t xml:space="preserve">  </w:t>
            </w:r>
            <w:r w:rsidR="00396BCD">
              <w:rPr>
                <w:rFonts w:ascii="Arial" w:hAnsi="Arial" w:cs="Arial"/>
                <w:sz w:val="18"/>
                <w:szCs w:val="16"/>
              </w:rPr>
              <w:t xml:space="preserve">   </w:t>
            </w:r>
            <w:r>
              <w:rPr>
                <w:rFonts w:ascii="Arial" w:hAnsi="Arial" w:cs="Arial"/>
                <w:sz w:val="18"/>
                <w:szCs w:val="16"/>
              </w:rPr>
              <w:t xml:space="preserve">  </w:t>
            </w:r>
            <w:r w:rsidR="00396BCD">
              <w:rPr>
                <w:rFonts w:ascii="Arial" w:hAnsi="Arial" w:cs="Arial"/>
                <w:sz w:val="18"/>
                <w:szCs w:val="16"/>
              </w:rPr>
              <w:t>220</w:t>
            </w:r>
          </w:p>
        </w:tc>
      </w:tr>
      <w:tr w:rsidR="00E8322B" w:rsidRPr="00BA7D8D" w14:paraId="314A7401" w14:textId="77777777" w:rsidTr="00203F22">
        <w:trPr>
          <w:trHeight w:val="283"/>
        </w:trPr>
        <w:tc>
          <w:tcPr>
            <w:tcW w:w="6743" w:type="dxa"/>
            <w:tcBorders>
              <w:top w:val="single" w:sz="4" w:space="0" w:color="auto"/>
              <w:left w:val="nil"/>
              <w:bottom w:val="single" w:sz="6" w:space="0" w:color="000000" w:themeColor="text1"/>
              <w:right w:val="nil"/>
            </w:tcBorders>
          </w:tcPr>
          <w:p w14:paraId="0D580616" w14:textId="77777777" w:rsidR="00E8322B" w:rsidRPr="00E43148" w:rsidRDefault="00E8322B" w:rsidP="0093708F">
            <w:pP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04EE3304" w14:textId="67609560" w:rsidR="00E8322B" w:rsidRPr="00161190" w:rsidRDefault="00E8322B" w:rsidP="00203F22">
            <w:pPr>
              <w:ind w:right="340"/>
              <w:jc w:val="right"/>
              <w:rPr>
                <w:rFonts w:ascii="Arial" w:eastAsia="Arial" w:hAnsi="Arial" w:cs="Arial"/>
                <w:b/>
                <w:bCs/>
                <w:color w:val="008EBA"/>
                <w:sz w:val="18"/>
                <w:szCs w:val="18"/>
              </w:rPr>
            </w:pPr>
            <w:r>
              <w:rPr>
                <w:rFonts w:ascii="Arial" w:eastAsia="Arial" w:hAnsi="Arial" w:cs="Arial"/>
                <w:b/>
                <w:bCs/>
                <w:color w:val="008EBA"/>
                <w:sz w:val="18"/>
                <w:szCs w:val="18"/>
              </w:rPr>
              <w:t xml:space="preserve">   </w:t>
            </w:r>
            <w:r w:rsidR="00585688">
              <w:rPr>
                <w:rFonts w:ascii="Arial" w:eastAsia="Arial" w:hAnsi="Arial" w:cs="Arial"/>
                <w:b/>
                <w:bCs/>
                <w:color w:val="008EBA"/>
                <w:sz w:val="18"/>
                <w:szCs w:val="18"/>
              </w:rPr>
              <w:t xml:space="preserve">   </w:t>
            </w:r>
            <w:r>
              <w:rPr>
                <w:rFonts w:ascii="Arial" w:eastAsia="Arial" w:hAnsi="Arial" w:cs="Arial"/>
                <w:b/>
                <w:bCs/>
                <w:color w:val="008EBA"/>
                <w:sz w:val="18"/>
                <w:szCs w:val="18"/>
              </w:rPr>
              <w:t xml:space="preserve">  </w:t>
            </w:r>
            <w:r w:rsidR="00585688">
              <w:rPr>
                <w:rFonts w:ascii="Arial" w:eastAsia="Arial" w:hAnsi="Arial" w:cs="Arial"/>
                <w:b/>
                <w:bCs/>
                <w:color w:val="008EBA"/>
                <w:sz w:val="18"/>
                <w:szCs w:val="18"/>
              </w:rPr>
              <w:t>2,918</w:t>
            </w:r>
          </w:p>
        </w:tc>
        <w:tc>
          <w:tcPr>
            <w:tcW w:w="1440" w:type="dxa"/>
            <w:tcBorders>
              <w:top w:val="single" w:sz="4" w:space="0" w:color="auto"/>
              <w:left w:val="nil"/>
              <w:bottom w:val="single" w:sz="6" w:space="0" w:color="000000" w:themeColor="text1"/>
              <w:right w:val="nil"/>
            </w:tcBorders>
            <w:vAlign w:val="center"/>
          </w:tcPr>
          <w:p w14:paraId="4127DCB2" w14:textId="3BD442D0" w:rsidR="00E8322B" w:rsidRPr="009C3199" w:rsidRDefault="00E8322B" w:rsidP="00203F22">
            <w:pPr>
              <w:ind w:right="340"/>
              <w:jc w:val="right"/>
              <w:rPr>
                <w:rFonts w:ascii="Arial" w:hAnsi="Arial" w:cs="Arial"/>
                <w:b/>
                <w:color w:val="008EBA"/>
                <w:sz w:val="18"/>
                <w:szCs w:val="16"/>
              </w:rPr>
            </w:pPr>
            <w:r>
              <w:rPr>
                <w:rFonts w:ascii="Arial" w:hAnsi="Arial" w:cs="Arial"/>
                <w:b/>
                <w:bCs/>
                <w:color w:val="008EBA"/>
                <w:sz w:val="18"/>
                <w:szCs w:val="16"/>
              </w:rPr>
              <w:t xml:space="preserve">   </w:t>
            </w:r>
            <w:r w:rsidR="00396BCD">
              <w:rPr>
                <w:rFonts w:ascii="Arial" w:hAnsi="Arial" w:cs="Arial"/>
                <w:b/>
                <w:bCs/>
                <w:color w:val="008EBA"/>
                <w:sz w:val="18"/>
                <w:szCs w:val="16"/>
              </w:rPr>
              <w:t xml:space="preserve">  </w:t>
            </w:r>
            <w:r>
              <w:rPr>
                <w:rFonts w:ascii="Arial" w:hAnsi="Arial" w:cs="Arial"/>
                <w:b/>
                <w:bCs/>
                <w:color w:val="008EBA"/>
                <w:sz w:val="18"/>
                <w:szCs w:val="16"/>
              </w:rPr>
              <w:t xml:space="preserve">  </w:t>
            </w:r>
            <w:r w:rsidR="00396BCD">
              <w:rPr>
                <w:rFonts w:ascii="Arial" w:hAnsi="Arial" w:cs="Arial"/>
                <w:b/>
                <w:bCs/>
                <w:color w:val="008EBA"/>
                <w:sz w:val="18"/>
                <w:szCs w:val="16"/>
              </w:rPr>
              <w:t>2,877</w:t>
            </w:r>
          </w:p>
        </w:tc>
      </w:tr>
    </w:tbl>
    <w:p w14:paraId="51311590" w14:textId="77777777" w:rsidR="0093708F" w:rsidRPr="0093708F" w:rsidRDefault="0093708F" w:rsidP="0093708F">
      <w:pPr>
        <w:rPr>
          <w:rFonts w:ascii="Arial" w:eastAsia="Calibri" w:hAnsi="Arial" w:cs="Arial"/>
          <w:sz w:val="6"/>
          <w:szCs w:val="6"/>
          <w:lang w:val="en-AU"/>
        </w:rPr>
      </w:pPr>
    </w:p>
    <w:p w14:paraId="2181D486" w14:textId="75E444D2" w:rsidR="00E522E6" w:rsidRPr="00C57F84" w:rsidRDefault="00E522E6" w:rsidP="009B7B8F">
      <w:pPr>
        <w:numPr>
          <w:ilvl w:val="0"/>
          <w:numId w:val="49"/>
        </w:numPr>
        <w:spacing w:line="259" w:lineRule="auto"/>
        <w:ind w:left="363" w:hanging="357"/>
        <w:contextualSpacing/>
        <w:rPr>
          <w:rFonts w:ascii="Arial" w:eastAsia="Calibri" w:hAnsi="Arial" w:cs="Arial"/>
          <w:sz w:val="17"/>
          <w:szCs w:val="17"/>
          <w:lang w:val="en-AU"/>
        </w:rPr>
      </w:pPr>
      <w:r w:rsidRPr="00C57F84">
        <w:rPr>
          <w:rFonts w:ascii="Arial" w:eastAsia="Calibri" w:hAnsi="Arial" w:cs="Arial"/>
          <w:sz w:val="17"/>
          <w:szCs w:val="17"/>
          <w:lang w:val="en-AU"/>
        </w:rPr>
        <w:t xml:space="preserve">The Victims’ </w:t>
      </w:r>
      <w:r w:rsidR="008D0CC1" w:rsidRPr="004533F2">
        <w:rPr>
          <w:rFonts w:ascii="Arial" w:eastAsia="Calibri" w:hAnsi="Arial" w:cs="Arial"/>
          <w:sz w:val="17"/>
          <w:szCs w:val="17"/>
        </w:rPr>
        <w:t xml:space="preserve">Support Scheme (VSS) was created on 3 June 2013 through </w:t>
      </w:r>
      <w:r w:rsidR="008D0CC1" w:rsidRPr="004533F2">
        <w:rPr>
          <w:rFonts w:ascii="Arial" w:hAnsi="Arial" w:cs="Arial"/>
          <w:sz w:val="17"/>
          <w:szCs w:val="17"/>
        </w:rPr>
        <w:t xml:space="preserve">legislation known as </w:t>
      </w:r>
      <w:r w:rsidR="008D0CC1" w:rsidRPr="004533F2">
        <w:rPr>
          <w:rFonts w:ascii="Arial" w:eastAsia="Calibri" w:hAnsi="Arial" w:cs="Arial"/>
          <w:sz w:val="17"/>
          <w:szCs w:val="17"/>
        </w:rPr>
        <w:t xml:space="preserve">the </w:t>
      </w:r>
      <w:r w:rsidR="008D0CC1" w:rsidRPr="004533F2">
        <w:rPr>
          <w:rFonts w:ascii="Arial" w:eastAsia="Arial" w:hAnsi="Arial" w:cs="Arial"/>
          <w:i/>
          <w:sz w:val="17"/>
          <w:szCs w:val="17"/>
        </w:rPr>
        <w:t>Victims’ Rights and Support Act 2013</w:t>
      </w:r>
      <w:r w:rsidR="008D0CC1" w:rsidRPr="004533F2">
        <w:rPr>
          <w:rFonts w:ascii="Arial" w:hAnsi="Arial" w:cs="Arial"/>
          <w:sz w:val="17"/>
          <w:szCs w:val="17"/>
        </w:rPr>
        <w:t>. The amount attributable under the VSS could reasonably lie</w:t>
      </w:r>
      <w:r w:rsidR="008D0CC1" w:rsidRPr="004533F2">
        <w:rPr>
          <w:rFonts w:ascii="Arial" w:eastAsia="Calibri" w:hAnsi="Arial" w:cs="Arial"/>
          <w:sz w:val="17"/>
          <w:szCs w:val="17"/>
        </w:rPr>
        <w:t xml:space="preserve"> within </w:t>
      </w:r>
      <w:r w:rsidR="008D0CC1" w:rsidRPr="004533F2">
        <w:rPr>
          <w:rFonts w:ascii="Arial" w:hAnsi="Arial" w:cs="Arial"/>
          <w:sz w:val="17"/>
          <w:szCs w:val="17"/>
        </w:rPr>
        <w:t>the</w:t>
      </w:r>
      <w:r w:rsidR="008D0CC1" w:rsidRPr="004533F2">
        <w:rPr>
          <w:rFonts w:ascii="Arial" w:eastAsia="Calibri" w:hAnsi="Arial" w:cs="Arial"/>
          <w:sz w:val="17"/>
          <w:szCs w:val="17"/>
        </w:rPr>
        <w:t xml:space="preserve"> range of $</w:t>
      </w:r>
      <w:r w:rsidR="008D0CC1" w:rsidRPr="004533F2">
        <w:rPr>
          <w:rFonts w:ascii="Arial" w:hAnsi="Arial" w:cs="Arial"/>
          <w:sz w:val="17"/>
          <w:szCs w:val="17"/>
        </w:rPr>
        <w:t>314</w:t>
      </w:r>
      <w:r w:rsidR="008D0CC1" w:rsidRPr="004533F2">
        <w:rPr>
          <w:rFonts w:ascii="Arial" w:eastAsia="Calibri" w:hAnsi="Arial" w:cs="Arial"/>
          <w:sz w:val="17"/>
          <w:szCs w:val="17"/>
        </w:rPr>
        <w:t xml:space="preserve"> million to $</w:t>
      </w:r>
      <w:r w:rsidR="008D0CC1" w:rsidRPr="004533F2">
        <w:rPr>
          <w:rFonts w:ascii="Arial" w:hAnsi="Arial" w:cs="Arial"/>
          <w:sz w:val="17"/>
          <w:szCs w:val="17"/>
        </w:rPr>
        <w:t>536</w:t>
      </w:r>
      <w:r w:rsidR="00B9216F">
        <w:rPr>
          <w:rFonts w:ascii="Arial" w:eastAsia="Calibri" w:hAnsi="Arial" w:cs="Arial"/>
          <w:sz w:val="17"/>
          <w:szCs w:val="17"/>
        </w:rPr>
        <w:t> </w:t>
      </w:r>
      <w:r w:rsidR="008D0CC1" w:rsidRPr="004533F2">
        <w:rPr>
          <w:rFonts w:ascii="Arial" w:eastAsia="Calibri" w:hAnsi="Arial" w:cs="Arial"/>
          <w:sz w:val="17"/>
          <w:szCs w:val="17"/>
        </w:rPr>
        <w:t>million</w:t>
      </w:r>
      <w:r w:rsidR="00DB7EF9">
        <w:rPr>
          <w:rFonts w:ascii="Arial" w:hAnsi="Arial" w:cs="Arial"/>
          <w:sz w:val="17"/>
          <w:szCs w:val="17"/>
        </w:rPr>
        <w:t xml:space="preserve">. </w:t>
      </w:r>
      <w:r w:rsidR="008D0CC1" w:rsidRPr="004533F2">
        <w:rPr>
          <w:rFonts w:ascii="Arial" w:hAnsi="Arial" w:cs="Arial"/>
          <w:sz w:val="17"/>
          <w:szCs w:val="17"/>
        </w:rPr>
        <w:t xml:space="preserve"> </w:t>
      </w:r>
    </w:p>
    <w:p w14:paraId="5D20EC7B" w14:textId="2D5F6BC2" w:rsidR="00683D2A" w:rsidRPr="004533F2" w:rsidRDefault="00683D2A" w:rsidP="009B7B8F">
      <w:pPr>
        <w:pStyle w:val="ListParagraph"/>
        <w:numPr>
          <w:ilvl w:val="0"/>
          <w:numId w:val="49"/>
        </w:numPr>
        <w:ind w:left="363" w:hanging="357"/>
        <w:rPr>
          <w:rFonts w:ascii="Arial" w:hAnsi="Arial" w:cs="Arial"/>
          <w:sz w:val="17"/>
          <w:szCs w:val="17"/>
        </w:rPr>
      </w:pPr>
      <w:r w:rsidRPr="004533F2">
        <w:rPr>
          <w:rFonts w:ascii="Arial" w:hAnsi="Arial" w:cs="Arial"/>
          <w:sz w:val="17"/>
          <w:szCs w:val="17"/>
        </w:rPr>
        <w:t>Transport for NSW has several contractual disputes with an estimated contingent liability of $399 million and an estimated</w:t>
      </w:r>
      <w:r w:rsidR="004533F2">
        <w:rPr>
          <w:rFonts w:ascii="Arial" w:hAnsi="Arial" w:cs="Arial"/>
          <w:sz w:val="17"/>
          <w:szCs w:val="17"/>
        </w:rPr>
        <w:t xml:space="preserve"> </w:t>
      </w:r>
      <w:r w:rsidRPr="004533F2">
        <w:rPr>
          <w:rFonts w:ascii="Arial" w:hAnsi="Arial" w:cs="Arial"/>
          <w:sz w:val="17"/>
          <w:szCs w:val="17"/>
        </w:rPr>
        <w:t xml:space="preserve">$1,036 million contingent liabilities due to </w:t>
      </w:r>
      <w:proofErr w:type="gramStart"/>
      <w:r w:rsidRPr="004533F2">
        <w:rPr>
          <w:rFonts w:ascii="Arial" w:hAnsi="Arial" w:cs="Arial"/>
          <w:sz w:val="17"/>
          <w:szCs w:val="17"/>
        </w:rPr>
        <w:t>a number of</w:t>
      </w:r>
      <w:proofErr w:type="gramEnd"/>
      <w:r w:rsidRPr="004533F2">
        <w:rPr>
          <w:rFonts w:ascii="Arial" w:hAnsi="Arial" w:cs="Arial"/>
          <w:sz w:val="17"/>
          <w:szCs w:val="17"/>
        </w:rPr>
        <w:t xml:space="preserve"> compulsory property acquisition matters currently under litigation where claims differ from the Valuer General</w:t>
      </w:r>
      <w:r w:rsidR="00802BBE">
        <w:rPr>
          <w:rFonts w:ascii="Arial" w:hAnsi="Arial" w:cs="Arial"/>
          <w:sz w:val="17"/>
          <w:szCs w:val="17"/>
        </w:rPr>
        <w:t>’</w:t>
      </w:r>
      <w:r w:rsidRPr="004533F2">
        <w:rPr>
          <w:rFonts w:ascii="Arial" w:hAnsi="Arial" w:cs="Arial"/>
          <w:sz w:val="17"/>
          <w:szCs w:val="17"/>
        </w:rPr>
        <w:t xml:space="preserve">s determined amount. </w:t>
      </w:r>
    </w:p>
    <w:p w14:paraId="71BB2A5D" w14:textId="4DC54A7B" w:rsidR="000961F1" w:rsidRDefault="00DF6898" w:rsidP="009B7B8F">
      <w:pPr>
        <w:pStyle w:val="ListParagraph"/>
        <w:numPr>
          <w:ilvl w:val="0"/>
          <w:numId w:val="49"/>
        </w:numPr>
        <w:ind w:left="363" w:hanging="357"/>
        <w:rPr>
          <w:rStyle w:val="ActivitytextsChar"/>
          <w:sz w:val="17"/>
          <w:szCs w:val="17"/>
          <w:lang w:eastAsia="en-US"/>
        </w:rPr>
      </w:pPr>
      <w:r>
        <w:rPr>
          <w:rStyle w:val="ActivitytextsChar"/>
          <w:sz w:val="17"/>
          <w:szCs w:val="17"/>
        </w:rPr>
        <w:t xml:space="preserve">Please note that </w:t>
      </w:r>
      <w:r w:rsidR="00597317" w:rsidRPr="004533F2">
        <w:rPr>
          <w:rStyle w:val="ActivitytextsChar"/>
          <w:sz w:val="17"/>
          <w:szCs w:val="17"/>
        </w:rPr>
        <w:t xml:space="preserve">Roads and Maritime Services was abolished on 1 December 2019 by the </w:t>
      </w:r>
      <w:r w:rsidR="00597317" w:rsidRPr="004533F2">
        <w:rPr>
          <w:rStyle w:val="ActivitytextsChar"/>
          <w:i/>
          <w:iCs/>
          <w:sz w:val="17"/>
          <w:szCs w:val="17"/>
        </w:rPr>
        <w:t>Transport Administration Amendment (RMS Dissolution) Act 2019</w:t>
      </w:r>
      <w:r w:rsidR="00597317" w:rsidRPr="004533F2">
        <w:rPr>
          <w:rStyle w:val="ActivitytextsChar"/>
          <w:sz w:val="17"/>
          <w:szCs w:val="17"/>
        </w:rPr>
        <w:t xml:space="preserve">. On abolition, the assets, rights and liabilities (including </w:t>
      </w:r>
      <w:r w:rsidR="00802BBE">
        <w:rPr>
          <w:rStyle w:val="ActivitytextsChar"/>
          <w:sz w:val="17"/>
          <w:szCs w:val="17"/>
        </w:rPr>
        <w:t>c</w:t>
      </w:r>
      <w:r w:rsidR="00597317" w:rsidRPr="004533F2">
        <w:rPr>
          <w:rStyle w:val="ActivitytextsChar"/>
          <w:sz w:val="17"/>
          <w:szCs w:val="17"/>
        </w:rPr>
        <w:t xml:space="preserve">ontingent </w:t>
      </w:r>
      <w:r w:rsidR="00802BBE">
        <w:rPr>
          <w:rStyle w:val="ActivitytextsChar"/>
          <w:sz w:val="17"/>
          <w:szCs w:val="17"/>
        </w:rPr>
        <w:t>l</w:t>
      </w:r>
      <w:r w:rsidR="00597317" w:rsidRPr="004533F2">
        <w:rPr>
          <w:rStyle w:val="ActivitytextsChar"/>
          <w:sz w:val="17"/>
          <w:szCs w:val="17"/>
        </w:rPr>
        <w:t>iabilities) were transferred to Transport for NSW.</w:t>
      </w:r>
      <w:r w:rsidR="00683D2A" w:rsidRPr="004533F2">
        <w:rPr>
          <w:rStyle w:val="ActivitytextsChar"/>
          <w:sz w:val="17"/>
          <w:szCs w:val="17"/>
        </w:rPr>
        <w:t xml:space="preserve"> </w:t>
      </w:r>
    </w:p>
    <w:p w14:paraId="52FC052A" w14:textId="47ECD71D" w:rsidR="00B360F2" w:rsidRDefault="00707ABF" w:rsidP="009B7B8F">
      <w:pPr>
        <w:pStyle w:val="ListParagraph"/>
        <w:numPr>
          <w:ilvl w:val="0"/>
          <w:numId w:val="49"/>
        </w:numPr>
        <w:ind w:left="363" w:hanging="357"/>
        <w:rPr>
          <w:rFonts w:ascii="Arial" w:hAnsi="Arial" w:cs="Arial"/>
          <w:sz w:val="17"/>
          <w:szCs w:val="17"/>
        </w:rPr>
      </w:pPr>
      <w:r w:rsidRPr="00707ABF">
        <w:rPr>
          <w:rFonts w:ascii="Arial" w:hAnsi="Arial" w:cs="Arial"/>
          <w:sz w:val="17"/>
          <w:szCs w:val="17"/>
        </w:rPr>
        <w:t xml:space="preserve">In April 2020, Service NSW alerted police and authorities </w:t>
      </w:r>
      <w:r w:rsidR="00802BBE">
        <w:rPr>
          <w:rFonts w:ascii="Arial" w:hAnsi="Arial" w:cs="Arial"/>
          <w:sz w:val="17"/>
          <w:szCs w:val="17"/>
        </w:rPr>
        <w:t>to</w:t>
      </w:r>
      <w:r w:rsidRPr="00707ABF">
        <w:rPr>
          <w:rFonts w:ascii="Arial" w:hAnsi="Arial" w:cs="Arial"/>
          <w:sz w:val="17"/>
          <w:szCs w:val="17"/>
        </w:rPr>
        <w:t xml:space="preserve"> a cyber-attack that has potentially compromised customer information. </w:t>
      </w:r>
      <w:r w:rsidR="00B360F2">
        <w:rPr>
          <w:rFonts w:ascii="Arial" w:hAnsi="Arial" w:cs="Arial"/>
          <w:sz w:val="17"/>
          <w:szCs w:val="17"/>
        </w:rPr>
        <w:t xml:space="preserve">Investigations into this matter </w:t>
      </w:r>
      <w:r w:rsidR="004E100B">
        <w:rPr>
          <w:rFonts w:ascii="Arial" w:hAnsi="Arial" w:cs="Arial"/>
          <w:sz w:val="17"/>
          <w:szCs w:val="17"/>
        </w:rPr>
        <w:t>are</w:t>
      </w:r>
      <w:r w:rsidR="00B360F2">
        <w:rPr>
          <w:rFonts w:ascii="Arial" w:hAnsi="Arial" w:cs="Arial"/>
          <w:sz w:val="17"/>
          <w:szCs w:val="17"/>
        </w:rPr>
        <w:t xml:space="preserve"> still ongoing however, Service NSW is expected to incur legal and investigation costs of </w:t>
      </w:r>
      <w:r w:rsidR="00390183">
        <w:rPr>
          <w:rFonts w:ascii="Arial" w:hAnsi="Arial" w:cs="Arial"/>
          <w:sz w:val="17"/>
          <w:szCs w:val="17"/>
        </w:rPr>
        <w:t xml:space="preserve">approximately $7 million. </w:t>
      </w:r>
    </w:p>
    <w:p w14:paraId="7FDEF8A6" w14:textId="640556E3" w:rsidR="00E17B53" w:rsidRPr="006E3A1A" w:rsidRDefault="00E17B53" w:rsidP="009B7B8F">
      <w:pPr>
        <w:pStyle w:val="ListParagraph"/>
        <w:numPr>
          <w:ilvl w:val="0"/>
          <w:numId w:val="49"/>
        </w:numPr>
        <w:ind w:left="363" w:hanging="357"/>
        <w:rPr>
          <w:rFonts w:ascii="Arial" w:eastAsia="Calibri" w:hAnsi="Arial" w:cs="Arial"/>
          <w:sz w:val="17"/>
          <w:szCs w:val="17"/>
        </w:rPr>
      </w:pPr>
      <w:r w:rsidRPr="004533F2">
        <w:rPr>
          <w:rFonts w:ascii="Arial" w:eastAsia="Calibri" w:hAnsi="Arial" w:cs="Arial"/>
          <w:sz w:val="17"/>
          <w:szCs w:val="17"/>
          <w:lang w:val="en-AU"/>
        </w:rPr>
        <w:t xml:space="preserve">The </w:t>
      </w:r>
      <w:r w:rsidR="004E100B" w:rsidRPr="004E100B">
        <w:rPr>
          <w:rFonts w:ascii="Arial" w:eastAsia="Calibri" w:hAnsi="Arial" w:cs="Arial"/>
          <w:sz w:val="17"/>
          <w:szCs w:val="17"/>
          <w:lang w:val="en-AU"/>
        </w:rPr>
        <w:t>Roads Retained Interest Pty Ltd</w:t>
      </w:r>
      <w:r w:rsidR="004533F2" w:rsidRPr="004533F2">
        <w:rPr>
          <w:rFonts w:ascii="Arial" w:hAnsi="Arial" w:cs="Arial"/>
          <w:sz w:val="17"/>
          <w:szCs w:val="17"/>
          <w:lang w:val="en-AU"/>
        </w:rPr>
        <w:t xml:space="preserve"> is a party to the Equity Commitment Deed with the WestConnex Group. There is currently no present obligation to contribute to equity. Depending on the extent of the borrowings, and the future construction profile of the WestConnex Group, a call may be made on the Corporation for an equity contribution.</w:t>
      </w:r>
    </w:p>
    <w:p w14:paraId="3ECCC779" w14:textId="3BE33D1F" w:rsidR="006E3A1A" w:rsidRDefault="001C7020" w:rsidP="009B7B8F">
      <w:pPr>
        <w:pStyle w:val="ListParagraph"/>
        <w:numPr>
          <w:ilvl w:val="0"/>
          <w:numId w:val="49"/>
        </w:numPr>
        <w:ind w:left="363" w:hanging="357"/>
        <w:rPr>
          <w:rFonts w:ascii="Arial" w:hAnsi="Arial" w:cs="Arial"/>
          <w:sz w:val="17"/>
          <w:szCs w:val="17"/>
        </w:rPr>
      </w:pPr>
      <w:r>
        <w:rPr>
          <w:rFonts w:ascii="Arial" w:hAnsi="Arial" w:cs="Arial"/>
          <w:sz w:val="17"/>
          <w:szCs w:val="17"/>
        </w:rPr>
        <w:t xml:space="preserve">As </w:t>
      </w:r>
      <w:r w:rsidR="00961683">
        <w:rPr>
          <w:rFonts w:ascii="Arial" w:hAnsi="Arial" w:cs="Arial"/>
          <w:sz w:val="17"/>
          <w:szCs w:val="17"/>
        </w:rPr>
        <w:t>at</w:t>
      </w:r>
      <w:r w:rsidR="00ED63F5">
        <w:rPr>
          <w:rFonts w:ascii="Arial" w:hAnsi="Arial" w:cs="Arial"/>
          <w:sz w:val="17"/>
          <w:szCs w:val="17"/>
        </w:rPr>
        <w:t xml:space="preserve"> reporting date</w:t>
      </w:r>
      <w:r w:rsidR="00435ECE">
        <w:rPr>
          <w:rFonts w:ascii="Arial" w:hAnsi="Arial" w:cs="Arial"/>
          <w:sz w:val="17"/>
          <w:szCs w:val="17"/>
        </w:rPr>
        <w:t xml:space="preserve"> of</w:t>
      </w:r>
      <w:r>
        <w:rPr>
          <w:rFonts w:ascii="Arial" w:hAnsi="Arial" w:cs="Arial"/>
          <w:sz w:val="17"/>
          <w:szCs w:val="17"/>
        </w:rPr>
        <w:t xml:space="preserve"> 30 </w:t>
      </w:r>
      <w:r w:rsidR="00693BF9">
        <w:rPr>
          <w:rFonts w:ascii="Arial" w:hAnsi="Arial" w:cs="Arial"/>
          <w:sz w:val="17"/>
          <w:szCs w:val="17"/>
        </w:rPr>
        <w:t>September</w:t>
      </w:r>
      <w:r>
        <w:rPr>
          <w:rFonts w:ascii="Arial" w:hAnsi="Arial" w:cs="Arial"/>
          <w:sz w:val="17"/>
          <w:szCs w:val="17"/>
        </w:rPr>
        <w:t xml:space="preserve"> 2020</w:t>
      </w:r>
      <w:r w:rsidR="009F25FD">
        <w:rPr>
          <w:rFonts w:ascii="Arial" w:hAnsi="Arial" w:cs="Arial"/>
          <w:sz w:val="17"/>
          <w:szCs w:val="17"/>
        </w:rPr>
        <w:t xml:space="preserve">. </w:t>
      </w:r>
    </w:p>
    <w:p w14:paraId="668862C0" w14:textId="57B6883A" w:rsidR="00CA3CAD" w:rsidRDefault="00CA3CAD" w:rsidP="009B7B8F">
      <w:pPr>
        <w:pStyle w:val="ListParagraph"/>
        <w:numPr>
          <w:ilvl w:val="0"/>
          <w:numId w:val="49"/>
        </w:numPr>
        <w:ind w:left="363" w:hanging="357"/>
        <w:rPr>
          <w:rFonts w:ascii="Arial" w:hAnsi="Arial" w:cs="Arial"/>
          <w:sz w:val="17"/>
          <w:szCs w:val="17"/>
        </w:rPr>
      </w:pPr>
      <w:r>
        <w:rPr>
          <w:rFonts w:ascii="Arial" w:hAnsi="Arial" w:cs="Arial"/>
          <w:sz w:val="17"/>
          <w:szCs w:val="17"/>
        </w:rPr>
        <w:t>As</w:t>
      </w:r>
      <w:r w:rsidR="00693BF9">
        <w:rPr>
          <w:rFonts w:ascii="Arial" w:hAnsi="Arial" w:cs="Arial"/>
          <w:sz w:val="17"/>
          <w:szCs w:val="17"/>
        </w:rPr>
        <w:t xml:space="preserve"> </w:t>
      </w:r>
      <w:r w:rsidR="00961683">
        <w:rPr>
          <w:rFonts w:ascii="Arial" w:hAnsi="Arial" w:cs="Arial"/>
          <w:sz w:val="17"/>
          <w:szCs w:val="17"/>
        </w:rPr>
        <w:t xml:space="preserve">at </w:t>
      </w:r>
      <w:r w:rsidR="00ED63F5">
        <w:rPr>
          <w:rFonts w:ascii="Arial" w:hAnsi="Arial" w:cs="Arial"/>
          <w:sz w:val="17"/>
          <w:szCs w:val="17"/>
        </w:rPr>
        <w:t>reporting da</w:t>
      </w:r>
      <w:r w:rsidR="007436D7">
        <w:rPr>
          <w:rFonts w:ascii="Arial" w:hAnsi="Arial" w:cs="Arial"/>
          <w:sz w:val="17"/>
          <w:szCs w:val="17"/>
        </w:rPr>
        <w:t>te</w:t>
      </w:r>
      <w:r w:rsidR="008E1FC2">
        <w:rPr>
          <w:rFonts w:ascii="Arial" w:hAnsi="Arial" w:cs="Arial"/>
          <w:sz w:val="17"/>
          <w:szCs w:val="17"/>
        </w:rPr>
        <w:t xml:space="preserve"> </w:t>
      </w:r>
      <w:r w:rsidR="00435ECE">
        <w:rPr>
          <w:rFonts w:ascii="Arial" w:hAnsi="Arial" w:cs="Arial"/>
          <w:sz w:val="17"/>
          <w:szCs w:val="17"/>
        </w:rPr>
        <w:t xml:space="preserve">of </w:t>
      </w:r>
      <w:r w:rsidR="00693BF9">
        <w:rPr>
          <w:rFonts w:ascii="Arial" w:hAnsi="Arial" w:cs="Arial"/>
          <w:sz w:val="17"/>
          <w:szCs w:val="17"/>
        </w:rPr>
        <w:t>30</w:t>
      </w:r>
      <w:r>
        <w:rPr>
          <w:rFonts w:ascii="Arial" w:hAnsi="Arial" w:cs="Arial"/>
          <w:sz w:val="17"/>
          <w:szCs w:val="17"/>
        </w:rPr>
        <w:t xml:space="preserve"> </w:t>
      </w:r>
      <w:r w:rsidR="00693BF9">
        <w:rPr>
          <w:rFonts w:ascii="Arial" w:hAnsi="Arial" w:cs="Arial"/>
          <w:sz w:val="17"/>
          <w:szCs w:val="17"/>
        </w:rPr>
        <w:t>June</w:t>
      </w:r>
      <w:r>
        <w:rPr>
          <w:rFonts w:ascii="Arial" w:hAnsi="Arial" w:cs="Arial"/>
          <w:sz w:val="17"/>
          <w:szCs w:val="17"/>
        </w:rPr>
        <w:t xml:space="preserve"> 2020.</w:t>
      </w:r>
    </w:p>
    <w:p w14:paraId="21000437" w14:textId="1BAF727A" w:rsidR="00E522E6" w:rsidRDefault="006A5F51" w:rsidP="00714259">
      <w:pPr>
        <w:pStyle w:val="Heading3"/>
        <w:rPr>
          <w:rFonts w:eastAsia="Arial Unicode MS"/>
          <w:i/>
        </w:rPr>
      </w:pPr>
      <w:r w:rsidRPr="00B81F21">
        <w:rPr>
          <w:rFonts w:eastAsia="Arial Unicode MS"/>
        </w:rPr>
        <w:t>Non-quantifiable c</w:t>
      </w:r>
      <w:r w:rsidR="00124EDD" w:rsidRPr="00B81F21">
        <w:rPr>
          <w:rFonts w:eastAsia="Arial Unicode MS"/>
        </w:rPr>
        <w:t xml:space="preserve">ontingent </w:t>
      </w:r>
      <w:r w:rsidRPr="00B81F21">
        <w:rPr>
          <w:rFonts w:eastAsia="Arial Unicode MS"/>
        </w:rPr>
        <w:t>l</w:t>
      </w:r>
      <w:r w:rsidR="00124EDD" w:rsidRPr="00B81F21">
        <w:rPr>
          <w:rFonts w:eastAsia="Arial Unicode MS"/>
        </w:rPr>
        <w:t>iabilities</w:t>
      </w:r>
    </w:p>
    <w:p w14:paraId="555DE6EF" w14:textId="4C74EC76" w:rsidR="006A5F51" w:rsidRDefault="00DE1A1F" w:rsidP="00BC181B">
      <w:pPr>
        <w:pStyle w:val="BodyText"/>
      </w:pPr>
      <w:r>
        <w:t xml:space="preserve">The State faces a </w:t>
      </w:r>
      <w:r w:rsidR="006A5F51">
        <w:t xml:space="preserve">range </w:t>
      </w:r>
      <w:r>
        <w:t>of potential obligations that are n</w:t>
      </w:r>
      <w:r w:rsidR="00E522E6" w:rsidRPr="00E522E6">
        <w:t>on-quantifiable</w:t>
      </w:r>
      <w:r w:rsidR="00486E3A">
        <w:t xml:space="preserve">, which </w:t>
      </w:r>
      <w:r w:rsidR="000257A2">
        <w:t>have been</w:t>
      </w:r>
      <w:r w:rsidR="00312103">
        <w:t xml:space="preserve"> broadly grouped </w:t>
      </w:r>
      <w:r w:rsidR="0061777B">
        <w:t xml:space="preserve">into </w:t>
      </w:r>
      <w:r w:rsidR="00312103">
        <w:t>the following categories</w:t>
      </w:r>
      <w:r w:rsidR="006A5F51">
        <w:t>:</w:t>
      </w:r>
    </w:p>
    <w:p w14:paraId="434EA995" w14:textId="38174919" w:rsidR="006A5F51" w:rsidRDefault="00312103" w:rsidP="00FE3A65">
      <w:pPr>
        <w:pStyle w:val="Bullet1"/>
      </w:pPr>
      <w:r>
        <w:t>commercial transaction</w:t>
      </w:r>
    </w:p>
    <w:p w14:paraId="7FB28B45" w14:textId="033084FA" w:rsidR="006C781D" w:rsidRPr="00AC7327" w:rsidRDefault="0061777B" w:rsidP="00FE3A65">
      <w:pPr>
        <w:pStyle w:val="Bullet1"/>
      </w:pPr>
      <w:r w:rsidRPr="00AC7327">
        <w:t>other</w:t>
      </w:r>
      <w:r w:rsidR="00312103">
        <w:t xml:space="preserve"> contingent liabilities</w:t>
      </w:r>
      <w:r w:rsidRPr="00AC7327">
        <w:t>.</w:t>
      </w:r>
    </w:p>
    <w:p w14:paraId="622F90E4" w14:textId="3B4ECD9F" w:rsidR="009C2AF5" w:rsidRDefault="0061777B" w:rsidP="00057331">
      <w:pPr>
        <w:pStyle w:val="BodyText"/>
        <w:rPr>
          <w:rFonts w:eastAsiaTheme="minorEastAsia"/>
        </w:rPr>
      </w:pPr>
      <w:r w:rsidRPr="00C57F84">
        <w:rPr>
          <w:rStyle w:val="BodyTextChar"/>
        </w:rPr>
        <w:t>As s</w:t>
      </w:r>
      <w:r w:rsidR="009A2F7E" w:rsidRPr="00F07FBB">
        <w:t xml:space="preserve">et out in Table </w:t>
      </w:r>
      <w:r w:rsidR="00D94F56" w:rsidRPr="00F07FBB">
        <w:t>C</w:t>
      </w:r>
      <w:r w:rsidR="009A2F7E" w:rsidRPr="00F07FBB">
        <w:t>.</w:t>
      </w:r>
      <w:r w:rsidR="0092758E">
        <w:t>4</w:t>
      </w:r>
      <w:r w:rsidR="006C781D" w:rsidRPr="00F07FBB">
        <w:t>, t</w:t>
      </w:r>
      <w:r w:rsidR="00DD5E8F" w:rsidRPr="00F07FBB">
        <w:t xml:space="preserve">he </w:t>
      </w:r>
      <w:r w:rsidR="0094385A">
        <w:t>g</w:t>
      </w:r>
      <w:r w:rsidR="0047191C">
        <w:t xml:space="preserve">eneral </w:t>
      </w:r>
      <w:r w:rsidR="0094385A">
        <w:t>g</w:t>
      </w:r>
      <w:r w:rsidR="0047191C">
        <w:t>overnment</w:t>
      </w:r>
      <w:r w:rsidR="00DD5E8F" w:rsidRPr="00F07FBB">
        <w:t xml:space="preserve"> </w:t>
      </w:r>
      <w:r w:rsidR="2B5C1DE9" w:rsidRPr="00F07FBB">
        <w:t>has</w:t>
      </w:r>
      <w:r w:rsidR="00DD5E8F" w:rsidRPr="00F07FBB">
        <w:t xml:space="preserve"> non-quantifiable contingent liabilities relating to</w:t>
      </w:r>
      <w:r w:rsidR="006C781D" w:rsidRPr="009C5E7D">
        <w:t xml:space="preserve"> </w:t>
      </w:r>
      <w:r w:rsidR="00DD5E8F" w:rsidRPr="008735D9">
        <w:t>commercial transactions</w:t>
      </w:r>
      <w:r w:rsidRPr="008735D9">
        <w:t xml:space="preserve">. </w:t>
      </w:r>
      <w:r w:rsidR="00312103" w:rsidRPr="008735D9">
        <w:t xml:space="preserve">As an example, under several </w:t>
      </w:r>
      <w:r w:rsidR="00D96C41" w:rsidRPr="00254CE1">
        <w:t xml:space="preserve">energy transactions </w:t>
      </w:r>
      <w:r w:rsidR="007975E1" w:rsidRPr="00242BF2">
        <w:t xml:space="preserve">the </w:t>
      </w:r>
      <w:r w:rsidR="00A53DCF" w:rsidRPr="00242BF2">
        <w:t>G</w:t>
      </w:r>
      <w:r w:rsidR="00436377" w:rsidRPr="00242BF2">
        <w:t xml:space="preserve">overnment provided </w:t>
      </w:r>
      <w:r w:rsidR="00BB017F" w:rsidRPr="00242BF2">
        <w:t xml:space="preserve">limited </w:t>
      </w:r>
      <w:r w:rsidR="00436377" w:rsidRPr="002215CF">
        <w:t>general warranties to purchasers and lessees</w:t>
      </w:r>
      <w:r w:rsidR="003025DC" w:rsidRPr="002215CF">
        <w:t>.</w:t>
      </w:r>
      <w:r w:rsidR="00436377" w:rsidRPr="002215CF">
        <w:t xml:space="preserve"> </w:t>
      </w:r>
      <w:r w:rsidR="004F7DD5" w:rsidRPr="002215CF">
        <w:t xml:space="preserve">The </w:t>
      </w:r>
      <w:r w:rsidR="00436377" w:rsidRPr="002215CF">
        <w:t xml:space="preserve">Government </w:t>
      </w:r>
      <w:r w:rsidR="00312103" w:rsidRPr="002215CF">
        <w:t xml:space="preserve">has </w:t>
      </w:r>
      <w:r w:rsidR="00D96C41" w:rsidRPr="002215CF">
        <w:t xml:space="preserve">also </w:t>
      </w:r>
      <w:r w:rsidR="006C781D" w:rsidRPr="00CC3ED5">
        <w:rPr>
          <w:rFonts w:eastAsiaTheme="minorEastAsia"/>
        </w:rPr>
        <w:t>retain</w:t>
      </w:r>
      <w:r w:rsidR="00D96C41" w:rsidRPr="00CC3ED5">
        <w:rPr>
          <w:rFonts w:eastAsiaTheme="minorEastAsia"/>
        </w:rPr>
        <w:t>ed</w:t>
      </w:r>
      <w:r w:rsidR="006C781D" w:rsidRPr="00CC3ED5">
        <w:rPr>
          <w:rFonts w:eastAsiaTheme="minorEastAsia"/>
        </w:rPr>
        <w:t xml:space="preserve"> </w:t>
      </w:r>
      <w:r w:rsidR="00BB017F" w:rsidRPr="00CC3ED5">
        <w:rPr>
          <w:rFonts w:eastAsiaTheme="minorEastAsia"/>
        </w:rPr>
        <w:t xml:space="preserve">responsibility for </w:t>
      </w:r>
      <w:r w:rsidR="00D96C41" w:rsidRPr="00CC3ED5">
        <w:rPr>
          <w:rFonts w:eastAsiaTheme="minorEastAsia"/>
        </w:rPr>
        <w:t xml:space="preserve">the </w:t>
      </w:r>
      <w:r w:rsidR="006C781D" w:rsidRPr="00CC3ED5">
        <w:rPr>
          <w:rFonts w:eastAsiaTheme="minorEastAsia"/>
        </w:rPr>
        <w:t xml:space="preserve">costs </w:t>
      </w:r>
      <w:r w:rsidR="006C781D" w:rsidRPr="00CC3ED5">
        <w:t xml:space="preserve">associated with </w:t>
      </w:r>
      <w:r w:rsidR="006C781D" w:rsidRPr="00CC3ED5">
        <w:rPr>
          <w:rFonts w:eastAsiaTheme="minorEastAsia"/>
        </w:rPr>
        <w:t xml:space="preserve">remediating pre-existing contamination at </w:t>
      </w:r>
      <w:r w:rsidR="00312103" w:rsidRPr="00C96164">
        <w:rPr>
          <w:rFonts w:eastAsiaTheme="minorEastAsia"/>
        </w:rPr>
        <w:t xml:space="preserve">several </w:t>
      </w:r>
      <w:r w:rsidR="006C781D" w:rsidRPr="00C96164">
        <w:rPr>
          <w:rFonts w:eastAsiaTheme="minorEastAsia"/>
        </w:rPr>
        <w:t xml:space="preserve">power station sites. </w:t>
      </w:r>
      <w:r w:rsidR="000552BA">
        <w:rPr>
          <w:rFonts w:eastAsiaTheme="minorEastAsia"/>
        </w:rPr>
        <w:t>The Report on State Finances</w:t>
      </w:r>
      <w:r w:rsidR="00731DBF">
        <w:rPr>
          <w:rFonts w:eastAsiaTheme="minorEastAsia"/>
        </w:rPr>
        <w:t xml:space="preserve"> </w:t>
      </w:r>
      <w:r w:rsidR="00966459">
        <w:rPr>
          <w:rFonts w:eastAsiaTheme="minorEastAsia"/>
        </w:rPr>
        <w:t>contain</w:t>
      </w:r>
      <w:r w:rsidR="006D4B71">
        <w:rPr>
          <w:rFonts w:eastAsiaTheme="minorEastAsia"/>
        </w:rPr>
        <w:t>s</w:t>
      </w:r>
      <w:r w:rsidR="00966459">
        <w:rPr>
          <w:rFonts w:eastAsiaTheme="minorEastAsia"/>
        </w:rPr>
        <w:t xml:space="preserve"> other </w:t>
      </w:r>
      <w:r w:rsidR="003F5419">
        <w:rPr>
          <w:rFonts w:eastAsiaTheme="minorEastAsia"/>
        </w:rPr>
        <w:t>non</w:t>
      </w:r>
      <w:r w:rsidR="005C0133">
        <w:rPr>
          <w:rFonts w:eastAsiaTheme="minorEastAsia"/>
        </w:rPr>
        <w:t>-</w:t>
      </w:r>
      <w:r w:rsidR="00151DF4">
        <w:rPr>
          <w:rFonts w:eastAsiaTheme="minorEastAsia"/>
        </w:rPr>
        <w:t>quantifiable contingent liabilities that may not be reported in the Budget</w:t>
      </w:r>
      <w:r w:rsidR="003F5419">
        <w:rPr>
          <w:rFonts w:eastAsiaTheme="minorEastAsia"/>
        </w:rPr>
        <w:t xml:space="preserve">. </w:t>
      </w:r>
    </w:p>
    <w:p w14:paraId="5E384FDE" w14:textId="2762C593" w:rsidR="00DD5E8F" w:rsidRDefault="00591D48" w:rsidP="00AF0457">
      <w:pPr>
        <w:pStyle w:val="Table7X"/>
      </w:pPr>
      <w:r>
        <w:t>Commercial t</w:t>
      </w:r>
      <w:r w:rsidR="00DD5E8F">
        <w:t>ransaction</w:t>
      </w:r>
      <w:r w:rsidR="00F45A10">
        <w:t>-</w:t>
      </w:r>
      <w:r w:rsidR="00DD5E8F">
        <w:t>related non-quantifiable contingent liabilities</w:t>
      </w:r>
    </w:p>
    <w:tbl>
      <w:tblPr>
        <w:tblStyle w:val="TableGrid0"/>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Table C.4: Commercial transaction-related non-quantifiable contingent liabilities"/>
        <w:tblDescription w:val="Table C.4: Commercial transaction-related non-quantifiable contingent liabilities"/>
      </w:tblPr>
      <w:tblGrid>
        <w:gridCol w:w="4484"/>
        <w:gridCol w:w="5386"/>
      </w:tblGrid>
      <w:tr w:rsidR="00E6709D" w:rsidRPr="00D776FC" w14:paraId="2DF6CA20" w14:textId="77777777" w:rsidTr="008A467C">
        <w:tc>
          <w:tcPr>
            <w:tcW w:w="4484" w:type="dxa"/>
            <w:shd w:val="clear" w:color="auto" w:fill="00426F"/>
          </w:tcPr>
          <w:p w14:paraId="66D10FF8" w14:textId="7F4E752A" w:rsidR="00E6709D" w:rsidRPr="00785BE2" w:rsidRDefault="00AE7BA5" w:rsidP="00714259">
            <w:pPr>
              <w:spacing w:before="120" w:after="120"/>
              <w:rPr>
                <w:rFonts w:ascii="Arial" w:hAnsi="Arial" w:cs="Arial"/>
                <w:b/>
                <w:color w:val="FFFFFF" w:themeColor="background1"/>
                <w:sz w:val="18"/>
                <w:szCs w:val="16"/>
              </w:rPr>
            </w:pPr>
            <w:r w:rsidRPr="00785BE2">
              <w:rPr>
                <w:rFonts w:ascii="Arial" w:hAnsi="Arial" w:cs="Arial"/>
                <w:b/>
                <w:color w:val="FFFFFF" w:themeColor="background1"/>
                <w:sz w:val="18"/>
                <w:szCs w:val="16"/>
              </w:rPr>
              <w:t>Transaction</w:t>
            </w:r>
            <w:r w:rsidR="00604A66" w:rsidRPr="00785BE2">
              <w:rPr>
                <w:rFonts w:ascii="Arial" w:hAnsi="Arial" w:cs="Arial"/>
                <w:b/>
                <w:color w:val="FFFFFF" w:themeColor="background1"/>
                <w:sz w:val="18"/>
                <w:szCs w:val="16"/>
              </w:rPr>
              <w:t>s</w:t>
            </w:r>
          </w:p>
        </w:tc>
        <w:tc>
          <w:tcPr>
            <w:tcW w:w="5386" w:type="dxa"/>
            <w:shd w:val="clear" w:color="auto" w:fill="00426F"/>
          </w:tcPr>
          <w:p w14:paraId="7D5E83E4" w14:textId="03537959" w:rsidR="00E6709D" w:rsidRPr="00785BE2" w:rsidRDefault="00DD5E8F" w:rsidP="00714259">
            <w:pPr>
              <w:spacing w:before="120" w:after="120"/>
              <w:rPr>
                <w:rFonts w:ascii="Arial" w:hAnsi="Arial" w:cs="Arial"/>
                <w:b/>
                <w:color w:val="FFFFFF" w:themeColor="background1"/>
                <w:sz w:val="18"/>
                <w:szCs w:val="16"/>
              </w:rPr>
            </w:pPr>
            <w:r w:rsidRPr="00785BE2">
              <w:rPr>
                <w:rFonts w:ascii="Arial" w:hAnsi="Arial" w:cs="Arial"/>
                <w:b/>
                <w:color w:val="FFFFFF" w:themeColor="background1"/>
                <w:sz w:val="18"/>
                <w:szCs w:val="16"/>
              </w:rPr>
              <w:t>Nature of the c</w:t>
            </w:r>
            <w:r w:rsidR="00E6709D" w:rsidRPr="00785BE2">
              <w:rPr>
                <w:rFonts w:ascii="Arial" w:hAnsi="Arial" w:cs="Arial"/>
                <w:b/>
                <w:color w:val="FFFFFF" w:themeColor="background1"/>
                <w:sz w:val="18"/>
                <w:szCs w:val="16"/>
              </w:rPr>
              <w:t>ontingent liabilit</w:t>
            </w:r>
            <w:r w:rsidR="000B3F48" w:rsidRPr="00785BE2">
              <w:rPr>
                <w:rFonts w:ascii="Arial" w:hAnsi="Arial" w:cs="Arial"/>
                <w:b/>
                <w:color w:val="FFFFFF" w:themeColor="background1"/>
                <w:sz w:val="18"/>
                <w:szCs w:val="16"/>
              </w:rPr>
              <w:t>ie</w:t>
            </w:r>
            <w:r w:rsidR="00604A66" w:rsidRPr="00785BE2">
              <w:rPr>
                <w:rFonts w:ascii="Arial" w:hAnsi="Arial" w:cs="Arial"/>
                <w:b/>
                <w:color w:val="FFFFFF" w:themeColor="background1"/>
                <w:sz w:val="18"/>
                <w:szCs w:val="16"/>
              </w:rPr>
              <w:t>s</w:t>
            </w:r>
          </w:p>
        </w:tc>
      </w:tr>
      <w:tr w:rsidR="00E6709D" w:rsidRPr="00D776FC" w14:paraId="4306DB06" w14:textId="77777777" w:rsidTr="008A467C">
        <w:trPr>
          <w:trHeight w:val="1813"/>
        </w:trPr>
        <w:tc>
          <w:tcPr>
            <w:tcW w:w="4484" w:type="dxa"/>
            <w:tcBorders>
              <w:bottom w:val="single" w:sz="4" w:space="0" w:color="A6A6A6" w:themeColor="background1" w:themeShade="A6"/>
            </w:tcBorders>
          </w:tcPr>
          <w:p w14:paraId="0B825939" w14:textId="7E06EF83" w:rsidR="00E6709D" w:rsidRPr="008F3117" w:rsidRDefault="002F58E2" w:rsidP="008F3117">
            <w:pPr>
              <w:spacing w:before="80" w:after="80"/>
              <w:rPr>
                <w:rFonts w:ascii="Arial" w:hAnsi="Arial" w:cs="Arial"/>
                <w:sz w:val="18"/>
                <w:szCs w:val="16"/>
              </w:rPr>
            </w:pPr>
            <w:r w:rsidRPr="00785BE2">
              <w:rPr>
                <w:rFonts w:ascii="Arial" w:hAnsi="Arial" w:cs="Arial"/>
                <w:sz w:val="18"/>
                <w:szCs w:val="16"/>
              </w:rPr>
              <w:t>Transactions related to</w:t>
            </w:r>
            <w:r w:rsidR="005D5DF9">
              <w:rPr>
                <w:rFonts w:ascii="Arial" w:hAnsi="Arial" w:cs="Arial"/>
                <w:sz w:val="18"/>
                <w:szCs w:val="16"/>
              </w:rPr>
              <w:t xml:space="preserve"> </w:t>
            </w:r>
            <w:r w:rsidR="00E6709D" w:rsidRPr="008F3117">
              <w:rPr>
                <w:rFonts w:ascii="Arial" w:hAnsi="Arial" w:cs="Arial"/>
                <w:sz w:val="18"/>
                <w:szCs w:val="16"/>
              </w:rPr>
              <w:t>Delta Electricity’s Western Assets</w:t>
            </w:r>
            <w:r w:rsidRPr="008F3117">
              <w:rPr>
                <w:rFonts w:ascii="Arial" w:hAnsi="Arial" w:cs="Arial"/>
                <w:sz w:val="18"/>
                <w:szCs w:val="16"/>
              </w:rPr>
              <w:t>,</w:t>
            </w:r>
            <w:r w:rsidR="00D27DAF" w:rsidRPr="008F3117">
              <w:rPr>
                <w:rFonts w:ascii="Arial" w:hAnsi="Arial" w:cs="Arial"/>
                <w:sz w:val="18"/>
                <w:szCs w:val="16"/>
              </w:rPr>
              <w:t xml:space="preserve"> </w:t>
            </w:r>
            <w:proofErr w:type="spellStart"/>
            <w:r w:rsidR="00E6709D" w:rsidRPr="008F3117">
              <w:rPr>
                <w:rFonts w:ascii="Arial" w:hAnsi="Arial" w:cs="Arial"/>
                <w:sz w:val="18"/>
                <w:szCs w:val="16"/>
              </w:rPr>
              <w:t>Eraring</w:t>
            </w:r>
            <w:proofErr w:type="spellEnd"/>
            <w:r w:rsidR="00E6709D" w:rsidRPr="008F3117">
              <w:rPr>
                <w:rFonts w:ascii="Arial" w:hAnsi="Arial" w:cs="Arial"/>
                <w:sz w:val="18"/>
                <w:szCs w:val="16"/>
              </w:rPr>
              <w:t xml:space="preserve"> Energy</w:t>
            </w:r>
            <w:r w:rsidRPr="008F3117">
              <w:rPr>
                <w:rFonts w:ascii="Arial" w:hAnsi="Arial" w:cs="Arial"/>
                <w:sz w:val="18"/>
                <w:szCs w:val="16"/>
              </w:rPr>
              <w:t xml:space="preserve">, </w:t>
            </w:r>
            <w:r w:rsidR="00E6709D" w:rsidRPr="008F3117">
              <w:rPr>
                <w:rFonts w:ascii="Arial" w:hAnsi="Arial" w:cs="Arial"/>
                <w:sz w:val="18"/>
                <w:szCs w:val="16"/>
              </w:rPr>
              <w:t>Vales Point Power Station</w:t>
            </w:r>
            <w:r w:rsidRPr="008F3117">
              <w:rPr>
                <w:rFonts w:ascii="Arial" w:hAnsi="Arial" w:cs="Arial"/>
                <w:sz w:val="18"/>
                <w:szCs w:val="16"/>
              </w:rPr>
              <w:t xml:space="preserve">, </w:t>
            </w:r>
            <w:proofErr w:type="spellStart"/>
            <w:r w:rsidRPr="008F3117">
              <w:rPr>
                <w:rFonts w:ascii="Arial" w:hAnsi="Arial" w:cs="Arial"/>
                <w:sz w:val="18"/>
                <w:szCs w:val="16"/>
              </w:rPr>
              <w:t>Colongra</w:t>
            </w:r>
            <w:proofErr w:type="spellEnd"/>
            <w:r w:rsidRPr="008F3117">
              <w:rPr>
                <w:rFonts w:ascii="Arial" w:hAnsi="Arial" w:cs="Arial"/>
                <w:sz w:val="18"/>
                <w:szCs w:val="16"/>
              </w:rPr>
              <w:t xml:space="preserve"> Power Station</w:t>
            </w:r>
            <w:r w:rsidR="00994A0E">
              <w:rPr>
                <w:rFonts w:ascii="Arial" w:hAnsi="Arial" w:cs="Arial"/>
                <w:sz w:val="18"/>
                <w:szCs w:val="16"/>
              </w:rPr>
              <w:t xml:space="preserve"> </w:t>
            </w:r>
            <w:r w:rsidR="00DC52DD" w:rsidRPr="008F3117">
              <w:rPr>
                <w:rFonts w:ascii="Arial" w:hAnsi="Arial" w:cs="Arial"/>
                <w:sz w:val="18"/>
                <w:szCs w:val="16"/>
              </w:rPr>
              <w:t>and</w:t>
            </w:r>
            <w:r w:rsidR="00BB017F" w:rsidRPr="008F3117">
              <w:rPr>
                <w:rFonts w:ascii="Arial" w:hAnsi="Arial" w:cs="Arial"/>
                <w:sz w:val="18"/>
                <w:szCs w:val="16"/>
              </w:rPr>
              <w:t xml:space="preserve"> </w:t>
            </w:r>
            <w:r w:rsidR="00E6709D" w:rsidRPr="008F3117">
              <w:rPr>
                <w:rFonts w:ascii="Arial" w:hAnsi="Arial" w:cs="Arial"/>
                <w:sz w:val="18"/>
                <w:szCs w:val="16"/>
              </w:rPr>
              <w:t>Macquarie Generation</w:t>
            </w:r>
            <w:r w:rsidR="00994A0E">
              <w:rPr>
                <w:rFonts w:ascii="Arial" w:hAnsi="Arial" w:cs="Arial"/>
                <w:sz w:val="18"/>
                <w:szCs w:val="16"/>
              </w:rPr>
              <w:t xml:space="preserve"> </w:t>
            </w:r>
          </w:p>
        </w:tc>
        <w:tc>
          <w:tcPr>
            <w:tcW w:w="5386" w:type="dxa"/>
            <w:tcBorders>
              <w:bottom w:val="single" w:sz="4" w:space="0" w:color="A6A6A6" w:themeColor="background1" w:themeShade="A6"/>
            </w:tcBorders>
          </w:tcPr>
          <w:p w14:paraId="4D51D105" w14:textId="36513757" w:rsidR="009E1C5D" w:rsidRPr="00F81949" w:rsidRDefault="009E1C5D" w:rsidP="00591D48">
            <w:pPr>
              <w:spacing w:before="80" w:after="80"/>
              <w:ind w:left="175" w:hanging="175"/>
              <w:rPr>
                <w:rFonts w:ascii="Arial" w:eastAsiaTheme="minorHAnsi" w:hAnsi="Arial" w:cs="Arial"/>
                <w:sz w:val="18"/>
                <w:szCs w:val="18"/>
                <w:lang w:val="en-AU"/>
              </w:rPr>
            </w:pPr>
            <w:r w:rsidRPr="00F81949">
              <w:rPr>
                <w:rFonts w:ascii="Arial" w:eastAsiaTheme="minorHAnsi" w:hAnsi="Arial" w:cs="Arial"/>
                <w:sz w:val="18"/>
                <w:szCs w:val="18"/>
                <w:lang w:val="en-AU"/>
              </w:rPr>
              <w:t>Various contingent liabilities, including:</w:t>
            </w:r>
          </w:p>
          <w:p w14:paraId="361F9F65" w14:textId="70B228EA" w:rsidR="00D27DAF" w:rsidRPr="001430BE" w:rsidRDefault="00E6709D" w:rsidP="00591D48">
            <w:pPr>
              <w:pStyle w:val="ListParagraph"/>
              <w:numPr>
                <w:ilvl w:val="0"/>
                <w:numId w:val="32"/>
              </w:numPr>
              <w:spacing w:before="80" w:after="80"/>
              <w:ind w:left="181" w:hanging="181"/>
              <w:contextualSpacing w:val="0"/>
              <w:rPr>
                <w:rFonts w:ascii="Arial" w:hAnsi="Arial" w:cs="Arial"/>
                <w:sz w:val="18"/>
                <w:szCs w:val="18"/>
              </w:rPr>
            </w:pPr>
            <w:r w:rsidRPr="001430BE">
              <w:rPr>
                <w:rFonts w:ascii="Arial" w:hAnsi="Arial" w:cs="Arial"/>
                <w:sz w:val="18"/>
                <w:szCs w:val="18"/>
              </w:rPr>
              <w:t>Pre-completion contamination</w:t>
            </w:r>
            <w:r w:rsidR="00DC52DD" w:rsidRPr="001430BE">
              <w:rPr>
                <w:rFonts w:ascii="Arial" w:hAnsi="Arial" w:cs="Arial"/>
                <w:sz w:val="18"/>
                <w:szCs w:val="18"/>
              </w:rPr>
              <w:t xml:space="preserve"> and land remediation </w:t>
            </w:r>
            <w:r w:rsidRPr="001430BE">
              <w:rPr>
                <w:rFonts w:ascii="Arial" w:hAnsi="Arial" w:cs="Arial"/>
                <w:sz w:val="18"/>
                <w:szCs w:val="18"/>
              </w:rPr>
              <w:t>liability</w:t>
            </w:r>
          </w:p>
          <w:p w14:paraId="29D4CB34" w14:textId="67DC0F3B" w:rsidR="00D27DAF" w:rsidRPr="00993FDC" w:rsidRDefault="00E6709D" w:rsidP="00591D48">
            <w:pPr>
              <w:pStyle w:val="ListParagraph"/>
              <w:numPr>
                <w:ilvl w:val="0"/>
                <w:numId w:val="32"/>
              </w:numPr>
              <w:spacing w:before="80" w:after="80"/>
              <w:ind w:left="175" w:hanging="175"/>
              <w:contextualSpacing w:val="0"/>
              <w:rPr>
                <w:rFonts w:ascii="Arial" w:hAnsi="Arial" w:cs="Arial"/>
                <w:sz w:val="18"/>
                <w:szCs w:val="18"/>
              </w:rPr>
            </w:pPr>
            <w:r w:rsidRPr="00993FDC">
              <w:rPr>
                <w:rFonts w:ascii="Arial" w:hAnsi="Arial" w:cs="Arial"/>
                <w:sz w:val="18"/>
                <w:szCs w:val="18"/>
              </w:rPr>
              <w:t>General Warranties</w:t>
            </w:r>
          </w:p>
          <w:p w14:paraId="0064E0EC" w14:textId="72D25E50" w:rsidR="00D27DAF" w:rsidRPr="00967693" w:rsidRDefault="00E6709D" w:rsidP="00591D48">
            <w:pPr>
              <w:pStyle w:val="ListParagraph"/>
              <w:numPr>
                <w:ilvl w:val="0"/>
                <w:numId w:val="32"/>
              </w:numPr>
              <w:spacing w:before="80" w:after="80"/>
              <w:ind w:left="175" w:hanging="175"/>
              <w:contextualSpacing w:val="0"/>
              <w:rPr>
                <w:rFonts w:ascii="Arial" w:hAnsi="Arial" w:cs="Arial"/>
                <w:sz w:val="18"/>
                <w:szCs w:val="18"/>
              </w:rPr>
            </w:pPr>
            <w:r w:rsidRPr="00967693">
              <w:rPr>
                <w:rFonts w:ascii="Arial" w:hAnsi="Arial" w:cs="Arial"/>
                <w:sz w:val="18"/>
                <w:szCs w:val="18"/>
              </w:rPr>
              <w:t>Coal haul road liability</w:t>
            </w:r>
          </w:p>
          <w:p w14:paraId="70AACBC1" w14:textId="652B2E1E" w:rsidR="00D27DAF" w:rsidRPr="00967693" w:rsidRDefault="00E6709D" w:rsidP="00591D48">
            <w:pPr>
              <w:pStyle w:val="ListParagraph"/>
              <w:numPr>
                <w:ilvl w:val="0"/>
                <w:numId w:val="32"/>
              </w:numPr>
              <w:spacing w:before="80" w:after="80"/>
              <w:ind w:left="175" w:hanging="175"/>
              <w:contextualSpacing w:val="0"/>
              <w:rPr>
                <w:rFonts w:ascii="Arial" w:hAnsi="Arial" w:cs="Arial"/>
                <w:sz w:val="18"/>
                <w:szCs w:val="18"/>
              </w:rPr>
            </w:pPr>
            <w:r w:rsidRPr="00967693">
              <w:rPr>
                <w:rFonts w:ascii="Arial" w:hAnsi="Arial" w:cs="Arial"/>
                <w:sz w:val="18"/>
                <w:szCs w:val="18"/>
              </w:rPr>
              <w:t>Ash dam liability</w:t>
            </w:r>
          </w:p>
          <w:p w14:paraId="7CB12930" w14:textId="2D84D76B" w:rsidR="00D27DAF" w:rsidRPr="00967693" w:rsidRDefault="00DC52DD" w:rsidP="00591D48">
            <w:pPr>
              <w:pStyle w:val="ListParagraph"/>
              <w:numPr>
                <w:ilvl w:val="0"/>
                <w:numId w:val="32"/>
              </w:numPr>
              <w:spacing w:before="80" w:after="80"/>
              <w:ind w:left="175" w:hanging="175"/>
              <w:contextualSpacing w:val="0"/>
              <w:rPr>
                <w:rFonts w:ascii="Arial" w:hAnsi="Arial" w:cs="Arial"/>
                <w:sz w:val="18"/>
                <w:szCs w:val="18"/>
              </w:rPr>
            </w:pPr>
            <w:r w:rsidRPr="00967693">
              <w:rPr>
                <w:rFonts w:ascii="Arial" w:hAnsi="Arial" w:cs="Arial"/>
                <w:sz w:val="18"/>
                <w:szCs w:val="18"/>
              </w:rPr>
              <w:t>Where an option is exercised under the hand</w:t>
            </w:r>
            <w:r w:rsidR="00280CD3" w:rsidRPr="00967693">
              <w:rPr>
                <w:rFonts w:ascii="Arial" w:hAnsi="Arial" w:cs="Arial"/>
                <w:sz w:val="18"/>
                <w:szCs w:val="18"/>
              </w:rPr>
              <w:t>-</w:t>
            </w:r>
            <w:r w:rsidRPr="00967693">
              <w:rPr>
                <w:rFonts w:ascii="Arial" w:hAnsi="Arial" w:cs="Arial"/>
                <w:sz w:val="18"/>
                <w:szCs w:val="18"/>
              </w:rPr>
              <w:t>back deed, r</w:t>
            </w:r>
            <w:r w:rsidR="002F58E2" w:rsidRPr="00967693">
              <w:rPr>
                <w:rFonts w:ascii="Arial" w:hAnsi="Arial" w:cs="Arial"/>
                <w:sz w:val="18"/>
                <w:szCs w:val="18"/>
              </w:rPr>
              <w:t>emediation of Vales Point and Site Land</w:t>
            </w:r>
          </w:p>
          <w:p w14:paraId="3BF43520" w14:textId="3B50E835" w:rsidR="00D27DAF" w:rsidRPr="00967693" w:rsidRDefault="00E22358" w:rsidP="00591D48">
            <w:pPr>
              <w:pStyle w:val="ListParagraph"/>
              <w:numPr>
                <w:ilvl w:val="0"/>
                <w:numId w:val="32"/>
              </w:numPr>
              <w:spacing w:before="80" w:after="80"/>
              <w:ind w:left="175" w:hanging="175"/>
              <w:contextualSpacing w:val="0"/>
              <w:rPr>
                <w:rFonts w:ascii="Arial" w:hAnsi="Arial" w:cs="Arial"/>
                <w:sz w:val="18"/>
                <w:szCs w:val="18"/>
              </w:rPr>
            </w:pPr>
            <w:r w:rsidRPr="00967693">
              <w:rPr>
                <w:rFonts w:ascii="Arial" w:hAnsi="Arial" w:cs="Arial"/>
                <w:sz w:val="18"/>
                <w:szCs w:val="18"/>
              </w:rPr>
              <w:t>Barnard River Scheme native title indemnity</w:t>
            </w:r>
          </w:p>
          <w:p w14:paraId="22A585B3" w14:textId="7075FB26" w:rsidR="00262F32" w:rsidRPr="008A467C" w:rsidRDefault="00E22358" w:rsidP="009F7C17">
            <w:pPr>
              <w:pStyle w:val="ListParagraph"/>
              <w:numPr>
                <w:ilvl w:val="0"/>
                <w:numId w:val="32"/>
              </w:numPr>
              <w:spacing w:before="80" w:after="80"/>
              <w:ind w:left="175" w:hanging="175"/>
              <w:contextualSpacing w:val="0"/>
              <w:rPr>
                <w:rFonts w:ascii="Arial" w:hAnsi="Arial" w:cs="Arial"/>
                <w:sz w:val="18"/>
                <w:szCs w:val="18"/>
              </w:rPr>
            </w:pPr>
            <w:r w:rsidRPr="00967693">
              <w:rPr>
                <w:rFonts w:ascii="Arial" w:hAnsi="Arial" w:cs="Arial"/>
                <w:sz w:val="18"/>
                <w:szCs w:val="18"/>
              </w:rPr>
              <w:t xml:space="preserve">Deed of </w:t>
            </w:r>
            <w:r w:rsidR="00D929F3" w:rsidRPr="00967693">
              <w:rPr>
                <w:rFonts w:ascii="Arial" w:hAnsi="Arial" w:cs="Arial"/>
                <w:sz w:val="18"/>
                <w:szCs w:val="18"/>
              </w:rPr>
              <w:t>I</w:t>
            </w:r>
            <w:r w:rsidRPr="00967693">
              <w:rPr>
                <w:rFonts w:ascii="Arial" w:hAnsi="Arial" w:cs="Arial"/>
                <w:sz w:val="18"/>
                <w:szCs w:val="18"/>
              </w:rPr>
              <w:t xml:space="preserve">ndemnity for </w:t>
            </w:r>
            <w:r w:rsidR="004F7DD5" w:rsidRPr="00967693">
              <w:rPr>
                <w:rFonts w:ascii="Arial" w:hAnsi="Arial" w:cs="Arial"/>
                <w:sz w:val="18"/>
                <w:szCs w:val="18"/>
              </w:rPr>
              <w:t>d</w:t>
            </w:r>
            <w:r w:rsidRPr="00967693">
              <w:rPr>
                <w:rFonts w:ascii="Arial" w:hAnsi="Arial" w:cs="Arial"/>
                <w:sz w:val="18"/>
                <w:szCs w:val="18"/>
              </w:rPr>
              <w:t>irectors and senior managemen</w:t>
            </w:r>
            <w:r w:rsidR="00262F32" w:rsidRPr="00967693">
              <w:rPr>
                <w:rFonts w:ascii="Arial" w:hAnsi="Arial" w:cs="Arial"/>
                <w:sz w:val="18"/>
                <w:szCs w:val="18"/>
              </w:rPr>
              <w:t>t</w:t>
            </w:r>
            <w:r w:rsidR="009F7C17" w:rsidRPr="00967693">
              <w:rPr>
                <w:rFonts w:ascii="Arial" w:hAnsi="Arial" w:cs="Arial"/>
                <w:sz w:val="18"/>
                <w:szCs w:val="18"/>
              </w:rPr>
              <w:t>.</w:t>
            </w:r>
          </w:p>
        </w:tc>
      </w:tr>
      <w:tr w:rsidR="002F58E2" w:rsidRPr="00D776FC" w14:paraId="47C1063F" w14:textId="77777777" w:rsidTr="008A467C">
        <w:trPr>
          <w:trHeight w:val="698"/>
        </w:trPr>
        <w:tc>
          <w:tcPr>
            <w:tcW w:w="4484" w:type="dxa"/>
            <w:tcBorders>
              <w:top w:val="single" w:sz="4" w:space="0" w:color="A6A6A6" w:themeColor="background1" w:themeShade="A6"/>
              <w:bottom w:val="single" w:sz="4" w:space="0" w:color="A6A6A6" w:themeColor="background1" w:themeShade="A6"/>
            </w:tcBorders>
          </w:tcPr>
          <w:p w14:paraId="42328635" w14:textId="69A0FAFA" w:rsidR="002F58E2" w:rsidRPr="00785BE2" w:rsidRDefault="00E22358" w:rsidP="00A9673C">
            <w:pPr>
              <w:spacing w:before="80" w:after="80"/>
              <w:rPr>
                <w:rFonts w:ascii="Arial" w:hAnsi="Arial" w:cs="Arial"/>
                <w:sz w:val="18"/>
                <w:szCs w:val="16"/>
              </w:rPr>
            </w:pPr>
            <w:bookmarkStart w:id="2" w:name="_Hlk515364338"/>
            <w:r w:rsidRPr="00785BE2">
              <w:rPr>
                <w:rFonts w:ascii="Arial" w:hAnsi="Arial" w:cs="Arial"/>
                <w:sz w:val="18"/>
                <w:szCs w:val="16"/>
              </w:rPr>
              <w:t xml:space="preserve">Transactions related to </w:t>
            </w:r>
            <w:r w:rsidR="00C932D1" w:rsidRPr="00785BE2">
              <w:rPr>
                <w:rFonts w:ascii="Arial" w:hAnsi="Arial" w:cs="Arial"/>
                <w:sz w:val="18"/>
                <w:szCs w:val="16"/>
              </w:rPr>
              <w:t xml:space="preserve">facilities at Port </w:t>
            </w:r>
            <w:proofErr w:type="spellStart"/>
            <w:r w:rsidRPr="00785BE2">
              <w:rPr>
                <w:rFonts w:ascii="Arial" w:hAnsi="Arial" w:cs="Arial"/>
                <w:sz w:val="18"/>
                <w:szCs w:val="16"/>
              </w:rPr>
              <w:t>Kembla</w:t>
            </w:r>
            <w:proofErr w:type="spellEnd"/>
            <w:r w:rsidRPr="00785BE2">
              <w:rPr>
                <w:rFonts w:ascii="Arial" w:hAnsi="Arial" w:cs="Arial"/>
                <w:sz w:val="18"/>
                <w:szCs w:val="16"/>
              </w:rPr>
              <w:t>, Port</w:t>
            </w:r>
            <w:r w:rsidR="009D6130" w:rsidRPr="00785BE2">
              <w:rPr>
                <w:rFonts w:ascii="Arial" w:hAnsi="Arial" w:cs="Arial"/>
                <w:sz w:val="18"/>
                <w:szCs w:val="16"/>
              </w:rPr>
              <w:t xml:space="preserve"> </w:t>
            </w:r>
            <w:r w:rsidRPr="00785BE2">
              <w:rPr>
                <w:rFonts w:ascii="Arial" w:hAnsi="Arial" w:cs="Arial"/>
                <w:sz w:val="18"/>
                <w:szCs w:val="16"/>
              </w:rPr>
              <w:t>Botany</w:t>
            </w:r>
            <w:r w:rsidR="00A51CCA">
              <w:rPr>
                <w:rFonts w:ascii="Arial" w:hAnsi="Arial" w:cs="Arial"/>
                <w:sz w:val="18"/>
                <w:szCs w:val="16"/>
              </w:rPr>
              <w:t>,</w:t>
            </w:r>
            <w:r w:rsidRPr="00785BE2">
              <w:rPr>
                <w:rFonts w:ascii="Arial" w:hAnsi="Arial" w:cs="Arial"/>
                <w:sz w:val="18"/>
                <w:szCs w:val="16"/>
              </w:rPr>
              <w:t xml:space="preserve"> Enfield and the Port of Newcastle</w:t>
            </w:r>
          </w:p>
        </w:tc>
        <w:tc>
          <w:tcPr>
            <w:tcW w:w="5386" w:type="dxa"/>
            <w:tcBorders>
              <w:top w:val="single" w:sz="4" w:space="0" w:color="A6A6A6" w:themeColor="background1" w:themeShade="A6"/>
              <w:bottom w:val="single" w:sz="4" w:space="0" w:color="A6A6A6" w:themeColor="background1" w:themeShade="A6"/>
            </w:tcBorders>
          </w:tcPr>
          <w:p w14:paraId="27537520" w14:textId="6EB14DF6" w:rsidR="00E22358" w:rsidRPr="001430BE" w:rsidRDefault="000C05EF" w:rsidP="008F3117">
            <w:pPr>
              <w:spacing w:before="80" w:after="80"/>
              <w:rPr>
                <w:rFonts w:ascii="Arial" w:hAnsi="Arial" w:cs="Arial"/>
                <w:sz w:val="18"/>
                <w:szCs w:val="18"/>
              </w:rPr>
            </w:pPr>
            <w:r w:rsidRPr="00F81949">
              <w:rPr>
                <w:rFonts w:ascii="Arial" w:hAnsi="Arial" w:cs="Arial"/>
                <w:sz w:val="18"/>
                <w:szCs w:val="18"/>
              </w:rPr>
              <w:t xml:space="preserve">The State has indemnified the lessees in respect of pre-existing </w:t>
            </w:r>
            <w:r w:rsidR="00E22358" w:rsidRPr="001430BE">
              <w:rPr>
                <w:rFonts w:ascii="Arial" w:hAnsi="Arial" w:cs="Arial"/>
                <w:sz w:val="18"/>
                <w:szCs w:val="18"/>
              </w:rPr>
              <w:t xml:space="preserve">environmental </w:t>
            </w:r>
            <w:r w:rsidR="00A81200" w:rsidRPr="001430BE">
              <w:rPr>
                <w:rFonts w:ascii="Arial" w:hAnsi="Arial" w:cs="Arial"/>
                <w:sz w:val="18"/>
                <w:szCs w:val="18"/>
              </w:rPr>
              <w:t>contamination</w:t>
            </w:r>
            <w:r w:rsidRPr="001430BE">
              <w:rPr>
                <w:rFonts w:ascii="Arial" w:hAnsi="Arial" w:cs="Arial"/>
                <w:sz w:val="18"/>
                <w:szCs w:val="18"/>
              </w:rPr>
              <w:t>.</w:t>
            </w:r>
          </w:p>
        </w:tc>
      </w:tr>
      <w:bookmarkEnd w:id="2"/>
      <w:tr w:rsidR="00B47D9D" w:rsidRPr="00D776FC" w14:paraId="1FE273E2" w14:textId="77777777" w:rsidTr="008A467C">
        <w:tc>
          <w:tcPr>
            <w:tcW w:w="4484" w:type="dxa"/>
            <w:tcBorders>
              <w:top w:val="single" w:sz="4" w:space="0" w:color="A6A6A6" w:themeColor="background1" w:themeShade="A6"/>
              <w:bottom w:val="single" w:sz="4" w:space="0" w:color="A6A6A6" w:themeColor="background1" w:themeShade="A6"/>
            </w:tcBorders>
          </w:tcPr>
          <w:p w14:paraId="04041263" w14:textId="5328945C" w:rsidR="00B47D9D" w:rsidRPr="00785BE2" w:rsidRDefault="00B47D9D" w:rsidP="00A9673C">
            <w:pPr>
              <w:spacing w:before="80" w:after="80"/>
              <w:rPr>
                <w:rFonts w:ascii="Arial" w:hAnsi="Arial" w:cs="Arial"/>
                <w:sz w:val="18"/>
                <w:szCs w:val="16"/>
              </w:rPr>
            </w:pPr>
            <w:r w:rsidRPr="00785BE2">
              <w:rPr>
                <w:rFonts w:ascii="Arial" w:hAnsi="Arial" w:cs="Arial"/>
                <w:sz w:val="18"/>
                <w:szCs w:val="16"/>
              </w:rPr>
              <w:t>Sale of Pacific Power International</w:t>
            </w:r>
          </w:p>
        </w:tc>
        <w:tc>
          <w:tcPr>
            <w:tcW w:w="5386" w:type="dxa"/>
            <w:tcBorders>
              <w:top w:val="single" w:sz="4" w:space="0" w:color="A6A6A6" w:themeColor="background1" w:themeShade="A6"/>
              <w:bottom w:val="single" w:sz="4" w:space="0" w:color="A6A6A6" w:themeColor="background1" w:themeShade="A6"/>
            </w:tcBorders>
          </w:tcPr>
          <w:p w14:paraId="2B420C66" w14:textId="36DFE279" w:rsidR="00B47D9D" w:rsidRPr="00F81949" w:rsidRDefault="0072208B" w:rsidP="00591D48">
            <w:pPr>
              <w:spacing w:before="80" w:after="80"/>
              <w:rPr>
                <w:rFonts w:ascii="Arial" w:hAnsi="Arial" w:cs="Arial"/>
                <w:sz w:val="18"/>
                <w:szCs w:val="18"/>
              </w:rPr>
            </w:pPr>
            <w:r w:rsidRPr="00F81949">
              <w:rPr>
                <w:rFonts w:ascii="Arial" w:hAnsi="Arial" w:cs="Arial"/>
                <w:sz w:val="18"/>
                <w:szCs w:val="18"/>
              </w:rPr>
              <w:t>T</w:t>
            </w:r>
            <w:r w:rsidR="000D2516" w:rsidRPr="00F81949">
              <w:rPr>
                <w:rFonts w:ascii="Arial" w:hAnsi="Arial" w:cs="Arial"/>
                <w:sz w:val="18"/>
                <w:szCs w:val="18"/>
              </w:rPr>
              <w:t xml:space="preserve">he State must </w:t>
            </w:r>
            <w:r w:rsidR="000D2516" w:rsidRPr="001430BE">
              <w:rPr>
                <w:rFonts w:ascii="Arial" w:hAnsi="Arial" w:cs="Arial"/>
                <w:sz w:val="18"/>
                <w:szCs w:val="18"/>
              </w:rPr>
              <w:t>compensate the trustee of the Energy Industry Superannuation Scheme funds for a shortfall of assets in the reserves of the fund related to the transfer of defined benefit scheme membership to Aurecon</w:t>
            </w:r>
            <w:r w:rsidR="0014338C" w:rsidRPr="00F81949">
              <w:rPr>
                <w:rFonts w:ascii="Arial" w:hAnsi="Arial" w:cs="Arial"/>
                <w:sz w:val="18"/>
                <w:szCs w:val="18"/>
              </w:rPr>
              <w:t>.</w:t>
            </w:r>
          </w:p>
        </w:tc>
      </w:tr>
      <w:tr w:rsidR="00F104DF" w:rsidRPr="00D776FC" w14:paraId="4663CE34" w14:textId="77777777" w:rsidTr="008A467C">
        <w:tc>
          <w:tcPr>
            <w:tcW w:w="4484" w:type="dxa"/>
            <w:tcBorders>
              <w:top w:val="single" w:sz="4" w:space="0" w:color="A6A6A6" w:themeColor="background1" w:themeShade="A6"/>
              <w:bottom w:val="single" w:sz="4" w:space="0" w:color="A6A6A6" w:themeColor="background1" w:themeShade="A6"/>
            </w:tcBorders>
          </w:tcPr>
          <w:p w14:paraId="14302140" w14:textId="50F2D06D" w:rsidR="00F104DF" w:rsidRPr="00785BE2" w:rsidRDefault="00F104DF" w:rsidP="00A9673C">
            <w:pPr>
              <w:spacing w:before="80" w:after="80"/>
              <w:rPr>
                <w:rFonts w:ascii="Arial" w:hAnsi="Arial" w:cs="Arial"/>
                <w:sz w:val="18"/>
                <w:szCs w:val="16"/>
              </w:rPr>
            </w:pPr>
            <w:r w:rsidRPr="00785BE2">
              <w:rPr>
                <w:rFonts w:ascii="Arial" w:hAnsi="Arial" w:cs="Arial"/>
                <w:sz w:val="18"/>
                <w:szCs w:val="16"/>
              </w:rPr>
              <w:t xml:space="preserve">Transactions related to Sydney Ferries, </w:t>
            </w:r>
            <w:proofErr w:type="spellStart"/>
            <w:r w:rsidRPr="00785BE2">
              <w:rPr>
                <w:rFonts w:ascii="Arial" w:hAnsi="Arial" w:cs="Arial"/>
                <w:sz w:val="18"/>
                <w:szCs w:val="16"/>
              </w:rPr>
              <w:t>Eraring</w:t>
            </w:r>
            <w:proofErr w:type="spellEnd"/>
            <w:r w:rsidRPr="00785BE2">
              <w:rPr>
                <w:rFonts w:ascii="Arial" w:hAnsi="Arial" w:cs="Arial"/>
                <w:sz w:val="18"/>
                <w:szCs w:val="16"/>
              </w:rPr>
              <w:t xml:space="preserve"> and Delta West</w:t>
            </w:r>
            <w:r w:rsidR="006028C4" w:rsidRPr="00785BE2">
              <w:rPr>
                <w:rFonts w:ascii="Arial" w:hAnsi="Arial" w:cs="Arial"/>
                <w:sz w:val="18"/>
                <w:szCs w:val="16"/>
              </w:rPr>
              <w:t xml:space="preserve"> Power Stations</w:t>
            </w:r>
          </w:p>
        </w:tc>
        <w:tc>
          <w:tcPr>
            <w:tcW w:w="5386" w:type="dxa"/>
            <w:tcBorders>
              <w:top w:val="single" w:sz="4" w:space="0" w:color="A6A6A6" w:themeColor="background1" w:themeShade="A6"/>
              <w:bottom w:val="single" w:sz="4" w:space="0" w:color="A6A6A6" w:themeColor="background1" w:themeShade="A6"/>
            </w:tcBorders>
          </w:tcPr>
          <w:p w14:paraId="15786267" w14:textId="0CC11476" w:rsidR="00F104DF" w:rsidRPr="00967693" w:rsidRDefault="000D2516" w:rsidP="00591D48">
            <w:pPr>
              <w:spacing w:before="80" w:after="80"/>
              <w:rPr>
                <w:rFonts w:ascii="Arial" w:hAnsi="Arial" w:cs="Arial"/>
                <w:sz w:val="18"/>
                <w:szCs w:val="18"/>
              </w:rPr>
            </w:pPr>
            <w:r w:rsidRPr="00F81949">
              <w:rPr>
                <w:rFonts w:ascii="Arial" w:hAnsi="Arial" w:cs="Arial"/>
                <w:sz w:val="18"/>
                <w:szCs w:val="18"/>
              </w:rPr>
              <w:t xml:space="preserve">The State </w:t>
            </w:r>
            <w:r w:rsidR="000C05EF" w:rsidRPr="00F81949">
              <w:rPr>
                <w:rFonts w:ascii="Arial" w:hAnsi="Arial" w:cs="Arial"/>
                <w:sz w:val="18"/>
                <w:szCs w:val="18"/>
              </w:rPr>
              <w:t>bears the risk of the employer’s superannuation guarantee contributions being insufficient to fund the defined employee benefits for certain ex-public</w:t>
            </w:r>
            <w:r w:rsidR="009D415A" w:rsidRPr="001430BE">
              <w:rPr>
                <w:rFonts w:ascii="Arial" w:hAnsi="Arial" w:cs="Arial"/>
                <w:sz w:val="18"/>
                <w:szCs w:val="18"/>
              </w:rPr>
              <w:t xml:space="preserve"> </w:t>
            </w:r>
            <w:r w:rsidR="000C05EF" w:rsidRPr="001430BE">
              <w:rPr>
                <w:rFonts w:ascii="Arial" w:hAnsi="Arial" w:cs="Arial"/>
                <w:sz w:val="18"/>
                <w:szCs w:val="18"/>
              </w:rPr>
              <w:t xml:space="preserve">sector employees. Indemnities have also been provided to the </w:t>
            </w:r>
            <w:r w:rsidR="000C05EF" w:rsidRPr="00993FDC">
              <w:rPr>
                <w:rFonts w:ascii="Arial" w:hAnsi="Arial" w:cs="Arial"/>
                <w:sz w:val="18"/>
                <w:szCs w:val="18"/>
              </w:rPr>
              <w:t>private sector employer in respect of certain losses suffered</w:t>
            </w:r>
            <w:r w:rsidR="0014338C" w:rsidRPr="00967693">
              <w:rPr>
                <w:rFonts w:ascii="Arial" w:hAnsi="Arial" w:cs="Arial"/>
                <w:sz w:val="18"/>
                <w:szCs w:val="18"/>
              </w:rPr>
              <w:t>.</w:t>
            </w:r>
          </w:p>
        </w:tc>
      </w:tr>
      <w:tr w:rsidR="00DC52DD" w:rsidRPr="00D776FC" w14:paraId="05881ADE" w14:textId="77777777" w:rsidTr="008A467C">
        <w:tc>
          <w:tcPr>
            <w:tcW w:w="4484" w:type="dxa"/>
            <w:tcBorders>
              <w:top w:val="single" w:sz="4" w:space="0" w:color="A6A6A6" w:themeColor="background1" w:themeShade="A6"/>
              <w:bottom w:val="single" w:sz="4" w:space="0" w:color="000000"/>
            </w:tcBorders>
          </w:tcPr>
          <w:p w14:paraId="473CB7F0" w14:textId="34F0D521" w:rsidR="00DC52DD" w:rsidRPr="00785BE2" w:rsidRDefault="00A81200" w:rsidP="00A9673C">
            <w:pPr>
              <w:spacing w:before="80" w:after="80"/>
              <w:rPr>
                <w:rFonts w:ascii="Arial" w:hAnsi="Arial" w:cs="Arial"/>
                <w:sz w:val="18"/>
                <w:szCs w:val="16"/>
              </w:rPr>
            </w:pPr>
            <w:r>
              <w:rPr>
                <w:rFonts w:ascii="Arial" w:hAnsi="Arial" w:cs="Arial"/>
                <w:sz w:val="18"/>
                <w:szCs w:val="16"/>
              </w:rPr>
              <w:t xml:space="preserve">Transactions related to the lease of </w:t>
            </w:r>
            <w:proofErr w:type="spellStart"/>
            <w:r w:rsidR="00DC52DD" w:rsidRPr="00785BE2">
              <w:rPr>
                <w:rFonts w:ascii="Arial" w:hAnsi="Arial" w:cs="Arial"/>
                <w:sz w:val="18"/>
                <w:szCs w:val="16"/>
              </w:rPr>
              <w:t>TransGrid</w:t>
            </w:r>
            <w:proofErr w:type="spellEnd"/>
            <w:r w:rsidR="00DC52DD" w:rsidRPr="00785BE2">
              <w:rPr>
                <w:rFonts w:ascii="Arial" w:hAnsi="Arial" w:cs="Arial"/>
                <w:sz w:val="18"/>
                <w:szCs w:val="16"/>
              </w:rPr>
              <w:t>, Ausgrid and Endeavour Energy</w:t>
            </w:r>
          </w:p>
        </w:tc>
        <w:tc>
          <w:tcPr>
            <w:tcW w:w="5386" w:type="dxa"/>
            <w:tcBorders>
              <w:top w:val="single" w:sz="4" w:space="0" w:color="A6A6A6" w:themeColor="background1" w:themeShade="A6"/>
              <w:bottom w:val="single" w:sz="4" w:space="0" w:color="000000"/>
            </w:tcBorders>
          </w:tcPr>
          <w:p w14:paraId="7F694BA6" w14:textId="10C70EBB" w:rsidR="00A81200" w:rsidRPr="00F81949" w:rsidRDefault="5D2EE401" w:rsidP="5D2EE401">
            <w:pPr>
              <w:spacing w:before="80" w:after="80"/>
              <w:rPr>
                <w:rFonts w:ascii="Arial" w:hAnsi="Arial" w:cs="Arial"/>
                <w:sz w:val="18"/>
                <w:szCs w:val="18"/>
              </w:rPr>
            </w:pPr>
            <w:r w:rsidRPr="00F81949">
              <w:rPr>
                <w:rFonts w:ascii="Arial" w:hAnsi="Arial" w:cs="Arial"/>
                <w:sz w:val="18"/>
                <w:szCs w:val="18"/>
              </w:rPr>
              <w:t xml:space="preserve">General </w:t>
            </w:r>
            <w:r w:rsidR="009D415A" w:rsidRPr="00F81949">
              <w:rPr>
                <w:rFonts w:ascii="Arial" w:hAnsi="Arial" w:cs="Arial"/>
                <w:sz w:val="18"/>
                <w:szCs w:val="18"/>
              </w:rPr>
              <w:t>w</w:t>
            </w:r>
            <w:r w:rsidRPr="00462CED">
              <w:rPr>
                <w:rFonts w:ascii="Arial" w:hAnsi="Arial" w:cs="Arial"/>
                <w:sz w:val="18"/>
                <w:szCs w:val="18"/>
              </w:rPr>
              <w:t>arranties and Deed of Indemnity.</w:t>
            </w:r>
          </w:p>
        </w:tc>
      </w:tr>
    </w:tbl>
    <w:p w14:paraId="113BF00F" w14:textId="25B4C3CB" w:rsidR="004D1D69" w:rsidRDefault="004D1D69" w:rsidP="004A370C"/>
    <w:p w14:paraId="3F0C908D" w14:textId="77777777" w:rsidR="0093708F" w:rsidRDefault="0093708F">
      <w:pPr>
        <w:spacing w:after="200" w:line="276" w:lineRule="auto"/>
        <w:rPr>
          <w:rFonts w:ascii="Arial" w:eastAsiaTheme="minorHAnsi" w:hAnsi="Arial" w:cs="Arial"/>
          <w:sz w:val="23"/>
          <w:szCs w:val="24"/>
          <w:lang w:val="en-AU"/>
        </w:rPr>
      </w:pPr>
      <w:r>
        <w:br w:type="page"/>
      </w:r>
    </w:p>
    <w:p w14:paraId="608D9F55" w14:textId="7C2553CB" w:rsidR="006037C1" w:rsidRPr="00357376" w:rsidRDefault="00D85FEA" w:rsidP="00357376">
      <w:pPr>
        <w:pStyle w:val="BodyText"/>
        <w:rPr>
          <w:color w:val="4F4F4F"/>
          <w:kern w:val="28"/>
          <w:sz w:val="22"/>
          <w:szCs w:val="22"/>
        </w:rPr>
      </w:pPr>
      <w:r w:rsidRPr="00B81F21">
        <w:t xml:space="preserve">The </w:t>
      </w:r>
      <w:r w:rsidR="0094385A">
        <w:t>g</w:t>
      </w:r>
      <w:r w:rsidR="001E26BA">
        <w:t xml:space="preserve">eneral </w:t>
      </w:r>
      <w:r w:rsidR="0094385A">
        <w:t>g</w:t>
      </w:r>
      <w:r w:rsidR="001E26BA">
        <w:t>overnment</w:t>
      </w:r>
      <w:r w:rsidRPr="00B81F21">
        <w:t xml:space="preserve"> also </w:t>
      </w:r>
      <w:r w:rsidR="1133B9C8" w:rsidRPr="1448C906">
        <w:t xml:space="preserve">has </w:t>
      </w:r>
      <w:r w:rsidR="00741C04" w:rsidRPr="00B81F21">
        <w:t xml:space="preserve">non-quantifiable </w:t>
      </w:r>
      <w:r w:rsidRPr="00B81F21">
        <w:t>contingent liabilities relating to various other matters, as set out</w:t>
      </w:r>
      <w:r>
        <w:t xml:space="preserve"> </w:t>
      </w:r>
      <w:r w:rsidR="009A2F7E">
        <w:t xml:space="preserve">below in Table </w:t>
      </w:r>
      <w:r w:rsidR="00D94F56">
        <w:t>C</w:t>
      </w:r>
      <w:r w:rsidR="009A2F7E">
        <w:t>.</w:t>
      </w:r>
      <w:r w:rsidR="0092758E">
        <w:t>5</w:t>
      </w:r>
      <w:r w:rsidRPr="00B81F21">
        <w:t>.</w:t>
      </w:r>
    </w:p>
    <w:p w14:paraId="0E410F42" w14:textId="1EB2D0DD" w:rsidR="00FF42F7" w:rsidRDefault="00FF42F7" w:rsidP="002B1401">
      <w:pPr>
        <w:pStyle w:val="TableCX"/>
        <w:numPr>
          <w:ilvl w:val="0"/>
          <w:numId w:val="52"/>
        </w:numPr>
        <w:tabs>
          <w:tab w:val="clear" w:pos="1134"/>
          <w:tab w:val="left" w:pos="1418"/>
        </w:tabs>
      </w:pPr>
      <w:r>
        <w:t>Other non-quantifiable contingent liabilities</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w:tblDescription w:val="Table C.5: Other non-quantifiable contingent liabilities"/>
      </w:tblPr>
      <w:tblGrid>
        <w:gridCol w:w="3823"/>
        <w:gridCol w:w="5811"/>
      </w:tblGrid>
      <w:tr w:rsidR="00FF42F7" w:rsidRPr="00D776FC" w14:paraId="706A0908" w14:textId="77777777" w:rsidTr="00714259">
        <w:trPr>
          <w:tblHeader/>
        </w:trPr>
        <w:tc>
          <w:tcPr>
            <w:tcW w:w="3823" w:type="dxa"/>
            <w:tcBorders>
              <w:top w:val="nil"/>
              <w:bottom w:val="nil"/>
            </w:tcBorders>
            <w:shd w:val="clear" w:color="auto" w:fill="00426F"/>
            <w:vAlign w:val="center"/>
          </w:tcPr>
          <w:p w14:paraId="70F302F5" w14:textId="77777777" w:rsidR="00FF42F7" w:rsidRPr="00785BE2" w:rsidRDefault="00FF42F7" w:rsidP="00714259">
            <w:pPr>
              <w:spacing w:before="120" w:after="120"/>
              <w:rPr>
                <w:rFonts w:ascii="Arial" w:hAnsi="Arial" w:cs="Arial"/>
                <w:b/>
                <w:color w:val="FFFFFF" w:themeColor="background1"/>
                <w:sz w:val="18"/>
                <w:szCs w:val="16"/>
              </w:rPr>
            </w:pPr>
            <w:bookmarkStart w:id="3" w:name="_GoBack"/>
            <w:r w:rsidRPr="00785BE2">
              <w:rPr>
                <w:rFonts w:ascii="Arial" w:hAnsi="Arial" w:cs="Arial"/>
                <w:b/>
                <w:color w:val="FFFFFF" w:themeColor="background1"/>
                <w:sz w:val="18"/>
                <w:szCs w:val="16"/>
              </w:rPr>
              <w:t>Contingent liabilities</w:t>
            </w:r>
          </w:p>
        </w:tc>
        <w:tc>
          <w:tcPr>
            <w:tcW w:w="5811" w:type="dxa"/>
            <w:tcBorders>
              <w:top w:val="nil"/>
              <w:bottom w:val="nil"/>
            </w:tcBorders>
            <w:shd w:val="clear" w:color="auto" w:fill="00426F"/>
            <w:vAlign w:val="center"/>
          </w:tcPr>
          <w:p w14:paraId="35C562BF" w14:textId="77777777" w:rsidR="00FF42F7" w:rsidRPr="00785BE2" w:rsidRDefault="00FF42F7" w:rsidP="00714259">
            <w:pPr>
              <w:spacing w:before="120" w:after="120"/>
              <w:rPr>
                <w:rFonts w:ascii="Arial" w:hAnsi="Arial" w:cs="Arial"/>
                <w:b/>
                <w:color w:val="FFFFFF" w:themeColor="background1"/>
                <w:sz w:val="18"/>
                <w:szCs w:val="16"/>
              </w:rPr>
            </w:pPr>
            <w:r w:rsidRPr="00785BE2">
              <w:rPr>
                <w:rFonts w:ascii="Arial" w:hAnsi="Arial" w:cs="Arial"/>
                <w:b/>
                <w:color w:val="FFFFFF" w:themeColor="background1"/>
                <w:sz w:val="18"/>
                <w:szCs w:val="16"/>
              </w:rPr>
              <w:t>Nature of the contingent liabilities</w:t>
            </w:r>
          </w:p>
        </w:tc>
      </w:tr>
      <w:tr w:rsidR="00FF42F7" w:rsidRPr="00D776FC" w14:paraId="378E0FE6" w14:textId="77777777" w:rsidTr="5D2EE401">
        <w:tc>
          <w:tcPr>
            <w:tcW w:w="3823" w:type="dxa"/>
            <w:tcBorders>
              <w:top w:val="nil"/>
            </w:tcBorders>
          </w:tcPr>
          <w:p w14:paraId="2EE97B55" w14:textId="77777777"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Native Title</w:t>
            </w:r>
          </w:p>
        </w:tc>
        <w:tc>
          <w:tcPr>
            <w:tcW w:w="5811" w:type="dxa"/>
            <w:tcBorders>
              <w:top w:val="nil"/>
            </w:tcBorders>
            <w:vAlign w:val="center"/>
          </w:tcPr>
          <w:p w14:paraId="4E2D366F" w14:textId="06C0FBC3" w:rsidR="00FF42F7" w:rsidRPr="00785BE2" w:rsidRDefault="0014338C" w:rsidP="00643E13">
            <w:pPr>
              <w:spacing w:before="60" w:after="60"/>
              <w:rPr>
                <w:rFonts w:ascii="Arial" w:hAnsi="Arial" w:cs="Arial"/>
                <w:sz w:val="18"/>
                <w:szCs w:val="16"/>
              </w:rPr>
            </w:pPr>
            <w:r w:rsidRPr="00785BE2">
              <w:rPr>
                <w:rFonts w:ascii="Arial" w:hAnsi="Arial" w:cs="Arial"/>
                <w:sz w:val="18"/>
                <w:szCs w:val="16"/>
              </w:rPr>
              <w:t>C</w:t>
            </w:r>
            <w:r w:rsidR="008E7DF7" w:rsidRPr="00785BE2">
              <w:rPr>
                <w:rFonts w:ascii="Arial" w:hAnsi="Arial" w:cs="Arial"/>
                <w:sz w:val="18"/>
                <w:szCs w:val="16"/>
              </w:rPr>
              <w:t>ontingent liabilit</w:t>
            </w:r>
            <w:r w:rsidRPr="00785BE2">
              <w:rPr>
                <w:rFonts w:ascii="Arial" w:hAnsi="Arial" w:cs="Arial"/>
                <w:sz w:val="18"/>
                <w:szCs w:val="16"/>
              </w:rPr>
              <w:t>ies</w:t>
            </w:r>
            <w:r w:rsidR="008E7DF7" w:rsidRPr="00785BE2">
              <w:rPr>
                <w:rFonts w:ascii="Arial" w:hAnsi="Arial" w:cs="Arial"/>
                <w:sz w:val="18"/>
                <w:szCs w:val="16"/>
              </w:rPr>
              <w:t xml:space="preserve"> in respect to Native Title, under both the </w:t>
            </w:r>
            <w:r w:rsidR="008E7DF7" w:rsidRPr="00785BE2">
              <w:rPr>
                <w:rFonts w:ascii="Arial" w:hAnsi="Arial" w:cs="Arial"/>
                <w:i/>
                <w:sz w:val="18"/>
                <w:szCs w:val="16"/>
              </w:rPr>
              <w:t>Native Title Act 1993 (</w:t>
            </w:r>
            <w:proofErr w:type="spellStart"/>
            <w:r w:rsidR="008E7DF7" w:rsidRPr="00785BE2">
              <w:rPr>
                <w:rFonts w:ascii="Arial" w:hAnsi="Arial" w:cs="Arial"/>
                <w:i/>
                <w:sz w:val="18"/>
                <w:szCs w:val="16"/>
              </w:rPr>
              <w:t>Cth</w:t>
            </w:r>
            <w:proofErr w:type="spellEnd"/>
            <w:r w:rsidR="008E7DF7" w:rsidRPr="00785BE2">
              <w:rPr>
                <w:rFonts w:ascii="Arial" w:hAnsi="Arial" w:cs="Arial"/>
                <w:i/>
                <w:sz w:val="18"/>
                <w:szCs w:val="16"/>
              </w:rPr>
              <w:t>)</w:t>
            </w:r>
            <w:r w:rsidR="008E7DF7" w:rsidRPr="00785BE2">
              <w:rPr>
                <w:rFonts w:ascii="Arial" w:hAnsi="Arial" w:cs="Arial"/>
                <w:sz w:val="18"/>
                <w:szCs w:val="16"/>
              </w:rPr>
              <w:t xml:space="preserve"> and the </w:t>
            </w:r>
            <w:r w:rsidR="008E7DF7" w:rsidRPr="00785BE2">
              <w:rPr>
                <w:rFonts w:ascii="Arial" w:hAnsi="Arial" w:cs="Arial"/>
                <w:i/>
                <w:sz w:val="18"/>
                <w:szCs w:val="16"/>
              </w:rPr>
              <w:t>Native Title (New South Wales) Act 1994</w:t>
            </w:r>
            <w:r w:rsidR="008E7DF7" w:rsidRPr="00785BE2">
              <w:rPr>
                <w:rFonts w:ascii="Arial" w:hAnsi="Arial" w:cs="Arial"/>
                <w:sz w:val="18"/>
                <w:szCs w:val="16"/>
              </w:rPr>
              <w:t>.</w:t>
            </w:r>
            <w:r w:rsidR="00FF42F7" w:rsidRPr="00785BE2">
              <w:rPr>
                <w:rFonts w:ascii="Arial" w:hAnsi="Arial" w:cs="Arial"/>
                <w:sz w:val="18"/>
                <w:szCs w:val="16"/>
              </w:rPr>
              <w:t xml:space="preserve"> </w:t>
            </w:r>
          </w:p>
        </w:tc>
      </w:tr>
      <w:tr w:rsidR="00FF42F7" w:rsidRPr="00D776FC" w14:paraId="352BA2A4" w14:textId="77777777" w:rsidTr="5D2EE401">
        <w:tc>
          <w:tcPr>
            <w:tcW w:w="3823" w:type="dxa"/>
          </w:tcPr>
          <w:p w14:paraId="6004C0A5" w14:textId="77777777"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Aboriginal Land Claims</w:t>
            </w:r>
          </w:p>
        </w:tc>
        <w:tc>
          <w:tcPr>
            <w:tcW w:w="5811" w:type="dxa"/>
            <w:vAlign w:val="center"/>
          </w:tcPr>
          <w:p w14:paraId="315F6ED5" w14:textId="2222BB05" w:rsidR="00FF42F7" w:rsidRPr="00785BE2" w:rsidRDefault="008E7DF7" w:rsidP="00643E13">
            <w:pPr>
              <w:spacing w:before="60" w:after="60"/>
              <w:rPr>
                <w:rFonts w:ascii="Arial" w:hAnsi="Arial" w:cs="Arial"/>
                <w:sz w:val="18"/>
                <w:szCs w:val="16"/>
              </w:rPr>
            </w:pPr>
            <w:r w:rsidRPr="00785BE2">
              <w:rPr>
                <w:rFonts w:ascii="Arial" w:hAnsi="Arial" w:cs="Arial"/>
                <w:sz w:val="18"/>
                <w:szCs w:val="16"/>
              </w:rPr>
              <w:t xml:space="preserve">Assets in the form of reserved Crown land may be reduced in value </w:t>
            </w:r>
            <w:r w:rsidR="0014338C" w:rsidRPr="00785BE2">
              <w:rPr>
                <w:rFonts w:ascii="Arial" w:hAnsi="Arial" w:cs="Arial"/>
                <w:sz w:val="18"/>
                <w:szCs w:val="16"/>
              </w:rPr>
              <w:t>from</w:t>
            </w:r>
            <w:r w:rsidRPr="00785BE2">
              <w:rPr>
                <w:rFonts w:ascii="Arial" w:hAnsi="Arial" w:cs="Arial"/>
                <w:sz w:val="18"/>
                <w:szCs w:val="16"/>
              </w:rPr>
              <w:t xml:space="preserve"> applications made </w:t>
            </w:r>
            <w:r w:rsidR="003F1594" w:rsidRPr="00785BE2">
              <w:rPr>
                <w:rFonts w:ascii="Arial" w:hAnsi="Arial" w:cs="Arial"/>
                <w:sz w:val="18"/>
                <w:szCs w:val="16"/>
              </w:rPr>
              <w:t>under</w:t>
            </w:r>
            <w:r w:rsidRPr="00785BE2">
              <w:rPr>
                <w:rFonts w:ascii="Arial" w:hAnsi="Arial" w:cs="Arial"/>
                <w:sz w:val="18"/>
                <w:szCs w:val="16"/>
              </w:rPr>
              <w:t xml:space="preserve"> the </w:t>
            </w:r>
            <w:r w:rsidRPr="00785BE2">
              <w:rPr>
                <w:rFonts w:ascii="Arial" w:hAnsi="Arial" w:cs="Arial"/>
                <w:i/>
                <w:sz w:val="18"/>
                <w:szCs w:val="16"/>
              </w:rPr>
              <w:t>Aboriginal Land Rights Act 1983 (NSW)</w:t>
            </w:r>
            <w:r w:rsidRPr="00785BE2">
              <w:rPr>
                <w:rFonts w:ascii="Arial" w:hAnsi="Arial" w:cs="Arial"/>
                <w:sz w:val="18"/>
                <w:szCs w:val="16"/>
              </w:rPr>
              <w:t>.</w:t>
            </w:r>
          </w:p>
        </w:tc>
      </w:tr>
      <w:tr w:rsidR="00FF42F7" w:rsidRPr="00D776FC" w14:paraId="16B79E0E" w14:textId="77777777" w:rsidTr="5D2EE401">
        <w:tc>
          <w:tcPr>
            <w:tcW w:w="3823" w:type="dxa"/>
          </w:tcPr>
          <w:p w14:paraId="6647BE62" w14:textId="77777777"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Contaminated Land</w:t>
            </w:r>
          </w:p>
        </w:tc>
        <w:tc>
          <w:tcPr>
            <w:tcW w:w="5811" w:type="dxa"/>
            <w:vAlign w:val="center"/>
          </w:tcPr>
          <w:p w14:paraId="695FAE89" w14:textId="0E2608FF" w:rsidR="00FF42F7" w:rsidRPr="00785BE2" w:rsidRDefault="00353319" w:rsidP="00643E13">
            <w:pPr>
              <w:spacing w:before="60" w:after="60"/>
              <w:rPr>
                <w:rFonts w:ascii="Arial" w:hAnsi="Arial" w:cs="Arial"/>
                <w:sz w:val="18"/>
                <w:szCs w:val="16"/>
              </w:rPr>
            </w:pPr>
            <w:proofErr w:type="gramStart"/>
            <w:r w:rsidRPr="00785BE2">
              <w:rPr>
                <w:rFonts w:ascii="Arial" w:hAnsi="Arial" w:cs="Arial"/>
                <w:sz w:val="18"/>
                <w:szCs w:val="16"/>
              </w:rPr>
              <w:t>A number of</w:t>
            </w:r>
            <w:proofErr w:type="gramEnd"/>
            <w:r w:rsidRPr="00785BE2">
              <w:rPr>
                <w:rFonts w:ascii="Arial" w:hAnsi="Arial" w:cs="Arial"/>
                <w:sz w:val="18"/>
                <w:szCs w:val="16"/>
              </w:rPr>
              <w:t xml:space="preserve"> </w:t>
            </w:r>
            <w:r w:rsidR="00A81200">
              <w:rPr>
                <w:rFonts w:ascii="Arial" w:hAnsi="Arial" w:cs="Arial"/>
                <w:sz w:val="18"/>
                <w:szCs w:val="16"/>
              </w:rPr>
              <w:t xml:space="preserve">Crown land </w:t>
            </w:r>
            <w:r w:rsidRPr="00785BE2">
              <w:rPr>
                <w:rFonts w:ascii="Arial" w:hAnsi="Arial" w:cs="Arial"/>
                <w:sz w:val="18"/>
                <w:szCs w:val="16"/>
              </w:rPr>
              <w:t xml:space="preserve">sites in the State have been assessed as </w:t>
            </w:r>
            <w:r w:rsidR="003605D5" w:rsidRPr="00785BE2">
              <w:rPr>
                <w:rFonts w:ascii="Arial" w:hAnsi="Arial" w:cs="Arial"/>
                <w:sz w:val="18"/>
                <w:szCs w:val="16"/>
              </w:rPr>
              <w:t>being potentially contaminated and needing remediation. Most are subject to preliminary site investigations or clean up works which might not incur a financial liability.</w:t>
            </w:r>
          </w:p>
        </w:tc>
      </w:tr>
      <w:tr w:rsidR="00B74827" w:rsidRPr="00D776FC" w14:paraId="428FF976" w14:textId="77777777" w:rsidTr="5D2EE401">
        <w:tc>
          <w:tcPr>
            <w:tcW w:w="3823" w:type="dxa"/>
          </w:tcPr>
          <w:p w14:paraId="30FA410A" w14:textId="15035FF8" w:rsidR="00B74827" w:rsidRPr="00785BE2" w:rsidRDefault="00B74827" w:rsidP="00643E13">
            <w:pPr>
              <w:spacing w:before="60" w:after="60"/>
              <w:rPr>
                <w:rFonts w:ascii="Arial" w:hAnsi="Arial" w:cs="Arial"/>
                <w:sz w:val="18"/>
                <w:szCs w:val="16"/>
              </w:rPr>
            </w:pPr>
            <w:r>
              <w:rPr>
                <w:rFonts w:ascii="Arial" w:hAnsi="Arial" w:cs="Arial"/>
                <w:sz w:val="18"/>
                <w:szCs w:val="16"/>
              </w:rPr>
              <w:t xml:space="preserve">Other Contaminated Land </w:t>
            </w:r>
          </w:p>
        </w:tc>
        <w:tc>
          <w:tcPr>
            <w:tcW w:w="5811" w:type="dxa"/>
            <w:vAlign w:val="center"/>
          </w:tcPr>
          <w:p w14:paraId="0B9DDF66" w14:textId="11775E82" w:rsidR="00B74827" w:rsidRPr="00785BE2" w:rsidRDefault="00707FD6" w:rsidP="00643E13">
            <w:pPr>
              <w:spacing w:before="60" w:after="60"/>
              <w:rPr>
                <w:rFonts w:ascii="Arial" w:hAnsi="Arial" w:cs="Arial"/>
                <w:sz w:val="18"/>
                <w:szCs w:val="16"/>
              </w:rPr>
            </w:pPr>
            <w:r w:rsidRPr="00707FD6">
              <w:rPr>
                <w:rFonts w:ascii="Arial" w:hAnsi="Arial" w:cs="Arial"/>
                <w:sz w:val="18"/>
                <w:szCs w:val="16"/>
              </w:rPr>
              <w:t>The S</w:t>
            </w:r>
            <w:r>
              <w:rPr>
                <w:rFonts w:ascii="Arial" w:hAnsi="Arial" w:cs="Arial"/>
                <w:sz w:val="18"/>
                <w:szCs w:val="16"/>
              </w:rPr>
              <w:t>tate</w:t>
            </w:r>
            <w:r w:rsidRPr="00707FD6">
              <w:rPr>
                <w:rFonts w:ascii="Arial" w:hAnsi="Arial" w:cs="Arial"/>
                <w:sz w:val="18"/>
                <w:szCs w:val="16"/>
              </w:rPr>
              <w:t xml:space="preserve"> has been made aware </w:t>
            </w:r>
            <w:r>
              <w:rPr>
                <w:rFonts w:ascii="Arial" w:hAnsi="Arial" w:cs="Arial"/>
                <w:sz w:val="18"/>
                <w:szCs w:val="16"/>
              </w:rPr>
              <w:t>of</w:t>
            </w:r>
            <w:r w:rsidRPr="00707FD6">
              <w:rPr>
                <w:rFonts w:ascii="Arial" w:hAnsi="Arial" w:cs="Arial"/>
                <w:sz w:val="18"/>
                <w:szCs w:val="16"/>
              </w:rPr>
              <w:t xml:space="preserve"> soil and water sample tests of potentially elevated readings of </w:t>
            </w:r>
            <w:proofErr w:type="spellStart"/>
            <w:r w:rsidRPr="00707FD6">
              <w:rPr>
                <w:rFonts w:ascii="Arial" w:hAnsi="Arial" w:cs="Arial"/>
                <w:sz w:val="18"/>
                <w:szCs w:val="16"/>
              </w:rPr>
              <w:t>perfluorooctane</w:t>
            </w:r>
            <w:proofErr w:type="spellEnd"/>
            <w:r w:rsidRPr="00707FD6">
              <w:rPr>
                <w:rFonts w:ascii="Arial" w:hAnsi="Arial" w:cs="Arial"/>
                <w:sz w:val="18"/>
                <w:szCs w:val="16"/>
              </w:rPr>
              <w:t xml:space="preserve"> sulfonate (PFOS) and perfluorooctanoic acid (PFOA) at </w:t>
            </w:r>
            <w:proofErr w:type="gramStart"/>
            <w:r w:rsidRPr="00707FD6">
              <w:rPr>
                <w:rFonts w:ascii="Arial" w:hAnsi="Arial" w:cs="Arial"/>
                <w:sz w:val="18"/>
                <w:szCs w:val="16"/>
              </w:rPr>
              <w:t>a number of</w:t>
            </w:r>
            <w:proofErr w:type="gramEnd"/>
            <w:r w:rsidRPr="00707FD6">
              <w:rPr>
                <w:rFonts w:ascii="Arial" w:hAnsi="Arial" w:cs="Arial"/>
                <w:sz w:val="18"/>
                <w:szCs w:val="16"/>
              </w:rPr>
              <w:t xml:space="preserve"> </w:t>
            </w:r>
            <w:r w:rsidR="00CA7947">
              <w:rPr>
                <w:rFonts w:ascii="Arial" w:hAnsi="Arial" w:cs="Arial"/>
                <w:sz w:val="18"/>
                <w:szCs w:val="16"/>
              </w:rPr>
              <w:t>State</w:t>
            </w:r>
            <w:r w:rsidR="009C3EE6">
              <w:rPr>
                <w:rFonts w:ascii="Arial" w:hAnsi="Arial" w:cs="Arial"/>
                <w:sz w:val="18"/>
                <w:szCs w:val="16"/>
              </w:rPr>
              <w:t>-</w:t>
            </w:r>
            <w:r w:rsidR="00CA7947">
              <w:rPr>
                <w:rFonts w:ascii="Arial" w:hAnsi="Arial" w:cs="Arial"/>
                <w:sz w:val="18"/>
                <w:szCs w:val="16"/>
              </w:rPr>
              <w:t xml:space="preserve">owned land </w:t>
            </w:r>
            <w:r w:rsidRPr="00707FD6">
              <w:rPr>
                <w:rFonts w:ascii="Arial" w:hAnsi="Arial" w:cs="Arial"/>
                <w:sz w:val="18"/>
                <w:szCs w:val="16"/>
              </w:rPr>
              <w:t>sites. The S</w:t>
            </w:r>
            <w:r w:rsidR="00CA7947">
              <w:rPr>
                <w:rFonts w:ascii="Arial" w:hAnsi="Arial" w:cs="Arial"/>
                <w:sz w:val="18"/>
                <w:szCs w:val="16"/>
              </w:rPr>
              <w:t>tate</w:t>
            </w:r>
            <w:r w:rsidRPr="00707FD6">
              <w:rPr>
                <w:rFonts w:ascii="Arial" w:hAnsi="Arial" w:cs="Arial"/>
                <w:sz w:val="18"/>
                <w:szCs w:val="16"/>
              </w:rPr>
              <w:t xml:space="preserve"> is insured for any remediation work that may be required. </w:t>
            </w:r>
            <w:r w:rsidR="00282D12" w:rsidRPr="00282D12">
              <w:rPr>
                <w:rFonts w:ascii="Arial" w:hAnsi="Arial" w:cs="Arial"/>
                <w:sz w:val="18"/>
                <w:szCs w:val="16"/>
              </w:rPr>
              <w:t>The final remediation costs of the impacted properties remain uncertain.</w:t>
            </w:r>
          </w:p>
        </w:tc>
      </w:tr>
      <w:tr w:rsidR="00FF42F7" w:rsidRPr="00D776FC" w14:paraId="5880F78B" w14:textId="77777777" w:rsidTr="5D2EE401">
        <w:tc>
          <w:tcPr>
            <w:tcW w:w="3823" w:type="dxa"/>
          </w:tcPr>
          <w:p w14:paraId="25BF32F1" w14:textId="430B6B91" w:rsidR="00FF42F7" w:rsidRPr="00785BE2" w:rsidRDefault="00B74827" w:rsidP="00643E13">
            <w:pPr>
              <w:spacing w:before="60" w:after="60"/>
              <w:rPr>
                <w:rFonts w:ascii="Arial" w:hAnsi="Arial" w:cs="Arial"/>
                <w:sz w:val="18"/>
                <w:szCs w:val="16"/>
              </w:rPr>
            </w:pPr>
            <w:r>
              <w:rPr>
                <w:rFonts w:ascii="Arial" w:hAnsi="Arial" w:cs="Arial"/>
                <w:sz w:val="18"/>
                <w:szCs w:val="16"/>
              </w:rPr>
              <w:t>L</w:t>
            </w:r>
            <w:r w:rsidR="00FF42F7" w:rsidRPr="00785BE2">
              <w:rPr>
                <w:rFonts w:ascii="Arial" w:hAnsi="Arial" w:cs="Arial"/>
                <w:sz w:val="18"/>
                <w:szCs w:val="16"/>
              </w:rPr>
              <w:t>itigation</w:t>
            </w:r>
          </w:p>
        </w:tc>
        <w:tc>
          <w:tcPr>
            <w:tcW w:w="5811" w:type="dxa"/>
            <w:vAlign w:val="center"/>
          </w:tcPr>
          <w:p w14:paraId="33121A1F" w14:textId="7353E5C2" w:rsidR="00FF42F7" w:rsidRPr="00785BE2" w:rsidRDefault="003417DB" w:rsidP="00643E13">
            <w:pPr>
              <w:spacing w:before="60" w:after="60"/>
              <w:rPr>
                <w:rFonts w:ascii="Arial" w:hAnsi="Arial" w:cs="Arial"/>
                <w:sz w:val="18"/>
                <w:szCs w:val="16"/>
              </w:rPr>
            </w:pPr>
            <w:r w:rsidRPr="00785BE2">
              <w:rPr>
                <w:rFonts w:ascii="Arial" w:hAnsi="Arial" w:cs="Arial"/>
                <w:sz w:val="18"/>
                <w:szCs w:val="16"/>
              </w:rPr>
              <w:t>State agencies and corporations are subject to various claims and litigation in the normal course of operations. The quantum of these claims cannot accurately be determined.</w:t>
            </w:r>
            <w:r w:rsidR="00680856" w:rsidRPr="00785BE2">
              <w:rPr>
                <w:rFonts w:ascii="Arial" w:hAnsi="Arial" w:cs="Arial"/>
                <w:sz w:val="18"/>
                <w:szCs w:val="16"/>
              </w:rPr>
              <w:t xml:space="preserve"> </w:t>
            </w:r>
          </w:p>
        </w:tc>
      </w:tr>
      <w:tr w:rsidR="00FF42F7" w:rsidRPr="00D776FC" w14:paraId="591F328B" w14:textId="77777777" w:rsidTr="5D2EE401">
        <w:tc>
          <w:tcPr>
            <w:tcW w:w="3823" w:type="dxa"/>
          </w:tcPr>
          <w:p w14:paraId="66A578FE" w14:textId="1535BA36"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 xml:space="preserve">Unclaimed money – Consolidated </w:t>
            </w:r>
            <w:r w:rsidR="0090653B">
              <w:rPr>
                <w:rFonts w:ascii="Arial" w:hAnsi="Arial" w:cs="Arial"/>
                <w:sz w:val="18"/>
                <w:szCs w:val="16"/>
              </w:rPr>
              <w:t>F</w:t>
            </w:r>
            <w:r w:rsidRPr="00785BE2">
              <w:rPr>
                <w:rFonts w:ascii="Arial" w:hAnsi="Arial" w:cs="Arial"/>
                <w:sz w:val="18"/>
                <w:szCs w:val="16"/>
              </w:rPr>
              <w:t>und</w:t>
            </w:r>
          </w:p>
        </w:tc>
        <w:tc>
          <w:tcPr>
            <w:tcW w:w="5811" w:type="dxa"/>
            <w:vAlign w:val="center"/>
          </w:tcPr>
          <w:p w14:paraId="751F9EE2" w14:textId="4E43A253" w:rsidR="00FF42F7" w:rsidRPr="00785BE2" w:rsidRDefault="003417DB" w:rsidP="00643E13">
            <w:pPr>
              <w:spacing w:before="60" w:after="60"/>
              <w:rPr>
                <w:rFonts w:ascii="Arial" w:hAnsi="Arial" w:cs="Arial"/>
                <w:sz w:val="18"/>
                <w:szCs w:val="16"/>
              </w:rPr>
            </w:pPr>
            <w:r w:rsidRPr="00785BE2">
              <w:rPr>
                <w:rFonts w:ascii="Arial" w:hAnsi="Arial" w:cs="Arial"/>
                <w:sz w:val="18"/>
                <w:szCs w:val="16"/>
              </w:rPr>
              <w:t>The State treats the receipt of unclaimed money to the Consolidated Fund as income. However, claims can be legally lodged for several years after the money is paid into the Fund.</w:t>
            </w:r>
          </w:p>
        </w:tc>
      </w:tr>
      <w:tr w:rsidR="00FF42F7" w:rsidRPr="00D776FC" w14:paraId="445714D9" w14:textId="77777777" w:rsidTr="5D2EE401">
        <w:tc>
          <w:tcPr>
            <w:tcW w:w="3823" w:type="dxa"/>
          </w:tcPr>
          <w:p w14:paraId="1CE2F4CF" w14:textId="77777777" w:rsidR="00FF42F7" w:rsidRPr="00785BE2" w:rsidRDefault="00FF42F7" w:rsidP="00643E13">
            <w:pPr>
              <w:spacing w:before="60" w:after="60"/>
              <w:rPr>
                <w:rFonts w:ascii="Arial" w:hAnsi="Arial" w:cs="Arial"/>
                <w:sz w:val="18"/>
                <w:szCs w:val="16"/>
              </w:rPr>
            </w:pPr>
            <w:proofErr w:type="spellStart"/>
            <w:r w:rsidRPr="00785BE2">
              <w:rPr>
                <w:rFonts w:ascii="Arial" w:hAnsi="Arial" w:cs="Arial"/>
                <w:sz w:val="18"/>
                <w:szCs w:val="16"/>
              </w:rPr>
              <w:t>StateFleet</w:t>
            </w:r>
            <w:proofErr w:type="spellEnd"/>
            <w:r w:rsidRPr="00785BE2">
              <w:rPr>
                <w:rFonts w:ascii="Arial" w:hAnsi="Arial" w:cs="Arial"/>
                <w:sz w:val="18"/>
                <w:szCs w:val="16"/>
              </w:rPr>
              <w:t xml:space="preserve"> interest rate exposure</w:t>
            </w:r>
          </w:p>
        </w:tc>
        <w:tc>
          <w:tcPr>
            <w:tcW w:w="5811" w:type="dxa"/>
            <w:vAlign w:val="center"/>
          </w:tcPr>
          <w:p w14:paraId="49D67BC5" w14:textId="77777777"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 xml:space="preserve">The Government’s motor vehicles are financed by an internal arrangement managed by </w:t>
            </w:r>
            <w:proofErr w:type="spellStart"/>
            <w:r w:rsidRPr="00785BE2">
              <w:rPr>
                <w:rFonts w:ascii="Arial" w:hAnsi="Arial" w:cs="Arial"/>
                <w:sz w:val="18"/>
                <w:szCs w:val="16"/>
              </w:rPr>
              <w:t>StateFleet</w:t>
            </w:r>
            <w:proofErr w:type="spellEnd"/>
            <w:r w:rsidRPr="00785BE2">
              <w:rPr>
                <w:rFonts w:ascii="Arial" w:hAnsi="Arial" w:cs="Arial"/>
                <w:sz w:val="18"/>
                <w:szCs w:val="16"/>
              </w:rPr>
              <w:t xml:space="preserve"> and funded by </w:t>
            </w:r>
            <w:proofErr w:type="spellStart"/>
            <w:r w:rsidRPr="00785BE2">
              <w:rPr>
                <w:rFonts w:ascii="Arial" w:hAnsi="Arial" w:cs="Arial"/>
                <w:sz w:val="18"/>
                <w:szCs w:val="16"/>
              </w:rPr>
              <w:t>TCorp</w:t>
            </w:r>
            <w:proofErr w:type="spellEnd"/>
            <w:r w:rsidRPr="00785BE2">
              <w:rPr>
                <w:rFonts w:ascii="Arial" w:hAnsi="Arial" w:cs="Arial"/>
                <w:sz w:val="18"/>
                <w:szCs w:val="16"/>
              </w:rPr>
              <w:t>. The facility is funded through a portfolio of debt.</w:t>
            </w:r>
          </w:p>
        </w:tc>
      </w:tr>
      <w:tr w:rsidR="00A958B9" w:rsidRPr="00D776FC" w14:paraId="0FEA6D79" w14:textId="77777777" w:rsidTr="5D2EE401">
        <w:tc>
          <w:tcPr>
            <w:tcW w:w="3823" w:type="dxa"/>
          </w:tcPr>
          <w:p w14:paraId="31B5E5CB" w14:textId="689F2707" w:rsidR="00A958B9" w:rsidRPr="00785BE2" w:rsidRDefault="009B1ED3" w:rsidP="00643E13">
            <w:pPr>
              <w:spacing w:before="60" w:after="60"/>
              <w:rPr>
                <w:rFonts w:ascii="Arial" w:hAnsi="Arial" w:cs="Arial"/>
                <w:sz w:val="18"/>
                <w:szCs w:val="16"/>
              </w:rPr>
            </w:pPr>
            <w:proofErr w:type="spellStart"/>
            <w:r w:rsidRPr="009B1ED3">
              <w:rPr>
                <w:rFonts w:ascii="Arial" w:hAnsi="Arial" w:cs="Arial"/>
                <w:sz w:val="18"/>
                <w:szCs w:val="16"/>
              </w:rPr>
              <w:t>Myuna</w:t>
            </w:r>
            <w:proofErr w:type="spellEnd"/>
            <w:r w:rsidRPr="009B1ED3">
              <w:rPr>
                <w:rFonts w:ascii="Arial" w:hAnsi="Arial" w:cs="Arial"/>
                <w:sz w:val="18"/>
                <w:szCs w:val="16"/>
              </w:rPr>
              <w:t xml:space="preserve"> Bay Sport and Recreation Centre</w:t>
            </w:r>
          </w:p>
        </w:tc>
        <w:tc>
          <w:tcPr>
            <w:tcW w:w="5811" w:type="dxa"/>
            <w:vAlign w:val="center"/>
          </w:tcPr>
          <w:p w14:paraId="2A3D6222" w14:textId="083AF714" w:rsidR="00A958B9" w:rsidRPr="00785BE2" w:rsidRDefault="00146F8C" w:rsidP="00643E13">
            <w:pPr>
              <w:spacing w:before="60" w:after="60"/>
              <w:rPr>
                <w:rFonts w:ascii="Arial" w:hAnsi="Arial" w:cs="Arial"/>
                <w:sz w:val="18"/>
                <w:szCs w:val="16"/>
              </w:rPr>
            </w:pPr>
            <w:proofErr w:type="spellStart"/>
            <w:r w:rsidRPr="00146F8C">
              <w:rPr>
                <w:rFonts w:ascii="Arial" w:hAnsi="Arial" w:cs="Arial"/>
                <w:sz w:val="18"/>
                <w:szCs w:val="16"/>
              </w:rPr>
              <w:t>Myuna</w:t>
            </w:r>
            <w:proofErr w:type="spellEnd"/>
            <w:r w:rsidRPr="00146F8C">
              <w:rPr>
                <w:rFonts w:ascii="Arial" w:hAnsi="Arial" w:cs="Arial"/>
                <w:sz w:val="18"/>
                <w:szCs w:val="16"/>
              </w:rPr>
              <w:t xml:space="preserve"> Bay Sport and Recreation Centre was closed due to safety concerns</w:t>
            </w:r>
            <w:r w:rsidR="00F731CA">
              <w:t xml:space="preserve"> </w:t>
            </w:r>
            <w:r w:rsidR="00F731CA" w:rsidRPr="00F731CA">
              <w:rPr>
                <w:rFonts w:ascii="Arial" w:hAnsi="Arial" w:cs="Arial"/>
                <w:sz w:val="18"/>
                <w:szCs w:val="16"/>
              </w:rPr>
              <w:t xml:space="preserve">relating to the nearby </w:t>
            </w:r>
            <w:proofErr w:type="spellStart"/>
            <w:r w:rsidR="00F731CA" w:rsidRPr="00F731CA">
              <w:rPr>
                <w:rFonts w:ascii="Arial" w:hAnsi="Arial" w:cs="Arial"/>
                <w:sz w:val="18"/>
                <w:szCs w:val="16"/>
              </w:rPr>
              <w:t>Eraring</w:t>
            </w:r>
            <w:proofErr w:type="spellEnd"/>
            <w:r w:rsidR="00F731CA" w:rsidRPr="00F731CA">
              <w:rPr>
                <w:rFonts w:ascii="Arial" w:hAnsi="Arial" w:cs="Arial"/>
                <w:sz w:val="18"/>
                <w:szCs w:val="16"/>
              </w:rPr>
              <w:t xml:space="preserve"> Ash Dam</w:t>
            </w:r>
            <w:r w:rsidRPr="00146F8C">
              <w:rPr>
                <w:rFonts w:ascii="Arial" w:hAnsi="Arial" w:cs="Arial"/>
                <w:sz w:val="18"/>
                <w:szCs w:val="16"/>
              </w:rPr>
              <w:t>.</w:t>
            </w:r>
            <w:r w:rsidR="002C3E61">
              <w:rPr>
                <w:rFonts w:ascii="Arial" w:hAnsi="Arial" w:cs="Arial"/>
                <w:sz w:val="18"/>
                <w:szCs w:val="16"/>
              </w:rPr>
              <w:t xml:space="preserve"> There </w:t>
            </w:r>
            <w:r w:rsidR="008861E5">
              <w:rPr>
                <w:rFonts w:ascii="Arial" w:hAnsi="Arial" w:cs="Arial"/>
                <w:sz w:val="18"/>
                <w:szCs w:val="16"/>
              </w:rPr>
              <w:t>are</w:t>
            </w:r>
            <w:r w:rsidR="002C3E61">
              <w:rPr>
                <w:rFonts w:ascii="Arial" w:hAnsi="Arial" w:cs="Arial"/>
                <w:sz w:val="18"/>
                <w:szCs w:val="16"/>
              </w:rPr>
              <w:t xml:space="preserve"> significant risks </w:t>
            </w:r>
            <w:r w:rsidR="00574605">
              <w:rPr>
                <w:rFonts w:ascii="Arial" w:hAnsi="Arial" w:cs="Arial"/>
                <w:sz w:val="18"/>
                <w:szCs w:val="16"/>
              </w:rPr>
              <w:t xml:space="preserve">to the Centre </w:t>
            </w:r>
            <w:r w:rsidR="002C3E61">
              <w:rPr>
                <w:rFonts w:ascii="Arial" w:hAnsi="Arial" w:cs="Arial"/>
                <w:sz w:val="18"/>
                <w:szCs w:val="16"/>
              </w:rPr>
              <w:t>i</w:t>
            </w:r>
            <w:r w:rsidR="008861E5">
              <w:rPr>
                <w:rFonts w:ascii="Arial" w:hAnsi="Arial" w:cs="Arial"/>
                <w:sz w:val="18"/>
                <w:szCs w:val="16"/>
              </w:rPr>
              <w:t xml:space="preserve">f the dam wall breaks. </w:t>
            </w:r>
            <w:r w:rsidR="002E339E" w:rsidRPr="002E339E">
              <w:rPr>
                <w:rFonts w:ascii="Arial" w:hAnsi="Arial" w:cs="Arial"/>
                <w:sz w:val="18"/>
                <w:szCs w:val="16"/>
              </w:rPr>
              <w:t>The financial impac</w:t>
            </w:r>
            <w:r w:rsidR="002E339E">
              <w:rPr>
                <w:rFonts w:ascii="Arial" w:hAnsi="Arial" w:cs="Arial"/>
                <w:sz w:val="18"/>
                <w:szCs w:val="16"/>
              </w:rPr>
              <w:t>t</w:t>
            </w:r>
            <w:r w:rsidR="002E339E" w:rsidRPr="002E339E">
              <w:rPr>
                <w:rFonts w:ascii="Arial" w:hAnsi="Arial" w:cs="Arial"/>
                <w:sz w:val="18"/>
                <w:szCs w:val="16"/>
              </w:rPr>
              <w:t xml:space="preserve"> relating to continued operating costs incurred while </w:t>
            </w:r>
            <w:r w:rsidR="002E339E">
              <w:rPr>
                <w:rFonts w:ascii="Arial" w:hAnsi="Arial" w:cs="Arial"/>
                <w:sz w:val="18"/>
                <w:szCs w:val="16"/>
              </w:rPr>
              <w:t xml:space="preserve">a new </w:t>
            </w:r>
            <w:r w:rsidR="002E339E" w:rsidRPr="002E339E">
              <w:rPr>
                <w:rFonts w:ascii="Arial" w:hAnsi="Arial" w:cs="Arial"/>
                <w:sz w:val="18"/>
                <w:szCs w:val="16"/>
              </w:rPr>
              <w:t>facility is built</w:t>
            </w:r>
            <w:r w:rsidR="002E339E">
              <w:rPr>
                <w:rFonts w:ascii="Arial" w:hAnsi="Arial" w:cs="Arial"/>
                <w:sz w:val="18"/>
                <w:szCs w:val="16"/>
              </w:rPr>
              <w:t xml:space="preserve"> </w:t>
            </w:r>
            <w:r w:rsidR="002E339E" w:rsidRPr="002E339E">
              <w:rPr>
                <w:rFonts w:ascii="Arial" w:hAnsi="Arial" w:cs="Arial"/>
                <w:sz w:val="18"/>
                <w:szCs w:val="16"/>
              </w:rPr>
              <w:t>are still to be quantified and agreed on</w:t>
            </w:r>
            <w:r w:rsidR="002E339E">
              <w:rPr>
                <w:rFonts w:ascii="Arial" w:hAnsi="Arial" w:cs="Arial"/>
                <w:sz w:val="18"/>
                <w:szCs w:val="16"/>
              </w:rPr>
              <w:t xml:space="preserve">. </w:t>
            </w:r>
          </w:p>
        </w:tc>
      </w:tr>
      <w:tr w:rsidR="006D60C3" w:rsidRPr="00D776FC" w14:paraId="25829F03" w14:textId="77777777" w:rsidTr="5D2EE401">
        <w:tc>
          <w:tcPr>
            <w:tcW w:w="3823" w:type="dxa"/>
          </w:tcPr>
          <w:p w14:paraId="41375CB6" w14:textId="61C58512" w:rsidR="006D60C3" w:rsidRPr="009B1ED3" w:rsidRDefault="00913FA0" w:rsidP="00643E13">
            <w:pPr>
              <w:spacing w:before="60" w:after="60"/>
              <w:rPr>
                <w:rFonts w:ascii="Arial" w:hAnsi="Arial" w:cs="Arial"/>
                <w:sz w:val="18"/>
                <w:szCs w:val="16"/>
              </w:rPr>
            </w:pPr>
            <w:r>
              <w:rPr>
                <w:rFonts w:ascii="Arial" w:hAnsi="Arial" w:cs="Arial"/>
                <w:sz w:val="18"/>
                <w:szCs w:val="16"/>
              </w:rPr>
              <w:t xml:space="preserve">Allianz Stadium disclosures </w:t>
            </w:r>
          </w:p>
        </w:tc>
        <w:tc>
          <w:tcPr>
            <w:tcW w:w="5811" w:type="dxa"/>
            <w:vAlign w:val="center"/>
          </w:tcPr>
          <w:p w14:paraId="03EC90FB" w14:textId="767F9851" w:rsidR="006D60C3" w:rsidRPr="00146F8C" w:rsidRDefault="00CA3544" w:rsidP="00643E13">
            <w:pPr>
              <w:spacing w:before="60" w:after="60"/>
              <w:rPr>
                <w:rFonts w:ascii="Arial" w:hAnsi="Arial" w:cs="Arial"/>
                <w:sz w:val="18"/>
                <w:szCs w:val="16"/>
              </w:rPr>
            </w:pPr>
            <w:r>
              <w:rPr>
                <w:rFonts w:ascii="Arial" w:hAnsi="Arial" w:cs="Arial"/>
                <w:sz w:val="18"/>
                <w:szCs w:val="16"/>
              </w:rPr>
              <w:t xml:space="preserve">The control of Allianz Stadium was handed to the State for the development of a new stadium. As such, events </w:t>
            </w:r>
            <w:r w:rsidR="00E427EF">
              <w:rPr>
                <w:rFonts w:ascii="Arial" w:hAnsi="Arial" w:cs="Arial"/>
                <w:sz w:val="18"/>
                <w:szCs w:val="16"/>
              </w:rPr>
              <w:t xml:space="preserve">that were held at Allianz </w:t>
            </w:r>
            <w:r w:rsidR="00A410EF">
              <w:rPr>
                <w:rFonts w:ascii="Arial" w:hAnsi="Arial" w:cs="Arial"/>
                <w:sz w:val="18"/>
                <w:szCs w:val="16"/>
              </w:rPr>
              <w:t xml:space="preserve">have been relocated to other venues in NSW. The State </w:t>
            </w:r>
            <w:proofErr w:type="gramStart"/>
            <w:r w:rsidR="00A410EF">
              <w:rPr>
                <w:rFonts w:ascii="Arial" w:hAnsi="Arial" w:cs="Arial"/>
                <w:sz w:val="18"/>
                <w:szCs w:val="16"/>
              </w:rPr>
              <w:t>entered into</w:t>
            </w:r>
            <w:proofErr w:type="gramEnd"/>
            <w:r w:rsidR="00A410EF">
              <w:rPr>
                <w:rFonts w:ascii="Arial" w:hAnsi="Arial" w:cs="Arial"/>
                <w:sz w:val="18"/>
                <w:szCs w:val="16"/>
              </w:rPr>
              <w:t xml:space="preserve"> contractual commitments for costs related to the development</w:t>
            </w:r>
            <w:r w:rsidR="009C711B">
              <w:rPr>
                <w:rFonts w:ascii="Arial" w:hAnsi="Arial" w:cs="Arial"/>
                <w:sz w:val="18"/>
                <w:szCs w:val="16"/>
              </w:rPr>
              <w:t xml:space="preserve">. The </w:t>
            </w:r>
            <w:r w:rsidR="008D2725">
              <w:rPr>
                <w:rFonts w:ascii="Arial" w:hAnsi="Arial" w:cs="Arial"/>
                <w:sz w:val="18"/>
                <w:szCs w:val="16"/>
              </w:rPr>
              <w:t>financial impacts</w:t>
            </w:r>
            <w:r w:rsidR="005A7634">
              <w:rPr>
                <w:rFonts w:ascii="Arial" w:hAnsi="Arial" w:cs="Arial"/>
                <w:sz w:val="18"/>
                <w:szCs w:val="16"/>
              </w:rPr>
              <w:t xml:space="preserve"> </w:t>
            </w:r>
            <w:r w:rsidR="009C711B">
              <w:rPr>
                <w:rFonts w:ascii="Arial" w:hAnsi="Arial" w:cs="Arial"/>
                <w:sz w:val="18"/>
                <w:szCs w:val="16"/>
              </w:rPr>
              <w:t xml:space="preserve">related to this </w:t>
            </w:r>
            <w:proofErr w:type="spellStart"/>
            <w:r w:rsidR="005A7634">
              <w:rPr>
                <w:rFonts w:ascii="Arial" w:hAnsi="Arial" w:cs="Arial"/>
                <w:sz w:val="18"/>
                <w:szCs w:val="16"/>
              </w:rPr>
              <w:t>can not</w:t>
            </w:r>
            <w:proofErr w:type="spellEnd"/>
            <w:r w:rsidR="005A7634">
              <w:rPr>
                <w:rFonts w:ascii="Arial" w:hAnsi="Arial" w:cs="Arial"/>
                <w:sz w:val="18"/>
                <w:szCs w:val="16"/>
              </w:rPr>
              <w:t xml:space="preserve"> be estimated at this </w:t>
            </w:r>
            <w:r w:rsidR="009C711B">
              <w:rPr>
                <w:rFonts w:ascii="Arial" w:hAnsi="Arial" w:cs="Arial"/>
                <w:sz w:val="18"/>
                <w:szCs w:val="16"/>
              </w:rPr>
              <w:t xml:space="preserve">point of time. </w:t>
            </w:r>
          </w:p>
        </w:tc>
      </w:tr>
      <w:tr w:rsidR="00FF42F7" w:rsidRPr="00D776FC" w14:paraId="6D3B4356" w14:textId="77777777" w:rsidTr="5D2EE401">
        <w:tc>
          <w:tcPr>
            <w:tcW w:w="3823" w:type="dxa"/>
          </w:tcPr>
          <w:p w14:paraId="5BC7B254" w14:textId="6C189B7B"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NSW Treasury Corporation (</w:t>
            </w:r>
            <w:proofErr w:type="spellStart"/>
            <w:r w:rsidRPr="00785BE2">
              <w:rPr>
                <w:rFonts w:ascii="Arial" w:hAnsi="Arial" w:cs="Arial"/>
                <w:sz w:val="18"/>
                <w:szCs w:val="16"/>
              </w:rPr>
              <w:t>TCorp</w:t>
            </w:r>
            <w:proofErr w:type="spellEnd"/>
            <w:r w:rsidRPr="00785BE2">
              <w:rPr>
                <w:rFonts w:ascii="Arial" w:hAnsi="Arial" w:cs="Arial"/>
                <w:sz w:val="18"/>
                <w:szCs w:val="16"/>
              </w:rPr>
              <w:t>)</w:t>
            </w:r>
            <w:r w:rsidR="00994A5F" w:rsidRPr="00785BE2">
              <w:rPr>
                <w:rStyle w:val="FootnoteReference"/>
                <w:rFonts w:ascii="Arial" w:hAnsi="Arial" w:cs="Arial"/>
                <w:sz w:val="18"/>
                <w:szCs w:val="16"/>
              </w:rPr>
              <w:footnoteReference w:id="2"/>
            </w:r>
          </w:p>
        </w:tc>
        <w:tc>
          <w:tcPr>
            <w:tcW w:w="5811" w:type="dxa"/>
            <w:vAlign w:val="center"/>
          </w:tcPr>
          <w:p w14:paraId="0A7CB513" w14:textId="04A50970" w:rsidR="00FF42F7" w:rsidRPr="00785BE2" w:rsidRDefault="00FF42F7" w:rsidP="00643E13">
            <w:pPr>
              <w:spacing w:before="60" w:after="60"/>
              <w:rPr>
                <w:rFonts w:ascii="Arial" w:hAnsi="Arial" w:cs="Arial"/>
                <w:sz w:val="18"/>
                <w:szCs w:val="16"/>
              </w:rPr>
            </w:pPr>
            <w:proofErr w:type="spellStart"/>
            <w:r w:rsidRPr="00785BE2">
              <w:rPr>
                <w:rFonts w:ascii="Arial" w:hAnsi="Arial" w:cs="Arial"/>
                <w:sz w:val="18"/>
                <w:szCs w:val="16"/>
              </w:rPr>
              <w:t>TCorp</w:t>
            </w:r>
            <w:proofErr w:type="spellEnd"/>
            <w:r w:rsidRPr="00785BE2">
              <w:rPr>
                <w:rFonts w:ascii="Arial" w:hAnsi="Arial" w:cs="Arial"/>
                <w:sz w:val="18"/>
                <w:szCs w:val="16"/>
              </w:rPr>
              <w:t xml:space="preserve"> has made undertakings on behalf of other government authorities for their performance under contracts with third parties, which are recoverable from the government authority participants. </w:t>
            </w:r>
          </w:p>
        </w:tc>
      </w:tr>
      <w:tr w:rsidR="00FF42F7" w:rsidRPr="00D776FC" w14:paraId="65CA8B52" w14:textId="77777777" w:rsidTr="5D2EE401">
        <w:tc>
          <w:tcPr>
            <w:tcW w:w="3823" w:type="dxa"/>
          </w:tcPr>
          <w:p w14:paraId="1593253E" w14:textId="77777777" w:rsidR="00FF42F7" w:rsidRPr="00785BE2" w:rsidRDefault="00FF42F7" w:rsidP="00643E13">
            <w:pPr>
              <w:spacing w:before="60" w:after="60"/>
              <w:rPr>
                <w:rFonts w:ascii="Arial" w:hAnsi="Arial" w:cs="Arial"/>
                <w:sz w:val="18"/>
                <w:szCs w:val="16"/>
              </w:rPr>
            </w:pPr>
            <w:r w:rsidRPr="00785BE2">
              <w:rPr>
                <w:rFonts w:ascii="Arial" w:hAnsi="Arial" w:cs="Arial"/>
                <w:sz w:val="18"/>
                <w:szCs w:val="16"/>
              </w:rPr>
              <w:t>Land Acquisition</w:t>
            </w:r>
          </w:p>
        </w:tc>
        <w:tc>
          <w:tcPr>
            <w:tcW w:w="5811" w:type="dxa"/>
            <w:vAlign w:val="center"/>
          </w:tcPr>
          <w:p w14:paraId="49087DAF" w14:textId="749E0D66" w:rsidR="00FF42F7" w:rsidRPr="00785BE2" w:rsidRDefault="003417DB" w:rsidP="00643E13">
            <w:pPr>
              <w:spacing w:before="60" w:after="60"/>
              <w:rPr>
                <w:rFonts w:ascii="Arial" w:hAnsi="Arial" w:cs="Arial"/>
                <w:sz w:val="18"/>
                <w:szCs w:val="16"/>
              </w:rPr>
            </w:pPr>
            <w:r w:rsidRPr="00785BE2">
              <w:rPr>
                <w:rFonts w:ascii="Arial" w:hAnsi="Arial" w:cs="Arial"/>
                <w:sz w:val="18"/>
                <w:szCs w:val="16"/>
              </w:rPr>
              <w:t xml:space="preserve">Claims have been made against the State for compensation for land acquired under the </w:t>
            </w:r>
            <w:r w:rsidRPr="00785BE2">
              <w:rPr>
                <w:rFonts w:ascii="Arial" w:hAnsi="Arial" w:cs="Arial"/>
                <w:i/>
                <w:sz w:val="18"/>
                <w:szCs w:val="16"/>
              </w:rPr>
              <w:t>Land Acquisition (Just Terms Compensation) Act 1991</w:t>
            </w:r>
            <w:r w:rsidR="009D415A">
              <w:rPr>
                <w:rFonts w:ascii="Arial" w:hAnsi="Arial" w:cs="Arial"/>
                <w:i/>
                <w:sz w:val="18"/>
                <w:szCs w:val="16"/>
              </w:rPr>
              <w:t>(NSW)</w:t>
            </w:r>
            <w:r w:rsidRPr="00785BE2">
              <w:rPr>
                <w:rFonts w:ascii="Arial" w:hAnsi="Arial" w:cs="Arial"/>
                <w:sz w:val="18"/>
                <w:szCs w:val="16"/>
              </w:rPr>
              <w:t xml:space="preserve">. </w:t>
            </w:r>
          </w:p>
        </w:tc>
      </w:tr>
      <w:tr w:rsidR="00FD6D2B" w:rsidRPr="00D776FC" w14:paraId="7835356D" w14:textId="77777777" w:rsidTr="001B3725">
        <w:tc>
          <w:tcPr>
            <w:tcW w:w="3823" w:type="dxa"/>
            <w:tcBorders>
              <w:bottom w:val="single" w:sz="4" w:space="0" w:color="A6A6A6" w:themeColor="background1" w:themeShade="A6"/>
            </w:tcBorders>
          </w:tcPr>
          <w:p w14:paraId="5B7E931D" w14:textId="1E473326" w:rsidR="00FD6D2B" w:rsidRDefault="009B338C" w:rsidP="00643E13">
            <w:pPr>
              <w:spacing w:before="60" w:after="60"/>
              <w:rPr>
                <w:rFonts w:ascii="Arial" w:hAnsi="Arial" w:cs="Arial"/>
                <w:sz w:val="18"/>
                <w:szCs w:val="16"/>
              </w:rPr>
            </w:pPr>
            <w:r>
              <w:rPr>
                <w:rFonts w:ascii="Arial" w:hAnsi="Arial" w:cs="Arial"/>
                <w:sz w:val="18"/>
                <w:szCs w:val="16"/>
              </w:rPr>
              <w:t>Underpayments related to Pre-In</w:t>
            </w:r>
            <w:r w:rsidR="00E00375">
              <w:rPr>
                <w:rFonts w:ascii="Arial" w:hAnsi="Arial" w:cs="Arial"/>
                <w:sz w:val="18"/>
                <w:szCs w:val="16"/>
              </w:rPr>
              <w:t xml:space="preserve">jury Average Weekly Earnings (PIAWE) </w:t>
            </w:r>
          </w:p>
        </w:tc>
        <w:tc>
          <w:tcPr>
            <w:tcW w:w="5811" w:type="dxa"/>
            <w:tcBorders>
              <w:bottom w:val="single" w:sz="4" w:space="0" w:color="A6A6A6" w:themeColor="background1" w:themeShade="A6"/>
            </w:tcBorders>
            <w:vAlign w:val="center"/>
          </w:tcPr>
          <w:p w14:paraId="21DEB793" w14:textId="6653BC65" w:rsidR="00FD6D2B" w:rsidRPr="00967692" w:rsidRDefault="00AA0FAD" w:rsidP="00643E13">
            <w:pPr>
              <w:spacing w:before="60" w:after="60"/>
              <w:rPr>
                <w:rFonts w:ascii="Arial" w:hAnsi="Arial" w:cs="Arial"/>
                <w:sz w:val="18"/>
                <w:szCs w:val="16"/>
              </w:rPr>
            </w:pPr>
            <w:r w:rsidRPr="00AA0FAD">
              <w:rPr>
                <w:rFonts w:ascii="Arial" w:hAnsi="Arial" w:cs="Arial"/>
                <w:sz w:val="18"/>
                <w:szCs w:val="16"/>
              </w:rPr>
              <w:t>A targeted review designed to identify and remediate, if necessary, instances of under payment of weekly compensation benefits as a result of issues with the calculation of PIAWE</w:t>
            </w:r>
            <w:r>
              <w:rPr>
                <w:rFonts w:ascii="Arial" w:hAnsi="Arial" w:cs="Arial"/>
                <w:sz w:val="18"/>
                <w:szCs w:val="16"/>
              </w:rPr>
              <w:t xml:space="preserve"> </w:t>
            </w:r>
            <w:r w:rsidRPr="00AA0FAD">
              <w:rPr>
                <w:rFonts w:ascii="Arial" w:hAnsi="Arial" w:cs="Arial"/>
                <w:sz w:val="18"/>
                <w:szCs w:val="16"/>
              </w:rPr>
              <w:t>benefits is being considered</w:t>
            </w:r>
            <w:r>
              <w:rPr>
                <w:rFonts w:ascii="Arial" w:hAnsi="Arial" w:cs="Arial"/>
                <w:sz w:val="18"/>
                <w:szCs w:val="16"/>
              </w:rPr>
              <w:t xml:space="preserve">. </w:t>
            </w:r>
            <w:r w:rsidR="00353A5F">
              <w:rPr>
                <w:rFonts w:ascii="Arial" w:hAnsi="Arial" w:cs="Arial"/>
                <w:sz w:val="18"/>
                <w:szCs w:val="16"/>
              </w:rPr>
              <w:t xml:space="preserve">It is currently not possible to put an estimate on these claims. </w:t>
            </w:r>
          </w:p>
        </w:tc>
      </w:tr>
      <w:tr w:rsidR="008B583A" w:rsidRPr="00D776FC" w14:paraId="509D9D04" w14:textId="77777777" w:rsidTr="003E77C8">
        <w:tc>
          <w:tcPr>
            <w:tcW w:w="3823" w:type="dxa"/>
            <w:tcBorders>
              <w:top w:val="single" w:sz="4" w:space="0" w:color="A6A6A6" w:themeColor="background1" w:themeShade="A6"/>
              <w:bottom w:val="single" w:sz="4" w:space="0" w:color="A6A6A6" w:themeColor="background1" w:themeShade="A6"/>
              <w:right w:val="nil"/>
            </w:tcBorders>
          </w:tcPr>
          <w:p w14:paraId="7C75F93D" w14:textId="20B36A4D" w:rsidR="008B583A" w:rsidRDefault="00836601" w:rsidP="00643E13">
            <w:pPr>
              <w:spacing w:before="60" w:after="60"/>
              <w:rPr>
                <w:rFonts w:ascii="Arial" w:hAnsi="Arial" w:cs="Arial"/>
                <w:sz w:val="18"/>
                <w:szCs w:val="16"/>
              </w:rPr>
            </w:pPr>
            <w:r>
              <w:rPr>
                <w:rFonts w:ascii="Arial" w:hAnsi="Arial" w:cs="Arial"/>
                <w:sz w:val="18"/>
                <w:szCs w:val="16"/>
              </w:rPr>
              <w:t>Contracts with private sector parties</w:t>
            </w:r>
          </w:p>
        </w:tc>
        <w:tc>
          <w:tcPr>
            <w:tcW w:w="5811" w:type="dxa"/>
            <w:tcBorders>
              <w:top w:val="single" w:sz="4" w:space="0" w:color="A6A6A6" w:themeColor="background1" w:themeShade="A6"/>
              <w:left w:val="nil"/>
              <w:bottom w:val="single" w:sz="4" w:space="0" w:color="A6A6A6" w:themeColor="background1" w:themeShade="A6"/>
            </w:tcBorders>
            <w:vAlign w:val="center"/>
          </w:tcPr>
          <w:p w14:paraId="54E7831C" w14:textId="49357405" w:rsidR="008B583A" w:rsidRPr="00967692" w:rsidRDefault="008B583A" w:rsidP="00643E13">
            <w:pPr>
              <w:spacing w:before="60" w:after="60"/>
              <w:rPr>
                <w:rFonts w:ascii="Arial" w:hAnsi="Arial" w:cs="Arial"/>
                <w:sz w:val="18"/>
                <w:szCs w:val="16"/>
              </w:rPr>
            </w:pPr>
            <w:r w:rsidRPr="009D6BE5">
              <w:rPr>
                <w:rFonts w:ascii="Arial" w:hAnsi="Arial" w:cs="Arial"/>
                <w:sz w:val="18"/>
                <w:szCs w:val="16"/>
              </w:rPr>
              <w:t xml:space="preserve">The </w:t>
            </w:r>
            <w:r w:rsidR="00DF77F6">
              <w:rPr>
                <w:rFonts w:ascii="Arial" w:hAnsi="Arial" w:cs="Arial"/>
                <w:sz w:val="18"/>
                <w:szCs w:val="16"/>
              </w:rPr>
              <w:t>State</w:t>
            </w:r>
            <w:r w:rsidRPr="009D6BE5">
              <w:rPr>
                <w:rFonts w:ascii="Arial" w:hAnsi="Arial" w:cs="Arial"/>
                <w:sz w:val="18"/>
                <w:szCs w:val="16"/>
              </w:rPr>
              <w:t xml:space="preserve"> has guaranteed the obligations and performance of various statutory authorities with private sector party contracts. </w:t>
            </w:r>
          </w:p>
        </w:tc>
      </w:tr>
      <w:tr w:rsidR="004A6E5E" w:rsidRPr="00D776FC" w14:paraId="3CD3EEA7" w14:textId="77777777" w:rsidTr="003E77C8">
        <w:tc>
          <w:tcPr>
            <w:tcW w:w="3823" w:type="dxa"/>
            <w:tcBorders>
              <w:top w:val="single" w:sz="4" w:space="0" w:color="A6A6A6" w:themeColor="background1" w:themeShade="A6"/>
              <w:left w:val="nil"/>
              <w:bottom w:val="single" w:sz="4" w:space="0" w:color="auto"/>
              <w:right w:val="nil"/>
            </w:tcBorders>
          </w:tcPr>
          <w:p w14:paraId="2A8E5FC9" w14:textId="54CF3E89" w:rsidR="004A6E5E" w:rsidRPr="00C235A2" w:rsidRDefault="00A4395C" w:rsidP="00643E13">
            <w:pPr>
              <w:spacing w:before="60" w:after="60"/>
              <w:rPr>
                <w:rFonts w:ascii="Arial" w:hAnsi="Arial" w:cs="Arial"/>
                <w:sz w:val="18"/>
                <w:szCs w:val="18"/>
              </w:rPr>
            </w:pPr>
            <w:r w:rsidRPr="00C235A2">
              <w:rPr>
                <w:rFonts w:ascii="Arial" w:hAnsi="Arial" w:cs="Arial"/>
                <w:sz w:val="18"/>
                <w:szCs w:val="18"/>
              </w:rPr>
              <w:t>G</w:t>
            </w:r>
            <w:r w:rsidR="00385519" w:rsidRPr="00C235A2">
              <w:rPr>
                <w:rFonts w:ascii="Arial" w:hAnsi="Arial" w:cs="Arial"/>
                <w:sz w:val="18"/>
                <w:szCs w:val="18"/>
              </w:rPr>
              <w:t>uarantee</w:t>
            </w:r>
            <w:r w:rsidRPr="00C235A2">
              <w:rPr>
                <w:rFonts w:ascii="Arial" w:hAnsi="Arial" w:cs="Arial"/>
                <w:sz w:val="18"/>
                <w:szCs w:val="18"/>
              </w:rPr>
              <w:t xml:space="preserve"> on local </w:t>
            </w:r>
            <w:r w:rsidR="00E0641D" w:rsidRPr="00C235A2">
              <w:rPr>
                <w:rFonts w:ascii="Arial" w:hAnsi="Arial" w:cs="Arial"/>
                <w:sz w:val="18"/>
                <w:szCs w:val="18"/>
              </w:rPr>
              <w:t>government loans</w:t>
            </w:r>
          </w:p>
        </w:tc>
        <w:tc>
          <w:tcPr>
            <w:tcW w:w="5811" w:type="dxa"/>
            <w:tcBorders>
              <w:top w:val="single" w:sz="4" w:space="0" w:color="A6A6A6" w:themeColor="background1" w:themeShade="A6"/>
              <w:left w:val="nil"/>
              <w:bottom w:val="single" w:sz="4" w:space="0" w:color="auto"/>
              <w:right w:val="nil"/>
            </w:tcBorders>
            <w:vAlign w:val="center"/>
          </w:tcPr>
          <w:p w14:paraId="32FD5C8A" w14:textId="09E1B4BA" w:rsidR="004A6E5E" w:rsidRPr="001F206B" w:rsidRDefault="38D3E3FE" w:rsidP="00643E13">
            <w:pPr>
              <w:spacing w:before="60" w:after="60"/>
              <w:rPr>
                <w:rFonts w:ascii="Arial" w:hAnsi="Arial" w:cs="Arial"/>
                <w:sz w:val="18"/>
                <w:szCs w:val="16"/>
              </w:rPr>
            </w:pPr>
            <w:r w:rsidRPr="001F206B">
              <w:rPr>
                <w:rFonts w:ascii="Arial" w:hAnsi="Arial" w:cs="Arial"/>
                <w:sz w:val="18"/>
                <w:szCs w:val="16"/>
              </w:rPr>
              <w:t>T</w:t>
            </w:r>
            <w:r w:rsidR="54AE9EC0" w:rsidRPr="001F206B">
              <w:rPr>
                <w:rFonts w:ascii="Arial" w:hAnsi="Arial" w:cs="Arial"/>
                <w:sz w:val="18"/>
                <w:szCs w:val="16"/>
              </w:rPr>
              <w:t xml:space="preserve">he State provides </w:t>
            </w:r>
            <w:proofErr w:type="spellStart"/>
            <w:r w:rsidR="00385519" w:rsidRPr="001F206B">
              <w:rPr>
                <w:rFonts w:ascii="Arial" w:hAnsi="Arial" w:cs="Arial"/>
                <w:sz w:val="18"/>
                <w:szCs w:val="16"/>
              </w:rPr>
              <w:t>TCo</w:t>
            </w:r>
            <w:r w:rsidR="00F93C7C" w:rsidRPr="001F206B">
              <w:rPr>
                <w:rFonts w:ascii="Arial" w:hAnsi="Arial" w:cs="Arial"/>
                <w:sz w:val="18"/>
                <w:szCs w:val="16"/>
              </w:rPr>
              <w:t>rp</w:t>
            </w:r>
            <w:proofErr w:type="spellEnd"/>
            <w:r w:rsidR="00F93C7C" w:rsidRPr="001F206B">
              <w:rPr>
                <w:rFonts w:ascii="Arial" w:hAnsi="Arial" w:cs="Arial"/>
                <w:sz w:val="18"/>
                <w:szCs w:val="16"/>
              </w:rPr>
              <w:t xml:space="preserve"> </w:t>
            </w:r>
            <w:r w:rsidR="54AE9EC0" w:rsidRPr="001F206B">
              <w:rPr>
                <w:rFonts w:ascii="Arial" w:hAnsi="Arial" w:cs="Arial"/>
                <w:sz w:val="18"/>
                <w:szCs w:val="16"/>
              </w:rPr>
              <w:t>with a guarantee on all loans to local governments</w:t>
            </w:r>
            <w:r w:rsidR="598C06E9" w:rsidRPr="001F206B">
              <w:rPr>
                <w:rFonts w:ascii="Arial" w:hAnsi="Arial" w:cs="Arial"/>
                <w:sz w:val="18"/>
                <w:szCs w:val="16"/>
              </w:rPr>
              <w:t>.</w:t>
            </w:r>
          </w:p>
        </w:tc>
      </w:tr>
      <w:tr w:rsidR="00124C6D" w:rsidRPr="00D776FC" w14:paraId="3D6C4E9E" w14:textId="77777777" w:rsidTr="003E77C8">
        <w:tc>
          <w:tcPr>
            <w:tcW w:w="3823" w:type="dxa"/>
            <w:tcBorders>
              <w:top w:val="single" w:sz="4" w:space="0" w:color="auto"/>
              <w:left w:val="nil"/>
              <w:bottom w:val="single" w:sz="4" w:space="0" w:color="A6A6A6" w:themeColor="background1" w:themeShade="A6"/>
              <w:right w:val="nil"/>
            </w:tcBorders>
          </w:tcPr>
          <w:p w14:paraId="0461D4F1" w14:textId="08643C31" w:rsidR="0009152A" w:rsidRDefault="0009152A" w:rsidP="00643E13">
            <w:pPr>
              <w:spacing w:before="60" w:after="60"/>
              <w:rPr>
                <w:rFonts w:ascii="Arial" w:hAnsi="Arial" w:cs="Arial"/>
                <w:sz w:val="18"/>
                <w:szCs w:val="18"/>
              </w:rPr>
            </w:pPr>
            <w:r>
              <w:rPr>
                <w:rFonts w:ascii="Arial" w:hAnsi="Arial" w:cs="Arial"/>
                <w:sz w:val="18"/>
                <w:szCs w:val="18"/>
              </w:rPr>
              <w:t xml:space="preserve">Other </w:t>
            </w:r>
            <w:r w:rsidR="0094385A">
              <w:rPr>
                <w:rFonts w:ascii="Arial" w:hAnsi="Arial" w:cs="Arial"/>
                <w:sz w:val="18"/>
                <w:szCs w:val="18"/>
              </w:rPr>
              <w:t>g</w:t>
            </w:r>
            <w:r>
              <w:rPr>
                <w:rFonts w:ascii="Arial" w:hAnsi="Arial" w:cs="Arial"/>
                <w:sz w:val="18"/>
                <w:szCs w:val="18"/>
              </w:rPr>
              <w:t xml:space="preserve">overnment </w:t>
            </w:r>
            <w:r w:rsidR="0094385A">
              <w:rPr>
                <w:rFonts w:ascii="Arial" w:hAnsi="Arial" w:cs="Arial"/>
                <w:sz w:val="18"/>
                <w:szCs w:val="18"/>
              </w:rPr>
              <w:t>g</w:t>
            </w:r>
            <w:r>
              <w:rPr>
                <w:rFonts w:ascii="Arial" w:hAnsi="Arial" w:cs="Arial"/>
                <w:sz w:val="18"/>
                <w:szCs w:val="18"/>
              </w:rPr>
              <w:t xml:space="preserve">uarantees </w:t>
            </w:r>
          </w:p>
          <w:p w14:paraId="6B863525" w14:textId="60316C76" w:rsidR="00124C6D" w:rsidRPr="00C235A2" w:rsidRDefault="00124C6D" w:rsidP="00643E13">
            <w:pPr>
              <w:spacing w:before="60" w:after="60"/>
              <w:rPr>
                <w:rFonts w:ascii="Arial" w:hAnsi="Arial" w:cs="Arial"/>
                <w:sz w:val="18"/>
                <w:szCs w:val="18"/>
              </w:rPr>
            </w:pPr>
          </w:p>
        </w:tc>
        <w:tc>
          <w:tcPr>
            <w:tcW w:w="5811" w:type="dxa"/>
            <w:tcBorders>
              <w:top w:val="single" w:sz="4" w:space="0" w:color="auto"/>
              <w:left w:val="nil"/>
              <w:bottom w:val="single" w:sz="4" w:space="0" w:color="A6A6A6" w:themeColor="background1" w:themeShade="A6"/>
              <w:right w:val="nil"/>
            </w:tcBorders>
            <w:vAlign w:val="center"/>
          </w:tcPr>
          <w:p w14:paraId="16B1C8AD" w14:textId="3882E99C" w:rsidR="00124C6D" w:rsidRPr="001F206B" w:rsidRDefault="00CB60D6" w:rsidP="00643E13">
            <w:pPr>
              <w:spacing w:before="60" w:after="60"/>
              <w:rPr>
                <w:rFonts w:ascii="Arial" w:hAnsi="Arial" w:cs="Arial"/>
                <w:sz w:val="18"/>
                <w:szCs w:val="18"/>
              </w:rPr>
            </w:pPr>
            <w:r w:rsidRPr="35CBE550">
              <w:rPr>
                <w:rFonts w:ascii="Arial" w:hAnsi="Arial" w:cs="Arial"/>
                <w:sz w:val="18"/>
                <w:szCs w:val="18"/>
              </w:rPr>
              <w:t>The State</w:t>
            </w:r>
            <w:r w:rsidR="00590B3A" w:rsidRPr="35CBE550">
              <w:rPr>
                <w:rFonts w:ascii="Arial" w:hAnsi="Arial" w:cs="Arial"/>
                <w:sz w:val="18"/>
                <w:szCs w:val="18"/>
              </w:rPr>
              <w:t xml:space="preserve"> has</w:t>
            </w:r>
            <w:r w:rsidR="009F630C">
              <w:rPr>
                <w:rFonts w:ascii="Arial" w:hAnsi="Arial" w:cs="Arial"/>
                <w:sz w:val="18"/>
                <w:szCs w:val="18"/>
              </w:rPr>
              <w:t xml:space="preserve"> provided </w:t>
            </w:r>
            <w:r w:rsidR="00C733F0">
              <w:rPr>
                <w:rFonts w:ascii="Arial" w:hAnsi="Arial" w:cs="Arial"/>
                <w:sz w:val="18"/>
                <w:szCs w:val="18"/>
              </w:rPr>
              <w:t>g</w:t>
            </w:r>
            <w:r w:rsidR="009F630C">
              <w:rPr>
                <w:rFonts w:ascii="Arial" w:hAnsi="Arial" w:cs="Arial"/>
                <w:sz w:val="18"/>
                <w:szCs w:val="18"/>
              </w:rPr>
              <w:t xml:space="preserve">overnment </w:t>
            </w:r>
            <w:r w:rsidR="00A603E7">
              <w:rPr>
                <w:rFonts w:ascii="Arial" w:hAnsi="Arial" w:cs="Arial"/>
                <w:sz w:val="18"/>
                <w:szCs w:val="18"/>
              </w:rPr>
              <w:t>g</w:t>
            </w:r>
            <w:r w:rsidR="009F630C">
              <w:rPr>
                <w:rFonts w:ascii="Arial" w:hAnsi="Arial" w:cs="Arial"/>
                <w:sz w:val="18"/>
                <w:szCs w:val="18"/>
              </w:rPr>
              <w:t>uarantees to</w:t>
            </w:r>
            <w:r w:rsidR="00992BE8">
              <w:rPr>
                <w:rFonts w:ascii="Arial" w:hAnsi="Arial" w:cs="Arial"/>
                <w:sz w:val="18"/>
                <w:szCs w:val="18"/>
              </w:rPr>
              <w:t xml:space="preserve"> </w:t>
            </w:r>
            <w:r w:rsidR="00EF009F">
              <w:rPr>
                <w:rFonts w:ascii="Arial" w:hAnsi="Arial" w:cs="Arial"/>
                <w:sz w:val="18"/>
                <w:szCs w:val="18"/>
              </w:rPr>
              <w:t xml:space="preserve">give financial support and </w:t>
            </w:r>
            <w:r w:rsidR="00766D64">
              <w:rPr>
                <w:rFonts w:ascii="Arial" w:hAnsi="Arial" w:cs="Arial"/>
                <w:sz w:val="18"/>
                <w:szCs w:val="18"/>
              </w:rPr>
              <w:t>facilitate certain services</w:t>
            </w:r>
            <w:r w:rsidR="004E451F">
              <w:rPr>
                <w:rFonts w:ascii="Arial" w:hAnsi="Arial" w:cs="Arial"/>
                <w:sz w:val="18"/>
                <w:szCs w:val="18"/>
              </w:rPr>
              <w:t xml:space="preserve">. These constitute </w:t>
            </w:r>
            <w:r w:rsidR="00EF009F">
              <w:rPr>
                <w:rFonts w:ascii="Arial" w:hAnsi="Arial" w:cs="Arial"/>
                <w:sz w:val="18"/>
                <w:szCs w:val="18"/>
              </w:rPr>
              <w:t>contingent liabili</w:t>
            </w:r>
            <w:r w:rsidR="005F1897">
              <w:rPr>
                <w:rFonts w:ascii="Arial" w:hAnsi="Arial" w:cs="Arial"/>
                <w:sz w:val="18"/>
                <w:szCs w:val="18"/>
              </w:rPr>
              <w:t xml:space="preserve">ties. </w:t>
            </w:r>
            <w:r w:rsidR="00EF009F">
              <w:rPr>
                <w:rFonts w:ascii="Arial" w:hAnsi="Arial" w:cs="Arial"/>
                <w:sz w:val="18"/>
                <w:szCs w:val="18"/>
              </w:rPr>
              <w:t xml:space="preserve"> </w:t>
            </w:r>
          </w:p>
        </w:tc>
      </w:tr>
      <w:tr w:rsidR="00E51497" w:rsidRPr="00D776FC" w14:paraId="1B8797C2" w14:textId="77777777" w:rsidTr="003E77C8">
        <w:tc>
          <w:tcPr>
            <w:tcW w:w="3823" w:type="dxa"/>
            <w:tcBorders>
              <w:top w:val="single" w:sz="4" w:space="0" w:color="A6A6A6" w:themeColor="background1" w:themeShade="A6"/>
              <w:left w:val="nil"/>
              <w:bottom w:val="single" w:sz="4" w:space="0" w:color="A6A6A6" w:themeColor="background1" w:themeShade="A6"/>
              <w:right w:val="nil"/>
            </w:tcBorders>
          </w:tcPr>
          <w:p w14:paraId="591D27E6" w14:textId="5FED5B30" w:rsidR="00E51497" w:rsidRDefault="00E51497" w:rsidP="00643E13">
            <w:pPr>
              <w:spacing w:before="60" w:after="60"/>
              <w:rPr>
                <w:rFonts w:ascii="Arial" w:hAnsi="Arial" w:cs="Arial"/>
                <w:sz w:val="18"/>
                <w:szCs w:val="18"/>
              </w:rPr>
            </w:pPr>
            <w:r>
              <w:rPr>
                <w:rFonts w:ascii="Arial" w:hAnsi="Arial" w:cs="Arial"/>
                <w:sz w:val="18"/>
                <w:szCs w:val="18"/>
              </w:rPr>
              <w:t>Bushfires</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4E9093EC" w14:textId="1B130E1A" w:rsidR="00E51497" w:rsidRPr="35CBE550" w:rsidRDefault="00E51497" w:rsidP="00643E13">
            <w:pPr>
              <w:spacing w:before="60" w:after="60"/>
              <w:rPr>
                <w:rFonts w:ascii="Arial" w:hAnsi="Arial" w:cs="Arial"/>
                <w:sz w:val="18"/>
                <w:szCs w:val="18"/>
              </w:rPr>
            </w:pPr>
            <w:r>
              <w:rPr>
                <w:rFonts w:ascii="Arial" w:hAnsi="Arial" w:cs="Arial"/>
                <w:sz w:val="18"/>
                <w:szCs w:val="18"/>
              </w:rPr>
              <w:t>B</w:t>
            </w:r>
            <w:r w:rsidRPr="00E51497">
              <w:rPr>
                <w:rFonts w:ascii="Arial" w:hAnsi="Arial" w:cs="Arial"/>
                <w:sz w:val="18"/>
                <w:szCs w:val="18"/>
              </w:rPr>
              <w:t xml:space="preserve">ushfires across national parks have resulted in extensive property damages, which are being assessed and will require make safe, rectification and replacement works over the next few years. The potential </w:t>
            </w:r>
            <w:r w:rsidR="008B5E7F">
              <w:rPr>
                <w:rFonts w:ascii="Arial" w:hAnsi="Arial" w:cs="Arial"/>
                <w:sz w:val="18"/>
                <w:szCs w:val="18"/>
              </w:rPr>
              <w:t>impact</w:t>
            </w:r>
            <w:r w:rsidRPr="00E51497">
              <w:rPr>
                <w:rFonts w:ascii="Arial" w:hAnsi="Arial" w:cs="Arial"/>
                <w:sz w:val="18"/>
                <w:szCs w:val="18"/>
              </w:rPr>
              <w:t xml:space="preserve"> in property values cannot be estimated at this point of time</w:t>
            </w:r>
            <w:r w:rsidR="00D0378A">
              <w:rPr>
                <w:rFonts w:ascii="Arial" w:hAnsi="Arial" w:cs="Arial"/>
                <w:sz w:val="18"/>
                <w:szCs w:val="18"/>
              </w:rPr>
              <w:t>.</w:t>
            </w:r>
          </w:p>
        </w:tc>
      </w:tr>
      <w:tr w:rsidR="00597BA2" w:rsidRPr="00D776FC" w14:paraId="6819A993" w14:textId="77777777" w:rsidTr="003E77C8">
        <w:tc>
          <w:tcPr>
            <w:tcW w:w="3823" w:type="dxa"/>
            <w:tcBorders>
              <w:top w:val="single" w:sz="4" w:space="0" w:color="A6A6A6" w:themeColor="background1" w:themeShade="A6"/>
              <w:left w:val="nil"/>
              <w:bottom w:val="single" w:sz="4" w:space="0" w:color="auto"/>
              <w:right w:val="nil"/>
            </w:tcBorders>
          </w:tcPr>
          <w:p w14:paraId="0EF7768A" w14:textId="7387EF42" w:rsidR="00597BA2" w:rsidRPr="00C235A2" w:rsidRDefault="00FF3F61" w:rsidP="00643E13">
            <w:pPr>
              <w:spacing w:before="60" w:after="60"/>
              <w:rPr>
                <w:rFonts w:ascii="Arial" w:hAnsi="Arial" w:cs="Arial"/>
                <w:sz w:val="18"/>
                <w:szCs w:val="18"/>
              </w:rPr>
            </w:pPr>
            <w:r>
              <w:rPr>
                <w:rFonts w:ascii="Arial" w:hAnsi="Arial" w:cs="Arial"/>
                <w:sz w:val="18"/>
                <w:szCs w:val="18"/>
              </w:rPr>
              <w:t>U</w:t>
            </w:r>
            <w:r w:rsidR="00E333E5">
              <w:rPr>
                <w:rFonts w:ascii="Arial" w:hAnsi="Arial" w:cs="Arial"/>
                <w:sz w:val="18"/>
                <w:szCs w:val="18"/>
              </w:rPr>
              <w:t>niversity</w:t>
            </w:r>
            <w:r>
              <w:rPr>
                <w:rFonts w:ascii="Arial" w:hAnsi="Arial" w:cs="Arial"/>
                <w:sz w:val="18"/>
                <w:szCs w:val="18"/>
              </w:rPr>
              <w:t xml:space="preserve"> </w:t>
            </w:r>
            <w:r w:rsidR="00E53F14">
              <w:rPr>
                <w:rFonts w:ascii="Arial" w:hAnsi="Arial" w:cs="Arial"/>
                <w:sz w:val="18"/>
                <w:szCs w:val="18"/>
              </w:rPr>
              <w:t>G</w:t>
            </w:r>
            <w:r w:rsidR="00AE5595">
              <w:rPr>
                <w:rFonts w:ascii="Arial" w:hAnsi="Arial" w:cs="Arial"/>
                <w:sz w:val="18"/>
                <w:szCs w:val="18"/>
              </w:rPr>
              <w:t xml:space="preserve">uarantee </w:t>
            </w:r>
            <w:r w:rsidR="00E53F14">
              <w:rPr>
                <w:rFonts w:ascii="Arial" w:hAnsi="Arial" w:cs="Arial"/>
                <w:sz w:val="18"/>
                <w:szCs w:val="18"/>
              </w:rPr>
              <w:t>S</w:t>
            </w:r>
            <w:r w:rsidR="00171441">
              <w:rPr>
                <w:rFonts w:ascii="Arial" w:hAnsi="Arial" w:cs="Arial"/>
                <w:sz w:val="18"/>
                <w:szCs w:val="18"/>
              </w:rPr>
              <w:t>cheme</w:t>
            </w:r>
          </w:p>
        </w:tc>
        <w:tc>
          <w:tcPr>
            <w:tcW w:w="5811" w:type="dxa"/>
            <w:tcBorders>
              <w:top w:val="single" w:sz="4" w:space="0" w:color="A6A6A6" w:themeColor="background1" w:themeShade="A6"/>
              <w:left w:val="nil"/>
              <w:bottom w:val="single" w:sz="4" w:space="0" w:color="auto"/>
              <w:right w:val="nil"/>
            </w:tcBorders>
            <w:vAlign w:val="center"/>
          </w:tcPr>
          <w:p w14:paraId="468B466D" w14:textId="6D4EB1C7" w:rsidR="00597BA2" w:rsidRPr="001F206B" w:rsidRDefault="003B017A" w:rsidP="00643E13">
            <w:pPr>
              <w:spacing w:before="60" w:after="60"/>
              <w:rPr>
                <w:rFonts w:ascii="Arial" w:hAnsi="Arial" w:cs="Arial"/>
                <w:sz w:val="18"/>
                <w:szCs w:val="16"/>
              </w:rPr>
            </w:pPr>
            <w:r w:rsidRPr="001F206B">
              <w:rPr>
                <w:rFonts w:ascii="Arial" w:hAnsi="Arial" w:cs="Arial"/>
                <w:sz w:val="18"/>
                <w:szCs w:val="16"/>
              </w:rPr>
              <w:t xml:space="preserve">The </w:t>
            </w:r>
            <w:r w:rsidR="0019359C" w:rsidRPr="001F206B">
              <w:rPr>
                <w:rFonts w:ascii="Arial" w:hAnsi="Arial" w:cs="Arial"/>
                <w:sz w:val="18"/>
                <w:szCs w:val="16"/>
              </w:rPr>
              <w:t>State</w:t>
            </w:r>
            <w:r w:rsidR="00AF69EF">
              <w:rPr>
                <w:rFonts w:ascii="Arial" w:hAnsi="Arial" w:cs="Arial"/>
                <w:sz w:val="18"/>
                <w:szCs w:val="16"/>
              </w:rPr>
              <w:t xml:space="preserve"> established a scheme to</w:t>
            </w:r>
            <w:r w:rsidRPr="001F206B" w:rsidDel="0019359C">
              <w:rPr>
                <w:rFonts w:ascii="Arial" w:hAnsi="Arial" w:cs="Arial"/>
                <w:sz w:val="18"/>
                <w:szCs w:val="16"/>
              </w:rPr>
              <w:t xml:space="preserve"> </w:t>
            </w:r>
            <w:r w:rsidR="0088652F">
              <w:rPr>
                <w:rFonts w:ascii="Arial" w:hAnsi="Arial" w:cs="Arial"/>
                <w:sz w:val="18"/>
                <w:szCs w:val="16"/>
              </w:rPr>
              <w:t>guarantee</w:t>
            </w:r>
            <w:r w:rsidR="00A2331E">
              <w:rPr>
                <w:rFonts w:ascii="Arial" w:hAnsi="Arial" w:cs="Arial"/>
                <w:sz w:val="18"/>
                <w:szCs w:val="16"/>
              </w:rPr>
              <w:t xml:space="preserve"> commercial loans from financial ins</w:t>
            </w:r>
            <w:r w:rsidR="00993F75">
              <w:rPr>
                <w:rFonts w:ascii="Arial" w:hAnsi="Arial" w:cs="Arial"/>
                <w:sz w:val="18"/>
                <w:szCs w:val="16"/>
              </w:rPr>
              <w:t>titutions to</w:t>
            </w:r>
            <w:r w:rsidR="00A2331E">
              <w:rPr>
                <w:rFonts w:ascii="Arial" w:hAnsi="Arial" w:cs="Arial"/>
                <w:sz w:val="18"/>
                <w:szCs w:val="16"/>
              </w:rPr>
              <w:t xml:space="preserve"> </w:t>
            </w:r>
            <w:r w:rsidR="00A2331E" w:rsidRPr="001F206B">
              <w:rPr>
                <w:rFonts w:ascii="Arial" w:hAnsi="Arial" w:cs="Arial"/>
                <w:sz w:val="18"/>
                <w:szCs w:val="16"/>
              </w:rPr>
              <w:t xml:space="preserve">NSW </w:t>
            </w:r>
            <w:r w:rsidR="0088652F">
              <w:rPr>
                <w:rFonts w:ascii="Arial" w:hAnsi="Arial" w:cs="Arial"/>
                <w:sz w:val="18"/>
                <w:szCs w:val="16"/>
              </w:rPr>
              <w:t>Universities to assist</w:t>
            </w:r>
            <w:r w:rsidR="00993F75" w:rsidRPr="001F206B">
              <w:rPr>
                <w:rFonts w:ascii="Arial" w:hAnsi="Arial" w:cs="Arial"/>
                <w:sz w:val="18"/>
                <w:szCs w:val="16"/>
              </w:rPr>
              <w:t xml:space="preserve"> with the impacts of COVID-19</w:t>
            </w:r>
            <w:r w:rsidR="00993F75">
              <w:rPr>
                <w:rFonts w:ascii="Arial" w:hAnsi="Arial" w:cs="Arial"/>
                <w:sz w:val="18"/>
                <w:szCs w:val="16"/>
              </w:rPr>
              <w:t xml:space="preserve">. </w:t>
            </w:r>
            <w:r w:rsidR="001A14D7">
              <w:rPr>
                <w:rFonts w:ascii="Arial" w:hAnsi="Arial" w:cs="Arial"/>
                <w:sz w:val="18"/>
                <w:szCs w:val="16"/>
              </w:rPr>
              <w:t xml:space="preserve">The Government is currently processing </w:t>
            </w:r>
            <w:r w:rsidR="009C55AD">
              <w:rPr>
                <w:rFonts w:ascii="Arial" w:hAnsi="Arial" w:cs="Arial"/>
                <w:sz w:val="18"/>
                <w:szCs w:val="16"/>
              </w:rPr>
              <w:t xml:space="preserve">applications from NSW Universities </w:t>
            </w:r>
            <w:r w:rsidR="00246B43">
              <w:rPr>
                <w:rFonts w:ascii="Arial" w:hAnsi="Arial" w:cs="Arial"/>
                <w:sz w:val="18"/>
                <w:szCs w:val="16"/>
              </w:rPr>
              <w:t xml:space="preserve">and will begin to </w:t>
            </w:r>
            <w:proofErr w:type="spellStart"/>
            <w:r w:rsidR="00246B43">
              <w:rPr>
                <w:rFonts w:ascii="Arial" w:hAnsi="Arial" w:cs="Arial"/>
                <w:sz w:val="18"/>
                <w:szCs w:val="16"/>
              </w:rPr>
              <w:t>recognise</w:t>
            </w:r>
            <w:proofErr w:type="spellEnd"/>
            <w:r w:rsidR="00246B43">
              <w:rPr>
                <w:rFonts w:ascii="Arial" w:hAnsi="Arial" w:cs="Arial"/>
                <w:sz w:val="18"/>
                <w:szCs w:val="16"/>
              </w:rPr>
              <w:t xml:space="preserve"> the contingent liabilit</w:t>
            </w:r>
            <w:r w:rsidR="00697627">
              <w:rPr>
                <w:rFonts w:ascii="Arial" w:hAnsi="Arial" w:cs="Arial"/>
                <w:sz w:val="18"/>
                <w:szCs w:val="16"/>
              </w:rPr>
              <w:t xml:space="preserve">ies </w:t>
            </w:r>
            <w:r w:rsidR="00246B43">
              <w:rPr>
                <w:rFonts w:ascii="Arial" w:hAnsi="Arial" w:cs="Arial"/>
                <w:sz w:val="18"/>
                <w:szCs w:val="16"/>
              </w:rPr>
              <w:t xml:space="preserve">once the </w:t>
            </w:r>
            <w:r w:rsidR="0088652F">
              <w:rPr>
                <w:rFonts w:ascii="Arial" w:hAnsi="Arial" w:cs="Arial"/>
                <w:sz w:val="18"/>
                <w:szCs w:val="16"/>
              </w:rPr>
              <w:t>guarantees have</w:t>
            </w:r>
            <w:r w:rsidR="00D25154">
              <w:rPr>
                <w:rFonts w:ascii="Arial" w:hAnsi="Arial" w:cs="Arial"/>
                <w:sz w:val="18"/>
                <w:szCs w:val="16"/>
              </w:rPr>
              <w:t xml:space="preserve"> </w:t>
            </w:r>
            <w:r w:rsidR="0088652F">
              <w:rPr>
                <w:rFonts w:ascii="Arial" w:hAnsi="Arial" w:cs="Arial"/>
                <w:sz w:val="18"/>
                <w:szCs w:val="16"/>
              </w:rPr>
              <w:t>been issue</w:t>
            </w:r>
            <w:r w:rsidR="008D01BA">
              <w:rPr>
                <w:rFonts w:ascii="Arial" w:hAnsi="Arial" w:cs="Arial"/>
                <w:sz w:val="18"/>
                <w:szCs w:val="16"/>
              </w:rPr>
              <w:t>d</w:t>
            </w:r>
            <w:r w:rsidR="00D25154">
              <w:rPr>
                <w:rFonts w:ascii="Arial" w:hAnsi="Arial" w:cs="Arial"/>
                <w:sz w:val="18"/>
                <w:szCs w:val="16"/>
              </w:rPr>
              <w:t>. T</w:t>
            </w:r>
            <w:r w:rsidR="008D01BA">
              <w:rPr>
                <w:rFonts w:ascii="Arial" w:hAnsi="Arial" w:cs="Arial"/>
                <w:sz w:val="18"/>
                <w:szCs w:val="16"/>
              </w:rPr>
              <w:t xml:space="preserve">he </w:t>
            </w:r>
            <w:r w:rsidR="00D25154">
              <w:rPr>
                <w:rFonts w:ascii="Arial" w:hAnsi="Arial" w:cs="Arial"/>
                <w:sz w:val="18"/>
                <w:szCs w:val="16"/>
              </w:rPr>
              <w:t xml:space="preserve">total contingent liability possible under the program is </w:t>
            </w:r>
            <w:r w:rsidR="008D01BA">
              <w:rPr>
                <w:rFonts w:ascii="Arial" w:hAnsi="Arial" w:cs="Arial"/>
                <w:sz w:val="18"/>
                <w:szCs w:val="16"/>
              </w:rPr>
              <w:t xml:space="preserve">$750 million. </w:t>
            </w:r>
            <w:r w:rsidR="006315B8">
              <w:rPr>
                <w:rFonts w:ascii="Arial" w:hAnsi="Arial" w:cs="Arial"/>
                <w:sz w:val="18"/>
                <w:szCs w:val="16"/>
              </w:rPr>
              <w:t xml:space="preserve"> </w:t>
            </w:r>
          </w:p>
        </w:tc>
      </w:tr>
      <w:bookmarkEnd w:id="1"/>
      <w:bookmarkEnd w:id="3"/>
    </w:tbl>
    <w:p w14:paraId="6A42ACFC" w14:textId="0BDD7762" w:rsidR="008E7DF7" w:rsidRPr="00E522E6" w:rsidRDefault="008E7DF7" w:rsidP="00AF0457">
      <w:pPr>
        <w:rPr>
          <w:rFonts w:eastAsia="Arial Unicode MS"/>
        </w:rPr>
      </w:pPr>
    </w:p>
    <w:sectPr w:rsidR="008E7DF7" w:rsidRPr="00E522E6" w:rsidSect="004D1D69">
      <w:headerReference w:type="even" r:id="rId11"/>
      <w:headerReference w:type="default" r:id="rId12"/>
      <w:footerReference w:type="even" r:id="rId13"/>
      <w:footerReference w:type="default" r:id="rId14"/>
      <w:footerReference w:type="first" r:id="rId15"/>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579A" w14:textId="77777777" w:rsidR="00500042" w:rsidRDefault="00500042">
      <w:r>
        <w:separator/>
      </w:r>
    </w:p>
  </w:endnote>
  <w:endnote w:type="continuationSeparator" w:id="0">
    <w:p w14:paraId="15DB650E" w14:textId="77777777" w:rsidR="00500042" w:rsidRDefault="00500042">
      <w:r>
        <w:continuationSeparator/>
      </w:r>
    </w:p>
  </w:endnote>
  <w:endnote w:type="continuationNotice" w:id="1">
    <w:p w14:paraId="1EAC59DA" w14:textId="77777777" w:rsidR="00500042" w:rsidRDefault="00500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DECF" w14:textId="4CBD7004" w:rsidR="00BD3FF7" w:rsidRDefault="006E7D31" w:rsidP="00BD3FF7">
    <w:pPr>
      <w:pBdr>
        <w:top w:val="single" w:sz="4" w:space="4" w:color="auto"/>
      </w:pBdr>
      <w:tabs>
        <w:tab w:val="right" w:pos="9639"/>
      </w:tabs>
      <w:rPr>
        <w:rFonts w:ascii="Arial" w:hAnsi="Arial" w:cs="Arial"/>
        <w:sz w:val="18"/>
        <w:szCs w:val="18"/>
      </w:rPr>
    </w:pPr>
    <w:r>
      <w:rPr>
        <w:rFonts w:ascii="Arial" w:hAnsi="Arial" w:cs="Arial"/>
        <w:sz w:val="18"/>
        <w:szCs w:val="18"/>
      </w:rPr>
      <w:t>C</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sidR="00145CF5">
      <w:rPr>
        <w:rFonts w:ascii="Arial" w:hAnsi="Arial" w:cs="Arial"/>
        <w:noProof/>
        <w:sz w:val="18"/>
        <w:szCs w:val="18"/>
      </w:rPr>
      <w:t>2</w:t>
    </w:r>
    <w:r w:rsidRPr="00B610E9">
      <w:rPr>
        <w:rFonts w:ascii="Arial" w:hAnsi="Arial" w:cs="Arial"/>
        <w:sz w:val="18"/>
        <w:szCs w:val="18"/>
      </w:rPr>
      <w:fldChar w:fldCharType="end"/>
    </w:r>
    <w:r>
      <w:rPr>
        <w:rFonts w:ascii="Arial" w:hAnsi="Arial" w:cs="Arial"/>
        <w:sz w:val="18"/>
        <w:szCs w:val="18"/>
      </w:rPr>
      <w:tab/>
    </w:r>
    <w:r w:rsidR="00BD3FF7" w:rsidRPr="00B610E9">
      <w:rPr>
        <w:rFonts w:ascii="Arial" w:hAnsi="Arial" w:cs="Arial"/>
        <w:sz w:val="18"/>
        <w:szCs w:val="18"/>
      </w:rPr>
      <w:t xml:space="preserve">Budget Statement </w:t>
    </w:r>
    <w:r w:rsidR="009E664F">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20F6" w14:textId="003E2ED3" w:rsidR="00BD3FF7" w:rsidRDefault="00BD3FF7" w:rsidP="00BD3FF7">
    <w:pPr>
      <w:pBdr>
        <w:top w:val="single" w:sz="4" w:space="4" w:color="auto"/>
      </w:pBdr>
      <w:tabs>
        <w:tab w:val="right" w:pos="9639"/>
      </w:tabs>
      <w:rPr>
        <w:rFonts w:ascii="Arial" w:hAnsi="Arial" w:cs="Arial"/>
        <w:sz w:val="18"/>
        <w:szCs w:val="18"/>
      </w:rPr>
    </w:pPr>
    <w:r w:rsidRPr="00A14DAC">
      <w:rPr>
        <w:rFonts w:ascii="Arial" w:hAnsi="Arial" w:cs="Arial"/>
        <w:sz w:val="18"/>
        <w:szCs w:val="18"/>
      </w:rPr>
      <w:t xml:space="preserve">Budget Statement </w:t>
    </w:r>
    <w:r w:rsidR="009E664F">
      <w:rPr>
        <w:rFonts w:ascii="Arial" w:hAnsi="Arial" w:cs="Arial"/>
        <w:sz w:val="18"/>
        <w:szCs w:val="18"/>
      </w:rPr>
      <w:t>2020-21</w:t>
    </w:r>
    <w:r w:rsidR="006E7D31">
      <w:rPr>
        <w:rFonts w:ascii="Arial" w:hAnsi="Arial" w:cs="Arial"/>
        <w:sz w:val="18"/>
        <w:szCs w:val="18"/>
      </w:rPr>
      <w:tab/>
      <w:t>C</w:t>
    </w:r>
    <w:r w:rsidR="006E7D31" w:rsidRPr="00A14DAC">
      <w:rPr>
        <w:rFonts w:ascii="Arial" w:hAnsi="Arial" w:cs="Arial"/>
        <w:sz w:val="18"/>
        <w:szCs w:val="18"/>
      </w:rPr>
      <w:t xml:space="preserve"> - </w:t>
    </w:r>
    <w:r w:rsidR="006E7D31" w:rsidRPr="00A14DAC">
      <w:rPr>
        <w:rFonts w:ascii="Arial" w:hAnsi="Arial" w:cs="Arial"/>
        <w:sz w:val="18"/>
        <w:szCs w:val="18"/>
      </w:rPr>
      <w:fldChar w:fldCharType="begin"/>
    </w:r>
    <w:r w:rsidR="006E7D31" w:rsidRPr="00A14DAC">
      <w:rPr>
        <w:rFonts w:ascii="Arial" w:hAnsi="Arial" w:cs="Arial"/>
        <w:sz w:val="18"/>
        <w:szCs w:val="18"/>
      </w:rPr>
      <w:instrText xml:space="preserve"> PAGE   \* MERGEFORMAT </w:instrText>
    </w:r>
    <w:r w:rsidR="006E7D31" w:rsidRPr="00A14DAC">
      <w:rPr>
        <w:rFonts w:ascii="Arial" w:hAnsi="Arial" w:cs="Arial"/>
        <w:sz w:val="18"/>
        <w:szCs w:val="18"/>
      </w:rPr>
      <w:fldChar w:fldCharType="separate"/>
    </w:r>
    <w:r w:rsidR="00145CF5">
      <w:rPr>
        <w:rFonts w:ascii="Arial" w:hAnsi="Arial" w:cs="Arial"/>
        <w:noProof/>
        <w:sz w:val="18"/>
        <w:szCs w:val="18"/>
      </w:rPr>
      <w:t>3</w:t>
    </w:r>
    <w:r w:rsidR="006E7D31" w:rsidRPr="00A14DA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9D17" w14:textId="716EB2EB" w:rsidR="00BD3FF7" w:rsidRDefault="00BD3FF7" w:rsidP="00BD3FF7">
    <w:pPr>
      <w:pBdr>
        <w:top w:val="single" w:sz="4" w:space="4" w:color="auto"/>
      </w:pBdr>
      <w:tabs>
        <w:tab w:val="right" w:pos="9639"/>
      </w:tabs>
      <w:rPr>
        <w:rFonts w:ascii="Arial" w:hAnsi="Arial" w:cs="Arial"/>
        <w:sz w:val="18"/>
        <w:szCs w:val="18"/>
      </w:rPr>
    </w:pPr>
    <w:r w:rsidRPr="00B610E9">
      <w:rPr>
        <w:rFonts w:ascii="Arial" w:hAnsi="Arial" w:cs="Arial"/>
        <w:sz w:val="18"/>
        <w:szCs w:val="18"/>
      </w:rPr>
      <w:t xml:space="preserve">Budget Statement </w:t>
    </w:r>
    <w:r w:rsidR="009E664F">
      <w:rPr>
        <w:rFonts w:ascii="Arial" w:hAnsi="Arial" w:cs="Arial"/>
        <w:sz w:val="18"/>
        <w:szCs w:val="18"/>
      </w:rPr>
      <w:t>2020-21</w:t>
    </w:r>
    <w:r w:rsidR="006E7D31">
      <w:rPr>
        <w:rFonts w:ascii="Arial" w:hAnsi="Arial" w:cs="Arial"/>
        <w:sz w:val="18"/>
        <w:szCs w:val="18"/>
      </w:rPr>
      <w:tab/>
      <w:t>C</w:t>
    </w:r>
    <w:r w:rsidR="006E7D31" w:rsidRPr="00B610E9">
      <w:rPr>
        <w:rFonts w:ascii="Arial" w:hAnsi="Arial" w:cs="Arial"/>
        <w:sz w:val="18"/>
        <w:szCs w:val="18"/>
      </w:rPr>
      <w:t xml:space="preserve"> - </w:t>
    </w:r>
    <w:r w:rsidR="006E7D31" w:rsidRPr="00B610E9">
      <w:rPr>
        <w:rFonts w:ascii="Arial" w:hAnsi="Arial" w:cs="Arial"/>
        <w:sz w:val="18"/>
        <w:szCs w:val="18"/>
      </w:rPr>
      <w:fldChar w:fldCharType="begin"/>
    </w:r>
    <w:r w:rsidR="006E7D31" w:rsidRPr="00B610E9">
      <w:rPr>
        <w:rFonts w:ascii="Arial" w:hAnsi="Arial" w:cs="Arial"/>
        <w:sz w:val="18"/>
        <w:szCs w:val="18"/>
      </w:rPr>
      <w:instrText xml:space="preserve"> PAGE   \* MERGEFORMAT </w:instrText>
    </w:r>
    <w:r w:rsidR="006E7D31" w:rsidRPr="00B610E9">
      <w:rPr>
        <w:rFonts w:ascii="Arial" w:hAnsi="Arial" w:cs="Arial"/>
        <w:sz w:val="18"/>
        <w:szCs w:val="18"/>
      </w:rPr>
      <w:fldChar w:fldCharType="separate"/>
    </w:r>
    <w:r w:rsidR="00145CF5">
      <w:rPr>
        <w:rFonts w:ascii="Arial" w:hAnsi="Arial" w:cs="Arial"/>
        <w:noProof/>
        <w:sz w:val="18"/>
        <w:szCs w:val="18"/>
      </w:rPr>
      <w:t>1</w:t>
    </w:r>
    <w:r w:rsidR="006E7D31" w:rsidRPr="00B610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5BE2" w14:textId="77777777" w:rsidR="00500042" w:rsidRDefault="00500042">
      <w:r>
        <w:separator/>
      </w:r>
    </w:p>
  </w:footnote>
  <w:footnote w:type="continuationSeparator" w:id="0">
    <w:p w14:paraId="4573C529" w14:textId="77777777" w:rsidR="00500042" w:rsidRDefault="00500042">
      <w:r>
        <w:continuationSeparator/>
      </w:r>
    </w:p>
  </w:footnote>
  <w:footnote w:type="continuationNotice" w:id="1">
    <w:p w14:paraId="3C2E6716" w14:textId="77777777" w:rsidR="00500042" w:rsidRDefault="00500042"/>
  </w:footnote>
  <w:footnote w:id="2">
    <w:p w14:paraId="0711B3ED" w14:textId="2EEB9559" w:rsidR="00994A5F" w:rsidRPr="004D1D69" w:rsidRDefault="00994A5F" w:rsidP="00714259">
      <w:pPr>
        <w:pStyle w:val="FootnoteText"/>
        <w:spacing w:before="0" w:after="0"/>
        <w:ind w:hanging="284"/>
        <w:rPr>
          <w:i w:val="0"/>
          <w:iCs/>
        </w:rPr>
      </w:pPr>
      <w:r w:rsidRPr="004D1D69">
        <w:rPr>
          <w:rStyle w:val="FootnoteReference"/>
          <w:rFonts w:ascii="Arial" w:hAnsi="Arial" w:cs="Arial"/>
          <w:i w:val="0"/>
          <w:iCs/>
          <w:sz w:val="17"/>
          <w:szCs w:val="17"/>
        </w:rPr>
        <w:footnoteRef/>
      </w:r>
      <w:r w:rsidRPr="004D1D69">
        <w:rPr>
          <w:rFonts w:ascii="Arial" w:hAnsi="Arial" w:cs="Arial"/>
          <w:i w:val="0"/>
          <w:iCs/>
          <w:sz w:val="17"/>
          <w:szCs w:val="17"/>
        </w:rPr>
        <w:t xml:space="preserve"> </w:t>
      </w:r>
      <w:r w:rsidR="00CC134E" w:rsidRPr="004D1D69">
        <w:rPr>
          <w:rFonts w:ascii="Arial" w:hAnsi="Arial" w:cs="Arial"/>
          <w:i w:val="0"/>
          <w:iCs/>
          <w:sz w:val="17"/>
          <w:szCs w:val="17"/>
        </w:rPr>
        <w:t xml:space="preserve"> </w:t>
      </w:r>
      <w:r w:rsidR="009D6BE5" w:rsidRPr="004D1D69">
        <w:rPr>
          <w:rFonts w:ascii="Arial" w:hAnsi="Arial" w:cs="Arial"/>
          <w:i w:val="0"/>
          <w:iCs/>
          <w:sz w:val="17"/>
          <w:szCs w:val="17"/>
        </w:rPr>
        <w:tab/>
      </w:r>
      <w:r w:rsidR="00CC134E" w:rsidRPr="004D1D69">
        <w:rPr>
          <w:rFonts w:ascii="Arial" w:hAnsi="Arial" w:cs="Arial"/>
          <w:i w:val="0"/>
          <w:iCs/>
          <w:sz w:val="17"/>
          <w:szCs w:val="17"/>
        </w:rPr>
        <w:t xml:space="preserve">The State has a </w:t>
      </w:r>
      <w:r w:rsidR="004F7DD5" w:rsidRPr="004D1D69">
        <w:rPr>
          <w:rFonts w:ascii="Arial" w:hAnsi="Arial" w:cs="Arial"/>
          <w:i w:val="0"/>
          <w:iCs/>
          <w:sz w:val="17"/>
          <w:szCs w:val="17"/>
        </w:rPr>
        <w:t>t</w:t>
      </w:r>
      <w:r w:rsidR="00A71653" w:rsidRPr="004D1D69">
        <w:rPr>
          <w:rFonts w:ascii="Arial" w:hAnsi="Arial" w:cs="Arial"/>
          <w:i w:val="0"/>
          <w:iCs/>
          <w:sz w:val="17"/>
          <w:szCs w:val="17"/>
        </w:rPr>
        <w:t>riple-</w:t>
      </w:r>
      <w:r w:rsidR="00CC134E" w:rsidRPr="004D1D69">
        <w:rPr>
          <w:rFonts w:ascii="Arial" w:hAnsi="Arial" w:cs="Arial"/>
          <w:i w:val="0"/>
          <w:iCs/>
          <w:sz w:val="17"/>
          <w:szCs w:val="17"/>
        </w:rPr>
        <w:t xml:space="preserve">A credit rating, representing </w:t>
      </w:r>
      <w:r w:rsidR="00AD2AD1" w:rsidRPr="004D1D69">
        <w:rPr>
          <w:rFonts w:ascii="Arial" w:hAnsi="Arial" w:cs="Arial"/>
          <w:i w:val="0"/>
          <w:iCs/>
          <w:sz w:val="17"/>
          <w:szCs w:val="17"/>
        </w:rPr>
        <w:t xml:space="preserve">an </w:t>
      </w:r>
      <w:r w:rsidR="009616D0" w:rsidRPr="004D1D69">
        <w:rPr>
          <w:rFonts w:ascii="Arial" w:hAnsi="Arial" w:cs="Arial"/>
          <w:i w:val="0"/>
          <w:iCs/>
          <w:sz w:val="17"/>
          <w:szCs w:val="17"/>
        </w:rPr>
        <w:t xml:space="preserve">extremely </w:t>
      </w:r>
      <w:r w:rsidR="00CC134E" w:rsidRPr="004D1D69">
        <w:rPr>
          <w:rFonts w:ascii="Arial" w:hAnsi="Arial" w:cs="Arial"/>
          <w:i w:val="0"/>
          <w:iCs/>
          <w:sz w:val="17"/>
          <w:szCs w:val="17"/>
        </w:rPr>
        <w:t>remote chance of default on any borrowings. For this reason, Government Entities</w:t>
      </w:r>
      <w:r w:rsidR="009616D0" w:rsidRPr="004D1D69">
        <w:rPr>
          <w:rFonts w:ascii="Arial" w:hAnsi="Arial" w:cs="Arial"/>
          <w:i w:val="0"/>
          <w:iCs/>
          <w:sz w:val="17"/>
          <w:szCs w:val="17"/>
        </w:rPr>
        <w:t>’ borrowings</w:t>
      </w:r>
      <w:r w:rsidR="00CC134E" w:rsidRPr="004D1D69">
        <w:rPr>
          <w:rFonts w:ascii="Arial" w:hAnsi="Arial" w:cs="Arial"/>
          <w:i w:val="0"/>
          <w:iCs/>
          <w:sz w:val="17"/>
          <w:szCs w:val="17"/>
        </w:rPr>
        <w:t xml:space="preserve"> are not considered contingent liabilities.</w:t>
      </w:r>
      <w:r w:rsidR="00E559CB" w:rsidRPr="004D1D69">
        <w:rPr>
          <w:rFonts w:ascii="Arial" w:hAnsi="Arial" w:cs="Arial"/>
          <w:i w:val="0"/>
          <w:iCs/>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A77" w14:textId="52C6874B" w:rsidR="00BD3FF7" w:rsidRPr="001228EB" w:rsidRDefault="0034556D" w:rsidP="006E7D31">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w:t>
    </w:r>
    <w:r>
      <w:rPr>
        <w:rFonts w:ascii="Arial" w:eastAsia="Calibri" w:hAnsi="Arial" w:cs="Arial"/>
        <w:sz w:val="18"/>
        <w:szCs w:val="18"/>
      </w:rPr>
      <w:t xml:space="preserve">ssets and </w:t>
    </w:r>
    <w:r w:rsidR="009C65F3">
      <w:rPr>
        <w:rFonts w:ascii="Arial" w:eastAsia="Calibri" w:hAnsi="Arial" w:cs="Arial"/>
        <w:sz w:val="18"/>
        <w:szCs w:val="18"/>
      </w:rPr>
      <w:t>Li</w:t>
    </w:r>
    <w:r>
      <w:rPr>
        <w:rFonts w:ascii="Arial" w:eastAsia="Calibri" w:hAnsi="Arial" w:cs="Arial"/>
        <w:sz w:val="18"/>
        <w:szCs w:val="18"/>
      </w:rPr>
      <w:t>abilities</w:t>
    </w:r>
  </w:p>
  <w:p w14:paraId="05A18A11" w14:textId="77777777" w:rsidR="00BD3FF7" w:rsidRDefault="00BD3F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B0C2" w14:textId="674A343D" w:rsidR="00BD3FF7" w:rsidRPr="00A14DAC" w:rsidRDefault="00D776FC" w:rsidP="006E7D31">
    <w:pPr>
      <w:pBdr>
        <w:bottom w:val="single" w:sz="2"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Assets and L</w:t>
    </w:r>
    <w:r>
      <w:rPr>
        <w:rFonts w:ascii="Arial" w:eastAsia="Calibri" w:hAnsi="Arial" w:cs="Arial"/>
        <w:sz w:val="18"/>
        <w:szCs w:val="18"/>
      </w:rPr>
      <w:t>iabilities</w:t>
    </w:r>
  </w:p>
  <w:p w14:paraId="530CD32C" w14:textId="77777777" w:rsidR="00BD3FF7" w:rsidRDefault="00BD3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BD3"/>
    <w:multiLevelType w:val="hybridMultilevel"/>
    <w:tmpl w:val="E5EC3866"/>
    <w:lvl w:ilvl="0" w:tplc="EE247A0E">
      <w:start w:val="1"/>
      <w:numFmt w:val="decimal"/>
      <w:lvlText w:val="Table C.%1:"/>
      <w:lvlJc w:val="left"/>
      <w:pPr>
        <w:ind w:left="360" w:hanging="360"/>
      </w:pPr>
      <w:rPr>
        <w:rFonts w:ascii="Arial" w:hAnsi="Arial" w:hint="default"/>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707EA"/>
    <w:multiLevelType w:val="hybridMultilevel"/>
    <w:tmpl w:val="871A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96656"/>
    <w:multiLevelType w:val="hybridMultilevel"/>
    <w:tmpl w:val="830872C6"/>
    <w:lvl w:ilvl="0" w:tplc="67B855CC">
      <w:start w:val="1"/>
      <w:numFmt w:val="decimal"/>
      <w:pStyle w:val="Heading2"/>
      <w:lvlText w:val="%1."/>
      <w:lvlJc w:val="left"/>
      <w:pPr>
        <w:ind w:left="720" w:hanging="360"/>
      </w:pPr>
      <w:rPr>
        <w:rFonts w:ascii="Arial" w:hAnsi="Arial" w:hint="default"/>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B41EBB"/>
    <w:multiLevelType w:val="hybridMultilevel"/>
    <w:tmpl w:val="23B8BF64"/>
    <w:lvl w:ilvl="0" w:tplc="289096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860651"/>
    <w:multiLevelType w:val="hybridMultilevel"/>
    <w:tmpl w:val="053C4D44"/>
    <w:lvl w:ilvl="0" w:tplc="1884DF2A">
      <w:start w:val="1"/>
      <w:numFmt w:val="decimal"/>
      <w:pStyle w:val="Table4X"/>
      <w:lvlText w:val="Table B.%1:"/>
      <w:lvlJc w:val="left"/>
      <w:pPr>
        <w:ind w:left="360" w:hanging="360"/>
      </w:pPr>
      <w:rPr>
        <w:rFonts w:ascii="Arial" w:hAnsi="Arial" w:cs="Times New Roman"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86899"/>
    <w:multiLevelType w:val="hybridMultilevel"/>
    <w:tmpl w:val="053E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778CF"/>
    <w:multiLevelType w:val="hybridMultilevel"/>
    <w:tmpl w:val="BCFA6B76"/>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06A23770"/>
    <w:multiLevelType w:val="hybridMultilevel"/>
    <w:tmpl w:val="62BA0632"/>
    <w:lvl w:ilvl="0" w:tplc="0C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D5CEE"/>
    <w:multiLevelType w:val="hybridMultilevel"/>
    <w:tmpl w:val="9BA6B8F2"/>
    <w:lvl w:ilvl="0" w:tplc="0C090001">
      <w:start w:val="1"/>
      <w:numFmt w:val="bullet"/>
      <w:lvlText w:val=""/>
      <w:lvlJc w:val="left"/>
      <w:pPr>
        <w:ind w:left="1256" w:hanging="360"/>
      </w:pPr>
      <w:rPr>
        <w:rFonts w:ascii="Symbol" w:hAnsi="Symbol"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9" w15:restartNumberingAfterBreak="0">
    <w:nsid w:val="0FFC6611"/>
    <w:multiLevelType w:val="hybridMultilevel"/>
    <w:tmpl w:val="CA32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55780"/>
    <w:multiLevelType w:val="hybridMultilevel"/>
    <w:tmpl w:val="30F0A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F0396"/>
    <w:multiLevelType w:val="hybridMultilevel"/>
    <w:tmpl w:val="5044C8D6"/>
    <w:lvl w:ilvl="0" w:tplc="0A108532">
      <w:start w:val="5"/>
      <w:numFmt w:val="bullet"/>
      <w:lvlText w:val="-"/>
      <w:lvlJc w:val="left"/>
      <w:pPr>
        <w:ind w:left="720" w:hanging="360"/>
      </w:pPr>
      <w:rPr>
        <w:rFonts w:ascii="Times New Roman" w:eastAsia="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491135"/>
    <w:multiLevelType w:val="hybridMultilevel"/>
    <w:tmpl w:val="B560D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1CDC5993"/>
    <w:multiLevelType w:val="hybridMultilevel"/>
    <w:tmpl w:val="4190B9F2"/>
    <w:lvl w:ilvl="0" w:tplc="D9C86D3E">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A3E59"/>
    <w:multiLevelType w:val="hybridMultilevel"/>
    <w:tmpl w:val="18B8A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D0303C"/>
    <w:multiLevelType w:val="hybridMultilevel"/>
    <w:tmpl w:val="3DD43BB0"/>
    <w:lvl w:ilvl="0" w:tplc="EC18DE8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6C16DD"/>
    <w:multiLevelType w:val="hybridMultilevel"/>
    <w:tmpl w:val="1736B966"/>
    <w:lvl w:ilvl="0" w:tplc="CCE4E88E">
      <w:start w:val="1"/>
      <w:numFmt w:val="decimal"/>
      <w:lvlText w:val="Table C.%1:"/>
      <w:lvlJc w:val="left"/>
      <w:pPr>
        <w:ind w:left="360" w:hanging="360"/>
      </w:pPr>
      <w:rPr>
        <w:rFonts w:ascii="Arial" w:hAnsi="Arial" w:hint="default"/>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B838E2"/>
    <w:multiLevelType w:val="hybridMultilevel"/>
    <w:tmpl w:val="04A2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3672BE"/>
    <w:multiLevelType w:val="hybridMultilevel"/>
    <w:tmpl w:val="8DE4EDF4"/>
    <w:lvl w:ilvl="0" w:tplc="5962816C">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38635E"/>
    <w:multiLevelType w:val="hybridMultilevel"/>
    <w:tmpl w:val="70AE1C0A"/>
    <w:lvl w:ilvl="0" w:tplc="56BE1D6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E6556A"/>
    <w:multiLevelType w:val="hybridMultilevel"/>
    <w:tmpl w:val="FF2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2D0B68"/>
    <w:multiLevelType w:val="hybridMultilevel"/>
    <w:tmpl w:val="9320CF90"/>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46660C62"/>
    <w:multiLevelType w:val="hybridMultilevel"/>
    <w:tmpl w:val="1A2E9FDE"/>
    <w:lvl w:ilvl="0" w:tplc="BEDED168">
      <w:start w:val="1"/>
      <w:numFmt w:val="bullet"/>
      <w:pStyle w:val="Bullet1inabox"/>
      <w:lvlText w:val=""/>
      <w:lvlJc w:val="left"/>
      <w:pPr>
        <w:ind w:left="360" w:hanging="360"/>
      </w:pPr>
      <w:rPr>
        <w:rFonts w:ascii="Symbol" w:hAnsi="Symbol" w:hint="default"/>
        <w:color w:val="008EB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8660A9"/>
    <w:multiLevelType w:val="hybridMultilevel"/>
    <w:tmpl w:val="FA02B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02070"/>
    <w:multiLevelType w:val="hybridMultilevel"/>
    <w:tmpl w:val="6FB875C4"/>
    <w:lvl w:ilvl="0" w:tplc="DA72FFD6">
      <w:start w:val="5"/>
      <w:numFmt w:val="decimal"/>
      <w:lvlText w:val="7.%1"/>
      <w:lvlJc w:val="left"/>
      <w:pPr>
        <w:ind w:left="360" w:hanging="360"/>
      </w:pPr>
      <w:rPr>
        <w:rFonts w:ascii="Arial Bold" w:hAnsi="Arial Bold" w:hint="default"/>
        <w:b/>
        <w:i w:val="0"/>
        <w:caps w:val="0"/>
        <w:color w:val="00ABE6"/>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00143F"/>
    <w:multiLevelType w:val="hybridMultilevel"/>
    <w:tmpl w:val="DDDE35B0"/>
    <w:lvl w:ilvl="0" w:tplc="30ACA7B8">
      <w:start w:val="1"/>
      <w:numFmt w:val="decimal"/>
      <w:lvlText w:val="Table C.%1:"/>
      <w:lvlJc w:val="left"/>
      <w:pPr>
        <w:ind w:left="720" w:hanging="360"/>
      </w:pPr>
      <w:rPr>
        <w:rFonts w:ascii="Arial" w:hAnsi="Arial" w:hint="default"/>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6859C7"/>
    <w:multiLevelType w:val="hybridMultilevel"/>
    <w:tmpl w:val="1262AE32"/>
    <w:lvl w:ilvl="0" w:tplc="F3D0F23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090001">
      <w:start w:val="1"/>
      <w:numFmt w:val="bullet"/>
      <w:lvlText w:val=""/>
      <w:lvlJc w:val="left"/>
      <w:pPr>
        <w:ind w:left="75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B482098">
      <w:start w:val="1"/>
      <w:numFmt w:val="bullet"/>
      <w:lvlText w:val="▪"/>
      <w:lvlJc w:val="left"/>
      <w:pPr>
        <w:ind w:left="147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AE2C8390">
      <w:start w:val="1"/>
      <w:numFmt w:val="bullet"/>
      <w:lvlText w:val="•"/>
      <w:lvlJc w:val="left"/>
      <w:pPr>
        <w:ind w:left="219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93246FC6">
      <w:start w:val="1"/>
      <w:numFmt w:val="bullet"/>
      <w:lvlText w:val="o"/>
      <w:lvlJc w:val="left"/>
      <w:pPr>
        <w:ind w:left="291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735862AC">
      <w:start w:val="1"/>
      <w:numFmt w:val="bullet"/>
      <w:lvlText w:val="▪"/>
      <w:lvlJc w:val="left"/>
      <w:pPr>
        <w:ind w:left="363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F5F6A740">
      <w:start w:val="1"/>
      <w:numFmt w:val="bullet"/>
      <w:lvlText w:val="•"/>
      <w:lvlJc w:val="left"/>
      <w:pPr>
        <w:ind w:left="435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EA46194A">
      <w:start w:val="1"/>
      <w:numFmt w:val="bullet"/>
      <w:lvlText w:val="o"/>
      <w:lvlJc w:val="left"/>
      <w:pPr>
        <w:ind w:left="507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943C27B6">
      <w:start w:val="1"/>
      <w:numFmt w:val="bullet"/>
      <w:lvlText w:val="▪"/>
      <w:lvlJc w:val="left"/>
      <w:pPr>
        <w:ind w:left="5791"/>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DC04B9"/>
    <w:multiLevelType w:val="hybridMultilevel"/>
    <w:tmpl w:val="B2725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C13E3F"/>
    <w:multiLevelType w:val="hybridMultilevel"/>
    <w:tmpl w:val="60FC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C3F69"/>
    <w:multiLevelType w:val="hybridMultilevel"/>
    <w:tmpl w:val="80B666F6"/>
    <w:lvl w:ilvl="0" w:tplc="9624729E">
      <w:start w:val="1"/>
      <w:numFmt w:val="decimal"/>
      <w:pStyle w:val="Table7X"/>
      <w:lvlText w:val="Table C.%1:"/>
      <w:lvlJc w:val="left"/>
      <w:pPr>
        <w:ind w:left="360" w:hanging="360"/>
      </w:pPr>
      <w:rPr>
        <w:rFonts w:ascii="Arial" w:hAnsi="Arial" w:hint="default"/>
        <w:b w:val="0"/>
        <w:i/>
        <w:color w:val="4F4F4F"/>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0332E3"/>
    <w:multiLevelType w:val="hybridMultilevel"/>
    <w:tmpl w:val="E2E4F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3947C6"/>
    <w:multiLevelType w:val="hybridMultilevel"/>
    <w:tmpl w:val="FACE61DC"/>
    <w:lvl w:ilvl="0" w:tplc="0C090001">
      <w:start w:val="1"/>
      <w:numFmt w:val="bullet"/>
      <w:lvlText w:val=""/>
      <w:lvlJc w:val="left"/>
      <w:pPr>
        <w:ind w:left="720" w:hanging="360"/>
      </w:pPr>
      <w:rPr>
        <w:rFonts w:ascii="Symbol" w:hAnsi="Symbol" w:hint="default"/>
      </w:rPr>
    </w:lvl>
    <w:lvl w:ilvl="1" w:tplc="924048B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F7269"/>
    <w:multiLevelType w:val="hybridMultilevel"/>
    <w:tmpl w:val="E89EA21A"/>
    <w:lvl w:ilvl="0" w:tplc="65C00D10">
      <w:start w:val="1"/>
      <w:numFmt w:val="decimal"/>
      <w:pStyle w:val="BoxHeading"/>
      <w:lvlText w:val="Box C.%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E63632"/>
    <w:multiLevelType w:val="hybridMultilevel"/>
    <w:tmpl w:val="4B86E4B6"/>
    <w:lvl w:ilvl="0" w:tplc="93A0DCE8">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B20EBF"/>
    <w:multiLevelType w:val="hybridMultilevel"/>
    <w:tmpl w:val="A45E18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1D7B3E"/>
    <w:multiLevelType w:val="hybridMultilevel"/>
    <w:tmpl w:val="027C9B78"/>
    <w:lvl w:ilvl="0" w:tplc="0C2E95A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377E40"/>
    <w:multiLevelType w:val="hybridMultilevel"/>
    <w:tmpl w:val="59E87CB0"/>
    <w:lvl w:ilvl="0" w:tplc="C97423EC">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F2F4F"/>
    <w:multiLevelType w:val="hybridMultilevel"/>
    <w:tmpl w:val="4638296C"/>
    <w:lvl w:ilvl="0" w:tplc="EB269F00">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125C7A"/>
    <w:multiLevelType w:val="hybridMultilevel"/>
    <w:tmpl w:val="651076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F8A2FA8"/>
    <w:multiLevelType w:val="hybridMultilevel"/>
    <w:tmpl w:val="289E8BC0"/>
    <w:lvl w:ilvl="0" w:tplc="510E0FD2">
      <w:start w:val="5"/>
      <w:numFmt w:val="bullet"/>
      <w:lvlText w:val="-"/>
      <w:lvlJc w:val="left"/>
      <w:pPr>
        <w:ind w:left="720" w:hanging="360"/>
      </w:pPr>
      <w:rPr>
        <w:rFonts w:ascii="Times New Roman" w:eastAsia="Times New Roman" w:hAnsi="Times New Roman" w:cs="Times New Roman"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6"/>
  </w:num>
  <w:num w:numId="4">
    <w:abstractNumId w:val="29"/>
  </w:num>
  <w:num w:numId="5">
    <w:abstractNumId w:val="7"/>
  </w:num>
  <w:num w:numId="6">
    <w:abstractNumId w:val="37"/>
  </w:num>
  <w:num w:numId="7">
    <w:abstractNumId w:val="17"/>
  </w:num>
  <w:num w:numId="8">
    <w:abstractNumId w:val="38"/>
  </w:num>
  <w:num w:numId="9">
    <w:abstractNumId w:val="36"/>
  </w:num>
  <w:num w:numId="10">
    <w:abstractNumId w:val="11"/>
  </w:num>
  <w:num w:numId="11">
    <w:abstractNumId w:val="39"/>
  </w:num>
  <w:num w:numId="12">
    <w:abstractNumId w:val="40"/>
  </w:num>
  <w:num w:numId="13">
    <w:abstractNumId w:val="42"/>
  </w:num>
  <w:num w:numId="14">
    <w:abstractNumId w:val="26"/>
  </w:num>
  <w:num w:numId="15">
    <w:abstractNumId w:val="14"/>
  </w:num>
  <w:num w:numId="16">
    <w:abstractNumId w:val="41"/>
  </w:num>
  <w:num w:numId="17">
    <w:abstractNumId w:val="19"/>
  </w:num>
  <w:num w:numId="18">
    <w:abstractNumId w:val="12"/>
  </w:num>
  <w:num w:numId="19">
    <w:abstractNumId w:val="33"/>
  </w:num>
  <w:num w:numId="20">
    <w:abstractNumId w:val="34"/>
  </w:num>
  <w:num w:numId="21">
    <w:abstractNumId w:val="10"/>
  </w:num>
  <w:num w:numId="22">
    <w:abstractNumId w:val="32"/>
    <w:lvlOverride w:ilvl="0">
      <w:startOverride w:val="1"/>
    </w:lvlOverride>
  </w:num>
  <w:num w:numId="23">
    <w:abstractNumId w:val="32"/>
    <w:lvlOverride w:ilvl="0">
      <w:startOverride w:val="1"/>
    </w:lvlOverride>
  </w:num>
  <w:num w:numId="24">
    <w:abstractNumId w:val="5"/>
  </w:num>
  <w:num w:numId="25">
    <w:abstractNumId w:val="22"/>
  </w:num>
  <w:num w:numId="26">
    <w:abstractNumId w:val="1"/>
  </w:num>
  <w:num w:numId="27">
    <w:abstractNumId w:val="32"/>
  </w:num>
  <w:num w:numId="28">
    <w:abstractNumId w:val="32"/>
  </w:num>
  <w:num w:numId="29">
    <w:abstractNumId w:val="32"/>
  </w:num>
  <w:num w:numId="30">
    <w:abstractNumId w:val="32"/>
  </w:num>
  <w:num w:numId="31">
    <w:abstractNumId w:val="32"/>
  </w:num>
  <w:num w:numId="32">
    <w:abstractNumId w:val="23"/>
  </w:num>
  <w:num w:numId="33">
    <w:abstractNumId w:val="8"/>
  </w:num>
  <w:num w:numId="34">
    <w:abstractNumId w:val="9"/>
  </w:num>
  <w:num w:numId="35">
    <w:abstractNumId w:val="31"/>
  </w:num>
  <w:num w:numId="36">
    <w:abstractNumId w:val="30"/>
  </w:num>
  <w:num w:numId="37">
    <w:abstractNumId w:val="13"/>
  </w:num>
  <w:num w:numId="38">
    <w:abstractNumId w:val="20"/>
  </w:num>
  <w:num w:numId="39">
    <w:abstractNumId w:val="25"/>
  </w:num>
  <w:num w:numId="40">
    <w:abstractNumId w:val="21"/>
  </w:num>
  <w:num w:numId="41">
    <w:abstractNumId w:val="2"/>
  </w:num>
  <w:num w:numId="42">
    <w:abstractNumId w:val="4"/>
  </w:num>
  <w:num w:numId="43">
    <w:abstractNumId w:val="18"/>
  </w:num>
  <w:num w:numId="44">
    <w:abstractNumId w:val="16"/>
  </w:num>
  <w:num w:numId="45">
    <w:abstractNumId w:val="35"/>
  </w:num>
  <w:num w:numId="46">
    <w:abstractNumId w:val="18"/>
  </w:num>
  <w:num w:numId="47">
    <w:abstractNumId w:val="18"/>
  </w:num>
  <w:num w:numId="48">
    <w:abstractNumId w:val="18"/>
  </w:num>
  <w:num w:numId="49">
    <w:abstractNumId w:val="24"/>
  </w:num>
  <w:num w:numId="50">
    <w:abstractNumId w:val="0"/>
  </w:num>
  <w:num w:numId="51">
    <w:abstractNumId w:val="28"/>
  </w:num>
  <w:num w:numId="52">
    <w:abstractNumId w:val="18"/>
    <w:lvlOverride w:ilvl="0">
      <w:startOverride w:val="5"/>
    </w:lvlOverride>
  </w:num>
  <w:num w:numId="53">
    <w:abstractNumId w:val="3"/>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D3"/>
    <w:rsid w:val="0000179D"/>
    <w:rsid w:val="00002D2A"/>
    <w:rsid w:val="00004769"/>
    <w:rsid w:val="000055CC"/>
    <w:rsid w:val="00005BAD"/>
    <w:rsid w:val="000106CF"/>
    <w:rsid w:val="00010734"/>
    <w:rsid w:val="00010DF6"/>
    <w:rsid w:val="000115BD"/>
    <w:rsid w:val="0001481B"/>
    <w:rsid w:val="00020050"/>
    <w:rsid w:val="00021400"/>
    <w:rsid w:val="00021F95"/>
    <w:rsid w:val="00023522"/>
    <w:rsid w:val="00023D67"/>
    <w:rsid w:val="000257A2"/>
    <w:rsid w:val="00027F12"/>
    <w:rsid w:val="00031B19"/>
    <w:rsid w:val="00032301"/>
    <w:rsid w:val="00034815"/>
    <w:rsid w:val="00034C99"/>
    <w:rsid w:val="00036DD0"/>
    <w:rsid w:val="00040641"/>
    <w:rsid w:val="00046529"/>
    <w:rsid w:val="00047AE1"/>
    <w:rsid w:val="00047C0D"/>
    <w:rsid w:val="000540FD"/>
    <w:rsid w:val="000545C6"/>
    <w:rsid w:val="000552BA"/>
    <w:rsid w:val="00055FA9"/>
    <w:rsid w:val="00057331"/>
    <w:rsid w:val="00062EBD"/>
    <w:rsid w:val="00063C05"/>
    <w:rsid w:val="00066C2C"/>
    <w:rsid w:val="000672BB"/>
    <w:rsid w:val="00070291"/>
    <w:rsid w:val="00070D60"/>
    <w:rsid w:val="0007547E"/>
    <w:rsid w:val="000766CF"/>
    <w:rsid w:val="00076DA2"/>
    <w:rsid w:val="00077D47"/>
    <w:rsid w:val="00081342"/>
    <w:rsid w:val="00081BCD"/>
    <w:rsid w:val="000869F9"/>
    <w:rsid w:val="000877C7"/>
    <w:rsid w:val="000907FB"/>
    <w:rsid w:val="0009152A"/>
    <w:rsid w:val="00091DED"/>
    <w:rsid w:val="0009346F"/>
    <w:rsid w:val="0009560C"/>
    <w:rsid w:val="000961F1"/>
    <w:rsid w:val="00097A49"/>
    <w:rsid w:val="000A11E4"/>
    <w:rsid w:val="000A1C2A"/>
    <w:rsid w:val="000A2854"/>
    <w:rsid w:val="000A3A08"/>
    <w:rsid w:val="000A551F"/>
    <w:rsid w:val="000A5E76"/>
    <w:rsid w:val="000A5F9C"/>
    <w:rsid w:val="000B1B96"/>
    <w:rsid w:val="000B3F48"/>
    <w:rsid w:val="000B6379"/>
    <w:rsid w:val="000B69FF"/>
    <w:rsid w:val="000B6C34"/>
    <w:rsid w:val="000B7AA4"/>
    <w:rsid w:val="000B7BCB"/>
    <w:rsid w:val="000C05EF"/>
    <w:rsid w:val="000C0A8B"/>
    <w:rsid w:val="000C5EB9"/>
    <w:rsid w:val="000C677B"/>
    <w:rsid w:val="000D0475"/>
    <w:rsid w:val="000D0715"/>
    <w:rsid w:val="000D14FE"/>
    <w:rsid w:val="000D2516"/>
    <w:rsid w:val="000D30CB"/>
    <w:rsid w:val="000D5592"/>
    <w:rsid w:val="000E015C"/>
    <w:rsid w:val="000E2682"/>
    <w:rsid w:val="000E3E85"/>
    <w:rsid w:val="000E4A91"/>
    <w:rsid w:val="000E5759"/>
    <w:rsid w:val="000E6877"/>
    <w:rsid w:val="000E6BE3"/>
    <w:rsid w:val="000F42F4"/>
    <w:rsid w:val="000F4357"/>
    <w:rsid w:val="000F6825"/>
    <w:rsid w:val="00100E5F"/>
    <w:rsid w:val="0010139D"/>
    <w:rsid w:val="001015F4"/>
    <w:rsid w:val="00103116"/>
    <w:rsid w:val="0010385A"/>
    <w:rsid w:val="00103F96"/>
    <w:rsid w:val="0010442C"/>
    <w:rsid w:val="001060FF"/>
    <w:rsid w:val="00110AAD"/>
    <w:rsid w:val="00112FFC"/>
    <w:rsid w:val="001132C0"/>
    <w:rsid w:val="00113302"/>
    <w:rsid w:val="00114514"/>
    <w:rsid w:val="00115658"/>
    <w:rsid w:val="001164E2"/>
    <w:rsid w:val="00120CE5"/>
    <w:rsid w:val="00123E50"/>
    <w:rsid w:val="00124C6D"/>
    <w:rsid w:val="00124EDD"/>
    <w:rsid w:val="00127ACB"/>
    <w:rsid w:val="00132939"/>
    <w:rsid w:val="00142735"/>
    <w:rsid w:val="00142A46"/>
    <w:rsid w:val="001430BE"/>
    <w:rsid w:val="0014338C"/>
    <w:rsid w:val="00145AA7"/>
    <w:rsid w:val="00145CF5"/>
    <w:rsid w:val="00146F8C"/>
    <w:rsid w:val="00151730"/>
    <w:rsid w:val="00151DF4"/>
    <w:rsid w:val="00152080"/>
    <w:rsid w:val="00154334"/>
    <w:rsid w:val="00155D2C"/>
    <w:rsid w:val="00157A25"/>
    <w:rsid w:val="001636F1"/>
    <w:rsid w:val="001661D3"/>
    <w:rsid w:val="001663D2"/>
    <w:rsid w:val="00167DAB"/>
    <w:rsid w:val="001704CA"/>
    <w:rsid w:val="00170F1C"/>
    <w:rsid w:val="00171441"/>
    <w:rsid w:val="00171913"/>
    <w:rsid w:val="001719BB"/>
    <w:rsid w:val="001724F9"/>
    <w:rsid w:val="00177CAD"/>
    <w:rsid w:val="0018400B"/>
    <w:rsid w:val="001847CE"/>
    <w:rsid w:val="00187974"/>
    <w:rsid w:val="001913F0"/>
    <w:rsid w:val="0019359C"/>
    <w:rsid w:val="00194EE3"/>
    <w:rsid w:val="00196053"/>
    <w:rsid w:val="00197794"/>
    <w:rsid w:val="001A14D7"/>
    <w:rsid w:val="001A2554"/>
    <w:rsid w:val="001A7072"/>
    <w:rsid w:val="001A722A"/>
    <w:rsid w:val="001B0782"/>
    <w:rsid w:val="001B0C89"/>
    <w:rsid w:val="001B1AB8"/>
    <w:rsid w:val="001B1E6F"/>
    <w:rsid w:val="001B3725"/>
    <w:rsid w:val="001B6C09"/>
    <w:rsid w:val="001B7A8F"/>
    <w:rsid w:val="001C0CEE"/>
    <w:rsid w:val="001C0EBF"/>
    <w:rsid w:val="001C31AD"/>
    <w:rsid w:val="001C4B48"/>
    <w:rsid w:val="001C55F4"/>
    <w:rsid w:val="001C593D"/>
    <w:rsid w:val="001C7020"/>
    <w:rsid w:val="001D1FE1"/>
    <w:rsid w:val="001D208D"/>
    <w:rsid w:val="001D3E1F"/>
    <w:rsid w:val="001D5605"/>
    <w:rsid w:val="001D775B"/>
    <w:rsid w:val="001D7D8D"/>
    <w:rsid w:val="001D7EDA"/>
    <w:rsid w:val="001E0AFA"/>
    <w:rsid w:val="001E1825"/>
    <w:rsid w:val="001E1EB3"/>
    <w:rsid w:val="001E26BA"/>
    <w:rsid w:val="001E7E12"/>
    <w:rsid w:val="001F03AE"/>
    <w:rsid w:val="001F206B"/>
    <w:rsid w:val="001F383A"/>
    <w:rsid w:val="001F409B"/>
    <w:rsid w:val="001F40D2"/>
    <w:rsid w:val="001F456A"/>
    <w:rsid w:val="001F4712"/>
    <w:rsid w:val="001F4ABA"/>
    <w:rsid w:val="001F5516"/>
    <w:rsid w:val="001F7380"/>
    <w:rsid w:val="00200B5C"/>
    <w:rsid w:val="00201E2E"/>
    <w:rsid w:val="002031E6"/>
    <w:rsid w:val="0020367A"/>
    <w:rsid w:val="00203A8F"/>
    <w:rsid w:val="00203F22"/>
    <w:rsid w:val="0020679D"/>
    <w:rsid w:val="002108CC"/>
    <w:rsid w:val="00212082"/>
    <w:rsid w:val="00212981"/>
    <w:rsid w:val="00213A54"/>
    <w:rsid w:val="00216010"/>
    <w:rsid w:val="0022054B"/>
    <w:rsid w:val="002215CF"/>
    <w:rsid w:val="00223BAE"/>
    <w:rsid w:val="00226473"/>
    <w:rsid w:val="002265B7"/>
    <w:rsid w:val="00227432"/>
    <w:rsid w:val="002308BF"/>
    <w:rsid w:val="00230AC3"/>
    <w:rsid w:val="002341F1"/>
    <w:rsid w:val="0023537C"/>
    <w:rsid w:val="00241464"/>
    <w:rsid w:val="0024150E"/>
    <w:rsid w:val="00242BF2"/>
    <w:rsid w:val="0024691F"/>
    <w:rsid w:val="00246B43"/>
    <w:rsid w:val="00247037"/>
    <w:rsid w:val="00247A40"/>
    <w:rsid w:val="00252234"/>
    <w:rsid w:val="002523ED"/>
    <w:rsid w:val="002539DB"/>
    <w:rsid w:val="002543F5"/>
    <w:rsid w:val="00254621"/>
    <w:rsid w:val="00254CE1"/>
    <w:rsid w:val="002569F8"/>
    <w:rsid w:val="00257381"/>
    <w:rsid w:val="00262F32"/>
    <w:rsid w:val="00265302"/>
    <w:rsid w:val="00265E38"/>
    <w:rsid w:val="002713A5"/>
    <w:rsid w:val="0027197B"/>
    <w:rsid w:val="00272379"/>
    <w:rsid w:val="00272C13"/>
    <w:rsid w:val="00273A52"/>
    <w:rsid w:val="00275033"/>
    <w:rsid w:val="002769B7"/>
    <w:rsid w:val="00280231"/>
    <w:rsid w:val="00280CD3"/>
    <w:rsid w:val="0028270C"/>
    <w:rsid w:val="00282D12"/>
    <w:rsid w:val="00284A8A"/>
    <w:rsid w:val="00286C3D"/>
    <w:rsid w:val="00290F75"/>
    <w:rsid w:val="00297C62"/>
    <w:rsid w:val="00297C85"/>
    <w:rsid w:val="002A1292"/>
    <w:rsid w:val="002A4BB1"/>
    <w:rsid w:val="002A529E"/>
    <w:rsid w:val="002A5673"/>
    <w:rsid w:val="002B0A42"/>
    <w:rsid w:val="002B1401"/>
    <w:rsid w:val="002B28C9"/>
    <w:rsid w:val="002B5D99"/>
    <w:rsid w:val="002B6011"/>
    <w:rsid w:val="002B78C0"/>
    <w:rsid w:val="002C183F"/>
    <w:rsid w:val="002C1EBB"/>
    <w:rsid w:val="002C2998"/>
    <w:rsid w:val="002C3E61"/>
    <w:rsid w:val="002C572A"/>
    <w:rsid w:val="002C68C3"/>
    <w:rsid w:val="002C6AF2"/>
    <w:rsid w:val="002D095F"/>
    <w:rsid w:val="002D28EB"/>
    <w:rsid w:val="002D29F7"/>
    <w:rsid w:val="002D63E6"/>
    <w:rsid w:val="002D7DCF"/>
    <w:rsid w:val="002E339E"/>
    <w:rsid w:val="002E3C4C"/>
    <w:rsid w:val="002E47BB"/>
    <w:rsid w:val="002F069C"/>
    <w:rsid w:val="002F20D6"/>
    <w:rsid w:val="002F3B8F"/>
    <w:rsid w:val="002F58E2"/>
    <w:rsid w:val="002F6AF5"/>
    <w:rsid w:val="00300DB7"/>
    <w:rsid w:val="003025DC"/>
    <w:rsid w:val="00306680"/>
    <w:rsid w:val="00312103"/>
    <w:rsid w:val="003175BB"/>
    <w:rsid w:val="003211C9"/>
    <w:rsid w:val="0032143A"/>
    <w:rsid w:val="003214C6"/>
    <w:rsid w:val="00321B8F"/>
    <w:rsid w:val="0032232D"/>
    <w:rsid w:val="00324B93"/>
    <w:rsid w:val="003253E2"/>
    <w:rsid w:val="003302B5"/>
    <w:rsid w:val="00333D18"/>
    <w:rsid w:val="00333E36"/>
    <w:rsid w:val="003351AA"/>
    <w:rsid w:val="0033676B"/>
    <w:rsid w:val="00337564"/>
    <w:rsid w:val="0033796E"/>
    <w:rsid w:val="0034140A"/>
    <w:rsid w:val="003417DB"/>
    <w:rsid w:val="0034556D"/>
    <w:rsid w:val="00345BF4"/>
    <w:rsid w:val="003467B9"/>
    <w:rsid w:val="00353319"/>
    <w:rsid w:val="00353A5F"/>
    <w:rsid w:val="0035423D"/>
    <w:rsid w:val="00354AB5"/>
    <w:rsid w:val="0035552B"/>
    <w:rsid w:val="00356E54"/>
    <w:rsid w:val="00357376"/>
    <w:rsid w:val="003574B9"/>
    <w:rsid w:val="003605D5"/>
    <w:rsid w:val="003649DB"/>
    <w:rsid w:val="00366B73"/>
    <w:rsid w:val="003671D8"/>
    <w:rsid w:val="00367A8E"/>
    <w:rsid w:val="00370AB3"/>
    <w:rsid w:val="00377281"/>
    <w:rsid w:val="00385519"/>
    <w:rsid w:val="003856BB"/>
    <w:rsid w:val="00390183"/>
    <w:rsid w:val="003917D2"/>
    <w:rsid w:val="00392EAA"/>
    <w:rsid w:val="00396BCD"/>
    <w:rsid w:val="00397806"/>
    <w:rsid w:val="003A2303"/>
    <w:rsid w:val="003A24CF"/>
    <w:rsid w:val="003A6689"/>
    <w:rsid w:val="003A691B"/>
    <w:rsid w:val="003A7862"/>
    <w:rsid w:val="003B017A"/>
    <w:rsid w:val="003B0F43"/>
    <w:rsid w:val="003B11D0"/>
    <w:rsid w:val="003B288E"/>
    <w:rsid w:val="003B2F5E"/>
    <w:rsid w:val="003B442C"/>
    <w:rsid w:val="003B4A28"/>
    <w:rsid w:val="003B5FB7"/>
    <w:rsid w:val="003B6F38"/>
    <w:rsid w:val="003B7566"/>
    <w:rsid w:val="003B76FB"/>
    <w:rsid w:val="003B775F"/>
    <w:rsid w:val="003C3BE7"/>
    <w:rsid w:val="003C5B30"/>
    <w:rsid w:val="003C7652"/>
    <w:rsid w:val="003D145A"/>
    <w:rsid w:val="003D1A9A"/>
    <w:rsid w:val="003D2563"/>
    <w:rsid w:val="003D34D9"/>
    <w:rsid w:val="003D41E5"/>
    <w:rsid w:val="003D42C5"/>
    <w:rsid w:val="003D64AC"/>
    <w:rsid w:val="003E1C4A"/>
    <w:rsid w:val="003E1D49"/>
    <w:rsid w:val="003E4817"/>
    <w:rsid w:val="003E5DDF"/>
    <w:rsid w:val="003E62D7"/>
    <w:rsid w:val="003E672C"/>
    <w:rsid w:val="003E6C7D"/>
    <w:rsid w:val="003E6D6A"/>
    <w:rsid w:val="003E753B"/>
    <w:rsid w:val="003E77C8"/>
    <w:rsid w:val="003F0491"/>
    <w:rsid w:val="003F0B09"/>
    <w:rsid w:val="003F0DB2"/>
    <w:rsid w:val="003F1594"/>
    <w:rsid w:val="003F1CA5"/>
    <w:rsid w:val="003F2518"/>
    <w:rsid w:val="003F3AE4"/>
    <w:rsid w:val="003F5337"/>
    <w:rsid w:val="003F5419"/>
    <w:rsid w:val="003F6B4B"/>
    <w:rsid w:val="003F787C"/>
    <w:rsid w:val="004011C3"/>
    <w:rsid w:val="00402CA7"/>
    <w:rsid w:val="004032F2"/>
    <w:rsid w:val="00403B92"/>
    <w:rsid w:val="004075BD"/>
    <w:rsid w:val="00407E90"/>
    <w:rsid w:val="00410534"/>
    <w:rsid w:val="0041106C"/>
    <w:rsid w:val="00411682"/>
    <w:rsid w:val="00412C4F"/>
    <w:rsid w:val="00415C36"/>
    <w:rsid w:val="00416C00"/>
    <w:rsid w:val="004172C1"/>
    <w:rsid w:val="004174B9"/>
    <w:rsid w:val="00421731"/>
    <w:rsid w:val="00422A39"/>
    <w:rsid w:val="00423660"/>
    <w:rsid w:val="004250C2"/>
    <w:rsid w:val="004254BD"/>
    <w:rsid w:val="00431427"/>
    <w:rsid w:val="00431C39"/>
    <w:rsid w:val="00431F9C"/>
    <w:rsid w:val="00434308"/>
    <w:rsid w:val="004350AA"/>
    <w:rsid w:val="00435ECE"/>
    <w:rsid w:val="00436377"/>
    <w:rsid w:val="00440162"/>
    <w:rsid w:val="00440BDC"/>
    <w:rsid w:val="00440F28"/>
    <w:rsid w:val="0044371C"/>
    <w:rsid w:val="004459A1"/>
    <w:rsid w:val="004475F7"/>
    <w:rsid w:val="00450324"/>
    <w:rsid w:val="00450B3A"/>
    <w:rsid w:val="00451586"/>
    <w:rsid w:val="00452553"/>
    <w:rsid w:val="004533F2"/>
    <w:rsid w:val="00457785"/>
    <w:rsid w:val="00460127"/>
    <w:rsid w:val="0046253B"/>
    <w:rsid w:val="00462CED"/>
    <w:rsid w:val="004637EB"/>
    <w:rsid w:val="00464956"/>
    <w:rsid w:val="004675CC"/>
    <w:rsid w:val="0047142D"/>
    <w:rsid w:val="0047191C"/>
    <w:rsid w:val="004734A3"/>
    <w:rsid w:val="004750B1"/>
    <w:rsid w:val="00475629"/>
    <w:rsid w:val="00476983"/>
    <w:rsid w:val="00480A6E"/>
    <w:rsid w:val="0048148A"/>
    <w:rsid w:val="004819B0"/>
    <w:rsid w:val="0048236F"/>
    <w:rsid w:val="004823ED"/>
    <w:rsid w:val="00482A08"/>
    <w:rsid w:val="00483B1B"/>
    <w:rsid w:val="00483DA6"/>
    <w:rsid w:val="0048464E"/>
    <w:rsid w:val="00485EAD"/>
    <w:rsid w:val="00486E3A"/>
    <w:rsid w:val="004931AC"/>
    <w:rsid w:val="00493F1F"/>
    <w:rsid w:val="00494994"/>
    <w:rsid w:val="004959E0"/>
    <w:rsid w:val="00495E37"/>
    <w:rsid w:val="00496085"/>
    <w:rsid w:val="004A28C4"/>
    <w:rsid w:val="004A2E40"/>
    <w:rsid w:val="004A370C"/>
    <w:rsid w:val="004A4DA6"/>
    <w:rsid w:val="004A5823"/>
    <w:rsid w:val="004A60A4"/>
    <w:rsid w:val="004A6E5E"/>
    <w:rsid w:val="004B26B8"/>
    <w:rsid w:val="004B2EA0"/>
    <w:rsid w:val="004B4EFA"/>
    <w:rsid w:val="004B55B0"/>
    <w:rsid w:val="004B74F0"/>
    <w:rsid w:val="004C0A9E"/>
    <w:rsid w:val="004C1302"/>
    <w:rsid w:val="004C2A89"/>
    <w:rsid w:val="004C5919"/>
    <w:rsid w:val="004C66DF"/>
    <w:rsid w:val="004C7C58"/>
    <w:rsid w:val="004C7D24"/>
    <w:rsid w:val="004D0EE6"/>
    <w:rsid w:val="004D11C0"/>
    <w:rsid w:val="004D1D69"/>
    <w:rsid w:val="004D46A7"/>
    <w:rsid w:val="004D4730"/>
    <w:rsid w:val="004D6D95"/>
    <w:rsid w:val="004D7DF3"/>
    <w:rsid w:val="004E100B"/>
    <w:rsid w:val="004E11A2"/>
    <w:rsid w:val="004E451F"/>
    <w:rsid w:val="004E5383"/>
    <w:rsid w:val="004E5832"/>
    <w:rsid w:val="004E6ED8"/>
    <w:rsid w:val="004E7274"/>
    <w:rsid w:val="004F29DA"/>
    <w:rsid w:val="004F3634"/>
    <w:rsid w:val="004F5302"/>
    <w:rsid w:val="004F5909"/>
    <w:rsid w:val="004F7DD5"/>
    <w:rsid w:val="00500042"/>
    <w:rsid w:val="00506E6F"/>
    <w:rsid w:val="00510F7A"/>
    <w:rsid w:val="00511497"/>
    <w:rsid w:val="005119DE"/>
    <w:rsid w:val="00512F3A"/>
    <w:rsid w:val="00513520"/>
    <w:rsid w:val="00513629"/>
    <w:rsid w:val="00513941"/>
    <w:rsid w:val="00513E42"/>
    <w:rsid w:val="00517A59"/>
    <w:rsid w:val="00522289"/>
    <w:rsid w:val="00522B32"/>
    <w:rsid w:val="005230F8"/>
    <w:rsid w:val="00523328"/>
    <w:rsid w:val="00523CFF"/>
    <w:rsid w:val="00523F7D"/>
    <w:rsid w:val="00524E58"/>
    <w:rsid w:val="005250DB"/>
    <w:rsid w:val="00525BAD"/>
    <w:rsid w:val="00525EC5"/>
    <w:rsid w:val="00526C01"/>
    <w:rsid w:val="005310BC"/>
    <w:rsid w:val="00535506"/>
    <w:rsid w:val="00535857"/>
    <w:rsid w:val="00537A4B"/>
    <w:rsid w:val="0054016C"/>
    <w:rsid w:val="00540C35"/>
    <w:rsid w:val="005412F9"/>
    <w:rsid w:val="0054282C"/>
    <w:rsid w:val="00542D75"/>
    <w:rsid w:val="00546064"/>
    <w:rsid w:val="005465C7"/>
    <w:rsid w:val="005468CD"/>
    <w:rsid w:val="0055083B"/>
    <w:rsid w:val="00550CB1"/>
    <w:rsid w:val="00550FDC"/>
    <w:rsid w:val="00552C64"/>
    <w:rsid w:val="00553C19"/>
    <w:rsid w:val="00553E4F"/>
    <w:rsid w:val="005547A1"/>
    <w:rsid w:val="00554B28"/>
    <w:rsid w:val="00555281"/>
    <w:rsid w:val="0056203A"/>
    <w:rsid w:val="00562B7D"/>
    <w:rsid w:val="00565510"/>
    <w:rsid w:val="00565CF2"/>
    <w:rsid w:val="005666FB"/>
    <w:rsid w:val="00566749"/>
    <w:rsid w:val="00572A41"/>
    <w:rsid w:val="00574605"/>
    <w:rsid w:val="00574B22"/>
    <w:rsid w:val="00577798"/>
    <w:rsid w:val="00577A81"/>
    <w:rsid w:val="00577B10"/>
    <w:rsid w:val="00580F85"/>
    <w:rsid w:val="005818C3"/>
    <w:rsid w:val="0058203B"/>
    <w:rsid w:val="00582148"/>
    <w:rsid w:val="00582B63"/>
    <w:rsid w:val="00583E66"/>
    <w:rsid w:val="00585688"/>
    <w:rsid w:val="005861D0"/>
    <w:rsid w:val="005863AE"/>
    <w:rsid w:val="00586FF4"/>
    <w:rsid w:val="00590455"/>
    <w:rsid w:val="00590B3A"/>
    <w:rsid w:val="00591D48"/>
    <w:rsid w:val="005939CF"/>
    <w:rsid w:val="00596159"/>
    <w:rsid w:val="00597317"/>
    <w:rsid w:val="00597BA2"/>
    <w:rsid w:val="00597E88"/>
    <w:rsid w:val="005A06AB"/>
    <w:rsid w:val="005A12ED"/>
    <w:rsid w:val="005A3058"/>
    <w:rsid w:val="005A49ED"/>
    <w:rsid w:val="005A4EA5"/>
    <w:rsid w:val="005A7634"/>
    <w:rsid w:val="005B0062"/>
    <w:rsid w:val="005B0EDA"/>
    <w:rsid w:val="005B2298"/>
    <w:rsid w:val="005B504A"/>
    <w:rsid w:val="005B715A"/>
    <w:rsid w:val="005C0133"/>
    <w:rsid w:val="005C0890"/>
    <w:rsid w:val="005C2182"/>
    <w:rsid w:val="005C72F1"/>
    <w:rsid w:val="005C7E1A"/>
    <w:rsid w:val="005D5DF9"/>
    <w:rsid w:val="005D6F9F"/>
    <w:rsid w:val="005E1736"/>
    <w:rsid w:val="005E20A4"/>
    <w:rsid w:val="005E5AA2"/>
    <w:rsid w:val="005E6F5C"/>
    <w:rsid w:val="005E7D22"/>
    <w:rsid w:val="005F1897"/>
    <w:rsid w:val="005F22B9"/>
    <w:rsid w:val="005F46EA"/>
    <w:rsid w:val="005F5701"/>
    <w:rsid w:val="005F6CBA"/>
    <w:rsid w:val="005F730B"/>
    <w:rsid w:val="00600FA3"/>
    <w:rsid w:val="006013D2"/>
    <w:rsid w:val="00601940"/>
    <w:rsid w:val="006028C4"/>
    <w:rsid w:val="006037C1"/>
    <w:rsid w:val="006039CA"/>
    <w:rsid w:val="00604220"/>
    <w:rsid w:val="00604A66"/>
    <w:rsid w:val="00604FFE"/>
    <w:rsid w:val="00606BAE"/>
    <w:rsid w:val="006077DA"/>
    <w:rsid w:val="00612A72"/>
    <w:rsid w:val="00616628"/>
    <w:rsid w:val="006171D4"/>
    <w:rsid w:val="0061777B"/>
    <w:rsid w:val="00617786"/>
    <w:rsid w:val="006200E0"/>
    <w:rsid w:val="0062278B"/>
    <w:rsid w:val="006230C0"/>
    <w:rsid w:val="00626516"/>
    <w:rsid w:val="00626740"/>
    <w:rsid w:val="00626B89"/>
    <w:rsid w:val="00630E07"/>
    <w:rsid w:val="006315B8"/>
    <w:rsid w:val="006323DB"/>
    <w:rsid w:val="006343B6"/>
    <w:rsid w:val="00635861"/>
    <w:rsid w:val="00637A06"/>
    <w:rsid w:val="0064123B"/>
    <w:rsid w:val="00641DC0"/>
    <w:rsid w:val="00643E13"/>
    <w:rsid w:val="00644019"/>
    <w:rsid w:val="00644EFA"/>
    <w:rsid w:val="006458DB"/>
    <w:rsid w:val="00650198"/>
    <w:rsid w:val="006508F5"/>
    <w:rsid w:val="00653A61"/>
    <w:rsid w:val="006543C4"/>
    <w:rsid w:val="00655C3C"/>
    <w:rsid w:val="00656F3D"/>
    <w:rsid w:val="00657B3F"/>
    <w:rsid w:val="00660280"/>
    <w:rsid w:val="00664D42"/>
    <w:rsid w:val="00666F03"/>
    <w:rsid w:val="00667E02"/>
    <w:rsid w:val="00671232"/>
    <w:rsid w:val="00672084"/>
    <w:rsid w:val="00672A2F"/>
    <w:rsid w:val="0067495F"/>
    <w:rsid w:val="00674B9C"/>
    <w:rsid w:val="00674C7E"/>
    <w:rsid w:val="006755BB"/>
    <w:rsid w:val="00677DFA"/>
    <w:rsid w:val="00680856"/>
    <w:rsid w:val="0068271B"/>
    <w:rsid w:val="00683D2A"/>
    <w:rsid w:val="00683D80"/>
    <w:rsid w:val="00690368"/>
    <w:rsid w:val="0069379E"/>
    <w:rsid w:val="00693924"/>
    <w:rsid w:val="00693BF9"/>
    <w:rsid w:val="0069583B"/>
    <w:rsid w:val="00695EC5"/>
    <w:rsid w:val="006965F4"/>
    <w:rsid w:val="00697627"/>
    <w:rsid w:val="006A0387"/>
    <w:rsid w:val="006A2DA9"/>
    <w:rsid w:val="006A3ADC"/>
    <w:rsid w:val="006A5F51"/>
    <w:rsid w:val="006A65A7"/>
    <w:rsid w:val="006A66E1"/>
    <w:rsid w:val="006B0DCB"/>
    <w:rsid w:val="006B3192"/>
    <w:rsid w:val="006B4613"/>
    <w:rsid w:val="006C038E"/>
    <w:rsid w:val="006C0485"/>
    <w:rsid w:val="006C0E42"/>
    <w:rsid w:val="006C28CB"/>
    <w:rsid w:val="006C4293"/>
    <w:rsid w:val="006C4340"/>
    <w:rsid w:val="006C6D77"/>
    <w:rsid w:val="006C781D"/>
    <w:rsid w:val="006D0C80"/>
    <w:rsid w:val="006D1B37"/>
    <w:rsid w:val="006D4742"/>
    <w:rsid w:val="006D4920"/>
    <w:rsid w:val="006D4B71"/>
    <w:rsid w:val="006D579B"/>
    <w:rsid w:val="006D60C3"/>
    <w:rsid w:val="006D79AD"/>
    <w:rsid w:val="006D7B6B"/>
    <w:rsid w:val="006E30CC"/>
    <w:rsid w:val="006E325A"/>
    <w:rsid w:val="006E3A1A"/>
    <w:rsid w:val="006E3E23"/>
    <w:rsid w:val="006E472C"/>
    <w:rsid w:val="006E4F3B"/>
    <w:rsid w:val="006E578A"/>
    <w:rsid w:val="006E5C69"/>
    <w:rsid w:val="006E643F"/>
    <w:rsid w:val="006E7003"/>
    <w:rsid w:val="006E71C2"/>
    <w:rsid w:val="006E7D31"/>
    <w:rsid w:val="006F29A1"/>
    <w:rsid w:val="006F44BC"/>
    <w:rsid w:val="006F6480"/>
    <w:rsid w:val="006F6B57"/>
    <w:rsid w:val="00700450"/>
    <w:rsid w:val="00703107"/>
    <w:rsid w:val="0070496E"/>
    <w:rsid w:val="0070613C"/>
    <w:rsid w:val="0070689B"/>
    <w:rsid w:val="00707759"/>
    <w:rsid w:val="00707ABF"/>
    <w:rsid w:val="00707CCB"/>
    <w:rsid w:val="00707CD3"/>
    <w:rsid w:val="00707FD6"/>
    <w:rsid w:val="00713D81"/>
    <w:rsid w:val="00714259"/>
    <w:rsid w:val="007177FC"/>
    <w:rsid w:val="00720567"/>
    <w:rsid w:val="00720CD2"/>
    <w:rsid w:val="0072157C"/>
    <w:rsid w:val="007215C0"/>
    <w:rsid w:val="0072208B"/>
    <w:rsid w:val="00725535"/>
    <w:rsid w:val="00731DBF"/>
    <w:rsid w:val="007332ED"/>
    <w:rsid w:val="00734379"/>
    <w:rsid w:val="007369BC"/>
    <w:rsid w:val="00741C04"/>
    <w:rsid w:val="007436D7"/>
    <w:rsid w:val="00745090"/>
    <w:rsid w:val="00747440"/>
    <w:rsid w:val="00751D1E"/>
    <w:rsid w:val="0075231C"/>
    <w:rsid w:val="007547F5"/>
    <w:rsid w:val="0075524C"/>
    <w:rsid w:val="00757BCA"/>
    <w:rsid w:val="00760D7E"/>
    <w:rsid w:val="00762403"/>
    <w:rsid w:val="0076332B"/>
    <w:rsid w:val="0076527B"/>
    <w:rsid w:val="0076687B"/>
    <w:rsid w:val="00766D64"/>
    <w:rsid w:val="0077144B"/>
    <w:rsid w:val="00772D0C"/>
    <w:rsid w:val="007747B0"/>
    <w:rsid w:val="00774A1C"/>
    <w:rsid w:val="00774E16"/>
    <w:rsid w:val="007765EB"/>
    <w:rsid w:val="00777F70"/>
    <w:rsid w:val="007815F1"/>
    <w:rsid w:val="00785BE2"/>
    <w:rsid w:val="007863E5"/>
    <w:rsid w:val="0078648B"/>
    <w:rsid w:val="007924FC"/>
    <w:rsid w:val="00792930"/>
    <w:rsid w:val="00793198"/>
    <w:rsid w:val="00794823"/>
    <w:rsid w:val="00795528"/>
    <w:rsid w:val="00795E54"/>
    <w:rsid w:val="00797213"/>
    <w:rsid w:val="007975E1"/>
    <w:rsid w:val="007A00DD"/>
    <w:rsid w:val="007A1C7A"/>
    <w:rsid w:val="007A1EBD"/>
    <w:rsid w:val="007A71F4"/>
    <w:rsid w:val="007A73E3"/>
    <w:rsid w:val="007B0CF5"/>
    <w:rsid w:val="007B3163"/>
    <w:rsid w:val="007B3370"/>
    <w:rsid w:val="007B3414"/>
    <w:rsid w:val="007B3D38"/>
    <w:rsid w:val="007B61B5"/>
    <w:rsid w:val="007C1F95"/>
    <w:rsid w:val="007C5644"/>
    <w:rsid w:val="007C77BB"/>
    <w:rsid w:val="007D035F"/>
    <w:rsid w:val="007D3F14"/>
    <w:rsid w:val="007D4F7C"/>
    <w:rsid w:val="007D6605"/>
    <w:rsid w:val="007D7745"/>
    <w:rsid w:val="007E01E3"/>
    <w:rsid w:val="007E039A"/>
    <w:rsid w:val="007E3F72"/>
    <w:rsid w:val="007E4040"/>
    <w:rsid w:val="007E4493"/>
    <w:rsid w:val="007E50CC"/>
    <w:rsid w:val="007E6AB9"/>
    <w:rsid w:val="007E73EA"/>
    <w:rsid w:val="007F186D"/>
    <w:rsid w:val="007F1CBD"/>
    <w:rsid w:val="007F62E3"/>
    <w:rsid w:val="007F7257"/>
    <w:rsid w:val="007F7E25"/>
    <w:rsid w:val="0080057B"/>
    <w:rsid w:val="00800FEE"/>
    <w:rsid w:val="00801909"/>
    <w:rsid w:val="00801B9B"/>
    <w:rsid w:val="00802BBE"/>
    <w:rsid w:val="00803152"/>
    <w:rsid w:val="00805565"/>
    <w:rsid w:val="00811E7F"/>
    <w:rsid w:val="0081354D"/>
    <w:rsid w:val="008139A7"/>
    <w:rsid w:val="0082609F"/>
    <w:rsid w:val="0082683B"/>
    <w:rsid w:val="00827DE1"/>
    <w:rsid w:val="00827E9F"/>
    <w:rsid w:val="0083065F"/>
    <w:rsid w:val="00831C60"/>
    <w:rsid w:val="0083456F"/>
    <w:rsid w:val="00836601"/>
    <w:rsid w:val="00842646"/>
    <w:rsid w:val="00844E55"/>
    <w:rsid w:val="00845207"/>
    <w:rsid w:val="0084526D"/>
    <w:rsid w:val="00850749"/>
    <w:rsid w:val="008512BF"/>
    <w:rsid w:val="00851708"/>
    <w:rsid w:val="00851D53"/>
    <w:rsid w:val="00853411"/>
    <w:rsid w:val="0085591B"/>
    <w:rsid w:val="00856CC4"/>
    <w:rsid w:val="00857F3B"/>
    <w:rsid w:val="00863083"/>
    <w:rsid w:val="00863E62"/>
    <w:rsid w:val="0086419C"/>
    <w:rsid w:val="00864678"/>
    <w:rsid w:val="008656E9"/>
    <w:rsid w:val="00865D27"/>
    <w:rsid w:val="00866AF5"/>
    <w:rsid w:val="00870C9B"/>
    <w:rsid w:val="008724D2"/>
    <w:rsid w:val="008735D9"/>
    <w:rsid w:val="00874976"/>
    <w:rsid w:val="00874C72"/>
    <w:rsid w:val="00877DA7"/>
    <w:rsid w:val="00883286"/>
    <w:rsid w:val="00883D6A"/>
    <w:rsid w:val="00885C73"/>
    <w:rsid w:val="008861E5"/>
    <w:rsid w:val="0088652F"/>
    <w:rsid w:val="00891AE0"/>
    <w:rsid w:val="008932D8"/>
    <w:rsid w:val="00893352"/>
    <w:rsid w:val="008949A9"/>
    <w:rsid w:val="0089665D"/>
    <w:rsid w:val="008A060E"/>
    <w:rsid w:val="008A31A0"/>
    <w:rsid w:val="008A467C"/>
    <w:rsid w:val="008A5710"/>
    <w:rsid w:val="008A5D4A"/>
    <w:rsid w:val="008A6DF9"/>
    <w:rsid w:val="008B0BD1"/>
    <w:rsid w:val="008B10CE"/>
    <w:rsid w:val="008B22A9"/>
    <w:rsid w:val="008B26AF"/>
    <w:rsid w:val="008B4D21"/>
    <w:rsid w:val="008B583A"/>
    <w:rsid w:val="008B5E7F"/>
    <w:rsid w:val="008B6865"/>
    <w:rsid w:val="008C0847"/>
    <w:rsid w:val="008C3204"/>
    <w:rsid w:val="008C425A"/>
    <w:rsid w:val="008C461D"/>
    <w:rsid w:val="008C47DF"/>
    <w:rsid w:val="008C53D1"/>
    <w:rsid w:val="008C79E8"/>
    <w:rsid w:val="008D01BA"/>
    <w:rsid w:val="008D0CC1"/>
    <w:rsid w:val="008D15A4"/>
    <w:rsid w:val="008D1C85"/>
    <w:rsid w:val="008D2725"/>
    <w:rsid w:val="008D500B"/>
    <w:rsid w:val="008D6984"/>
    <w:rsid w:val="008D6EC9"/>
    <w:rsid w:val="008DD407"/>
    <w:rsid w:val="008E11B9"/>
    <w:rsid w:val="008E16B0"/>
    <w:rsid w:val="008E18D0"/>
    <w:rsid w:val="008E1FC2"/>
    <w:rsid w:val="008E23E1"/>
    <w:rsid w:val="008E34EA"/>
    <w:rsid w:val="008E5D93"/>
    <w:rsid w:val="008E7DF7"/>
    <w:rsid w:val="008F0E4F"/>
    <w:rsid w:val="008F2EC7"/>
    <w:rsid w:val="008F3117"/>
    <w:rsid w:val="008F422B"/>
    <w:rsid w:val="008F66F9"/>
    <w:rsid w:val="008F729D"/>
    <w:rsid w:val="009009FE"/>
    <w:rsid w:val="00902E14"/>
    <w:rsid w:val="00906261"/>
    <w:rsid w:val="0090653B"/>
    <w:rsid w:val="0090784E"/>
    <w:rsid w:val="00910235"/>
    <w:rsid w:val="00912F0B"/>
    <w:rsid w:val="00913FA0"/>
    <w:rsid w:val="00916076"/>
    <w:rsid w:val="00916251"/>
    <w:rsid w:val="009164E5"/>
    <w:rsid w:val="00916C08"/>
    <w:rsid w:val="00917FB9"/>
    <w:rsid w:val="009212F8"/>
    <w:rsid w:val="00927238"/>
    <w:rsid w:val="0092758E"/>
    <w:rsid w:val="00931396"/>
    <w:rsid w:val="00934008"/>
    <w:rsid w:val="00934941"/>
    <w:rsid w:val="00934E43"/>
    <w:rsid w:val="00936C8F"/>
    <w:rsid w:val="00936F1C"/>
    <w:rsid w:val="0093708F"/>
    <w:rsid w:val="00937B7D"/>
    <w:rsid w:val="0094181D"/>
    <w:rsid w:val="009429FB"/>
    <w:rsid w:val="0094385A"/>
    <w:rsid w:val="0094633F"/>
    <w:rsid w:val="00951705"/>
    <w:rsid w:val="009537E0"/>
    <w:rsid w:val="009547DE"/>
    <w:rsid w:val="00955166"/>
    <w:rsid w:val="00955D2A"/>
    <w:rsid w:val="00961683"/>
    <w:rsid w:val="009616D0"/>
    <w:rsid w:val="0096337D"/>
    <w:rsid w:val="009636FA"/>
    <w:rsid w:val="00963778"/>
    <w:rsid w:val="00963E03"/>
    <w:rsid w:val="00966459"/>
    <w:rsid w:val="00967692"/>
    <w:rsid w:val="00967693"/>
    <w:rsid w:val="0096796B"/>
    <w:rsid w:val="00967D8C"/>
    <w:rsid w:val="0097026D"/>
    <w:rsid w:val="0097062E"/>
    <w:rsid w:val="009715E5"/>
    <w:rsid w:val="00973489"/>
    <w:rsid w:val="00973AB1"/>
    <w:rsid w:val="00973BA0"/>
    <w:rsid w:val="00974D68"/>
    <w:rsid w:val="00975F08"/>
    <w:rsid w:val="00981477"/>
    <w:rsid w:val="00981BAE"/>
    <w:rsid w:val="00982522"/>
    <w:rsid w:val="00982C9D"/>
    <w:rsid w:val="00983775"/>
    <w:rsid w:val="00983DF8"/>
    <w:rsid w:val="00990295"/>
    <w:rsid w:val="0099170C"/>
    <w:rsid w:val="009924DA"/>
    <w:rsid w:val="00992BE8"/>
    <w:rsid w:val="00993F75"/>
    <w:rsid w:val="00993FDC"/>
    <w:rsid w:val="00994A0E"/>
    <w:rsid w:val="00994A5F"/>
    <w:rsid w:val="00995620"/>
    <w:rsid w:val="009A10F7"/>
    <w:rsid w:val="009A1504"/>
    <w:rsid w:val="009A2107"/>
    <w:rsid w:val="009A21BD"/>
    <w:rsid w:val="009A2F7E"/>
    <w:rsid w:val="009A477A"/>
    <w:rsid w:val="009A55B1"/>
    <w:rsid w:val="009A7269"/>
    <w:rsid w:val="009B1E8E"/>
    <w:rsid w:val="009B1ED3"/>
    <w:rsid w:val="009B338C"/>
    <w:rsid w:val="009B352A"/>
    <w:rsid w:val="009B36C5"/>
    <w:rsid w:val="009B4810"/>
    <w:rsid w:val="009B4FE3"/>
    <w:rsid w:val="009B59AA"/>
    <w:rsid w:val="009B7B8F"/>
    <w:rsid w:val="009C2AF5"/>
    <w:rsid w:val="009C3199"/>
    <w:rsid w:val="009C3EE6"/>
    <w:rsid w:val="009C4622"/>
    <w:rsid w:val="009C55AD"/>
    <w:rsid w:val="009C58C0"/>
    <w:rsid w:val="009C5E7D"/>
    <w:rsid w:val="009C60E8"/>
    <w:rsid w:val="009C65F3"/>
    <w:rsid w:val="009C711B"/>
    <w:rsid w:val="009C77E9"/>
    <w:rsid w:val="009D0C13"/>
    <w:rsid w:val="009D262E"/>
    <w:rsid w:val="009D2765"/>
    <w:rsid w:val="009D415A"/>
    <w:rsid w:val="009D6130"/>
    <w:rsid w:val="009D6BE5"/>
    <w:rsid w:val="009E1C5D"/>
    <w:rsid w:val="009E23AB"/>
    <w:rsid w:val="009E3349"/>
    <w:rsid w:val="009E33CD"/>
    <w:rsid w:val="009E3DEE"/>
    <w:rsid w:val="009E664F"/>
    <w:rsid w:val="009E6930"/>
    <w:rsid w:val="009E6F80"/>
    <w:rsid w:val="009F1896"/>
    <w:rsid w:val="009F25FD"/>
    <w:rsid w:val="009F56C5"/>
    <w:rsid w:val="009F630C"/>
    <w:rsid w:val="009F6F55"/>
    <w:rsid w:val="009F7654"/>
    <w:rsid w:val="009F7C17"/>
    <w:rsid w:val="00A008C8"/>
    <w:rsid w:val="00A05204"/>
    <w:rsid w:val="00A05C5B"/>
    <w:rsid w:val="00A0645B"/>
    <w:rsid w:val="00A06887"/>
    <w:rsid w:val="00A06ACB"/>
    <w:rsid w:val="00A06EBC"/>
    <w:rsid w:val="00A07654"/>
    <w:rsid w:val="00A11A9F"/>
    <w:rsid w:val="00A121E5"/>
    <w:rsid w:val="00A15830"/>
    <w:rsid w:val="00A17072"/>
    <w:rsid w:val="00A17115"/>
    <w:rsid w:val="00A21901"/>
    <w:rsid w:val="00A22877"/>
    <w:rsid w:val="00A2331E"/>
    <w:rsid w:val="00A23B81"/>
    <w:rsid w:val="00A2486B"/>
    <w:rsid w:val="00A30276"/>
    <w:rsid w:val="00A30CE4"/>
    <w:rsid w:val="00A322E5"/>
    <w:rsid w:val="00A332F3"/>
    <w:rsid w:val="00A34CE8"/>
    <w:rsid w:val="00A357EF"/>
    <w:rsid w:val="00A35837"/>
    <w:rsid w:val="00A369B7"/>
    <w:rsid w:val="00A37CB6"/>
    <w:rsid w:val="00A37E54"/>
    <w:rsid w:val="00A410EF"/>
    <w:rsid w:val="00A413AF"/>
    <w:rsid w:val="00A416E5"/>
    <w:rsid w:val="00A4283E"/>
    <w:rsid w:val="00A4395C"/>
    <w:rsid w:val="00A51336"/>
    <w:rsid w:val="00A51CCA"/>
    <w:rsid w:val="00A53DCF"/>
    <w:rsid w:val="00A57C88"/>
    <w:rsid w:val="00A57F05"/>
    <w:rsid w:val="00A603E7"/>
    <w:rsid w:val="00A60A43"/>
    <w:rsid w:val="00A61CAF"/>
    <w:rsid w:val="00A61D33"/>
    <w:rsid w:val="00A61E5D"/>
    <w:rsid w:val="00A641F3"/>
    <w:rsid w:val="00A65A59"/>
    <w:rsid w:val="00A674C0"/>
    <w:rsid w:val="00A70412"/>
    <w:rsid w:val="00A71653"/>
    <w:rsid w:val="00A71679"/>
    <w:rsid w:val="00A71949"/>
    <w:rsid w:val="00A7194F"/>
    <w:rsid w:val="00A71C71"/>
    <w:rsid w:val="00A71DF3"/>
    <w:rsid w:val="00A721E9"/>
    <w:rsid w:val="00A732D3"/>
    <w:rsid w:val="00A74AF0"/>
    <w:rsid w:val="00A80FFB"/>
    <w:rsid w:val="00A81200"/>
    <w:rsid w:val="00A825D3"/>
    <w:rsid w:val="00A84B30"/>
    <w:rsid w:val="00A864DC"/>
    <w:rsid w:val="00A87312"/>
    <w:rsid w:val="00A90C06"/>
    <w:rsid w:val="00A91134"/>
    <w:rsid w:val="00A92B9D"/>
    <w:rsid w:val="00A93E86"/>
    <w:rsid w:val="00A94F4E"/>
    <w:rsid w:val="00A958B9"/>
    <w:rsid w:val="00A962E8"/>
    <w:rsid w:val="00A9673C"/>
    <w:rsid w:val="00A97FF3"/>
    <w:rsid w:val="00AA0FAD"/>
    <w:rsid w:val="00AA2BF1"/>
    <w:rsid w:val="00AA447E"/>
    <w:rsid w:val="00AA69E0"/>
    <w:rsid w:val="00AB0EDB"/>
    <w:rsid w:val="00AB1E57"/>
    <w:rsid w:val="00AB4475"/>
    <w:rsid w:val="00AB6874"/>
    <w:rsid w:val="00AB7C80"/>
    <w:rsid w:val="00AB7D56"/>
    <w:rsid w:val="00AB7FD7"/>
    <w:rsid w:val="00AC075C"/>
    <w:rsid w:val="00AC10A7"/>
    <w:rsid w:val="00AC361F"/>
    <w:rsid w:val="00AC4B4B"/>
    <w:rsid w:val="00AC4D28"/>
    <w:rsid w:val="00AC646C"/>
    <w:rsid w:val="00AC7327"/>
    <w:rsid w:val="00AC7FA0"/>
    <w:rsid w:val="00AD2AD1"/>
    <w:rsid w:val="00AD7529"/>
    <w:rsid w:val="00AE5195"/>
    <w:rsid w:val="00AE5595"/>
    <w:rsid w:val="00AE57B9"/>
    <w:rsid w:val="00AE5E2F"/>
    <w:rsid w:val="00AE7296"/>
    <w:rsid w:val="00AE7BA5"/>
    <w:rsid w:val="00AF02B0"/>
    <w:rsid w:val="00AF0457"/>
    <w:rsid w:val="00AF2CB6"/>
    <w:rsid w:val="00AF2E7B"/>
    <w:rsid w:val="00AF3541"/>
    <w:rsid w:val="00AF69EF"/>
    <w:rsid w:val="00AF718E"/>
    <w:rsid w:val="00AF7CD3"/>
    <w:rsid w:val="00AF7E2F"/>
    <w:rsid w:val="00B001E5"/>
    <w:rsid w:val="00B00ADC"/>
    <w:rsid w:val="00B02E64"/>
    <w:rsid w:val="00B03580"/>
    <w:rsid w:val="00B03935"/>
    <w:rsid w:val="00B0643F"/>
    <w:rsid w:val="00B10C7D"/>
    <w:rsid w:val="00B12F10"/>
    <w:rsid w:val="00B13041"/>
    <w:rsid w:val="00B13ADE"/>
    <w:rsid w:val="00B16F2A"/>
    <w:rsid w:val="00B25698"/>
    <w:rsid w:val="00B2733C"/>
    <w:rsid w:val="00B275D6"/>
    <w:rsid w:val="00B30F72"/>
    <w:rsid w:val="00B3232D"/>
    <w:rsid w:val="00B329CB"/>
    <w:rsid w:val="00B33A08"/>
    <w:rsid w:val="00B33C23"/>
    <w:rsid w:val="00B340A6"/>
    <w:rsid w:val="00B3452C"/>
    <w:rsid w:val="00B360F2"/>
    <w:rsid w:val="00B36673"/>
    <w:rsid w:val="00B42C68"/>
    <w:rsid w:val="00B434F5"/>
    <w:rsid w:val="00B44B95"/>
    <w:rsid w:val="00B465AA"/>
    <w:rsid w:val="00B468E5"/>
    <w:rsid w:val="00B46BBD"/>
    <w:rsid w:val="00B473ED"/>
    <w:rsid w:val="00B47D9D"/>
    <w:rsid w:val="00B50A71"/>
    <w:rsid w:val="00B50FB2"/>
    <w:rsid w:val="00B513E2"/>
    <w:rsid w:val="00B5320F"/>
    <w:rsid w:val="00B536FC"/>
    <w:rsid w:val="00B5769B"/>
    <w:rsid w:val="00B604A4"/>
    <w:rsid w:val="00B6212C"/>
    <w:rsid w:val="00B62DD4"/>
    <w:rsid w:val="00B63A68"/>
    <w:rsid w:val="00B64172"/>
    <w:rsid w:val="00B64A38"/>
    <w:rsid w:val="00B64C51"/>
    <w:rsid w:val="00B65C52"/>
    <w:rsid w:val="00B66F11"/>
    <w:rsid w:val="00B672AB"/>
    <w:rsid w:val="00B70642"/>
    <w:rsid w:val="00B71766"/>
    <w:rsid w:val="00B74827"/>
    <w:rsid w:val="00B753D7"/>
    <w:rsid w:val="00B76E4A"/>
    <w:rsid w:val="00B81F21"/>
    <w:rsid w:val="00B82F6C"/>
    <w:rsid w:val="00B83290"/>
    <w:rsid w:val="00B83DC0"/>
    <w:rsid w:val="00B853A4"/>
    <w:rsid w:val="00B861B1"/>
    <w:rsid w:val="00B86D61"/>
    <w:rsid w:val="00B9216F"/>
    <w:rsid w:val="00B965CE"/>
    <w:rsid w:val="00B9735B"/>
    <w:rsid w:val="00B97F1C"/>
    <w:rsid w:val="00BA0397"/>
    <w:rsid w:val="00BA3BA4"/>
    <w:rsid w:val="00BA45F3"/>
    <w:rsid w:val="00BA52A5"/>
    <w:rsid w:val="00BA5908"/>
    <w:rsid w:val="00BA7D8D"/>
    <w:rsid w:val="00BB017F"/>
    <w:rsid w:val="00BB03D2"/>
    <w:rsid w:val="00BB115C"/>
    <w:rsid w:val="00BB2180"/>
    <w:rsid w:val="00BB23BF"/>
    <w:rsid w:val="00BB2AAD"/>
    <w:rsid w:val="00BB51F5"/>
    <w:rsid w:val="00BB59EE"/>
    <w:rsid w:val="00BB7CA9"/>
    <w:rsid w:val="00BB7D7B"/>
    <w:rsid w:val="00BC045E"/>
    <w:rsid w:val="00BC181B"/>
    <w:rsid w:val="00BC1C46"/>
    <w:rsid w:val="00BC3CA5"/>
    <w:rsid w:val="00BC505C"/>
    <w:rsid w:val="00BC51A4"/>
    <w:rsid w:val="00BC5719"/>
    <w:rsid w:val="00BC58B2"/>
    <w:rsid w:val="00BD12AE"/>
    <w:rsid w:val="00BD17B0"/>
    <w:rsid w:val="00BD2511"/>
    <w:rsid w:val="00BD3E41"/>
    <w:rsid w:val="00BD3FF7"/>
    <w:rsid w:val="00BD6B51"/>
    <w:rsid w:val="00BE0052"/>
    <w:rsid w:val="00BE260F"/>
    <w:rsid w:val="00BE452F"/>
    <w:rsid w:val="00BE5D87"/>
    <w:rsid w:val="00BE5F87"/>
    <w:rsid w:val="00BE6A4F"/>
    <w:rsid w:val="00BE72F7"/>
    <w:rsid w:val="00BF0D79"/>
    <w:rsid w:val="00BF2B55"/>
    <w:rsid w:val="00BF6C61"/>
    <w:rsid w:val="00BF74D0"/>
    <w:rsid w:val="00C0008B"/>
    <w:rsid w:val="00C004FE"/>
    <w:rsid w:val="00C00DA2"/>
    <w:rsid w:val="00C04D8B"/>
    <w:rsid w:val="00C06C5C"/>
    <w:rsid w:val="00C076CA"/>
    <w:rsid w:val="00C11DFB"/>
    <w:rsid w:val="00C14252"/>
    <w:rsid w:val="00C20BF7"/>
    <w:rsid w:val="00C2353D"/>
    <w:rsid w:val="00C235A2"/>
    <w:rsid w:val="00C23793"/>
    <w:rsid w:val="00C23F38"/>
    <w:rsid w:val="00C244AB"/>
    <w:rsid w:val="00C3377B"/>
    <w:rsid w:val="00C349A2"/>
    <w:rsid w:val="00C3512F"/>
    <w:rsid w:val="00C352A7"/>
    <w:rsid w:val="00C36B99"/>
    <w:rsid w:val="00C37E9C"/>
    <w:rsid w:val="00C4032F"/>
    <w:rsid w:val="00C42E7A"/>
    <w:rsid w:val="00C436D0"/>
    <w:rsid w:val="00C52D40"/>
    <w:rsid w:val="00C531B0"/>
    <w:rsid w:val="00C5442C"/>
    <w:rsid w:val="00C553DB"/>
    <w:rsid w:val="00C55D2D"/>
    <w:rsid w:val="00C565C0"/>
    <w:rsid w:val="00C5722F"/>
    <w:rsid w:val="00C57EDC"/>
    <w:rsid w:val="00C57F84"/>
    <w:rsid w:val="00C611CF"/>
    <w:rsid w:val="00C64E95"/>
    <w:rsid w:val="00C65BC6"/>
    <w:rsid w:val="00C66D58"/>
    <w:rsid w:val="00C702B9"/>
    <w:rsid w:val="00C7333E"/>
    <w:rsid w:val="00C733F0"/>
    <w:rsid w:val="00C7343B"/>
    <w:rsid w:val="00C73B5F"/>
    <w:rsid w:val="00C73BC9"/>
    <w:rsid w:val="00C76280"/>
    <w:rsid w:val="00C801B6"/>
    <w:rsid w:val="00C82EA2"/>
    <w:rsid w:val="00C83832"/>
    <w:rsid w:val="00C84AC7"/>
    <w:rsid w:val="00C85046"/>
    <w:rsid w:val="00C868C3"/>
    <w:rsid w:val="00C902CC"/>
    <w:rsid w:val="00C903CC"/>
    <w:rsid w:val="00C9133B"/>
    <w:rsid w:val="00C932D1"/>
    <w:rsid w:val="00C94464"/>
    <w:rsid w:val="00C94FDD"/>
    <w:rsid w:val="00C96164"/>
    <w:rsid w:val="00C9776D"/>
    <w:rsid w:val="00C97E28"/>
    <w:rsid w:val="00CA0AB2"/>
    <w:rsid w:val="00CA1185"/>
    <w:rsid w:val="00CA3544"/>
    <w:rsid w:val="00CA3CAD"/>
    <w:rsid w:val="00CA73F6"/>
    <w:rsid w:val="00CA7591"/>
    <w:rsid w:val="00CA7947"/>
    <w:rsid w:val="00CA7D0D"/>
    <w:rsid w:val="00CB3064"/>
    <w:rsid w:val="00CB3769"/>
    <w:rsid w:val="00CB43DB"/>
    <w:rsid w:val="00CB60D6"/>
    <w:rsid w:val="00CB7493"/>
    <w:rsid w:val="00CB7764"/>
    <w:rsid w:val="00CC134E"/>
    <w:rsid w:val="00CC3A2B"/>
    <w:rsid w:val="00CC3ED5"/>
    <w:rsid w:val="00CC53B5"/>
    <w:rsid w:val="00CC7D66"/>
    <w:rsid w:val="00CD18B4"/>
    <w:rsid w:val="00CD19F6"/>
    <w:rsid w:val="00CD701A"/>
    <w:rsid w:val="00CD703E"/>
    <w:rsid w:val="00CE1069"/>
    <w:rsid w:val="00CE3136"/>
    <w:rsid w:val="00CE54C5"/>
    <w:rsid w:val="00CF39A5"/>
    <w:rsid w:val="00CF4462"/>
    <w:rsid w:val="00CF579F"/>
    <w:rsid w:val="00CF5A1C"/>
    <w:rsid w:val="00CF5D4A"/>
    <w:rsid w:val="00CF6073"/>
    <w:rsid w:val="00CF7B2B"/>
    <w:rsid w:val="00D007BF"/>
    <w:rsid w:val="00D00845"/>
    <w:rsid w:val="00D015C2"/>
    <w:rsid w:val="00D0267E"/>
    <w:rsid w:val="00D0378A"/>
    <w:rsid w:val="00D074CF"/>
    <w:rsid w:val="00D14101"/>
    <w:rsid w:val="00D14F98"/>
    <w:rsid w:val="00D16F47"/>
    <w:rsid w:val="00D20841"/>
    <w:rsid w:val="00D20C4B"/>
    <w:rsid w:val="00D2349D"/>
    <w:rsid w:val="00D23780"/>
    <w:rsid w:val="00D24579"/>
    <w:rsid w:val="00D250A1"/>
    <w:rsid w:val="00D25154"/>
    <w:rsid w:val="00D25888"/>
    <w:rsid w:val="00D25EA7"/>
    <w:rsid w:val="00D25FE5"/>
    <w:rsid w:val="00D27705"/>
    <w:rsid w:val="00D27DAF"/>
    <w:rsid w:val="00D32298"/>
    <w:rsid w:val="00D328F8"/>
    <w:rsid w:val="00D341E1"/>
    <w:rsid w:val="00D4022A"/>
    <w:rsid w:val="00D404C1"/>
    <w:rsid w:val="00D41301"/>
    <w:rsid w:val="00D43786"/>
    <w:rsid w:val="00D51100"/>
    <w:rsid w:val="00D569AF"/>
    <w:rsid w:val="00D56E7A"/>
    <w:rsid w:val="00D56FC5"/>
    <w:rsid w:val="00D602BC"/>
    <w:rsid w:val="00D60699"/>
    <w:rsid w:val="00D60BA3"/>
    <w:rsid w:val="00D622AA"/>
    <w:rsid w:val="00D66894"/>
    <w:rsid w:val="00D67F22"/>
    <w:rsid w:val="00D70D7D"/>
    <w:rsid w:val="00D730C4"/>
    <w:rsid w:val="00D74431"/>
    <w:rsid w:val="00D767C1"/>
    <w:rsid w:val="00D770C1"/>
    <w:rsid w:val="00D776FC"/>
    <w:rsid w:val="00D803E0"/>
    <w:rsid w:val="00D817D1"/>
    <w:rsid w:val="00D81AB8"/>
    <w:rsid w:val="00D81C69"/>
    <w:rsid w:val="00D84938"/>
    <w:rsid w:val="00D85B67"/>
    <w:rsid w:val="00D85FEA"/>
    <w:rsid w:val="00D87856"/>
    <w:rsid w:val="00D9019C"/>
    <w:rsid w:val="00D929F3"/>
    <w:rsid w:val="00D93876"/>
    <w:rsid w:val="00D93DD6"/>
    <w:rsid w:val="00D94F56"/>
    <w:rsid w:val="00D951AC"/>
    <w:rsid w:val="00D96C41"/>
    <w:rsid w:val="00D97613"/>
    <w:rsid w:val="00DA20C1"/>
    <w:rsid w:val="00DA2F4C"/>
    <w:rsid w:val="00DA3A03"/>
    <w:rsid w:val="00DA3F3E"/>
    <w:rsid w:val="00DA581E"/>
    <w:rsid w:val="00DA6B67"/>
    <w:rsid w:val="00DA7B85"/>
    <w:rsid w:val="00DB18BD"/>
    <w:rsid w:val="00DB25A9"/>
    <w:rsid w:val="00DB5370"/>
    <w:rsid w:val="00DB6BC4"/>
    <w:rsid w:val="00DB7EF9"/>
    <w:rsid w:val="00DC222F"/>
    <w:rsid w:val="00DC46D6"/>
    <w:rsid w:val="00DC52DD"/>
    <w:rsid w:val="00DC53BB"/>
    <w:rsid w:val="00DC5837"/>
    <w:rsid w:val="00DC5838"/>
    <w:rsid w:val="00DD0372"/>
    <w:rsid w:val="00DD0C3D"/>
    <w:rsid w:val="00DD1079"/>
    <w:rsid w:val="00DD1B56"/>
    <w:rsid w:val="00DD2BDE"/>
    <w:rsid w:val="00DD4096"/>
    <w:rsid w:val="00DD5E8F"/>
    <w:rsid w:val="00DD6B77"/>
    <w:rsid w:val="00DD6F6E"/>
    <w:rsid w:val="00DE064F"/>
    <w:rsid w:val="00DE0B8C"/>
    <w:rsid w:val="00DE0C28"/>
    <w:rsid w:val="00DE1899"/>
    <w:rsid w:val="00DE1A1F"/>
    <w:rsid w:val="00DE3C1A"/>
    <w:rsid w:val="00DF54FB"/>
    <w:rsid w:val="00DF6898"/>
    <w:rsid w:val="00DF6A7B"/>
    <w:rsid w:val="00DF6B46"/>
    <w:rsid w:val="00DF7532"/>
    <w:rsid w:val="00DF77B6"/>
    <w:rsid w:val="00DF77F6"/>
    <w:rsid w:val="00DF79C9"/>
    <w:rsid w:val="00E00375"/>
    <w:rsid w:val="00E006F4"/>
    <w:rsid w:val="00E02558"/>
    <w:rsid w:val="00E028E8"/>
    <w:rsid w:val="00E0451F"/>
    <w:rsid w:val="00E0608A"/>
    <w:rsid w:val="00E0641D"/>
    <w:rsid w:val="00E07244"/>
    <w:rsid w:val="00E079EC"/>
    <w:rsid w:val="00E11211"/>
    <w:rsid w:val="00E132A4"/>
    <w:rsid w:val="00E1577C"/>
    <w:rsid w:val="00E15CDE"/>
    <w:rsid w:val="00E17296"/>
    <w:rsid w:val="00E17B53"/>
    <w:rsid w:val="00E22358"/>
    <w:rsid w:val="00E25115"/>
    <w:rsid w:val="00E25D27"/>
    <w:rsid w:val="00E27D0A"/>
    <w:rsid w:val="00E306C2"/>
    <w:rsid w:val="00E30891"/>
    <w:rsid w:val="00E3315B"/>
    <w:rsid w:val="00E333E5"/>
    <w:rsid w:val="00E37DEA"/>
    <w:rsid w:val="00E40E44"/>
    <w:rsid w:val="00E42120"/>
    <w:rsid w:val="00E427EF"/>
    <w:rsid w:val="00E43148"/>
    <w:rsid w:val="00E44959"/>
    <w:rsid w:val="00E44C6B"/>
    <w:rsid w:val="00E474A4"/>
    <w:rsid w:val="00E50F01"/>
    <w:rsid w:val="00E51497"/>
    <w:rsid w:val="00E522E6"/>
    <w:rsid w:val="00E53F14"/>
    <w:rsid w:val="00E557BE"/>
    <w:rsid w:val="00E559CB"/>
    <w:rsid w:val="00E62FE7"/>
    <w:rsid w:val="00E63218"/>
    <w:rsid w:val="00E63D72"/>
    <w:rsid w:val="00E64602"/>
    <w:rsid w:val="00E648B1"/>
    <w:rsid w:val="00E65D2D"/>
    <w:rsid w:val="00E6709D"/>
    <w:rsid w:val="00E701AA"/>
    <w:rsid w:val="00E72948"/>
    <w:rsid w:val="00E74129"/>
    <w:rsid w:val="00E766A1"/>
    <w:rsid w:val="00E76C3A"/>
    <w:rsid w:val="00E7714E"/>
    <w:rsid w:val="00E81468"/>
    <w:rsid w:val="00E8322B"/>
    <w:rsid w:val="00E83F0F"/>
    <w:rsid w:val="00E86D54"/>
    <w:rsid w:val="00E906BD"/>
    <w:rsid w:val="00E9088A"/>
    <w:rsid w:val="00E91217"/>
    <w:rsid w:val="00E91728"/>
    <w:rsid w:val="00E924BB"/>
    <w:rsid w:val="00E927C0"/>
    <w:rsid w:val="00E92E5D"/>
    <w:rsid w:val="00E9453E"/>
    <w:rsid w:val="00E972CE"/>
    <w:rsid w:val="00E975B7"/>
    <w:rsid w:val="00E97D3C"/>
    <w:rsid w:val="00EA2D95"/>
    <w:rsid w:val="00EA32A9"/>
    <w:rsid w:val="00EA36DF"/>
    <w:rsid w:val="00EA36E0"/>
    <w:rsid w:val="00EA3785"/>
    <w:rsid w:val="00EA6B0A"/>
    <w:rsid w:val="00EB2153"/>
    <w:rsid w:val="00EC0321"/>
    <w:rsid w:val="00EC43D7"/>
    <w:rsid w:val="00EC53BF"/>
    <w:rsid w:val="00EC5C5D"/>
    <w:rsid w:val="00EC5DF8"/>
    <w:rsid w:val="00EC6DA2"/>
    <w:rsid w:val="00ED19D0"/>
    <w:rsid w:val="00ED3A8C"/>
    <w:rsid w:val="00ED51C6"/>
    <w:rsid w:val="00ED5AC4"/>
    <w:rsid w:val="00ED63F5"/>
    <w:rsid w:val="00EE109C"/>
    <w:rsid w:val="00EE221B"/>
    <w:rsid w:val="00EE3A8C"/>
    <w:rsid w:val="00EE54C8"/>
    <w:rsid w:val="00EE5CFA"/>
    <w:rsid w:val="00EE5FF9"/>
    <w:rsid w:val="00EE6E8F"/>
    <w:rsid w:val="00EF009F"/>
    <w:rsid w:val="00EF2D63"/>
    <w:rsid w:val="00EF5556"/>
    <w:rsid w:val="00EF75A2"/>
    <w:rsid w:val="00EF7C13"/>
    <w:rsid w:val="00EF7DAA"/>
    <w:rsid w:val="00F0096D"/>
    <w:rsid w:val="00F0253B"/>
    <w:rsid w:val="00F02977"/>
    <w:rsid w:val="00F07FBB"/>
    <w:rsid w:val="00F104DF"/>
    <w:rsid w:val="00F110D6"/>
    <w:rsid w:val="00F130EA"/>
    <w:rsid w:val="00F14457"/>
    <w:rsid w:val="00F1453F"/>
    <w:rsid w:val="00F15DEC"/>
    <w:rsid w:val="00F21638"/>
    <w:rsid w:val="00F249F5"/>
    <w:rsid w:val="00F2635C"/>
    <w:rsid w:val="00F265D6"/>
    <w:rsid w:val="00F27B34"/>
    <w:rsid w:val="00F305A2"/>
    <w:rsid w:val="00F31DF0"/>
    <w:rsid w:val="00F33ABC"/>
    <w:rsid w:val="00F35AB7"/>
    <w:rsid w:val="00F37955"/>
    <w:rsid w:val="00F37A3D"/>
    <w:rsid w:val="00F400EB"/>
    <w:rsid w:val="00F407C1"/>
    <w:rsid w:val="00F422A5"/>
    <w:rsid w:val="00F45133"/>
    <w:rsid w:val="00F4564D"/>
    <w:rsid w:val="00F45A10"/>
    <w:rsid w:val="00F47E13"/>
    <w:rsid w:val="00F5236C"/>
    <w:rsid w:val="00F52D8C"/>
    <w:rsid w:val="00F54363"/>
    <w:rsid w:val="00F56524"/>
    <w:rsid w:val="00F576C7"/>
    <w:rsid w:val="00F57DAE"/>
    <w:rsid w:val="00F6039B"/>
    <w:rsid w:val="00F6253A"/>
    <w:rsid w:val="00F62CF3"/>
    <w:rsid w:val="00F64965"/>
    <w:rsid w:val="00F651DB"/>
    <w:rsid w:val="00F67090"/>
    <w:rsid w:val="00F71618"/>
    <w:rsid w:val="00F731CA"/>
    <w:rsid w:val="00F73343"/>
    <w:rsid w:val="00F73366"/>
    <w:rsid w:val="00F73765"/>
    <w:rsid w:val="00F75865"/>
    <w:rsid w:val="00F77B41"/>
    <w:rsid w:val="00F805BB"/>
    <w:rsid w:val="00F813A3"/>
    <w:rsid w:val="00F816C1"/>
    <w:rsid w:val="00F81949"/>
    <w:rsid w:val="00F8249F"/>
    <w:rsid w:val="00F83446"/>
    <w:rsid w:val="00F84E0F"/>
    <w:rsid w:val="00F85559"/>
    <w:rsid w:val="00F85E48"/>
    <w:rsid w:val="00F85E9A"/>
    <w:rsid w:val="00F8645E"/>
    <w:rsid w:val="00F86BCA"/>
    <w:rsid w:val="00F86FE2"/>
    <w:rsid w:val="00F87910"/>
    <w:rsid w:val="00F90D6D"/>
    <w:rsid w:val="00F90E89"/>
    <w:rsid w:val="00F920A6"/>
    <w:rsid w:val="00F93717"/>
    <w:rsid w:val="00F93B4F"/>
    <w:rsid w:val="00F93C7C"/>
    <w:rsid w:val="00F9551C"/>
    <w:rsid w:val="00F95667"/>
    <w:rsid w:val="00F95F2A"/>
    <w:rsid w:val="00F9674E"/>
    <w:rsid w:val="00F974CB"/>
    <w:rsid w:val="00FA0C6F"/>
    <w:rsid w:val="00FA34F5"/>
    <w:rsid w:val="00FA4456"/>
    <w:rsid w:val="00FA4FFD"/>
    <w:rsid w:val="00FA52A7"/>
    <w:rsid w:val="00FA7A3B"/>
    <w:rsid w:val="00FA7AE7"/>
    <w:rsid w:val="00FB1A7F"/>
    <w:rsid w:val="00FB3EA6"/>
    <w:rsid w:val="00FB407F"/>
    <w:rsid w:val="00FB446F"/>
    <w:rsid w:val="00FB44BC"/>
    <w:rsid w:val="00FC0BA2"/>
    <w:rsid w:val="00FC1622"/>
    <w:rsid w:val="00FC4092"/>
    <w:rsid w:val="00FC43F6"/>
    <w:rsid w:val="00FC5E3A"/>
    <w:rsid w:val="00FC7C91"/>
    <w:rsid w:val="00FD2338"/>
    <w:rsid w:val="00FD4A32"/>
    <w:rsid w:val="00FD4FD5"/>
    <w:rsid w:val="00FD6D2B"/>
    <w:rsid w:val="00FD7341"/>
    <w:rsid w:val="00FD7443"/>
    <w:rsid w:val="00FE2434"/>
    <w:rsid w:val="00FE3A65"/>
    <w:rsid w:val="00FF3105"/>
    <w:rsid w:val="00FF384A"/>
    <w:rsid w:val="00FF3F61"/>
    <w:rsid w:val="00FF42F7"/>
    <w:rsid w:val="00FF4AA8"/>
    <w:rsid w:val="00FF5D06"/>
    <w:rsid w:val="00FF6225"/>
    <w:rsid w:val="0281B665"/>
    <w:rsid w:val="029FF6C1"/>
    <w:rsid w:val="02C58AED"/>
    <w:rsid w:val="04CBABB2"/>
    <w:rsid w:val="0682B551"/>
    <w:rsid w:val="070846ED"/>
    <w:rsid w:val="07323708"/>
    <w:rsid w:val="084B7EE8"/>
    <w:rsid w:val="08BB6AD8"/>
    <w:rsid w:val="09A996F3"/>
    <w:rsid w:val="09BCC5A5"/>
    <w:rsid w:val="1133B9C8"/>
    <w:rsid w:val="11E777F0"/>
    <w:rsid w:val="1336C535"/>
    <w:rsid w:val="1448C906"/>
    <w:rsid w:val="14EFACB2"/>
    <w:rsid w:val="16BF9E82"/>
    <w:rsid w:val="181E0DE0"/>
    <w:rsid w:val="186D7B94"/>
    <w:rsid w:val="18935BCB"/>
    <w:rsid w:val="195733BD"/>
    <w:rsid w:val="1B21198E"/>
    <w:rsid w:val="1B51A05A"/>
    <w:rsid w:val="1B8FDE8B"/>
    <w:rsid w:val="1B9D0DB3"/>
    <w:rsid w:val="1BCBF8A8"/>
    <w:rsid w:val="1E6A258A"/>
    <w:rsid w:val="22A6ED49"/>
    <w:rsid w:val="233F4A3B"/>
    <w:rsid w:val="24413448"/>
    <w:rsid w:val="2550309E"/>
    <w:rsid w:val="26C96E08"/>
    <w:rsid w:val="28200085"/>
    <w:rsid w:val="2B5C1DE9"/>
    <w:rsid w:val="2CE523AB"/>
    <w:rsid w:val="2EA2B1ED"/>
    <w:rsid w:val="2F07F1D5"/>
    <w:rsid w:val="322B115F"/>
    <w:rsid w:val="32A150B7"/>
    <w:rsid w:val="33215B16"/>
    <w:rsid w:val="3396EB16"/>
    <w:rsid w:val="34AD6780"/>
    <w:rsid w:val="35CBE550"/>
    <w:rsid w:val="382B46E5"/>
    <w:rsid w:val="38D3E3FE"/>
    <w:rsid w:val="39EB5DF8"/>
    <w:rsid w:val="3A9EE76A"/>
    <w:rsid w:val="3B7BE906"/>
    <w:rsid w:val="3C2054A1"/>
    <w:rsid w:val="3D23DE88"/>
    <w:rsid w:val="3E4ABF87"/>
    <w:rsid w:val="3F4130CC"/>
    <w:rsid w:val="3FF70F36"/>
    <w:rsid w:val="401ECA1D"/>
    <w:rsid w:val="401FC18E"/>
    <w:rsid w:val="40F60E29"/>
    <w:rsid w:val="41D491BC"/>
    <w:rsid w:val="44AF075A"/>
    <w:rsid w:val="45CEA306"/>
    <w:rsid w:val="4742E6B5"/>
    <w:rsid w:val="47565601"/>
    <w:rsid w:val="47B150E4"/>
    <w:rsid w:val="4A3C16D7"/>
    <w:rsid w:val="4CAEC0E7"/>
    <w:rsid w:val="4D54A693"/>
    <w:rsid w:val="4D698087"/>
    <w:rsid w:val="4E9002CA"/>
    <w:rsid w:val="4F1B9DBC"/>
    <w:rsid w:val="4F361F3D"/>
    <w:rsid w:val="4FA8E68A"/>
    <w:rsid w:val="4FB35809"/>
    <w:rsid w:val="50A595C3"/>
    <w:rsid w:val="50E0A28E"/>
    <w:rsid w:val="51ABA459"/>
    <w:rsid w:val="5280B166"/>
    <w:rsid w:val="53F17986"/>
    <w:rsid w:val="54AE9EC0"/>
    <w:rsid w:val="54BCBC5A"/>
    <w:rsid w:val="551AD5D2"/>
    <w:rsid w:val="56478A3A"/>
    <w:rsid w:val="574B83B6"/>
    <w:rsid w:val="5845F438"/>
    <w:rsid w:val="590C154E"/>
    <w:rsid w:val="598C06E9"/>
    <w:rsid w:val="59EA3AC9"/>
    <w:rsid w:val="5CDC671B"/>
    <w:rsid w:val="5D26B84F"/>
    <w:rsid w:val="5D2EE401"/>
    <w:rsid w:val="5DC210C1"/>
    <w:rsid w:val="5E159E7E"/>
    <w:rsid w:val="5EDBD70F"/>
    <w:rsid w:val="60529455"/>
    <w:rsid w:val="62B22C8E"/>
    <w:rsid w:val="63F9E8F3"/>
    <w:rsid w:val="63FE4B52"/>
    <w:rsid w:val="643BB43B"/>
    <w:rsid w:val="643CE78F"/>
    <w:rsid w:val="647720E3"/>
    <w:rsid w:val="680263B5"/>
    <w:rsid w:val="682AD792"/>
    <w:rsid w:val="68A3B37C"/>
    <w:rsid w:val="69011DBB"/>
    <w:rsid w:val="6A76C8A7"/>
    <w:rsid w:val="6C59CCCE"/>
    <w:rsid w:val="724C9BE2"/>
    <w:rsid w:val="76563E8C"/>
    <w:rsid w:val="76638E51"/>
    <w:rsid w:val="78B88029"/>
    <w:rsid w:val="7A924707"/>
    <w:rsid w:val="7B0B6B4B"/>
    <w:rsid w:val="7C62ACD4"/>
    <w:rsid w:val="7CCFB557"/>
    <w:rsid w:val="7E04AF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22E6B"/>
  <w15:chartTrackingRefBased/>
  <w15:docId w15:val="{FE8D3E3A-2C5B-4A37-8480-E7D1777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5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F5909"/>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714259"/>
    <w:pPr>
      <w:keepNext/>
      <w:widowControl w:val="0"/>
      <w:numPr>
        <w:numId w:val="41"/>
      </w:numPr>
      <w:pBdr>
        <w:bottom w:val="single" w:sz="4" w:space="2" w:color="53C8E9"/>
      </w:pBdr>
      <w:tabs>
        <w:tab w:val="left" w:pos="567"/>
      </w:tabs>
      <w:spacing w:before="36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714259"/>
    <w:pPr>
      <w:numPr>
        <w:numId w:val="0"/>
      </w:num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714259"/>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14259"/>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714259"/>
    <w:pPr>
      <w:spacing w:before="320" w:after="120"/>
      <w:outlineLvl w:val="5"/>
    </w:pPr>
    <w:rPr>
      <w:sz w:val="20"/>
    </w:rPr>
  </w:style>
  <w:style w:type="paragraph" w:styleId="Heading7">
    <w:name w:val="heading 7"/>
    <w:basedOn w:val="Heading5"/>
    <w:next w:val="Normal"/>
    <w:link w:val="Heading7Char"/>
    <w:qFormat/>
    <w:rsid w:val="00714259"/>
    <w:pPr>
      <w:spacing w:before="120"/>
      <w:ind w:left="425"/>
      <w:jc w:val="both"/>
      <w:outlineLvl w:val="6"/>
    </w:pPr>
    <w:rPr>
      <w:i w:val="0"/>
      <w:sz w:val="23"/>
    </w:rPr>
  </w:style>
  <w:style w:type="paragraph" w:styleId="Heading8">
    <w:name w:val="heading 8"/>
    <w:basedOn w:val="Heading7"/>
    <w:next w:val="Normal"/>
    <w:link w:val="Heading8Char"/>
    <w:qFormat/>
    <w:rsid w:val="00714259"/>
    <w:pPr>
      <w:outlineLvl w:val="7"/>
    </w:pPr>
    <w:rPr>
      <w:i/>
    </w:rPr>
  </w:style>
  <w:style w:type="paragraph" w:styleId="Heading9">
    <w:name w:val="heading 9"/>
    <w:basedOn w:val="Heading8"/>
    <w:next w:val="Normal"/>
    <w:link w:val="Heading9Char"/>
    <w:qFormat/>
    <w:rsid w:val="0071425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259"/>
    <w:rPr>
      <w:rFonts w:ascii="Arial Bold" w:eastAsia="Arial Unicode MS" w:hAnsi="Arial Bold" w:cs="Times New Roman"/>
      <w:b/>
      <w:color w:val="53C8E9"/>
      <w:kern w:val="28"/>
      <w:sz w:val="28"/>
      <w:szCs w:val="36"/>
    </w:rPr>
  </w:style>
  <w:style w:type="character" w:customStyle="1" w:styleId="Heading3Char">
    <w:name w:val="Heading 3 Char"/>
    <w:basedOn w:val="DefaultParagraphFont"/>
    <w:link w:val="Heading3"/>
    <w:rsid w:val="00714259"/>
    <w:rPr>
      <w:rFonts w:ascii="Arial Bold" w:eastAsia="Times New Roman" w:hAnsi="Arial Bold" w:cs="Times New Roman"/>
      <w:b/>
      <w:kern w:val="28"/>
      <w:sz w:val="26"/>
      <w:szCs w:val="36"/>
    </w:rPr>
  </w:style>
  <w:style w:type="paragraph" w:styleId="BodyText">
    <w:name w:val="Body Text"/>
    <w:link w:val="BodyTextChar"/>
    <w:autoRedefine/>
    <w:rsid w:val="00BC181B"/>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BC181B"/>
    <w:rPr>
      <w:rFonts w:ascii="Arial" w:hAnsi="Arial" w:cs="Arial"/>
      <w:sz w:val="23"/>
      <w:szCs w:val="24"/>
    </w:rPr>
  </w:style>
  <w:style w:type="paragraph" w:customStyle="1" w:styleId="Table7X">
    <w:name w:val="Table 7.X"/>
    <w:basedOn w:val="Normal"/>
    <w:rsid w:val="00A825D3"/>
    <w:pPr>
      <w:widowControl w:val="0"/>
      <w:numPr>
        <w:numId w:val="2"/>
      </w:numPr>
      <w:tabs>
        <w:tab w:val="left" w:pos="1304"/>
      </w:tabs>
      <w:spacing w:before="360" w:after="120"/>
    </w:pPr>
    <w:rPr>
      <w:rFonts w:ascii="Arial" w:hAnsi="Arial"/>
      <w:bCs/>
      <w:i/>
      <w:color w:val="4F4F4F"/>
      <w:kern w:val="28"/>
      <w:sz w:val="22"/>
      <w:szCs w:val="22"/>
    </w:rPr>
  </w:style>
  <w:style w:type="character" w:customStyle="1" w:styleId="Heading4Char">
    <w:name w:val="Heading 4 Char"/>
    <w:link w:val="Heading4"/>
    <w:rsid w:val="00714259"/>
    <w:rPr>
      <w:rFonts w:ascii="Arial Bold" w:eastAsia="Arial Unicode MS" w:hAnsi="Arial Bold" w:cs="Times New Roman"/>
      <w:b/>
      <w:kern w:val="28"/>
      <w:sz w:val="25"/>
      <w:szCs w:val="36"/>
    </w:rPr>
  </w:style>
  <w:style w:type="character" w:customStyle="1" w:styleId="Heading5Char">
    <w:name w:val="Heading 5 Char"/>
    <w:link w:val="Heading5"/>
    <w:rsid w:val="00714259"/>
    <w:rPr>
      <w:rFonts w:ascii="Arial" w:eastAsia="Times New Roman" w:hAnsi="Arial" w:cs="Times New Roman"/>
      <w:b/>
      <w:i/>
      <w:kern w:val="28"/>
      <w:sz w:val="25"/>
      <w:szCs w:val="36"/>
    </w:rPr>
  </w:style>
  <w:style w:type="character" w:customStyle="1" w:styleId="Heading1Char">
    <w:name w:val="Heading 1 Char"/>
    <w:basedOn w:val="DefaultParagraphFont"/>
    <w:link w:val="Heading1"/>
    <w:uiPriority w:val="9"/>
    <w:rsid w:val="004F5909"/>
    <w:rPr>
      <w:rFonts w:ascii="Arial" w:eastAsiaTheme="majorEastAsia" w:hAnsi="Arial" w:cstheme="majorBidi"/>
      <w:caps/>
      <w:color w:val="00426F"/>
      <w:sz w:val="40"/>
      <w:szCs w:val="32"/>
      <w:lang w:val="en-US"/>
    </w:rPr>
  </w:style>
  <w:style w:type="character" w:styleId="CommentReference">
    <w:name w:val="annotation reference"/>
    <w:uiPriority w:val="99"/>
    <w:rsid w:val="00714259"/>
    <w:rPr>
      <w:sz w:val="16"/>
      <w:szCs w:val="16"/>
    </w:rPr>
  </w:style>
  <w:style w:type="paragraph" w:styleId="CommentText">
    <w:name w:val="annotation text"/>
    <w:basedOn w:val="Normal"/>
    <w:link w:val="CommentTextChar"/>
    <w:uiPriority w:val="99"/>
    <w:rsid w:val="00714259"/>
  </w:style>
  <w:style w:type="character" w:customStyle="1" w:styleId="CommentTextChar">
    <w:name w:val="Comment Text Char"/>
    <w:basedOn w:val="DefaultParagraphFont"/>
    <w:link w:val="CommentText"/>
    <w:uiPriority w:val="99"/>
    <w:rsid w:val="00714259"/>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714259"/>
    <w:pPr>
      <w:ind w:left="720"/>
      <w:contextualSpacing/>
    </w:pPr>
  </w:style>
  <w:style w:type="paragraph" w:styleId="BalloonText">
    <w:name w:val="Balloon Text"/>
    <w:basedOn w:val="Normal"/>
    <w:link w:val="BalloonTextChar"/>
    <w:uiPriority w:val="99"/>
    <w:semiHidden/>
    <w:unhideWhenUsed/>
    <w:rsid w:val="0071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9"/>
    <w:rPr>
      <w:rFonts w:ascii="Segoe UI" w:eastAsia="Times New Roman" w:hAnsi="Segoe UI" w:cs="Segoe UI"/>
      <w:sz w:val="18"/>
      <w:szCs w:val="18"/>
      <w:lang w:val="en-US"/>
    </w:rPr>
  </w:style>
  <w:style w:type="paragraph" w:styleId="Header">
    <w:name w:val="header"/>
    <w:basedOn w:val="Normal"/>
    <w:link w:val="HeaderChar"/>
    <w:uiPriority w:val="99"/>
    <w:unhideWhenUsed/>
    <w:rsid w:val="00714259"/>
    <w:pPr>
      <w:tabs>
        <w:tab w:val="center" w:pos="4513"/>
        <w:tab w:val="right" w:pos="9026"/>
      </w:tabs>
    </w:pPr>
  </w:style>
  <w:style w:type="character" w:customStyle="1" w:styleId="HeaderChar">
    <w:name w:val="Header Char"/>
    <w:basedOn w:val="DefaultParagraphFont"/>
    <w:link w:val="Header"/>
    <w:uiPriority w:val="99"/>
    <w:rsid w:val="00714259"/>
    <w:rPr>
      <w:rFonts w:ascii="Times New Roman" w:eastAsia="Times New Roman" w:hAnsi="Times New Roman" w:cs="Times New Roman"/>
      <w:sz w:val="20"/>
      <w:szCs w:val="20"/>
      <w:lang w:val="en-US"/>
    </w:rPr>
  </w:style>
  <w:style w:type="table" w:customStyle="1" w:styleId="TableGrid1">
    <w:name w:val="TableGrid1"/>
    <w:rsid w:val="00E522E6"/>
    <w:pPr>
      <w:spacing w:after="0" w:line="240" w:lineRule="auto"/>
    </w:pPr>
    <w:rPr>
      <w:rFonts w:eastAsia="Times New Roman"/>
      <w:lang w:eastAsia="en-AU"/>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714259"/>
    <w:rPr>
      <w:b/>
      <w:bCs/>
    </w:rPr>
  </w:style>
  <w:style w:type="character" w:customStyle="1" w:styleId="CommentSubjectChar">
    <w:name w:val="Comment Subject Char"/>
    <w:basedOn w:val="CommentTextChar"/>
    <w:link w:val="CommentSubject"/>
    <w:uiPriority w:val="99"/>
    <w:semiHidden/>
    <w:rsid w:val="00714259"/>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714259"/>
    <w:pPr>
      <w:spacing w:before="80" w:after="80"/>
      <w:ind w:left="709" w:hanging="142"/>
    </w:pPr>
    <w:rPr>
      <w:i/>
      <w:sz w:val="16"/>
      <w:lang w:val="en-AU"/>
    </w:rPr>
  </w:style>
  <w:style w:type="character" w:customStyle="1" w:styleId="FootnoteTextChar">
    <w:name w:val="Footnote Text Char"/>
    <w:basedOn w:val="DefaultParagraphFont"/>
    <w:link w:val="FootnoteText"/>
    <w:rsid w:val="00714259"/>
    <w:rPr>
      <w:rFonts w:ascii="Times New Roman" w:eastAsia="Times New Roman" w:hAnsi="Times New Roman" w:cs="Times New Roman"/>
      <w:i/>
      <w:sz w:val="16"/>
      <w:szCs w:val="20"/>
    </w:rPr>
  </w:style>
  <w:style w:type="character" w:styleId="FootnoteReference">
    <w:name w:val="footnote reference"/>
    <w:rsid w:val="00714259"/>
    <w:rPr>
      <w:vertAlign w:val="superscript"/>
    </w:rPr>
  </w:style>
  <w:style w:type="paragraph" w:styleId="Revision">
    <w:name w:val="Revision"/>
    <w:hidden/>
    <w:uiPriority w:val="99"/>
    <w:semiHidden/>
    <w:rsid w:val="00A81200"/>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nhideWhenUsed/>
    <w:rsid w:val="00714259"/>
    <w:pPr>
      <w:tabs>
        <w:tab w:val="center" w:pos="4513"/>
        <w:tab w:val="right" w:pos="9026"/>
      </w:tabs>
    </w:pPr>
  </w:style>
  <w:style w:type="character" w:customStyle="1" w:styleId="FooterChar">
    <w:name w:val="Footer Char"/>
    <w:basedOn w:val="DefaultParagraphFont"/>
    <w:link w:val="Footer"/>
    <w:rsid w:val="00714259"/>
    <w:rPr>
      <w:rFonts w:ascii="Times New Roman" w:eastAsia="Times New Roman" w:hAnsi="Times New Roman" w:cs="Times New Roman"/>
      <w:sz w:val="20"/>
      <w:szCs w:val="20"/>
      <w:lang w:val="en-US"/>
    </w:rPr>
  </w:style>
  <w:style w:type="table" w:customStyle="1" w:styleId="TableGrid10">
    <w:name w:val="Table Grid1"/>
    <w:rsid w:val="00604FFE"/>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39"/>
    <w:rsid w:val="0060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714259"/>
  </w:style>
  <w:style w:type="paragraph" w:customStyle="1" w:styleId="BodyTextBox">
    <w:name w:val="Body Text Box"/>
    <w:basedOn w:val="Normal"/>
    <w:link w:val="BodyTextBoxChar"/>
    <w:autoRedefine/>
    <w:rsid w:val="00714259"/>
    <w:pPr>
      <w:spacing w:before="120" w:after="80" w:line="260" w:lineRule="exact"/>
    </w:pPr>
    <w:rPr>
      <w:rFonts w:ascii="Arial" w:hAnsi="Arial"/>
      <w:color w:val="008EBA"/>
      <w:sz w:val="23"/>
      <w:szCs w:val="22"/>
    </w:rPr>
  </w:style>
  <w:style w:type="character" w:customStyle="1" w:styleId="BodyTextBoxChar">
    <w:name w:val="Body Text Box Char"/>
    <w:link w:val="BodyTextBox"/>
    <w:rsid w:val="00714259"/>
    <w:rPr>
      <w:rFonts w:ascii="Arial" w:eastAsia="Times New Roman" w:hAnsi="Arial" w:cs="Times New Roman"/>
      <w:color w:val="008EBA"/>
      <w:sz w:val="23"/>
      <w:lang w:val="en-US"/>
    </w:rPr>
  </w:style>
  <w:style w:type="paragraph" w:customStyle="1" w:styleId="BoxHeading">
    <w:name w:val="Box Heading"/>
    <w:basedOn w:val="Normal"/>
    <w:link w:val="BoxHeadingChar"/>
    <w:autoRedefine/>
    <w:rsid w:val="00714259"/>
    <w:pPr>
      <w:keepNext/>
      <w:framePr w:hSpace="180" w:wrap="around" w:vAnchor="text" w:hAnchor="margin" w:y="264"/>
      <w:widowControl w:val="0"/>
      <w:numPr>
        <w:numId w:val="45"/>
      </w:numPr>
      <w:tabs>
        <w:tab w:val="left" w:pos="567"/>
        <w:tab w:val="left" w:pos="1168"/>
      </w:tabs>
      <w:spacing w:before="120" w:after="60" w:line="240" w:lineRule="atLeast"/>
    </w:pPr>
    <w:rPr>
      <w:rFonts w:ascii="Arial" w:eastAsia="Arial Unicode MS" w:hAnsi="Arial"/>
      <w:b/>
      <w:bCs/>
      <w:sz w:val="23"/>
      <w:szCs w:val="23"/>
    </w:rPr>
  </w:style>
  <w:style w:type="character" w:customStyle="1" w:styleId="BoxHeadingChar">
    <w:name w:val="Box Heading Char"/>
    <w:link w:val="BoxHeading"/>
    <w:rsid w:val="00714259"/>
    <w:rPr>
      <w:rFonts w:ascii="Arial" w:eastAsia="Arial Unicode MS" w:hAnsi="Arial" w:cs="Times New Roman"/>
      <w:b/>
      <w:bCs/>
      <w:sz w:val="23"/>
      <w:szCs w:val="23"/>
      <w:lang w:val="en-US"/>
    </w:rPr>
  </w:style>
  <w:style w:type="paragraph" w:customStyle="1" w:styleId="Bullet">
    <w:name w:val="Bullet"/>
    <w:basedOn w:val="BodyText"/>
    <w:rsid w:val="00714259"/>
    <w:pPr>
      <w:numPr>
        <w:numId w:val="37"/>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1D7EDA"/>
    <w:pPr>
      <w:numPr>
        <w:numId w:val="38"/>
      </w:numPr>
      <w:spacing w:before="120" w:after="80"/>
      <w:ind w:left="357" w:hanging="357"/>
    </w:pPr>
    <w:rPr>
      <w:szCs w:val="20"/>
    </w:rPr>
  </w:style>
  <w:style w:type="character" w:customStyle="1" w:styleId="Bullet1Char">
    <w:name w:val="Bullet 1 Char"/>
    <w:link w:val="Bullet1"/>
    <w:rsid w:val="001D7EDA"/>
    <w:rPr>
      <w:rFonts w:ascii="Arial" w:hAnsi="Arial" w:cs="Arial"/>
      <w:sz w:val="23"/>
      <w:szCs w:val="20"/>
    </w:rPr>
  </w:style>
  <w:style w:type="paragraph" w:customStyle="1" w:styleId="Bullet1inabox">
    <w:name w:val="Bullet 1 in a box"/>
    <w:basedOn w:val="Normal"/>
    <w:autoRedefine/>
    <w:rsid w:val="00714259"/>
    <w:pPr>
      <w:numPr>
        <w:numId w:val="39"/>
      </w:numPr>
      <w:spacing w:before="120" w:after="100" w:line="260" w:lineRule="exact"/>
    </w:pPr>
    <w:rPr>
      <w:rFonts w:ascii="Arial" w:eastAsia="Arial" w:hAnsi="Arial" w:cs="Arial"/>
      <w:color w:val="008EBA"/>
      <w:sz w:val="23"/>
      <w:szCs w:val="24"/>
      <w:lang w:val="en-AU"/>
    </w:rPr>
  </w:style>
  <w:style w:type="paragraph" w:customStyle="1" w:styleId="BulletPointStyle">
    <w:name w:val="Bullet Point Style"/>
    <w:basedOn w:val="Normal"/>
    <w:link w:val="BulletPointStyleChar"/>
    <w:rsid w:val="00714259"/>
    <w:pPr>
      <w:spacing w:after="80" w:line="280" w:lineRule="exact"/>
    </w:pPr>
    <w:rPr>
      <w:rFonts w:ascii="Garamond" w:eastAsiaTheme="minorHAnsi" w:hAnsi="Garamond" w:cstheme="minorBidi"/>
      <w:sz w:val="22"/>
      <w:szCs w:val="22"/>
      <w:lang w:val="en-AU" w:eastAsia="x-none"/>
    </w:rPr>
  </w:style>
  <w:style w:type="character" w:customStyle="1" w:styleId="BulletPointStyleChar">
    <w:name w:val="Bullet Point Style Char"/>
    <w:basedOn w:val="DefaultParagraphFont"/>
    <w:link w:val="BulletPointStyle"/>
    <w:locked/>
    <w:rsid w:val="00714259"/>
    <w:rPr>
      <w:rFonts w:ascii="Garamond" w:hAnsi="Garamond"/>
      <w:lang w:eastAsia="x-none"/>
    </w:rPr>
  </w:style>
  <w:style w:type="paragraph" w:customStyle="1" w:styleId="Chart31">
    <w:name w:val="Chart 3.1"/>
    <w:basedOn w:val="Normal"/>
    <w:qFormat/>
    <w:rsid w:val="00714259"/>
    <w:pPr>
      <w:numPr>
        <w:numId w:val="40"/>
      </w:numPr>
      <w:spacing w:before="360" w:after="120"/>
    </w:pPr>
    <w:rPr>
      <w:rFonts w:ascii="Arial" w:hAnsi="Arial"/>
      <w:i/>
      <w:color w:val="4F4F4F"/>
      <w:sz w:val="22"/>
    </w:rPr>
  </w:style>
  <w:style w:type="character" w:customStyle="1" w:styleId="contextualspellingandgrammarerror">
    <w:name w:val="contextualspellingandgrammarerror"/>
    <w:basedOn w:val="DefaultParagraphFont"/>
    <w:rsid w:val="00714259"/>
  </w:style>
  <w:style w:type="paragraph" w:customStyle="1" w:styleId="Default">
    <w:name w:val="Default"/>
    <w:rsid w:val="0071425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qFormat/>
    <w:rsid w:val="00714259"/>
    <w:rPr>
      <w:i/>
      <w:iCs/>
    </w:rPr>
  </w:style>
  <w:style w:type="character" w:customStyle="1" w:styleId="eop">
    <w:name w:val="eop"/>
    <w:basedOn w:val="DefaultParagraphFont"/>
    <w:rsid w:val="00714259"/>
  </w:style>
  <w:style w:type="character" w:customStyle="1" w:styleId="Heading6Char">
    <w:name w:val="Heading 6 Char"/>
    <w:link w:val="Heading6"/>
    <w:rsid w:val="00714259"/>
    <w:rPr>
      <w:rFonts w:ascii="Arial" w:eastAsiaTheme="majorEastAsia" w:hAnsi="Arial" w:cstheme="majorBidi"/>
      <w:caps/>
      <w:color w:val="00426F"/>
      <w:sz w:val="20"/>
      <w:szCs w:val="32"/>
      <w:lang w:val="en-US"/>
    </w:rPr>
  </w:style>
  <w:style w:type="character" w:customStyle="1" w:styleId="Heading7Char">
    <w:name w:val="Heading 7 Char"/>
    <w:link w:val="Heading7"/>
    <w:rsid w:val="00714259"/>
    <w:rPr>
      <w:rFonts w:ascii="Arial" w:eastAsia="Times New Roman" w:hAnsi="Arial" w:cs="Times New Roman"/>
      <w:b/>
      <w:kern w:val="28"/>
      <w:sz w:val="23"/>
      <w:szCs w:val="36"/>
    </w:rPr>
  </w:style>
  <w:style w:type="character" w:customStyle="1" w:styleId="Heading8Char">
    <w:name w:val="Heading 8 Char"/>
    <w:link w:val="Heading8"/>
    <w:rsid w:val="00714259"/>
    <w:rPr>
      <w:rFonts w:ascii="Arial" w:eastAsia="Times New Roman" w:hAnsi="Arial" w:cs="Times New Roman"/>
      <w:b/>
      <w:i/>
      <w:kern w:val="28"/>
      <w:sz w:val="23"/>
      <w:szCs w:val="36"/>
    </w:rPr>
  </w:style>
  <w:style w:type="character" w:customStyle="1" w:styleId="Heading9Char">
    <w:name w:val="Heading 9 Char"/>
    <w:link w:val="Heading9"/>
    <w:rsid w:val="00714259"/>
    <w:rPr>
      <w:rFonts w:ascii="Arial" w:eastAsia="Times New Roman" w:hAnsi="Arial" w:cs="Times New Roman"/>
      <w:b/>
      <w:kern w:val="28"/>
      <w:sz w:val="23"/>
      <w:szCs w:val="36"/>
    </w:rPr>
  </w:style>
  <w:style w:type="character" w:customStyle="1" w:styleId="ListParagraphChar">
    <w:name w:val="List Paragraph Char"/>
    <w:link w:val="ListParagraph"/>
    <w:uiPriority w:val="34"/>
    <w:locked/>
    <w:rsid w:val="00714259"/>
    <w:rPr>
      <w:rFonts w:ascii="Times New Roman" w:eastAsia="Times New Roman" w:hAnsi="Times New Roman" w:cs="Times New Roman"/>
      <w:sz w:val="20"/>
      <w:szCs w:val="20"/>
      <w:lang w:val="en-US"/>
    </w:rPr>
  </w:style>
  <w:style w:type="character" w:styleId="Mention">
    <w:name w:val="Mention"/>
    <w:basedOn w:val="DefaultParagraphFont"/>
    <w:uiPriority w:val="99"/>
    <w:unhideWhenUsed/>
    <w:rsid w:val="00714259"/>
    <w:rPr>
      <w:color w:val="2B579A"/>
      <w:shd w:val="clear" w:color="auto" w:fill="E1DFDD"/>
    </w:rPr>
  </w:style>
  <w:style w:type="paragraph" w:styleId="NormalWeb">
    <w:name w:val="Normal (Web)"/>
    <w:basedOn w:val="Normal"/>
    <w:uiPriority w:val="99"/>
    <w:semiHidden/>
    <w:unhideWhenUsed/>
    <w:rsid w:val="00714259"/>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714259"/>
  </w:style>
  <w:style w:type="paragraph" w:customStyle="1" w:styleId="paragraph">
    <w:name w:val="paragraph"/>
    <w:basedOn w:val="Normal"/>
    <w:rsid w:val="00714259"/>
    <w:pPr>
      <w:spacing w:before="100" w:beforeAutospacing="1" w:after="100" w:afterAutospacing="1"/>
    </w:pPr>
    <w:rPr>
      <w:sz w:val="24"/>
      <w:szCs w:val="24"/>
      <w:lang w:val="en-AU" w:eastAsia="en-AU"/>
    </w:rPr>
  </w:style>
  <w:style w:type="paragraph" w:customStyle="1" w:styleId="Table4X">
    <w:name w:val="Table 4.X"/>
    <w:basedOn w:val="Normal"/>
    <w:qFormat/>
    <w:rsid w:val="00714259"/>
    <w:pPr>
      <w:widowControl w:val="0"/>
      <w:numPr>
        <w:numId w:val="42"/>
      </w:numPr>
      <w:tabs>
        <w:tab w:val="left" w:pos="1304"/>
      </w:tabs>
      <w:spacing w:before="360" w:after="120"/>
    </w:pPr>
    <w:rPr>
      <w:rFonts w:ascii="Arial" w:hAnsi="Arial"/>
      <w:bCs/>
      <w:i/>
      <w:color w:val="4F4F4F"/>
      <w:kern w:val="28"/>
      <w:sz w:val="22"/>
      <w:szCs w:val="22"/>
    </w:rPr>
  </w:style>
  <w:style w:type="paragraph" w:customStyle="1" w:styleId="TableCX">
    <w:name w:val="Table C.X"/>
    <w:basedOn w:val="Normal"/>
    <w:qFormat/>
    <w:rsid w:val="00714259"/>
    <w:pPr>
      <w:widowControl w:val="0"/>
      <w:tabs>
        <w:tab w:val="left" w:pos="1134"/>
      </w:tabs>
      <w:spacing w:before="360" w:after="120"/>
      <w:ind w:left="720" w:hanging="360"/>
    </w:pPr>
    <w:rPr>
      <w:rFonts w:ascii="Arial" w:hAnsi="Arial"/>
      <w:bCs/>
      <w:i/>
      <w:color w:val="4F4F4F"/>
      <w:kern w:val="28"/>
      <w:sz w:val="22"/>
      <w:szCs w:val="22"/>
      <w:lang w:val="en-AU"/>
    </w:rPr>
  </w:style>
  <w:style w:type="paragraph" w:customStyle="1" w:styleId="Tablefootnote">
    <w:name w:val="Table footnote"/>
    <w:basedOn w:val="Normal"/>
    <w:qFormat/>
    <w:rsid w:val="00714259"/>
    <w:pPr>
      <w:numPr>
        <w:numId w:val="44"/>
      </w:numPr>
    </w:pPr>
    <w:rPr>
      <w:rFonts w:ascii="Arial" w:hAnsi="Arial"/>
      <w:sz w:val="17"/>
    </w:rPr>
  </w:style>
  <w:style w:type="table" w:styleId="TableGrid">
    <w:name w:val="Table Grid"/>
    <w:basedOn w:val="TableNormal"/>
    <w:uiPriority w:val="59"/>
    <w:rsid w:val="007142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14259"/>
    <w:rPr>
      <w:lang w:val="en-AU"/>
    </w:rPr>
  </w:style>
  <w:style w:type="character" w:styleId="UnresolvedMention">
    <w:name w:val="Unresolved Mention"/>
    <w:basedOn w:val="DefaultParagraphFont"/>
    <w:uiPriority w:val="99"/>
    <w:rsid w:val="00714259"/>
    <w:rPr>
      <w:color w:val="605E5C"/>
      <w:shd w:val="clear" w:color="auto" w:fill="E1DFDD"/>
    </w:rPr>
  </w:style>
  <w:style w:type="paragraph" w:customStyle="1" w:styleId="Activitytexts">
    <w:name w:val="Activity texts"/>
    <w:basedOn w:val="Normal"/>
    <w:link w:val="ActivitytextsChar"/>
    <w:autoRedefine/>
    <w:rsid w:val="00597317"/>
    <w:pPr>
      <w:widowControl w:val="0"/>
      <w:tabs>
        <w:tab w:val="right" w:pos="3725"/>
        <w:tab w:val="right" w:pos="4689"/>
        <w:tab w:val="right" w:pos="6831"/>
        <w:tab w:val="right" w:pos="7937"/>
        <w:tab w:val="right" w:pos="9071"/>
      </w:tabs>
      <w:autoSpaceDE w:val="0"/>
      <w:autoSpaceDN w:val="0"/>
      <w:ind w:left="357" w:hanging="357"/>
    </w:pPr>
    <w:rPr>
      <w:rFonts w:ascii="Arial" w:hAnsi="Arial" w:cs="Arial"/>
      <w:noProof/>
      <w:sz w:val="15"/>
      <w:szCs w:val="18"/>
      <w:lang w:val="en-AU" w:eastAsia="en-AU"/>
    </w:rPr>
  </w:style>
  <w:style w:type="character" w:customStyle="1" w:styleId="ActivitytextsChar">
    <w:name w:val="Activity texts Char"/>
    <w:link w:val="Activitytexts"/>
    <w:rsid w:val="00597317"/>
    <w:rPr>
      <w:rFonts w:ascii="Arial" w:eastAsia="Times New Roman" w:hAnsi="Arial" w:cs="Arial"/>
      <w:noProof/>
      <w:sz w:val="15"/>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52089">
      <w:bodyDiv w:val="1"/>
      <w:marLeft w:val="0"/>
      <w:marRight w:val="0"/>
      <w:marTop w:val="0"/>
      <w:marBottom w:val="0"/>
      <w:divBdr>
        <w:top w:val="none" w:sz="0" w:space="0" w:color="auto"/>
        <w:left w:val="none" w:sz="0" w:space="0" w:color="auto"/>
        <w:bottom w:val="none" w:sz="0" w:space="0" w:color="auto"/>
        <w:right w:val="none" w:sz="0" w:space="0" w:color="auto"/>
      </w:divBdr>
    </w:div>
    <w:div w:id="1221399723">
      <w:bodyDiv w:val="1"/>
      <w:marLeft w:val="0"/>
      <w:marRight w:val="0"/>
      <w:marTop w:val="0"/>
      <w:marBottom w:val="0"/>
      <w:divBdr>
        <w:top w:val="none" w:sz="0" w:space="0" w:color="auto"/>
        <w:left w:val="none" w:sz="0" w:space="0" w:color="auto"/>
        <w:bottom w:val="none" w:sz="0" w:space="0" w:color="auto"/>
        <w:right w:val="none" w:sz="0" w:space="0" w:color="auto"/>
      </w:divBdr>
    </w:div>
    <w:div w:id="16039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Jenny Merkley</DisplayName>
        <AccountId>56</AccountId>
        <AccountType/>
      </UserInfo>
      <UserInfo>
        <DisplayName>Richard Furmage</DisplayName>
        <AccountId>263</AccountId>
        <AccountType/>
      </UserInfo>
      <UserInfo>
        <DisplayName>Matt Greiss</DisplayName>
        <AccountId>143</AccountId>
        <AccountType/>
      </UserInfo>
      <UserInfo>
        <DisplayName>Scott Ellis</DisplayName>
        <AccountId>137</AccountId>
        <AccountType/>
      </UserInfo>
      <UserInfo>
        <DisplayName>Cassandra Wilkinson</DisplayName>
        <AccountId>159</AccountId>
        <AccountType/>
      </UserInfo>
      <UserInfo>
        <DisplayName>Kenna Ackley</DisplayName>
        <AccountId>483</AccountId>
        <AccountType/>
      </UserInfo>
      <UserInfo>
        <DisplayName>Hugh Wilson</DisplayName>
        <AccountId>1092</AccountId>
        <AccountType/>
      </UserInfo>
      <UserInfo>
        <DisplayName>Angela Kelly</DisplayName>
        <AccountId>273</AccountId>
        <AccountType/>
      </UserInfo>
      <UserInfo>
        <DisplayName>Stewart Walters</DisplayName>
        <AccountId>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48D9-A93B-4780-8A97-2D5AF0B63DA5}">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2C7B0D78-722A-4213-9CD5-DBC373AA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28060-B211-4B88-8644-61E04A5BCF06}">
  <ds:schemaRefs>
    <ds:schemaRef ds:uri="http://schemas.microsoft.com/sharepoint/v3/contenttype/forms"/>
  </ds:schemaRefs>
</ds:datastoreItem>
</file>

<file path=customXml/itemProps4.xml><?xml version="1.0" encoding="utf-8"?>
<ds:datastoreItem xmlns:ds="http://schemas.openxmlformats.org/officeDocument/2006/customXml" ds:itemID="{D68004CE-F625-4944-8744-9B21D98A9524}">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3359</TotalTime>
  <Pages>5</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C Contingent Assets and Liabilities</dc:title>
  <dc:subject/>
  <dc:creator>The Treasury</dc:creator>
  <cp:keywords/>
  <dc:description/>
  <cp:lastModifiedBy>Francess Lavorato</cp:lastModifiedBy>
  <cp:revision>724</cp:revision>
  <cp:lastPrinted>2020-11-13T01:34:00Z</cp:lastPrinted>
  <dcterms:created xsi:type="dcterms:W3CDTF">2019-06-15T21:30:00Z</dcterms:created>
  <dcterms:modified xsi:type="dcterms:W3CDTF">2020-11-15T05:31:00Z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