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Override PartName="/word/documenttasks/documenttasks1.xml" ContentType="application/vnd.ms-office.documenttask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0DA84" w14:textId="3C75BD1B" w:rsidR="00BC5471" w:rsidRPr="004632E3" w:rsidRDefault="00EC079F" w:rsidP="00714A12">
      <w:pPr>
        <w:pStyle w:val="Heading1"/>
        <w:tabs>
          <w:tab w:val="clear" w:pos="567"/>
          <w:tab w:val="left" w:pos="709"/>
        </w:tabs>
        <w:ind w:left="709" w:hanging="709"/>
      </w:pPr>
      <w:r w:rsidRPr="005B0E20">
        <w:t>F</w:t>
      </w:r>
      <w:r w:rsidR="00DD408A" w:rsidRPr="005B0E20">
        <w:t xml:space="preserve">. </w:t>
      </w:r>
      <w:r w:rsidR="0053757D" w:rsidRPr="00C04562">
        <w:tab/>
      </w:r>
      <w:r w:rsidR="00260979">
        <w:t>Economic Scenario analysis</w:t>
      </w:r>
    </w:p>
    <w:p w14:paraId="094D4C06" w14:textId="376F81AD" w:rsidR="000E619B" w:rsidRDefault="000E619B" w:rsidP="000E619B">
      <w:pPr>
        <w:pStyle w:val="BodyText"/>
      </w:pPr>
      <w:r>
        <w:t>The 20</w:t>
      </w:r>
      <w:r w:rsidR="005E40EC">
        <w:t>20-21</w:t>
      </w:r>
      <w:r>
        <w:t xml:space="preserve"> Budget relies on forecasts and </w:t>
      </w:r>
      <w:r w:rsidR="00256073">
        <w:t>judgements</w:t>
      </w:r>
      <w:r>
        <w:t xml:space="preserve"> </w:t>
      </w:r>
      <w:r w:rsidR="00CD1224">
        <w:t>about the</w:t>
      </w:r>
      <w:r w:rsidR="00920254">
        <w:t xml:space="preserve"> future of</w:t>
      </w:r>
      <w:r w:rsidR="00CD1224">
        <w:t xml:space="preserve"> </w:t>
      </w:r>
      <w:r w:rsidR="002917B8">
        <w:t xml:space="preserve">the </w:t>
      </w:r>
      <w:r w:rsidR="00CD1224">
        <w:t>economy</w:t>
      </w:r>
      <w:r w:rsidR="002F6652">
        <w:t xml:space="preserve">, based on information </w:t>
      </w:r>
      <w:r w:rsidR="006D34D8">
        <w:t>available at the time of preparation</w:t>
      </w:r>
      <w:r w:rsidR="00CD1224">
        <w:t xml:space="preserve">. These forecasts </w:t>
      </w:r>
      <w:r w:rsidR="008E709B">
        <w:t>are subject to</w:t>
      </w:r>
      <w:r w:rsidR="00920254">
        <w:t xml:space="preserve"> inherent uncertaint</w:t>
      </w:r>
      <w:r w:rsidR="008E709B">
        <w:t>ies</w:t>
      </w:r>
      <w:r w:rsidR="00F846E6">
        <w:t>,</w:t>
      </w:r>
      <w:r w:rsidR="00920254">
        <w:t xml:space="preserve"> </w:t>
      </w:r>
      <w:r w:rsidR="00FC66C1">
        <w:t xml:space="preserve">such as </w:t>
      </w:r>
      <w:r w:rsidR="00560AF3">
        <w:t xml:space="preserve">changes in </w:t>
      </w:r>
      <w:r w:rsidR="004E4949">
        <w:t>behaviours</w:t>
      </w:r>
      <w:r w:rsidR="00E22EBA">
        <w:t xml:space="preserve">, </w:t>
      </w:r>
      <w:r w:rsidR="00C46671">
        <w:t>evolving</w:t>
      </w:r>
      <w:r w:rsidR="00E22EBA">
        <w:t xml:space="preserve"> relationships between variables</w:t>
      </w:r>
      <w:r w:rsidR="00560AF3">
        <w:t xml:space="preserve"> a</w:t>
      </w:r>
      <w:r w:rsidR="00310E7D">
        <w:t>n</w:t>
      </w:r>
      <w:r w:rsidR="00560AF3">
        <w:t xml:space="preserve">d </w:t>
      </w:r>
      <w:r w:rsidR="004E4949">
        <w:t>unexpected events</w:t>
      </w:r>
      <w:r w:rsidR="00E22EBA">
        <w:t xml:space="preserve"> or </w:t>
      </w:r>
      <w:r w:rsidR="004E4949">
        <w:t>shocks</w:t>
      </w:r>
      <w:r w:rsidR="00560AF3">
        <w:t xml:space="preserve">. </w:t>
      </w:r>
    </w:p>
    <w:p w14:paraId="3028D9A6" w14:textId="17651AA7" w:rsidR="004E1F0F" w:rsidRDefault="004E1F0F" w:rsidP="000E619B">
      <w:pPr>
        <w:pStyle w:val="BodyText"/>
      </w:pPr>
      <w:r>
        <w:t xml:space="preserve">This appendix explores the impact of variations </w:t>
      </w:r>
      <w:r w:rsidR="0012231C">
        <w:t>in</w:t>
      </w:r>
      <w:r w:rsidR="0030252D">
        <w:t xml:space="preserve"> </w:t>
      </w:r>
      <w:r w:rsidR="0012231C">
        <w:t>key economic parameters</w:t>
      </w:r>
      <w:r w:rsidR="0030252D">
        <w:t xml:space="preserve"> </w:t>
      </w:r>
      <w:r>
        <w:t xml:space="preserve">on </w:t>
      </w:r>
      <w:r w:rsidR="002A6CC2">
        <w:t>other areas of the economy</w:t>
      </w:r>
      <w:r w:rsidR="007906E7">
        <w:t xml:space="preserve">, </w:t>
      </w:r>
      <w:r w:rsidR="00161FAF">
        <w:t>the overall</w:t>
      </w:r>
      <w:r w:rsidR="00C155F1">
        <w:t xml:space="preserve"> macroeconomic outlook</w:t>
      </w:r>
      <w:r w:rsidR="007906E7">
        <w:t xml:space="preserve"> </w:t>
      </w:r>
      <w:r w:rsidR="008E7A0E">
        <w:t>and</w:t>
      </w:r>
      <w:r w:rsidR="007906E7">
        <w:t xml:space="preserve"> </w:t>
      </w:r>
      <w:r w:rsidR="008E7A0E">
        <w:t xml:space="preserve">general government </w:t>
      </w:r>
      <w:r w:rsidR="007906E7">
        <w:t xml:space="preserve">tax </w:t>
      </w:r>
      <w:r w:rsidR="008E7A0E">
        <w:t>revenues.</w:t>
      </w:r>
      <w:r w:rsidR="007906E7">
        <w:t xml:space="preserve"> This </w:t>
      </w:r>
      <w:r w:rsidR="00266C00">
        <w:t xml:space="preserve">is intended to </w:t>
      </w:r>
      <w:r w:rsidR="00EA58E7">
        <w:t xml:space="preserve">provide </w:t>
      </w:r>
      <w:r w:rsidR="00A952AD">
        <w:t xml:space="preserve">greater </w:t>
      </w:r>
      <w:r w:rsidR="00266C00">
        <w:t xml:space="preserve">insight </w:t>
      </w:r>
      <w:r w:rsidR="00EA58E7">
        <w:t>into the interdependencies within our complex economy</w:t>
      </w:r>
      <w:r w:rsidR="00A952AD">
        <w:t xml:space="preserve">, that a partial sensitivity </w:t>
      </w:r>
      <w:r w:rsidR="00C46671">
        <w:t xml:space="preserve">analysis </w:t>
      </w:r>
      <w:r w:rsidR="00A952AD">
        <w:t>does not capture.</w:t>
      </w:r>
    </w:p>
    <w:p w14:paraId="5CB02867" w14:textId="79BDB29B" w:rsidR="00313A61" w:rsidRDefault="00313A61" w:rsidP="000E619B">
      <w:pPr>
        <w:pStyle w:val="BodyText"/>
      </w:pPr>
      <w:r>
        <w:t>Th</w:t>
      </w:r>
      <w:r w:rsidR="005E40EC">
        <w:t>is</w:t>
      </w:r>
      <w:r>
        <w:t xml:space="preserve"> scenario </w:t>
      </w:r>
      <w:r w:rsidR="007F2080">
        <w:t xml:space="preserve">analysis </w:t>
      </w:r>
      <w:r>
        <w:t>w</w:t>
      </w:r>
      <w:r w:rsidR="005E40EC">
        <w:t>as</w:t>
      </w:r>
      <w:r>
        <w:t xml:space="preserve"> selected to cover </w:t>
      </w:r>
      <w:r w:rsidR="005E40EC">
        <w:t xml:space="preserve">a </w:t>
      </w:r>
      <w:r w:rsidR="00396982">
        <w:t>plausible</w:t>
      </w:r>
      <w:r>
        <w:t xml:space="preserve"> </w:t>
      </w:r>
      <w:r w:rsidR="00D34E0C">
        <w:t xml:space="preserve">economic </w:t>
      </w:r>
      <w:r w:rsidR="00724FA2">
        <w:t>event</w:t>
      </w:r>
      <w:r>
        <w:t xml:space="preserve"> that could affect New South Wales over the </w:t>
      </w:r>
      <w:r w:rsidR="00396982">
        <w:t>forecast horizon. T</w:t>
      </w:r>
      <w:r>
        <w:t xml:space="preserve">he modelling takes account of linkages between key international, Australian and </w:t>
      </w:r>
      <w:r w:rsidR="00DB12B7">
        <w:t>New South Wales</w:t>
      </w:r>
      <w:r>
        <w:t xml:space="preserve"> economic aggregates</w:t>
      </w:r>
      <w:r w:rsidR="00C23572">
        <w:t xml:space="preserve">, </w:t>
      </w:r>
      <w:r w:rsidR="00295B01">
        <w:t>but</w:t>
      </w:r>
      <w:r w:rsidR="00C23572">
        <w:t xml:space="preserve"> does</w:t>
      </w:r>
      <w:r w:rsidR="00CB476C">
        <w:t xml:space="preserve"> no</w:t>
      </w:r>
      <w:r w:rsidR="00C23572">
        <w:t>t</w:t>
      </w:r>
      <w:r w:rsidR="00290B09">
        <w:t xml:space="preserve"> account </w:t>
      </w:r>
      <w:r w:rsidR="00C23572">
        <w:t xml:space="preserve">for any monetary policy </w:t>
      </w:r>
      <w:r w:rsidR="00D41651">
        <w:t xml:space="preserve">or fiscal policy </w:t>
      </w:r>
      <w:r w:rsidR="00C23572">
        <w:t>response</w:t>
      </w:r>
      <w:r w:rsidR="00C23572" w:rsidRPr="00C23572">
        <w:t>.</w:t>
      </w:r>
    </w:p>
    <w:p w14:paraId="179C1967" w14:textId="076CD78F" w:rsidR="000E619B" w:rsidRDefault="00FD1BC0" w:rsidP="000E619B">
      <w:pPr>
        <w:pStyle w:val="BodyText"/>
      </w:pPr>
      <w:r w:rsidRPr="00CA420B">
        <w:rPr>
          <w:lang w:val="en-US"/>
        </w:rPr>
        <w:t xml:space="preserve">The summary of </w:t>
      </w:r>
      <w:r w:rsidR="004649D0">
        <w:rPr>
          <w:lang w:val="en-US"/>
        </w:rPr>
        <w:t xml:space="preserve">the results </w:t>
      </w:r>
      <w:r w:rsidRPr="00CA420B">
        <w:rPr>
          <w:lang w:val="en-US"/>
        </w:rPr>
        <w:t xml:space="preserve">should be </w:t>
      </w:r>
      <w:r w:rsidR="00AD79B7">
        <w:rPr>
          <w:lang w:val="en-US"/>
        </w:rPr>
        <w:t xml:space="preserve">interpreted with care </w:t>
      </w:r>
      <w:r w:rsidR="00AE1680">
        <w:rPr>
          <w:lang w:val="en-US"/>
        </w:rPr>
        <w:t>because</w:t>
      </w:r>
      <w:r w:rsidR="006D34D8">
        <w:rPr>
          <w:lang w:val="en-US"/>
        </w:rPr>
        <w:t xml:space="preserve"> </w:t>
      </w:r>
      <w:r w:rsidR="004D637D">
        <w:t>economic</w:t>
      </w:r>
      <w:r w:rsidR="00AD79B7">
        <w:t xml:space="preserve"> </w:t>
      </w:r>
      <w:r w:rsidR="00A952AD">
        <w:t xml:space="preserve">events </w:t>
      </w:r>
      <w:r w:rsidR="00AD79B7">
        <w:t xml:space="preserve">tend to be </w:t>
      </w:r>
      <w:r w:rsidR="003349BD">
        <w:t>unique</w:t>
      </w:r>
      <w:r w:rsidR="00AD79B7">
        <w:t xml:space="preserve"> in nature</w:t>
      </w:r>
      <w:r w:rsidR="005D6BF2">
        <w:t xml:space="preserve"> - t</w:t>
      </w:r>
      <w:r w:rsidR="00AD79B7">
        <w:t xml:space="preserve">he scenario </w:t>
      </w:r>
      <w:r w:rsidR="003349BD">
        <w:t xml:space="preserve">presented in this appendix </w:t>
      </w:r>
      <w:r w:rsidR="005D6BF2">
        <w:t xml:space="preserve">is </w:t>
      </w:r>
      <w:r w:rsidR="00AD79B7">
        <w:t>unlikely to completely reflect any future</w:t>
      </w:r>
      <w:r w:rsidR="007B177B">
        <w:t xml:space="preserve"> shock</w:t>
      </w:r>
      <w:r w:rsidR="00AD79B7">
        <w:t xml:space="preserve"> </w:t>
      </w:r>
      <w:r w:rsidR="00890BD4">
        <w:t xml:space="preserve">to </w:t>
      </w:r>
      <w:r w:rsidR="00D70D3F">
        <w:t>the State economy</w:t>
      </w:r>
      <w:r w:rsidR="00AD79B7">
        <w:t xml:space="preserve">. </w:t>
      </w:r>
      <w:r w:rsidR="00D70D3F">
        <w:t xml:space="preserve">Any departures from the specified </w:t>
      </w:r>
      <w:r w:rsidR="00AD79B7">
        <w:t>scenario</w:t>
      </w:r>
      <w:r w:rsidR="00D70D3F">
        <w:t xml:space="preserve"> would </w:t>
      </w:r>
      <w:r w:rsidR="00AD79B7">
        <w:t xml:space="preserve">result in different impacts on the </w:t>
      </w:r>
      <w:r w:rsidR="00D70D3F">
        <w:t>economic and revenue</w:t>
      </w:r>
      <w:r w:rsidR="00C8536B">
        <w:t xml:space="preserve"> outlook</w:t>
      </w:r>
      <w:r w:rsidR="00AD79B7">
        <w:t>.</w:t>
      </w:r>
    </w:p>
    <w:p w14:paraId="132B8C93" w14:textId="4258849B" w:rsidR="001D0A45" w:rsidRPr="00FE0702" w:rsidRDefault="00C76426" w:rsidP="00A5618F">
      <w:pPr>
        <w:pStyle w:val="Heading2"/>
      </w:pPr>
      <w:r>
        <w:t>Impact of</w:t>
      </w:r>
      <w:r w:rsidR="004C3963">
        <w:t xml:space="preserve"> variations in </w:t>
      </w:r>
      <w:r w:rsidR="009621A9">
        <w:t>key forecast assumptions</w:t>
      </w:r>
    </w:p>
    <w:p w14:paraId="4A893183" w14:textId="293EFDCE" w:rsidR="00605B55" w:rsidRDefault="00594E73" w:rsidP="005F787D">
      <w:pPr>
        <w:pStyle w:val="BodyText"/>
      </w:pPr>
      <w:r>
        <w:t>This scenario analysis is intended to compl</w:t>
      </w:r>
      <w:r w:rsidR="00C475AE">
        <w:t>e</w:t>
      </w:r>
      <w:r>
        <w:t xml:space="preserve">ment the </w:t>
      </w:r>
      <w:r w:rsidR="00700E7B">
        <w:t xml:space="preserve">central </w:t>
      </w:r>
      <w:r w:rsidR="00CC112F">
        <w:t xml:space="preserve">economic outlook as presented in Chapter </w:t>
      </w:r>
      <w:r w:rsidR="00155905">
        <w:t>2</w:t>
      </w:r>
      <w:r w:rsidR="00700E7B">
        <w:t xml:space="preserve"> by quantifying some of the</w:t>
      </w:r>
      <w:r w:rsidR="00605B55">
        <w:t xml:space="preserve"> key</w:t>
      </w:r>
      <w:r w:rsidR="00700E7B">
        <w:t xml:space="preserve"> risks</w:t>
      </w:r>
      <w:r w:rsidR="00605B55">
        <w:t xml:space="preserve"> to the overall narrative</w:t>
      </w:r>
      <w:r w:rsidR="00700E7B">
        <w:t>.</w:t>
      </w:r>
      <w:r w:rsidR="00330C3B">
        <w:t xml:space="preserve"> </w:t>
      </w:r>
      <w:r w:rsidR="00605B55">
        <w:t>T</w:t>
      </w:r>
      <w:r w:rsidR="00A22C63">
        <w:t>he</w:t>
      </w:r>
      <w:r w:rsidR="00605B55">
        <w:t xml:space="preserve"> scenario</w:t>
      </w:r>
      <w:r w:rsidR="00A22C63">
        <w:t xml:space="preserve"> </w:t>
      </w:r>
      <w:r w:rsidR="00004904">
        <w:t xml:space="preserve">is </w:t>
      </w:r>
      <w:r w:rsidR="00211DAC">
        <w:t xml:space="preserve">a delayed vaccine </w:t>
      </w:r>
      <w:r w:rsidR="00701D1E">
        <w:t>for COVID-19</w:t>
      </w:r>
      <w:r w:rsidR="00932499">
        <w:t>,</w:t>
      </w:r>
      <w:r w:rsidR="00701D1E">
        <w:t xml:space="preserve"> </w:t>
      </w:r>
      <w:r w:rsidR="00942B90">
        <w:t xml:space="preserve">which </w:t>
      </w:r>
      <w:r w:rsidR="00602777">
        <w:t>subsequently</w:t>
      </w:r>
      <w:r w:rsidR="00775658">
        <w:t xml:space="preserve"> </w:t>
      </w:r>
      <w:r w:rsidR="00523F10">
        <w:t xml:space="preserve">delays </w:t>
      </w:r>
      <w:r w:rsidR="006D6EC8">
        <w:t xml:space="preserve">the </w:t>
      </w:r>
      <w:r w:rsidR="00211DAC">
        <w:t>re</w:t>
      </w:r>
      <w:r w:rsidR="00A61C24">
        <w:t>opening of</w:t>
      </w:r>
      <w:r w:rsidR="004E2A91">
        <w:t xml:space="preserve"> international borders</w:t>
      </w:r>
      <w:r w:rsidR="007E7764">
        <w:t xml:space="preserve"> and </w:t>
      </w:r>
      <w:r w:rsidR="0040653D">
        <w:t xml:space="preserve">the </w:t>
      </w:r>
      <w:r w:rsidR="007E7764">
        <w:t xml:space="preserve">easing of domestic health restrictions </w:t>
      </w:r>
      <w:r w:rsidR="00DA5D3A">
        <w:t>by 12</w:t>
      </w:r>
      <w:r w:rsidR="00C56B21">
        <w:t> </w:t>
      </w:r>
      <w:r w:rsidR="00DA5D3A">
        <w:t>months</w:t>
      </w:r>
      <w:r w:rsidR="00A61C24">
        <w:t>.</w:t>
      </w:r>
      <w:r w:rsidR="00605B55">
        <w:t xml:space="preserve"> </w:t>
      </w:r>
    </w:p>
    <w:p w14:paraId="6A601A35" w14:textId="15D52A76" w:rsidR="003D0F97" w:rsidRDefault="00C42D23" w:rsidP="005F787D">
      <w:pPr>
        <w:pStyle w:val="BodyText"/>
      </w:pPr>
      <w:r>
        <w:t>The economic</w:t>
      </w:r>
      <w:r w:rsidR="001E0DF6">
        <w:t xml:space="preserve"> and revenue</w:t>
      </w:r>
      <w:r>
        <w:t xml:space="preserve"> impact of th</w:t>
      </w:r>
      <w:r w:rsidR="00942B90">
        <w:t>is</w:t>
      </w:r>
      <w:r>
        <w:t xml:space="preserve"> scenario </w:t>
      </w:r>
      <w:r w:rsidR="004D637D">
        <w:t>was</w:t>
      </w:r>
      <w:r>
        <w:t xml:space="preserve"> modelled </w:t>
      </w:r>
      <w:r w:rsidR="0090561E">
        <w:t>using</w:t>
      </w:r>
      <w:r w:rsidR="00F154A1">
        <w:t xml:space="preserve"> the</w:t>
      </w:r>
      <w:r w:rsidR="0090561E">
        <w:t xml:space="preserve"> </w:t>
      </w:r>
      <w:r w:rsidR="00E0332C">
        <w:t xml:space="preserve">Centre of Policy </w:t>
      </w:r>
      <w:r w:rsidR="008F7F26">
        <w:t>Studies (</w:t>
      </w:r>
      <w:proofErr w:type="spellStart"/>
      <w:r w:rsidR="008F7F26">
        <w:t>C</w:t>
      </w:r>
      <w:r w:rsidR="0056148F">
        <w:t>o</w:t>
      </w:r>
      <w:r w:rsidR="008F7F26">
        <w:t>PS</w:t>
      </w:r>
      <w:proofErr w:type="spellEnd"/>
      <w:r w:rsidR="008F7F26">
        <w:t xml:space="preserve">) </w:t>
      </w:r>
      <w:r w:rsidR="0090561E">
        <w:t xml:space="preserve">Victoria University Regional Model </w:t>
      </w:r>
      <w:r w:rsidR="007F4AF8">
        <w:t xml:space="preserve">Tax </w:t>
      </w:r>
      <w:r w:rsidR="0090561E">
        <w:t>(VURM</w:t>
      </w:r>
      <w:r w:rsidR="008F430E">
        <w:t>TAX</w:t>
      </w:r>
      <w:r w:rsidR="0090561E">
        <w:t>)</w:t>
      </w:r>
      <w:r w:rsidR="00A22B4B">
        <w:rPr>
          <w:rStyle w:val="FootnoteReference"/>
        </w:rPr>
        <w:footnoteReference w:id="2"/>
      </w:r>
      <w:r w:rsidR="00A952AD">
        <w:t xml:space="preserve"> and presented as a deviation from baseline</w:t>
      </w:r>
      <w:r w:rsidR="00A22B4B">
        <w:t>.</w:t>
      </w:r>
    </w:p>
    <w:p w14:paraId="08BCA1E5" w14:textId="26ECEE82" w:rsidR="001D0A45" w:rsidRDefault="00942B90" w:rsidP="004767EC">
      <w:pPr>
        <w:pStyle w:val="Heading3"/>
        <w:spacing w:before="220"/>
      </w:pPr>
      <w:r>
        <w:t>A delayed vaccine</w:t>
      </w:r>
    </w:p>
    <w:p w14:paraId="1427732F" w14:textId="0F08F687" w:rsidR="00EA75ED" w:rsidRDefault="00574319" w:rsidP="00EF4C5E">
      <w:pPr>
        <w:pStyle w:val="BodyText"/>
      </w:pPr>
      <w:r>
        <w:t xml:space="preserve">COVID-19 has resulted in the closure of international borders and the introduction of </w:t>
      </w:r>
      <w:proofErr w:type="gramStart"/>
      <w:r w:rsidR="000B06D0">
        <w:t>a number of</w:t>
      </w:r>
      <w:proofErr w:type="gramEnd"/>
      <w:r w:rsidR="000B06D0">
        <w:t xml:space="preserve"> health restrictions, including </w:t>
      </w:r>
      <w:r w:rsidR="00686865">
        <w:t xml:space="preserve">social distancing measures. </w:t>
      </w:r>
      <w:r w:rsidR="00610E49">
        <w:t xml:space="preserve">This has resulted in </w:t>
      </w:r>
      <w:r w:rsidR="001B0ACB">
        <w:t xml:space="preserve">a </w:t>
      </w:r>
      <w:r w:rsidR="00610E49">
        <w:t xml:space="preserve">sharp fall in </w:t>
      </w:r>
      <w:r w:rsidR="00D256BE">
        <w:t>NSW</w:t>
      </w:r>
      <w:r w:rsidR="0066145F">
        <w:t>’s</w:t>
      </w:r>
      <w:r w:rsidR="00D256BE">
        <w:t xml:space="preserve"> </w:t>
      </w:r>
      <w:r w:rsidR="00757ECE">
        <w:t>net overseas migration</w:t>
      </w:r>
      <w:r w:rsidR="00D23E19">
        <w:t xml:space="preserve">, </w:t>
      </w:r>
      <w:r w:rsidR="001B0ACB">
        <w:t xml:space="preserve">a reduction in </w:t>
      </w:r>
      <w:r w:rsidR="00E41F52">
        <w:t>international tourist and student numbers,</w:t>
      </w:r>
      <w:r w:rsidR="001B0ACB">
        <w:t xml:space="preserve"> and a</w:t>
      </w:r>
      <w:r w:rsidR="000828AF">
        <w:t>n ongoing</w:t>
      </w:r>
      <w:r w:rsidR="001B0ACB">
        <w:t xml:space="preserve"> drag on economic activity. </w:t>
      </w:r>
      <w:r w:rsidR="00E41F52">
        <w:t xml:space="preserve"> </w:t>
      </w:r>
      <w:r w:rsidR="00D23E19">
        <w:t xml:space="preserve"> </w:t>
      </w:r>
    </w:p>
    <w:p w14:paraId="05510A13" w14:textId="6E6F6342" w:rsidR="001B0ACB" w:rsidRDefault="00523EF9" w:rsidP="00EF4C5E">
      <w:pPr>
        <w:pStyle w:val="BodyText"/>
      </w:pPr>
      <w:r>
        <w:t>C</w:t>
      </w:r>
      <w:r w:rsidR="00FE189C">
        <w:t xml:space="preserve">urrent forecasts </w:t>
      </w:r>
      <w:r w:rsidR="001A1A88">
        <w:t xml:space="preserve">in line with the Commonwealth </w:t>
      </w:r>
      <w:r w:rsidR="00FE189C">
        <w:t>assume that</w:t>
      </w:r>
      <w:r>
        <w:t xml:space="preserve"> </w:t>
      </w:r>
      <w:r w:rsidR="00825361">
        <w:t xml:space="preserve">an effective vaccine </w:t>
      </w:r>
      <w:r w:rsidR="00E35533">
        <w:t xml:space="preserve">for </w:t>
      </w:r>
      <w:r w:rsidR="002B247A">
        <w:t xml:space="preserve">  </w:t>
      </w:r>
      <w:r w:rsidR="00E35533">
        <w:t xml:space="preserve">COVID-19 </w:t>
      </w:r>
      <w:r w:rsidR="00825361">
        <w:t xml:space="preserve">will be available to Australians in the second half of 2021. </w:t>
      </w:r>
      <w:r w:rsidR="00EF380E" w:rsidRPr="00CD06CA">
        <w:t>Australia’s international borders</w:t>
      </w:r>
      <w:r w:rsidR="00EF380E">
        <w:t xml:space="preserve"> are expected</w:t>
      </w:r>
      <w:r w:rsidR="00EF380E" w:rsidRPr="00CD06CA">
        <w:t xml:space="preserve"> to re</w:t>
      </w:r>
      <w:r w:rsidR="00E65562">
        <w:noBreakHyphen/>
      </w:r>
      <w:r w:rsidR="00EF380E" w:rsidRPr="00CD06CA">
        <w:t>open in the December quarter 2021, in line with the assumed timing of a widely available vaccine.</w:t>
      </w:r>
      <w:r w:rsidR="00EF380E">
        <w:t xml:space="preserve"> </w:t>
      </w:r>
      <w:r w:rsidR="00CF2C77" w:rsidRPr="00CF2C77">
        <w:t xml:space="preserve">A gradual return of international students and permanent migrants is assumed from the latter part of 2021. Inbound and outbound international travel is expected to remain low through the latter part of 2021, after which a gradual recovery in international tourism also </w:t>
      </w:r>
      <w:r w:rsidR="00E44D8B">
        <w:t xml:space="preserve">is </w:t>
      </w:r>
      <w:r w:rsidR="00CF2C77" w:rsidRPr="00CF2C77">
        <w:t>assumed to occur.</w:t>
      </w:r>
    </w:p>
    <w:p w14:paraId="030BEAC4" w14:textId="7B3A0A69" w:rsidR="007422E6" w:rsidRDefault="007422E6" w:rsidP="00EF4C5E">
      <w:pPr>
        <w:pStyle w:val="BodyText"/>
      </w:pPr>
    </w:p>
    <w:p w14:paraId="797417A8" w14:textId="795135E0" w:rsidR="004B590A" w:rsidRPr="00D21EEC" w:rsidRDefault="001F69F3" w:rsidP="00A442BA">
      <w:pPr>
        <w:pStyle w:val="ChartFX"/>
        <w:ind w:left="1276" w:hanging="1276"/>
      </w:pPr>
      <w:r>
        <w:lastRenderedPageBreak/>
        <w:t>N</w:t>
      </w:r>
      <w:r w:rsidR="00EB3CDC">
        <w:t>et overseas migration</w:t>
      </w:r>
      <w:r w:rsidR="00585AE1">
        <w:t xml:space="preserve"> </w:t>
      </w:r>
      <w:r w:rsidR="00F30312">
        <w:t xml:space="preserve">to NSW will </w:t>
      </w:r>
      <w:r>
        <w:t>remain subdued</w:t>
      </w:r>
      <w:r w:rsidR="00836D62">
        <w:t xml:space="preserve"> for an extended period</w:t>
      </w:r>
      <w:r>
        <w:t xml:space="preserve"> if </w:t>
      </w:r>
      <w:r w:rsidR="00C935C2">
        <w:t>a vaccine</w:t>
      </w:r>
      <w:r>
        <w:t xml:space="preserve"> is delayed</w:t>
      </w:r>
    </w:p>
    <w:p w14:paraId="2ACD4F51" w14:textId="345C30AB" w:rsidR="00C72F95" w:rsidRDefault="00C25294" w:rsidP="00C93B2A">
      <w:pPr>
        <w:pStyle w:val="ChartFX"/>
        <w:numPr>
          <w:ilvl w:val="0"/>
          <w:numId w:val="0"/>
        </w:numPr>
        <w:spacing w:before="0" w:after="0"/>
        <w:ind w:left="360" w:hanging="360"/>
        <w:rPr>
          <w:i w:val="0"/>
          <w:sz w:val="16"/>
          <w:szCs w:val="16"/>
        </w:rPr>
      </w:pPr>
      <w:r>
        <w:rPr>
          <w:noProof/>
        </w:rPr>
        <w:drawing>
          <wp:inline distT="0" distB="0" distL="0" distR="0" wp14:anchorId="4FC3DF52" wp14:editId="2EE10566">
            <wp:extent cx="6120130" cy="2124075"/>
            <wp:effectExtent l="0" t="0" r="0" b="0"/>
            <wp:docPr id="1" name="Chart 1" descr="Chart F.1: Net overseas migration to NSW will remain subdued for an extended period if a vaccine is delayed">
              <a:extLst xmlns:a="http://schemas.openxmlformats.org/drawingml/2006/main">
                <a:ext uri="{FF2B5EF4-FFF2-40B4-BE49-F238E27FC236}">
                  <a16:creationId xmlns:a16="http://schemas.microsoft.com/office/drawing/2014/main" id="{A8E465FD-3142-4332-864F-1EF444BA00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BF85EA" w14:textId="77777777" w:rsidR="008C26B6" w:rsidRPr="008C26B6" w:rsidRDefault="008C26B6" w:rsidP="00CD70B5">
      <w:pPr>
        <w:pStyle w:val="ChartFX"/>
        <w:numPr>
          <w:ilvl w:val="0"/>
          <w:numId w:val="0"/>
        </w:numPr>
        <w:spacing w:before="0" w:after="0"/>
        <w:ind w:left="360" w:hanging="360"/>
        <w:rPr>
          <w:i w:val="0"/>
          <w:sz w:val="6"/>
          <w:szCs w:val="6"/>
        </w:rPr>
      </w:pPr>
    </w:p>
    <w:p w14:paraId="325BAF7A" w14:textId="7B9CA5AB" w:rsidR="00743B3A" w:rsidRPr="00E55A7D" w:rsidRDefault="00743B3A" w:rsidP="006979A4">
      <w:pPr>
        <w:pStyle w:val="ChartFX"/>
        <w:numPr>
          <w:ilvl w:val="0"/>
          <w:numId w:val="0"/>
        </w:numPr>
        <w:spacing w:before="0" w:after="0"/>
        <w:rPr>
          <w:color w:val="4F4F4F"/>
          <w:sz w:val="17"/>
          <w:szCs w:val="17"/>
        </w:rPr>
      </w:pPr>
      <w:r w:rsidRPr="00E55A7D">
        <w:rPr>
          <w:color w:val="4F4F4F"/>
          <w:sz w:val="17"/>
          <w:szCs w:val="17"/>
        </w:rPr>
        <w:t xml:space="preserve">Source: </w:t>
      </w:r>
      <w:r w:rsidR="00410C17" w:rsidRPr="00E55A7D">
        <w:rPr>
          <w:color w:val="4F4F4F"/>
          <w:sz w:val="17"/>
          <w:szCs w:val="17"/>
        </w:rPr>
        <w:t>ABS</w:t>
      </w:r>
      <w:r w:rsidR="00CA390D">
        <w:rPr>
          <w:color w:val="4F4F4F"/>
          <w:sz w:val="17"/>
          <w:szCs w:val="17"/>
        </w:rPr>
        <w:t xml:space="preserve"> </w:t>
      </w:r>
      <w:r w:rsidR="00C305E1" w:rsidRPr="00E55A7D">
        <w:rPr>
          <w:color w:val="4F4F4F"/>
          <w:sz w:val="17"/>
          <w:szCs w:val="17"/>
        </w:rPr>
        <w:t xml:space="preserve">and </w:t>
      </w:r>
      <w:r w:rsidRPr="00E55A7D">
        <w:rPr>
          <w:color w:val="4F4F4F"/>
          <w:sz w:val="17"/>
          <w:szCs w:val="17"/>
        </w:rPr>
        <w:t>NSW Treasury</w:t>
      </w:r>
    </w:p>
    <w:p w14:paraId="31D3CC9B" w14:textId="704959D9" w:rsidR="00CB7287" w:rsidRPr="00975131" w:rsidRDefault="00EC318F" w:rsidP="00472C41">
      <w:pPr>
        <w:pStyle w:val="BodyText"/>
        <w:rPr>
          <w:highlight w:val="yellow"/>
        </w:rPr>
      </w:pPr>
      <w:r>
        <w:t>T</w:t>
      </w:r>
      <w:r w:rsidR="00C01A76">
        <w:t xml:space="preserve">his </w:t>
      </w:r>
      <w:r w:rsidR="00D969EB">
        <w:t xml:space="preserve">scenario </w:t>
      </w:r>
      <w:r w:rsidR="00531645">
        <w:t>assumes that</w:t>
      </w:r>
      <w:r w:rsidR="00D22E46">
        <w:t xml:space="preserve"> </w:t>
      </w:r>
      <w:r w:rsidR="00C025AB">
        <w:t xml:space="preserve">the availability of </w:t>
      </w:r>
      <w:r w:rsidR="00D22E46">
        <w:t xml:space="preserve">an effective </w:t>
      </w:r>
      <w:r w:rsidR="00D22E46" w:rsidRPr="00D22E46">
        <w:t xml:space="preserve">vaccine </w:t>
      </w:r>
      <w:r w:rsidR="00CB7287">
        <w:t xml:space="preserve">is delayed </w:t>
      </w:r>
      <w:r w:rsidR="006B42A2">
        <w:t>by 12 months</w:t>
      </w:r>
      <w:r w:rsidR="00A7769C">
        <w:t>,</w:t>
      </w:r>
      <w:r w:rsidR="006B42A2">
        <w:t xml:space="preserve"> </w:t>
      </w:r>
      <w:r w:rsidR="00D22E46" w:rsidRPr="00D22E46">
        <w:t xml:space="preserve">which results in the timing of the reopening of international borders and </w:t>
      </w:r>
      <w:r w:rsidR="00941E3D">
        <w:t xml:space="preserve">the </w:t>
      </w:r>
      <w:r w:rsidR="00D22E46" w:rsidRPr="00D22E46">
        <w:t xml:space="preserve">easing of </w:t>
      </w:r>
      <w:r w:rsidR="0048537A">
        <w:t>social distancing</w:t>
      </w:r>
      <w:r w:rsidR="00D22E46" w:rsidRPr="00D22E46">
        <w:t xml:space="preserve"> restrictions being pushed back</w:t>
      </w:r>
      <w:r w:rsidR="00006BB4">
        <w:t xml:space="preserve"> by 12 months</w:t>
      </w:r>
      <w:r w:rsidR="009D794C">
        <w:t>.</w:t>
      </w:r>
      <w:r w:rsidR="00CB7287">
        <w:t xml:space="preserve"> </w:t>
      </w:r>
      <w:r w:rsidR="00AA7CBA">
        <w:t>Consequently, n</w:t>
      </w:r>
      <w:r w:rsidR="006B42A2">
        <w:t xml:space="preserve">et overseas migration, </w:t>
      </w:r>
      <w:r w:rsidR="00B0232C">
        <w:t xml:space="preserve">as well as </w:t>
      </w:r>
      <w:r w:rsidR="006B42A2">
        <w:t xml:space="preserve">international tourist and student </w:t>
      </w:r>
      <w:r w:rsidR="00B0232C">
        <w:t>numbers</w:t>
      </w:r>
      <w:r w:rsidR="006B42A2">
        <w:t xml:space="preserve"> remain </w:t>
      </w:r>
      <w:r w:rsidR="00006BB4">
        <w:t xml:space="preserve">low for </w:t>
      </w:r>
      <w:r w:rsidR="00167520">
        <w:t xml:space="preserve">a more extended </w:t>
      </w:r>
      <w:r w:rsidR="00006BB4">
        <w:t xml:space="preserve">period </w:t>
      </w:r>
      <w:r w:rsidR="00167520">
        <w:t>(see Chart F.1).</w:t>
      </w:r>
    </w:p>
    <w:p w14:paraId="6C104B8D" w14:textId="33E3382D" w:rsidR="00EA3A1D" w:rsidRPr="003E37A7" w:rsidRDefault="00EA3A1D" w:rsidP="00A62CB1">
      <w:pPr>
        <w:pStyle w:val="Heading4"/>
        <w:spacing w:before="200"/>
      </w:pPr>
      <w:r w:rsidRPr="003E37A7">
        <w:t>Macroeconomic impact</w:t>
      </w:r>
      <w:r w:rsidR="000A6A48">
        <w:t xml:space="preserve"> o</w:t>
      </w:r>
      <w:r w:rsidR="00BB294A">
        <w:t>n</w:t>
      </w:r>
      <w:r w:rsidR="000A6A48">
        <w:t xml:space="preserve"> the </w:t>
      </w:r>
      <w:r w:rsidR="00F83221">
        <w:t xml:space="preserve">Budget and </w:t>
      </w:r>
      <w:r w:rsidR="00BB294A">
        <w:t xml:space="preserve">over the </w:t>
      </w:r>
      <w:r w:rsidR="000A6A48">
        <w:t>forward estimates</w:t>
      </w:r>
    </w:p>
    <w:p w14:paraId="1B35930F" w14:textId="5F1D3743" w:rsidR="004559E2" w:rsidRDefault="0038527D" w:rsidP="00EF4C5E">
      <w:pPr>
        <w:pStyle w:val="BodyText"/>
      </w:pPr>
      <w:r>
        <w:t xml:space="preserve">In the scenario, </w:t>
      </w:r>
      <w:r w:rsidR="001B1C9F">
        <w:t xml:space="preserve">the delayed reopening of international borders </w:t>
      </w:r>
      <w:r w:rsidR="00F80666">
        <w:t xml:space="preserve">results in </w:t>
      </w:r>
      <w:r w:rsidR="001C449B">
        <w:t xml:space="preserve">a reduction in </w:t>
      </w:r>
      <w:r w:rsidR="006D77E4">
        <w:t xml:space="preserve">international education exports as well as travel-related exports such as tourism. </w:t>
      </w:r>
      <w:r w:rsidR="00D4799C">
        <w:t>I</w:t>
      </w:r>
      <w:r w:rsidR="008243EC">
        <w:t xml:space="preserve">nternational travel-related imports also </w:t>
      </w:r>
      <w:r w:rsidR="005245ED">
        <w:t xml:space="preserve">are </w:t>
      </w:r>
      <w:r w:rsidR="008243EC">
        <w:t>lower, which helps to cushion the shock</w:t>
      </w:r>
      <w:r w:rsidR="005245ED">
        <w:t>. S</w:t>
      </w:r>
      <w:r w:rsidR="00DA2D20">
        <w:t xml:space="preserve">ome of the savings from fewer overseas holidays </w:t>
      </w:r>
      <w:r w:rsidR="005245ED">
        <w:t>will be</w:t>
      </w:r>
      <w:r w:rsidR="00D628AD">
        <w:t xml:space="preserve"> </w:t>
      </w:r>
      <w:r w:rsidR="00DA2D20">
        <w:t xml:space="preserve">redirected into domestic tourism and other components of household expenditure. </w:t>
      </w:r>
      <w:r w:rsidR="00114903">
        <w:t>However, t</w:t>
      </w:r>
      <w:r w:rsidR="007C5307">
        <w:t xml:space="preserve">he </w:t>
      </w:r>
      <w:r w:rsidR="00B20C16">
        <w:t xml:space="preserve">continuation of social distancing restrictions for an additional </w:t>
      </w:r>
      <w:r w:rsidR="00D26308">
        <w:t xml:space="preserve">12 months reduces household consumption.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4"/>
      </w:tblGrid>
      <w:tr w:rsidR="000936CD" w14:paraId="56A0E2E9" w14:textId="77777777" w:rsidTr="002D386D">
        <w:tc>
          <w:tcPr>
            <w:tcW w:w="5046" w:type="dxa"/>
          </w:tcPr>
          <w:p w14:paraId="1FE031B7" w14:textId="406EE356" w:rsidR="000936CD" w:rsidRDefault="000936CD" w:rsidP="00A442BA">
            <w:pPr>
              <w:pStyle w:val="ChartFX"/>
              <w:ind w:left="1171" w:hanging="1171"/>
            </w:pPr>
            <w:r w:rsidRPr="007D6021">
              <w:t xml:space="preserve">Lower household consumption drives much of the decline in </w:t>
            </w:r>
            <w:r w:rsidR="00146A8D">
              <w:t>G</w:t>
            </w:r>
            <w:r w:rsidRPr="007D6021">
              <w:t xml:space="preserve">ross </w:t>
            </w:r>
            <w:r w:rsidR="00146A8D">
              <w:t>S</w:t>
            </w:r>
            <w:r w:rsidRPr="007D6021">
              <w:t xml:space="preserve">tate </w:t>
            </w:r>
            <w:r w:rsidR="00146A8D">
              <w:t>P</w:t>
            </w:r>
            <w:r w:rsidRPr="007D6021">
              <w:t>roduct</w:t>
            </w:r>
          </w:p>
          <w:p w14:paraId="614A5ECE" w14:textId="648E356B" w:rsidR="001D06FB" w:rsidRDefault="004B35C7" w:rsidP="00EE1E44">
            <w:pPr>
              <w:pStyle w:val="ChartFX"/>
              <w:numPr>
                <w:ilvl w:val="0"/>
                <w:numId w:val="0"/>
              </w:numPr>
              <w:spacing w:before="0" w:after="0"/>
              <w:rPr>
                <w:color w:val="4F4F4F"/>
                <w:sz w:val="17"/>
                <w:szCs w:val="17"/>
              </w:rPr>
            </w:pPr>
            <w:r>
              <w:rPr>
                <w:noProof/>
              </w:rPr>
              <w:drawing>
                <wp:inline distT="0" distB="0" distL="0" distR="0" wp14:anchorId="3EA445BA" wp14:editId="13AEE195">
                  <wp:extent cx="3061891" cy="2197125"/>
                  <wp:effectExtent l="0" t="0" r="5715" b="0"/>
                  <wp:docPr id="2" name="Chart 2" descr="Chart F.2: Lower household consumption drives much of the decline in Gross State Product">
                    <a:extLst xmlns:a="http://schemas.openxmlformats.org/drawingml/2006/main">
                      <a:ext uri="{FF2B5EF4-FFF2-40B4-BE49-F238E27FC236}">
                        <a16:creationId xmlns:a16="http://schemas.microsoft.com/office/drawing/2014/main" id="{D7B4D2A4-9260-45BD-A3C4-C3C1708BD7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4E58DC" w14:textId="01D727DC" w:rsidR="000936CD" w:rsidRPr="00EE1E44" w:rsidRDefault="00EE1E44" w:rsidP="00EE1E44">
            <w:pPr>
              <w:pStyle w:val="ChartFX"/>
              <w:numPr>
                <w:ilvl w:val="0"/>
                <w:numId w:val="0"/>
              </w:numPr>
              <w:spacing w:before="0" w:after="0"/>
              <w:rPr>
                <w:color w:val="4F4F4F"/>
                <w:sz w:val="17"/>
                <w:szCs w:val="17"/>
              </w:rPr>
            </w:pPr>
            <w:r w:rsidRPr="00E55A7D">
              <w:rPr>
                <w:color w:val="4F4F4F"/>
                <w:sz w:val="17"/>
                <w:szCs w:val="17"/>
              </w:rPr>
              <w:t xml:space="preserve">Source: </w:t>
            </w:r>
            <w:proofErr w:type="spellStart"/>
            <w:r w:rsidRPr="00364B6B">
              <w:rPr>
                <w:color w:val="4F4F4F"/>
                <w:sz w:val="17"/>
                <w:szCs w:val="17"/>
              </w:rPr>
              <w:t>CoPS</w:t>
            </w:r>
            <w:proofErr w:type="spellEnd"/>
            <w:r w:rsidRPr="00364B6B">
              <w:rPr>
                <w:color w:val="4F4F4F"/>
                <w:sz w:val="17"/>
                <w:szCs w:val="17"/>
              </w:rPr>
              <w:t>, Victoria University and NSW Treasury</w:t>
            </w:r>
          </w:p>
        </w:tc>
        <w:tc>
          <w:tcPr>
            <w:tcW w:w="4592" w:type="dxa"/>
          </w:tcPr>
          <w:p w14:paraId="2E6E8838" w14:textId="4B3BDFFA" w:rsidR="0015257A" w:rsidRPr="00D21EEC" w:rsidRDefault="00A13CEE" w:rsidP="00A442BA">
            <w:pPr>
              <w:pStyle w:val="ChartFX"/>
              <w:ind w:left="1171" w:hanging="1171"/>
            </w:pPr>
            <w:r>
              <w:t xml:space="preserve">International exports also decline but a </w:t>
            </w:r>
            <w:r w:rsidR="00A61A5C">
              <w:t>fall in international imports helps to offset the impact</w:t>
            </w:r>
          </w:p>
          <w:p w14:paraId="72438450" w14:textId="551FEEFE" w:rsidR="001D06FB" w:rsidRDefault="002D386D" w:rsidP="002438E6">
            <w:pPr>
              <w:pStyle w:val="BodyText"/>
              <w:spacing w:before="0" w:after="0" w:line="240" w:lineRule="auto"/>
              <w:rPr>
                <w:i/>
                <w:color w:val="4F4F4F"/>
                <w:sz w:val="17"/>
                <w:szCs w:val="17"/>
                <w:lang w:val="en-US"/>
              </w:rPr>
            </w:pPr>
            <w:r>
              <w:rPr>
                <w:noProof/>
              </w:rPr>
              <w:drawing>
                <wp:inline distT="0" distB="0" distL="0" distR="0" wp14:anchorId="4520764B" wp14:editId="0076D5EB">
                  <wp:extent cx="3074238" cy="2197125"/>
                  <wp:effectExtent l="0" t="0" r="0" b="0"/>
                  <wp:docPr id="5" name="Chart 5" descr="Chart F.3: International exports also decline but a fall in international imports helps to offset the impact">
                    <a:extLst xmlns:a="http://schemas.openxmlformats.org/drawingml/2006/main">
                      <a:ext uri="{FF2B5EF4-FFF2-40B4-BE49-F238E27FC236}">
                        <a16:creationId xmlns:a16="http://schemas.microsoft.com/office/drawing/2014/main" id="{D6CF606C-DAE9-4F1A-9889-8F9AABE5C3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B3BE86" w14:textId="27D35A7F" w:rsidR="000936CD" w:rsidRDefault="00EE1E44" w:rsidP="002438E6">
            <w:pPr>
              <w:pStyle w:val="BodyText"/>
              <w:spacing w:before="0" w:after="0" w:line="240" w:lineRule="auto"/>
            </w:pPr>
            <w:r w:rsidRPr="004C62C2">
              <w:rPr>
                <w:i/>
                <w:color w:val="4F4F4F"/>
                <w:sz w:val="17"/>
                <w:szCs w:val="17"/>
                <w:lang w:val="en-US"/>
              </w:rPr>
              <w:t xml:space="preserve">Source: </w:t>
            </w:r>
            <w:proofErr w:type="spellStart"/>
            <w:r w:rsidRPr="004C62C2">
              <w:rPr>
                <w:i/>
                <w:color w:val="4F4F4F"/>
                <w:sz w:val="17"/>
                <w:szCs w:val="17"/>
                <w:lang w:val="en-US"/>
              </w:rPr>
              <w:t>CoPS</w:t>
            </w:r>
            <w:proofErr w:type="spellEnd"/>
            <w:r w:rsidRPr="004C62C2">
              <w:rPr>
                <w:i/>
                <w:color w:val="4F4F4F"/>
                <w:sz w:val="17"/>
                <w:szCs w:val="17"/>
                <w:lang w:val="en-US"/>
              </w:rPr>
              <w:t>, Victoria University and NSW Treasury</w:t>
            </w:r>
          </w:p>
        </w:tc>
      </w:tr>
    </w:tbl>
    <w:p w14:paraId="38EE2FE9" w14:textId="77777777" w:rsidR="00364B6B" w:rsidRPr="008C26B6" w:rsidRDefault="00364B6B" w:rsidP="00364B6B">
      <w:pPr>
        <w:pStyle w:val="ChartFX"/>
        <w:numPr>
          <w:ilvl w:val="0"/>
          <w:numId w:val="0"/>
        </w:numPr>
        <w:spacing w:before="0" w:after="0"/>
        <w:ind w:left="360" w:hanging="360"/>
        <w:rPr>
          <w:i w:val="0"/>
          <w:sz w:val="6"/>
          <w:szCs w:val="6"/>
        </w:rPr>
      </w:pPr>
    </w:p>
    <w:p w14:paraId="16EA4419" w14:textId="60D40182" w:rsidR="00644912" w:rsidRDefault="00644912" w:rsidP="007B4D83">
      <w:pPr>
        <w:pStyle w:val="BodyText"/>
      </w:pPr>
      <w:r>
        <w:t>Due to the international borders remaining closed for a longer period, the NSW population is almost 1 per cent below the baseline forecast by the end of 2023</w:t>
      </w:r>
      <w:r>
        <w:noBreakHyphen/>
        <w:t>24. The lower population is another driver of reduced household consumption</w:t>
      </w:r>
      <w:r w:rsidR="00BE71B6">
        <w:t>. I</w:t>
      </w:r>
      <w:r>
        <w:t>nvestment also falls as the capital stock adjusts to a lower level. In addition,</w:t>
      </w:r>
      <w:r w:rsidR="0080070A">
        <w:t xml:space="preserve"> </w:t>
      </w:r>
      <w:r>
        <w:t xml:space="preserve">spending </w:t>
      </w:r>
      <w:r w:rsidR="00B2183D">
        <w:t xml:space="preserve">by both the Commonwealth and NSW Governments </w:t>
      </w:r>
      <w:r>
        <w:t>is lower due to the lower population.</w:t>
      </w:r>
    </w:p>
    <w:p w14:paraId="56391EAB" w14:textId="3DC10154" w:rsidR="007B4D83" w:rsidRDefault="0005281F" w:rsidP="007B4D83">
      <w:pPr>
        <w:pStyle w:val="BodyText"/>
      </w:pPr>
      <w:r>
        <w:lastRenderedPageBreak/>
        <w:t xml:space="preserve">The weaker economy </w:t>
      </w:r>
      <w:r w:rsidR="002441D9">
        <w:t xml:space="preserve">is associated with </w:t>
      </w:r>
      <w:r w:rsidR="00C543B8">
        <w:t xml:space="preserve">a </w:t>
      </w:r>
      <w:r w:rsidR="005247D1">
        <w:t>deterioration in the labour market</w:t>
      </w:r>
      <w:r w:rsidR="00C543B8">
        <w:t>.</w:t>
      </w:r>
      <w:r w:rsidR="005247D1">
        <w:t xml:space="preserve"> </w:t>
      </w:r>
      <w:r w:rsidR="00752D49">
        <w:t>There is a fall in employment</w:t>
      </w:r>
      <w:r w:rsidR="00646BD8">
        <w:t xml:space="preserve"> and an increase in the unemployment rate</w:t>
      </w:r>
      <w:r w:rsidR="00EE4EC1">
        <w:t>, with little change in the labour force participation rate.</w:t>
      </w:r>
      <w:r w:rsidR="00845071">
        <w:t xml:space="preserve"> </w:t>
      </w:r>
      <w:r w:rsidR="000914F6">
        <w:t>Consequently, t</w:t>
      </w:r>
      <w:r w:rsidR="00845071">
        <w:t xml:space="preserve">here is </w:t>
      </w:r>
      <w:r w:rsidR="00572C6D">
        <w:t xml:space="preserve">also </w:t>
      </w:r>
      <w:r w:rsidR="009A69C1">
        <w:t xml:space="preserve">an easing in </w:t>
      </w:r>
      <w:r w:rsidR="00646B98">
        <w:t>inflation and wage</w:t>
      </w:r>
      <w:r w:rsidR="002D1E28">
        <w:t>s growth.</w:t>
      </w:r>
    </w:p>
    <w:p w14:paraId="28679675" w14:textId="03678CFC" w:rsidR="000A27F7" w:rsidRDefault="002D1E28" w:rsidP="00DF2F80">
      <w:pPr>
        <w:pStyle w:val="BodyText"/>
      </w:pPr>
      <w:r>
        <w:t xml:space="preserve">Once the vaccine </w:t>
      </w:r>
      <w:r w:rsidR="00142359">
        <w:t>for COVID-19</w:t>
      </w:r>
      <w:r>
        <w:t xml:space="preserve"> </w:t>
      </w:r>
      <w:r w:rsidR="00DF17F5">
        <w:t>becomes available</w:t>
      </w:r>
      <w:r w:rsidR="00675D03">
        <w:t xml:space="preserve">, the international border reopens </w:t>
      </w:r>
      <w:r w:rsidR="002F171B">
        <w:t xml:space="preserve">and social </w:t>
      </w:r>
      <w:r w:rsidR="005B4B0A">
        <w:t>distancing restrictions are removed</w:t>
      </w:r>
      <w:r w:rsidR="00BE71B6">
        <w:t>,</w:t>
      </w:r>
      <w:r w:rsidR="005B4B0A">
        <w:t xml:space="preserve"> </w:t>
      </w:r>
      <w:r w:rsidR="00653D62">
        <w:t xml:space="preserve">which contribute to a recovery in </w:t>
      </w:r>
      <w:r w:rsidR="00C27217">
        <w:t>economic activity and in the labour market</w:t>
      </w:r>
      <w:r w:rsidR="00C761E7">
        <w:t>.</w:t>
      </w:r>
      <w:r w:rsidR="005954AB">
        <w:t xml:space="preserve"> Nevertheless, the economy remains smaller than in the baseline due to the </w:t>
      </w:r>
      <w:r w:rsidR="007D69A2">
        <w:t>lower population</w:t>
      </w:r>
      <w:r w:rsidR="00B52203">
        <w:t>, with the loss of population assumed to be permanent</w:t>
      </w:r>
      <w:r w:rsidR="00BE71B6">
        <w:t>,</w:t>
      </w:r>
      <w:r w:rsidR="00B52203">
        <w:t xml:space="preserve"> consistent with current Commonwealth Government policy</w:t>
      </w:r>
      <w:r w:rsidR="007D69A2">
        <w:t>.</w:t>
      </w:r>
    </w:p>
    <w:p w14:paraId="58A6FB22" w14:textId="06E21219" w:rsidR="00EC23B2" w:rsidRDefault="0018440A" w:rsidP="00DF2F80">
      <w:pPr>
        <w:pStyle w:val="TableFX"/>
      </w:pPr>
      <w:bookmarkStart w:id="0" w:name="OLE_LINK2"/>
      <w:r>
        <w:t xml:space="preserve">The effect of </w:t>
      </w:r>
      <w:r w:rsidR="007B4D83">
        <w:t>a delayed vaccine</w:t>
      </w:r>
      <w:r>
        <w:t xml:space="preserve"> on major economic parameters</w:t>
      </w:r>
      <w:bookmarkEnd w:id="0"/>
      <w:r w:rsidR="0027348C" w:rsidRPr="0027348C">
        <w:rPr>
          <w:vertAlign w:val="superscript"/>
        </w:rPr>
        <w:t>(a)</w:t>
      </w:r>
    </w:p>
    <w:tbl>
      <w:tblPr>
        <w:tblW w:w="9480" w:type="dxa"/>
        <w:tblLook w:val="04A0" w:firstRow="1" w:lastRow="0" w:firstColumn="1" w:lastColumn="0" w:noHBand="0" w:noVBand="1"/>
        <w:tblCaption w:val="Table F.1: The effect of a delayed vaccine on major economic parameters(a)"/>
        <w:tblDescription w:val="Table F.1: The effect of a delayed vaccine on major economic parameters(a)"/>
      </w:tblPr>
      <w:tblGrid>
        <w:gridCol w:w="4520"/>
        <w:gridCol w:w="1240"/>
        <w:gridCol w:w="1240"/>
        <w:gridCol w:w="1240"/>
        <w:gridCol w:w="1240"/>
      </w:tblGrid>
      <w:tr w:rsidR="00C61312" w:rsidRPr="00C61312" w14:paraId="6F20F31E" w14:textId="77777777" w:rsidTr="00C61312">
        <w:trPr>
          <w:trHeight w:val="240"/>
        </w:trPr>
        <w:tc>
          <w:tcPr>
            <w:tcW w:w="4520" w:type="dxa"/>
            <w:tcBorders>
              <w:top w:val="nil"/>
              <w:left w:val="nil"/>
              <w:bottom w:val="nil"/>
              <w:right w:val="nil"/>
            </w:tcBorders>
            <w:shd w:val="clear" w:color="000000" w:fill="008EBA"/>
            <w:noWrap/>
            <w:vAlign w:val="bottom"/>
            <w:hideMark/>
          </w:tcPr>
          <w:p w14:paraId="5F1DFD82" w14:textId="77777777" w:rsidR="00C61312" w:rsidRPr="00C61312" w:rsidRDefault="00C61312" w:rsidP="00C61312">
            <w:pPr>
              <w:rPr>
                <w:rFonts w:ascii="Arial" w:hAnsi="Arial" w:cs="Arial"/>
                <w:color w:val="FFFFFF"/>
                <w:sz w:val="18"/>
                <w:szCs w:val="18"/>
                <w:lang w:val="en-AU" w:eastAsia="en-AU"/>
              </w:rPr>
            </w:pPr>
            <w:r w:rsidRPr="00C61312">
              <w:rPr>
                <w:rFonts w:ascii="Arial" w:hAnsi="Arial" w:cs="Arial"/>
                <w:color w:val="FFFFFF"/>
                <w:sz w:val="18"/>
                <w:szCs w:val="18"/>
                <w:lang w:val="en-AU" w:eastAsia="en-AU"/>
              </w:rPr>
              <w:t> </w:t>
            </w:r>
          </w:p>
        </w:tc>
        <w:tc>
          <w:tcPr>
            <w:tcW w:w="1240" w:type="dxa"/>
            <w:tcBorders>
              <w:top w:val="nil"/>
              <w:left w:val="nil"/>
              <w:bottom w:val="nil"/>
              <w:right w:val="nil"/>
            </w:tcBorders>
            <w:shd w:val="clear" w:color="000000" w:fill="008EBA"/>
            <w:noWrap/>
            <w:vAlign w:val="bottom"/>
            <w:hideMark/>
          </w:tcPr>
          <w:p w14:paraId="1C934F00" w14:textId="77777777" w:rsidR="00C61312" w:rsidRPr="00C61312" w:rsidRDefault="00C61312" w:rsidP="00C61312">
            <w:pPr>
              <w:jc w:val="center"/>
              <w:rPr>
                <w:rFonts w:ascii="Arial" w:hAnsi="Arial" w:cs="Arial"/>
                <w:color w:val="FFFFFF"/>
                <w:sz w:val="18"/>
                <w:szCs w:val="18"/>
                <w:lang w:val="en-AU" w:eastAsia="en-AU"/>
              </w:rPr>
            </w:pPr>
            <w:r w:rsidRPr="00C61312">
              <w:rPr>
                <w:rFonts w:ascii="Arial" w:hAnsi="Arial" w:cs="Arial"/>
                <w:color w:val="FFFFFF"/>
                <w:sz w:val="18"/>
                <w:szCs w:val="18"/>
                <w:lang w:val="en-AU" w:eastAsia="en-AU"/>
              </w:rPr>
              <w:t>2020-21</w:t>
            </w:r>
          </w:p>
        </w:tc>
        <w:tc>
          <w:tcPr>
            <w:tcW w:w="1240" w:type="dxa"/>
            <w:tcBorders>
              <w:top w:val="nil"/>
              <w:left w:val="nil"/>
              <w:bottom w:val="nil"/>
              <w:right w:val="nil"/>
            </w:tcBorders>
            <w:shd w:val="clear" w:color="000000" w:fill="008EBA"/>
            <w:noWrap/>
            <w:vAlign w:val="bottom"/>
            <w:hideMark/>
          </w:tcPr>
          <w:p w14:paraId="5A4A869E" w14:textId="77777777" w:rsidR="00C61312" w:rsidRPr="00C61312" w:rsidRDefault="00C61312" w:rsidP="00C61312">
            <w:pPr>
              <w:jc w:val="center"/>
              <w:rPr>
                <w:rFonts w:ascii="Arial" w:hAnsi="Arial" w:cs="Arial"/>
                <w:color w:val="FFFFFF"/>
                <w:sz w:val="18"/>
                <w:szCs w:val="18"/>
                <w:lang w:val="en-AU" w:eastAsia="en-AU"/>
              </w:rPr>
            </w:pPr>
            <w:r w:rsidRPr="00C61312">
              <w:rPr>
                <w:rFonts w:ascii="Arial" w:hAnsi="Arial" w:cs="Arial"/>
                <w:color w:val="FFFFFF"/>
                <w:sz w:val="18"/>
                <w:szCs w:val="18"/>
                <w:lang w:val="en-AU" w:eastAsia="en-AU"/>
              </w:rPr>
              <w:t>2021-22</w:t>
            </w:r>
          </w:p>
        </w:tc>
        <w:tc>
          <w:tcPr>
            <w:tcW w:w="1240" w:type="dxa"/>
            <w:tcBorders>
              <w:top w:val="nil"/>
              <w:left w:val="nil"/>
              <w:bottom w:val="nil"/>
              <w:right w:val="nil"/>
            </w:tcBorders>
            <w:shd w:val="clear" w:color="000000" w:fill="008EBA"/>
            <w:noWrap/>
            <w:vAlign w:val="bottom"/>
            <w:hideMark/>
          </w:tcPr>
          <w:p w14:paraId="781B5082" w14:textId="77777777" w:rsidR="00C61312" w:rsidRPr="00C61312" w:rsidRDefault="00C61312" w:rsidP="00C61312">
            <w:pPr>
              <w:jc w:val="center"/>
              <w:rPr>
                <w:rFonts w:ascii="Arial" w:hAnsi="Arial" w:cs="Arial"/>
                <w:color w:val="FFFFFF"/>
                <w:sz w:val="18"/>
                <w:szCs w:val="18"/>
                <w:lang w:val="en-AU" w:eastAsia="en-AU"/>
              </w:rPr>
            </w:pPr>
            <w:r w:rsidRPr="00C61312">
              <w:rPr>
                <w:rFonts w:ascii="Arial" w:hAnsi="Arial" w:cs="Arial"/>
                <w:color w:val="FFFFFF"/>
                <w:sz w:val="18"/>
                <w:szCs w:val="18"/>
                <w:lang w:val="en-AU" w:eastAsia="en-AU"/>
              </w:rPr>
              <w:t>2022-23</w:t>
            </w:r>
          </w:p>
        </w:tc>
        <w:tc>
          <w:tcPr>
            <w:tcW w:w="1240" w:type="dxa"/>
            <w:tcBorders>
              <w:top w:val="nil"/>
              <w:left w:val="nil"/>
              <w:bottom w:val="nil"/>
              <w:right w:val="nil"/>
            </w:tcBorders>
            <w:shd w:val="clear" w:color="000000" w:fill="008EBA"/>
            <w:noWrap/>
            <w:vAlign w:val="bottom"/>
            <w:hideMark/>
          </w:tcPr>
          <w:p w14:paraId="4AEC87C2" w14:textId="77777777" w:rsidR="00C61312" w:rsidRPr="00C61312" w:rsidRDefault="00C61312" w:rsidP="00C61312">
            <w:pPr>
              <w:jc w:val="center"/>
              <w:rPr>
                <w:rFonts w:ascii="Arial" w:hAnsi="Arial" w:cs="Arial"/>
                <w:color w:val="FFFFFF"/>
                <w:sz w:val="18"/>
                <w:szCs w:val="18"/>
                <w:lang w:val="en-AU" w:eastAsia="en-AU"/>
              </w:rPr>
            </w:pPr>
            <w:r w:rsidRPr="00C61312">
              <w:rPr>
                <w:rFonts w:ascii="Arial" w:hAnsi="Arial" w:cs="Arial"/>
                <w:color w:val="FFFFFF"/>
                <w:sz w:val="18"/>
                <w:szCs w:val="18"/>
                <w:lang w:val="en-AU" w:eastAsia="en-AU"/>
              </w:rPr>
              <w:t>2023-24</w:t>
            </w:r>
          </w:p>
        </w:tc>
      </w:tr>
      <w:tr w:rsidR="00C61312" w:rsidRPr="00C61312" w14:paraId="78C9A53E" w14:textId="77777777" w:rsidTr="00C61312">
        <w:trPr>
          <w:trHeight w:val="225"/>
        </w:trPr>
        <w:tc>
          <w:tcPr>
            <w:tcW w:w="4520" w:type="dxa"/>
            <w:tcBorders>
              <w:top w:val="nil"/>
              <w:left w:val="nil"/>
              <w:bottom w:val="nil"/>
              <w:right w:val="nil"/>
            </w:tcBorders>
            <w:shd w:val="clear" w:color="auto" w:fill="auto"/>
            <w:noWrap/>
            <w:vAlign w:val="bottom"/>
            <w:hideMark/>
          </w:tcPr>
          <w:p w14:paraId="5E1BB757" w14:textId="77777777" w:rsidR="00C61312" w:rsidRPr="00C61312" w:rsidRDefault="00C61312" w:rsidP="00C61312">
            <w:pPr>
              <w:ind w:firstLineChars="100" w:firstLine="160"/>
              <w:rPr>
                <w:rFonts w:ascii="Arial" w:hAnsi="Arial" w:cs="Arial"/>
                <w:sz w:val="16"/>
                <w:szCs w:val="16"/>
                <w:lang w:val="en-AU" w:eastAsia="en-AU"/>
              </w:rPr>
            </w:pPr>
            <w:r w:rsidRPr="00C61312">
              <w:rPr>
                <w:rFonts w:ascii="Arial" w:hAnsi="Arial" w:cs="Arial"/>
                <w:sz w:val="16"/>
                <w:szCs w:val="16"/>
                <w:lang w:val="en-AU" w:eastAsia="en-AU"/>
              </w:rPr>
              <w:t>State Final Demand</w:t>
            </w:r>
          </w:p>
        </w:tc>
        <w:tc>
          <w:tcPr>
            <w:tcW w:w="1240" w:type="dxa"/>
            <w:tcBorders>
              <w:top w:val="nil"/>
              <w:left w:val="nil"/>
              <w:bottom w:val="nil"/>
              <w:right w:val="nil"/>
            </w:tcBorders>
            <w:shd w:val="clear" w:color="auto" w:fill="auto"/>
            <w:vAlign w:val="bottom"/>
            <w:hideMark/>
          </w:tcPr>
          <w:p w14:paraId="68555EBE"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 xml:space="preserve">...   </w:t>
            </w:r>
          </w:p>
        </w:tc>
        <w:tc>
          <w:tcPr>
            <w:tcW w:w="1240" w:type="dxa"/>
            <w:tcBorders>
              <w:top w:val="nil"/>
              <w:left w:val="nil"/>
              <w:bottom w:val="nil"/>
              <w:right w:val="nil"/>
            </w:tcBorders>
            <w:shd w:val="clear" w:color="auto" w:fill="auto"/>
            <w:vAlign w:val="bottom"/>
            <w:hideMark/>
          </w:tcPr>
          <w:p w14:paraId="2E208C92"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(0.1)</w:t>
            </w:r>
          </w:p>
        </w:tc>
        <w:tc>
          <w:tcPr>
            <w:tcW w:w="1240" w:type="dxa"/>
            <w:tcBorders>
              <w:top w:val="nil"/>
              <w:left w:val="nil"/>
              <w:bottom w:val="nil"/>
              <w:right w:val="nil"/>
            </w:tcBorders>
            <w:shd w:val="clear" w:color="auto" w:fill="auto"/>
            <w:vAlign w:val="bottom"/>
            <w:hideMark/>
          </w:tcPr>
          <w:p w14:paraId="31BD85F2"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(1.0)</w:t>
            </w:r>
          </w:p>
        </w:tc>
        <w:tc>
          <w:tcPr>
            <w:tcW w:w="1240" w:type="dxa"/>
            <w:tcBorders>
              <w:top w:val="nil"/>
              <w:left w:val="nil"/>
              <w:bottom w:val="nil"/>
              <w:right w:val="nil"/>
            </w:tcBorders>
            <w:shd w:val="clear" w:color="auto" w:fill="auto"/>
            <w:vAlign w:val="bottom"/>
            <w:hideMark/>
          </w:tcPr>
          <w:p w14:paraId="4EC864A3"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(1.3)</w:t>
            </w:r>
          </w:p>
        </w:tc>
      </w:tr>
      <w:tr w:rsidR="00C61312" w:rsidRPr="00C61312" w14:paraId="6F58A0A2" w14:textId="77777777" w:rsidTr="00C61312">
        <w:trPr>
          <w:trHeight w:val="225"/>
        </w:trPr>
        <w:tc>
          <w:tcPr>
            <w:tcW w:w="4520" w:type="dxa"/>
            <w:tcBorders>
              <w:top w:val="nil"/>
              <w:left w:val="nil"/>
              <w:bottom w:val="nil"/>
              <w:right w:val="nil"/>
            </w:tcBorders>
            <w:shd w:val="clear" w:color="auto" w:fill="auto"/>
            <w:noWrap/>
            <w:vAlign w:val="bottom"/>
            <w:hideMark/>
          </w:tcPr>
          <w:p w14:paraId="6AD5282B" w14:textId="77777777" w:rsidR="00C61312" w:rsidRPr="00C61312" w:rsidRDefault="00C61312" w:rsidP="00C61312">
            <w:pPr>
              <w:ind w:firstLineChars="100" w:firstLine="160"/>
              <w:rPr>
                <w:rFonts w:ascii="Arial" w:hAnsi="Arial" w:cs="Arial"/>
                <w:sz w:val="16"/>
                <w:szCs w:val="16"/>
                <w:lang w:val="en-AU" w:eastAsia="en-AU"/>
              </w:rPr>
            </w:pPr>
            <w:r w:rsidRPr="00C61312">
              <w:rPr>
                <w:rFonts w:ascii="Arial" w:hAnsi="Arial" w:cs="Arial"/>
                <w:sz w:val="16"/>
                <w:szCs w:val="16"/>
                <w:lang w:val="en-AU" w:eastAsia="en-AU"/>
              </w:rPr>
              <w:t>Gross State Product</w:t>
            </w:r>
          </w:p>
        </w:tc>
        <w:tc>
          <w:tcPr>
            <w:tcW w:w="1240" w:type="dxa"/>
            <w:tcBorders>
              <w:top w:val="nil"/>
              <w:left w:val="nil"/>
              <w:bottom w:val="nil"/>
              <w:right w:val="nil"/>
            </w:tcBorders>
            <w:shd w:val="clear" w:color="auto" w:fill="auto"/>
            <w:vAlign w:val="bottom"/>
            <w:hideMark/>
          </w:tcPr>
          <w:p w14:paraId="0E72E226"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 xml:space="preserve">...   </w:t>
            </w:r>
          </w:p>
        </w:tc>
        <w:tc>
          <w:tcPr>
            <w:tcW w:w="1240" w:type="dxa"/>
            <w:tcBorders>
              <w:top w:val="nil"/>
              <w:left w:val="nil"/>
              <w:bottom w:val="nil"/>
              <w:right w:val="nil"/>
            </w:tcBorders>
            <w:shd w:val="clear" w:color="auto" w:fill="auto"/>
            <w:vAlign w:val="bottom"/>
            <w:hideMark/>
          </w:tcPr>
          <w:p w14:paraId="685A8E44"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(0.1)</w:t>
            </w:r>
          </w:p>
        </w:tc>
        <w:tc>
          <w:tcPr>
            <w:tcW w:w="1240" w:type="dxa"/>
            <w:tcBorders>
              <w:top w:val="nil"/>
              <w:left w:val="nil"/>
              <w:bottom w:val="nil"/>
              <w:right w:val="nil"/>
            </w:tcBorders>
            <w:shd w:val="clear" w:color="auto" w:fill="auto"/>
            <w:vAlign w:val="bottom"/>
            <w:hideMark/>
          </w:tcPr>
          <w:p w14:paraId="7510A4F6"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(0.9)</w:t>
            </w:r>
          </w:p>
        </w:tc>
        <w:tc>
          <w:tcPr>
            <w:tcW w:w="1240" w:type="dxa"/>
            <w:tcBorders>
              <w:top w:val="nil"/>
              <w:left w:val="nil"/>
              <w:bottom w:val="nil"/>
              <w:right w:val="nil"/>
            </w:tcBorders>
            <w:shd w:val="clear" w:color="auto" w:fill="auto"/>
            <w:vAlign w:val="bottom"/>
            <w:hideMark/>
          </w:tcPr>
          <w:p w14:paraId="1A955E8A"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(0.8)</w:t>
            </w:r>
          </w:p>
        </w:tc>
      </w:tr>
      <w:tr w:rsidR="00C61312" w:rsidRPr="00C61312" w14:paraId="52C5BA11" w14:textId="77777777" w:rsidTr="00C61312">
        <w:trPr>
          <w:trHeight w:val="225"/>
        </w:trPr>
        <w:tc>
          <w:tcPr>
            <w:tcW w:w="4520" w:type="dxa"/>
            <w:tcBorders>
              <w:top w:val="nil"/>
              <w:left w:val="nil"/>
              <w:bottom w:val="nil"/>
              <w:right w:val="nil"/>
            </w:tcBorders>
            <w:shd w:val="clear" w:color="auto" w:fill="auto"/>
            <w:noWrap/>
            <w:vAlign w:val="bottom"/>
            <w:hideMark/>
          </w:tcPr>
          <w:p w14:paraId="36175226" w14:textId="77777777" w:rsidR="00C61312" w:rsidRPr="00C61312" w:rsidRDefault="00C61312" w:rsidP="00C61312">
            <w:pPr>
              <w:ind w:firstLineChars="100" w:firstLine="160"/>
              <w:rPr>
                <w:rFonts w:ascii="Arial" w:hAnsi="Arial" w:cs="Arial"/>
                <w:sz w:val="16"/>
                <w:szCs w:val="16"/>
                <w:lang w:val="en-AU" w:eastAsia="en-AU"/>
              </w:rPr>
            </w:pPr>
            <w:r w:rsidRPr="00C61312">
              <w:rPr>
                <w:rFonts w:ascii="Arial" w:hAnsi="Arial" w:cs="Arial"/>
                <w:sz w:val="16"/>
                <w:szCs w:val="16"/>
                <w:lang w:val="en-AU" w:eastAsia="en-AU"/>
              </w:rPr>
              <w:t>Employment</w:t>
            </w:r>
          </w:p>
        </w:tc>
        <w:tc>
          <w:tcPr>
            <w:tcW w:w="1240" w:type="dxa"/>
            <w:tcBorders>
              <w:top w:val="nil"/>
              <w:left w:val="nil"/>
              <w:bottom w:val="nil"/>
              <w:right w:val="nil"/>
            </w:tcBorders>
            <w:shd w:val="clear" w:color="auto" w:fill="auto"/>
            <w:vAlign w:val="bottom"/>
            <w:hideMark/>
          </w:tcPr>
          <w:p w14:paraId="37B759D7"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 xml:space="preserve">...   </w:t>
            </w:r>
          </w:p>
        </w:tc>
        <w:tc>
          <w:tcPr>
            <w:tcW w:w="1240" w:type="dxa"/>
            <w:tcBorders>
              <w:top w:val="nil"/>
              <w:left w:val="nil"/>
              <w:bottom w:val="nil"/>
              <w:right w:val="nil"/>
            </w:tcBorders>
            <w:shd w:val="clear" w:color="auto" w:fill="auto"/>
            <w:vAlign w:val="bottom"/>
            <w:hideMark/>
          </w:tcPr>
          <w:p w14:paraId="0FFE6560"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(0.4)</w:t>
            </w:r>
          </w:p>
        </w:tc>
        <w:tc>
          <w:tcPr>
            <w:tcW w:w="1240" w:type="dxa"/>
            <w:tcBorders>
              <w:top w:val="nil"/>
              <w:left w:val="nil"/>
              <w:bottom w:val="nil"/>
              <w:right w:val="nil"/>
            </w:tcBorders>
            <w:shd w:val="clear" w:color="auto" w:fill="auto"/>
            <w:vAlign w:val="bottom"/>
            <w:hideMark/>
          </w:tcPr>
          <w:p w14:paraId="2D83C64E"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(1.5)</w:t>
            </w:r>
          </w:p>
        </w:tc>
        <w:tc>
          <w:tcPr>
            <w:tcW w:w="1240" w:type="dxa"/>
            <w:tcBorders>
              <w:top w:val="nil"/>
              <w:left w:val="nil"/>
              <w:bottom w:val="nil"/>
              <w:right w:val="nil"/>
            </w:tcBorders>
            <w:shd w:val="clear" w:color="auto" w:fill="auto"/>
            <w:vAlign w:val="bottom"/>
            <w:hideMark/>
          </w:tcPr>
          <w:p w14:paraId="335B5B2E"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(1.0)</w:t>
            </w:r>
          </w:p>
        </w:tc>
      </w:tr>
      <w:tr w:rsidR="00C61312" w:rsidRPr="00C61312" w14:paraId="1D5482DC" w14:textId="77777777" w:rsidTr="00C61312">
        <w:trPr>
          <w:trHeight w:val="225"/>
        </w:trPr>
        <w:tc>
          <w:tcPr>
            <w:tcW w:w="4520" w:type="dxa"/>
            <w:tcBorders>
              <w:top w:val="nil"/>
              <w:left w:val="nil"/>
              <w:bottom w:val="nil"/>
              <w:right w:val="nil"/>
            </w:tcBorders>
            <w:shd w:val="clear" w:color="auto" w:fill="auto"/>
            <w:noWrap/>
            <w:vAlign w:val="bottom"/>
            <w:hideMark/>
          </w:tcPr>
          <w:p w14:paraId="06800D86" w14:textId="77777777" w:rsidR="00C61312" w:rsidRPr="00C61312" w:rsidRDefault="00C61312" w:rsidP="00C61312">
            <w:pPr>
              <w:ind w:firstLineChars="100" w:firstLine="160"/>
              <w:rPr>
                <w:rFonts w:ascii="Arial" w:hAnsi="Arial" w:cs="Arial"/>
                <w:sz w:val="16"/>
                <w:szCs w:val="16"/>
                <w:lang w:val="en-AU" w:eastAsia="en-AU"/>
              </w:rPr>
            </w:pPr>
            <w:r w:rsidRPr="00C61312">
              <w:rPr>
                <w:rFonts w:ascii="Arial" w:hAnsi="Arial" w:cs="Arial"/>
                <w:sz w:val="16"/>
                <w:szCs w:val="16"/>
                <w:lang w:val="en-AU" w:eastAsia="en-AU"/>
              </w:rPr>
              <w:t>Unemployment rate</w:t>
            </w:r>
          </w:p>
        </w:tc>
        <w:tc>
          <w:tcPr>
            <w:tcW w:w="1240" w:type="dxa"/>
            <w:tcBorders>
              <w:top w:val="nil"/>
              <w:left w:val="nil"/>
              <w:bottom w:val="nil"/>
              <w:right w:val="nil"/>
            </w:tcBorders>
            <w:shd w:val="clear" w:color="auto" w:fill="auto"/>
            <w:vAlign w:val="bottom"/>
            <w:hideMark/>
          </w:tcPr>
          <w:p w14:paraId="79937E01"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 xml:space="preserve">...   </w:t>
            </w:r>
          </w:p>
        </w:tc>
        <w:tc>
          <w:tcPr>
            <w:tcW w:w="1240" w:type="dxa"/>
            <w:tcBorders>
              <w:top w:val="nil"/>
              <w:left w:val="nil"/>
              <w:bottom w:val="nil"/>
              <w:right w:val="nil"/>
            </w:tcBorders>
            <w:shd w:val="clear" w:color="auto" w:fill="auto"/>
            <w:vAlign w:val="bottom"/>
            <w:hideMark/>
          </w:tcPr>
          <w:p w14:paraId="2A55F2A3"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0.3</w:t>
            </w:r>
          </w:p>
        </w:tc>
        <w:tc>
          <w:tcPr>
            <w:tcW w:w="1240" w:type="dxa"/>
            <w:tcBorders>
              <w:top w:val="nil"/>
              <w:left w:val="nil"/>
              <w:bottom w:val="nil"/>
              <w:right w:val="nil"/>
            </w:tcBorders>
            <w:shd w:val="clear" w:color="auto" w:fill="auto"/>
            <w:vAlign w:val="bottom"/>
            <w:hideMark/>
          </w:tcPr>
          <w:p w14:paraId="3E4A1DDF"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1.0</w:t>
            </w:r>
          </w:p>
        </w:tc>
        <w:tc>
          <w:tcPr>
            <w:tcW w:w="1240" w:type="dxa"/>
            <w:tcBorders>
              <w:top w:val="nil"/>
              <w:left w:val="nil"/>
              <w:bottom w:val="nil"/>
              <w:right w:val="nil"/>
            </w:tcBorders>
            <w:shd w:val="clear" w:color="auto" w:fill="auto"/>
            <w:vAlign w:val="bottom"/>
            <w:hideMark/>
          </w:tcPr>
          <w:p w14:paraId="3C68D8DE"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0.1</w:t>
            </w:r>
          </w:p>
        </w:tc>
      </w:tr>
      <w:tr w:rsidR="00C61312" w:rsidRPr="00C61312" w14:paraId="170FB8FE" w14:textId="77777777" w:rsidTr="00C61312">
        <w:trPr>
          <w:trHeight w:val="225"/>
        </w:trPr>
        <w:tc>
          <w:tcPr>
            <w:tcW w:w="4520" w:type="dxa"/>
            <w:tcBorders>
              <w:top w:val="nil"/>
              <w:left w:val="nil"/>
              <w:bottom w:val="nil"/>
              <w:right w:val="nil"/>
            </w:tcBorders>
            <w:shd w:val="clear" w:color="auto" w:fill="auto"/>
            <w:noWrap/>
            <w:vAlign w:val="bottom"/>
            <w:hideMark/>
          </w:tcPr>
          <w:p w14:paraId="4E2CECF7" w14:textId="77777777" w:rsidR="00C61312" w:rsidRPr="00C61312" w:rsidRDefault="00C61312" w:rsidP="00C61312">
            <w:pPr>
              <w:ind w:firstLineChars="100" w:firstLine="160"/>
              <w:rPr>
                <w:rFonts w:ascii="Arial" w:hAnsi="Arial" w:cs="Arial"/>
                <w:sz w:val="16"/>
                <w:szCs w:val="16"/>
                <w:lang w:val="en-AU" w:eastAsia="en-AU"/>
              </w:rPr>
            </w:pPr>
            <w:r w:rsidRPr="00C61312">
              <w:rPr>
                <w:rFonts w:ascii="Arial" w:hAnsi="Arial" w:cs="Arial"/>
                <w:sz w:val="16"/>
                <w:szCs w:val="16"/>
                <w:lang w:val="en-AU" w:eastAsia="en-AU"/>
              </w:rPr>
              <w:t>Consumer price index</w:t>
            </w:r>
          </w:p>
        </w:tc>
        <w:tc>
          <w:tcPr>
            <w:tcW w:w="1240" w:type="dxa"/>
            <w:tcBorders>
              <w:top w:val="nil"/>
              <w:left w:val="nil"/>
              <w:bottom w:val="nil"/>
              <w:right w:val="nil"/>
            </w:tcBorders>
            <w:shd w:val="clear" w:color="auto" w:fill="auto"/>
            <w:vAlign w:val="bottom"/>
            <w:hideMark/>
          </w:tcPr>
          <w:p w14:paraId="2C8B9EAB"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 xml:space="preserve">...   </w:t>
            </w:r>
          </w:p>
        </w:tc>
        <w:tc>
          <w:tcPr>
            <w:tcW w:w="1240" w:type="dxa"/>
            <w:tcBorders>
              <w:top w:val="nil"/>
              <w:left w:val="nil"/>
              <w:bottom w:val="nil"/>
              <w:right w:val="nil"/>
            </w:tcBorders>
            <w:shd w:val="clear" w:color="auto" w:fill="auto"/>
            <w:vAlign w:val="bottom"/>
            <w:hideMark/>
          </w:tcPr>
          <w:p w14:paraId="0352BEEC"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(0.1)</w:t>
            </w:r>
          </w:p>
        </w:tc>
        <w:tc>
          <w:tcPr>
            <w:tcW w:w="1240" w:type="dxa"/>
            <w:tcBorders>
              <w:top w:val="nil"/>
              <w:left w:val="nil"/>
              <w:bottom w:val="nil"/>
              <w:right w:val="nil"/>
            </w:tcBorders>
            <w:shd w:val="clear" w:color="auto" w:fill="auto"/>
            <w:vAlign w:val="bottom"/>
            <w:hideMark/>
          </w:tcPr>
          <w:p w14:paraId="18730B13"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(0.2)</w:t>
            </w:r>
          </w:p>
        </w:tc>
        <w:tc>
          <w:tcPr>
            <w:tcW w:w="1240" w:type="dxa"/>
            <w:tcBorders>
              <w:top w:val="nil"/>
              <w:left w:val="nil"/>
              <w:bottom w:val="nil"/>
              <w:right w:val="nil"/>
            </w:tcBorders>
            <w:shd w:val="clear" w:color="auto" w:fill="auto"/>
            <w:vAlign w:val="bottom"/>
            <w:hideMark/>
          </w:tcPr>
          <w:p w14:paraId="107C993F"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0.1</w:t>
            </w:r>
          </w:p>
        </w:tc>
      </w:tr>
      <w:tr w:rsidR="00C61312" w:rsidRPr="00C61312" w14:paraId="385369DA" w14:textId="77777777" w:rsidTr="00C61312">
        <w:trPr>
          <w:trHeight w:val="225"/>
        </w:trPr>
        <w:tc>
          <w:tcPr>
            <w:tcW w:w="4520" w:type="dxa"/>
            <w:tcBorders>
              <w:top w:val="nil"/>
              <w:left w:val="nil"/>
              <w:bottom w:val="nil"/>
              <w:right w:val="nil"/>
            </w:tcBorders>
            <w:shd w:val="clear" w:color="auto" w:fill="auto"/>
            <w:noWrap/>
            <w:vAlign w:val="bottom"/>
            <w:hideMark/>
          </w:tcPr>
          <w:p w14:paraId="5138971A" w14:textId="77777777" w:rsidR="00C61312" w:rsidRPr="00C61312" w:rsidRDefault="00C61312" w:rsidP="00C61312">
            <w:pPr>
              <w:ind w:firstLineChars="100" w:firstLine="160"/>
              <w:rPr>
                <w:rFonts w:ascii="Arial" w:hAnsi="Arial" w:cs="Arial"/>
                <w:sz w:val="16"/>
                <w:szCs w:val="16"/>
                <w:lang w:val="en-AU" w:eastAsia="en-AU"/>
              </w:rPr>
            </w:pPr>
            <w:r w:rsidRPr="00C61312">
              <w:rPr>
                <w:rFonts w:ascii="Arial" w:hAnsi="Arial" w:cs="Arial"/>
                <w:sz w:val="16"/>
                <w:szCs w:val="16"/>
                <w:lang w:val="en-AU" w:eastAsia="en-AU"/>
              </w:rPr>
              <w:t>Nominal wages</w:t>
            </w:r>
          </w:p>
        </w:tc>
        <w:tc>
          <w:tcPr>
            <w:tcW w:w="1240" w:type="dxa"/>
            <w:tcBorders>
              <w:top w:val="nil"/>
              <w:left w:val="nil"/>
              <w:bottom w:val="nil"/>
              <w:right w:val="nil"/>
            </w:tcBorders>
            <w:shd w:val="clear" w:color="auto" w:fill="auto"/>
            <w:vAlign w:val="bottom"/>
            <w:hideMark/>
          </w:tcPr>
          <w:p w14:paraId="0309AE72"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 xml:space="preserve">...   </w:t>
            </w:r>
          </w:p>
        </w:tc>
        <w:tc>
          <w:tcPr>
            <w:tcW w:w="1240" w:type="dxa"/>
            <w:tcBorders>
              <w:top w:val="nil"/>
              <w:left w:val="nil"/>
              <w:bottom w:val="nil"/>
              <w:right w:val="nil"/>
            </w:tcBorders>
            <w:shd w:val="clear" w:color="auto" w:fill="auto"/>
            <w:vAlign w:val="bottom"/>
            <w:hideMark/>
          </w:tcPr>
          <w:p w14:paraId="2575F168"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(0.0)</w:t>
            </w:r>
          </w:p>
        </w:tc>
        <w:tc>
          <w:tcPr>
            <w:tcW w:w="1240" w:type="dxa"/>
            <w:tcBorders>
              <w:top w:val="nil"/>
              <w:left w:val="nil"/>
              <w:bottom w:val="nil"/>
              <w:right w:val="nil"/>
            </w:tcBorders>
            <w:shd w:val="clear" w:color="auto" w:fill="auto"/>
            <w:vAlign w:val="bottom"/>
            <w:hideMark/>
          </w:tcPr>
          <w:p w14:paraId="38BAD9C8"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(0.7)</w:t>
            </w:r>
          </w:p>
        </w:tc>
        <w:tc>
          <w:tcPr>
            <w:tcW w:w="1240" w:type="dxa"/>
            <w:tcBorders>
              <w:top w:val="nil"/>
              <w:left w:val="nil"/>
              <w:bottom w:val="nil"/>
              <w:right w:val="nil"/>
            </w:tcBorders>
            <w:shd w:val="clear" w:color="auto" w:fill="auto"/>
            <w:vAlign w:val="bottom"/>
            <w:hideMark/>
          </w:tcPr>
          <w:p w14:paraId="7341A492"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(0.5)</w:t>
            </w:r>
          </w:p>
        </w:tc>
      </w:tr>
      <w:tr w:rsidR="00C61312" w:rsidRPr="00C61312" w14:paraId="071EA723" w14:textId="77777777" w:rsidTr="00C61312">
        <w:trPr>
          <w:trHeight w:val="225"/>
        </w:trPr>
        <w:tc>
          <w:tcPr>
            <w:tcW w:w="4520" w:type="dxa"/>
            <w:tcBorders>
              <w:top w:val="nil"/>
              <w:left w:val="nil"/>
              <w:bottom w:val="single" w:sz="4" w:space="0" w:color="auto"/>
              <w:right w:val="nil"/>
            </w:tcBorders>
            <w:shd w:val="clear" w:color="auto" w:fill="auto"/>
            <w:noWrap/>
            <w:vAlign w:val="bottom"/>
            <w:hideMark/>
          </w:tcPr>
          <w:p w14:paraId="7310B0ED" w14:textId="77777777" w:rsidR="00C61312" w:rsidRPr="00C61312" w:rsidRDefault="00C61312" w:rsidP="00C61312">
            <w:pPr>
              <w:ind w:firstLineChars="100" w:firstLine="160"/>
              <w:rPr>
                <w:rFonts w:ascii="Arial" w:hAnsi="Arial" w:cs="Arial"/>
                <w:sz w:val="16"/>
                <w:szCs w:val="16"/>
                <w:lang w:val="en-AU" w:eastAsia="en-AU"/>
              </w:rPr>
            </w:pPr>
            <w:r w:rsidRPr="00C61312">
              <w:rPr>
                <w:rFonts w:ascii="Arial" w:hAnsi="Arial" w:cs="Arial"/>
                <w:sz w:val="16"/>
                <w:szCs w:val="16"/>
                <w:lang w:val="en-AU" w:eastAsia="en-AU"/>
              </w:rPr>
              <w:t>Working age population</w:t>
            </w:r>
          </w:p>
        </w:tc>
        <w:tc>
          <w:tcPr>
            <w:tcW w:w="1240" w:type="dxa"/>
            <w:tcBorders>
              <w:top w:val="nil"/>
              <w:left w:val="nil"/>
              <w:bottom w:val="single" w:sz="4" w:space="0" w:color="auto"/>
              <w:right w:val="nil"/>
            </w:tcBorders>
            <w:shd w:val="clear" w:color="000000" w:fill="FFFFFF"/>
            <w:vAlign w:val="bottom"/>
            <w:hideMark/>
          </w:tcPr>
          <w:p w14:paraId="6260610B"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 xml:space="preserve">...   </w:t>
            </w:r>
          </w:p>
        </w:tc>
        <w:tc>
          <w:tcPr>
            <w:tcW w:w="1240" w:type="dxa"/>
            <w:tcBorders>
              <w:top w:val="nil"/>
              <w:left w:val="nil"/>
              <w:bottom w:val="single" w:sz="4" w:space="0" w:color="auto"/>
              <w:right w:val="nil"/>
            </w:tcBorders>
            <w:shd w:val="clear" w:color="000000" w:fill="FFFFFF"/>
            <w:vAlign w:val="bottom"/>
            <w:hideMark/>
          </w:tcPr>
          <w:p w14:paraId="2677C108"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(0.0)</w:t>
            </w:r>
          </w:p>
        </w:tc>
        <w:tc>
          <w:tcPr>
            <w:tcW w:w="1240" w:type="dxa"/>
            <w:tcBorders>
              <w:top w:val="nil"/>
              <w:left w:val="nil"/>
              <w:bottom w:val="single" w:sz="4" w:space="0" w:color="auto"/>
              <w:right w:val="nil"/>
            </w:tcBorders>
            <w:shd w:val="clear" w:color="000000" w:fill="FFFFFF"/>
            <w:vAlign w:val="bottom"/>
            <w:hideMark/>
          </w:tcPr>
          <w:p w14:paraId="5B35282C"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(0.3)</w:t>
            </w:r>
          </w:p>
        </w:tc>
        <w:tc>
          <w:tcPr>
            <w:tcW w:w="1240" w:type="dxa"/>
            <w:tcBorders>
              <w:top w:val="nil"/>
              <w:left w:val="nil"/>
              <w:bottom w:val="single" w:sz="4" w:space="0" w:color="auto"/>
              <w:right w:val="nil"/>
            </w:tcBorders>
            <w:shd w:val="clear" w:color="000000" w:fill="FFFFFF"/>
            <w:vAlign w:val="bottom"/>
            <w:hideMark/>
          </w:tcPr>
          <w:p w14:paraId="2152F8C7" w14:textId="77777777" w:rsidR="00C61312" w:rsidRPr="00C61312" w:rsidRDefault="00C61312" w:rsidP="00C61312">
            <w:pPr>
              <w:jc w:val="right"/>
              <w:rPr>
                <w:rFonts w:ascii="Arial" w:hAnsi="Arial" w:cs="Arial"/>
                <w:color w:val="000000"/>
                <w:sz w:val="16"/>
                <w:szCs w:val="16"/>
                <w:lang w:val="en-AU" w:eastAsia="en-AU"/>
              </w:rPr>
            </w:pPr>
            <w:r w:rsidRPr="00C61312">
              <w:rPr>
                <w:rFonts w:ascii="Arial" w:hAnsi="Arial" w:cs="Arial"/>
                <w:color w:val="000000"/>
                <w:sz w:val="16"/>
                <w:szCs w:val="16"/>
                <w:lang w:val="en-AU" w:eastAsia="en-AU"/>
              </w:rPr>
              <w:t>(0.8)</w:t>
            </w:r>
          </w:p>
        </w:tc>
      </w:tr>
    </w:tbl>
    <w:p w14:paraId="68CFD804" w14:textId="5EED0EAD" w:rsidR="00FD5915" w:rsidRPr="00BC3EA9" w:rsidRDefault="00FD5915" w:rsidP="00D70126">
      <w:pPr>
        <w:ind w:left="357" w:hanging="357"/>
        <w:rPr>
          <w:rFonts w:ascii="Arial" w:hAnsi="Arial" w:cs="Arial"/>
          <w:sz w:val="6"/>
          <w:szCs w:val="6"/>
        </w:rPr>
      </w:pPr>
    </w:p>
    <w:p w14:paraId="21BA289A" w14:textId="40AC36E3" w:rsidR="00456F1A" w:rsidRPr="00E7727B" w:rsidRDefault="00456F1A" w:rsidP="00D70126">
      <w:pPr>
        <w:ind w:left="357" w:hanging="357"/>
        <w:rPr>
          <w:rFonts w:ascii="Arial" w:hAnsi="Arial" w:cs="Arial"/>
          <w:i/>
          <w:sz w:val="17"/>
          <w:szCs w:val="17"/>
        </w:rPr>
      </w:pPr>
      <w:r w:rsidRPr="00E7727B">
        <w:rPr>
          <w:rFonts w:ascii="Arial" w:hAnsi="Arial" w:cs="Arial"/>
          <w:sz w:val="17"/>
          <w:szCs w:val="17"/>
        </w:rPr>
        <w:t xml:space="preserve">(a) Figures reported </w:t>
      </w:r>
      <w:r w:rsidR="006471F7" w:rsidRPr="00E7727B">
        <w:rPr>
          <w:rFonts w:ascii="Arial" w:hAnsi="Arial" w:cs="Arial"/>
          <w:sz w:val="17"/>
          <w:szCs w:val="17"/>
        </w:rPr>
        <w:t>are</w:t>
      </w:r>
      <w:r w:rsidRPr="00E7727B">
        <w:rPr>
          <w:rFonts w:ascii="Arial" w:hAnsi="Arial" w:cs="Arial"/>
          <w:sz w:val="17"/>
          <w:szCs w:val="17"/>
        </w:rPr>
        <w:t xml:space="preserve"> the</w:t>
      </w:r>
      <w:r w:rsidR="001F69A9" w:rsidRPr="00E7727B">
        <w:rPr>
          <w:rFonts w:ascii="Arial" w:hAnsi="Arial" w:cs="Arial"/>
          <w:sz w:val="17"/>
          <w:szCs w:val="17"/>
        </w:rPr>
        <w:t xml:space="preserve"> per cent</w:t>
      </w:r>
      <w:r w:rsidRPr="00E7727B">
        <w:rPr>
          <w:rFonts w:ascii="Arial" w:hAnsi="Arial" w:cs="Arial"/>
          <w:sz w:val="17"/>
          <w:szCs w:val="17"/>
        </w:rPr>
        <w:t xml:space="preserve"> change in the level of each parameter relative to the baseline.</w:t>
      </w:r>
    </w:p>
    <w:p w14:paraId="79C415FD" w14:textId="5C781D0F" w:rsidR="004032D5" w:rsidRPr="009873A0" w:rsidRDefault="0018440A" w:rsidP="00C06B19">
      <w:pPr>
        <w:pStyle w:val="ChartFX"/>
        <w:numPr>
          <w:ilvl w:val="0"/>
          <w:numId w:val="0"/>
        </w:numPr>
        <w:spacing w:before="60" w:after="0"/>
      </w:pPr>
      <w:r w:rsidRPr="00135CA7">
        <w:rPr>
          <w:color w:val="4F4F4F"/>
          <w:sz w:val="17"/>
          <w:szCs w:val="17"/>
        </w:rPr>
        <w:t xml:space="preserve">Source: </w:t>
      </w:r>
      <w:proofErr w:type="spellStart"/>
      <w:r w:rsidR="008F7F26" w:rsidRPr="00135CA7">
        <w:rPr>
          <w:color w:val="4F4F4F"/>
          <w:sz w:val="17"/>
          <w:szCs w:val="17"/>
        </w:rPr>
        <w:t>C</w:t>
      </w:r>
      <w:r w:rsidR="005322F7" w:rsidRPr="00135CA7">
        <w:rPr>
          <w:color w:val="4F4F4F"/>
          <w:sz w:val="17"/>
          <w:szCs w:val="17"/>
        </w:rPr>
        <w:t>o</w:t>
      </w:r>
      <w:r w:rsidR="008F7F26" w:rsidRPr="00135CA7">
        <w:rPr>
          <w:color w:val="4F4F4F"/>
          <w:sz w:val="17"/>
          <w:szCs w:val="17"/>
        </w:rPr>
        <w:t>PS</w:t>
      </w:r>
      <w:proofErr w:type="spellEnd"/>
      <w:r w:rsidR="00456F1A" w:rsidRPr="00135CA7">
        <w:rPr>
          <w:color w:val="4F4F4F"/>
          <w:sz w:val="17"/>
          <w:szCs w:val="17"/>
        </w:rPr>
        <w:t>, Victoria University and NSW Treasury</w:t>
      </w:r>
    </w:p>
    <w:p w14:paraId="3168D8DC" w14:textId="3B80FA75" w:rsidR="00EA3A1D" w:rsidRPr="005F787D" w:rsidRDefault="00EA3A1D" w:rsidP="00A62CB1">
      <w:pPr>
        <w:pStyle w:val="Heading4"/>
        <w:spacing w:before="200"/>
      </w:pPr>
      <w:r>
        <w:t>Revenue impact</w:t>
      </w:r>
      <w:r w:rsidR="00F40C18">
        <w:t xml:space="preserve"> over the </w:t>
      </w:r>
      <w:r w:rsidR="00D1577D">
        <w:t xml:space="preserve">Budget and </w:t>
      </w:r>
      <w:r w:rsidR="00F40C18">
        <w:t>forward estimates</w:t>
      </w:r>
    </w:p>
    <w:p w14:paraId="265EAB1B" w14:textId="0CB7BB0A" w:rsidR="00633451" w:rsidRDefault="00BB26E6" w:rsidP="00633451">
      <w:pPr>
        <w:pStyle w:val="BodyText"/>
      </w:pPr>
      <w:r>
        <w:t xml:space="preserve">Under this scenario, </w:t>
      </w:r>
      <w:r w:rsidR="00F40C18">
        <w:t xml:space="preserve">overall </w:t>
      </w:r>
      <w:r>
        <w:t xml:space="preserve">revenues </w:t>
      </w:r>
      <w:r w:rsidR="007331CA">
        <w:t xml:space="preserve">are </w:t>
      </w:r>
      <w:r w:rsidR="005F141F" w:rsidRPr="00862F43">
        <w:t>$</w:t>
      </w:r>
      <w:r w:rsidR="00862F43" w:rsidRPr="00862F43">
        <w:t>1.1</w:t>
      </w:r>
      <w:r w:rsidR="005F141F" w:rsidRPr="00862F43">
        <w:t xml:space="preserve"> </w:t>
      </w:r>
      <w:r w:rsidR="00862F43" w:rsidRPr="00862F43">
        <w:t>b</w:t>
      </w:r>
      <w:r w:rsidR="005F141F" w:rsidRPr="00862F43">
        <w:t xml:space="preserve">illion </w:t>
      </w:r>
      <w:r w:rsidR="005F141F">
        <w:t>lower</w:t>
      </w:r>
      <w:r w:rsidR="007331CA">
        <w:t xml:space="preserve"> after</w:t>
      </w:r>
      <w:r w:rsidR="00955E02">
        <w:t xml:space="preserve"> </w:t>
      </w:r>
      <w:r>
        <w:t>four years</w:t>
      </w:r>
      <w:r w:rsidR="006B25F9">
        <w:t xml:space="preserve"> (see Table</w:t>
      </w:r>
      <w:r w:rsidR="000C473E">
        <w:t> </w:t>
      </w:r>
      <w:r w:rsidR="008B4FCE">
        <w:t>F.</w:t>
      </w:r>
      <w:r w:rsidR="006B25F9">
        <w:t>2)</w:t>
      </w:r>
      <w:r>
        <w:t>.</w:t>
      </w:r>
      <w:r w:rsidR="00372AFA">
        <w:t xml:space="preserve"> Payroll </w:t>
      </w:r>
      <w:r w:rsidR="00F27488">
        <w:t>tax</w:t>
      </w:r>
      <w:r w:rsidR="007757E0">
        <w:t xml:space="preserve"> collectio</w:t>
      </w:r>
      <w:bookmarkStart w:id="1" w:name="_GoBack"/>
      <w:bookmarkEnd w:id="1"/>
      <w:r w:rsidR="007757E0">
        <w:t xml:space="preserve">ns are lower </w:t>
      </w:r>
      <w:r w:rsidR="00FD4406">
        <w:t>due to the lower level of employment and decline in wages</w:t>
      </w:r>
      <w:r w:rsidR="00000AB7">
        <w:t xml:space="preserve"> growth</w:t>
      </w:r>
      <w:r w:rsidR="00FD4406">
        <w:t xml:space="preserve">. GST revenue is lower due to the reduction </w:t>
      </w:r>
      <w:r w:rsidR="008F11B8">
        <w:t>in household consumption</w:t>
      </w:r>
      <w:r w:rsidR="00E15079">
        <w:t xml:space="preserve">, but the extent of the fall </w:t>
      </w:r>
      <w:r w:rsidR="00D948C7">
        <w:t xml:space="preserve">in GST revenue </w:t>
      </w:r>
      <w:r w:rsidR="00E15079">
        <w:t xml:space="preserve">is </w:t>
      </w:r>
      <w:r w:rsidR="00FD65B1">
        <w:t xml:space="preserve">cushioned </w:t>
      </w:r>
      <w:r w:rsidR="00E15079">
        <w:t xml:space="preserve">by a rise in the share of household </w:t>
      </w:r>
      <w:r w:rsidR="00D948C7">
        <w:t xml:space="preserve">consumption </w:t>
      </w:r>
      <w:r w:rsidR="000D7C2B">
        <w:t>subject to GST</w:t>
      </w:r>
      <w:r w:rsidR="00BD47C6">
        <w:t>. This is because</w:t>
      </w:r>
      <w:r w:rsidR="005258EC">
        <w:t xml:space="preserve"> </w:t>
      </w:r>
      <w:r w:rsidR="00D73618">
        <w:t xml:space="preserve">spending by </w:t>
      </w:r>
      <w:r w:rsidR="00FD65B1">
        <w:t xml:space="preserve">Australian </w:t>
      </w:r>
      <w:r w:rsidR="0016607C">
        <w:t>residents overseas</w:t>
      </w:r>
      <w:r w:rsidR="00BD47C6">
        <w:t>,</w:t>
      </w:r>
      <w:r w:rsidR="0016607C">
        <w:t xml:space="preserve"> </w:t>
      </w:r>
      <w:r w:rsidR="000D4286">
        <w:t xml:space="preserve">which </w:t>
      </w:r>
      <w:r w:rsidR="0016607C">
        <w:t xml:space="preserve">generally </w:t>
      </w:r>
      <w:r w:rsidR="00BD47C6">
        <w:t xml:space="preserve">is </w:t>
      </w:r>
      <w:r w:rsidR="0016607C">
        <w:t>exempt from GST</w:t>
      </w:r>
      <w:r w:rsidR="00BD47C6">
        <w:t>,</w:t>
      </w:r>
      <w:r w:rsidR="0016607C">
        <w:t xml:space="preserve"> is replaced with domestic spending </w:t>
      </w:r>
      <w:r w:rsidR="00BD47C6">
        <w:t>that</w:t>
      </w:r>
      <w:r w:rsidR="0016607C">
        <w:t xml:space="preserve"> is subject to GST. Similarly, </w:t>
      </w:r>
      <w:r w:rsidR="00F06E49">
        <w:t xml:space="preserve">a </w:t>
      </w:r>
      <w:r w:rsidR="00957CC6">
        <w:t>shift</w:t>
      </w:r>
      <w:r w:rsidR="00F06E49">
        <w:t xml:space="preserve"> in</w:t>
      </w:r>
      <w:r w:rsidR="00957CC6">
        <w:t xml:space="preserve"> household expenditure patterns </w:t>
      </w:r>
      <w:r w:rsidR="00F06E49">
        <w:t xml:space="preserve">also </w:t>
      </w:r>
      <w:r w:rsidR="00957CC6">
        <w:t>support</w:t>
      </w:r>
      <w:r w:rsidR="00512199">
        <w:t>s</w:t>
      </w:r>
      <w:r w:rsidR="00957CC6">
        <w:t xml:space="preserve"> a redirection of </w:t>
      </w:r>
      <w:r w:rsidR="00512199">
        <w:t xml:space="preserve">spending </w:t>
      </w:r>
      <w:r w:rsidR="00072F24">
        <w:t xml:space="preserve">from overseas holidays </w:t>
      </w:r>
      <w:r w:rsidR="00512199">
        <w:t>into housing</w:t>
      </w:r>
      <w:r w:rsidR="00BD47C6">
        <w:t>,</w:t>
      </w:r>
      <w:r w:rsidR="00512199">
        <w:t xml:space="preserve"> which provides a boost </w:t>
      </w:r>
      <w:r w:rsidR="00072F24">
        <w:t xml:space="preserve">to transfer duty and land tax collections. </w:t>
      </w:r>
      <w:r w:rsidR="00E6308F">
        <w:t>Other tax revenue is lower</w:t>
      </w:r>
      <w:r w:rsidR="00BD47C6">
        <w:t>,</w:t>
      </w:r>
      <w:r w:rsidR="00E6308F">
        <w:t xml:space="preserve"> with </w:t>
      </w:r>
      <w:r w:rsidR="00B168EB">
        <w:t xml:space="preserve">falls in </w:t>
      </w:r>
      <w:r w:rsidR="00A25B6D">
        <w:t xml:space="preserve">gambling and </w:t>
      </w:r>
      <w:r w:rsidR="00B168EB">
        <w:t xml:space="preserve">motor vehicle </w:t>
      </w:r>
      <w:r w:rsidR="00A25B6D">
        <w:t xml:space="preserve">taxes reflecting </w:t>
      </w:r>
      <w:r w:rsidR="00B168EB">
        <w:t>the decline in household consumption</w:t>
      </w:r>
      <w:r w:rsidR="00F6151B">
        <w:t xml:space="preserve"> and population</w:t>
      </w:r>
      <w:r w:rsidR="00B168EB">
        <w:t>.</w:t>
      </w:r>
    </w:p>
    <w:p w14:paraId="03AE248F" w14:textId="04298A28" w:rsidR="00FA26DB" w:rsidRDefault="00FA26DB" w:rsidP="00FA26DB">
      <w:pPr>
        <w:pStyle w:val="TableFX"/>
      </w:pPr>
      <w:r>
        <w:t xml:space="preserve">The effect of </w:t>
      </w:r>
      <w:r w:rsidR="00633451">
        <w:t xml:space="preserve">a delayed vaccine </w:t>
      </w:r>
      <w:r>
        <w:t>on major revenue parameters</w:t>
      </w:r>
      <w:r w:rsidR="0027348C" w:rsidRPr="0027348C">
        <w:rPr>
          <w:vertAlign w:val="superscript"/>
        </w:rPr>
        <w:t>(a)</w:t>
      </w:r>
    </w:p>
    <w:tbl>
      <w:tblPr>
        <w:tblW w:w="9480" w:type="dxa"/>
        <w:tblLook w:val="04A0" w:firstRow="1" w:lastRow="0" w:firstColumn="1" w:lastColumn="0" w:noHBand="0" w:noVBand="1"/>
        <w:tblCaption w:val="Table F.2: The effect of a delayed vaccine on major revenue parameters(a)"/>
        <w:tblDescription w:val="Table F.2: The effect of a delayed vaccine on major revenue parameters(a)"/>
      </w:tblPr>
      <w:tblGrid>
        <w:gridCol w:w="4520"/>
        <w:gridCol w:w="1240"/>
        <w:gridCol w:w="1240"/>
        <w:gridCol w:w="1240"/>
        <w:gridCol w:w="1240"/>
      </w:tblGrid>
      <w:tr w:rsidR="0029586D" w:rsidRPr="0029586D" w14:paraId="343A8DEF" w14:textId="77777777" w:rsidTr="0029586D">
        <w:trPr>
          <w:trHeight w:val="290"/>
        </w:trPr>
        <w:tc>
          <w:tcPr>
            <w:tcW w:w="4520" w:type="dxa"/>
            <w:tcBorders>
              <w:top w:val="nil"/>
              <w:left w:val="nil"/>
              <w:bottom w:val="nil"/>
              <w:right w:val="nil"/>
            </w:tcBorders>
            <w:shd w:val="clear" w:color="000000" w:fill="008EBA"/>
            <w:noWrap/>
            <w:vAlign w:val="bottom"/>
            <w:hideMark/>
          </w:tcPr>
          <w:p w14:paraId="5432AD54" w14:textId="77777777" w:rsidR="0029586D" w:rsidRPr="0029586D" w:rsidRDefault="0029586D" w:rsidP="0029586D">
            <w:pPr>
              <w:rPr>
                <w:rFonts w:ascii="Arial" w:hAnsi="Arial" w:cs="Arial"/>
                <w:color w:val="FFFFFF"/>
                <w:sz w:val="18"/>
                <w:szCs w:val="18"/>
                <w:lang w:val="en-AU" w:eastAsia="en-AU"/>
              </w:rPr>
            </w:pPr>
            <w:r w:rsidRPr="0029586D">
              <w:rPr>
                <w:rFonts w:ascii="Arial" w:hAnsi="Arial" w:cs="Arial"/>
                <w:color w:val="FFFFFF"/>
                <w:sz w:val="18"/>
                <w:szCs w:val="18"/>
                <w:lang w:val="en-AU" w:eastAsia="en-AU"/>
              </w:rPr>
              <w:t> </w:t>
            </w:r>
          </w:p>
        </w:tc>
        <w:tc>
          <w:tcPr>
            <w:tcW w:w="1240" w:type="dxa"/>
            <w:tcBorders>
              <w:top w:val="nil"/>
              <w:left w:val="nil"/>
              <w:bottom w:val="nil"/>
              <w:right w:val="nil"/>
            </w:tcBorders>
            <w:shd w:val="clear" w:color="000000" w:fill="008EBA"/>
            <w:noWrap/>
            <w:vAlign w:val="bottom"/>
            <w:hideMark/>
          </w:tcPr>
          <w:p w14:paraId="37304888" w14:textId="77777777" w:rsidR="0029586D" w:rsidRPr="0029586D" w:rsidRDefault="0029586D" w:rsidP="0029586D">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2020-21</w:t>
            </w:r>
          </w:p>
        </w:tc>
        <w:tc>
          <w:tcPr>
            <w:tcW w:w="1240" w:type="dxa"/>
            <w:tcBorders>
              <w:top w:val="nil"/>
              <w:left w:val="nil"/>
              <w:bottom w:val="nil"/>
              <w:right w:val="nil"/>
            </w:tcBorders>
            <w:shd w:val="clear" w:color="000000" w:fill="008EBA"/>
            <w:noWrap/>
            <w:vAlign w:val="bottom"/>
            <w:hideMark/>
          </w:tcPr>
          <w:p w14:paraId="525B5B27" w14:textId="77777777" w:rsidR="0029586D" w:rsidRPr="0029586D" w:rsidRDefault="0029586D" w:rsidP="0029586D">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2021-22</w:t>
            </w:r>
          </w:p>
        </w:tc>
        <w:tc>
          <w:tcPr>
            <w:tcW w:w="1240" w:type="dxa"/>
            <w:tcBorders>
              <w:top w:val="nil"/>
              <w:left w:val="nil"/>
              <w:bottom w:val="nil"/>
              <w:right w:val="nil"/>
            </w:tcBorders>
            <w:shd w:val="clear" w:color="000000" w:fill="008EBA"/>
            <w:noWrap/>
            <w:vAlign w:val="bottom"/>
            <w:hideMark/>
          </w:tcPr>
          <w:p w14:paraId="15C4C787" w14:textId="77777777" w:rsidR="0029586D" w:rsidRPr="0029586D" w:rsidRDefault="0029586D" w:rsidP="0029586D">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2022-23</w:t>
            </w:r>
          </w:p>
        </w:tc>
        <w:tc>
          <w:tcPr>
            <w:tcW w:w="1240" w:type="dxa"/>
            <w:tcBorders>
              <w:top w:val="nil"/>
              <w:left w:val="nil"/>
              <w:bottom w:val="nil"/>
              <w:right w:val="nil"/>
            </w:tcBorders>
            <w:shd w:val="clear" w:color="000000" w:fill="008EBA"/>
            <w:noWrap/>
            <w:vAlign w:val="bottom"/>
            <w:hideMark/>
          </w:tcPr>
          <w:p w14:paraId="39275026" w14:textId="77777777" w:rsidR="0029586D" w:rsidRPr="0029586D" w:rsidRDefault="0029586D" w:rsidP="0029586D">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2023-24</w:t>
            </w:r>
          </w:p>
        </w:tc>
      </w:tr>
      <w:tr w:rsidR="0029586D" w:rsidRPr="0029586D" w14:paraId="40E5EF18" w14:textId="77777777" w:rsidTr="0029586D">
        <w:trPr>
          <w:trHeight w:val="240"/>
        </w:trPr>
        <w:tc>
          <w:tcPr>
            <w:tcW w:w="4520" w:type="dxa"/>
            <w:tcBorders>
              <w:top w:val="nil"/>
              <w:left w:val="nil"/>
              <w:bottom w:val="nil"/>
              <w:right w:val="nil"/>
            </w:tcBorders>
            <w:shd w:val="clear" w:color="000000" w:fill="00426F"/>
            <w:noWrap/>
            <w:hideMark/>
          </w:tcPr>
          <w:p w14:paraId="4563D248" w14:textId="77777777" w:rsidR="0029586D" w:rsidRPr="0029586D" w:rsidRDefault="0029586D" w:rsidP="0029586D">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 </w:t>
            </w:r>
          </w:p>
        </w:tc>
        <w:tc>
          <w:tcPr>
            <w:tcW w:w="1240" w:type="dxa"/>
            <w:tcBorders>
              <w:top w:val="nil"/>
              <w:left w:val="nil"/>
              <w:bottom w:val="nil"/>
              <w:right w:val="nil"/>
            </w:tcBorders>
            <w:shd w:val="clear" w:color="000000" w:fill="00426F"/>
            <w:noWrap/>
            <w:hideMark/>
          </w:tcPr>
          <w:p w14:paraId="2186E06F" w14:textId="77777777" w:rsidR="0029586D" w:rsidRPr="0029586D" w:rsidRDefault="0029586D" w:rsidP="0029586D">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c>
          <w:tcPr>
            <w:tcW w:w="1240" w:type="dxa"/>
            <w:tcBorders>
              <w:top w:val="nil"/>
              <w:left w:val="nil"/>
              <w:bottom w:val="nil"/>
              <w:right w:val="nil"/>
            </w:tcBorders>
            <w:shd w:val="clear" w:color="000000" w:fill="00426F"/>
            <w:noWrap/>
            <w:hideMark/>
          </w:tcPr>
          <w:p w14:paraId="4E5CD8B7" w14:textId="77777777" w:rsidR="0029586D" w:rsidRPr="0029586D" w:rsidRDefault="0029586D" w:rsidP="0029586D">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c>
          <w:tcPr>
            <w:tcW w:w="1240" w:type="dxa"/>
            <w:tcBorders>
              <w:top w:val="nil"/>
              <w:left w:val="nil"/>
              <w:bottom w:val="nil"/>
              <w:right w:val="nil"/>
            </w:tcBorders>
            <w:shd w:val="clear" w:color="000000" w:fill="00426F"/>
            <w:noWrap/>
            <w:hideMark/>
          </w:tcPr>
          <w:p w14:paraId="5AF2CEE1" w14:textId="77777777" w:rsidR="0029586D" w:rsidRPr="0029586D" w:rsidRDefault="0029586D" w:rsidP="0029586D">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c>
          <w:tcPr>
            <w:tcW w:w="1240" w:type="dxa"/>
            <w:tcBorders>
              <w:top w:val="nil"/>
              <w:left w:val="nil"/>
              <w:bottom w:val="nil"/>
              <w:right w:val="nil"/>
            </w:tcBorders>
            <w:shd w:val="clear" w:color="000000" w:fill="00426F"/>
            <w:noWrap/>
            <w:hideMark/>
          </w:tcPr>
          <w:p w14:paraId="2FF764E2" w14:textId="77777777" w:rsidR="0029586D" w:rsidRPr="0029586D" w:rsidRDefault="0029586D" w:rsidP="0029586D">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r>
      <w:tr w:rsidR="0029586D" w:rsidRPr="0029586D" w14:paraId="11FE1E52" w14:textId="77777777" w:rsidTr="0029586D">
        <w:trPr>
          <w:trHeight w:val="225"/>
        </w:trPr>
        <w:tc>
          <w:tcPr>
            <w:tcW w:w="4520" w:type="dxa"/>
            <w:tcBorders>
              <w:top w:val="nil"/>
              <w:left w:val="nil"/>
              <w:bottom w:val="nil"/>
              <w:right w:val="nil"/>
            </w:tcBorders>
            <w:shd w:val="clear" w:color="auto" w:fill="auto"/>
            <w:noWrap/>
            <w:vAlign w:val="bottom"/>
            <w:hideMark/>
          </w:tcPr>
          <w:p w14:paraId="50124003" w14:textId="77777777" w:rsidR="0029586D" w:rsidRPr="0029586D" w:rsidRDefault="0029586D" w:rsidP="0029586D">
            <w:pPr>
              <w:ind w:firstLineChars="100" w:firstLine="160"/>
              <w:rPr>
                <w:rFonts w:ascii="Arial" w:hAnsi="Arial" w:cs="Arial"/>
                <w:sz w:val="16"/>
                <w:szCs w:val="16"/>
                <w:lang w:val="en-AU" w:eastAsia="en-AU"/>
              </w:rPr>
            </w:pPr>
            <w:r w:rsidRPr="0029586D">
              <w:rPr>
                <w:rFonts w:ascii="Arial" w:hAnsi="Arial" w:cs="Arial"/>
                <w:sz w:val="16"/>
                <w:szCs w:val="16"/>
                <w:lang w:val="en-AU" w:eastAsia="en-AU"/>
              </w:rPr>
              <w:t>Payroll tax  </w:t>
            </w:r>
          </w:p>
        </w:tc>
        <w:tc>
          <w:tcPr>
            <w:tcW w:w="1240" w:type="dxa"/>
            <w:tcBorders>
              <w:top w:val="nil"/>
              <w:left w:val="nil"/>
              <w:bottom w:val="nil"/>
              <w:right w:val="nil"/>
            </w:tcBorders>
            <w:shd w:val="clear" w:color="auto" w:fill="auto"/>
            <w:noWrap/>
            <w:vAlign w:val="bottom"/>
            <w:hideMark/>
          </w:tcPr>
          <w:p w14:paraId="672E9A30"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 xml:space="preserve">...   </w:t>
            </w:r>
          </w:p>
        </w:tc>
        <w:tc>
          <w:tcPr>
            <w:tcW w:w="1240" w:type="dxa"/>
            <w:tcBorders>
              <w:top w:val="nil"/>
              <w:left w:val="nil"/>
              <w:bottom w:val="nil"/>
              <w:right w:val="nil"/>
            </w:tcBorders>
            <w:shd w:val="clear" w:color="auto" w:fill="auto"/>
            <w:noWrap/>
            <w:vAlign w:val="bottom"/>
            <w:hideMark/>
          </w:tcPr>
          <w:p w14:paraId="01DE213F"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(45)</w:t>
            </w:r>
          </w:p>
        </w:tc>
        <w:tc>
          <w:tcPr>
            <w:tcW w:w="1240" w:type="dxa"/>
            <w:tcBorders>
              <w:top w:val="nil"/>
              <w:left w:val="nil"/>
              <w:bottom w:val="nil"/>
              <w:right w:val="nil"/>
            </w:tcBorders>
            <w:shd w:val="clear" w:color="auto" w:fill="auto"/>
            <w:noWrap/>
            <w:vAlign w:val="bottom"/>
            <w:hideMark/>
          </w:tcPr>
          <w:p w14:paraId="41AE2063"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(274)</w:t>
            </w:r>
          </w:p>
        </w:tc>
        <w:tc>
          <w:tcPr>
            <w:tcW w:w="1240" w:type="dxa"/>
            <w:tcBorders>
              <w:top w:val="nil"/>
              <w:left w:val="nil"/>
              <w:bottom w:val="nil"/>
              <w:right w:val="nil"/>
            </w:tcBorders>
            <w:shd w:val="clear" w:color="auto" w:fill="auto"/>
            <w:noWrap/>
            <w:vAlign w:val="bottom"/>
            <w:hideMark/>
          </w:tcPr>
          <w:p w14:paraId="501D6024"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(185)</w:t>
            </w:r>
          </w:p>
        </w:tc>
      </w:tr>
      <w:tr w:rsidR="0029586D" w:rsidRPr="0029586D" w14:paraId="6233FBF5" w14:textId="77777777" w:rsidTr="0029586D">
        <w:trPr>
          <w:trHeight w:val="225"/>
        </w:trPr>
        <w:tc>
          <w:tcPr>
            <w:tcW w:w="4520" w:type="dxa"/>
            <w:tcBorders>
              <w:top w:val="nil"/>
              <w:left w:val="nil"/>
              <w:bottom w:val="nil"/>
              <w:right w:val="nil"/>
            </w:tcBorders>
            <w:shd w:val="clear" w:color="auto" w:fill="auto"/>
            <w:noWrap/>
            <w:vAlign w:val="bottom"/>
            <w:hideMark/>
          </w:tcPr>
          <w:p w14:paraId="5CDDF013" w14:textId="77777777" w:rsidR="0029586D" w:rsidRPr="0029586D" w:rsidRDefault="0029586D" w:rsidP="0029586D">
            <w:pPr>
              <w:ind w:firstLineChars="100" w:firstLine="160"/>
              <w:rPr>
                <w:rFonts w:ascii="Arial" w:hAnsi="Arial" w:cs="Arial"/>
                <w:sz w:val="16"/>
                <w:szCs w:val="16"/>
                <w:lang w:val="en-AU" w:eastAsia="en-AU"/>
              </w:rPr>
            </w:pPr>
            <w:r w:rsidRPr="0029586D">
              <w:rPr>
                <w:rFonts w:ascii="Arial" w:hAnsi="Arial" w:cs="Arial"/>
                <w:sz w:val="16"/>
                <w:szCs w:val="16"/>
                <w:lang w:val="en-AU" w:eastAsia="en-AU"/>
              </w:rPr>
              <w:t>Transfer duty  </w:t>
            </w:r>
          </w:p>
        </w:tc>
        <w:tc>
          <w:tcPr>
            <w:tcW w:w="1240" w:type="dxa"/>
            <w:tcBorders>
              <w:top w:val="nil"/>
              <w:left w:val="nil"/>
              <w:bottom w:val="nil"/>
              <w:right w:val="nil"/>
            </w:tcBorders>
            <w:shd w:val="clear" w:color="auto" w:fill="auto"/>
            <w:noWrap/>
            <w:vAlign w:val="bottom"/>
            <w:hideMark/>
          </w:tcPr>
          <w:p w14:paraId="49500343"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 xml:space="preserve">...   </w:t>
            </w:r>
          </w:p>
        </w:tc>
        <w:tc>
          <w:tcPr>
            <w:tcW w:w="1240" w:type="dxa"/>
            <w:tcBorders>
              <w:top w:val="nil"/>
              <w:left w:val="nil"/>
              <w:bottom w:val="nil"/>
              <w:right w:val="nil"/>
            </w:tcBorders>
            <w:shd w:val="clear" w:color="auto" w:fill="auto"/>
            <w:noWrap/>
            <w:vAlign w:val="bottom"/>
            <w:hideMark/>
          </w:tcPr>
          <w:p w14:paraId="1D99EC92"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92</w:t>
            </w:r>
          </w:p>
        </w:tc>
        <w:tc>
          <w:tcPr>
            <w:tcW w:w="1240" w:type="dxa"/>
            <w:tcBorders>
              <w:top w:val="nil"/>
              <w:left w:val="nil"/>
              <w:bottom w:val="nil"/>
              <w:right w:val="nil"/>
            </w:tcBorders>
            <w:shd w:val="clear" w:color="auto" w:fill="auto"/>
            <w:noWrap/>
            <w:vAlign w:val="bottom"/>
            <w:hideMark/>
          </w:tcPr>
          <w:p w14:paraId="35155E9A"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89</w:t>
            </w:r>
          </w:p>
        </w:tc>
        <w:tc>
          <w:tcPr>
            <w:tcW w:w="1240" w:type="dxa"/>
            <w:tcBorders>
              <w:top w:val="nil"/>
              <w:left w:val="nil"/>
              <w:bottom w:val="nil"/>
              <w:right w:val="nil"/>
            </w:tcBorders>
            <w:shd w:val="clear" w:color="auto" w:fill="auto"/>
            <w:noWrap/>
            <w:vAlign w:val="bottom"/>
            <w:hideMark/>
          </w:tcPr>
          <w:p w14:paraId="0FDB1151"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(90)</w:t>
            </w:r>
          </w:p>
        </w:tc>
      </w:tr>
      <w:tr w:rsidR="0029586D" w:rsidRPr="0029586D" w14:paraId="2DCAD9A3" w14:textId="77777777" w:rsidTr="0029586D">
        <w:trPr>
          <w:trHeight w:val="225"/>
        </w:trPr>
        <w:tc>
          <w:tcPr>
            <w:tcW w:w="4520" w:type="dxa"/>
            <w:tcBorders>
              <w:top w:val="nil"/>
              <w:left w:val="nil"/>
              <w:bottom w:val="nil"/>
              <w:right w:val="nil"/>
            </w:tcBorders>
            <w:shd w:val="clear" w:color="auto" w:fill="auto"/>
            <w:noWrap/>
            <w:vAlign w:val="bottom"/>
            <w:hideMark/>
          </w:tcPr>
          <w:p w14:paraId="7F55D44B" w14:textId="77777777" w:rsidR="0029586D" w:rsidRPr="0029586D" w:rsidRDefault="0029586D" w:rsidP="0029586D">
            <w:pPr>
              <w:ind w:firstLineChars="100" w:firstLine="160"/>
              <w:rPr>
                <w:rFonts w:ascii="Arial" w:hAnsi="Arial" w:cs="Arial"/>
                <w:sz w:val="16"/>
                <w:szCs w:val="16"/>
                <w:lang w:val="en-AU" w:eastAsia="en-AU"/>
              </w:rPr>
            </w:pPr>
            <w:r w:rsidRPr="0029586D">
              <w:rPr>
                <w:rFonts w:ascii="Arial" w:hAnsi="Arial" w:cs="Arial"/>
                <w:sz w:val="16"/>
                <w:szCs w:val="16"/>
                <w:lang w:val="en-AU" w:eastAsia="en-AU"/>
              </w:rPr>
              <w:t>Land tax  </w:t>
            </w:r>
          </w:p>
        </w:tc>
        <w:tc>
          <w:tcPr>
            <w:tcW w:w="1240" w:type="dxa"/>
            <w:tcBorders>
              <w:top w:val="nil"/>
              <w:left w:val="nil"/>
              <w:bottom w:val="nil"/>
              <w:right w:val="nil"/>
            </w:tcBorders>
            <w:shd w:val="clear" w:color="auto" w:fill="auto"/>
            <w:noWrap/>
            <w:vAlign w:val="bottom"/>
            <w:hideMark/>
          </w:tcPr>
          <w:p w14:paraId="1ABE4FD6"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 xml:space="preserve">...   </w:t>
            </w:r>
          </w:p>
        </w:tc>
        <w:tc>
          <w:tcPr>
            <w:tcW w:w="1240" w:type="dxa"/>
            <w:tcBorders>
              <w:top w:val="nil"/>
              <w:left w:val="nil"/>
              <w:bottom w:val="nil"/>
              <w:right w:val="nil"/>
            </w:tcBorders>
            <w:shd w:val="clear" w:color="auto" w:fill="auto"/>
            <w:noWrap/>
            <w:vAlign w:val="bottom"/>
            <w:hideMark/>
          </w:tcPr>
          <w:p w14:paraId="120991B2"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0</w:t>
            </w:r>
          </w:p>
        </w:tc>
        <w:tc>
          <w:tcPr>
            <w:tcW w:w="1240" w:type="dxa"/>
            <w:tcBorders>
              <w:top w:val="nil"/>
              <w:left w:val="nil"/>
              <w:bottom w:val="nil"/>
              <w:right w:val="nil"/>
            </w:tcBorders>
            <w:shd w:val="clear" w:color="auto" w:fill="auto"/>
            <w:noWrap/>
            <w:vAlign w:val="bottom"/>
            <w:hideMark/>
          </w:tcPr>
          <w:p w14:paraId="1427220C"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0</w:t>
            </w:r>
          </w:p>
        </w:tc>
        <w:tc>
          <w:tcPr>
            <w:tcW w:w="1240" w:type="dxa"/>
            <w:tcBorders>
              <w:top w:val="nil"/>
              <w:left w:val="nil"/>
              <w:bottom w:val="nil"/>
              <w:right w:val="nil"/>
            </w:tcBorders>
            <w:shd w:val="clear" w:color="auto" w:fill="auto"/>
            <w:noWrap/>
            <w:vAlign w:val="bottom"/>
            <w:hideMark/>
          </w:tcPr>
          <w:p w14:paraId="3C51EBAB"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(1)</w:t>
            </w:r>
          </w:p>
        </w:tc>
      </w:tr>
      <w:tr w:rsidR="0029586D" w:rsidRPr="0029586D" w14:paraId="0872D9AA" w14:textId="77777777" w:rsidTr="0029586D">
        <w:trPr>
          <w:trHeight w:val="225"/>
        </w:trPr>
        <w:tc>
          <w:tcPr>
            <w:tcW w:w="4520" w:type="dxa"/>
            <w:tcBorders>
              <w:top w:val="nil"/>
              <w:left w:val="nil"/>
              <w:bottom w:val="nil"/>
              <w:right w:val="nil"/>
            </w:tcBorders>
            <w:shd w:val="clear" w:color="auto" w:fill="auto"/>
            <w:noWrap/>
            <w:vAlign w:val="bottom"/>
            <w:hideMark/>
          </w:tcPr>
          <w:p w14:paraId="5A0C05E0" w14:textId="77777777" w:rsidR="0029586D" w:rsidRPr="0029586D" w:rsidRDefault="0029586D" w:rsidP="0029586D">
            <w:pPr>
              <w:ind w:firstLineChars="100" w:firstLine="160"/>
              <w:rPr>
                <w:rFonts w:ascii="Arial" w:hAnsi="Arial" w:cs="Arial"/>
                <w:sz w:val="16"/>
                <w:szCs w:val="16"/>
                <w:lang w:val="en-AU" w:eastAsia="en-AU"/>
              </w:rPr>
            </w:pPr>
            <w:r w:rsidRPr="0029586D">
              <w:rPr>
                <w:rFonts w:ascii="Arial" w:hAnsi="Arial" w:cs="Arial"/>
                <w:sz w:val="16"/>
                <w:szCs w:val="16"/>
                <w:lang w:val="en-AU" w:eastAsia="en-AU"/>
              </w:rPr>
              <w:t>Royalties  </w:t>
            </w:r>
          </w:p>
        </w:tc>
        <w:tc>
          <w:tcPr>
            <w:tcW w:w="1240" w:type="dxa"/>
            <w:tcBorders>
              <w:top w:val="nil"/>
              <w:left w:val="nil"/>
              <w:bottom w:val="nil"/>
              <w:right w:val="nil"/>
            </w:tcBorders>
            <w:shd w:val="clear" w:color="auto" w:fill="auto"/>
            <w:noWrap/>
            <w:vAlign w:val="bottom"/>
            <w:hideMark/>
          </w:tcPr>
          <w:p w14:paraId="1A4A3D0A"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 xml:space="preserve">...   </w:t>
            </w:r>
          </w:p>
        </w:tc>
        <w:tc>
          <w:tcPr>
            <w:tcW w:w="1240" w:type="dxa"/>
            <w:tcBorders>
              <w:top w:val="nil"/>
              <w:left w:val="nil"/>
              <w:bottom w:val="nil"/>
              <w:right w:val="nil"/>
            </w:tcBorders>
            <w:shd w:val="clear" w:color="auto" w:fill="auto"/>
            <w:noWrap/>
            <w:vAlign w:val="bottom"/>
            <w:hideMark/>
          </w:tcPr>
          <w:p w14:paraId="2D147A3B"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(16)</w:t>
            </w:r>
          </w:p>
        </w:tc>
        <w:tc>
          <w:tcPr>
            <w:tcW w:w="1240" w:type="dxa"/>
            <w:tcBorders>
              <w:top w:val="nil"/>
              <w:left w:val="nil"/>
              <w:bottom w:val="nil"/>
              <w:right w:val="nil"/>
            </w:tcBorders>
            <w:shd w:val="clear" w:color="auto" w:fill="auto"/>
            <w:noWrap/>
            <w:vAlign w:val="bottom"/>
            <w:hideMark/>
          </w:tcPr>
          <w:p w14:paraId="05A1FBDC"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1</w:t>
            </w:r>
          </w:p>
        </w:tc>
        <w:tc>
          <w:tcPr>
            <w:tcW w:w="1240" w:type="dxa"/>
            <w:tcBorders>
              <w:top w:val="nil"/>
              <w:left w:val="nil"/>
              <w:bottom w:val="nil"/>
              <w:right w:val="nil"/>
            </w:tcBorders>
            <w:shd w:val="clear" w:color="auto" w:fill="auto"/>
            <w:noWrap/>
            <w:vAlign w:val="bottom"/>
            <w:hideMark/>
          </w:tcPr>
          <w:p w14:paraId="3247D2E8"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25</w:t>
            </w:r>
          </w:p>
        </w:tc>
      </w:tr>
      <w:tr w:rsidR="0029586D" w:rsidRPr="0029586D" w14:paraId="4B616F5A" w14:textId="77777777" w:rsidTr="0029586D">
        <w:trPr>
          <w:trHeight w:val="225"/>
        </w:trPr>
        <w:tc>
          <w:tcPr>
            <w:tcW w:w="4520" w:type="dxa"/>
            <w:tcBorders>
              <w:top w:val="nil"/>
              <w:left w:val="nil"/>
              <w:bottom w:val="nil"/>
              <w:right w:val="nil"/>
            </w:tcBorders>
            <w:shd w:val="clear" w:color="auto" w:fill="auto"/>
            <w:noWrap/>
            <w:vAlign w:val="bottom"/>
            <w:hideMark/>
          </w:tcPr>
          <w:p w14:paraId="3914F7E5" w14:textId="77777777" w:rsidR="0029586D" w:rsidRPr="0029586D" w:rsidRDefault="0029586D" w:rsidP="0029586D">
            <w:pPr>
              <w:ind w:firstLineChars="100" w:firstLine="160"/>
              <w:rPr>
                <w:rFonts w:ascii="Arial" w:hAnsi="Arial" w:cs="Arial"/>
                <w:sz w:val="16"/>
                <w:szCs w:val="16"/>
                <w:lang w:val="en-AU" w:eastAsia="en-AU"/>
              </w:rPr>
            </w:pPr>
            <w:r w:rsidRPr="0029586D">
              <w:rPr>
                <w:rFonts w:ascii="Arial" w:hAnsi="Arial" w:cs="Arial"/>
                <w:sz w:val="16"/>
                <w:szCs w:val="16"/>
                <w:lang w:val="en-AU" w:eastAsia="en-AU"/>
              </w:rPr>
              <w:t>Other tax revenue </w:t>
            </w:r>
          </w:p>
        </w:tc>
        <w:tc>
          <w:tcPr>
            <w:tcW w:w="1240" w:type="dxa"/>
            <w:tcBorders>
              <w:top w:val="nil"/>
              <w:left w:val="nil"/>
              <w:bottom w:val="nil"/>
              <w:right w:val="nil"/>
            </w:tcBorders>
            <w:shd w:val="clear" w:color="auto" w:fill="auto"/>
            <w:noWrap/>
            <w:vAlign w:val="bottom"/>
            <w:hideMark/>
          </w:tcPr>
          <w:p w14:paraId="7476DB50"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 xml:space="preserve">...   </w:t>
            </w:r>
          </w:p>
        </w:tc>
        <w:tc>
          <w:tcPr>
            <w:tcW w:w="1240" w:type="dxa"/>
            <w:tcBorders>
              <w:top w:val="nil"/>
              <w:left w:val="nil"/>
              <w:bottom w:val="nil"/>
              <w:right w:val="nil"/>
            </w:tcBorders>
            <w:shd w:val="clear" w:color="auto" w:fill="auto"/>
            <w:noWrap/>
            <w:vAlign w:val="bottom"/>
            <w:hideMark/>
          </w:tcPr>
          <w:p w14:paraId="0EC88513"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21</w:t>
            </w:r>
          </w:p>
        </w:tc>
        <w:tc>
          <w:tcPr>
            <w:tcW w:w="1240" w:type="dxa"/>
            <w:tcBorders>
              <w:top w:val="nil"/>
              <w:left w:val="nil"/>
              <w:bottom w:val="nil"/>
              <w:right w:val="nil"/>
            </w:tcBorders>
            <w:shd w:val="clear" w:color="auto" w:fill="auto"/>
            <w:noWrap/>
            <w:vAlign w:val="bottom"/>
            <w:hideMark/>
          </w:tcPr>
          <w:p w14:paraId="3DA5EADE"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(85)</w:t>
            </w:r>
          </w:p>
        </w:tc>
        <w:tc>
          <w:tcPr>
            <w:tcW w:w="1240" w:type="dxa"/>
            <w:tcBorders>
              <w:top w:val="nil"/>
              <w:left w:val="nil"/>
              <w:bottom w:val="nil"/>
              <w:right w:val="nil"/>
            </w:tcBorders>
            <w:shd w:val="clear" w:color="auto" w:fill="auto"/>
            <w:noWrap/>
            <w:vAlign w:val="bottom"/>
            <w:hideMark/>
          </w:tcPr>
          <w:p w14:paraId="21300CA2"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(174)</w:t>
            </w:r>
          </w:p>
        </w:tc>
      </w:tr>
      <w:tr w:rsidR="0029586D" w:rsidRPr="0029586D" w14:paraId="007BBA3F" w14:textId="77777777" w:rsidTr="0029586D">
        <w:trPr>
          <w:trHeight w:val="225"/>
        </w:trPr>
        <w:tc>
          <w:tcPr>
            <w:tcW w:w="4520" w:type="dxa"/>
            <w:tcBorders>
              <w:top w:val="nil"/>
              <w:left w:val="nil"/>
              <w:bottom w:val="nil"/>
              <w:right w:val="nil"/>
            </w:tcBorders>
            <w:shd w:val="clear" w:color="auto" w:fill="auto"/>
            <w:noWrap/>
            <w:vAlign w:val="bottom"/>
            <w:hideMark/>
          </w:tcPr>
          <w:p w14:paraId="73F9BAFD" w14:textId="77777777" w:rsidR="0029586D" w:rsidRPr="0029586D" w:rsidRDefault="0029586D" w:rsidP="0029586D">
            <w:pPr>
              <w:ind w:firstLineChars="100" w:firstLine="160"/>
              <w:rPr>
                <w:rFonts w:ascii="Arial" w:hAnsi="Arial" w:cs="Arial"/>
                <w:sz w:val="16"/>
                <w:szCs w:val="16"/>
                <w:lang w:val="en-AU" w:eastAsia="en-AU"/>
              </w:rPr>
            </w:pPr>
            <w:r w:rsidRPr="0029586D">
              <w:rPr>
                <w:rFonts w:ascii="Arial" w:hAnsi="Arial" w:cs="Arial"/>
                <w:sz w:val="16"/>
                <w:szCs w:val="16"/>
                <w:lang w:val="en-AU" w:eastAsia="en-AU"/>
              </w:rPr>
              <w:t>GST revenue  </w:t>
            </w:r>
          </w:p>
        </w:tc>
        <w:tc>
          <w:tcPr>
            <w:tcW w:w="1240" w:type="dxa"/>
            <w:tcBorders>
              <w:top w:val="nil"/>
              <w:left w:val="nil"/>
              <w:bottom w:val="nil"/>
              <w:right w:val="nil"/>
            </w:tcBorders>
            <w:shd w:val="clear" w:color="auto" w:fill="auto"/>
            <w:noWrap/>
            <w:vAlign w:val="bottom"/>
            <w:hideMark/>
          </w:tcPr>
          <w:p w14:paraId="4E87804F"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 xml:space="preserve">...   </w:t>
            </w:r>
          </w:p>
        </w:tc>
        <w:tc>
          <w:tcPr>
            <w:tcW w:w="1240" w:type="dxa"/>
            <w:tcBorders>
              <w:top w:val="nil"/>
              <w:left w:val="nil"/>
              <w:bottom w:val="nil"/>
              <w:right w:val="nil"/>
            </w:tcBorders>
            <w:shd w:val="clear" w:color="auto" w:fill="auto"/>
            <w:noWrap/>
            <w:vAlign w:val="bottom"/>
            <w:hideMark/>
          </w:tcPr>
          <w:p w14:paraId="3F522F0A"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(76)</w:t>
            </w:r>
          </w:p>
        </w:tc>
        <w:tc>
          <w:tcPr>
            <w:tcW w:w="1240" w:type="dxa"/>
            <w:tcBorders>
              <w:top w:val="nil"/>
              <w:left w:val="nil"/>
              <w:bottom w:val="nil"/>
              <w:right w:val="nil"/>
            </w:tcBorders>
            <w:shd w:val="clear" w:color="auto" w:fill="auto"/>
            <w:noWrap/>
            <w:vAlign w:val="bottom"/>
            <w:hideMark/>
          </w:tcPr>
          <w:p w14:paraId="4EE37264"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(350)</w:t>
            </w:r>
          </w:p>
        </w:tc>
        <w:tc>
          <w:tcPr>
            <w:tcW w:w="1240" w:type="dxa"/>
            <w:tcBorders>
              <w:top w:val="nil"/>
              <w:left w:val="nil"/>
              <w:bottom w:val="nil"/>
              <w:right w:val="nil"/>
            </w:tcBorders>
            <w:shd w:val="clear" w:color="auto" w:fill="auto"/>
            <w:noWrap/>
            <w:vAlign w:val="bottom"/>
            <w:hideMark/>
          </w:tcPr>
          <w:p w14:paraId="06A8456A"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(297)</w:t>
            </w:r>
          </w:p>
        </w:tc>
      </w:tr>
      <w:tr w:rsidR="0029586D" w:rsidRPr="0029586D" w14:paraId="41B94AB2" w14:textId="77777777" w:rsidTr="0029586D">
        <w:trPr>
          <w:trHeight w:val="225"/>
        </w:trPr>
        <w:tc>
          <w:tcPr>
            <w:tcW w:w="4520" w:type="dxa"/>
            <w:tcBorders>
              <w:top w:val="nil"/>
              <w:left w:val="nil"/>
              <w:bottom w:val="nil"/>
              <w:right w:val="nil"/>
            </w:tcBorders>
            <w:shd w:val="clear" w:color="auto" w:fill="auto"/>
            <w:noWrap/>
            <w:vAlign w:val="bottom"/>
            <w:hideMark/>
          </w:tcPr>
          <w:p w14:paraId="25A4A1FC" w14:textId="77777777" w:rsidR="0029586D" w:rsidRPr="0029586D" w:rsidRDefault="0029586D" w:rsidP="0029586D">
            <w:pPr>
              <w:ind w:firstLineChars="100" w:firstLine="160"/>
              <w:rPr>
                <w:rFonts w:ascii="Arial" w:hAnsi="Arial" w:cs="Arial"/>
                <w:sz w:val="16"/>
                <w:szCs w:val="16"/>
                <w:lang w:val="en-AU" w:eastAsia="en-AU"/>
              </w:rPr>
            </w:pPr>
            <w:r w:rsidRPr="0029586D">
              <w:rPr>
                <w:rFonts w:ascii="Arial" w:hAnsi="Arial" w:cs="Arial"/>
                <w:sz w:val="16"/>
                <w:szCs w:val="16"/>
                <w:lang w:val="en-AU" w:eastAsia="en-AU"/>
              </w:rPr>
              <w:t>Sale of goods and services</w:t>
            </w:r>
          </w:p>
        </w:tc>
        <w:tc>
          <w:tcPr>
            <w:tcW w:w="1240" w:type="dxa"/>
            <w:tcBorders>
              <w:top w:val="nil"/>
              <w:left w:val="nil"/>
              <w:bottom w:val="nil"/>
              <w:right w:val="nil"/>
            </w:tcBorders>
            <w:shd w:val="clear" w:color="auto" w:fill="auto"/>
            <w:noWrap/>
            <w:vAlign w:val="bottom"/>
            <w:hideMark/>
          </w:tcPr>
          <w:p w14:paraId="37E702A3"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 xml:space="preserve">...   </w:t>
            </w:r>
          </w:p>
        </w:tc>
        <w:tc>
          <w:tcPr>
            <w:tcW w:w="1240" w:type="dxa"/>
            <w:tcBorders>
              <w:top w:val="nil"/>
              <w:left w:val="nil"/>
              <w:bottom w:val="nil"/>
              <w:right w:val="nil"/>
            </w:tcBorders>
            <w:shd w:val="clear" w:color="auto" w:fill="auto"/>
            <w:noWrap/>
            <w:vAlign w:val="bottom"/>
            <w:hideMark/>
          </w:tcPr>
          <w:p w14:paraId="345CEE23"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(3)</w:t>
            </w:r>
          </w:p>
        </w:tc>
        <w:tc>
          <w:tcPr>
            <w:tcW w:w="1240" w:type="dxa"/>
            <w:tcBorders>
              <w:top w:val="nil"/>
              <w:left w:val="nil"/>
              <w:bottom w:val="nil"/>
              <w:right w:val="nil"/>
            </w:tcBorders>
            <w:shd w:val="clear" w:color="auto" w:fill="auto"/>
            <w:noWrap/>
            <w:vAlign w:val="bottom"/>
            <w:hideMark/>
          </w:tcPr>
          <w:p w14:paraId="6C287873"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(91)</w:t>
            </w:r>
          </w:p>
        </w:tc>
        <w:tc>
          <w:tcPr>
            <w:tcW w:w="1240" w:type="dxa"/>
            <w:tcBorders>
              <w:top w:val="nil"/>
              <w:left w:val="nil"/>
              <w:bottom w:val="nil"/>
              <w:right w:val="nil"/>
            </w:tcBorders>
            <w:shd w:val="clear" w:color="auto" w:fill="auto"/>
            <w:noWrap/>
            <w:vAlign w:val="bottom"/>
            <w:hideMark/>
          </w:tcPr>
          <w:p w14:paraId="67A1B568"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(253)</w:t>
            </w:r>
          </w:p>
        </w:tc>
      </w:tr>
      <w:tr w:rsidR="0029586D" w:rsidRPr="0029586D" w14:paraId="46CCE79E" w14:textId="77777777" w:rsidTr="00BC3EA9">
        <w:trPr>
          <w:trHeight w:val="225"/>
        </w:trPr>
        <w:tc>
          <w:tcPr>
            <w:tcW w:w="4520" w:type="dxa"/>
            <w:tcBorders>
              <w:top w:val="nil"/>
              <w:left w:val="nil"/>
              <w:right w:val="nil"/>
            </w:tcBorders>
            <w:shd w:val="clear" w:color="auto" w:fill="auto"/>
            <w:noWrap/>
            <w:vAlign w:val="bottom"/>
            <w:hideMark/>
          </w:tcPr>
          <w:p w14:paraId="7C73686D" w14:textId="77777777" w:rsidR="0029586D" w:rsidRPr="0029586D" w:rsidRDefault="0029586D" w:rsidP="0029586D">
            <w:pPr>
              <w:ind w:firstLineChars="100" w:firstLine="160"/>
              <w:rPr>
                <w:rFonts w:ascii="Arial" w:hAnsi="Arial" w:cs="Arial"/>
                <w:sz w:val="16"/>
                <w:szCs w:val="16"/>
                <w:lang w:val="en-AU" w:eastAsia="en-AU"/>
              </w:rPr>
            </w:pPr>
            <w:r w:rsidRPr="0029586D">
              <w:rPr>
                <w:rFonts w:ascii="Arial" w:hAnsi="Arial" w:cs="Arial"/>
                <w:sz w:val="16"/>
                <w:szCs w:val="16"/>
                <w:lang w:val="en-AU" w:eastAsia="en-AU"/>
              </w:rPr>
              <w:t>Other revenue  </w:t>
            </w:r>
          </w:p>
        </w:tc>
        <w:tc>
          <w:tcPr>
            <w:tcW w:w="1240" w:type="dxa"/>
            <w:tcBorders>
              <w:top w:val="nil"/>
              <w:left w:val="nil"/>
              <w:right w:val="nil"/>
            </w:tcBorders>
            <w:shd w:val="clear" w:color="auto" w:fill="auto"/>
            <w:noWrap/>
            <w:vAlign w:val="bottom"/>
            <w:hideMark/>
          </w:tcPr>
          <w:p w14:paraId="727A0EA9"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 xml:space="preserve">...   </w:t>
            </w:r>
          </w:p>
        </w:tc>
        <w:tc>
          <w:tcPr>
            <w:tcW w:w="1240" w:type="dxa"/>
            <w:tcBorders>
              <w:top w:val="nil"/>
              <w:left w:val="nil"/>
              <w:right w:val="nil"/>
            </w:tcBorders>
            <w:shd w:val="clear" w:color="auto" w:fill="auto"/>
            <w:noWrap/>
            <w:vAlign w:val="bottom"/>
            <w:hideMark/>
          </w:tcPr>
          <w:p w14:paraId="4F916D58"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(9)</w:t>
            </w:r>
          </w:p>
        </w:tc>
        <w:tc>
          <w:tcPr>
            <w:tcW w:w="1240" w:type="dxa"/>
            <w:tcBorders>
              <w:top w:val="nil"/>
              <w:left w:val="nil"/>
              <w:right w:val="nil"/>
            </w:tcBorders>
            <w:shd w:val="clear" w:color="auto" w:fill="auto"/>
            <w:noWrap/>
            <w:vAlign w:val="bottom"/>
            <w:hideMark/>
          </w:tcPr>
          <w:p w14:paraId="191C9DDD"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(150)</w:t>
            </w:r>
          </w:p>
        </w:tc>
        <w:tc>
          <w:tcPr>
            <w:tcW w:w="1240" w:type="dxa"/>
            <w:tcBorders>
              <w:top w:val="nil"/>
              <w:left w:val="nil"/>
              <w:right w:val="nil"/>
            </w:tcBorders>
            <w:shd w:val="clear" w:color="auto" w:fill="auto"/>
            <w:noWrap/>
            <w:vAlign w:val="bottom"/>
            <w:hideMark/>
          </w:tcPr>
          <w:p w14:paraId="79E0F967"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(157)</w:t>
            </w:r>
          </w:p>
        </w:tc>
      </w:tr>
      <w:tr w:rsidR="0029586D" w:rsidRPr="0029586D" w14:paraId="0DD5D4DC" w14:textId="77777777" w:rsidTr="00BC3EA9">
        <w:trPr>
          <w:trHeight w:val="283"/>
        </w:trPr>
        <w:tc>
          <w:tcPr>
            <w:tcW w:w="4520" w:type="dxa"/>
            <w:tcBorders>
              <w:top w:val="nil"/>
              <w:left w:val="nil"/>
              <w:bottom w:val="single" w:sz="4" w:space="0" w:color="auto"/>
              <w:right w:val="nil"/>
            </w:tcBorders>
            <w:shd w:val="clear" w:color="auto" w:fill="auto"/>
            <w:noWrap/>
            <w:vAlign w:val="bottom"/>
            <w:hideMark/>
          </w:tcPr>
          <w:p w14:paraId="3DDE7456" w14:textId="77777777" w:rsidR="0029586D" w:rsidRPr="0029586D" w:rsidRDefault="0029586D" w:rsidP="0029586D">
            <w:pPr>
              <w:ind w:firstLineChars="100" w:firstLine="160"/>
              <w:rPr>
                <w:rFonts w:ascii="Arial" w:hAnsi="Arial" w:cs="Arial"/>
                <w:sz w:val="16"/>
                <w:szCs w:val="16"/>
                <w:lang w:val="en-AU" w:eastAsia="en-AU"/>
              </w:rPr>
            </w:pPr>
            <w:r w:rsidRPr="0029586D">
              <w:rPr>
                <w:rFonts w:ascii="Arial" w:hAnsi="Arial" w:cs="Arial"/>
                <w:sz w:val="16"/>
                <w:szCs w:val="16"/>
                <w:lang w:val="en-AU" w:eastAsia="en-AU"/>
              </w:rPr>
              <w:t>Total revenue </w:t>
            </w:r>
          </w:p>
        </w:tc>
        <w:tc>
          <w:tcPr>
            <w:tcW w:w="1240" w:type="dxa"/>
            <w:tcBorders>
              <w:top w:val="nil"/>
              <w:left w:val="nil"/>
              <w:bottom w:val="single" w:sz="4" w:space="0" w:color="auto"/>
              <w:right w:val="nil"/>
            </w:tcBorders>
            <w:shd w:val="clear" w:color="auto" w:fill="auto"/>
            <w:noWrap/>
            <w:vAlign w:val="bottom"/>
            <w:hideMark/>
          </w:tcPr>
          <w:p w14:paraId="1A21DC37"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 xml:space="preserve">...   </w:t>
            </w:r>
          </w:p>
        </w:tc>
        <w:tc>
          <w:tcPr>
            <w:tcW w:w="1240" w:type="dxa"/>
            <w:tcBorders>
              <w:top w:val="nil"/>
              <w:left w:val="nil"/>
              <w:bottom w:val="single" w:sz="4" w:space="0" w:color="auto"/>
              <w:right w:val="nil"/>
            </w:tcBorders>
            <w:shd w:val="clear" w:color="auto" w:fill="auto"/>
            <w:noWrap/>
            <w:vAlign w:val="bottom"/>
            <w:hideMark/>
          </w:tcPr>
          <w:p w14:paraId="2009DCB6"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(34)</w:t>
            </w:r>
          </w:p>
        </w:tc>
        <w:tc>
          <w:tcPr>
            <w:tcW w:w="1240" w:type="dxa"/>
            <w:tcBorders>
              <w:top w:val="nil"/>
              <w:left w:val="nil"/>
              <w:bottom w:val="single" w:sz="4" w:space="0" w:color="auto"/>
              <w:right w:val="nil"/>
            </w:tcBorders>
            <w:shd w:val="clear" w:color="auto" w:fill="auto"/>
            <w:noWrap/>
            <w:vAlign w:val="bottom"/>
            <w:hideMark/>
          </w:tcPr>
          <w:p w14:paraId="3564E478"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(859)</w:t>
            </w:r>
          </w:p>
        </w:tc>
        <w:tc>
          <w:tcPr>
            <w:tcW w:w="1240" w:type="dxa"/>
            <w:tcBorders>
              <w:top w:val="nil"/>
              <w:left w:val="nil"/>
              <w:bottom w:val="single" w:sz="4" w:space="0" w:color="auto"/>
              <w:right w:val="nil"/>
            </w:tcBorders>
            <w:shd w:val="clear" w:color="auto" w:fill="auto"/>
            <w:noWrap/>
            <w:vAlign w:val="bottom"/>
            <w:hideMark/>
          </w:tcPr>
          <w:p w14:paraId="7A9DABD4" w14:textId="77777777" w:rsidR="0029586D" w:rsidRPr="0029586D" w:rsidRDefault="0029586D" w:rsidP="0029586D">
            <w:pPr>
              <w:jc w:val="right"/>
              <w:rPr>
                <w:rFonts w:ascii="Arial" w:hAnsi="Arial" w:cs="Arial"/>
                <w:sz w:val="16"/>
                <w:szCs w:val="16"/>
                <w:lang w:val="en-AU" w:eastAsia="en-AU"/>
              </w:rPr>
            </w:pPr>
            <w:r w:rsidRPr="0029586D">
              <w:rPr>
                <w:rFonts w:ascii="Arial" w:hAnsi="Arial" w:cs="Arial"/>
                <w:sz w:val="16"/>
                <w:szCs w:val="16"/>
                <w:lang w:val="en-AU" w:eastAsia="en-AU"/>
              </w:rPr>
              <w:t>(1,132)</w:t>
            </w:r>
          </w:p>
        </w:tc>
      </w:tr>
    </w:tbl>
    <w:p w14:paraId="20FCE067" w14:textId="1AB40636" w:rsidR="003A6E0C" w:rsidRDefault="003A6E0C" w:rsidP="00135CA7">
      <w:pPr>
        <w:ind w:left="357" w:hanging="357"/>
        <w:rPr>
          <w:rFonts w:ascii="Arial" w:hAnsi="Arial" w:cs="Arial"/>
          <w:sz w:val="6"/>
          <w:szCs w:val="6"/>
        </w:rPr>
      </w:pPr>
    </w:p>
    <w:p w14:paraId="5A01CDE3" w14:textId="7CBFF31D" w:rsidR="00FA26DB" w:rsidRPr="00571AD8" w:rsidRDefault="00FA26DB" w:rsidP="00571AD8">
      <w:pPr>
        <w:pStyle w:val="ListParagraph"/>
        <w:numPr>
          <w:ilvl w:val="0"/>
          <w:numId w:val="32"/>
        </w:numPr>
        <w:ind w:left="357" w:hanging="357"/>
        <w:rPr>
          <w:rFonts w:ascii="Arial" w:hAnsi="Arial" w:cs="Arial"/>
          <w:sz w:val="17"/>
          <w:szCs w:val="17"/>
        </w:rPr>
      </w:pPr>
      <w:r w:rsidRPr="00571AD8">
        <w:rPr>
          <w:rFonts w:ascii="Arial" w:hAnsi="Arial" w:cs="Arial"/>
          <w:sz w:val="17"/>
          <w:szCs w:val="17"/>
        </w:rPr>
        <w:t>Figures reported are the change in the level of each parameter relative to the baseline.</w:t>
      </w:r>
    </w:p>
    <w:p w14:paraId="12445A27" w14:textId="2138E979" w:rsidR="00FA26DB" w:rsidRPr="00135CA7" w:rsidRDefault="00FA26DB" w:rsidP="00654C65">
      <w:pPr>
        <w:pStyle w:val="ChartFX"/>
        <w:numPr>
          <w:ilvl w:val="0"/>
          <w:numId w:val="0"/>
        </w:numPr>
        <w:spacing w:before="60" w:after="0"/>
        <w:rPr>
          <w:color w:val="4F4F4F"/>
          <w:sz w:val="17"/>
          <w:szCs w:val="17"/>
        </w:rPr>
      </w:pPr>
      <w:r w:rsidRPr="00135CA7">
        <w:rPr>
          <w:color w:val="4F4F4F"/>
          <w:sz w:val="17"/>
          <w:szCs w:val="17"/>
        </w:rPr>
        <w:t xml:space="preserve">Source: </w:t>
      </w:r>
      <w:proofErr w:type="spellStart"/>
      <w:r w:rsidR="008F7F26" w:rsidRPr="00135CA7">
        <w:rPr>
          <w:color w:val="4F4F4F"/>
          <w:sz w:val="17"/>
          <w:szCs w:val="17"/>
        </w:rPr>
        <w:t>C</w:t>
      </w:r>
      <w:r w:rsidR="005322F7" w:rsidRPr="00135CA7">
        <w:rPr>
          <w:color w:val="4F4F4F"/>
          <w:sz w:val="17"/>
          <w:szCs w:val="17"/>
        </w:rPr>
        <w:t>o</w:t>
      </w:r>
      <w:r w:rsidR="008F7F26" w:rsidRPr="00135CA7">
        <w:rPr>
          <w:color w:val="4F4F4F"/>
          <w:sz w:val="17"/>
          <w:szCs w:val="17"/>
        </w:rPr>
        <w:t>PS</w:t>
      </w:r>
      <w:proofErr w:type="spellEnd"/>
      <w:r w:rsidRPr="00135CA7">
        <w:rPr>
          <w:color w:val="4F4F4F"/>
          <w:sz w:val="17"/>
          <w:szCs w:val="17"/>
        </w:rPr>
        <w:t>, Victoria University and NSW Treasury</w:t>
      </w:r>
    </w:p>
    <w:p w14:paraId="08B8B077" w14:textId="2FE0361F" w:rsidR="00654C65" w:rsidRDefault="00654C65" w:rsidP="005B0E20">
      <w:pPr>
        <w:rPr>
          <w:rFonts w:eastAsia="Arial Unicode MS"/>
          <w:lang w:val="en-AU"/>
        </w:rPr>
      </w:pPr>
    </w:p>
    <w:sectPr w:rsidR="00654C65" w:rsidSect="003D1E4C">
      <w:headerReference w:type="even" r:id="rId14"/>
      <w:headerReference w:type="default" r:id="rId15"/>
      <w:footerReference w:type="even" r:id="rId16"/>
      <w:footerReference w:type="default" r:id="rId17"/>
      <w:footerReference w:type="first" r:id="rId18"/>
      <w:pgSz w:w="11906" w:h="16838" w:code="9"/>
      <w:pgMar w:top="992"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B88AE" w14:textId="77777777" w:rsidR="00541AE9" w:rsidRDefault="00541AE9" w:rsidP="0053757D">
      <w:r>
        <w:separator/>
      </w:r>
    </w:p>
  </w:endnote>
  <w:endnote w:type="continuationSeparator" w:id="0">
    <w:p w14:paraId="6FE22B07" w14:textId="77777777" w:rsidR="00541AE9" w:rsidRDefault="00541AE9" w:rsidP="0053757D">
      <w:r>
        <w:continuationSeparator/>
      </w:r>
    </w:p>
  </w:endnote>
  <w:endnote w:type="continuationNotice" w:id="1">
    <w:p w14:paraId="680BE1FF" w14:textId="77777777" w:rsidR="00541AE9" w:rsidRDefault="00541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ellGothic BT">
    <w:altName w:val="Arial Narrow"/>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
    <w:altName w:val="Times New Roman"/>
    <w:panose1 w:val="00000000000000000000"/>
    <w:charset w:val="00"/>
    <w:family w:val="roman"/>
    <w:notTrueType/>
    <w:pitch w:val="default"/>
  </w:font>
  <w:font w:name="Gotham Narrow Light">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19E4" w14:textId="373F8B42" w:rsidR="00181A01" w:rsidRDefault="00654C65" w:rsidP="002146B5">
    <w:pPr>
      <w:pStyle w:val="Footer"/>
      <w:tabs>
        <w:tab w:val="clear" w:pos="9072"/>
        <w:tab w:val="right" w:pos="9638"/>
      </w:tabs>
      <w:rPr>
        <w:rFonts w:ascii="Arial" w:hAnsi="Arial" w:cs="Arial"/>
        <w:szCs w:val="18"/>
      </w:rPr>
    </w:pPr>
    <w:r>
      <w:rPr>
        <w:rFonts w:ascii="Arial" w:hAnsi="Arial" w:cs="Arial"/>
        <w:szCs w:val="16"/>
      </w:rPr>
      <w:t>F</w:t>
    </w:r>
    <w:r w:rsidR="005F787D" w:rsidRPr="00C34942">
      <w:rPr>
        <w:rFonts w:ascii="Arial" w:hAnsi="Arial" w:cs="Arial"/>
        <w:szCs w:val="16"/>
      </w:rPr>
      <w:t xml:space="preserve"> - </w:t>
    </w:r>
    <w:r w:rsidR="005F787D" w:rsidRPr="00A442BA">
      <w:rPr>
        <w:rFonts w:ascii="Arial" w:hAnsi="Arial" w:cs="Arial"/>
        <w:color w:val="2B579A"/>
        <w:szCs w:val="16"/>
      </w:rPr>
      <w:fldChar w:fldCharType="begin"/>
    </w:r>
    <w:r w:rsidR="005F787D" w:rsidRPr="00A442BA">
      <w:rPr>
        <w:rFonts w:ascii="Arial" w:hAnsi="Arial" w:cs="Arial"/>
        <w:szCs w:val="16"/>
      </w:rPr>
      <w:instrText xml:space="preserve"> PAGE  \* MERGEFORMAT </w:instrText>
    </w:r>
    <w:r w:rsidR="005F787D" w:rsidRPr="00A442BA">
      <w:rPr>
        <w:rFonts w:ascii="Arial" w:hAnsi="Arial" w:cs="Arial"/>
        <w:color w:val="2B579A"/>
        <w:szCs w:val="16"/>
      </w:rPr>
      <w:fldChar w:fldCharType="separate"/>
    </w:r>
    <w:r w:rsidR="005F787D" w:rsidRPr="00A442BA">
      <w:rPr>
        <w:rFonts w:ascii="Arial" w:hAnsi="Arial" w:cs="Arial"/>
        <w:noProof/>
        <w:szCs w:val="16"/>
      </w:rPr>
      <w:t>2</w:t>
    </w:r>
    <w:r w:rsidR="005F787D" w:rsidRPr="00A442BA">
      <w:rPr>
        <w:rFonts w:ascii="Arial" w:hAnsi="Arial" w:cs="Arial"/>
        <w:color w:val="2B579A"/>
        <w:szCs w:val="16"/>
      </w:rPr>
      <w:fldChar w:fldCharType="end"/>
    </w:r>
    <w:r w:rsidR="005F787D" w:rsidRPr="00997636">
      <w:rPr>
        <w:rFonts w:ascii="Arial" w:hAnsi="Arial" w:cs="Arial"/>
      </w:rPr>
      <w:tab/>
    </w:r>
    <w:r w:rsidR="005F787D">
      <w:rPr>
        <w:rFonts w:ascii="Arial" w:hAnsi="Arial" w:cs="Arial"/>
        <w:szCs w:val="16"/>
      </w:rPr>
      <w:t xml:space="preserve">Budget Statement </w:t>
    </w:r>
    <w:r w:rsidR="00F107A7">
      <w:rPr>
        <w:rFonts w:ascii="Arial" w:hAnsi="Arial" w:cs="Arial"/>
        <w:szCs w:val="18"/>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AB93" w14:textId="697158C2" w:rsidR="005176AE" w:rsidRDefault="005F787D" w:rsidP="005176AE">
    <w:pPr>
      <w:pStyle w:val="Footer"/>
      <w:tabs>
        <w:tab w:val="clear" w:pos="9072"/>
        <w:tab w:val="right" w:pos="9638"/>
      </w:tabs>
      <w:jc w:val="right"/>
      <w:rPr>
        <w:rFonts w:ascii="Arial" w:hAnsi="Arial" w:cs="Arial"/>
        <w:szCs w:val="16"/>
      </w:rPr>
    </w:pPr>
    <w:r>
      <w:rPr>
        <w:rFonts w:ascii="Arial" w:hAnsi="Arial" w:cs="Arial"/>
        <w:szCs w:val="16"/>
      </w:rPr>
      <w:t xml:space="preserve">Budget Statement </w:t>
    </w:r>
    <w:r w:rsidR="00F107A7">
      <w:rPr>
        <w:rFonts w:ascii="Arial" w:hAnsi="Arial" w:cs="Arial"/>
        <w:szCs w:val="18"/>
      </w:rPr>
      <w:t>2020-21</w:t>
    </w:r>
    <w:r w:rsidR="00654C65">
      <w:rPr>
        <w:rFonts w:ascii="Arial" w:hAnsi="Arial" w:cs="Arial"/>
        <w:szCs w:val="16"/>
      </w:rPr>
      <w:tab/>
      <w:t>F</w:t>
    </w:r>
    <w:r w:rsidR="005176AE" w:rsidRPr="00C34942">
      <w:rPr>
        <w:rFonts w:ascii="Arial" w:hAnsi="Arial" w:cs="Arial"/>
        <w:szCs w:val="16"/>
      </w:rPr>
      <w:t xml:space="preserve"> - </w:t>
    </w:r>
    <w:r w:rsidR="005176AE" w:rsidRPr="00A442BA">
      <w:rPr>
        <w:rFonts w:ascii="Arial" w:hAnsi="Arial" w:cs="Arial"/>
        <w:color w:val="2B579A"/>
        <w:szCs w:val="16"/>
      </w:rPr>
      <w:fldChar w:fldCharType="begin"/>
    </w:r>
    <w:r w:rsidR="005176AE" w:rsidRPr="00A442BA">
      <w:rPr>
        <w:rFonts w:ascii="Arial" w:hAnsi="Arial" w:cs="Arial"/>
        <w:szCs w:val="16"/>
      </w:rPr>
      <w:instrText xml:space="preserve"> PAGE  \* MERGEFORMAT </w:instrText>
    </w:r>
    <w:r w:rsidR="005176AE" w:rsidRPr="00A442BA">
      <w:rPr>
        <w:rFonts w:ascii="Arial" w:hAnsi="Arial" w:cs="Arial"/>
        <w:color w:val="2B579A"/>
        <w:szCs w:val="16"/>
      </w:rPr>
      <w:fldChar w:fldCharType="separate"/>
    </w:r>
    <w:r w:rsidR="005176AE" w:rsidRPr="00A442BA">
      <w:rPr>
        <w:rFonts w:ascii="Arial" w:hAnsi="Arial" w:cs="Arial"/>
        <w:szCs w:val="16"/>
      </w:rPr>
      <w:t>3</w:t>
    </w:r>
    <w:r w:rsidR="005176AE" w:rsidRPr="00A442BA">
      <w:rPr>
        <w:rFonts w:ascii="Arial" w:hAnsi="Arial" w:cs="Arial"/>
        <w:color w:val="2B579A"/>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C8CD" w14:textId="1D18962D" w:rsidR="00997636" w:rsidRDefault="005F787D" w:rsidP="00C34942">
    <w:pPr>
      <w:pStyle w:val="Footer"/>
      <w:tabs>
        <w:tab w:val="clear" w:pos="9072"/>
        <w:tab w:val="right" w:pos="9639"/>
      </w:tabs>
      <w:rPr>
        <w:rFonts w:ascii="Arial" w:hAnsi="Arial" w:cs="Arial"/>
        <w:szCs w:val="16"/>
      </w:rPr>
    </w:pPr>
    <w:r>
      <w:rPr>
        <w:rFonts w:ascii="Arial" w:hAnsi="Arial" w:cs="Arial"/>
        <w:szCs w:val="16"/>
      </w:rPr>
      <w:t xml:space="preserve">Budget Statement </w:t>
    </w:r>
    <w:r w:rsidR="00F107A7">
      <w:rPr>
        <w:rFonts w:ascii="Arial" w:hAnsi="Arial" w:cs="Arial"/>
        <w:szCs w:val="18"/>
      </w:rPr>
      <w:t>2020-21</w:t>
    </w:r>
    <w:r w:rsidRPr="00C34942">
      <w:rPr>
        <w:rFonts w:ascii="Arial" w:hAnsi="Arial" w:cs="Arial"/>
        <w:szCs w:val="16"/>
      </w:rPr>
      <w:tab/>
    </w:r>
    <w:r w:rsidR="00654C65">
      <w:rPr>
        <w:rFonts w:ascii="Arial" w:hAnsi="Arial" w:cs="Arial"/>
        <w:szCs w:val="16"/>
      </w:rPr>
      <w:t>F</w:t>
    </w:r>
    <w:r w:rsidR="00BA41D7">
      <w:rPr>
        <w:rFonts w:ascii="Arial" w:hAnsi="Arial" w:cs="Arial"/>
        <w:szCs w:val="16"/>
      </w:rPr>
      <w:t xml:space="preserve"> - </w:t>
    </w:r>
    <w:r w:rsidR="00BA41D7" w:rsidRPr="00A442BA">
      <w:rPr>
        <w:rFonts w:ascii="Arial" w:hAnsi="Arial" w:cs="Arial"/>
        <w:color w:val="2B579A"/>
        <w:szCs w:val="16"/>
      </w:rPr>
      <w:fldChar w:fldCharType="begin"/>
    </w:r>
    <w:r w:rsidR="00BA41D7" w:rsidRPr="00A442BA">
      <w:rPr>
        <w:rFonts w:ascii="Arial" w:hAnsi="Arial" w:cs="Arial"/>
        <w:szCs w:val="16"/>
      </w:rPr>
      <w:instrText xml:space="preserve"> PAGE  \* MERGEFORMAT </w:instrText>
    </w:r>
    <w:r w:rsidR="00BA41D7" w:rsidRPr="00A442BA">
      <w:rPr>
        <w:rFonts w:ascii="Arial" w:hAnsi="Arial" w:cs="Arial"/>
        <w:color w:val="2B579A"/>
        <w:szCs w:val="16"/>
      </w:rPr>
      <w:fldChar w:fldCharType="separate"/>
    </w:r>
    <w:r w:rsidR="00BA41D7" w:rsidRPr="00A442BA">
      <w:rPr>
        <w:rFonts w:ascii="Arial" w:hAnsi="Arial" w:cs="Arial"/>
        <w:szCs w:val="16"/>
      </w:rPr>
      <w:t>1</w:t>
    </w:r>
    <w:r w:rsidR="00BA41D7" w:rsidRPr="00A442BA">
      <w:rPr>
        <w:rFonts w:ascii="Arial" w:hAnsi="Arial" w:cs="Arial"/>
        <w:color w:val="2B579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635C0" w14:textId="77777777" w:rsidR="00541AE9" w:rsidRDefault="00541AE9" w:rsidP="0053757D">
      <w:r>
        <w:separator/>
      </w:r>
    </w:p>
  </w:footnote>
  <w:footnote w:type="continuationSeparator" w:id="0">
    <w:p w14:paraId="00DEE0E7" w14:textId="77777777" w:rsidR="00541AE9" w:rsidRDefault="00541AE9" w:rsidP="0053757D">
      <w:r>
        <w:continuationSeparator/>
      </w:r>
    </w:p>
  </w:footnote>
  <w:footnote w:type="continuationNotice" w:id="1">
    <w:p w14:paraId="5C2EBBAC" w14:textId="77777777" w:rsidR="00541AE9" w:rsidRDefault="00541AE9"/>
  </w:footnote>
  <w:footnote w:id="2">
    <w:p w14:paraId="7BAC82D5" w14:textId="09C4FF42" w:rsidR="00A22B4B" w:rsidRPr="00E35AB7" w:rsidRDefault="00A22B4B" w:rsidP="00305DA2">
      <w:pPr>
        <w:pStyle w:val="FootnoteText"/>
        <w:ind w:hanging="283"/>
        <w:rPr>
          <w:rFonts w:ascii="Arial" w:hAnsi="Arial" w:cs="Arial"/>
          <w:i w:val="0"/>
          <w:sz w:val="17"/>
          <w:szCs w:val="17"/>
        </w:rPr>
      </w:pPr>
      <w:r w:rsidRPr="00305DA2">
        <w:rPr>
          <w:rStyle w:val="FootnoteReference"/>
          <w:rFonts w:ascii="Arial" w:hAnsi="Arial" w:cs="Arial"/>
          <w:i w:val="0"/>
          <w:sz w:val="17"/>
          <w:szCs w:val="17"/>
        </w:rPr>
        <w:footnoteRef/>
      </w:r>
      <w:r w:rsidRPr="00305DA2">
        <w:rPr>
          <w:rFonts w:ascii="Arial" w:hAnsi="Arial" w:cs="Arial"/>
          <w:i w:val="0"/>
          <w:sz w:val="17"/>
          <w:szCs w:val="17"/>
        </w:rPr>
        <w:t xml:space="preserve"> </w:t>
      </w:r>
      <w:r w:rsidR="00295E6B">
        <w:rPr>
          <w:rFonts w:ascii="Arial" w:hAnsi="Arial" w:cs="Arial"/>
          <w:i w:val="0"/>
          <w:sz w:val="17"/>
          <w:szCs w:val="17"/>
        </w:rPr>
        <w:tab/>
      </w:r>
      <w:r w:rsidRPr="00305DA2">
        <w:rPr>
          <w:rFonts w:ascii="Arial" w:hAnsi="Arial" w:cs="Arial"/>
          <w:i w:val="0"/>
          <w:sz w:val="17"/>
          <w:szCs w:val="17"/>
        </w:rPr>
        <w:t>VURM</w:t>
      </w:r>
      <w:r w:rsidR="00C94B87" w:rsidRPr="00305DA2">
        <w:rPr>
          <w:rFonts w:ascii="Arial" w:hAnsi="Arial" w:cs="Arial"/>
          <w:i w:val="0"/>
          <w:sz w:val="17"/>
          <w:szCs w:val="17"/>
        </w:rPr>
        <w:t>TAX</w:t>
      </w:r>
      <w:r w:rsidRPr="00305DA2">
        <w:rPr>
          <w:rFonts w:ascii="Arial" w:hAnsi="Arial" w:cs="Arial"/>
          <w:i w:val="0"/>
          <w:sz w:val="17"/>
          <w:szCs w:val="17"/>
        </w:rPr>
        <w:t xml:space="preserve"> is a dynamic computable general equilibrium model of Australia’s six states and two territories, with each region modelled as an </w:t>
      </w:r>
      <w:proofErr w:type="gramStart"/>
      <w:r w:rsidRPr="00305DA2">
        <w:rPr>
          <w:rFonts w:ascii="Arial" w:hAnsi="Arial" w:cs="Arial"/>
          <w:i w:val="0"/>
          <w:sz w:val="17"/>
          <w:szCs w:val="17"/>
        </w:rPr>
        <w:t>economy in its own right</w:t>
      </w:r>
      <w:proofErr w:type="gramEnd"/>
      <w:r w:rsidRPr="00305DA2">
        <w:rPr>
          <w:rFonts w:ascii="Arial" w:hAnsi="Arial" w:cs="Arial"/>
          <w:i w:val="0"/>
          <w:sz w:val="17"/>
          <w:szCs w:val="17"/>
        </w:rPr>
        <w:t xml:space="preserve">. See Adams, Philip, Dixon, Janine and Horridge, Mark (2015), ‘The Victoria University Regional Model (VURM): Technical Documentation, Version 1.0’, </w:t>
      </w:r>
      <w:proofErr w:type="spellStart"/>
      <w:r w:rsidRPr="00305DA2">
        <w:rPr>
          <w:rFonts w:ascii="Arial" w:hAnsi="Arial" w:cs="Arial"/>
          <w:i w:val="0"/>
          <w:sz w:val="17"/>
          <w:szCs w:val="17"/>
        </w:rPr>
        <w:t>CoPS</w:t>
      </w:r>
      <w:proofErr w:type="spellEnd"/>
      <w:r w:rsidRPr="00305DA2">
        <w:rPr>
          <w:rFonts w:ascii="Arial" w:hAnsi="Arial" w:cs="Arial"/>
          <w:i w:val="0"/>
          <w:sz w:val="17"/>
          <w:szCs w:val="17"/>
        </w:rPr>
        <w:t>/IMPACT Working Paper Number G-254 for more detail o</w:t>
      </w:r>
      <w:r w:rsidR="009E0DAD" w:rsidRPr="00305DA2">
        <w:rPr>
          <w:rFonts w:ascii="Arial" w:hAnsi="Arial" w:cs="Arial"/>
          <w:i w:val="0"/>
          <w:sz w:val="17"/>
          <w:szCs w:val="17"/>
        </w:rPr>
        <w:t>n</w:t>
      </w:r>
      <w:r w:rsidRPr="00305DA2">
        <w:rPr>
          <w:rFonts w:ascii="Arial" w:hAnsi="Arial" w:cs="Arial"/>
          <w:i w:val="0"/>
          <w:sz w:val="17"/>
          <w:szCs w:val="17"/>
        </w:rPr>
        <w:t xml:space="preserve"> the model</w:t>
      </w:r>
      <w:r w:rsidR="00F22CD3" w:rsidRPr="00305DA2">
        <w:rPr>
          <w:rFonts w:ascii="Arial" w:hAnsi="Arial" w:cs="Arial"/>
          <w:i w:val="0"/>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71C1" w14:textId="44EE2C46" w:rsidR="005F787D" w:rsidRPr="00C34942" w:rsidRDefault="00E31B55" w:rsidP="00181A01">
    <w:pPr>
      <w:pStyle w:val="Header"/>
      <w:pBdr>
        <w:bottom w:val="single" w:sz="4" w:space="4" w:color="auto"/>
      </w:pBdr>
      <w:tabs>
        <w:tab w:val="clear" w:pos="4153"/>
        <w:tab w:val="clear" w:pos="8306"/>
        <w:tab w:val="center" w:pos="4513"/>
        <w:tab w:val="right" w:pos="9026"/>
      </w:tabs>
      <w:spacing w:line="240" w:lineRule="auto"/>
      <w:rPr>
        <w:rFonts w:ascii="Arial" w:eastAsiaTheme="minorHAnsi" w:hAnsi="Arial" w:cs="Arial"/>
        <w:sz w:val="18"/>
        <w:szCs w:val="18"/>
        <w:lang w:val="en-AU"/>
      </w:rPr>
    </w:pPr>
    <w:r>
      <w:rPr>
        <w:rFonts w:ascii="Arial" w:eastAsiaTheme="minorHAnsi" w:hAnsi="Arial" w:cs="Arial"/>
        <w:sz w:val="18"/>
        <w:szCs w:val="18"/>
        <w:lang w:val="en-AU"/>
      </w:rPr>
      <w:t>Economic Scenario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6161" w14:textId="77777777" w:rsidR="00C63FAB" w:rsidRPr="00C34942" w:rsidRDefault="005F787D" w:rsidP="00C63FAB">
    <w:pPr>
      <w:pStyle w:val="Header"/>
      <w:pBdr>
        <w:bottom w:val="single" w:sz="4" w:space="4" w:color="auto"/>
      </w:pBdr>
      <w:tabs>
        <w:tab w:val="clear" w:pos="4153"/>
        <w:tab w:val="clear" w:pos="8306"/>
        <w:tab w:val="center" w:pos="4513"/>
        <w:tab w:val="right" w:pos="9026"/>
      </w:tabs>
      <w:spacing w:line="240" w:lineRule="auto"/>
      <w:jc w:val="right"/>
      <w:rPr>
        <w:rFonts w:ascii="Arial" w:eastAsiaTheme="minorHAnsi" w:hAnsi="Arial" w:cs="Arial"/>
        <w:sz w:val="18"/>
        <w:szCs w:val="18"/>
        <w:lang w:val="en-AU"/>
      </w:rPr>
    </w:pPr>
    <w:r>
      <w:rPr>
        <w:rFonts w:ascii="Arial" w:eastAsiaTheme="minorHAnsi" w:hAnsi="Arial" w:cs="Arial"/>
        <w:sz w:val="18"/>
        <w:szCs w:val="18"/>
        <w:lang w:val="en-AU"/>
      </w:rPr>
      <w:tab/>
    </w:r>
    <w:r>
      <w:rPr>
        <w:rFonts w:ascii="Arial" w:eastAsiaTheme="minorHAnsi" w:hAnsi="Arial" w:cs="Arial"/>
        <w:sz w:val="18"/>
        <w:szCs w:val="18"/>
        <w:lang w:val="en-AU"/>
      </w:rPr>
      <w:tab/>
    </w:r>
    <w:r w:rsidR="00C63FAB">
      <w:rPr>
        <w:rFonts w:ascii="Arial" w:eastAsiaTheme="minorHAnsi" w:hAnsi="Arial" w:cs="Arial"/>
        <w:sz w:val="18"/>
        <w:szCs w:val="18"/>
        <w:lang w:val="en-AU"/>
      </w:rPr>
      <w:t>Economic Scenario Analysis</w:t>
    </w:r>
  </w:p>
  <w:p w14:paraId="7CEA4328" w14:textId="300C6E8B" w:rsidR="005F787D" w:rsidRPr="00C34942" w:rsidRDefault="005F787D" w:rsidP="00135079">
    <w:pPr>
      <w:pStyle w:val="Header"/>
      <w:tabs>
        <w:tab w:val="clear" w:pos="4153"/>
        <w:tab w:val="clear" w:pos="8306"/>
        <w:tab w:val="center" w:pos="4513"/>
        <w:tab w:val="right" w:pos="9026"/>
      </w:tabs>
      <w:spacing w:line="240" w:lineRule="auto"/>
      <w:jc w:val="right"/>
      <w:rPr>
        <w:rFonts w:ascii="Arial" w:eastAsiaTheme="minorHAnsi" w:hAnsi="Arial" w:cs="Arial"/>
        <w:sz w:val="18"/>
        <w:szCs w:val="18"/>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082EFF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AA74D4D0"/>
    <w:lvl w:ilvl="0" w:tplc="8AF45B34">
      <w:start w:val="1"/>
      <w:numFmt w:val="bullet"/>
      <w:pStyle w:val="NormalWeb"/>
      <w:lvlText w:val=""/>
      <w:lvlJc w:val="left"/>
      <w:pPr>
        <w:tabs>
          <w:tab w:val="num" w:pos="643"/>
        </w:tabs>
        <w:ind w:left="643" w:hanging="360"/>
      </w:pPr>
      <w:rPr>
        <w:rFonts w:ascii="Symbol" w:hAnsi="Symbol" w:hint="default"/>
      </w:rPr>
    </w:lvl>
    <w:lvl w:ilvl="1" w:tplc="562AFA8E">
      <w:numFmt w:val="decimal"/>
      <w:lvlText w:val=""/>
      <w:lvlJc w:val="left"/>
    </w:lvl>
    <w:lvl w:ilvl="2" w:tplc="A73C3744">
      <w:numFmt w:val="decimal"/>
      <w:lvlText w:val=""/>
      <w:lvlJc w:val="left"/>
    </w:lvl>
    <w:lvl w:ilvl="3" w:tplc="91804F80">
      <w:numFmt w:val="decimal"/>
      <w:lvlText w:val=""/>
      <w:lvlJc w:val="left"/>
    </w:lvl>
    <w:lvl w:ilvl="4" w:tplc="49001672">
      <w:numFmt w:val="decimal"/>
      <w:lvlText w:val=""/>
      <w:lvlJc w:val="left"/>
    </w:lvl>
    <w:lvl w:ilvl="5" w:tplc="6D281856">
      <w:numFmt w:val="decimal"/>
      <w:lvlText w:val=""/>
      <w:lvlJc w:val="left"/>
    </w:lvl>
    <w:lvl w:ilvl="6" w:tplc="232CD600">
      <w:numFmt w:val="decimal"/>
      <w:lvlText w:val=""/>
      <w:lvlJc w:val="left"/>
    </w:lvl>
    <w:lvl w:ilvl="7" w:tplc="6E482E52">
      <w:numFmt w:val="decimal"/>
      <w:lvlText w:val=""/>
      <w:lvlJc w:val="left"/>
    </w:lvl>
    <w:lvl w:ilvl="8" w:tplc="8D128DC0">
      <w:numFmt w:val="decimal"/>
      <w:lvlText w:val=""/>
      <w:lvlJc w:val="left"/>
    </w:lvl>
  </w:abstractNum>
  <w:abstractNum w:abstractNumId="2" w15:restartNumberingAfterBreak="0">
    <w:nsid w:val="FFFFFF88"/>
    <w:multiLevelType w:val="hybridMultilevel"/>
    <w:tmpl w:val="707A54F6"/>
    <w:lvl w:ilvl="0" w:tplc="3EF82384">
      <w:start w:val="1"/>
      <w:numFmt w:val="decimal"/>
      <w:pStyle w:val="ListNumber"/>
      <w:lvlText w:val="%1."/>
      <w:lvlJc w:val="left"/>
      <w:pPr>
        <w:tabs>
          <w:tab w:val="num" w:pos="360"/>
        </w:tabs>
        <w:ind w:left="360" w:hanging="360"/>
      </w:pPr>
    </w:lvl>
    <w:lvl w:ilvl="1" w:tplc="C7A6DCB4">
      <w:numFmt w:val="decimal"/>
      <w:lvlText w:val=""/>
      <w:lvlJc w:val="left"/>
    </w:lvl>
    <w:lvl w:ilvl="2" w:tplc="82B273B0">
      <w:numFmt w:val="decimal"/>
      <w:lvlText w:val=""/>
      <w:lvlJc w:val="left"/>
    </w:lvl>
    <w:lvl w:ilvl="3" w:tplc="C748888C">
      <w:numFmt w:val="decimal"/>
      <w:lvlText w:val=""/>
      <w:lvlJc w:val="left"/>
    </w:lvl>
    <w:lvl w:ilvl="4" w:tplc="E96A1382">
      <w:numFmt w:val="decimal"/>
      <w:lvlText w:val=""/>
      <w:lvlJc w:val="left"/>
    </w:lvl>
    <w:lvl w:ilvl="5" w:tplc="D24C560E">
      <w:numFmt w:val="decimal"/>
      <w:lvlText w:val=""/>
      <w:lvlJc w:val="left"/>
    </w:lvl>
    <w:lvl w:ilvl="6" w:tplc="E5D00B9E">
      <w:numFmt w:val="decimal"/>
      <w:lvlText w:val=""/>
      <w:lvlJc w:val="left"/>
    </w:lvl>
    <w:lvl w:ilvl="7" w:tplc="2B76A954">
      <w:numFmt w:val="decimal"/>
      <w:lvlText w:val=""/>
      <w:lvlJc w:val="left"/>
    </w:lvl>
    <w:lvl w:ilvl="8" w:tplc="8DD6CA00">
      <w:numFmt w:val="decimal"/>
      <w:lvlText w:val=""/>
      <w:lvlJc w:val="left"/>
    </w:lvl>
  </w:abstractNum>
  <w:abstractNum w:abstractNumId="3" w15:restartNumberingAfterBreak="0">
    <w:nsid w:val="05DE5882"/>
    <w:multiLevelType w:val="hybridMultilevel"/>
    <w:tmpl w:val="022A7A84"/>
    <w:lvl w:ilvl="0" w:tplc="A64C1E30">
      <w:start w:val="1"/>
      <w:numFmt w:val="bullet"/>
      <w:pStyle w:val="Bullet3"/>
      <w:lvlText w:val=""/>
      <w:lvlJc w:val="left"/>
      <w:pPr>
        <w:tabs>
          <w:tab w:val="num" w:pos="1276"/>
        </w:tabs>
        <w:ind w:left="1276" w:hanging="425"/>
      </w:pPr>
      <w:rPr>
        <w:rFonts w:ascii="Symbol" w:hAnsi="Symbol" w:hint="default"/>
        <w:sz w:val="22"/>
      </w:rPr>
    </w:lvl>
    <w:lvl w:ilvl="1" w:tplc="7E8638B8">
      <w:numFmt w:val="decimal"/>
      <w:lvlText w:val=""/>
      <w:lvlJc w:val="left"/>
    </w:lvl>
    <w:lvl w:ilvl="2" w:tplc="321CE3DE">
      <w:numFmt w:val="decimal"/>
      <w:lvlText w:val=""/>
      <w:lvlJc w:val="left"/>
    </w:lvl>
    <w:lvl w:ilvl="3" w:tplc="3FAAB49C">
      <w:numFmt w:val="decimal"/>
      <w:lvlText w:val=""/>
      <w:lvlJc w:val="left"/>
    </w:lvl>
    <w:lvl w:ilvl="4" w:tplc="6E0A0956">
      <w:numFmt w:val="decimal"/>
      <w:lvlText w:val=""/>
      <w:lvlJc w:val="left"/>
    </w:lvl>
    <w:lvl w:ilvl="5" w:tplc="7526C4F4">
      <w:numFmt w:val="decimal"/>
      <w:lvlText w:val=""/>
      <w:lvlJc w:val="left"/>
    </w:lvl>
    <w:lvl w:ilvl="6" w:tplc="59A0C2B6">
      <w:numFmt w:val="decimal"/>
      <w:lvlText w:val=""/>
      <w:lvlJc w:val="left"/>
    </w:lvl>
    <w:lvl w:ilvl="7" w:tplc="7426548A">
      <w:numFmt w:val="decimal"/>
      <w:lvlText w:val=""/>
      <w:lvlJc w:val="left"/>
    </w:lvl>
    <w:lvl w:ilvl="8" w:tplc="B7AA6434">
      <w:numFmt w:val="decimal"/>
      <w:lvlText w:val=""/>
      <w:lvlJc w:val="left"/>
    </w:lvl>
  </w:abstractNum>
  <w:abstractNum w:abstractNumId="4" w15:restartNumberingAfterBreak="0">
    <w:nsid w:val="0B777EDC"/>
    <w:multiLevelType w:val="hybridMultilevel"/>
    <w:tmpl w:val="24309B1C"/>
    <w:lvl w:ilvl="0" w:tplc="22A0D0A6">
      <w:start w:val="1"/>
      <w:numFmt w:val="decimal"/>
      <w:pStyle w:val="Chart5X"/>
      <w:lvlText w:val="Chart 5.%1:"/>
      <w:lvlJc w:val="left"/>
      <w:pPr>
        <w:ind w:left="360" w:hanging="360"/>
      </w:pPr>
      <w:rPr>
        <w:rFonts w:cs="Times New Roman" w:hint="default"/>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A61D21"/>
    <w:multiLevelType w:val="hybridMultilevel"/>
    <w:tmpl w:val="50426C54"/>
    <w:lvl w:ilvl="0" w:tplc="7C80C020">
      <w:start w:val="1"/>
      <w:numFmt w:val="decimal"/>
      <w:pStyle w:val="Table3x"/>
      <w:lvlText w:val="Table 3.%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E4323"/>
    <w:multiLevelType w:val="hybridMultilevel"/>
    <w:tmpl w:val="0DB6566C"/>
    <w:lvl w:ilvl="0" w:tplc="C36A3914">
      <w:start w:val="1"/>
      <w:numFmt w:val="decimal"/>
      <w:pStyle w:val="TableFX"/>
      <w:lvlText w:val="Table F.%1:"/>
      <w:lvlJc w:val="left"/>
      <w:pPr>
        <w:ind w:left="360" w:hanging="360"/>
      </w:pPr>
      <w:rPr>
        <w:rFonts w:ascii="Arial" w:eastAsia="Arial Unicode MS" w:hAnsi="Arial" w:cs="Arial" w:hint="default"/>
        <w:b w:val="0"/>
        <w:i/>
        <w:caps w:val="0"/>
        <w:color w:val="57514D"/>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2AC08A6"/>
    <w:multiLevelType w:val="hybridMultilevel"/>
    <w:tmpl w:val="273A3A4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2C0F13"/>
    <w:multiLevelType w:val="hybridMultilevel"/>
    <w:tmpl w:val="F89AAFDE"/>
    <w:lvl w:ilvl="0" w:tplc="B7A6EE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15:restartNumberingAfterBreak="0">
    <w:nsid w:val="1DAA3D06"/>
    <w:multiLevelType w:val="hybridMultilevel"/>
    <w:tmpl w:val="3BA0D3A0"/>
    <w:lvl w:ilvl="0" w:tplc="52724C64">
      <w:start w:val="1"/>
      <w:numFmt w:val="bullet"/>
      <w:pStyle w:val="Bullet-1stlevel"/>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815FFE"/>
    <w:multiLevelType w:val="hybridMultilevel"/>
    <w:tmpl w:val="E92E1D9E"/>
    <w:lvl w:ilvl="0" w:tplc="DDB4D1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1E7A8E"/>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2E0C34"/>
    <w:multiLevelType w:val="hybridMultilevel"/>
    <w:tmpl w:val="BB540AD0"/>
    <w:styleLink w:val="BulletPoints"/>
    <w:lvl w:ilvl="0" w:tplc="EFDC7390">
      <w:start w:val="1"/>
      <w:numFmt w:val="bullet"/>
      <w:pStyle w:val="BulletPointStyle"/>
      <w:lvlText w:val=""/>
      <w:lvlJc w:val="left"/>
      <w:pPr>
        <w:ind w:left="357" w:hanging="357"/>
      </w:pPr>
      <w:rPr>
        <w:rFonts w:ascii="Wingdings" w:hAnsi="Wingdings" w:hint="default"/>
        <w:color w:val="auto"/>
      </w:rPr>
    </w:lvl>
    <w:lvl w:ilvl="1" w:tplc="B4B41052">
      <w:start w:val="1"/>
      <w:numFmt w:val="bullet"/>
      <w:lvlText w:val="o"/>
      <w:lvlJc w:val="left"/>
      <w:pPr>
        <w:ind w:left="714" w:hanging="357"/>
      </w:pPr>
      <w:rPr>
        <w:rFonts w:ascii="Courier New" w:hAnsi="Courier New" w:hint="default"/>
      </w:rPr>
    </w:lvl>
    <w:lvl w:ilvl="2" w:tplc="9B5EEE9E">
      <w:start w:val="1"/>
      <w:numFmt w:val="bullet"/>
      <w:lvlText w:val=""/>
      <w:lvlJc w:val="left"/>
      <w:pPr>
        <w:ind w:left="1071" w:hanging="357"/>
      </w:pPr>
      <w:rPr>
        <w:rFonts w:ascii="Wingdings" w:hAnsi="Wingdings" w:hint="default"/>
      </w:rPr>
    </w:lvl>
    <w:lvl w:ilvl="3" w:tplc="B1769E5E">
      <w:start w:val="1"/>
      <w:numFmt w:val="bullet"/>
      <w:lvlText w:val=""/>
      <w:lvlJc w:val="left"/>
      <w:pPr>
        <w:ind w:left="1428" w:hanging="357"/>
      </w:pPr>
      <w:rPr>
        <w:rFonts w:ascii="Symbol" w:hAnsi="Symbol" w:hint="default"/>
      </w:rPr>
    </w:lvl>
    <w:lvl w:ilvl="4" w:tplc="0DCCC3D4">
      <w:start w:val="1"/>
      <w:numFmt w:val="bullet"/>
      <w:lvlText w:val="o"/>
      <w:lvlJc w:val="left"/>
      <w:pPr>
        <w:ind w:left="1785" w:hanging="357"/>
      </w:pPr>
      <w:rPr>
        <w:rFonts w:ascii="Courier New" w:hAnsi="Courier New" w:hint="default"/>
      </w:rPr>
    </w:lvl>
    <w:lvl w:ilvl="5" w:tplc="20D61080">
      <w:start w:val="1"/>
      <w:numFmt w:val="bullet"/>
      <w:lvlText w:val=""/>
      <w:lvlJc w:val="left"/>
      <w:pPr>
        <w:ind w:left="2142" w:hanging="357"/>
      </w:pPr>
      <w:rPr>
        <w:rFonts w:ascii="Wingdings" w:hAnsi="Wingdings" w:hint="default"/>
      </w:rPr>
    </w:lvl>
    <w:lvl w:ilvl="6" w:tplc="56B25B8C">
      <w:start w:val="1"/>
      <w:numFmt w:val="bullet"/>
      <w:lvlText w:val=""/>
      <w:lvlJc w:val="left"/>
      <w:pPr>
        <w:ind w:left="2499" w:hanging="357"/>
      </w:pPr>
      <w:rPr>
        <w:rFonts w:ascii="Symbol" w:hAnsi="Symbol" w:hint="default"/>
      </w:rPr>
    </w:lvl>
    <w:lvl w:ilvl="7" w:tplc="7382B6CE">
      <w:start w:val="1"/>
      <w:numFmt w:val="bullet"/>
      <w:lvlText w:val="o"/>
      <w:lvlJc w:val="left"/>
      <w:pPr>
        <w:ind w:left="2856" w:hanging="357"/>
      </w:pPr>
      <w:rPr>
        <w:rFonts w:ascii="Courier New" w:hAnsi="Courier New" w:hint="default"/>
      </w:rPr>
    </w:lvl>
    <w:lvl w:ilvl="8" w:tplc="A358DA68">
      <w:start w:val="1"/>
      <w:numFmt w:val="bullet"/>
      <w:lvlText w:val=""/>
      <w:lvlJc w:val="left"/>
      <w:pPr>
        <w:ind w:left="3213" w:hanging="357"/>
      </w:pPr>
      <w:rPr>
        <w:rFonts w:ascii="Wingdings" w:hAnsi="Wingdings" w:hint="default"/>
      </w:rPr>
    </w:lvl>
  </w:abstractNum>
  <w:abstractNum w:abstractNumId="15"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230D21"/>
    <w:multiLevelType w:val="hybridMultilevel"/>
    <w:tmpl w:val="3B581196"/>
    <w:lvl w:ilvl="0" w:tplc="01989CEC">
      <w:start w:val="1"/>
      <w:numFmt w:val="bullet"/>
      <w:pStyle w:val="Bullet1stlevel"/>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F3B24A9"/>
    <w:multiLevelType w:val="hybridMultilevel"/>
    <w:tmpl w:val="55A402F6"/>
    <w:lvl w:ilvl="0" w:tplc="111C9F6A">
      <w:start w:val="1"/>
      <w:numFmt w:val="decimal"/>
      <w:pStyle w:val="Chart3X"/>
      <w:lvlText w:val="Chart 3.%1:"/>
      <w:lvlJc w:val="left"/>
      <w:pPr>
        <w:ind w:left="2062" w:hanging="360"/>
      </w:pPr>
      <w:rPr>
        <w:rFonts w:ascii="Lucida Sans" w:hAnsi="Lucida Sans" w:hint="default"/>
        <w:b w:val="0"/>
        <w:i w:val="0"/>
        <w:caps w:val="0"/>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331E4E"/>
    <w:multiLevelType w:val="singleLevel"/>
    <w:tmpl w:val="F42CF918"/>
    <w:lvl w:ilvl="0">
      <w:start w:val="1"/>
      <w:numFmt w:val="bullet"/>
      <w:pStyle w:val="Bullet1box"/>
      <w:lvlText w:val=""/>
      <w:lvlJc w:val="left"/>
      <w:pPr>
        <w:tabs>
          <w:tab w:val="num" w:pos="425"/>
        </w:tabs>
        <w:ind w:left="425" w:hanging="425"/>
      </w:pPr>
      <w:rPr>
        <w:rFonts w:ascii="Wingdings" w:hAnsi="Wingdings" w:hint="default"/>
        <w:sz w:val="21"/>
      </w:rPr>
    </w:lvl>
  </w:abstractNum>
  <w:abstractNum w:abstractNumId="20"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030E8"/>
    <w:multiLevelType w:val="hybridMultilevel"/>
    <w:tmpl w:val="BFE2F1D6"/>
    <w:lvl w:ilvl="0" w:tplc="6980E54A">
      <w:start w:val="1"/>
      <w:numFmt w:val="bullet"/>
      <w:pStyle w:val="Bullet1inabox"/>
      <w:lvlText w:val="•"/>
      <w:lvlJc w:val="left"/>
      <w:pPr>
        <w:ind w:left="360" w:hanging="360"/>
      </w:pPr>
      <w:rPr>
        <w:rFonts w:ascii="Arial" w:hAnsi="Arial" w:hint="default"/>
        <w:color w:val="0579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F944FB"/>
    <w:multiLevelType w:val="hybridMultilevel"/>
    <w:tmpl w:val="96863882"/>
    <w:lvl w:ilvl="0" w:tplc="69E4E982">
      <w:start w:val="1"/>
      <w:numFmt w:val="bullet"/>
      <w:pStyle w:val="Bullet4"/>
      <w:lvlText w:val=""/>
      <w:lvlJc w:val="left"/>
      <w:pPr>
        <w:tabs>
          <w:tab w:val="num" w:pos="1701"/>
        </w:tabs>
        <w:ind w:left="1701" w:hanging="425"/>
      </w:pPr>
      <w:rPr>
        <w:rFonts w:ascii="Symbol" w:hAnsi="Symbol" w:hint="default"/>
        <w:sz w:val="22"/>
      </w:rPr>
    </w:lvl>
    <w:lvl w:ilvl="1" w:tplc="D7C6698C">
      <w:numFmt w:val="decimal"/>
      <w:lvlText w:val=""/>
      <w:lvlJc w:val="left"/>
    </w:lvl>
    <w:lvl w:ilvl="2" w:tplc="A500616A">
      <w:numFmt w:val="decimal"/>
      <w:lvlText w:val=""/>
      <w:lvlJc w:val="left"/>
    </w:lvl>
    <w:lvl w:ilvl="3" w:tplc="9B245154">
      <w:numFmt w:val="decimal"/>
      <w:lvlText w:val=""/>
      <w:lvlJc w:val="left"/>
    </w:lvl>
    <w:lvl w:ilvl="4" w:tplc="9474B2CA">
      <w:numFmt w:val="decimal"/>
      <w:lvlText w:val=""/>
      <w:lvlJc w:val="left"/>
    </w:lvl>
    <w:lvl w:ilvl="5" w:tplc="99F6F85C">
      <w:numFmt w:val="decimal"/>
      <w:lvlText w:val=""/>
      <w:lvlJc w:val="left"/>
    </w:lvl>
    <w:lvl w:ilvl="6" w:tplc="9A0C42FA">
      <w:numFmt w:val="decimal"/>
      <w:lvlText w:val=""/>
      <w:lvlJc w:val="left"/>
    </w:lvl>
    <w:lvl w:ilvl="7" w:tplc="FE9C4732">
      <w:numFmt w:val="decimal"/>
      <w:lvlText w:val=""/>
      <w:lvlJc w:val="left"/>
    </w:lvl>
    <w:lvl w:ilvl="8" w:tplc="E0DE5A0A">
      <w:numFmt w:val="decimal"/>
      <w:lvlText w:val=""/>
      <w:lvlJc w:val="left"/>
    </w:lvl>
  </w:abstractNum>
  <w:abstractNum w:abstractNumId="23" w15:restartNumberingAfterBreak="0">
    <w:nsid w:val="401B0688"/>
    <w:multiLevelType w:val="hybridMultilevel"/>
    <w:tmpl w:val="72DCFD98"/>
    <w:lvl w:ilvl="0" w:tplc="938A90D4">
      <w:start w:val="1"/>
      <w:numFmt w:val="decimal"/>
      <w:pStyle w:val="Chart2X"/>
      <w:lvlText w:val="Chart 2.%1:"/>
      <w:lvlJc w:val="left"/>
      <w:pPr>
        <w:ind w:left="1211" w:hanging="360"/>
      </w:pPr>
      <w:rPr>
        <w:rFonts w:ascii="Arial" w:hAnsi="Arial" w:hint="default"/>
        <w:b w:val="0"/>
        <w:i/>
        <w:caps w:val="0"/>
        <w:sz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410931B3"/>
    <w:multiLevelType w:val="hybridMultilevel"/>
    <w:tmpl w:val="1DDA819E"/>
    <w:lvl w:ilvl="0" w:tplc="038675A8">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4A4250"/>
    <w:multiLevelType w:val="hybridMultilevel"/>
    <w:tmpl w:val="868AFABA"/>
    <w:lvl w:ilvl="0" w:tplc="FCB65C70">
      <w:start w:val="1"/>
      <w:numFmt w:val="decimal"/>
      <w:pStyle w:val="Table2X"/>
      <w:lvlText w:val="Table 2.%1:"/>
      <w:lvlJc w:val="left"/>
      <w:pPr>
        <w:ind w:left="360" w:hanging="360"/>
      </w:pPr>
      <w:rPr>
        <w:rFonts w:ascii="Arial" w:hAnsi="Arial" w:hint="default"/>
        <w:b w:val="0"/>
        <w:i/>
        <w:caps w:val="0"/>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041D7B"/>
    <w:multiLevelType w:val="hybridMultilevel"/>
    <w:tmpl w:val="FFC03410"/>
    <w:lvl w:ilvl="0" w:tplc="83B09EB6">
      <w:start w:val="1"/>
      <w:numFmt w:val="decimal"/>
      <w:pStyle w:val="ChartFX"/>
      <w:lvlText w:val="Chart F.%1:"/>
      <w:lvlJc w:val="left"/>
      <w:pPr>
        <w:ind w:left="360" w:hanging="360"/>
      </w:pPr>
      <w:rPr>
        <w:rFonts w:ascii="Arial" w:hAnsi="Arial" w:hint="default"/>
        <w:b w:val="0"/>
        <w:i/>
        <w:caps w:val="0"/>
        <w:color w:val="57514D"/>
        <w:sz w:val="22"/>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29" w15:restartNumberingAfterBreak="0">
    <w:nsid w:val="5B150C89"/>
    <w:multiLevelType w:val="hybridMultilevel"/>
    <w:tmpl w:val="123AAB14"/>
    <w:lvl w:ilvl="0" w:tplc="B3565E7C">
      <w:start w:val="1"/>
      <w:numFmt w:val="none"/>
      <w:pStyle w:val="TableXX"/>
      <w:lvlText w:val=""/>
      <w:lvlJc w:val="left"/>
      <w:pPr>
        <w:ind w:left="357" w:hanging="357"/>
      </w:pPr>
      <w:rPr>
        <w:rFonts w:hint="default"/>
      </w:rPr>
    </w:lvl>
    <w:lvl w:ilvl="1" w:tplc="1510758A">
      <w:start w:val="1"/>
      <w:numFmt w:val="lowerLetter"/>
      <w:lvlText w:val="%2)"/>
      <w:lvlJc w:val="left"/>
      <w:pPr>
        <w:ind w:left="714" w:hanging="357"/>
      </w:pPr>
      <w:rPr>
        <w:rFonts w:hint="default"/>
      </w:rPr>
    </w:lvl>
    <w:lvl w:ilvl="2" w:tplc="B6D21A24">
      <w:start w:val="1"/>
      <w:numFmt w:val="lowerRoman"/>
      <w:lvlText w:val="%3)"/>
      <w:lvlJc w:val="left"/>
      <w:pPr>
        <w:ind w:left="1071" w:hanging="357"/>
      </w:pPr>
      <w:rPr>
        <w:rFonts w:hint="default"/>
      </w:rPr>
    </w:lvl>
    <w:lvl w:ilvl="3" w:tplc="1A348372">
      <w:start w:val="1"/>
      <w:numFmt w:val="decimal"/>
      <w:lvlText w:val="(%4)"/>
      <w:lvlJc w:val="left"/>
      <w:pPr>
        <w:ind w:left="1428" w:hanging="357"/>
      </w:pPr>
      <w:rPr>
        <w:rFonts w:hint="default"/>
      </w:rPr>
    </w:lvl>
    <w:lvl w:ilvl="4" w:tplc="131EB4CE">
      <w:start w:val="1"/>
      <w:numFmt w:val="lowerLetter"/>
      <w:lvlText w:val="(%5)"/>
      <w:lvlJc w:val="left"/>
      <w:pPr>
        <w:ind w:left="1785" w:hanging="357"/>
      </w:pPr>
      <w:rPr>
        <w:rFonts w:hint="default"/>
      </w:rPr>
    </w:lvl>
    <w:lvl w:ilvl="5" w:tplc="C6A41DB0">
      <w:start w:val="1"/>
      <w:numFmt w:val="lowerRoman"/>
      <w:lvlText w:val="(%6)"/>
      <w:lvlJc w:val="left"/>
      <w:pPr>
        <w:ind w:left="2142" w:hanging="357"/>
      </w:pPr>
      <w:rPr>
        <w:rFonts w:hint="default"/>
      </w:rPr>
    </w:lvl>
    <w:lvl w:ilvl="6" w:tplc="5442B886">
      <w:start w:val="1"/>
      <w:numFmt w:val="decimal"/>
      <w:lvlText w:val="%7."/>
      <w:lvlJc w:val="left"/>
      <w:pPr>
        <w:ind w:left="2499" w:hanging="357"/>
      </w:pPr>
      <w:rPr>
        <w:rFonts w:hint="default"/>
      </w:rPr>
    </w:lvl>
    <w:lvl w:ilvl="7" w:tplc="8F2AA890">
      <w:start w:val="1"/>
      <w:numFmt w:val="lowerLetter"/>
      <w:lvlText w:val="%8."/>
      <w:lvlJc w:val="left"/>
      <w:pPr>
        <w:ind w:left="2856" w:hanging="357"/>
      </w:pPr>
      <w:rPr>
        <w:rFonts w:hint="default"/>
      </w:rPr>
    </w:lvl>
    <w:lvl w:ilvl="8" w:tplc="387A208A">
      <w:start w:val="1"/>
      <w:numFmt w:val="lowerRoman"/>
      <w:lvlText w:val="%9."/>
      <w:lvlJc w:val="left"/>
      <w:pPr>
        <w:ind w:left="3213" w:hanging="357"/>
      </w:pPr>
      <w:rPr>
        <w:rFonts w:hint="default"/>
      </w:rPr>
    </w:lvl>
  </w:abstractNum>
  <w:abstractNum w:abstractNumId="30" w15:restartNumberingAfterBreak="0">
    <w:nsid w:val="5CBA2855"/>
    <w:multiLevelType w:val="hybridMultilevel"/>
    <w:tmpl w:val="7BC255A8"/>
    <w:lvl w:ilvl="0" w:tplc="4412EAE8">
      <w:start w:val="1"/>
      <w:numFmt w:val="decimal"/>
      <w:pStyle w:val="Heading2"/>
      <w:lvlText w:val="F.%1"/>
      <w:lvlJc w:val="left"/>
      <w:pPr>
        <w:ind w:left="360" w:hanging="360"/>
      </w:pPr>
      <w:rPr>
        <w:rFonts w:ascii="Arial Bold" w:hAnsi="Arial Bold" w:hint="default"/>
        <w:b/>
        <w:i w:val="0"/>
        <w:color w:val="53C8E9"/>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32" w15:restartNumberingAfterBreak="0">
    <w:nsid w:val="719944AF"/>
    <w:multiLevelType w:val="hybridMultilevel"/>
    <w:tmpl w:val="68E44EFA"/>
    <w:lvl w:ilvl="0" w:tplc="D6BEE68E">
      <w:start w:val="1"/>
      <w:numFmt w:val="decimal"/>
      <w:pStyle w:val="TableB2X"/>
      <w:lvlText w:val="Table B2.%1:"/>
      <w:lvlJc w:val="left"/>
      <w:pPr>
        <w:ind w:left="720" w:hanging="360"/>
      </w:pPr>
      <w:rPr>
        <w:rFonts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19"/>
  </w:num>
  <w:num w:numId="5">
    <w:abstractNumId w:val="21"/>
  </w:num>
  <w:num w:numId="6">
    <w:abstractNumId w:val="27"/>
  </w:num>
  <w:num w:numId="7">
    <w:abstractNumId w:val="3"/>
  </w:num>
  <w:num w:numId="8">
    <w:abstractNumId w:val="22"/>
  </w:num>
  <w:num w:numId="9">
    <w:abstractNumId w:val="14"/>
  </w:num>
  <w:num w:numId="10">
    <w:abstractNumId w:val="26"/>
  </w:num>
  <w:num w:numId="11">
    <w:abstractNumId w:val="7"/>
  </w:num>
  <w:num w:numId="12">
    <w:abstractNumId w:val="23"/>
  </w:num>
  <w:num w:numId="13">
    <w:abstractNumId w:val="17"/>
  </w:num>
  <w:num w:numId="14">
    <w:abstractNumId w:val="29"/>
  </w:num>
  <w:num w:numId="15">
    <w:abstractNumId w:val="4"/>
  </w:num>
  <w:num w:numId="16">
    <w:abstractNumId w:val="31"/>
  </w:num>
  <w:num w:numId="17">
    <w:abstractNumId w:val="28"/>
  </w:num>
  <w:num w:numId="18">
    <w:abstractNumId w:val="20"/>
  </w:num>
  <w:num w:numId="19">
    <w:abstractNumId w:val="0"/>
  </w:num>
  <w:num w:numId="20">
    <w:abstractNumId w:val="6"/>
  </w:num>
  <w:num w:numId="21">
    <w:abstractNumId w:val="2"/>
  </w:num>
  <w:num w:numId="22">
    <w:abstractNumId w:val="1"/>
  </w:num>
  <w:num w:numId="23">
    <w:abstractNumId w:val="13"/>
  </w:num>
  <w:num w:numId="24">
    <w:abstractNumId w:val="25"/>
  </w:num>
  <w:num w:numId="25">
    <w:abstractNumId w:val="5"/>
  </w:num>
  <w:num w:numId="26">
    <w:abstractNumId w:val="18"/>
  </w:num>
  <w:num w:numId="27">
    <w:abstractNumId w:val="32"/>
  </w:num>
  <w:num w:numId="28">
    <w:abstractNumId w:val="15"/>
  </w:num>
  <w:num w:numId="29">
    <w:abstractNumId w:val="24"/>
  </w:num>
  <w:num w:numId="30">
    <w:abstractNumId w:val="30"/>
  </w:num>
  <w:num w:numId="31">
    <w:abstractNumId w:val="28"/>
  </w:num>
  <w:num w:numId="32">
    <w:abstractNumId w:val="12"/>
  </w:num>
  <w:num w:numId="33">
    <w:abstractNumId w:val="8"/>
  </w:num>
  <w:num w:numId="3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71"/>
    <w:rsid w:val="0000036D"/>
    <w:rsid w:val="000006CF"/>
    <w:rsid w:val="00000734"/>
    <w:rsid w:val="00000AB7"/>
    <w:rsid w:val="00001581"/>
    <w:rsid w:val="00002AD3"/>
    <w:rsid w:val="00003F3C"/>
    <w:rsid w:val="00004904"/>
    <w:rsid w:val="00005479"/>
    <w:rsid w:val="000057AC"/>
    <w:rsid w:val="00006BB4"/>
    <w:rsid w:val="00007C5F"/>
    <w:rsid w:val="00010AAB"/>
    <w:rsid w:val="00012A94"/>
    <w:rsid w:val="00012C31"/>
    <w:rsid w:val="00012DFB"/>
    <w:rsid w:val="00014521"/>
    <w:rsid w:val="00014F28"/>
    <w:rsid w:val="000165A4"/>
    <w:rsid w:val="000175AB"/>
    <w:rsid w:val="0002170B"/>
    <w:rsid w:val="00022D13"/>
    <w:rsid w:val="000249AE"/>
    <w:rsid w:val="00024C4A"/>
    <w:rsid w:val="0002505E"/>
    <w:rsid w:val="00025FA5"/>
    <w:rsid w:val="000272A7"/>
    <w:rsid w:val="000303AA"/>
    <w:rsid w:val="00030B64"/>
    <w:rsid w:val="00032460"/>
    <w:rsid w:val="00032EA0"/>
    <w:rsid w:val="000341A4"/>
    <w:rsid w:val="00035CCA"/>
    <w:rsid w:val="00037433"/>
    <w:rsid w:val="0004001B"/>
    <w:rsid w:val="000401A7"/>
    <w:rsid w:val="000406AD"/>
    <w:rsid w:val="00040FC0"/>
    <w:rsid w:val="000415A1"/>
    <w:rsid w:val="00041C42"/>
    <w:rsid w:val="000435C8"/>
    <w:rsid w:val="00044469"/>
    <w:rsid w:val="00045088"/>
    <w:rsid w:val="0004538D"/>
    <w:rsid w:val="0004561E"/>
    <w:rsid w:val="00045636"/>
    <w:rsid w:val="00045E32"/>
    <w:rsid w:val="000477A6"/>
    <w:rsid w:val="00047FBA"/>
    <w:rsid w:val="00050704"/>
    <w:rsid w:val="00050A61"/>
    <w:rsid w:val="00050AF4"/>
    <w:rsid w:val="00050DCB"/>
    <w:rsid w:val="00051264"/>
    <w:rsid w:val="0005281F"/>
    <w:rsid w:val="00052B09"/>
    <w:rsid w:val="0005327B"/>
    <w:rsid w:val="00053792"/>
    <w:rsid w:val="00053F3E"/>
    <w:rsid w:val="0005458A"/>
    <w:rsid w:val="0005554C"/>
    <w:rsid w:val="000557B4"/>
    <w:rsid w:val="00055A41"/>
    <w:rsid w:val="00056303"/>
    <w:rsid w:val="000563F1"/>
    <w:rsid w:val="0005669C"/>
    <w:rsid w:val="00057831"/>
    <w:rsid w:val="0006007C"/>
    <w:rsid w:val="00060EFB"/>
    <w:rsid w:val="00061A9A"/>
    <w:rsid w:val="0006231B"/>
    <w:rsid w:val="00062794"/>
    <w:rsid w:val="0006295C"/>
    <w:rsid w:val="00063254"/>
    <w:rsid w:val="000635BA"/>
    <w:rsid w:val="00063718"/>
    <w:rsid w:val="000638AD"/>
    <w:rsid w:val="00064191"/>
    <w:rsid w:val="00064424"/>
    <w:rsid w:val="00064593"/>
    <w:rsid w:val="00064612"/>
    <w:rsid w:val="00064E45"/>
    <w:rsid w:val="0006596A"/>
    <w:rsid w:val="00065B6E"/>
    <w:rsid w:val="00066906"/>
    <w:rsid w:val="00070EE3"/>
    <w:rsid w:val="00071A5C"/>
    <w:rsid w:val="00072107"/>
    <w:rsid w:val="00072831"/>
    <w:rsid w:val="00072F24"/>
    <w:rsid w:val="00073586"/>
    <w:rsid w:val="0007392B"/>
    <w:rsid w:val="00073985"/>
    <w:rsid w:val="000754AC"/>
    <w:rsid w:val="00075FF9"/>
    <w:rsid w:val="00076B3B"/>
    <w:rsid w:val="00077595"/>
    <w:rsid w:val="000775B5"/>
    <w:rsid w:val="000778B1"/>
    <w:rsid w:val="00077A35"/>
    <w:rsid w:val="0008195C"/>
    <w:rsid w:val="00082577"/>
    <w:rsid w:val="000828AF"/>
    <w:rsid w:val="00082FDD"/>
    <w:rsid w:val="000843C8"/>
    <w:rsid w:val="000846CF"/>
    <w:rsid w:val="00084790"/>
    <w:rsid w:val="00084DAE"/>
    <w:rsid w:val="000850D6"/>
    <w:rsid w:val="00085EF0"/>
    <w:rsid w:val="00085F01"/>
    <w:rsid w:val="00086A3C"/>
    <w:rsid w:val="00087490"/>
    <w:rsid w:val="000874A6"/>
    <w:rsid w:val="000876ED"/>
    <w:rsid w:val="0009000A"/>
    <w:rsid w:val="000914F6"/>
    <w:rsid w:val="00091978"/>
    <w:rsid w:val="000921F1"/>
    <w:rsid w:val="00092C3A"/>
    <w:rsid w:val="0009302E"/>
    <w:rsid w:val="000932CC"/>
    <w:rsid w:val="000936CD"/>
    <w:rsid w:val="00093786"/>
    <w:rsid w:val="00093F49"/>
    <w:rsid w:val="00093FE0"/>
    <w:rsid w:val="00094099"/>
    <w:rsid w:val="00095060"/>
    <w:rsid w:val="00096AB8"/>
    <w:rsid w:val="00097C64"/>
    <w:rsid w:val="000A063D"/>
    <w:rsid w:val="000A1053"/>
    <w:rsid w:val="000A27F7"/>
    <w:rsid w:val="000A2C08"/>
    <w:rsid w:val="000A2F84"/>
    <w:rsid w:val="000A32AE"/>
    <w:rsid w:val="000A395A"/>
    <w:rsid w:val="000A6A48"/>
    <w:rsid w:val="000A78F3"/>
    <w:rsid w:val="000A7994"/>
    <w:rsid w:val="000A7CC3"/>
    <w:rsid w:val="000A7EBF"/>
    <w:rsid w:val="000B06D0"/>
    <w:rsid w:val="000B0A22"/>
    <w:rsid w:val="000B1F21"/>
    <w:rsid w:val="000B3164"/>
    <w:rsid w:val="000B4B5B"/>
    <w:rsid w:val="000B6A59"/>
    <w:rsid w:val="000B6B98"/>
    <w:rsid w:val="000C0072"/>
    <w:rsid w:val="000C0909"/>
    <w:rsid w:val="000C17EB"/>
    <w:rsid w:val="000C2662"/>
    <w:rsid w:val="000C2ED3"/>
    <w:rsid w:val="000C3EA2"/>
    <w:rsid w:val="000C3FA8"/>
    <w:rsid w:val="000C46E8"/>
    <w:rsid w:val="000C473E"/>
    <w:rsid w:val="000C4F01"/>
    <w:rsid w:val="000C5964"/>
    <w:rsid w:val="000C5B43"/>
    <w:rsid w:val="000C5D2F"/>
    <w:rsid w:val="000C61A1"/>
    <w:rsid w:val="000C6F4A"/>
    <w:rsid w:val="000C6FB3"/>
    <w:rsid w:val="000C71E7"/>
    <w:rsid w:val="000C7758"/>
    <w:rsid w:val="000C7870"/>
    <w:rsid w:val="000C7DDB"/>
    <w:rsid w:val="000D0961"/>
    <w:rsid w:val="000D11C2"/>
    <w:rsid w:val="000D1D23"/>
    <w:rsid w:val="000D2B25"/>
    <w:rsid w:val="000D2E62"/>
    <w:rsid w:val="000D3682"/>
    <w:rsid w:val="000D4286"/>
    <w:rsid w:val="000D4FD8"/>
    <w:rsid w:val="000D516E"/>
    <w:rsid w:val="000D541C"/>
    <w:rsid w:val="000D6871"/>
    <w:rsid w:val="000D71C9"/>
    <w:rsid w:val="000D7A5C"/>
    <w:rsid w:val="000D7C00"/>
    <w:rsid w:val="000D7C2B"/>
    <w:rsid w:val="000E0973"/>
    <w:rsid w:val="000E2CCB"/>
    <w:rsid w:val="000E36A8"/>
    <w:rsid w:val="000E3B91"/>
    <w:rsid w:val="000E45BB"/>
    <w:rsid w:val="000E5153"/>
    <w:rsid w:val="000E6061"/>
    <w:rsid w:val="000E619B"/>
    <w:rsid w:val="000E6F44"/>
    <w:rsid w:val="000E7140"/>
    <w:rsid w:val="000F0A67"/>
    <w:rsid w:val="000F14B0"/>
    <w:rsid w:val="000F1E2C"/>
    <w:rsid w:val="000F2206"/>
    <w:rsid w:val="000F29E1"/>
    <w:rsid w:val="000F3715"/>
    <w:rsid w:val="000F4DB2"/>
    <w:rsid w:val="000F5310"/>
    <w:rsid w:val="000F5424"/>
    <w:rsid w:val="000F54DA"/>
    <w:rsid w:val="000F58C9"/>
    <w:rsid w:val="000F5F12"/>
    <w:rsid w:val="000F71FB"/>
    <w:rsid w:val="000F7BBC"/>
    <w:rsid w:val="00100123"/>
    <w:rsid w:val="001015D6"/>
    <w:rsid w:val="001020E1"/>
    <w:rsid w:val="001022B7"/>
    <w:rsid w:val="00102DB9"/>
    <w:rsid w:val="00102E8F"/>
    <w:rsid w:val="001031AC"/>
    <w:rsid w:val="00104172"/>
    <w:rsid w:val="001051F7"/>
    <w:rsid w:val="001057A8"/>
    <w:rsid w:val="001058BC"/>
    <w:rsid w:val="00105D3B"/>
    <w:rsid w:val="00106592"/>
    <w:rsid w:val="0011014C"/>
    <w:rsid w:val="00110246"/>
    <w:rsid w:val="00110C23"/>
    <w:rsid w:val="00113BC3"/>
    <w:rsid w:val="00114903"/>
    <w:rsid w:val="0011554E"/>
    <w:rsid w:val="00115949"/>
    <w:rsid w:val="00116201"/>
    <w:rsid w:val="00116598"/>
    <w:rsid w:val="00116EE0"/>
    <w:rsid w:val="00117114"/>
    <w:rsid w:val="00117718"/>
    <w:rsid w:val="0012031D"/>
    <w:rsid w:val="0012055D"/>
    <w:rsid w:val="00121BAA"/>
    <w:rsid w:val="0012231C"/>
    <w:rsid w:val="00122D91"/>
    <w:rsid w:val="001235CD"/>
    <w:rsid w:val="00123D3F"/>
    <w:rsid w:val="00124682"/>
    <w:rsid w:val="00124B9D"/>
    <w:rsid w:val="0012631A"/>
    <w:rsid w:val="00126981"/>
    <w:rsid w:val="00126FCA"/>
    <w:rsid w:val="001300A3"/>
    <w:rsid w:val="00130E5E"/>
    <w:rsid w:val="001319E9"/>
    <w:rsid w:val="00131BE8"/>
    <w:rsid w:val="00133678"/>
    <w:rsid w:val="00134905"/>
    <w:rsid w:val="00134A87"/>
    <w:rsid w:val="00135079"/>
    <w:rsid w:val="00135CA7"/>
    <w:rsid w:val="001360EB"/>
    <w:rsid w:val="00137DD7"/>
    <w:rsid w:val="00141B0D"/>
    <w:rsid w:val="0014227A"/>
    <w:rsid w:val="00142359"/>
    <w:rsid w:val="00142AA3"/>
    <w:rsid w:val="0014362C"/>
    <w:rsid w:val="0014379E"/>
    <w:rsid w:val="0014385D"/>
    <w:rsid w:val="00144A90"/>
    <w:rsid w:val="00146A8D"/>
    <w:rsid w:val="00146BC1"/>
    <w:rsid w:val="001470EB"/>
    <w:rsid w:val="001474B2"/>
    <w:rsid w:val="001476CF"/>
    <w:rsid w:val="00150399"/>
    <w:rsid w:val="00151314"/>
    <w:rsid w:val="00151388"/>
    <w:rsid w:val="00151AE3"/>
    <w:rsid w:val="00151D6B"/>
    <w:rsid w:val="0015257A"/>
    <w:rsid w:val="00153951"/>
    <w:rsid w:val="00153F2F"/>
    <w:rsid w:val="00154321"/>
    <w:rsid w:val="00155905"/>
    <w:rsid w:val="00156290"/>
    <w:rsid w:val="0015656C"/>
    <w:rsid w:val="001567DB"/>
    <w:rsid w:val="00156885"/>
    <w:rsid w:val="001578B4"/>
    <w:rsid w:val="00157FED"/>
    <w:rsid w:val="001600F5"/>
    <w:rsid w:val="00161918"/>
    <w:rsid w:val="00161FAF"/>
    <w:rsid w:val="001633DB"/>
    <w:rsid w:val="00163836"/>
    <w:rsid w:val="00163AFE"/>
    <w:rsid w:val="00164703"/>
    <w:rsid w:val="0016523E"/>
    <w:rsid w:val="00165FAB"/>
    <w:rsid w:val="0016607C"/>
    <w:rsid w:val="00166397"/>
    <w:rsid w:val="001663F1"/>
    <w:rsid w:val="0016640F"/>
    <w:rsid w:val="00167520"/>
    <w:rsid w:val="0016799A"/>
    <w:rsid w:val="00167F40"/>
    <w:rsid w:val="001735C5"/>
    <w:rsid w:val="00174C66"/>
    <w:rsid w:val="00174C75"/>
    <w:rsid w:val="00175AE5"/>
    <w:rsid w:val="00175C68"/>
    <w:rsid w:val="00175FA0"/>
    <w:rsid w:val="00176EE2"/>
    <w:rsid w:val="00177227"/>
    <w:rsid w:val="00177665"/>
    <w:rsid w:val="00177B9C"/>
    <w:rsid w:val="00177CC2"/>
    <w:rsid w:val="00177FE8"/>
    <w:rsid w:val="00180ABD"/>
    <w:rsid w:val="001816FF"/>
    <w:rsid w:val="00181A01"/>
    <w:rsid w:val="001831D1"/>
    <w:rsid w:val="0018440A"/>
    <w:rsid w:val="00185831"/>
    <w:rsid w:val="00185E8B"/>
    <w:rsid w:val="001874C2"/>
    <w:rsid w:val="0018757F"/>
    <w:rsid w:val="0019118A"/>
    <w:rsid w:val="001940E8"/>
    <w:rsid w:val="001948F9"/>
    <w:rsid w:val="00196EC0"/>
    <w:rsid w:val="00197E5B"/>
    <w:rsid w:val="001A1513"/>
    <w:rsid w:val="001A1A88"/>
    <w:rsid w:val="001A1B6E"/>
    <w:rsid w:val="001A1FB9"/>
    <w:rsid w:val="001A2EB2"/>
    <w:rsid w:val="001A4318"/>
    <w:rsid w:val="001A49E6"/>
    <w:rsid w:val="001A59E9"/>
    <w:rsid w:val="001A5DF4"/>
    <w:rsid w:val="001A5F01"/>
    <w:rsid w:val="001A6BBF"/>
    <w:rsid w:val="001A6E6F"/>
    <w:rsid w:val="001A729D"/>
    <w:rsid w:val="001A7879"/>
    <w:rsid w:val="001A7DB1"/>
    <w:rsid w:val="001A7E0E"/>
    <w:rsid w:val="001B0ACB"/>
    <w:rsid w:val="001B1C9F"/>
    <w:rsid w:val="001B3FB3"/>
    <w:rsid w:val="001B4B68"/>
    <w:rsid w:val="001B5E35"/>
    <w:rsid w:val="001B6EB5"/>
    <w:rsid w:val="001B7ADB"/>
    <w:rsid w:val="001C0493"/>
    <w:rsid w:val="001C067D"/>
    <w:rsid w:val="001C1DE0"/>
    <w:rsid w:val="001C24F3"/>
    <w:rsid w:val="001C270C"/>
    <w:rsid w:val="001C2A29"/>
    <w:rsid w:val="001C32E7"/>
    <w:rsid w:val="001C330A"/>
    <w:rsid w:val="001C434D"/>
    <w:rsid w:val="001C449B"/>
    <w:rsid w:val="001C6359"/>
    <w:rsid w:val="001D055A"/>
    <w:rsid w:val="001D06FB"/>
    <w:rsid w:val="001D0A45"/>
    <w:rsid w:val="001D0B3A"/>
    <w:rsid w:val="001D0D47"/>
    <w:rsid w:val="001D0ED7"/>
    <w:rsid w:val="001D3167"/>
    <w:rsid w:val="001D5206"/>
    <w:rsid w:val="001D5EB7"/>
    <w:rsid w:val="001D5F35"/>
    <w:rsid w:val="001D6FAF"/>
    <w:rsid w:val="001D7837"/>
    <w:rsid w:val="001E0315"/>
    <w:rsid w:val="001E0B7D"/>
    <w:rsid w:val="001E0DF6"/>
    <w:rsid w:val="001E23FB"/>
    <w:rsid w:val="001E2B4F"/>
    <w:rsid w:val="001E31C7"/>
    <w:rsid w:val="001E33B7"/>
    <w:rsid w:val="001E3A66"/>
    <w:rsid w:val="001E428E"/>
    <w:rsid w:val="001E4739"/>
    <w:rsid w:val="001E659E"/>
    <w:rsid w:val="001E65EA"/>
    <w:rsid w:val="001F0718"/>
    <w:rsid w:val="001F0F92"/>
    <w:rsid w:val="001F2093"/>
    <w:rsid w:val="001F29C9"/>
    <w:rsid w:val="001F2D35"/>
    <w:rsid w:val="001F3911"/>
    <w:rsid w:val="001F406D"/>
    <w:rsid w:val="001F470D"/>
    <w:rsid w:val="001F4CC1"/>
    <w:rsid w:val="001F5175"/>
    <w:rsid w:val="001F5849"/>
    <w:rsid w:val="001F5AC9"/>
    <w:rsid w:val="001F5EF0"/>
    <w:rsid w:val="001F6851"/>
    <w:rsid w:val="001F69A9"/>
    <w:rsid w:val="001F69F3"/>
    <w:rsid w:val="001F7288"/>
    <w:rsid w:val="001F7988"/>
    <w:rsid w:val="001F7C23"/>
    <w:rsid w:val="001F7CEF"/>
    <w:rsid w:val="00200771"/>
    <w:rsid w:val="00200C2E"/>
    <w:rsid w:val="00202064"/>
    <w:rsid w:val="00202160"/>
    <w:rsid w:val="00202509"/>
    <w:rsid w:val="00203D1B"/>
    <w:rsid w:val="00203F52"/>
    <w:rsid w:val="002047A3"/>
    <w:rsid w:val="00205A85"/>
    <w:rsid w:val="002062C3"/>
    <w:rsid w:val="002065AC"/>
    <w:rsid w:val="00206F4A"/>
    <w:rsid w:val="00207648"/>
    <w:rsid w:val="00207668"/>
    <w:rsid w:val="00210364"/>
    <w:rsid w:val="00210558"/>
    <w:rsid w:val="002113EA"/>
    <w:rsid w:val="00211908"/>
    <w:rsid w:val="00211DAC"/>
    <w:rsid w:val="002122B2"/>
    <w:rsid w:val="00212F16"/>
    <w:rsid w:val="002146B5"/>
    <w:rsid w:val="00215856"/>
    <w:rsid w:val="00215B95"/>
    <w:rsid w:val="002170CC"/>
    <w:rsid w:val="00217D26"/>
    <w:rsid w:val="00220381"/>
    <w:rsid w:val="00221F54"/>
    <w:rsid w:val="002224E5"/>
    <w:rsid w:val="00222DE0"/>
    <w:rsid w:val="002241A8"/>
    <w:rsid w:val="002245B2"/>
    <w:rsid w:val="00225DA7"/>
    <w:rsid w:val="00226BFD"/>
    <w:rsid w:val="00226C7C"/>
    <w:rsid w:val="00227DA2"/>
    <w:rsid w:val="00230793"/>
    <w:rsid w:val="00230951"/>
    <w:rsid w:val="00230D7E"/>
    <w:rsid w:val="0023170D"/>
    <w:rsid w:val="00231A7D"/>
    <w:rsid w:val="002330CF"/>
    <w:rsid w:val="0023386B"/>
    <w:rsid w:val="00235108"/>
    <w:rsid w:val="0023542F"/>
    <w:rsid w:val="0023768A"/>
    <w:rsid w:val="00240C8F"/>
    <w:rsid w:val="00240EB0"/>
    <w:rsid w:val="0024147A"/>
    <w:rsid w:val="0024190A"/>
    <w:rsid w:val="00241B82"/>
    <w:rsid w:val="00241D94"/>
    <w:rsid w:val="00242EF3"/>
    <w:rsid w:val="002438E6"/>
    <w:rsid w:val="00243FF9"/>
    <w:rsid w:val="002441D9"/>
    <w:rsid w:val="0024504A"/>
    <w:rsid w:val="002464D8"/>
    <w:rsid w:val="00246D37"/>
    <w:rsid w:val="00247866"/>
    <w:rsid w:val="00247C18"/>
    <w:rsid w:val="00247EE8"/>
    <w:rsid w:val="00250D85"/>
    <w:rsid w:val="00250FA9"/>
    <w:rsid w:val="00251463"/>
    <w:rsid w:val="002521CD"/>
    <w:rsid w:val="00252FD5"/>
    <w:rsid w:val="00253DDE"/>
    <w:rsid w:val="00255E8E"/>
    <w:rsid w:val="00256073"/>
    <w:rsid w:val="00256432"/>
    <w:rsid w:val="0025665B"/>
    <w:rsid w:val="00256B25"/>
    <w:rsid w:val="00256FB5"/>
    <w:rsid w:val="0025754B"/>
    <w:rsid w:val="00260979"/>
    <w:rsid w:val="00260B5A"/>
    <w:rsid w:val="00260D10"/>
    <w:rsid w:val="00261369"/>
    <w:rsid w:val="00262977"/>
    <w:rsid w:val="00263363"/>
    <w:rsid w:val="0026355C"/>
    <w:rsid w:val="00263901"/>
    <w:rsid w:val="00263D73"/>
    <w:rsid w:val="00264253"/>
    <w:rsid w:val="00266A82"/>
    <w:rsid w:val="00266C00"/>
    <w:rsid w:val="00272BD2"/>
    <w:rsid w:val="0027348C"/>
    <w:rsid w:val="00274910"/>
    <w:rsid w:val="00274CA5"/>
    <w:rsid w:val="0027501A"/>
    <w:rsid w:val="00275D70"/>
    <w:rsid w:val="00276937"/>
    <w:rsid w:val="002803B6"/>
    <w:rsid w:val="002806E9"/>
    <w:rsid w:val="0028099E"/>
    <w:rsid w:val="0028152D"/>
    <w:rsid w:val="002815F2"/>
    <w:rsid w:val="002817B6"/>
    <w:rsid w:val="00281906"/>
    <w:rsid w:val="00281B5F"/>
    <w:rsid w:val="002824F4"/>
    <w:rsid w:val="00282518"/>
    <w:rsid w:val="002826A5"/>
    <w:rsid w:val="00283C6D"/>
    <w:rsid w:val="00283C6F"/>
    <w:rsid w:val="00285399"/>
    <w:rsid w:val="00285803"/>
    <w:rsid w:val="00286176"/>
    <w:rsid w:val="002864D5"/>
    <w:rsid w:val="002864DC"/>
    <w:rsid w:val="002869AB"/>
    <w:rsid w:val="00287522"/>
    <w:rsid w:val="002901D7"/>
    <w:rsid w:val="002905B7"/>
    <w:rsid w:val="002909D2"/>
    <w:rsid w:val="00290B09"/>
    <w:rsid w:val="0029114A"/>
    <w:rsid w:val="002917B8"/>
    <w:rsid w:val="00291B42"/>
    <w:rsid w:val="002941BE"/>
    <w:rsid w:val="0029586D"/>
    <w:rsid w:val="00295B01"/>
    <w:rsid w:val="00295BCB"/>
    <w:rsid w:val="00295E6B"/>
    <w:rsid w:val="00297C91"/>
    <w:rsid w:val="002A12B4"/>
    <w:rsid w:val="002A169C"/>
    <w:rsid w:val="002A191D"/>
    <w:rsid w:val="002A1E1F"/>
    <w:rsid w:val="002A2443"/>
    <w:rsid w:val="002A3A0E"/>
    <w:rsid w:val="002A3E45"/>
    <w:rsid w:val="002A44B9"/>
    <w:rsid w:val="002A512F"/>
    <w:rsid w:val="002A5480"/>
    <w:rsid w:val="002A5C29"/>
    <w:rsid w:val="002A6CC2"/>
    <w:rsid w:val="002A732D"/>
    <w:rsid w:val="002B0610"/>
    <w:rsid w:val="002B066A"/>
    <w:rsid w:val="002B1040"/>
    <w:rsid w:val="002B173A"/>
    <w:rsid w:val="002B1C72"/>
    <w:rsid w:val="002B247A"/>
    <w:rsid w:val="002B2998"/>
    <w:rsid w:val="002B2C20"/>
    <w:rsid w:val="002B40D6"/>
    <w:rsid w:val="002B4877"/>
    <w:rsid w:val="002B6138"/>
    <w:rsid w:val="002B71E1"/>
    <w:rsid w:val="002B7A61"/>
    <w:rsid w:val="002C1588"/>
    <w:rsid w:val="002C1824"/>
    <w:rsid w:val="002C2337"/>
    <w:rsid w:val="002C45D3"/>
    <w:rsid w:val="002C537E"/>
    <w:rsid w:val="002C6962"/>
    <w:rsid w:val="002C6B84"/>
    <w:rsid w:val="002C6C5D"/>
    <w:rsid w:val="002C6F7F"/>
    <w:rsid w:val="002C7D0C"/>
    <w:rsid w:val="002D0769"/>
    <w:rsid w:val="002D0BBA"/>
    <w:rsid w:val="002D110E"/>
    <w:rsid w:val="002D1E28"/>
    <w:rsid w:val="002D2118"/>
    <w:rsid w:val="002D27BC"/>
    <w:rsid w:val="002D2E37"/>
    <w:rsid w:val="002D386D"/>
    <w:rsid w:val="002D39F6"/>
    <w:rsid w:val="002D3CD3"/>
    <w:rsid w:val="002D4FDF"/>
    <w:rsid w:val="002D5211"/>
    <w:rsid w:val="002D6112"/>
    <w:rsid w:val="002D6B26"/>
    <w:rsid w:val="002D7E43"/>
    <w:rsid w:val="002E09CB"/>
    <w:rsid w:val="002E22F1"/>
    <w:rsid w:val="002E4B91"/>
    <w:rsid w:val="002E6192"/>
    <w:rsid w:val="002E6315"/>
    <w:rsid w:val="002E6727"/>
    <w:rsid w:val="002E74D3"/>
    <w:rsid w:val="002E755D"/>
    <w:rsid w:val="002F084A"/>
    <w:rsid w:val="002F171B"/>
    <w:rsid w:val="002F34B8"/>
    <w:rsid w:val="002F40ED"/>
    <w:rsid w:val="002F40F0"/>
    <w:rsid w:val="002F43AD"/>
    <w:rsid w:val="002F4A63"/>
    <w:rsid w:val="002F5122"/>
    <w:rsid w:val="002F6652"/>
    <w:rsid w:val="002F7129"/>
    <w:rsid w:val="002F750D"/>
    <w:rsid w:val="002F764E"/>
    <w:rsid w:val="002F7B4F"/>
    <w:rsid w:val="002F7CB5"/>
    <w:rsid w:val="00300096"/>
    <w:rsid w:val="0030080D"/>
    <w:rsid w:val="003017D9"/>
    <w:rsid w:val="0030252D"/>
    <w:rsid w:val="00303FE9"/>
    <w:rsid w:val="0030555A"/>
    <w:rsid w:val="00305DA2"/>
    <w:rsid w:val="00306031"/>
    <w:rsid w:val="003061CB"/>
    <w:rsid w:val="00306A8C"/>
    <w:rsid w:val="00307FC1"/>
    <w:rsid w:val="00310C8C"/>
    <w:rsid w:val="00310D54"/>
    <w:rsid w:val="00310E7D"/>
    <w:rsid w:val="0031291B"/>
    <w:rsid w:val="00312DB0"/>
    <w:rsid w:val="00313237"/>
    <w:rsid w:val="00313A61"/>
    <w:rsid w:val="003169CD"/>
    <w:rsid w:val="0031720E"/>
    <w:rsid w:val="0032000F"/>
    <w:rsid w:val="00320916"/>
    <w:rsid w:val="0032130A"/>
    <w:rsid w:val="0032290B"/>
    <w:rsid w:val="0032296C"/>
    <w:rsid w:val="00323501"/>
    <w:rsid w:val="00325DD9"/>
    <w:rsid w:val="00326025"/>
    <w:rsid w:val="00327D37"/>
    <w:rsid w:val="00330C3B"/>
    <w:rsid w:val="00330E65"/>
    <w:rsid w:val="003341E8"/>
    <w:rsid w:val="003349BD"/>
    <w:rsid w:val="00334E18"/>
    <w:rsid w:val="00335465"/>
    <w:rsid w:val="00335C1C"/>
    <w:rsid w:val="0033710B"/>
    <w:rsid w:val="00337427"/>
    <w:rsid w:val="00337C85"/>
    <w:rsid w:val="00340662"/>
    <w:rsid w:val="003436D3"/>
    <w:rsid w:val="003450A1"/>
    <w:rsid w:val="00347455"/>
    <w:rsid w:val="00350097"/>
    <w:rsid w:val="0035148D"/>
    <w:rsid w:val="00351524"/>
    <w:rsid w:val="0035196D"/>
    <w:rsid w:val="003519DA"/>
    <w:rsid w:val="003534F6"/>
    <w:rsid w:val="00354703"/>
    <w:rsid w:val="00354780"/>
    <w:rsid w:val="003557FE"/>
    <w:rsid w:val="00355E9D"/>
    <w:rsid w:val="00357407"/>
    <w:rsid w:val="00360155"/>
    <w:rsid w:val="003623CB"/>
    <w:rsid w:val="00362F97"/>
    <w:rsid w:val="003632F7"/>
    <w:rsid w:val="0036391F"/>
    <w:rsid w:val="00364551"/>
    <w:rsid w:val="00364B6B"/>
    <w:rsid w:val="00366551"/>
    <w:rsid w:val="00366938"/>
    <w:rsid w:val="00367055"/>
    <w:rsid w:val="00367BDB"/>
    <w:rsid w:val="003703E3"/>
    <w:rsid w:val="00370751"/>
    <w:rsid w:val="0037162E"/>
    <w:rsid w:val="00372AFA"/>
    <w:rsid w:val="00373026"/>
    <w:rsid w:val="00373571"/>
    <w:rsid w:val="003737FA"/>
    <w:rsid w:val="00373C25"/>
    <w:rsid w:val="00373E19"/>
    <w:rsid w:val="00375BA7"/>
    <w:rsid w:val="00375E8F"/>
    <w:rsid w:val="00377CE7"/>
    <w:rsid w:val="00377D44"/>
    <w:rsid w:val="00380020"/>
    <w:rsid w:val="00380137"/>
    <w:rsid w:val="003806DB"/>
    <w:rsid w:val="00381CD8"/>
    <w:rsid w:val="00381F4F"/>
    <w:rsid w:val="00382595"/>
    <w:rsid w:val="00382D39"/>
    <w:rsid w:val="00384F46"/>
    <w:rsid w:val="00384F4F"/>
    <w:rsid w:val="00385228"/>
    <w:rsid w:val="0038527D"/>
    <w:rsid w:val="00385B4A"/>
    <w:rsid w:val="00385D03"/>
    <w:rsid w:val="00385E7D"/>
    <w:rsid w:val="00385F06"/>
    <w:rsid w:val="0038679F"/>
    <w:rsid w:val="00387582"/>
    <w:rsid w:val="00387E2F"/>
    <w:rsid w:val="00390499"/>
    <w:rsid w:val="00390791"/>
    <w:rsid w:val="00392EEA"/>
    <w:rsid w:val="00394337"/>
    <w:rsid w:val="00394F33"/>
    <w:rsid w:val="00395554"/>
    <w:rsid w:val="00396982"/>
    <w:rsid w:val="00396B07"/>
    <w:rsid w:val="003A2E56"/>
    <w:rsid w:val="003A46B2"/>
    <w:rsid w:val="003A5728"/>
    <w:rsid w:val="003A5E87"/>
    <w:rsid w:val="003A6566"/>
    <w:rsid w:val="003A676C"/>
    <w:rsid w:val="003A6E0C"/>
    <w:rsid w:val="003B17C8"/>
    <w:rsid w:val="003B1DDD"/>
    <w:rsid w:val="003B27B1"/>
    <w:rsid w:val="003B27F8"/>
    <w:rsid w:val="003B3FB0"/>
    <w:rsid w:val="003B4FCE"/>
    <w:rsid w:val="003B57FD"/>
    <w:rsid w:val="003B64B9"/>
    <w:rsid w:val="003B688C"/>
    <w:rsid w:val="003B7584"/>
    <w:rsid w:val="003B7904"/>
    <w:rsid w:val="003B7A7C"/>
    <w:rsid w:val="003C25BB"/>
    <w:rsid w:val="003C2930"/>
    <w:rsid w:val="003C34D9"/>
    <w:rsid w:val="003C3A33"/>
    <w:rsid w:val="003C4345"/>
    <w:rsid w:val="003C4CC9"/>
    <w:rsid w:val="003C5754"/>
    <w:rsid w:val="003C6918"/>
    <w:rsid w:val="003C7315"/>
    <w:rsid w:val="003D0F97"/>
    <w:rsid w:val="003D1E4C"/>
    <w:rsid w:val="003D1ECA"/>
    <w:rsid w:val="003D210D"/>
    <w:rsid w:val="003D246E"/>
    <w:rsid w:val="003D3EFB"/>
    <w:rsid w:val="003D4104"/>
    <w:rsid w:val="003D41F9"/>
    <w:rsid w:val="003D5627"/>
    <w:rsid w:val="003D5EAA"/>
    <w:rsid w:val="003D67FC"/>
    <w:rsid w:val="003D6D0A"/>
    <w:rsid w:val="003D720F"/>
    <w:rsid w:val="003E1157"/>
    <w:rsid w:val="003E2686"/>
    <w:rsid w:val="003E37A7"/>
    <w:rsid w:val="003E3D19"/>
    <w:rsid w:val="003E55E8"/>
    <w:rsid w:val="003E6658"/>
    <w:rsid w:val="003E6C64"/>
    <w:rsid w:val="003E6E7A"/>
    <w:rsid w:val="003E77B3"/>
    <w:rsid w:val="003E7A84"/>
    <w:rsid w:val="003F0E08"/>
    <w:rsid w:val="003F2A14"/>
    <w:rsid w:val="003F2EF0"/>
    <w:rsid w:val="003F3738"/>
    <w:rsid w:val="003F7484"/>
    <w:rsid w:val="003F7873"/>
    <w:rsid w:val="00400B89"/>
    <w:rsid w:val="004011B6"/>
    <w:rsid w:val="00402287"/>
    <w:rsid w:val="004032D5"/>
    <w:rsid w:val="004042B9"/>
    <w:rsid w:val="00404461"/>
    <w:rsid w:val="00404802"/>
    <w:rsid w:val="0040571E"/>
    <w:rsid w:val="0040583B"/>
    <w:rsid w:val="00405FD6"/>
    <w:rsid w:val="0040653D"/>
    <w:rsid w:val="00406EEB"/>
    <w:rsid w:val="004109A5"/>
    <w:rsid w:val="00410A9C"/>
    <w:rsid w:val="00410C17"/>
    <w:rsid w:val="004119DF"/>
    <w:rsid w:val="004123F1"/>
    <w:rsid w:val="00413234"/>
    <w:rsid w:val="00413A90"/>
    <w:rsid w:val="00414B98"/>
    <w:rsid w:val="0041545E"/>
    <w:rsid w:val="00415828"/>
    <w:rsid w:val="0041667E"/>
    <w:rsid w:val="00417B6A"/>
    <w:rsid w:val="00420144"/>
    <w:rsid w:val="00420E5E"/>
    <w:rsid w:val="00422512"/>
    <w:rsid w:val="00422B6C"/>
    <w:rsid w:val="00422D02"/>
    <w:rsid w:val="00423019"/>
    <w:rsid w:val="004237E8"/>
    <w:rsid w:val="004248F1"/>
    <w:rsid w:val="00424974"/>
    <w:rsid w:val="004259D2"/>
    <w:rsid w:val="00427013"/>
    <w:rsid w:val="00430496"/>
    <w:rsid w:val="004305A0"/>
    <w:rsid w:val="004323E7"/>
    <w:rsid w:val="00432424"/>
    <w:rsid w:val="00432E9B"/>
    <w:rsid w:val="0043337D"/>
    <w:rsid w:val="00433C1A"/>
    <w:rsid w:val="004346D6"/>
    <w:rsid w:val="00434A66"/>
    <w:rsid w:val="00434A70"/>
    <w:rsid w:val="00434B6D"/>
    <w:rsid w:val="00435627"/>
    <w:rsid w:val="00435E76"/>
    <w:rsid w:val="0043774C"/>
    <w:rsid w:val="00437959"/>
    <w:rsid w:val="00437AB1"/>
    <w:rsid w:val="004405AA"/>
    <w:rsid w:val="004411A2"/>
    <w:rsid w:val="0044132F"/>
    <w:rsid w:val="004414AD"/>
    <w:rsid w:val="0044192F"/>
    <w:rsid w:val="00442F6A"/>
    <w:rsid w:val="004440E2"/>
    <w:rsid w:val="00444718"/>
    <w:rsid w:val="00444DEB"/>
    <w:rsid w:val="00445AC1"/>
    <w:rsid w:val="00446C38"/>
    <w:rsid w:val="00446D67"/>
    <w:rsid w:val="0045036D"/>
    <w:rsid w:val="0045073E"/>
    <w:rsid w:val="0045143C"/>
    <w:rsid w:val="00452E88"/>
    <w:rsid w:val="004539CC"/>
    <w:rsid w:val="00453EE4"/>
    <w:rsid w:val="00453FB5"/>
    <w:rsid w:val="004553A0"/>
    <w:rsid w:val="004559E2"/>
    <w:rsid w:val="00455B61"/>
    <w:rsid w:val="00455DBA"/>
    <w:rsid w:val="00456392"/>
    <w:rsid w:val="00456F1A"/>
    <w:rsid w:val="0045712E"/>
    <w:rsid w:val="004576E2"/>
    <w:rsid w:val="00457FAE"/>
    <w:rsid w:val="0046110A"/>
    <w:rsid w:val="00461361"/>
    <w:rsid w:val="00462166"/>
    <w:rsid w:val="0046280D"/>
    <w:rsid w:val="0046293C"/>
    <w:rsid w:val="004632E3"/>
    <w:rsid w:val="004634A1"/>
    <w:rsid w:val="004649D0"/>
    <w:rsid w:val="00464D56"/>
    <w:rsid w:val="00466676"/>
    <w:rsid w:val="00466F74"/>
    <w:rsid w:val="00467F3C"/>
    <w:rsid w:val="00470013"/>
    <w:rsid w:val="004701C8"/>
    <w:rsid w:val="00472C41"/>
    <w:rsid w:val="0047334F"/>
    <w:rsid w:val="00473C44"/>
    <w:rsid w:val="0047468D"/>
    <w:rsid w:val="00474DAD"/>
    <w:rsid w:val="00474E77"/>
    <w:rsid w:val="0047536B"/>
    <w:rsid w:val="004762C4"/>
    <w:rsid w:val="004767EC"/>
    <w:rsid w:val="0048008E"/>
    <w:rsid w:val="00481B0A"/>
    <w:rsid w:val="00481E0B"/>
    <w:rsid w:val="00484415"/>
    <w:rsid w:val="00484531"/>
    <w:rsid w:val="0048537A"/>
    <w:rsid w:val="00487F5A"/>
    <w:rsid w:val="004915BF"/>
    <w:rsid w:val="00491C90"/>
    <w:rsid w:val="00492681"/>
    <w:rsid w:val="00492C1B"/>
    <w:rsid w:val="0049449D"/>
    <w:rsid w:val="004949CE"/>
    <w:rsid w:val="004949EA"/>
    <w:rsid w:val="00495427"/>
    <w:rsid w:val="004956B5"/>
    <w:rsid w:val="00495D96"/>
    <w:rsid w:val="00496A00"/>
    <w:rsid w:val="004973A5"/>
    <w:rsid w:val="004A1CDC"/>
    <w:rsid w:val="004A3E68"/>
    <w:rsid w:val="004A3FBF"/>
    <w:rsid w:val="004A48DE"/>
    <w:rsid w:val="004A4ACA"/>
    <w:rsid w:val="004A6567"/>
    <w:rsid w:val="004A6B21"/>
    <w:rsid w:val="004A755D"/>
    <w:rsid w:val="004A761F"/>
    <w:rsid w:val="004B03B7"/>
    <w:rsid w:val="004B0F7F"/>
    <w:rsid w:val="004B1319"/>
    <w:rsid w:val="004B25FA"/>
    <w:rsid w:val="004B3229"/>
    <w:rsid w:val="004B32A8"/>
    <w:rsid w:val="004B35C7"/>
    <w:rsid w:val="004B3951"/>
    <w:rsid w:val="004B48E2"/>
    <w:rsid w:val="004B4DE9"/>
    <w:rsid w:val="004B5489"/>
    <w:rsid w:val="004B590A"/>
    <w:rsid w:val="004B5AFA"/>
    <w:rsid w:val="004B6475"/>
    <w:rsid w:val="004B7148"/>
    <w:rsid w:val="004C3963"/>
    <w:rsid w:val="004C3B4B"/>
    <w:rsid w:val="004C3E59"/>
    <w:rsid w:val="004C49D5"/>
    <w:rsid w:val="004C520C"/>
    <w:rsid w:val="004C62C2"/>
    <w:rsid w:val="004C6A63"/>
    <w:rsid w:val="004C7BE0"/>
    <w:rsid w:val="004C7F56"/>
    <w:rsid w:val="004D3BE9"/>
    <w:rsid w:val="004D4E56"/>
    <w:rsid w:val="004D5106"/>
    <w:rsid w:val="004D5515"/>
    <w:rsid w:val="004D5EB2"/>
    <w:rsid w:val="004D637D"/>
    <w:rsid w:val="004D6D3A"/>
    <w:rsid w:val="004D706C"/>
    <w:rsid w:val="004E0D77"/>
    <w:rsid w:val="004E1F0F"/>
    <w:rsid w:val="004E2A91"/>
    <w:rsid w:val="004E41F5"/>
    <w:rsid w:val="004E4949"/>
    <w:rsid w:val="004E4F1B"/>
    <w:rsid w:val="004F0CCE"/>
    <w:rsid w:val="004F1998"/>
    <w:rsid w:val="004F2455"/>
    <w:rsid w:val="004F371F"/>
    <w:rsid w:val="004F3CAF"/>
    <w:rsid w:val="004F4973"/>
    <w:rsid w:val="004F5385"/>
    <w:rsid w:val="004F673F"/>
    <w:rsid w:val="004F7062"/>
    <w:rsid w:val="005008B5"/>
    <w:rsid w:val="00501225"/>
    <w:rsid w:val="005035E6"/>
    <w:rsid w:val="00503A85"/>
    <w:rsid w:val="00503F72"/>
    <w:rsid w:val="005042CE"/>
    <w:rsid w:val="00504F21"/>
    <w:rsid w:val="00506328"/>
    <w:rsid w:val="00506772"/>
    <w:rsid w:val="0050680B"/>
    <w:rsid w:val="0050713D"/>
    <w:rsid w:val="00507623"/>
    <w:rsid w:val="00507769"/>
    <w:rsid w:val="00507A01"/>
    <w:rsid w:val="00511B9E"/>
    <w:rsid w:val="00512199"/>
    <w:rsid w:val="00512A10"/>
    <w:rsid w:val="00512BC1"/>
    <w:rsid w:val="005132CC"/>
    <w:rsid w:val="00513F76"/>
    <w:rsid w:val="00514041"/>
    <w:rsid w:val="005176AE"/>
    <w:rsid w:val="00517FDE"/>
    <w:rsid w:val="00520616"/>
    <w:rsid w:val="005210F2"/>
    <w:rsid w:val="005220D5"/>
    <w:rsid w:val="00523810"/>
    <w:rsid w:val="00523EF9"/>
    <w:rsid w:val="00523F10"/>
    <w:rsid w:val="005245ED"/>
    <w:rsid w:val="005247D1"/>
    <w:rsid w:val="005257BC"/>
    <w:rsid w:val="005258EC"/>
    <w:rsid w:val="00525FDB"/>
    <w:rsid w:val="00531645"/>
    <w:rsid w:val="00531CA1"/>
    <w:rsid w:val="005322F4"/>
    <w:rsid w:val="005322F7"/>
    <w:rsid w:val="0053240D"/>
    <w:rsid w:val="00532427"/>
    <w:rsid w:val="00532A17"/>
    <w:rsid w:val="00533DC5"/>
    <w:rsid w:val="00534A7C"/>
    <w:rsid w:val="0053502A"/>
    <w:rsid w:val="005363FE"/>
    <w:rsid w:val="00536960"/>
    <w:rsid w:val="00536970"/>
    <w:rsid w:val="0053757D"/>
    <w:rsid w:val="00537D3D"/>
    <w:rsid w:val="00540BAC"/>
    <w:rsid w:val="0054127A"/>
    <w:rsid w:val="005418D0"/>
    <w:rsid w:val="00541AE9"/>
    <w:rsid w:val="00541C99"/>
    <w:rsid w:val="00543FCC"/>
    <w:rsid w:val="0054400A"/>
    <w:rsid w:val="00544BB8"/>
    <w:rsid w:val="00546185"/>
    <w:rsid w:val="0054656F"/>
    <w:rsid w:val="00546B69"/>
    <w:rsid w:val="005478F1"/>
    <w:rsid w:val="00547E13"/>
    <w:rsid w:val="00552061"/>
    <w:rsid w:val="0055221C"/>
    <w:rsid w:val="005537B2"/>
    <w:rsid w:val="00554563"/>
    <w:rsid w:val="00554F34"/>
    <w:rsid w:val="00556150"/>
    <w:rsid w:val="00556576"/>
    <w:rsid w:val="005565B4"/>
    <w:rsid w:val="0055691D"/>
    <w:rsid w:val="00557232"/>
    <w:rsid w:val="00560AF3"/>
    <w:rsid w:val="00560FE3"/>
    <w:rsid w:val="0056148F"/>
    <w:rsid w:val="005618E0"/>
    <w:rsid w:val="00562902"/>
    <w:rsid w:val="00563715"/>
    <w:rsid w:val="00563BC7"/>
    <w:rsid w:val="00563FAC"/>
    <w:rsid w:val="0056488E"/>
    <w:rsid w:val="005649E4"/>
    <w:rsid w:val="00565002"/>
    <w:rsid w:val="00566701"/>
    <w:rsid w:val="005673AE"/>
    <w:rsid w:val="00567722"/>
    <w:rsid w:val="0056780C"/>
    <w:rsid w:val="0056786D"/>
    <w:rsid w:val="00567BD9"/>
    <w:rsid w:val="005705EC"/>
    <w:rsid w:val="005708D9"/>
    <w:rsid w:val="00571AD8"/>
    <w:rsid w:val="00571BDB"/>
    <w:rsid w:val="00572C6D"/>
    <w:rsid w:val="005735BD"/>
    <w:rsid w:val="00574319"/>
    <w:rsid w:val="0057451A"/>
    <w:rsid w:val="00574FC7"/>
    <w:rsid w:val="005754F9"/>
    <w:rsid w:val="00575AD1"/>
    <w:rsid w:val="005761CD"/>
    <w:rsid w:val="00577B6B"/>
    <w:rsid w:val="0058012B"/>
    <w:rsid w:val="00580CE6"/>
    <w:rsid w:val="00581AAC"/>
    <w:rsid w:val="00581C50"/>
    <w:rsid w:val="00584264"/>
    <w:rsid w:val="00584A83"/>
    <w:rsid w:val="0058568F"/>
    <w:rsid w:val="00585AE1"/>
    <w:rsid w:val="00586DC5"/>
    <w:rsid w:val="00587243"/>
    <w:rsid w:val="005875A2"/>
    <w:rsid w:val="00587FDF"/>
    <w:rsid w:val="005902B7"/>
    <w:rsid w:val="005910D3"/>
    <w:rsid w:val="00591E73"/>
    <w:rsid w:val="00592C09"/>
    <w:rsid w:val="005932CE"/>
    <w:rsid w:val="00593C2D"/>
    <w:rsid w:val="00594E73"/>
    <w:rsid w:val="005954AB"/>
    <w:rsid w:val="00595C92"/>
    <w:rsid w:val="00595D77"/>
    <w:rsid w:val="005965B7"/>
    <w:rsid w:val="005973C5"/>
    <w:rsid w:val="005A1B19"/>
    <w:rsid w:val="005A23CB"/>
    <w:rsid w:val="005A23E3"/>
    <w:rsid w:val="005A28C0"/>
    <w:rsid w:val="005A2AE8"/>
    <w:rsid w:val="005A2DEF"/>
    <w:rsid w:val="005A470B"/>
    <w:rsid w:val="005A5EF7"/>
    <w:rsid w:val="005A6CD3"/>
    <w:rsid w:val="005A7FBA"/>
    <w:rsid w:val="005B0E20"/>
    <w:rsid w:val="005B0FFF"/>
    <w:rsid w:val="005B2800"/>
    <w:rsid w:val="005B2E7C"/>
    <w:rsid w:val="005B3D68"/>
    <w:rsid w:val="005B4B0A"/>
    <w:rsid w:val="005B5248"/>
    <w:rsid w:val="005B59E4"/>
    <w:rsid w:val="005B608D"/>
    <w:rsid w:val="005C0834"/>
    <w:rsid w:val="005C0A4A"/>
    <w:rsid w:val="005C27FF"/>
    <w:rsid w:val="005C2CF2"/>
    <w:rsid w:val="005C3AB0"/>
    <w:rsid w:val="005C43B9"/>
    <w:rsid w:val="005C4BFC"/>
    <w:rsid w:val="005C4F6A"/>
    <w:rsid w:val="005C580A"/>
    <w:rsid w:val="005C6145"/>
    <w:rsid w:val="005C69F1"/>
    <w:rsid w:val="005D084A"/>
    <w:rsid w:val="005D1EB0"/>
    <w:rsid w:val="005D287A"/>
    <w:rsid w:val="005D3FEE"/>
    <w:rsid w:val="005D55EB"/>
    <w:rsid w:val="005D582B"/>
    <w:rsid w:val="005D653D"/>
    <w:rsid w:val="005D67D7"/>
    <w:rsid w:val="005D6BF2"/>
    <w:rsid w:val="005D76ED"/>
    <w:rsid w:val="005E126D"/>
    <w:rsid w:val="005E1460"/>
    <w:rsid w:val="005E1895"/>
    <w:rsid w:val="005E28A7"/>
    <w:rsid w:val="005E3F71"/>
    <w:rsid w:val="005E40EC"/>
    <w:rsid w:val="005E430A"/>
    <w:rsid w:val="005E468C"/>
    <w:rsid w:val="005E4AF6"/>
    <w:rsid w:val="005E4D87"/>
    <w:rsid w:val="005E563C"/>
    <w:rsid w:val="005E7648"/>
    <w:rsid w:val="005F06BC"/>
    <w:rsid w:val="005F0D50"/>
    <w:rsid w:val="005F0ED2"/>
    <w:rsid w:val="005F105A"/>
    <w:rsid w:val="005F141F"/>
    <w:rsid w:val="005F25DB"/>
    <w:rsid w:val="005F2999"/>
    <w:rsid w:val="005F2ABE"/>
    <w:rsid w:val="005F34AD"/>
    <w:rsid w:val="005F3BF3"/>
    <w:rsid w:val="005F47FE"/>
    <w:rsid w:val="005F48E5"/>
    <w:rsid w:val="005F4CFD"/>
    <w:rsid w:val="005F4FBD"/>
    <w:rsid w:val="005F63EA"/>
    <w:rsid w:val="005F71B5"/>
    <w:rsid w:val="005F752A"/>
    <w:rsid w:val="005F77D1"/>
    <w:rsid w:val="005F787D"/>
    <w:rsid w:val="005F78FC"/>
    <w:rsid w:val="006017AE"/>
    <w:rsid w:val="00601A81"/>
    <w:rsid w:val="00602777"/>
    <w:rsid w:val="00603735"/>
    <w:rsid w:val="00603796"/>
    <w:rsid w:val="00605976"/>
    <w:rsid w:val="00605B55"/>
    <w:rsid w:val="00607229"/>
    <w:rsid w:val="00607794"/>
    <w:rsid w:val="006078EE"/>
    <w:rsid w:val="00610E49"/>
    <w:rsid w:val="006112D5"/>
    <w:rsid w:val="006118B7"/>
    <w:rsid w:val="00611BB0"/>
    <w:rsid w:val="0061264C"/>
    <w:rsid w:val="00612B5A"/>
    <w:rsid w:val="006131FD"/>
    <w:rsid w:val="0061396F"/>
    <w:rsid w:val="00614E62"/>
    <w:rsid w:val="00615AB1"/>
    <w:rsid w:val="0061699B"/>
    <w:rsid w:val="00620BD8"/>
    <w:rsid w:val="00621567"/>
    <w:rsid w:val="00621B62"/>
    <w:rsid w:val="00622493"/>
    <w:rsid w:val="006244C5"/>
    <w:rsid w:val="006247A4"/>
    <w:rsid w:val="0062521D"/>
    <w:rsid w:val="0062623F"/>
    <w:rsid w:val="006265D0"/>
    <w:rsid w:val="00626B14"/>
    <w:rsid w:val="00627621"/>
    <w:rsid w:val="006319AB"/>
    <w:rsid w:val="00632087"/>
    <w:rsid w:val="0063239E"/>
    <w:rsid w:val="006325BF"/>
    <w:rsid w:val="00633451"/>
    <w:rsid w:val="00634EF5"/>
    <w:rsid w:val="00635DFA"/>
    <w:rsid w:val="00636EF2"/>
    <w:rsid w:val="0063784B"/>
    <w:rsid w:val="006379D8"/>
    <w:rsid w:val="00640366"/>
    <w:rsid w:val="00641BC5"/>
    <w:rsid w:val="00641DBB"/>
    <w:rsid w:val="00642368"/>
    <w:rsid w:val="00642B4F"/>
    <w:rsid w:val="00643054"/>
    <w:rsid w:val="00644912"/>
    <w:rsid w:val="00644A99"/>
    <w:rsid w:val="00645025"/>
    <w:rsid w:val="00645F7B"/>
    <w:rsid w:val="00646B98"/>
    <w:rsid w:val="00646BD8"/>
    <w:rsid w:val="006471F7"/>
    <w:rsid w:val="00647CDC"/>
    <w:rsid w:val="00647E5C"/>
    <w:rsid w:val="006503BF"/>
    <w:rsid w:val="00651AE7"/>
    <w:rsid w:val="00651FED"/>
    <w:rsid w:val="00653D62"/>
    <w:rsid w:val="006548B0"/>
    <w:rsid w:val="00654A33"/>
    <w:rsid w:val="00654C65"/>
    <w:rsid w:val="00660C88"/>
    <w:rsid w:val="0066125C"/>
    <w:rsid w:val="0066145F"/>
    <w:rsid w:val="006615BB"/>
    <w:rsid w:val="00662436"/>
    <w:rsid w:val="00662442"/>
    <w:rsid w:val="006644A7"/>
    <w:rsid w:val="00664CF4"/>
    <w:rsid w:val="00665E38"/>
    <w:rsid w:val="00666076"/>
    <w:rsid w:val="00666FA6"/>
    <w:rsid w:val="006674FE"/>
    <w:rsid w:val="00667943"/>
    <w:rsid w:val="00672057"/>
    <w:rsid w:val="006720B2"/>
    <w:rsid w:val="0067259B"/>
    <w:rsid w:val="0067373F"/>
    <w:rsid w:val="006737FD"/>
    <w:rsid w:val="00674D3D"/>
    <w:rsid w:val="00674E64"/>
    <w:rsid w:val="00674F04"/>
    <w:rsid w:val="0067541E"/>
    <w:rsid w:val="00675A38"/>
    <w:rsid w:val="00675BCA"/>
    <w:rsid w:val="00675D03"/>
    <w:rsid w:val="00675DC9"/>
    <w:rsid w:val="00676136"/>
    <w:rsid w:val="00676430"/>
    <w:rsid w:val="006768F4"/>
    <w:rsid w:val="006770C0"/>
    <w:rsid w:val="00680B2A"/>
    <w:rsid w:val="00680E7F"/>
    <w:rsid w:val="006810A1"/>
    <w:rsid w:val="006814E8"/>
    <w:rsid w:val="00681A2D"/>
    <w:rsid w:val="00681E06"/>
    <w:rsid w:val="00683077"/>
    <w:rsid w:val="00683147"/>
    <w:rsid w:val="00683471"/>
    <w:rsid w:val="00684936"/>
    <w:rsid w:val="00684B52"/>
    <w:rsid w:val="00686697"/>
    <w:rsid w:val="00686865"/>
    <w:rsid w:val="00686B93"/>
    <w:rsid w:val="0069001B"/>
    <w:rsid w:val="00691142"/>
    <w:rsid w:val="00692549"/>
    <w:rsid w:val="006928B0"/>
    <w:rsid w:val="00694EC7"/>
    <w:rsid w:val="00694FDE"/>
    <w:rsid w:val="00695301"/>
    <w:rsid w:val="0069623D"/>
    <w:rsid w:val="0069669E"/>
    <w:rsid w:val="00697212"/>
    <w:rsid w:val="006979A4"/>
    <w:rsid w:val="006A0695"/>
    <w:rsid w:val="006A07E2"/>
    <w:rsid w:val="006A0D06"/>
    <w:rsid w:val="006A21DD"/>
    <w:rsid w:val="006A24B2"/>
    <w:rsid w:val="006A2FFF"/>
    <w:rsid w:val="006A36DE"/>
    <w:rsid w:val="006A3C35"/>
    <w:rsid w:val="006A46B5"/>
    <w:rsid w:val="006A519E"/>
    <w:rsid w:val="006A75BE"/>
    <w:rsid w:val="006A7B98"/>
    <w:rsid w:val="006B03B7"/>
    <w:rsid w:val="006B0772"/>
    <w:rsid w:val="006B091C"/>
    <w:rsid w:val="006B232B"/>
    <w:rsid w:val="006B25F9"/>
    <w:rsid w:val="006B3631"/>
    <w:rsid w:val="006B42A2"/>
    <w:rsid w:val="006B4399"/>
    <w:rsid w:val="006B510B"/>
    <w:rsid w:val="006B5275"/>
    <w:rsid w:val="006B661A"/>
    <w:rsid w:val="006B7005"/>
    <w:rsid w:val="006B732D"/>
    <w:rsid w:val="006B7B06"/>
    <w:rsid w:val="006C05CC"/>
    <w:rsid w:val="006C0860"/>
    <w:rsid w:val="006C0DA8"/>
    <w:rsid w:val="006C1232"/>
    <w:rsid w:val="006C2AE6"/>
    <w:rsid w:val="006C32F3"/>
    <w:rsid w:val="006C41BA"/>
    <w:rsid w:val="006C46BD"/>
    <w:rsid w:val="006C4ED0"/>
    <w:rsid w:val="006D00E3"/>
    <w:rsid w:val="006D029C"/>
    <w:rsid w:val="006D02AD"/>
    <w:rsid w:val="006D1807"/>
    <w:rsid w:val="006D2DA6"/>
    <w:rsid w:val="006D34D8"/>
    <w:rsid w:val="006D48D2"/>
    <w:rsid w:val="006D5D7A"/>
    <w:rsid w:val="006D617B"/>
    <w:rsid w:val="006D6269"/>
    <w:rsid w:val="006D6EC8"/>
    <w:rsid w:val="006D77E4"/>
    <w:rsid w:val="006D77FB"/>
    <w:rsid w:val="006D7801"/>
    <w:rsid w:val="006E080E"/>
    <w:rsid w:val="006E1383"/>
    <w:rsid w:val="006E13C9"/>
    <w:rsid w:val="006E2753"/>
    <w:rsid w:val="006E30C0"/>
    <w:rsid w:val="006E4D0F"/>
    <w:rsid w:val="006E56D2"/>
    <w:rsid w:val="006E61B5"/>
    <w:rsid w:val="006F0353"/>
    <w:rsid w:val="006F062A"/>
    <w:rsid w:val="006F092B"/>
    <w:rsid w:val="006F3602"/>
    <w:rsid w:val="006F3CD5"/>
    <w:rsid w:val="006F474D"/>
    <w:rsid w:val="006F4B0A"/>
    <w:rsid w:val="006F55BC"/>
    <w:rsid w:val="006F5D99"/>
    <w:rsid w:val="006F61C9"/>
    <w:rsid w:val="006F683F"/>
    <w:rsid w:val="006F778E"/>
    <w:rsid w:val="00700283"/>
    <w:rsid w:val="007005C7"/>
    <w:rsid w:val="00700E7B"/>
    <w:rsid w:val="00701D1E"/>
    <w:rsid w:val="007032C6"/>
    <w:rsid w:val="0070404D"/>
    <w:rsid w:val="00705321"/>
    <w:rsid w:val="00705B96"/>
    <w:rsid w:val="00705DDB"/>
    <w:rsid w:val="007065CB"/>
    <w:rsid w:val="00707D49"/>
    <w:rsid w:val="00711150"/>
    <w:rsid w:val="007115CE"/>
    <w:rsid w:val="00713C40"/>
    <w:rsid w:val="00714A12"/>
    <w:rsid w:val="007150D1"/>
    <w:rsid w:val="00715B2B"/>
    <w:rsid w:val="00716541"/>
    <w:rsid w:val="00716C9F"/>
    <w:rsid w:val="00720386"/>
    <w:rsid w:val="00720CB0"/>
    <w:rsid w:val="007212B9"/>
    <w:rsid w:val="00721679"/>
    <w:rsid w:val="00722113"/>
    <w:rsid w:val="007222BF"/>
    <w:rsid w:val="007222D3"/>
    <w:rsid w:val="007226B0"/>
    <w:rsid w:val="0072365F"/>
    <w:rsid w:val="00723775"/>
    <w:rsid w:val="00724A0B"/>
    <w:rsid w:val="00724FA2"/>
    <w:rsid w:val="00726301"/>
    <w:rsid w:val="00730928"/>
    <w:rsid w:val="00731184"/>
    <w:rsid w:val="007312B2"/>
    <w:rsid w:val="00731506"/>
    <w:rsid w:val="007331C9"/>
    <w:rsid w:val="007331CA"/>
    <w:rsid w:val="00733BF3"/>
    <w:rsid w:val="00735010"/>
    <w:rsid w:val="007371EE"/>
    <w:rsid w:val="007422E6"/>
    <w:rsid w:val="00742D47"/>
    <w:rsid w:val="007430D5"/>
    <w:rsid w:val="00743B3A"/>
    <w:rsid w:val="00744DA0"/>
    <w:rsid w:val="00744F1C"/>
    <w:rsid w:val="00745051"/>
    <w:rsid w:val="00746BA0"/>
    <w:rsid w:val="0075172A"/>
    <w:rsid w:val="00752D49"/>
    <w:rsid w:val="00754F1C"/>
    <w:rsid w:val="0075699F"/>
    <w:rsid w:val="00757001"/>
    <w:rsid w:val="00757487"/>
    <w:rsid w:val="007574A7"/>
    <w:rsid w:val="00757ECE"/>
    <w:rsid w:val="00760546"/>
    <w:rsid w:val="00760709"/>
    <w:rsid w:val="0076075B"/>
    <w:rsid w:val="00760AAB"/>
    <w:rsid w:val="00761B9C"/>
    <w:rsid w:val="007621EB"/>
    <w:rsid w:val="007625C7"/>
    <w:rsid w:val="0076348A"/>
    <w:rsid w:val="007645F4"/>
    <w:rsid w:val="00764B74"/>
    <w:rsid w:val="007679F6"/>
    <w:rsid w:val="007706CD"/>
    <w:rsid w:val="00771B52"/>
    <w:rsid w:val="00771E62"/>
    <w:rsid w:val="00772C0C"/>
    <w:rsid w:val="00772E74"/>
    <w:rsid w:val="007730F1"/>
    <w:rsid w:val="00773504"/>
    <w:rsid w:val="007745B1"/>
    <w:rsid w:val="00774722"/>
    <w:rsid w:val="00774B37"/>
    <w:rsid w:val="00774E97"/>
    <w:rsid w:val="00775658"/>
    <w:rsid w:val="007757E0"/>
    <w:rsid w:val="00775FB1"/>
    <w:rsid w:val="00776172"/>
    <w:rsid w:val="00776204"/>
    <w:rsid w:val="0077636B"/>
    <w:rsid w:val="00780FCD"/>
    <w:rsid w:val="007812D0"/>
    <w:rsid w:val="00782C45"/>
    <w:rsid w:val="00783B33"/>
    <w:rsid w:val="0078601C"/>
    <w:rsid w:val="00786C2D"/>
    <w:rsid w:val="00787356"/>
    <w:rsid w:val="007906E7"/>
    <w:rsid w:val="00791EFE"/>
    <w:rsid w:val="0079299C"/>
    <w:rsid w:val="00792BCB"/>
    <w:rsid w:val="007953CB"/>
    <w:rsid w:val="00795453"/>
    <w:rsid w:val="00795827"/>
    <w:rsid w:val="00796168"/>
    <w:rsid w:val="0079695A"/>
    <w:rsid w:val="007A0C3B"/>
    <w:rsid w:val="007A134D"/>
    <w:rsid w:val="007A1BC0"/>
    <w:rsid w:val="007A1BDE"/>
    <w:rsid w:val="007A33F4"/>
    <w:rsid w:val="007A396E"/>
    <w:rsid w:val="007A43A4"/>
    <w:rsid w:val="007A4D36"/>
    <w:rsid w:val="007A60C6"/>
    <w:rsid w:val="007A71FC"/>
    <w:rsid w:val="007A73CF"/>
    <w:rsid w:val="007A7CFC"/>
    <w:rsid w:val="007A7D6F"/>
    <w:rsid w:val="007B023E"/>
    <w:rsid w:val="007B07AD"/>
    <w:rsid w:val="007B1177"/>
    <w:rsid w:val="007B11E5"/>
    <w:rsid w:val="007B12AD"/>
    <w:rsid w:val="007B177B"/>
    <w:rsid w:val="007B2997"/>
    <w:rsid w:val="007B406D"/>
    <w:rsid w:val="007B48B4"/>
    <w:rsid w:val="007B4D83"/>
    <w:rsid w:val="007B5044"/>
    <w:rsid w:val="007B5BEE"/>
    <w:rsid w:val="007B7FE5"/>
    <w:rsid w:val="007C1AB4"/>
    <w:rsid w:val="007C24FB"/>
    <w:rsid w:val="007C3313"/>
    <w:rsid w:val="007C3978"/>
    <w:rsid w:val="007C5307"/>
    <w:rsid w:val="007C58CD"/>
    <w:rsid w:val="007C6C4C"/>
    <w:rsid w:val="007C7213"/>
    <w:rsid w:val="007C73C8"/>
    <w:rsid w:val="007C754E"/>
    <w:rsid w:val="007D03C6"/>
    <w:rsid w:val="007D1B94"/>
    <w:rsid w:val="007D29E8"/>
    <w:rsid w:val="007D2EB0"/>
    <w:rsid w:val="007D32B1"/>
    <w:rsid w:val="007D42A3"/>
    <w:rsid w:val="007D47E1"/>
    <w:rsid w:val="007D5FC1"/>
    <w:rsid w:val="007D6021"/>
    <w:rsid w:val="007D6293"/>
    <w:rsid w:val="007D6514"/>
    <w:rsid w:val="007D65AF"/>
    <w:rsid w:val="007D69A2"/>
    <w:rsid w:val="007D6C5B"/>
    <w:rsid w:val="007D6EC2"/>
    <w:rsid w:val="007D74B2"/>
    <w:rsid w:val="007D7512"/>
    <w:rsid w:val="007E0707"/>
    <w:rsid w:val="007E0AA8"/>
    <w:rsid w:val="007E17DE"/>
    <w:rsid w:val="007E292C"/>
    <w:rsid w:val="007E34E9"/>
    <w:rsid w:val="007E3A05"/>
    <w:rsid w:val="007E3C05"/>
    <w:rsid w:val="007E3F38"/>
    <w:rsid w:val="007E4122"/>
    <w:rsid w:val="007E4F25"/>
    <w:rsid w:val="007E5594"/>
    <w:rsid w:val="007E63BC"/>
    <w:rsid w:val="007E6D8F"/>
    <w:rsid w:val="007E71F8"/>
    <w:rsid w:val="007E76C4"/>
    <w:rsid w:val="007E7764"/>
    <w:rsid w:val="007E7AEE"/>
    <w:rsid w:val="007F046A"/>
    <w:rsid w:val="007F1E08"/>
    <w:rsid w:val="007F2080"/>
    <w:rsid w:val="007F264D"/>
    <w:rsid w:val="007F26B1"/>
    <w:rsid w:val="007F3174"/>
    <w:rsid w:val="007F3680"/>
    <w:rsid w:val="007F4AF8"/>
    <w:rsid w:val="007F5F6C"/>
    <w:rsid w:val="007F614E"/>
    <w:rsid w:val="007F78E0"/>
    <w:rsid w:val="00800273"/>
    <w:rsid w:val="00800499"/>
    <w:rsid w:val="0080070A"/>
    <w:rsid w:val="008007A4"/>
    <w:rsid w:val="00801B4D"/>
    <w:rsid w:val="00803E00"/>
    <w:rsid w:val="00803FB4"/>
    <w:rsid w:val="0080487D"/>
    <w:rsid w:val="0080514A"/>
    <w:rsid w:val="008051C3"/>
    <w:rsid w:val="00806A0F"/>
    <w:rsid w:val="00806F49"/>
    <w:rsid w:val="008078BA"/>
    <w:rsid w:val="00811659"/>
    <w:rsid w:val="0081286F"/>
    <w:rsid w:val="00814D56"/>
    <w:rsid w:val="00815D04"/>
    <w:rsid w:val="008161FC"/>
    <w:rsid w:val="00817A29"/>
    <w:rsid w:val="00820773"/>
    <w:rsid w:val="00822F44"/>
    <w:rsid w:val="0082414E"/>
    <w:rsid w:val="008241E2"/>
    <w:rsid w:val="00824379"/>
    <w:rsid w:val="008243EC"/>
    <w:rsid w:val="00824F3C"/>
    <w:rsid w:val="0082535D"/>
    <w:rsid w:val="00825361"/>
    <w:rsid w:val="0082717C"/>
    <w:rsid w:val="00827376"/>
    <w:rsid w:val="00827CD6"/>
    <w:rsid w:val="00830A8A"/>
    <w:rsid w:val="00831A80"/>
    <w:rsid w:val="00832C6B"/>
    <w:rsid w:val="00833398"/>
    <w:rsid w:val="00833F86"/>
    <w:rsid w:val="008341DC"/>
    <w:rsid w:val="00834F83"/>
    <w:rsid w:val="00835125"/>
    <w:rsid w:val="008351E5"/>
    <w:rsid w:val="008351F5"/>
    <w:rsid w:val="00836D62"/>
    <w:rsid w:val="00840EAF"/>
    <w:rsid w:val="00841592"/>
    <w:rsid w:val="00842C51"/>
    <w:rsid w:val="00844672"/>
    <w:rsid w:val="00844B2D"/>
    <w:rsid w:val="00844D51"/>
    <w:rsid w:val="00844E94"/>
    <w:rsid w:val="00845071"/>
    <w:rsid w:val="00846B68"/>
    <w:rsid w:val="0084754B"/>
    <w:rsid w:val="0085092E"/>
    <w:rsid w:val="00851159"/>
    <w:rsid w:val="00852E0D"/>
    <w:rsid w:val="008531E6"/>
    <w:rsid w:val="00853310"/>
    <w:rsid w:val="00853925"/>
    <w:rsid w:val="0085423C"/>
    <w:rsid w:val="008545EF"/>
    <w:rsid w:val="00854C61"/>
    <w:rsid w:val="008550C5"/>
    <w:rsid w:val="008551D5"/>
    <w:rsid w:val="00855570"/>
    <w:rsid w:val="00855CC0"/>
    <w:rsid w:val="008561FB"/>
    <w:rsid w:val="00857DA4"/>
    <w:rsid w:val="008603C7"/>
    <w:rsid w:val="00862072"/>
    <w:rsid w:val="0086231F"/>
    <w:rsid w:val="00862757"/>
    <w:rsid w:val="00862BDA"/>
    <w:rsid w:val="00862F43"/>
    <w:rsid w:val="008635D9"/>
    <w:rsid w:val="00863F71"/>
    <w:rsid w:val="0086646F"/>
    <w:rsid w:val="008704B8"/>
    <w:rsid w:val="00870D56"/>
    <w:rsid w:val="008710BD"/>
    <w:rsid w:val="008711D3"/>
    <w:rsid w:val="008719BB"/>
    <w:rsid w:val="00872648"/>
    <w:rsid w:val="00872D9F"/>
    <w:rsid w:val="0087348D"/>
    <w:rsid w:val="00874116"/>
    <w:rsid w:val="00874212"/>
    <w:rsid w:val="008745EA"/>
    <w:rsid w:val="0087474F"/>
    <w:rsid w:val="00874F27"/>
    <w:rsid w:val="008756C4"/>
    <w:rsid w:val="00876B35"/>
    <w:rsid w:val="008807C8"/>
    <w:rsid w:val="00880968"/>
    <w:rsid w:val="0088147D"/>
    <w:rsid w:val="00881EE6"/>
    <w:rsid w:val="008821C8"/>
    <w:rsid w:val="008821F9"/>
    <w:rsid w:val="0088235D"/>
    <w:rsid w:val="00882836"/>
    <w:rsid w:val="00883771"/>
    <w:rsid w:val="00883DA7"/>
    <w:rsid w:val="008845A7"/>
    <w:rsid w:val="00884D69"/>
    <w:rsid w:val="0089057F"/>
    <w:rsid w:val="008908A2"/>
    <w:rsid w:val="00890B83"/>
    <w:rsid w:val="00890BD4"/>
    <w:rsid w:val="008912B6"/>
    <w:rsid w:val="0089131A"/>
    <w:rsid w:val="00892F4F"/>
    <w:rsid w:val="008958A7"/>
    <w:rsid w:val="00895C3F"/>
    <w:rsid w:val="00896003"/>
    <w:rsid w:val="008A1632"/>
    <w:rsid w:val="008A283C"/>
    <w:rsid w:val="008A2C23"/>
    <w:rsid w:val="008A3512"/>
    <w:rsid w:val="008A35F9"/>
    <w:rsid w:val="008A37EA"/>
    <w:rsid w:val="008A402C"/>
    <w:rsid w:val="008A6C33"/>
    <w:rsid w:val="008A7E0C"/>
    <w:rsid w:val="008B0BF0"/>
    <w:rsid w:val="008B2216"/>
    <w:rsid w:val="008B2DE3"/>
    <w:rsid w:val="008B3165"/>
    <w:rsid w:val="008B3DF5"/>
    <w:rsid w:val="008B3F59"/>
    <w:rsid w:val="008B4FCE"/>
    <w:rsid w:val="008B54E9"/>
    <w:rsid w:val="008B7D33"/>
    <w:rsid w:val="008C01C0"/>
    <w:rsid w:val="008C1207"/>
    <w:rsid w:val="008C1324"/>
    <w:rsid w:val="008C199C"/>
    <w:rsid w:val="008C2141"/>
    <w:rsid w:val="008C26B6"/>
    <w:rsid w:val="008C2B99"/>
    <w:rsid w:val="008C53B2"/>
    <w:rsid w:val="008C6156"/>
    <w:rsid w:val="008C61EB"/>
    <w:rsid w:val="008C68CF"/>
    <w:rsid w:val="008C707C"/>
    <w:rsid w:val="008C7CCA"/>
    <w:rsid w:val="008C7FC2"/>
    <w:rsid w:val="008D0C87"/>
    <w:rsid w:val="008D0F41"/>
    <w:rsid w:val="008D117A"/>
    <w:rsid w:val="008D32C9"/>
    <w:rsid w:val="008D33F5"/>
    <w:rsid w:val="008D4898"/>
    <w:rsid w:val="008D53BD"/>
    <w:rsid w:val="008D6106"/>
    <w:rsid w:val="008D6B2B"/>
    <w:rsid w:val="008D7323"/>
    <w:rsid w:val="008D7B90"/>
    <w:rsid w:val="008E0C30"/>
    <w:rsid w:val="008E0FB4"/>
    <w:rsid w:val="008E11C0"/>
    <w:rsid w:val="008E2D13"/>
    <w:rsid w:val="008E2EFE"/>
    <w:rsid w:val="008E5794"/>
    <w:rsid w:val="008E5AA1"/>
    <w:rsid w:val="008E709B"/>
    <w:rsid w:val="008E7532"/>
    <w:rsid w:val="008E7A0E"/>
    <w:rsid w:val="008E7BF3"/>
    <w:rsid w:val="008F0996"/>
    <w:rsid w:val="008F11B8"/>
    <w:rsid w:val="008F15FB"/>
    <w:rsid w:val="008F19A6"/>
    <w:rsid w:val="008F3992"/>
    <w:rsid w:val="008F3C69"/>
    <w:rsid w:val="008F430E"/>
    <w:rsid w:val="008F485E"/>
    <w:rsid w:val="008F536B"/>
    <w:rsid w:val="008F5A3E"/>
    <w:rsid w:val="008F5AC7"/>
    <w:rsid w:val="008F5CAC"/>
    <w:rsid w:val="008F7F26"/>
    <w:rsid w:val="008F7F49"/>
    <w:rsid w:val="00900510"/>
    <w:rsid w:val="00901B3A"/>
    <w:rsid w:val="00901E12"/>
    <w:rsid w:val="0090265E"/>
    <w:rsid w:val="0090274F"/>
    <w:rsid w:val="009040BB"/>
    <w:rsid w:val="0090561E"/>
    <w:rsid w:val="00910166"/>
    <w:rsid w:val="009111ED"/>
    <w:rsid w:val="00911A7E"/>
    <w:rsid w:val="009129A8"/>
    <w:rsid w:val="0091372B"/>
    <w:rsid w:val="0091374B"/>
    <w:rsid w:val="0091397A"/>
    <w:rsid w:val="00913F9E"/>
    <w:rsid w:val="00914072"/>
    <w:rsid w:val="0091451F"/>
    <w:rsid w:val="00915724"/>
    <w:rsid w:val="00915AF7"/>
    <w:rsid w:val="00916608"/>
    <w:rsid w:val="00916690"/>
    <w:rsid w:val="00917672"/>
    <w:rsid w:val="00920254"/>
    <w:rsid w:val="00920832"/>
    <w:rsid w:val="00921A3F"/>
    <w:rsid w:val="00921DF9"/>
    <w:rsid w:val="00922791"/>
    <w:rsid w:val="00922DDB"/>
    <w:rsid w:val="00923B5C"/>
    <w:rsid w:val="00923CE2"/>
    <w:rsid w:val="00924407"/>
    <w:rsid w:val="00924ECC"/>
    <w:rsid w:val="009253CD"/>
    <w:rsid w:val="0092552C"/>
    <w:rsid w:val="00926037"/>
    <w:rsid w:val="009266B9"/>
    <w:rsid w:val="00926782"/>
    <w:rsid w:val="009267CE"/>
    <w:rsid w:val="00927730"/>
    <w:rsid w:val="00927C1C"/>
    <w:rsid w:val="00930628"/>
    <w:rsid w:val="00930EF5"/>
    <w:rsid w:val="009319CC"/>
    <w:rsid w:val="0093239F"/>
    <w:rsid w:val="00932499"/>
    <w:rsid w:val="00933BBA"/>
    <w:rsid w:val="00933CE2"/>
    <w:rsid w:val="00934CC5"/>
    <w:rsid w:val="0093596E"/>
    <w:rsid w:val="00937D77"/>
    <w:rsid w:val="00940581"/>
    <w:rsid w:val="00940CD2"/>
    <w:rsid w:val="00940E21"/>
    <w:rsid w:val="00941E3D"/>
    <w:rsid w:val="00942B90"/>
    <w:rsid w:val="0094358B"/>
    <w:rsid w:val="00943E89"/>
    <w:rsid w:val="00944641"/>
    <w:rsid w:val="00947190"/>
    <w:rsid w:val="00947350"/>
    <w:rsid w:val="0095053B"/>
    <w:rsid w:val="009507BF"/>
    <w:rsid w:val="0095092E"/>
    <w:rsid w:val="00950DA3"/>
    <w:rsid w:val="0095147B"/>
    <w:rsid w:val="00953175"/>
    <w:rsid w:val="00954789"/>
    <w:rsid w:val="009549C8"/>
    <w:rsid w:val="0095543B"/>
    <w:rsid w:val="00955E02"/>
    <w:rsid w:val="00957CC6"/>
    <w:rsid w:val="00957E6C"/>
    <w:rsid w:val="00960B08"/>
    <w:rsid w:val="00960C22"/>
    <w:rsid w:val="009621A9"/>
    <w:rsid w:val="009637E0"/>
    <w:rsid w:val="00963840"/>
    <w:rsid w:val="00964C70"/>
    <w:rsid w:val="00964ED6"/>
    <w:rsid w:val="009660F0"/>
    <w:rsid w:val="0096627E"/>
    <w:rsid w:val="009663EF"/>
    <w:rsid w:val="00967089"/>
    <w:rsid w:val="00967D1D"/>
    <w:rsid w:val="009704D0"/>
    <w:rsid w:val="00971BB5"/>
    <w:rsid w:val="00971BC5"/>
    <w:rsid w:val="00972496"/>
    <w:rsid w:val="009732C1"/>
    <w:rsid w:val="00974128"/>
    <w:rsid w:val="00974360"/>
    <w:rsid w:val="00975131"/>
    <w:rsid w:val="00975486"/>
    <w:rsid w:val="00977341"/>
    <w:rsid w:val="00977598"/>
    <w:rsid w:val="00977F9F"/>
    <w:rsid w:val="0098236B"/>
    <w:rsid w:val="00982514"/>
    <w:rsid w:val="00983117"/>
    <w:rsid w:val="0098448E"/>
    <w:rsid w:val="0098575B"/>
    <w:rsid w:val="00985AE3"/>
    <w:rsid w:val="00985FC6"/>
    <w:rsid w:val="00986217"/>
    <w:rsid w:val="00986A36"/>
    <w:rsid w:val="009873A0"/>
    <w:rsid w:val="00987545"/>
    <w:rsid w:val="00990FDB"/>
    <w:rsid w:val="00991765"/>
    <w:rsid w:val="00991B17"/>
    <w:rsid w:val="00991BF9"/>
    <w:rsid w:val="00991D3F"/>
    <w:rsid w:val="00993EBD"/>
    <w:rsid w:val="00994321"/>
    <w:rsid w:val="009943E0"/>
    <w:rsid w:val="00994B79"/>
    <w:rsid w:val="0099569C"/>
    <w:rsid w:val="00996027"/>
    <w:rsid w:val="00996206"/>
    <w:rsid w:val="00996EB8"/>
    <w:rsid w:val="00997636"/>
    <w:rsid w:val="009A072E"/>
    <w:rsid w:val="009A13E5"/>
    <w:rsid w:val="009A163F"/>
    <w:rsid w:val="009A1735"/>
    <w:rsid w:val="009A279F"/>
    <w:rsid w:val="009A291E"/>
    <w:rsid w:val="009A2D4D"/>
    <w:rsid w:val="009A4641"/>
    <w:rsid w:val="009A500D"/>
    <w:rsid w:val="009A544E"/>
    <w:rsid w:val="009A5C85"/>
    <w:rsid w:val="009A5ED8"/>
    <w:rsid w:val="009A69C1"/>
    <w:rsid w:val="009A6D9B"/>
    <w:rsid w:val="009B1725"/>
    <w:rsid w:val="009B1BB4"/>
    <w:rsid w:val="009B1D23"/>
    <w:rsid w:val="009B2298"/>
    <w:rsid w:val="009B2CBC"/>
    <w:rsid w:val="009B31E4"/>
    <w:rsid w:val="009B3932"/>
    <w:rsid w:val="009B4454"/>
    <w:rsid w:val="009B6594"/>
    <w:rsid w:val="009B6780"/>
    <w:rsid w:val="009B6954"/>
    <w:rsid w:val="009B79D2"/>
    <w:rsid w:val="009C0363"/>
    <w:rsid w:val="009C07AC"/>
    <w:rsid w:val="009C18A0"/>
    <w:rsid w:val="009C2514"/>
    <w:rsid w:val="009C3200"/>
    <w:rsid w:val="009C4E19"/>
    <w:rsid w:val="009C4E58"/>
    <w:rsid w:val="009C52B4"/>
    <w:rsid w:val="009C592D"/>
    <w:rsid w:val="009C5CF9"/>
    <w:rsid w:val="009D0C73"/>
    <w:rsid w:val="009D1C39"/>
    <w:rsid w:val="009D22E9"/>
    <w:rsid w:val="009D2424"/>
    <w:rsid w:val="009D26E1"/>
    <w:rsid w:val="009D2DCB"/>
    <w:rsid w:val="009D3053"/>
    <w:rsid w:val="009D4459"/>
    <w:rsid w:val="009D44B0"/>
    <w:rsid w:val="009D5A4E"/>
    <w:rsid w:val="009D5A8F"/>
    <w:rsid w:val="009D6115"/>
    <w:rsid w:val="009D794C"/>
    <w:rsid w:val="009E0DAD"/>
    <w:rsid w:val="009E1C38"/>
    <w:rsid w:val="009E2F4C"/>
    <w:rsid w:val="009E3E32"/>
    <w:rsid w:val="009E6150"/>
    <w:rsid w:val="009E6B9F"/>
    <w:rsid w:val="009E783C"/>
    <w:rsid w:val="009E7CFF"/>
    <w:rsid w:val="009F0918"/>
    <w:rsid w:val="009F1B85"/>
    <w:rsid w:val="009F2BD6"/>
    <w:rsid w:val="009F3A59"/>
    <w:rsid w:val="009F7398"/>
    <w:rsid w:val="00A01971"/>
    <w:rsid w:val="00A02108"/>
    <w:rsid w:val="00A027F5"/>
    <w:rsid w:val="00A034BD"/>
    <w:rsid w:val="00A04529"/>
    <w:rsid w:val="00A057E6"/>
    <w:rsid w:val="00A05F70"/>
    <w:rsid w:val="00A0645C"/>
    <w:rsid w:val="00A0684E"/>
    <w:rsid w:val="00A0719E"/>
    <w:rsid w:val="00A10D91"/>
    <w:rsid w:val="00A115F3"/>
    <w:rsid w:val="00A11BA7"/>
    <w:rsid w:val="00A133CB"/>
    <w:rsid w:val="00A13AC5"/>
    <w:rsid w:val="00A13CEE"/>
    <w:rsid w:val="00A13FAF"/>
    <w:rsid w:val="00A1455D"/>
    <w:rsid w:val="00A176E9"/>
    <w:rsid w:val="00A177EB"/>
    <w:rsid w:val="00A17C16"/>
    <w:rsid w:val="00A17FE1"/>
    <w:rsid w:val="00A2082E"/>
    <w:rsid w:val="00A209F3"/>
    <w:rsid w:val="00A20BA1"/>
    <w:rsid w:val="00A21862"/>
    <w:rsid w:val="00A22B4B"/>
    <w:rsid w:val="00A22C63"/>
    <w:rsid w:val="00A2380E"/>
    <w:rsid w:val="00A244DC"/>
    <w:rsid w:val="00A25991"/>
    <w:rsid w:val="00A25B6D"/>
    <w:rsid w:val="00A2601C"/>
    <w:rsid w:val="00A26659"/>
    <w:rsid w:val="00A2720A"/>
    <w:rsid w:val="00A2769D"/>
    <w:rsid w:val="00A27770"/>
    <w:rsid w:val="00A27CD2"/>
    <w:rsid w:val="00A30964"/>
    <w:rsid w:val="00A31B61"/>
    <w:rsid w:val="00A332C6"/>
    <w:rsid w:val="00A33CE0"/>
    <w:rsid w:val="00A345BE"/>
    <w:rsid w:val="00A34AAC"/>
    <w:rsid w:val="00A34D90"/>
    <w:rsid w:val="00A354A3"/>
    <w:rsid w:val="00A36D71"/>
    <w:rsid w:val="00A3727C"/>
    <w:rsid w:val="00A3728F"/>
    <w:rsid w:val="00A374BF"/>
    <w:rsid w:val="00A37B12"/>
    <w:rsid w:val="00A410B6"/>
    <w:rsid w:val="00A412B9"/>
    <w:rsid w:val="00A41A38"/>
    <w:rsid w:val="00A42492"/>
    <w:rsid w:val="00A43153"/>
    <w:rsid w:val="00A442BA"/>
    <w:rsid w:val="00A44DA9"/>
    <w:rsid w:val="00A44E3A"/>
    <w:rsid w:val="00A45B3B"/>
    <w:rsid w:val="00A46671"/>
    <w:rsid w:val="00A477B1"/>
    <w:rsid w:val="00A47F0E"/>
    <w:rsid w:val="00A51CF3"/>
    <w:rsid w:val="00A53785"/>
    <w:rsid w:val="00A544B6"/>
    <w:rsid w:val="00A549EB"/>
    <w:rsid w:val="00A54BF0"/>
    <w:rsid w:val="00A55A8D"/>
    <w:rsid w:val="00A5618F"/>
    <w:rsid w:val="00A56438"/>
    <w:rsid w:val="00A5676B"/>
    <w:rsid w:val="00A57187"/>
    <w:rsid w:val="00A57E2D"/>
    <w:rsid w:val="00A61A5C"/>
    <w:rsid w:val="00A61B0B"/>
    <w:rsid w:val="00A61C24"/>
    <w:rsid w:val="00A62CB1"/>
    <w:rsid w:val="00A63B02"/>
    <w:rsid w:val="00A63CD5"/>
    <w:rsid w:val="00A6520B"/>
    <w:rsid w:val="00A666AC"/>
    <w:rsid w:val="00A66BE8"/>
    <w:rsid w:val="00A670F2"/>
    <w:rsid w:val="00A671EA"/>
    <w:rsid w:val="00A70DA3"/>
    <w:rsid w:val="00A711A7"/>
    <w:rsid w:val="00A713FA"/>
    <w:rsid w:val="00A71B98"/>
    <w:rsid w:val="00A737D5"/>
    <w:rsid w:val="00A740FB"/>
    <w:rsid w:val="00A7447B"/>
    <w:rsid w:val="00A7490A"/>
    <w:rsid w:val="00A75229"/>
    <w:rsid w:val="00A7613F"/>
    <w:rsid w:val="00A7769C"/>
    <w:rsid w:val="00A77FAE"/>
    <w:rsid w:val="00A80A1C"/>
    <w:rsid w:val="00A80B89"/>
    <w:rsid w:val="00A819AA"/>
    <w:rsid w:val="00A81A39"/>
    <w:rsid w:val="00A824F9"/>
    <w:rsid w:val="00A837E2"/>
    <w:rsid w:val="00A837FC"/>
    <w:rsid w:val="00A8449B"/>
    <w:rsid w:val="00A85D6C"/>
    <w:rsid w:val="00A85E12"/>
    <w:rsid w:val="00A861C3"/>
    <w:rsid w:val="00A86668"/>
    <w:rsid w:val="00A879AD"/>
    <w:rsid w:val="00A905A9"/>
    <w:rsid w:val="00A90B70"/>
    <w:rsid w:val="00A90DE6"/>
    <w:rsid w:val="00A911F8"/>
    <w:rsid w:val="00A91FF9"/>
    <w:rsid w:val="00A9224D"/>
    <w:rsid w:val="00A928A8"/>
    <w:rsid w:val="00A92FEA"/>
    <w:rsid w:val="00A93FC7"/>
    <w:rsid w:val="00A952AD"/>
    <w:rsid w:val="00A95933"/>
    <w:rsid w:val="00A960E1"/>
    <w:rsid w:val="00A96424"/>
    <w:rsid w:val="00A97C0B"/>
    <w:rsid w:val="00AA0DD3"/>
    <w:rsid w:val="00AA0FCB"/>
    <w:rsid w:val="00AA159C"/>
    <w:rsid w:val="00AA1650"/>
    <w:rsid w:val="00AA170F"/>
    <w:rsid w:val="00AA3DFE"/>
    <w:rsid w:val="00AA517D"/>
    <w:rsid w:val="00AA59A2"/>
    <w:rsid w:val="00AA5E94"/>
    <w:rsid w:val="00AA7871"/>
    <w:rsid w:val="00AA7CB6"/>
    <w:rsid w:val="00AA7CBA"/>
    <w:rsid w:val="00AB123C"/>
    <w:rsid w:val="00AB3195"/>
    <w:rsid w:val="00AB31A5"/>
    <w:rsid w:val="00AB3EAB"/>
    <w:rsid w:val="00AB4259"/>
    <w:rsid w:val="00AB4304"/>
    <w:rsid w:val="00AB503D"/>
    <w:rsid w:val="00AB5525"/>
    <w:rsid w:val="00AC0E2F"/>
    <w:rsid w:val="00AC17DE"/>
    <w:rsid w:val="00AC19DE"/>
    <w:rsid w:val="00AC1DE0"/>
    <w:rsid w:val="00AC21E6"/>
    <w:rsid w:val="00AC4B29"/>
    <w:rsid w:val="00AC4D97"/>
    <w:rsid w:val="00AC4E61"/>
    <w:rsid w:val="00AC5539"/>
    <w:rsid w:val="00AC5CF1"/>
    <w:rsid w:val="00AC5E2E"/>
    <w:rsid w:val="00AC609E"/>
    <w:rsid w:val="00AC63B2"/>
    <w:rsid w:val="00AC69E4"/>
    <w:rsid w:val="00AD0BF4"/>
    <w:rsid w:val="00AD11D3"/>
    <w:rsid w:val="00AD157F"/>
    <w:rsid w:val="00AD1E7F"/>
    <w:rsid w:val="00AD3277"/>
    <w:rsid w:val="00AD3E4F"/>
    <w:rsid w:val="00AD4F4D"/>
    <w:rsid w:val="00AD6354"/>
    <w:rsid w:val="00AD6C4A"/>
    <w:rsid w:val="00AD6E84"/>
    <w:rsid w:val="00AD71CF"/>
    <w:rsid w:val="00AD79B7"/>
    <w:rsid w:val="00AE0D33"/>
    <w:rsid w:val="00AE1680"/>
    <w:rsid w:val="00AE22A6"/>
    <w:rsid w:val="00AE2316"/>
    <w:rsid w:val="00AE2B44"/>
    <w:rsid w:val="00AE49E8"/>
    <w:rsid w:val="00AE64C8"/>
    <w:rsid w:val="00AE755F"/>
    <w:rsid w:val="00AE7D4E"/>
    <w:rsid w:val="00AF0366"/>
    <w:rsid w:val="00AF062C"/>
    <w:rsid w:val="00AF1761"/>
    <w:rsid w:val="00AF27BD"/>
    <w:rsid w:val="00AF3F60"/>
    <w:rsid w:val="00AF5190"/>
    <w:rsid w:val="00AF5538"/>
    <w:rsid w:val="00AF75FD"/>
    <w:rsid w:val="00B004D8"/>
    <w:rsid w:val="00B00BA0"/>
    <w:rsid w:val="00B016CE"/>
    <w:rsid w:val="00B0232C"/>
    <w:rsid w:val="00B03023"/>
    <w:rsid w:val="00B032A3"/>
    <w:rsid w:val="00B05100"/>
    <w:rsid w:val="00B05866"/>
    <w:rsid w:val="00B104EA"/>
    <w:rsid w:val="00B10D63"/>
    <w:rsid w:val="00B12505"/>
    <w:rsid w:val="00B12D85"/>
    <w:rsid w:val="00B13D91"/>
    <w:rsid w:val="00B141AE"/>
    <w:rsid w:val="00B14746"/>
    <w:rsid w:val="00B14C70"/>
    <w:rsid w:val="00B15C62"/>
    <w:rsid w:val="00B15FE2"/>
    <w:rsid w:val="00B168EB"/>
    <w:rsid w:val="00B1693A"/>
    <w:rsid w:val="00B17CBF"/>
    <w:rsid w:val="00B20AD2"/>
    <w:rsid w:val="00B20C16"/>
    <w:rsid w:val="00B20D7F"/>
    <w:rsid w:val="00B20D86"/>
    <w:rsid w:val="00B20F0B"/>
    <w:rsid w:val="00B2183D"/>
    <w:rsid w:val="00B22E02"/>
    <w:rsid w:val="00B23E7A"/>
    <w:rsid w:val="00B240BC"/>
    <w:rsid w:val="00B257BB"/>
    <w:rsid w:val="00B25876"/>
    <w:rsid w:val="00B26D92"/>
    <w:rsid w:val="00B27078"/>
    <w:rsid w:val="00B3130C"/>
    <w:rsid w:val="00B32491"/>
    <w:rsid w:val="00B325E6"/>
    <w:rsid w:val="00B33418"/>
    <w:rsid w:val="00B335D6"/>
    <w:rsid w:val="00B34EA1"/>
    <w:rsid w:val="00B35265"/>
    <w:rsid w:val="00B35360"/>
    <w:rsid w:val="00B35E08"/>
    <w:rsid w:val="00B36740"/>
    <w:rsid w:val="00B36E8F"/>
    <w:rsid w:val="00B376EA"/>
    <w:rsid w:val="00B4066A"/>
    <w:rsid w:val="00B4295C"/>
    <w:rsid w:val="00B42D70"/>
    <w:rsid w:val="00B42F80"/>
    <w:rsid w:val="00B44552"/>
    <w:rsid w:val="00B46828"/>
    <w:rsid w:val="00B4795A"/>
    <w:rsid w:val="00B52203"/>
    <w:rsid w:val="00B53FD9"/>
    <w:rsid w:val="00B5522E"/>
    <w:rsid w:val="00B56CD4"/>
    <w:rsid w:val="00B57C58"/>
    <w:rsid w:val="00B626D8"/>
    <w:rsid w:val="00B62B42"/>
    <w:rsid w:val="00B659AF"/>
    <w:rsid w:val="00B67EDE"/>
    <w:rsid w:val="00B70216"/>
    <w:rsid w:val="00B70867"/>
    <w:rsid w:val="00B709D2"/>
    <w:rsid w:val="00B70E8A"/>
    <w:rsid w:val="00B71EEE"/>
    <w:rsid w:val="00B7260C"/>
    <w:rsid w:val="00B72A60"/>
    <w:rsid w:val="00B735B1"/>
    <w:rsid w:val="00B749F8"/>
    <w:rsid w:val="00B75175"/>
    <w:rsid w:val="00B75FA4"/>
    <w:rsid w:val="00B76658"/>
    <w:rsid w:val="00B77369"/>
    <w:rsid w:val="00B775E9"/>
    <w:rsid w:val="00B7770C"/>
    <w:rsid w:val="00B815D7"/>
    <w:rsid w:val="00B8284E"/>
    <w:rsid w:val="00B82FA9"/>
    <w:rsid w:val="00B83207"/>
    <w:rsid w:val="00B83D7B"/>
    <w:rsid w:val="00B83EFB"/>
    <w:rsid w:val="00B8632C"/>
    <w:rsid w:val="00B9124B"/>
    <w:rsid w:val="00B91F4C"/>
    <w:rsid w:val="00B91FB5"/>
    <w:rsid w:val="00B92AF4"/>
    <w:rsid w:val="00B92CBB"/>
    <w:rsid w:val="00B93697"/>
    <w:rsid w:val="00B944AA"/>
    <w:rsid w:val="00B944C9"/>
    <w:rsid w:val="00B957FB"/>
    <w:rsid w:val="00BA00F3"/>
    <w:rsid w:val="00BA0110"/>
    <w:rsid w:val="00BA027B"/>
    <w:rsid w:val="00BA0396"/>
    <w:rsid w:val="00BA0582"/>
    <w:rsid w:val="00BA0AC3"/>
    <w:rsid w:val="00BA12EB"/>
    <w:rsid w:val="00BA1A4D"/>
    <w:rsid w:val="00BA1FB5"/>
    <w:rsid w:val="00BA21F6"/>
    <w:rsid w:val="00BA2F74"/>
    <w:rsid w:val="00BA368A"/>
    <w:rsid w:val="00BA41D7"/>
    <w:rsid w:val="00BA6A0E"/>
    <w:rsid w:val="00BB0311"/>
    <w:rsid w:val="00BB1E52"/>
    <w:rsid w:val="00BB26E6"/>
    <w:rsid w:val="00BB294A"/>
    <w:rsid w:val="00BB2E82"/>
    <w:rsid w:val="00BB35AB"/>
    <w:rsid w:val="00BB3834"/>
    <w:rsid w:val="00BB3D54"/>
    <w:rsid w:val="00BB42A7"/>
    <w:rsid w:val="00BB435F"/>
    <w:rsid w:val="00BB475C"/>
    <w:rsid w:val="00BB50BA"/>
    <w:rsid w:val="00BB528E"/>
    <w:rsid w:val="00BB52F5"/>
    <w:rsid w:val="00BB54CA"/>
    <w:rsid w:val="00BB5E29"/>
    <w:rsid w:val="00BB628F"/>
    <w:rsid w:val="00BB690B"/>
    <w:rsid w:val="00BB7495"/>
    <w:rsid w:val="00BB7831"/>
    <w:rsid w:val="00BB797C"/>
    <w:rsid w:val="00BC1561"/>
    <w:rsid w:val="00BC1D8B"/>
    <w:rsid w:val="00BC2555"/>
    <w:rsid w:val="00BC2E84"/>
    <w:rsid w:val="00BC3D3E"/>
    <w:rsid w:val="00BC3EA9"/>
    <w:rsid w:val="00BC4122"/>
    <w:rsid w:val="00BC4AF2"/>
    <w:rsid w:val="00BC4D5F"/>
    <w:rsid w:val="00BC5471"/>
    <w:rsid w:val="00BC5B3C"/>
    <w:rsid w:val="00BC6642"/>
    <w:rsid w:val="00BC6DB9"/>
    <w:rsid w:val="00BC76A7"/>
    <w:rsid w:val="00BC7AD4"/>
    <w:rsid w:val="00BD01EE"/>
    <w:rsid w:val="00BD0CE0"/>
    <w:rsid w:val="00BD225A"/>
    <w:rsid w:val="00BD262D"/>
    <w:rsid w:val="00BD32A2"/>
    <w:rsid w:val="00BD3803"/>
    <w:rsid w:val="00BD47C6"/>
    <w:rsid w:val="00BD49A0"/>
    <w:rsid w:val="00BD5C1D"/>
    <w:rsid w:val="00BD6511"/>
    <w:rsid w:val="00BD70C7"/>
    <w:rsid w:val="00BD7342"/>
    <w:rsid w:val="00BE0146"/>
    <w:rsid w:val="00BE038A"/>
    <w:rsid w:val="00BE04DC"/>
    <w:rsid w:val="00BE2A13"/>
    <w:rsid w:val="00BE2A4D"/>
    <w:rsid w:val="00BE5B8F"/>
    <w:rsid w:val="00BE5C1E"/>
    <w:rsid w:val="00BE71B6"/>
    <w:rsid w:val="00BE781A"/>
    <w:rsid w:val="00BF079E"/>
    <w:rsid w:val="00BF0B48"/>
    <w:rsid w:val="00BF1C46"/>
    <w:rsid w:val="00BF38D4"/>
    <w:rsid w:val="00BF3A1D"/>
    <w:rsid w:val="00BF4069"/>
    <w:rsid w:val="00BF41A4"/>
    <w:rsid w:val="00BF4327"/>
    <w:rsid w:val="00BF5E9F"/>
    <w:rsid w:val="00BF60BD"/>
    <w:rsid w:val="00BF667B"/>
    <w:rsid w:val="00BF6CC8"/>
    <w:rsid w:val="00BF6DA4"/>
    <w:rsid w:val="00BF77AB"/>
    <w:rsid w:val="00BF78F6"/>
    <w:rsid w:val="00C0172F"/>
    <w:rsid w:val="00C017D4"/>
    <w:rsid w:val="00C0190A"/>
    <w:rsid w:val="00C01A76"/>
    <w:rsid w:val="00C02582"/>
    <w:rsid w:val="00C025AB"/>
    <w:rsid w:val="00C0261A"/>
    <w:rsid w:val="00C027F3"/>
    <w:rsid w:val="00C030A5"/>
    <w:rsid w:val="00C04562"/>
    <w:rsid w:val="00C04735"/>
    <w:rsid w:val="00C04F80"/>
    <w:rsid w:val="00C0503E"/>
    <w:rsid w:val="00C05C28"/>
    <w:rsid w:val="00C06B19"/>
    <w:rsid w:val="00C06E37"/>
    <w:rsid w:val="00C0734C"/>
    <w:rsid w:val="00C0761C"/>
    <w:rsid w:val="00C102C8"/>
    <w:rsid w:val="00C129FC"/>
    <w:rsid w:val="00C13856"/>
    <w:rsid w:val="00C13B19"/>
    <w:rsid w:val="00C15174"/>
    <w:rsid w:val="00C155F1"/>
    <w:rsid w:val="00C1565C"/>
    <w:rsid w:val="00C15927"/>
    <w:rsid w:val="00C16679"/>
    <w:rsid w:val="00C170AC"/>
    <w:rsid w:val="00C17A12"/>
    <w:rsid w:val="00C17BB0"/>
    <w:rsid w:val="00C2020D"/>
    <w:rsid w:val="00C211CA"/>
    <w:rsid w:val="00C224AC"/>
    <w:rsid w:val="00C2331E"/>
    <w:rsid w:val="00C23572"/>
    <w:rsid w:val="00C23EE6"/>
    <w:rsid w:val="00C243C0"/>
    <w:rsid w:val="00C24650"/>
    <w:rsid w:val="00C247C5"/>
    <w:rsid w:val="00C24CAA"/>
    <w:rsid w:val="00C25294"/>
    <w:rsid w:val="00C2644A"/>
    <w:rsid w:val="00C27217"/>
    <w:rsid w:val="00C2767D"/>
    <w:rsid w:val="00C27791"/>
    <w:rsid w:val="00C305E1"/>
    <w:rsid w:val="00C3152D"/>
    <w:rsid w:val="00C3436E"/>
    <w:rsid w:val="00C34942"/>
    <w:rsid w:val="00C35475"/>
    <w:rsid w:val="00C36DD9"/>
    <w:rsid w:val="00C37728"/>
    <w:rsid w:val="00C37DF1"/>
    <w:rsid w:val="00C40011"/>
    <w:rsid w:val="00C405B5"/>
    <w:rsid w:val="00C42161"/>
    <w:rsid w:val="00C42492"/>
    <w:rsid w:val="00C42D23"/>
    <w:rsid w:val="00C44903"/>
    <w:rsid w:val="00C44FB7"/>
    <w:rsid w:val="00C4598F"/>
    <w:rsid w:val="00C45ED3"/>
    <w:rsid w:val="00C46671"/>
    <w:rsid w:val="00C475AE"/>
    <w:rsid w:val="00C478BE"/>
    <w:rsid w:val="00C479B0"/>
    <w:rsid w:val="00C50BAD"/>
    <w:rsid w:val="00C514A2"/>
    <w:rsid w:val="00C51803"/>
    <w:rsid w:val="00C53150"/>
    <w:rsid w:val="00C53F4A"/>
    <w:rsid w:val="00C543B8"/>
    <w:rsid w:val="00C5586F"/>
    <w:rsid w:val="00C55AD4"/>
    <w:rsid w:val="00C55E46"/>
    <w:rsid w:val="00C55F30"/>
    <w:rsid w:val="00C562D1"/>
    <w:rsid w:val="00C56B21"/>
    <w:rsid w:val="00C577EA"/>
    <w:rsid w:val="00C57A06"/>
    <w:rsid w:val="00C57A64"/>
    <w:rsid w:val="00C604C4"/>
    <w:rsid w:val="00C607EF"/>
    <w:rsid w:val="00C60DE8"/>
    <w:rsid w:val="00C61312"/>
    <w:rsid w:val="00C629AD"/>
    <w:rsid w:val="00C62A98"/>
    <w:rsid w:val="00C63023"/>
    <w:rsid w:val="00C6332A"/>
    <w:rsid w:val="00C638D9"/>
    <w:rsid w:val="00C63FAB"/>
    <w:rsid w:val="00C645CB"/>
    <w:rsid w:val="00C6487A"/>
    <w:rsid w:val="00C64D9E"/>
    <w:rsid w:val="00C70403"/>
    <w:rsid w:val="00C70F88"/>
    <w:rsid w:val="00C711DA"/>
    <w:rsid w:val="00C72F95"/>
    <w:rsid w:val="00C732A1"/>
    <w:rsid w:val="00C73B27"/>
    <w:rsid w:val="00C743F2"/>
    <w:rsid w:val="00C74D39"/>
    <w:rsid w:val="00C74FF2"/>
    <w:rsid w:val="00C7573E"/>
    <w:rsid w:val="00C75A13"/>
    <w:rsid w:val="00C761E7"/>
    <w:rsid w:val="00C76426"/>
    <w:rsid w:val="00C76B53"/>
    <w:rsid w:val="00C8019E"/>
    <w:rsid w:val="00C804F2"/>
    <w:rsid w:val="00C80773"/>
    <w:rsid w:val="00C80F5C"/>
    <w:rsid w:val="00C8207B"/>
    <w:rsid w:val="00C83B3C"/>
    <w:rsid w:val="00C83D0A"/>
    <w:rsid w:val="00C83D4A"/>
    <w:rsid w:val="00C83ED0"/>
    <w:rsid w:val="00C8536B"/>
    <w:rsid w:val="00C87A12"/>
    <w:rsid w:val="00C90443"/>
    <w:rsid w:val="00C910A2"/>
    <w:rsid w:val="00C9114D"/>
    <w:rsid w:val="00C9139A"/>
    <w:rsid w:val="00C92DE3"/>
    <w:rsid w:val="00C930B7"/>
    <w:rsid w:val="00C9326B"/>
    <w:rsid w:val="00C935C2"/>
    <w:rsid w:val="00C93940"/>
    <w:rsid w:val="00C93B2A"/>
    <w:rsid w:val="00C93BC5"/>
    <w:rsid w:val="00C941B5"/>
    <w:rsid w:val="00C9425F"/>
    <w:rsid w:val="00C94B87"/>
    <w:rsid w:val="00C95171"/>
    <w:rsid w:val="00C95B3B"/>
    <w:rsid w:val="00C96223"/>
    <w:rsid w:val="00C9669B"/>
    <w:rsid w:val="00C96711"/>
    <w:rsid w:val="00C967E2"/>
    <w:rsid w:val="00C974F6"/>
    <w:rsid w:val="00C976E9"/>
    <w:rsid w:val="00CA0136"/>
    <w:rsid w:val="00CA2AE0"/>
    <w:rsid w:val="00CA2C5F"/>
    <w:rsid w:val="00CA390D"/>
    <w:rsid w:val="00CA41D0"/>
    <w:rsid w:val="00CA420B"/>
    <w:rsid w:val="00CA4655"/>
    <w:rsid w:val="00CA4C1E"/>
    <w:rsid w:val="00CA7F23"/>
    <w:rsid w:val="00CB13E0"/>
    <w:rsid w:val="00CB13F1"/>
    <w:rsid w:val="00CB18FD"/>
    <w:rsid w:val="00CB1B84"/>
    <w:rsid w:val="00CB2857"/>
    <w:rsid w:val="00CB2D15"/>
    <w:rsid w:val="00CB444E"/>
    <w:rsid w:val="00CB476C"/>
    <w:rsid w:val="00CB6C5E"/>
    <w:rsid w:val="00CB6E0C"/>
    <w:rsid w:val="00CB7287"/>
    <w:rsid w:val="00CB7CB5"/>
    <w:rsid w:val="00CC112F"/>
    <w:rsid w:val="00CC1359"/>
    <w:rsid w:val="00CC1527"/>
    <w:rsid w:val="00CC229F"/>
    <w:rsid w:val="00CC29B4"/>
    <w:rsid w:val="00CC3372"/>
    <w:rsid w:val="00CC3B87"/>
    <w:rsid w:val="00CC3C47"/>
    <w:rsid w:val="00CC45B6"/>
    <w:rsid w:val="00CC5311"/>
    <w:rsid w:val="00CC5776"/>
    <w:rsid w:val="00CC5E10"/>
    <w:rsid w:val="00CC6E0F"/>
    <w:rsid w:val="00CC710C"/>
    <w:rsid w:val="00CC7DF7"/>
    <w:rsid w:val="00CC7E46"/>
    <w:rsid w:val="00CD1224"/>
    <w:rsid w:val="00CD1277"/>
    <w:rsid w:val="00CD179F"/>
    <w:rsid w:val="00CD223F"/>
    <w:rsid w:val="00CD2DF8"/>
    <w:rsid w:val="00CD39E5"/>
    <w:rsid w:val="00CD4069"/>
    <w:rsid w:val="00CD41D2"/>
    <w:rsid w:val="00CD5A24"/>
    <w:rsid w:val="00CD5F1C"/>
    <w:rsid w:val="00CD60EA"/>
    <w:rsid w:val="00CD70B5"/>
    <w:rsid w:val="00CD727E"/>
    <w:rsid w:val="00CE13C8"/>
    <w:rsid w:val="00CE17A3"/>
    <w:rsid w:val="00CE1A2C"/>
    <w:rsid w:val="00CE2D0F"/>
    <w:rsid w:val="00CE3229"/>
    <w:rsid w:val="00CE484A"/>
    <w:rsid w:val="00CE56A4"/>
    <w:rsid w:val="00CE5AD1"/>
    <w:rsid w:val="00CE74C9"/>
    <w:rsid w:val="00CE77B6"/>
    <w:rsid w:val="00CE7C46"/>
    <w:rsid w:val="00CE7D89"/>
    <w:rsid w:val="00CF05E9"/>
    <w:rsid w:val="00CF08C3"/>
    <w:rsid w:val="00CF0B32"/>
    <w:rsid w:val="00CF0B90"/>
    <w:rsid w:val="00CF19D6"/>
    <w:rsid w:val="00CF1FDC"/>
    <w:rsid w:val="00CF2C77"/>
    <w:rsid w:val="00CF3117"/>
    <w:rsid w:val="00CF38C8"/>
    <w:rsid w:val="00CF4015"/>
    <w:rsid w:val="00CF497B"/>
    <w:rsid w:val="00CF6B9C"/>
    <w:rsid w:val="00CF71CE"/>
    <w:rsid w:val="00CF7586"/>
    <w:rsid w:val="00CF7890"/>
    <w:rsid w:val="00CF7A6E"/>
    <w:rsid w:val="00D011B9"/>
    <w:rsid w:val="00D02B8E"/>
    <w:rsid w:val="00D02F17"/>
    <w:rsid w:val="00D041C6"/>
    <w:rsid w:val="00D048A6"/>
    <w:rsid w:val="00D072D9"/>
    <w:rsid w:val="00D10D38"/>
    <w:rsid w:val="00D11015"/>
    <w:rsid w:val="00D1110F"/>
    <w:rsid w:val="00D1317B"/>
    <w:rsid w:val="00D13DC5"/>
    <w:rsid w:val="00D13FCE"/>
    <w:rsid w:val="00D14108"/>
    <w:rsid w:val="00D1577D"/>
    <w:rsid w:val="00D164FF"/>
    <w:rsid w:val="00D1725C"/>
    <w:rsid w:val="00D175D2"/>
    <w:rsid w:val="00D1778A"/>
    <w:rsid w:val="00D17B27"/>
    <w:rsid w:val="00D20FC4"/>
    <w:rsid w:val="00D216D4"/>
    <w:rsid w:val="00D21EEC"/>
    <w:rsid w:val="00D22379"/>
    <w:rsid w:val="00D2241A"/>
    <w:rsid w:val="00D229A9"/>
    <w:rsid w:val="00D22E46"/>
    <w:rsid w:val="00D23967"/>
    <w:rsid w:val="00D23E19"/>
    <w:rsid w:val="00D24894"/>
    <w:rsid w:val="00D24F9E"/>
    <w:rsid w:val="00D256BE"/>
    <w:rsid w:val="00D26308"/>
    <w:rsid w:val="00D267CC"/>
    <w:rsid w:val="00D27098"/>
    <w:rsid w:val="00D2709C"/>
    <w:rsid w:val="00D27715"/>
    <w:rsid w:val="00D27F2F"/>
    <w:rsid w:val="00D30F0B"/>
    <w:rsid w:val="00D31153"/>
    <w:rsid w:val="00D33791"/>
    <w:rsid w:val="00D33E11"/>
    <w:rsid w:val="00D3454B"/>
    <w:rsid w:val="00D34683"/>
    <w:rsid w:val="00D34832"/>
    <w:rsid w:val="00D34E0C"/>
    <w:rsid w:val="00D37D39"/>
    <w:rsid w:val="00D40D47"/>
    <w:rsid w:val="00D4159D"/>
    <w:rsid w:val="00D41651"/>
    <w:rsid w:val="00D4239C"/>
    <w:rsid w:val="00D428D3"/>
    <w:rsid w:val="00D433B7"/>
    <w:rsid w:val="00D43C12"/>
    <w:rsid w:val="00D44512"/>
    <w:rsid w:val="00D44647"/>
    <w:rsid w:val="00D44E49"/>
    <w:rsid w:val="00D450B5"/>
    <w:rsid w:val="00D4592D"/>
    <w:rsid w:val="00D46C67"/>
    <w:rsid w:val="00D47238"/>
    <w:rsid w:val="00D4799C"/>
    <w:rsid w:val="00D47E5B"/>
    <w:rsid w:val="00D47ECE"/>
    <w:rsid w:val="00D50591"/>
    <w:rsid w:val="00D50772"/>
    <w:rsid w:val="00D51175"/>
    <w:rsid w:val="00D5134C"/>
    <w:rsid w:val="00D5288B"/>
    <w:rsid w:val="00D52C9F"/>
    <w:rsid w:val="00D53F6A"/>
    <w:rsid w:val="00D56FDB"/>
    <w:rsid w:val="00D57B76"/>
    <w:rsid w:val="00D61362"/>
    <w:rsid w:val="00D61F2C"/>
    <w:rsid w:val="00D623BB"/>
    <w:rsid w:val="00D628AD"/>
    <w:rsid w:val="00D638BD"/>
    <w:rsid w:val="00D63976"/>
    <w:rsid w:val="00D64444"/>
    <w:rsid w:val="00D65101"/>
    <w:rsid w:val="00D66250"/>
    <w:rsid w:val="00D665E7"/>
    <w:rsid w:val="00D67C0B"/>
    <w:rsid w:val="00D70126"/>
    <w:rsid w:val="00D7045B"/>
    <w:rsid w:val="00D70D3F"/>
    <w:rsid w:val="00D7232A"/>
    <w:rsid w:val="00D729D2"/>
    <w:rsid w:val="00D73618"/>
    <w:rsid w:val="00D74082"/>
    <w:rsid w:val="00D74B70"/>
    <w:rsid w:val="00D75295"/>
    <w:rsid w:val="00D760DF"/>
    <w:rsid w:val="00D7776A"/>
    <w:rsid w:val="00D80872"/>
    <w:rsid w:val="00D80FD4"/>
    <w:rsid w:val="00D82262"/>
    <w:rsid w:val="00D824C8"/>
    <w:rsid w:val="00D8275C"/>
    <w:rsid w:val="00D82E47"/>
    <w:rsid w:val="00D830E6"/>
    <w:rsid w:val="00D83382"/>
    <w:rsid w:val="00D8359A"/>
    <w:rsid w:val="00D84429"/>
    <w:rsid w:val="00D84444"/>
    <w:rsid w:val="00D848F0"/>
    <w:rsid w:val="00D85725"/>
    <w:rsid w:val="00D85CA3"/>
    <w:rsid w:val="00D86352"/>
    <w:rsid w:val="00D865A9"/>
    <w:rsid w:val="00D8717D"/>
    <w:rsid w:val="00D900C8"/>
    <w:rsid w:val="00D90B2C"/>
    <w:rsid w:val="00D925DA"/>
    <w:rsid w:val="00D92601"/>
    <w:rsid w:val="00D948C7"/>
    <w:rsid w:val="00D955E0"/>
    <w:rsid w:val="00D969EB"/>
    <w:rsid w:val="00D96C8B"/>
    <w:rsid w:val="00DA1DD2"/>
    <w:rsid w:val="00DA1ECF"/>
    <w:rsid w:val="00DA1FCA"/>
    <w:rsid w:val="00DA2D20"/>
    <w:rsid w:val="00DA4345"/>
    <w:rsid w:val="00DA46AE"/>
    <w:rsid w:val="00DA4931"/>
    <w:rsid w:val="00DA4E0B"/>
    <w:rsid w:val="00DA52AF"/>
    <w:rsid w:val="00DA5825"/>
    <w:rsid w:val="00DA5AAC"/>
    <w:rsid w:val="00DA5D3A"/>
    <w:rsid w:val="00DA708A"/>
    <w:rsid w:val="00DA771B"/>
    <w:rsid w:val="00DB12B7"/>
    <w:rsid w:val="00DB1D9E"/>
    <w:rsid w:val="00DB3329"/>
    <w:rsid w:val="00DB3E92"/>
    <w:rsid w:val="00DB482D"/>
    <w:rsid w:val="00DB4959"/>
    <w:rsid w:val="00DB4B80"/>
    <w:rsid w:val="00DB5E92"/>
    <w:rsid w:val="00DB6F37"/>
    <w:rsid w:val="00DB72AD"/>
    <w:rsid w:val="00DB73E3"/>
    <w:rsid w:val="00DB7FD9"/>
    <w:rsid w:val="00DC0210"/>
    <w:rsid w:val="00DC0FCD"/>
    <w:rsid w:val="00DC2765"/>
    <w:rsid w:val="00DC3476"/>
    <w:rsid w:val="00DC4D0E"/>
    <w:rsid w:val="00DC4ED2"/>
    <w:rsid w:val="00DC570A"/>
    <w:rsid w:val="00DC579E"/>
    <w:rsid w:val="00DC6551"/>
    <w:rsid w:val="00DC69DF"/>
    <w:rsid w:val="00DC6CF9"/>
    <w:rsid w:val="00DC726D"/>
    <w:rsid w:val="00DC7CC3"/>
    <w:rsid w:val="00DD0D91"/>
    <w:rsid w:val="00DD408A"/>
    <w:rsid w:val="00DD52FF"/>
    <w:rsid w:val="00DD75A8"/>
    <w:rsid w:val="00DD75F3"/>
    <w:rsid w:val="00DE0081"/>
    <w:rsid w:val="00DE0271"/>
    <w:rsid w:val="00DE0BB7"/>
    <w:rsid w:val="00DE1807"/>
    <w:rsid w:val="00DE2E49"/>
    <w:rsid w:val="00DE337B"/>
    <w:rsid w:val="00DE3CDD"/>
    <w:rsid w:val="00DE4EAF"/>
    <w:rsid w:val="00DE5123"/>
    <w:rsid w:val="00DE541C"/>
    <w:rsid w:val="00DE5A9E"/>
    <w:rsid w:val="00DE5C14"/>
    <w:rsid w:val="00DE75D9"/>
    <w:rsid w:val="00DE7CD8"/>
    <w:rsid w:val="00DE7FCB"/>
    <w:rsid w:val="00DF0BE0"/>
    <w:rsid w:val="00DF10CA"/>
    <w:rsid w:val="00DF17F5"/>
    <w:rsid w:val="00DF2F80"/>
    <w:rsid w:val="00DF314A"/>
    <w:rsid w:val="00DF328B"/>
    <w:rsid w:val="00DF33B7"/>
    <w:rsid w:val="00DF465A"/>
    <w:rsid w:val="00DF4885"/>
    <w:rsid w:val="00DF52F5"/>
    <w:rsid w:val="00DF558F"/>
    <w:rsid w:val="00DF631E"/>
    <w:rsid w:val="00DF6684"/>
    <w:rsid w:val="00DF6701"/>
    <w:rsid w:val="00E00883"/>
    <w:rsid w:val="00E0177F"/>
    <w:rsid w:val="00E01838"/>
    <w:rsid w:val="00E02E50"/>
    <w:rsid w:val="00E0315D"/>
    <w:rsid w:val="00E0332C"/>
    <w:rsid w:val="00E03367"/>
    <w:rsid w:val="00E03620"/>
    <w:rsid w:val="00E03D36"/>
    <w:rsid w:val="00E04319"/>
    <w:rsid w:val="00E04E2E"/>
    <w:rsid w:val="00E05049"/>
    <w:rsid w:val="00E05506"/>
    <w:rsid w:val="00E06041"/>
    <w:rsid w:val="00E0624E"/>
    <w:rsid w:val="00E06829"/>
    <w:rsid w:val="00E06B65"/>
    <w:rsid w:val="00E13567"/>
    <w:rsid w:val="00E1362A"/>
    <w:rsid w:val="00E14CB0"/>
    <w:rsid w:val="00E1500D"/>
    <w:rsid w:val="00E15079"/>
    <w:rsid w:val="00E15D14"/>
    <w:rsid w:val="00E16C1A"/>
    <w:rsid w:val="00E174AF"/>
    <w:rsid w:val="00E20921"/>
    <w:rsid w:val="00E20C90"/>
    <w:rsid w:val="00E21629"/>
    <w:rsid w:val="00E21713"/>
    <w:rsid w:val="00E21D02"/>
    <w:rsid w:val="00E22EBA"/>
    <w:rsid w:val="00E23FA8"/>
    <w:rsid w:val="00E24F06"/>
    <w:rsid w:val="00E25139"/>
    <w:rsid w:val="00E257F1"/>
    <w:rsid w:val="00E25BF4"/>
    <w:rsid w:val="00E25EFE"/>
    <w:rsid w:val="00E267F8"/>
    <w:rsid w:val="00E272D6"/>
    <w:rsid w:val="00E27770"/>
    <w:rsid w:val="00E30DBF"/>
    <w:rsid w:val="00E31642"/>
    <w:rsid w:val="00E31B55"/>
    <w:rsid w:val="00E328AF"/>
    <w:rsid w:val="00E32ADA"/>
    <w:rsid w:val="00E33AD3"/>
    <w:rsid w:val="00E34746"/>
    <w:rsid w:val="00E34E43"/>
    <w:rsid w:val="00E35533"/>
    <w:rsid w:val="00E35564"/>
    <w:rsid w:val="00E35AB7"/>
    <w:rsid w:val="00E35CAE"/>
    <w:rsid w:val="00E370B1"/>
    <w:rsid w:val="00E40617"/>
    <w:rsid w:val="00E41F52"/>
    <w:rsid w:val="00E42006"/>
    <w:rsid w:val="00E433B7"/>
    <w:rsid w:val="00E44D8B"/>
    <w:rsid w:val="00E45014"/>
    <w:rsid w:val="00E45586"/>
    <w:rsid w:val="00E458F4"/>
    <w:rsid w:val="00E45982"/>
    <w:rsid w:val="00E45F7A"/>
    <w:rsid w:val="00E46487"/>
    <w:rsid w:val="00E477F9"/>
    <w:rsid w:val="00E50123"/>
    <w:rsid w:val="00E50D2D"/>
    <w:rsid w:val="00E51B7B"/>
    <w:rsid w:val="00E51EA8"/>
    <w:rsid w:val="00E525D6"/>
    <w:rsid w:val="00E54526"/>
    <w:rsid w:val="00E5506E"/>
    <w:rsid w:val="00E55711"/>
    <w:rsid w:val="00E55A7D"/>
    <w:rsid w:val="00E55B18"/>
    <w:rsid w:val="00E560E5"/>
    <w:rsid w:val="00E571A4"/>
    <w:rsid w:val="00E573BB"/>
    <w:rsid w:val="00E6115B"/>
    <w:rsid w:val="00E6144A"/>
    <w:rsid w:val="00E614A3"/>
    <w:rsid w:val="00E61DFA"/>
    <w:rsid w:val="00E6261F"/>
    <w:rsid w:val="00E629E0"/>
    <w:rsid w:val="00E6308F"/>
    <w:rsid w:val="00E63387"/>
    <w:rsid w:val="00E63CBB"/>
    <w:rsid w:val="00E644FD"/>
    <w:rsid w:val="00E64A27"/>
    <w:rsid w:val="00E64D07"/>
    <w:rsid w:val="00E65562"/>
    <w:rsid w:val="00E65C81"/>
    <w:rsid w:val="00E67314"/>
    <w:rsid w:val="00E6786B"/>
    <w:rsid w:val="00E6787B"/>
    <w:rsid w:val="00E70E49"/>
    <w:rsid w:val="00E71001"/>
    <w:rsid w:val="00E715C0"/>
    <w:rsid w:val="00E71C7C"/>
    <w:rsid w:val="00E71D5F"/>
    <w:rsid w:val="00E72072"/>
    <w:rsid w:val="00E724DA"/>
    <w:rsid w:val="00E72501"/>
    <w:rsid w:val="00E72658"/>
    <w:rsid w:val="00E728F6"/>
    <w:rsid w:val="00E733F4"/>
    <w:rsid w:val="00E75590"/>
    <w:rsid w:val="00E757F2"/>
    <w:rsid w:val="00E76395"/>
    <w:rsid w:val="00E76F39"/>
    <w:rsid w:val="00E7727B"/>
    <w:rsid w:val="00E77549"/>
    <w:rsid w:val="00E77868"/>
    <w:rsid w:val="00E77AE9"/>
    <w:rsid w:val="00E8065B"/>
    <w:rsid w:val="00E80F14"/>
    <w:rsid w:val="00E85B8E"/>
    <w:rsid w:val="00E86FD8"/>
    <w:rsid w:val="00E8722F"/>
    <w:rsid w:val="00E873A6"/>
    <w:rsid w:val="00E876D7"/>
    <w:rsid w:val="00E879DD"/>
    <w:rsid w:val="00E901AF"/>
    <w:rsid w:val="00E90724"/>
    <w:rsid w:val="00E90A70"/>
    <w:rsid w:val="00E90F56"/>
    <w:rsid w:val="00E91B25"/>
    <w:rsid w:val="00E942E0"/>
    <w:rsid w:val="00E95936"/>
    <w:rsid w:val="00E96168"/>
    <w:rsid w:val="00E9675E"/>
    <w:rsid w:val="00E97714"/>
    <w:rsid w:val="00E979E7"/>
    <w:rsid w:val="00E97C8D"/>
    <w:rsid w:val="00EA156B"/>
    <w:rsid w:val="00EA23E0"/>
    <w:rsid w:val="00EA2429"/>
    <w:rsid w:val="00EA26D3"/>
    <w:rsid w:val="00EA2D1B"/>
    <w:rsid w:val="00EA3192"/>
    <w:rsid w:val="00EA3A1D"/>
    <w:rsid w:val="00EA3CFC"/>
    <w:rsid w:val="00EA44CD"/>
    <w:rsid w:val="00EA4747"/>
    <w:rsid w:val="00EA4988"/>
    <w:rsid w:val="00EA4BDA"/>
    <w:rsid w:val="00EA58E7"/>
    <w:rsid w:val="00EA7406"/>
    <w:rsid w:val="00EA75ED"/>
    <w:rsid w:val="00EA798D"/>
    <w:rsid w:val="00EB16D1"/>
    <w:rsid w:val="00EB1CF8"/>
    <w:rsid w:val="00EB3CDC"/>
    <w:rsid w:val="00EB45FC"/>
    <w:rsid w:val="00EB4918"/>
    <w:rsid w:val="00EB5DEA"/>
    <w:rsid w:val="00EC01E9"/>
    <w:rsid w:val="00EC079C"/>
    <w:rsid w:val="00EC079F"/>
    <w:rsid w:val="00EC0C39"/>
    <w:rsid w:val="00EC1147"/>
    <w:rsid w:val="00EC16E4"/>
    <w:rsid w:val="00EC1B44"/>
    <w:rsid w:val="00EC23B2"/>
    <w:rsid w:val="00EC2CCB"/>
    <w:rsid w:val="00EC318F"/>
    <w:rsid w:val="00EC3352"/>
    <w:rsid w:val="00EC41D7"/>
    <w:rsid w:val="00EC4972"/>
    <w:rsid w:val="00EC6B6F"/>
    <w:rsid w:val="00EC7BE4"/>
    <w:rsid w:val="00ED0234"/>
    <w:rsid w:val="00ED05EB"/>
    <w:rsid w:val="00ED1E81"/>
    <w:rsid w:val="00ED2749"/>
    <w:rsid w:val="00ED275A"/>
    <w:rsid w:val="00ED2BBB"/>
    <w:rsid w:val="00ED2D73"/>
    <w:rsid w:val="00ED318E"/>
    <w:rsid w:val="00ED31E3"/>
    <w:rsid w:val="00ED4C31"/>
    <w:rsid w:val="00ED574F"/>
    <w:rsid w:val="00ED603C"/>
    <w:rsid w:val="00ED6B4D"/>
    <w:rsid w:val="00ED7CEF"/>
    <w:rsid w:val="00ED7F8F"/>
    <w:rsid w:val="00EE1C0F"/>
    <w:rsid w:val="00EE1E44"/>
    <w:rsid w:val="00EE2D30"/>
    <w:rsid w:val="00EE396A"/>
    <w:rsid w:val="00EE4EC1"/>
    <w:rsid w:val="00EE51CD"/>
    <w:rsid w:val="00EE5E89"/>
    <w:rsid w:val="00EE5E94"/>
    <w:rsid w:val="00EE740D"/>
    <w:rsid w:val="00EE763C"/>
    <w:rsid w:val="00EF05C1"/>
    <w:rsid w:val="00EF380E"/>
    <w:rsid w:val="00EF3EE5"/>
    <w:rsid w:val="00EF4C5E"/>
    <w:rsid w:val="00EF50E7"/>
    <w:rsid w:val="00EF5297"/>
    <w:rsid w:val="00EF60A4"/>
    <w:rsid w:val="00EF76DE"/>
    <w:rsid w:val="00EF7807"/>
    <w:rsid w:val="00EF7A90"/>
    <w:rsid w:val="00F01B5C"/>
    <w:rsid w:val="00F02466"/>
    <w:rsid w:val="00F03132"/>
    <w:rsid w:val="00F03A24"/>
    <w:rsid w:val="00F043F8"/>
    <w:rsid w:val="00F0457C"/>
    <w:rsid w:val="00F04D2B"/>
    <w:rsid w:val="00F06E49"/>
    <w:rsid w:val="00F074C4"/>
    <w:rsid w:val="00F07BBB"/>
    <w:rsid w:val="00F07C7F"/>
    <w:rsid w:val="00F107A7"/>
    <w:rsid w:val="00F10BEE"/>
    <w:rsid w:val="00F10CDA"/>
    <w:rsid w:val="00F11999"/>
    <w:rsid w:val="00F128E1"/>
    <w:rsid w:val="00F136D1"/>
    <w:rsid w:val="00F13943"/>
    <w:rsid w:val="00F14CB6"/>
    <w:rsid w:val="00F154A1"/>
    <w:rsid w:val="00F15B31"/>
    <w:rsid w:val="00F17E7B"/>
    <w:rsid w:val="00F21364"/>
    <w:rsid w:val="00F2152B"/>
    <w:rsid w:val="00F22B66"/>
    <w:rsid w:val="00F22CD3"/>
    <w:rsid w:val="00F22E8F"/>
    <w:rsid w:val="00F233C0"/>
    <w:rsid w:val="00F23D01"/>
    <w:rsid w:val="00F24530"/>
    <w:rsid w:val="00F24622"/>
    <w:rsid w:val="00F2514E"/>
    <w:rsid w:val="00F261B0"/>
    <w:rsid w:val="00F2747B"/>
    <w:rsid w:val="00F27488"/>
    <w:rsid w:val="00F30312"/>
    <w:rsid w:val="00F30900"/>
    <w:rsid w:val="00F30AE2"/>
    <w:rsid w:val="00F30CF3"/>
    <w:rsid w:val="00F30D24"/>
    <w:rsid w:val="00F34EC5"/>
    <w:rsid w:val="00F3503B"/>
    <w:rsid w:val="00F3567B"/>
    <w:rsid w:val="00F35BDE"/>
    <w:rsid w:val="00F35D06"/>
    <w:rsid w:val="00F40C18"/>
    <w:rsid w:val="00F40DA6"/>
    <w:rsid w:val="00F41480"/>
    <w:rsid w:val="00F4171B"/>
    <w:rsid w:val="00F42289"/>
    <w:rsid w:val="00F427BA"/>
    <w:rsid w:val="00F42E8C"/>
    <w:rsid w:val="00F4390D"/>
    <w:rsid w:val="00F46058"/>
    <w:rsid w:val="00F469D8"/>
    <w:rsid w:val="00F46EC6"/>
    <w:rsid w:val="00F4739C"/>
    <w:rsid w:val="00F50E35"/>
    <w:rsid w:val="00F514A0"/>
    <w:rsid w:val="00F531D7"/>
    <w:rsid w:val="00F549AA"/>
    <w:rsid w:val="00F54E72"/>
    <w:rsid w:val="00F57E25"/>
    <w:rsid w:val="00F6151B"/>
    <w:rsid w:val="00F61A9A"/>
    <w:rsid w:val="00F624EE"/>
    <w:rsid w:val="00F62BD7"/>
    <w:rsid w:val="00F62F73"/>
    <w:rsid w:val="00F64248"/>
    <w:rsid w:val="00F6490F"/>
    <w:rsid w:val="00F6569C"/>
    <w:rsid w:val="00F665CB"/>
    <w:rsid w:val="00F66B63"/>
    <w:rsid w:val="00F67B78"/>
    <w:rsid w:val="00F70B65"/>
    <w:rsid w:val="00F71A88"/>
    <w:rsid w:val="00F77DEA"/>
    <w:rsid w:val="00F80666"/>
    <w:rsid w:val="00F81A94"/>
    <w:rsid w:val="00F81CE5"/>
    <w:rsid w:val="00F81FC9"/>
    <w:rsid w:val="00F827E1"/>
    <w:rsid w:val="00F83221"/>
    <w:rsid w:val="00F83387"/>
    <w:rsid w:val="00F833E8"/>
    <w:rsid w:val="00F8368D"/>
    <w:rsid w:val="00F83DFB"/>
    <w:rsid w:val="00F83FB1"/>
    <w:rsid w:val="00F846E6"/>
    <w:rsid w:val="00F849C5"/>
    <w:rsid w:val="00F86BB5"/>
    <w:rsid w:val="00F90384"/>
    <w:rsid w:val="00F90541"/>
    <w:rsid w:val="00F90B88"/>
    <w:rsid w:val="00F91038"/>
    <w:rsid w:val="00F91A17"/>
    <w:rsid w:val="00F91EF8"/>
    <w:rsid w:val="00F94406"/>
    <w:rsid w:val="00F946A6"/>
    <w:rsid w:val="00F970B5"/>
    <w:rsid w:val="00F97DC1"/>
    <w:rsid w:val="00F97E59"/>
    <w:rsid w:val="00FA12AF"/>
    <w:rsid w:val="00FA2306"/>
    <w:rsid w:val="00FA26DB"/>
    <w:rsid w:val="00FA2D83"/>
    <w:rsid w:val="00FA2EEC"/>
    <w:rsid w:val="00FA4101"/>
    <w:rsid w:val="00FA49C4"/>
    <w:rsid w:val="00FA5762"/>
    <w:rsid w:val="00FA64C8"/>
    <w:rsid w:val="00FA6873"/>
    <w:rsid w:val="00FA6B82"/>
    <w:rsid w:val="00FB221B"/>
    <w:rsid w:val="00FB2283"/>
    <w:rsid w:val="00FB4504"/>
    <w:rsid w:val="00FB456E"/>
    <w:rsid w:val="00FB56D2"/>
    <w:rsid w:val="00FB639D"/>
    <w:rsid w:val="00FB72A5"/>
    <w:rsid w:val="00FC0318"/>
    <w:rsid w:val="00FC05CE"/>
    <w:rsid w:val="00FC1917"/>
    <w:rsid w:val="00FC208D"/>
    <w:rsid w:val="00FC5EC9"/>
    <w:rsid w:val="00FC650D"/>
    <w:rsid w:val="00FC66C1"/>
    <w:rsid w:val="00FC79E2"/>
    <w:rsid w:val="00FD021F"/>
    <w:rsid w:val="00FD1117"/>
    <w:rsid w:val="00FD11EB"/>
    <w:rsid w:val="00FD1BC0"/>
    <w:rsid w:val="00FD22C4"/>
    <w:rsid w:val="00FD2C11"/>
    <w:rsid w:val="00FD2DF9"/>
    <w:rsid w:val="00FD3025"/>
    <w:rsid w:val="00FD430E"/>
    <w:rsid w:val="00FD4406"/>
    <w:rsid w:val="00FD446D"/>
    <w:rsid w:val="00FD454F"/>
    <w:rsid w:val="00FD4AA1"/>
    <w:rsid w:val="00FD4E09"/>
    <w:rsid w:val="00FD51E9"/>
    <w:rsid w:val="00FD51EA"/>
    <w:rsid w:val="00FD53D1"/>
    <w:rsid w:val="00FD5915"/>
    <w:rsid w:val="00FD65B1"/>
    <w:rsid w:val="00FD6914"/>
    <w:rsid w:val="00FD7020"/>
    <w:rsid w:val="00FD76F7"/>
    <w:rsid w:val="00FE0702"/>
    <w:rsid w:val="00FE137C"/>
    <w:rsid w:val="00FE13B9"/>
    <w:rsid w:val="00FE189C"/>
    <w:rsid w:val="00FE2421"/>
    <w:rsid w:val="00FE2E64"/>
    <w:rsid w:val="00FE3E4B"/>
    <w:rsid w:val="00FE44B6"/>
    <w:rsid w:val="00FE4B2F"/>
    <w:rsid w:val="00FE517B"/>
    <w:rsid w:val="00FE55BD"/>
    <w:rsid w:val="00FE55FF"/>
    <w:rsid w:val="00FE640A"/>
    <w:rsid w:val="00FE64A1"/>
    <w:rsid w:val="00FE72BC"/>
    <w:rsid w:val="00FF0E09"/>
    <w:rsid w:val="00FF118C"/>
    <w:rsid w:val="00FF1912"/>
    <w:rsid w:val="00FF2316"/>
    <w:rsid w:val="00FF3ECE"/>
    <w:rsid w:val="00FF3F8B"/>
    <w:rsid w:val="00FF434C"/>
    <w:rsid w:val="00FF703E"/>
    <w:rsid w:val="00FF755B"/>
    <w:rsid w:val="00FF7D1F"/>
    <w:rsid w:val="044D68E1"/>
    <w:rsid w:val="0E6F6F42"/>
    <w:rsid w:val="0EE1DF5D"/>
    <w:rsid w:val="1C35B9F4"/>
    <w:rsid w:val="25457A38"/>
    <w:rsid w:val="26DE9534"/>
    <w:rsid w:val="2728DD27"/>
    <w:rsid w:val="32390017"/>
    <w:rsid w:val="33065684"/>
    <w:rsid w:val="365AED6B"/>
    <w:rsid w:val="3FFA4CCB"/>
    <w:rsid w:val="49709CC1"/>
    <w:rsid w:val="57A42826"/>
    <w:rsid w:val="5900A6EA"/>
    <w:rsid w:val="5F31A0BE"/>
    <w:rsid w:val="60586119"/>
    <w:rsid w:val="6515CE6C"/>
    <w:rsid w:val="67492391"/>
    <w:rsid w:val="6E2A7136"/>
    <w:rsid w:val="78481FCF"/>
    <w:rsid w:val="7EB2C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486284"/>
  <w15:docId w15:val="{DE021E12-DA00-41F3-97A3-AA6B8890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8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qFormat/>
    <w:rsid w:val="006118B7"/>
    <w:pPr>
      <w:keepNext/>
      <w:tabs>
        <w:tab w:val="left" w:pos="567"/>
      </w:tabs>
      <w:spacing w:before="600" w:after="360"/>
      <w:outlineLvl w:val="0"/>
    </w:pPr>
    <w:rPr>
      <w:rFonts w:ascii="Arial" w:hAnsi="Arial"/>
      <w:caps/>
      <w:color w:val="00426F"/>
      <w:kern w:val="28"/>
      <w:sz w:val="40"/>
      <w:szCs w:val="36"/>
      <w:lang w:val="en-AU"/>
    </w:rPr>
  </w:style>
  <w:style w:type="paragraph" w:styleId="Heading2">
    <w:name w:val="heading 2"/>
    <w:basedOn w:val="Normal"/>
    <w:next w:val="BodyText"/>
    <w:link w:val="Heading2Char"/>
    <w:qFormat/>
    <w:rsid w:val="005B0E20"/>
    <w:pPr>
      <w:keepNext/>
      <w:widowControl w:val="0"/>
      <w:numPr>
        <w:numId w:val="30"/>
      </w:numPr>
      <w:pBdr>
        <w:bottom w:val="single" w:sz="4" w:space="2" w:color="53C8E9"/>
      </w:pBdr>
      <w:spacing w:before="240" w:after="100"/>
      <w:outlineLvl w:val="1"/>
    </w:pPr>
    <w:rPr>
      <w:rFonts w:ascii="Arial Bold" w:eastAsia="Arial Unicode MS" w:hAnsi="Arial Bold"/>
      <w:b/>
      <w:color w:val="53C8E9"/>
      <w:kern w:val="28"/>
      <w:sz w:val="28"/>
      <w:szCs w:val="36"/>
      <w:lang w:val="en-AU"/>
    </w:rPr>
  </w:style>
  <w:style w:type="paragraph" w:styleId="Heading3">
    <w:name w:val="heading 3"/>
    <w:basedOn w:val="Heading2"/>
    <w:next w:val="BodyText"/>
    <w:link w:val="Heading3Char"/>
    <w:qFormat/>
    <w:rsid w:val="00EC079F"/>
    <w:pPr>
      <w:keepNext w:val="0"/>
      <w:numPr>
        <w:numId w:val="0"/>
      </w:num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181A01"/>
    <w:pPr>
      <w:spacing w:line="320" w:lineRule="exact"/>
      <w:outlineLvl w:val="3"/>
    </w:pPr>
    <w:rPr>
      <w:sz w:val="25"/>
    </w:rPr>
  </w:style>
  <w:style w:type="paragraph" w:styleId="Heading5">
    <w:name w:val="heading 5"/>
    <w:basedOn w:val="Heading4"/>
    <w:next w:val="BodyText"/>
    <w:link w:val="Heading5Char"/>
    <w:qFormat/>
    <w:rsid w:val="00D216D4"/>
    <w:pPr>
      <w:spacing w:before="400" w:after="60"/>
      <w:outlineLvl w:val="4"/>
    </w:pPr>
    <w:rPr>
      <w:rFonts w:ascii="Arial" w:hAnsi="Arial"/>
      <w:b w:val="0"/>
      <w:i/>
      <w:sz w:val="24"/>
    </w:rPr>
  </w:style>
  <w:style w:type="paragraph" w:styleId="Heading6">
    <w:name w:val="heading 6"/>
    <w:basedOn w:val="Heading1"/>
    <w:next w:val="Normal"/>
    <w:link w:val="Heading6Char"/>
    <w:qFormat/>
    <w:rsid w:val="00DD408A"/>
    <w:pPr>
      <w:spacing w:before="320" w:after="120"/>
      <w:outlineLvl w:val="5"/>
    </w:pPr>
    <w:rPr>
      <w:kern w:val="0"/>
      <w:sz w:val="20"/>
    </w:rPr>
  </w:style>
  <w:style w:type="paragraph" w:styleId="Heading7">
    <w:name w:val="heading 7"/>
    <w:basedOn w:val="Heading5"/>
    <w:next w:val="Normal"/>
    <w:link w:val="Heading7Char"/>
    <w:qFormat/>
    <w:rsid w:val="00DD408A"/>
    <w:pPr>
      <w:spacing w:before="120"/>
      <w:ind w:left="425"/>
      <w:jc w:val="both"/>
      <w:outlineLvl w:val="6"/>
    </w:pPr>
    <w:rPr>
      <w:i w:val="0"/>
      <w:sz w:val="23"/>
    </w:rPr>
  </w:style>
  <w:style w:type="paragraph" w:styleId="Heading8">
    <w:name w:val="heading 8"/>
    <w:basedOn w:val="Heading7"/>
    <w:next w:val="Normal"/>
    <w:link w:val="Heading8Char"/>
    <w:qFormat/>
    <w:rsid w:val="00DD408A"/>
    <w:pPr>
      <w:outlineLvl w:val="7"/>
    </w:pPr>
    <w:rPr>
      <w:i/>
    </w:rPr>
  </w:style>
  <w:style w:type="paragraph" w:styleId="Heading9">
    <w:name w:val="heading 9"/>
    <w:basedOn w:val="Heading8"/>
    <w:next w:val="Normal"/>
    <w:link w:val="Heading9Char"/>
    <w:qFormat/>
    <w:rsid w:val="00DD408A"/>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B0E20"/>
    <w:rPr>
      <w:rFonts w:ascii="Arial Bold" w:eastAsia="Arial Unicode MS" w:hAnsi="Arial Bold" w:cs="Times New Roman"/>
      <w:b/>
      <w:color w:val="53C8E9"/>
      <w:kern w:val="28"/>
      <w:sz w:val="28"/>
      <w:szCs w:val="36"/>
    </w:rPr>
  </w:style>
  <w:style w:type="paragraph" w:styleId="BodyText">
    <w:name w:val="Body Text"/>
    <w:link w:val="BodyTextChar"/>
    <w:rsid w:val="00D216D4"/>
    <w:pPr>
      <w:spacing w:before="160" w:after="100" w:line="240" w:lineRule="atLeast"/>
    </w:pPr>
    <w:rPr>
      <w:rFonts w:ascii="Arial" w:eastAsia="Times New Roman" w:hAnsi="Arial" w:cs="Times New Roman"/>
      <w:sz w:val="23"/>
      <w:szCs w:val="20"/>
    </w:rPr>
  </w:style>
  <w:style w:type="character" w:customStyle="1" w:styleId="BodyTextChar">
    <w:name w:val="Body Text Char"/>
    <w:link w:val="BodyText"/>
    <w:rsid w:val="00D216D4"/>
    <w:rPr>
      <w:rFonts w:ascii="Arial" w:eastAsia="Times New Roman" w:hAnsi="Arial" w:cs="Times New Roman"/>
      <w:sz w:val="23"/>
      <w:szCs w:val="20"/>
    </w:rPr>
  </w:style>
  <w:style w:type="paragraph" w:styleId="ListParagraph">
    <w:name w:val="List Paragraph"/>
    <w:basedOn w:val="Normal"/>
    <w:link w:val="ListParagraphChar"/>
    <w:uiPriority w:val="34"/>
    <w:qFormat/>
    <w:rsid w:val="00DD408A"/>
    <w:pPr>
      <w:ind w:left="720"/>
      <w:contextualSpacing/>
    </w:pPr>
  </w:style>
  <w:style w:type="character" w:customStyle="1" w:styleId="ListParagraphChar">
    <w:name w:val="List Paragraph Char"/>
    <w:link w:val="ListParagraph"/>
    <w:uiPriority w:val="34"/>
    <w:locked/>
    <w:rsid w:val="00DD408A"/>
    <w:rPr>
      <w:rFonts w:ascii="Times New Roman" w:eastAsia="Times New Roman" w:hAnsi="Times New Roman" w:cs="Times New Roman"/>
      <w:sz w:val="20"/>
      <w:szCs w:val="20"/>
      <w:lang w:val="en-US"/>
    </w:rPr>
  </w:style>
  <w:style w:type="character" w:customStyle="1" w:styleId="Heading1Char">
    <w:name w:val="Heading 1 Char"/>
    <w:link w:val="Heading1"/>
    <w:rsid w:val="006118B7"/>
    <w:rPr>
      <w:rFonts w:ascii="Arial" w:eastAsia="Times New Roman" w:hAnsi="Arial" w:cs="Times New Roman"/>
      <w:caps/>
      <w:color w:val="00426F"/>
      <w:kern w:val="28"/>
      <w:sz w:val="40"/>
      <w:szCs w:val="36"/>
    </w:rPr>
  </w:style>
  <w:style w:type="paragraph" w:styleId="Header">
    <w:name w:val="header"/>
    <w:basedOn w:val="Normal"/>
    <w:link w:val="HeaderChar"/>
    <w:uiPriority w:val="99"/>
    <w:rsid w:val="00DD408A"/>
    <w:pPr>
      <w:tabs>
        <w:tab w:val="center" w:pos="4153"/>
        <w:tab w:val="right" w:pos="8306"/>
      </w:tabs>
      <w:spacing w:line="192" w:lineRule="auto"/>
      <w:contextualSpacing/>
    </w:pPr>
    <w:rPr>
      <w:rFonts w:ascii="Arial Unicode MS" w:hAnsi="Arial Unicode MS"/>
    </w:rPr>
  </w:style>
  <w:style w:type="character" w:customStyle="1" w:styleId="HeaderChar">
    <w:name w:val="Header Char"/>
    <w:link w:val="Header"/>
    <w:uiPriority w:val="99"/>
    <w:rsid w:val="00DD408A"/>
    <w:rPr>
      <w:rFonts w:ascii="Arial Unicode MS" w:eastAsia="Times New Roman" w:hAnsi="Arial Unicode MS" w:cs="Times New Roman"/>
      <w:sz w:val="20"/>
      <w:szCs w:val="20"/>
      <w:lang w:val="en-US"/>
    </w:rPr>
  </w:style>
  <w:style w:type="paragraph" w:styleId="Footer">
    <w:name w:val="footer"/>
    <w:basedOn w:val="Normal"/>
    <w:link w:val="FooterChar"/>
    <w:rsid w:val="00DD408A"/>
    <w:pPr>
      <w:pBdr>
        <w:top w:val="single" w:sz="4" w:space="4" w:color="auto"/>
      </w:pBdr>
      <w:tabs>
        <w:tab w:val="right" w:pos="9072"/>
      </w:tabs>
    </w:pPr>
    <w:rPr>
      <w:rFonts w:ascii="Lucida Sans" w:hAnsi="Lucida Sans"/>
      <w:sz w:val="18"/>
    </w:rPr>
  </w:style>
  <w:style w:type="character" w:customStyle="1" w:styleId="FooterChar">
    <w:name w:val="Footer Char"/>
    <w:link w:val="Footer"/>
    <w:rsid w:val="00DD408A"/>
    <w:rPr>
      <w:rFonts w:ascii="Lucida Sans" w:eastAsia="Times New Roman" w:hAnsi="Lucida Sans" w:cs="Times New Roman"/>
      <w:sz w:val="18"/>
      <w:szCs w:val="20"/>
      <w:lang w:val="en-US"/>
    </w:rPr>
  </w:style>
  <w:style w:type="paragraph" w:styleId="BalloonText">
    <w:name w:val="Balloon Text"/>
    <w:basedOn w:val="Normal"/>
    <w:link w:val="BalloonTextChar"/>
    <w:uiPriority w:val="99"/>
    <w:rsid w:val="00DD408A"/>
    <w:rPr>
      <w:rFonts w:ascii="Tahoma" w:hAnsi="Tahoma" w:cs="Tahoma"/>
      <w:sz w:val="16"/>
      <w:szCs w:val="16"/>
    </w:rPr>
  </w:style>
  <w:style w:type="character" w:customStyle="1" w:styleId="BalloonTextChar">
    <w:name w:val="Balloon Text Char"/>
    <w:link w:val="BalloonText"/>
    <w:uiPriority w:val="99"/>
    <w:rsid w:val="00DD408A"/>
    <w:rPr>
      <w:rFonts w:ascii="Tahoma" w:eastAsia="Times New Roman" w:hAnsi="Tahoma" w:cs="Tahoma"/>
      <w:sz w:val="16"/>
      <w:szCs w:val="16"/>
      <w:lang w:val="en-US"/>
    </w:rPr>
  </w:style>
  <w:style w:type="paragraph" w:customStyle="1" w:styleId="Activitytexts">
    <w:name w:val="Activity texts"/>
    <w:basedOn w:val="Normal"/>
    <w:autoRedefine/>
    <w:uiPriority w:val="99"/>
    <w:rsid w:val="00DD408A"/>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customStyle="1" w:styleId="Active-Uline">
    <w:name w:val="Active-Uline"/>
    <w:basedOn w:val="Activitytexts"/>
    <w:uiPriority w:val="99"/>
    <w:rsid w:val="00DD408A"/>
    <w:pPr>
      <w:widowControl/>
      <w:tabs>
        <w:tab w:val="left" w:pos="5529"/>
        <w:tab w:val="left" w:pos="6180"/>
        <w:tab w:val="left" w:pos="6804"/>
        <w:tab w:val="left" w:pos="7456"/>
      </w:tabs>
    </w:pPr>
  </w:style>
  <w:style w:type="paragraph" w:customStyle="1" w:styleId="AverageStaffing">
    <w:name w:val="Average Staffing"/>
    <w:basedOn w:val="Normal"/>
    <w:autoRedefine/>
    <w:uiPriority w:val="99"/>
    <w:rsid w:val="00DD408A"/>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rsid w:val="00DD408A"/>
    <w:pPr>
      <w:widowControl/>
      <w:tabs>
        <w:tab w:val="left" w:pos="7371"/>
      </w:tabs>
    </w:pPr>
  </w:style>
  <w:style w:type="paragraph" w:customStyle="1" w:styleId="Activitytotallines">
    <w:name w:val="Activity total lines"/>
    <w:basedOn w:val="Activitytexts"/>
    <w:uiPriority w:val="99"/>
    <w:rsid w:val="00DD408A"/>
    <w:pPr>
      <w:tabs>
        <w:tab w:val="right" w:pos="5472"/>
        <w:tab w:val="right" w:pos="6464"/>
        <w:tab w:val="right" w:pos="6747"/>
        <w:tab w:val="right" w:pos="7740"/>
      </w:tabs>
    </w:pPr>
  </w:style>
  <w:style w:type="paragraph" w:customStyle="1" w:styleId="Agency">
    <w:name w:val="Agency"/>
    <w:basedOn w:val="Normal"/>
    <w:autoRedefine/>
    <w:uiPriority w:val="99"/>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rsid w:val="00DD408A"/>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rsid w:val="00DD408A"/>
  </w:style>
  <w:style w:type="character" w:customStyle="1" w:styleId="apple-tab-span">
    <w:name w:val="apple-tab-span"/>
    <w:rsid w:val="00DD408A"/>
  </w:style>
  <w:style w:type="character" w:customStyle="1" w:styleId="Arial-6">
    <w:name w:val="Arial-6"/>
    <w:rsid w:val="00DD408A"/>
    <w:rPr>
      <w:rFonts w:ascii="Lucida Sans" w:hAnsi="Lucida Sans" w:cs="Arial"/>
      <w:b/>
      <w:bCs/>
      <w:sz w:val="18"/>
      <w:szCs w:val="14"/>
    </w:rPr>
  </w:style>
  <w:style w:type="paragraph" w:customStyle="1" w:styleId="Averageframe">
    <w:name w:val="Average frame"/>
    <w:basedOn w:val="Normal"/>
    <w:uiPriority w:val="99"/>
    <w:rsid w:val="00DD408A"/>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paragraph" w:customStyle="1" w:styleId="Averagestaffingdata">
    <w:name w:val="Average staffing data"/>
    <w:basedOn w:val="Normal"/>
    <w:uiPriority w:val="99"/>
    <w:rsid w:val="00DD408A"/>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rsid w:val="00DD408A"/>
    <w:pPr>
      <w:tabs>
        <w:tab w:val="left" w:pos="6747"/>
      </w:tabs>
    </w:pPr>
  </w:style>
  <w:style w:type="paragraph" w:styleId="NoteHeading">
    <w:name w:val="Note Heading"/>
    <w:basedOn w:val="Normal"/>
    <w:next w:val="Normal"/>
    <w:link w:val="NoteHeadingChar"/>
    <w:rsid w:val="00DD408A"/>
  </w:style>
  <w:style w:type="character" w:customStyle="1" w:styleId="NoteHeadingChar">
    <w:name w:val="Note Heading Char"/>
    <w:link w:val="NoteHeading"/>
    <w:rsid w:val="00DD408A"/>
    <w:rPr>
      <w:rFonts w:ascii="Times New Roman" w:eastAsia="Times New Roman" w:hAnsi="Times New Roman" w:cs="Times New Roman"/>
      <w:sz w:val="20"/>
      <w:szCs w:val="20"/>
      <w:lang w:val="en-US"/>
    </w:rPr>
  </w:style>
  <w:style w:type="paragraph" w:customStyle="1" w:styleId="BlankPage">
    <w:name w:val="Blank Page"/>
    <w:basedOn w:val="NoteHeading"/>
    <w:rsid w:val="00DD408A"/>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customStyle="1" w:styleId="Body">
    <w:name w:val="Body"/>
    <w:basedOn w:val="Normal"/>
    <w:autoRedefine/>
    <w:uiPriority w:val="99"/>
    <w:rsid w:val="00DD408A"/>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styleId="BodyText2">
    <w:name w:val="Body Text 2"/>
    <w:basedOn w:val="Normal"/>
    <w:link w:val="BodyText2Char"/>
    <w:rsid w:val="00DD408A"/>
    <w:rPr>
      <w:sz w:val="21"/>
    </w:rPr>
  </w:style>
  <w:style w:type="character" w:customStyle="1" w:styleId="BodyText2Char">
    <w:name w:val="Body Text 2 Char"/>
    <w:link w:val="BodyText2"/>
    <w:rsid w:val="00DD408A"/>
    <w:rPr>
      <w:rFonts w:ascii="Times New Roman" w:eastAsia="Times New Roman" w:hAnsi="Times New Roman" w:cs="Times New Roman"/>
      <w:sz w:val="21"/>
      <w:szCs w:val="20"/>
      <w:lang w:val="en-US"/>
    </w:rPr>
  </w:style>
  <w:style w:type="paragraph" w:customStyle="1" w:styleId="BodyTextBox">
    <w:name w:val="Body Text Box"/>
    <w:basedOn w:val="Normal"/>
    <w:link w:val="BodyTextBoxChar"/>
    <w:autoRedefine/>
    <w:rsid w:val="00DD408A"/>
    <w:pPr>
      <w:spacing w:before="80" w:after="80" w:line="260" w:lineRule="exact"/>
    </w:pPr>
    <w:rPr>
      <w:rFonts w:ascii="Arial" w:hAnsi="Arial"/>
      <w:color w:val="0579B9"/>
      <w:sz w:val="19"/>
      <w:szCs w:val="22"/>
    </w:rPr>
  </w:style>
  <w:style w:type="character" w:customStyle="1" w:styleId="BodyTextBoxChar">
    <w:name w:val="Body Text Box Char"/>
    <w:link w:val="BodyTextBox"/>
    <w:rsid w:val="00DD408A"/>
    <w:rPr>
      <w:rFonts w:ascii="Arial" w:eastAsia="Times New Roman" w:hAnsi="Arial" w:cs="Times New Roman"/>
      <w:color w:val="0579B9"/>
      <w:sz w:val="19"/>
      <w:lang w:val="en-US"/>
    </w:rPr>
  </w:style>
  <w:style w:type="paragraph" w:styleId="BodyTextIndent2">
    <w:name w:val="Body Text Indent 2"/>
    <w:basedOn w:val="Normal"/>
    <w:link w:val="BodyTextIndent2Char"/>
    <w:autoRedefine/>
    <w:rsid w:val="00DD408A"/>
    <w:pPr>
      <w:spacing w:after="120"/>
      <w:ind w:left="284"/>
    </w:pPr>
    <w:rPr>
      <w:i/>
      <w:sz w:val="23"/>
    </w:rPr>
  </w:style>
  <w:style w:type="character" w:customStyle="1" w:styleId="BodyTextIndent2Char">
    <w:name w:val="Body Text Indent 2 Char"/>
    <w:link w:val="BodyTextIndent2"/>
    <w:rsid w:val="00DD408A"/>
    <w:rPr>
      <w:rFonts w:ascii="Times New Roman" w:eastAsia="Times New Roman" w:hAnsi="Times New Roman" w:cs="Times New Roman"/>
      <w:i/>
      <w:sz w:val="23"/>
      <w:szCs w:val="20"/>
      <w:lang w:val="en-US"/>
    </w:rPr>
  </w:style>
  <w:style w:type="paragraph" w:customStyle="1" w:styleId="BodyTextlettereditaliclist">
    <w:name w:val="Body Text lettered italic list"/>
    <w:basedOn w:val="Normal"/>
    <w:rsid w:val="00DD408A"/>
    <w:pPr>
      <w:ind w:left="426" w:hanging="426"/>
    </w:pPr>
    <w:rPr>
      <w:i/>
    </w:rPr>
  </w:style>
  <w:style w:type="paragraph" w:customStyle="1" w:styleId="Bodytextnumbered">
    <w:name w:val="Body text numbered"/>
    <w:basedOn w:val="Heading1"/>
    <w:qFormat/>
    <w:rsid w:val="00DD408A"/>
    <w:pPr>
      <w:keepNext w:val="0"/>
      <w:tabs>
        <w:tab w:val="num" w:pos="454"/>
      </w:tabs>
      <w:spacing w:before="200" w:line="320" w:lineRule="atLeast"/>
      <w:ind w:left="454" w:hanging="454"/>
    </w:pPr>
    <w:rPr>
      <w:b/>
      <w:kern w:val="0"/>
      <w:sz w:val="22"/>
      <w:szCs w:val="22"/>
    </w:rPr>
  </w:style>
  <w:style w:type="paragraph" w:customStyle="1" w:styleId="BodyText1">
    <w:name w:val="Body Text1"/>
    <w:basedOn w:val="BodyText"/>
    <w:link w:val="bodytextChar0"/>
    <w:autoRedefine/>
    <w:rsid w:val="00DD408A"/>
    <w:pPr>
      <w:spacing w:line="360" w:lineRule="auto"/>
      <w:ind w:right="-17"/>
    </w:pPr>
    <w:rPr>
      <w:szCs w:val="24"/>
    </w:rPr>
  </w:style>
  <w:style w:type="character" w:customStyle="1" w:styleId="bodytextChar0">
    <w:name w:val="body text Char"/>
    <w:link w:val="BodyText1"/>
    <w:rsid w:val="00DD408A"/>
    <w:rPr>
      <w:rFonts w:ascii="Arial" w:eastAsia="Times New Roman" w:hAnsi="Arial" w:cs="Times New Roman"/>
      <w:sz w:val="20"/>
      <w:szCs w:val="24"/>
    </w:rPr>
  </w:style>
  <w:style w:type="character" w:customStyle="1" w:styleId="Bold">
    <w:name w:val="Bold"/>
    <w:uiPriority w:val="99"/>
    <w:rsid w:val="00DD408A"/>
    <w:rPr>
      <w:b/>
    </w:rPr>
  </w:style>
  <w:style w:type="character" w:styleId="BookTitle">
    <w:name w:val="Book Title"/>
    <w:uiPriority w:val="33"/>
    <w:qFormat/>
    <w:rsid w:val="00DD408A"/>
    <w:rPr>
      <w:b/>
      <w:bCs/>
      <w:smallCaps/>
      <w:spacing w:val="5"/>
    </w:rPr>
  </w:style>
  <w:style w:type="character" w:customStyle="1" w:styleId="Heading3Char">
    <w:name w:val="Heading 3 Char"/>
    <w:link w:val="Heading3"/>
    <w:rsid w:val="000F1E2C"/>
    <w:rPr>
      <w:rFonts w:ascii="Arial Bold" w:eastAsia="Arial Unicode MS" w:hAnsi="Arial Bold" w:cs="Times New Roman"/>
      <w:b/>
      <w:kern w:val="28"/>
      <w:sz w:val="26"/>
      <w:szCs w:val="36"/>
    </w:rPr>
  </w:style>
  <w:style w:type="paragraph" w:customStyle="1" w:styleId="ObjectHeading">
    <w:name w:val="Object Heading"/>
    <w:basedOn w:val="Heading3"/>
    <w:next w:val="Normal"/>
    <w:rsid w:val="00DD408A"/>
    <w:pPr>
      <w:tabs>
        <w:tab w:val="left" w:pos="1418"/>
      </w:tabs>
      <w:ind w:left="1418" w:hanging="1418"/>
    </w:pPr>
    <w:rPr>
      <w:kern w:val="0"/>
    </w:rPr>
  </w:style>
  <w:style w:type="paragraph" w:customStyle="1" w:styleId="BoxHeading">
    <w:name w:val="Box Heading"/>
    <w:basedOn w:val="ObjectHeading"/>
    <w:link w:val="BoxHeadingChar"/>
    <w:autoRedefine/>
    <w:rsid w:val="00DD408A"/>
    <w:pPr>
      <w:tabs>
        <w:tab w:val="clear" w:pos="1418"/>
        <w:tab w:val="left" w:pos="1168"/>
      </w:tabs>
      <w:spacing w:before="120" w:after="60"/>
      <w:ind w:left="1168" w:hanging="1168"/>
    </w:pPr>
    <w:rPr>
      <w:rFonts w:ascii="Arial" w:hAnsi="Arial"/>
      <w:b w:val="0"/>
      <w:bCs/>
      <w:szCs w:val="23"/>
      <w:lang w:val="en-US"/>
    </w:rPr>
  </w:style>
  <w:style w:type="character" w:customStyle="1" w:styleId="BoxHeadingChar">
    <w:name w:val="Box Heading Char"/>
    <w:link w:val="BoxHeading"/>
    <w:rsid w:val="00DD408A"/>
    <w:rPr>
      <w:rFonts w:ascii="Arial" w:eastAsia="Arial Unicode MS" w:hAnsi="Arial" w:cs="Times New Roman"/>
      <w:bCs/>
      <w:sz w:val="20"/>
      <w:szCs w:val="23"/>
      <w:lang w:val="en-US"/>
    </w:rPr>
  </w:style>
  <w:style w:type="paragraph" w:customStyle="1" w:styleId="Bullet">
    <w:name w:val="Bullet"/>
    <w:basedOn w:val="BodyText"/>
    <w:rsid w:val="00DD408A"/>
    <w:pPr>
      <w:numPr>
        <w:numId w:val="1"/>
      </w:numPr>
      <w:spacing w:before="180" w:after="180" w:line="288" w:lineRule="auto"/>
      <w:outlineLvl w:val="0"/>
    </w:pPr>
    <w:rPr>
      <w:rFonts w:cs="Arial"/>
      <w:szCs w:val="22"/>
    </w:rPr>
  </w:style>
  <w:style w:type="paragraph" w:customStyle="1" w:styleId="Bullet-1stlevel">
    <w:name w:val="Bullet - 1st level"/>
    <w:basedOn w:val="Normal"/>
    <w:qFormat/>
    <w:rsid w:val="00DD408A"/>
    <w:pPr>
      <w:numPr>
        <w:numId w:val="2"/>
      </w:numPr>
      <w:spacing w:before="60" w:after="60"/>
    </w:pPr>
    <w:rPr>
      <w:rFonts w:ascii="Arial" w:hAnsi="Arial" w:cs="Arial"/>
      <w:szCs w:val="18"/>
      <w:lang w:val="en-AU" w:bidi="en-US"/>
    </w:rPr>
  </w:style>
  <w:style w:type="paragraph" w:customStyle="1" w:styleId="Bullet1stlevel">
    <w:name w:val="Bullet – 1st level"/>
    <w:qFormat/>
    <w:rsid w:val="00DD408A"/>
    <w:pPr>
      <w:numPr>
        <w:numId w:val="3"/>
      </w:numPr>
      <w:spacing w:before="60" w:after="60" w:line="240" w:lineRule="auto"/>
    </w:pPr>
    <w:rPr>
      <w:rFonts w:ascii="Arial" w:eastAsia="Times New Roman" w:hAnsi="Arial" w:cs="Times New Roman"/>
      <w:sz w:val="20"/>
      <w:lang w:bidi="en-US"/>
    </w:rPr>
  </w:style>
  <w:style w:type="paragraph" w:customStyle="1" w:styleId="Bullet-2ndlevel">
    <w:name w:val="Bullet - 2nd level"/>
    <w:basedOn w:val="Bullet-1stlevel"/>
    <w:qFormat/>
    <w:rsid w:val="00DD408A"/>
    <w:pPr>
      <w:numPr>
        <w:ilvl w:val="1"/>
      </w:numPr>
      <w:tabs>
        <w:tab w:val="left" w:pos="1134"/>
      </w:tabs>
    </w:pPr>
  </w:style>
  <w:style w:type="paragraph" w:customStyle="1" w:styleId="Bullet2ndlevel">
    <w:name w:val="Bullet – 2nd level"/>
    <w:basedOn w:val="Bullet1stlevel"/>
    <w:qFormat/>
    <w:rsid w:val="00DD408A"/>
    <w:pPr>
      <w:numPr>
        <w:ilvl w:val="1"/>
      </w:numPr>
      <w:tabs>
        <w:tab w:val="left" w:pos="1134"/>
      </w:tabs>
    </w:pPr>
  </w:style>
  <w:style w:type="paragraph" w:customStyle="1" w:styleId="Bullet1">
    <w:name w:val="Bullet 1"/>
    <w:link w:val="Bullet1Char"/>
    <w:autoRedefine/>
    <w:rsid w:val="005F787D"/>
    <w:pPr>
      <w:numPr>
        <w:numId w:val="29"/>
      </w:numPr>
      <w:spacing w:before="120" w:after="80" w:line="240" w:lineRule="atLeast"/>
    </w:pPr>
    <w:rPr>
      <w:rFonts w:ascii="Arial" w:eastAsia="Times New Roman" w:hAnsi="Arial" w:cs="Times New Roman"/>
      <w:sz w:val="23"/>
      <w:szCs w:val="23"/>
    </w:rPr>
  </w:style>
  <w:style w:type="character" w:customStyle="1" w:styleId="Bullet1Char">
    <w:name w:val="Bullet 1 Char"/>
    <w:link w:val="Bullet1"/>
    <w:rsid w:val="005F787D"/>
    <w:rPr>
      <w:rFonts w:ascii="Arial" w:eastAsia="Times New Roman" w:hAnsi="Arial" w:cs="Times New Roman"/>
      <w:sz w:val="23"/>
      <w:szCs w:val="23"/>
    </w:rPr>
  </w:style>
  <w:style w:type="paragraph" w:customStyle="1" w:styleId="Bullet1box">
    <w:name w:val="Bullet 1 box"/>
    <w:basedOn w:val="Bullet1"/>
    <w:autoRedefine/>
    <w:rsid w:val="00DD408A"/>
    <w:pPr>
      <w:numPr>
        <w:numId w:val="4"/>
      </w:numPr>
      <w:shd w:val="clear" w:color="auto" w:fill="FFFFFF"/>
      <w:spacing w:after="60" w:line="260" w:lineRule="exact"/>
    </w:pPr>
  </w:style>
  <w:style w:type="paragraph" w:customStyle="1" w:styleId="Bullet1inabox">
    <w:name w:val="Bullet 1 in a box"/>
    <w:basedOn w:val="Bullet1"/>
    <w:autoRedefine/>
    <w:rsid w:val="00DD408A"/>
    <w:pPr>
      <w:numPr>
        <w:numId w:val="5"/>
      </w:numPr>
      <w:spacing w:before="80" w:after="40" w:line="260" w:lineRule="exact"/>
    </w:pPr>
    <w:rPr>
      <w:color w:val="0579B9"/>
      <w:sz w:val="19"/>
    </w:rPr>
  </w:style>
  <w:style w:type="paragraph" w:customStyle="1" w:styleId="Bullet1Paragraph">
    <w:name w:val="Bullet 1 Paragraph"/>
    <w:basedOn w:val="Normal"/>
    <w:rsid w:val="00DD408A"/>
    <w:pPr>
      <w:ind w:left="425"/>
    </w:pPr>
  </w:style>
  <w:style w:type="paragraph" w:customStyle="1" w:styleId="Bullet2">
    <w:name w:val="Bullet 2"/>
    <w:basedOn w:val="Bullet1"/>
    <w:rsid w:val="007C58CD"/>
    <w:pPr>
      <w:numPr>
        <w:numId w:val="6"/>
      </w:numPr>
      <w:tabs>
        <w:tab w:val="left" w:pos="851"/>
      </w:tabs>
      <w:spacing w:before="80" w:after="40"/>
      <w:ind w:left="714" w:hanging="357"/>
    </w:pPr>
  </w:style>
  <w:style w:type="paragraph" w:customStyle="1" w:styleId="Bullet2innumberedlist">
    <w:name w:val="Bullet 2 in numbered list"/>
    <w:basedOn w:val="Bullet2"/>
    <w:rsid w:val="00DD408A"/>
    <w:pPr>
      <w:numPr>
        <w:numId w:val="0"/>
      </w:numPr>
      <w:tabs>
        <w:tab w:val="num" w:pos="851"/>
      </w:tabs>
      <w:ind w:left="851" w:hanging="426"/>
    </w:pPr>
  </w:style>
  <w:style w:type="paragraph" w:customStyle="1" w:styleId="Bullet2Paragraph">
    <w:name w:val="Bullet 2 Paragraph"/>
    <w:basedOn w:val="Bullet1Paragraph"/>
    <w:rsid w:val="00DD408A"/>
    <w:pPr>
      <w:ind w:left="851"/>
    </w:pPr>
  </w:style>
  <w:style w:type="paragraph" w:customStyle="1" w:styleId="Bullet3">
    <w:name w:val="Bullet 3"/>
    <w:basedOn w:val="Bullet2"/>
    <w:rsid w:val="00DD408A"/>
    <w:pPr>
      <w:numPr>
        <w:numId w:val="7"/>
      </w:numPr>
    </w:pPr>
  </w:style>
  <w:style w:type="paragraph" w:customStyle="1" w:styleId="Bullet3Paragraph">
    <w:name w:val="Bullet 3 Paragraph"/>
    <w:basedOn w:val="Bullet2Paragraph"/>
    <w:rsid w:val="00DD408A"/>
    <w:pPr>
      <w:ind w:left="1276"/>
    </w:pPr>
  </w:style>
  <w:style w:type="paragraph" w:customStyle="1" w:styleId="Bullet4">
    <w:name w:val="Bullet 4"/>
    <w:basedOn w:val="Bullet3"/>
    <w:rsid w:val="00DD408A"/>
    <w:pPr>
      <w:numPr>
        <w:numId w:val="8"/>
      </w:numPr>
    </w:pPr>
  </w:style>
  <w:style w:type="paragraph" w:customStyle="1" w:styleId="Bullet4Paragraph">
    <w:name w:val="Bullet 4 Paragraph"/>
    <w:basedOn w:val="Bullet3Paragraph"/>
    <w:rsid w:val="00DD408A"/>
    <w:pPr>
      <w:ind w:left="1701"/>
    </w:pPr>
  </w:style>
  <w:style w:type="paragraph" w:customStyle="1" w:styleId="BulletPointStyle">
    <w:name w:val="Bullet Point Style"/>
    <w:basedOn w:val="BodyText"/>
    <w:link w:val="BulletPointStyleChar"/>
    <w:qFormat/>
    <w:rsid w:val="00DD408A"/>
    <w:pPr>
      <w:numPr>
        <w:numId w:val="9"/>
      </w:numPr>
      <w:spacing w:after="80"/>
    </w:pPr>
    <w:rPr>
      <w:rFonts w:ascii="Garamond" w:hAnsi="Garamond"/>
      <w:lang w:eastAsia="x-none"/>
    </w:rPr>
  </w:style>
  <w:style w:type="character" w:customStyle="1" w:styleId="BulletPointStyleChar">
    <w:name w:val="Bullet Point Style Char"/>
    <w:link w:val="BulletPointStyle"/>
    <w:locked/>
    <w:rsid w:val="00DD408A"/>
    <w:rPr>
      <w:rFonts w:ascii="Garamond" w:eastAsia="Times New Roman" w:hAnsi="Garamond" w:cs="Times New Roman"/>
      <w:sz w:val="23"/>
      <w:szCs w:val="20"/>
      <w:lang w:eastAsia="x-none"/>
    </w:rPr>
  </w:style>
  <w:style w:type="numbering" w:customStyle="1" w:styleId="BulletPoints">
    <w:name w:val="Bullet Points"/>
    <w:uiPriority w:val="99"/>
    <w:rsid w:val="00DD408A"/>
    <w:pPr>
      <w:numPr>
        <w:numId w:val="9"/>
      </w:numPr>
    </w:pPr>
  </w:style>
  <w:style w:type="paragraph" w:customStyle="1" w:styleId="Bulletpoints0">
    <w:name w:val="Bullet points"/>
    <w:basedOn w:val="Normal"/>
    <w:link w:val="BulletpointsChar"/>
    <w:qFormat/>
    <w:rsid w:val="00DD408A"/>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rsid w:val="00DD408A"/>
    <w:rPr>
      <w:rFonts w:ascii="Arial" w:eastAsia="Times New Roman" w:hAnsi="Arial" w:cs="Arial"/>
    </w:rPr>
  </w:style>
  <w:style w:type="paragraph" w:customStyle="1" w:styleId="OpStatementData">
    <w:name w:val="Op. Statement Data"/>
    <w:basedOn w:val="Normal"/>
    <w:autoRedefine/>
    <w:uiPriority w:val="99"/>
    <w:rsid w:val="00DD408A"/>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rsid w:val="00DD408A"/>
    <w:pPr>
      <w:pBdr>
        <w:top w:val="single" w:sz="6" w:space="1" w:color="auto"/>
      </w:pBdr>
    </w:pPr>
    <w:rPr>
      <w:b/>
      <w:bCs/>
    </w:rPr>
  </w:style>
  <w:style w:type="paragraph" w:styleId="Caption">
    <w:name w:val="caption"/>
    <w:basedOn w:val="Normal"/>
    <w:next w:val="Normal"/>
    <w:qFormat/>
    <w:rsid w:val="00DD408A"/>
    <w:pPr>
      <w:spacing w:before="120" w:after="120"/>
    </w:pPr>
    <w:rPr>
      <w:b/>
    </w:rPr>
  </w:style>
  <w:style w:type="character" w:customStyle="1" w:styleId="CentreLine">
    <w:name w:val="Centre Line"/>
    <w:uiPriority w:val="99"/>
    <w:rsid w:val="00DD408A"/>
    <w:rPr>
      <w:sz w:val="20"/>
      <w:u w:val="single"/>
      <w:vertAlign w:val="superscript"/>
    </w:rPr>
  </w:style>
  <w:style w:type="paragraph" w:customStyle="1" w:styleId="Chart1X">
    <w:name w:val="Chart 1.X"/>
    <w:basedOn w:val="Normal"/>
    <w:rsid w:val="00DD408A"/>
    <w:pPr>
      <w:keepLines/>
      <w:widowControl w:val="0"/>
      <w:tabs>
        <w:tab w:val="left" w:pos="992"/>
      </w:tabs>
      <w:autoSpaceDE w:val="0"/>
      <w:autoSpaceDN w:val="0"/>
      <w:spacing w:before="360" w:after="120"/>
    </w:pPr>
    <w:rPr>
      <w:rFonts w:ascii="Arial" w:hAnsi="Arial"/>
      <w:i/>
      <w:color w:val="57514D"/>
      <w:lang w:val="en-AU" w:eastAsia="en-AU"/>
    </w:rPr>
  </w:style>
  <w:style w:type="paragraph" w:customStyle="1" w:styleId="TableHeading">
    <w:name w:val="Table Heading"/>
    <w:basedOn w:val="Normal"/>
    <w:link w:val="TableHeadingChar"/>
    <w:autoRedefine/>
    <w:rsid w:val="00DD408A"/>
    <w:pPr>
      <w:keepNext/>
      <w:keepLines/>
      <w:numPr>
        <w:numId w:val="10"/>
      </w:numPr>
      <w:spacing w:before="120" w:after="120"/>
    </w:pPr>
    <w:rPr>
      <w:rFonts w:ascii="Arial" w:hAnsi="Arial"/>
      <w:b/>
      <w:sz w:val="24"/>
    </w:rPr>
  </w:style>
  <w:style w:type="character" w:customStyle="1" w:styleId="TableHeadingChar">
    <w:name w:val="Table Heading Char"/>
    <w:link w:val="TableHeading"/>
    <w:rsid w:val="00DD408A"/>
    <w:rPr>
      <w:rFonts w:ascii="Arial" w:eastAsia="Times New Roman" w:hAnsi="Arial" w:cs="Times New Roman"/>
      <w:b/>
      <w:sz w:val="24"/>
      <w:szCs w:val="20"/>
      <w:lang w:val="en-US"/>
    </w:rPr>
  </w:style>
  <w:style w:type="paragraph" w:customStyle="1" w:styleId="TableFX">
    <w:name w:val="Table F.X"/>
    <w:basedOn w:val="TableHeading"/>
    <w:rsid w:val="003B27B1"/>
    <w:pPr>
      <w:keepNext w:val="0"/>
      <w:keepLines w:val="0"/>
      <w:widowControl w:val="0"/>
      <w:numPr>
        <w:numId w:val="11"/>
      </w:numPr>
      <w:tabs>
        <w:tab w:val="left" w:pos="1304"/>
      </w:tabs>
      <w:spacing w:before="240"/>
    </w:pPr>
    <w:rPr>
      <w:b w:val="0"/>
      <w:bCs/>
      <w:i/>
      <w:color w:val="57514D"/>
      <w:kern w:val="28"/>
      <w:sz w:val="22"/>
      <w:szCs w:val="22"/>
    </w:rPr>
  </w:style>
  <w:style w:type="paragraph" w:customStyle="1" w:styleId="Chart2X">
    <w:name w:val="Chart 2.X"/>
    <w:basedOn w:val="TableFX"/>
    <w:rsid w:val="00DD408A"/>
    <w:pPr>
      <w:numPr>
        <w:numId w:val="12"/>
      </w:numPr>
    </w:pPr>
  </w:style>
  <w:style w:type="paragraph" w:customStyle="1" w:styleId="Chart3X">
    <w:name w:val="Chart 3.X"/>
    <w:basedOn w:val="TableFX"/>
    <w:rsid w:val="00DD408A"/>
    <w:pPr>
      <w:numPr>
        <w:numId w:val="13"/>
      </w:numPr>
      <w:spacing w:before="600"/>
    </w:pPr>
    <w:rPr>
      <w:rFonts w:ascii="Lucida Sans" w:hAnsi="Lucida Sans"/>
      <w:color w:val="auto"/>
    </w:rPr>
  </w:style>
  <w:style w:type="paragraph" w:customStyle="1" w:styleId="TableXX">
    <w:name w:val="Table X.X"/>
    <w:basedOn w:val="Normal"/>
    <w:rsid w:val="00DD408A"/>
    <w:pPr>
      <w:widowControl w:val="0"/>
      <w:numPr>
        <w:numId w:val="14"/>
      </w:numPr>
      <w:tabs>
        <w:tab w:val="left" w:pos="1232"/>
      </w:tabs>
      <w:spacing w:before="360" w:after="120"/>
    </w:pPr>
    <w:rPr>
      <w:rFonts w:ascii="Lucida Sans" w:hAnsi="Lucida Sans"/>
      <w:bCs/>
      <w:kern w:val="28"/>
      <w:sz w:val="22"/>
      <w:szCs w:val="22"/>
    </w:rPr>
  </w:style>
  <w:style w:type="paragraph" w:customStyle="1" w:styleId="Chart5X">
    <w:name w:val="Chart 5.X"/>
    <w:basedOn w:val="TableXX"/>
    <w:rsid w:val="00DD408A"/>
    <w:pPr>
      <w:numPr>
        <w:numId w:val="15"/>
      </w:numPr>
      <w:tabs>
        <w:tab w:val="clear" w:pos="1232"/>
        <w:tab w:val="left" w:pos="851"/>
        <w:tab w:val="left" w:pos="1418"/>
      </w:tabs>
    </w:pPr>
    <w:rPr>
      <w:rFonts w:ascii="Arial" w:eastAsia="Arial Unicode MS" w:hAnsi="Arial"/>
      <w:i/>
      <w:color w:val="57514D"/>
    </w:rPr>
  </w:style>
  <w:style w:type="paragraph" w:customStyle="1" w:styleId="Chart6X">
    <w:name w:val="Chart 6.X"/>
    <w:basedOn w:val="Normal"/>
    <w:rsid w:val="00DD408A"/>
    <w:pPr>
      <w:keepLines/>
      <w:spacing w:before="360" w:after="120"/>
    </w:pPr>
    <w:rPr>
      <w:rFonts w:ascii="Lucida Sans" w:hAnsi="Lucida Sans"/>
      <w:sz w:val="22"/>
    </w:rPr>
  </w:style>
  <w:style w:type="paragraph" w:customStyle="1" w:styleId="Table7X">
    <w:name w:val="Table 7.X"/>
    <w:basedOn w:val="Normal"/>
    <w:rsid w:val="00DD408A"/>
    <w:pPr>
      <w:widowControl w:val="0"/>
      <w:tabs>
        <w:tab w:val="left" w:pos="1232"/>
      </w:tabs>
      <w:spacing w:before="360" w:after="120"/>
    </w:pPr>
    <w:rPr>
      <w:rFonts w:ascii="Lucida Sans" w:hAnsi="Lucida Sans"/>
      <w:bCs/>
      <w:kern w:val="28"/>
      <w:sz w:val="22"/>
      <w:szCs w:val="22"/>
    </w:rPr>
  </w:style>
  <w:style w:type="paragraph" w:customStyle="1" w:styleId="Chart7X">
    <w:name w:val="Chart 7.X"/>
    <w:basedOn w:val="Table7X"/>
    <w:rsid w:val="00DD408A"/>
    <w:pPr>
      <w:tabs>
        <w:tab w:val="clear" w:pos="1232"/>
      </w:tabs>
      <w:ind w:left="1418" w:hanging="1418"/>
    </w:pPr>
  </w:style>
  <w:style w:type="paragraph" w:customStyle="1" w:styleId="Chart9X">
    <w:name w:val="Chart 9.X"/>
    <w:basedOn w:val="Normal"/>
    <w:rsid w:val="00DD408A"/>
    <w:pPr>
      <w:widowControl w:val="0"/>
      <w:spacing w:before="360" w:after="120"/>
      <w:ind w:left="1418" w:hanging="1418"/>
    </w:pPr>
    <w:rPr>
      <w:rFonts w:ascii="Lucida Sans" w:hAnsi="Lucida Sans"/>
      <w:bCs/>
      <w:kern w:val="28"/>
      <w:sz w:val="22"/>
      <w:szCs w:val="22"/>
    </w:rPr>
  </w:style>
  <w:style w:type="paragraph" w:customStyle="1" w:styleId="ChartB4X">
    <w:name w:val="Chart B4.X"/>
    <w:basedOn w:val="Normal"/>
    <w:rsid w:val="00DD408A"/>
    <w:pPr>
      <w:widowControl w:val="0"/>
      <w:numPr>
        <w:numId w:val="16"/>
      </w:numPr>
      <w:spacing w:before="360" w:after="120"/>
    </w:pPr>
    <w:rPr>
      <w:rFonts w:ascii="Arial" w:hAnsi="Arial"/>
      <w:b/>
      <w:bCs/>
      <w:kern w:val="28"/>
      <w:sz w:val="22"/>
      <w:szCs w:val="22"/>
    </w:rPr>
  </w:style>
  <w:style w:type="paragraph" w:customStyle="1" w:styleId="ChartHeading">
    <w:name w:val="Chart Heading"/>
    <w:basedOn w:val="Normal"/>
    <w:autoRedefine/>
    <w:rsid w:val="00DD408A"/>
    <w:pPr>
      <w:keepNext/>
      <w:widowControl w:val="0"/>
      <w:spacing w:before="240" w:after="120"/>
    </w:pPr>
    <w:rPr>
      <w:rFonts w:ascii="Arial" w:hAnsi="Arial"/>
      <w:b/>
      <w:sz w:val="24"/>
    </w:rPr>
  </w:style>
  <w:style w:type="paragraph" w:customStyle="1" w:styleId="Chartpara">
    <w:name w:val="Chart para"/>
    <w:basedOn w:val="Normal"/>
    <w:semiHidden/>
    <w:rsid w:val="00DD408A"/>
    <w:rPr>
      <w:rFonts w:ascii="Garamond" w:hAnsi="Garamond"/>
      <w:sz w:val="22"/>
      <w:lang w:val="en-AU"/>
    </w:rPr>
  </w:style>
  <w:style w:type="paragraph" w:customStyle="1" w:styleId="ChartFX">
    <w:name w:val="Chart F.X"/>
    <w:basedOn w:val="Normal"/>
    <w:rsid w:val="00D37D39"/>
    <w:pPr>
      <w:keepLines/>
      <w:numPr>
        <w:numId w:val="17"/>
      </w:numPr>
      <w:tabs>
        <w:tab w:val="left" w:pos="1304"/>
      </w:tabs>
      <w:spacing w:before="240" w:after="120"/>
    </w:pPr>
    <w:rPr>
      <w:rFonts w:ascii="Arial" w:hAnsi="Arial"/>
      <w:i/>
      <w:color w:val="57514D"/>
      <w:sz w:val="22"/>
    </w:rPr>
  </w:style>
  <w:style w:type="character" w:styleId="CommentReference">
    <w:name w:val="annotation reference"/>
    <w:uiPriority w:val="99"/>
    <w:rsid w:val="00DD408A"/>
    <w:rPr>
      <w:sz w:val="16"/>
      <w:szCs w:val="16"/>
    </w:rPr>
  </w:style>
  <w:style w:type="paragraph" w:styleId="CommentText">
    <w:name w:val="annotation text"/>
    <w:basedOn w:val="Normal"/>
    <w:link w:val="CommentTextChar"/>
    <w:uiPriority w:val="99"/>
    <w:rsid w:val="00DD408A"/>
  </w:style>
  <w:style w:type="character" w:customStyle="1" w:styleId="CommentTextChar">
    <w:name w:val="Comment Text Char"/>
    <w:link w:val="CommentText"/>
    <w:uiPriority w:val="99"/>
    <w:rsid w:val="00DD40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DD408A"/>
    <w:rPr>
      <w:b/>
      <w:bCs/>
    </w:rPr>
  </w:style>
  <w:style w:type="character" w:customStyle="1" w:styleId="CommentSubjectChar">
    <w:name w:val="Comment Subject Char"/>
    <w:link w:val="CommentSubject"/>
    <w:rsid w:val="00DD408A"/>
    <w:rPr>
      <w:rFonts w:ascii="Times New Roman" w:eastAsia="Times New Roman" w:hAnsi="Times New Roman" w:cs="Times New Roman"/>
      <w:b/>
      <w:bCs/>
      <w:sz w:val="20"/>
      <w:szCs w:val="20"/>
      <w:lang w:val="en-US"/>
    </w:rPr>
  </w:style>
  <w:style w:type="paragraph" w:customStyle="1" w:styleId="Default">
    <w:name w:val="Default"/>
    <w:rsid w:val="00DD408A"/>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Dept">
    <w:name w:val="Dept"/>
    <w:basedOn w:val="Normal"/>
    <w:autoRedefine/>
    <w:rsid w:val="00DD408A"/>
    <w:pPr>
      <w:keepNext/>
      <w:keepLines/>
      <w:pageBreakBefore/>
      <w:autoSpaceDE w:val="0"/>
      <w:autoSpaceDN w:val="0"/>
      <w:adjustRightInd w:val="0"/>
    </w:pPr>
    <w:rPr>
      <w:rFonts w:ascii="Lucida Sans" w:eastAsia="MS Mincho" w:hAnsi="Lucida Sans" w:cs="Arial"/>
      <w:b/>
      <w:bCs/>
      <w:sz w:val="22"/>
      <w:lang w:val="en-AU" w:eastAsia="en-AU"/>
    </w:rPr>
  </w:style>
  <w:style w:type="paragraph" w:styleId="DocumentMap">
    <w:name w:val="Document Map"/>
    <w:basedOn w:val="Normal"/>
    <w:link w:val="DocumentMapChar"/>
    <w:rsid w:val="00DD408A"/>
    <w:pPr>
      <w:shd w:val="clear" w:color="auto" w:fill="000080"/>
    </w:pPr>
    <w:rPr>
      <w:rFonts w:ascii="Tahoma" w:hAnsi="Tahoma" w:cs="Tahoma"/>
    </w:rPr>
  </w:style>
  <w:style w:type="character" w:customStyle="1" w:styleId="DocumentMapChar">
    <w:name w:val="Document Map Char"/>
    <w:link w:val="DocumentMap"/>
    <w:rsid w:val="00DD408A"/>
    <w:rPr>
      <w:rFonts w:ascii="Tahoma" w:eastAsia="Times New Roman" w:hAnsi="Tahoma" w:cs="Tahoma"/>
      <w:sz w:val="20"/>
      <w:szCs w:val="20"/>
      <w:shd w:val="clear" w:color="auto" w:fill="000080"/>
      <w:lang w:val="en-US"/>
    </w:rPr>
  </w:style>
  <w:style w:type="paragraph" w:customStyle="1" w:styleId="DoubleBorder">
    <w:name w:val="Double Border"/>
    <w:basedOn w:val="Agency2"/>
    <w:uiPriority w:val="99"/>
    <w:rsid w:val="00DD408A"/>
    <w:pPr>
      <w:pBdr>
        <w:top w:val="single" w:sz="6" w:space="1" w:color="auto"/>
        <w:bottom w:val="single" w:sz="6" w:space="1" w:color="auto"/>
      </w:pBdr>
    </w:pPr>
    <w:rPr>
      <w:sz w:val="18"/>
      <w:szCs w:val="18"/>
    </w:rPr>
  </w:style>
  <w:style w:type="character" w:styleId="Emphasis">
    <w:name w:val="Emphasis"/>
    <w:qFormat/>
    <w:rsid w:val="00DD408A"/>
    <w:rPr>
      <w:i/>
      <w:iCs/>
    </w:rPr>
  </w:style>
  <w:style w:type="character" w:styleId="EndnoteReference">
    <w:name w:val="endnote reference"/>
    <w:rsid w:val="00DD408A"/>
    <w:rPr>
      <w:i/>
      <w:sz w:val="16"/>
      <w:vertAlign w:val="superscript"/>
    </w:rPr>
  </w:style>
  <w:style w:type="paragraph" w:styleId="EndnoteText">
    <w:name w:val="endnote text"/>
    <w:basedOn w:val="Normal"/>
    <w:link w:val="EndnoteTextChar"/>
    <w:rsid w:val="00DD408A"/>
  </w:style>
  <w:style w:type="character" w:customStyle="1" w:styleId="EndnoteTextChar">
    <w:name w:val="Endnote Text Char"/>
    <w:link w:val="EndnoteText"/>
    <w:rsid w:val="00DD408A"/>
    <w:rPr>
      <w:rFonts w:ascii="Times New Roman" w:eastAsia="Times New Roman" w:hAnsi="Times New Roman" w:cs="Times New Roman"/>
      <w:sz w:val="20"/>
      <w:szCs w:val="20"/>
      <w:lang w:val="en-US"/>
    </w:rPr>
  </w:style>
  <w:style w:type="paragraph" w:customStyle="1" w:styleId="Estimates-BudgetYear">
    <w:name w:val="Estimates - Budget Year"/>
    <w:basedOn w:val="Normal"/>
    <w:uiPriority w:val="99"/>
    <w:rsid w:val="00DD408A"/>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rsid w:val="00DD408A"/>
    <w:pPr>
      <w:pageBreakBefore/>
      <w:pBdr>
        <w:bottom w:val="single" w:sz="6" w:space="6" w:color="auto"/>
      </w:pBdr>
    </w:pPr>
    <w:rPr>
      <w:sz w:val="20"/>
      <w:szCs w:val="20"/>
    </w:rPr>
  </w:style>
  <w:style w:type="character" w:styleId="FollowedHyperlink">
    <w:name w:val="FollowedHyperlink"/>
    <w:rsid w:val="00DD408A"/>
    <w:rPr>
      <w:color w:val="800080"/>
      <w:u w:val="single"/>
    </w:rPr>
  </w:style>
  <w:style w:type="character" w:styleId="FootnoteReference">
    <w:name w:val="footnote reference"/>
    <w:uiPriority w:val="99"/>
    <w:rsid w:val="00DD408A"/>
    <w:rPr>
      <w:vertAlign w:val="superscript"/>
    </w:rPr>
  </w:style>
  <w:style w:type="paragraph" w:styleId="FootnoteText">
    <w:name w:val="footnote text"/>
    <w:basedOn w:val="Normal"/>
    <w:link w:val="FootnoteTextChar"/>
    <w:uiPriority w:val="99"/>
    <w:rsid w:val="00DD408A"/>
    <w:pPr>
      <w:spacing w:before="80" w:after="80"/>
      <w:ind w:left="709" w:hanging="142"/>
    </w:pPr>
    <w:rPr>
      <w:i/>
      <w:sz w:val="16"/>
    </w:rPr>
  </w:style>
  <w:style w:type="character" w:customStyle="1" w:styleId="FootnoteTextChar">
    <w:name w:val="Footnote Text Char"/>
    <w:link w:val="FootnoteText"/>
    <w:uiPriority w:val="99"/>
    <w:rsid w:val="00DD408A"/>
    <w:rPr>
      <w:rFonts w:ascii="Times New Roman" w:eastAsia="Times New Roman" w:hAnsi="Times New Roman" w:cs="Times New Roman"/>
      <w:i/>
      <w:sz w:val="16"/>
      <w:szCs w:val="20"/>
      <w:lang w:val="en-US"/>
    </w:rPr>
  </w:style>
  <w:style w:type="paragraph" w:customStyle="1" w:styleId="Graph1X">
    <w:name w:val="Graph 1.X"/>
    <w:basedOn w:val="TableFX"/>
    <w:qFormat/>
    <w:rsid w:val="00DD408A"/>
    <w:pPr>
      <w:numPr>
        <w:numId w:val="18"/>
      </w:numPr>
    </w:pPr>
  </w:style>
  <w:style w:type="paragraph" w:customStyle="1" w:styleId="HeaderHeading">
    <w:name w:val="Header Heading"/>
    <w:basedOn w:val="Normal"/>
    <w:rsid w:val="00DD408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Heading-Centred">
    <w:name w:val="Heading - Centred"/>
    <w:qFormat/>
    <w:rsid w:val="00DD408A"/>
    <w:pPr>
      <w:spacing w:after="0" w:line="240" w:lineRule="auto"/>
      <w:contextualSpacing/>
      <w:jc w:val="center"/>
    </w:pPr>
    <w:rPr>
      <w:rFonts w:ascii="Arial" w:eastAsia="Times New Roman" w:hAnsi="Arial" w:cs="Times New Roman"/>
      <w:b/>
      <w:bCs/>
      <w:sz w:val="24"/>
      <w:szCs w:val="28"/>
      <w:lang w:bidi="en-US"/>
    </w:rPr>
  </w:style>
  <w:style w:type="paragraph" w:customStyle="1" w:styleId="Heading-Centredsmall">
    <w:name w:val="Heading - Centred (small)"/>
    <w:qFormat/>
    <w:rsid w:val="00DD408A"/>
    <w:pPr>
      <w:spacing w:after="0" w:line="240" w:lineRule="auto"/>
      <w:jc w:val="center"/>
    </w:pPr>
    <w:rPr>
      <w:rFonts w:ascii="Arial" w:eastAsia="Times New Roman" w:hAnsi="Arial" w:cs="Times New Roman"/>
      <w:b/>
      <w:bCs/>
      <w:sz w:val="20"/>
      <w:szCs w:val="28"/>
      <w:lang w:bidi="en-US"/>
    </w:rPr>
  </w:style>
  <w:style w:type="paragraph" w:customStyle="1" w:styleId="Heading1BP2">
    <w:name w:val="Heading 1 BP2"/>
    <w:rsid w:val="00DD408A"/>
    <w:pPr>
      <w:keepNext/>
      <w:tabs>
        <w:tab w:val="left" w:pos="284"/>
      </w:tabs>
      <w:spacing w:before="400" w:after="240" w:line="240" w:lineRule="auto"/>
    </w:pPr>
    <w:rPr>
      <w:rFonts w:ascii="Arial" w:eastAsia="Times New Roman" w:hAnsi="Arial" w:cs="Times New Roman"/>
      <w:color w:val="0579B9"/>
      <w:kern w:val="28"/>
      <w:sz w:val="36"/>
      <w:szCs w:val="36"/>
    </w:rPr>
  </w:style>
  <w:style w:type="paragraph" w:customStyle="1" w:styleId="Heading1BP3">
    <w:name w:val="Heading 1 BP3"/>
    <w:rsid w:val="00DD408A"/>
    <w:pPr>
      <w:keepNext/>
      <w:tabs>
        <w:tab w:val="left" w:pos="284"/>
      </w:tabs>
      <w:spacing w:before="400" w:after="0" w:line="240" w:lineRule="auto"/>
    </w:pPr>
    <w:rPr>
      <w:rFonts w:ascii="Lucida Sans" w:eastAsia="Times New Roman" w:hAnsi="Lucida Sans" w:cs="Times New Roman"/>
      <w:kern w:val="28"/>
      <w:sz w:val="36"/>
      <w:szCs w:val="36"/>
    </w:rPr>
  </w:style>
  <w:style w:type="character" w:customStyle="1" w:styleId="Heading3Char1">
    <w:name w:val="Heading 3 Char1"/>
    <w:rsid w:val="00DD408A"/>
    <w:rPr>
      <w:rFonts w:ascii="Lucida Sans" w:eastAsia="Times New Roman" w:hAnsi="Lucida Sans" w:cs="Times New Roman"/>
      <w:b/>
      <w:kern w:val="28"/>
      <w:sz w:val="24"/>
      <w:szCs w:val="36"/>
    </w:rPr>
  </w:style>
  <w:style w:type="character" w:customStyle="1" w:styleId="Heading4Char">
    <w:name w:val="Heading 4 Char"/>
    <w:link w:val="Heading4"/>
    <w:rsid w:val="00181A01"/>
    <w:rPr>
      <w:rFonts w:ascii="Arial Bold" w:eastAsia="Arial Unicode MS" w:hAnsi="Arial Bold" w:cs="Times New Roman"/>
      <w:b/>
      <w:kern w:val="28"/>
      <w:sz w:val="25"/>
      <w:szCs w:val="36"/>
    </w:rPr>
  </w:style>
  <w:style w:type="character" w:customStyle="1" w:styleId="Heading5Char">
    <w:name w:val="Heading 5 Char"/>
    <w:link w:val="Heading5"/>
    <w:rsid w:val="00D216D4"/>
    <w:rPr>
      <w:rFonts w:ascii="Arial" w:eastAsia="Arial Unicode MS" w:hAnsi="Arial" w:cs="Times New Roman"/>
      <w:i/>
      <w:kern w:val="28"/>
      <w:sz w:val="24"/>
      <w:szCs w:val="36"/>
    </w:rPr>
  </w:style>
  <w:style w:type="character" w:customStyle="1" w:styleId="Heading6Char">
    <w:name w:val="Heading 6 Char"/>
    <w:link w:val="Heading6"/>
    <w:rsid w:val="00DD408A"/>
    <w:rPr>
      <w:rFonts w:ascii="Arial" w:eastAsia="Times New Roman" w:hAnsi="Arial" w:cs="Times New Roman"/>
      <w:caps/>
      <w:color w:val="1D3278"/>
      <w:sz w:val="20"/>
      <w:szCs w:val="36"/>
    </w:rPr>
  </w:style>
  <w:style w:type="character" w:customStyle="1" w:styleId="Heading7Char">
    <w:name w:val="Heading 7 Char"/>
    <w:link w:val="Heading7"/>
    <w:rsid w:val="00DD408A"/>
    <w:rPr>
      <w:rFonts w:ascii="Arial" w:eastAsia="Arial Unicode MS" w:hAnsi="Arial" w:cs="Times New Roman"/>
      <w:b/>
      <w:kern w:val="28"/>
      <w:sz w:val="23"/>
      <w:szCs w:val="36"/>
    </w:rPr>
  </w:style>
  <w:style w:type="character" w:customStyle="1" w:styleId="Heading8Char">
    <w:name w:val="Heading 8 Char"/>
    <w:link w:val="Heading8"/>
    <w:rsid w:val="00DD408A"/>
    <w:rPr>
      <w:rFonts w:ascii="Arial" w:eastAsia="Arial Unicode MS" w:hAnsi="Arial" w:cs="Times New Roman"/>
      <w:b/>
      <w:i/>
      <w:kern w:val="28"/>
      <w:sz w:val="23"/>
      <w:szCs w:val="36"/>
    </w:rPr>
  </w:style>
  <w:style w:type="character" w:customStyle="1" w:styleId="Heading9Char">
    <w:name w:val="Heading 9 Char"/>
    <w:link w:val="Heading9"/>
    <w:rsid w:val="00DD408A"/>
    <w:rPr>
      <w:rFonts w:ascii="Arial" w:eastAsia="Arial Unicode MS" w:hAnsi="Arial" w:cs="Times New Roman"/>
      <w:b/>
      <w:kern w:val="28"/>
      <w:sz w:val="23"/>
      <w:szCs w:val="36"/>
    </w:rPr>
  </w:style>
  <w:style w:type="character" w:styleId="Hyperlink">
    <w:name w:val="Hyperlink"/>
    <w:uiPriority w:val="99"/>
    <w:unhideWhenUsed/>
    <w:rsid w:val="00DD408A"/>
    <w:rPr>
      <w:color w:val="0000FF"/>
      <w:u w:val="single"/>
    </w:rPr>
  </w:style>
  <w:style w:type="character" w:styleId="IntenseEmphasis">
    <w:name w:val="Intense Emphasis"/>
    <w:uiPriority w:val="21"/>
    <w:qFormat/>
    <w:rsid w:val="00DD408A"/>
    <w:rPr>
      <w:b/>
      <w:bCs/>
      <w:i/>
      <w:iCs/>
      <w:color w:val="4F81BD"/>
    </w:rPr>
  </w:style>
  <w:style w:type="paragraph" w:styleId="IntenseQuote">
    <w:name w:val="Intense Quote"/>
    <w:basedOn w:val="Normal"/>
    <w:next w:val="Normal"/>
    <w:link w:val="IntenseQuoteChar"/>
    <w:uiPriority w:val="30"/>
    <w:qFormat/>
    <w:rsid w:val="00DD40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408A"/>
    <w:rPr>
      <w:rFonts w:ascii="Times New Roman" w:eastAsia="Times New Roman" w:hAnsi="Times New Roman" w:cs="Times New Roman"/>
      <w:b/>
      <w:bCs/>
      <w:i/>
      <w:iCs/>
      <w:color w:val="4F81BD"/>
      <w:sz w:val="20"/>
      <w:szCs w:val="20"/>
      <w:lang w:val="en-US"/>
    </w:rPr>
  </w:style>
  <w:style w:type="character" w:styleId="IntenseReference">
    <w:name w:val="Intense Reference"/>
    <w:uiPriority w:val="32"/>
    <w:qFormat/>
    <w:rsid w:val="00DD408A"/>
    <w:rPr>
      <w:b/>
      <w:bCs/>
      <w:smallCaps/>
      <w:color w:val="C0504D"/>
      <w:spacing w:val="5"/>
      <w:u w:val="single"/>
    </w:rPr>
  </w:style>
  <w:style w:type="paragraph" w:customStyle="1" w:styleId="Keypointsheading">
    <w:name w:val="Key points heading"/>
    <w:basedOn w:val="Heading2"/>
    <w:next w:val="Bullet"/>
    <w:rsid w:val="00DD408A"/>
    <w:pPr>
      <w:keepNext w:val="0"/>
      <w:widowControl/>
      <w:spacing w:before="360" w:after="180"/>
    </w:pPr>
    <w:rPr>
      <w:rFonts w:cs="Arial"/>
      <w:b w:val="0"/>
      <w:color w:val="003366"/>
      <w:kern w:val="0"/>
      <w:szCs w:val="24"/>
    </w:rPr>
  </w:style>
  <w:style w:type="paragraph" w:styleId="ListBullet">
    <w:name w:val="List Bullet"/>
    <w:basedOn w:val="Normal"/>
    <w:uiPriority w:val="1"/>
    <w:qFormat/>
    <w:rsid w:val="00DD408A"/>
    <w:pPr>
      <w:spacing w:after="80" w:line="240" w:lineRule="atLeast"/>
    </w:pPr>
    <w:rPr>
      <w:rFonts w:ascii="Calibri" w:hAnsi="Calibri"/>
      <w:sz w:val="18"/>
      <w:szCs w:val="24"/>
      <w:lang w:val="en-AU" w:eastAsia="en-AU"/>
    </w:rPr>
  </w:style>
  <w:style w:type="paragraph" w:styleId="ListBullet3">
    <w:name w:val="List Bullet 3"/>
    <w:basedOn w:val="Normal"/>
    <w:rsid w:val="00DD408A"/>
    <w:pPr>
      <w:numPr>
        <w:numId w:val="19"/>
      </w:numPr>
    </w:pPr>
  </w:style>
  <w:style w:type="paragraph" w:customStyle="1" w:styleId="ListBullet1">
    <w:name w:val="List Bullet1"/>
    <w:basedOn w:val="Normal"/>
    <w:autoRedefine/>
    <w:rsid w:val="00DD408A"/>
    <w:pPr>
      <w:numPr>
        <w:numId w:val="20"/>
      </w:numPr>
      <w:spacing w:line="360" w:lineRule="auto"/>
    </w:pPr>
    <w:rPr>
      <w:rFonts w:ascii="Arial" w:hAnsi="Arial"/>
      <w:sz w:val="28"/>
      <w:lang w:val="en-AU"/>
    </w:rPr>
  </w:style>
  <w:style w:type="paragraph" w:styleId="ListNumber">
    <w:name w:val="List Number"/>
    <w:basedOn w:val="Normal"/>
    <w:uiPriority w:val="1"/>
    <w:qFormat/>
    <w:rsid w:val="00DD408A"/>
    <w:pPr>
      <w:numPr>
        <w:numId w:val="21"/>
      </w:numPr>
      <w:spacing w:after="80" w:line="240" w:lineRule="atLeast"/>
    </w:pPr>
    <w:rPr>
      <w:rFonts w:ascii="Calibri" w:eastAsia="Calibri" w:hAnsi="Calibri"/>
      <w:sz w:val="18"/>
      <w:szCs w:val="22"/>
      <w:lang w:val="en-AU"/>
    </w:rPr>
  </w:style>
  <w:style w:type="paragraph" w:customStyle="1" w:styleId="Marginalnote">
    <w:name w:val="Marginal note"/>
    <w:basedOn w:val="BodyText"/>
    <w:link w:val="MarginalnoteChar"/>
    <w:semiHidden/>
    <w:rsid w:val="00DD408A"/>
    <w:pPr>
      <w:spacing w:after="240" w:line="240" w:lineRule="auto"/>
    </w:pPr>
    <w:rPr>
      <w:rFonts w:cs="Arial"/>
      <w:color w:val="000000"/>
      <w:sz w:val="19"/>
      <w:szCs w:val="22"/>
      <w:lang w:eastAsia="en-AU"/>
    </w:rPr>
  </w:style>
  <w:style w:type="character" w:customStyle="1" w:styleId="MarginalnoteChar">
    <w:name w:val="Marginal note Char"/>
    <w:link w:val="Marginalnote"/>
    <w:semiHidden/>
    <w:rsid w:val="00DD408A"/>
    <w:rPr>
      <w:rFonts w:ascii="Arial" w:eastAsia="Times New Roman" w:hAnsi="Arial" w:cs="Arial"/>
      <w:color w:val="000000"/>
      <w:sz w:val="19"/>
      <w:lang w:eastAsia="en-AU"/>
    </w:rPr>
  </w:style>
  <w:style w:type="paragraph" w:customStyle="1" w:styleId="Minister">
    <w:name w:val="Minister"/>
    <w:basedOn w:val="Normal"/>
    <w:uiPriority w:val="99"/>
    <w:rsid w:val="00DD408A"/>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Minr">
    <w:name w:val="Minr"/>
    <w:basedOn w:val="Normal"/>
    <w:autoRedefine/>
    <w:uiPriority w:val="99"/>
    <w:rsid w:val="00DD408A"/>
    <w:pPr>
      <w:widowControl w:val="0"/>
      <w:autoSpaceDE w:val="0"/>
      <w:autoSpaceDN w:val="0"/>
      <w:adjustRightInd w:val="0"/>
    </w:pPr>
    <w:rPr>
      <w:rFonts w:ascii="Lucida Sans" w:eastAsia="MS Mincho" w:hAnsi="Lucida Sans" w:cs="Arial"/>
      <w:b/>
      <w:bCs/>
      <w:szCs w:val="24"/>
      <w:lang w:val="en-AU" w:eastAsia="en-AU"/>
    </w:rPr>
  </w:style>
  <w:style w:type="paragraph" w:styleId="NoSpacing">
    <w:name w:val="No Spacing"/>
    <w:basedOn w:val="Normal"/>
    <w:link w:val="NoSpacingChar"/>
    <w:qFormat/>
    <w:rsid w:val="00DD408A"/>
  </w:style>
  <w:style w:type="character" w:customStyle="1" w:styleId="NoSpacingChar">
    <w:name w:val="No Spacing Char"/>
    <w:link w:val="NoSpacing"/>
    <w:rsid w:val="00DD408A"/>
    <w:rPr>
      <w:rFonts w:ascii="Times New Roman" w:eastAsia="Times New Roman" w:hAnsi="Times New Roman" w:cs="Times New Roman"/>
      <w:sz w:val="20"/>
      <w:szCs w:val="20"/>
      <w:lang w:val="en-US"/>
    </w:rPr>
  </w:style>
  <w:style w:type="paragraph" w:styleId="NormalWeb">
    <w:name w:val="Normal (Web)"/>
    <w:basedOn w:val="Normal"/>
    <w:uiPriority w:val="99"/>
    <w:rsid w:val="00DD408A"/>
    <w:pPr>
      <w:widowControl w:val="0"/>
      <w:numPr>
        <w:numId w:val="22"/>
      </w:numPr>
      <w:autoSpaceDE w:val="0"/>
      <w:autoSpaceDN w:val="0"/>
    </w:pPr>
    <w:rPr>
      <w:rFonts w:ascii=".." w:hAnsi=".."/>
      <w:lang w:val="en-AU" w:eastAsia="en-AU"/>
    </w:rPr>
  </w:style>
  <w:style w:type="paragraph" w:customStyle="1" w:styleId="Object">
    <w:name w:val="Object"/>
    <w:basedOn w:val="Normal"/>
    <w:next w:val="Normal"/>
    <w:rsid w:val="00DD408A"/>
    <w:pPr>
      <w:jc w:val="center"/>
    </w:pPr>
  </w:style>
  <w:style w:type="paragraph" w:customStyle="1" w:styleId="ObjectFootnote">
    <w:name w:val="Object Footnote"/>
    <w:basedOn w:val="Object"/>
    <w:next w:val="Normal"/>
    <w:rsid w:val="00DD408A"/>
    <w:pPr>
      <w:spacing w:after="60"/>
    </w:pPr>
    <w:rPr>
      <w:i/>
      <w:sz w:val="14"/>
    </w:rPr>
  </w:style>
  <w:style w:type="paragraph" w:customStyle="1" w:styleId="ObjectFootnotelettered">
    <w:name w:val="Object Footnote lettered"/>
    <w:basedOn w:val="ObjectFootnote"/>
    <w:rsid w:val="00DD408A"/>
    <w:pPr>
      <w:tabs>
        <w:tab w:val="left" w:pos="709"/>
      </w:tabs>
      <w:ind w:left="426"/>
      <w:jc w:val="left"/>
    </w:pPr>
  </w:style>
  <w:style w:type="paragraph" w:customStyle="1" w:styleId="ObjectFootnoteleft">
    <w:name w:val="Object Footnote left"/>
    <w:basedOn w:val="ObjectFootnotelettered"/>
    <w:rsid w:val="00DD408A"/>
    <w:pPr>
      <w:ind w:left="709" w:hanging="283"/>
    </w:pPr>
  </w:style>
  <w:style w:type="paragraph" w:customStyle="1" w:styleId="ObjectivesandDescr">
    <w:name w:val="Objectives and Descr"/>
    <w:basedOn w:val="Normal"/>
    <w:autoRedefine/>
    <w:uiPriority w:val="99"/>
    <w:rsid w:val="00DD408A"/>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rsid w:val="00DD408A"/>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rsid w:val="00DD408A"/>
    <w:pPr>
      <w:tabs>
        <w:tab w:val="clear" w:pos="6236"/>
        <w:tab w:val="clear" w:pos="6803"/>
        <w:tab w:val="clear" w:pos="7370"/>
        <w:tab w:val="center" w:pos="6826"/>
      </w:tabs>
    </w:pPr>
  </w:style>
  <w:style w:type="paragraph" w:customStyle="1" w:styleId="OpStatementSub">
    <w:name w:val="Op.Statement Sub"/>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rsid w:val="00DD408A"/>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rsid w:val="00DD408A"/>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rsid w:val="00DD408A"/>
    <w:pPr>
      <w:spacing w:line="201" w:lineRule="atLeast"/>
    </w:pPr>
    <w:rPr>
      <w:rFonts w:ascii="Gotham Narrow Light" w:hAnsi="Gotham Narrow Light" w:cs="Times New Roman"/>
      <w:color w:val="auto"/>
    </w:rPr>
  </w:style>
  <w:style w:type="character" w:styleId="PageNumber">
    <w:name w:val="page number"/>
    <w:rsid w:val="00DD408A"/>
  </w:style>
  <w:style w:type="paragraph" w:customStyle="1" w:styleId="Program">
    <w:name w:val="Program"/>
    <w:basedOn w:val="Normal"/>
    <w:uiPriority w:val="99"/>
    <w:rsid w:val="00DD408A"/>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rsid w:val="00DD408A"/>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styleId="Quote">
    <w:name w:val="Quote"/>
    <w:basedOn w:val="Normal"/>
    <w:next w:val="Normal"/>
    <w:link w:val="QuoteChar"/>
    <w:uiPriority w:val="29"/>
    <w:qFormat/>
    <w:rsid w:val="00DD408A"/>
    <w:rPr>
      <w:i/>
      <w:iCs/>
      <w:color w:val="000000"/>
    </w:rPr>
  </w:style>
  <w:style w:type="character" w:customStyle="1" w:styleId="QuoteChar">
    <w:name w:val="Quote Char"/>
    <w:link w:val="Quote"/>
    <w:uiPriority w:val="29"/>
    <w:rsid w:val="00DD408A"/>
    <w:rPr>
      <w:rFonts w:ascii="Times New Roman" w:eastAsia="Times New Roman" w:hAnsi="Times New Roman" w:cs="Times New Roman"/>
      <w:i/>
      <w:iCs/>
      <w:color w:val="000000"/>
      <w:sz w:val="20"/>
      <w:szCs w:val="20"/>
      <w:lang w:val="en-US"/>
    </w:rPr>
  </w:style>
  <w:style w:type="paragraph" w:customStyle="1" w:styleId="SmallGap">
    <w:name w:val="Small Gap"/>
    <w:basedOn w:val="Normal"/>
    <w:autoRedefine/>
    <w:uiPriority w:val="99"/>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rsid w:val="00DD408A"/>
    <w:pPr>
      <w:pBdr>
        <w:bottom w:val="single" w:sz="6" w:space="1" w:color="auto"/>
      </w:pBdr>
    </w:pPr>
    <w:rPr>
      <w:sz w:val="14"/>
      <w:szCs w:val="14"/>
    </w:rPr>
  </w:style>
  <w:style w:type="character" w:customStyle="1" w:styleId="st1">
    <w:name w:val="st1"/>
    <w:rsid w:val="00DD408A"/>
  </w:style>
  <w:style w:type="character" w:customStyle="1" w:styleId="Strikethrou">
    <w:name w:val="Strikethrou"/>
    <w:uiPriority w:val="99"/>
    <w:rsid w:val="00DD408A"/>
    <w:rPr>
      <w:rFonts w:ascii="Arial" w:hAnsi="Arial" w:cs="Arial"/>
      <w:color w:val="auto"/>
      <w:sz w:val="16"/>
      <w:szCs w:val="16"/>
      <w:vertAlign w:val="superscript"/>
    </w:rPr>
  </w:style>
  <w:style w:type="character" w:customStyle="1" w:styleId="StrikeThrough">
    <w:name w:val="StrikeThrough"/>
    <w:rsid w:val="00DD408A"/>
    <w:rPr>
      <w:strike/>
      <w:dstrike w:val="0"/>
      <w:color w:val="00A1DE"/>
    </w:rPr>
  </w:style>
  <w:style w:type="character" w:styleId="Strong">
    <w:name w:val="Strong"/>
    <w:qFormat/>
    <w:rsid w:val="00DD408A"/>
    <w:rPr>
      <w:b/>
      <w:bCs/>
    </w:rPr>
  </w:style>
  <w:style w:type="paragraph" w:customStyle="1" w:styleId="Style211HeadingBold">
    <w:name w:val="Style 2.1.1 Heading + Bold"/>
    <w:basedOn w:val="Normal"/>
    <w:rsid w:val="00DD408A"/>
    <w:rPr>
      <w:b/>
      <w:bCs/>
      <w:i/>
      <w:iCs/>
    </w:rPr>
  </w:style>
  <w:style w:type="paragraph" w:customStyle="1" w:styleId="StyleChapterHeadingAfter12pt">
    <w:name w:val="Style Chapter Heading + After:  12 pt"/>
    <w:basedOn w:val="Normal"/>
    <w:rsid w:val="00DD408A"/>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StyleChapterHeadingLucidaSans19ptNotBoldNotAllcaps">
    <w:name w:val="Style Chapter Heading + Lucida Sans 19 pt Not Bold Not All caps..."/>
    <w:basedOn w:val="Normal"/>
    <w:rsid w:val="00DD408A"/>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numbering" w:customStyle="1" w:styleId="Style1">
    <w:name w:val="Style1"/>
    <w:uiPriority w:val="99"/>
    <w:rsid w:val="00DD408A"/>
    <w:pPr>
      <w:numPr>
        <w:numId w:val="23"/>
      </w:numPr>
    </w:pPr>
  </w:style>
  <w:style w:type="paragraph" w:styleId="Subtitle">
    <w:name w:val="Subtitle"/>
    <w:basedOn w:val="Normal"/>
    <w:link w:val="SubtitleChar"/>
    <w:qFormat/>
    <w:rsid w:val="00DD408A"/>
    <w:pPr>
      <w:spacing w:after="60"/>
      <w:jc w:val="center"/>
      <w:outlineLvl w:val="1"/>
    </w:pPr>
    <w:rPr>
      <w:rFonts w:ascii="Arial" w:hAnsi="Arial"/>
      <w:sz w:val="24"/>
    </w:rPr>
  </w:style>
  <w:style w:type="character" w:customStyle="1" w:styleId="SubtitleChar">
    <w:name w:val="Subtitle Char"/>
    <w:link w:val="Subtitle"/>
    <w:rsid w:val="00DD408A"/>
    <w:rPr>
      <w:rFonts w:ascii="Arial" w:eastAsia="Times New Roman" w:hAnsi="Arial" w:cs="Times New Roman"/>
      <w:sz w:val="24"/>
      <w:szCs w:val="20"/>
      <w:lang w:val="en-US"/>
    </w:rPr>
  </w:style>
  <w:style w:type="character" w:styleId="SubtleEmphasis">
    <w:name w:val="Subtle Emphasis"/>
    <w:uiPriority w:val="19"/>
    <w:qFormat/>
    <w:rsid w:val="00DD408A"/>
    <w:rPr>
      <w:i/>
      <w:iCs/>
      <w:color w:val="808080"/>
    </w:rPr>
  </w:style>
  <w:style w:type="character" w:styleId="SubtleReference">
    <w:name w:val="Subtle Reference"/>
    <w:uiPriority w:val="31"/>
    <w:qFormat/>
    <w:rsid w:val="00DD408A"/>
    <w:rPr>
      <w:smallCaps/>
      <w:color w:val="C0504D"/>
      <w:u w:val="single"/>
    </w:rPr>
  </w:style>
  <w:style w:type="paragraph" w:customStyle="1" w:styleId="Table2X">
    <w:name w:val="Table 2.X"/>
    <w:basedOn w:val="TableFX"/>
    <w:qFormat/>
    <w:rsid w:val="00DD408A"/>
    <w:pPr>
      <w:numPr>
        <w:numId w:val="24"/>
      </w:numPr>
    </w:pPr>
  </w:style>
  <w:style w:type="paragraph" w:customStyle="1" w:styleId="Table3x">
    <w:name w:val="Table 3.x"/>
    <w:basedOn w:val="TableFX"/>
    <w:qFormat/>
    <w:rsid w:val="00DD408A"/>
    <w:pPr>
      <w:numPr>
        <w:numId w:val="25"/>
      </w:numPr>
    </w:pPr>
  </w:style>
  <w:style w:type="paragraph" w:customStyle="1" w:styleId="Table5">
    <w:name w:val="Table 5"/>
    <w:basedOn w:val="TableFX"/>
    <w:qFormat/>
    <w:rsid w:val="00DD408A"/>
    <w:pPr>
      <w:numPr>
        <w:numId w:val="26"/>
      </w:numPr>
      <w:tabs>
        <w:tab w:val="left" w:pos="1418"/>
      </w:tabs>
    </w:pPr>
  </w:style>
  <w:style w:type="paragraph" w:customStyle="1" w:styleId="Table5x">
    <w:name w:val="Table 5.x"/>
    <w:basedOn w:val="Normal"/>
    <w:qFormat/>
    <w:rsid w:val="00DD408A"/>
    <w:pPr>
      <w:widowControl w:val="0"/>
      <w:spacing w:before="320" w:after="120"/>
    </w:pPr>
    <w:rPr>
      <w:rFonts w:ascii="Arial Unicode MS" w:eastAsia="Arial Unicode MS" w:hAnsi="Arial Unicode MS"/>
      <w:bCs/>
      <w:color w:val="00A1DE"/>
      <w:kern w:val="28"/>
      <w:sz w:val="22"/>
      <w:szCs w:val="22"/>
    </w:rPr>
  </w:style>
  <w:style w:type="paragraph" w:customStyle="1" w:styleId="Table5X0">
    <w:name w:val="Table 5.X"/>
    <w:basedOn w:val="Normal"/>
    <w:rsid w:val="00DD408A"/>
    <w:pPr>
      <w:widowControl w:val="0"/>
      <w:tabs>
        <w:tab w:val="left" w:pos="1232"/>
      </w:tabs>
      <w:spacing w:before="360" w:after="120"/>
      <w:ind w:left="1627" w:hanging="360"/>
    </w:pPr>
    <w:rPr>
      <w:rFonts w:ascii="Lucida Sans" w:hAnsi="Lucida Sans"/>
      <w:bCs/>
      <w:kern w:val="28"/>
      <w:sz w:val="22"/>
      <w:szCs w:val="22"/>
    </w:rPr>
  </w:style>
  <w:style w:type="paragraph" w:customStyle="1" w:styleId="Table6X">
    <w:name w:val="Table 6.X"/>
    <w:basedOn w:val="Normal"/>
    <w:rsid w:val="00DD408A"/>
    <w:pPr>
      <w:widowControl w:val="0"/>
      <w:tabs>
        <w:tab w:val="left" w:pos="1232"/>
      </w:tabs>
      <w:spacing w:before="360" w:after="120"/>
    </w:pPr>
    <w:rPr>
      <w:rFonts w:ascii="Lucida Sans" w:hAnsi="Lucida Sans"/>
      <w:bCs/>
      <w:kern w:val="28"/>
      <w:sz w:val="22"/>
      <w:szCs w:val="22"/>
    </w:rPr>
  </w:style>
  <w:style w:type="paragraph" w:customStyle="1" w:styleId="Table6x0">
    <w:name w:val="Table 6.x"/>
    <w:basedOn w:val="TableFX"/>
    <w:qFormat/>
    <w:rsid w:val="00DD408A"/>
    <w:pPr>
      <w:numPr>
        <w:numId w:val="0"/>
      </w:numPr>
    </w:pPr>
  </w:style>
  <w:style w:type="paragraph" w:customStyle="1" w:styleId="TableB2X">
    <w:name w:val="Table B2.X"/>
    <w:basedOn w:val="TableHeading"/>
    <w:rsid w:val="00DD408A"/>
    <w:pPr>
      <w:keepNext w:val="0"/>
      <w:keepLines w:val="0"/>
      <w:widowControl w:val="0"/>
      <w:numPr>
        <w:numId w:val="27"/>
      </w:numPr>
      <w:tabs>
        <w:tab w:val="left" w:pos="1232"/>
      </w:tabs>
      <w:spacing w:before="360"/>
    </w:pPr>
    <w:rPr>
      <w:b w:val="0"/>
      <w:bCs/>
      <w:i/>
      <w:color w:val="57514D"/>
      <w:kern w:val="28"/>
      <w:sz w:val="20"/>
      <w:szCs w:val="22"/>
    </w:rPr>
  </w:style>
  <w:style w:type="paragraph" w:customStyle="1" w:styleId="TableFootnote">
    <w:name w:val="Table Footnote"/>
    <w:basedOn w:val="Normal"/>
    <w:link w:val="TableFootnoteChar"/>
    <w:rsid w:val="00DD408A"/>
    <w:pPr>
      <w:spacing w:before="60" w:after="60"/>
      <w:ind w:left="284"/>
    </w:pPr>
    <w:rPr>
      <w:rFonts w:ascii="Arial" w:hAnsi="Arial"/>
      <w:i/>
      <w:sz w:val="14"/>
    </w:rPr>
  </w:style>
  <w:style w:type="character" w:customStyle="1" w:styleId="TableFootnoteChar">
    <w:name w:val="Table Footnote Char"/>
    <w:link w:val="TableFootnote"/>
    <w:rsid w:val="00DD408A"/>
    <w:rPr>
      <w:rFonts w:ascii="Arial" w:eastAsia="Times New Roman" w:hAnsi="Arial" w:cs="Times New Roman"/>
      <w:i/>
      <w:sz w:val="14"/>
      <w:szCs w:val="20"/>
      <w:lang w:val="en-US"/>
    </w:rPr>
  </w:style>
  <w:style w:type="table" w:styleId="TableGrid">
    <w:name w:val="Table Grid"/>
    <w:basedOn w:val="TableNormal"/>
    <w:rsid w:val="00DD40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nt">
    <w:name w:val="Table Heading Cont'"/>
    <w:basedOn w:val="TableHeading"/>
    <w:rsid w:val="00DD408A"/>
    <w:pPr>
      <w:numPr>
        <w:numId w:val="0"/>
      </w:numPr>
      <w:tabs>
        <w:tab w:val="left" w:pos="1418"/>
      </w:tabs>
    </w:pPr>
  </w:style>
  <w:style w:type="paragraph" w:customStyle="1" w:styleId="TableStubParagraph">
    <w:name w:val="Table Stub Paragraph"/>
    <w:basedOn w:val="Normal"/>
    <w:rsid w:val="00DD408A"/>
    <w:pPr>
      <w:spacing w:before="120" w:after="120"/>
    </w:pPr>
    <w:rPr>
      <w:rFonts w:ascii="Arial" w:hAnsi="Arial" w:cs="Arial"/>
      <w:sz w:val="18"/>
      <w:szCs w:val="18"/>
    </w:rPr>
  </w:style>
  <w:style w:type="paragraph" w:customStyle="1" w:styleId="Tablex">
    <w:name w:val="Table x"/>
    <w:basedOn w:val="Table2X"/>
    <w:qFormat/>
    <w:rsid w:val="00DD408A"/>
    <w:pPr>
      <w:keepNext/>
      <w:keepLines/>
      <w:numPr>
        <w:numId w:val="28"/>
      </w:numPr>
    </w:pPr>
  </w:style>
  <w:style w:type="paragraph" w:customStyle="1" w:styleId="TestRightAlign">
    <w:name w:val="Test Right Align"/>
    <w:basedOn w:val="Normal"/>
    <w:autoRedefine/>
    <w:uiPriority w:val="99"/>
    <w:rsid w:val="00DD408A"/>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rsid w:val="00DD408A"/>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styleId="Title">
    <w:name w:val="Title"/>
    <w:basedOn w:val="Normal"/>
    <w:link w:val="TitleChar"/>
    <w:qFormat/>
    <w:rsid w:val="00DD408A"/>
    <w:pPr>
      <w:spacing w:before="240" w:after="60"/>
      <w:jc w:val="center"/>
      <w:outlineLvl w:val="0"/>
    </w:pPr>
    <w:rPr>
      <w:rFonts w:ascii="Arial" w:hAnsi="Arial"/>
      <w:b/>
      <w:kern w:val="28"/>
      <w:sz w:val="32"/>
    </w:rPr>
  </w:style>
  <w:style w:type="character" w:customStyle="1" w:styleId="TitleChar">
    <w:name w:val="Title Char"/>
    <w:link w:val="Title"/>
    <w:rsid w:val="00DD408A"/>
    <w:rPr>
      <w:rFonts w:ascii="Arial" w:eastAsia="Times New Roman" w:hAnsi="Arial" w:cs="Times New Roman"/>
      <w:b/>
      <w:kern w:val="28"/>
      <w:sz w:val="32"/>
      <w:szCs w:val="20"/>
      <w:lang w:val="en-US"/>
    </w:rPr>
  </w:style>
  <w:style w:type="paragraph" w:customStyle="1" w:styleId="TitleinGreyBox">
    <w:name w:val="Title in Grey Box"/>
    <w:basedOn w:val="Normal"/>
    <w:qFormat/>
    <w:rsid w:val="00DD408A"/>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paragraph" w:customStyle="1" w:styleId="Title-Total">
    <w:name w:val="Title-Total"/>
    <w:basedOn w:val="Normal"/>
    <w:autoRedefine/>
    <w:rsid w:val="00DD408A"/>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styleId="TOC1">
    <w:name w:val="toc 1"/>
    <w:basedOn w:val="Normal"/>
    <w:next w:val="Normal"/>
    <w:autoRedefine/>
    <w:uiPriority w:val="39"/>
    <w:rsid w:val="00DD408A"/>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styleId="TOC2">
    <w:name w:val="toc 2"/>
    <w:basedOn w:val="Normal"/>
    <w:next w:val="Normal"/>
    <w:autoRedefine/>
    <w:uiPriority w:val="39"/>
    <w:rsid w:val="00DD408A"/>
    <w:pPr>
      <w:widowControl w:val="0"/>
      <w:tabs>
        <w:tab w:val="left" w:leader="dot" w:pos="8539"/>
        <w:tab w:val="right" w:pos="9475"/>
      </w:tabs>
      <w:spacing w:after="120"/>
      <w:ind w:left="1123" w:right="567" w:hanging="550"/>
    </w:pPr>
    <w:rPr>
      <w:rFonts w:ascii="Lucida Sans" w:hAnsi="Lucida Sans"/>
      <w:noProof/>
      <w:color w:val="000000"/>
    </w:rPr>
  </w:style>
  <w:style w:type="paragraph" w:styleId="TOCHeading">
    <w:name w:val="TOC Heading"/>
    <w:basedOn w:val="Heading1"/>
    <w:next w:val="Normal"/>
    <w:uiPriority w:val="39"/>
    <w:semiHidden/>
    <w:unhideWhenUsed/>
    <w:qFormat/>
    <w:rsid w:val="00DD408A"/>
    <w:pPr>
      <w:keepLines/>
      <w:spacing w:before="480" w:after="0"/>
      <w:outlineLvl w:val="9"/>
    </w:pPr>
    <w:rPr>
      <w:rFonts w:ascii="Cambria" w:hAnsi="Cambria"/>
      <w:b/>
      <w:bCs/>
      <w:color w:val="365F91"/>
      <w:kern w:val="0"/>
      <w:szCs w:val="28"/>
      <w:lang w:val="en-US"/>
    </w:rPr>
  </w:style>
  <w:style w:type="paragraph" w:customStyle="1" w:styleId="TotalsLine">
    <w:name w:val="Totals Line"/>
    <w:basedOn w:val="Normal"/>
    <w:autoRedefine/>
    <w:uiPriority w:val="99"/>
    <w:rsid w:val="00DD408A"/>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rsid w:val="00DD408A"/>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rsid w:val="00DD408A"/>
    <w:rPr>
      <w:u w:val="single"/>
    </w:rPr>
  </w:style>
  <w:style w:type="paragraph" w:styleId="Revision">
    <w:name w:val="Revision"/>
    <w:hidden/>
    <w:uiPriority w:val="99"/>
    <w:semiHidden/>
    <w:rsid w:val="00937D77"/>
    <w:pPr>
      <w:spacing w:after="0" w:line="240" w:lineRule="auto"/>
    </w:pPr>
    <w:rPr>
      <w:rFonts w:ascii="Times New Roman" w:eastAsia="Times New Roman" w:hAnsi="Times New Roman" w:cs="Times New Roman"/>
      <w:sz w:val="20"/>
      <w:szCs w:val="20"/>
      <w:lang w:val="en-US"/>
    </w:rPr>
  </w:style>
  <w:style w:type="paragraph" w:customStyle="1" w:styleId="TOC31">
    <w:name w:val="TOC 31"/>
    <w:basedOn w:val="Normal"/>
    <w:rsid w:val="00EC4972"/>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 w:type="character" w:styleId="Mention">
    <w:name w:val="Mention"/>
    <w:basedOn w:val="DefaultParagraphFont"/>
    <w:uiPriority w:val="99"/>
    <w:unhideWhenUsed/>
    <w:rsid w:val="00F422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99">
      <w:bodyDiv w:val="1"/>
      <w:marLeft w:val="0"/>
      <w:marRight w:val="0"/>
      <w:marTop w:val="0"/>
      <w:marBottom w:val="0"/>
      <w:divBdr>
        <w:top w:val="none" w:sz="0" w:space="0" w:color="auto"/>
        <w:left w:val="none" w:sz="0" w:space="0" w:color="auto"/>
        <w:bottom w:val="none" w:sz="0" w:space="0" w:color="auto"/>
        <w:right w:val="none" w:sz="0" w:space="0" w:color="auto"/>
      </w:divBdr>
    </w:div>
    <w:div w:id="218398369">
      <w:bodyDiv w:val="1"/>
      <w:marLeft w:val="0"/>
      <w:marRight w:val="0"/>
      <w:marTop w:val="0"/>
      <w:marBottom w:val="0"/>
      <w:divBdr>
        <w:top w:val="none" w:sz="0" w:space="0" w:color="auto"/>
        <w:left w:val="none" w:sz="0" w:space="0" w:color="auto"/>
        <w:bottom w:val="none" w:sz="0" w:space="0" w:color="auto"/>
        <w:right w:val="none" w:sz="0" w:space="0" w:color="auto"/>
      </w:divBdr>
      <w:divsChild>
        <w:div w:id="397826618">
          <w:marLeft w:val="0"/>
          <w:marRight w:val="0"/>
          <w:marTop w:val="0"/>
          <w:marBottom w:val="0"/>
          <w:divBdr>
            <w:top w:val="none" w:sz="0" w:space="0" w:color="auto"/>
            <w:left w:val="none" w:sz="0" w:space="0" w:color="auto"/>
            <w:bottom w:val="none" w:sz="0" w:space="0" w:color="auto"/>
            <w:right w:val="none" w:sz="0" w:space="0" w:color="auto"/>
          </w:divBdr>
          <w:divsChild>
            <w:div w:id="13494050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8307278">
          <w:marLeft w:val="0"/>
          <w:marRight w:val="0"/>
          <w:marTop w:val="0"/>
          <w:marBottom w:val="0"/>
          <w:divBdr>
            <w:top w:val="none" w:sz="0" w:space="0" w:color="auto"/>
            <w:left w:val="none" w:sz="0" w:space="0" w:color="auto"/>
            <w:bottom w:val="none" w:sz="0" w:space="0" w:color="auto"/>
            <w:right w:val="none" w:sz="0" w:space="0" w:color="auto"/>
          </w:divBdr>
          <w:divsChild>
            <w:div w:id="13091697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8226829">
          <w:marLeft w:val="0"/>
          <w:marRight w:val="0"/>
          <w:marTop w:val="0"/>
          <w:marBottom w:val="0"/>
          <w:divBdr>
            <w:top w:val="none" w:sz="0" w:space="0" w:color="auto"/>
            <w:left w:val="none" w:sz="0" w:space="0" w:color="auto"/>
            <w:bottom w:val="none" w:sz="0" w:space="0" w:color="auto"/>
            <w:right w:val="none" w:sz="0" w:space="0" w:color="auto"/>
          </w:divBdr>
          <w:divsChild>
            <w:div w:id="3809860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7796469">
          <w:marLeft w:val="0"/>
          <w:marRight w:val="0"/>
          <w:marTop w:val="0"/>
          <w:marBottom w:val="0"/>
          <w:divBdr>
            <w:top w:val="none" w:sz="0" w:space="0" w:color="auto"/>
            <w:left w:val="none" w:sz="0" w:space="0" w:color="auto"/>
            <w:bottom w:val="none" w:sz="0" w:space="0" w:color="auto"/>
            <w:right w:val="none" w:sz="0" w:space="0" w:color="auto"/>
          </w:divBdr>
          <w:divsChild>
            <w:div w:id="11996628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43076095">
      <w:bodyDiv w:val="1"/>
      <w:marLeft w:val="0"/>
      <w:marRight w:val="0"/>
      <w:marTop w:val="0"/>
      <w:marBottom w:val="0"/>
      <w:divBdr>
        <w:top w:val="none" w:sz="0" w:space="0" w:color="auto"/>
        <w:left w:val="none" w:sz="0" w:space="0" w:color="auto"/>
        <w:bottom w:val="none" w:sz="0" w:space="0" w:color="auto"/>
        <w:right w:val="none" w:sz="0" w:space="0" w:color="auto"/>
      </w:divBdr>
    </w:div>
    <w:div w:id="294874192">
      <w:bodyDiv w:val="1"/>
      <w:marLeft w:val="0"/>
      <w:marRight w:val="0"/>
      <w:marTop w:val="0"/>
      <w:marBottom w:val="0"/>
      <w:divBdr>
        <w:top w:val="none" w:sz="0" w:space="0" w:color="auto"/>
        <w:left w:val="none" w:sz="0" w:space="0" w:color="auto"/>
        <w:bottom w:val="none" w:sz="0" w:space="0" w:color="auto"/>
        <w:right w:val="none" w:sz="0" w:space="0" w:color="auto"/>
      </w:divBdr>
    </w:div>
    <w:div w:id="353001990">
      <w:bodyDiv w:val="1"/>
      <w:marLeft w:val="0"/>
      <w:marRight w:val="0"/>
      <w:marTop w:val="0"/>
      <w:marBottom w:val="0"/>
      <w:divBdr>
        <w:top w:val="none" w:sz="0" w:space="0" w:color="auto"/>
        <w:left w:val="none" w:sz="0" w:space="0" w:color="auto"/>
        <w:bottom w:val="none" w:sz="0" w:space="0" w:color="auto"/>
        <w:right w:val="none" w:sz="0" w:space="0" w:color="auto"/>
      </w:divBdr>
    </w:div>
    <w:div w:id="358161133">
      <w:bodyDiv w:val="1"/>
      <w:marLeft w:val="0"/>
      <w:marRight w:val="0"/>
      <w:marTop w:val="0"/>
      <w:marBottom w:val="0"/>
      <w:divBdr>
        <w:top w:val="none" w:sz="0" w:space="0" w:color="auto"/>
        <w:left w:val="none" w:sz="0" w:space="0" w:color="auto"/>
        <w:bottom w:val="none" w:sz="0" w:space="0" w:color="auto"/>
        <w:right w:val="none" w:sz="0" w:space="0" w:color="auto"/>
      </w:divBdr>
    </w:div>
    <w:div w:id="370887836">
      <w:bodyDiv w:val="1"/>
      <w:marLeft w:val="0"/>
      <w:marRight w:val="0"/>
      <w:marTop w:val="0"/>
      <w:marBottom w:val="0"/>
      <w:divBdr>
        <w:top w:val="none" w:sz="0" w:space="0" w:color="auto"/>
        <w:left w:val="none" w:sz="0" w:space="0" w:color="auto"/>
        <w:bottom w:val="none" w:sz="0" w:space="0" w:color="auto"/>
        <w:right w:val="none" w:sz="0" w:space="0" w:color="auto"/>
      </w:divBdr>
    </w:div>
    <w:div w:id="378096914">
      <w:bodyDiv w:val="1"/>
      <w:marLeft w:val="0"/>
      <w:marRight w:val="0"/>
      <w:marTop w:val="0"/>
      <w:marBottom w:val="0"/>
      <w:divBdr>
        <w:top w:val="none" w:sz="0" w:space="0" w:color="auto"/>
        <w:left w:val="none" w:sz="0" w:space="0" w:color="auto"/>
        <w:bottom w:val="none" w:sz="0" w:space="0" w:color="auto"/>
        <w:right w:val="none" w:sz="0" w:space="0" w:color="auto"/>
      </w:divBdr>
    </w:div>
    <w:div w:id="473988667">
      <w:bodyDiv w:val="1"/>
      <w:marLeft w:val="0"/>
      <w:marRight w:val="0"/>
      <w:marTop w:val="0"/>
      <w:marBottom w:val="0"/>
      <w:divBdr>
        <w:top w:val="none" w:sz="0" w:space="0" w:color="auto"/>
        <w:left w:val="none" w:sz="0" w:space="0" w:color="auto"/>
        <w:bottom w:val="none" w:sz="0" w:space="0" w:color="auto"/>
        <w:right w:val="none" w:sz="0" w:space="0" w:color="auto"/>
      </w:divBdr>
    </w:div>
    <w:div w:id="502857806">
      <w:bodyDiv w:val="1"/>
      <w:marLeft w:val="0"/>
      <w:marRight w:val="0"/>
      <w:marTop w:val="0"/>
      <w:marBottom w:val="0"/>
      <w:divBdr>
        <w:top w:val="none" w:sz="0" w:space="0" w:color="auto"/>
        <w:left w:val="none" w:sz="0" w:space="0" w:color="auto"/>
        <w:bottom w:val="none" w:sz="0" w:space="0" w:color="auto"/>
        <w:right w:val="none" w:sz="0" w:space="0" w:color="auto"/>
      </w:divBdr>
    </w:div>
    <w:div w:id="624655337">
      <w:bodyDiv w:val="1"/>
      <w:marLeft w:val="0"/>
      <w:marRight w:val="0"/>
      <w:marTop w:val="0"/>
      <w:marBottom w:val="0"/>
      <w:divBdr>
        <w:top w:val="none" w:sz="0" w:space="0" w:color="auto"/>
        <w:left w:val="none" w:sz="0" w:space="0" w:color="auto"/>
        <w:bottom w:val="none" w:sz="0" w:space="0" w:color="auto"/>
        <w:right w:val="none" w:sz="0" w:space="0" w:color="auto"/>
      </w:divBdr>
    </w:div>
    <w:div w:id="670915453">
      <w:bodyDiv w:val="1"/>
      <w:marLeft w:val="0"/>
      <w:marRight w:val="0"/>
      <w:marTop w:val="0"/>
      <w:marBottom w:val="0"/>
      <w:divBdr>
        <w:top w:val="none" w:sz="0" w:space="0" w:color="auto"/>
        <w:left w:val="none" w:sz="0" w:space="0" w:color="auto"/>
        <w:bottom w:val="none" w:sz="0" w:space="0" w:color="auto"/>
        <w:right w:val="none" w:sz="0" w:space="0" w:color="auto"/>
      </w:divBdr>
    </w:div>
    <w:div w:id="688797632">
      <w:bodyDiv w:val="1"/>
      <w:marLeft w:val="0"/>
      <w:marRight w:val="0"/>
      <w:marTop w:val="0"/>
      <w:marBottom w:val="0"/>
      <w:divBdr>
        <w:top w:val="none" w:sz="0" w:space="0" w:color="auto"/>
        <w:left w:val="none" w:sz="0" w:space="0" w:color="auto"/>
        <w:bottom w:val="none" w:sz="0" w:space="0" w:color="auto"/>
        <w:right w:val="none" w:sz="0" w:space="0" w:color="auto"/>
      </w:divBdr>
      <w:divsChild>
        <w:div w:id="59139620">
          <w:marLeft w:val="0"/>
          <w:marRight w:val="0"/>
          <w:marTop w:val="0"/>
          <w:marBottom w:val="0"/>
          <w:divBdr>
            <w:top w:val="none" w:sz="0" w:space="0" w:color="auto"/>
            <w:left w:val="none" w:sz="0" w:space="0" w:color="auto"/>
            <w:bottom w:val="none" w:sz="0" w:space="0" w:color="auto"/>
            <w:right w:val="none" w:sz="0" w:space="0" w:color="auto"/>
          </w:divBdr>
          <w:divsChild>
            <w:div w:id="3285573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3769820">
          <w:marLeft w:val="0"/>
          <w:marRight w:val="0"/>
          <w:marTop w:val="0"/>
          <w:marBottom w:val="0"/>
          <w:divBdr>
            <w:top w:val="none" w:sz="0" w:space="0" w:color="auto"/>
            <w:left w:val="none" w:sz="0" w:space="0" w:color="auto"/>
            <w:bottom w:val="none" w:sz="0" w:space="0" w:color="auto"/>
            <w:right w:val="none" w:sz="0" w:space="0" w:color="auto"/>
          </w:divBdr>
          <w:divsChild>
            <w:div w:id="19863528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98186404">
      <w:bodyDiv w:val="1"/>
      <w:marLeft w:val="0"/>
      <w:marRight w:val="0"/>
      <w:marTop w:val="0"/>
      <w:marBottom w:val="0"/>
      <w:divBdr>
        <w:top w:val="none" w:sz="0" w:space="0" w:color="auto"/>
        <w:left w:val="none" w:sz="0" w:space="0" w:color="auto"/>
        <w:bottom w:val="none" w:sz="0" w:space="0" w:color="auto"/>
        <w:right w:val="none" w:sz="0" w:space="0" w:color="auto"/>
      </w:divBdr>
    </w:div>
    <w:div w:id="799223106">
      <w:bodyDiv w:val="1"/>
      <w:marLeft w:val="0"/>
      <w:marRight w:val="0"/>
      <w:marTop w:val="0"/>
      <w:marBottom w:val="0"/>
      <w:divBdr>
        <w:top w:val="none" w:sz="0" w:space="0" w:color="auto"/>
        <w:left w:val="none" w:sz="0" w:space="0" w:color="auto"/>
        <w:bottom w:val="none" w:sz="0" w:space="0" w:color="auto"/>
        <w:right w:val="none" w:sz="0" w:space="0" w:color="auto"/>
      </w:divBdr>
    </w:div>
    <w:div w:id="814831907">
      <w:bodyDiv w:val="1"/>
      <w:marLeft w:val="0"/>
      <w:marRight w:val="0"/>
      <w:marTop w:val="0"/>
      <w:marBottom w:val="0"/>
      <w:divBdr>
        <w:top w:val="none" w:sz="0" w:space="0" w:color="auto"/>
        <w:left w:val="none" w:sz="0" w:space="0" w:color="auto"/>
        <w:bottom w:val="none" w:sz="0" w:space="0" w:color="auto"/>
        <w:right w:val="none" w:sz="0" w:space="0" w:color="auto"/>
      </w:divBdr>
    </w:div>
    <w:div w:id="836388389">
      <w:bodyDiv w:val="1"/>
      <w:marLeft w:val="0"/>
      <w:marRight w:val="0"/>
      <w:marTop w:val="0"/>
      <w:marBottom w:val="0"/>
      <w:divBdr>
        <w:top w:val="none" w:sz="0" w:space="0" w:color="auto"/>
        <w:left w:val="none" w:sz="0" w:space="0" w:color="auto"/>
        <w:bottom w:val="none" w:sz="0" w:space="0" w:color="auto"/>
        <w:right w:val="none" w:sz="0" w:space="0" w:color="auto"/>
      </w:divBdr>
    </w:div>
    <w:div w:id="849221736">
      <w:bodyDiv w:val="1"/>
      <w:marLeft w:val="0"/>
      <w:marRight w:val="0"/>
      <w:marTop w:val="0"/>
      <w:marBottom w:val="0"/>
      <w:divBdr>
        <w:top w:val="none" w:sz="0" w:space="0" w:color="auto"/>
        <w:left w:val="none" w:sz="0" w:space="0" w:color="auto"/>
        <w:bottom w:val="none" w:sz="0" w:space="0" w:color="auto"/>
        <w:right w:val="none" w:sz="0" w:space="0" w:color="auto"/>
      </w:divBdr>
    </w:div>
    <w:div w:id="1022245351">
      <w:bodyDiv w:val="1"/>
      <w:marLeft w:val="0"/>
      <w:marRight w:val="0"/>
      <w:marTop w:val="0"/>
      <w:marBottom w:val="0"/>
      <w:divBdr>
        <w:top w:val="none" w:sz="0" w:space="0" w:color="auto"/>
        <w:left w:val="none" w:sz="0" w:space="0" w:color="auto"/>
        <w:bottom w:val="none" w:sz="0" w:space="0" w:color="auto"/>
        <w:right w:val="none" w:sz="0" w:space="0" w:color="auto"/>
      </w:divBdr>
    </w:div>
    <w:div w:id="1060447097">
      <w:bodyDiv w:val="1"/>
      <w:marLeft w:val="0"/>
      <w:marRight w:val="0"/>
      <w:marTop w:val="0"/>
      <w:marBottom w:val="0"/>
      <w:divBdr>
        <w:top w:val="none" w:sz="0" w:space="0" w:color="auto"/>
        <w:left w:val="none" w:sz="0" w:space="0" w:color="auto"/>
        <w:bottom w:val="none" w:sz="0" w:space="0" w:color="auto"/>
        <w:right w:val="none" w:sz="0" w:space="0" w:color="auto"/>
      </w:divBdr>
      <w:divsChild>
        <w:div w:id="620377824">
          <w:marLeft w:val="0"/>
          <w:marRight w:val="0"/>
          <w:marTop w:val="0"/>
          <w:marBottom w:val="0"/>
          <w:divBdr>
            <w:top w:val="none" w:sz="0" w:space="0" w:color="auto"/>
            <w:left w:val="none" w:sz="0" w:space="0" w:color="auto"/>
            <w:bottom w:val="none" w:sz="0" w:space="0" w:color="auto"/>
            <w:right w:val="none" w:sz="0" w:space="0" w:color="auto"/>
          </w:divBdr>
          <w:divsChild>
            <w:div w:id="14778005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2212877">
          <w:marLeft w:val="0"/>
          <w:marRight w:val="0"/>
          <w:marTop w:val="0"/>
          <w:marBottom w:val="0"/>
          <w:divBdr>
            <w:top w:val="none" w:sz="0" w:space="0" w:color="auto"/>
            <w:left w:val="none" w:sz="0" w:space="0" w:color="auto"/>
            <w:bottom w:val="none" w:sz="0" w:space="0" w:color="auto"/>
            <w:right w:val="none" w:sz="0" w:space="0" w:color="auto"/>
          </w:divBdr>
          <w:divsChild>
            <w:div w:id="9027879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6315941">
          <w:marLeft w:val="0"/>
          <w:marRight w:val="0"/>
          <w:marTop w:val="0"/>
          <w:marBottom w:val="0"/>
          <w:divBdr>
            <w:top w:val="none" w:sz="0" w:space="0" w:color="auto"/>
            <w:left w:val="none" w:sz="0" w:space="0" w:color="auto"/>
            <w:bottom w:val="none" w:sz="0" w:space="0" w:color="auto"/>
            <w:right w:val="none" w:sz="0" w:space="0" w:color="auto"/>
          </w:divBdr>
          <w:divsChild>
            <w:div w:id="20537252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90295738">
      <w:bodyDiv w:val="1"/>
      <w:marLeft w:val="0"/>
      <w:marRight w:val="0"/>
      <w:marTop w:val="0"/>
      <w:marBottom w:val="0"/>
      <w:divBdr>
        <w:top w:val="none" w:sz="0" w:space="0" w:color="auto"/>
        <w:left w:val="none" w:sz="0" w:space="0" w:color="auto"/>
        <w:bottom w:val="none" w:sz="0" w:space="0" w:color="auto"/>
        <w:right w:val="none" w:sz="0" w:space="0" w:color="auto"/>
      </w:divBdr>
    </w:div>
    <w:div w:id="1264728808">
      <w:bodyDiv w:val="1"/>
      <w:marLeft w:val="0"/>
      <w:marRight w:val="0"/>
      <w:marTop w:val="0"/>
      <w:marBottom w:val="0"/>
      <w:divBdr>
        <w:top w:val="none" w:sz="0" w:space="0" w:color="auto"/>
        <w:left w:val="none" w:sz="0" w:space="0" w:color="auto"/>
        <w:bottom w:val="none" w:sz="0" w:space="0" w:color="auto"/>
        <w:right w:val="none" w:sz="0" w:space="0" w:color="auto"/>
      </w:divBdr>
    </w:div>
    <w:div w:id="1286307628">
      <w:bodyDiv w:val="1"/>
      <w:marLeft w:val="0"/>
      <w:marRight w:val="0"/>
      <w:marTop w:val="0"/>
      <w:marBottom w:val="0"/>
      <w:divBdr>
        <w:top w:val="none" w:sz="0" w:space="0" w:color="auto"/>
        <w:left w:val="none" w:sz="0" w:space="0" w:color="auto"/>
        <w:bottom w:val="none" w:sz="0" w:space="0" w:color="auto"/>
        <w:right w:val="none" w:sz="0" w:space="0" w:color="auto"/>
      </w:divBdr>
    </w:div>
    <w:div w:id="1341355591">
      <w:bodyDiv w:val="1"/>
      <w:marLeft w:val="0"/>
      <w:marRight w:val="0"/>
      <w:marTop w:val="0"/>
      <w:marBottom w:val="0"/>
      <w:divBdr>
        <w:top w:val="none" w:sz="0" w:space="0" w:color="auto"/>
        <w:left w:val="none" w:sz="0" w:space="0" w:color="auto"/>
        <w:bottom w:val="none" w:sz="0" w:space="0" w:color="auto"/>
        <w:right w:val="none" w:sz="0" w:space="0" w:color="auto"/>
      </w:divBdr>
    </w:div>
    <w:div w:id="1391227614">
      <w:bodyDiv w:val="1"/>
      <w:marLeft w:val="0"/>
      <w:marRight w:val="0"/>
      <w:marTop w:val="0"/>
      <w:marBottom w:val="0"/>
      <w:divBdr>
        <w:top w:val="none" w:sz="0" w:space="0" w:color="auto"/>
        <w:left w:val="none" w:sz="0" w:space="0" w:color="auto"/>
        <w:bottom w:val="none" w:sz="0" w:space="0" w:color="auto"/>
        <w:right w:val="none" w:sz="0" w:space="0" w:color="auto"/>
      </w:divBdr>
    </w:div>
    <w:div w:id="1613051366">
      <w:bodyDiv w:val="1"/>
      <w:marLeft w:val="0"/>
      <w:marRight w:val="0"/>
      <w:marTop w:val="0"/>
      <w:marBottom w:val="0"/>
      <w:divBdr>
        <w:top w:val="none" w:sz="0" w:space="0" w:color="auto"/>
        <w:left w:val="none" w:sz="0" w:space="0" w:color="auto"/>
        <w:bottom w:val="none" w:sz="0" w:space="0" w:color="auto"/>
        <w:right w:val="none" w:sz="0" w:space="0" w:color="auto"/>
      </w:divBdr>
    </w:div>
    <w:div w:id="1696888038">
      <w:bodyDiv w:val="1"/>
      <w:marLeft w:val="0"/>
      <w:marRight w:val="0"/>
      <w:marTop w:val="0"/>
      <w:marBottom w:val="0"/>
      <w:divBdr>
        <w:top w:val="none" w:sz="0" w:space="0" w:color="auto"/>
        <w:left w:val="none" w:sz="0" w:space="0" w:color="auto"/>
        <w:bottom w:val="none" w:sz="0" w:space="0" w:color="auto"/>
        <w:right w:val="none" w:sz="0" w:space="0" w:color="auto"/>
      </w:divBdr>
    </w:div>
    <w:div w:id="2033410752">
      <w:bodyDiv w:val="1"/>
      <w:marLeft w:val="0"/>
      <w:marRight w:val="0"/>
      <w:marTop w:val="0"/>
      <w:marBottom w:val="0"/>
      <w:divBdr>
        <w:top w:val="none" w:sz="0" w:space="0" w:color="auto"/>
        <w:left w:val="none" w:sz="0" w:space="0" w:color="auto"/>
        <w:bottom w:val="none" w:sz="0" w:space="0" w:color="auto"/>
        <w:right w:val="none" w:sz="0" w:space="0" w:color="auto"/>
      </w:divBdr>
    </w:div>
    <w:div w:id="21273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https://nswgov.sharepoint.com/sites/TSY2019-20Budget/Shared%20Documents/General/2020-21%20Budget/03.%20Budget%20Paper%202%20(Budget%20Statement)/Appendix%20F%20-%20Economic%20Scenario%20Analysis/BP1%20Appendix%20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nswgov.sharepoint.com/sites/TSY2019-20Budget/Shared%20Documents/General/2020-21%20Budget/03.%20Budget%20Paper%202%20(Budget%20Statement)/Appendix%20F%20-%20Economic%20Scenario%20Analysis/BP1%20Appendix%20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nswgov.sharepoint.com/sites/TSY2019-20Budget/Shared%20Documents/General/2020-21%20Budget/03.%20Budget%20Paper%202%20(Budget%20Statement)/Appendix%20F%20-%20Economic%20Scenario%20Analysis/BP1%20Appendix%20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032490974729242E-2"/>
          <c:y val="4.0247678018575851E-2"/>
          <c:w val="0.8810232773436153"/>
          <c:h val="0.76632545931758533"/>
        </c:manualLayout>
      </c:layout>
      <c:lineChart>
        <c:grouping val="standard"/>
        <c:varyColors val="0"/>
        <c:ser>
          <c:idx val="1"/>
          <c:order val="0"/>
          <c:tx>
            <c:strRef>
              <c:f>'Chart F.1 NOM to NSW'!$A$3</c:f>
              <c:strCache>
                <c:ptCount val="1"/>
                <c:pt idx="0">
                  <c:v>Budget</c:v>
                </c:pt>
              </c:strCache>
            </c:strRef>
          </c:tx>
          <c:spPr>
            <a:ln w="31750">
              <a:solidFill>
                <a:srgbClr val="00426F"/>
              </a:solidFill>
              <a:prstDash val="solid"/>
            </a:ln>
          </c:spPr>
          <c:marker>
            <c:symbol val="none"/>
          </c:marker>
          <c:cat>
            <c:numRef>
              <c:f>'Chart F.1 NOM to NSW'!$B$2:$T$2</c:f>
              <c:numCache>
                <c:formatCode>mmm\-yyyy</c:formatCode>
                <c:ptCount val="19"/>
                <c:pt idx="0">
                  <c:v>43800</c:v>
                </c:pt>
                <c:pt idx="1">
                  <c:v>43891</c:v>
                </c:pt>
                <c:pt idx="2">
                  <c:v>43983</c:v>
                </c:pt>
                <c:pt idx="3">
                  <c:v>44075</c:v>
                </c:pt>
                <c:pt idx="4">
                  <c:v>44166</c:v>
                </c:pt>
                <c:pt idx="5">
                  <c:v>44256</c:v>
                </c:pt>
                <c:pt idx="6">
                  <c:v>44348</c:v>
                </c:pt>
                <c:pt idx="7">
                  <c:v>44440</c:v>
                </c:pt>
                <c:pt idx="8">
                  <c:v>44531</c:v>
                </c:pt>
                <c:pt idx="9">
                  <c:v>44621</c:v>
                </c:pt>
                <c:pt idx="10">
                  <c:v>44713</c:v>
                </c:pt>
                <c:pt idx="11">
                  <c:v>44805</c:v>
                </c:pt>
                <c:pt idx="12">
                  <c:v>44896</c:v>
                </c:pt>
                <c:pt idx="13">
                  <c:v>44986</c:v>
                </c:pt>
                <c:pt idx="14">
                  <c:v>45078</c:v>
                </c:pt>
                <c:pt idx="15">
                  <c:v>45170</c:v>
                </c:pt>
                <c:pt idx="16">
                  <c:v>45261</c:v>
                </c:pt>
                <c:pt idx="17">
                  <c:v>45352</c:v>
                </c:pt>
                <c:pt idx="18">
                  <c:v>45444</c:v>
                </c:pt>
              </c:numCache>
            </c:numRef>
          </c:cat>
          <c:val>
            <c:numRef>
              <c:f>'Chart F.1 NOM to NSW'!$B$3:$T$3</c:f>
              <c:numCache>
                <c:formatCode>0.0</c:formatCode>
                <c:ptCount val="19"/>
                <c:pt idx="0">
                  <c:v>13.762</c:v>
                </c:pt>
                <c:pt idx="1">
                  <c:v>21.983000000000001</c:v>
                </c:pt>
                <c:pt idx="2">
                  <c:v>-9.0935434971726821</c:v>
                </c:pt>
                <c:pt idx="3">
                  <c:v>-10.450186983729671</c:v>
                </c:pt>
                <c:pt idx="4">
                  <c:v>-6.7926215394242861</c:v>
                </c:pt>
                <c:pt idx="5">
                  <c:v>-4.4152040006257858</c:v>
                </c:pt>
                <c:pt idx="6">
                  <c:v>-3.4336503881935596</c:v>
                </c:pt>
                <c:pt idx="7">
                  <c:v>-2.9186028299645255</c:v>
                </c:pt>
                <c:pt idx="8">
                  <c:v>-2.4808124054698464</c:v>
                </c:pt>
                <c:pt idx="9">
                  <c:v>-2.1701367044905355</c:v>
                </c:pt>
                <c:pt idx="10">
                  <c:v>0</c:v>
                </c:pt>
                <c:pt idx="11">
                  <c:v>3.3036753506233532</c:v>
                </c:pt>
                <c:pt idx="12">
                  <c:v>6.8868480373252412</c:v>
                </c:pt>
                <c:pt idx="13">
                  <c:v>10.144619941239085</c:v>
                </c:pt>
                <c:pt idx="14">
                  <c:v>12.75159027957684</c:v>
                </c:pt>
                <c:pt idx="15">
                  <c:v>14.994825027715004</c:v>
                </c:pt>
                <c:pt idx="16">
                  <c:v>16.587258210277081</c:v>
                </c:pt>
                <c:pt idx="17">
                  <c:v>17.930960224874198</c:v>
                </c:pt>
                <c:pt idx="18">
                  <c:v>18.777199903541401</c:v>
                </c:pt>
              </c:numCache>
            </c:numRef>
          </c:val>
          <c:smooth val="0"/>
          <c:extLst>
            <c:ext xmlns:c16="http://schemas.microsoft.com/office/drawing/2014/chart" uri="{C3380CC4-5D6E-409C-BE32-E72D297353CC}">
              <c16:uniqueId val="{00000000-3FD0-4468-A71F-320A3FBEED43}"/>
            </c:ext>
          </c:extLst>
        </c:ser>
        <c:ser>
          <c:idx val="0"/>
          <c:order val="1"/>
          <c:tx>
            <c:strRef>
              <c:f>'Chart F.1 NOM to NSW'!$A$4</c:f>
              <c:strCache>
                <c:ptCount val="1"/>
                <c:pt idx="0">
                  <c:v>Scenario</c:v>
                </c:pt>
              </c:strCache>
            </c:strRef>
          </c:tx>
          <c:spPr>
            <a:ln w="31750">
              <a:solidFill>
                <a:srgbClr val="008EBA"/>
              </a:solidFill>
              <a:prstDash val="solid"/>
            </a:ln>
          </c:spPr>
          <c:marker>
            <c:symbol val="none"/>
          </c:marker>
          <c:cat>
            <c:numRef>
              <c:f>'Chart F.1 NOM to NSW'!$B$2:$T$2</c:f>
              <c:numCache>
                <c:formatCode>mmm\-yyyy</c:formatCode>
                <c:ptCount val="19"/>
                <c:pt idx="0">
                  <c:v>43800</c:v>
                </c:pt>
                <c:pt idx="1">
                  <c:v>43891</c:v>
                </c:pt>
                <c:pt idx="2">
                  <c:v>43983</c:v>
                </c:pt>
                <c:pt idx="3">
                  <c:v>44075</c:v>
                </c:pt>
                <c:pt idx="4">
                  <c:v>44166</c:v>
                </c:pt>
                <c:pt idx="5">
                  <c:v>44256</c:v>
                </c:pt>
                <c:pt idx="6">
                  <c:v>44348</c:v>
                </c:pt>
                <c:pt idx="7">
                  <c:v>44440</c:v>
                </c:pt>
                <c:pt idx="8">
                  <c:v>44531</c:v>
                </c:pt>
                <c:pt idx="9">
                  <c:v>44621</c:v>
                </c:pt>
                <c:pt idx="10">
                  <c:v>44713</c:v>
                </c:pt>
                <c:pt idx="11">
                  <c:v>44805</c:v>
                </c:pt>
                <c:pt idx="12">
                  <c:v>44896</c:v>
                </c:pt>
                <c:pt idx="13">
                  <c:v>44986</c:v>
                </c:pt>
                <c:pt idx="14">
                  <c:v>45078</c:v>
                </c:pt>
                <c:pt idx="15">
                  <c:v>45170</c:v>
                </c:pt>
                <c:pt idx="16">
                  <c:v>45261</c:v>
                </c:pt>
                <c:pt idx="17">
                  <c:v>45352</c:v>
                </c:pt>
                <c:pt idx="18">
                  <c:v>45444</c:v>
                </c:pt>
              </c:numCache>
            </c:numRef>
          </c:cat>
          <c:val>
            <c:numRef>
              <c:f>'Chart F.1 NOM to NSW'!$B$4:$T$4</c:f>
              <c:numCache>
                <c:formatCode>0.0</c:formatCode>
                <c:ptCount val="19"/>
                <c:pt idx="0">
                  <c:v>13.762</c:v>
                </c:pt>
                <c:pt idx="1">
                  <c:v>21.983000000000001</c:v>
                </c:pt>
                <c:pt idx="2">
                  <c:v>-9.0935434971726821</c:v>
                </c:pt>
                <c:pt idx="3">
                  <c:v>-10.450186983729671</c:v>
                </c:pt>
                <c:pt idx="4">
                  <c:v>-6.7926215394242861</c:v>
                </c:pt>
                <c:pt idx="5">
                  <c:v>-4.4152040006257858</c:v>
                </c:pt>
                <c:pt idx="6">
                  <c:v>-3.4336503881935596</c:v>
                </c:pt>
                <c:pt idx="7">
                  <c:v>-2.9186028299645255</c:v>
                </c:pt>
                <c:pt idx="8">
                  <c:v>-2.4808124054698464</c:v>
                </c:pt>
                <c:pt idx="9">
                  <c:v>-2.4808124054698464</c:v>
                </c:pt>
                <c:pt idx="10">
                  <c:v>-2.4808124054698464</c:v>
                </c:pt>
                <c:pt idx="11">
                  <c:v>-2.4808124054698464</c:v>
                </c:pt>
                <c:pt idx="12">
                  <c:v>-2.4808124054698464</c:v>
                </c:pt>
                <c:pt idx="13">
                  <c:v>-2.1701367044905355</c:v>
                </c:pt>
                <c:pt idx="14">
                  <c:v>0</c:v>
                </c:pt>
                <c:pt idx="15">
                  <c:v>3.3036753506233532</c:v>
                </c:pt>
                <c:pt idx="16">
                  <c:v>6.8868480373252412</c:v>
                </c:pt>
                <c:pt idx="17">
                  <c:v>10.144619941239085</c:v>
                </c:pt>
                <c:pt idx="18">
                  <c:v>12.75159027957684</c:v>
                </c:pt>
              </c:numCache>
            </c:numRef>
          </c:val>
          <c:smooth val="0"/>
          <c:extLst>
            <c:ext xmlns:c16="http://schemas.microsoft.com/office/drawing/2014/chart" uri="{C3380CC4-5D6E-409C-BE32-E72D297353CC}">
              <c16:uniqueId val="{00000001-3FD0-4468-A71F-320A3FBEED43}"/>
            </c:ext>
          </c:extLst>
        </c:ser>
        <c:dLbls>
          <c:showLegendKey val="0"/>
          <c:showVal val="0"/>
          <c:showCatName val="0"/>
          <c:showSerName val="0"/>
          <c:showPercent val="0"/>
          <c:showBubbleSize val="0"/>
        </c:dLbls>
        <c:smooth val="0"/>
        <c:axId val="234635648"/>
        <c:axId val="234637184"/>
      </c:lineChart>
      <c:dateAx>
        <c:axId val="234635648"/>
        <c:scaling>
          <c:orientation val="minMax"/>
        </c:scaling>
        <c:delete val="0"/>
        <c:axPos val="b"/>
        <c:numFmt formatCode="mmm\-yyyy" sourceLinked="1"/>
        <c:majorTickMark val="out"/>
        <c:minorTickMark val="none"/>
        <c:tickLblPos val="low"/>
        <c:spPr>
          <a:ln w="3175">
            <a:noFill/>
            <a:prstDash val="solid"/>
          </a:ln>
        </c:spPr>
        <c:txPr>
          <a:bodyPr rot="0" vert="horz"/>
          <a:lstStyle/>
          <a:p>
            <a:pPr>
              <a:defRPr/>
            </a:pPr>
            <a:endParaRPr lang="en-US"/>
          </a:p>
        </c:txPr>
        <c:crossAx val="234637184"/>
        <c:crossesAt val="0"/>
        <c:auto val="1"/>
        <c:lblOffset val="100"/>
        <c:baseTimeUnit val="months"/>
        <c:majorUnit val="6"/>
        <c:majorTimeUnit val="months"/>
      </c:dateAx>
      <c:valAx>
        <c:axId val="234637184"/>
        <c:scaling>
          <c:orientation val="minMax"/>
          <c:max val="30"/>
          <c:min val="-20"/>
        </c:scaling>
        <c:delete val="0"/>
        <c:axPos val="l"/>
        <c:majorGridlines>
          <c:spPr>
            <a:ln w="3175">
              <a:solidFill>
                <a:srgbClr val="DFDCDA"/>
              </a:solidFill>
              <a:prstDash val="solid"/>
            </a:ln>
          </c:spPr>
        </c:majorGridlines>
        <c:title>
          <c:tx>
            <c:rich>
              <a:bodyPr/>
              <a:lstStyle/>
              <a:p>
                <a:pPr>
                  <a:defRPr/>
                </a:pPr>
                <a:r>
                  <a:rPr lang="en-US"/>
                  <a:t>Thousand</a:t>
                </a:r>
              </a:p>
            </c:rich>
          </c:tx>
          <c:layout>
            <c:manualLayout>
              <c:xMode val="edge"/>
              <c:yMode val="edge"/>
              <c:x val="9.0252707581227436E-3"/>
              <c:y val="0.32198142414860681"/>
            </c:manualLayout>
          </c:layout>
          <c:overlay val="0"/>
          <c:spPr>
            <a:noFill/>
            <a:ln w="25400">
              <a:noFill/>
            </a:ln>
          </c:spPr>
        </c:title>
        <c:numFmt formatCode="0" sourceLinked="0"/>
        <c:majorTickMark val="out"/>
        <c:minorTickMark val="none"/>
        <c:tickLblPos val="nextTo"/>
        <c:spPr>
          <a:ln w="3175">
            <a:noFill/>
            <a:prstDash val="solid"/>
          </a:ln>
        </c:spPr>
        <c:txPr>
          <a:bodyPr rot="0" vert="horz"/>
          <a:lstStyle/>
          <a:p>
            <a:pPr>
              <a:defRPr/>
            </a:pPr>
            <a:endParaRPr lang="en-US"/>
          </a:p>
        </c:txPr>
        <c:crossAx val="234635648"/>
        <c:crosses val="autoZero"/>
        <c:crossBetween val="between"/>
        <c:majorUnit val="10"/>
      </c:valAx>
      <c:spPr>
        <a:noFill/>
        <a:ln w="25400">
          <a:noFill/>
        </a:ln>
      </c:spPr>
    </c:plotArea>
    <c:legend>
      <c:legendPos val="r"/>
      <c:layout>
        <c:manualLayout>
          <c:xMode val="edge"/>
          <c:yMode val="edge"/>
          <c:x val="3.8361287043553051E-2"/>
          <c:y val="0.90402476780185759"/>
          <c:w val="0.92373250449605127"/>
          <c:h val="8.6687306501547989E-2"/>
        </c:manualLayout>
      </c:layout>
      <c:overlay val="0"/>
      <c:spPr>
        <a:noFill/>
        <a:ln w="25400">
          <a:noFill/>
        </a:ln>
      </c:spPr>
    </c:legend>
    <c:plotVisOnly val="1"/>
    <c:dispBlanksAs val="gap"/>
    <c:showDLblsOverMax val="0"/>
  </c:chart>
  <c:spPr>
    <a:noFill/>
    <a:ln w="9525">
      <a:noFill/>
    </a:ln>
  </c:spPr>
  <c:txPr>
    <a:bodyPr/>
    <a:lstStyle/>
    <a:p>
      <a:pPr>
        <a:defRPr sz="700" b="0" i="0" u="none" strike="noStrike" baseline="0">
          <a:solidFill>
            <a:srgbClr val="57514D"/>
          </a:solidFill>
          <a:latin typeface="Arial" panose="020B0604020202020204" pitchFamily="34" charset="0"/>
          <a:ea typeface="Lucida Sans"/>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53958333333332"/>
          <c:y val="4.0247678018575851E-2"/>
          <c:w val="0.81529124386523977"/>
          <c:h val="0.76632545931758533"/>
        </c:manualLayout>
      </c:layout>
      <c:lineChart>
        <c:grouping val="standard"/>
        <c:varyColors val="0"/>
        <c:ser>
          <c:idx val="0"/>
          <c:order val="0"/>
          <c:tx>
            <c:strRef>
              <c:f>'Chart F.2 GSP impact'!$A$5</c:f>
              <c:strCache>
                <c:ptCount val="1"/>
                <c:pt idx="0">
                  <c:v>Household consumption</c:v>
                </c:pt>
              </c:strCache>
            </c:strRef>
          </c:tx>
          <c:spPr>
            <a:ln w="31750">
              <a:solidFill>
                <a:srgbClr val="008EBA"/>
              </a:solidFill>
              <a:prstDash val="solid"/>
            </a:ln>
          </c:spPr>
          <c:marker>
            <c:symbol val="none"/>
          </c:marker>
          <c:cat>
            <c:numRef>
              <c:f>'Chart F.2 GSP impact'!$B$3:$L$3</c:f>
              <c:numCache>
                <c:formatCode>mmm\-yy</c:formatCode>
                <c:ptCount val="11"/>
                <c:pt idx="0">
                  <c:v>44531</c:v>
                </c:pt>
                <c:pt idx="1">
                  <c:v>44621</c:v>
                </c:pt>
                <c:pt idx="2">
                  <c:v>44713</c:v>
                </c:pt>
                <c:pt idx="3">
                  <c:v>44805</c:v>
                </c:pt>
                <c:pt idx="4">
                  <c:v>44896</c:v>
                </c:pt>
                <c:pt idx="5">
                  <c:v>44986</c:v>
                </c:pt>
                <c:pt idx="6">
                  <c:v>45078</c:v>
                </c:pt>
                <c:pt idx="7">
                  <c:v>45170</c:v>
                </c:pt>
                <c:pt idx="8">
                  <c:v>45261</c:v>
                </c:pt>
                <c:pt idx="9">
                  <c:v>45352</c:v>
                </c:pt>
                <c:pt idx="10">
                  <c:v>45444</c:v>
                </c:pt>
              </c:numCache>
            </c:numRef>
          </c:cat>
          <c:val>
            <c:numRef>
              <c:f>'Chart F.2 GSP impact'!$B$5:$L$5</c:f>
              <c:numCache>
                <c:formatCode>0.0</c:formatCode>
                <c:ptCount val="11"/>
                <c:pt idx="0">
                  <c:v>0</c:v>
                </c:pt>
                <c:pt idx="1">
                  <c:v>-0.37542999999999999</c:v>
                </c:pt>
                <c:pt idx="2">
                  <c:v>-0.71728599999999998</c:v>
                </c:pt>
                <c:pt idx="3">
                  <c:v>-1.20753</c:v>
                </c:pt>
                <c:pt idx="4">
                  <c:v>-1.48007</c:v>
                </c:pt>
                <c:pt idx="5">
                  <c:v>-1.4491000000000001</c:v>
                </c:pt>
                <c:pt idx="6">
                  <c:v>-1.5733900000000001</c:v>
                </c:pt>
                <c:pt idx="7">
                  <c:v>-1.57664</c:v>
                </c:pt>
                <c:pt idx="8">
                  <c:v>-1.6420399999999999</c:v>
                </c:pt>
                <c:pt idx="9">
                  <c:v>-1.62137</c:v>
                </c:pt>
                <c:pt idx="10">
                  <c:v>-1.5113000000000001</c:v>
                </c:pt>
              </c:numCache>
            </c:numRef>
          </c:val>
          <c:smooth val="0"/>
          <c:extLst>
            <c:ext xmlns:c16="http://schemas.microsoft.com/office/drawing/2014/chart" uri="{C3380CC4-5D6E-409C-BE32-E72D297353CC}">
              <c16:uniqueId val="{00000000-6F5D-41C4-9678-794742F1F391}"/>
            </c:ext>
          </c:extLst>
        </c:ser>
        <c:ser>
          <c:idx val="1"/>
          <c:order val="1"/>
          <c:tx>
            <c:strRef>
              <c:f>'Chart F.2 GSP impact'!$A$6</c:f>
              <c:strCache>
                <c:ptCount val="1"/>
                <c:pt idx="0">
                  <c:v>Government consumption</c:v>
                </c:pt>
              </c:strCache>
            </c:strRef>
          </c:tx>
          <c:spPr>
            <a:ln w="31750">
              <a:solidFill>
                <a:srgbClr val="53C8E9"/>
              </a:solidFill>
              <a:prstDash val="solid"/>
            </a:ln>
          </c:spPr>
          <c:marker>
            <c:symbol val="none"/>
          </c:marker>
          <c:cat>
            <c:numRef>
              <c:f>'Chart F.2 GSP impact'!$B$3:$L$3</c:f>
              <c:numCache>
                <c:formatCode>mmm\-yy</c:formatCode>
                <c:ptCount val="11"/>
                <c:pt idx="0">
                  <c:v>44531</c:v>
                </c:pt>
                <c:pt idx="1">
                  <c:v>44621</c:v>
                </c:pt>
                <c:pt idx="2">
                  <c:v>44713</c:v>
                </c:pt>
                <c:pt idx="3">
                  <c:v>44805</c:v>
                </c:pt>
                <c:pt idx="4">
                  <c:v>44896</c:v>
                </c:pt>
                <c:pt idx="5">
                  <c:v>44986</c:v>
                </c:pt>
                <c:pt idx="6">
                  <c:v>45078</c:v>
                </c:pt>
                <c:pt idx="7">
                  <c:v>45170</c:v>
                </c:pt>
                <c:pt idx="8">
                  <c:v>45261</c:v>
                </c:pt>
                <c:pt idx="9">
                  <c:v>45352</c:v>
                </c:pt>
                <c:pt idx="10">
                  <c:v>45444</c:v>
                </c:pt>
              </c:numCache>
            </c:numRef>
          </c:cat>
          <c:val>
            <c:numRef>
              <c:f>'Chart F.2 GSP impact'!$B$6:$L$6</c:f>
              <c:numCache>
                <c:formatCode>0.0</c:formatCode>
                <c:ptCount val="11"/>
                <c:pt idx="0">
                  <c:v>0</c:v>
                </c:pt>
                <c:pt idx="1">
                  <c:v>-3.8015879999999998E-3</c:v>
                </c:pt>
                <c:pt idx="2">
                  <c:v>-3.4104780000000001E-2</c:v>
                </c:pt>
                <c:pt idx="3">
                  <c:v>-0.104683</c:v>
                </c:pt>
                <c:pt idx="4">
                  <c:v>-0.21873400000000001</c:v>
                </c:pt>
                <c:pt idx="5">
                  <c:v>-0.36814000000000002</c:v>
                </c:pt>
                <c:pt idx="6">
                  <c:v>-0.52204600000000001</c:v>
                </c:pt>
                <c:pt idx="7">
                  <c:v>-0.66227100000000005</c:v>
                </c:pt>
                <c:pt idx="8">
                  <c:v>-0.77756700000000001</c:v>
                </c:pt>
                <c:pt idx="9">
                  <c:v>-0.86902299999999999</c:v>
                </c:pt>
                <c:pt idx="10">
                  <c:v>-0.93869400000000003</c:v>
                </c:pt>
              </c:numCache>
            </c:numRef>
          </c:val>
          <c:smooth val="0"/>
          <c:extLst>
            <c:ext xmlns:c16="http://schemas.microsoft.com/office/drawing/2014/chart" uri="{C3380CC4-5D6E-409C-BE32-E72D297353CC}">
              <c16:uniqueId val="{00000001-6F5D-41C4-9678-794742F1F391}"/>
            </c:ext>
          </c:extLst>
        </c:ser>
        <c:ser>
          <c:idx val="2"/>
          <c:order val="2"/>
          <c:tx>
            <c:strRef>
              <c:f>'Chart F.2 GSP impact'!$A$7</c:f>
              <c:strCache>
                <c:ptCount val="1"/>
                <c:pt idx="0">
                  <c:v>Investment</c:v>
                </c:pt>
              </c:strCache>
            </c:strRef>
          </c:tx>
          <c:spPr>
            <a:ln w="31750">
              <a:solidFill>
                <a:srgbClr val="92D050"/>
              </a:solidFill>
            </a:ln>
            <a:effectLst/>
          </c:spPr>
          <c:marker>
            <c:symbol val="none"/>
          </c:marker>
          <c:cat>
            <c:numRef>
              <c:f>'Chart F.2 GSP impact'!$B$3:$L$3</c:f>
              <c:numCache>
                <c:formatCode>mmm\-yy</c:formatCode>
                <c:ptCount val="11"/>
                <c:pt idx="0">
                  <c:v>44531</c:v>
                </c:pt>
                <c:pt idx="1">
                  <c:v>44621</c:v>
                </c:pt>
                <c:pt idx="2">
                  <c:v>44713</c:v>
                </c:pt>
                <c:pt idx="3">
                  <c:v>44805</c:v>
                </c:pt>
                <c:pt idx="4">
                  <c:v>44896</c:v>
                </c:pt>
                <c:pt idx="5">
                  <c:v>44986</c:v>
                </c:pt>
                <c:pt idx="6">
                  <c:v>45078</c:v>
                </c:pt>
                <c:pt idx="7">
                  <c:v>45170</c:v>
                </c:pt>
                <c:pt idx="8">
                  <c:v>45261</c:v>
                </c:pt>
                <c:pt idx="9">
                  <c:v>45352</c:v>
                </c:pt>
                <c:pt idx="10">
                  <c:v>45444</c:v>
                </c:pt>
              </c:numCache>
            </c:numRef>
          </c:cat>
          <c:val>
            <c:numRef>
              <c:f>'Chart F.2 GSP impact'!$B$7:$L$7</c:f>
              <c:numCache>
                <c:formatCode>0.0</c:formatCode>
                <c:ptCount val="11"/>
                <c:pt idx="0">
                  <c:v>0</c:v>
                </c:pt>
                <c:pt idx="1">
                  <c:v>0.48027999999999998</c:v>
                </c:pt>
                <c:pt idx="2">
                  <c:v>0.26223099999999999</c:v>
                </c:pt>
                <c:pt idx="3">
                  <c:v>-3.082994E-2</c:v>
                </c:pt>
                <c:pt idx="4">
                  <c:v>-0.20879600000000001</c:v>
                </c:pt>
                <c:pt idx="5">
                  <c:v>-0.517486</c:v>
                </c:pt>
                <c:pt idx="6">
                  <c:v>-0.68687699999999996</c:v>
                </c:pt>
                <c:pt idx="7">
                  <c:v>-0.78105500000000005</c:v>
                </c:pt>
                <c:pt idx="8">
                  <c:v>-0.93391599999999997</c:v>
                </c:pt>
                <c:pt idx="9">
                  <c:v>-0.99445399999999995</c:v>
                </c:pt>
                <c:pt idx="10">
                  <c:v>-0.96865599999999996</c:v>
                </c:pt>
              </c:numCache>
            </c:numRef>
          </c:val>
          <c:smooth val="0"/>
          <c:extLst>
            <c:ext xmlns:c16="http://schemas.microsoft.com/office/drawing/2014/chart" uri="{C3380CC4-5D6E-409C-BE32-E72D297353CC}">
              <c16:uniqueId val="{00000002-6F5D-41C4-9678-794742F1F391}"/>
            </c:ext>
          </c:extLst>
        </c:ser>
        <c:ser>
          <c:idx val="3"/>
          <c:order val="3"/>
          <c:tx>
            <c:strRef>
              <c:f>'Chart F.2 GSP impact'!$A$4</c:f>
              <c:strCache>
                <c:ptCount val="1"/>
                <c:pt idx="0">
                  <c:v>Real GSP</c:v>
                </c:pt>
              </c:strCache>
            </c:strRef>
          </c:tx>
          <c:spPr>
            <a:ln w="31750">
              <a:solidFill>
                <a:srgbClr val="00426F"/>
              </a:solidFill>
              <a:prstDash val="dash"/>
            </a:ln>
            <a:effectLst/>
          </c:spPr>
          <c:marker>
            <c:symbol val="none"/>
          </c:marker>
          <c:cat>
            <c:numRef>
              <c:f>'Chart F.2 GSP impact'!$B$3:$L$3</c:f>
              <c:numCache>
                <c:formatCode>mmm\-yy</c:formatCode>
                <c:ptCount val="11"/>
                <c:pt idx="0">
                  <c:v>44531</c:v>
                </c:pt>
                <c:pt idx="1">
                  <c:v>44621</c:v>
                </c:pt>
                <c:pt idx="2">
                  <c:v>44713</c:v>
                </c:pt>
                <c:pt idx="3">
                  <c:v>44805</c:v>
                </c:pt>
                <c:pt idx="4">
                  <c:v>44896</c:v>
                </c:pt>
                <c:pt idx="5">
                  <c:v>44986</c:v>
                </c:pt>
                <c:pt idx="6">
                  <c:v>45078</c:v>
                </c:pt>
                <c:pt idx="7">
                  <c:v>45170</c:v>
                </c:pt>
                <c:pt idx="8">
                  <c:v>45261</c:v>
                </c:pt>
                <c:pt idx="9">
                  <c:v>45352</c:v>
                </c:pt>
                <c:pt idx="10">
                  <c:v>45444</c:v>
                </c:pt>
              </c:numCache>
            </c:numRef>
          </c:cat>
          <c:val>
            <c:numRef>
              <c:f>'Chart F.2 GSP impact'!$B$4:$L$4</c:f>
              <c:numCache>
                <c:formatCode>0.0</c:formatCode>
                <c:ptCount val="11"/>
                <c:pt idx="0">
                  <c:v>0</c:v>
                </c:pt>
                <c:pt idx="1">
                  <c:v>-0.12012200000000001</c:v>
                </c:pt>
                <c:pt idx="2">
                  <c:v>-0.46362900000000001</c:v>
                </c:pt>
                <c:pt idx="3">
                  <c:v>-0.92491999999999996</c:v>
                </c:pt>
                <c:pt idx="4">
                  <c:v>-1.0446899999999999</c:v>
                </c:pt>
                <c:pt idx="5">
                  <c:v>-0.89931399999999995</c:v>
                </c:pt>
                <c:pt idx="6">
                  <c:v>-0.78461400000000003</c:v>
                </c:pt>
                <c:pt idx="7">
                  <c:v>-0.75592499999999996</c:v>
                </c:pt>
                <c:pt idx="8">
                  <c:v>-0.799763</c:v>
                </c:pt>
                <c:pt idx="9">
                  <c:v>-0.828816</c:v>
                </c:pt>
                <c:pt idx="10">
                  <c:v>-0.83241699999999996</c:v>
                </c:pt>
              </c:numCache>
            </c:numRef>
          </c:val>
          <c:smooth val="0"/>
          <c:extLst>
            <c:ext xmlns:c16="http://schemas.microsoft.com/office/drawing/2014/chart" uri="{C3380CC4-5D6E-409C-BE32-E72D297353CC}">
              <c16:uniqueId val="{00000003-6F5D-41C4-9678-794742F1F391}"/>
            </c:ext>
          </c:extLst>
        </c:ser>
        <c:dLbls>
          <c:showLegendKey val="0"/>
          <c:showVal val="0"/>
          <c:showCatName val="0"/>
          <c:showSerName val="0"/>
          <c:showPercent val="0"/>
          <c:showBubbleSize val="0"/>
        </c:dLbls>
        <c:smooth val="0"/>
        <c:axId val="234635648"/>
        <c:axId val="234637184"/>
      </c:lineChart>
      <c:dateAx>
        <c:axId val="234635648"/>
        <c:scaling>
          <c:orientation val="minMax"/>
        </c:scaling>
        <c:delete val="0"/>
        <c:axPos val="b"/>
        <c:numFmt formatCode="mmm\-yy" sourceLinked="1"/>
        <c:majorTickMark val="out"/>
        <c:minorTickMark val="none"/>
        <c:tickLblPos val="low"/>
        <c:spPr>
          <a:ln w="3175">
            <a:noFill/>
            <a:prstDash val="solid"/>
          </a:ln>
        </c:spPr>
        <c:txPr>
          <a:bodyPr rot="0" vert="horz"/>
          <a:lstStyle/>
          <a:p>
            <a:pPr>
              <a:defRPr/>
            </a:pPr>
            <a:endParaRPr lang="en-US"/>
          </a:p>
        </c:txPr>
        <c:crossAx val="234637184"/>
        <c:crossesAt val="0"/>
        <c:auto val="1"/>
        <c:lblOffset val="100"/>
        <c:baseTimeUnit val="months"/>
        <c:majorUnit val="6"/>
        <c:majorTimeUnit val="months"/>
      </c:dateAx>
      <c:valAx>
        <c:axId val="234637184"/>
        <c:scaling>
          <c:orientation val="minMax"/>
          <c:max val="1"/>
          <c:min val="-2"/>
        </c:scaling>
        <c:delete val="0"/>
        <c:axPos val="l"/>
        <c:majorGridlines>
          <c:spPr>
            <a:ln w="3175">
              <a:solidFill>
                <a:srgbClr val="DFDCDA"/>
              </a:solidFill>
              <a:prstDash val="solid"/>
            </a:ln>
          </c:spPr>
        </c:majorGridlines>
        <c:title>
          <c:tx>
            <c:rich>
              <a:bodyPr anchor="ctr" anchorCtr="1"/>
              <a:lstStyle/>
              <a:p>
                <a:pPr>
                  <a:defRPr/>
                </a:pPr>
                <a:r>
                  <a:rPr lang="en-US"/>
                  <a:t>Per cent, deviation from baseline</a:t>
                </a:r>
              </a:p>
            </c:rich>
          </c:tx>
          <c:layout>
            <c:manualLayout>
              <c:xMode val="edge"/>
              <c:yMode val="edge"/>
              <c:x val="9.0253472222222211E-3"/>
              <c:y val="0.15916111111111111"/>
            </c:manualLayout>
          </c:layout>
          <c:overlay val="0"/>
          <c:spPr>
            <a:noFill/>
            <a:ln w="25400">
              <a:noFill/>
            </a:ln>
          </c:spPr>
        </c:title>
        <c:numFmt formatCode="0.0" sourceLinked="0"/>
        <c:majorTickMark val="out"/>
        <c:minorTickMark val="none"/>
        <c:tickLblPos val="nextTo"/>
        <c:spPr>
          <a:ln w="3175">
            <a:noFill/>
            <a:prstDash val="solid"/>
          </a:ln>
        </c:spPr>
        <c:txPr>
          <a:bodyPr rot="0" vert="horz"/>
          <a:lstStyle/>
          <a:p>
            <a:pPr>
              <a:defRPr/>
            </a:pPr>
            <a:endParaRPr lang="en-US"/>
          </a:p>
        </c:txPr>
        <c:crossAx val="234635648"/>
        <c:crosses val="autoZero"/>
        <c:crossBetween val="between"/>
      </c:valAx>
      <c:spPr>
        <a:noFill/>
        <a:ln w="25400">
          <a:noFill/>
        </a:ln>
      </c:spPr>
    </c:plotArea>
    <c:legend>
      <c:legendPos val="r"/>
      <c:layout>
        <c:manualLayout>
          <c:xMode val="edge"/>
          <c:yMode val="edge"/>
          <c:x val="0"/>
          <c:y val="0.89317008547008547"/>
          <c:w val="1"/>
          <c:h val="9.7541880341880327E-2"/>
        </c:manualLayout>
      </c:layout>
      <c:overlay val="0"/>
      <c:spPr>
        <a:noFill/>
        <a:ln w="25400">
          <a:noFill/>
        </a:ln>
      </c:spPr>
    </c:legend>
    <c:plotVisOnly val="1"/>
    <c:dispBlanksAs val="gap"/>
    <c:showDLblsOverMax val="0"/>
  </c:chart>
  <c:spPr>
    <a:noFill/>
    <a:ln w="9525">
      <a:noFill/>
    </a:ln>
  </c:spPr>
  <c:txPr>
    <a:bodyPr/>
    <a:lstStyle/>
    <a:p>
      <a:pPr>
        <a:defRPr sz="700" b="0" i="0" u="none" strike="noStrike" baseline="0">
          <a:solidFill>
            <a:srgbClr val="57514D"/>
          </a:solidFill>
          <a:latin typeface="Arial" panose="020B0604020202020204" pitchFamily="34" charset="0"/>
          <a:ea typeface="Lucida Sans"/>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53958333333332"/>
          <c:y val="4.0247678018575851E-2"/>
          <c:w val="0.83251631944444449"/>
          <c:h val="0.76632545931758533"/>
        </c:manualLayout>
      </c:layout>
      <c:lineChart>
        <c:grouping val="standard"/>
        <c:varyColors val="0"/>
        <c:ser>
          <c:idx val="0"/>
          <c:order val="0"/>
          <c:tx>
            <c:strRef>
              <c:f>'Chart F.3 Exports impact'!$A$4</c:f>
              <c:strCache>
                <c:ptCount val="1"/>
                <c:pt idx="0">
                  <c:v>International exports</c:v>
                </c:pt>
              </c:strCache>
            </c:strRef>
          </c:tx>
          <c:spPr>
            <a:ln w="31750">
              <a:solidFill>
                <a:srgbClr val="00426F"/>
              </a:solidFill>
              <a:prstDash val="solid"/>
            </a:ln>
          </c:spPr>
          <c:marker>
            <c:symbol val="none"/>
          </c:marker>
          <c:cat>
            <c:numRef>
              <c:f>'Chart F.3 Exports impact'!$B$3:$L$3</c:f>
              <c:numCache>
                <c:formatCode>mmm\-yy</c:formatCode>
                <c:ptCount val="11"/>
                <c:pt idx="0">
                  <c:v>44531</c:v>
                </c:pt>
                <c:pt idx="1">
                  <c:v>44621</c:v>
                </c:pt>
                <c:pt idx="2">
                  <c:v>44713</c:v>
                </c:pt>
                <c:pt idx="3">
                  <c:v>44805</c:v>
                </c:pt>
                <c:pt idx="4">
                  <c:v>44896</c:v>
                </c:pt>
                <c:pt idx="5">
                  <c:v>44986</c:v>
                </c:pt>
                <c:pt idx="6">
                  <c:v>45078</c:v>
                </c:pt>
                <c:pt idx="7">
                  <c:v>45170</c:v>
                </c:pt>
                <c:pt idx="8">
                  <c:v>45261</c:v>
                </c:pt>
                <c:pt idx="9">
                  <c:v>45352</c:v>
                </c:pt>
                <c:pt idx="10">
                  <c:v>45444</c:v>
                </c:pt>
              </c:numCache>
            </c:numRef>
          </c:cat>
          <c:val>
            <c:numRef>
              <c:f>'Chart F.3 Exports impact'!$B$4:$L$4</c:f>
              <c:numCache>
                <c:formatCode>0.0</c:formatCode>
                <c:ptCount val="11"/>
                <c:pt idx="0">
                  <c:v>0</c:v>
                </c:pt>
                <c:pt idx="1">
                  <c:v>-6.39764</c:v>
                </c:pt>
                <c:pt idx="2">
                  <c:v>-10.0991</c:v>
                </c:pt>
                <c:pt idx="3">
                  <c:v>-13.1815</c:v>
                </c:pt>
                <c:pt idx="4">
                  <c:v>-13.7875</c:v>
                </c:pt>
                <c:pt idx="5">
                  <c:v>-9.9788700000000006</c:v>
                </c:pt>
                <c:pt idx="6">
                  <c:v>-7.0572100000000004</c:v>
                </c:pt>
                <c:pt idx="7">
                  <c:v>-5.0522299999999998</c:v>
                </c:pt>
                <c:pt idx="8">
                  <c:v>-4.2543199999999999</c:v>
                </c:pt>
                <c:pt idx="9">
                  <c:v>-3.5806800000000001</c:v>
                </c:pt>
                <c:pt idx="10">
                  <c:v>-3.0685099999999998</c:v>
                </c:pt>
              </c:numCache>
            </c:numRef>
          </c:val>
          <c:smooth val="0"/>
          <c:extLst>
            <c:ext xmlns:c16="http://schemas.microsoft.com/office/drawing/2014/chart" uri="{C3380CC4-5D6E-409C-BE32-E72D297353CC}">
              <c16:uniqueId val="{00000000-DFC2-405A-A81D-B2BC6454EAD6}"/>
            </c:ext>
          </c:extLst>
        </c:ser>
        <c:ser>
          <c:idx val="1"/>
          <c:order val="1"/>
          <c:tx>
            <c:strRef>
              <c:f>'Chart F.3 Exports impact'!$A$5</c:f>
              <c:strCache>
                <c:ptCount val="1"/>
                <c:pt idx="0">
                  <c:v>International imports</c:v>
                </c:pt>
              </c:strCache>
            </c:strRef>
          </c:tx>
          <c:spPr>
            <a:ln w="31750">
              <a:solidFill>
                <a:srgbClr val="008EBA"/>
              </a:solidFill>
              <a:prstDash val="solid"/>
            </a:ln>
          </c:spPr>
          <c:marker>
            <c:symbol val="none"/>
          </c:marker>
          <c:cat>
            <c:numRef>
              <c:f>'Chart F.3 Exports impact'!$B$3:$L$3</c:f>
              <c:numCache>
                <c:formatCode>mmm\-yy</c:formatCode>
                <c:ptCount val="11"/>
                <c:pt idx="0">
                  <c:v>44531</c:v>
                </c:pt>
                <c:pt idx="1">
                  <c:v>44621</c:v>
                </c:pt>
                <c:pt idx="2">
                  <c:v>44713</c:v>
                </c:pt>
                <c:pt idx="3">
                  <c:v>44805</c:v>
                </c:pt>
                <c:pt idx="4">
                  <c:v>44896</c:v>
                </c:pt>
                <c:pt idx="5">
                  <c:v>44986</c:v>
                </c:pt>
                <c:pt idx="6">
                  <c:v>45078</c:v>
                </c:pt>
                <c:pt idx="7">
                  <c:v>45170</c:v>
                </c:pt>
                <c:pt idx="8">
                  <c:v>45261</c:v>
                </c:pt>
                <c:pt idx="9">
                  <c:v>45352</c:v>
                </c:pt>
                <c:pt idx="10">
                  <c:v>45444</c:v>
                </c:pt>
              </c:numCache>
            </c:numRef>
          </c:cat>
          <c:val>
            <c:numRef>
              <c:f>'Chart F.3 Exports impact'!$B$5:$L$5</c:f>
              <c:numCache>
                <c:formatCode>0.0</c:formatCode>
                <c:ptCount val="11"/>
                <c:pt idx="0">
                  <c:v>0</c:v>
                </c:pt>
                <c:pt idx="1">
                  <c:v>-3.3791000000000002</c:v>
                </c:pt>
                <c:pt idx="2">
                  <c:v>-4.7332400000000003</c:v>
                </c:pt>
                <c:pt idx="3">
                  <c:v>-6.0563799999999999</c:v>
                </c:pt>
                <c:pt idx="4">
                  <c:v>-6.9439599999999997</c:v>
                </c:pt>
                <c:pt idx="5">
                  <c:v>-5.5240900000000002</c:v>
                </c:pt>
                <c:pt idx="6">
                  <c:v>-5.2642199999999999</c:v>
                </c:pt>
                <c:pt idx="7">
                  <c:v>-4.8469899999999999</c:v>
                </c:pt>
                <c:pt idx="8">
                  <c:v>-4.4160199999999996</c:v>
                </c:pt>
                <c:pt idx="9">
                  <c:v>-3.8835000000000002</c:v>
                </c:pt>
                <c:pt idx="10">
                  <c:v>-3.2303199999999999</c:v>
                </c:pt>
              </c:numCache>
            </c:numRef>
          </c:val>
          <c:smooth val="0"/>
          <c:extLst>
            <c:ext xmlns:c16="http://schemas.microsoft.com/office/drawing/2014/chart" uri="{C3380CC4-5D6E-409C-BE32-E72D297353CC}">
              <c16:uniqueId val="{00000001-DFC2-405A-A81D-B2BC6454EAD6}"/>
            </c:ext>
          </c:extLst>
        </c:ser>
        <c:dLbls>
          <c:showLegendKey val="0"/>
          <c:showVal val="0"/>
          <c:showCatName val="0"/>
          <c:showSerName val="0"/>
          <c:showPercent val="0"/>
          <c:showBubbleSize val="0"/>
        </c:dLbls>
        <c:smooth val="0"/>
        <c:axId val="234635648"/>
        <c:axId val="234637184"/>
      </c:lineChart>
      <c:dateAx>
        <c:axId val="234635648"/>
        <c:scaling>
          <c:orientation val="minMax"/>
        </c:scaling>
        <c:delete val="0"/>
        <c:axPos val="b"/>
        <c:numFmt formatCode="mmm\-yy" sourceLinked="1"/>
        <c:majorTickMark val="out"/>
        <c:minorTickMark val="none"/>
        <c:tickLblPos val="low"/>
        <c:spPr>
          <a:ln w="3175">
            <a:noFill/>
            <a:prstDash val="solid"/>
          </a:ln>
        </c:spPr>
        <c:txPr>
          <a:bodyPr rot="0" vert="horz"/>
          <a:lstStyle/>
          <a:p>
            <a:pPr>
              <a:defRPr/>
            </a:pPr>
            <a:endParaRPr lang="en-US"/>
          </a:p>
        </c:txPr>
        <c:crossAx val="234637184"/>
        <c:crossesAt val="0"/>
        <c:auto val="1"/>
        <c:lblOffset val="100"/>
        <c:baseTimeUnit val="months"/>
        <c:majorUnit val="6"/>
        <c:majorTimeUnit val="months"/>
      </c:dateAx>
      <c:valAx>
        <c:axId val="234637184"/>
        <c:scaling>
          <c:orientation val="minMax"/>
          <c:max val="2"/>
          <c:min val="-16"/>
        </c:scaling>
        <c:delete val="0"/>
        <c:axPos val="l"/>
        <c:majorGridlines>
          <c:spPr>
            <a:ln w="3175">
              <a:solidFill>
                <a:srgbClr val="DFDCDA"/>
              </a:solidFill>
              <a:prstDash val="solid"/>
            </a:ln>
          </c:spPr>
        </c:majorGridlines>
        <c:title>
          <c:tx>
            <c:rich>
              <a:bodyPr anchor="ctr" anchorCtr="1"/>
              <a:lstStyle/>
              <a:p>
                <a:pPr>
                  <a:defRPr/>
                </a:pPr>
                <a:r>
                  <a:rPr lang="en-US"/>
                  <a:t>Per cent, deviation from baseline</a:t>
                </a:r>
              </a:p>
            </c:rich>
          </c:tx>
          <c:layout>
            <c:manualLayout>
              <c:xMode val="edge"/>
              <c:yMode val="edge"/>
              <c:x val="9.0253472222222211E-3"/>
              <c:y val="0.15916111111111111"/>
            </c:manualLayout>
          </c:layout>
          <c:overlay val="0"/>
          <c:spPr>
            <a:noFill/>
            <a:ln w="25400">
              <a:noFill/>
            </a:ln>
          </c:spPr>
        </c:title>
        <c:numFmt formatCode="0" sourceLinked="0"/>
        <c:majorTickMark val="out"/>
        <c:minorTickMark val="none"/>
        <c:tickLblPos val="nextTo"/>
        <c:spPr>
          <a:ln w="3175">
            <a:noFill/>
            <a:prstDash val="solid"/>
          </a:ln>
        </c:spPr>
        <c:txPr>
          <a:bodyPr rot="0" vert="horz"/>
          <a:lstStyle/>
          <a:p>
            <a:pPr>
              <a:defRPr/>
            </a:pPr>
            <a:endParaRPr lang="en-US"/>
          </a:p>
        </c:txPr>
        <c:crossAx val="234635648"/>
        <c:crosses val="autoZero"/>
        <c:crossBetween val="between"/>
      </c:valAx>
      <c:spPr>
        <a:noFill/>
        <a:ln w="25400">
          <a:noFill/>
        </a:ln>
      </c:spPr>
    </c:plotArea>
    <c:legend>
      <c:legendPos val="r"/>
      <c:layout>
        <c:manualLayout>
          <c:xMode val="edge"/>
          <c:yMode val="edge"/>
          <c:x val="3.8361287043553051E-2"/>
          <c:y val="0.90402476780185759"/>
          <c:w val="0.92373250449605127"/>
          <c:h val="8.6687306501547989E-2"/>
        </c:manualLayout>
      </c:layout>
      <c:overlay val="0"/>
      <c:spPr>
        <a:noFill/>
        <a:ln w="25400">
          <a:noFill/>
        </a:ln>
      </c:spPr>
    </c:legend>
    <c:plotVisOnly val="1"/>
    <c:dispBlanksAs val="gap"/>
    <c:showDLblsOverMax val="0"/>
  </c:chart>
  <c:spPr>
    <a:noFill/>
    <a:ln w="9525">
      <a:noFill/>
    </a:ln>
  </c:spPr>
  <c:txPr>
    <a:bodyPr/>
    <a:lstStyle/>
    <a:p>
      <a:pPr>
        <a:defRPr sz="700" b="0" i="0" u="none" strike="noStrike" baseline="0">
          <a:solidFill>
            <a:srgbClr val="57514D"/>
          </a:solidFill>
          <a:latin typeface="Arial" panose="020B0604020202020204" pitchFamily="34" charset="0"/>
          <a:ea typeface="Lucida Sans"/>
          <a:cs typeface="Arial" panose="020B0604020202020204" pitchFamily="34" charset="0"/>
        </a:defRPr>
      </a:pPr>
      <a:endParaRPr lang="en-US"/>
    </a:p>
  </c:txPr>
  <c:externalData r:id="rId1">
    <c:autoUpdate val="0"/>
  </c:externalData>
</c:chartSpace>
</file>

<file path=word/documenttasks/documenttasks1.xml><?xml version="1.0" encoding="utf-8"?>
<t:Tasks xmlns:t="http://schemas.microsoft.com/office/tasks/2019/documenttasks">
  <t:Task id="{F18EE2FB-7F02-4E55-814B-0F710A925FCA}">
    <t:Anchor>
      <t:Comment id="592854167"/>
    </t:Anchor>
    <t:History>
      <t:Event id="{C30AB623-7D38-4D58-A2A8-0F9FCEDE3B0B}" time="2020-11-13T04:53:34Z">
        <t:Attribution userId="S::aruna.sathanapally@treasury.nsw.gov.au::401fd03e-b38f-4c04-a9c7-fd852afad308" userProvider="AD" userName="Aruna Sathanapally"/>
        <t:Anchor>
          <t:Comment id="544672385"/>
        </t:Anchor>
        <t:Create/>
      </t:Event>
      <t:Event id="{A7A11065-B252-4BEA-AA07-BC47CE229523}" time="2020-11-13T04:53:34Z">
        <t:Attribution userId="S::aruna.sathanapally@treasury.nsw.gov.au::401fd03e-b38f-4c04-a9c7-fd852afad308" userProvider="AD" userName="Aruna Sathanapally"/>
        <t:Anchor>
          <t:Comment id="544672385"/>
        </t:Anchor>
        <t:Assign userId="S::Paul.Tipping@treasury.nsw.gov.au::a8642133-24bb-4b60-b879-f15557697231" userProvider="AD" userName="Paul Tipping"/>
      </t:Event>
      <t:Event id="{9E92B5AB-75F3-4895-8779-404544F0C4C1}" time="2020-11-13T04:53:34Z">
        <t:Attribution userId="S::aruna.sathanapally@treasury.nsw.gov.au::401fd03e-b38f-4c04-a9c7-fd852afad308" userProvider="AD" userName="Aruna Sathanapally"/>
        <t:Anchor>
          <t:Comment id="544672385"/>
        </t:Anchor>
        <t:SetTitle title="I confirm sign off of this portion @Paul Tipp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Lewis South</DisplayName>
        <AccountId>714</AccountId>
        <AccountType/>
      </UserInfo>
      <UserInfo>
        <DisplayName>Stephen Walters</DisplayName>
        <AccountId>50</AccountId>
        <AccountType/>
      </UserInfo>
      <UserInfo>
        <DisplayName>Aruna Sathanapally</DisplayName>
        <AccountId>501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EE4D-25EC-41DB-BDC0-998AB0C4A83D}">
  <ds:schemaRefs>
    <ds:schemaRef ds:uri="http://schemas.microsoft.com/office/2006/metadata/properties"/>
    <ds:schemaRef ds:uri="http://schemas.microsoft.com/office/infopath/2007/PartnerControls"/>
    <ds:schemaRef ds:uri="1c478e85-8130-4c67-8ee4-8bdf1c0e6049"/>
    <ds:schemaRef ds:uri="801a5968-9419-4033-b9de-7ffe8168468e"/>
  </ds:schemaRefs>
</ds:datastoreItem>
</file>

<file path=customXml/itemProps2.xml><?xml version="1.0" encoding="utf-8"?>
<ds:datastoreItem xmlns:ds="http://schemas.openxmlformats.org/officeDocument/2006/customXml" ds:itemID="{54EFF365-386E-46A2-8846-0CDC94A60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906AA-FBFA-4CDD-9F8D-83C4CDF86034}">
  <ds:schemaRefs>
    <ds:schemaRef ds:uri="http://schemas.microsoft.com/sharepoint/v3/contenttype/forms"/>
  </ds:schemaRefs>
</ds:datastoreItem>
</file>

<file path=customXml/itemProps4.xml><?xml version="1.0" encoding="utf-8"?>
<ds:datastoreItem xmlns:ds="http://schemas.openxmlformats.org/officeDocument/2006/customXml" ds:itemID="{93B2C529-8DBE-4B41-AF48-CD484B679DC2}">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7050</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2019-20 Budget Paper No. 1 - Budget Statement - Appendix - Economic Scenario Analysis</vt:lpstr>
    </vt:vector>
  </TitlesOfParts>
  <Company>ServiceFirst</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1 - Budget Statement - Appendices F: Economic Scenario</dc:title>
  <dc:subject/>
  <dc:creator>The Treasury</dc:creator>
  <cp:keywords/>
  <cp:lastModifiedBy>Francess Lavorato</cp:lastModifiedBy>
  <cp:revision>1524</cp:revision>
  <cp:lastPrinted>2019-06-17T06:56:00Z</cp:lastPrinted>
  <dcterms:created xsi:type="dcterms:W3CDTF">2019-05-15T02:43:00Z</dcterms:created>
  <dcterms:modified xsi:type="dcterms:W3CDTF">2020-11-15T05:38:00Z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ies>
</file>