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EB5E" w14:textId="7D321CF6" w:rsidR="00A63D1D" w:rsidRPr="0011239F" w:rsidRDefault="00B400A3" w:rsidP="005C0910">
      <w:pPr>
        <w:pStyle w:val="Heading1"/>
        <w:spacing w:before="480" w:after="480"/>
        <w:rPr>
          <w:rFonts w:cs="Arial"/>
        </w:rPr>
      </w:pPr>
      <w:r>
        <w:rPr>
          <w:rFonts w:cs="Arial"/>
        </w:rPr>
        <w:t>1</w:t>
      </w:r>
      <w:r w:rsidR="004D606F" w:rsidRPr="0011239F">
        <w:rPr>
          <w:rFonts w:cs="Arial"/>
        </w:rPr>
        <w:t xml:space="preserve">. </w:t>
      </w:r>
      <w:r w:rsidR="00FA09EC" w:rsidRPr="0011239F">
        <w:rPr>
          <w:rFonts w:cs="Arial"/>
        </w:rPr>
        <w:tab/>
      </w:r>
      <w:r>
        <w:rPr>
          <w:rFonts w:cs="Arial"/>
        </w:rPr>
        <w:t>CUSTOMER SERVICE</w:t>
      </w:r>
    </w:p>
    <w:p w14:paraId="74043476" w14:textId="2076F598" w:rsidR="00A63D1D" w:rsidRPr="0011239F" w:rsidRDefault="00A63D1D" w:rsidP="00E3501B">
      <w:pPr>
        <w:pStyle w:val="Heading2"/>
        <w:numPr>
          <w:ilvl w:val="1"/>
          <w:numId w:val="20"/>
        </w:numPr>
        <w:rPr>
          <w:rFonts w:ascii="Arial" w:hAnsi="Arial" w:cs="Arial"/>
        </w:rPr>
      </w:pPr>
      <w:bookmarkStart w:id="0" w:name="_Toc511769333"/>
      <w:r w:rsidRPr="0011239F">
        <w:rPr>
          <w:rFonts w:ascii="Arial" w:hAnsi="Arial" w:cs="Arial"/>
        </w:rPr>
        <w:t>Introduction</w:t>
      </w:r>
      <w:bookmarkEnd w:id="0"/>
    </w:p>
    <w:tbl>
      <w:tblPr>
        <w:tblpPr w:leftFromText="180" w:rightFromText="180" w:vertAnchor="text" w:horzAnchor="margin" w:tblpXSpec="right" w:tblpY="23"/>
        <w:tblW w:w="1692" w:type="pct"/>
        <w:shd w:val="clear" w:color="auto" w:fill="F2F2F2" w:themeFill="background1" w:themeFillShade="F2"/>
        <w:tblCellMar>
          <w:left w:w="115" w:type="dxa"/>
          <w:right w:w="115" w:type="dxa"/>
        </w:tblCellMar>
        <w:tblLook w:val="04A0" w:firstRow="1" w:lastRow="0" w:firstColumn="1" w:lastColumn="0" w:noHBand="0" w:noVBand="1"/>
        <w:tblCaption w:val="CUSTOMER SERVICE"/>
        <w:tblDescription w:val="CUSTOMER SERVICE"/>
      </w:tblPr>
      <w:tblGrid>
        <w:gridCol w:w="1086"/>
        <w:gridCol w:w="968"/>
        <w:gridCol w:w="1208"/>
      </w:tblGrid>
      <w:tr w:rsidR="001D4BC9" w:rsidRPr="0011239F" w14:paraId="3EEE1C17" w14:textId="77777777" w:rsidTr="16CC90BD">
        <w:trPr>
          <w:cantSplit/>
          <w:trHeight w:val="1010"/>
        </w:trPr>
        <w:tc>
          <w:tcPr>
            <w:tcW w:w="1665" w:type="pct"/>
            <w:shd w:val="clear" w:color="auto" w:fill="F2F2F2" w:themeFill="background1" w:themeFillShade="F2"/>
            <w:vAlign w:val="center"/>
          </w:tcPr>
          <w:p w14:paraId="605D7F5D" w14:textId="77777777" w:rsidR="001D4BC9" w:rsidRPr="0011239F" w:rsidRDefault="00D122DC" w:rsidP="001D4BC9">
            <w:pPr>
              <w:spacing w:before="120" w:after="120"/>
              <w:rPr>
                <w:rFonts w:ascii="Arial" w:hAnsi="Arial" w:cs="Arial"/>
              </w:rPr>
            </w:pPr>
            <w:bookmarkStart w:id="1" w:name="_Hlk514514902"/>
            <w:r w:rsidRPr="0011239F">
              <w:rPr>
                <w:rFonts w:ascii="Arial" w:hAnsi="Arial" w:cs="Arial"/>
                <w:noProof/>
                <w:lang w:eastAsia="en-AU"/>
              </w:rPr>
              <w:drawing>
                <wp:inline distT="0" distB="0" distL="0" distR="0" wp14:anchorId="6084DAE0" wp14:editId="63CDA05C">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7DEBED38" w14:textId="327985CD" w:rsidR="001D4BC9" w:rsidRPr="0011239F" w:rsidRDefault="001D4BC9" w:rsidP="00B1009C">
            <w:pPr>
              <w:spacing w:before="120" w:after="120"/>
              <w:jc w:val="center"/>
              <w:rPr>
                <w:rFonts w:ascii="Arial" w:hAnsi="Arial" w:cs="Arial"/>
                <w:color w:val="00ABE6"/>
                <w:sz w:val="18"/>
                <w:szCs w:val="18"/>
              </w:rPr>
            </w:pPr>
            <w:r w:rsidRPr="004930B4">
              <w:rPr>
                <w:rFonts w:ascii="Arial" w:hAnsi="Arial" w:cs="Arial"/>
                <w:color w:val="00ABE6"/>
                <w:sz w:val="18"/>
                <w:szCs w:val="18"/>
              </w:rPr>
              <w:t>$</w:t>
            </w:r>
            <w:r w:rsidR="00FC7088" w:rsidRPr="004930B4">
              <w:rPr>
                <w:rFonts w:ascii="Arial" w:hAnsi="Arial" w:cs="Arial"/>
                <w:color w:val="00ABE6"/>
                <w:sz w:val="18"/>
                <w:szCs w:val="18"/>
              </w:rPr>
              <w:t>3.</w:t>
            </w:r>
            <w:r w:rsidR="004930B4" w:rsidRPr="004930B4">
              <w:rPr>
                <w:rFonts w:ascii="Arial" w:hAnsi="Arial" w:cs="Arial"/>
                <w:color w:val="00ABE6"/>
                <w:sz w:val="18"/>
                <w:szCs w:val="18"/>
              </w:rPr>
              <w:t>6</w:t>
            </w:r>
            <w:r w:rsidR="0064170B" w:rsidRPr="004930B4">
              <w:rPr>
                <w:rFonts w:ascii="Arial" w:hAnsi="Arial" w:cs="Arial"/>
                <w:color w:val="00ABE6"/>
                <w:sz w:val="18"/>
                <w:szCs w:val="18"/>
              </w:rPr>
              <w:t xml:space="preserve"> </w:t>
            </w:r>
            <w:r w:rsidR="007C4D52" w:rsidRPr="004930B4">
              <w:rPr>
                <w:rFonts w:ascii="Arial" w:hAnsi="Arial" w:cs="Arial"/>
                <w:color w:val="00ABE6"/>
                <w:sz w:val="18"/>
                <w:szCs w:val="18"/>
              </w:rPr>
              <w:br/>
            </w:r>
            <w:r w:rsidRPr="004930B4">
              <w:rPr>
                <w:rFonts w:ascii="Arial" w:hAnsi="Arial" w:cs="Arial"/>
                <w:color w:val="00ABE6"/>
                <w:sz w:val="18"/>
                <w:szCs w:val="18"/>
              </w:rPr>
              <w:t>billion</w:t>
            </w:r>
          </w:p>
        </w:tc>
        <w:tc>
          <w:tcPr>
            <w:tcW w:w="1852" w:type="pct"/>
            <w:shd w:val="clear" w:color="auto" w:fill="F2F2F2" w:themeFill="background1" w:themeFillShade="F2"/>
            <w:vAlign w:val="center"/>
          </w:tcPr>
          <w:p w14:paraId="5EF886C3" w14:textId="77777777"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Recurrent</w:t>
            </w:r>
          </w:p>
          <w:p w14:paraId="7F56C5C5" w14:textId="65C2A48B"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r>
            <w:r w:rsidR="006D4B0D" w:rsidRPr="0011239F">
              <w:rPr>
                <w:rFonts w:ascii="Arial" w:hAnsi="Arial" w:cs="Arial"/>
                <w:color w:val="00ABE6"/>
                <w:sz w:val="18"/>
                <w:szCs w:val="18"/>
              </w:rPr>
              <w:t>20</w:t>
            </w:r>
            <w:r w:rsidR="0064170B">
              <w:rPr>
                <w:rFonts w:ascii="Arial" w:hAnsi="Arial" w:cs="Arial"/>
                <w:color w:val="00ABE6"/>
                <w:sz w:val="18"/>
                <w:szCs w:val="18"/>
              </w:rPr>
              <w:t>2</w:t>
            </w:r>
            <w:r w:rsidR="00C5113D">
              <w:rPr>
                <w:rFonts w:ascii="Arial" w:hAnsi="Arial" w:cs="Arial"/>
                <w:color w:val="00ABE6"/>
                <w:sz w:val="18"/>
                <w:szCs w:val="18"/>
              </w:rPr>
              <w:t>1</w:t>
            </w:r>
            <w:r w:rsidR="006D4B0D" w:rsidRPr="0011239F">
              <w:rPr>
                <w:rFonts w:ascii="Arial" w:hAnsi="Arial" w:cs="Arial"/>
                <w:color w:val="00ABE6"/>
                <w:sz w:val="18"/>
                <w:szCs w:val="18"/>
              </w:rPr>
              <w:t>-2</w:t>
            </w:r>
            <w:r w:rsidR="00C5113D">
              <w:rPr>
                <w:rFonts w:ascii="Arial" w:hAnsi="Arial" w:cs="Arial"/>
                <w:color w:val="00ABE6"/>
                <w:sz w:val="18"/>
                <w:szCs w:val="18"/>
              </w:rPr>
              <w:t>2</w:t>
            </w:r>
          </w:p>
        </w:tc>
      </w:tr>
      <w:tr w:rsidR="001D4BC9" w:rsidRPr="0011239F" w14:paraId="5C328435" w14:textId="77777777" w:rsidTr="16CC90BD">
        <w:trPr>
          <w:cantSplit/>
          <w:trHeight w:val="1010"/>
        </w:trPr>
        <w:tc>
          <w:tcPr>
            <w:tcW w:w="1665" w:type="pct"/>
            <w:shd w:val="clear" w:color="auto" w:fill="F2F2F2" w:themeFill="background1" w:themeFillShade="F2"/>
            <w:vAlign w:val="center"/>
          </w:tcPr>
          <w:p w14:paraId="4FB86C35" w14:textId="77777777" w:rsidR="001D4BC9" w:rsidRPr="0011239F" w:rsidRDefault="00D122DC" w:rsidP="001D4BC9">
            <w:pPr>
              <w:spacing w:before="120" w:after="120"/>
              <w:rPr>
                <w:rFonts w:ascii="Arial" w:hAnsi="Arial" w:cs="Arial"/>
                <w:noProof/>
                <w:lang w:eastAsia="en-AU"/>
              </w:rPr>
            </w:pPr>
            <w:r w:rsidRPr="0011239F">
              <w:rPr>
                <w:rFonts w:ascii="Arial" w:hAnsi="Arial" w:cs="Arial"/>
                <w:noProof/>
                <w:lang w:eastAsia="en-AU"/>
              </w:rPr>
              <w:drawing>
                <wp:inline distT="0" distB="0" distL="0" distR="0" wp14:anchorId="628DD338" wp14:editId="75ECF776">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711BFC86" w14:textId="46790903" w:rsidR="001D4BC9" w:rsidRPr="0011239F" w:rsidRDefault="00F94AEE" w:rsidP="00B1009C">
            <w:pPr>
              <w:spacing w:before="120" w:after="120"/>
              <w:jc w:val="center"/>
              <w:rPr>
                <w:rFonts w:ascii="Arial" w:hAnsi="Arial" w:cs="Arial"/>
                <w:color w:val="00ABE6"/>
                <w:sz w:val="18"/>
                <w:szCs w:val="18"/>
              </w:rPr>
            </w:pPr>
            <w:r w:rsidRPr="004E0ED1">
              <w:rPr>
                <w:rFonts w:ascii="Arial" w:hAnsi="Arial" w:cs="Arial"/>
                <w:color w:val="00ABE6"/>
                <w:sz w:val="18"/>
                <w:szCs w:val="18"/>
              </w:rPr>
              <w:t>$</w:t>
            </w:r>
            <w:r w:rsidR="00767767" w:rsidRPr="004E0ED1">
              <w:rPr>
                <w:rFonts w:ascii="Arial" w:hAnsi="Arial" w:cs="Arial"/>
                <w:color w:val="00ABE6"/>
                <w:sz w:val="18"/>
                <w:szCs w:val="18"/>
              </w:rPr>
              <w:t>697.3</w:t>
            </w:r>
            <w:r w:rsidR="0064170B" w:rsidRPr="004E0ED1">
              <w:rPr>
                <w:rFonts w:ascii="Arial" w:hAnsi="Arial" w:cs="Arial"/>
                <w:color w:val="00ABE6"/>
                <w:sz w:val="18"/>
                <w:szCs w:val="18"/>
              </w:rPr>
              <w:t xml:space="preserve"> </w:t>
            </w:r>
            <w:r w:rsidR="001D4BC9" w:rsidRPr="004E0ED1">
              <w:rPr>
                <w:rFonts w:ascii="Arial" w:hAnsi="Arial" w:cs="Arial"/>
                <w:color w:val="00ABE6"/>
                <w:sz w:val="18"/>
                <w:szCs w:val="18"/>
              </w:rPr>
              <w:br/>
            </w:r>
            <w:r w:rsidR="00767767" w:rsidRPr="004E0ED1">
              <w:rPr>
                <w:rFonts w:ascii="Arial" w:hAnsi="Arial" w:cs="Arial"/>
                <w:color w:val="00ABE6"/>
                <w:sz w:val="18"/>
                <w:szCs w:val="18"/>
              </w:rPr>
              <w:t>m</w:t>
            </w:r>
            <w:r w:rsidR="001D4BC9" w:rsidRPr="004E0ED1">
              <w:rPr>
                <w:rFonts w:ascii="Arial" w:hAnsi="Arial" w:cs="Arial"/>
                <w:color w:val="00ABE6"/>
                <w:sz w:val="18"/>
                <w:szCs w:val="18"/>
              </w:rPr>
              <w:t>illion</w:t>
            </w:r>
          </w:p>
        </w:tc>
        <w:tc>
          <w:tcPr>
            <w:tcW w:w="1852" w:type="pct"/>
            <w:shd w:val="clear" w:color="auto" w:fill="F2F2F2" w:themeFill="background1" w:themeFillShade="F2"/>
            <w:vAlign w:val="center"/>
          </w:tcPr>
          <w:p w14:paraId="59B3A7A0" w14:textId="7ED3E734"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 xml:space="preserve">Capital </w:t>
            </w:r>
            <w:r w:rsidR="005073C0" w:rsidRPr="0011239F">
              <w:rPr>
                <w:rFonts w:ascii="Arial" w:hAnsi="Arial" w:cs="Arial"/>
                <w:color w:val="00ABE6"/>
                <w:sz w:val="18"/>
                <w:szCs w:val="18"/>
              </w:rPr>
              <w:br/>
            </w:r>
            <w:r w:rsidRPr="0011239F">
              <w:rPr>
                <w:rFonts w:ascii="Arial" w:hAnsi="Arial" w:cs="Arial"/>
                <w:color w:val="00ABE6"/>
                <w:sz w:val="18"/>
                <w:szCs w:val="18"/>
              </w:rPr>
              <w:t xml:space="preserve">Expenditure </w:t>
            </w:r>
            <w:r w:rsidR="006D4B0D" w:rsidRPr="0011239F">
              <w:rPr>
                <w:rFonts w:ascii="Arial" w:hAnsi="Arial" w:cs="Arial"/>
                <w:color w:val="00ABE6"/>
                <w:sz w:val="18"/>
                <w:szCs w:val="18"/>
              </w:rPr>
              <w:t>20</w:t>
            </w:r>
            <w:r w:rsidR="0064170B">
              <w:rPr>
                <w:rFonts w:ascii="Arial" w:hAnsi="Arial" w:cs="Arial"/>
                <w:color w:val="00ABE6"/>
                <w:sz w:val="18"/>
                <w:szCs w:val="18"/>
              </w:rPr>
              <w:t>2</w:t>
            </w:r>
            <w:r w:rsidR="00FA5DF0">
              <w:rPr>
                <w:rFonts w:ascii="Arial" w:hAnsi="Arial" w:cs="Arial"/>
                <w:color w:val="00ABE6"/>
                <w:sz w:val="18"/>
                <w:szCs w:val="18"/>
              </w:rPr>
              <w:t>1</w:t>
            </w:r>
            <w:r w:rsidR="006D4B0D" w:rsidRPr="0011239F">
              <w:rPr>
                <w:rFonts w:ascii="Arial" w:hAnsi="Arial" w:cs="Arial"/>
                <w:color w:val="00ABE6"/>
                <w:sz w:val="18"/>
                <w:szCs w:val="18"/>
              </w:rPr>
              <w:t>-2</w:t>
            </w:r>
            <w:r w:rsidR="00FA5DF0">
              <w:rPr>
                <w:rFonts w:ascii="Arial" w:hAnsi="Arial" w:cs="Arial"/>
                <w:color w:val="00ABE6"/>
                <w:sz w:val="18"/>
                <w:szCs w:val="18"/>
              </w:rPr>
              <w:t>2</w:t>
            </w:r>
          </w:p>
        </w:tc>
      </w:tr>
    </w:tbl>
    <w:p w14:paraId="42F2AC5B" w14:textId="171318CE" w:rsidR="00EF53AA" w:rsidRPr="00033111" w:rsidRDefault="3D9740A1" w:rsidP="0089325A">
      <w:pPr>
        <w:pStyle w:val="BodyText"/>
      </w:pPr>
      <w:bookmarkStart w:id="2" w:name="_Hlk7443651"/>
      <w:bookmarkStart w:id="3" w:name="_Hlk7525417"/>
      <w:bookmarkStart w:id="4" w:name="_Hlk515375251"/>
      <w:bookmarkEnd w:id="1"/>
      <w:r>
        <w:t>The Customer Service Cluster spearheads the Government’s objective to</w:t>
      </w:r>
      <w:r w:rsidR="2F5A7D8D">
        <w:t xml:space="preserve"> </w:t>
      </w:r>
      <w:r>
        <w:t>be the world’s most customer</w:t>
      </w:r>
      <w:r w:rsidR="00423690">
        <w:noBreakHyphen/>
      </w:r>
      <w:r>
        <w:t>centric government</w:t>
      </w:r>
      <w:r w:rsidR="5DCDA36F">
        <w:t xml:space="preserve">. </w:t>
      </w:r>
      <w:r w:rsidR="003348E2">
        <w:t>It</w:t>
      </w:r>
      <w:r w:rsidR="00926568">
        <w:t xml:space="preserve">s </w:t>
      </w:r>
      <w:r>
        <w:t xml:space="preserve">fundamental purpose </w:t>
      </w:r>
      <w:r w:rsidR="00F65132">
        <w:t>is to provide</w:t>
      </w:r>
      <w:r>
        <w:t xml:space="preserve"> trustworthy, effective, and easy</w:t>
      </w:r>
      <w:r w:rsidR="00926568">
        <w:t>-</w:t>
      </w:r>
      <w:r>
        <w:t>to</w:t>
      </w:r>
      <w:r w:rsidR="00926568">
        <w:t>-</w:t>
      </w:r>
      <w:r>
        <w:t>use services for customers and communities, no matter who</w:t>
      </w:r>
      <w:r w:rsidR="00926568">
        <w:t xml:space="preserve"> they are,</w:t>
      </w:r>
      <w:r>
        <w:t xml:space="preserve"> where they are, or what they need. The Cluster embeds customer insights into policy design and service delivery</w:t>
      </w:r>
      <w:r w:rsidR="00F65132">
        <w:t>,</w:t>
      </w:r>
      <w:r>
        <w:t xml:space="preserve"> us</w:t>
      </w:r>
      <w:r w:rsidR="00F65132">
        <w:t>ing</w:t>
      </w:r>
      <w:r>
        <w:t xml:space="preserve"> digital</w:t>
      </w:r>
      <w:r w:rsidR="39D69359">
        <w:t>,</w:t>
      </w:r>
      <w:r>
        <w:t xml:space="preserve"> data and behavioural insights to enhance customer experiences</w:t>
      </w:r>
      <w:r w:rsidR="2C89D4EB">
        <w:t xml:space="preserve"> across all </w:t>
      </w:r>
      <w:r w:rsidR="009577F4">
        <w:t>g</w:t>
      </w:r>
      <w:r w:rsidR="2C89D4EB">
        <w:t>overnment</w:t>
      </w:r>
      <w:r w:rsidR="00EF03F1">
        <w:t xml:space="preserve"> services</w:t>
      </w:r>
      <w:r w:rsidR="2C89D4EB">
        <w:t>.</w:t>
      </w:r>
    </w:p>
    <w:bookmarkEnd w:id="2"/>
    <w:bookmarkEnd w:id="3"/>
    <w:p w14:paraId="1E51B1E6" w14:textId="34B641F3" w:rsidR="00B8001D" w:rsidRPr="008F6131" w:rsidRDefault="00001D87" w:rsidP="40C2636F">
      <w:pPr>
        <w:pStyle w:val="Heading3"/>
        <w:rPr>
          <w:rFonts w:cs="Arial"/>
        </w:rPr>
      </w:pPr>
      <w:r w:rsidRPr="40C2636F">
        <w:rPr>
          <w:rFonts w:cs="Arial"/>
        </w:rPr>
        <w:t xml:space="preserve">State Outcomes </w:t>
      </w:r>
      <w:r w:rsidR="00636FAE" w:rsidRPr="40C2636F">
        <w:rPr>
          <w:rFonts w:cs="Arial"/>
        </w:rPr>
        <w:t xml:space="preserve">to be </w:t>
      </w:r>
      <w:r w:rsidRPr="40C2636F">
        <w:rPr>
          <w:rFonts w:cs="Arial"/>
        </w:rPr>
        <w:t xml:space="preserve">delivered by the </w:t>
      </w:r>
      <w:r w:rsidR="001A00F0" w:rsidRPr="40C2636F">
        <w:rPr>
          <w:rFonts w:cs="Arial"/>
        </w:rPr>
        <w:t>Customer Service</w:t>
      </w:r>
      <w:r w:rsidRPr="40C2636F">
        <w:rPr>
          <w:rFonts w:cs="Arial"/>
        </w:rPr>
        <w:t xml:space="preserve"> </w:t>
      </w:r>
      <w:r w:rsidR="00537507" w:rsidRPr="40C2636F">
        <w:rPr>
          <w:rFonts w:cs="Arial"/>
        </w:rPr>
        <w:t>C</w:t>
      </w:r>
      <w:r w:rsidRPr="40C2636F">
        <w:rPr>
          <w:rFonts w:cs="Arial"/>
        </w:rPr>
        <w:t>luster</w:t>
      </w:r>
      <w:bookmarkEnd w:id="4"/>
    </w:p>
    <w:tbl>
      <w:tblPr>
        <w:tblW w:w="9639" w:type="dxa"/>
        <w:tblLook w:val="04A0" w:firstRow="1" w:lastRow="0" w:firstColumn="1" w:lastColumn="0" w:noHBand="0" w:noVBand="1"/>
        <w:tblCaption w:val="State Outcomes to be delivered by the Customer Service Cluster"/>
        <w:tblDescription w:val="State Outcomes to be delivered by the Customer Service Cluster"/>
      </w:tblPr>
      <w:tblGrid>
        <w:gridCol w:w="5102"/>
        <w:gridCol w:w="236"/>
        <w:gridCol w:w="4301"/>
      </w:tblGrid>
      <w:tr w:rsidR="00272B4A" w:rsidRPr="0011239F" w14:paraId="4EB62FEC" w14:textId="77777777" w:rsidTr="00243F14">
        <w:trPr>
          <w:trHeight w:val="408"/>
        </w:trPr>
        <w:tc>
          <w:tcPr>
            <w:tcW w:w="510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137F0A">
            <w:pPr>
              <w:jc w:val="center"/>
              <w:rPr>
                <w:rFonts w:cs="Arial"/>
                <w:b/>
                <w:bCs/>
                <w:color w:val="FFFFFF"/>
                <w:sz w:val="22"/>
                <w:szCs w:val="22"/>
              </w:rPr>
            </w:pPr>
            <w:bookmarkStart w:id="5" w:name="_Hlk514693442"/>
            <w:bookmarkStart w:id="6"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137F0A">
            <w:pPr>
              <w:jc w:val="center"/>
              <w:rPr>
                <w:color w:val="FFFFFF"/>
                <w:sz w:val="6"/>
                <w:szCs w:val="6"/>
              </w:rPr>
            </w:pPr>
            <w:r w:rsidRPr="00A95062">
              <w:rPr>
                <w:rFonts w:cs="Arial"/>
                <w:color w:val="FFFFFF"/>
                <w:sz w:val="6"/>
                <w:szCs w:val="6"/>
                <w:lang w:eastAsia="en-AU"/>
              </w:rPr>
              <w:t> </w:t>
            </w:r>
          </w:p>
        </w:tc>
        <w:tc>
          <w:tcPr>
            <w:tcW w:w="4301" w:type="dxa"/>
            <w:vMerge w:val="restart"/>
            <w:tcBorders>
              <w:top w:val="nil"/>
              <w:left w:val="nil"/>
              <w:bottom w:val="nil"/>
              <w:right w:val="nil"/>
            </w:tcBorders>
            <w:shd w:val="clear" w:color="auto" w:fill="002664"/>
            <w:vAlign w:val="center"/>
            <w:hideMark/>
          </w:tcPr>
          <w:p w14:paraId="3819BEB6" w14:textId="449DA97E" w:rsidR="00272B4A" w:rsidRPr="0011239F" w:rsidRDefault="00272B4A" w:rsidP="00137F0A">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00243F14">
        <w:trPr>
          <w:trHeight w:val="408"/>
        </w:trPr>
        <w:tc>
          <w:tcPr>
            <w:tcW w:w="5102" w:type="dxa"/>
            <w:vMerge/>
            <w:vAlign w:val="center"/>
            <w:hideMark/>
          </w:tcPr>
          <w:p w14:paraId="3E59487A" w14:textId="77777777" w:rsidR="00272B4A" w:rsidRPr="00FC4E65" w:rsidRDefault="00272B4A" w:rsidP="00137F0A">
            <w:pPr>
              <w:rPr>
                <w:b/>
                <w:color w:val="FFFFFF"/>
                <w:sz w:val="22"/>
              </w:rPr>
            </w:pPr>
          </w:p>
        </w:tc>
        <w:tc>
          <w:tcPr>
            <w:tcW w:w="236" w:type="dxa"/>
            <w:vMerge/>
            <w:vAlign w:val="center"/>
            <w:hideMark/>
          </w:tcPr>
          <w:p w14:paraId="023E3EB3" w14:textId="77777777" w:rsidR="00272B4A" w:rsidRPr="00A95062" w:rsidRDefault="00272B4A" w:rsidP="00137F0A">
            <w:pPr>
              <w:rPr>
                <w:color w:val="FFFFFF"/>
                <w:sz w:val="6"/>
                <w:szCs w:val="6"/>
              </w:rPr>
            </w:pPr>
          </w:p>
        </w:tc>
        <w:tc>
          <w:tcPr>
            <w:tcW w:w="4301" w:type="dxa"/>
            <w:vMerge/>
            <w:vAlign w:val="center"/>
            <w:hideMark/>
          </w:tcPr>
          <w:p w14:paraId="28F80C5B" w14:textId="77777777" w:rsidR="00272B4A" w:rsidRPr="00FC4E65" w:rsidRDefault="00272B4A" w:rsidP="00137F0A">
            <w:pPr>
              <w:rPr>
                <w:b/>
                <w:color w:val="FFFFFF"/>
                <w:sz w:val="22"/>
              </w:rPr>
            </w:pPr>
          </w:p>
        </w:tc>
      </w:tr>
      <w:bookmarkEnd w:id="5"/>
      <w:tr w:rsidR="00272B4A" w:rsidRPr="00D92897" w14:paraId="1893ECDF" w14:textId="77777777" w:rsidTr="00243F14">
        <w:trPr>
          <w:trHeight w:val="108"/>
        </w:trPr>
        <w:tc>
          <w:tcPr>
            <w:tcW w:w="510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137F0A">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137F0A">
            <w:pPr>
              <w:jc w:val="center"/>
              <w:rPr>
                <w:rFonts w:cs="Arial"/>
                <w:sz w:val="6"/>
                <w:szCs w:val="6"/>
                <w:lang w:eastAsia="en-AU"/>
              </w:rPr>
            </w:pPr>
            <w:r w:rsidRPr="00A95062">
              <w:rPr>
                <w:rFonts w:cs="Arial"/>
                <w:sz w:val="6"/>
                <w:szCs w:val="6"/>
                <w:lang w:eastAsia="en-AU"/>
              </w:rPr>
              <w:t> </w:t>
            </w:r>
          </w:p>
        </w:tc>
        <w:tc>
          <w:tcPr>
            <w:tcW w:w="4301"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137F0A">
            <w:pPr>
              <w:jc w:val="center"/>
              <w:rPr>
                <w:rFonts w:cs="Arial"/>
                <w:color w:val="FF0000"/>
                <w:sz w:val="4"/>
                <w:szCs w:val="4"/>
                <w:lang w:eastAsia="en-AU"/>
              </w:rPr>
            </w:pPr>
            <w:r w:rsidRPr="00D92897">
              <w:rPr>
                <w:rFonts w:cs="Arial"/>
                <w:color w:val="FF0000"/>
                <w:sz w:val="4"/>
                <w:szCs w:val="4"/>
                <w:lang w:eastAsia="en-AU"/>
              </w:rPr>
              <w:t> </w:t>
            </w:r>
          </w:p>
        </w:tc>
      </w:tr>
      <w:tr w:rsidR="00272B4A" w:rsidRPr="0011239F" w14:paraId="61A4C62A" w14:textId="77777777" w:rsidTr="00243F14">
        <w:trPr>
          <w:trHeight w:val="992"/>
        </w:trPr>
        <w:tc>
          <w:tcPr>
            <w:tcW w:w="5102" w:type="dxa"/>
            <w:tcBorders>
              <w:top w:val="nil"/>
              <w:left w:val="nil"/>
              <w:bottom w:val="nil"/>
              <w:right w:val="nil"/>
            </w:tcBorders>
            <w:shd w:val="clear" w:color="auto" w:fill="BAE4FC"/>
            <w:vAlign w:val="center"/>
            <w:hideMark/>
          </w:tcPr>
          <w:p w14:paraId="0B5A9BC7" w14:textId="416CB70A" w:rsidR="00760C79" w:rsidRPr="008F6131" w:rsidRDefault="00272B4A" w:rsidP="00DF1D77">
            <w:pPr>
              <w:spacing w:before="8" w:after="80"/>
              <w:ind w:left="357" w:hanging="357"/>
              <w:rPr>
                <w:rFonts w:ascii="Arial" w:hAnsi="Arial" w:cs="Arial"/>
                <w:b/>
              </w:rPr>
            </w:pPr>
            <w:r w:rsidRPr="008F6131">
              <w:rPr>
                <w:rFonts w:ascii="Arial" w:eastAsiaTheme="minorHAnsi" w:hAnsi="Arial" w:cs="Arial"/>
                <w:b/>
              </w:rPr>
              <w:t xml:space="preserve">1. </w:t>
            </w:r>
            <w:r w:rsidR="00DF1D77">
              <w:rPr>
                <w:rFonts w:ascii="Arial" w:eastAsiaTheme="minorHAnsi" w:hAnsi="Arial" w:cs="Arial"/>
                <w:b/>
              </w:rPr>
              <w:tab/>
            </w:r>
            <w:r w:rsidR="00760C79" w:rsidRPr="008F6131">
              <w:rPr>
                <w:rFonts w:ascii="Arial" w:eastAsia="Calibri" w:hAnsi="Arial" w:cs="Arial"/>
                <w:b/>
                <w:szCs w:val="22"/>
                <w:lang w:eastAsia="en-AU"/>
              </w:rPr>
              <w:t xml:space="preserve">Excellence in </w:t>
            </w:r>
            <w:r w:rsidR="006A5C7E">
              <w:rPr>
                <w:rFonts w:ascii="Arial" w:eastAsia="Calibri" w:hAnsi="Arial" w:cs="Arial"/>
                <w:b/>
                <w:szCs w:val="22"/>
                <w:lang w:eastAsia="en-AU"/>
              </w:rPr>
              <w:t>c</w:t>
            </w:r>
            <w:r w:rsidR="00760C79" w:rsidRPr="008F6131">
              <w:rPr>
                <w:rFonts w:ascii="Arial" w:eastAsia="Calibri" w:hAnsi="Arial" w:cs="Arial"/>
                <w:b/>
                <w:szCs w:val="22"/>
                <w:lang w:eastAsia="en-AU"/>
              </w:rPr>
              <w:t xml:space="preserve">ustomer </w:t>
            </w:r>
            <w:r w:rsidR="006A5C7E">
              <w:rPr>
                <w:rFonts w:ascii="Arial" w:eastAsia="Calibri" w:hAnsi="Arial" w:cs="Arial"/>
                <w:b/>
                <w:szCs w:val="22"/>
                <w:lang w:eastAsia="en-AU"/>
              </w:rPr>
              <w:t>s</w:t>
            </w:r>
            <w:r w:rsidR="00760C79" w:rsidRPr="008F6131">
              <w:rPr>
                <w:rFonts w:ascii="Arial" w:eastAsia="Calibri" w:hAnsi="Arial" w:cs="Arial"/>
                <w:b/>
                <w:szCs w:val="22"/>
                <w:lang w:eastAsia="en-AU"/>
              </w:rPr>
              <w:t>ervice</w:t>
            </w:r>
          </w:p>
          <w:p w14:paraId="2E16DBAA" w14:textId="416E9540" w:rsidR="00760C79" w:rsidRPr="008F6131" w:rsidRDefault="00760C79" w:rsidP="00760C79">
            <w:pPr>
              <w:rPr>
                <w:rFonts w:ascii="Arial" w:hAnsi="Arial" w:cs="Arial"/>
              </w:rPr>
            </w:pPr>
            <w:r w:rsidRPr="16CC90BD">
              <w:rPr>
                <w:rFonts w:ascii="Arial" w:hAnsi="Arial" w:cs="Arial"/>
              </w:rPr>
              <w:t xml:space="preserve">This Outcome focuses the Cluster’s efforts towards a customer-centred approach </w:t>
            </w:r>
            <w:r w:rsidR="00857B09" w:rsidRPr="16CC90BD">
              <w:rPr>
                <w:rFonts w:ascii="Arial" w:hAnsi="Arial" w:cs="Arial"/>
              </w:rPr>
              <w:t>across the NSW</w:t>
            </w:r>
            <w:r w:rsidR="00DB46A1">
              <w:rPr>
                <w:rFonts w:ascii="Arial" w:hAnsi="Arial" w:cs="Arial"/>
              </w:rPr>
              <w:t> </w:t>
            </w:r>
            <w:r w:rsidR="00857B09" w:rsidRPr="16CC90BD">
              <w:rPr>
                <w:rFonts w:ascii="Arial" w:hAnsi="Arial" w:cs="Arial"/>
              </w:rPr>
              <w:t>Government</w:t>
            </w:r>
            <w:r w:rsidRPr="16CC90BD">
              <w:rPr>
                <w:rFonts w:ascii="Arial" w:hAnsi="Arial" w:cs="Arial"/>
              </w:rPr>
              <w:t>, resulting in better customer experiences and easier transactions. This Outcome measures the availability of digital transactions, customer satisfaction with government services, and the number of services where customers only need to “Tell us Once”</w:t>
            </w:r>
            <w:r w:rsidR="00CC62DD" w:rsidRPr="16CC90BD">
              <w:rPr>
                <w:rFonts w:ascii="Arial" w:hAnsi="Arial" w:cs="Arial"/>
              </w:rPr>
              <w:t>.</w:t>
            </w:r>
            <w:r w:rsidR="00D101CC" w:rsidRPr="16CC90BD">
              <w:rPr>
                <w:rFonts w:ascii="Arial" w:hAnsi="Arial" w:cs="Arial"/>
              </w:rPr>
              <w:t xml:space="preserve"> </w:t>
            </w:r>
          </w:p>
          <w:p w14:paraId="3DF5CF57" w14:textId="77777777" w:rsidR="00760C79" w:rsidRPr="008F6131" w:rsidRDefault="00760C79" w:rsidP="00760C79">
            <w:pPr>
              <w:rPr>
                <w:rFonts w:ascii="Arial" w:hAnsi="Arial" w:cs="Arial"/>
                <w:i/>
                <w:iCs/>
                <w:sz w:val="12"/>
                <w:szCs w:val="12"/>
              </w:rPr>
            </w:pPr>
          </w:p>
          <w:p w14:paraId="595ADE0D" w14:textId="2B42478B" w:rsidR="00272B4A" w:rsidRPr="008F6131" w:rsidRDefault="00760C79" w:rsidP="00760C79">
            <w:pPr>
              <w:rPr>
                <w:rFonts w:ascii="Arial" w:hAnsi="Arial" w:cs="Arial"/>
              </w:rPr>
            </w:pPr>
            <w:r w:rsidRPr="008F6131">
              <w:rPr>
                <w:rFonts w:ascii="Arial" w:hAnsi="Arial" w:cs="Arial"/>
                <w:i/>
                <w:iCs/>
              </w:rPr>
              <w:t>202</w:t>
            </w:r>
            <w:r w:rsidR="008F6131">
              <w:rPr>
                <w:rFonts w:ascii="Arial" w:hAnsi="Arial" w:cs="Arial"/>
                <w:i/>
                <w:iCs/>
              </w:rPr>
              <w:t>1-22</w:t>
            </w:r>
            <w:r w:rsidRPr="008F6131">
              <w:rPr>
                <w:rFonts w:ascii="Arial" w:hAnsi="Arial" w:cs="Arial"/>
                <w:i/>
                <w:iCs/>
              </w:rPr>
              <w:t xml:space="preserve"> investment: </w:t>
            </w:r>
            <w:r w:rsidRPr="00847DF6">
              <w:rPr>
                <w:rFonts w:ascii="Arial" w:hAnsi="Arial" w:cs="Arial"/>
                <w:i/>
              </w:rPr>
              <w:t>$</w:t>
            </w:r>
            <w:r w:rsidR="00767767" w:rsidRPr="00847DF6">
              <w:rPr>
                <w:rFonts w:ascii="Arial" w:hAnsi="Arial" w:cs="Arial"/>
                <w:i/>
              </w:rPr>
              <w:t>1.</w:t>
            </w:r>
            <w:r w:rsidR="004E0ED1" w:rsidRPr="00847DF6">
              <w:rPr>
                <w:rFonts w:ascii="Arial" w:hAnsi="Arial" w:cs="Arial"/>
                <w:i/>
                <w:iCs/>
              </w:rPr>
              <w:t>6</w:t>
            </w:r>
            <w:r w:rsidRPr="00847DF6">
              <w:rPr>
                <w:rFonts w:ascii="Arial" w:hAnsi="Arial" w:cs="Arial"/>
                <w:i/>
              </w:rPr>
              <w:t xml:space="preserve"> billion</w:t>
            </w:r>
            <w:r w:rsidRPr="008F6131">
              <w:rPr>
                <w:rFonts w:ascii="Arial" w:hAnsi="Arial" w:cs="Arial"/>
                <w:i/>
                <w:iCs/>
              </w:rPr>
              <w:t xml:space="preserve"> </w:t>
            </w:r>
            <w:r w:rsidR="00767767">
              <w:rPr>
                <w:rFonts w:ascii="Arial" w:hAnsi="Arial" w:cs="Arial"/>
                <w:i/>
                <w:iCs/>
              </w:rPr>
              <w:t>in</w:t>
            </w:r>
            <w:r w:rsidRPr="008F6131">
              <w:rPr>
                <w:rFonts w:ascii="Arial" w:hAnsi="Arial" w:cs="Arial"/>
                <w:i/>
                <w:iCs/>
              </w:rPr>
              <w:t xml:space="preserve"> recurrent expenses &amp; </w:t>
            </w:r>
            <w:r w:rsidRPr="00847DF6">
              <w:rPr>
                <w:rFonts w:ascii="Arial" w:hAnsi="Arial" w:cs="Arial"/>
                <w:i/>
              </w:rPr>
              <w:t>$</w:t>
            </w:r>
            <w:r w:rsidR="005F622C" w:rsidRPr="00847DF6">
              <w:rPr>
                <w:rFonts w:ascii="Arial" w:hAnsi="Arial" w:cs="Arial"/>
                <w:i/>
              </w:rPr>
              <w:t>109.2</w:t>
            </w:r>
            <w:r w:rsidRPr="00847DF6">
              <w:rPr>
                <w:rFonts w:ascii="Arial" w:hAnsi="Arial" w:cs="Arial"/>
                <w:i/>
              </w:rPr>
              <w:t xml:space="preserve"> million</w:t>
            </w:r>
            <w:r w:rsidRPr="008F6131">
              <w:rPr>
                <w:rFonts w:ascii="Arial" w:hAnsi="Arial" w:cs="Arial"/>
                <w:i/>
                <w:iCs/>
              </w:rPr>
              <w:t xml:space="preserve"> </w:t>
            </w:r>
            <w:r w:rsidR="005F622C">
              <w:rPr>
                <w:rFonts w:ascii="Arial" w:hAnsi="Arial" w:cs="Arial"/>
                <w:i/>
                <w:iCs/>
              </w:rPr>
              <w:t>in</w:t>
            </w:r>
            <w:r w:rsidRPr="008F6131">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0E056BD2" w14:textId="77777777" w:rsidR="00272B4A" w:rsidRPr="00CC2E28" w:rsidRDefault="00272B4A" w:rsidP="00137F0A">
            <w:pP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506E" w14:textId="77777777" w:rsidR="00244D87" w:rsidRPr="008F6131" w:rsidRDefault="00244D87" w:rsidP="00244D87">
            <w:pPr>
              <w:pStyle w:val="ListParagraph"/>
              <w:numPr>
                <w:ilvl w:val="0"/>
                <w:numId w:val="15"/>
              </w:numPr>
              <w:rPr>
                <w:rFonts w:cs="Arial"/>
                <w:lang w:eastAsia="en-AU"/>
              </w:rPr>
            </w:pPr>
            <w:r w:rsidRPr="008F6131">
              <w:rPr>
                <w:rFonts w:cs="Arial"/>
                <w:lang w:eastAsia="en-AU"/>
              </w:rPr>
              <w:t>Service excellence for people</w:t>
            </w:r>
          </w:p>
          <w:p w14:paraId="63B47F6C" w14:textId="77777777" w:rsidR="00244D87" w:rsidRPr="008F6131" w:rsidRDefault="00244D87" w:rsidP="00244D87">
            <w:pPr>
              <w:pStyle w:val="ListParagraph"/>
              <w:numPr>
                <w:ilvl w:val="0"/>
                <w:numId w:val="15"/>
              </w:numPr>
              <w:rPr>
                <w:rFonts w:cs="Arial"/>
                <w:lang w:eastAsia="en-AU"/>
              </w:rPr>
            </w:pPr>
            <w:r w:rsidRPr="008F6131">
              <w:rPr>
                <w:rFonts w:cs="Arial"/>
                <w:lang w:eastAsia="en-AU"/>
              </w:rPr>
              <w:t>Service excellence for businesses</w:t>
            </w:r>
          </w:p>
          <w:p w14:paraId="1E894EFE" w14:textId="77777777" w:rsidR="00244D87" w:rsidRPr="008F6131" w:rsidRDefault="00244D87" w:rsidP="00244D87">
            <w:pPr>
              <w:pStyle w:val="ListParagraph"/>
              <w:numPr>
                <w:ilvl w:val="0"/>
                <w:numId w:val="15"/>
              </w:numPr>
              <w:rPr>
                <w:rFonts w:cs="Arial"/>
                <w:lang w:eastAsia="en-AU"/>
              </w:rPr>
            </w:pPr>
            <w:r w:rsidRPr="008F6131">
              <w:rPr>
                <w:rFonts w:cs="Arial"/>
                <w:lang w:eastAsia="en-AU"/>
              </w:rPr>
              <w:t>New and improved services for customers</w:t>
            </w:r>
          </w:p>
          <w:p w14:paraId="14A82A50" w14:textId="77777777" w:rsidR="00244D87" w:rsidRPr="008F6131" w:rsidRDefault="00244D87" w:rsidP="00244D87">
            <w:pPr>
              <w:pStyle w:val="ListParagraph"/>
              <w:numPr>
                <w:ilvl w:val="0"/>
                <w:numId w:val="15"/>
              </w:numPr>
              <w:rPr>
                <w:rFonts w:cs="Arial"/>
                <w:lang w:eastAsia="en-AU"/>
              </w:rPr>
            </w:pPr>
            <w:r w:rsidRPr="008F6131">
              <w:rPr>
                <w:rFonts w:cs="Arial"/>
                <w:lang w:eastAsia="en-AU"/>
              </w:rPr>
              <w:t>Efficient and effective revenue collection</w:t>
            </w:r>
          </w:p>
          <w:p w14:paraId="625E95C6" w14:textId="126BEFD8" w:rsidR="00272B4A" w:rsidRPr="008F6131" w:rsidRDefault="00244D87" w:rsidP="00244D87">
            <w:pPr>
              <w:pStyle w:val="ListParagraph"/>
              <w:numPr>
                <w:ilvl w:val="0"/>
                <w:numId w:val="15"/>
              </w:numPr>
            </w:pPr>
            <w:r w:rsidRPr="008F6131">
              <w:rPr>
                <w:rFonts w:cs="Arial"/>
                <w:lang w:eastAsia="en-AU"/>
              </w:rPr>
              <w:t>Service transformation and customer engagement across government</w:t>
            </w:r>
          </w:p>
        </w:tc>
      </w:tr>
      <w:tr w:rsidR="00272B4A" w:rsidRPr="0011239F" w14:paraId="1BD6272A" w14:textId="77777777" w:rsidTr="00243F14">
        <w:trPr>
          <w:trHeight w:val="108"/>
        </w:trPr>
        <w:tc>
          <w:tcPr>
            <w:tcW w:w="5102" w:type="dxa"/>
            <w:tcBorders>
              <w:top w:val="nil"/>
              <w:left w:val="nil"/>
              <w:bottom w:val="nil"/>
              <w:right w:val="nil"/>
            </w:tcBorders>
            <w:shd w:val="clear" w:color="auto" w:fill="FFFFFF" w:themeFill="background1"/>
            <w:hideMark/>
          </w:tcPr>
          <w:p w14:paraId="09531A85" w14:textId="77777777" w:rsidR="00272B4A" w:rsidRPr="008F6131" w:rsidRDefault="00272B4A" w:rsidP="00137F0A">
            <w:pPr>
              <w:rPr>
                <w:sz w:val="4"/>
              </w:rPr>
            </w:pPr>
            <w:r w:rsidRPr="008F6131">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42D0AF3" w14:textId="77777777" w:rsidR="00272B4A" w:rsidRPr="00CC2E28" w:rsidRDefault="00272B4A" w:rsidP="00137F0A">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nil"/>
              <w:left w:val="nil"/>
              <w:bottom w:val="nil"/>
              <w:right w:val="nil"/>
            </w:tcBorders>
            <w:shd w:val="clear" w:color="auto" w:fill="auto"/>
            <w:vAlign w:val="center"/>
            <w:hideMark/>
          </w:tcPr>
          <w:p w14:paraId="5F09F3AD" w14:textId="77777777" w:rsidR="00272B4A" w:rsidRPr="008F6131" w:rsidRDefault="00272B4A" w:rsidP="00137F0A">
            <w:pPr>
              <w:rPr>
                <w:sz w:val="4"/>
              </w:rPr>
            </w:pPr>
            <w:r w:rsidRPr="008F6131">
              <w:rPr>
                <w:rFonts w:cs="Arial"/>
                <w:sz w:val="4"/>
                <w:szCs w:val="4"/>
                <w:lang w:eastAsia="en-AU"/>
              </w:rPr>
              <w:t> </w:t>
            </w:r>
          </w:p>
        </w:tc>
      </w:tr>
      <w:tr w:rsidR="00575449" w:rsidRPr="0011239F" w14:paraId="29E9E5B9" w14:textId="77777777" w:rsidTr="00182046">
        <w:trPr>
          <w:trHeight w:val="1345"/>
        </w:trPr>
        <w:tc>
          <w:tcPr>
            <w:tcW w:w="5102" w:type="dxa"/>
            <w:tcBorders>
              <w:top w:val="nil"/>
              <w:left w:val="nil"/>
              <w:bottom w:val="nil"/>
              <w:right w:val="nil"/>
            </w:tcBorders>
            <w:shd w:val="clear" w:color="auto" w:fill="BAE4FC"/>
            <w:vAlign w:val="center"/>
            <w:hideMark/>
          </w:tcPr>
          <w:p w14:paraId="50C0010C" w14:textId="02B6DCA5" w:rsidR="00575449" w:rsidRPr="008F6131" w:rsidRDefault="001A6371" w:rsidP="00DF1D77">
            <w:pPr>
              <w:pStyle w:val="ListParagraph"/>
              <w:spacing w:before="8" w:after="80" w:line="240" w:lineRule="auto"/>
              <w:ind w:left="385" w:hanging="357"/>
              <w:contextualSpacing w:val="0"/>
              <w:rPr>
                <w:rFonts w:cs="Arial"/>
                <w:b/>
                <w:szCs w:val="20"/>
              </w:rPr>
            </w:pPr>
            <w:r w:rsidRPr="008F6131">
              <w:rPr>
                <w:rFonts w:cs="Arial"/>
                <w:b/>
                <w:szCs w:val="20"/>
              </w:rPr>
              <w:t xml:space="preserve">2. </w:t>
            </w:r>
            <w:r w:rsidR="00DF1D77">
              <w:rPr>
                <w:rFonts w:cs="Arial"/>
                <w:b/>
                <w:szCs w:val="20"/>
              </w:rPr>
              <w:tab/>
            </w:r>
            <w:r w:rsidR="00575449" w:rsidRPr="008F6131">
              <w:rPr>
                <w:rFonts w:cs="Arial"/>
                <w:b/>
                <w:szCs w:val="20"/>
              </w:rPr>
              <w:t>Digital leadership and innovation in government services</w:t>
            </w:r>
          </w:p>
          <w:p w14:paraId="5B04DC99" w14:textId="77777777" w:rsidR="00EE21D2" w:rsidRPr="008F6131" w:rsidRDefault="00EE21D2" w:rsidP="00EE21D2">
            <w:pPr>
              <w:rPr>
                <w:rFonts w:ascii="Arial" w:hAnsi="Arial" w:cs="Arial"/>
              </w:rPr>
            </w:pPr>
            <w:r w:rsidRPr="008F6131">
              <w:rPr>
                <w:rFonts w:ascii="Arial" w:hAnsi="Arial" w:cs="Arial"/>
              </w:rPr>
              <w:t>The Cluster aims to invest in innovation and technology to increase and improve digital availability, reliability and security of NSW Government platforms, information and services. This Outcome measures digital government readiness and the public safety coverage and operation of the Critical Communications Enhancement Program.</w:t>
            </w:r>
          </w:p>
          <w:p w14:paraId="01E4B493" w14:textId="77777777" w:rsidR="00575449" w:rsidRPr="008F6131" w:rsidRDefault="00575449" w:rsidP="00575449">
            <w:pPr>
              <w:rPr>
                <w:rFonts w:ascii="Arial" w:hAnsi="Arial" w:cs="Arial"/>
                <w:sz w:val="12"/>
                <w:szCs w:val="12"/>
                <w:lang w:eastAsia="en-AU"/>
              </w:rPr>
            </w:pPr>
          </w:p>
          <w:p w14:paraId="5535604F" w14:textId="4917A245" w:rsidR="00575449" w:rsidRPr="008F6131" w:rsidRDefault="008F6131" w:rsidP="00575449">
            <w:pPr>
              <w:rPr>
                <w:rFonts w:cs="Arial"/>
                <w:bCs/>
              </w:rPr>
            </w:pPr>
            <w:r w:rsidRPr="008F6131">
              <w:rPr>
                <w:rFonts w:ascii="Arial" w:hAnsi="Arial" w:cs="Arial"/>
                <w:i/>
                <w:iCs/>
              </w:rPr>
              <w:t>202</w:t>
            </w:r>
            <w:r>
              <w:rPr>
                <w:rFonts w:ascii="Arial" w:hAnsi="Arial" w:cs="Arial"/>
                <w:i/>
                <w:iCs/>
              </w:rPr>
              <w:t>1-22</w:t>
            </w:r>
            <w:r w:rsidRPr="008F6131">
              <w:rPr>
                <w:rFonts w:ascii="Arial" w:hAnsi="Arial" w:cs="Arial"/>
                <w:i/>
                <w:iCs/>
              </w:rPr>
              <w:t xml:space="preserve"> investment: </w:t>
            </w:r>
            <w:r w:rsidRPr="00A017A8">
              <w:rPr>
                <w:rFonts w:ascii="Arial" w:hAnsi="Arial" w:cs="Arial"/>
                <w:i/>
              </w:rPr>
              <w:t>$</w:t>
            </w:r>
            <w:r w:rsidR="00FF307B" w:rsidRPr="00A017A8">
              <w:rPr>
                <w:rFonts w:ascii="Arial" w:hAnsi="Arial" w:cs="Arial"/>
                <w:i/>
              </w:rPr>
              <w:t>514.</w:t>
            </w:r>
            <w:r w:rsidR="00847DF6" w:rsidRPr="00A017A8">
              <w:rPr>
                <w:rFonts w:ascii="Arial" w:hAnsi="Arial" w:cs="Arial"/>
                <w:i/>
                <w:iCs/>
              </w:rPr>
              <w:t>9</w:t>
            </w:r>
            <w:r w:rsidRPr="00A017A8">
              <w:rPr>
                <w:rFonts w:ascii="Arial" w:hAnsi="Arial" w:cs="Arial"/>
                <w:i/>
              </w:rPr>
              <w:t xml:space="preserve"> </w:t>
            </w:r>
            <w:r w:rsidR="00FF307B" w:rsidRPr="00A017A8">
              <w:rPr>
                <w:rFonts w:ascii="Arial" w:hAnsi="Arial" w:cs="Arial"/>
                <w:i/>
              </w:rPr>
              <w:t>m</w:t>
            </w:r>
            <w:r w:rsidRPr="00A017A8">
              <w:rPr>
                <w:rFonts w:ascii="Arial" w:hAnsi="Arial" w:cs="Arial"/>
                <w:i/>
              </w:rPr>
              <w:t>illion</w:t>
            </w:r>
            <w:r w:rsidRPr="008F6131">
              <w:rPr>
                <w:rFonts w:ascii="Arial" w:hAnsi="Arial" w:cs="Arial"/>
                <w:i/>
                <w:iCs/>
              </w:rPr>
              <w:t xml:space="preserve"> </w:t>
            </w:r>
            <w:r w:rsidR="00FF307B">
              <w:rPr>
                <w:rFonts w:ascii="Arial" w:hAnsi="Arial" w:cs="Arial"/>
                <w:i/>
                <w:iCs/>
              </w:rPr>
              <w:t>in</w:t>
            </w:r>
            <w:r w:rsidRPr="008F6131">
              <w:rPr>
                <w:rFonts w:ascii="Arial" w:hAnsi="Arial" w:cs="Arial"/>
                <w:i/>
                <w:iCs/>
              </w:rPr>
              <w:t xml:space="preserve"> recurrent expenses &amp; </w:t>
            </w:r>
            <w:r w:rsidRPr="00A017A8">
              <w:rPr>
                <w:rFonts w:ascii="Arial" w:hAnsi="Arial" w:cs="Arial"/>
                <w:i/>
              </w:rPr>
              <w:t>$</w:t>
            </w:r>
            <w:r w:rsidR="00742395" w:rsidRPr="00A017A8">
              <w:rPr>
                <w:rFonts w:ascii="Arial" w:hAnsi="Arial" w:cs="Arial"/>
                <w:i/>
              </w:rPr>
              <w:t>510.2</w:t>
            </w:r>
            <w:r w:rsidRPr="00A017A8">
              <w:rPr>
                <w:rFonts w:ascii="Arial" w:hAnsi="Arial" w:cs="Arial"/>
                <w:i/>
              </w:rPr>
              <w:t xml:space="preserve"> million</w:t>
            </w:r>
            <w:r w:rsidRPr="008F6131">
              <w:rPr>
                <w:rFonts w:ascii="Arial" w:hAnsi="Arial" w:cs="Arial"/>
                <w:i/>
                <w:iCs/>
              </w:rPr>
              <w:t xml:space="preserve"> </w:t>
            </w:r>
            <w:r w:rsidR="00742395">
              <w:rPr>
                <w:rFonts w:ascii="Arial" w:hAnsi="Arial" w:cs="Arial"/>
                <w:i/>
                <w:iCs/>
              </w:rPr>
              <w:t>in</w:t>
            </w:r>
            <w:r w:rsidRPr="008F6131">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7BBC8958" w14:textId="77777777" w:rsidR="00575449" w:rsidRPr="00CC2E28" w:rsidRDefault="00575449" w:rsidP="00575449">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1A06" w14:textId="77777777" w:rsidR="00575449" w:rsidRPr="008F6131" w:rsidRDefault="00575449" w:rsidP="005662E8">
            <w:pPr>
              <w:pStyle w:val="ListParagraph"/>
              <w:numPr>
                <w:ilvl w:val="0"/>
                <w:numId w:val="19"/>
              </w:numPr>
              <w:rPr>
                <w:rFonts w:cs="Arial"/>
                <w:lang w:eastAsia="en-AU"/>
              </w:rPr>
            </w:pPr>
            <w:r w:rsidRPr="008F6131">
              <w:rPr>
                <w:rFonts w:cs="Arial"/>
                <w:lang w:eastAsia="en-AU"/>
              </w:rPr>
              <w:t>Telecommunication connectivity</w:t>
            </w:r>
          </w:p>
          <w:p w14:paraId="00333ED6" w14:textId="77777777" w:rsidR="00575449" w:rsidRPr="008F6131" w:rsidRDefault="00575449" w:rsidP="005662E8">
            <w:pPr>
              <w:pStyle w:val="ListParagraph"/>
              <w:numPr>
                <w:ilvl w:val="0"/>
                <w:numId w:val="19"/>
              </w:numPr>
              <w:rPr>
                <w:rFonts w:cs="Arial"/>
                <w:lang w:eastAsia="en-AU"/>
              </w:rPr>
            </w:pPr>
            <w:r w:rsidRPr="008F6131">
              <w:rPr>
                <w:rFonts w:cs="Arial"/>
                <w:lang w:eastAsia="en-AU"/>
              </w:rPr>
              <w:t>Digital service for customers across government</w:t>
            </w:r>
          </w:p>
          <w:p w14:paraId="48FE4560" w14:textId="278B3C70" w:rsidR="00575449" w:rsidRPr="008F6131" w:rsidRDefault="00575449" w:rsidP="005662E8">
            <w:pPr>
              <w:pStyle w:val="ListParagraph"/>
              <w:numPr>
                <w:ilvl w:val="0"/>
                <w:numId w:val="19"/>
              </w:numPr>
              <w:rPr>
                <w:rFonts w:cs="Arial"/>
                <w:lang w:eastAsia="en-AU"/>
              </w:rPr>
            </w:pPr>
            <w:r w:rsidRPr="008F6131">
              <w:rPr>
                <w:rFonts w:cs="Arial"/>
                <w:lang w:eastAsia="en-AU"/>
              </w:rPr>
              <w:t xml:space="preserve">Trust in </w:t>
            </w:r>
            <w:r w:rsidR="001A1081">
              <w:rPr>
                <w:rFonts w:cs="Arial"/>
                <w:lang w:eastAsia="en-AU"/>
              </w:rPr>
              <w:t>ICT</w:t>
            </w:r>
            <w:r w:rsidRPr="008F6131">
              <w:rPr>
                <w:rFonts w:cs="Arial"/>
                <w:lang w:eastAsia="en-AU"/>
              </w:rPr>
              <w:t xml:space="preserve"> and digital government services</w:t>
            </w:r>
          </w:p>
          <w:p w14:paraId="6EED8A92" w14:textId="5DB83F1A" w:rsidR="00575449" w:rsidRPr="008F6131" w:rsidRDefault="00575449" w:rsidP="005662E8">
            <w:pPr>
              <w:pStyle w:val="ListParagraph"/>
              <w:numPr>
                <w:ilvl w:val="0"/>
                <w:numId w:val="16"/>
              </w:numPr>
              <w:spacing w:after="0"/>
              <w:ind w:left="360"/>
            </w:pPr>
            <w:r w:rsidRPr="008F6131">
              <w:rPr>
                <w:rFonts w:cs="Arial"/>
                <w:lang w:eastAsia="en-AU"/>
              </w:rPr>
              <w:t>Value from digital investments</w:t>
            </w:r>
          </w:p>
        </w:tc>
      </w:tr>
      <w:tr w:rsidR="00575449" w:rsidRPr="0011239F" w14:paraId="262FBF36" w14:textId="77777777" w:rsidTr="00243F14">
        <w:trPr>
          <w:trHeight w:val="105"/>
        </w:trPr>
        <w:tc>
          <w:tcPr>
            <w:tcW w:w="5102" w:type="dxa"/>
            <w:tcBorders>
              <w:top w:val="nil"/>
              <w:left w:val="nil"/>
              <w:bottom w:val="nil"/>
              <w:right w:val="nil"/>
            </w:tcBorders>
            <w:shd w:val="clear" w:color="auto" w:fill="FFFFFF" w:themeFill="background1"/>
            <w:vAlign w:val="center"/>
            <w:hideMark/>
          </w:tcPr>
          <w:p w14:paraId="0D1EA63A" w14:textId="77777777" w:rsidR="00575449" w:rsidRPr="008F6131" w:rsidRDefault="00575449" w:rsidP="00575449">
            <w:pPr>
              <w:jc w:val="center"/>
              <w:rPr>
                <w:sz w:val="4"/>
              </w:rPr>
            </w:pPr>
            <w:r w:rsidRPr="008F6131">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6BDBC580" w14:textId="77777777" w:rsidR="00575449" w:rsidRPr="00CC2E28" w:rsidRDefault="00575449" w:rsidP="00575449">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nil"/>
              <w:left w:val="nil"/>
              <w:bottom w:val="nil"/>
              <w:right w:val="nil"/>
            </w:tcBorders>
            <w:shd w:val="clear" w:color="auto" w:fill="auto"/>
            <w:vAlign w:val="center"/>
            <w:hideMark/>
          </w:tcPr>
          <w:p w14:paraId="6934B5CF" w14:textId="77777777" w:rsidR="00575449" w:rsidRPr="008F6131" w:rsidRDefault="00575449" w:rsidP="00575449">
            <w:pPr>
              <w:rPr>
                <w:sz w:val="4"/>
              </w:rPr>
            </w:pPr>
            <w:r w:rsidRPr="008F6131">
              <w:rPr>
                <w:rFonts w:cs="Arial"/>
                <w:sz w:val="4"/>
                <w:szCs w:val="4"/>
                <w:lang w:eastAsia="en-AU"/>
              </w:rPr>
              <w:t> </w:t>
            </w:r>
          </w:p>
        </w:tc>
      </w:tr>
      <w:tr w:rsidR="00575449" w:rsidRPr="0011239F" w14:paraId="017FAF55" w14:textId="77777777" w:rsidTr="00243F14">
        <w:trPr>
          <w:trHeight w:val="794"/>
        </w:trPr>
        <w:tc>
          <w:tcPr>
            <w:tcW w:w="5102" w:type="dxa"/>
            <w:tcBorders>
              <w:top w:val="nil"/>
              <w:left w:val="nil"/>
              <w:bottom w:val="nil"/>
              <w:right w:val="nil"/>
            </w:tcBorders>
            <w:shd w:val="clear" w:color="auto" w:fill="BAE4FC"/>
            <w:vAlign w:val="center"/>
            <w:hideMark/>
          </w:tcPr>
          <w:p w14:paraId="62CAE9B3" w14:textId="3C3B4988" w:rsidR="001A6371" w:rsidRPr="008F6131" w:rsidRDefault="00575449" w:rsidP="00DF1D77">
            <w:pPr>
              <w:spacing w:before="8" w:after="80"/>
              <w:ind w:left="357" w:hanging="357"/>
              <w:rPr>
                <w:rFonts w:ascii="Arial" w:hAnsi="Arial" w:cs="Arial"/>
                <w:b/>
              </w:rPr>
            </w:pPr>
            <w:r w:rsidRPr="008F6131">
              <w:rPr>
                <w:rFonts w:ascii="Arial" w:eastAsiaTheme="minorHAnsi" w:hAnsi="Arial" w:cs="Arial"/>
                <w:b/>
              </w:rPr>
              <w:t xml:space="preserve">3. </w:t>
            </w:r>
            <w:r w:rsidR="00DF1D77">
              <w:rPr>
                <w:rFonts w:ascii="Arial" w:eastAsiaTheme="minorHAnsi" w:hAnsi="Arial" w:cs="Arial"/>
                <w:b/>
              </w:rPr>
              <w:tab/>
            </w:r>
            <w:r w:rsidR="001A6371" w:rsidRPr="008F6131">
              <w:rPr>
                <w:rFonts w:ascii="Arial" w:hAnsi="Arial" w:cs="Arial"/>
                <w:b/>
              </w:rPr>
              <w:t>Fair, secure and efficient markets</w:t>
            </w:r>
          </w:p>
          <w:p w14:paraId="40DAB4B5" w14:textId="77777777" w:rsidR="00CC23BE" w:rsidRPr="008F6131" w:rsidRDefault="00CC23BE" w:rsidP="00CC23BE">
            <w:pPr>
              <w:rPr>
                <w:rFonts w:ascii="Arial" w:hAnsi="Arial" w:cs="Arial"/>
              </w:rPr>
            </w:pPr>
            <w:r w:rsidRPr="008F6131">
              <w:rPr>
                <w:rFonts w:ascii="Arial" w:hAnsi="Arial" w:cs="Arial"/>
              </w:rPr>
              <w:t>The Cluster has a fundamental objective of delivering a regulatory framework that promotes safety, efficiency and regulatory requirements that meets the evolving expectations of businesses and customers. This Outcome measures the regulatory compliance rates of selected industries, the rate of work-related traumatic injury fatalities and the affordability of the Compulsory Third Party Insurance scheme.</w:t>
            </w:r>
          </w:p>
          <w:p w14:paraId="163E37BE" w14:textId="77777777" w:rsidR="001A6371" w:rsidRPr="008F6131" w:rsidRDefault="001A6371" w:rsidP="001A6371">
            <w:pPr>
              <w:rPr>
                <w:rFonts w:ascii="Arial" w:hAnsi="Arial" w:cs="Arial"/>
                <w:sz w:val="12"/>
                <w:szCs w:val="12"/>
              </w:rPr>
            </w:pPr>
          </w:p>
          <w:p w14:paraId="3237F65E" w14:textId="005B17CB" w:rsidR="00575449" w:rsidRPr="008F6131" w:rsidRDefault="008F6131" w:rsidP="001A6371">
            <w:pPr>
              <w:rPr>
                <w:rFonts w:ascii="Arial" w:hAnsi="Arial" w:cs="Arial"/>
              </w:rPr>
            </w:pPr>
            <w:r w:rsidRPr="008F6131">
              <w:rPr>
                <w:rFonts w:ascii="Arial" w:hAnsi="Arial" w:cs="Arial"/>
                <w:i/>
                <w:iCs/>
              </w:rPr>
              <w:t>202</w:t>
            </w:r>
            <w:r>
              <w:rPr>
                <w:rFonts w:ascii="Arial" w:hAnsi="Arial" w:cs="Arial"/>
                <w:i/>
                <w:iCs/>
              </w:rPr>
              <w:t>1-22</w:t>
            </w:r>
            <w:r w:rsidRPr="008F6131">
              <w:rPr>
                <w:rFonts w:ascii="Arial" w:hAnsi="Arial" w:cs="Arial"/>
                <w:i/>
                <w:iCs/>
              </w:rPr>
              <w:t xml:space="preserve"> investment: </w:t>
            </w:r>
            <w:r w:rsidRPr="00A017A8">
              <w:rPr>
                <w:rFonts w:ascii="Arial" w:hAnsi="Arial" w:cs="Arial"/>
                <w:i/>
              </w:rPr>
              <w:t>$</w:t>
            </w:r>
            <w:r w:rsidR="00DE61CF" w:rsidRPr="00A017A8">
              <w:rPr>
                <w:rFonts w:ascii="Arial" w:hAnsi="Arial" w:cs="Arial"/>
                <w:i/>
              </w:rPr>
              <w:t>1.5</w:t>
            </w:r>
            <w:r w:rsidRPr="00A017A8">
              <w:rPr>
                <w:rFonts w:ascii="Arial" w:hAnsi="Arial" w:cs="Arial"/>
                <w:i/>
              </w:rPr>
              <w:t xml:space="preserve"> billion</w:t>
            </w:r>
            <w:r w:rsidRPr="008F6131">
              <w:rPr>
                <w:rFonts w:ascii="Arial" w:hAnsi="Arial" w:cs="Arial"/>
                <w:i/>
                <w:iCs/>
              </w:rPr>
              <w:t xml:space="preserve"> </w:t>
            </w:r>
            <w:r w:rsidR="000654E5">
              <w:rPr>
                <w:rFonts w:ascii="Arial" w:hAnsi="Arial" w:cs="Arial"/>
                <w:i/>
                <w:iCs/>
              </w:rPr>
              <w:t xml:space="preserve">in </w:t>
            </w:r>
            <w:r w:rsidRPr="008F6131">
              <w:rPr>
                <w:rFonts w:ascii="Arial" w:hAnsi="Arial" w:cs="Arial"/>
                <w:i/>
                <w:iCs/>
              </w:rPr>
              <w:t xml:space="preserve">recurrent expenses &amp; </w:t>
            </w:r>
            <w:r w:rsidRPr="00A017A8">
              <w:rPr>
                <w:rFonts w:ascii="Arial" w:hAnsi="Arial" w:cs="Arial"/>
                <w:i/>
              </w:rPr>
              <w:t>$</w:t>
            </w:r>
            <w:r w:rsidR="000654E5" w:rsidRPr="00A017A8">
              <w:rPr>
                <w:rFonts w:ascii="Arial" w:hAnsi="Arial" w:cs="Arial"/>
                <w:i/>
              </w:rPr>
              <w:t>77.9</w:t>
            </w:r>
            <w:r w:rsidRPr="00A017A8">
              <w:rPr>
                <w:rFonts w:ascii="Arial" w:hAnsi="Arial" w:cs="Arial"/>
                <w:i/>
              </w:rPr>
              <w:t xml:space="preserve"> million</w:t>
            </w:r>
            <w:r w:rsidRPr="008F6131">
              <w:rPr>
                <w:rFonts w:ascii="Arial" w:hAnsi="Arial" w:cs="Arial"/>
                <w:i/>
                <w:iCs/>
              </w:rPr>
              <w:t xml:space="preserve"> </w:t>
            </w:r>
            <w:r w:rsidR="000654E5">
              <w:rPr>
                <w:rFonts w:ascii="Arial" w:hAnsi="Arial" w:cs="Arial"/>
                <w:i/>
                <w:iCs/>
              </w:rPr>
              <w:t>in</w:t>
            </w:r>
            <w:r w:rsidRPr="008F6131">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27F32F58" w14:textId="77777777" w:rsidR="00575449" w:rsidRPr="00CC2E28" w:rsidRDefault="00575449" w:rsidP="00575449">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tcPr>
          <w:p w14:paraId="26BA2A83" w14:textId="77777777" w:rsidR="00874D4C" w:rsidRPr="008F6131" w:rsidRDefault="00874D4C" w:rsidP="005662E8">
            <w:pPr>
              <w:pStyle w:val="ListParagraph"/>
              <w:numPr>
                <w:ilvl w:val="0"/>
                <w:numId w:val="17"/>
              </w:numPr>
              <w:rPr>
                <w:rFonts w:cs="Arial"/>
                <w:lang w:eastAsia="en-AU"/>
              </w:rPr>
            </w:pPr>
            <w:r w:rsidRPr="008F6131">
              <w:rPr>
                <w:rFonts w:cs="Arial"/>
                <w:lang w:eastAsia="en-AU"/>
              </w:rPr>
              <w:t>Safety and harm protection</w:t>
            </w:r>
          </w:p>
          <w:p w14:paraId="4EFDA23B" w14:textId="77777777" w:rsidR="00874D4C" w:rsidRPr="008F6131" w:rsidRDefault="00874D4C" w:rsidP="005662E8">
            <w:pPr>
              <w:pStyle w:val="ListParagraph"/>
              <w:numPr>
                <w:ilvl w:val="0"/>
                <w:numId w:val="17"/>
              </w:numPr>
              <w:rPr>
                <w:rFonts w:cs="Arial"/>
                <w:lang w:eastAsia="en-AU"/>
              </w:rPr>
            </w:pPr>
            <w:r w:rsidRPr="008F6131">
              <w:rPr>
                <w:rFonts w:cs="Arial"/>
                <w:lang w:eastAsia="en-AU"/>
              </w:rPr>
              <w:t>Affordable and effective insurance schemes</w:t>
            </w:r>
          </w:p>
          <w:p w14:paraId="1176469D" w14:textId="73458593" w:rsidR="00575449" w:rsidRPr="008F6131" w:rsidRDefault="00874D4C" w:rsidP="005662E8">
            <w:pPr>
              <w:pStyle w:val="ListParagraph"/>
              <w:numPr>
                <w:ilvl w:val="0"/>
                <w:numId w:val="17"/>
              </w:numPr>
              <w:spacing w:after="0"/>
              <w:rPr>
                <w:rFonts w:cs="Arial"/>
              </w:rPr>
            </w:pPr>
            <w:r w:rsidRPr="008F6131">
              <w:rPr>
                <w:rFonts w:cs="Arial"/>
                <w:lang w:eastAsia="en-AU"/>
              </w:rPr>
              <w:t>Fair and compliant business</w:t>
            </w:r>
          </w:p>
        </w:tc>
      </w:tr>
    </w:tbl>
    <w:bookmarkEnd w:id="6"/>
    <w:p w14:paraId="166536E8" w14:textId="21BDE53B" w:rsidR="008D2F4E" w:rsidRDefault="007D53F4" w:rsidP="007D53F4">
      <w:pPr>
        <w:pStyle w:val="Heading2"/>
        <w:numPr>
          <w:ilvl w:val="0"/>
          <w:numId w:val="0"/>
        </w:numPr>
      </w:pPr>
      <w:r>
        <w:lastRenderedPageBreak/>
        <w:t xml:space="preserve">1.2 </w:t>
      </w:r>
      <w:r w:rsidR="00A44996" w:rsidRPr="40C2636F">
        <w:t xml:space="preserve">Overview of Cluster </w:t>
      </w:r>
      <w:r w:rsidR="00A44996" w:rsidRPr="00AC5215">
        <w:t>expenses</w:t>
      </w:r>
      <w:r w:rsidR="00A44996" w:rsidRPr="40C2636F">
        <w:t xml:space="preserve"> by State Outcome</w:t>
      </w:r>
    </w:p>
    <w:p w14:paraId="10FDC2D7" w14:textId="7229909D" w:rsidR="00467C19" w:rsidRDefault="00467C19" w:rsidP="0089325A">
      <w:pPr>
        <w:pStyle w:val="BodyText"/>
      </w:pPr>
      <w:r>
        <w:t>A summary of expenses by State Outcome is provided in the charts below.</w:t>
      </w:r>
    </w:p>
    <w:p w14:paraId="00278DBE" w14:textId="0ABFAA44" w:rsidR="00D06D81" w:rsidRDefault="00D06D81" w:rsidP="00C47D8D">
      <w:pPr>
        <w:pStyle w:val="Chart1X"/>
      </w:pPr>
      <w:bookmarkStart w:id="7" w:name="_Hlk73544347"/>
      <w:r w:rsidRPr="00DC7B4D">
        <w:t xml:space="preserve">Recurrent expenses by </w:t>
      </w:r>
      <w:r>
        <w:t>O</w:t>
      </w:r>
      <w:r w:rsidRPr="00DC7B4D">
        <w:t>utcome 202</w:t>
      </w:r>
      <w:r>
        <w:t>1</w:t>
      </w:r>
      <w:r w:rsidRPr="00DC7B4D">
        <w:t>-2</w:t>
      </w:r>
      <w:r>
        <w:t>2</w:t>
      </w:r>
      <w:r w:rsidRPr="00DC7B4D">
        <w:t xml:space="preserve"> (dollars and %)</w:t>
      </w:r>
    </w:p>
    <w:p w14:paraId="4AD6BCDF" w14:textId="2505596A" w:rsidR="00D06D81" w:rsidRPr="006F0082" w:rsidRDefault="004340A3" w:rsidP="006F0082">
      <w:pPr>
        <w:pStyle w:val="ListParagraph"/>
        <w:spacing w:after="0" w:line="240" w:lineRule="auto"/>
        <w:ind w:left="357" w:hanging="357"/>
        <w:rPr>
          <w:rFonts w:eastAsia="Times New Roman" w:cs="Arial"/>
          <w:color w:val="000000"/>
          <w:sz w:val="17"/>
          <w:szCs w:val="17"/>
          <w:lang w:eastAsia="en-AU"/>
        </w:rPr>
      </w:pPr>
      <w:r>
        <w:rPr>
          <w:noProof/>
        </w:rPr>
        <w:drawing>
          <wp:inline distT="0" distB="0" distL="0" distR="0" wp14:anchorId="40683EE5" wp14:editId="686A4C9C">
            <wp:extent cx="6120765" cy="2748280"/>
            <wp:effectExtent l="0" t="0" r="0" b="0"/>
            <wp:docPr id="4" name="Chart 4" descr="Chart 1.1: Recurrent expenses by Outcome 2021-22 (dollars and %)">
              <a:extLst xmlns:a="http://schemas.openxmlformats.org/drawingml/2006/main">
                <a:ext uri="{FF2B5EF4-FFF2-40B4-BE49-F238E27FC236}">
                  <a16:creationId xmlns:a16="http://schemas.microsoft.com/office/drawing/2014/main" id="{30B4A6C3-6156-48E2-9364-7B909C641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870942" w14:textId="2CF7E5EA" w:rsidR="007C6A07" w:rsidRPr="00DE63B4" w:rsidRDefault="007C6A07" w:rsidP="00DE63B4">
      <w:pPr>
        <w:pStyle w:val="ListParagraph"/>
        <w:spacing w:after="0" w:line="240" w:lineRule="auto"/>
        <w:ind w:left="357" w:hanging="357"/>
        <w:rPr>
          <w:rFonts w:eastAsia="Times New Roman" w:cs="Arial"/>
          <w:color w:val="000000"/>
          <w:sz w:val="17"/>
          <w:szCs w:val="17"/>
          <w:lang w:eastAsia="en-AU"/>
        </w:rPr>
      </w:pPr>
      <w:r w:rsidRPr="00DE63B4">
        <w:rPr>
          <w:rFonts w:eastAsia="Times New Roman" w:cs="Arial"/>
          <w:color w:val="000000"/>
          <w:sz w:val="17"/>
          <w:szCs w:val="17"/>
          <w:lang w:eastAsia="en-AU"/>
        </w:rPr>
        <w:t>Note: The sum of percentage</w:t>
      </w:r>
      <w:r w:rsidR="000C5922" w:rsidRPr="00DE63B4">
        <w:rPr>
          <w:rFonts w:eastAsia="Times New Roman" w:cs="Arial"/>
          <w:color w:val="000000"/>
          <w:sz w:val="17"/>
          <w:szCs w:val="17"/>
          <w:lang w:eastAsia="en-AU"/>
        </w:rPr>
        <w:t>s</w:t>
      </w:r>
      <w:r w:rsidRPr="00DE63B4">
        <w:rPr>
          <w:rFonts w:eastAsia="Times New Roman" w:cs="Arial"/>
          <w:color w:val="000000"/>
          <w:sz w:val="17"/>
          <w:szCs w:val="17"/>
          <w:lang w:eastAsia="en-AU"/>
        </w:rPr>
        <w:t xml:space="preserve"> does not equal one hundred due to </w:t>
      </w:r>
      <w:r w:rsidR="000C5922" w:rsidRPr="00DE63B4">
        <w:rPr>
          <w:rFonts w:eastAsia="Times New Roman" w:cs="Arial"/>
          <w:color w:val="000000"/>
          <w:sz w:val="17"/>
          <w:szCs w:val="17"/>
          <w:lang w:eastAsia="en-AU"/>
        </w:rPr>
        <w:t>rounding</w:t>
      </w:r>
      <w:r w:rsidR="0085418B" w:rsidRPr="00DE63B4">
        <w:rPr>
          <w:rFonts w:eastAsia="Times New Roman" w:cs="Arial"/>
          <w:color w:val="000000"/>
          <w:sz w:val="17"/>
          <w:szCs w:val="17"/>
          <w:lang w:eastAsia="en-AU"/>
        </w:rPr>
        <w:t>.</w:t>
      </w:r>
    </w:p>
    <w:p w14:paraId="087550AC" w14:textId="6A221E8F" w:rsidR="00D06D81" w:rsidRPr="00C716EF" w:rsidRDefault="00D06D81" w:rsidP="008B61CD">
      <w:pPr>
        <w:pStyle w:val="Chart1X"/>
      </w:pPr>
      <w:r>
        <w:t>Capital expenditure by Outcome 2021-22</w:t>
      </w:r>
      <w:r w:rsidRPr="00DC7B4D">
        <w:t xml:space="preserve"> (dollars and %)</w:t>
      </w:r>
      <w:bookmarkEnd w:id="7"/>
    </w:p>
    <w:p w14:paraId="6482088A" w14:textId="39FB4E15" w:rsidR="005C2C40" w:rsidRDefault="00B1741F" w:rsidP="00545527">
      <w:pPr>
        <w:pStyle w:val="BodyText"/>
        <w:jc w:val="center"/>
      </w:pPr>
      <w:r>
        <w:rPr>
          <w:noProof/>
        </w:rPr>
        <w:drawing>
          <wp:inline distT="0" distB="0" distL="0" distR="0" wp14:anchorId="507349A4" wp14:editId="7BEC64AF">
            <wp:extent cx="6140450" cy="2748280"/>
            <wp:effectExtent l="0" t="0" r="0" b="0"/>
            <wp:docPr id="9" name="Chart 9" descr="Chart 1.2: Capital expenditure by Outcome 2021-22 (dollars and %)">
              <a:extLst xmlns:a="http://schemas.openxmlformats.org/drawingml/2006/main">
                <a:ext uri="{FF2B5EF4-FFF2-40B4-BE49-F238E27FC236}">
                  <a16:creationId xmlns:a16="http://schemas.microsoft.com/office/drawing/2014/main" id="{E6239357-D252-4739-BC66-A418966E4C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5820CC" w14:textId="14EEDF72" w:rsidR="00A70530" w:rsidRDefault="00A70530">
      <w:pPr>
        <w:rPr>
          <w:rFonts w:ascii="Arial" w:eastAsiaTheme="minorHAnsi" w:hAnsi="Arial" w:cs="Arial"/>
          <w:sz w:val="23"/>
          <w:szCs w:val="23"/>
        </w:rPr>
      </w:pPr>
      <w:r>
        <w:br w:type="page"/>
      </w:r>
    </w:p>
    <w:p w14:paraId="4D0B1693" w14:textId="050286FF" w:rsidR="000D308F" w:rsidRDefault="00DA6630" w:rsidP="00E3501B">
      <w:pPr>
        <w:pStyle w:val="Heading2"/>
        <w:numPr>
          <w:ilvl w:val="1"/>
          <w:numId w:val="21"/>
        </w:numPr>
      </w:pPr>
      <w:r>
        <w:lastRenderedPageBreak/>
        <w:t xml:space="preserve">Outcome 1: </w:t>
      </w:r>
      <w:r w:rsidR="009C4ED7">
        <w:t>Excellence in Customer Service</w:t>
      </w:r>
    </w:p>
    <w:tbl>
      <w:tblPr>
        <w:tblpPr w:leftFromText="180" w:rightFromText="180" w:vertAnchor="text" w:horzAnchor="margin" w:tblpXSpec="right" w:tblpY="643"/>
        <w:tblW w:w="1716" w:type="pct"/>
        <w:shd w:val="clear" w:color="auto" w:fill="F2F2F2" w:themeFill="background1" w:themeFillShade="F2"/>
        <w:tblCellMar>
          <w:left w:w="115" w:type="dxa"/>
          <w:right w:w="115" w:type="dxa"/>
        </w:tblCellMar>
        <w:tblLook w:val="04A0" w:firstRow="1" w:lastRow="0" w:firstColumn="1" w:lastColumn="0" w:noHBand="0" w:noVBand="1"/>
        <w:tblCaption w:val="1.3 Outcome 1: Excellence in Customer Service"/>
        <w:tblDescription w:val="1.3 Outcome 1: Excellence in Customer Service"/>
      </w:tblPr>
      <w:tblGrid>
        <w:gridCol w:w="1144"/>
        <w:gridCol w:w="967"/>
        <w:gridCol w:w="1197"/>
      </w:tblGrid>
      <w:tr w:rsidR="000D308F" w:rsidRPr="00F8244B" w14:paraId="73F58A43" w14:textId="77777777" w:rsidTr="16CC90BD">
        <w:trPr>
          <w:cantSplit/>
          <w:trHeight w:val="784"/>
        </w:trPr>
        <w:tc>
          <w:tcPr>
            <w:tcW w:w="1729" w:type="pct"/>
            <w:shd w:val="clear" w:color="auto" w:fill="F2F2F2" w:themeFill="background1" w:themeFillShade="F2"/>
            <w:vAlign w:val="center"/>
          </w:tcPr>
          <w:p w14:paraId="3D6DE60F" w14:textId="77777777" w:rsidR="000D308F" w:rsidRPr="00F8244B" w:rsidRDefault="000D308F" w:rsidP="00720646">
            <w:pPr>
              <w:spacing w:before="120" w:after="120"/>
              <w:rPr>
                <w:rFonts w:ascii="Arial" w:hAnsi="Arial" w:cs="Arial"/>
                <w:sz w:val="23"/>
                <w:szCs w:val="23"/>
              </w:rPr>
            </w:pPr>
            <w:r w:rsidRPr="00F8244B">
              <w:rPr>
                <w:rFonts w:ascii="Arial" w:hAnsi="Arial" w:cs="Arial"/>
                <w:noProof/>
                <w:lang w:eastAsia="en-AU"/>
              </w:rPr>
              <w:drawing>
                <wp:inline distT="0" distB="0" distL="0" distR="0" wp14:anchorId="12ACCA6D" wp14:editId="09DE83F4">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C1FB36D" w14:textId="28A7F288" w:rsidR="000D308F" w:rsidRPr="00F8244B" w:rsidRDefault="000D308F" w:rsidP="00720646">
            <w:pPr>
              <w:spacing w:before="120" w:after="120"/>
              <w:jc w:val="center"/>
              <w:rPr>
                <w:rFonts w:ascii="Arial" w:hAnsi="Arial" w:cs="Arial"/>
                <w:color w:val="00ABE6"/>
                <w:sz w:val="18"/>
                <w:szCs w:val="18"/>
              </w:rPr>
            </w:pPr>
            <w:r w:rsidRPr="00A57232">
              <w:rPr>
                <w:rFonts w:ascii="Arial" w:hAnsi="Arial" w:cs="Arial"/>
                <w:color w:val="00ABE6"/>
                <w:sz w:val="18"/>
                <w:szCs w:val="18"/>
              </w:rPr>
              <w:t>$</w:t>
            </w:r>
            <w:r w:rsidR="00F906F4" w:rsidRPr="00A57232">
              <w:rPr>
                <w:rFonts w:ascii="Arial" w:hAnsi="Arial" w:cs="Arial"/>
                <w:color w:val="00ABE6"/>
                <w:sz w:val="18"/>
                <w:szCs w:val="18"/>
              </w:rPr>
              <w:t>1.</w:t>
            </w:r>
            <w:r w:rsidR="00A57232" w:rsidRPr="00A57232">
              <w:rPr>
                <w:rFonts w:ascii="Arial" w:hAnsi="Arial" w:cs="Arial"/>
                <w:color w:val="00ABE6"/>
                <w:sz w:val="18"/>
                <w:szCs w:val="18"/>
              </w:rPr>
              <w:t>6</w:t>
            </w:r>
            <w:r w:rsidRPr="00A57232">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27333E9B" w14:textId="5CD0A6E4" w:rsidR="000D308F" w:rsidRPr="00F8244B" w:rsidRDefault="000D308F" w:rsidP="0072064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w:t>
            </w:r>
            <w:r w:rsidR="00FA5DF0">
              <w:rPr>
                <w:rFonts w:ascii="Arial" w:hAnsi="Arial" w:cs="Arial"/>
                <w:color w:val="00ABE6"/>
                <w:sz w:val="18"/>
                <w:szCs w:val="18"/>
              </w:rPr>
              <w:t>1-22</w:t>
            </w:r>
          </w:p>
        </w:tc>
      </w:tr>
      <w:tr w:rsidR="000D308F" w:rsidRPr="00F8244B" w14:paraId="63F6EB46" w14:textId="77777777" w:rsidTr="16CC90BD">
        <w:trPr>
          <w:cantSplit/>
          <w:trHeight w:val="784"/>
        </w:trPr>
        <w:tc>
          <w:tcPr>
            <w:tcW w:w="1729" w:type="pct"/>
            <w:shd w:val="clear" w:color="auto" w:fill="F2F2F2" w:themeFill="background1" w:themeFillShade="F2"/>
            <w:vAlign w:val="center"/>
          </w:tcPr>
          <w:p w14:paraId="2DC610E5" w14:textId="77777777" w:rsidR="000D308F" w:rsidRPr="00F8244B" w:rsidRDefault="000D308F" w:rsidP="0072064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3878DEA4" wp14:editId="1001F97F">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282F20B" w14:textId="51C60C63" w:rsidR="000D308F" w:rsidRPr="00F8244B" w:rsidRDefault="000D308F" w:rsidP="00720646">
            <w:pPr>
              <w:spacing w:before="120" w:after="120"/>
              <w:jc w:val="center"/>
              <w:rPr>
                <w:rFonts w:ascii="Arial" w:hAnsi="Arial" w:cs="Arial"/>
                <w:color w:val="00ABE6"/>
                <w:sz w:val="18"/>
                <w:szCs w:val="18"/>
              </w:rPr>
            </w:pPr>
            <w:r w:rsidRPr="00314AE3">
              <w:rPr>
                <w:rFonts w:ascii="Arial" w:hAnsi="Arial" w:cs="Arial"/>
                <w:color w:val="00ABE6"/>
                <w:sz w:val="18"/>
                <w:szCs w:val="18"/>
              </w:rPr>
              <w:t>$</w:t>
            </w:r>
            <w:r w:rsidR="00F906F4" w:rsidRPr="00314AE3">
              <w:rPr>
                <w:rFonts w:ascii="Arial" w:hAnsi="Arial" w:cs="Arial"/>
                <w:color w:val="00ABE6"/>
                <w:sz w:val="18"/>
                <w:szCs w:val="18"/>
              </w:rPr>
              <w:t>109.2</w:t>
            </w:r>
            <w:r w:rsidRPr="00314AE3">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148C431A" w14:textId="6F62FA6F" w:rsidR="000D308F" w:rsidRPr="00F8244B" w:rsidRDefault="000D308F" w:rsidP="0072064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w:t>
            </w:r>
            <w:r w:rsidR="00FA5DF0">
              <w:rPr>
                <w:rFonts w:ascii="Arial" w:hAnsi="Arial" w:cs="Arial"/>
                <w:color w:val="00ABE6"/>
                <w:sz w:val="18"/>
                <w:szCs w:val="18"/>
              </w:rPr>
              <w:t>1-22</w:t>
            </w:r>
          </w:p>
        </w:tc>
      </w:tr>
    </w:tbl>
    <w:p w14:paraId="29222257" w14:textId="0AC34FB4" w:rsidR="00146A7C" w:rsidRPr="00974CE7" w:rsidRDefault="00E633CC" w:rsidP="00974CE7">
      <w:pPr>
        <w:pStyle w:val="Heading3"/>
        <w:rPr>
          <w:rFonts w:cs="Arial"/>
        </w:rPr>
      </w:pPr>
      <w:r w:rsidRPr="003A0DAC">
        <w:rPr>
          <w:rFonts w:cs="Arial"/>
        </w:rPr>
        <w:t>State Outcome overview and 202</w:t>
      </w:r>
      <w:r w:rsidR="00877334">
        <w:rPr>
          <w:rFonts w:cs="Arial"/>
        </w:rPr>
        <w:t>1</w:t>
      </w:r>
      <w:r w:rsidRPr="003A0DAC">
        <w:rPr>
          <w:rFonts w:cs="Arial"/>
        </w:rPr>
        <w:t>-2</w:t>
      </w:r>
      <w:r w:rsidR="00877334">
        <w:rPr>
          <w:rFonts w:cs="Arial"/>
        </w:rPr>
        <w:t>2</w:t>
      </w:r>
      <w:r w:rsidRPr="003A0DAC">
        <w:rPr>
          <w:rFonts w:cs="Arial"/>
        </w:rPr>
        <w:t xml:space="preserve"> investment</w:t>
      </w:r>
    </w:p>
    <w:p w14:paraId="0FD41EF2" w14:textId="518C5E7F" w:rsidR="00DB67FC" w:rsidRPr="00F77D5C" w:rsidRDefault="00DB67FC" w:rsidP="0089325A">
      <w:pPr>
        <w:pStyle w:val="BodyText"/>
        <w:rPr>
          <w:lang w:eastAsia="en-AU"/>
        </w:rPr>
      </w:pPr>
      <w:r w:rsidRPr="00F77D5C">
        <w:rPr>
          <w:lang w:eastAsia="en-AU"/>
        </w:rPr>
        <w:t>Investment in this State Outcome support</w:t>
      </w:r>
      <w:r w:rsidR="00022B25">
        <w:rPr>
          <w:lang w:eastAsia="en-AU"/>
        </w:rPr>
        <w:t>s</w:t>
      </w:r>
      <w:r w:rsidRPr="00F77D5C">
        <w:rPr>
          <w:lang w:eastAsia="en-AU"/>
        </w:rPr>
        <w:t xml:space="preserve"> a customer-centric approach to government service delivery. </w:t>
      </w:r>
    </w:p>
    <w:p w14:paraId="57B3EA34" w14:textId="7F9238F2" w:rsidR="00DB67FC" w:rsidRPr="00F77D5C" w:rsidRDefault="4720B2DD" w:rsidP="0089325A">
      <w:pPr>
        <w:pStyle w:val="BodyText"/>
        <w:rPr>
          <w:lang w:eastAsia="en-AU"/>
        </w:rPr>
      </w:pPr>
      <w:r w:rsidRPr="00F77D5C">
        <w:rPr>
          <w:lang w:eastAsia="en-AU"/>
        </w:rPr>
        <w:t>The Department of Customer Service embeds customer insights into policy design and service provision and drives digital</w:t>
      </w:r>
      <w:r w:rsidR="24C4A822" w:rsidRPr="00F77D5C">
        <w:rPr>
          <w:lang w:eastAsia="en-AU"/>
        </w:rPr>
        <w:t>,</w:t>
      </w:r>
      <w:r w:rsidRPr="00F77D5C">
        <w:rPr>
          <w:lang w:eastAsia="en-AU"/>
        </w:rPr>
        <w:t xml:space="preserve"> data and behavioural insights to ensure customers can access and receive government services in a timely and convenient manner.   </w:t>
      </w:r>
    </w:p>
    <w:p w14:paraId="2C2CA0E3" w14:textId="0A6D561C" w:rsidR="00DB67FC" w:rsidRPr="00F77D5C" w:rsidRDefault="4720B2DD" w:rsidP="0089325A">
      <w:pPr>
        <w:pStyle w:val="BodyText"/>
        <w:rPr>
          <w:lang w:eastAsia="en-AU"/>
        </w:rPr>
      </w:pPr>
      <w:r w:rsidRPr="00F77D5C">
        <w:rPr>
          <w:lang w:eastAsia="en-AU"/>
        </w:rPr>
        <w:t xml:space="preserve">This Outcome is measured by the availability of digital transactions, customer satisfaction with government services, and the number of services where customers only need to “Tell </w:t>
      </w:r>
      <w:r w:rsidR="00926568">
        <w:rPr>
          <w:lang w:eastAsia="en-AU"/>
        </w:rPr>
        <w:t>Us</w:t>
      </w:r>
      <w:r w:rsidRPr="00F77D5C">
        <w:rPr>
          <w:lang w:eastAsia="en-AU"/>
        </w:rPr>
        <w:t xml:space="preserve"> Once</w:t>
      </w:r>
      <w:r w:rsidR="75090497" w:rsidRPr="00F77D5C">
        <w:rPr>
          <w:lang w:eastAsia="en-AU"/>
        </w:rPr>
        <w:t>”</w:t>
      </w:r>
      <w:r w:rsidRPr="00F77D5C">
        <w:rPr>
          <w:lang w:eastAsia="en-AU"/>
        </w:rPr>
        <w:t>.</w:t>
      </w:r>
    </w:p>
    <w:p w14:paraId="12ABAA94" w14:textId="5A9A76F9" w:rsidR="00E633CC" w:rsidRPr="000101AC" w:rsidRDefault="00E633CC" w:rsidP="00E633CC">
      <w:pPr>
        <w:pStyle w:val="Heading3"/>
        <w:rPr>
          <w:rFonts w:cs="Arial"/>
        </w:rPr>
      </w:pPr>
      <w:r w:rsidRPr="000101AC">
        <w:rPr>
          <w:rFonts w:cs="Arial"/>
        </w:rPr>
        <w:t>202</w:t>
      </w:r>
      <w:r w:rsidR="00877334">
        <w:rPr>
          <w:rFonts w:cs="Arial"/>
        </w:rPr>
        <w:t>1</w:t>
      </w:r>
      <w:r w:rsidRPr="000101AC">
        <w:rPr>
          <w:rFonts w:cs="Arial"/>
        </w:rPr>
        <w:t>-2</w:t>
      </w:r>
      <w:r w:rsidR="00877334">
        <w:rPr>
          <w:rFonts w:cs="Arial"/>
        </w:rPr>
        <w:t>2</w:t>
      </w:r>
      <w:r w:rsidRPr="000101AC">
        <w:rPr>
          <w:rFonts w:cs="Arial"/>
        </w:rPr>
        <w:t xml:space="preserve"> </w:t>
      </w:r>
      <w:r w:rsidR="00DA6630">
        <w:rPr>
          <w:rFonts w:cs="Arial"/>
        </w:rPr>
        <w:t xml:space="preserve">State Outcome </w:t>
      </w:r>
      <w:r w:rsidRPr="000101AC">
        <w:rPr>
          <w:rFonts w:cs="Arial"/>
        </w:rPr>
        <w:t xml:space="preserve">Budget </w:t>
      </w:r>
      <w:r w:rsidR="00DA6630">
        <w:rPr>
          <w:rFonts w:cs="Arial"/>
        </w:rPr>
        <w:t>h</w:t>
      </w:r>
      <w:r w:rsidRPr="000101AC">
        <w:rPr>
          <w:rFonts w:cs="Arial"/>
        </w:rPr>
        <w:t xml:space="preserve">ighlights </w:t>
      </w:r>
      <w:bookmarkStart w:id="8" w:name="_Hlk7525578"/>
    </w:p>
    <w:bookmarkEnd w:id="8"/>
    <w:p w14:paraId="6AD03C80" w14:textId="17CAE9E4" w:rsidR="00576BFA" w:rsidRPr="00F77D5C" w:rsidRDefault="00576BFA" w:rsidP="0089325A">
      <w:pPr>
        <w:pStyle w:val="BodyText"/>
      </w:pPr>
      <w:r w:rsidRPr="00F77D5C">
        <w:t>In 202</w:t>
      </w:r>
      <w:r w:rsidR="00FA5DF0" w:rsidRPr="00F77D5C">
        <w:t>1</w:t>
      </w:r>
      <w:r w:rsidRPr="00F77D5C">
        <w:t>-2</w:t>
      </w:r>
      <w:r w:rsidR="00FA5DF0" w:rsidRPr="00F77D5C">
        <w:t>2</w:t>
      </w:r>
      <w:r w:rsidRPr="00F77D5C">
        <w:t xml:space="preserve">, the </w:t>
      </w:r>
      <w:r w:rsidR="00FE38E2" w:rsidRPr="00F77D5C">
        <w:t>Customer Service</w:t>
      </w:r>
      <w:r w:rsidRPr="00F77D5C">
        <w:t xml:space="preserve"> </w:t>
      </w:r>
      <w:r w:rsidR="00D56A7B" w:rsidRPr="00F77D5C">
        <w:t>C</w:t>
      </w:r>
      <w:r w:rsidRPr="00F77D5C">
        <w:t xml:space="preserve">luster will invest </w:t>
      </w:r>
      <w:r w:rsidRPr="00314AE3">
        <w:t>$</w:t>
      </w:r>
      <w:r w:rsidR="004D52F5" w:rsidRPr="00314AE3">
        <w:t>1.</w:t>
      </w:r>
      <w:r w:rsidR="00314AE3" w:rsidRPr="00314AE3">
        <w:t>7</w:t>
      </w:r>
      <w:r w:rsidRPr="00314AE3">
        <w:t xml:space="preserve"> billion ($</w:t>
      </w:r>
      <w:r w:rsidR="004D52F5" w:rsidRPr="00314AE3">
        <w:t>1.</w:t>
      </w:r>
      <w:r w:rsidR="00314AE3" w:rsidRPr="00314AE3">
        <w:t>6</w:t>
      </w:r>
      <w:r w:rsidRPr="00314AE3">
        <w:t xml:space="preserve"> billion</w:t>
      </w:r>
      <w:r w:rsidRPr="00F77D5C">
        <w:t xml:space="preserve"> </w:t>
      </w:r>
      <w:r w:rsidR="004D52F5">
        <w:t xml:space="preserve">in </w:t>
      </w:r>
      <w:r w:rsidRPr="00F77D5C">
        <w:t xml:space="preserve">recurrent expenses and </w:t>
      </w:r>
      <w:r w:rsidRPr="00314AE3">
        <w:t>$</w:t>
      </w:r>
      <w:r w:rsidR="00D925B1" w:rsidRPr="00314AE3">
        <w:t>109.2</w:t>
      </w:r>
      <w:r w:rsidRPr="00314AE3">
        <w:t xml:space="preserve"> million</w:t>
      </w:r>
      <w:r w:rsidRPr="00F77D5C">
        <w:t xml:space="preserve"> </w:t>
      </w:r>
      <w:r w:rsidR="00D925B1">
        <w:t xml:space="preserve">in </w:t>
      </w:r>
      <w:r w:rsidRPr="00F77D5C">
        <w:t xml:space="preserve">capital expenditure) </w:t>
      </w:r>
      <w:r w:rsidR="007A09D5" w:rsidRPr="00F77D5C">
        <w:t>in this Outcome</w:t>
      </w:r>
      <w:r w:rsidRPr="00F77D5C">
        <w:t>, including</w:t>
      </w:r>
      <w:r w:rsidR="00B854F1" w:rsidRPr="00F77D5C">
        <w:t>:</w:t>
      </w:r>
    </w:p>
    <w:p w14:paraId="0E6DFDD7" w14:textId="65010BF1" w:rsidR="0014439C" w:rsidRPr="00F77D5C" w:rsidRDefault="4AFE2E79" w:rsidP="00BD7C1A">
      <w:pPr>
        <w:pStyle w:val="Bullet1"/>
      </w:pPr>
      <w:r w:rsidRPr="00327B0F">
        <w:t>$</w:t>
      </w:r>
      <w:r w:rsidR="05DAAC02" w:rsidRPr="00327B0F">
        <w:t>668.9</w:t>
      </w:r>
      <w:r w:rsidRPr="00327B0F">
        <w:t xml:space="preserve"> million</w:t>
      </w:r>
      <w:r w:rsidRPr="00F77D5C">
        <w:t xml:space="preserve"> </w:t>
      </w:r>
      <w:r w:rsidR="00AB4D93" w:rsidRPr="00F77D5C">
        <w:t xml:space="preserve">recurrent expenses </w:t>
      </w:r>
      <w:r w:rsidR="2660ED10" w:rsidRPr="00F77D5C">
        <w:t xml:space="preserve">in </w:t>
      </w:r>
      <w:r w:rsidR="0CAA367A" w:rsidRPr="00F77D5C">
        <w:t xml:space="preserve">Service NSW </w:t>
      </w:r>
      <w:r w:rsidR="2660ED10" w:rsidRPr="00F77D5C">
        <w:t>for</w:t>
      </w:r>
      <w:r w:rsidR="0CAA367A" w:rsidRPr="00F77D5C">
        <w:t xml:space="preserve"> administering stimulus</w:t>
      </w:r>
      <w:r w:rsidR="003C3E3E">
        <w:t xml:space="preserve"> funds</w:t>
      </w:r>
      <w:r w:rsidR="0CAA367A" w:rsidRPr="00F77D5C">
        <w:t xml:space="preserve"> to individuals and businesses in response to the economic impacts of </w:t>
      </w:r>
      <w:r w:rsidR="009123D2" w:rsidRPr="00F77D5C">
        <w:t xml:space="preserve">the </w:t>
      </w:r>
      <w:r w:rsidR="0CAA367A" w:rsidRPr="00F77D5C">
        <w:t>COVID</w:t>
      </w:r>
      <w:r w:rsidR="009123D2" w:rsidRPr="00F77D5C">
        <w:noBreakHyphen/>
      </w:r>
      <w:r w:rsidR="00E53367" w:rsidRPr="00F77D5C">
        <w:t>19</w:t>
      </w:r>
      <w:r w:rsidR="009123D2" w:rsidRPr="00F77D5C">
        <w:t xml:space="preserve"> pa</w:t>
      </w:r>
      <w:r w:rsidR="0069573A" w:rsidRPr="00F77D5C">
        <w:t>ndemic</w:t>
      </w:r>
      <w:r w:rsidR="0CAA367A" w:rsidRPr="00F77D5C">
        <w:t xml:space="preserve"> and recent natural disasters via several high-profile grant and rebate programs in 2021-22 such as </w:t>
      </w:r>
      <w:r w:rsidR="0CAA367A" w:rsidRPr="00C41F50">
        <w:t>the Return to Work</w:t>
      </w:r>
      <w:r w:rsidR="0CAA367A" w:rsidRPr="00F77D5C">
        <w:t xml:space="preserve"> program, Small Business Fees and Charges rebate, </w:t>
      </w:r>
      <w:r w:rsidR="009123D2" w:rsidRPr="00F77D5C">
        <w:t>Small </w:t>
      </w:r>
      <w:r w:rsidR="0CAA367A" w:rsidRPr="00F77D5C">
        <w:t>Business Flood Disaster Recovery Grant and Accommodation Vouchers</w:t>
      </w:r>
    </w:p>
    <w:p w14:paraId="480A3AF1" w14:textId="17D85DC0" w:rsidR="001929AC" w:rsidRDefault="001929AC" w:rsidP="00BD7C1A">
      <w:pPr>
        <w:pStyle w:val="Bullet1"/>
      </w:pPr>
      <w:r w:rsidRPr="001929AC">
        <w:t>$50.0 million to provide digital vouchers for dining and entertainment in the Sydney CBD, to support the local economy</w:t>
      </w:r>
    </w:p>
    <w:p w14:paraId="2CBFC9CD" w14:textId="773B3946" w:rsidR="0089325A" w:rsidRDefault="7E95826E" w:rsidP="00BD7C1A">
      <w:pPr>
        <w:pStyle w:val="Bullet1"/>
      </w:pPr>
      <w:r w:rsidRPr="00327B0F">
        <w:t>$20.</w:t>
      </w:r>
      <w:r w:rsidR="611999EF" w:rsidRPr="00327B0F">
        <w:t>0</w:t>
      </w:r>
      <w:r w:rsidRPr="00327B0F">
        <w:t xml:space="preserve"> million</w:t>
      </w:r>
      <w:r w:rsidRPr="1616DCF9">
        <w:t xml:space="preserve"> </w:t>
      </w:r>
      <w:r w:rsidR="00F6203D" w:rsidRPr="1616DCF9">
        <w:t xml:space="preserve">recurrent expenses </w:t>
      </w:r>
      <w:r w:rsidR="62092206" w:rsidRPr="1616DCF9">
        <w:t xml:space="preserve">for the </w:t>
      </w:r>
      <w:r w:rsidR="62092206" w:rsidRPr="00C41F50">
        <w:t xml:space="preserve">Business Concierge </w:t>
      </w:r>
      <w:r w:rsidR="00F6203D" w:rsidRPr="00C41F50">
        <w:t>Service</w:t>
      </w:r>
      <w:r w:rsidR="00F6203D" w:rsidRPr="1616DCF9">
        <w:t xml:space="preserve"> </w:t>
      </w:r>
      <w:r w:rsidR="62092206" w:rsidRPr="1616DCF9">
        <w:t>as part of Service</w:t>
      </w:r>
      <w:r w:rsidR="003E365D">
        <w:t> </w:t>
      </w:r>
      <w:r w:rsidR="62092206" w:rsidRPr="1616DCF9">
        <w:t xml:space="preserve">NSW for Business </w:t>
      </w:r>
      <w:r w:rsidR="00F6203D" w:rsidRPr="1616DCF9">
        <w:t xml:space="preserve">program </w:t>
      </w:r>
      <w:r w:rsidR="62092206" w:rsidRPr="1616DCF9">
        <w:t xml:space="preserve">(formerly the Easy To Do Business </w:t>
      </w:r>
      <w:r w:rsidR="00F6203D" w:rsidRPr="1616DCF9">
        <w:t>p</w:t>
      </w:r>
      <w:r w:rsidR="62092206" w:rsidRPr="1616DCF9">
        <w:t>rogram), to support businesses with specialist advice and provide a one-stop-shop for meeting regulatory requirements</w:t>
      </w:r>
    </w:p>
    <w:p w14:paraId="03F14D1F" w14:textId="2ED51869" w:rsidR="0089325A" w:rsidRPr="0089325A" w:rsidRDefault="00BB03D4" w:rsidP="00BD7C1A">
      <w:pPr>
        <w:pStyle w:val="Bullet1"/>
        <w:rPr>
          <w:rFonts w:asciiTheme="minorHAnsi" w:eastAsiaTheme="minorEastAsia" w:hAnsiTheme="minorHAnsi" w:cstheme="minorBidi"/>
        </w:rPr>
      </w:pPr>
      <w:r w:rsidRPr="00327B0F">
        <w:t>$14.2 million</w:t>
      </w:r>
      <w:r w:rsidR="00AA5563">
        <w:t xml:space="preserve"> r</w:t>
      </w:r>
      <w:r w:rsidR="00AA5563" w:rsidRPr="0089325A">
        <w:t>ecurrent expenses in</w:t>
      </w:r>
      <w:r w:rsidR="002F69FC" w:rsidRPr="0089325A">
        <w:t>vested in the</w:t>
      </w:r>
      <w:r w:rsidRPr="0089325A">
        <w:t xml:space="preserve"> </w:t>
      </w:r>
      <w:r w:rsidRPr="00C41F50">
        <w:t>Cost of Living</w:t>
      </w:r>
      <w:r w:rsidRPr="0089325A">
        <w:t xml:space="preserve"> program and campaign </w:t>
      </w:r>
      <w:r w:rsidR="00067611">
        <w:t xml:space="preserve">to help more people access </w:t>
      </w:r>
      <w:r w:rsidRPr="0089325A">
        <w:t>hundreds of millions of dollars in customer savings and rebates</w:t>
      </w:r>
    </w:p>
    <w:p w14:paraId="35496EF5" w14:textId="62915FD2" w:rsidR="00B12191" w:rsidRPr="00F77D5C" w:rsidRDefault="00B12191" w:rsidP="00BD7C1A">
      <w:pPr>
        <w:pStyle w:val="Bullet1"/>
      </w:pPr>
      <w:r>
        <w:t>$9.1 million ($38.3 million recurrent expenses over four years) for Data Analy</w:t>
      </w:r>
      <w:r w:rsidR="1A7D3F42">
        <w:t>tics</w:t>
      </w:r>
      <w:r>
        <w:t xml:space="preserve"> Centre to improve delivery of services to citizens through better use of data and insights, building on the work undertaken during the outbreak of COVID-19 to keep the community safe and provide insights to decision makers when they needed them </w:t>
      </w:r>
    </w:p>
    <w:p w14:paraId="4BC2F280" w14:textId="25D817B5" w:rsidR="00B12191" w:rsidRPr="00F77D5C" w:rsidRDefault="00B12191" w:rsidP="00BD7C1A">
      <w:pPr>
        <w:pStyle w:val="Bullet1"/>
        <w:rPr>
          <w:rFonts w:eastAsia="Arial"/>
        </w:rPr>
      </w:pPr>
      <w:r w:rsidRPr="00327B0F">
        <w:t>$7.6 million recurrent expense and $2.8 million capital</w:t>
      </w:r>
      <w:r>
        <w:t xml:space="preserve"> expenditure f</w:t>
      </w:r>
      <w:r w:rsidRPr="0089325A">
        <w:t xml:space="preserve">or the </w:t>
      </w:r>
      <w:r w:rsidRPr="00C41F50">
        <w:t>Assured</w:t>
      </w:r>
      <w:r w:rsidR="00166434">
        <w:t> </w:t>
      </w:r>
      <w:r w:rsidRPr="00C41F50">
        <w:t>Revenue program</w:t>
      </w:r>
      <w:r w:rsidRPr="0089325A">
        <w:t xml:space="preserve"> ($13.6 million and $2.8 million capital over the forward estimates) which will deliver transformational improvements in customer experience</w:t>
      </w:r>
    </w:p>
    <w:p w14:paraId="447145BC" w14:textId="460104AB" w:rsidR="00B12191" w:rsidRPr="00F77D5C" w:rsidRDefault="00B12191" w:rsidP="00BD7C1A">
      <w:pPr>
        <w:pStyle w:val="Bullet1"/>
      </w:pPr>
      <w:r w:rsidRPr="00327B0F">
        <w:t>$7.0 million recurrent expenses and $2.8</w:t>
      </w:r>
      <w:r w:rsidR="006C142D">
        <w:t xml:space="preserve"> million</w:t>
      </w:r>
      <w:r w:rsidRPr="00327B0F">
        <w:t xml:space="preserve"> capital </w:t>
      </w:r>
      <w:r>
        <w:t>expenditure ($10.9</w:t>
      </w:r>
      <w:r w:rsidR="006C142D">
        <w:t xml:space="preserve"> </w:t>
      </w:r>
      <w:r>
        <w:t>m</w:t>
      </w:r>
      <w:r w:rsidR="006C142D">
        <w:t>illion</w:t>
      </w:r>
      <w:r>
        <w:t xml:space="preserve"> recurrent expenses and $2.8</w:t>
      </w:r>
      <w:r w:rsidR="003253C9">
        <w:t xml:space="preserve"> </w:t>
      </w:r>
      <w:r>
        <w:t>m</w:t>
      </w:r>
      <w:r w:rsidR="003253C9">
        <w:t>illion</w:t>
      </w:r>
      <w:r>
        <w:t xml:space="preserve"> capital over </w:t>
      </w:r>
      <w:r w:rsidR="00166434">
        <w:t>four years</w:t>
      </w:r>
      <w:r>
        <w:t>) f</w:t>
      </w:r>
      <w:r w:rsidRPr="0089325A">
        <w:t>or the first phase of the nsw.gov.au program to migrate siloed content from hundreds of government websites onto nsw.gov.au to create a customer</w:t>
      </w:r>
      <w:r>
        <w:t>-</w:t>
      </w:r>
      <w:r w:rsidRPr="0089325A">
        <w:t>centric, consistent and world-class experience</w:t>
      </w:r>
    </w:p>
    <w:p w14:paraId="7207D7F3" w14:textId="428884FA" w:rsidR="0014439C" w:rsidRPr="00F77D5C" w:rsidRDefault="0014439C" w:rsidP="00BD7C1A">
      <w:pPr>
        <w:pStyle w:val="Bullet1"/>
        <w:rPr>
          <w:rFonts w:asciiTheme="minorHAnsi" w:eastAsiaTheme="minorEastAsia" w:hAnsiTheme="minorHAnsi" w:cstheme="minorBidi"/>
        </w:rPr>
      </w:pPr>
      <w:r w:rsidRPr="00327B0F">
        <w:t>$</w:t>
      </w:r>
      <w:r w:rsidR="0329B6D5" w:rsidRPr="00327B0F">
        <w:t>6.1</w:t>
      </w:r>
      <w:r w:rsidRPr="00327B0F">
        <w:t xml:space="preserve"> million</w:t>
      </w:r>
      <w:r w:rsidR="00FD77E9" w:rsidRPr="00F77D5C">
        <w:t xml:space="preserve"> capital expenditure</w:t>
      </w:r>
      <w:r w:rsidRPr="00F77D5C">
        <w:t xml:space="preserve"> </w:t>
      </w:r>
      <w:r w:rsidR="00634BEB">
        <w:t>to</w:t>
      </w:r>
      <w:r w:rsidRPr="00F77D5C">
        <w:t>open</w:t>
      </w:r>
      <w:r w:rsidR="00D2678D" w:rsidRPr="00F77D5C">
        <w:t xml:space="preserve"> </w:t>
      </w:r>
      <w:r w:rsidRPr="00F77D5C">
        <w:t xml:space="preserve">up to </w:t>
      </w:r>
      <w:r w:rsidR="00D97736" w:rsidRPr="00F77D5C">
        <w:t>four</w:t>
      </w:r>
      <w:r w:rsidRPr="00F77D5C">
        <w:t xml:space="preserve"> new Service</w:t>
      </w:r>
      <w:r w:rsidR="00FD77E9" w:rsidRPr="00F77D5C">
        <w:t> NSW</w:t>
      </w:r>
      <w:r w:rsidRPr="00F77D5C">
        <w:t xml:space="preserve"> </w:t>
      </w:r>
      <w:r w:rsidR="00696BA1" w:rsidRPr="00F77D5C">
        <w:t xml:space="preserve">service </w:t>
      </w:r>
      <w:r w:rsidRPr="00F77D5C">
        <w:t xml:space="preserve">centres in 2021-22 as part of the </w:t>
      </w:r>
      <w:r w:rsidR="00FB413A" w:rsidRPr="00F77D5C">
        <w:t xml:space="preserve">election commitment to open </w:t>
      </w:r>
      <w:r w:rsidRPr="00F77D5C">
        <w:t xml:space="preserve">10 </w:t>
      </w:r>
      <w:r w:rsidR="00FB413A" w:rsidRPr="00F77D5C">
        <w:t>new service c</w:t>
      </w:r>
      <w:r w:rsidRPr="00F77D5C">
        <w:t>entres, which will provide greater access for customers to government services</w:t>
      </w:r>
      <w:r w:rsidR="00166434">
        <w:t>,</w:t>
      </w:r>
      <w:r w:rsidRPr="00F77D5C">
        <w:t xml:space="preserve"> enhance service delivery and service offering to meet future needs</w:t>
      </w:r>
    </w:p>
    <w:p w14:paraId="21120EBE" w14:textId="1C9ED15F" w:rsidR="005513ED" w:rsidRPr="00B13515" w:rsidRDefault="00D2530F" w:rsidP="00BD7C1A">
      <w:pPr>
        <w:pStyle w:val="Bullet1"/>
        <w:rPr>
          <w:rFonts w:eastAsia="Arial"/>
        </w:rPr>
      </w:pPr>
      <w:r w:rsidRPr="00327B0F">
        <w:lastRenderedPageBreak/>
        <w:t>$</w:t>
      </w:r>
      <w:r w:rsidR="00272AE5" w:rsidRPr="00327B0F">
        <w:t>1.0 million</w:t>
      </w:r>
      <w:r w:rsidR="00596F49" w:rsidRPr="00327B0F">
        <w:t xml:space="preserve"> recurrent</w:t>
      </w:r>
      <w:r w:rsidR="00596F49">
        <w:t xml:space="preserve"> expenses</w:t>
      </w:r>
      <w:r w:rsidR="00272AE5">
        <w:t xml:space="preserve"> for resources to undertake discovery with NSW Police and </w:t>
      </w:r>
      <w:r w:rsidR="00C41F50">
        <w:t>l</w:t>
      </w:r>
      <w:r w:rsidR="00272AE5">
        <w:t xml:space="preserve">ocal </w:t>
      </w:r>
      <w:r w:rsidR="00C41F50">
        <w:t>g</w:t>
      </w:r>
      <w:r w:rsidR="00272AE5">
        <w:t xml:space="preserve">overnment </w:t>
      </w:r>
      <w:r w:rsidR="00C41F50">
        <w:t>c</w:t>
      </w:r>
      <w:r w:rsidR="00272AE5">
        <w:t>ouncils, to identify a solution to increase the availability and distribution of evidence with the receipt for all fines in New South Wales</w:t>
      </w:r>
    </w:p>
    <w:p w14:paraId="3DE58527" w14:textId="14BB59BC" w:rsidR="00272AE5" w:rsidRPr="00F77D5C" w:rsidRDefault="005513ED" w:rsidP="00BD7C1A">
      <w:pPr>
        <w:pStyle w:val="Bullet1"/>
      </w:pPr>
      <w:r w:rsidRPr="00F77D5C">
        <w:t xml:space="preserve">Improving customer interactions through the </w:t>
      </w:r>
      <w:r w:rsidRPr="00F77D5C">
        <w:rPr>
          <w:i/>
          <w:iCs/>
        </w:rPr>
        <w:t xml:space="preserve">Government Made Easy </w:t>
      </w:r>
      <w:r w:rsidRPr="00C41F50">
        <w:t>Premier’s Priority</w:t>
      </w:r>
      <w:r w:rsidRPr="00F77D5C">
        <w:t xml:space="preserve">, allowing customers to opt into sharing their information across government so they only need to </w:t>
      </w:r>
      <w:r w:rsidR="003876D9">
        <w:t>“</w:t>
      </w:r>
      <w:r w:rsidR="002802E0">
        <w:t>T</w:t>
      </w:r>
      <w:r w:rsidRPr="00F77D5C">
        <w:t xml:space="preserve">ell </w:t>
      </w:r>
      <w:r w:rsidR="002802E0">
        <w:t>U</w:t>
      </w:r>
      <w:r w:rsidRPr="00F77D5C">
        <w:t xml:space="preserve">s </w:t>
      </w:r>
      <w:r w:rsidR="002802E0">
        <w:t>O</w:t>
      </w:r>
      <w:r w:rsidRPr="00F77D5C">
        <w:t>nce</w:t>
      </w:r>
      <w:r w:rsidR="003876D9">
        <w:t>”</w:t>
      </w:r>
      <w:r w:rsidRPr="00F77D5C">
        <w:t xml:space="preserve"> about them, when things change, and when they need help</w:t>
      </w:r>
      <w:r w:rsidR="004351C5" w:rsidRPr="00F77D5C">
        <w:t>.</w:t>
      </w:r>
    </w:p>
    <w:p w14:paraId="57E87B5A" w14:textId="4606EAE4" w:rsidR="00E633CC" w:rsidRPr="00DC6435" w:rsidRDefault="00E633CC" w:rsidP="00E633CC">
      <w:pPr>
        <w:pStyle w:val="Heading3"/>
        <w:rPr>
          <w:rFonts w:cs="Arial"/>
        </w:rPr>
      </w:pPr>
      <w:r w:rsidRPr="00DC6435">
        <w:rPr>
          <w:rFonts w:cs="Arial"/>
        </w:rPr>
        <w:t xml:space="preserve">Key performance insights </w:t>
      </w:r>
    </w:p>
    <w:p w14:paraId="391D7DB2" w14:textId="42B41F8A" w:rsidR="007934B1" w:rsidRPr="007934B1" w:rsidRDefault="007934B1" w:rsidP="00B2148A">
      <w:pPr>
        <w:pStyle w:val="BodyText"/>
        <w:rPr>
          <w:lang w:eastAsia="en-AU"/>
        </w:rPr>
      </w:pPr>
      <w:bookmarkStart w:id="9" w:name="_Toc516321120"/>
      <w:r w:rsidRPr="007934B1">
        <w:rPr>
          <w:lang w:eastAsia="en-AU"/>
        </w:rPr>
        <w:t>This section provides analysis and insights on key Outcome Indicators for this State Outcome.</w:t>
      </w:r>
    </w:p>
    <w:p w14:paraId="78F667CB" w14:textId="4799A6BE" w:rsidR="00C570BF" w:rsidRPr="00CD323E" w:rsidRDefault="00C570BF" w:rsidP="00CD323E">
      <w:pPr>
        <w:keepNext/>
        <w:widowControl w:val="0"/>
        <w:spacing w:before="320" w:after="120" w:line="240" w:lineRule="atLeast"/>
        <w:outlineLvl w:val="3"/>
        <w:rPr>
          <w:rFonts w:ascii="Arial Bold" w:hAnsi="Arial Bold"/>
          <w:b/>
          <w:color w:val="00426F"/>
          <w:kern w:val="28"/>
          <w:sz w:val="25"/>
          <w:szCs w:val="36"/>
        </w:rPr>
      </w:pPr>
      <w:r w:rsidRPr="00CD323E">
        <w:rPr>
          <w:rFonts w:ascii="Arial Bold" w:hAnsi="Arial Bold"/>
          <w:b/>
          <w:color w:val="00426F"/>
          <w:kern w:val="28"/>
          <w:sz w:val="25"/>
          <w:szCs w:val="36"/>
        </w:rPr>
        <w:t>Increase the number of government services where customers only have to “</w:t>
      </w:r>
      <w:r w:rsidR="00D679C9">
        <w:rPr>
          <w:rFonts w:ascii="Arial Bold" w:hAnsi="Arial Bold"/>
          <w:b/>
          <w:color w:val="00426F"/>
          <w:kern w:val="28"/>
          <w:sz w:val="25"/>
          <w:szCs w:val="36"/>
        </w:rPr>
        <w:t>T</w:t>
      </w:r>
      <w:r w:rsidRPr="00CD323E">
        <w:rPr>
          <w:rFonts w:ascii="Arial Bold" w:hAnsi="Arial Bold"/>
          <w:b/>
          <w:color w:val="00426F"/>
          <w:kern w:val="28"/>
          <w:sz w:val="25"/>
          <w:szCs w:val="36"/>
        </w:rPr>
        <w:t>ell</w:t>
      </w:r>
      <w:r w:rsidR="00253445">
        <w:rPr>
          <w:rFonts w:ascii="Arial Bold" w:hAnsi="Arial Bold" w:hint="eastAsia"/>
          <w:b/>
          <w:color w:val="00426F"/>
          <w:kern w:val="28"/>
          <w:sz w:val="25"/>
          <w:szCs w:val="36"/>
        </w:rPr>
        <w:t> </w:t>
      </w:r>
      <w:r w:rsidR="00D679C9">
        <w:rPr>
          <w:rFonts w:ascii="Arial Bold" w:hAnsi="Arial Bold"/>
          <w:b/>
          <w:color w:val="00426F"/>
          <w:kern w:val="28"/>
          <w:sz w:val="25"/>
          <w:szCs w:val="36"/>
        </w:rPr>
        <w:t>U</w:t>
      </w:r>
      <w:r w:rsidR="00113B7F">
        <w:rPr>
          <w:rFonts w:ascii="Arial Bold" w:hAnsi="Arial Bold"/>
          <w:b/>
          <w:color w:val="00426F"/>
          <w:kern w:val="28"/>
          <w:sz w:val="25"/>
          <w:szCs w:val="36"/>
        </w:rPr>
        <w:t>s</w:t>
      </w:r>
      <w:r w:rsidRPr="00CD323E">
        <w:rPr>
          <w:rFonts w:ascii="Arial Bold" w:hAnsi="Arial Bold"/>
          <w:b/>
          <w:color w:val="00426F"/>
          <w:kern w:val="28"/>
          <w:sz w:val="25"/>
          <w:szCs w:val="36"/>
        </w:rPr>
        <w:t xml:space="preserve"> </w:t>
      </w:r>
      <w:r w:rsidR="00D679C9">
        <w:rPr>
          <w:rFonts w:ascii="Arial Bold" w:hAnsi="Arial Bold"/>
          <w:b/>
          <w:color w:val="00426F"/>
          <w:kern w:val="28"/>
          <w:sz w:val="25"/>
          <w:szCs w:val="36"/>
        </w:rPr>
        <w:t>O</w:t>
      </w:r>
      <w:r w:rsidRPr="00CD323E">
        <w:rPr>
          <w:rFonts w:ascii="Arial Bold" w:hAnsi="Arial Bold"/>
          <w:b/>
          <w:color w:val="00426F"/>
          <w:kern w:val="28"/>
          <w:sz w:val="25"/>
          <w:szCs w:val="36"/>
        </w:rPr>
        <w:t>nce”</w:t>
      </w:r>
    </w:p>
    <w:p w14:paraId="17298EA4" w14:textId="6C9EABF3" w:rsidR="005D4D8A" w:rsidRDefault="0E927D21" w:rsidP="00330C5D">
      <w:pPr>
        <w:pStyle w:val="BodyText"/>
        <w:rPr>
          <w:rFonts w:eastAsiaTheme="minorEastAsia"/>
          <w:lang w:eastAsia="en-AU"/>
        </w:rPr>
      </w:pPr>
      <w:r w:rsidRPr="704860C0">
        <w:rPr>
          <w:lang w:eastAsia="en-AU"/>
        </w:rPr>
        <w:t xml:space="preserve">The </w:t>
      </w:r>
      <w:r w:rsidRPr="704860C0">
        <w:rPr>
          <w:rFonts w:eastAsiaTheme="minorEastAsia"/>
          <w:i/>
          <w:lang w:eastAsia="en-AU"/>
        </w:rPr>
        <w:t>Government Made Easy</w:t>
      </w:r>
      <w:r w:rsidRPr="704860C0">
        <w:rPr>
          <w:rFonts w:eastAsiaTheme="minorEastAsia"/>
          <w:lang w:eastAsia="en-AU"/>
        </w:rPr>
        <w:t xml:space="preserve"> Premier’s Priority aims to increase the number of government services where customers only have to “</w:t>
      </w:r>
      <w:r w:rsidR="002802E0">
        <w:rPr>
          <w:rFonts w:eastAsiaTheme="minorEastAsia"/>
          <w:lang w:eastAsia="en-AU"/>
        </w:rPr>
        <w:t>T</w:t>
      </w:r>
      <w:r w:rsidRPr="704860C0">
        <w:rPr>
          <w:rFonts w:eastAsiaTheme="minorEastAsia"/>
          <w:lang w:eastAsia="en-AU"/>
        </w:rPr>
        <w:t xml:space="preserve">ell </w:t>
      </w:r>
      <w:r w:rsidR="002802E0">
        <w:rPr>
          <w:rFonts w:eastAsiaTheme="minorEastAsia"/>
          <w:lang w:eastAsia="en-AU"/>
        </w:rPr>
        <w:t>U</w:t>
      </w:r>
      <w:r w:rsidRPr="704860C0">
        <w:rPr>
          <w:rFonts w:eastAsiaTheme="minorEastAsia"/>
          <w:lang w:eastAsia="en-AU"/>
        </w:rPr>
        <w:t xml:space="preserve">s </w:t>
      </w:r>
      <w:r w:rsidR="002802E0">
        <w:rPr>
          <w:rFonts w:eastAsiaTheme="minorEastAsia"/>
          <w:lang w:eastAsia="en-AU"/>
        </w:rPr>
        <w:t>O</w:t>
      </w:r>
      <w:r w:rsidRPr="704860C0">
        <w:rPr>
          <w:rFonts w:eastAsiaTheme="minorEastAsia"/>
          <w:lang w:eastAsia="en-AU"/>
        </w:rPr>
        <w:t xml:space="preserve">nce” to get what they need. </w:t>
      </w:r>
      <w:r w:rsidR="54C9DEE1" w:rsidRPr="704860C0">
        <w:rPr>
          <w:rFonts w:eastAsiaTheme="minorEastAsia"/>
          <w:lang w:eastAsia="en-AU"/>
        </w:rPr>
        <w:t>For example, the Active Kids rebate voucher</w:t>
      </w:r>
      <w:r w:rsidR="4BAD12E0" w:rsidRPr="704860C0">
        <w:rPr>
          <w:rFonts w:eastAsiaTheme="minorEastAsia"/>
          <w:lang w:eastAsia="en-AU"/>
        </w:rPr>
        <w:t xml:space="preserve"> and </w:t>
      </w:r>
      <w:r w:rsidR="54C9C2B5" w:rsidRPr="704860C0">
        <w:rPr>
          <w:rFonts w:eastAsiaTheme="minorEastAsia"/>
          <w:lang w:eastAsia="en-AU"/>
        </w:rPr>
        <w:t xml:space="preserve">the </w:t>
      </w:r>
      <w:r w:rsidR="4BAD12E0" w:rsidRPr="704860C0">
        <w:rPr>
          <w:rFonts w:eastAsiaTheme="minorEastAsia"/>
          <w:lang w:eastAsia="en-AU"/>
        </w:rPr>
        <w:t>Dine and Discover voucher</w:t>
      </w:r>
      <w:r w:rsidR="54C9DEE1" w:rsidRPr="704860C0">
        <w:rPr>
          <w:rFonts w:eastAsiaTheme="minorEastAsia"/>
          <w:lang w:eastAsia="en-AU"/>
        </w:rPr>
        <w:t xml:space="preserve"> application can be prepopulated using information from </w:t>
      </w:r>
      <w:r w:rsidR="007F22E9">
        <w:rPr>
          <w:rFonts w:eastAsiaTheme="minorEastAsia"/>
          <w:lang w:eastAsia="en-AU"/>
        </w:rPr>
        <w:t xml:space="preserve">a </w:t>
      </w:r>
      <w:r w:rsidR="54C9DEE1" w:rsidRPr="704860C0">
        <w:rPr>
          <w:rFonts w:eastAsiaTheme="minorEastAsia"/>
          <w:lang w:eastAsia="en-AU"/>
        </w:rPr>
        <w:t>MyServiceNSW Account, reducin</w:t>
      </w:r>
      <w:r w:rsidR="3ADC4710" w:rsidRPr="704860C0">
        <w:rPr>
          <w:rFonts w:eastAsiaTheme="minorEastAsia"/>
          <w:lang w:eastAsia="en-AU"/>
        </w:rPr>
        <w:t xml:space="preserve">g demand on customer time and making transacting with </w:t>
      </w:r>
      <w:r w:rsidR="007F22E9">
        <w:rPr>
          <w:rFonts w:eastAsiaTheme="minorEastAsia"/>
          <w:lang w:eastAsia="en-AU"/>
        </w:rPr>
        <w:t>g</w:t>
      </w:r>
      <w:r w:rsidR="3ADC4710" w:rsidRPr="704860C0">
        <w:rPr>
          <w:rFonts w:eastAsiaTheme="minorEastAsia"/>
          <w:lang w:eastAsia="en-AU"/>
        </w:rPr>
        <w:t>overnment easier.</w:t>
      </w:r>
      <w:r w:rsidR="261B2E33" w:rsidRPr="704860C0">
        <w:rPr>
          <w:rFonts w:eastAsiaTheme="minorEastAsia"/>
          <w:lang w:eastAsia="en-AU"/>
        </w:rPr>
        <w:t xml:space="preserve"> In addition, t</w:t>
      </w:r>
      <w:r w:rsidR="005D4D8A" w:rsidRPr="704860C0">
        <w:rPr>
          <w:rFonts w:eastAsiaTheme="minorEastAsia"/>
          <w:lang w:eastAsia="en-AU"/>
        </w:rPr>
        <w:t xml:space="preserve">he </w:t>
      </w:r>
      <w:r w:rsidR="00ED6AAE" w:rsidRPr="704860C0">
        <w:rPr>
          <w:rFonts w:eastAsiaTheme="minorEastAsia"/>
          <w:lang w:eastAsia="en-AU"/>
        </w:rPr>
        <w:t>NSW</w:t>
      </w:r>
      <w:r w:rsidR="00ED6AAE">
        <w:rPr>
          <w:rFonts w:eastAsiaTheme="minorEastAsia"/>
          <w:lang w:eastAsia="en-AU"/>
        </w:rPr>
        <w:t> </w:t>
      </w:r>
      <w:r w:rsidR="005D4D8A" w:rsidRPr="704860C0">
        <w:rPr>
          <w:rFonts w:eastAsiaTheme="minorEastAsia"/>
          <w:lang w:eastAsia="en-AU"/>
        </w:rPr>
        <w:t xml:space="preserve">Government is making it easier for customers at critical life events. The Australian Death Notification Service lets customers notify many service providers in one easy step when someone close dies. </w:t>
      </w:r>
    </w:p>
    <w:p w14:paraId="58931D62" w14:textId="7DEB67C0" w:rsidR="00693746" w:rsidRDefault="00C4356F" w:rsidP="00330C5D">
      <w:pPr>
        <w:pStyle w:val="BodyText"/>
        <w:rPr>
          <w:rFonts w:eastAsiaTheme="minorEastAsia"/>
          <w:lang w:eastAsia="en-AU"/>
        </w:rPr>
      </w:pPr>
      <w:r w:rsidRPr="78C38E8C">
        <w:rPr>
          <w:lang w:eastAsia="en-AU"/>
        </w:rPr>
        <w:t xml:space="preserve">Performance against this indicator </w:t>
      </w:r>
      <w:r w:rsidR="0036441F" w:rsidRPr="78C38E8C">
        <w:rPr>
          <w:rFonts w:eastAsiaTheme="minorEastAsia"/>
          <w:lang w:eastAsia="en-AU"/>
        </w:rPr>
        <w:t>is</w:t>
      </w:r>
      <w:r w:rsidR="006628C5" w:rsidRPr="78C38E8C">
        <w:rPr>
          <w:rFonts w:eastAsiaTheme="minorEastAsia"/>
          <w:lang w:eastAsia="en-AU"/>
        </w:rPr>
        <w:t xml:space="preserve"> </w:t>
      </w:r>
      <w:r w:rsidR="0036441F" w:rsidRPr="78C38E8C">
        <w:rPr>
          <w:rFonts w:eastAsiaTheme="minorEastAsia"/>
          <w:lang w:eastAsia="en-AU"/>
        </w:rPr>
        <w:t>on track</w:t>
      </w:r>
      <w:r w:rsidR="0075739B" w:rsidRPr="78C38E8C">
        <w:rPr>
          <w:rFonts w:eastAsiaTheme="minorEastAsia"/>
          <w:lang w:eastAsia="en-AU"/>
        </w:rPr>
        <w:t xml:space="preserve"> </w:t>
      </w:r>
      <w:r w:rsidR="007C7701" w:rsidRPr="78C38E8C">
        <w:rPr>
          <w:rFonts w:eastAsiaTheme="minorEastAsia"/>
          <w:lang w:eastAsia="en-AU"/>
        </w:rPr>
        <w:t xml:space="preserve">to </w:t>
      </w:r>
      <w:r w:rsidR="00E20EC5">
        <w:rPr>
          <w:rFonts w:eastAsiaTheme="minorEastAsia"/>
          <w:lang w:eastAsia="en-AU"/>
        </w:rPr>
        <w:t xml:space="preserve">significantly </w:t>
      </w:r>
      <w:r w:rsidR="007C7701" w:rsidRPr="78C38E8C">
        <w:rPr>
          <w:rFonts w:eastAsiaTheme="minorEastAsia"/>
          <w:lang w:eastAsia="en-AU"/>
        </w:rPr>
        <w:t xml:space="preserve">exceed the target of 60 services by 2023, </w:t>
      </w:r>
      <w:r w:rsidR="0E927D21" w:rsidRPr="78C38E8C">
        <w:rPr>
          <w:rFonts w:eastAsiaTheme="minorEastAsia"/>
          <w:lang w:eastAsia="en-AU"/>
        </w:rPr>
        <w:t>with 39 services delivered as at 31 March 2021. As well as saving time and effort by avoiding the repetition of personal details when undertaking transactions, th</w:t>
      </w:r>
      <w:r w:rsidR="004A5825" w:rsidRPr="78C38E8C">
        <w:rPr>
          <w:rFonts w:eastAsiaTheme="minorEastAsia"/>
          <w:lang w:eastAsia="en-AU"/>
        </w:rPr>
        <w:t>is Premier</w:t>
      </w:r>
      <w:r w:rsidR="00A8005D">
        <w:rPr>
          <w:rFonts w:eastAsiaTheme="minorEastAsia"/>
          <w:lang w:eastAsia="en-AU"/>
        </w:rPr>
        <w:t>’s</w:t>
      </w:r>
      <w:r w:rsidR="0E927D21" w:rsidRPr="78C38E8C">
        <w:rPr>
          <w:rFonts w:eastAsiaTheme="minorEastAsia"/>
          <w:lang w:eastAsia="en-AU"/>
        </w:rPr>
        <w:t xml:space="preserve"> Priority is focused on ensuring that customers get </w:t>
      </w:r>
      <w:r w:rsidR="7048F5E2" w:rsidRPr="78C38E8C">
        <w:rPr>
          <w:rFonts w:eastAsiaTheme="minorEastAsia"/>
          <w:lang w:eastAsia="en-AU"/>
        </w:rPr>
        <w:t xml:space="preserve">easier </w:t>
      </w:r>
      <w:r w:rsidR="0E927D21" w:rsidRPr="78C38E8C">
        <w:rPr>
          <w:rFonts w:eastAsiaTheme="minorEastAsia"/>
          <w:lang w:eastAsia="en-AU"/>
        </w:rPr>
        <w:t>access to more complex services at difficult life stages. This leads to better outcomes, and higher satisfaction and trust in government.</w:t>
      </w:r>
    </w:p>
    <w:p w14:paraId="565C3F57" w14:textId="5E582308" w:rsidR="00693746" w:rsidRPr="00857E39" w:rsidRDefault="002811CE" w:rsidP="00FF7606">
      <w:pPr>
        <w:pStyle w:val="Chart1X"/>
      </w:pPr>
      <w:r w:rsidRPr="00857E39">
        <w:t>N</w:t>
      </w:r>
      <w:r w:rsidR="00D00F27" w:rsidRPr="00857E39">
        <w:t xml:space="preserve">umber of government services where customers only have to "Tell </w:t>
      </w:r>
      <w:r w:rsidR="005E50F4">
        <w:t>U</w:t>
      </w:r>
      <w:r w:rsidR="0011188B">
        <w:t>s</w:t>
      </w:r>
      <w:r w:rsidR="00022B25" w:rsidRPr="00857E39">
        <w:t xml:space="preserve"> </w:t>
      </w:r>
      <w:r w:rsidR="005E50F4">
        <w:t>O</w:t>
      </w:r>
      <w:r w:rsidR="00022B25" w:rsidRPr="00857E39">
        <w:t>nce</w:t>
      </w:r>
      <w:r w:rsidR="00D00F27" w:rsidRPr="00857E39">
        <w:t>"</w:t>
      </w:r>
    </w:p>
    <w:p w14:paraId="32EA091E" w14:textId="72F6A796" w:rsidR="00A27319" w:rsidRDefault="00C62711" w:rsidP="001E3224">
      <w:pPr>
        <w:jc w:val="center"/>
        <w:rPr>
          <w:rFonts w:ascii="Arial" w:eastAsiaTheme="minorEastAsia" w:hAnsi="Arial" w:cs="Arial"/>
          <w:i/>
          <w:color w:val="808080" w:themeColor="background1" w:themeShade="80"/>
          <w:sz w:val="23"/>
          <w:szCs w:val="23"/>
          <w:lang w:eastAsia="en-AU"/>
        </w:rPr>
      </w:pPr>
      <w:r>
        <w:rPr>
          <w:rFonts w:ascii="Arial" w:eastAsiaTheme="minorEastAsia" w:hAnsi="Arial" w:cs="Arial"/>
          <w:i/>
          <w:iCs/>
          <w:noProof/>
          <w:color w:val="808080" w:themeColor="background1" w:themeShade="80"/>
          <w:sz w:val="23"/>
          <w:szCs w:val="23"/>
          <w:lang w:eastAsia="en-AU"/>
        </w:rPr>
        <w:drawing>
          <wp:inline distT="0" distB="0" distL="0" distR="0" wp14:anchorId="2579C6A8" wp14:editId="7D9E54D3">
            <wp:extent cx="4712335" cy="2341245"/>
            <wp:effectExtent l="0" t="0" r="0" b="0"/>
            <wp:docPr id="8" name="Picture 8" descr="Chart 1.3: Number of government services where customers only have to &quot;Tell Us O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1.3: Number of government services where customers only have to &quot;Tell Us Once&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2335" cy="2341245"/>
                    </a:xfrm>
                    <a:prstGeom prst="rect">
                      <a:avLst/>
                    </a:prstGeom>
                    <a:noFill/>
                  </pic:spPr>
                </pic:pic>
              </a:graphicData>
            </a:graphic>
          </wp:inline>
        </w:drawing>
      </w:r>
    </w:p>
    <w:p w14:paraId="19E5AEF1" w14:textId="77777777" w:rsidR="00C570BF" w:rsidRPr="00CD323E" w:rsidRDefault="00C570BF" w:rsidP="00CD323E">
      <w:pPr>
        <w:keepNext/>
        <w:widowControl w:val="0"/>
        <w:spacing w:before="320" w:after="120" w:line="240" w:lineRule="atLeast"/>
        <w:outlineLvl w:val="3"/>
        <w:rPr>
          <w:rFonts w:ascii="Arial Bold" w:hAnsi="Arial Bold"/>
          <w:b/>
          <w:color w:val="00426F"/>
          <w:kern w:val="28"/>
          <w:sz w:val="25"/>
          <w:szCs w:val="36"/>
        </w:rPr>
      </w:pPr>
      <w:r w:rsidRPr="00CD323E">
        <w:rPr>
          <w:rFonts w:ascii="Arial Bold" w:hAnsi="Arial Bold"/>
          <w:b/>
          <w:color w:val="00426F"/>
          <w:kern w:val="28"/>
          <w:sz w:val="25"/>
          <w:szCs w:val="36"/>
        </w:rPr>
        <w:t>Percentage of transactions available digitally through Service NSW</w:t>
      </w:r>
    </w:p>
    <w:p w14:paraId="73539945" w14:textId="77777777" w:rsidR="008D3B1D" w:rsidRDefault="00C570BF" w:rsidP="00330C5D">
      <w:pPr>
        <w:pStyle w:val="BodyText"/>
        <w:rPr>
          <w:rFonts w:eastAsiaTheme="minorEastAsia"/>
          <w:lang w:eastAsia="en-AU"/>
        </w:rPr>
      </w:pPr>
      <w:r w:rsidRPr="704860C0">
        <w:rPr>
          <w:lang w:eastAsia="en-AU"/>
        </w:rPr>
        <w:t xml:space="preserve">Service NSW is committed to excellence in customer service and provides access to </w:t>
      </w:r>
      <w:r w:rsidR="000A12DF" w:rsidRPr="704860C0">
        <w:rPr>
          <w:rFonts w:eastAsiaTheme="minorEastAsia"/>
          <w:lang w:eastAsia="en-AU"/>
        </w:rPr>
        <w:t>NSW </w:t>
      </w:r>
      <w:r w:rsidRPr="704860C0">
        <w:rPr>
          <w:rFonts w:eastAsiaTheme="minorEastAsia"/>
          <w:lang w:eastAsia="en-AU"/>
        </w:rPr>
        <w:t xml:space="preserve">Government services in person, online and over the phone. </w:t>
      </w:r>
      <w:r w:rsidR="009A37A9" w:rsidRPr="704860C0">
        <w:rPr>
          <w:rFonts w:eastAsiaTheme="minorEastAsia"/>
          <w:lang w:eastAsia="en-AU"/>
        </w:rPr>
        <w:t>One way we are</w:t>
      </w:r>
      <w:r w:rsidRPr="704860C0">
        <w:rPr>
          <w:rFonts w:eastAsiaTheme="minorEastAsia"/>
          <w:lang w:eastAsia="en-AU"/>
        </w:rPr>
        <w:t xml:space="preserve"> improving </w:t>
      </w:r>
      <w:r w:rsidR="009A37A9" w:rsidRPr="704860C0">
        <w:rPr>
          <w:rFonts w:eastAsiaTheme="minorEastAsia"/>
          <w:lang w:eastAsia="en-AU"/>
        </w:rPr>
        <w:t xml:space="preserve">customer </w:t>
      </w:r>
      <w:r w:rsidRPr="704860C0">
        <w:rPr>
          <w:rFonts w:eastAsiaTheme="minorEastAsia"/>
          <w:lang w:eastAsia="en-AU"/>
        </w:rPr>
        <w:t xml:space="preserve">access to </w:t>
      </w:r>
      <w:r w:rsidR="009A37A9" w:rsidRPr="704860C0">
        <w:rPr>
          <w:rFonts w:eastAsiaTheme="minorEastAsia"/>
          <w:lang w:eastAsia="en-AU"/>
        </w:rPr>
        <w:t xml:space="preserve">government services </w:t>
      </w:r>
      <w:r w:rsidRPr="704860C0">
        <w:rPr>
          <w:rFonts w:eastAsiaTheme="minorEastAsia"/>
          <w:lang w:eastAsia="en-AU"/>
        </w:rPr>
        <w:t xml:space="preserve">is by delivering more services online. </w:t>
      </w:r>
    </w:p>
    <w:p w14:paraId="4EE6B9F7" w14:textId="6E4B6919" w:rsidR="0089325A" w:rsidRDefault="00C570BF" w:rsidP="00330C5D">
      <w:pPr>
        <w:pStyle w:val="BodyText"/>
        <w:rPr>
          <w:rFonts w:eastAsiaTheme="minorEastAsia"/>
          <w:lang w:eastAsia="en-AU"/>
        </w:rPr>
      </w:pPr>
      <w:r w:rsidRPr="704860C0">
        <w:rPr>
          <w:lang w:eastAsia="en-AU"/>
        </w:rPr>
        <w:t xml:space="preserve">Performance against this indicator continues to </w:t>
      </w:r>
      <w:r w:rsidR="00B9153B" w:rsidRPr="704860C0">
        <w:rPr>
          <w:rFonts w:eastAsiaTheme="minorEastAsia"/>
          <w:lang w:eastAsia="en-AU"/>
        </w:rPr>
        <w:t xml:space="preserve">improve </w:t>
      </w:r>
      <w:r w:rsidR="2E3668DA" w:rsidRPr="704860C0">
        <w:rPr>
          <w:rFonts w:eastAsiaTheme="minorEastAsia"/>
          <w:lang w:eastAsia="en-AU"/>
        </w:rPr>
        <w:t xml:space="preserve">as a result of ongoing investments in digital platforms and </w:t>
      </w:r>
      <w:r w:rsidR="005C13D8" w:rsidRPr="704860C0">
        <w:rPr>
          <w:rFonts w:eastAsiaTheme="minorEastAsia"/>
          <w:lang w:eastAsia="en-AU"/>
        </w:rPr>
        <w:t>products and</w:t>
      </w:r>
      <w:r w:rsidRPr="704860C0">
        <w:rPr>
          <w:rFonts w:eastAsiaTheme="minorEastAsia"/>
          <w:lang w:eastAsia="en-AU"/>
        </w:rPr>
        <w:t xml:space="preserve"> is expected to achieve the target of delivering 80 per cent of services digitally before 2023-24. </w:t>
      </w:r>
    </w:p>
    <w:p w14:paraId="06DC95F1" w14:textId="298AF4BD" w:rsidR="00A67F6E" w:rsidRPr="00857E39" w:rsidRDefault="00716529" w:rsidP="00FF7606">
      <w:pPr>
        <w:pStyle w:val="Chart1X"/>
      </w:pPr>
      <w:r w:rsidRPr="00857E39">
        <w:lastRenderedPageBreak/>
        <w:t>Percentage of transactions available digitally through Service NSW</w:t>
      </w:r>
    </w:p>
    <w:p w14:paraId="7FA61195" w14:textId="50C8E001" w:rsidR="000E12A1" w:rsidRDefault="00252CD2" w:rsidP="0089325A">
      <w:pPr>
        <w:jc w:val="center"/>
        <w:rPr>
          <w:rFonts w:eastAsia="Calibri"/>
        </w:rPr>
      </w:pPr>
      <w:r>
        <w:rPr>
          <w:noProof/>
        </w:rPr>
        <w:drawing>
          <wp:inline distT="0" distB="0" distL="0" distR="0" wp14:anchorId="3607786B" wp14:editId="76AB08B8">
            <wp:extent cx="4706620" cy="2341245"/>
            <wp:effectExtent l="0" t="0" r="0" b="0"/>
            <wp:docPr id="14" name="Picture 14" descr="Chart 1.4: Percentage of transactions available digitally through Service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1.4: Percentage of transactions available digitally through Service NS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6620" cy="2341245"/>
                    </a:xfrm>
                    <a:prstGeom prst="rect">
                      <a:avLst/>
                    </a:prstGeom>
                    <a:noFill/>
                  </pic:spPr>
                </pic:pic>
              </a:graphicData>
            </a:graphic>
          </wp:inline>
        </w:drawing>
      </w:r>
    </w:p>
    <w:p w14:paraId="549D17A2" w14:textId="647C8645" w:rsidR="000E12A1" w:rsidRPr="00C41F50" w:rsidRDefault="000E12A1" w:rsidP="00E633CC">
      <w:pPr>
        <w:rPr>
          <w:rFonts w:ascii="Arial" w:eastAsia="Calibri" w:hAnsi="Arial" w:cs="Arial"/>
          <w:sz w:val="17"/>
          <w:szCs w:val="17"/>
        </w:rPr>
      </w:pPr>
      <w:r w:rsidRPr="00C41F50">
        <w:rPr>
          <w:rFonts w:ascii="Arial" w:eastAsia="Calibri" w:hAnsi="Arial" w:cs="Arial"/>
          <w:sz w:val="17"/>
          <w:szCs w:val="17"/>
        </w:rPr>
        <w:t>Note: 2021-22 actual as at 31 March 2021</w:t>
      </w:r>
      <w:r w:rsidR="00835FC6">
        <w:rPr>
          <w:rFonts w:ascii="Arial" w:eastAsia="Calibri" w:hAnsi="Arial" w:cs="Arial"/>
          <w:sz w:val="17"/>
          <w:szCs w:val="17"/>
        </w:rPr>
        <w:t>.</w:t>
      </w:r>
    </w:p>
    <w:p w14:paraId="2873FC72" w14:textId="2804567E" w:rsidR="00E633CC" w:rsidRPr="00DC6435" w:rsidRDefault="00ED0897" w:rsidP="00E633CC">
      <w:pPr>
        <w:pStyle w:val="Heading3"/>
        <w:rPr>
          <w:rFonts w:cs="Arial"/>
        </w:rPr>
      </w:pPr>
      <w:bookmarkStart w:id="10" w:name="_Hlk7526001"/>
      <w:r>
        <w:rPr>
          <w:rFonts w:cs="Arial"/>
        </w:rPr>
        <w:t>P</w:t>
      </w:r>
      <w:r w:rsidR="00E633CC">
        <w:rPr>
          <w:rFonts w:cs="Arial"/>
        </w:rPr>
        <w:t xml:space="preserve">erformance indicators for this </w:t>
      </w:r>
      <w:r>
        <w:rPr>
          <w:rFonts w:cs="Arial"/>
        </w:rPr>
        <w:t>O</w:t>
      </w:r>
      <w:r w:rsidR="00E633CC">
        <w:rPr>
          <w:rFonts w:cs="Arial"/>
        </w:rPr>
        <w:t>utcome</w:t>
      </w:r>
    </w:p>
    <w:tbl>
      <w:tblPr>
        <w:tblW w:w="9654" w:type="dxa"/>
        <w:tblLayout w:type="fixed"/>
        <w:tblLook w:val="04A0" w:firstRow="1" w:lastRow="0" w:firstColumn="1" w:lastColumn="0" w:noHBand="0" w:noVBand="1"/>
        <w:tblCaption w:val="Performance indicators for this Outcome"/>
        <w:tblDescription w:val="Performance indicators for this Outcome"/>
      </w:tblPr>
      <w:tblGrid>
        <w:gridCol w:w="6537"/>
        <w:gridCol w:w="736"/>
        <w:gridCol w:w="1190"/>
        <w:gridCol w:w="1191"/>
      </w:tblGrid>
      <w:tr w:rsidR="00F22124" w:rsidRPr="005D512A" w14:paraId="703C5439" w14:textId="77777777" w:rsidTr="54EFFB0F">
        <w:trPr>
          <w:trHeight w:val="283"/>
        </w:trPr>
        <w:tc>
          <w:tcPr>
            <w:tcW w:w="6537" w:type="dxa"/>
            <w:vMerge w:val="restart"/>
            <w:tcBorders>
              <w:top w:val="nil"/>
              <w:left w:val="nil"/>
              <w:bottom w:val="nil"/>
              <w:right w:val="nil"/>
            </w:tcBorders>
            <w:shd w:val="clear" w:color="auto" w:fill="008EBA"/>
            <w:noWrap/>
            <w:vAlign w:val="center"/>
            <w:hideMark/>
          </w:tcPr>
          <w:bookmarkEnd w:id="9"/>
          <w:bookmarkEnd w:id="10"/>
          <w:p w14:paraId="41EE4171" w14:textId="77777777" w:rsidR="00F22124" w:rsidRPr="00BA50A7" w:rsidRDefault="00F22124" w:rsidP="00BA50A7">
            <w:pPr>
              <w:rPr>
                <w:rFonts w:ascii="Arial" w:hAnsi="Arial" w:cs="Arial"/>
                <w:b/>
                <w:color w:val="FFFFFF"/>
                <w:sz w:val="18"/>
                <w:szCs w:val="18"/>
                <w:lang w:eastAsia="en-AU"/>
              </w:rPr>
            </w:pPr>
            <w:r w:rsidRPr="00BA50A7">
              <w:rPr>
                <w:rFonts w:ascii="Arial" w:hAnsi="Arial" w:cs="Arial"/>
                <w:b/>
                <w:color w:val="FFFFFF"/>
                <w:sz w:val="18"/>
                <w:szCs w:val="18"/>
                <w:lang w:eastAsia="en-AU"/>
              </w:rPr>
              <w:t>Outcome Indicators</w:t>
            </w:r>
          </w:p>
        </w:tc>
        <w:tc>
          <w:tcPr>
            <w:tcW w:w="736" w:type="dxa"/>
            <w:vMerge w:val="restart"/>
            <w:tcBorders>
              <w:top w:val="nil"/>
              <w:left w:val="nil"/>
              <w:bottom w:val="nil"/>
              <w:right w:val="nil"/>
            </w:tcBorders>
            <w:shd w:val="clear" w:color="auto" w:fill="008EBA"/>
            <w:noWrap/>
            <w:vAlign w:val="center"/>
            <w:hideMark/>
          </w:tcPr>
          <w:p w14:paraId="6C516FEE" w14:textId="77777777" w:rsidR="00F22124" w:rsidRPr="005D512A" w:rsidRDefault="00F22124" w:rsidP="00F709CF">
            <w:pPr>
              <w:jc w:val="center"/>
              <w:rPr>
                <w:rFonts w:ascii="Arial" w:hAnsi="Arial" w:cs="Arial"/>
                <w:b/>
                <w:bCs/>
                <w:color w:val="FFFFFF"/>
                <w:sz w:val="18"/>
                <w:szCs w:val="18"/>
                <w:lang w:eastAsia="en-AU"/>
              </w:rPr>
            </w:pPr>
            <w:r w:rsidRPr="005D512A">
              <w:rPr>
                <w:rFonts w:ascii="Arial" w:hAnsi="Arial" w:cs="Arial"/>
                <w:b/>
                <w:bCs/>
                <w:color w:val="FFFFFF"/>
                <w:sz w:val="18"/>
                <w:szCs w:val="18"/>
                <w:lang w:eastAsia="en-AU"/>
              </w:rPr>
              <w:t>Units</w:t>
            </w:r>
          </w:p>
        </w:tc>
        <w:tc>
          <w:tcPr>
            <w:tcW w:w="1190" w:type="dxa"/>
            <w:tcBorders>
              <w:top w:val="nil"/>
              <w:left w:val="nil"/>
              <w:right w:val="nil"/>
            </w:tcBorders>
            <w:shd w:val="clear" w:color="auto" w:fill="008EBA"/>
            <w:noWrap/>
            <w:vAlign w:val="bottom"/>
            <w:hideMark/>
          </w:tcPr>
          <w:p w14:paraId="0B3FDC2D" w14:textId="53EF9BB0" w:rsidR="00F22124" w:rsidRPr="005D512A" w:rsidRDefault="00F22124" w:rsidP="00F709CF">
            <w:pPr>
              <w:jc w:val="center"/>
              <w:rPr>
                <w:rFonts w:ascii="Arial" w:hAnsi="Arial" w:cs="Arial"/>
                <w:b/>
                <w:bCs/>
                <w:color w:val="FFFFFF"/>
                <w:sz w:val="18"/>
                <w:szCs w:val="18"/>
                <w:lang w:eastAsia="en-AU"/>
              </w:rPr>
            </w:pPr>
            <w:r w:rsidRPr="005D512A">
              <w:rPr>
                <w:rFonts w:ascii="Arial" w:hAnsi="Arial" w:cs="Arial"/>
                <w:b/>
                <w:bCs/>
                <w:color w:val="FFFFFF"/>
                <w:sz w:val="18"/>
                <w:szCs w:val="18"/>
                <w:lang w:eastAsia="en-AU"/>
              </w:rPr>
              <w:t>20</w:t>
            </w:r>
            <w:r>
              <w:rPr>
                <w:rFonts w:ascii="Arial" w:hAnsi="Arial" w:cs="Arial"/>
                <w:b/>
                <w:bCs/>
                <w:color w:val="FFFFFF"/>
                <w:sz w:val="18"/>
                <w:szCs w:val="18"/>
                <w:lang w:eastAsia="en-AU"/>
              </w:rPr>
              <w:t>20</w:t>
            </w:r>
            <w:r w:rsidRPr="005D512A">
              <w:rPr>
                <w:rFonts w:ascii="Arial" w:hAnsi="Arial" w:cs="Arial"/>
                <w:b/>
                <w:bCs/>
                <w:color w:val="FFFFFF"/>
                <w:sz w:val="18"/>
                <w:szCs w:val="18"/>
                <w:lang w:eastAsia="en-AU"/>
              </w:rPr>
              <w:t>-2</w:t>
            </w:r>
            <w:r>
              <w:rPr>
                <w:rFonts w:ascii="Arial" w:hAnsi="Arial" w:cs="Arial"/>
                <w:b/>
                <w:bCs/>
                <w:color w:val="FFFFFF"/>
                <w:sz w:val="18"/>
                <w:szCs w:val="18"/>
                <w:lang w:eastAsia="en-AU"/>
              </w:rPr>
              <w:t>1</w:t>
            </w:r>
          </w:p>
        </w:tc>
        <w:tc>
          <w:tcPr>
            <w:tcW w:w="1191" w:type="dxa"/>
            <w:tcBorders>
              <w:top w:val="nil"/>
              <w:left w:val="nil"/>
              <w:right w:val="nil"/>
            </w:tcBorders>
            <w:shd w:val="clear" w:color="auto" w:fill="008EBA"/>
            <w:noWrap/>
            <w:vAlign w:val="bottom"/>
            <w:hideMark/>
          </w:tcPr>
          <w:p w14:paraId="2BEE4E3D" w14:textId="05DF6AE2" w:rsidR="00F22124" w:rsidRPr="005D512A" w:rsidRDefault="00F22124" w:rsidP="00F709CF">
            <w:pPr>
              <w:jc w:val="center"/>
              <w:rPr>
                <w:rFonts w:ascii="Arial" w:hAnsi="Arial" w:cs="Arial"/>
                <w:b/>
                <w:bCs/>
                <w:color w:val="FFFFFF"/>
                <w:sz w:val="18"/>
                <w:szCs w:val="18"/>
                <w:lang w:eastAsia="en-AU"/>
              </w:rPr>
            </w:pPr>
            <w:r w:rsidRPr="005D512A">
              <w:rPr>
                <w:rFonts w:ascii="Arial" w:hAnsi="Arial" w:cs="Arial"/>
                <w:b/>
                <w:bCs/>
                <w:color w:val="FFFFFF"/>
                <w:sz w:val="18"/>
                <w:szCs w:val="18"/>
                <w:lang w:eastAsia="en-AU"/>
              </w:rPr>
              <w:t>202</w:t>
            </w:r>
            <w:r>
              <w:rPr>
                <w:rFonts w:ascii="Arial" w:hAnsi="Arial" w:cs="Arial"/>
                <w:b/>
                <w:bCs/>
                <w:color w:val="FFFFFF"/>
                <w:sz w:val="18"/>
                <w:szCs w:val="18"/>
                <w:lang w:eastAsia="en-AU"/>
              </w:rPr>
              <w:t>1</w:t>
            </w:r>
            <w:r w:rsidRPr="005D512A">
              <w:rPr>
                <w:rFonts w:ascii="Arial" w:hAnsi="Arial" w:cs="Arial"/>
                <w:b/>
                <w:bCs/>
                <w:color w:val="FFFFFF"/>
                <w:sz w:val="18"/>
                <w:szCs w:val="18"/>
                <w:lang w:eastAsia="en-AU"/>
              </w:rPr>
              <w:t>-2</w:t>
            </w:r>
            <w:r>
              <w:rPr>
                <w:rFonts w:ascii="Arial" w:hAnsi="Arial" w:cs="Arial"/>
                <w:b/>
                <w:bCs/>
                <w:color w:val="FFFFFF"/>
                <w:sz w:val="18"/>
                <w:szCs w:val="18"/>
                <w:lang w:eastAsia="en-AU"/>
              </w:rPr>
              <w:t>2</w:t>
            </w:r>
          </w:p>
        </w:tc>
      </w:tr>
      <w:tr w:rsidR="00F22124" w:rsidRPr="005D512A" w14:paraId="0764D201" w14:textId="77777777" w:rsidTr="54EFFB0F">
        <w:trPr>
          <w:trHeight w:val="283"/>
        </w:trPr>
        <w:tc>
          <w:tcPr>
            <w:tcW w:w="6537" w:type="dxa"/>
            <w:vMerge/>
            <w:vAlign w:val="center"/>
            <w:hideMark/>
          </w:tcPr>
          <w:p w14:paraId="5577F548" w14:textId="77777777" w:rsidR="00F22124" w:rsidRPr="005D512A" w:rsidRDefault="00F22124" w:rsidP="00F709CF">
            <w:pPr>
              <w:rPr>
                <w:rFonts w:ascii="Arial" w:hAnsi="Arial" w:cs="Arial"/>
                <w:b/>
                <w:bCs/>
                <w:color w:val="FFFFFF"/>
                <w:sz w:val="18"/>
                <w:szCs w:val="18"/>
                <w:lang w:eastAsia="en-AU"/>
              </w:rPr>
            </w:pPr>
          </w:p>
        </w:tc>
        <w:tc>
          <w:tcPr>
            <w:tcW w:w="736" w:type="dxa"/>
            <w:vMerge/>
            <w:vAlign w:val="center"/>
            <w:hideMark/>
          </w:tcPr>
          <w:p w14:paraId="7609BE9E" w14:textId="77777777" w:rsidR="00F22124" w:rsidRPr="005D512A" w:rsidRDefault="00F22124" w:rsidP="00F709CF">
            <w:pPr>
              <w:rPr>
                <w:rFonts w:ascii="Arial" w:hAnsi="Arial" w:cs="Arial"/>
                <w:b/>
                <w:bCs/>
                <w:color w:val="FFFFFF"/>
                <w:sz w:val="18"/>
                <w:szCs w:val="18"/>
                <w:lang w:eastAsia="en-AU"/>
              </w:rPr>
            </w:pPr>
          </w:p>
        </w:tc>
        <w:tc>
          <w:tcPr>
            <w:tcW w:w="1190" w:type="dxa"/>
            <w:tcBorders>
              <w:top w:val="nil"/>
              <w:left w:val="nil"/>
              <w:bottom w:val="nil"/>
              <w:right w:val="nil"/>
            </w:tcBorders>
            <w:shd w:val="clear" w:color="auto" w:fill="008EBA"/>
            <w:noWrap/>
            <w:hideMark/>
          </w:tcPr>
          <w:p w14:paraId="6EE2B014" w14:textId="77777777" w:rsidR="00F22124" w:rsidRPr="005D512A" w:rsidRDefault="00F22124" w:rsidP="00F709CF">
            <w:pPr>
              <w:jc w:val="center"/>
              <w:rPr>
                <w:rFonts w:ascii="Arial" w:hAnsi="Arial" w:cs="Arial"/>
                <w:b/>
                <w:bCs/>
                <w:color w:val="FFFFFF"/>
                <w:sz w:val="18"/>
                <w:szCs w:val="18"/>
                <w:lang w:eastAsia="en-AU"/>
              </w:rPr>
            </w:pPr>
            <w:r w:rsidRPr="005D512A">
              <w:rPr>
                <w:rFonts w:ascii="Arial" w:hAnsi="Arial" w:cs="Arial"/>
                <w:b/>
                <w:bCs/>
                <w:color w:val="FFFFFF"/>
                <w:sz w:val="18"/>
                <w:szCs w:val="18"/>
                <w:lang w:eastAsia="en-AU"/>
              </w:rPr>
              <w:t>Actual</w:t>
            </w:r>
          </w:p>
        </w:tc>
        <w:tc>
          <w:tcPr>
            <w:tcW w:w="1191" w:type="dxa"/>
            <w:tcBorders>
              <w:top w:val="nil"/>
              <w:left w:val="nil"/>
              <w:bottom w:val="nil"/>
              <w:right w:val="nil"/>
            </w:tcBorders>
            <w:shd w:val="clear" w:color="auto" w:fill="008EBA"/>
            <w:noWrap/>
            <w:hideMark/>
          </w:tcPr>
          <w:p w14:paraId="0989D2B3" w14:textId="77777777" w:rsidR="00F22124" w:rsidRPr="005D512A" w:rsidRDefault="00F22124" w:rsidP="00F709CF">
            <w:pPr>
              <w:jc w:val="center"/>
              <w:rPr>
                <w:rFonts w:ascii="Arial" w:hAnsi="Arial" w:cs="Arial"/>
                <w:b/>
                <w:bCs/>
                <w:color w:val="FFFFFF"/>
                <w:sz w:val="18"/>
                <w:szCs w:val="18"/>
                <w:lang w:eastAsia="en-AU"/>
              </w:rPr>
            </w:pPr>
            <w:r w:rsidRPr="005D512A">
              <w:rPr>
                <w:rFonts w:ascii="Arial" w:hAnsi="Arial" w:cs="Arial"/>
                <w:b/>
                <w:bCs/>
                <w:color w:val="FFFFFF"/>
                <w:sz w:val="18"/>
                <w:szCs w:val="18"/>
                <w:lang w:eastAsia="en-AU"/>
              </w:rPr>
              <w:t>Forecast</w:t>
            </w:r>
          </w:p>
        </w:tc>
      </w:tr>
      <w:tr w:rsidR="00F22124" w:rsidRPr="00935F21" w14:paraId="5F7AF28F" w14:textId="77777777" w:rsidTr="54EFFB0F">
        <w:trPr>
          <w:trHeight w:val="408"/>
        </w:trPr>
        <w:tc>
          <w:tcPr>
            <w:tcW w:w="6537" w:type="dxa"/>
            <w:tcBorders>
              <w:top w:val="nil"/>
              <w:left w:val="nil"/>
              <w:bottom w:val="nil"/>
              <w:right w:val="nil"/>
            </w:tcBorders>
            <w:shd w:val="clear" w:color="auto" w:fill="auto"/>
            <w:vAlign w:val="bottom"/>
            <w:hideMark/>
          </w:tcPr>
          <w:p w14:paraId="41D933F3" w14:textId="2FA5E0D4" w:rsidR="00F22124" w:rsidRPr="00935F21" w:rsidRDefault="00F22124" w:rsidP="00F709CF">
            <w:pPr>
              <w:rPr>
                <w:rFonts w:ascii="Arial" w:hAnsi="Arial" w:cs="Arial"/>
                <w:color w:val="000000"/>
                <w:sz w:val="16"/>
                <w:szCs w:val="16"/>
                <w:lang w:eastAsia="en-AU"/>
              </w:rPr>
            </w:pPr>
            <w:r w:rsidRPr="00935F21">
              <w:rPr>
                <w:rFonts w:ascii="Arial" w:hAnsi="Arial" w:cs="Arial"/>
                <w:color w:val="000000"/>
                <w:sz w:val="16"/>
                <w:szCs w:val="16"/>
                <w:lang w:eastAsia="en-AU"/>
              </w:rPr>
              <w:t xml:space="preserve">Increase the number of government services where customers only have to </w:t>
            </w:r>
            <w:r w:rsidRPr="00935F21">
              <w:rPr>
                <w:rFonts w:ascii="Arial" w:hAnsi="Arial" w:cs="Arial"/>
                <w:color w:val="000000"/>
                <w:sz w:val="16"/>
                <w:szCs w:val="16"/>
                <w:lang w:eastAsia="en-AU"/>
              </w:rPr>
              <w:br/>
              <w:t>"</w:t>
            </w:r>
            <w:r w:rsidR="005E50F4">
              <w:rPr>
                <w:rFonts w:ascii="Arial" w:hAnsi="Arial" w:cs="Arial"/>
                <w:color w:val="000000"/>
                <w:sz w:val="16"/>
                <w:szCs w:val="16"/>
                <w:lang w:eastAsia="en-AU"/>
              </w:rPr>
              <w:t>T</w:t>
            </w:r>
            <w:r w:rsidRPr="00935F21">
              <w:rPr>
                <w:rFonts w:ascii="Arial" w:hAnsi="Arial" w:cs="Arial"/>
                <w:color w:val="000000"/>
                <w:sz w:val="16"/>
                <w:szCs w:val="16"/>
                <w:lang w:eastAsia="en-AU"/>
              </w:rPr>
              <w:t xml:space="preserve">ell </w:t>
            </w:r>
            <w:r w:rsidR="005E50F4">
              <w:rPr>
                <w:rFonts w:ascii="Arial" w:hAnsi="Arial" w:cs="Arial"/>
                <w:color w:val="000000"/>
                <w:sz w:val="16"/>
                <w:szCs w:val="16"/>
                <w:lang w:eastAsia="en-AU"/>
              </w:rPr>
              <w:t>U</w:t>
            </w:r>
            <w:r w:rsidR="0011188B">
              <w:rPr>
                <w:rFonts w:ascii="Arial" w:hAnsi="Arial" w:cs="Arial"/>
                <w:color w:val="000000"/>
                <w:sz w:val="16"/>
                <w:szCs w:val="16"/>
                <w:lang w:eastAsia="en-AU"/>
              </w:rPr>
              <w:t>s</w:t>
            </w:r>
            <w:r w:rsidRPr="00935F21">
              <w:rPr>
                <w:rFonts w:ascii="Arial" w:hAnsi="Arial" w:cs="Arial"/>
                <w:color w:val="000000"/>
                <w:sz w:val="16"/>
                <w:szCs w:val="16"/>
                <w:lang w:eastAsia="en-AU"/>
              </w:rPr>
              <w:t xml:space="preserve"> </w:t>
            </w:r>
            <w:r w:rsidR="00047E03">
              <w:rPr>
                <w:rFonts w:ascii="Arial" w:hAnsi="Arial" w:cs="Arial"/>
                <w:color w:val="000000"/>
                <w:sz w:val="16"/>
                <w:szCs w:val="16"/>
                <w:lang w:eastAsia="en-AU"/>
              </w:rPr>
              <w:t>O</w:t>
            </w:r>
            <w:r w:rsidRPr="00935F21">
              <w:rPr>
                <w:rFonts w:ascii="Arial" w:hAnsi="Arial" w:cs="Arial"/>
                <w:color w:val="000000"/>
                <w:sz w:val="16"/>
                <w:szCs w:val="16"/>
                <w:lang w:eastAsia="en-AU"/>
              </w:rPr>
              <w:t>nce"</w:t>
            </w:r>
          </w:p>
        </w:tc>
        <w:tc>
          <w:tcPr>
            <w:tcW w:w="736" w:type="dxa"/>
            <w:tcBorders>
              <w:top w:val="nil"/>
              <w:left w:val="nil"/>
              <w:bottom w:val="nil"/>
              <w:right w:val="nil"/>
            </w:tcBorders>
            <w:shd w:val="clear" w:color="auto" w:fill="auto"/>
            <w:noWrap/>
            <w:vAlign w:val="bottom"/>
          </w:tcPr>
          <w:p w14:paraId="44AAC4F9" w14:textId="7D2D2CF4" w:rsidR="00F22124" w:rsidRPr="00935F21" w:rsidRDefault="00C017A7" w:rsidP="00F709CF">
            <w:pPr>
              <w:jc w:val="center"/>
              <w:rPr>
                <w:rFonts w:ascii="Arial" w:hAnsi="Arial" w:cs="Arial"/>
                <w:color w:val="000000"/>
                <w:sz w:val="16"/>
                <w:szCs w:val="16"/>
                <w:lang w:eastAsia="en-AU"/>
              </w:rPr>
            </w:pPr>
            <w:r w:rsidRPr="00935F21">
              <w:rPr>
                <w:rFonts w:ascii="Arial" w:hAnsi="Arial" w:cs="Arial"/>
                <w:color w:val="000000"/>
                <w:sz w:val="16"/>
                <w:szCs w:val="16"/>
                <w:lang w:eastAsia="en-AU"/>
              </w:rPr>
              <w:t>no.</w:t>
            </w:r>
          </w:p>
        </w:tc>
        <w:tc>
          <w:tcPr>
            <w:tcW w:w="1190" w:type="dxa"/>
            <w:tcBorders>
              <w:top w:val="nil"/>
              <w:left w:val="nil"/>
              <w:bottom w:val="nil"/>
              <w:right w:val="nil"/>
            </w:tcBorders>
            <w:shd w:val="clear" w:color="auto" w:fill="auto"/>
            <w:noWrap/>
            <w:vAlign w:val="bottom"/>
          </w:tcPr>
          <w:p w14:paraId="66535A2C" w14:textId="07755A26" w:rsidR="00F22124" w:rsidRPr="00935F21" w:rsidRDefault="000F1178" w:rsidP="00F709CF">
            <w:pPr>
              <w:ind w:right="170"/>
              <w:jc w:val="right"/>
              <w:rPr>
                <w:rFonts w:ascii="Arial" w:hAnsi="Arial" w:cs="Arial"/>
                <w:color w:val="000000"/>
                <w:sz w:val="16"/>
                <w:szCs w:val="16"/>
                <w:lang w:eastAsia="en-AU"/>
              </w:rPr>
            </w:pPr>
            <w:r w:rsidRPr="00935F21">
              <w:rPr>
                <w:rFonts w:ascii="Arial" w:hAnsi="Arial" w:cs="Arial"/>
                <w:color w:val="000000"/>
                <w:sz w:val="16"/>
                <w:szCs w:val="16"/>
                <w:lang w:eastAsia="en-AU"/>
              </w:rPr>
              <w:t>39.0</w:t>
            </w:r>
          </w:p>
        </w:tc>
        <w:tc>
          <w:tcPr>
            <w:tcW w:w="1191" w:type="dxa"/>
            <w:tcBorders>
              <w:top w:val="nil"/>
              <w:left w:val="nil"/>
              <w:bottom w:val="nil"/>
              <w:right w:val="nil"/>
            </w:tcBorders>
            <w:shd w:val="clear" w:color="auto" w:fill="auto"/>
            <w:noWrap/>
            <w:vAlign w:val="bottom"/>
          </w:tcPr>
          <w:p w14:paraId="26B74265" w14:textId="2E94A82C" w:rsidR="00F22124" w:rsidRPr="00935F21" w:rsidRDefault="0089325A" w:rsidP="00F709CF">
            <w:pPr>
              <w:ind w:right="170"/>
              <w:jc w:val="right"/>
              <w:rPr>
                <w:rFonts w:ascii="Arial" w:hAnsi="Arial" w:cs="Arial"/>
                <w:sz w:val="16"/>
                <w:szCs w:val="16"/>
                <w:lang w:eastAsia="en-AU"/>
              </w:rPr>
            </w:pPr>
            <w:r w:rsidRPr="00935F21">
              <w:rPr>
                <w:rFonts w:ascii="Arial" w:hAnsi="Arial" w:cs="Arial"/>
                <w:sz w:val="16"/>
                <w:szCs w:val="16"/>
                <w:lang w:eastAsia="en-AU"/>
              </w:rPr>
              <w:t>50</w:t>
            </w:r>
            <w:r w:rsidR="000F1178" w:rsidRPr="00935F21">
              <w:rPr>
                <w:rFonts w:ascii="Arial" w:hAnsi="Arial" w:cs="Arial"/>
                <w:sz w:val="16"/>
                <w:szCs w:val="16"/>
                <w:lang w:eastAsia="en-AU"/>
              </w:rPr>
              <w:t>.0</w:t>
            </w:r>
          </w:p>
        </w:tc>
      </w:tr>
      <w:tr w:rsidR="00F22124" w:rsidRPr="00935F21" w14:paraId="2A8236DF" w14:textId="77777777" w:rsidTr="54EFFB0F">
        <w:trPr>
          <w:trHeight w:val="204"/>
        </w:trPr>
        <w:tc>
          <w:tcPr>
            <w:tcW w:w="6537" w:type="dxa"/>
            <w:tcBorders>
              <w:top w:val="nil"/>
              <w:left w:val="nil"/>
              <w:bottom w:val="nil"/>
              <w:right w:val="nil"/>
            </w:tcBorders>
            <w:shd w:val="clear" w:color="auto" w:fill="auto"/>
            <w:vAlign w:val="bottom"/>
            <w:hideMark/>
          </w:tcPr>
          <w:p w14:paraId="0AB837F0" w14:textId="77777777" w:rsidR="00F22124" w:rsidRPr="00935F21" w:rsidRDefault="00F22124" w:rsidP="00F709CF">
            <w:pPr>
              <w:rPr>
                <w:rFonts w:ascii="Arial" w:hAnsi="Arial" w:cs="Arial"/>
                <w:color w:val="000000"/>
                <w:sz w:val="16"/>
                <w:szCs w:val="16"/>
                <w:lang w:eastAsia="en-AU"/>
              </w:rPr>
            </w:pPr>
            <w:r w:rsidRPr="00935F21">
              <w:rPr>
                <w:rFonts w:ascii="Arial" w:hAnsi="Arial" w:cs="Arial"/>
                <w:color w:val="000000"/>
                <w:sz w:val="16"/>
                <w:szCs w:val="16"/>
                <w:lang w:eastAsia="en-AU"/>
              </w:rPr>
              <w:t>Percentage of transactions available digitally through Service NSW</w:t>
            </w:r>
          </w:p>
        </w:tc>
        <w:tc>
          <w:tcPr>
            <w:tcW w:w="736" w:type="dxa"/>
            <w:tcBorders>
              <w:top w:val="nil"/>
              <w:left w:val="nil"/>
              <w:bottom w:val="nil"/>
              <w:right w:val="nil"/>
            </w:tcBorders>
            <w:shd w:val="clear" w:color="auto" w:fill="auto"/>
            <w:noWrap/>
            <w:vAlign w:val="bottom"/>
          </w:tcPr>
          <w:p w14:paraId="58469973" w14:textId="492291CA" w:rsidR="00F22124" w:rsidRPr="00935F21" w:rsidRDefault="00C017A7" w:rsidP="00F709CF">
            <w:pPr>
              <w:jc w:val="center"/>
              <w:rPr>
                <w:rFonts w:ascii="Arial" w:hAnsi="Arial" w:cs="Arial"/>
                <w:color w:val="000000"/>
                <w:sz w:val="16"/>
                <w:szCs w:val="16"/>
                <w:lang w:eastAsia="en-AU"/>
              </w:rPr>
            </w:pPr>
            <w:r w:rsidRPr="00935F21">
              <w:rPr>
                <w:rFonts w:ascii="Arial" w:hAnsi="Arial" w:cs="Arial"/>
                <w:color w:val="000000"/>
                <w:sz w:val="16"/>
                <w:szCs w:val="16"/>
                <w:lang w:eastAsia="en-AU"/>
              </w:rPr>
              <w:t>%</w:t>
            </w:r>
          </w:p>
        </w:tc>
        <w:tc>
          <w:tcPr>
            <w:tcW w:w="1190" w:type="dxa"/>
            <w:tcBorders>
              <w:top w:val="nil"/>
              <w:left w:val="nil"/>
              <w:bottom w:val="nil"/>
              <w:right w:val="nil"/>
            </w:tcBorders>
            <w:shd w:val="clear" w:color="auto" w:fill="auto"/>
            <w:noWrap/>
            <w:vAlign w:val="bottom"/>
          </w:tcPr>
          <w:p w14:paraId="2779B183" w14:textId="7AAEA4D4" w:rsidR="00F22124" w:rsidRPr="00935F21" w:rsidRDefault="45ADC2D6" w:rsidP="00F709CF">
            <w:pPr>
              <w:ind w:right="170"/>
              <w:jc w:val="right"/>
              <w:rPr>
                <w:rFonts w:ascii="Arial" w:hAnsi="Arial" w:cs="Arial"/>
                <w:color w:val="000000"/>
                <w:sz w:val="16"/>
                <w:szCs w:val="16"/>
                <w:lang w:eastAsia="en-AU"/>
              </w:rPr>
            </w:pPr>
            <w:r w:rsidRPr="00935F21">
              <w:rPr>
                <w:rFonts w:ascii="Arial" w:hAnsi="Arial" w:cs="Arial"/>
                <w:color w:val="000000" w:themeColor="text1"/>
                <w:sz w:val="16"/>
                <w:szCs w:val="16"/>
                <w:lang w:eastAsia="en-AU"/>
              </w:rPr>
              <w:t>79.3</w:t>
            </w:r>
            <w:r w:rsidRPr="00935F21">
              <w:rPr>
                <w:rFonts w:ascii="Arial" w:hAnsi="Arial" w:cs="Arial"/>
                <w:color w:val="000000" w:themeColor="text1"/>
                <w:sz w:val="16"/>
                <w:szCs w:val="16"/>
                <w:vertAlign w:val="superscript"/>
                <w:lang w:eastAsia="en-AU"/>
              </w:rPr>
              <w:t>(a)</w:t>
            </w:r>
          </w:p>
        </w:tc>
        <w:tc>
          <w:tcPr>
            <w:tcW w:w="1191" w:type="dxa"/>
            <w:tcBorders>
              <w:top w:val="nil"/>
              <w:left w:val="nil"/>
              <w:bottom w:val="nil"/>
              <w:right w:val="nil"/>
            </w:tcBorders>
            <w:shd w:val="clear" w:color="auto" w:fill="auto"/>
            <w:noWrap/>
            <w:vAlign w:val="bottom"/>
          </w:tcPr>
          <w:p w14:paraId="029BB52D" w14:textId="7F335E7F" w:rsidR="00F22124" w:rsidRPr="00935F21" w:rsidRDefault="0089325A" w:rsidP="00F709CF">
            <w:pPr>
              <w:ind w:right="170"/>
              <w:jc w:val="right"/>
              <w:rPr>
                <w:rFonts w:ascii="Arial" w:hAnsi="Arial" w:cs="Arial"/>
                <w:color w:val="000000"/>
                <w:sz w:val="16"/>
                <w:szCs w:val="16"/>
                <w:lang w:eastAsia="en-AU"/>
              </w:rPr>
            </w:pPr>
            <w:r w:rsidRPr="00935F21">
              <w:rPr>
                <w:rFonts w:ascii="Arial" w:hAnsi="Arial" w:cs="Arial"/>
                <w:color w:val="000000" w:themeColor="text1"/>
                <w:sz w:val="16"/>
                <w:szCs w:val="16"/>
                <w:lang w:eastAsia="en-AU"/>
              </w:rPr>
              <w:t>79.5</w:t>
            </w:r>
          </w:p>
        </w:tc>
      </w:tr>
    </w:tbl>
    <w:p w14:paraId="0A920B9D" w14:textId="77777777" w:rsidR="00F45983" w:rsidRPr="00F45983" w:rsidRDefault="00F45983">
      <w:pPr>
        <w:rPr>
          <w:rFonts w:ascii="Arial" w:hAnsi="Arial" w:cs="Arial"/>
          <w:sz w:val="6"/>
          <w:szCs w:val="6"/>
        </w:rPr>
      </w:pPr>
    </w:p>
    <w:p w14:paraId="70ED3146" w14:textId="77777777" w:rsidR="00F45983" w:rsidRPr="00F45983" w:rsidRDefault="00F45983" w:rsidP="00630A33">
      <w:pPr>
        <w:rPr>
          <w:rFonts w:ascii="Arial" w:eastAsia="Calibri" w:hAnsi="Arial" w:cs="Arial"/>
          <w:sz w:val="17"/>
          <w:szCs w:val="17"/>
          <w:lang w:eastAsia="zh-TW"/>
        </w:rPr>
      </w:pPr>
      <w:r w:rsidRPr="00F45983">
        <w:rPr>
          <w:rFonts w:ascii="Arial" w:eastAsia="Calibri" w:hAnsi="Arial" w:cs="Arial"/>
          <w:sz w:val="17"/>
          <w:szCs w:val="17"/>
          <w:lang w:eastAsia="zh-TW"/>
        </w:rPr>
        <w:t>Notes</w:t>
      </w:r>
    </w:p>
    <w:p w14:paraId="56883653" w14:textId="77777777" w:rsidR="00F45983" w:rsidRPr="00F45983" w:rsidRDefault="00F45983" w:rsidP="0035055F">
      <w:pPr>
        <w:pStyle w:val="ListParagraph"/>
        <w:numPr>
          <w:ilvl w:val="0"/>
          <w:numId w:val="32"/>
        </w:numPr>
        <w:rPr>
          <w:rFonts w:cs="Arial"/>
          <w:color w:val="000000"/>
          <w:sz w:val="17"/>
          <w:szCs w:val="17"/>
          <w:lang w:eastAsia="en-AU"/>
        </w:rPr>
      </w:pPr>
      <w:r w:rsidRPr="00F45983">
        <w:rPr>
          <w:rFonts w:cs="Arial"/>
          <w:sz w:val="17"/>
          <w:szCs w:val="17"/>
          <w:lang w:eastAsia="zh-TW"/>
        </w:rPr>
        <w:t>2021-22 actual as at 31 March 2021.</w:t>
      </w:r>
    </w:p>
    <w:p w14:paraId="4298FD92" w14:textId="77777777" w:rsidR="00F45983" w:rsidRPr="00935F21" w:rsidRDefault="00F45983" w:rsidP="00F709CF">
      <w:pPr>
        <w:jc w:val="center"/>
        <w:rPr>
          <w:rFonts w:ascii="Arial" w:hAnsi="Arial" w:cs="Arial"/>
          <w:color w:val="000000"/>
          <w:sz w:val="16"/>
          <w:szCs w:val="16"/>
          <w:lang w:eastAsia="en-AU"/>
        </w:rPr>
      </w:pPr>
    </w:p>
    <w:p w14:paraId="0244A7B4" w14:textId="77777777" w:rsidR="00F45983" w:rsidRPr="00935F21" w:rsidRDefault="00F45983" w:rsidP="00F709CF">
      <w:pPr>
        <w:ind w:right="170"/>
        <w:jc w:val="right"/>
        <w:rPr>
          <w:rFonts w:ascii="Arial" w:hAnsi="Arial" w:cs="Arial"/>
          <w:color w:val="000000"/>
          <w:sz w:val="16"/>
          <w:szCs w:val="16"/>
          <w:lang w:eastAsia="en-AU"/>
        </w:rPr>
      </w:pPr>
    </w:p>
    <w:p w14:paraId="1EE259D1" w14:textId="77777777" w:rsidR="00F45983" w:rsidRPr="00935F21" w:rsidRDefault="00F45983" w:rsidP="00F709CF">
      <w:pPr>
        <w:ind w:right="170"/>
        <w:jc w:val="right"/>
        <w:rPr>
          <w:rFonts w:ascii="Arial" w:hAnsi="Arial" w:cs="Arial"/>
          <w:color w:val="000000"/>
          <w:sz w:val="16"/>
          <w:szCs w:val="16"/>
          <w:lang w:eastAsia="en-AU"/>
        </w:rPr>
      </w:pPr>
    </w:p>
    <w:p w14:paraId="607FD357" w14:textId="77777777" w:rsidR="00F22124" w:rsidRPr="00902423" w:rsidRDefault="00F22124" w:rsidP="00F22124">
      <w:pPr>
        <w:rPr>
          <w:rFonts w:ascii="Arial" w:hAnsi="Arial" w:cs="Arial"/>
          <w:b/>
          <w:bCs/>
          <w:color w:val="000000"/>
          <w:sz w:val="6"/>
          <w:szCs w:val="6"/>
          <w:lang w:eastAsia="en-AU"/>
        </w:rPr>
      </w:pPr>
    </w:p>
    <w:p w14:paraId="22DBA8A5" w14:textId="53E36F0D" w:rsidR="00366D71" w:rsidRDefault="00366D71">
      <w:pPr>
        <w:rPr>
          <w:rFonts w:ascii="Arial" w:hAnsi="Arial" w:cs="Arial"/>
        </w:rPr>
      </w:pPr>
      <w:r>
        <w:rPr>
          <w:rFonts w:ascii="Arial" w:hAnsi="Arial" w:cs="Arial"/>
        </w:rPr>
        <w:br w:type="page"/>
      </w:r>
    </w:p>
    <w:p w14:paraId="6F8F7F87" w14:textId="582D3B8B" w:rsidR="00E633CC" w:rsidRPr="00E633CC" w:rsidRDefault="00ED0897" w:rsidP="00E3501B">
      <w:pPr>
        <w:pStyle w:val="Heading2"/>
        <w:numPr>
          <w:ilvl w:val="1"/>
          <w:numId w:val="21"/>
        </w:numPr>
        <w:rPr>
          <w:rFonts w:ascii="Arial" w:hAnsi="Arial" w:cs="Arial"/>
        </w:rPr>
      </w:pPr>
      <w:r>
        <w:rPr>
          <w:rFonts w:ascii="Arial" w:hAnsi="Arial" w:cs="Arial"/>
        </w:rPr>
        <w:lastRenderedPageBreak/>
        <w:t xml:space="preserve">Outcome 2: </w:t>
      </w:r>
      <w:r w:rsidR="00DF34CF">
        <w:t>Digital leadership and innovation in government services</w:t>
      </w:r>
      <w:r w:rsidR="00DF34CF">
        <w:rPr>
          <w:rFonts w:ascii="Arial" w:hAnsi="Arial" w:cs="Arial"/>
        </w:rPr>
        <w:t xml:space="preserve"> </w:t>
      </w:r>
    </w:p>
    <w:tbl>
      <w:tblPr>
        <w:tblpPr w:leftFromText="180" w:rightFromText="180" w:vertAnchor="text" w:horzAnchor="margin" w:tblpXSpec="right" w:tblpY="674"/>
        <w:tblW w:w="1716" w:type="pct"/>
        <w:shd w:val="clear" w:color="auto" w:fill="F2F2F2" w:themeFill="background1" w:themeFillShade="F2"/>
        <w:tblCellMar>
          <w:left w:w="115" w:type="dxa"/>
          <w:right w:w="115" w:type="dxa"/>
        </w:tblCellMar>
        <w:tblLook w:val="04A0" w:firstRow="1" w:lastRow="0" w:firstColumn="1" w:lastColumn="0" w:noHBand="0" w:noVBand="1"/>
        <w:tblCaption w:val="1.4 Outcome 2: Digital leadership and innovation in government services "/>
        <w:tblDescription w:val="1.4 Outcome 2: Digital leadership and innovation in government services"/>
      </w:tblPr>
      <w:tblGrid>
        <w:gridCol w:w="1144"/>
        <w:gridCol w:w="967"/>
        <w:gridCol w:w="1197"/>
      </w:tblGrid>
      <w:tr w:rsidR="00E633CC" w:rsidRPr="00F8244B" w14:paraId="7082D07F" w14:textId="77777777" w:rsidTr="00182046">
        <w:trPr>
          <w:cantSplit/>
          <w:trHeight w:val="784"/>
        </w:trPr>
        <w:tc>
          <w:tcPr>
            <w:tcW w:w="1729" w:type="pct"/>
            <w:shd w:val="clear" w:color="auto" w:fill="F2F2F2" w:themeFill="background1" w:themeFillShade="F2"/>
            <w:vAlign w:val="center"/>
          </w:tcPr>
          <w:p w14:paraId="6F1C50E8" w14:textId="77777777" w:rsidR="00E633CC" w:rsidRPr="00F8244B" w:rsidRDefault="00E633CC" w:rsidP="00182046">
            <w:pPr>
              <w:spacing w:before="120" w:after="120"/>
              <w:rPr>
                <w:rFonts w:ascii="Arial" w:hAnsi="Arial" w:cs="Arial"/>
                <w:sz w:val="23"/>
                <w:szCs w:val="23"/>
              </w:rPr>
            </w:pPr>
            <w:r w:rsidRPr="00F8244B">
              <w:rPr>
                <w:rFonts w:ascii="Arial" w:hAnsi="Arial" w:cs="Arial"/>
                <w:noProof/>
                <w:lang w:eastAsia="en-AU"/>
              </w:rPr>
              <w:drawing>
                <wp:inline distT="0" distB="0" distL="0" distR="0" wp14:anchorId="7C272762" wp14:editId="051EDEDB">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C58BFA8" w14:textId="6665925E" w:rsidR="00E633CC" w:rsidRPr="00F8244B" w:rsidRDefault="00E633CC" w:rsidP="00182046">
            <w:pPr>
              <w:spacing w:before="120" w:after="120"/>
              <w:jc w:val="center"/>
              <w:rPr>
                <w:rFonts w:ascii="Arial" w:hAnsi="Arial" w:cs="Arial"/>
                <w:color w:val="00ABE6"/>
                <w:sz w:val="18"/>
                <w:szCs w:val="18"/>
              </w:rPr>
            </w:pPr>
            <w:r w:rsidRPr="00772902">
              <w:rPr>
                <w:rFonts w:ascii="Arial" w:hAnsi="Arial" w:cs="Arial"/>
                <w:color w:val="00ABE6"/>
                <w:sz w:val="18"/>
                <w:szCs w:val="18"/>
              </w:rPr>
              <w:t>$</w:t>
            </w:r>
            <w:r w:rsidR="00517C2E" w:rsidRPr="00772902">
              <w:rPr>
                <w:rFonts w:ascii="Arial" w:hAnsi="Arial" w:cs="Arial"/>
                <w:color w:val="00ABE6"/>
                <w:sz w:val="18"/>
                <w:szCs w:val="18"/>
              </w:rPr>
              <w:t>514.</w:t>
            </w:r>
            <w:r w:rsidR="00772902" w:rsidRPr="00772902">
              <w:rPr>
                <w:rFonts w:ascii="Arial" w:hAnsi="Arial" w:cs="Arial"/>
                <w:color w:val="00ABE6"/>
                <w:sz w:val="18"/>
                <w:szCs w:val="18"/>
              </w:rPr>
              <w:t>9</w:t>
            </w:r>
            <w:r w:rsidRPr="00772902">
              <w:rPr>
                <w:rFonts w:ascii="Arial" w:hAnsi="Arial" w:cs="Arial"/>
                <w:color w:val="00ABE6"/>
                <w:sz w:val="18"/>
                <w:szCs w:val="18"/>
              </w:rPr>
              <w:t xml:space="preserve"> </w:t>
            </w:r>
            <w:r w:rsidR="00517C2E" w:rsidRPr="00772902">
              <w:rPr>
                <w:rFonts w:ascii="Arial" w:hAnsi="Arial" w:cs="Arial"/>
                <w:color w:val="00ABE6"/>
                <w:sz w:val="18"/>
                <w:szCs w:val="18"/>
              </w:rPr>
              <w:t>m</w:t>
            </w:r>
            <w:r w:rsidRPr="00772902">
              <w:rPr>
                <w:rFonts w:ascii="Arial" w:hAnsi="Arial" w:cs="Arial"/>
                <w:color w:val="00ABE6"/>
                <w:sz w:val="18"/>
                <w:szCs w:val="18"/>
              </w:rPr>
              <w:t>illion</w:t>
            </w:r>
          </w:p>
        </w:tc>
        <w:tc>
          <w:tcPr>
            <w:tcW w:w="1809" w:type="pct"/>
            <w:shd w:val="clear" w:color="auto" w:fill="F2F2F2" w:themeFill="background1" w:themeFillShade="F2"/>
            <w:vAlign w:val="center"/>
          </w:tcPr>
          <w:p w14:paraId="63BD4EBF" w14:textId="56E40517" w:rsidR="00E633CC" w:rsidRPr="00F8244B" w:rsidRDefault="00E633CC" w:rsidP="0018204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r>
            <w:r w:rsidR="00F74499" w:rsidRPr="00F8244B">
              <w:rPr>
                <w:rFonts w:ascii="Arial" w:hAnsi="Arial" w:cs="Arial"/>
                <w:color w:val="00ABE6"/>
                <w:sz w:val="18"/>
                <w:szCs w:val="18"/>
              </w:rPr>
              <w:t>20</w:t>
            </w:r>
            <w:r w:rsidR="00F74499">
              <w:rPr>
                <w:rFonts w:ascii="Arial" w:hAnsi="Arial" w:cs="Arial"/>
                <w:color w:val="00ABE6"/>
                <w:sz w:val="18"/>
                <w:szCs w:val="18"/>
              </w:rPr>
              <w:t>21-22</w:t>
            </w:r>
          </w:p>
        </w:tc>
      </w:tr>
      <w:tr w:rsidR="00E633CC" w:rsidRPr="00F8244B" w14:paraId="6FB48A36" w14:textId="77777777" w:rsidTr="00182046">
        <w:trPr>
          <w:cantSplit/>
          <w:trHeight w:val="784"/>
        </w:trPr>
        <w:tc>
          <w:tcPr>
            <w:tcW w:w="1729" w:type="pct"/>
            <w:shd w:val="clear" w:color="auto" w:fill="F2F2F2" w:themeFill="background1" w:themeFillShade="F2"/>
            <w:vAlign w:val="center"/>
          </w:tcPr>
          <w:p w14:paraId="6585938B" w14:textId="77777777" w:rsidR="00E633CC" w:rsidRPr="00F8244B" w:rsidRDefault="00E633CC" w:rsidP="0018204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0C581B9A" wp14:editId="2B27A496">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507A1BA1" w14:textId="7C1EB7A0" w:rsidR="00E633CC" w:rsidRPr="00F8244B" w:rsidRDefault="00E633CC" w:rsidP="00182046">
            <w:pPr>
              <w:spacing w:before="120" w:after="120"/>
              <w:jc w:val="center"/>
              <w:rPr>
                <w:rFonts w:ascii="Arial" w:hAnsi="Arial" w:cs="Arial"/>
                <w:color w:val="00ABE6"/>
                <w:sz w:val="18"/>
                <w:szCs w:val="18"/>
              </w:rPr>
            </w:pPr>
            <w:r w:rsidRPr="00772902">
              <w:rPr>
                <w:rFonts w:ascii="Arial" w:hAnsi="Arial" w:cs="Arial"/>
                <w:color w:val="00ABE6"/>
                <w:sz w:val="18"/>
                <w:szCs w:val="18"/>
              </w:rPr>
              <w:t>$</w:t>
            </w:r>
            <w:r w:rsidR="00536716" w:rsidRPr="00772902">
              <w:rPr>
                <w:rFonts w:ascii="Arial" w:hAnsi="Arial" w:cs="Arial"/>
                <w:color w:val="00ABE6"/>
                <w:sz w:val="18"/>
                <w:szCs w:val="18"/>
              </w:rPr>
              <w:t>510.2</w:t>
            </w:r>
            <w:r w:rsidRPr="00772902">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7782CB0C" w14:textId="26ECB9BE" w:rsidR="00E633CC" w:rsidRPr="00F8244B" w:rsidRDefault="00E633CC" w:rsidP="0018204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r>
            <w:r w:rsidR="00F74499" w:rsidRPr="00F8244B">
              <w:rPr>
                <w:rFonts w:ascii="Arial" w:hAnsi="Arial" w:cs="Arial"/>
                <w:color w:val="00ABE6"/>
                <w:sz w:val="18"/>
                <w:szCs w:val="18"/>
              </w:rPr>
              <w:t>20</w:t>
            </w:r>
            <w:r w:rsidR="00F74499">
              <w:rPr>
                <w:rFonts w:ascii="Arial" w:hAnsi="Arial" w:cs="Arial"/>
                <w:color w:val="00ABE6"/>
                <w:sz w:val="18"/>
                <w:szCs w:val="18"/>
              </w:rPr>
              <w:t>21-22</w:t>
            </w:r>
          </w:p>
        </w:tc>
      </w:tr>
    </w:tbl>
    <w:p w14:paraId="5005F4EC" w14:textId="1DFED901" w:rsidR="00011CAE" w:rsidRPr="00E61AA2" w:rsidRDefault="00E633CC" w:rsidP="00E61AA2">
      <w:pPr>
        <w:pStyle w:val="Heading3"/>
        <w:rPr>
          <w:rFonts w:cs="Arial"/>
        </w:rPr>
      </w:pPr>
      <w:r>
        <w:rPr>
          <w:rFonts w:cs="Arial"/>
        </w:rPr>
        <w:t>S</w:t>
      </w:r>
      <w:r w:rsidRPr="003A0DAC">
        <w:rPr>
          <w:rFonts w:cs="Arial"/>
        </w:rPr>
        <w:t>tate Outcome overview and 202</w:t>
      </w:r>
      <w:r w:rsidR="00F74499">
        <w:rPr>
          <w:rFonts w:cs="Arial"/>
        </w:rPr>
        <w:t>1</w:t>
      </w:r>
      <w:r w:rsidRPr="003A0DAC">
        <w:rPr>
          <w:rFonts w:cs="Arial"/>
        </w:rPr>
        <w:t>-2</w:t>
      </w:r>
      <w:r w:rsidR="00F74499">
        <w:rPr>
          <w:rFonts w:cs="Arial"/>
        </w:rPr>
        <w:t>2</w:t>
      </w:r>
      <w:r w:rsidRPr="003A0DAC">
        <w:rPr>
          <w:rFonts w:cs="Arial"/>
        </w:rPr>
        <w:t xml:space="preserve"> investment</w:t>
      </w:r>
    </w:p>
    <w:p w14:paraId="62D48CCD" w14:textId="1767DD3C" w:rsidR="00BF1D6E" w:rsidRPr="00F77D5C" w:rsidRDefault="00BF1D6E" w:rsidP="0089325A">
      <w:pPr>
        <w:pStyle w:val="BodyText"/>
      </w:pPr>
      <w:r w:rsidRPr="00F77D5C">
        <w:t>Investment in this State Outcome focus</w:t>
      </w:r>
      <w:r w:rsidR="004359ED">
        <w:t>es</w:t>
      </w:r>
      <w:r w:rsidRPr="00F77D5C">
        <w:t xml:space="preserve"> on innovation and technology to </w:t>
      </w:r>
      <w:r w:rsidRPr="734B713E">
        <w:t>increase</w:t>
      </w:r>
      <w:r w:rsidRPr="00F77D5C" w:rsidDel="009F7FB8">
        <w:t xml:space="preserve"> </w:t>
      </w:r>
      <w:r w:rsidRPr="00F77D5C">
        <w:t xml:space="preserve">improvements in digital availability, reliability and the security of NSW Government platforms, information and services. These investments </w:t>
      </w:r>
      <w:r w:rsidR="009F7FB8">
        <w:t xml:space="preserve">in the Cluster </w:t>
      </w:r>
      <w:r w:rsidRPr="00F77D5C">
        <w:t xml:space="preserve">also </w:t>
      </w:r>
      <w:r w:rsidR="009F7FB8">
        <w:t xml:space="preserve">facilitates its </w:t>
      </w:r>
      <w:r w:rsidRPr="734B713E">
        <w:t>role</w:t>
      </w:r>
      <w:r w:rsidRPr="00F77D5C" w:rsidDel="009F7FB8">
        <w:t xml:space="preserve"> </w:t>
      </w:r>
      <w:r w:rsidRPr="00F77D5C">
        <w:t xml:space="preserve">to prevent and mitigate cyber security threats and to ensure ICT expenditure realises value for money. </w:t>
      </w:r>
    </w:p>
    <w:p w14:paraId="0F2A8DEF" w14:textId="5F589731" w:rsidR="00BF1D6E" w:rsidRPr="00F77D5C" w:rsidRDefault="00BF1D6E" w:rsidP="0089325A">
      <w:pPr>
        <w:pStyle w:val="BodyText"/>
      </w:pPr>
      <w:r w:rsidRPr="00F77D5C">
        <w:t>This Outcome measures digital government readiness, and the public safety coverage and operation of the Critical Communications Enhancement Program</w:t>
      </w:r>
      <w:r w:rsidR="003953A9" w:rsidRPr="00F77D5C">
        <w:t xml:space="preserve"> (CCEP)</w:t>
      </w:r>
      <w:r w:rsidRPr="00F77D5C">
        <w:t>.</w:t>
      </w:r>
    </w:p>
    <w:p w14:paraId="1CA923C6" w14:textId="19AB44A8" w:rsidR="00E633CC" w:rsidRPr="000101AC" w:rsidRDefault="00E633CC" w:rsidP="00E633CC">
      <w:pPr>
        <w:pStyle w:val="Heading3"/>
        <w:rPr>
          <w:rFonts w:cs="Arial"/>
        </w:rPr>
      </w:pPr>
      <w:r w:rsidRPr="000101AC">
        <w:rPr>
          <w:rFonts w:cs="Arial"/>
        </w:rPr>
        <w:t>202</w:t>
      </w:r>
      <w:r w:rsidR="0007320D">
        <w:rPr>
          <w:rFonts w:cs="Arial"/>
        </w:rPr>
        <w:t>1</w:t>
      </w:r>
      <w:r w:rsidRPr="000101AC">
        <w:rPr>
          <w:rFonts w:cs="Arial"/>
        </w:rPr>
        <w:t>-2</w:t>
      </w:r>
      <w:r w:rsidR="0007320D">
        <w:rPr>
          <w:rFonts w:cs="Arial"/>
        </w:rPr>
        <w:t>2</w:t>
      </w:r>
      <w:r w:rsidRPr="000101AC">
        <w:rPr>
          <w:rFonts w:cs="Arial"/>
        </w:rPr>
        <w:t xml:space="preserve"> </w:t>
      </w:r>
      <w:r w:rsidR="00ED0897">
        <w:rPr>
          <w:rFonts w:cs="Arial"/>
        </w:rPr>
        <w:t xml:space="preserve">State Outcome </w:t>
      </w:r>
      <w:r w:rsidRPr="000101AC">
        <w:rPr>
          <w:rFonts w:cs="Arial"/>
        </w:rPr>
        <w:t xml:space="preserve">Budget </w:t>
      </w:r>
      <w:r w:rsidR="00ED0897">
        <w:rPr>
          <w:rFonts w:cs="Arial"/>
        </w:rPr>
        <w:t>h</w:t>
      </w:r>
      <w:r w:rsidRPr="000101AC">
        <w:rPr>
          <w:rFonts w:cs="Arial"/>
        </w:rPr>
        <w:t xml:space="preserve">ighlights </w:t>
      </w:r>
    </w:p>
    <w:p w14:paraId="425DAD03" w14:textId="7C945E73" w:rsidR="00E633CC" w:rsidRPr="00F77D5C" w:rsidRDefault="00E633CC" w:rsidP="0089325A">
      <w:pPr>
        <w:pStyle w:val="BodyText"/>
      </w:pPr>
      <w:r w:rsidRPr="00F77D5C">
        <w:t xml:space="preserve">In </w:t>
      </w:r>
      <w:r w:rsidR="00EF2167" w:rsidRPr="00F77D5C">
        <w:t>2021-22</w:t>
      </w:r>
      <w:r w:rsidRPr="00F77D5C">
        <w:t xml:space="preserve">, the </w:t>
      </w:r>
      <w:r w:rsidR="00FE38E2" w:rsidRPr="00F77D5C">
        <w:t>Customer Service</w:t>
      </w:r>
      <w:r w:rsidRPr="00F77D5C">
        <w:t xml:space="preserve"> </w:t>
      </w:r>
      <w:r w:rsidR="00D45E89" w:rsidRPr="00F77D5C">
        <w:t>C</w:t>
      </w:r>
      <w:r w:rsidRPr="00F77D5C">
        <w:t xml:space="preserve">luster will invest </w:t>
      </w:r>
      <w:r w:rsidRPr="00F1698F">
        <w:t>$</w:t>
      </w:r>
      <w:r w:rsidR="00536716" w:rsidRPr="00F1698F">
        <w:t>1.0</w:t>
      </w:r>
      <w:r w:rsidRPr="00F1698F">
        <w:t xml:space="preserve"> billion ($</w:t>
      </w:r>
      <w:r w:rsidR="00536716" w:rsidRPr="00F1698F">
        <w:t>514.</w:t>
      </w:r>
      <w:r w:rsidR="00F1698F" w:rsidRPr="00F1698F">
        <w:t>9</w:t>
      </w:r>
      <w:r w:rsidRPr="00F1698F">
        <w:t xml:space="preserve"> </w:t>
      </w:r>
      <w:r w:rsidR="00536716" w:rsidRPr="00F1698F">
        <w:t>m</w:t>
      </w:r>
      <w:r w:rsidRPr="00F1698F">
        <w:t>illion</w:t>
      </w:r>
      <w:r w:rsidRPr="00F77D5C">
        <w:t xml:space="preserve"> </w:t>
      </w:r>
      <w:r w:rsidR="00536716">
        <w:t xml:space="preserve">in </w:t>
      </w:r>
      <w:r w:rsidRPr="00F77D5C">
        <w:t xml:space="preserve">recurrent expenses and </w:t>
      </w:r>
      <w:r w:rsidRPr="00F1698F">
        <w:t>$</w:t>
      </w:r>
      <w:r w:rsidR="00536716" w:rsidRPr="00F1698F">
        <w:t>510.2</w:t>
      </w:r>
      <w:r w:rsidRPr="00F1698F">
        <w:t xml:space="preserve"> million</w:t>
      </w:r>
      <w:r w:rsidRPr="00F77D5C">
        <w:t xml:space="preserve"> </w:t>
      </w:r>
      <w:r w:rsidR="00536716">
        <w:t xml:space="preserve">in </w:t>
      </w:r>
      <w:r w:rsidRPr="00F77D5C">
        <w:t xml:space="preserve">capital expenditure) </w:t>
      </w:r>
      <w:r w:rsidR="00DC53CD" w:rsidRPr="00F77D5C">
        <w:t>in this Outcome</w:t>
      </w:r>
      <w:r w:rsidRPr="00F77D5C">
        <w:t>, including</w:t>
      </w:r>
      <w:r w:rsidR="00C00701" w:rsidRPr="00F77D5C">
        <w:t>:</w:t>
      </w:r>
    </w:p>
    <w:p w14:paraId="31AC5537" w14:textId="533AC84B" w:rsidR="00B77DE2" w:rsidRDefault="0689A87B" w:rsidP="00BD7C1A">
      <w:pPr>
        <w:pStyle w:val="Bullet1"/>
        <w:rPr>
          <w:rFonts w:asciiTheme="minorHAnsi" w:eastAsiaTheme="minorEastAsia" w:hAnsiTheme="minorHAnsi" w:cstheme="minorBidi"/>
        </w:rPr>
      </w:pPr>
      <w:r w:rsidRPr="00687228">
        <w:t>$500</w:t>
      </w:r>
      <w:r w:rsidR="000F60D1" w:rsidRPr="00687228">
        <w:t>.0</w:t>
      </w:r>
      <w:r w:rsidRPr="00687228">
        <w:t xml:space="preserve"> million </w:t>
      </w:r>
      <w:r>
        <w:t xml:space="preserve">over three years </w:t>
      </w:r>
      <w:r w:rsidR="3CC133A1">
        <w:t>to</w:t>
      </w:r>
      <w:r w:rsidR="00726CA8">
        <w:t xml:space="preserve"> increase</w:t>
      </w:r>
      <w:r w:rsidR="3CC133A1">
        <w:t xml:space="preserve"> </w:t>
      </w:r>
      <w:r>
        <w:t xml:space="preserve">the Digital Restart Fund </w:t>
      </w:r>
      <w:r w:rsidR="3D832F18">
        <w:t xml:space="preserve">(DRF) </w:t>
      </w:r>
      <w:r w:rsidR="5535AD32">
        <w:t xml:space="preserve">increasing the total funding </w:t>
      </w:r>
      <w:r>
        <w:t xml:space="preserve">to </w:t>
      </w:r>
      <w:r w:rsidRPr="00687228">
        <w:t>$2.1 billion.</w:t>
      </w:r>
      <w:r w:rsidR="378DD3F9">
        <w:t xml:space="preserve"> </w:t>
      </w:r>
      <w:r w:rsidR="5F6FE3AF">
        <w:t xml:space="preserve">The purpose of the </w:t>
      </w:r>
      <w:r w:rsidR="00F43F86">
        <w:t xml:space="preserve">DRF </w:t>
      </w:r>
      <w:r w:rsidR="5F6FE3AF">
        <w:t xml:space="preserve">is to support digital </w:t>
      </w:r>
      <w:r w:rsidR="00472C64">
        <w:t>ICT</w:t>
      </w:r>
      <w:r w:rsidR="5F6FE3AF">
        <w:t xml:space="preserve"> initiatives</w:t>
      </w:r>
      <w:r w:rsidR="06A60EEA">
        <w:t xml:space="preserve"> </w:t>
      </w:r>
      <w:r w:rsidR="00081834">
        <w:t>to foster customer-driven transformation, collaboration and enhance cyber security across the NSW Government sector</w:t>
      </w:r>
    </w:p>
    <w:p w14:paraId="1D544966" w14:textId="2784078B" w:rsidR="00295DA4" w:rsidRPr="00687228" w:rsidRDefault="00295DA4" w:rsidP="00295DA4">
      <w:pPr>
        <w:pStyle w:val="Bullet1"/>
      </w:pPr>
      <w:r w:rsidRPr="00687228">
        <w:t>$221.9 million ($660.2 million</w:t>
      </w:r>
      <w:r>
        <w:t xml:space="preserve"> capital expenditure and </w:t>
      </w:r>
      <w:r w:rsidRPr="00687228">
        <w:t>$286.6 million</w:t>
      </w:r>
      <w:r>
        <w:t xml:space="preserve"> recurrent expenses over five years) for the final phase of the Critical Communications Enhancement</w:t>
      </w:r>
      <w:r w:rsidRPr="54EFFB0F">
        <w:rPr>
          <w:i/>
          <w:iCs/>
        </w:rPr>
        <w:t xml:space="preserve"> </w:t>
      </w:r>
      <w:r>
        <w:t>Program</w:t>
      </w:r>
      <w:r w:rsidR="005E6D7C">
        <w:t xml:space="preserve"> (C</w:t>
      </w:r>
      <w:r w:rsidR="00B00DC7">
        <w:t>CEP)</w:t>
      </w:r>
      <w:r>
        <w:t>. This will create a single, interoperable Public Safety Network for all Emergency Service Organisations. The final 318 (of 675) radio sites will be constructed and brought online delivering full state coverage. Network land coverage will increase from 47 per cent to 85 per cent of New South Wales and an increase in coverage of the State’s population from 96.0 per cent to 99.7 per cent</w:t>
      </w:r>
      <w:r w:rsidRPr="00687228">
        <w:t xml:space="preserve"> </w:t>
      </w:r>
    </w:p>
    <w:p w14:paraId="55EE47BD" w14:textId="6F52579D" w:rsidR="00B600DC" w:rsidRPr="0089325A" w:rsidRDefault="00C57BEB" w:rsidP="00BD7C1A">
      <w:pPr>
        <w:pStyle w:val="Bullet1"/>
        <w:rPr>
          <w:rFonts w:eastAsia="Arial"/>
        </w:rPr>
      </w:pPr>
      <w:r w:rsidRPr="00687228">
        <w:t>$</w:t>
      </w:r>
      <w:r w:rsidR="34AC888B" w:rsidRPr="00687228">
        <w:t>2.5</w:t>
      </w:r>
      <w:r w:rsidRPr="00687228">
        <w:t xml:space="preserve"> million (</w:t>
      </w:r>
      <w:r w:rsidR="5FB39E18" w:rsidRPr="00687228">
        <w:t>$4.</w:t>
      </w:r>
      <w:r w:rsidR="007A6534" w:rsidRPr="00687228">
        <w:t>9</w:t>
      </w:r>
      <w:r w:rsidR="5FB39E18" w:rsidRPr="00687228">
        <w:t xml:space="preserve"> million</w:t>
      </w:r>
      <w:r w:rsidRPr="1616DCF9">
        <w:t xml:space="preserve"> </w:t>
      </w:r>
      <w:r w:rsidR="5FB39E18" w:rsidRPr="1616DCF9">
        <w:t>over two years</w:t>
      </w:r>
      <w:r w:rsidRPr="1616DCF9">
        <w:t>)</w:t>
      </w:r>
      <w:r w:rsidR="5FB39E18" w:rsidRPr="1616DCF9">
        <w:t xml:space="preserve"> </w:t>
      </w:r>
      <w:r w:rsidR="755494EE" w:rsidRPr="1616DCF9">
        <w:t xml:space="preserve">for a </w:t>
      </w:r>
      <w:r w:rsidR="755494EE" w:rsidRPr="0089325A">
        <w:rPr>
          <w:rFonts w:eastAsia="Arial"/>
        </w:rPr>
        <w:t>Digital Procurement Transformation Program</w:t>
      </w:r>
      <w:r w:rsidR="61F6549C" w:rsidRPr="0089325A">
        <w:rPr>
          <w:rFonts w:eastAsia="Arial"/>
        </w:rPr>
        <w:t xml:space="preserve"> </w:t>
      </w:r>
      <w:r w:rsidR="49DD39B3" w:rsidRPr="0089325A">
        <w:rPr>
          <w:rFonts w:eastAsia="Arial"/>
        </w:rPr>
        <w:t xml:space="preserve">to simplify transacting </w:t>
      </w:r>
      <w:r w:rsidR="44DEEF54" w:rsidRPr="0089325A">
        <w:rPr>
          <w:rFonts w:eastAsia="Arial"/>
        </w:rPr>
        <w:t xml:space="preserve">with the NSW Government. </w:t>
      </w:r>
      <w:r w:rsidR="6AE3CA55" w:rsidRPr="0089325A">
        <w:rPr>
          <w:rFonts w:eastAsia="Arial"/>
        </w:rPr>
        <w:t xml:space="preserve">It connects buyers and suppliers and supports social procurement policies and diversity of spend with </w:t>
      </w:r>
      <w:r w:rsidR="006C656C" w:rsidRPr="0089325A">
        <w:rPr>
          <w:rFonts w:eastAsia="Arial"/>
        </w:rPr>
        <w:t>subject matter expert</w:t>
      </w:r>
      <w:r w:rsidR="00E17FD5">
        <w:rPr>
          <w:rFonts w:eastAsia="Arial"/>
        </w:rPr>
        <w:t>s</w:t>
      </w:r>
      <w:r w:rsidR="6AE3CA55" w:rsidRPr="0089325A">
        <w:rPr>
          <w:rFonts w:eastAsia="Arial"/>
        </w:rPr>
        <w:t>, Aboriginal-owned, regional and start-up enterprises</w:t>
      </w:r>
      <w:r w:rsidR="00F77D5C" w:rsidRPr="0089325A">
        <w:rPr>
          <w:rFonts w:eastAsia="Arial"/>
        </w:rPr>
        <w:t>.</w:t>
      </w:r>
      <w:r w:rsidR="009451CD">
        <w:br/>
      </w:r>
    </w:p>
    <w:p w14:paraId="4EFD1702" w14:textId="77777777" w:rsidR="00B16CDD" w:rsidRDefault="00B16CDD">
      <w:pPr>
        <w:rPr>
          <w:rFonts w:ascii="Arial" w:eastAsiaTheme="majorEastAsia" w:hAnsi="Arial" w:cs="Arial"/>
          <w:b/>
          <w:kern w:val="28"/>
          <w:sz w:val="27"/>
          <w:szCs w:val="36"/>
        </w:rPr>
      </w:pPr>
      <w:bookmarkStart w:id="11" w:name="_Toc473722853"/>
      <w:bookmarkStart w:id="12" w:name="_Toc511769340"/>
      <w:r>
        <w:rPr>
          <w:rFonts w:cs="Arial"/>
        </w:rPr>
        <w:br w:type="page"/>
      </w:r>
    </w:p>
    <w:p w14:paraId="65605835" w14:textId="3F3AD4A8" w:rsidR="006A63F4" w:rsidRDefault="006A63F4" w:rsidP="006A63F4">
      <w:pPr>
        <w:pStyle w:val="Heading3"/>
        <w:rPr>
          <w:rFonts w:cs="Arial"/>
        </w:rPr>
      </w:pPr>
      <w:r w:rsidRPr="00DC6435">
        <w:rPr>
          <w:rFonts w:cs="Arial"/>
        </w:rPr>
        <w:lastRenderedPageBreak/>
        <w:t xml:space="preserve">Key performance insights </w:t>
      </w:r>
    </w:p>
    <w:p w14:paraId="2705B7B5" w14:textId="60C109FD" w:rsidR="00C570BF" w:rsidRDefault="00D86D6A" w:rsidP="00A16CB3">
      <w:pPr>
        <w:pStyle w:val="BodyText"/>
        <w:rPr>
          <w:lang w:eastAsia="en-AU"/>
        </w:rPr>
      </w:pPr>
      <w:r w:rsidRPr="007934B1">
        <w:rPr>
          <w:lang w:eastAsia="en-AU"/>
        </w:rPr>
        <w:t>This section provides analysis and insights on key Outcome Indicators for this State Outcome.</w:t>
      </w:r>
    </w:p>
    <w:p w14:paraId="5D89F6A9" w14:textId="0E95230B" w:rsidR="00C570BF" w:rsidRPr="002A4CB0" w:rsidRDefault="00C570BF" w:rsidP="78C38E8C">
      <w:pPr>
        <w:pStyle w:val="Heading4"/>
        <w:spacing w:before="320" w:after="120"/>
        <w:rPr>
          <w:rFonts w:ascii="Arial Bold" w:hAnsi="Arial Bold"/>
          <w:color w:val="00426F"/>
        </w:rPr>
      </w:pPr>
      <w:r w:rsidRPr="78C38E8C">
        <w:rPr>
          <w:rFonts w:ascii="Arial Bold" w:hAnsi="Arial Bold"/>
          <w:color w:val="00426F"/>
        </w:rPr>
        <w:t xml:space="preserve">Public safety coverage and operations of the </w:t>
      </w:r>
      <w:r w:rsidR="00D252F7" w:rsidRPr="005328E9">
        <w:rPr>
          <w:rFonts w:ascii="Arial Bold" w:hAnsi="Arial Bold"/>
          <w:i/>
          <w:iCs/>
          <w:color w:val="00426F"/>
        </w:rPr>
        <w:t xml:space="preserve">Critical </w:t>
      </w:r>
      <w:r w:rsidR="00D252F7" w:rsidRPr="78C38E8C">
        <w:rPr>
          <w:rFonts w:ascii="Arial Bold" w:hAnsi="Arial Bold"/>
          <w:i/>
          <w:iCs/>
          <w:color w:val="00426F"/>
        </w:rPr>
        <w:t>Communications</w:t>
      </w:r>
      <w:r w:rsidR="00D252F7" w:rsidRPr="005328E9">
        <w:rPr>
          <w:rFonts w:ascii="Arial Bold" w:hAnsi="Arial Bold"/>
          <w:i/>
          <w:iCs/>
          <w:color w:val="00426F"/>
        </w:rPr>
        <w:t xml:space="preserve"> Enhancement Program</w:t>
      </w:r>
      <w:r w:rsidR="00D252F7" w:rsidRPr="78C38E8C">
        <w:rPr>
          <w:rFonts w:ascii="Arial Bold" w:hAnsi="Arial Bold"/>
          <w:color w:val="00426F"/>
        </w:rPr>
        <w:t xml:space="preserve"> (</w:t>
      </w:r>
      <w:r w:rsidRPr="78C38E8C">
        <w:rPr>
          <w:rFonts w:ascii="Arial Bold" w:hAnsi="Arial Bold"/>
          <w:color w:val="00426F"/>
        </w:rPr>
        <w:t>CCEP</w:t>
      </w:r>
      <w:r w:rsidR="00D252F7" w:rsidRPr="78C38E8C">
        <w:rPr>
          <w:rFonts w:ascii="Arial Bold" w:hAnsi="Arial Bold"/>
          <w:color w:val="00426F"/>
        </w:rPr>
        <w:t>)</w:t>
      </w:r>
    </w:p>
    <w:p w14:paraId="69510C64" w14:textId="04EC1243" w:rsidR="00C51B94" w:rsidRDefault="00C570BF" w:rsidP="00330C5D">
      <w:pPr>
        <w:pStyle w:val="BodyText"/>
        <w:rPr>
          <w:rFonts w:eastAsia="Calibri"/>
        </w:rPr>
      </w:pPr>
      <w:r w:rsidRPr="01510A89">
        <w:t xml:space="preserve">The Public Safety Network (PSN) is one of the world's largest trunked radio networks </w:t>
      </w:r>
      <w:r w:rsidR="00C84B0C" w:rsidRPr="01510A89">
        <w:rPr>
          <w:rFonts w:eastAsia="Calibri"/>
        </w:rPr>
        <w:t xml:space="preserve">now </w:t>
      </w:r>
      <w:r w:rsidRPr="01510A89">
        <w:rPr>
          <w:rFonts w:eastAsia="Calibri"/>
        </w:rPr>
        <w:t>serving</w:t>
      </w:r>
      <w:r w:rsidR="00BD40DD" w:rsidRPr="01510A89">
        <w:rPr>
          <w:rFonts w:eastAsia="Calibri"/>
        </w:rPr>
        <w:t xml:space="preserve"> </w:t>
      </w:r>
      <w:r w:rsidRPr="01510A89">
        <w:rPr>
          <w:rFonts w:eastAsia="Calibri"/>
        </w:rPr>
        <w:t>60 agencies and almost 60,000 registered radios.</w:t>
      </w:r>
      <w:r w:rsidR="00C51B94" w:rsidRPr="01510A89">
        <w:rPr>
          <w:rFonts w:eastAsia="Calibri"/>
        </w:rPr>
        <w:t xml:space="preserve"> </w:t>
      </w:r>
      <w:r w:rsidRPr="01510A89">
        <w:rPr>
          <w:rFonts w:eastAsia="Calibri"/>
        </w:rPr>
        <w:t>Next to Australia’s triple zero emergency hotline, the PSN is the most important critical communications network in N</w:t>
      </w:r>
      <w:r w:rsidR="00057608" w:rsidRPr="01510A89">
        <w:rPr>
          <w:rFonts w:eastAsia="Calibri"/>
        </w:rPr>
        <w:t>ew</w:t>
      </w:r>
      <w:r w:rsidR="009B6D1A" w:rsidRPr="01510A89">
        <w:rPr>
          <w:rFonts w:eastAsia="Calibri"/>
        </w:rPr>
        <w:t> </w:t>
      </w:r>
      <w:r w:rsidRPr="01510A89">
        <w:rPr>
          <w:rFonts w:eastAsia="Calibri"/>
        </w:rPr>
        <w:t>S</w:t>
      </w:r>
      <w:r w:rsidR="00057608" w:rsidRPr="01510A89">
        <w:rPr>
          <w:rFonts w:eastAsia="Calibri"/>
        </w:rPr>
        <w:t xml:space="preserve">outh </w:t>
      </w:r>
      <w:r w:rsidRPr="01510A89">
        <w:rPr>
          <w:rFonts w:eastAsia="Calibri"/>
        </w:rPr>
        <w:t>W</w:t>
      </w:r>
      <w:r w:rsidR="00057608" w:rsidRPr="01510A89">
        <w:rPr>
          <w:rFonts w:eastAsia="Calibri"/>
        </w:rPr>
        <w:t>ales</w:t>
      </w:r>
      <w:r w:rsidRPr="01510A89">
        <w:rPr>
          <w:rFonts w:eastAsia="Calibri"/>
        </w:rPr>
        <w:t xml:space="preserve">. </w:t>
      </w:r>
    </w:p>
    <w:p w14:paraId="28468E48" w14:textId="52F309C6" w:rsidR="00C570BF" w:rsidRPr="00C570BF" w:rsidRDefault="008B1EEA" w:rsidP="00330C5D">
      <w:pPr>
        <w:pStyle w:val="BodyText"/>
        <w:rPr>
          <w:rFonts w:eastAsia="Calibri"/>
        </w:rPr>
      </w:pPr>
      <w:r w:rsidRPr="78C38E8C">
        <w:t>The performance t</w:t>
      </w:r>
      <w:r w:rsidR="00C570BF" w:rsidRPr="78C38E8C">
        <w:rPr>
          <w:rFonts w:eastAsia="Calibri"/>
        </w:rPr>
        <w:t xml:space="preserve">arget </w:t>
      </w:r>
      <w:r w:rsidRPr="78C38E8C">
        <w:rPr>
          <w:rFonts w:eastAsia="Calibri"/>
        </w:rPr>
        <w:t xml:space="preserve">for </w:t>
      </w:r>
      <w:r w:rsidR="00C570BF" w:rsidRPr="78C38E8C">
        <w:rPr>
          <w:rFonts w:eastAsia="Calibri"/>
        </w:rPr>
        <w:t>operational availability for the network is 99.95</w:t>
      </w:r>
      <w:r w:rsidRPr="78C38E8C">
        <w:rPr>
          <w:rFonts w:eastAsia="Calibri"/>
        </w:rPr>
        <w:t xml:space="preserve"> per cent</w:t>
      </w:r>
      <w:r w:rsidR="00C570BF" w:rsidRPr="78C38E8C">
        <w:rPr>
          <w:rFonts w:eastAsia="Calibri"/>
        </w:rPr>
        <w:t>. Performance against this indictor continues to track to target, with an average of 1.47 million radio calls made on the network per month.</w:t>
      </w:r>
    </w:p>
    <w:p w14:paraId="6C7AFB90" w14:textId="2E2A4FBA" w:rsidR="00333193" w:rsidRDefault="00C570BF" w:rsidP="00330C5D">
      <w:pPr>
        <w:pStyle w:val="BodyText"/>
        <w:rPr>
          <w:rFonts w:eastAsia="Calibri"/>
        </w:rPr>
      </w:pPr>
      <w:r w:rsidRPr="78C38E8C">
        <w:t xml:space="preserve">The </w:t>
      </w:r>
      <w:r w:rsidRPr="78C38E8C">
        <w:rPr>
          <w:rFonts w:eastAsia="Calibri"/>
        </w:rPr>
        <w:t>PSN is being expanded through the CCEP. Geographic coverage of the PSN is at 41</w:t>
      </w:r>
      <w:r w:rsidR="00DE5F1B">
        <w:rPr>
          <w:rFonts w:eastAsia="Calibri"/>
        </w:rPr>
        <w:t> </w:t>
      </w:r>
      <w:r w:rsidR="003215A9" w:rsidRPr="78C38E8C">
        <w:rPr>
          <w:rFonts w:eastAsia="Calibri"/>
        </w:rPr>
        <w:t>per</w:t>
      </w:r>
      <w:r w:rsidR="00DE5F1B">
        <w:rPr>
          <w:rFonts w:eastAsia="Calibri"/>
        </w:rPr>
        <w:t> </w:t>
      </w:r>
      <w:r w:rsidR="003215A9" w:rsidRPr="78C38E8C">
        <w:rPr>
          <w:rFonts w:eastAsia="Calibri"/>
        </w:rPr>
        <w:t>cent</w:t>
      </w:r>
      <w:r w:rsidRPr="78C38E8C">
        <w:rPr>
          <w:rFonts w:eastAsia="Calibri"/>
        </w:rPr>
        <w:t xml:space="preserve"> providing population coverage of 94</w:t>
      </w:r>
      <w:r w:rsidR="003215A9" w:rsidRPr="78C38E8C">
        <w:rPr>
          <w:rFonts w:eastAsia="Calibri"/>
        </w:rPr>
        <w:t xml:space="preserve"> per cent</w:t>
      </w:r>
      <w:r w:rsidRPr="78C38E8C">
        <w:rPr>
          <w:rFonts w:eastAsia="Calibri"/>
        </w:rPr>
        <w:t>.</w:t>
      </w:r>
      <w:r w:rsidR="7494394C" w:rsidRPr="1154117A">
        <w:rPr>
          <w:rFonts w:eastAsia="Calibri"/>
        </w:rPr>
        <w:t xml:space="preserve"> The continued investment in the </w:t>
      </w:r>
      <w:r w:rsidR="3B7FF291" w:rsidRPr="1154117A">
        <w:rPr>
          <w:rFonts w:eastAsia="Calibri"/>
        </w:rPr>
        <w:t>CCEP will see the geographic and population coverage continue to expand.</w:t>
      </w:r>
    </w:p>
    <w:p w14:paraId="558390E7" w14:textId="1FA826B9" w:rsidR="00333193" w:rsidRDefault="0075064E" w:rsidP="00FF7606">
      <w:pPr>
        <w:pStyle w:val="Chart1X"/>
        <w:rPr>
          <w:rFonts w:eastAsiaTheme="minorEastAsia" w:cs="Arial"/>
          <w:color w:val="808080" w:themeColor="background1" w:themeShade="80"/>
          <w:sz w:val="23"/>
          <w:szCs w:val="23"/>
          <w:lang w:eastAsia="en-AU"/>
        </w:rPr>
      </w:pPr>
      <w:r w:rsidRPr="00857E39">
        <w:rPr>
          <w:rFonts w:eastAsiaTheme="minorEastAsia"/>
        </w:rPr>
        <w:t>Public safety coverage and operations of the CCEP</w:t>
      </w:r>
    </w:p>
    <w:p w14:paraId="79E39FE9" w14:textId="06C898E5" w:rsidR="0075064E" w:rsidRDefault="00E268CA" w:rsidP="004F79B1">
      <w:pPr>
        <w:jc w:val="center"/>
        <w:rPr>
          <w:rFonts w:ascii="Arial" w:eastAsiaTheme="minorEastAsia" w:hAnsi="Arial" w:cs="Arial"/>
          <w:i/>
          <w:iCs/>
          <w:color w:val="808080" w:themeColor="background1" w:themeShade="80"/>
          <w:sz w:val="23"/>
          <w:szCs w:val="23"/>
          <w:lang w:eastAsia="en-AU"/>
        </w:rPr>
      </w:pPr>
      <w:r>
        <w:rPr>
          <w:rFonts w:ascii="Arial" w:eastAsiaTheme="minorEastAsia" w:hAnsi="Arial" w:cs="Arial"/>
          <w:i/>
          <w:iCs/>
          <w:noProof/>
          <w:color w:val="808080" w:themeColor="background1" w:themeShade="80"/>
          <w:sz w:val="23"/>
          <w:szCs w:val="23"/>
          <w:lang w:eastAsia="en-AU"/>
        </w:rPr>
        <w:drawing>
          <wp:inline distT="0" distB="0" distL="0" distR="0" wp14:anchorId="6236A1F2" wp14:editId="219BDB5B">
            <wp:extent cx="4712335" cy="2341245"/>
            <wp:effectExtent l="0" t="0" r="0" b="0"/>
            <wp:docPr id="20" name="Picture 20" descr="Chart 1.5: Public safety coverage and operations of the C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1.5: Public safety coverage and operations of the CCE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2335" cy="2341245"/>
                    </a:xfrm>
                    <a:prstGeom prst="rect">
                      <a:avLst/>
                    </a:prstGeom>
                    <a:noFill/>
                  </pic:spPr>
                </pic:pic>
              </a:graphicData>
            </a:graphic>
          </wp:inline>
        </w:drawing>
      </w:r>
    </w:p>
    <w:p w14:paraId="0D134225" w14:textId="518D23A2" w:rsidR="00A3672D" w:rsidRPr="00CE17F5" w:rsidRDefault="00A3672D" w:rsidP="00A3672D">
      <w:pPr>
        <w:rPr>
          <w:rFonts w:ascii="Arial Bold" w:hAnsi="Arial Bold"/>
          <w:color w:val="00426F"/>
          <w:sz w:val="17"/>
          <w:szCs w:val="17"/>
        </w:rPr>
      </w:pPr>
      <w:r w:rsidRPr="00CE17F5">
        <w:rPr>
          <w:rFonts w:ascii="Arial" w:eastAsiaTheme="minorEastAsia" w:hAnsi="Arial" w:cs="Arial"/>
          <w:sz w:val="17"/>
          <w:szCs w:val="17"/>
          <w:lang w:eastAsia="en-AU"/>
        </w:rPr>
        <w:t xml:space="preserve">Note: </w:t>
      </w:r>
      <w:r w:rsidR="007A6F4E">
        <w:rPr>
          <w:rFonts w:ascii="Arial" w:eastAsiaTheme="minorEastAsia" w:hAnsi="Arial" w:cs="Arial"/>
          <w:sz w:val="17"/>
          <w:szCs w:val="17"/>
          <w:lang w:eastAsia="en-AU"/>
        </w:rPr>
        <w:t>target for geographic and population availability is to maintain current performance</w:t>
      </w:r>
      <w:r w:rsidR="00DE5F1B">
        <w:rPr>
          <w:rFonts w:ascii="Arial" w:eastAsiaTheme="minorEastAsia" w:hAnsi="Arial" w:cs="Arial"/>
          <w:sz w:val="17"/>
          <w:szCs w:val="17"/>
          <w:lang w:eastAsia="en-AU"/>
        </w:rPr>
        <w:t>.</w:t>
      </w:r>
      <w:r w:rsidR="007A6F4E">
        <w:rPr>
          <w:rFonts w:ascii="Arial" w:eastAsiaTheme="minorEastAsia" w:hAnsi="Arial" w:cs="Arial"/>
          <w:sz w:val="17"/>
          <w:szCs w:val="17"/>
          <w:lang w:eastAsia="en-AU"/>
        </w:rPr>
        <w:t xml:space="preserve"> </w:t>
      </w:r>
    </w:p>
    <w:p w14:paraId="17BF91E6" w14:textId="5BDF448A" w:rsidR="00C570BF" w:rsidRPr="00885F24" w:rsidRDefault="00C570BF" w:rsidP="00885F24">
      <w:pPr>
        <w:pStyle w:val="Heading4"/>
        <w:spacing w:before="320" w:after="120"/>
        <w:rPr>
          <w:rFonts w:ascii="Arial Bold" w:hAnsi="Arial Bold"/>
          <w:color w:val="00426F"/>
        </w:rPr>
      </w:pPr>
      <w:r w:rsidRPr="002A4CB0">
        <w:rPr>
          <w:rFonts w:ascii="Arial Bold" w:hAnsi="Arial Bold"/>
          <w:color w:val="00426F"/>
        </w:rPr>
        <w:t>N</w:t>
      </w:r>
      <w:r w:rsidR="00A34012">
        <w:rPr>
          <w:rFonts w:ascii="Arial Bold" w:hAnsi="Arial Bold"/>
          <w:color w:val="00426F"/>
        </w:rPr>
        <w:t xml:space="preserve">ew </w:t>
      </w:r>
      <w:r w:rsidRPr="002A4CB0">
        <w:rPr>
          <w:rFonts w:ascii="Arial Bold" w:hAnsi="Arial Bold"/>
          <w:color w:val="00426F"/>
        </w:rPr>
        <w:t>S</w:t>
      </w:r>
      <w:r w:rsidR="00A34012">
        <w:rPr>
          <w:rFonts w:ascii="Arial Bold" w:hAnsi="Arial Bold"/>
          <w:color w:val="00426F"/>
        </w:rPr>
        <w:t xml:space="preserve">outh </w:t>
      </w:r>
      <w:r w:rsidRPr="002A4CB0">
        <w:rPr>
          <w:rFonts w:ascii="Arial Bold" w:hAnsi="Arial Bold"/>
          <w:color w:val="00426F"/>
        </w:rPr>
        <w:t>W</w:t>
      </w:r>
      <w:r w:rsidR="00A34012">
        <w:rPr>
          <w:rFonts w:ascii="Arial Bold" w:hAnsi="Arial Bold"/>
          <w:color w:val="00426F"/>
        </w:rPr>
        <w:t>ales</w:t>
      </w:r>
      <w:r w:rsidRPr="002A4CB0">
        <w:rPr>
          <w:rFonts w:ascii="Arial Bold" w:hAnsi="Arial Bold"/>
          <w:color w:val="00426F"/>
        </w:rPr>
        <w:t xml:space="preserve"> digital government readiness</w:t>
      </w:r>
    </w:p>
    <w:p w14:paraId="2B4CED29" w14:textId="4EB5B87D" w:rsidR="00C570BF" w:rsidRPr="00C570BF" w:rsidRDefault="00C570BF" w:rsidP="00330C5D">
      <w:pPr>
        <w:pStyle w:val="BodyText"/>
        <w:rPr>
          <w:rFonts w:eastAsia="Calibri"/>
        </w:rPr>
      </w:pPr>
      <w:r w:rsidRPr="01510A89">
        <w:t>N</w:t>
      </w:r>
      <w:r w:rsidR="00113097" w:rsidRPr="01510A89">
        <w:rPr>
          <w:rFonts w:eastAsia="Calibri"/>
        </w:rPr>
        <w:t xml:space="preserve">ew </w:t>
      </w:r>
      <w:r w:rsidRPr="01510A89">
        <w:rPr>
          <w:rFonts w:eastAsia="Calibri"/>
        </w:rPr>
        <w:t>S</w:t>
      </w:r>
      <w:r w:rsidR="00113097" w:rsidRPr="01510A89">
        <w:rPr>
          <w:rFonts w:eastAsia="Calibri"/>
        </w:rPr>
        <w:t xml:space="preserve">outh </w:t>
      </w:r>
      <w:r w:rsidRPr="01510A89">
        <w:rPr>
          <w:rFonts w:eastAsia="Calibri"/>
        </w:rPr>
        <w:t>W</w:t>
      </w:r>
      <w:r w:rsidR="00113097" w:rsidRPr="01510A89">
        <w:rPr>
          <w:rFonts w:eastAsia="Calibri"/>
        </w:rPr>
        <w:t>ales</w:t>
      </w:r>
      <w:r w:rsidRPr="01510A89">
        <w:rPr>
          <w:rFonts w:eastAsia="Calibri"/>
        </w:rPr>
        <w:t xml:space="preserve"> remains the leading Australian jurisdiction for digital readiness,</w:t>
      </w:r>
      <w:r w:rsidR="49EE2B2F" w:rsidRPr="01510A89">
        <w:rPr>
          <w:rFonts w:eastAsia="Calibri"/>
        </w:rPr>
        <w:t xml:space="preserve"> as it has been for the past five years,</w:t>
      </w:r>
      <w:r w:rsidRPr="01510A89">
        <w:rPr>
          <w:rFonts w:eastAsia="Calibri"/>
        </w:rPr>
        <w:t xml:space="preserve"> increasing its digital government readiness score by 0.1 index points to 9.8</w:t>
      </w:r>
      <w:r w:rsidR="00667902" w:rsidRPr="01510A89">
        <w:rPr>
          <w:rFonts w:eastAsia="Calibri"/>
        </w:rPr>
        <w:t xml:space="preserve"> out of </w:t>
      </w:r>
      <w:r w:rsidRPr="01510A89">
        <w:rPr>
          <w:rFonts w:eastAsia="Calibri"/>
        </w:rPr>
        <w:t>10</w:t>
      </w:r>
      <w:r w:rsidR="00667902" w:rsidRPr="01510A89">
        <w:rPr>
          <w:rFonts w:eastAsia="Calibri"/>
        </w:rPr>
        <w:t xml:space="preserve"> on the latest </w:t>
      </w:r>
      <w:r w:rsidR="00BF018F" w:rsidRPr="01510A89">
        <w:rPr>
          <w:rFonts w:eastAsia="Calibri"/>
        </w:rPr>
        <w:t>Digital</w:t>
      </w:r>
      <w:r w:rsidR="003953A9" w:rsidRPr="01510A89">
        <w:rPr>
          <w:rFonts w:eastAsia="Calibri"/>
        </w:rPr>
        <w:t> </w:t>
      </w:r>
      <w:r w:rsidR="00667902" w:rsidRPr="01510A89">
        <w:rPr>
          <w:rFonts w:eastAsia="Calibri"/>
        </w:rPr>
        <w:t>Government Readiness report</w:t>
      </w:r>
      <w:r w:rsidRPr="01510A89">
        <w:rPr>
          <w:rFonts w:eastAsia="Calibri"/>
        </w:rPr>
        <w:t>. Digital readiness assesses jurisdictions against various enabling criterion: implementation of an ICT strategy, appropriate ICT policies, having a robust approach to ICT governance, the existence of a whole</w:t>
      </w:r>
      <w:r w:rsidR="008C3663">
        <w:rPr>
          <w:rFonts w:eastAsia="Calibri"/>
        </w:rPr>
        <w:t>-</w:t>
      </w:r>
      <w:r w:rsidRPr="01510A89">
        <w:rPr>
          <w:rFonts w:eastAsia="Calibri"/>
        </w:rPr>
        <w:t>of</w:t>
      </w:r>
      <w:r w:rsidR="008C3663">
        <w:rPr>
          <w:rFonts w:eastAsia="Calibri"/>
        </w:rPr>
        <w:t>-</w:t>
      </w:r>
      <w:r w:rsidRPr="01510A89">
        <w:rPr>
          <w:rFonts w:eastAsia="Calibri"/>
        </w:rPr>
        <w:t>government service delivery agency, reforming procurement policy to enable digital government and cross-jurisdictional collaboration.</w:t>
      </w:r>
    </w:p>
    <w:p w14:paraId="75FCEB7C" w14:textId="5157A142" w:rsidR="00B16CDD" w:rsidRDefault="00BF018F" w:rsidP="00330C5D">
      <w:pPr>
        <w:pStyle w:val="BodyText"/>
        <w:rPr>
          <w:rFonts w:eastAsiaTheme="minorEastAsia"/>
          <w:i/>
          <w:iCs/>
          <w:color w:val="808080" w:themeColor="background1" w:themeShade="80"/>
          <w:lang w:eastAsia="en-AU"/>
        </w:rPr>
      </w:pPr>
      <w:r w:rsidRPr="54EFFB0F">
        <w:t xml:space="preserve">The strong performance against this indicator </w:t>
      </w:r>
      <w:r w:rsidR="00C570BF" w:rsidRPr="54EFFB0F">
        <w:rPr>
          <w:rFonts w:eastAsia="Calibri"/>
        </w:rPr>
        <w:t xml:space="preserve">reflects </w:t>
      </w:r>
      <w:r w:rsidR="000D154F">
        <w:rPr>
          <w:rFonts w:eastAsia="Calibri"/>
        </w:rPr>
        <w:t xml:space="preserve">the </w:t>
      </w:r>
      <w:r w:rsidR="00C570BF" w:rsidRPr="54EFFB0F">
        <w:rPr>
          <w:rFonts w:eastAsia="Calibri"/>
        </w:rPr>
        <w:t>N</w:t>
      </w:r>
      <w:r w:rsidR="0008390E" w:rsidRPr="54EFFB0F">
        <w:rPr>
          <w:rFonts w:eastAsia="Calibri"/>
        </w:rPr>
        <w:t xml:space="preserve">ew </w:t>
      </w:r>
      <w:r w:rsidR="00C570BF" w:rsidRPr="54EFFB0F">
        <w:rPr>
          <w:rFonts w:eastAsia="Calibri"/>
        </w:rPr>
        <w:t>S</w:t>
      </w:r>
      <w:r w:rsidR="0008390E" w:rsidRPr="54EFFB0F">
        <w:rPr>
          <w:rFonts w:eastAsia="Calibri"/>
        </w:rPr>
        <w:t xml:space="preserve">outh </w:t>
      </w:r>
      <w:r w:rsidR="00C570BF" w:rsidRPr="54EFFB0F">
        <w:rPr>
          <w:rFonts w:eastAsia="Calibri"/>
        </w:rPr>
        <w:t>W</w:t>
      </w:r>
      <w:r w:rsidR="0008390E" w:rsidRPr="54EFFB0F">
        <w:rPr>
          <w:rFonts w:eastAsia="Calibri"/>
        </w:rPr>
        <w:t>ales</w:t>
      </w:r>
      <w:r w:rsidR="000D154F">
        <w:rPr>
          <w:rFonts w:eastAsia="Calibri"/>
        </w:rPr>
        <w:t xml:space="preserve"> Government’s</w:t>
      </w:r>
      <w:r w:rsidR="00C570BF" w:rsidRPr="54EFFB0F">
        <w:rPr>
          <w:rFonts w:eastAsia="Calibri"/>
        </w:rPr>
        <w:t xml:space="preserve"> holistic commitment to digital government including continued reporting against a comprehensive digital transformation strategy, significant funding </w:t>
      </w:r>
      <w:r w:rsidR="24399694" w:rsidRPr="54EFFB0F">
        <w:rPr>
          <w:rFonts w:eastAsia="Calibri"/>
        </w:rPr>
        <w:t>through the $2.1 billion Digital Restart Fund</w:t>
      </w:r>
      <w:r w:rsidR="00C570BF" w:rsidRPr="54EFFB0F">
        <w:rPr>
          <w:rFonts w:eastAsia="Calibri"/>
        </w:rPr>
        <w:t>,</w:t>
      </w:r>
      <w:r w:rsidR="00F16844" w:rsidRPr="54EFFB0F">
        <w:rPr>
          <w:rFonts w:eastAsia="Calibri"/>
        </w:rPr>
        <w:t xml:space="preserve"> and</w:t>
      </w:r>
      <w:r w:rsidR="00C570BF" w:rsidRPr="54EFFB0F">
        <w:rPr>
          <w:rFonts w:eastAsia="Calibri"/>
        </w:rPr>
        <w:t xml:space="preserve"> investments in </w:t>
      </w:r>
      <w:r w:rsidR="007C77D4" w:rsidRPr="54EFFB0F">
        <w:rPr>
          <w:rFonts w:eastAsia="Calibri"/>
        </w:rPr>
        <w:t>whole</w:t>
      </w:r>
      <w:r w:rsidR="008C3663" w:rsidRPr="54EFFB0F">
        <w:rPr>
          <w:rFonts w:eastAsia="Calibri"/>
        </w:rPr>
        <w:t>-</w:t>
      </w:r>
      <w:r w:rsidR="007C77D4" w:rsidRPr="54EFFB0F">
        <w:rPr>
          <w:rFonts w:eastAsia="Calibri"/>
        </w:rPr>
        <w:t>of</w:t>
      </w:r>
      <w:r w:rsidR="008C3663" w:rsidRPr="54EFFB0F">
        <w:rPr>
          <w:rFonts w:eastAsia="Calibri"/>
        </w:rPr>
        <w:t>-</w:t>
      </w:r>
      <w:r w:rsidR="007C77D4" w:rsidRPr="54EFFB0F">
        <w:rPr>
          <w:rFonts w:eastAsia="Calibri"/>
        </w:rPr>
        <w:t xml:space="preserve">government </w:t>
      </w:r>
      <w:r w:rsidR="00C570BF" w:rsidRPr="54EFFB0F">
        <w:rPr>
          <w:rFonts w:eastAsia="Calibri"/>
        </w:rPr>
        <w:t>platforms, security and privacy and emerg</w:t>
      </w:r>
      <w:r w:rsidRPr="54EFFB0F">
        <w:rPr>
          <w:rFonts w:eastAsia="Calibri"/>
        </w:rPr>
        <w:t>ing</w:t>
      </w:r>
      <w:r w:rsidR="00C570BF" w:rsidRPr="54EFFB0F">
        <w:rPr>
          <w:rFonts w:eastAsia="Calibri"/>
        </w:rPr>
        <w:t xml:space="preserve"> technologies such as Artificial Intelligence, Spatial Digital Twins and the Internet-of-Things.</w:t>
      </w:r>
    </w:p>
    <w:p w14:paraId="7AA2F9EE" w14:textId="77777777" w:rsidR="00FF7606" w:rsidRDefault="00FF7606">
      <w:pPr>
        <w:rPr>
          <w:rFonts w:ascii="Arial" w:eastAsiaTheme="minorEastAsia" w:hAnsi="Arial"/>
          <w:i/>
          <w:color w:val="4F4F4F"/>
          <w:sz w:val="22"/>
          <w:lang w:val="en-US"/>
        </w:rPr>
      </w:pPr>
      <w:r>
        <w:rPr>
          <w:rFonts w:eastAsiaTheme="minorEastAsia"/>
        </w:rPr>
        <w:br w:type="page"/>
      </w:r>
    </w:p>
    <w:p w14:paraId="332AD5DC" w14:textId="66162554" w:rsidR="004F4E67" w:rsidRPr="008C3663" w:rsidRDefault="000740D6" w:rsidP="00FF7606">
      <w:pPr>
        <w:pStyle w:val="Chart1X"/>
        <w:rPr>
          <w:rFonts w:eastAsiaTheme="minorEastAsia" w:cs="Arial"/>
          <w:color w:val="808080" w:themeColor="background1" w:themeShade="80"/>
          <w:sz w:val="23"/>
          <w:szCs w:val="23"/>
          <w:lang w:eastAsia="en-AU"/>
        </w:rPr>
      </w:pPr>
      <w:r w:rsidRPr="00857E39">
        <w:rPr>
          <w:rFonts w:eastAsiaTheme="minorEastAsia"/>
        </w:rPr>
        <w:lastRenderedPageBreak/>
        <w:t>NSW digital government readiness</w:t>
      </w:r>
    </w:p>
    <w:p w14:paraId="3B2F23A3" w14:textId="0165519B" w:rsidR="00C570BF" w:rsidRDefault="0091194C" w:rsidP="0089325A">
      <w:pPr>
        <w:jc w:val="center"/>
        <w:rPr>
          <w:rFonts w:ascii="Arial" w:eastAsia="Calibri" w:hAnsi="Arial" w:cs="Arial"/>
          <w:sz w:val="23"/>
          <w:szCs w:val="23"/>
        </w:rPr>
      </w:pPr>
      <w:r>
        <w:rPr>
          <w:rFonts w:ascii="Arial" w:eastAsia="Calibri" w:hAnsi="Arial" w:cs="Arial"/>
          <w:noProof/>
          <w:sz w:val="23"/>
          <w:szCs w:val="23"/>
        </w:rPr>
        <w:drawing>
          <wp:inline distT="0" distB="0" distL="0" distR="0" wp14:anchorId="62BAE838" wp14:editId="3E974DBE">
            <wp:extent cx="4706620" cy="2341245"/>
            <wp:effectExtent l="0" t="0" r="0" b="0"/>
            <wp:docPr id="21" name="Picture 21" descr="Chart 1.6: NSW digital government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1.6: NSW digital government readin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6620" cy="2341245"/>
                    </a:xfrm>
                    <a:prstGeom prst="rect">
                      <a:avLst/>
                    </a:prstGeom>
                    <a:noFill/>
                  </pic:spPr>
                </pic:pic>
              </a:graphicData>
            </a:graphic>
          </wp:inline>
        </w:drawing>
      </w:r>
    </w:p>
    <w:p w14:paraId="24E341F2" w14:textId="77777777" w:rsidR="00A564ED" w:rsidRPr="00A564ED" w:rsidRDefault="00A564ED" w:rsidP="000740D6">
      <w:pPr>
        <w:rPr>
          <w:rFonts w:ascii="Arial" w:hAnsi="Arial" w:cs="Arial"/>
          <w:color w:val="000000" w:themeColor="text1"/>
          <w:sz w:val="6"/>
          <w:szCs w:val="6"/>
          <w:lang w:eastAsia="en-AU"/>
        </w:rPr>
      </w:pPr>
    </w:p>
    <w:p w14:paraId="4F6BFF50" w14:textId="14B2A7FD" w:rsidR="00621023" w:rsidRDefault="008C183A" w:rsidP="000740D6">
      <w:pPr>
        <w:rPr>
          <w:rFonts w:ascii="Arial" w:hAnsi="Arial" w:cs="Arial"/>
          <w:color w:val="000000" w:themeColor="text1"/>
          <w:sz w:val="17"/>
          <w:szCs w:val="17"/>
          <w:lang w:eastAsia="en-AU"/>
        </w:rPr>
      </w:pPr>
      <w:r w:rsidRPr="54EFFB0F">
        <w:rPr>
          <w:rFonts w:ascii="Arial" w:hAnsi="Arial" w:cs="Arial"/>
          <w:color w:val="000000" w:themeColor="text1"/>
          <w:sz w:val="17"/>
          <w:szCs w:val="17"/>
          <w:lang w:eastAsia="en-AU"/>
        </w:rPr>
        <w:t xml:space="preserve">Note: A forecast is not available </w:t>
      </w:r>
      <w:r w:rsidR="000C57B9" w:rsidRPr="54EFFB0F">
        <w:rPr>
          <w:rFonts w:ascii="Arial" w:hAnsi="Arial" w:cs="Arial"/>
          <w:color w:val="000000" w:themeColor="text1"/>
          <w:sz w:val="17"/>
          <w:szCs w:val="17"/>
          <w:lang w:eastAsia="en-AU"/>
        </w:rPr>
        <w:t xml:space="preserve">and there is not a performance target, </w:t>
      </w:r>
      <w:r w:rsidRPr="54EFFB0F">
        <w:rPr>
          <w:rFonts w:ascii="Arial" w:hAnsi="Arial" w:cs="Arial"/>
          <w:color w:val="000000" w:themeColor="text1"/>
          <w:sz w:val="17"/>
          <w:szCs w:val="17"/>
          <w:lang w:eastAsia="en-AU"/>
        </w:rPr>
        <w:t>as the values are sourced from the Digital Government Readiness Report prepared by Intermedium. The next results are expected to be released in early 2022.</w:t>
      </w:r>
    </w:p>
    <w:p w14:paraId="6A4CE094" w14:textId="5F5CBC64" w:rsidR="009E2E3E" w:rsidRPr="0010321A" w:rsidRDefault="00ED0897" w:rsidP="0010321A">
      <w:pPr>
        <w:pStyle w:val="Heading3"/>
        <w:rPr>
          <w:rFonts w:cs="Arial"/>
        </w:rPr>
      </w:pPr>
      <w:r>
        <w:rPr>
          <w:rFonts w:cs="Arial"/>
        </w:rPr>
        <w:t>Performance indicators for this Outcome</w:t>
      </w:r>
    </w:p>
    <w:tbl>
      <w:tblPr>
        <w:tblW w:w="9956" w:type="dxa"/>
        <w:tblLook w:val="04A0" w:firstRow="1" w:lastRow="0" w:firstColumn="1" w:lastColumn="0" w:noHBand="0" w:noVBand="1"/>
        <w:tblCaption w:val="Performance indicators for this Outcome"/>
        <w:tblDescription w:val="Performance indicators for this Outcome"/>
      </w:tblPr>
      <w:tblGrid>
        <w:gridCol w:w="6537"/>
        <w:gridCol w:w="737"/>
        <w:gridCol w:w="1191"/>
        <w:gridCol w:w="1491"/>
      </w:tblGrid>
      <w:tr w:rsidR="004F4E67" w:rsidRPr="002A5CDC" w14:paraId="4D93F6C9" w14:textId="77777777" w:rsidTr="00AC57C6">
        <w:trPr>
          <w:trHeight w:val="283"/>
        </w:trPr>
        <w:tc>
          <w:tcPr>
            <w:tcW w:w="6537" w:type="dxa"/>
            <w:vMerge w:val="restart"/>
            <w:tcBorders>
              <w:top w:val="nil"/>
              <w:left w:val="nil"/>
              <w:bottom w:val="nil"/>
              <w:right w:val="nil"/>
            </w:tcBorders>
            <w:shd w:val="clear" w:color="auto" w:fill="008EBA"/>
            <w:noWrap/>
            <w:vAlign w:val="center"/>
            <w:hideMark/>
          </w:tcPr>
          <w:p w14:paraId="3015A300" w14:textId="580C8D61" w:rsidR="004F4E67" w:rsidRPr="0008190D" w:rsidRDefault="009E2E3E" w:rsidP="00F709CF">
            <w:pPr>
              <w:rPr>
                <w:rFonts w:ascii="Arial" w:hAnsi="Arial" w:cs="Arial"/>
                <w:b/>
                <w:bCs/>
                <w:color w:val="FFFFFF"/>
                <w:sz w:val="18"/>
                <w:szCs w:val="18"/>
                <w:lang w:eastAsia="en-AU"/>
              </w:rPr>
            </w:pPr>
            <w:r w:rsidRPr="006F0BA9">
              <w:rPr>
                <w:rFonts w:cs="Arial"/>
                <w:color w:val="000000"/>
                <w:sz w:val="17"/>
                <w:szCs w:val="17"/>
                <w:lang w:eastAsia="en-AU"/>
              </w:rPr>
              <w:t>.</w:t>
            </w:r>
            <w:r w:rsidR="004F4E67" w:rsidRPr="0008190D">
              <w:rPr>
                <w:rFonts w:ascii="Arial"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8EBA"/>
            <w:noWrap/>
            <w:vAlign w:val="center"/>
            <w:hideMark/>
          </w:tcPr>
          <w:p w14:paraId="491B1077" w14:textId="77777777" w:rsidR="004F4E67" w:rsidRPr="0008190D" w:rsidRDefault="004F4E67" w:rsidP="00F709CF">
            <w:pPr>
              <w:jc w:val="center"/>
              <w:rPr>
                <w:rFonts w:ascii="Arial" w:hAnsi="Arial" w:cs="Arial"/>
                <w:b/>
                <w:bCs/>
                <w:color w:val="FFFFFF"/>
                <w:sz w:val="18"/>
                <w:szCs w:val="18"/>
                <w:lang w:eastAsia="en-AU"/>
              </w:rPr>
            </w:pPr>
            <w:r w:rsidRPr="0008190D">
              <w:rPr>
                <w:rFonts w:ascii="Arial" w:hAnsi="Arial" w:cs="Arial"/>
                <w:b/>
                <w:bCs/>
                <w:color w:val="FFFFFF"/>
                <w:sz w:val="18"/>
                <w:szCs w:val="18"/>
                <w:lang w:eastAsia="en-AU"/>
              </w:rPr>
              <w:t>Units</w:t>
            </w:r>
          </w:p>
        </w:tc>
        <w:tc>
          <w:tcPr>
            <w:tcW w:w="1191" w:type="dxa"/>
            <w:tcBorders>
              <w:top w:val="nil"/>
              <w:left w:val="nil"/>
              <w:right w:val="nil"/>
            </w:tcBorders>
            <w:shd w:val="clear" w:color="auto" w:fill="008EBA"/>
            <w:noWrap/>
            <w:vAlign w:val="bottom"/>
            <w:hideMark/>
          </w:tcPr>
          <w:p w14:paraId="2E537A6D" w14:textId="406088D0" w:rsidR="004F4E67" w:rsidRPr="0008190D" w:rsidRDefault="004F4E67" w:rsidP="00F709CF">
            <w:pPr>
              <w:jc w:val="center"/>
              <w:rPr>
                <w:rFonts w:ascii="Arial" w:hAnsi="Arial" w:cs="Arial"/>
                <w:b/>
                <w:bCs/>
                <w:color w:val="FFFFFF"/>
                <w:sz w:val="18"/>
                <w:szCs w:val="18"/>
                <w:lang w:eastAsia="en-AU"/>
              </w:rPr>
            </w:pPr>
            <w:r w:rsidRPr="0008190D">
              <w:rPr>
                <w:rFonts w:ascii="Arial" w:hAnsi="Arial" w:cs="Arial"/>
                <w:b/>
                <w:bCs/>
                <w:color w:val="FFFFFF"/>
                <w:sz w:val="18"/>
                <w:szCs w:val="18"/>
                <w:lang w:eastAsia="en-AU"/>
              </w:rPr>
              <w:t>20</w:t>
            </w:r>
            <w:r w:rsidR="009A72FD">
              <w:rPr>
                <w:rFonts w:ascii="Arial" w:hAnsi="Arial" w:cs="Arial"/>
                <w:b/>
                <w:bCs/>
                <w:color w:val="FFFFFF"/>
                <w:sz w:val="18"/>
                <w:szCs w:val="18"/>
                <w:lang w:eastAsia="en-AU"/>
              </w:rPr>
              <w:t>20</w:t>
            </w:r>
            <w:r w:rsidRPr="0008190D">
              <w:rPr>
                <w:rFonts w:ascii="Arial" w:hAnsi="Arial" w:cs="Arial"/>
                <w:b/>
                <w:bCs/>
                <w:color w:val="FFFFFF"/>
                <w:sz w:val="18"/>
                <w:szCs w:val="18"/>
                <w:lang w:eastAsia="en-AU"/>
              </w:rPr>
              <w:t>-2</w:t>
            </w:r>
            <w:r w:rsidR="009A72FD">
              <w:rPr>
                <w:rFonts w:ascii="Arial" w:hAnsi="Arial" w:cs="Arial"/>
                <w:b/>
                <w:bCs/>
                <w:color w:val="FFFFFF"/>
                <w:sz w:val="18"/>
                <w:szCs w:val="18"/>
                <w:lang w:eastAsia="en-AU"/>
              </w:rPr>
              <w:t>1</w:t>
            </w:r>
          </w:p>
        </w:tc>
        <w:tc>
          <w:tcPr>
            <w:tcW w:w="1491" w:type="dxa"/>
            <w:tcBorders>
              <w:top w:val="nil"/>
              <w:left w:val="nil"/>
              <w:right w:val="nil"/>
            </w:tcBorders>
            <w:shd w:val="clear" w:color="auto" w:fill="008EBA"/>
            <w:noWrap/>
            <w:vAlign w:val="bottom"/>
            <w:hideMark/>
          </w:tcPr>
          <w:p w14:paraId="538C6F3A" w14:textId="253E4A6E" w:rsidR="004F4E67" w:rsidRPr="0008190D" w:rsidRDefault="004F4E67" w:rsidP="00F709CF">
            <w:pPr>
              <w:jc w:val="center"/>
              <w:rPr>
                <w:rFonts w:ascii="Arial" w:hAnsi="Arial" w:cs="Arial"/>
                <w:b/>
                <w:bCs/>
                <w:color w:val="FFFFFF"/>
                <w:sz w:val="18"/>
                <w:szCs w:val="18"/>
                <w:lang w:eastAsia="en-AU"/>
              </w:rPr>
            </w:pPr>
            <w:r w:rsidRPr="0008190D">
              <w:rPr>
                <w:rFonts w:ascii="Arial" w:hAnsi="Arial" w:cs="Arial"/>
                <w:b/>
                <w:bCs/>
                <w:color w:val="FFFFFF"/>
                <w:sz w:val="18"/>
                <w:szCs w:val="18"/>
                <w:lang w:eastAsia="en-AU"/>
              </w:rPr>
              <w:t>202</w:t>
            </w:r>
            <w:r w:rsidR="009A72FD">
              <w:rPr>
                <w:rFonts w:ascii="Arial" w:hAnsi="Arial" w:cs="Arial"/>
                <w:b/>
                <w:bCs/>
                <w:color w:val="FFFFFF"/>
                <w:sz w:val="18"/>
                <w:szCs w:val="18"/>
                <w:lang w:eastAsia="en-AU"/>
              </w:rPr>
              <w:t>1</w:t>
            </w:r>
            <w:r w:rsidRPr="0008190D">
              <w:rPr>
                <w:rFonts w:ascii="Arial" w:hAnsi="Arial" w:cs="Arial"/>
                <w:b/>
                <w:bCs/>
                <w:color w:val="FFFFFF"/>
                <w:sz w:val="18"/>
                <w:szCs w:val="18"/>
                <w:lang w:eastAsia="en-AU"/>
              </w:rPr>
              <w:t>-2</w:t>
            </w:r>
            <w:r w:rsidR="009A72FD">
              <w:rPr>
                <w:rFonts w:ascii="Arial" w:hAnsi="Arial" w:cs="Arial"/>
                <w:b/>
                <w:bCs/>
                <w:color w:val="FFFFFF"/>
                <w:sz w:val="18"/>
                <w:szCs w:val="18"/>
                <w:lang w:eastAsia="en-AU"/>
              </w:rPr>
              <w:t>2</w:t>
            </w:r>
          </w:p>
        </w:tc>
      </w:tr>
      <w:tr w:rsidR="004F4E67" w:rsidRPr="002A5CDC" w14:paraId="283446BA" w14:textId="77777777" w:rsidTr="00AC57C6">
        <w:trPr>
          <w:trHeight w:val="283"/>
        </w:trPr>
        <w:tc>
          <w:tcPr>
            <w:tcW w:w="6537" w:type="dxa"/>
            <w:vMerge/>
            <w:shd w:val="clear" w:color="auto" w:fill="008EBA"/>
            <w:vAlign w:val="center"/>
            <w:hideMark/>
          </w:tcPr>
          <w:p w14:paraId="406F5A61" w14:textId="77777777" w:rsidR="004F4E67" w:rsidRPr="0008190D" w:rsidRDefault="004F4E67" w:rsidP="00F709CF">
            <w:pPr>
              <w:rPr>
                <w:rFonts w:ascii="Arial" w:hAnsi="Arial" w:cs="Arial"/>
                <w:b/>
                <w:bCs/>
                <w:color w:val="FFFFFF"/>
                <w:sz w:val="18"/>
                <w:szCs w:val="18"/>
                <w:lang w:eastAsia="en-AU"/>
              </w:rPr>
            </w:pPr>
          </w:p>
        </w:tc>
        <w:tc>
          <w:tcPr>
            <w:tcW w:w="737" w:type="dxa"/>
            <w:vMerge/>
            <w:shd w:val="clear" w:color="auto" w:fill="008EBA"/>
            <w:vAlign w:val="center"/>
            <w:hideMark/>
          </w:tcPr>
          <w:p w14:paraId="0AEB2185" w14:textId="77777777" w:rsidR="004F4E67" w:rsidRPr="0008190D" w:rsidRDefault="004F4E67" w:rsidP="00F709CF">
            <w:pPr>
              <w:rPr>
                <w:rFonts w:ascii="Arial" w:hAnsi="Arial" w:cs="Arial"/>
                <w:b/>
                <w:bCs/>
                <w:color w:val="FFFFFF"/>
                <w:sz w:val="18"/>
                <w:szCs w:val="18"/>
                <w:lang w:eastAsia="en-AU"/>
              </w:rPr>
            </w:pPr>
          </w:p>
        </w:tc>
        <w:tc>
          <w:tcPr>
            <w:tcW w:w="1191" w:type="dxa"/>
            <w:tcBorders>
              <w:top w:val="nil"/>
              <w:left w:val="nil"/>
              <w:bottom w:val="nil"/>
              <w:right w:val="nil"/>
            </w:tcBorders>
            <w:shd w:val="clear" w:color="auto" w:fill="008EBA"/>
            <w:noWrap/>
            <w:hideMark/>
          </w:tcPr>
          <w:p w14:paraId="79719C77" w14:textId="77777777" w:rsidR="004F4E67" w:rsidRPr="0008190D" w:rsidRDefault="004F4E67" w:rsidP="00F709CF">
            <w:pPr>
              <w:jc w:val="center"/>
              <w:rPr>
                <w:rFonts w:ascii="Arial" w:hAnsi="Arial" w:cs="Arial"/>
                <w:b/>
                <w:bCs/>
                <w:color w:val="FFFFFF"/>
                <w:sz w:val="18"/>
                <w:szCs w:val="18"/>
                <w:lang w:eastAsia="en-AU"/>
              </w:rPr>
            </w:pPr>
            <w:r w:rsidRPr="0008190D">
              <w:rPr>
                <w:rFonts w:ascii="Arial" w:hAnsi="Arial" w:cs="Arial"/>
                <w:b/>
                <w:bCs/>
                <w:color w:val="FFFFFF"/>
                <w:sz w:val="18"/>
                <w:szCs w:val="18"/>
                <w:lang w:eastAsia="en-AU"/>
              </w:rPr>
              <w:t>Actual</w:t>
            </w:r>
          </w:p>
        </w:tc>
        <w:tc>
          <w:tcPr>
            <w:tcW w:w="1491" w:type="dxa"/>
            <w:tcBorders>
              <w:top w:val="nil"/>
              <w:left w:val="nil"/>
              <w:bottom w:val="nil"/>
              <w:right w:val="nil"/>
            </w:tcBorders>
            <w:shd w:val="clear" w:color="auto" w:fill="008EBA"/>
            <w:noWrap/>
            <w:hideMark/>
          </w:tcPr>
          <w:p w14:paraId="168C876E" w14:textId="77777777" w:rsidR="004F4E67" w:rsidRPr="0008190D" w:rsidRDefault="004F4E67" w:rsidP="00F709CF">
            <w:pPr>
              <w:jc w:val="center"/>
              <w:rPr>
                <w:rFonts w:ascii="Arial" w:hAnsi="Arial" w:cs="Arial"/>
                <w:b/>
                <w:bCs/>
                <w:color w:val="FFFFFF"/>
                <w:sz w:val="18"/>
                <w:szCs w:val="18"/>
                <w:lang w:eastAsia="en-AU"/>
              </w:rPr>
            </w:pPr>
            <w:r w:rsidRPr="0008190D">
              <w:rPr>
                <w:rFonts w:ascii="Arial" w:hAnsi="Arial" w:cs="Arial"/>
                <w:b/>
                <w:bCs/>
                <w:color w:val="FFFFFF"/>
                <w:sz w:val="18"/>
                <w:szCs w:val="18"/>
                <w:lang w:eastAsia="en-AU"/>
              </w:rPr>
              <w:t>Forecast</w:t>
            </w:r>
          </w:p>
        </w:tc>
      </w:tr>
      <w:tr w:rsidR="004F4E67" w:rsidRPr="002A5CDC" w14:paraId="6889953D" w14:textId="77777777" w:rsidTr="00CD06FB">
        <w:trPr>
          <w:trHeight w:val="45"/>
        </w:trPr>
        <w:tc>
          <w:tcPr>
            <w:tcW w:w="6537" w:type="dxa"/>
            <w:tcBorders>
              <w:top w:val="nil"/>
              <w:left w:val="nil"/>
              <w:bottom w:val="nil"/>
              <w:right w:val="nil"/>
            </w:tcBorders>
            <w:shd w:val="clear" w:color="auto" w:fill="auto"/>
            <w:noWrap/>
            <w:vAlign w:val="center"/>
            <w:hideMark/>
          </w:tcPr>
          <w:p w14:paraId="788A1726" w14:textId="77777777" w:rsidR="004F4E67" w:rsidRPr="002A5CDC" w:rsidRDefault="004F4E67" w:rsidP="00F709CF">
            <w:pPr>
              <w:jc w:val="center"/>
              <w:rPr>
                <w:rFonts w:ascii="Arial" w:hAnsi="Arial" w:cs="Arial"/>
                <w:b/>
                <w:bCs/>
                <w:color w:val="FFFFFF"/>
                <w:sz w:val="16"/>
                <w:szCs w:val="16"/>
                <w:lang w:eastAsia="en-AU"/>
              </w:rPr>
            </w:pPr>
          </w:p>
        </w:tc>
        <w:tc>
          <w:tcPr>
            <w:tcW w:w="737" w:type="dxa"/>
            <w:tcBorders>
              <w:top w:val="nil"/>
              <w:left w:val="nil"/>
              <w:bottom w:val="nil"/>
              <w:right w:val="nil"/>
            </w:tcBorders>
            <w:shd w:val="clear" w:color="auto" w:fill="auto"/>
            <w:noWrap/>
            <w:vAlign w:val="center"/>
            <w:hideMark/>
          </w:tcPr>
          <w:p w14:paraId="64A6F4E1" w14:textId="77777777" w:rsidR="004F4E67" w:rsidRPr="002A5CDC" w:rsidRDefault="004F4E67" w:rsidP="00F709CF">
            <w:pPr>
              <w:ind w:firstLineChars="100" w:firstLine="200"/>
              <w:rPr>
                <w:lang w:eastAsia="en-AU"/>
              </w:rPr>
            </w:pPr>
          </w:p>
        </w:tc>
        <w:tc>
          <w:tcPr>
            <w:tcW w:w="1191" w:type="dxa"/>
            <w:tcBorders>
              <w:top w:val="nil"/>
              <w:left w:val="nil"/>
              <w:bottom w:val="nil"/>
              <w:right w:val="nil"/>
            </w:tcBorders>
            <w:shd w:val="clear" w:color="auto" w:fill="auto"/>
            <w:noWrap/>
            <w:vAlign w:val="center"/>
            <w:hideMark/>
          </w:tcPr>
          <w:p w14:paraId="740D411D" w14:textId="77777777" w:rsidR="004F4E67" w:rsidRPr="002A5CDC" w:rsidRDefault="004F4E67" w:rsidP="00F709CF">
            <w:pPr>
              <w:ind w:right="170"/>
              <w:jc w:val="center"/>
              <w:rPr>
                <w:lang w:eastAsia="en-AU"/>
              </w:rPr>
            </w:pPr>
          </w:p>
        </w:tc>
        <w:tc>
          <w:tcPr>
            <w:tcW w:w="1491" w:type="dxa"/>
            <w:tcBorders>
              <w:top w:val="nil"/>
              <w:left w:val="nil"/>
              <w:bottom w:val="nil"/>
              <w:right w:val="nil"/>
            </w:tcBorders>
            <w:shd w:val="clear" w:color="auto" w:fill="auto"/>
            <w:noWrap/>
            <w:vAlign w:val="center"/>
            <w:hideMark/>
          </w:tcPr>
          <w:p w14:paraId="3B87EC86" w14:textId="77777777" w:rsidR="004F4E67" w:rsidRPr="002A5CDC" w:rsidRDefault="004F4E67" w:rsidP="00F709CF">
            <w:pPr>
              <w:ind w:right="170"/>
              <w:jc w:val="center"/>
              <w:rPr>
                <w:lang w:eastAsia="en-AU"/>
              </w:rPr>
            </w:pPr>
          </w:p>
        </w:tc>
      </w:tr>
      <w:tr w:rsidR="00CD06FB" w:rsidRPr="00B14CA6" w14:paraId="19B580DB" w14:textId="77777777" w:rsidTr="004D7ACB">
        <w:trPr>
          <w:trHeight w:val="225"/>
        </w:trPr>
        <w:tc>
          <w:tcPr>
            <w:tcW w:w="6537" w:type="dxa"/>
            <w:tcBorders>
              <w:top w:val="nil"/>
              <w:left w:val="nil"/>
              <w:bottom w:val="nil"/>
              <w:right w:val="nil"/>
            </w:tcBorders>
            <w:shd w:val="clear" w:color="auto" w:fill="auto"/>
            <w:hideMark/>
          </w:tcPr>
          <w:p w14:paraId="012F26B9" w14:textId="77777777" w:rsidR="00CD06FB" w:rsidRPr="00B14CA6" w:rsidRDefault="00CD06FB" w:rsidP="00CD06FB">
            <w:pPr>
              <w:rPr>
                <w:rFonts w:ascii="Arial" w:hAnsi="Arial" w:cs="Arial"/>
                <w:color w:val="000000"/>
                <w:sz w:val="16"/>
                <w:szCs w:val="16"/>
                <w:lang w:eastAsia="en-AU"/>
              </w:rPr>
            </w:pPr>
            <w:r w:rsidRPr="00B14CA6">
              <w:rPr>
                <w:rFonts w:ascii="Arial" w:hAnsi="Arial" w:cs="Arial"/>
                <w:color w:val="000000"/>
                <w:sz w:val="16"/>
                <w:szCs w:val="16"/>
                <w:lang w:eastAsia="en-AU"/>
              </w:rPr>
              <w:t>NSW digital government readiness</w:t>
            </w:r>
          </w:p>
        </w:tc>
        <w:tc>
          <w:tcPr>
            <w:tcW w:w="737" w:type="dxa"/>
            <w:tcBorders>
              <w:top w:val="nil"/>
              <w:left w:val="nil"/>
              <w:bottom w:val="nil"/>
              <w:right w:val="nil"/>
            </w:tcBorders>
            <w:shd w:val="clear" w:color="auto" w:fill="auto"/>
            <w:noWrap/>
            <w:hideMark/>
          </w:tcPr>
          <w:p w14:paraId="08ED275B"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xml:space="preserve">no. </w:t>
            </w:r>
          </w:p>
        </w:tc>
        <w:tc>
          <w:tcPr>
            <w:tcW w:w="1191" w:type="dxa"/>
            <w:tcBorders>
              <w:top w:val="nil"/>
              <w:left w:val="nil"/>
              <w:bottom w:val="nil"/>
              <w:right w:val="nil"/>
            </w:tcBorders>
            <w:shd w:val="clear" w:color="auto" w:fill="auto"/>
            <w:noWrap/>
            <w:vAlign w:val="center"/>
            <w:hideMark/>
          </w:tcPr>
          <w:p w14:paraId="0D0B7E9E" w14:textId="77777777" w:rsidR="00CD06FB" w:rsidRPr="00B14CA6" w:rsidRDefault="00CD06FB" w:rsidP="00CD06FB">
            <w:pPr>
              <w:ind w:right="170"/>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491" w:type="dxa"/>
            <w:tcBorders>
              <w:top w:val="nil"/>
              <w:left w:val="nil"/>
              <w:bottom w:val="nil"/>
              <w:right w:val="nil"/>
            </w:tcBorders>
            <w:shd w:val="clear" w:color="auto" w:fill="auto"/>
            <w:noWrap/>
            <w:hideMark/>
          </w:tcPr>
          <w:p w14:paraId="0D0526FD" w14:textId="3E7B981C" w:rsidR="00CD06FB" w:rsidRPr="00B14CA6" w:rsidRDefault="00CD06FB" w:rsidP="00CD06FB">
            <w:pPr>
              <w:ind w:right="170"/>
              <w:rPr>
                <w:rFonts w:ascii="Arial" w:hAnsi="Arial" w:cs="Arial"/>
                <w:color w:val="000000"/>
                <w:sz w:val="16"/>
                <w:szCs w:val="16"/>
                <w:lang w:eastAsia="en-AU"/>
              </w:rPr>
            </w:pPr>
          </w:p>
        </w:tc>
      </w:tr>
      <w:tr w:rsidR="00CD06FB" w:rsidRPr="00B14CA6" w14:paraId="54C5BF68" w14:textId="77777777" w:rsidTr="004D7ACB">
        <w:trPr>
          <w:trHeight w:val="225"/>
        </w:trPr>
        <w:tc>
          <w:tcPr>
            <w:tcW w:w="6537" w:type="dxa"/>
            <w:tcBorders>
              <w:top w:val="nil"/>
              <w:left w:val="nil"/>
              <w:bottom w:val="nil"/>
              <w:right w:val="nil"/>
            </w:tcBorders>
            <w:shd w:val="clear" w:color="auto" w:fill="auto"/>
            <w:hideMark/>
          </w:tcPr>
          <w:p w14:paraId="631D1195"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New South Wales</w:t>
            </w:r>
          </w:p>
        </w:tc>
        <w:tc>
          <w:tcPr>
            <w:tcW w:w="737" w:type="dxa"/>
            <w:tcBorders>
              <w:top w:val="nil"/>
              <w:left w:val="nil"/>
              <w:bottom w:val="nil"/>
              <w:right w:val="nil"/>
            </w:tcBorders>
            <w:shd w:val="clear" w:color="auto" w:fill="auto"/>
            <w:noWrap/>
            <w:hideMark/>
          </w:tcPr>
          <w:p w14:paraId="6D387647"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2A1E6E97" w14:textId="77559EE0"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9.8</w:t>
            </w:r>
          </w:p>
        </w:tc>
        <w:tc>
          <w:tcPr>
            <w:tcW w:w="1491" w:type="dxa"/>
            <w:tcBorders>
              <w:top w:val="nil"/>
              <w:left w:val="nil"/>
              <w:bottom w:val="nil"/>
              <w:right w:val="nil"/>
            </w:tcBorders>
            <w:shd w:val="clear" w:color="auto" w:fill="auto"/>
            <w:noWrap/>
          </w:tcPr>
          <w:p w14:paraId="6C8566CD" w14:textId="4010ACEC"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2B7443FB" w14:textId="77777777" w:rsidTr="004D7ACB">
        <w:trPr>
          <w:trHeight w:val="225"/>
        </w:trPr>
        <w:tc>
          <w:tcPr>
            <w:tcW w:w="6537" w:type="dxa"/>
            <w:tcBorders>
              <w:top w:val="nil"/>
              <w:left w:val="nil"/>
              <w:bottom w:val="nil"/>
              <w:right w:val="nil"/>
            </w:tcBorders>
            <w:shd w:val="clear" w:color="auto" w:fill="auto"/>
            <w:hideMark/>
          </w:tcPr>
          <w:p w14:paraId="414CD937"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Australian Government</w:t>
            </w:r>
          </w:p>
        </w:tc>
        <w:tc>
          <w:tcPr>
            <w:tcW w:w="737" w:type="dxa"/>
            <w:tcBorders>
              <w:top w:val="nil"/>
              <w:left w:val="nil"/>
              <w:bottom w:val="nil"/>
              <w:right w:val="nil"/>
            </w:tcBorders>
            <w:shd w:val="clear" w:color="auto" w:fill="auto"/>
            <w:noWrap/>
            <w:hideMark/>
          </w:tcPr>
          <w:p w14:paraId="3C35E40E"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7A7AB517" w14:textId="7543519A"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9.5</w:t>
            </w:r>
          </w:p>
        </w:tc>
        <w:tc>
          <w:tcPr>
            <w:tcW w:w="1491" w:type="dxa"/>
            <w:tcBorders>
              <w:top w:val="nil"/>
              <w:left w:val="nil"/>
              <w:bottom w:val="nil"/>
              <w:right w:val="nil"/>
            </w:tcBorders>
            <w:shd w:val="clear" w:color="auto" w:fill="auto"/>
            <w:noWrap/>
          </w:tcPr>
          <w:p w14:paraId="5082228C" w14:textId="5AC6B42C"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6C52DE39" w14:textId="77777777" w:rsidTr="004D7ACB">
        <w:trPr>
          <w:trHeight w:val="225"/>
        </w:trPr>
        <w:tc>
          <w:tcPr>
            <w:tcW w:w="6537" w:type="dxa"/>
            <w:tcBorders>
              <w:top w:val="nil"/>
              <w:left w:val="nil"/>
              <w:bottom w:val="nil"/>
              <w:right w:val="nil"/>
            </w:tcBorders>
            <w:shd w:val="clear" w:color="auto" w:fill="auto"/>
            <w:hideMark/>
          </w:tcPr>
          <w:p w14:paraId="2660B5F9"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Victoria</w:t>
            </w:r>
          </w:p>
        </w:tc>
        <w:tc>
          <w:tcPr>
            <w:tcW w:w="737" w:type="dxa"/>
            <w:tcBorders>
              <w:top w:val="nil"/>
              <w:left w:val="nil"/>
              <w:bottom w:val="nil"/>
              <w:right w:val="nil"/>
            </w:tcBorders>
            <w:shd w:val="clear" w:color="auto" w:fill="auto"/>
            <w:noWrap/>
            <w:hideMark/>
          </w:tcPr>
          <w:p w14:paraId="6731D75D"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7E1FF6AE" w14:textId="6662DCF3"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8.5</w:t>
            </w:r>
          </w:p>
        </w:tc>
        <w:tc>
          <w:tcPr>
            <w:tcW w:w="1491" w:type="dxa"/>
            <w:tcBorders>
              <w:top w:val="nil"/>
              <w:left w:val="nil"/>
              <w:bottom w:val="nil"/>
              <w:right w:val="nil"/>
            </w:tcBorders>
            <w:shd w:val="clear" w:color="auto" w:fill="auto"/>
            <w:noWrap/>
          </w:tcPr>
          <w:p w14:paraId="2B4760A2" w14:textId="13FADF0B"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72E1BC0D" w14:textId="77777777" w:rsidTr="004D7ACB">
        <w:trPr>
          <w:trHeight w:val="225"/>
        </w:trPr>
        <w:tc>
          <w:tcPr>
            <w:tcW w:w="6537" w:type="dxa"/>
            <w:tcBorders>
              <w:top w:val="nil"/>
              <w:left w:val="nil"/>
              <w:bottom w:val="nil"/>
              <w:right w:val="nil"/>
            </w:tcBorders>
            <w:shd w:val="clear" w:color="auto" w:fill="auto"/>
            <w:hideMark/>
          </w:tcPr>
          <w:p w14:paraId="42241376"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Queensland</w:t>
            </w:r>
          </w:p>
        </w:tc>
        <w:tc>
          <w:tcPr>
            <w:tcW w:w="737" w:type="dxa"/>
            <w:tcBorders>
              <w:top w:val="nil"/>
              <w:left w:val="nil"/>
              <w:bottom w:val="nil"/>
              <w:right w:val="nil"/>
            </w:tcBorders>
            <w:shd w:val="clear" w:color="auto" w:fill="auto"/>
            <w:noWrap/>
            <w:hideMark/>
          </w:tcPr>
          <w:p w14:paraId="7D0B7F4A"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3D1F2987" w14:textId="2BDB1649"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8.0</w:t>
            </w:r>
          </w:p>
        </w:tc>
        <w:tc>
          <w:tcPr>
            <w:tcW w:w="1491" w:type="dxa"/>
            <w:tcBorders>
              <w:top w:val="nil"/>
              <w:left w:val="nil"/>
              <w:bottom w:val="nil"/>
              <w:right w:val="nil"/>
            </w:tcBorders>
            <w:shd w:val="clear" w:color="auto" w:fill="auto"/>
            <w:noWrap/>
          </w:tcPr>
          <w:p w14:paraId="6F88EC64" w14:textId="1A4B616B"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4B9BF274" w14:textId="77777777" w:rsidTr="004D7ACB">
        <w:trPr>
          <w:trHeight w:val="225"/>
        </w:trPr>
        <w:tc>
          <w:tcPr>
            <w:tcW w:w="6537" w:type="dxa"/>
            <w:tcBorders>
              <w:top w:val="nil"/>
              <w:left w:val="nil"/>
              <w:bottom w:val="nil"/>
              <w:right w:val="nil"/>
            </w:tcBorders>
            <w:shd w:val="clear" w:color="auto" w:fill="auto"/>
            <w:hideMark/>
          </w:tcPr>
          <w:p w14:paraId="58F82526"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South Australia</w:t>
            </w:r>
          </w:p>
        </w:tc>
        <w:tc>
          <w:tcPr>
            <w:tcW w:w="737" w:type="dxa"/>
            <w:tcBorders>
              <w:top w:val="nil"/>
              <w:left w:val="nil"/>
              <w:bottom w:val="nil"/>
              <w:right w:val="nil"/>
            </w:tcBorders>
            <w:shd w:val="clear" w:color="auto" w:fill="auto"/>
            <w:noWrap/>
            <w:hideMark/>
          </w:tcPr>
          <w:p w14:paraId="42B60855"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5C6A8370" w14:textId="663A5F45"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8.6</w:t>
            </w:r>
          </w:p>
        </w:tc>
        <w:tc>
          <w:tcPr>
            <w:tcW w:w="1491" w:type="dxa"/>
            <w:tcBorders>
              <w:top w:val="nil"/>
              <w:left w:val="nil"/>
              <w:bottom w:val="nil"/>
              <w:right w:val="nil"/>
            </w:tcBorders>
            <w:shd w:val="clear" w:color="auto" w:fill="auto"/>
            <w:noWrap/>
          </w:tcPr>
          <w:p w14:paraId="7D41425D" w14:textId="58E51718"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18A2F41F" w14:textId="77777777" w:rsidTr="004D7ACB">
        <w:trPr>
          <w:trHeight w:val="225"/>
        </w:trPr>
        <w:tc>
          <w:tcPr>
            <w:tcW w:w="6537" w:type="dxa"/>
            <w:tcBorders>
              <w:top w:val="nil"/>
              <w:left w:val="nil"/>
              <w:bottom w:val="nil"/>
              <w:right w:val="nil"/>
            </w:tcBorders>
            <w:shd w:val="clear" w:color="auto" w:fill="auto"/>
            <w:hideMark/>
          </w:tcPr>
          <w:p w14:paraId="38B131F8"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Northern Territory</w:t>
            </w:r>
          </w:p>
        </w:tc>
        <w:tc>
          <w:tcPr>
            <w:tcW w:w="737" w:type="dxa"/>
            <w:tcBorders>
              <w:top w:val="nil"/>
              <w:left w:val="nil"/>
              <w:bottom w:val="nil"/>
              <w:right w:val="nil"/>
            </w:tcBorders>
            <w:shd w:val="clear" w:color="auto" w:fill="auto"/>
            <w:noWrap/>
            <w:hideMark/>
          </w:tcPr>
          <w:p w14:paraId="00D6CB2B"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4B3CDC74" w14:textId="04DB808E"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8.2</w:t>
            </w:r>
          </w:p>
        </w:tc>
        <w:tc>
          <w:tcPr>
            <w:tcW w:w="1491" w:type="dxa"/>
            <w:tcBorders>
              <w:top w:val="nil"/>
              <w:left w:val="nil"/>
              <w:bottom w:val="nil"/>
              <w:right w:val="nil"/>
            </w:tcBorders>
            <w:shd w:val="clear" w:color="auto" w:fill="auto"/>
            <w:noWrap/>
          </w:tcPr>
          <w:p w14:paraId="78E231F1" w14:textId="67B3C9A9"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3AB1B0FC" w14:textId="77777777" w:rsidTr="004D7ACB">
        <w:trPr>
          <w:trHeight w:val="225"/>
        </w:trPr>
        <w:tc>
          <w:tcPr>
            <w:tcW w:w="6537" w:type="dxa"/>
            <w:tcBorders>
              <w:top w:val="nil"/>
              <w:left w:val="nil"/>
              <w:bottom w:val="nil"/>
              <w:right w:val="nil"/>
            </w:tcBorders>
            <w:shd w:val="clear" w:color="auto" w:fill="auto"/>
            <w:hideMark/>
          </w:tcPr>
          <w:p w14:paraId="3E7C0F9F"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Australian Capital Territory</w:t>
            </w:r>
          </w:p>
        </w:tc>
        <w:tc>
          <w:tcPr>
            <w:tcW w:w="737" w:type="dxa"/>
            <w:tcBorders>
              <w:top w:val="nil"/>
              <w:left w:val="nil"/>
              <w:bottom w:val="nil"/>
              <w:right w:val="nil"/>
            </w:tcBorders>
            <w:shd w:val="clear" w:color="auto" w:fill="auto"/>
            <w:noWrap/>
            <w:hideMark/>
          </w:tcPr>
          <w:p w14:paraId="38700FBE"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3E18C2B7" w14:textId="6F7453D4"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8.9</w:t>
            </w:r>
          </w:p>
        </w:tc>
        <w:tc>
          <w:tcPr>
            <w:tcW w:w="1491" w:type="dxa"/>
            <w:tcBorders>
              <w:top w:val="nil"/>
              <w:left w:val="nil"/>
              <w:bottom w:val="nil"/>
              <w:right w:val="nil"/>
            </w:tcBorders>
            <w:shd w:val="clear" w:color="auto" w:fill="auto"/>
            <w:noWrap/>
          </w:tcPr>
          <w:p w14:paraId="56F2C663" w14:textId="774C3F58"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19F53CC4" w14:textId="77777777" w:rsidTr="004D7ACB">
        <w:trPr>
          <w:trHeight w:val="225"/>
        </w:trPr>
        <w:tc>
          <w:tcPr>
            <w:tcW w:w="6537" w:type="dxa"/>
            <w:tcBorders>
              <w:top w:val="nil"/>
              <w:left w:val="nil"/>
              <w:bottom w:val="nil"/>
              <w:right w:val="nil"/>
            </w:tcBorders>
            <w:shd w:val="clear" w:color="auto" w:fill="auto"/>
            <w:hideMark/>
          </w:tcPr>
          <w:p w14:paraId="4DDF9866"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Western Australia</w:t>
            </w:r>
          </w:p>
        </w:tc>
        <w:tc>
          <w:tcPr>
            <w:tcW w:w="737" w:type="dxa"/>
            <w:tcBorders>
              <w:top w:val="nil"/>
              <w:left w:val="nil"/>
              <w:bottom w:val="nil"/>
              <w:right w:val="nil"/>
            </w:tcBorders>
            <w:shd w:val="clear" w:color="auto" w:fill="auto"/>
            <w:noWrap/>
            <w:hideMark/>
          </w:tcPr>
          <w:p w14:paraId="15E66DA1"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44087488" w14:textId="53EDBC01"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6.8</w:t>
            </w:r>
          </w:p>
        </w:tc>
        <w:tc>
          <w:tcPr>
            <w:tcW w:w="1491" w:type="dxa"/>
            <w:tcBorders>
              <w:top w:val="nil"/>
              <w:left w:val="nil"/>
              <w:bottom w:val="nil"/>
              <w:right w:val="nil"/>
            </w:tcBorders>
            <w:shd w:val="clear" w:color="auto" w:fill="auto"/>
            <w:noWrap/>
          </w:tcPr>
          <w:p w14:paraId="136B6458" w14:textId="432702D6"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CD06FB" w:rsidRPr="00B14CA6" w14:paraId="2FF36FC6" w14:textId="77777777" w:rsidTr="004D7ACB">
        <w:trPr>
          <w:trHeight w:val="225"/>
        </w:trPr>
        <w:tc>
          <w:tcPr>
            <w:tcW w:w="6537" w:type="dxa"/>
            <w:tcBorders>
              <w:top w:val="nil"/>
              <w:left w:val="nil"/>
              <w:bottom w:val="nil"/>
              <w:right w:val="nil"/>
            </w:tcBorders>
            <w:shd w:val="clear" w:color="auto" w:fill="auto"/>
            <w:hideMark/>
          </w:tcPr>
          <w:p w14:paraId="7028F8E7" w14:textId="77777777" w:rsidR="00CD06FB" w:rsidRPr="00B14CA6" w:rsidRDefault="00CD06FB" w:rsidP="00CD06FB">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Tasmania</w:t>
            </w:r>
          </w:p>
        </w:tc>
        <w:tc>
          <w:tcPr>
            <w:tcW w:w="737" w:type="dxa"/>
            <w:tcBorders>
              <w:top w:val="nil"/>
              <w:left w:val="nil"/>
              <w:bottom w:val="nil"/>
              <w:right w:val="nil"/>
            </w:tcBorders>
            <w:shd w:val="clear" w:color="auto" w:fill="auto"/>
            <w:noWrap/>
            <w:hideMark/>
          </w:tcPr>
          <w:p w14:paraId="6EE19D9E" w14:textId="77777777" w:rsidR="00CD06FB" w:rsidRPr="00B14CA6" w:rsidRDefault="00CD06FB" w:rsidP="00CD06FB">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60689F39" w14:textId="3EC6953D"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7.1</w:t>
            </w:r>
          </w:p>
        </w:tc>
        <w:tc>
          <w:tcPr>
            <w:tcW w:w="1491" w:type="dxa"/>
            <w:tcBorders>
              <w:top w:val="nil"/>
              <w:left w:val="nil"/>
              <w:bottom w:val="nil"/>
              <w:right w:val="nil"/>
            </w:tcBorders>
            <w:shd w:val="clear" w:color="auto" w:fill="auto"/>
            <w:noWrap/>
          </w:tcPr>
          <w:p w14:paraId="28B12C0B" w14:textId="4AA4ACED" w:rsidR="00CD06FB" w:rsidRPr="00B14CA6" w:rsidRDefault="00CD06FB" w:rsidP="00CD06FB">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n.a.</w:t>
            </w:r>
            <w:r w:rsidRPr="00B14CA6">
              <w:rPr>
                <w:rFonts w:ascii="Arial" w:hAnsi="Arial" w:cs="Arial"/>
                <w:color w:val="000000"/>
                <w:sz w:val="16"/>
                <w:szCs w:val="16"/>
                <w:vertAlign w:val="superscript"/>
                <w:lang w:eastAsia="en-AU"/>
              </w:rPr>
              <w:t>(a)</w:t>
            </w:r>
          </w:p>
        </w:tc>
      </w:tr>
      <w:tr w:rsidR="004F4E67" w:rsidRPr="00B14CA6" w14:paraId="09DD8E0F" w14:textId="77777777" w:rsidTr="004D7ACB">
        <w:trPr>
          <w:trHeight w:val="225"/>
        </w:trPr>
        <w:tc>
          <w:tcPr>
            <w:tcW w:w="6537" w:type="dxa"/>
            <w:tcBorders>
              <w:top w:val="nil"/>
              <w:left w:val="nil"/>
              <w:bottom w:val="nil"/>
              <w:right w:val="nil"/>
            </w:tcBorders>
            <w:shd w:val="clear" w:color="auto" w:fill="auto"/>
            <w:hideMark/>
          </w:tcPr>
          <w:p w14:paraId="2913C73D" w14:textId="77777777" w:rsidR="004F4E67" w:rsidRPr="00B14CA6" w:rsidRDefault="004F4E67" w:rsidP="00F709CF">
            <w:pPr>
              <w:rPr>
                <w:rFonts w:ascii="Arial" w:hAnsi="Arial" w:cs="Arial"/>
                <w:color w:val="000000"/>
                <w:sz w:val="16"/>
                <w:szCs w:val="16"/>
                <w:lang w:eastAsia="en-AU"/>
              </w:rPr>
            </w:pPr>
            <w:r w:rsidRPr="00B14CA6">
              <w:rPr>
                <w:rFonts w:ascii="Arial" w:hAnsi="Arial" w:cs="Arial"/>
                <w:color w:val="000000"/>
                <w:sz w:val="16"/>
                <w:szCs w:val="16"/>
                <w:lang w:eastAsia="en-AU"/>
              </w:rPr>
              <w:t>Public safety coverage and operations of the CCEP</w:t>
            </w:r>
          </w:p>
        </w:tc>
        <w:tc>
          <w:tcPr>
            <w:tcW w:w="737" w:type="dxa"/>
            <w:tcBorders>
              <w:top w:val="nil"/>
              <w:left w:val="nil"/>
              <w:bottom w:val="nil"/>
              <w:right w:val="nil"/>
            </w:tcBorders>
            <w:shd w:val="clear" w:color="auto" w:fill="auto"/>
            <w:noWrap/>
            <w:hideMark/>
          </w:tcPr>
          <w:p w14:paraId="76CF2D7F" w14:textId="77777777" w:rsidR="004F4E67" w:rsidRPr="00B14CA6" w:rsidRDefault="004F4E67" w:rsidP="00F709CF">
            <w:pPr>
              <w:jc w:val="center"/>
              <w:rPr>
                <w:rFonts w:ascii="Arial" w:hAnsi="Arial" w:cs="Arial"/>
                <w:color w:val="000000"/>
                <w:sz w:val="16"/>
                <w:szCs w:val="16"/>
                <w:lang w:eastAsia="en-AU"/>
              </w:rPr>
            </w:pPr>
            <w:r w:rsidRPr="00B14CA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tcPr>
          <w:p w14:paraId="05116623" w14:textId="02BCAC32" w:rsidR="004F4E67" w:rsidRPr="00B14CA6" w:rsidRDefault="004F4E67" w:rsidP="00F709CF">
            <w:pPr>
              <w:ind w:right="170"/>
              <w:jc w:val="right"/>
              <w:rPr>
                <w:rFonts w:ascii="Arial" w:hAnsi="Arial" w:cs="Arial"/>
                <w:color w:val="000000"/>
                <w:sz w:val="16"/>
                <w:szCs w:val="16"/>
                <w:lang w:eastAsia="en-AU"/>
              </w:rPr>
            </w:pPr>
          </w:p>
        </w:tc>
        <w:tc>
          <w:tcPr>
            <w:tcW w:w="1491" w:type="dxa"/>
            <w:tcBorders>
              <w:top w:val="nil"/>
              <w:left w:val="nil"/>
              <w:bottom w:val="nil"/>
              <w:right w:val="nil"/>
            </w:tcBorders>
            <w:shd w:val="clear" w:color="auto" w:fill="auto"/>
            <w:noWrap/>
          </w:tcPr>
          <w:p w14:paraId="07881014" w14:textId="52BB9E81" w:rsidR="004F4E67" w:rsidRPr="00B14CA6" w:rsidRDefault="004F4E67" w:rsidP="00F709CF">
            <w:pPr>
              <w:ind w:right="170"/>
              <w:jc w:val="right"/>
              <w:rPr>
                <w:rFonts w:ascii="Arial" w:hAnsi="Arial" w:cs="Arial"/>
                <w:color w:val="000000"/>
                <w:sz w:val="16"/>
                <w:szCs w:val="16"/>
                <w:lang w:eastAsia="en-AU"/>
              </w:rPr>
            </w:pPr>
          </w:p>
        </w:tc>
      </w:tr>
      <w:tr w:rsidR="004F4E67" w:rsidRPr="00B14CA6" w14:paraId="7AE9DDA5" w14:textId="77777777" w:rsidTr="004D7ACB">
        <w:trPr>
          <w:trHeight w:val="225"/>
        </w:trPr>
        <w:tc>
          <w:tcPr>
            <w:tcW w:w="6537" w:type="dxa"/>
            <w:tcBorders>
              <w:top w:val="nil"/>
              <w:left w:val="nil"/>
              <w:bottom w:val="nil"/>
              <w:right w:val="nil"/>
            </w:tcBorders>
            <w:shd w:val="clear" w:color="auto" w:fill="auto"/>
            <w:hideMark/>
          </w:tcPr>
          <w:p w14:paraId="139F912C" w14:textId="77777777" w:rsidR="004F4E67" w:rsidRPr="00B14CA6" w:rsidRDefault="004F4E67" w:rsidP="00F709CF">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Geographic</w:t>
            </w:r>
          </w:p>
        </w:tc>
        <w:tc>
          <w:tcPr>
            <w:tcW w:w="737" w:type="dxa"/>
            <w:tcBorders>
              <w:top w:val="nil"/>
              <w:left w:val="nil"/>
              <w:bottom w:val="nil"/>
              <w:right w:val="nil"/>
            </w:tcBorders>
            <w:shd w:val="clear" w:color="auto" w:fill="auto"/>
            <w:noWrap/>
            <w:vAlign w:val="center"/>
            <w:hideMark/>
          </w:tcPr>
          <w:p w14:paraId="6B90EF8B" w14:textId="77777777" w:rsidR="004F4E67" w:rsidRPr="00B14CA6" w:rsidRDefault="004F4E67" w:rsidP="00F709CF">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324287EE" w14:textId="1F17CE74" w:rsidR="004F4E67" w:rsidRPr="00B14CA6" w:rsidRDefault="00471683" w:rsidP="00F709CF">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41.0</w:t>
            </w:r>
          </w:p>
        </w:tc>
        <w:tc>
          <w:tcPr>
            <w:tcW w:w="1491" w:type="dxa"/>
            <w:tcBorders>
              <w:top w:val="nil"/>
              <w:left w:val="nil"/>
              <w:bottom w:val="nil"/>
              <w:right w:val="nil"/>
            </w:tcBorders>
            <w:shd w:val="clear" w:color="auto" w:fill="auto"/>
            <w:noWrap/>
          </w:tcPr>
          <w:p w14:paraId="3D65869C" w14:textId="7D90B326" w:rsidR="004F4E67" w:rsidRPr="00B14CA6" w:rsidRDefault="00471683" w:rsidP="00F709CF">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50.3</w:t>
            </w:r>
          </w:p>
        </w:tc>
      </w:tr>
      <w:tr w:rsidR="004F4E67" w:rsidRPr="00B14CA6" w14:paraId="2A593EF1" w14:textId="77777777" w:rsidTr="004D7ACB">
        <w:trPr>
          <w:trHeight w:val="69"/>
        </w:trPr>
        <w:tc>
          <w:tcPr>
            <w:tcW w:w="6537" w:type="dxa"/>
            <w:tcBorders>
              <w:top w:val="nil"/>
              <w:left w:val="nil"/>
              <w:bottom w:val="nil"/>
              <w:right w:val="nil"/>
            </w:tcBorders>
            <w:shd w:val="clear" w:color="auto" w:fill="auto"/>
            <w:hideMark/>
          </w:tcPr>
          <w:p w14:paraId="78E8EE03" w14:textId="77777777" w:rsidR="004F4E67" w:rsidRPr="00B14CA6" w:rsidRDefault="004F4E67" w:rsidP="00F709CF">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Operational</w:t>
            </w:r>
          </w:p>
        </w:tc>
        <w:tc>
          <w:tcPr>
            <w:tcW w:w="737" w:type="dxa"/>
            <w:tcBorders>
              <w:top w:val="nil"/>
              <w:left w:val="nil"/>
              <w:bottom w:val="nil"/>
              <w:right w:val="nil"/>
            </w:tcBorders>
            <w:shd w:val="clear" w:color="auto" w:fill="auto"/>
            <w:noWrap/>
            <w:vAlign w:val="center"/>
            <w:hideMark/>
          </w:tcPr>
          <w:p w14:paraId="1AFFD8A9" w14:textId="77777777" w:rsidR="004F4E67" w:rsidRPr="00B14CA6" w:rsidRDefault="004F4E67" w:rsidP="00F709CF">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642790B4" w14:textId="7D4E2FA6" w:rsidR="004F4E67" w:rsidRPr="00B14CA6" w:rsidRDefault="00105088" w:rsidP="00F709CF">
            <w:pPr>
              <w:ind w:right="170"/>
              <w:jc w:val="right"/>
              <w:rPr>
                <w:rFonts w:ascii="Arial" w:hAnsi="Arial" w:cs="Arial"/>
                <w:color w:val="000000"/>
                <w:sz w:val="16"/>
                <w:szCs w:val="16"/>
                <w:lang w:eastAsia="en-AU"/>
              </w:rPr>
            </w:pPr>
            <w:r w:rsidRPr="00B14CA6">
              <w:rPr>
                <w:rFonts w:ascii="Arial" w:hAnsi="Arial" w:cs="Arial"/>
                <w:color w:val="000000" w:themeColor="text1"/>
                <w:sz w:val="16"/>
                <w:szCs w:val="16"/>
                <w:lang w:eastAsia="en-AU"/>
              </w:rPr>
              <w:t>99.95</w:t>
            </w:r>
          </w:p>
        </w:tc>
        <w:tc>
          <w:tcPr>
            <w:tcW w:w="1491" w:type="dxa"/>
            <w:tcBorders>
              <w:top w:val="nil"/>
              <w:left w:val="nil"/>
              <w:bottom w:val="nil"/>
              <w:right w:val="nil"/>
            </w:tcBorders>
            <w:shd w:val="clear" w:color="auto" w:fill="auto"/>
            <w:noWrap/>
          </w:tcPr>
          <w:p w14:paraId="5CE723E7" w14:textId="107E256F" w:rsidR="004F4E67" w:rsidRPr="00B14CA6" w:rsidRDefault="00105088" w:rsidP="00F709CF">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99.95</w:t>
            </w:r>
          </w:p>
        </w:tc>
      </w:tr>
      <w:tr w:rsidR="004F4E67" w:rsidRPr="00B14CA6" w14:paraId="30672A66" w14:textId="77777777" w:rsidTr="004D7ACB">
        <w:trPr>
          <w:trHeight w:val="225"/>
        </w:trPr>
        <w:tc>
          <w:tcPr>
            <w:tcW w:w="6537" w:type="dxa"/>
            <w:tcBorders>
              <w:top w:val="nil"/>
              <w:left w:val="nil"/>
              <w:bottom w:val="nil"/>
              <w:right w:val="nil"/>
            </w:tcBorders>
            <w:shd w:val="clear" w:color="auto" w:fill="auto"/>
            <w:hideMark/>
          </w:tcPr>
          <w:p w14:paraId="3CD07E37" w14:textId="77777777" w:rsidR="004F4E67" w:rsidRPr="00B14CA6" w:rsidRDefault="004F4E67" w:rsidP="00F709CF">
            <w:pPr>
              <w:ind w:firstLineChars="300" w:firstLine="480"/>
              <w:rPr>
                <w:rFonts w:ascii="Arial" w:hAnsi="Arial" w:cs="Arial"/>
                <w:color w:val="000000"/>
                <w:sz w:val="16"/>
                <w:szCs w:val="16"/>
                <w:lang w:eastAsia="en-AU"/>
              </w:rPr>
            </w:pPr>
            <w:r w:rsidRPr="00B14CA6">
              <w:rPr>
                <w:rFonts w:ascii="Arial" w:hAnsi="Arial" w:cs="Arial"/>
                <w:color w:val="000000"/>
                <w:sz w:val="16"/>
                <w:szCs w:val="16"/>
                <w:lang w:eastAsia="en-AU"/>
              </w:rPr>
              <w:t>Population</w:t>
            </w:r>
          </w:p>
        </w:tc>
        <w:tc>
          <w:tcPr>
            <w:tcW w:w="737" w:type="dxa"/>
            <w:tcBorders>
              <w:top w:val="nil"/>
              <w:left w:val="nil"/>
              <w:bottom w:val="nil"/>
              <w:right w:val="nil"/>
            </w:tcBorders>
            <w:shd w:val="clear" w:color="auto" w:fill="auto"/>
            <w:noWrap/>
            <w:vAlign w:val="center"/>
            <w:hideMark/>
          </w:tcPr>
          <w:p w14:paraId="2586D594" w14:textId="77777777" w:rsidR="004F4E67" w:rsidRPr="00B14CA6" w:rsidRDefault="004F4E67" w:rsidP="00F709CF">
            <w:pPr>
              <w:jc w:val="center"/>
              <w:rPr>
                <w:rFonts w:ascii="Arial" w:hAnsi="Arial" w:cs="Arial"/>
                <w:color w:val="000000"/>
                <w:sz w:val="16"/>
                <w:szCs w:val="16"/>
                <w:lang w:eastAsia="en-AU"/>
              </w:rPr>
            </w:pPr>
            <w:r w:rsidRPr="00B14CA6">
              <w:rPr>
                <w:rFonts w:ascii="Arial" w:hAnsi="Arial" w:cs="Arial"/>
                <w:color w:val="000000"/>
                <w:sz w:val="16"/>
                <w:szCs w:val="16"/>
                <w:lang w:eastAsia="en-AU"/>
              </w:rPr>
              <w:t> </w:t>
            </w:r>
          </w:p>
        </w:tc>
        <w:tc>
          <w:tcPr>
            <w:tcW w:w="1191" w:type="dxa"/>
            <w:tcBorders>
              <w:top w:val="nil"/>
              <w:left w:val="nil"/>
              <w:bottom w:val="nil"/>
              <w:right w:val="nil"/>
            </w:tcBorders>
            <w:shd w:val="clear" w:color="auto" w:fill="auto"/>
            <w:noWrap/>
          </w:tcPr>
          <w:p w14:paraId="40BC6130" w14:textId="154CE318" w:rsidR="004F4E67" w:rsidRPr="00B14CA6" w:rsidRDefault="00471683" w:rsidP="00F709CF">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94.0</w:t>
            </w:r>
          </w:p>
        </w:tc>
        <w:tc>
          <w:tcPr>
            <w:tcW w:w="1491" w:type="dxa"/>
            <w:tcBorders>
              <w:top w:val="nil"/>
              <w:left w:val="nil"/>
              <w:bottom w:val="nil"/>
              <w:right w:val="nil"/>
            </w:tcBorders>
            <w:shd w:val="clear" w:color="auto" w:fill="auto"/>
            <w:noWrap/>
          </w:tcPr>
          <w:p w14:paraId="15E940C9" w14:textId="2914D508" w:rsidR="004F4E67" w:rsidRPr="00B14CA6" w:rsidRDefault="00471683" w:rsidP="00F709CF">
            <w:pPr>
              <w:ind w:right="170"/>
              <w:jc w:val="right"/>
              <w:rPr>
                <w:rFonts w:ascii="Arial" w:hAnsi="Arial" w:cs="Arial"/>
                <w:color w:val="000000"/>
                <w:sz w:val="16"/>
                <w:szCs w:val="16"/>
                <w:lang w:eastAsia="en-AU"/>
              </w:rPr>
            </w:pPr>
            <w:r w:rsidRPr="00B14CA6">
              <w:rPr>
                <w:rFonts w:ascii="Arial" w:hAnsi="Arial" w:cs="Arial"/>
                <w:color w:val="000000"/>
                <w:sz w:val="16"/>
                <w:szCs w:val="16"/>
                <w:lang w:eastAsia="en-AU"/>
              </w:rPr>
              <w:t>96.1</w:t>
            </w:r>
          </w:p>
        </w:tc>
      </w:tr>
    </w:tbl>
    <w:p w14:paraId="1148A4D6" w14:textId="77777777" w:rsidR="00880381" w:rsidRPr="00880381" w:rsidRDefault="00880381" w:rsidP="00826321">
      <w:pPr>
        <w:rPr>
          <w:rFonts w:ascii="Arial" w:eastAsia="Calibri" w:hAnsi="Arial" w:cs="Arial"/>
          <w:sz w:val="6"/>
          <w:szCs w:val="6"/>
        </w:rPr>
      </w:pPr>
    </w:p>
    <w:p w14:paraId="04F22525" w14:textId="0F92E42F" w:rsidR="00826321" w:rsidRPr="00EC6927" w:rsidRDefault="00826321" w:rsidP="00826321">
      <w:pPr>
        <w:rPr>
          <w:rFonts w:ascii="Arial" w:eastAsia="Calibri" w:hAnsi="Arial" w:cs="Arial"/>
          <w:sz w:val="17"/>
          <w:szCs w:val="17"/>
        </w:rPr>
      </w:pPr>
      <w:r w:rsidRPr="00EC6927">
        <w:rPr>
          <w:rFonts w:ascii="Arial" w:eastAsia="Calibri" w:hAnsi="Arial" w:cs="Arial"/>
          <w:sz w:val="17"/>
          <w:szCs w:val="17"/>
        </w:rPr>
        <w:t>Note</w:t>
      </w:r>
    </w:p>
    <w:p w14:paraId="46DD9A3A" w14:textId="3EF54800" w:rsidR="004D7ACB" w:rsidRPr="00880381" w:rsidRDefault="004D7ACB" w:rsidP="004D7ACB">
      <w:pPr>
        <w:pStyle w:val="ListParagraph"/>
        <w:numPr>
          <w:ilvl w:val="0"/>
          <w:numId w:val="30"/>
        </w:numPr>
        <w:ind w:left="357" w:hanging="357"/>
        <w:rPr>
          <w:rFonts w:cs="Arial"/>
          <w:sz w:val="17"/>
          <w:szCs w:val="17"/>
        </w:rPr>
      </w:pPr>
      <w:r w:rsidRPr="00880381">
        <w:rPr>
          <w:rFonts w:eastAsia="Times New Roman" w:cs="Arial"/>
          <w:color w:val="000000"/>
          <w:sz w:val="17"/>
          <w:szCs w:val="17"/>
          <w:lang w:eastAsia="en-AU"/>
        </w:rPr>
        <w:t>A 202</w:t>
      </w:r>
      <w:r w:rsidR="00C60A5A">
        <w:rPr>
          <w:rFonts w:eastAsia="Times New Roman" w:cs="Arial"/>
          <w:color w:val="000000"/>
          <w:sz w:val="17"/>
          <w:szCs w:val="17"/>
          <w:lang w:eastAsia="en-AU"/>
        </w:rPr>
        <w:t>1</w:t>
      </w:r>
      <w:r w:rsidRPr="00880381">
        <w:rPr>
          <w:rFonts w:eastAsia="Times New Roman" w:cs="Arial"/>
          <w:color w:val="000000"/>
          <w:sz w:val="17"/>
          <w:szCs w:val="17"/>
          <w:lang w:eastAsia="en-AU"/>
        </w:rPr>
        <w:t>-2</w:t>
      </w:r>
      <w:r w:rsidR="00C60A5A">
        <w:rPr>
          <w:rFonts w:eastAsia="Times New Roman" w:cs="Arial"/>
          <w:color w:val="000000"/>
          <w:sz w:val="17"/>
          <w:szCs w:val="17"/>
          <w:lang w:eastAsia="en-AU"/>
        </w:rPr>
        <w:t>2</w:t>
      </w:r>
      <w:r w:rsidRPr="00880381">
        <w:rPr>
          <w:rFonts w:eastAsia="Times New Roman" w:cs="Arial"/>
          <w:color w:val="000000"/>
          <w:sz w:val="17"/>
          <w:szCs w:val="17"/>
          <w:lang w:eastAsia="en-AU"/>
        </w:rPr>
        <w:t xml:space="preserve"> forecast is not available as the values are sourced from the Digital Government Readiness Report prepared by Intermedium. The next results are expected to be released in early 2022.</w:t>
      </w:r>
    </w:p>
    <w:p w14:paraId="6FD1105E" w14:textId="03CCFB5A" w:rsidR="009A72FD" w:rsidRDefault="009A72FD" w:rsidP="00BF018F">
      <w:pPr>
        <w:autoSpaceDE w:val="0"/>
        <w:autoSpaceDN w:val="0"/>
        <w:adjustRightInd w:val="0"/>
        <w:rPr>
          <w:rFonts w:ascii="Arial" w:hAnsi="Arial" w:cs="Arial"/>
          <w:sz w:val="23"/>
          <w:szCs w:val="23"/>
        </w:rPr>
      </w:pPr>
    </w:p>
    <w:p w14:paraId="69D35700" w14:textId="77777777" w:rsidR="009A72FD" w:rsidRDefault="009A72FD">
      <w:pPr>
        <w:rPr>
          <w:rFonts w:ascii="Arial" w:hAnsi="Arial" w:cs="Arial"/>
          <w:sz w:val="23"/>
          <w:szCs w:val="23"/>
        </w:rPr>
      </w:pPr>
      <w:r>
        <w:rPr>
          <w:rFonts w:ascii="Arial" w:hAnsi="Arial" w:cs="Arial"/>
          <w:sz w:val="23"/>
          <w:szCs w:val="23"/>
        </w:rPr>
        <w:br w:type="page"/>
      </w:r>
    </w:p>
    <w:bookmarkEnd w:id="11"/>
    <w:bookmarkEnd w:id="12"/>
    <w:p w14:paraId="3A3BF13E" w14:textId="4C6BE774" w:rsidR="00E0467E" w:rsidRDefault="00ED0897" w:rsidP="00402940">
      <w:pPr>
        <w:pStyle w:val="Heading2"/>
        <w:numPr>
          <w:ilvl w:val="1"/>
          <w:numId w:val="21"/>
        </w:numPr>
        <w:rPr>
          <w:rFonts w:ascii="Arial" w:hAnsi="Arial" w:cs="Arial"/>
        </w:rPr>
      </w:pPr>
      <w:r>
        <w:rPr>
          <w:rFonts w:ascii="Arial" w:hAnsi="Arial" w:cs="Arial"/>
        </w:rPr>
        <w:lastRenderedPageBreak/>
        <w:t xml:space="preserve">Outcome 3: </w:t>
      </w:r>
      <w:r w:rsidR="006121FA">
        <w:t>Fair, secure and efficient markets</w:t>
      </w:r>
      <w:r w:rsidR="006121FA">
        <w:rPr>
          <w:rFonts w:ascii="Arial" w:hAnsi="Arial" w:cs="Arial"/>
        </w:rPr>
        <w:t xml:space="preserve"> </w:t>
      </w:r>
    </w:p>
    <w:tbl>
      <w:tblPr>
        <w:tblpPr w:leftFromText="180" w:rightFromText="180" w:vertAnchor="text" w:horzAnchor="margin" w:tblpXSpec="right" w:tblpY="683"/>
        <w:tblW w:w="1716" w:type="pct"/>
        <w:shd w:val="clear" w:color="auto" w:fill="F2F2F2" w:themeFill="background1" w:themeFillShade="F2"/>
        <w:tblCellMar>
          <w:left w:w="115" w:type="dxa"/>
          <w:right w:w="115" w:type="dxa"/>
        </w:tblCellMar>
        <w:tblLook w:val="04A0" w:firstRow="1" w:lastRow="0" w:firstColumn="1" w:lastColumn="0" w:noHBand="0" w:noVBand="1"/>
        <w:tblCaption w:val="1.5 Outcome 3: Fair, secure and efficient markets "/>
        <w:tblDescription w:val="1.5 Outcome 3: Fair, secure and efficient markets "/>
      </w:tblPr>
      <w:tblGrid>
        <w:gridCol w:w="1144"/>
        <w:gridCol w:w="967"/>
        <w:gridCol w:w="1197"/>
      </w:tblGrid>
      <w:tr w:rsidR="00560147" w:rsidRPr="00F8244B" w14:paraId="639C0098" w14:textId="77777777" w:rsidTr="00182046">
        <w:trPr>
          <w:cantSplit/>
          <w:trHeight w:val="784"/>
        </w:trPr>
        <w:tc>
          <w:tcPr>
            <w:tcW w:w="1729" w:type="pct"/>
            <w:shd w:val="clear" w:color="auto" w:fill="F2F2F2" w:themeFill="background1" w:themeFillShade="F2"/>
            <w:vAlign w:val="center"/>
          </w:tcPr>
          <w:p w14:paraId="7496482C" w14:textId="77777777" w:rsidR="00560147" w:rsidRPr="00F8244B" w:rsidRDefault="00560147" w:rsidP="00182046">
            <w:pPr>
              <w:spacing w:before="120" w:after="120"/>
              <w:rPr>
                <w:rFonts w:ascii="Arial" w:hAnsi="Arial" w:cs="Arial"/>
                <w:sz w:val="23"/>
                <w:szCs w:val="23"/>
              </w:rPr>
            </w:pPr>
            <w:r w:rsidRPr="00F8244B">
              <w:rPr>
                <w:rFonts w:ascii="Arial" w:hAnsi="Arial" w:cs="Arial"/>
                <w:noProof/>
                <w:lang w:eastAsia="en-AU"/>
              </w:rPr>
              <w:drawing>
                <wp:inline distT="0" distB="0" distL="0" distR="0" wp14:anchorId="53CF9C1C" wp14:editId="5EA4BCA8">
                  <wp:extent cx="518160" cy="518160"/>
                  <wp:effectExtent l="0" t="0" r="0" b="0"/>
                  <wp:docPr id="15" name="Picture 1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445BB506" w14:textId="1A3C57BA" w:rsidR="00560147" w:rsidRPr="00F8244B" w:rsidRDefault="00560147" w:rsidP="00182046">
            <w:pPr>
              <w:spacing w:before="120" w:after="120"/>
              <w:jc w:val="center"/>
              <w:rPr>
                <w:rFonts w:ascii="Arial" w:hAnsi="Arial" w:cs="Arial"/>
                <w:color w:val="00ABE6"/>
                <w:sz w:val="18"/>
                <w:szCs w:val="18"/>
              </w:rPr>
            </w:pPr>
            <w:r w:rsidRPr="00DF6E70">
              <w:rPr>
                <w:rFonts w:ascii="Arial" w:hAnsi="Arial" w:cs="Arial"/>
                <w:color w:val="00ABE6"/>
                <w:sz w:val="18"/>
                <w:szCs w:val="18"/>
              </w:rPr>
              <w:t>$</w:t>
            </w:r>
            <w:r w:rsidR="00DE4270" w:rsidRPr="00DF6E70">
              <w:rPr>
                <w:rFonts w:ascii="Arial" w:hAnsi="Arial" w:cs="Arial"/>
                <w:color w:val="00ABE6"/>
                <w:sz w:val="18"/>
                <w:szCs w:val="18"/>
              </w:rPr>
              <w:t>1.5</w:t>
            </w:r>
            <w:r w:rsidRPr="00DF6E70">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0D3C7688" w14:textId="361F353B" w:rsidR="00560147" w:rsidRPr="00F8244B" w:rsidRDefault="00560147" w:rsidP="0018204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r>
            <w:r w:rsidR="00F74499" w:rsidRPr="00F8244B">
              <w:rPr>
                <w:rFonts w:ascii="Arial" w:hAnsi="Arial" w:cs="Arial"/>
                <w:color w:val="00ABE6"/>
                <w:sz w:val="18"/>
                <w:szCs w:val="18"/>
              </w:rPr>
              <w:t>20</w:t>
            </w:r>
            <w:r w:rsidR="00F74499">
              <w:rPr>
                <w:rFonts w:ascii="Arial" w:hAnsi="Arial" w:cs="Arial"/>
                <w:color w:val="00ABE6"/>
                <w:sz w:val="18"/>
                <w:szCs w:val="18"/>
              </w:rPr>
              <w:t>21-22</w:t>
            </w:r>
          </w:p>
        </w:tc>
      </w:tr>
      <w:tr w:rsidR="00560147" w:rsidRPr="00F8244B" w14:paraId="6B987BBB" w14:textId="77777777" w:rsidTr="00182046">
        <w:trPr>
          <w:cantSplit/>
          <w:trHeight w:val="784"/>
        </w:trPr>
        <w:tc>
          <w:tcPr>
            <w:tcW w:w="1729" w:type="pct"/>
            <w:shd w:val="clear" w:color="auto" w:fill="F2F2F2" w:themeFill="background1" w:themeFillShade="F2"/>
            <w:vAlign w:val="center"/>
          </w:tcPr>
          <w:p w14:paraId="72CFA21B" w14:textId="77777777" w:rsidR="00560147" w:rsidRPr="00F8244B" w:rsidRDefault="00560147" w:rsidP="0018204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70E654BE" wp14:editId="4F4DE373">
                  <wp:extent cx="525145" cy="525145"/>
                  <wp:effectExtent l="0" t="0" r="8255" b="8255"/>
                  <wp:docPr id="16" name="Picture 16"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28ACC50" w14:textId="3C646284" w:rsidR="00560147" w:rsidRPr="00F8244B" w:rsidRDefault="00560147" w:rsidP="00182046">
            <w:pPr>
              <w:spacing w:before="120" w:after="120"/>
              <w:jc w:val="center"/>
              <w:rPr>
                <w:rFonts w:ascii="Arial" w:hAnsi="Arial" w:cs="Arial"/>
                <w:color w:val="00ABE6"/>
                <w:sz w:val="18"/>
                <w:szCs w:val="18"/>
              </w:rPr>
            </w:pPr>
            <w:r w:rsidRPr="00DF6E70">
              <w:rPr>
                <w:rFonts w:ascii="Arial" w:hAnsi="Arial" w:cs="Arial"/>
                <w:color w:val="00ABE6"/>
                <w:sz w:val="18"/>
                <w:szCs w:val="18"/>
              </w:rPr>
              <w:t>$</w:t>
            </w:r>
            <w:r w:rsidR="004E4200" w:rsidRPr="00DF6E70">
              <w:rPr>
                <w:rFonts w:ascii="Arial" w:hAnsi="Arial" w:cs="Arial"/>
                <w:color w:val="00ABE6"/>
                <w:sz w:val="18"/>
                <w:szCs w:val="18"/>
              </w:rPr>
              <w:t>77.9</w:t>
            </w:r>
            <w:r w:rsidRPr="00DF6E70">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41CCDF1F" w14:textId="3BC6B149" w:rsidR="00560147" w:rsidRPr="00F8244B" w:rsidRDefault="00560147" w:rsidP="0018204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r>
            <w:r w:rsidR="00F74499" w:rsidRPr="00F8244B">
              <w:rPr>
                <w:rFonts w:ascii="Arial" w:hAnsi="Arial" w:cs="Arial"/>
                <w:color w:val="00ABE6"/>
                <w:sz w:val="18"/>
                <w:szCs w:val="18"/>
              </w:rPr>
              <w:t>20</w:t>
            </w:r>
            <w:r w:rsidR="00F74499">
              <w:rPr>
                <w:rFonts w:ascii="Arial" w:hAnsi="Arial" w:cs="Arial"/>
                <w:color w:val="00ABE6"/>
                <w:sz w:val="18"/>
                <w:szCs w:val="18"/>
              </w:rPr>
              <w:t>21-22</w:t>
            </w:r>
          </w:p>
        </w:tc>
      </w:tr>
    </w:tbl>
    <w:p w14:paraId="6EB6FF03" w14:textId="2049C83C" w:rsidR="00560147" w:rsidRPr="003A0DAC" w:rsidRDefault="00560147" w:rsidP="00560147">
      <w:pPr>
        <w:pStyle w:val="Heading3"/>
        <w:rPr>
          <w:rFonts w:cs="Arial"/>
        </w:rPr>
      </w:pPr>
      <w:r>
        <w:rPr>
          <w:rFonts w:cs="Arial"/>
        </w:rPr>
        <w:t>S</w:t>
      </w:r>
      <w:r w:rsidRPr="003A0DAC">
        <w:rPr>
          <w:rFonts w:cs="Arial"/>
        </w:rPr>
        <w:t>tate Outcome overview and 202</w:t>
      </w:r>
      <w:r w:rsidR="00F74499">
        <w:rPr>
          <w:rFonts w:cs="Arial"/>
        </w:rPr>
        <w:t>1</w:t>
      </w:r>
      <w:r w:rsidRPr="003A0DAC">
        <w:rPr>
          <w:rFonts w:cs="Arial"/>
        </w:rPr>
        <w:t>-2</w:t>
      </w:r>
      <w:r w:rsidR="00F74499">
        <w:rPr>
          <w:rFonts w:cs="Arial"/>
        </w:rPr>
        <w:t>2</w:t>
      </w:r>
      <w:r w:rsidRPr="003A0DAC">
        <w:rPr>
          <w:rFonts w:cs="Arial"/>
        </w:rPr>
        <w:t xml:space="preserve"> investment</w:t>
      </w:r>
    </w:p>
    <w:p w14:paraId="193322F4" w14:textId="5D0B4639" w:rsidR="00414570" w:rsidRPr="00F77D5C" w:rsidRDefault="00414570" w:rsidP="0089325A">
      <w:pPr>
        <w:pStyle w:val="BodyText"/>
      </w:pPr>
      <w:r w:rsidRPr="00F77D5C">
        <w:t xml:space="preserve">Investment in this State Outcome enables the Department of Customer Service to deliver an efficient regulatory framework that delivers safety outcomes, consumer and business protections, State insurance schemes and other regulatory requirements whilst meeting the evolving </w:t>
      </w:r>
      <w:r w:rsidR="00DD123F">
        <w:t xml:space="preserve">and complex </w:t>
      </w:r>
      <w:r w:rsidRPr="00F77D5C">
        <w:t xml:space="preserve">needs of businesses and customers. </w:t>
      </w:r>
    </w:p>
    <w:p w14:paraId="59D0A921" w14:textId="251DDA72" w:rsidR="00414570" w:rsidRPr="00F77D5C" w:rsidRDefault="00414570" w:rsidP="0089325A">
      <w:pPr>
        <w:pStyle w:val="BodyText"/>
      </w:pPr>
      <w:r w:rsidRPr="00F77D5C">
        <w:t>This Outcome is measured by the regulatory compliance rates of selected industries, the rate of work-related traumatic injury fatalities and the affordability of the Compulsory Third Party Insurance scheme.</w:t>
      </w:r>
    </w:p>
    <w:p w14:paraId="2A3578FB" w14:textId="6DBC1415" w:rsidR="00560147" w:rsidRPr="000101AC" w:rsidRDefault="00560147" w:rsidP="00560147">
      <w:pPr>
        <w:pStyle w:val="Heading3"/>
        <w:rPr>
          <w:rFonts w:cs="Arial"/>
        </w:rPr>
      </w:pPr>
      <w:r w:rsidRPr="000101AC">
        <w:rPr>
          <w:rFonts w:cs="Arial"/>
        </w:rPr>
        <w:t>202</w:t>
      </w:r>
      <w:r w:rsidR="00F74499">
        <w:rPr>
          <w:rFonts w:cs="Arial"/>
        </w:rPr>
        <w:t>1</w:t>
      </w:r>
      <w:r w:rsidRPr="000101AC">
        <w:rPr>
          <w:rFonts w:cs="Arial"/>
        </w:rPr>
        <w:t>-2</w:t>
      </w:r>
      <w:r w:rsidR="00F74499">
        <w:rPr>
          <w:rFonts w:cs="Arial"/>
        </w:rPr>
        <w:t>2</w:t>
      </w:r>
      <w:r w:rsidRPr="000101AC">
        <w:rPr>
          <w:rFonts w:cs="Arial"/>
        </w:rPr>
        <w:t xml:space="preserve"> </w:t>
      </w:r>
      <w:r w:rsidR="0033128C">
        <w:rPr>
          <w:rFonts w:cs="Arial"/>
        </w:rPr>
        <w:t xml:space="preserve">State Outcome </w:t>
      </w:r>
      <w:r w:rsidRPr="000101AC">
        <w:rPr>
          <w:rFonts w:cs="Arial"/>
        </w:rPr>
        <w:t xml:space="preserve">Budget </w:t>
      </w:r>
      <w:r w:rsidR="0033128C">
        <w:rPr>
          <w:rFonts w:cs="Arial"/>
        </w:rPr>
        <w:t>h</w:t>
      </w:r>
      <w:r w:rsidRPr="000101AC">
        <w:rPr>
          <w:rFonts w:cs="Arial"/>
        </w:rPr>
        <w:t xml:space="preserve">ighlights </w:t>
      </w:r>
    </w:p>
    <w:p w14:paraId="00930402" w14:textId="34A421D1" w:rsidR="00A52240" w:rsidRPr="00F77D5C" w:rsidRDefault="006E2565" w:rsidP="0089325A">
      <w:pPr>
        <w:pStyle w:val="BodyText"/>
      </w:pPr>
      <w:r w:rsidRPr="00F77D5C">
        <w:t xml:space="preserve">In 2021-22, the Customer </w:t>
      </w:r>
      <w:r w:rsidR="00FE38E2" w:rsidRPr="00F77D5C">
        <w:t>Service</w:t>
      </w:r>
      <w:r w:rsidR="00A52240" w:rsidRPr="00F77D5C">
        <w:t xml:space="preserve"> </w:t>
      </w:r>
      <w:r w:rsidR="00D45E89" w:rsidRPr="00F77D5C">
        <w:t>C</w:t>
      </w:r>
      <w:r w:rsidR="00A52240" w:rsidRPr="00F77D5C">
        <w:t xml:space="preserve">luster will invest </w:t>
      </w:r>
      <w:r w:rsidR="00A52240" w:rsidRPr="00DF6E70">
        <w:t>$</w:t>
      </w:r>
      <w:r w:rsidR="004E4200" w:rsidRPr="00DF6E70">
        <w:t>1.6</w:t>
      </w:r>
      <w:r w:rsidR="00A52240" w:rsidRPr="00DF6E70">
        <w:t xml:space="preserve"> billion ($</w:t>
      </w:r>
      <w:r w:rsidR="004E4200" w:rsidRPr="00DF6E70">
        <w:t xml:space="preserve">1.5 </w:t>
      </w:r>
      <w:r w:rsidR="00A52240" w:rsidRPr="00DF6E70">
        <w:t>billion</w:t>
      </w:r>
      <w:r w:rsidR="00A52240" w:rsidRPr="00F77D5C">
        <w:t xml:space="preserve"> recurrent expenses and </w:t>
      </w:r>
      <w:r w:rsidR="00A52240" w:rsidRPr="00DF6E70">
        <w:t>$</w:t>
      </w:r>
      <w:r w:rsidR="004E4200" w:rsidRPr="00DF6E70">
        <w:t>77.9</w:t>
      </w:r>
      <w:r w:rsidR="00A52240" w:rsidRPr="00DF6E70">
        <w:t xml:space="preserve"> million</w:t>
      </w:r>
      <w:r w:rsidR="00A52240" w:rsidRPr="00F77D5C">
        <w:t xml:space="preserve"> </w:t>
      </w:r>
      <w:r w:rsidR="004E4200">
        <w:t xml:space="preserve">in </w:t>
      </w:r>
      <w:r w:rsidR="00A52240" w:rsidRPr="00F77D5C">
        <w:t xml:space="preserve">capital expenditure) </w:t>
      </w:r>
      <w:r w:rsidR="00BF018F" w:rsidRPr="00F77D5C">
        <w:t>in this Outcome</w:t>
      </w:r>
      <w:r w:rsidR="00A52240" w:rsidRPr="00F77D5C">
        <w:t>, including</w:t>
      </w:r>
      <w:r w:rsidR="00493979" w:rsidRPr="00F77D5C">
        <w:t>:</w:t>
      </w:r>
    </w:p>
    <w:p w14:paraId="780E3AF2" w14:textId="4A3CAAD5" w:rsidR="00200DF8" w:rsidRPr="00F77D5C" w:rsidRDefault="00F62BCF" w:rsidP="00BD7C1A">
      <w:pPr>
        <w:pStyle w:val="Bullet1"/>
      </w:pPr>
      <w:r w:rsidRPr="00F3662C">
        <w:t>$</w:t>
      </w:r>
      <w:r w:rsidR="23C14F65" w:rsidRPr="00F3662C">
        <w:t>4</w:t>
      </w:r>
      <w:r w:rsidR="58AAF3DC" w:rsidRPr="00F3662C">
        <w:t>1.9</w:t>
      </w:r>
      <w:r w:rsidRPr="00F3662C">
        <w:t xml:space="preserve"> million ($</w:t>
      </w:r>
      <w:r w:rsidR="0EAEFF64" w:rsidRPr="00F3662C">
        <w:t>59.9</w:t>
      </w:r>
      <w:r w:rsidRPr="00F3662C">
        <w:t xml:space="preserve"> million</w:t>
      </w:r>
      <w:r w:rsidR="00E74F3B">
        <w:t xml:space="preserve"> </w:t>
      </w:r>
      <w:r>
        <w:t xml:space="preserve">over </w:t>
      </w:r>
      <w:r w:rsidR="00746845">
        <w:t>three</w:t>
      </w:r>
      <w:r>
        <w:t xml:space="preserve"> years)</w:t>
      </w:r>
      <w:r w:rsidR="00814D08">
        <w:t xml:space="preserve"> </w:t>
      </w:r>
      <w:r w:rsidR="001B71A3">
        <w:t xml:space="preserve">for </w:t>
      </w:r>
      <w:r w:rsidR="00335204">
        <w:t>12 infrastructure projects at country race clubs across N</w:t>
      </w:r>
      <w:r w:rsidR="008F4865">
        <w:t>ew </w:t>
      </w:r>
      <w:r w:rsidR="00335204">
        <w:t>S</w:t>
      </w:r>
      <w:r w:rsidR="008F4865">
        <w:t>outh </w:t>
      </w:r>
      <w:r w:rsidR="00335204">
        <w:t>W</w:t>
      </w:r>
      <w:r w:rsidR="008F4865">
        <w:t>ales</w:t>
      </w:r>
      <w:r w:rsidR="00335204">
        <w:t xml:space="preserve"> </w:t>
      </w:r>
      <w:r w:rsidR="00B64131">
        <w:t xml:space="preserve">to </w:t>
      </w:r>
      <w:r w:rsidR="00335204">
        <w:t xml:space="preserve">improve </w:t>
      </w:r>
      <w:r w:rsidR="0044385D">
        <w:t>racetracks</w:t>
      </w:r>
      <w:r w:rsidR="00DC5E0B">
        <w:t>, amenities and animal welfare</w:t>
      </w:r>
    </w:p>
    <w:p w14:paraId="31F1F26B" w14:textId="1D1567B5" w:rsidR="6EC7EA15" w:rsidRDefault="6EC7EA15" w:rsidP="00BD7C1A">
      <w:pPr>
        <w:pStyle w:val="Bullet1"/>
        <w:rPr>
          <w:rFonts w:eastAsia="Arial"/>
        </w:rPr>
      </w:pPr>
      <w:r w:rsidRPr="00F3662C">
        <w:rPr>
          <w:rFonts w:eastAsia="Arial"/>
        </w:rPr>
        <w:t xml:space="preserve">$17.0 million in </w:t>
      </w:r>
      <w:r w:rsidR="0089325A" w:rsidRPr="00F3662C">
        <w:rPr>
          <w:rFonts w:eastAsia="Arial"/>
        </w:rPr>
        <w:t xml:space="preserve">recurrent </w:t>
      </w:r>
      <w:r w:rsidRPr="00F3662C">
        <w:rPr>
          <w:rFonts w:eastAsia="Arial"/>
        </w:rPr>
        <w:t>expenses ($122.0 million</w:t>
      </w:r>
      <w:r w:rsidRPr="54EFFB0F">
        <w:rPr>
          <w:rFonts w:eastAsia="Arial"/>
        </w:rPr>
        <w:t xml:space="preserve"> over three years for operating and capital costs) </w:t>
      </w:r>
      <w:r>
        <w:t xml:space="preserve">to digitise government licensing </w:t>
      </w:r>
      <w:r w:rsidRPr="54EFFB0F">
        <w:rPr>
          <w:rFonts w:eastAsia="Arial"/>
        </w:rPr>
        <w:t>applications for the Real Estate, Tattoo and Security Licensing industries and digital licences for Home Building and High-Risk Work</w:t>
      </w:r>
    </w:p>
    <w:p w14:paraId="69D20A92" w14:textId="3D3E25AB" w:rsidR="008C612F" w:rsidRPr="008C612F" w:rsidRDefault="008C612F" w:rsidP="00BD7C1A">
      <w:pPr>
        <w:pStyle w:val="Bullet1"/>
        <w:rPr>
          <w:rFonts w:eastAsia="Arial"/>
        </w:rPr>
      </w:pPr>
      <w:r w:rsidRPr="00F3662C">
        <w:rPr>
          <w:rFonts w:eastAsia="Arial"/>
        </w:rPr>
        <w:t>$11.4 million ($23.0 million</w:t>
      </w:r>
      <w:r w:rsidRPr="54EFFB0F">
        <w:rPr>
          <w:rFonts w:eastAsia="Arial"/>
        </w:rPr>
        <w:t xml:space="preserve"> over three years) for the eConstruction initiative to develop digital platforms for certification registries aimed at delivering end-to-end quality assurance for builders, customers and suppliers to improve the transparency, accountability and quality of work within the building sector</w:t>
      </w:r>
    </w:p>
    <w:p w14:paraId="5E06C0A3" w14:textId="03FD9107" w:rsidR="000A0339" w:rsidRDefault="59787B0D" w:rsidP="00BD7C1A">
      <w:pPr>
        <w:pStyle w:val="Bullet1"/>
      </w:pPr>
      <w:r>
        <w:t>$6.4 million ($12.9 million recurrent expenses over two years) to increase the number of inspector</w:t>
      </w:r>
      <w:r w:rsidR="0B095C0C">
        <w:t>s and associated support staff in SafeWork NSW to meet the International Labour Organ</w:t>
      </w:r>
      <w:r w:rsidR="6E89312F">
        <w:t>isation benchmark of one inspector</w:t>
      </w:r>
      <w:r w:rsidR="7FB35C31">
        <w:t xml:space="preserve"> for </w:t>
      </w:r>
      <w:r w:rsidR="00BD7C1A">
        <w:t>e</w:t>
      </w:r>
      <w:r w:rsidR="7FB35C31">
        <w:t>very 10,000 workers</w:t>
      </w:r>
      <w:r w:rsidR="0B095C0C">
        <w:t xml:space="preserve"> </w:t>
      </w:r>
    </w:p>
    <w:p w14:paraId="111064C4" w14:textId="42B01E3F" w:rsidR="00335204" w:rsidRDefault="000A0339" w:rsidP="000A0339">
      <w:pPr>
        <w:pStyle w:val="Bullet1"/>
      </w:pPr>
      <w:r>
        <w:t xml:space="preserve">$6.0 million in additional funding as part of </w:t>
      </w:r>
      <w:r w:rsidR="002F6081">
        <w:t xml:space="preserve">a broader </w:t>
      </w:r>
      <w:r>
        <w:t>ongoing funding package</w:t>
      </w:r>
      <w:r w:rsidR="000B00E3">
        <w:t xml:space="preserve"> </w:t>
      </w:r>
      <w:r>
        <w:t xml:space="preserve">to ensure that the Greyhound Welfare and Integrity Commission is sustainably funded, addressing the issues raised by the recent statutory review of the </w:t>
      </w:r>
      <w:r w:rsidRPr="16CC90BD">
        <w:rPr>
          <w:i/>
          <w:iCs/>
        </w:rPr>
        <w:t>Greyhound Racing Act 2017</w:t>
      </w:r>
    </w:p>
    <w:p w14:paraId="20327203" w14:textId="7A80DBFF" w:rsidR="6DA0603E" w:rsidRPr="005F2E13" w:rsidRDefault="6DA0603E" w:rsidP="00BD7C1A">
      <w:pPr>
        <w:pStyle w:val="Bullet1"/>
        <w:rPr>
          <w:rFonts w:eastAsia="Arial"/>
        </w:rPr>
      </w:pPr>
      <w:r>
        <w:t>$</w:t>
      </w:r>
      <w:r w:rsidR="57FDBFC2">
        <w:t>4</w:t>
      </w:r>
      <w:r>
        <w:t xml:space="preserve">.9 million </w:t>
      </w:r>
      <w:r w:rsidR="3B86F8F1">
        <w:t xml:space="preserve">($11.1 million over four years) </w:t>
      </w:r>
      <w:r>
        <w:t xml:space="preserve">for the Building Commissioner to boost </w:t>
      </w:r>
      <w:r w:rsidR="6F178D2C">
        <w:t>regulatory</w:t>
      </w:r>
      <w:r w:rsidR="7ADC55B0">
        <w:t xml:space="preserve"> </w:t>
      </w:r>
      <w:r>
        <w:t xml:space="preserve">enforcement </w:t>
      </w:r>
      <w:r w:rsidR="0D07B499">
        <w:t xml:space="preserve">and </w:t>
      </w:r>
      <w:r w:rsidR="5C67FC22">
        <w:t>contin</w:t>
      </w:r>
      <w:r w:rsidR="3761ABC5">
        <w:t>u</w:t>
      </w:r>
      <w:r w:rsidR="5C67FC22">
        <w:t xml:space="preserve">e the </w:t>
      </w:r>
      <w:r w:rsidR="0D07B499" w:rsidRPr="00AD3A50">
        <w:t>transform</w:t>
      </w:r>
      <w:r w:rsidR="52394D17" w:rsidRPr="00AD3A50">
        <w:t>ation of</w:t>
      </w:r>
      <w:r w:rsidR="0D07B499" w:rsidRPr="00AD3A50">
        <w:t xml:space="preserve"> the building sector into a customer</w:t>
      </w:r>
      <w:r w:rsidR="0D07B499" w:rsidRPr="00AD3A50">
        <w:rPr>
          <w:rFonts w:ascii="Cambria Math" w:hAnsi="Cambria Math" w:cs="Cambria Math"/>
        </w:rPr>
        <w:t>‑</w:t>
      </w:r>
      <w:r w:rsidR="0D07B499" w:rsidRPr="00AD3A50">
        <w:t>centric industr</w:t>
      </w:r>
      <w:r w:rsidR="2755DBFA" w:rsidRPr="00AD3A50">
        <w:t>y</w:t>
      </w:r>
      <w:r w:rsidR="0D07B499" w:rsidRPr="00AD3A50">
        <w:t xml:space="preserve"> focused on the quality of construction</w:t>
      </w:r>
    </w:p>
    <w:p w14:paraId="4314460A" w14:textId="02EA8870" w:rsidR="004361BB" w:rsidRPr="00AD1BF1" w:rsidRDefault="005F2E13" w:rsidP="004E5576">
      <w:pPr>
        <w:pStyle w:val="Bullet1"/>
      </w:pPr>
      <w:r>
        <w:t>$1.0 million ($1.3 million recurrent expenses over two years) for the Rehoming Infrastructure Program as part of the $59.</w:t>
      </w:r>
      <w:r w:rsidR="00401F3D">
        <w:t>9 million</w:t>
      </w:r>
      <w:r>
        <w:t xml:space="preserve"> commitment above to country racing to provide support to Harness Racing NSW’s initiative to rehome and retrain horses retired from the industry</w:t>
      </w:r>
      <w:r w:rsidR="004E5576">
        <w:t>.</w:t>
      </w:r>
    </w:p>
    <w:p w14:paraId="7925B305" w14:textId="3651B436" w:rsidR="00BB2E18" w:rsidRDefault="00BB2E18" w:rsidP="00560147">
      <w:pPr>
        <w:rPr>
          <w:rFonts w:ascii="Arial" w:hAnsi="Arial" w:cs="Arial"/>
          <w:color w:val="000000" w:themeColor="text1"/>
          <w:sz w:val="23"/>
        </w:rPr>
      </w:pPr>
    </w:p>
    <w:p w14:paraId="2887CC80" w14:textId="77777777" w:rsidR="00560147" w:rsidRPr="00F8244B" w:rsidRDefault="00560147" w:rsidP="00560147">
      <w:pPr>
        <w:rPr>
          <w:rFonts w:ascii="Arial" w:hAnsi="Arial" w:cs="Arial"/>
          <w:color w:val="000000" w:themeColor="text1"/>
          <w:sz w:val="23"/>
        </w:rPr>
      </w:pPr>
    </w:p>
    <w:p w14:paraId="7CBD052A" w14:textId="77777777" w:rsidR="00560147" w:rsidRPr="00F8244B" w:rsidRDefault="00560147" w:rsidP="00560147">
      <w:pPr>
        <w:pStyle w:val="11Heading2"/>
        <w:rPr>
          <w:rFonts w:cs="Arial"/>
        </w:rPr>
        <w:sectPr w:rsidR="00560147" w:rsidRPr="00F8244B" w:rsidSect="00137F0A">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851" w:left="1134" w:header="454" w:footer="454" w:gutter="0"/>
          <w:cols w:space="720"/>
          <w:titlePg/>
          <w:docGrid w:linePitch="272"/>
        </w:sectPr>
      </w:pPr>
    </w:p>
    <w:p w14:paraId="774D888D" w14:textId="77777777" w:rsidR="00B9462E" w:rsidRPr="00DC6435" w:rsidRDefault="00B9462E" w:rsidP="00B9462E">
      <w:pPr>
        <w:pStyle w:val="Heading3"/>
        <w:rPr>
          <w:rFonts w:cs="Arial"/>
        </w:rPr>
      </w:pPr>
      <w:r w:rsidRPr="00DC6435">
        <w:rPr>
          <w:rFonts w:cs="Arial"/>
        </w:rPr>
        <w:lastRenderedPageBreak/>
        <w:t xml:space="preserve">Key performance insights </w:t>
      </w:r>
    </w:p>
    <w:p w14:paraId="5385B2AE" w14:textId="1C4C7BA3" w:rsidR="008375D3" w:rsidRDefault="00D86D6A" w:rsidP="00330C5D">
      <w:pPr>
        <w:pStyle w:val="BodyText"/>
        <w:rPr>
          <w:lang w:eastAsia="en-AU"/>
        </w:rPr>
      </w:pPr>
      <w:r w:rsidRPr="007934B1">
        <w:rPr>
          <w:lang w:eastAsia="en-AU"/>
        </w:rPr>
        <w:t>This section provides analysis and insights on key Outcome Indicators for this State Outcome.</w:t>
      </w:r>
    </w:p>
    <w:p w14:paraId="4C63233E" w14:textId="77777777" w:rsidR="002B5DAB" w:rsidRPr="00FD257A" w:rsidRDefault="002B5DAB" w:rsidP="002B5DAB">
      <w:pPr>
        <w:pStyle w:val="Heading4"/>
        <w:spacing w:before="320" w:after="120"/>
        <w:rPr>
          <w:rFonts w:ascii="Arial Bold" w:hAnsi="Arial Bold"/>
          <w:color w:val="00426F"/>
        </w:rPr>
      </w:pPr>
      <w:r w:rsidRPr="00FD257A">
        <w:rPr>
          <w:rFonts w:ascii="Arial Bold" w:hAnsi="Arial Bold"/>
          <w:color w:val="00426F"/>
        </w:rPr>
        <w:t>Reduced rate of work-related traumatic injury fatalities (worker fatalities per 100,000 employees)</w:t>
      </w:r>
    </w:p>
    <w:p w14:paraId="10F3BFD7" w14:textId="5CF94D7D" w:rsidR="008D5048" w:rsidRPr="00A16CB3" w:rsidRDefault="008D5048" w:rsidP="008D5048">
      <w:pPr>
        <w:rPr>
          <w:rStyle w:val="BodyTextChar"/>
        </w:rPr>
      </w:pPr>
      <w:r w:rsidRPr="00155957">
        <w:rPr>
          <w:rFonts w:ascii="Arial" w:eastAsia="Calibri" w:hAnsi="Arial" w:cs="Arial"/>
          <w:sz w:val="23"/>
          <w:szCs w:val="23"/>
        </w:rPr>
        <w:t xml:space="preserve">The </w:t>
      </w:r>
      <w:r w:rsidRPr="00EB3D2C">
        <w:rPr>
          <w:rFonts w:ascii="Arial" w:eastAsia="Calibri" w:hAnsi="Arial" w:cs="Arial"/>
          <w:sz w:val="23"/>
          <w:szCs w:val="23"/>
        </w:rPr>
        <w:t xml:space="preserve">Work Health and </w:t>
      </w:r>
      <w:r w:rsidRPr="00A16CB3">
        <w:rPr>
          <w:rStyle w:val="BodyTextChar"/>
        </w:rPr>
        <w:t>Safety Roadmap for NSW 2022 outlines a strategic approach to</w:t>
      </w:r>
      <w:r w:rsidR="00330C5D" w:rsidRPr="00A16CB3">
        <w:rPr>
          <w:rStyle w:val="BodyTextChar"/>
        </w:rPr>
        <w:t xml:space="preserve"> </w:t>
      </w:r>
      <w:r w:rsidRPr="00A16CB3">
        <w:rPr>
          <w:rStyle w:val="BodyTextChar"/>
        </w:rPr>
        <w:t>reducing workplace fatalities</w:t>
      </w:r>
      <w:r w:rsidR="00980628">
        <w:rPr>
          <w:rStyle w:val="BodyTextChar"/>
        </w:rPr>
        <w:t>,</w:t>
      </w:r>
      <w:r w:rsidRPr="00A16CB3">
        <w:rPr>
          <w:rStyle w:val="BodyTextChar"/>
        </w:rPr>
        <w:t xml:space="preserve"> and injuries by focusing on priority high risk sectors, workplaces</w:t>
      </w:r>
      <w:r w:rsidR="00330C5D" w:rsidRPr="00A16CB3">
        <w:rPr>
          <w:rStyle w:val="BodyTextChar"/>
        </w:rPr>
        <w:t xml:space="preserve"> </w:t>
      </w:r>
      <w:r w:rsidRPr="00A16CB3">
        <w:rPr>
          <w:rStyle w:val="BodyTextChar"/>
        </w:rPr>
        <w:t>and workers.</w:t>
      </w:r>
    </w:p>
    <w:p w14:paraId="1F477F47" w14:textId="0C0B56B5" w:rsidR="008D5048" w:rsidRPr="00155957" w:rsidRDefault="008D5048" w:rsidP="00330C5D">
      <w:pPr>
        <w:pStyle w:val="BodyText"/>
        <w:rPr>
          <w:rFonts w:eastAsia="Calibri"/>
        </w:rPr>
      </w:pPr>
      <w:r w:rsidRPr="54EFFB0F">
        <w:t xml:space="preserve">SafeWork NSW </w:t>
      </w:r>
      <w:r w:rsidR="007D4C8B" w:rsidRPr="54EFFB0F">
        <w:rPr>
          <w:rFonts w:eastAsia="Calibri"/>
        </w:rPr>
        <w:t xml:space="preserve">responds </w:t>
      </w:r>
      <w:r w:rsidRPr="54EFFB0F">
        <w:rPr>
          <w:rFonts w:eastAsia="Calibri"/>
        </w:rPr>
        <w:t xml:space="preserve">proactively and </w:t>
      </w:r>
      <w:r w:rsidR="007B422E" w:rsidRPr="54EFFB0F">
        <w:rPr>
          <w:rFonts w:eastAsia="Calibri"/>
        </w:rPr>
        <w:t xml:space="preserve">quickly </w:t>
      </w:r>
      <w:r w:rsidRPr="54EFFB0F">
        <w:rPr>
          <w:rFonts w:eastAsia="Calibri"/>
        </w:rPr>
        <w:t>to support worker safety</w:t>
      </w:r>
      <w:r w:rsidR="007B422E" w:rsidRPr="54EFFB0F">
        <w:rPr>
          <w:rFonts w:eastAsia="Calibri"/>
        </w:rPr>
        <w:t>, particularly w</w:t>
      </w:r>
      <w:r w:rsidRPr="54EFFB0F">
        <w:rPr>
          <w:rFonts w:eastAsia="Calibri"/>
        </w:rPr>
        <w:t>hen a fatality</w:t>
      </w:r>
      <w:r w:rsidR="007B422E" w:rsidRPr="54EFFB0F">
        <w:rPr>
          <w:rFonts w:eastAsia="Calibri"/>
        </w:rPr>
        <w:t xml:space="preserve"> </w:t>
      </w:r>
      <w:r w:rsidRPr="54EFFB0F">
        <w:rPr>
          <w:rFonts w:eastAsia="Calibri"/>
        </w:rPr>
        <w:t>or serious injury occurs. In 2016, SafeWork NSW adopted the national target of a 20 per cent reduction in workplace fatalities and a 30 per cent reduction in workplace injuries and illnesses by 2022.</w:t>
      </w:r>
      <w:r w:rsidR="003029E6" w:rsidRPr="54EFFB0F">
        <w:rPr>
          <w:rFonts w:eastAsia="Calibri"/>
        </w:rPr>
        <w:t xml:space="preserve"> </w:t>
      </w:r>
    </w:p>
    <w:p w14:paraId="4487BB9D" w14:textId="71DA81BD" w:rsidR="008D5048" w:rsidRDefault="1041B739" w:rsidP="00330C5D">
      <w:pPr>
        <w:pStyle w:val="BodyText"/>
        <w:rPr>
          <w:rFonts w:eastAsia="Calibri"/>
        </w:rPr>
      </w:pPr>
      <w:r w:rsidRPr="01510A89">
        <w:t>Through a continually refined compliance program</w:t>
      </w:r>
      <w:r w:rsidR="00EE02CC">
        <w:t>,</w:t>
      </w:r>
      <w:r w:rsidRPr="01510A89">
        <w:t xml:space="preserve"> </w:t>
      </w:r>
      <w:r w:rsidR="053C7AEE" w:rsidRPr="01510A89">
        <w:rPr>
          <w:rFonts w:eastAsia="Calibri"/>
        </w:rPr>
        <w:t>p</w:t>
      </w:r>
      <w:r w:rsidR="008D5048" w:rsidRPr="01510A89">
        <w:rPr>
          <w:rFonts w:eastAsia="Calibri"/>
        </w:rPr>
        <w:t>erformance against this indicator continues to improve and is on track to meet the national</w:t>
      </w:r>
      <w:r w:rsidR="00105088">
        <w:rPr>
          <w:rFonts w:eastAsia="Calibri"/>
        </w:rPr>
        <w:t xml:space="preserve"> </w:t>
      </w:r>
      <w:r w:rsidR="4EE69C6A" w:rsidRPr="01510A89">
        <w:rPr>
          <w:rFonts w:eastAsia="Calibri"/>
        </w:rPr>
        <w:t>t</w:t>
      </w:r>
      <w:r w:rsidR="008D5048" w:rsidRPr="01510A89">
        <w:rPr>
          <w:rFonts w:eastAsia="Calibri"/>
        </w:rPr>
        <w:t>arget of 1.34 fatalities per 100,000 employees by 2022.</w:t>
      </w:r>
    </w:p>
    <w:p w14:paraId="1ECEE4B8" w14:textId="34A70FC2" w:rsidR="00EE18E7" w:rsidRPr="00857E39" w:rsidRDefault="008E022E" w:rsidP="00FF7606">
      <w:pPr>
        <w:pStyle w:val="Chart1X"/>
      </w:pPr>
      <w:r w:rsidRPr="00857E39">
        <w:t>Worker fatalities per 100,000 employee</w:t>
      </w:r>
      <w:r w:rsidR="00880FA9" w:rsidRPr="00857E39">
        <w:t>s</w:t>
      </w:r>
    </w:p>
    <w:p w14:paraId="109F844D" w14:textId="5ADE7181" w:rsidR="00756FF5" w:rsidRDefault="00C570E0" w:rsidP="00105088">
      <w:pPr>
        <w:jc w:val="center"/>
        <w:rPr>
          <w:rFonts w:ascii="Arial" w:eastAsiaTheme="minorEastAsia" w:hAnsi="Arial" w:cs="Arial"/>
          <w:i/>
          <w:iCs/>
          <w:color w:val="808080" w:themeColor="background1" w:themeShade="80"/>
          <w:sz w:val="23"/>
          <w:szCs w:val="23"/>
          <w:lang w:eastAsia="en-AU"/>
        </w:rPr>
      </w:pPr>
      <w:r>
        <w:rPr>
          <w:rFonts w:ascii="Arial" w:eastAsiaTheme="minorEastAsia" w:hAnsi="Arial" w:cs="Arial"/>
          <w:i/>
          <w:iCs/>
          <w:noProof/>
          <w:color w:val="808080" w:themeColor="background1" w:themeShade="80"/>
          <w:sz w:val="23"/>
          <w:szCs w:val="23"/>
          <w:lang w:eastAsia="en-AU"/>
        </w:rPr>
        <w:drawing>
          <wp:inline distT="0" distB="0" distL="0" distR="0" wp14:anchorId="5AE06C9C" wp14:editId="1FDBCA51">
            <wp:extent cx="4712335" cy="2341245"/>
            <wp:effectExtent l="0" t="0" r="0" b="0"/>
            <wp:docPr id="22" name="Picture 22" descr="Chart 1.7: Worker fatalities per 100,000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1.7: Worker fatalities per 100,000 employe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2335" cy="2341245"/>
                    </a:xfrm>
                    <a:prstGeom prst="rect">
                      <a:avLst/>
                    </a:prstGeom>
                    <a:noFill/>
                  </pic:spPr>
                </pic:pic>
              </a:graphicData>
            </a:graphic>
          </wp:inline>
        </w:drawing>
      </w:r>
    </w:p>
    <w:p w14:paraId="292D60FB" w14:textId="1DC94EBE" w:rsidR="00105088" w:rsidRPr="00105088" w:rsidRDefault="00105088" w:rsidP="00105088">
      <w:pPr>
        <w:rPr>
          <w:rFonts w:ascii="Arial" w:hAnsi="Arial" w:cs="Arial"/>
          <w:sz w:val="17"/>
          <w:szCs w:val="17"/>
        </w:rPr>
      </w:pPr>
      <w:r w:rsidRPr="00105088">
        <w:rPr>
          <w:rFonts w:ascii="Arial" w:hAnsi="Arial" w:cs="Arial"/>
          <w:sz w:val="17"/>
          <w:szCs w:val="17"/>
        </w:rPr>
        <w:t>Note: 2020-</w:t>
      </w:r>
      <w:r w:rsidR="006E7AC2">
        <w:rPr>
          <w:rFonts w:ascii="Arial" w:hAnsi="Arial" w:cs="Arial"/>
          <w:sz w:val="17"/>
          <w:szCs w:val="17"/>
        </w:rPr>
        <w:t>21 actual data for this indicator is reliant on data provided by SafeWork Australia which is delayed and expected to be available in late 2021.</w:t>
      </w:r>
    </w:p>
    <w:p w14:paraId="181EF6BA" w14:textId="77777777" w:rsidR="002B5DAB" w:rsidRPr="00FD257A" w:rsidRDefault="002B5DAB" w:rsidP="002B5DAB">
      <w:pPr>
        <w:pStyle w:val="Heading4"/>
        <w:spacing w:before="320" w:after="120"/>
        <w:rPr>
          <w:rFonts w:ascii="Arial Bold" w:hAnsi="Arial Bold"/>
          <w:color w:val="00426F"/>
        </w:rPr>
      </w:pPr>
      <w:r w:rsidRPr="00E50C1C">
        <w:rPr>
          <w:rFonts w:ascii="Arial Bold" w:hAnsi="Arial Bold"/>
          <w:color w:val="00426F"/>
        </w:rPr>
        <w:t>Compliance rate of selected regulatory activities</w:t>
      </w:r>
    </w:p>
    <w:p w14:paraId="066E21B6" w14:textId="77777777" w:rsidR="008D5048" w:rsidRPr="00155957" w:rsidRDefault="008D5048" w:rsidP="00A16CB3">
      <w:pPr>
        <w:pStyle w:val="BodyText"/>
        <w:rPr>
          <w:rFonts w:eastAsia="Calibri"/>
        </w:rPr>
      </w:pPr>
      <w:r w:rsidRPr="78C38E8C">
        <w:t>The Cluster protects the New South W</w:t>
      </w:r>
      <w:r w:rsidRPr="78C38E8C">
        <w:rPr>
          <w:rFonts w:eastAsia="Calibri"/>
        </w:rPr>
        <w:t>ales community through innovative regulatory services that also ensure fair, secure and efficient markets. Our compliance efforts include a commitment to working with businesses and educating industry groups and other government agencies to promote compliance and secure standards.</w:t>
      </w:r>
    </w:p>
    <w:p w14:paraId="6F1E5230" w14:textId="66164F74" w:rsidR="008D5048" w:rsidRPr="00155957" w:rsidRDefault="008D5048" w:rsidP="00A16CB3">
      <w:pPr>
        <w:pStyle w:val="BodyText"/>
        <w:rPr>
          <w:rFonts w:eastAsia="Calibri"/>
        </w:rPr>
      </w:pPr>
      <w:r w:rsidRPr="00155957">
        <w:rPr>
          <w:rFonts w:eastAsia="Calibri"/>
        </w:rPr>
        <w:t>Significant compliance and enforcement outcomes have been achieved by educating and</w:t>
      </w:r>
      <w:r w:rsidR="00A16CB3">
        <w:rPr>
          <w:rFonts w:eastAsia="Calibri"/>
        </w:rPr>
        <w:t xml:space="preserve"> </w:t>
      </w:r>
      <w:r w:rsidRPr="2F95A786">
        <w:t>enabling businesses to comply and taking proportional enforcement actions against those who</w:t>
      </w:r>
      <w:r>
        <w:t xml:space="preserve"> </w:t>
      </w:r>
      <w:r w:rsidRPr="00155957">
        <w:t>do not meet their regulatory obligations. Enforcement actions are intelligence-based and</w:t>
      </w:r>
      <w:r w:rsidR="00A16CB3">
        <w:rPr>
          <w:rFonts w:eastAsia="Calibri"/>
        </w:rPr>
        <w:t xml:space="preserve"> </w:t>
      </w:r>
      <w:r w:rsidRPr="00155957">
        <w:rPr>
          <w:rFonts w:eastAsia="Calibri"/>
        </w:rPr>
        <w:t>evidence-led, including legal proceedings where appropriate.</w:t>
      </w:r>
    </w:p>
    <w:p w14:paraId="3F0E406D" w14:textId="269DFA37" w:rsidR="008D5048" w:rsidRDefault="008D5048" w:rsidP="00A16CB3">
      <w:pPr>
        <w:pStyle w:val="BodyText"/>
        <w:rPr>
          <w:rFonts w:eastAsia="Calibri"/>
        </w:rPr>
      </w:pPr>
      <w:r w:rsidRPr="78C38E8C">
        <w:t>Performance against this indicator is currently exceeding the target of 90</w:t>
      </w:r>
      <w:r w:rsidR="00C3087E">
        <w:rPr>
          <w:rFonts w:eastAsia="Calibri"/>
        </w:rPr>
        <w:t xml:space="preserve"> </w:t>
      </w:r>
      <w:r w:rsidRPr="78C38E8C">
        <w:rPr>
          <w:rFonts w:eastAsia="Calibri"/>
        </w:rPr>
        <w:t>per cent. For the 12 months to March 2021, 95 per cent of selected regulated entities were found compliant with the laws and regulations which govern their operations.</w:t>
      </w:r>
    </w:p>
    <w:p w14:paraId="78404BAA" w14:textId="77777777" w:rsidR="00FF7606" w:rsidRDefault="00FF7606">
      <w:pPr>
        <w:rPr>
          <w:rFonts w:ascii="Arial" w:hAnsi="Arial"/>
          <w:i/>
          <w:color w:val="4F4F4F"/>
          <w:sz w:val="22"/>
          <w:lang w:val="en-US"/>
        </w:rPr>
      </w:pPr>
      <w:r>
        <w:br w:type="page"/>
      </w:r>
    </w:p>
    <w:p w14:paraId="5DF8106F" w14:textId="5BAF89A4" w:rsidR="004E31A5" w:rsidRPr="00332E3E" w:rsidRDefault="00FE1973" w:rsidP="00FF7606">
      <w:pPr>
        <w:pStyle w:val="Chart1X"/>
      </w:pPr>
      <w:r w:rsidRPr="00857E39">
        <w:lastRenderedPageBreak/>
        <w:t>Compliance rate of selected regulatory activities</w:t>
      </w:r>
    </w:p>
    <w:p w14:paraId="4A3755C5" w14:textId="0EC7B39F" w:rsidR="00D86D6A" w:rsidRPr="009759E1" w:rsidRDefault="00EE2FA4" w:rsidP="00105088">
      <w:pPr>
        <w:autoSpaceDE w:val="0"/>
        <w:autoSpaceDN w:val="0"/>
        <w:adjustRightInd w:val="0"/>
        <w:jc w:val="center"/>
        <w:rPr>
          <w:rFonts w:ascii="Arial" w:hAnsi="Arial" w:cs="Arial"/>
          <w:color w:val="0070C0"/>
          <w:sz w:val="23"/>
          <w:szCs w:val="23"/>
        </w:rPr>
      </w:pPr>
      <w:r>
        <w:rPr>
          <w:rFonts w:ascii="Arial" w:hAnsi="Arial" w:cs="Arial"/>
          <w:noProof/>
          <w:color w:val="0070C0"/>
          <w:sz w:val="23"/>
          <w:szCs w:val="23"/>
        </w:rPr>
        <w:drawing>
          <wp:inline distT="0" distB="0" distL="0" distR="0" wp14:anchorId="627D1DDF" wp14:editId="1C041B59">
            <wp:extent cx="4706620" cy="2341245"/>
            <wp:effectExtent l="0" t="0" r="0" b="0"/>
            <wp:docPr id="23" name="Picture 23" descr="Chart 1.8: Compliance rate of selected regulator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1.8: Compliance rate of selected regulatory activiti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6620" cy="2341245"/>
                    </a:xfrm>
                    <a:prstGeom prst="rect">
                      <a:avLst/>
                    </a:prstGeom>
                    <a:noFill/>
                  </pic:spPr>
                </pic:pic>
              </a:graphicData>
            </a:graphic>
          </wp:inline>
        </w:drawing>
      </w:r>
    </w:p>
    <w:p w14:paraId="032FD276" w14:textId="5A3482DC" w:rsidR="00B107D1" w:rsidRPr="008C3663" w:rsidRDefault="00B107D1" w:rsidP="54EFFB0F">
      <w:pPr>
        <w:pStyle w:val="Heading3"/>
        <w:rPr>
          <w:rFonts w:eastAsiaTheme="minorEastAsia" w:cs="Arial"/>
          <w:b w:val="0"/>
          <w:kern w:val="0"/>
          <w:sz w:val="17"/>
          <w:szCs w:val="17"/>
          <w:lang w:eastAsia="en-AU"/>
        </w:rPr>
      </w:pPr>
      <w:r w:rsidRPr="54EFFB0F">
        <w:rPr>
          <w:rFonts w:eastAsiaTheme="minorEastAsia" w:cs="Arial"/>
          <w:b w:val="0"/>
          <w:kern w:val="0"/>
          <w:sz w:val="17"/>
          <w:szCs w:val="17"/>
          <w:lang w:eastAsia="en-AU"/>
        </w:rPr>
        <w:t>Note:</w:t>
      </w:r>
      <w:r w:rsidR="00ED623F" w:rsidRPr="54EFFB0F">
        <w:rPr>
          <w:rFonts w:eastAsiaTheme="minorEastAsia" w:cs="Arial"/>
          <w:b w:val="0"/>
          <w:kern w:val="0"/>
          <w:sz w:val="17"/>
          <w:szCs w:val="17"/>
          <w:lang w:eastAsia="en-AU"/>
        </w:rPr>
        <w:t xml:space="preserve"> </w:t>
      </w:r>
      <w:r w:rsidR="003B3876" w:rsidRPr="54EFFB0F">
        <w:rPr>
          <w:rFonts w:eastAsiaTheme="minorEastAsia" w:cs="Arial"/>
          <w:b w:val="0"/>
          <w:kern w:val="0"/>
          <w:sz w:val="17"/>
          <w:szCs w:val="17"/>
          <w:lang w:eastAsia="en-AU"/>
        </w:rPr>
        <w:t xml:space="preserve">2020-21 </w:t>
      </w:r>
      <w:r w:rsidR="007D6E12" w:rsidRPr="54EFFB0F">
        <w:rPr>
          <w:rFonts w:eastAsiaTheme="minorEastAsia" w:cs="Arial"/>
          <w:b w:val="0"/>
          <w:kern w:val="0"/>
          <w:sz w:val="17"/>
          <w:szCs w:val="17"/>
          <w:lang w:eastAsia="en-AU"/>
        </w:rPr>
        <w:t>a</w:t>
      </w:r>
      <w:r w:rsidR="003B3876" w:rsidRPr="54EFFB0F">
        <w:rPr>
          <w:rFonts w:eastAsiaTheme="minorEastAsia" w:cs="Arial"/>
          <w:b w:val="0"/>
          <w:kern w:val="0"/>
          <w:sz w:val="17"/>
          <w:szCs w:val="17"/>
          <w:lang w:eastAsia="en-AU"/>
        </w:rPr>
        <w:t xml:space="preserve">ctual is higher than the usual </w:t>
      </w:r>
      <w:r w:rsidR="005272C3" w:rsidRPr="54EFFB0F">
        <w:rPr>
          <w:rFonts w:eastAsiaTheme="minorEastAsia" w:cs="Arial"/>
          <w:b w:val="0"/>
          <w:kern w:val="0"/>
          <w:sz w:val="17"/>
          <w:szCs w:val="17"/>
          <w:lang w:eastAsia="en-AU"/>
        </w:rPr>
        <w:t>compliance rate as COVID-19 has impacted industry activity.</w:t>
      </w:r>
      <w:r w:rsidRPr="54EFFB0F">
        <w:rPr>
          <w:rFonts w:eastAsiaTheme="minorEastAsia" w:cs="Arial"/>
          <w:b w:val="0"/>
          <w:kern w:val="0"/>
          <w:sz w:val="17"/>
          <w:szCs w:val="17"/>
          <w:lang w:eastAsia="en-AU"/>
        </w:rPr>
        <w:t xml:space="preserve"> The target for this indicator exists in both 2021-22 and 2022-23, however, has only been included in 2022-23 for presentational purposes.</w:t>
      </w:r>
    </w:p>
    <w:p w14:paraId="5F88DFA3" w14:textId="7D76516D" w:rsidR="00332E3E" w:rsidRPr="00840C14" w:rsidRDefault="009A72FD" w:rsidP="00840C14">
      <w:pPr>
        <w:pStyle w:val="Heading3"/>
        <w:rPr>
          <w:rFonts w:cs="Arial"/>
        </w:rPr>
      </w:pPr>
      <w:r>
        <w:rPr>
          <w:rFonts w:cs="Arial"/>
        </w:rPr>
        <w:t>Performance indicators for this Outcome</w:t>
      </w:r>
    </w:p>
    <w:tbl>
      <w:tblPr>
        <w:tblW w:w="9655" w:type="dxa"/>
        <w:tblLook w:val="04A0" w:firstRow="1" w:lastRow="0" w:firstColumn="1" w:lastColumn="0" w:noHBand="0" w:noVBand="1"/>
        <w:tblCaption w:val="Performance indicators for this Outcome"/>
        <w:tblDescription w:val="Performance indicators for this Outcome"/>
      </w:tblPr>
      <w:tblGrid>
        <w:gridCol w:w="6537"/>
        <w:gridCol w:w="736"/>
        <w:gridCol w:w="1191"/>
        <w:gridCol w:w="1191"/>
      </w:tblGrid>
      <w:tr w:rsidR="009A72FD" w:rsidRPr="00C500DB" w14:paraId="4C721B73" w14:textId="77777777" w:rsidTr="007D6E12">
        <w:trPr>
          <w:trHeight w:val="283"/>
        </w:trPr>
        <w:tc>
          <w:tcPr>
            <w:tcW w:w="6537" w:type="dxa"/>
            <w:vMerge w:val="restart"/>
            <w:tcBorders>
              <w:top w:val="nil"/>
              <w:left w:val="nil"/>
              <w:bottom w:val="nil"/>
              <w:right w:val="nil"/>
            </w:tcBorders>
            <w:shd w:val="clear" w:color="auto" w:fill="008EBA"/>
            <w:noWrap/>
            <w:vAlign w:val="center"/>
            <w:hideMark/>
          </w:tcPr>
          <w:p w14:paraId="211E52D1" w14:textId="77777777" w:rsidR="009A72FD" w:rsidRPr="00C500DB" w:rsidRDefault="009A72FD" w:rsidP="00F709CF">
            <w:pPr>
              <w:rPr>
                <w:rFonts w:ascii="Arial" w:hAnsi="Arial" w:cs="Arial"/>
                <w:b/>
                <w:bCs/>
                <w:color w:val="FFFFFF"/>
                <w:sz w:val="18"/>
                <w:szCs w:val="18"/>
                <w:lang w:eastAsia="en-AU"/>
              </w:rPr>
            </w:pPr>
            <w:bookmarkStart w:id="13" w:name="_1664711208"/>
            <w:bookmarkEnd w:id="13"/>
            <w:r w:rsidRPr="00C500DB">
              <w:rPr>
                <w:rFonts w:ascii="Arial" w:hAnsi="Arial" w:cs="Arial"/>
                <w:b/>
                <w:bCs/>
                <w:color w:val="FFFFFF"/>
                <w:sz w:val="18"/>
                <w:szCs w:val="18"/>
                <w:lang w:eastAsia="en-AU"/>
              </w:rPr>
              <w:t>Outcome Indicators</w:t>
            </w:r>
          </w:p>
        </w:tc>
        <w:tc>
          <w:tcPr>
            <w:tcW w:w="736" w:type="dxa"/>
            <w:vMerge w:val="restart"/>
            <w:tcBorders>
              <w:top w:val="nil"/>
              <w:left w:val="nil"/>
              <w:bottom w:val="nil"/>
              <w:right w:val="nil"/>
            </w:tcBorders>
            <w:shd w:val="clear" w:color="auto" w:fill="008EBA"/>
            <w:noWrap/>
            <w:vAlign w:val="center"/>
            <w:hideMark/>
          </w:tcPr>
          <w:p w14:paraId="235BF0F9" w14:textId="77777777" w:rsidR="009A72FD" w:rsidRPr="00C500DB" w:rsidRDefault="009A72FD" w:rsidP="00F709CF">
            <w:pPr>
              <w:jc w:val="center"/>
              <w:rPr>
                <w:rFonts w:ascii="Arial" w:hAnsi="Arial" w:cs="Arial"/>
                <w:b/>
                <w:bCs/>
                <w:color w:val="FFFFFF"/>
                <w:sz w:val="18"/>
                <w:szCs w:val="18"/>
                <w:lang w:eastAsia="en-AU"/>
              </w:rPr>
            </w:pPr>
            <w:r w:rsidRPr="00C500DB">
              <w:rPr>
                <w:rFonts w:ascii="Arial" w:hAnsi="Arial" w:cs="Arial"/>
                <w:b/>
                <w:bCs/>
                <w:color w:val="FFFFFF"/>
                <w:sz w:val="18"/>
                <w:szCs w:val="18"/>
                <w:lang w:eastAsia="en-AU"/>
              </w:rPr>
              <w:t>Units</w:t>
            </w:r>
          </w:p>
        </w:tc>
        <w:tc>
          <w:tcPr>
            <w:tcW w:w="1191" w:type="dxa"/>
            <w:tcBorders>
              <w:top w:val="nil"/>
              <w:left w:val="nil"/>
              <w:bottom w:val="nil"/>
              <w:right w:val="nil"/>
            </w:tcBorders>
            <w:shd w:val="clear" w:color="auto" w:fill="008EBA"/>
            <w:noWrap/>
            <w:vAlign w:val="bottom"/>
            <w:hideMark/>
          </w:tcPr>
          <w:p w14:paraId="19383A28" w14:textId="650E424F" w:rsidR="009A72FD" w:rsidRPr="00C500DB" w:rsidRDefault="009A72FD" w:rsidP="00F709CF">
            <w:pPr>
              <w:jc w:val="center"/>
              <w:rPr>
                <w:rFonts w:ascii="Arial" w:hAnsi="Arial" w:cs="Arial"/>
                <w:b/>
                <w:bCs/>
                <w:color w:val="FFFFFF"/>
                <w:sz w:val="18"/>
                <w:szCs w:val="18"/>
                <w:lang w:eastAsia="en-AU"/>
              </w:rPr>
            </w:pPr>
            <w:r w:rsidRPr="00C500DB">
              <w:rPr>
                <w:rFonts w:ascii="Arial" w:hAnsi="Arial" w:cs="Arial"/>
                <w:b/>
                <w:bCs/>
                <w:color w:val="FFFFFF"/>
                <w:sz w:val="18"/>
                <w:szCs w:val="18"/>
                <w:lang w:eastAsia="en-AU"/>
              </w:rPr>
              <w:t>20</w:t>
            </w:r>
            <w:r>
              <w:rPr>
                <w:rFonts w:ascii="Arial" w:hAnsi="Arial" w:cs="Arial"/>
                <w:b/>
                <w:bCs/>
                <w:color w:val="FFFFFF"/>
                <w:sz w:val="18"/>
                <w:szCs w:val="18"/>
                <w:lang w:eastAsia="en-AU"/>
              </w:rPr>
              <w:t>20</w:t>
            </w:r>
            <w:r w:rsidRPr="00C500DB">
              <w:rPr>
                <w:rFonts w:ascii="Arial" w:hAnsi="Arial" w:cs="Arial"/>
                <w:b/>
                <w:bCs/>
                <w:color w:val="FFFFFF"/>
                <w:sz w:val="18"/>
                <w:szCs w:val="18"/>
                <w:lang w:eastAsia="en-AU"/>
              </w:rPr>
              <w:t>-2</w:t>
            </w:r>
            <w:r>
              <w:rPr>
                <w:rFonts w:ascii="Arial" w:hAnsi="Arial" w:cs="Arial"/>
                <w:b/>
                <w:bCs/>
                <w:color w:val="FFFFFF"/>
                <w:sz w:val="18"/>
                <w:szCs w:val="18"/>
                <w:lang w:eastAsia="en-AU"/>
              </w:rPr>
              <w:t>1</w:t>
            </w:r>
          </w:p>
        </w:tc>
        <w:tc>
          <w:tcPr>
            <w:tcW w:w="1191" w:type="dxa"/>
            <w:tcBorders>
              <w:top w:val="nil"/>
              <w:left w:val="nil"/>
              <w:bottom w:val="nil"/>
              <w:right w:val="nil"/>
            </w:tcBorders>
            <w:shd w:val="clear" w:color="auto" w:fill="008EBA"/>
            <w:noWrap/>
            <w:vAlign w:val="bottom"/>
            <w:hideMark/>
          </w:tcPr>
          <w:p w14:paraId="1D1BBEC4" w14:textId="2245AFBF" w:rsidR="009A72FD" w:rsidRPr="00C500DB" w:rsidRDefault="009A72FD" w:rsidP="00F709CF">
            <w:pPr>
              <w:jc w:val="center"/>
              <w:rPr>
                <w:rFonts w:ascii="Arial" w:hAnsi="Arial" w:cs="Arial"/>
                <w:b/>
                <w:bCs/>
                <w:color w:val="FFFFFF"/>
                <w:sz w:val="18"/>
                <w:szCs w:val="18"/>
                <w:lang w:eastAsia="en-AU"/>
              </w:rPr>
            </w:pPr>
            <w:r w:rsidRPr="00C500DB">
              <w:rPr>
                <w:rFonts w:ascii="Arial" w:hAnsi="Arial" w:cs="Arial"/>
                <w:b/>
                <w:bCs/>
                <w:color w:val="FFFFFF"/>
                <w:sz w:val="18"/>
                <w:szCs w:val="18"/>
                <w:lang w:eastAsia="en-AU"/>
              </w:rPr>
              <w:t>202</w:t>
            </w:r>
            <w:r>
              <w:rPr>
                <w:rFonts w:ascii="Arial" w:hAnsi="Arial" w:cs="Arial"/>
                <w:b/>
                <w:bCs/>
                <w:color w:val="FFFFFF"/>
                <w:sz w:val="18"/>
                <w:szCs w:val="18"/>
                <w:lang w:eastAsia="en-AU"/>
              </w:rPr>
              <w:t>1</w:t>
            </w:r>
            <w:r w:rsidRPr="00C500DB">
              <w:rPr>
                <w:rFonts w:ascii="Arial" w:hAnsi="Arial" w:cs="Arial"/>
                <w:b/>
                <w:bCs/>
                <w:color w:val="FFFFFF"/>
                <w:sz w:val="18"/>
                <w:szCs w:val="18"/>
                <w:lang w:eastAsia="en-AU"/>
              </w:rPr>
              <w:t>-2</w:t>
            </w:r>
            <w:r>
              <w:rPr>
                <w:rFonts w:ascii="Arial" w:hAnsi="Arial" w:cs="Arial"/>
                <w:b/>
                <w:bCs/>
                <w:color w:val="FFFFFF"/>
                <w:sz w:val="18"/>
                <w:szCs w:val="18"/>
                <w:lang w:eastAsia="en-AU"/>
              </w:rPr>
              <w:t>2</w:t>
            </w:r>
          </w:p>
        </w:tc>
      </w:tr>
      <w:tr w:rsidR="009A72FD" w:rsidRPr="00C500DB" w14:paraId="582841A1" w14:textId="77777777" w:rsidTr="007D6E12">
        <w:trPr>
          <w:trHeight w:val="283"/>
        </w:trPr>
        <w:tc>
          <w:tcPr>
            <w:tcW w:w="6537" w:type="dxa"/>
            <w:vMerge/>
            <w:vAlign w:val="center"/>
            <w:hideMark/>
          </w:tcPr>
          <w:p w14:paraId="5093F819" w14:textId="77777777" w:rsidR="009A72FD" w:rsidRPr="00C500DB" w:rsidRDefault="009A72FD" w:rsidP="00F709CF">
            <w:pPr>
              <w:rPr>
                <w:rFonts w:ascii="Arial" w:hAnsi="Arial" w:cs="Arial"/>
                <w:b/>
                <w:bCs/>
                <w:color w:val="FFFFFF"/>
                <w:sz w:val="18"/>
                <w:szCs w:val="18"/>
                <w:lang w:eastAsia="en-AU"/>
              </w:rPr>
            </w:pPr>
          </w:p>
        </w:tc>
        <w:tc>
          <w:tcPr>
            <w:tcW w:w="736" w:type="dxa"/>
            <w:vMerge/>
            <w:vAlign w:val="center"/>
            <w:hideMark/>
          </w:tcPr>
          <w:p w14:paraId="57A1B172" w14:textId="77777777" w:rsidR="009A72FD" w:rsidRPr="00C500DB" w:rsidRDefault="009A72FD" w:rsidP="00F709CF">
            <w:pPr>
              <w:rPr>
                <w:rFonts w:ascii="Arial" w:hAnsi="Arial" w:cs="Arial"/>
                <w:b/>
                <w:bCs/>
                <w:color w:val="FFFFFF"/>
                <w:sz w:val="18"/>
                <w:szCs w:val="18"/>
                <w:lang w:eastAsia="en-AU"/>
              </w:rPr>
            </w:pPr>
          </w:p>
        </w:tc>
        <w:tc>
          <w:tcPr>
            <w:tcW w:w="1191" w:type="dxa"/>
            <w:tcBorders>
              <w:top w:val="nil"/>
              <w:left w:val="nil"/>
              <w:bottom w:val="nil"/>
              <w:right w:val="nil"/>
            </w:tcBorders>
            <w:shd w:val="clear" w:color="auto" w:fill="008EBA"/>
            <w:noWrap/>
            <w:hideMark/>
          </w:tcPr>
          <w:p w14:paraId="71213E80" w14:textId="77777777" w:rsidR="009A72FD" w:rsidRPr="00C500DB" w:rsidRDefault="009A72FD" w:rsidP="00F709CF">
            <w:pPr>
              <w:jc w:val="center"/>
              <w:rPr>
                <w:rFonts w:ascii="Arial" w:hAnsi="Arial" w:cs="Arial"/>
                <w:b/>
                <w:bCs/>
                <w:color w:val="FFFFFF"/>
                <w:sz w:val="18"/>
                <w:szCs w:val="18"/>
                <w:lang w:eastAsia="en-AU"/>
              </w:rPr>
            </w:pPr>
            <w:r w:rsidRPr="00C500DB">
              <w:rPr>
                <w:rFonts w:ascii="Arial" w:hAnsi="Arial" w:cs="Arial"/>
                <w:b/>
                <w:bCs/>
                <w:color w:val="FFFFFF"/>
                <w:sz w:val="18"/>
                <w:szCs w:val="18"/>
                <w:lang w:eastAsia="en-AU"/>
              </w:rPr>
              <w:t>Actual</w:t>
            </w:r>
          </w:p>
        </w:tc>
        <w:tc>
          <w:tcPr>
            <w:tcW w:w="1191" w:type="dxa"/>
            <w:tcBorders>
              <w:top w:val="nil"/>
              <w:left w:val="nil"/>
              <w:bottom w:val="nil"/>
              <w:right w:val="nil"/>
            </w:tcBorders>
            <w:shd w:val="clear" w:color="auto" w:fill="008EBA"/>
            <w:noWrap/>
            <w:hideMark/>
          </w:tcPr>
          <w:p w14:paraId="23679768" w14:textId="77777777" w:rsidR="009A72FD" w:rsidRPr="00C500DB" w:rsidRDefault="009A72FD" w:rsidP="00F709CF">
            <w:pPr>
              <w:jc w:val="center"/>
              <w:rPr>
                <w:rFonts w:ascii="Arial" w:hAnsi="Arial" w:cs="Arial"/>
                <w:b/>
                <w:bCs/>
                <w:color w:val="FFFFFF"/>
                <w:sz w:val="18"/>
                <w:szCs w:val="18"/>
                <w:lang w:eastAsia="en-AU"/>
              </w:rPr>
            </w:pPr>
            <w:r w:rsidRPr="00C500DB">
              <w:rPr>
                <w:rFonts w:ascii="Arial" w:hAnsi="Arial" w:cs="Arial"/>
                <w:b/>
                <w:bCs/>
                <w:color w:val="FFFFFF"/>
                <w:sz w:val="18"/>
                <w:szCs w:val="18"/>
                <w:lang w:eastAsia="en-AU"/>
              </w:rPr>
              <w:t>Forecast</w:t>
            </w:r>
          </w:p>
        </w:tc>
      </w:tr>
      <w:tr w:rsidR="009A72FD" w:rsidRPr="00F3448A" w14:paraId="38987182" w14:textId="77777777" w:rsidTr="00FE51C8">
        <w:trPr>
          <w:trHeight w:val="204"/>
        </w:trPr>
        <w:tc>
          <w:tcPr>
            <w:tcW w:w="6537" w:type="dxa"/>
            <w:tcBorders>
              <w:top w:val="nil"/>
              <w:left w:val="nil"/>
              <w:bottom w:val="nil"/>
              <w:right w:val="nil"/>
            </w:tcBorders>
            <w:shd w:val="clear" w:color="auto" w:fill="auto"/>
            <w:noWrap/>
            <w:vAlign w:val="bottom"/>
            <w:hideMark/>
          </w:tcPr>
          <w:p w14:paraId="1B6A96F5" w14:textId="3F467C29" w:rsidR="009A72FD" w:rsidRPr="00F3448A" w:rsidRDefault="009A72FD" w:rsidP="00F709CF">
            <w:pPr>
              <w:rPr>
                <w:rFonts w:ascii="Arial" w:hAnsi="Arial" w:cs="Arial"/>
                <w:color w:val="000000"/>
                <w:sz w:val="16"/>
                <w:szCs w:val="16"/>
                <w:lang w:eastAsia="en-AU"/>
              </w:rPr>
            </w:pPr>
            <w:r w:rsidRPr="00F3448A">
              <w:rPr>
                <w:rFonts w:ascii="Arial" w:hAnsi="Arial" w:cs="Arial"/>
                <w:color w:val="000000"/>
                <w:sz w:val="16"/>
                <w:szCs w:val="16"/>
                <w:lang w:eastAsia="en-AU"/>
              </w:rPr>
              <w:t xml:space="preserve">Affordability of the Compulsory Third Party </w:t>
            </w:r>
            <w:r w:rsidR="00351F92">
              <w:rPr>
                <w:rFonts w:ascii="Arial" w:hAnsi="Arial" w:cs="Arial"/>
                <w:color w:val="000000"/>
                <w:sz w:val="16"/>
                <w:szCs w:val="16"/>
                <w:lang w:eastAsia="en-AU"/>
              </w:rPr>
              <w:t>I</w:t>
            </w:r>
            <w:r w:rsidRPr="00F3448A">
              <w:rPr>
                <w:rFonts w:ascii="Arial" w:hAnsi="Arial" w:cs="Arial"/>
                <w:color w:val="000000"/>
                <w:sz w:val="16"/>
                <w:szCs w:val="16"/>
                <w:lang w:eastAsia="en-AU"/>
              </w:rPr>
              <w:t>nsurance scheme (</w:t>
            </w:r>
            <w:r w:rsidR="0099792D">
              <w:rPr>
                <w:rFonts w:ascii="Arial" w:hAnsi="Arial" w:cs="Arial"/>
                <w:color w:val="000000"/>
                <w:sz w:val="16"/>
                <w:szCs w:val="16"/>
                <w:lang w:eastAsia="en-AU"/>
              </w:rPr>
              <w:t>m</w:t>
            </w:r>
            <w:r w:rsidRPr="00F3448A">
              <w:rPr>
                <w:rFonts w:ascii="Arial" w:hAnsi="Arial" w:cs="Arial"/>
                <w:color w:val="000000"/>
                <w:sz w:val="16"/>
                <w:szCs w:val="16"/>
                <w:lang w:eastAsia="en-AU"/>
              </w:rPr>
              <w:t>otor vehicles)</w:t>
            </w:r>
          </w:p>
        </w:tc>
        <w:tc>
          <w:tcPr>
            <w:tcW w:w="736" w:type="dxa"/>
            <w:tcBorders>
              <w:top w:val="nil"/>
              <w:left w:val="nil"/>
              <w:bottom w:val="nil"/>
              <w:right w:val="nil"/>
            </w:tcBorders>
            <w:shd w:val="clear" w:color="auto" w:fill="auto"/>
            <w:noWrap/>
            <w:vAlign w:val="bottom"/>
            <w:hideMark/>
          </w:tcPr>
          <w:p w14:paraId="632DE3D5" w14:textId="77777777" w:rsidR="009A72FD" w:rsidRPr="00F3448A" w:rsidRDefault="009A72FD" w:rsidP="00F709CF">
            <w:pPr>
              <w:jc w:val="center"/>
              <w:rPr>
                <w:rFonts w:ascii="Arial" w:hAnsi="Arial" w:cs="Arial"/>
                <w:color w:val="000000"/>
                <w:sz w:val="16"/>
                <w:szCs w:val="16"/>
                <w:lang w:eastAsia="en-AU"/>
              </w:rPr>
            </w:pPr>
            <w:r w:rsidRPr="00F3448A">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728A505F" w14:textId="72645771" w:rsidR="009A72FD" w:rsidRPr="00F3448A" w:rsidRDefault="00916D25" w:rsidP="00F709CF">
            <w:pPr>
              <w:ind w:right="170"/>
              <w:jc w:val="right"/>
              <w:rPr>
                <w:rFonts w:ascii="Arial" w:hAnsi="Arial" w:cs="Arial"/>
                <w:color w:val="000000"/>
                <w:sz w:val="16"/>
                <w:szCs w:val="16"/>
                <w:lang w:eastAsia="en-AU"/>
              </w:rPr>
            </w:pPr>
            <w:r w:rsidRPr="00F3448A">
              <w:rPr>
                <w:rFonts w:ascii="Arial" w:hAnsi="Arial" w:cs="Arial"/>
                <w:color w:val="000000"/>
                <w:sz w:val="16"/>
                <w:szCs w:val="16"/>
                <w:lang w:eastAsia="en-AU"/>
              </w:rPr>
              <w:t>2</w:t>
            </w:r>
            <w:r w:rsidR="00221BCF" w:rsidRPr="00F3448A">
              <w:rPr>
                <w:rFonts w:ascii="Arial" w:hAnsi="Arial" w:cs="Arial"/>
                <w:color w:val="000000"/>
                <w:sz w:val="16"/>
                <w:szCs w:val="16"/>
                <w:lang w:eastAsia="en-AU"/>
              </w:rPr>
              <w:t>4</w:t>
            </w:r>
            <w:r w:rsidRPr="00F3448A">
              <w:rPr>
                <w:rFonts w:ascii="Arial" w:hAnsi="Arial" w:cs="Arial"/>
                <w:color w:val="000000"/>
                <w:sz w:val="16"/>
                <w:szCs w:val="16"/>
                <w:lang w:eastAsia="en-AU"/>
              </w:rPr>
              <w:t>.</w:t>
            </w:r>
            <w:r w:rsidR="00221BCF" w:rsidRPr="00F3448A">
              <w:rPr>
                <w:rFonts w:ascii="Arial" w:hAnsi="Arial" w:cs="Arial"/>
                <w:color w:val="000000"/>
                <w:sz w:val="16"/>
                <w:szCs w:val="16"/>
                <w:lang w:eastAsia="en-AU"/>
              </w:rPr>
              <w:t>0</w:t>
            </w:r>
          </w:p>
        </w:tc>
        <w:tc>
          <w:tcPr>
            <w:tcW w:w="1191" w:type="dxa"/>
            <w:tcBorders>
              <w:top w:val="nil"/>
              <w:left w:val="nil"/>
              <w:bottom w:val="nil"/>
              <w:right w:val="nil"/>
            </w:tcBorders>
            <w:shd w:val="clear" w:color="auto" w:fill="auto"/>
            <w:noWrap/>
            <w:vAlign w:val="bottom"/>
          </w:tcPr>
          <w:p w14:paraId="3F3A3F3A" w14:textId="603F364B" w:rsidR="009A72FD" w:rsidRPr="00F3448A" w:rsidRDefault="00105088" w:rsidP="00F709CF">
            <w:pPr>
              <w:ind w:right="170"/>
              <w:jc w:val="right"/>
              <w:rPr>
                <w:rFonts w:ascii="Arial" w:hAnsi="Arial" w:cs="Arial"/>
                <w:color w:val="000000"/>
                <w:sz w:val="16"/>
                <w:szCs w:val="16"/>
                <w:lang w:eastAsia="en-AU"/>
              </w:rPr>
            </w:pPr>
            <w:r w:rsidRPr="00F3448A">
              <w:rPr>
                <w:rFonts w:ascii="Arial" w:hAnsi="Arial" w:cs="Arial"/>
                <w:color w:val="000000"/>
                <w:sz w:val="16"/>
                <w:szCs w:val="16"/>
                <w:lang w:eastAsia="en-AU"/>
              </w:rPr>
              <w:t>n.a.</w:t>
            </w:r>
            <w:r w:rsidRPr="00F3448A">
              <w:rPr>
                <w:rFonts w:ascii="Arial" w:hAnsi="Arial" w:cs="Arial"/>
                <w:color w:val="000000"/>
                <w:sz w:val="16"/>
                <w:szCs w:val="16"/>
                <w:vertAlign w:val="superscript"/>
                <w:lang w:eastAsia="en-AU"/>
              </w:rPr>
              <w:t>(a)</w:t>
            </w:r>
          </w:p>
        </w:tc>
      </w:tr>
      <w:tr w:rsidR="009A72FD" w:rsidRPr="00F3448A" w14:paraId="23BB5D39" w14:textId="77777777" w:rsidTr="00FE51C8">
        <w:trPr>
          <w:trHeight w:val="204"/>
        </w:trPr>
        <w:tc>
          <w:tcPr>
            <w:tcW w:w="6537" w:type="dxa"/>
            <w:tcBorders>
              <w:top w:val="nil"/>
              <w:left w:val="nil"/>
              <w:bottom w:val="nil"/>
              <w:right w:val="nil"/>
            </w:tcBorders>
            <w:shd w:val="clear" w:color="auto" w:fill="auto"/>
            <w:vAlign w:val="bottom"/>
            <w:hideMark/>
          </w:tcPr>
          <w:p w14:paraId="4B474F1C" w14:textId="77777777" w:rsidR="009A72FD" w:rsidRPr="00F3448A" w:rsidRDefault="009A72FD" w:rsidP="00F709CF">
            <w:pPr>
              <w:rPr>
                <w:rFonts w:ascii="Arial" w:hAnsi="Arial" w:cs="Arial"/>
                <w:color w:val="000000"/>
                <w:sz w:val="16"/>
                <w:szCs w:val="16"/>
                <w:lang w:eastAsia="en-AU"/>
              </w:rPr>
            </w:pPr>
            <w:r w:rsidRPr="00F3448A">
              <w:rPr>
                <w:rFonts w:ascii="Arial" w:hAnsi="Arial" w:cs="Arial"/>
                <w:color w:val="000000"/>
                <w:sz w:val="16"/>
                <w:szCs w:val="16"/>
                <w:lang w:eastAsia="en-AU"/>
              </w:rPr>
              <w:t>Compliance rate of selected regulatory activities</w:t>
            </w:r>
          </w:p>
        </w:tc>
        <w:tc>
          <w:tcPr>
            <w:tcW w:w="736" w:type="dxa"/>
            <w:tcBorders>
              <w:top w:val="nil"/>
              <w:left w:val="nil"/>
              <w:bottom w:val="nil"/>
              <w:right w:val="nil"/>
            </w:tcBorders>
            <w:shd w:val="clear" w:color="auto" w:fill="auto"/>
            <w:noWrap/>
            <w:vAlign w:val="bottom"/>
            <w:hideMark/>
          </w:tcPr>
          <w:p w14:paraId="09B2B892" w14:textId="77777777" w:rsidR="009A72FD" w:rsidRPr="00F3448A" w:rsidRDefault="009A72FD" w:rsidP="00F709CF">
            <w:pPr>
              <w:jc w:val="center"/>
              <w:rPr>
                <w:rFonts w:ascii="Arial" w:hAnsi="Arial" w:cs="Arial"/>
                <w:color w:val="000000"/>
                <w:sz w:val="16"/>
                <w:szCs w:val="16"/>
                <w:lang w:eastAsia="en-AU"/>
              </w:rPr>
            </w:pPr>
            <w:r w:rsidRPr="00F3448A">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285F72E3" w14:textId="3A0BECA5" w:rsidR="009A72FD" w:rsidRPr="00F3448A" w:rsidRDefault="00665D7A" w:rsidP="00F709CF">
            <w:pPr>
              <w:ind w:right="170"/>
              <w:jc w:val="right"/>
              <w:rPr>
                <w:rFonts w:ascii="Arial" w:hAnsi="Arial" w:cs="Arial"/>
                <w:color w:val="000000"/>
                <w:sz w:val="16"/>
                <w:szCs w:val="16"/>
                <w:lang w:eastAsia="en-AU"/>
              </w:rPr>
            </w:pPr>
            <w:r w:rsidRPr="00F3448A">
              <w:rPr>
                <w:rFonts w:ascii="Arial" w:hAnsi="Arial" w:cs="Arial"/>
                <w:color w:val="000000"/>
                <w:sz w:val="16"/>
                <w:szCs w:val="16"/>
                <w:lang w:eastAsia="en-AU"/>
              </w:rPr>
              <w:t>95.0</w:t>
            </w:r>
            <w:r w:rsidR="0043233A" w:rsidRPr="00F3448A">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noWrap/>
            <w:vAlign w:val="bottom"/>
          </w:tcPr>
          <w:p w14:paraId="70C72AA1" w14:textId="643982F0" w:rsidR="009A72FD" w:rsidRPr="00F3448A" w:rsidRDefault="00665D7A" w:rsidP="00F709CF">
            <w:pPr>
              <w:ind w:right="170"/>
              <w:jc w:val="right"/>
              <w:rPr>
                <w:rFonts w:ascii="Arial" w:hAnsi="Arial" w:cs="Arial"/>
                <w:color w:val="000000"/>
                <w:sz w:val="16"/>
                <w:szCs w:val="16"/>
                <w:lang w:eastAsia="en-AU"/>
              </w:rPr>
            </w:pPr>
            <w:r w:rsidRPr="00F3448A">
              <w:rPr>
                <w:rFonts w:ascii="Arial" w:hAnsi="Arial" w:cs="Arial"/>
                <w:color w:val="000000" w:themeColor="text1"/>
                <w:sz w:val="16"/>
                <w:szCs w:val="16"/>
                <w:lang w:eastAsia="en-AU"/>
              </w:rPr>
              <w:t>90.0</w:t>
            </w:r>
          </w:p>
        </w:tc>
      </w:tr>
      <w:tr w:rsidR="009A72FD" w:rsidRPr="00F3448A" w14:paraId="7BB6E96F" w14:textId="77777777" w:rsidTr="00FE51C8">
        <w:trPr>
          <w:trHeight w:val="408"/>
        </w:trPr>
        <w:tc>
          <w:tcPr>
            <w:tcW w:w="6537" w:type="dxa"/>
            <w:tcBorders>
              <w:top w:val="nil"/>
              <w:left w:val="nil"/>
              <w:bottom w:val="nil"/>
              <w:right w:val="nil"/>
            </w:tcBorders>
            <w:shd w:val="clear" w:color="auto" w:fill="auto"/>
            <w:vAlign w:val="bottom"/>
            <w:hideMark/>
          </w:tcPr>
          <w:p w14:paraId="65F41B90" w14:textId="77777777" w:rsidR="009A72FD" w:rsidRPr="00F3448A" w:rsidRDefault="009A72FD" w:rsidP="00F709CF">
            <w:pPr>
              <w:rPr>
                <w:rFonts w:ascii="Arial" w:hAnsi="Arial" w:cs="Arial"/>
                <w:color w:val="000000"/>
                <w:sz w:val="16"/>
                <w:szCs w:val="16"/>
                <w:lang w:eastAsia="en-AU"/>
              </w:rPr>
            </w:pPr>
            <w:r w:rsidRPr="00F3448A">
              <w:rPr>
                <w:rFonts w:ascii="Arial" w:hAnsi="Arial" w:cs="Arial"/>
                <w:color w:val="000000"/>
                <w:sz w:val="16"/>
                <w:szCs w:val="16"/>
                <w:lang w:eastAsia="en-AU"/>
              </w:rPr>
              <w:t>Reduced rate of work-related traumatic injury fatalities (worker fatalities per 100,000 employees)</w:t>
            </w:r>
          </w:p>
        </w:tc>
        <w:tc>
          <w:tcPr>
            <w:tcW w:w="736" w:type="dxa"/>
            <w:tcBorders>
              <w:top w:val="nil"/>
              <w:left w:val="nil"/>
              <w:bottom w:val="nil"/>
              <w:right w:val="nil"/>
            </w:tcBorders>
            <w:shd w:val="clear" w:color="auto" w:fill="auto"/>
            <w:noWrap/>
            <w:vAlign w:val="bottom"/>
            <w:hideMark/>
          </w:tcPr>
          <w:p w14:paraId="60D24491" w14:textId="77777777" w:rsidR="009A72FD" w:rsidRPr="00F3448A" w:rsidRDefault="009A72FD" w:rsidP="00F709CF">
            <w:pPr>
              <w:jc w:val="center"/>
              <w:rPr>
                <w:rFonts w:ascii="Arial" w:hAnsi="Arial" w:cs="Arial"/>
                <w:color w:val="000000"/>
                <w:sz w:val="16"/>
                <w:szCs w:val="16"/>
                <w:lang w:eastAsia="en-AU"/>
              </w:rPr>
            </w:pPr>
            <w:r w:rsidRPr="00F3448A">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tcPr>
          <w:p w14:paraId="7D9D6608" w14:textId="7D16A189" w:rsidR="009A72FD" w:rsidRPr="00F3448A" w:rsidRDefault="00105088" w:rsidP="00F709CF">
            <w:pPr>
              <w:ind w:right="170"/>
              <w:jc w:val="right"/>
              <w:rPr>
                <w:rFonts w:ascii="Arial" w:hAnsi="Arial" w:cs="Arial"/>
                <w:color w:val="000000"/>
                <w:sz w:val="16"/>
                <w:szCs w:val="16"/>
                <w:lang w:eastAsia="en-AU"/>
              </w:rPr>
            </w:pPr>
            <w:r w:rsidRPr="00F3448A">
              <w:rPr>
                <w:rFonts w:ascii="Arial" w:hAnsi="Arial" w:cs="Arial"/>
                <w:color w:val="000000" w:themeColor="text1"/>
                <w:sz w:val="16"/>
                <w:szCs w:val="16"/>
                <w:lang w:eastAsia="en-AU"/>
              </w:rPr>
              <w:t>n.a</w:t>
            </w:r>
            <w:r w:rsidRPr="00F3448A">
              <w:rPr>
                <w:rFonts w:ascii="Arial" w:hAnsi="Arial" w:cs="Arial"/>
                <w:color w:val="000000"/>
                <w:sz w:val="16"/>
                <w:szCs w:val="16"/>
                <w:vertAlign w:val="superscript"/>
                <w:lang w:eastAsia="en-AU"/>
              </w:rPr>
              <w:t>(</w:t>
            </w:r>
            <w:r w:rsidR="0043233A" w:rsidRPr="00F3448A">
              <w:rPr>
                <w:rFonts w:ascii="Arial" w:hAnsi="Arial" w:cs="Arial"/>
                <w:color w:val="000000"/>
                <w:sz w:val="16"/>
                <w:szCs w:val="16"/>
                <w:vertAlign w:val="superscript"/>
                <w:lang w:eastAsia="en-AU"/>
              </w:rPr>
              <w:t>c</w:t>
            </w:r>
            <w:r w:rsidRPr="00F3448A">
              <w:rPr>
                <w:rFonts w:ascii="Arial" w:hAnsi="Arial" w:cs="Arial"/>
                <w:color w:val="000000"/>
                <w:sz w:val="16"/>
                <w:szCs w:val="16"/>
                <w:vertAlign w:val="superscript"/>
                <w:lang w:eastAsia="en-AU"/>
              </w:rPr>
              <w:t>)</w:t>
            </w:r>
          </w:p>
        </w:tc>
        <w:tc>
          <w:tcPr>
            <w:tcW w:w="1191" w:type="dxa"/>
            <w:tcBorders>
              <w:top w:val="nil"/>
              <w:left w:val="nil"/>
              <w:bottom w:val="nil"/>
              <w:right w:val="nil"/>
            </w:tcBorders>
            <w:shd w:val="clear" w:color="auto" w:fill="auto"/>
            <w:noWrap/>
            <w:vAlign w:val="bottom"/>
          </w:tcPr>
          <w:p w14:paraId="1A604EAC" w14:textId="710B7B18" w:rsidR="009A72FD" w:rsidRPr="00F3448A" w:rsidRDefault="002F229A" w:rsidP="00F709CF">
            <w:pPr>
              <w:ind w:right="170"/>
              <w:jc w:val="right"/>
              <w:rPr>
                <w:rFonts w:ascii="Arial" w:hAnsi="Arial" w:cs="Arial"/>
                <w:color w:val="000000"/>
                <w:sz w:val="16"/>
                <w:szCs w:val="16"/>
                <w:lang w:eastAsia="en-AU"/>
              </w:rPr>
            </w:pPr>
            <w:r w:rsidRPr="00F3448A">
              <w:rPr>
                <w:rFonts w:ascii="Arial" w:hAnsi="Arial" w:cs="Arial"/>
                <w:color w:val="000000"/>
                <w:sz w:val="16"/>
                <w:szCs w:val="16"/>
                <w:lang w:eastAsia="en-AU"/>
              </w:rPr>
              <w:t>1.34</w:t>
            </w:r>
          </w:p>
        </w:tc>
      </w:tr>
    </w:tbl>
    <w:p w14:paraId="14A8DEEB" w14:textId="56010F15" w:rsidR="00560147" w:rsidRPr="00880381" w:rsidRDefault="00560147" w:rsidP="00E2048D">
      <w:pPr>
        <w:rPr>
          <w:rFonts w:ascii="Arial" w:hAnsi="Arial" w:cs="Arial"/>
          <w:sz w:val="6"/>
          <w:szCs w:val="6"/>
        </w:rPr>
      </w:pPr>
    </w:p>
    <w:p w14:paraId="01AC8B6C" w14:textId="31226133" w:rsidR="004951A8" w:rsidRPr="00880381" w:rsidRDefault="00105088" w:rsidP="004951A8">
      <w:pPr>
        <w:rPr>
          <w:rFonts w:ascii="Arial" w:hAnsi="Arial" w:cs="Arial"/>
          <w:sz w:val="17"/>
          <w:szCs w:val="17"/>
        </w:rPr>
      </w:pPr>
      <w:r w:rsidRPr="00880381">
        <w:rPr>
          <w:rFonts w:ascii="Arial" w:hAnsi="Arial" w:cs="Arial"/>
          <w:sz w:val="17"/>
          <w:szCs w:val="17"/>
        </w:rPr>
        <w:t>Note</w:t>
      </w:r>
    </w:p>
    <w:p w14:paraId="0EF79C93" w14:textId="0E16136E" w:rsidR="00105088" w:rsidRPr="00880381" w:rsidRDefault="008C3663" w:rsidP="00105088">
      <w:pPr>
        <w:pStyle w:val="ListParagraph"/>
        <w:numPr>
          <w:ilvl w:val="0"/>
          <w:numId w:val="34"/>
        </w:numPr>
        <w:rPr>
          <w:rFonts w:cs="Arial"/>
          <w:sz w:val="17"/>
          <w:szCs w:val="17"/>
        </w:rPr>
      </w:pPr>
      <w:r w:rsidRPr="00880381">
        <w:rPr>
          <w:rFonts w:cs="Arial"/>
          <w:sz w:val="17"/>
          <w:szCs w:val="17"/>
        </w:rPr>
        <w:t>Compulsory ThirdParty</w:t>
      </w:r>
      <w:r w:rsidR="003E1046">
        <w:rPr>
          <w:rFonts w:cs="Arial"/>
          <w:sz w:val="17"/>
          <w:szCs w:val="17"/>
        </w:rPr>
        <w:t xml:space="preserve"> insurance scheme</w:t>
      </w:r>
      <w:r w:rsidR="00105088" w:rsidRPr="00880381">
        <w:rPr>
          <w:rFonts w:cs="Arial"/>
          <w:sz w:val="17"/>
          <w:szCs w:val="17"/>
        </w:rPr>
        <w:t xml:space="preserve"> affordability is measured as a percentage of the average NSW weekly wage. Forecast </w:t>
      </w:r>
      <w:r w:rsidR="00DE4405">
        <w:rPr>
          <w:rFonts w:cs="Arial"/>
          <w:sz w:val="17"/>
          <w:szCs w:val="17"/>
        </w:rPr>
        <w:t xml:space="preserve">for the </w:t>
      </w:r>
      <w:r w:rsidR="00105088" w:rsidRPr="00880381">
        <w:rPr>
          <w:rFonts w:cs="Arial"/>
          <w:sz w:val="17"/>
          <w:szCs w:val="17"/>
        </w:rPr>
        <w:t xml:space="preserve">2021-22 NSW average weekly wages are expected </w:t>
      </w:r>
      <w:r w:rsidR="00F80903">
        <w:rPr>
          <w:rFonts w:cs="Arial"/>
          <w:sz w:val="17"/>
          <w:szCs w:val="17"/>
        </w:rPr>
        <w:t xml:space="preserve">in the </w:t>
      </w:r>
      <w:r w:rsidR="00105088" w:rsidRPr="00880381">
        <w:rPr>
          <w:rFonts w:cs="Arial"/>
          <w:sz w:val="17"/>
          <w:szCs w:val="17"/>
        </w:rPr>
        <w:t>second half of 2021.</w:t>
      </w:r>
    </w:p>
    <w:p w14:paraId="7B73118B" w14:textId="2B54102E" w:rsidR="0043233A" w:rsidRPr="00880381" w:rsidRDefault="0043233A" w:rsidP="00105088">
      <w:pPr>
        <w:pStyle w:val="ListParagraph"/>
        <w:numPr>
          <w:ilvl w:val="0"/>
          <w:numId w:val="34"/>
        </w:numPr>
        <w:rPr>
          <w:rFonts w:cs="Arial"/>
          <w:sz w:val="17"/>
          <w:szCs w:val="17"/>
        </w:rPr>
      </w:pPr>
      <w:r w:rsidRPr="00880381">
        <w:rPr>
          <w:rFonts w:cs="Arial"/>
          <w:sz w:val="17"/>
          <w:szCs w:val="17"/>
        </w:rPr>
        <w:t xml:space="preserve">2020-21 </w:t>
      </w:r>
      <w:r w:rsidR="007D6E12" w:rsidRPr="00880381">
        <w:rPr>
          <w:rFonts w:cs="Arial"/>
          <w:sz w:val="17"/>
          <w:szCs w:val="17"/>
        </w:rPr>
        <w:t>a</w:t>
      </w:r>
      <w:r w:rsidRPr="00880381">
        <w:rPr>
          <w:rFonts w:cs="Arial"/>
          <w:sz w:val="17"/>
          <w:szCs w:val="17"/>
        </w:rPr>
        <w:t>ctual is higher than the usual compliance rate as COVID-19 has impacted industry activity.</w:t>
      </w:r>
    </w:p>
    <w:p w14:paraId="7D12E924" w14:textId="390B1105" w:rsidR="006E7AC2" w:rsidRPr="00880381" w:rsidRDefault="006E7AC2" w:rsidP="00105088">
      <w:pPr>
        <w:pStyle w:val="ListParagraph"/>
        <w:numPr>
          <w:ilvl w:val="0"/>
          <w:numId w:val="34"/>
        </w:numPr>
        <w:rPr>
          <w:rFonts w:cs="Arial"/>
          <w:sz w:val="17"/>
          <w:szCs w:val="17"/>
        </w:rPr>
      </w:pPr>
      <w:r w:rsidRPr="00880381">
        <w:rPr>
          <w:rFonts w:cs="Arial"/>
          <w:sz w:val="17"/>
          <w:szCs w:val="17"/>
        </w:rPr>
        <w:t>2020-21 actual data for this indicator is reliant on data provided by SafeWork Australia which is delayed and is expected to be available in late 2021</w:t>
      </w:r>
      <w:r w:rsidR="0043233A" w:rsidRPr="00880381">
        <w:rPr>
          <w:rFonts w:cs="Arial"/>
          <w:sz w:val="17"/>
          <w:szCs w:val="17"/>
        </w:rPr>
        <w:t>.</w:t>
      </w:r>
    </w:p>
    <w:p w14:paraId="27DCC2B0" w14:textId="5B25A277" w:rsidR="004951A8" w:rsidRPr="004951A8" w:rsidRDefault="004951A8" w:rsidP="004951A8"/>
    <w:sectPr w:rsidR="004951A8" w:rsidRPr="004951A8" w:rsidSect="0061576C">
      <w:headerReference w:type="even" r:id="rId28"/>
      <w:headerReference w:type="default" r:id="rId29"/>
      <w:headerReference w:type="first" r:id="rId30"/>
      <w:footerReference w:type="first" r:id="rId31"/>
      <w:pgSz w:w="11907" w:h="16840" w:code="9"/>
      <w:pgMar w:top="1134" w:right="1134" w:bottom="851"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28A7" w14:textId="77777777" w:rsidR="008715DA" w:rsidRDefault="008715DA">
      <w:r>
        <w:separator/>
      </w:r>
    </w:p>
    <w:p w14:paraId="6EEA867A" w14:textId="77777777" w:rsidR="008715DA" w:rsidRDefault="008715DA"/>
  </w:endnote>
  <w:endnote w:type="continuationSeparator" w:id="0">
    <w:p w14:paraId="4C0C095C" w14:textId="77777777" w:rsidR="008715DA" w:rsidRDefault="008715DA">
      <w:r>
        <w:continuationSeparator/>
      </w:r>
    </w:p>
    <w:p w14:paraId="04CFE6FE" w14:textId="77777777" w:rsidR="008715DA" w:rsidRDefault="008715DA"/>
  </w:endnote>
  <w:endnote w:type="continuationNotice" w:id="1">
    <w:p w14:paraId="61DB5856" w14:textId="77777777" w:rsidR="008715DA" w:rsidRDefault="0087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ahoma"/>
    <w:panose1 w:val="020B07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1A65" w14:textId="524EBC17" w:rsidR="00560147" w:rsidRDefault="00560147" w:rsidP="00137F0A">
    <w:pPr>
      <w:pStyle w:val="Footer"/>
      <w:pBdr>
        <w:top w:val="single" w:sz="4" w:space="4" w:color="auto"/>
      </w:pBdr>
      <w:tabs>
        <w:tab w:val="clear" w:pos="7655"/>
        <w:tab w:val="right" w:pos="9639"/>
      </w:tabs>
      <w:rPr>
        <w:szCs w:val="18"/>
      </w:rPr>
    </w:pPr>
    <w:r>
      <w:rPr>
        <w:szCs w:val="18"/>
      </w:rPr>
      <w:t>1</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noProof/>
        <w:szCs w:val="18"/>
      </w:rPr>
      <w:t>18</w:t>
    </w:r>
    <w:r w:rsidRPr="00D67CF6">
      <w:rPr>
        <w:szCs w:val="18"/>
      </w:rPr>
      <w:fldChar w:fldCharType="end"/>
    </w:r>
    <w:r>
      <w:rPr>
        <w:szCs w:val="18"/>
      </w:rPr>
      <w:tab/>
    </w:r>
    <w:r w:rsidR="009A0A04">
      <w:rPr>
        <w:szCs w:val="18"/>
      </w:rPr>
      <w:t>Cluster Outcome Statement</w:t>
    </w:r>
    <w:r w:rsidRPr="00D67CF6">
      <w:rPr>
        <w:szCs w:val="18"/>
      </w:rPr>
      <w:t xml:space="preserve"> </w:t>
    </w:r>
    <w:r w:rsidR="00F74499" w:rsidRPr="00B07CC2">
      <w:rPr>
        <w:rFonts w:cs="Arial"/>
        <w:szCs w:val="18"/>
      </w:rPr>
      <w:t>20</w:t>
    </w:r>
    <w:r w:rsidR="00F74499">
      <w:rPr>
        <w:rFonts w:cs="Arial"/>
        <w:szCs w:val="18"/>
      </w:rPr>
      <w:t>21</w:t>
    </w:r>
    <w:r w:rsidR="00F74499" w:rsidRPr="00B07CC2">
      <w:rPr>
        <w:rFonts w:cs="Arial"/>
        <w:szCs w:val="18"/>
      </w:rPr>
      <w:t>-2</w:t>
    </w:r>
    <w:r w:rsidR="00F74499">
      <w:rPr>
        <w:rFonts w:cs="Arial"/>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18B7" w14:textId="7361CE72" w:rsidR="00560147" w:rsidRDefault="00E2048D" w:rsidP="00137F0A">
    <w:pPr>
      <w:pStyle w:val="Footer"/>
      <w:pBdr>
        <w:top w:val="single" w:sz="4" w:space="4" w:color="auto"/>
      </w:pBdr>
      <w:tabs>
        <w:tab w:val="clear" w:pos="7655"/>
        <w:tab w:val="right" w:pos="9639"/>
      </w:tabs>
      <w:rPr>
        <w:szCs w:val="18"/>
      </w:rPr>
    </w:pPr>
    <w:r>
      <w:rPr>
        <w:rFonts w:cs="Arial"/>
        <w:szCs w:val="18"/>
      </w:rPr>
      <w:t>Cluster Outcome Statement</w:t>
    </w:r>
    <w:r w:rsidRPr="00B07CC2">
      <w:rPr>
        <w:rFonts w:cs="Arial"/>
        <w:szCs w:val="18"/>
      </w:rPr>
      <w:t xml:space="preserve"> 20</w:t>
    </w:r>
    <w:r>
      <w:rPr>
        <w:rFonts w:cs="Arial"/>
        <w:szCs w:val="18"/>
      </w:rPr>
      <w:t>21</w:t>
    </w:r>
    <w:r w:rsidRPr="00B07CC2">
      <w:rPr>
        <w:rFonts w:cs="Arial"/>
        <w:szCs w:val="18"/>
      </w:rPr>
      <w:t>-2</w:t>
    </w:r>
    <w:r>
      <w:rPr>
        <w:rFonts w:cs="Arial"/>
        <w:szCs w:val="18"/>
      </w:rPr>
      <w:t>2</w:t>
    </w:r>
    <w:r w:rsidR="00560147">
      <w:rPr>
        <w:szCs w:val="18"/>
      </w:rPr>
      <w:tab/>
      <w:t>1</w:t>
    </w:r>
    <w:r w:rsidR="00560147" w:rsidRPr="00D67CF6">
      <w:rPr>
        <w:szCs w:val="18"/>
      </w:rPr>
      <w:t xml:space="preserve"> - </w:t>
    </w:r>
    <w:r w:rsidR="00560147" w:rsidRPr="00D67CF6">
      <w:rPr>
        <w:szCs w:val="18"/>
      </w:rPr>
      <w:fldChar w:fldCharType="begin"/>
    </w:r>
    <w:r w:rsidR="00560147" w:rsidRPr="00D67CF6">
      <w:rPr>
        <w:szCs w:val="18"/>
      </w:rPr>
      <w:instrText xml:space="preserve"> PAGE  \* MERGEFORMAT </w:instrText>
    </w:r>
    <w:r w:rsidR="00560147" w:rsidRPr="00D67CF6">
      <w:rPr>
        <w:szCs w:val="18"/>
      </w:rPr>
      <w:fldChar w:fldCharType="separate"/>
    </w:r>
    <w:r w:rsidR="00560147">
      <w:rPr>
        <w:noProof/>
        <w:szCs w:val="18"/>
      </w:rPr>
      <w:t>19</w:t>
    </w:r>
    <w:r w:rsidR="00560147"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903D" w14:textId="691545D5" w:rsidR="00560147" w:rsidRPr="00B07CC2" w:rsidRDefault="007D0128" w:rsidP="00137F0A">
    <w:pPr>
      <w:pStyle w:val="Footer"/>
      <w:pBdr>
        <w:top w:val="single" w:sz="4" w:space="4" w:color="auto"/>
      </w:pBdr>
      <w:tabs>
        <w:tab w:val="clear" w:pos="7655"/>
        <w:tab w:val="right" w:pos="9639"/>
      </w:tabs>
      <w:rPr>
        <w:rFonts w:cs="Arial"/>
        <w:szCs w:val="18"/>
      </w:rPr>
    </w:pPr>
    <w:r>
      <w:rPr>
        <w:rFonts w:cs="Arial"/>
        <w:szCs w:val="18"/>
      </w:rPr>
      <w:t>Cluster Outcome Statement</w:t>
    </w:r>
    <w:r w:rsidR="00560147" w:rsidRPr="00B07CC2">
      <w:rPr>
        <w:rFonts w:cs="Arial"/>
        <w:szCs w:val="18"/>
      </w:rPr>
      <w:t xml:space="preserve"> </w:t>
    </w:r>
    <w:r w:rsidR="00F74499" w:rsidRPr="00B07CC2">
      <w:rPr>
        <w:rFonts w:cs="Arial"/>
        <w:szCs w:val="18"/>
      </w:rPr>
      <w:t>20</w:t>
    </w:r>
    <w:r w:rsidR="00F74499">
      <w:rPr>
        <w:rFonts w:cs="Arial"/>
        <w:szCs w:val="18"/>
      </w:rPr>
      <w:t>21</w:t>
    </w:r>
    <w:r w:rsidR="00F74499" w:rsidRPr="00B07CC2">
      <w:rPr>
        <w:rFonts w:cs="Arial"/>
        <w:szCs w:val="18"/>
      </w:rPr>
      <w:t>-2</w:t>
    </w:r>
    <w:r w:rsidR="00F74499">
      <w:rPr>
        <w:rFonts w:cs="Arial"/>
        <w:szCs w:val="18"/>
      </w:rPr>
      <w:t>2</w:t>
    </w:r>
    <w:r w:rsidR="00560147" w:rsidRPr="00B07CC2">
      <w:rPr>
        <w:rFonts w:cs="Arial"/>
        <w:szCs w:val="18"/>
      </w:rPr>
      <w:tab/>
      <w:t xml:space="preserve">1 - </w:t>
    </w:r>
    <w:r w:rsidR="00560147" w:rsidRPr="00B07CC2">
      <w:rPr>
        <w:rFonts w:cs="Arial"/>
        <w:szCs w:val="18"/>
      </w:rPr>
      <w:fldChar w:fldCharType="begin"/>
    </w:r>
    <w:r w:rsidR="00560147" w:rsidRPr="00B07CC2">
      <w:rPr>
        <w:rFonts w:cs="Arial"/>
        <w:szCs w:val="18"/>
      </w:rPr>
      <w:instrText xml:space="preserve"> PAGE  \* MERGEFORMAT </w:instrText>
    </w:r>
    <w:r w:rsidR="00560147" w:rsidRPr="00B07CC2">
      <w:rPr>
        <w:rFonts w:cs="Arial"/>
        <w:szCs w:val="18"/>
      </w:rPr>
      <w:fldChar w:fldCharType="separate"/>
    </w:r>
    <w:r w:rsidR="00560147">
      <w:rPr>
        <w:rFonts w:cs="Arial"/>
        <w:noProof/>
        <w:szCs w:val="18"/>
      </w:rPr>
      <w:t>8</w:t>
    </w:r>
    <w:r w:rsidR="00560147" w:rsidRPr="00B07CC2">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3F51" w14:textId="413B5383" w:rsidR="00A71949" w:rsidRDefault="00832FE9" w:rsidP="00E27C10">
    <w:pPr>
      <w:pStyle w:val="Footer"/>
      <w:pBdr>
        <w:top w:val="single" w:sz="4" w:space="4" w:color="auto"/>
      </w:pBdr>
      <w:tabs>
        <w:tab w:val="clear" w:pos="7655"/>
        <w:tab w:val="right" w:pos="9639"/>
      </w:tabs>
      <w:rPr>
        <w:szCs w:val="18"/>
      </w:rPr>
    </w:pPr>
    <w:r>
      <w:rPr>
        <w:szCs w:val="18"/>
      </w:rPr>
      <w:t>1</w:t>
    </w:r>
    <w:r w:rsidR="00A71949" w:rsidRPr="00D67CF6">
      <w:rPr>
        <w:szCs w:val="18"/>
      </w:rPr>
      <w:t xml:space="preserve"> - </w:t>
    </w:r>
    <w:r w:rsidR="00A71949" w:rsidRPr="00D67CF6">
      <w:rPr>
        <w:szCs w:val="18"/>
      </w:rPr>
      <w:fldChar w:fldCharType="begin"/>
    </w:r>
    <w:r w:rsidR="00A71949" w:rsidRPr="00D67CF6">
      <w:rPr>
        <w:szCs w:val="18"/>
      </w:rPr>
      <w:instrText xml:space="preserve"> PAGE  \* MERGEFORMAT </w:instrText>
    </w:r>
    <w:r w:rsidR="00A71949" w:rsidRPr="00D67CF6">
      <w:rPr>
        <w:szCs w:val="18"/>
      </w:rPr>
      <w:fldChar w:fldCharType="separate"/>
    </w:r>
    <w:r w:rsidR="007C4D52">
      <w:rPr>
        <w:noProof/>
        <w:szCs w:val="18"/>
      </w:rPr>
      <w:t>12</w:t>
    </w:r>
    <w:r w:rsidR="00A71949" w:rsidRPr="00D67CF6">
      <w:rPr>
        <w:szCs w:val="18"/>
      </w:rPr>
      <w:fldChar w:fldCharType="end"/>
    </w:r>
    <w:r w:rsidR="00A71949">
      <w:rPr>
        <w:szCs w:val="18"/>
      </w:rPr>
      <w:tab/>
    </w:r>
    <w:r w:rsidR="00B9462E">
      <w:rPr>
        <w:szCs w:val="18"/>
      </w:rPr>
      <w:t>Cluster Outcome Statement</w:t>
    </w:r>
    <w:r w:rsidR="00587EF4">
      <w:rPr>
        <w:szCs w:val="18"/>
      </w:rPr>
      <w:t xml:space="preserve"> </w:t>
    </w:r>
    <w:r w:rsidR="00F74499" w:rsidRPr="00B07CC2">
      <w:rPr>
        <w:rFonts w:cs="Arial"/>
        <w:szCs w:val="18"/>
      </w:rPr>
      <w:t>20</w:t>
    </w:r>
    <w:r w:rsidR="00F74499">
      <w:rPr>
        <w:rFonts w:cs="Arial"/>
        <w:szCs w:val="18"/>
      </w:rPr>
      <w:t>21</w:t>
    </w:r>
    <w:r w:rsidR="00F74499" w:rsidRPr="00B07CC2">
      <w:rPr>
        <w:rFonts w:cs="Arial"/>
        <w:szCs w:val="18"/>
      </w:rPr>
      <w:t>-2</w:t>
    </w:r>
    <w:r w:rsidR="00F74499">
      <w:rPr>
        <w:rFonts w:cs="Arial"/>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02AB8" w14:textId="77777777" w:rsidR="008715DA" w:rsidRDefault="008715DA">
      <w:pPr>
        <w:spacing w:before="120"/>
      </w:pPr>
      <w:r>
        <w:separator/>
      </w:r>
    </w:p>
    <w:p w14:paraId="5CB3BC8B" w14:textId="77777777" w:rsidR="008715DA" w:rsidRDefault="008715DA"/>
  </w:footnote>
  <w:footnote w:type="continuationSeparator" w:id="0">
    <w:p w14:paraId="37536D0D" w14:textId="77777777" w:rsidR="008715DA" w:rsidRDefault="008715DA">
      <w:pPr>
        <w:spacing w:before="120"/>
      </w:pPr>
      <w:r>
        <w:continuationSeparator/>
      </w:r>
    </w:p>
    <w:p w14:paraId="168B52AF" w14:textId="77777777" w:rsidR="008715DA" w:rsidRDefault="008715DA"/>
  </w:footnote>
  <w:footnote w:type="continuationNotice" w:id="1">
    <w:p w14:paraId="7C625E7C" w14:textId="77777777" w:rsidR="008715DA" w:rsidRDefault="008715DA">
      <w:pPr>
        <w:rPr>
          <w:sz w:val="16"/>
        </w:rPr>
      </w:pPr>
    </w:p>
    <w:p w14:paraId="64CFC463" w14:textId="77777777" w:rsidR="008715DA" w:rsidRDefault="00871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9D7D" w14:textId="266D4081" w:rsidR="00560147" w:rsidRPr="00D67CF6" w:rsidRDefault="00AD5060" w:rsidP="00137F0A">
    <w:pPr>
      <w:pStyle w:val="HeaderHeading"/>
      <w:pageBreakBefore w:val="0"/>
      <w:pBdr>
        <w:bottom w:val="single" w:sz="4" w:space="4" w:color="auto"/>
      </w:pBdr>
      <w:rPr>
        <w:rFonts w:ascii="Arial" w:hAnsi="Arial"/>
        <w:sz w:val="18"/>
        <w:szCs w:val="18"/>
      </w:rPr>
    </w:pPr>
    <w:r>
      <w:rPr>
        <w:rFonts w:ascii="Arial" w:hAnsi="Arial"/>
        <w:sz w:val="18"/>
        <w:szCs w:val="18"/>
      </w:rPr>
      <w:t xml:space="preserve">Customer Service </w:t>
    </w:r>
    <w:r w:rsidR="00560147">
      <w:rPr>
        <w:rFonts w:ascii="Arial" w:hAnsi="Arial"/>
        <w:sz w:val="18"/>
        <w:szCs w:val="18"/>
      </w:rPr>
      <w:t>Cluster</w:t>
    </w:r>
  </w:p>
  <w:p w14:paraId="24C473B1" w14:textId="77777777" w:rsidR="00560147" w:rsidRDefault="005601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1B3B" w14:textId="48506782" w:rsidR="00560147" w:rsidRPr="00D67CF6" w:rsidRDefault="00EE7712" w:rsidP="00137F0A">
    <w:pPr>
      <w:pStyle w:val="HeaderHeading"/>
      <w:pageBreakBefore w:val="0"/>
      <w:pBdr>
        <w:bottom w:val="single" w:sz="4" w:space="4" w:color="auto"/>
      </w:pBdr>
      <w:jc w:val="right"/>
      <w:rPr>
        <w:rFonts w:ascii="Arial" w:hAnsi="Arial"/>
        <w:sz w:val="18"/>
        <w:szCs w:val="18"/>
      </w:rPr>
    </w:pPr>
    <w:r w:rsidRPr="00EE7712">
      <w:rPr>
        <w:rFonts w:ascii="Arial" w:hAnsi="Arial"/>
        <w:sz w:val="18"/>
        <w:szCs w:val="18"/>
      </w:rPr>
      <w:t>Customer Service</w:t>
    </w:r>
    <w:r w:rsidR="00560147">
      <w:rPr>
        <w:rFonts w:ascii="Arial" w:hAnsi="Arial"/>
        <w:sz w:val="18"/>
        <w:szCs w:val="18"/>
      </w:rPr>
      <w:t xml:space="preserve"> Cluster</w:t>
    </w:r>
  </w:p>
  <w:p w14:paraId="47145FAE" w14:textId="77777777" w:rsidR="00560147" w:rsidRPr="00B07A17" w:rsidRDefault="00560147" w:rsidP="00137F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EC44" w14:textId="781A5CF6" w:rsidR="00560147" w:rsidRDefault="00560147">
    <w:pPr>
      <w:pStyle w:val="Header"/>
    </w:pPr>
  </w:p>
  <w:p w14:paraId="1F931F00" w14:textId="11BC6C8D" w:rsidR="00560147" w:rsidRDefault="005601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956C" w14:textId="409AA6B3" w:rsidR="0061576C" w:rsidRPr="00D67CF6" w:rsidRDefault="0061576C" w:rsidP="0061576C">
    <w:pPr>
      <w:pStyle w:val="HeaderHeading"/>
      <w:pageBreakBefore w:val="0"/>
      <w:pBdr>
        <w:bottom w:val="single" w:sz="4" w:space="4" w:color="auto"/>
      </w:pBdr>
      <w:rPr>
        <w:rFonts w:ascii="Arial" w:hAnsi="Arial"/>
        <w:sz w:val="18"/>
        <w:szCs w:val="18"/>
      </w:rPr>
    </w:pPr>
    <w:r>
      <w:rPr>
        <w:rFonts w:ascii="Arial" w:hAnsi="Arial"/>
        <w:sz w:val="18"/>
        <w:szCs w:val="18"/>
      </w:rPr>
      <w:t>Customer Service Cluster</w:t>
    </w:r>
  </w:p>
  <w:p w14:paraId="58CA0710" w14:textId="387F5421" w:rsidR="00A71949" w:rsidRPr="00E27C10" w:rsidRDefault="00A71949" w:rsidP="00E27C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0CAC" w14:textId="07F9F1A7" w:rsidR="00E235CC" w:rsidRPr="00D67CF6" w:rsidRDefault="00E235CC" w:rsidP="00E235CC">
    <w:pPr>
      <w:pStyle w:val="HeaderHeading"/>
      <w:pageBreakBefore w:val="0"/>
      <w:pBdr>
        <w:bottom w:val="single" w:sz="4" w:space="4" w:color="auto"/>
      </w:pBdr>
      <w:jc w:val="right"/>
      <w:rPr>
        <w:rFonts w:ascii="Arial" w:hAnsi="Arial"/>
        <w:sz w:val="18"/>
        <w:szCs w:val="18"/>
      </w:rPr>
    </w:pPr>
    <w:r w:rsidRPr="00EE7712">
      <w:rPr>
        <w:rFonts w:ascii="Arial" w:hAnsi="Arial"/>
        <w:sz w:val="18"/>
        <w:szCs w:val="18"/>
      </w:rPr>
      <w:t>Customer Service</w:t>
    </w:r>
    <w:r>
      <w:rPr>
        <w:rFonts w:ascii="Arial" w:hAnsi="Arial"/>
        <w:sz w:val="18"/>
        <w:szCs w:val="18"/>
      </w:rPr>
      <w:t xml:space="preserve"> Cluster</w:t>
    </w:r>
  </w:p>
  <w:p w14:paraId="157EE5D9" w14:textId="77777777" w:rsidR="00E235CC" w:rsidRPr="00B07A17" w:rsidRDefault="00E235CC" w:rsidP="00E235CC">
    <w:pPr>
      <w:pStyle w:val="Header"/>
      <w:jc w:val="right"/>
    </w:pPr>
  </w:p>
  <w:p w14:paraId="13F1E5E5" w14:textId="07CB3FF2" w:rsidR="00A71949" w:rsidRDefault="00A71949" w:rsidP="00D961E9">
    <w:pP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FE57" w14:textId="4F9FCD7A" w:rsidR="00A71949" w:rsidRPr="00A62927" w:rsidRDefault="00A71949"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 w15:restartNumberingAfterBreak="0">
    <w:nsid w:val="0CFA0263"/>
    <w:multiLevelType w:val="hybridMultilevel"/>
    <w:tmpl w:val="A998BEB2"/>
    <w:lvl w:ilvl="0" w:tplc="695A154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85947"/>
    <w:multiLevelType w:val="multilevel"/>
    <w:tmpl w:val="8B54A3A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C641E9"/>
    <w:multiLevelType w:val="hybridMultilevel"/>
    <w:tmpl w:val="3200A78E"/>
    <w:lvl w:ilvl="0" w:tplc="52F268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9EC1806"/>
    <w:multiLevelType w:val="hybridMultilevel"/>
    <w:tmpl w:val="E222D5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34C33"/>
    <w:multiLevelType w:val="hybridMultilevel"/>
    <w:tmpl w:val="07A83670"/>
    <w:lvl w:ilvl="0" w:tplc="343E7466">
      <w:start w:val="1"/>
      <w:numFmt w:val="decimal"/>
      <w:pStyle w:val="Chart1X"/>
      <w:lvlText w:val="Chart 1.%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2B496D"/>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FC1566"/>
    <w:multiLevelType w:val="hybridMultilevel"/>
    <w:tmpl w:val="4AA2B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F944FB"/>
    <w:multiLevelType w:val="hybridMultilevel"/>
    <w:tmpl w:val="96863882"/>
    <w:lvl w:ilvl="0" w:tplc="EE468840">
      <w:start w:val="1"/>
      <w:numFmt w:val="bullet"/>
      <w:pStyle w:val="Bullet4"/>
      <w:lvlText w:val=""/>
      <w:lvlJc w:val="left"/>
      <w:pPr>
        <w:tabs>
          <w:tab w:val="num" w:pos="1701"/>
        </w:tabs>
        <w:ind w:left="1701" w:hanging="425"/>
      </w:pPr>
      <w:rPr>
        <w:rFonts w:ascii="Symbol" w:hAnsi="Symbol" w:hint="default"/>
        <w:sz w:val="22"/>
      </w:rPr>
    </w:lvl>
    <w:lvl w:ilvl="1" w:tplc="91608552">
      <w:numFmt w:val="decimal"/>
      <w:lvlText w:val=""/>
      <w:lvlJc w:val="left"/>
    </w:lvl>
    <w:lvl w:ilvl="2" w:tplc="3F483A4A">
      <w:numFmt w:val="decimal"/>
      <w:lvlText w:val=""/>
      <w:lvlJc w:val="left"/>
    </w:lvl>
    <w:lvl w:ilvl="3" w:tplc="9F84F69E">
      <w:numFmt w:val="decimal"/>
      <w:lvlText w:val=""/>
      <w:lvlJc w:val="left"/>
    </w:lvl>
    <w:lvl w:ilvl="4" w:tplc="D60E914C">
      <w:numFmt w:val="decimal"/>
      <w:lvlText w:val=""/>
      <w:lvlJc w:val="left"/>
    </w:lvl>
    <w:lvl w:ilvl="5" w:tplc="872C2C1C">
      <w:numFmt w:val="decimal"/>
      <w:lvlText w:val=""/>
      <w:lvlJc w:val="left"/>
    </w:lvl>
    <w:lvl w:ilvl="6" w:tplc="8F10E510">
      <w:numFmt w:val="decimal"/>
      <w:lvlText w:val=""/>
      <w:lvlJc w:val="left"/>
    </w:lvl>
    <w:lvl w:ilvl="7" w:tplc="2506B036">
      <w:numFmt w:val="decimal"/>
      <w:lvlText w:val=""/>
      <w:lvlJc w:val="left"/>
    </w:lvl>
    <w:lvl w:ilvl="8" w:tplc="B4CA2CE8">
      <w:numFmt w:val="decimal"/>
      <w:lvlText w:val=""/>
      <w:lvlJc w:val="left"/>
    </w:lvl>
  </w:abstractNum>
  <w:abstractNum w:abstractNumId="14"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623189"/>
    <w:multiLevelType w:val="hybridMultilevel"/>
    <w:tmpl w:val="A1CEE5EC"/>
    <w:lvl w:ilvl="0" w:tplc="3574F660">
      <w:start w:val="1"/>
      <w:numFmt w:val="lowerLetter"/>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D004F8E"/>
    <w:multiLevelType w:val="multilevel"/>
    <w:tmpl w:val="64626998"/>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22501"/>
    <w:multiLevelType w:val="hybridMultilevel"/>
    <w:tmpl w:val="171E273E"/>
    <w:lvl w:ilvl="0" w:tplc="6E042B20">
      <w:numFmt w:val="bullet"/>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E75030"/>
    <w:multiLevelType w:val="hybridMultilevel"/>
    <w:tmpl w:val="C3947808"/>
    <w:lvl w:ilvl="0" w:tplc="74E26798">
      <w:start w:val="1"/>
      <w:numFmt w:val="decimal"/>
      <w:pStyle w:val="Heading2"/>
      <w:lvlText w:val="1.%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644B00"/>
    <w:multiLevelType w:val="hybridMultilevel"/>
    <w:tmpl w:val="59EE92A4"/>
    <w:lvl w:ilvl="0" w:tplc="FFFFFFFF">
      <w:start w:val="1"/>
      <w:numFmt w:val="bullet"/>
      <w:lvlText w:val=""/>
      <w:lvlJc w:val="left"/>
      <w:pPr>
        <w:ind w:left="360" w:hanging="360"/>
      </w:pPr>
      <w:rPr>
        <w:rFonts w:ascii="Symbol" w:hAnsi="Symbo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CB1EFF"/>
    <w:multiLevelType w:val="hybridMultilevel"/>
    <w:tmpl w:val="623043F2"/>
    <w:lvl w:ilvl="0" w:tplc="C832D3F8">
      <w:start w:val="1"/>
      <w:numFmt w:val="decimal"/>
      <w:pStyle w:val="Chart11"/>
      <w:lvlText w:val="Chart 1.%1:"/>
      <w:lvlJc w:val="left"/>
      <w:pPr>
        <w:ind w:left="228" w:hanging="360"/>
      </w:pPr>
      <w:rPr>
        <w:rFonts w:ascii="Arial" w:hAnsi="Arial" w:hint="default"/>
        <w:b w:val="0"/>
        <w:i/>
        <w:sz w:val="22"/>
        <w:u w:color="4F4F4F"/>
      </w:rPr>
    </w:lvl>
    <w:lvl w:ilvl="1" w:tplc="0C090019" w:tentative="1">
      <w:start w:val="1"/>
      <w:numFmt w:val="lowerLetter"/>
      <w:lvlText w:val="%2."/>
      <w:lvlJc w:val="left"/>
      <w:pPr>
        <w:ind w:left="948" w:hanging="360"/>
      </w:pPr>
    </w:lvl>
    <w:lvl w:ilvl="2" w:tplc="0C09001B" w:tentative="1">
      <w:start w:val="1"/>
      <w:numFmt w:val="lowerRoman"/>
      <w:lvlText w:val="%3."/>
      <w:lvlJc w:val="right"/>
      <w:pPr>
        <w:ind w:left="1668" w:hanging="180"/>
      </w:pPr>
    </w:lvl>
    <w:lvl w:ilvl="3" w:tplc="0C09000F" w:tentative="1">
      <w:start w:val="1"/>
      <w:numFmt w:val="decimal"/>
      <w:lvlText w:val="%4."/>
      <w:lvlJc w:val="left"/>
      <w:pPr>
        <w:ind w:left="2388" w:hanging="360"/>
      </w:pPr>
    </w:lvl>
    <w:lvl w:ilvl="4" w:tplc="0C090019" w:tentative="1">
      <w:start w:val="1"/>
      <w:numFmt w:val="lowerLetter"/>
      <w:lvlText w:val="%5."/>
      <w:lvlJc w:val="left"/>
      <w:pPr>
        <w:ind w:left="3108" w:hanging="360"/>
      </w:pPr>
    </w:lvl>
    <w:lvl w:ilvl="5" w:tplc="0C09001B" w:tentative="1">
      <w:start w:val="1"/>
      <w:numFmt w:val="lowerRoman"/>
      <w:lvlText w:val="%6."/>
      <w:lvlJc w:val="right"/>
      <w:pPr>
        <w:ind w:left="3828" w:hanging="180"/>
      </w:pPr>
    </w:lvl>
    <w:lvl w:ilvl="6" w:tplc="0C09000F" w:tentative="1">
      <w:start w:val="1"/>
      <w:numFmt w:val="decimal"/>
      <w:lvlText w:val="%7."/>
      <w:lvlJc w:val="left"/>
      <w:pPr>
        <w:ind w:left="4548" w:hanging="360"/>
      </w:pPr>
    </w:lvl>
    <w:lvl w:ilvl="7" w:tplc="0C090019" w:tentative="1">
      <w:start w:val="1"/>
      <w:numFmt w:val="lowerLetter"/>
      <w:lvlText w:val="%8."/>
      <w:lvlJc w:val="left"/>
      <w:pPr>
        <w:ind w:left="5268" w:hanging="360"/>
      </w:pPr>
    </w:lvl>
    <w:lvl w:ilvl="8" w:tplc="0C09001B" w:tentative="1">
      <w:start w:val="1"/>
      <w:numFmt w:val="lowerRoman"/>
      <w:lvlText w:val="%9."/>
      <w:lvlJc w:val="right"/>
      <w:pPr>
        <w:ind w:left="5988" w:hanging="180"/>
      </w:pPr>
    </w:lvl>
  </w:abstractNum>
  <w:abstractNum w:abstractNumId="26" w15:restartNumberingAfterBreak="0">
    <w:nsid w:val="737765EF"/>
    <w:multiLevelType w:val="hybridMultilevel"/>
    <w:tmpl w:val="C83C59B4"/>
    <w:lvl w:ilvl="0" w:tplc="C638F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5E1539"/>
    <w:multiLevelType w:val="hybridMultilevel"/>
    <w:tmpl w:val="F216CB7A"/>
    <w:lvl w:ilvl="0" w:tplc="BB16A974">
      <w:start w:val="1"/>
      <w:numFmt w:val="bullet"/>
      <w:pStyle w:val="Bullet1"/>
      <w:lvlText w:val=""/>
      <w:lvlJc w:val="left"/>
      <w:pPr>
        <w:ind w:left="36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7750E1"/>
    <w:multiLevelType w:val="hybridMultilevel"/>
    <w:tmpl w:val="F2AC36B2"/>
    <w:lvl w:ilvl="0" w:tplc="C224949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0"/>
  </w:num>
  <w:num w:numId="4">
    <w:abstractNumId w:val="13"/>
  </w:num>
  <w:num w:numId="5">
    <w:abstractNumId w:val="22"/>
  </w:num>
  <w:num w:numId="6">
    <w:abstractNumId w:val="2"/>
  </w:num>
  <w:num w:numId="7">
    <w:abstractNumId w:val="5"/>
  </w:num>
  <w:num w:numId="8">
    <w:abstractNumId w:val="18"/>
  </w:num>
  <w:num w:numId="9">
    <w:abstractNumId w:val="15"/>
  </w:num>
  <w:num w:numId="10">
    <w:abstractNumId w:val="20"/>
  </w:num>
  <w:num w:numId="11">
    <w:abstractNumId w:val="25"/>
  </w:num>
  <w:num w:numId="12">
    <w:abstractNumId w:val="14"/>
  </w:num>
  <w:num w:numId="13">
    <w:abstractNumId w:val="28"/>
  </w:num>
  <w:num w:numId="14">
    <w:abstractNumId w:val="24"/>
  </w:num>
  <w:num w:numId="15">
    <w:abstractNumId w:val="12"/>
  </w:num>
  <w:num w:numId="16">
    <w:abstractNumId w:val="10"/>
  </w:num>
  <w:num w:numId="17">
    <w:abstractNumId w:val="9"/>
  </w:num>
  <w:num w:numId="18">
    <w:abstractNumId w:val="21"/>
    <w:lvlOverride w:ilvl="0">
      <w:startOverride w:val="3"/>
    </w:lvlOverride>
  </w:num>
  <w:num w:numId="19">
    <w:abstractNumId w:val="11"/>
  </w:num>
  <w:num w:numId="20">
    <w:abstractNumId w:val="3"/>
  </w:num>
  <w:num w:numId="21">
    <w:abstractNumId w:val="17"/>
  </w:num>
  <w:num w:numId="22">
    <w:abstractNumId w:val="20"/>
  </w:num>
  <w:num w:numId="23">
    <w:abstractNumId w:val="27"/>
  </w:num>
  <w:num w:numId="24">
    <w:abstractNumId w:val="26"/>
  </w:num>
  <w:num w:numId="25">
    <w:abstractNumId w:val="20"/>
  </w:num>
  <w:num w:numId="26">
    <w:abstractNumId w:val="20"/>
  </w:num>
  <w:num w:numId="27">
    <w:abstractNumId w:val="23"/>
  </w:num>
  <w:num w:numId="28">
    <w:abstractNumId w:val="23"/>
  </w:num>
  <w:num w:numId="29">
    <w:abstractNumId w:val="23"/>
  </w:num>
  <w:num w:numId="30">
    <w:abstractNumId w:val="8"/>
  </w:num>
  <w:num w:numId="31">
    <w:abstractNumId w:val="6"/>
  </w:num>
  <w:num w:numId="32">
    <w:abstractNumId w:val="16"/>
  </w:num>
  <w:num w:numId="33">
    <w:abstractNumId w:val="1"/>
  </w:num>
  <w:num w:numId="34">
    <w:abstractNumId w:val="4"/>
  </w:num>
  <w:num w:numId="3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53D"/>
    <w:rsid w:val="00001D77"/>
    <w:rsid w:val="00001D87"/>
    <w:rsid w:val="00002DE0"/>
    <w:rsid w:val="000036FE"/>
    <w:rsid w:val="00004509"/>
    <w:rsid w:val="00004BD4"/>
    <w:rsid w:val="00004C76"/>
    <w:rsid w:val="0000557E"/>
    <w:rsid w:val="000055A4"/>
    <w:rsid w:val="0000563D"/>
    <w:rsid w:val="00005A5A"/>
    <w:rsid w:val="00006107"/>
    <w:rsid w:val="000062D8"/>
    <w:rsid w:val="00006B98"/>
    <w:rsid w:val="00006BD9"/>
    <w:rsid w:val="00007BE0"/>
    <w:rsid w:val="00010048"/>
    <w:rsid w:val="000103C4"/>
    <w:rsid w:val="0001070F"/>
    <w:rsid w:val="00010B2D"/>
    <w:rsid w:val="00010DCB"/>
    <w:rsid w:val="00010F5D"/>
    <w:rsid w:val="00011030"/>
    <w:rsid w:val="00011C2E"/>
    <w:rsid w:val="00011CAE"/>
    <w:rsid w:val="00011DFD"/>
    <w:rsid w:val="000122D9"/>
    <w:rsid w:val="000128AA"/>
    <w:rsid w:val="00012B44"/>
    <w:rsid w:val="00012BB1"/>
    <w:rsid w:val="0001360B"/>
    <w:rsid w:val="00013613"/>
    <w:rsid w:val="000150E7"/>
    <w:rsid w:val="00016686"/>
    <w:rsid w:val="00016C13"/>
    <w:rsid w:val="00020181"/>
    <w:rsid w:val="000204FE"/>
    <w:rsid w:val="00020567"/>
    <w:rsid w:val="00021E35"/>
    <w:rsid w:val="00022027"/>
    <w:rsid w:val="00022724"/>
    <w:rsid w:val="000228E6"/>
    <w:rsid w:val="00022AB7"/>
    <w:rsid w:val="00022B25"/>
    <w:rsid w:val="000230DC"/>
    <w:rsid w:val="00023A22"/>
    <w:rsid w:val="00024695"/>
    <w:rsid w:val="00025CCE"/>
    <w:rsid w:val="00026462"/>
    <w:rsid w:val="00026D79"/>
    <w:rsid w:val="00026EA6"/>
    <w:rsid w:val="000275F2"/>
    <w:rsid w:val="00027D94"/>
    <w:rsid w:val="000300E6"/>
    <w:rsid w:val="000301C5"/>
    <w:rsid w:val="0003042F"/>
    <w:rsid w:val="00030A12"/>
    <w:rsid w:val="00030D3A"/>
    <w:rsid w:val="00030F2B"/>
    <w:rsid w:val="0003117B"/>
    <w:rsid w:val="00031DB0"/>
    <w:rsid w:val="00032E2B"/>
    <w:rsid w:val="00033111"/>
    <w:rsid w:val="000337DD"/>
    <w:rsid w:val="000344F7"/>
    <w:rsid w:val="00035613"/>
    <w:rsid w:val="00035D0A"/>
    <w:rsid w:val="00037A05"/>
    <w:rsid w:val="00040957"/>
    <w:rsid w:val="00041374"/>
    <w:rsid w:val="00042055"/>
    <w:rsid w:val="000424F7"/>
    <w:rsid w:val="00042507"/>
    <w:rsid w:val="0004262B"/>
    <w:rsid w:val="00042BD7"/>
    <w:rsid w:val="00042FF9"/>
    <w:rsid w:val="00043272"/>
    <w:rsid w:val="000434CD"/>
    <w:rsid w:val="00043A88"/>
    <w:rsid w:val="000448F2"/>
    <w:rsid w:val="00045112"/>
    <w:rsid w:val="00045719"/>
    <w:rsid w:val="00045C6B"/>
    <w:rsid w:val="00046007"/>
    <w:rsid w:val="00046271"/>
    <w:rsid w:val="00046A93"/>
    <w:rsid w:val="00046C09"/>
    <w:rsid w:val="00047CBC"/>
    <w:rsid w:val="00047D16"/>
    <w:rsid w:val="00047DF5"/>
    <w:rsid w:val="00047E03"/>
    <w:rsid w:val="00050511"/>
    <w:rsid w:val="00050C23"/>
    <w:rsid w:val="00051133"/>
    <w:rsid w:val="00052403"/>
    <w:rsid w:val="0005266A"/>
    <w:rsid w:val="000536FD"/>
    <w:rsid w:val="00053C72"/>
    <w:rsid w:val="000544F9"/>
    <w:rsid w:val="000549F3"/>
    <w:rsid w:val="00055237"/>
    <w:rsid w:val="0005622F"/>
    <w:rsid w:val="00056ACB"/>
    <w:rsid w:val="00056CBE"/>
    <w:rsid w:val="00057608"/>
    <w:rsid w:val="00057B99"/>
    <w:rsid w:val="00057BE1"/>
    <w:rsid w:val="00060225"/>
    <w:rsid w:val="000604F4"/>
    <w:rsid w:val="0006079D"/>
    <w:rsid w:val="00060BF4"/>
    <w:rsid w:val="0006267A"/>
    <w:rsid w:val="00062CCB"/>
    <w:rsid w:val="00062DA6"/>
    <w:rsid w:val="00063D75"/>
    <w:rsid w:val="000640E6"/>
    <w:rsid w:val="000646FB"/>
    <w:rsid w:val="0006478A"/>
    <w:rsid w:val="00065380"/>
    <w:rsid w:val="000654E5"/>
    <w:rsid w:val="00065C91"/>
    <w:rsid w:val="000660B7"/>
    <w:rsid w:val="000670F4"/>
    <w:rsid w:val="00067611"/>
    <w:rsid w:val="000678FF"/>
    <w:rsid w:val="00070515"/>
    <w:rsid w:val="00071468"/>
    <w:rsid w:val="000717AB"/>
    <w:rsid w:val="000728BE"/>
    <w:rsid w:val="000728E2"/>
    <w:rsid w:val="00072E0C"/>
    <w:rsid w:val="0007320D"/>
    <w:rsid w:val="00073F5D"/>
    <w:rsid w:val="00073F8B"/>
    <w:rsid w:val="000740D6"/>
    <w:rsid w:val="00074F5B"/>
    <w:rsid w:val="0007521D"/>
    <w:rsid w:val="000754C4"/>
    <w:rsid w:val="00075D2D"/>
    <w:rsid w:val="00075D94"/>
    <w:rsid w:val="000766BD"/>
    <w:rsid w:val="0007684A"/>
    <w:rsid w:val="000768C4"/>
    <w:rsid w:val="00076C61"/>
    <w:rsid w:val="000804CB"/>
    <w:rsid w:val="00080650"/>
    <w:rsid w:val="00080E92"/>
    <w:rsid w:val="00081834"/>
    <w:rsid w:val="0008213C"/>
    <w:rsid w:val="00082BCE"/>
    <w:rsid w:val="000836AF"/>
    <w:rsid w:val="00083807"/>
    <w:rsid w:val="0008390E"/>
    <w:rsid w:val="00084142"/>
    <w:rsid w:val="000841A9"/>
    <w:rsid w:val="000841C3"/>
    <w:rsid w:val="000844A8"/>
    <w:rsid w:val="0008460F"/>
    <w:rsid w:val="000846F6"/>
    <w:rsid w:val="00084BE5"/>
    <w:rsid w:val="00084F97"/>
    <w:rsid w:val="000852AC"/>
    <w:rsid w:val="0008585A"/>
    <w:rsid w:val="00085C4D"/>
    <w:rsid w:val="00085DC0"/>
    <w:rsid w:val="00085DE5"/>
    <w:rsid w:val="00085F0A"/>
    <w:rsid w:val="0008698B"/>
    <w:rsid w:val="00086CF6"/>
    <w:rsid w:val="00086F9C"/>
    <w:rsid w:val="00087B24"/>
    <w:rsid w:val="00090223"/>
    <w:rsid w:val="000902B2"/>
    <w:rsid w:val="0009064D"/>
    <w:rsid w:val="00090B97"/>
    <w:rsid w:val="0009106A"/>
    <w:rsid w:val="000910E0"/>
    <w:rsid w:val="0009179D"/>
    <w:rsid w:val="00091A1E"/>
    <w:rsid w:val="00091F91"/>
    <w:rsid w:val="0009388A"/>
    <w:rsid w:val="000942C8"/>
    <w:rsid w:val="000944C8"/>
    <w:rsid w:val="00094E99"/>
    <w:rsid w:val="00094F44"/>
    <w:rsid w:val="00095547"/>
    <w:rsid w:val="0009586B"/>
    <w:rsid w:val="000958E7"/>
    <w:rsid w:val="000961BC"/>
    <w:rsid w:val="00096747"/>
    <w:rsid w:val="000971D0"/>
    <w:rsid w:val="000972B9"/>
    <w:rsid w:val="00097AD6"/>
    <w:rsid w:val="00097B2F"/>
    <w:rsid w:val="00097BB5"/>
    <w:rsid w:val="000A019F"/>
    <w:rsid w:val="000A0339"/>
    <w:rsid w:val="000A053B"/>
    <w:rsid w:val="000A095C"/>
    <w:rsid w:val="000A0984"/>
    <w:rsid w:val="000A0CBB"/>
    <w:rsid w:val="000A0FB2"/>
    <w:rsid w:val="000A12DF"/>
    <w:rsid w:val="000A191C"/>
    <w:rsid w:val="000A1B83"/>
    <w:rsid w:val="000A2186"/>
    <w:rsid w:val="000A2F22"/>
    <w:rsid w:val="000A321D"/>
    <w:rsid w:val="000A35A1"/>
    <w:rsid w:val="000A447E"/>
    <w:rsid w:val="000A4799"/>
    <w:rsid w:val="000A4DEA"/>
    <w:rsid w:val="000A53AE"/>
    <w:rsid w:val="000A56FB"/>
    <w:rsid w:val="000A5CB1"/>
    <w:rsid w:val="000A5DF6"/>
    <w:rsid w:val="000A6685"/>
    <w:rsid w:val="000A6E33"/>
    <w:rsid w:val="000A7827"/>
    <w:rsid w:val="000A7C28"/>
    <w:rsid w:val="000B00B7"/>
    <w:rsid w:val="000B00E3"/>
    <w:rsid w:val="000B0292"/>
    <w:rsid w:val="000B047C"/>
    <w:rsid w:val="000B0683"/>
    <w:rsid w:val="000B0762"/>
    <w:rsid w:val="000B1AA1"/>
    <w:rsid w:val="000B1E8A"/>
    <w:rsid w:val="000B2082"/>
    <w:rsid w:val="000B2632"/>
    <w:rsid w:val="000B2AF8"/>
    <w:rsid w:val="000B3F05"/>
    <w:rsid w:val="000B4B0F"/>
    <w:rsid w:val="000B4F67"/>
    <w:rsid w:val="000B50E9"/>
    <w:rsid w:val="000B50FC"/>
    <w:rsid w:val="000B53EB"/>
    <w:rsid w:val="000B54D1"/>
    <w:rsid w:val="000B5E0D"/>
    <w:rsid w:val="000B6504"/>
    <w:rsid w:val="000B6CC5"/>
    <w:rsid w:val="000B6EEF"/>
    <w:rsid w:val="000B761F"/>
    <w:rsid w:val="000B7BB6"/>
    <w:rsid w:val="000C0405"/>
    <w:rsid w:val="000C0832"/>
    <w:rsid w:val="000C0935"/>
    <w:rsid w:val="000C0B6D"/>
    <w:rsid w:val="000C1020"/>
    <w:rsid w:val="000C17F9"/>
    <w:rsid w:val="000C2386"/>
    <w:rsid w:val="000C240A"/>
    <w:rsid w:val="000C243C"/>
    <w:rsid w:val="000C2B91"/>
    <w:rsid w:val="000C2BAC"/>
    <w:rsid w:val="000C3E98"/>
    <w:rsid w:val="000C404A"/>
    <w:rsid w:val="000C4B22"/>
    <w:rsid w:val="000C5231"/>
    <w:rsid w:val="000C558A"/>
    <w:rsid w:val="000C57B9"/>
    <w:rsid w:val="000C57C1"/>
    <w:rsid w:val="000C5922"/>
    <w:rsid w:val="000C5952"/>
    <w:rsid w:val="000C5FE7"/>
    <w:rsid w:val="000C6F21"/>
    <w:rsid w:val="000C7F0B"/>
    <w:rsid w:val="000D011C"/>
    <w:rsid w:val="000D0187"/>
    <w:rsid w:val="000D06DE"/>
    <w:rsid w:val="000D154F"/>
    <w:rsid w:val="000D168C"/>
    <w:rsid w:val="000D1E93"/>
    <w:rsid w:val="000D210D"/>
    <w:rsid w:val="000D2202"/>
    <w:rsid w:val="000D2287"/>
    <w:rsid w:val="000D308F"/>
    <w:rsid w:val="000D30D8"/>
    <w:rsid w:val="000D33F3"/>
    <w:rsid w:val="000D4100"/>
    <w:rsid w:val="000D4C0D"/>
    <w:rsid w:val="000D572E"/>
    <w:rsid w:val="000D593A"/>
    <w:rsid w:val="000D5C19"/>
    <w:rsid w:val="000D75BF"/>
    <w:rsid w:val="000E058B"/>
    <w:rsid w:val="000E0CE7"/>
    <w:rsid w:val="000E12A1"/>
    <w:rsid w:val="000E25FA"/>
    <w:rsid w:val="000E2633"/>
    <w:rsid w:val="000E2640"/>
    <w:rsid w:val="000E3A08"/>
    <w:rsid w:val="000E3E3A"/>
    <w:rsid w:val="000E3F54"/>
    <w:rsid w:val="000E3FC9"/>
    <w:rsid w:val="000E57FE"/>
    <w:rsid w:val="000E67BC"/>
    <w:rsid w:val="000E7D1D"/>
    <w:rsid w:val="000E7FD4"/>
    <w:rsid w:val="000F01DC"/>
    <w:rsid w:val="000F0237"/>
    <w:rsid w:val="000F026C"/>
    <w:rsid w:val="000F0402"/>
    <w:rsid w:val="000F0BCE"/>
    <w:rsid w:val="000F0F95"/>
    <w:rsid w:val="000F1178"/>
    <w:rsid w:val="000F1305"/>
    <w:rsid w:val="000F2162"/>
    <w:rsid w:val="000F3C82"/>
    <w:rsid w:val="000F4519"/>
    <w:rsid w:val="000F5981"/>
    <w:rsid w:val="000F60D1"/>
    <w:rsid w:val="000F62A9"/>
    <w:rsid w:val="00100311"/>
    <w:rsid w:val="00100E58"/>
    <w:rsid w:val="0010109B"/>
    <w:rsid w:val="0010112A"/>
    <w:rsid w:val="001011B3"/>
    <w:rsid w:val="00101CED"/>
    <w:rsid w:val="00101DC4"/>
    <w:rsid w:val="001025EE"/>
    <w:rsid w:val="0010290E"/>
    <w:rsid w:val="00102C87"/>
    <w:rsid w:val="0010321A"/>
    <w:rsid w:val="001046CE"/>
    <w:rsid w:val="001049D6"/>
    <w:rsid w:val="00105088"/>
    <w:rsid w:val="001053DC"/>
    <w:rsid w:val="001056E3"/>
    <w:rsid w:val="00105C6C"/>
    <w:rsid w:val="00105DC5"/>
    <w:rsid w:val="00105F59"/>
    <w:rsid w:val="0010618D"/>
    <w:rsid w:val="00107CFB"/>
    <w:rsid w:val="00111328"/>
    <w:rsid w:val="00111430"/>
    <w:rsid w:val="001116FF"/>
    <w:rsid w:val="0011188B"/>
    <w:rsid w:val="00112096"/>
    <w:rsid w:val="0011239F"/>
    <w:rsid w:val="001128C8"/>
    <w:rsid w:val="00113097"/>
    <w:rsid w:val="001136B5"/>
    <w:rsid w:val="00113B7F"/>
    <w:rsid w:val="00113EAD"/>
    <w:rsid w:val="0011585E"/>
    <w:rsid w:val="00115C2A"/>
    <w:rsid w:val="001169D2"/>
    <w:rsid w:val="00117307"/>
    <w:rsid w:val="001178B9"/>
    <w:rsid w:val="00117EED"/>
    <w:rsid w:val="00120F46"/>
    <w:rsid w:val="001214B6"/>
    <w:rsid w:val="001215F7"/>
    <w:rsid w:val="001221C8"/>
    <w:rsid w:val="001221EB"/>
    <w:rsid w:val="00122506"/>
    <w:rsid w:val="001235CC"/>
    <w:rsid w:val="001243F8"/>
    <w:rsid w:val="00124E5A"/>
    <w:rsid w:val="0012537E"/>
    <w:rsid w:val="00125E8A"/>
    <w:rsid w:val="00125F61"/>
    <w:rsid w:val="00127133"/>
    <w:rsid w:val="00130384"/>
    <w:rsid w:val="00130624"/>
    <w:rsid w:val="001306D2"/>
    <w:rsid w:val="0013082E"/>
    <w:rsid w:val="001311B8"/>
    <w:rsid w:val="0013163F"/>
    <w:rsid w:val="0013206F"/>
    <w:rsid w:val="001326D1"/>
    <w:rsid w:val="00132908"/>
    <w:rsid w:val="00132949"/>
    <w:rsid w:val="00132E3E"/>
    <w:rsid w:val="001333B3"/>
    <w:rsid w:val="001342B5"/>
    <w:rsid w:val="0013504E"/>
    <w:rsid w:val="0013613E"/>
    <w:rsid w:val="00136486"/>
    <w:rsid w:val="00136629"/>
    <w:rsid w:val="00136DCF"/>
    <w:rsid w:val="0013739A"/>
    <w:rsid w:val="00137483"/>
    <w:rsid w:val="0013769F"/>
    <w:rsid w:val="00137F0A"/>
    <w:rsid w:val="00140766"/>
    <w:rsid w:val="0014439C"/>
    <w:rsid w:val="00144D5B"/>
    <w:rsid w:val="001453E6"/>
    <w:rsid w:val="00146A7C"/>
    <w:rsid w:val="00147B34"/>
    <w:rsid w:val="00150B1C"/>
    <w:rsid w:val="00150D8E"/>
    <w:rsid w:val="00150DC6"/>
    <w:rsid w:val="001510BF"/>
    <w:rsid w:val="00151102"/>
    <w:rsid w:val="001519BF"/>
    <w:rsid w:val="00152205"/>
    <w:rsid w:val="0015255C"/>
    <w:rsid w:val="001529A1"/>
    <w:rsid w:val="00152C05"/>
    <w:rsid w:val="00153F5F"/>
    <w:rsid w:val="00153FE8"/>
    <w:rsid w:val="0015414B"/>
    <w:rsid w:val="00155442"/>
    <w:rsid w:val="00155A51"/>
    <w:rsid w:val="00155EBD"/>
    <w:rsid w:val="00155F8B"/>
    <w:rsid w:val="00156821"/>
    <w:rsid w:val="00157283"/>
    <w:rsid w:val="00157603"/>
    <w:rsid w:val="001578B5"/>
    <w:rsid w:val="00157BC1"/>
    <w:rsid w:val="00157FB0"/>
    <w:rsid w:val="001607C6"/>
    <w:rsid w:val="00161C47"/>
    <w:rsid w:val="00162419"/>
    <w:rsid w:val="00162C96"/>
    <w:rsid w:val="00163106"/>
    <w:rsid w:val="001632C9"/>
    <w:rsid w:val="001632D2"/>
    <w:rsid w:val="001636DC"/>
    <w:rsid w:val="00164C34"/>
    <w:rsid w:val="00165289"/>
    <w:rsid w:val="0016573E"/>
    <w:rsid w:val="001657A9"/>
    <w:rsid w:val="00165DE0"/>
    <w:rsid w:val="0016608D"/>
    <w:rsid w:val="001663BC"/>
    <w:rsid w:val="00166434"/>
    <w:rsid w:val="00166B62"/>
    <w:rsid w:val="0016705D"/>
    <w:rsid w:val="0016718B"/>
    <w:rsid w:val="001675BC"/>
    <w:rsid w:val="001714BD"/>
    <w:rsid w:val="0017162B"/>
    <w:rsid w:val="00172658"/>
    <w:rsid w:val="0017265C"/>
    <w:rsid w:val="001726FA"/>
    <w:rsid w:val="0017294F"/>
    <w:rsid w:val="00172AC2"/>
    <w:rsid w:val="00172B52"/>
    <w:rsid w:val="00172BB3"/>
    <w:rsid w:val="00173BEF"/>
    <w:rsid w:val="00174401"/>
    <w:rsid w:val="00174E05"/>
    <w:rsid w:val="00175B02"/>
    <w:rsid w:val="001765B9"/>
    <w:rsid w:val="001766C0"/>
    <w:rsid w:val="001767CB"/>
    <w:rsid w:val="00176E99"/>
    <w:rsid w:val="00177524"/>
    <w:rsid w:val="00177689"/>
    <w:rsid w:val="001807DC"/>
    <w:rsid w:val="00180DA3"/>
    <w:rsid w:val="00180E9A"/>
    <w:rsid w:val="00181522"/>
    <w:rsid w:val="00181EE8"/>
    <w:rsid w:val="00182046"/>
    <w:rsid w:val="0018244E"/>
    <w:rsid w:val="001837FA"/>
    <w:rsid w:val="00183DF0"/>
    <w:rsid w:val="001845F7"/>
    <w:rsid w:val="00185113"/>
    <w:rsid w:val="00185C7F"/>
    <w:rsid w:val="00185D70"/>
    <w:rsid w:val="0018678A"/>
    <w:rsid w:val="00187E36"/>
    <w:rsid w:val="00187F18"/>
    <w:rsid w:val="00190581"/>
    <w:rsid w:val="00190E0D"/>
    <w:rsid w:val="001911A2"/>
    <w:rsid w:val="001929AC"/>
    <w:rsid w:val="00193728"/>
    <w:rsid w:val="001945D1"/>
    <w:rsid w:val="00194630"/>
    <w:rsid w:val="00196FFA"/>
    <w:rsid w:val="001972AD"/>
    <w:rsid w:val="0019777D"/>
    <w:rsid w:val="00197D17"/>
    <w:rsid w:val="001A00F0"/>
    <w:rsid w:val="001A0484"/>
    <w:rsid w:val="001A0D01"/>
    <w:rsid w:val="001A1081"/>
    <w:rsid w:val="001A1300"/>
    <w:rsid w:val="001A2972"/>
    <w:rsid w:val="001A2D9C"/>
    <w:rsid w:val="001A3517"/>
    <w:rsid w:val="001A3FCE"/>
    <w:rsid w:val="001A4636"/>
    <w:rsid w:val="001A47D0"/>
    <w:rsid w:val="001A4DA8"/>
    <w:rsid w:val="001A5DAE"/>
    <w:rsid w:val="001A6371"/>
    <w:rsid w:val="001A6C68"/>
    <w:rsid w:val="001A6DE4"/>
    <w:rsid w:val="001A6F4D"/>
    <w:rsid w:val="001A74E6"/>
    <w:rsid w:val="001B0197"/>
    <w:rsid w:val="001B0F76"/>
    <w:rsid w:val="001B184B"/>
    <w:rsid w:val="001B1E86"/>
    <w:rsid w:val="001B34A3"/>
    <w:rsid w:val="001B48B5"/>
    <w:rsid w:val="001B49FE"/>
    <w:rsid w:val="001B4CDD"/>
    <w:rsid w:val="001B6671"/>
    <w:rsid w:val="001B6CED"/>
    <w:rsid w:val="001B71A3"/>
    <w:rsid w:val="001B78C2"/>
    <w:rsid w:val="001C02F8"/>
    <w:rsid w:val="001C0419"/>
    <w:rsid w:val="001C05FA"/>
    <w:rsid w:val="001C0B83"/>
    <w:rsid w:val="001C0EA7"/>
    <w:rsid w:val="001C0FC5"/>
    <w:rsid w:val="001C4477"/>
    <w:rsid w:val="001C452D"/>
    <w:rsid w:val="001C4810"/>
    <w:rsid w:val="001C4DCA"/>
    <w:rsid w:val="001C5558"/>
    <w:rsid w:val="001C5DC6"/>
    <w:rsid w:val="001C6032"/>
    <w:rsid w:val="001C652C"/>
    <w:rsid w:val="001C68C3"/>
    <w:rsid w:val="001C6E0D"/>
    <w:rsid w:val="001C721E"/>
    <w:rsid w:val="001C7F0D"/>
    <w:rsid w:val="001D00FB"/>
    <w:rsid w:val="001D0DB3"/>
    <w:rsid w:val="001D13CD"/>
    <w:rsid w:val="001D2A82"/>
    <w:rsid w:val="001D2D78"/>
    <w:rsid w:val="001D3566"/>
    <w:rsid w:val="001D3D6A"/>
    <w:rsid w:val="001D4BC9"/>
    <w:rsid w:val="001D4DF8"/>
    <w:rsid w:val="001D50DC"/>
    <w:rsid w:val="001D5B3D"/>
    <w:rsid w:val="001D5B6E"/>
    <w:rsid w:val="001D5C0D"/>
    <w:rsid w:val="001D6B1C"/>
    <w:rsid w:val="001D7203"/>
    <w:rsid w:val="001D74CB"/>
    <w:rsid w:val="001D76E9"/>
    <w:rsid w:val="001D7F2A"/>
    <w:rsid w:val="001E044B"/>
    <w:rsid w:val="001E047B"/>
    <w:rsid w:val="001E0D54"/>
    <w:rsid w:val="001E12A2"/>
    <w:rsid w:val="001E1A95"/>
    <w:rsid w:val="001E1D95"/>
    <w:rsid w:val="001E2086"/>
    <w:rsid w:val="001E26BD"/>
    <w:rsid w:val="001E2714"/>
    <w:rsid w:val="001E2E0F"/>
    <w:rsid w:val="001E3224"/>
    <w:rsid w:val="001E3428"/>
    <w:rsid w:val="001E35CA"/>
    <w:rsid w:val="001E365F"/>
    <w:rsid w:val="001E3944"/>
    <w:rsid w:val="001E4018"/>
    <w:rsid w:val="001E419E"/>
    <w:rsid w:val="001E52BD"/>
    <w:rsid w:val="001E555A"/>
    <w:rsid w:val="001E6C06"/>
    <w:rsid w:val="001E6C1C"/>
    <w:rsid w:val="001F0849"/>
    <w:rsid w:val="001F0CDE"/>
    <w:rsid w:val="001F10C1"/>
    <w:rsid w:val="001F1432"/>
    <w:rsid w:val="001F2257"/>
    <w:rsid w:val="001F2433"/>
    <w:rsid w:val="001F2572"/>
    <w:rsid w:val="001F2D8A"/>
    <w:rsid w:val="001F347E"/>
    <w:rsid w:val="001F36EF"/>
    <w:rsid w:val="001F3ACE"/>
    <w:rsid w:val="001F4138"/>
    <w:rsid w:val="001F5AE5"/>
    <w:rsid w:val="001F5AFD"/>
    <w:rsid w:val="001F62AA"/>
    <w:rsid w:val="001F632C"/>
    <w:rsid w:val="001F63F6"/>
    <w:rsid w:val="001F70E3"/>
    <w:rsid w:val="001F7C01"/>
    <w:rsid w:val="002006CC"/>
    <w:rsid w:val="00200B26"/>
    <w:rsid w:val="00200DF8"/>
    <w:rsid w:val="00201890"/>
    <w:rsid w:val="002021D6"/>
    <w:rsid w:val="00202BC2"/>
    <w:rsid w:val="002034CC"/>
    <w:rsid w:val="00203B96"/>
    <w:rsid w:val="00204857"/>
    <w:rsid w:val="00204F6E"/>
    <w:rsid w:val="00205484"/>
    <w:rsid w:val="00205609"/>
    <w:rsid w:val="002056D2"/>
    <w:rsid w:val="00205B03"/>
    <w:rsid w:val="00205F20"/>
    <w:rsid w:val="00206156"/>
    <w:rsid w:val="002064C2"/>
    <w:rsid w:val="00206722"/>
    <w:rsid w:val="00206F4B"/>
    <w:rsid w:val="0020700B"/>
    <w:rsid w:val="0020737A"/>
    <w:rsid w:val="00207BE8"/>
    <w:rsid w:val="002104DA"/>
    <w:rsid w:val="00211278"/>
    <w:rsid w:val="002112E1"/>
    <w:rsid w:val="00211E2C"/>
    <w:rsid w:val="002124D3"/>
    <w:rsid w:val="002137A8"/>
    <w:rsid w:val="00213E75"/>
    <w:rsid w:val="00214980"/>
    <w:rsid w:val="00214DCE"/>
    <w:rsid w:val="0021579B"/>
    <w:rsid w:val="002158B5"/>
    <w:rsid w:val="00215CEC"/>
    <w:rsid w:val="00215EE0"/>
    <w:rsid w:val="00216186"/>
    <w:rsid w:val="0021621C"/>
    <w:rsid w:val="002167DB"/>
    <w:rsid w:val="0022072E"/>
    <w:rsid w:val="0022076C"/>
    <w:rsid w:val="00220BFD"/>
    <w:rsid w:val="0022136E"/>
    <w:rsid w:val="002213CE"/>
    <w:rsid w:val="00221BCF"/>
    <w:rsid w:val="002225F4"/>
    <w:rsid w:val="00222696"/>
    <w:rsid w:val="002226E4"/>
    <w:rsid w:val="00222D11"/>
    <w:rsid w:val="0022345A"/>
    <w:rsid w:val="00223937"/>
    <w:rsid w:val="00223D7B"/>
    <w:rsid w:val="00224786"/>
    <w:rsid w:val="0022500B"/>
    <w:rsid w:val="002251B3"/>
    <w:rsid w:val="00225358"/>
    <w:rsid w:val="0022565E"/>
    <w:rsid w:val="00225760"/>
    <w:rsid w:val="002257FC"/>
    <w:rsid w:val="00225A82"/>
    <w:rsid w:val="00225B36"/>
    <w:rsid w:val="00226065"/>
    <w:rsid w:val="00226344"/>
    <w:rsid w:val="00226B1F"/>
    <w:rsid w:val="00226DE2"/>
    <w:rsid w:val="00230302"/>
    <w:rsid w:val="0023031D"/>
    <w:rsid w:val="00231D0C"/>
    <w:rsid w:val="00232018"/>
    <w:rsid w:val="00232C6C"/>
    <w:rsid w:val="00232FF4"/>
    <w:rsid w:val="0023360D"/>
    <w:rsid w:val="00233BE1"/>
    <w:rsid w:val="0023406E"/>
    <w:rsid w:val="00234E83"/>
    <w:rsid w:val="00235213"/>
    <w:rsid w:val="00236191"/>
    <w:rsid w:val="002367E7"/>
    <w:rsid w:val="00236A86"/>
    <w:rsid w:val="00237795"/>
    <w:rsid w:val="00237ABD"/>
    <w:rsid w:val="00237CF7"/>
    <w:rsid w:val="0024083F"/>
    <w:rsid w:val="00241699"/>
    <w:rsid w:val="00241D2A"/>
    <w:rsid w:val="00241DE4"/>
    <w:rsid w:val="002424C0"/>
    <w:rsid w:val="00242757"/>
    <w:rsid w:val="002431DB"/>
    <w:rsid w:val="002433C5"/>
    <w:rsid w:val="00243E49"/>
    <w:rsid w:val="00243F14"/>
    <w:rsid w:val="00243F38"/>
    <w:rsid w:val="0024484E"/>
    <w:rsid w:val="00244D87"/>
    <w:rsid w:val="00245801"/>
    <w:rsid w:val="002461A1"/>
    <w:rsid w:val="00247724"/>
    <w:rsid w:val="002509DF"/>
    <w:rsid w:val="0025127E"/>
    <w:rsid w:val="00251443"/>
    <w:rsid w:val="00251CF6"/>
    <w:rsid w:val="00251ED4"/>
    <w:rsid w:val="00252CD2"/>
    <w:rsid w:val="00253367"/>
    <w:rsid w:val="00253445"/>
    <w:rsid w:val="00253FCB"/>
    <w:rsid w:val="00254178"/>
    <w:rsid w:val="00254469"/>
    <w:rsid w:val="0025447E"/>
    <w:rsid w:val="002544CE"/>
    <w:rsid w:val="002544FB"/>
    <w:rsid w:val="00254F73"/>
    <w:rsid w:val="0025503E"/>
    <w:rsid w:val="0025564E"/>
    <w:rsid w:val="0025574D"/>
    <w:rsid w:val="00255FB8"/>
    <w:rsid w:val="00256321"/>
    <w:rsid w:val="00256770"/>
    <w:rsid w:val="00256DD1"/>
    <w:rsid w:val="00256EBB"/>
    <w:rsid w:val="0026091B"/>
    <w:rsid w:val="00260CD5"/>
    <w:rsid w:val="002618E1"/>
    <w:rsid w:val="00261CCE"/>
    <w:rsid w:val="00261F4F"/>
    <w:rsid w:val="00262F7B"/>
    <w:rsid w:val="0026307F"/>
    <w:rsid w:val="0026423D"/>
    <w:rsid w:val="00264AEC"/>
    <w:rsid w:val="002652DB"/>
    <w:rsid w:val="002658EF"/>
    <w:rsid w:val="00265F02"/>
    <w:rsid w:val="002666A6"/>
    <w:rsid w:val="0026740A"/>
    <w:rsid w:val="002674CB"/>
    <w:rsid w:val="002679A6"/>
    <w:rsid w:val="0027039F"/>
    <w:rsid w:val="00271529"/>
    <w:rsid w:val="00271AE9"/>
    <w:rsid w:val="00271F95"/>
    <w:rsid w:val="00272AE5"/>
    <w:rsid w:val="00272B4A"/>
    <w:rsid w:val="002730E7"/>
    <w:rsid w:val="0027361D"/>
    <w:rsid w:val="00273E23"/>
    <w:rsid w:val="002740C2"/>
    <w:rsid w:val="00274363"/>
    <w:rsid w:val="002743BB"/>
    <w:rsid w:val="00276BA0"/>
    <w:rsid w:val="00277AAB"/>
    <w:rsid w:val="002802E0"/>
    <w:rsid w:val="0028099F"/>
    <w:rsid w:val="002811CE"/>
    <w:rsid w:val="0028166A"/>
    <w:rsid w:val="00281CE6"/>
    <w:rsid w:val="00281F11"/>
    <w:rsid w:val="00282978"/>
    <w:rsid w:val="00282B14"/>
    <w:rsid w:val="00283C03"/>
    <w:rsid w:val="00284647"/>
    <w:rsid w:val="0028465B"/>
    <w:rsid w:val="002847B1"/>
    <w:rsid w:val="00285AFA"/>
    <w:rsid w:val="002862BE"/>
    <w:rsid w:val="00286506"/>
    <w:rsid w:val="00286C16"/>
    <w:rsid w:val="00287A5E"/>
    <w:rsid w:val="00287E25"/>
    <w:rsid w:val="00287E3D"/>
    <w:rsid w:val="002908AF"/>
    <w:rsid w:val="0029139F"/>
    <w:rsid w:val="002920D5"/>
    <w:rsid w:val="00292764"/>
    <w:rsid w:val="002929EA"/>
    <w:rsid w:val="002940C5"/>
    <w:rsid w:val="00294A8B"/>
    <w:rsid w:val="00294E36"/>
    <w:rsid w:val="00294E5B"/>
    <w:rsid w:val="00295281"/>
    <w:rsid w:val="0029540F"/>
    <w:rsid w:val="00295710"/>
    <w:rsid w:val="00295801"/>
    <w:rsid w:val="002958B9"/>
    <w:rsid w:val="002958F3"/>
    <w:rsid w:val="00295D8E"/>
    <w:rsid w:val="00295DA4"/>
    <w:rsid w:val="00296022"/>
    <w:rsid w:val="0029751C"/>
    <w:rsid w:val="002979BF"/>
    <w:rsid w:val="002A04C5"/>
    <w:rsid w:val="002A08F5"/>
    <w:rsid w:val="002A0F07"/>
    <w:rsid w:val="002A108B"/>
    <w:rsid w:val="002A1169"/>
    <w:rsid w:val="002A1519"/>
    <w:rsid w:val="002A17D9"/>
    <w:rsid w:val="002A2448"/>
    <w:rsid w:val="002A24A8"/>
    <w:rsid w:val="002A33A3"/>
    <w:rsid w:val="002A4CB0"/>
    <w:rsid w:val="002A557E"/>
    <w:rsid w:val="002A5638"/>
    <w:rsid w:val="002A6381"/>
    <w:rsid w:val="002A7171"/>
    <w:rsid w:val="002A7256"/>
    <w:rsid w:val="002A750F"/>
    <w:rsid w:val="002A77C0"/>
    <w:rsid w:val="002A7A8D"/>
    <w:rsid w:val="002A7ADC"/>
    <w:rsid w:val="002A7BE9"/>
    <w:rsid w:val="002B076C"/>
    <w:rsid w:val="002B103B"/>
    <w:rsid w:val="002B152E"/>
    <w:rsid w:val="002B1E0E"/>
    <w:rsid w:val="002B2414"/>
    <w:rsid w:val="002B2416"/>
    <w:rsid w:val="002B263A"/>
    <w:rsid w:val="002B285D"/>
    <w:rsid w:val="002B2C72"/>
    <w:rsid w:val="002B2D06"/>
    <w:rsid w:val="002B2E4D"/>
    <w:rsid w:val="002B302C"/>
    <w:rsid w:val="002B3093"/>
    <w:rsid w:val="002B398C"/>
    <w:rsid w:val="002B3F89"/>
    <w:rsid w:val="002B41B3"/>
    <w:rsid w:val="002B4268"/>
    <w:rsid w:val="002B442D"/>
    <w:rsid w:val="002B44E7"/>
    <w:rsid w:val="002B4FCF"/>
    <w:rsid w:val="002B5DAB"/>
    <w:rsid w:val="002B6375"/>
    <w:rsid w:val="002B6A79"/>
    <w:rsid w:val="002B6DF3"/>
    <w:rsid w:val="002B7E04"/>
    <w:rsid w:val="002C081D"/>
    <w:rsid w:val="002C1A39"/>
    <w:rsid w:val="002C1AC0"/>
    <w:rsid w:val="002C1D76"/>
    <w:rsid w:val="002C1F7F"/>
    <w:rsid w:val="002C215C"/>
    <w:rsid w:val="002C22A7"/>
    <w:rsid w:val="002C26BF"/>
    <w:rsid w:val="002C29A9"/>
    <w:rsid w:val="002C3591"/>
    <w:rsid w:val="002C4248"/>
    <w:rsid w:val="002C43C6"/>
    <w:rsid w:val="002C4FF3"/>
    <w:rsid w:val="002C54F2"/>
    <w:rsid w:val="002C60C2"/>
    <w:rsid w:val="002C66A4"/>
    <w:rsid w:val="002C6750"/>
    <w:rsid w:val="002C7060"/>
    <w:rsid w:val="002C78FF"/>
    <w:rsid w:val="002C798D"/>
    <w:rsid w:val="002D084B"/>
    <w:rsid w:val="002D098B"/>
    <w:rsid w:val="002D0ADE"/>
    <w:rsid w:val="002D0CC0"/>
    <w:rsid w:val="002D1DFA"/>
    <w:rsid w:val="002D24F6"/>
    <w:rsid w:val="002D2AD6"/>
    <w:rsid w:val="002D3129"/>
    <w:rsid w:val="002D32F3"/>
    <w:rsid w:val="002D462B"/>
    <w:rsid w:val="002D4B70"/>
    <w:rsid w:val="002D5733"/>
    <w:rsid w:val="002D5B53"/>
    <w:rsid w:val="002D6598"/>
    <w:rsid w:val="002D6ECE"/>
    <w:rsid w:val="002D7145"/>
    <w:rsid w:val="002D7760"/>
    <w:rsid w:val="002D7855"/>
    <w:rsid w:val="002D7A7B"/>
    <w:rsid w:val="002E07C3"/>
    <w:rsid w:val="002E07E9"/>
    <w:rsid w:val="002E110A"/>
    <w:rsid w:val="002E190E"/>
    <w:rsid w:val="002E19DE"/>
    <w:rsid w:val="002E1C4C"/>
    <w:rsid w:val="002E2C64"/>
    <w:rsid w:val="002E36B7"/>
    <w:rsid w:val="002E3C60"/>
    <w:rsid w:val="002E6051"/>
    <w:rsid w:val="002E7034"/>
    <w:rsid w:val="002E7B2B"/>
    <w:rsid w:val="002F0FAC"/>
    <w:rsid w:val="002F2011"/>
    <w:rsid w:val="002F229A"/>
    <w:rsid w:val="002F2630"/>
    <w:rsid w:val="002F28EC"/>
    <w:rsid w:val="002F2A6F"/>
    <w:rsid w:val="002F31C0"/>
    <w:rsid w:val="002F3286"/>
    <w:rsid w:val="002F3FB7"/>
    <w:rsid w:val="002F47B8"/>
    <w:rsid w:val="002F48A2"/>
    <w:rsid w:val="002F56C9"/>
    <w:rsid w:val="002F575C"/>
    <w:rsid w:val="002F6081"/>
    <w:rsid w:val="002F645D"/>
    <w:rsid w:val="002F650F"/>
    <w:rsid w:val="002F69FC"/>
    <w:rsid w:val="002F7467"/>
    <w:rsid w:val="002F7502"/>
    <w:rsid w:val="002F778E"/>
    <w:rsid w:val="002F785B"/>
    <w:rsid w:val="00300057"/>
    <w:rsid w:val="00300080"/>
    <w:rsid w:val="00300174"/>
    <w:rsid w:val="0030041C"/>
    <w:rsid w:val="0030107E"/>
    <w:rsid w:val="00301197"/>
    <w:rsid w:val="003029E6"/>
    <w:rsid w:val="00302DC1"/>
    <w:rsid w:val="00303565"/>
    <w:rsid w:val="003041BD"/>
    <w:rsid w:val="00304663"/>
    <w:rsid w:val="00304E47"/>
    <w:rsid w:val="00305FC9"/>
    <w:rsid w:val="003060E9"/>
    <w:rsid w:val="00306658"/>
    <w:rsid w:val="003074B2"/>
    <w:rsid w:val="003076B1"/>
    <w:rsid w:val="00307EE5"/>
    <w:rsid w:val="0031162A"/>
    <w:rsid w:val="00311650"/>
    <w:rsid w:val="003119F6"/>
    <w:rsid w:val="00313798"/>
    <w:rsid w:val="0031405C"/>
    <w:rsid w:val="003143EF"/>
    <w:rsid w:val="00314AE3"/>
    <w:rsid w:val="00314F23"/>
    <w:rsid w:val="003150CE"/>
    <w:rsid w:val="003154DC"/>
    <w:rsid w:val="00315807"/>
    <w:rsid w:val="00316510"/>
    <w:rsid w:val="00316C2D"/>
    <w:rsid w:val="003174B0"/>
    <w:rsid w:val="00317593"/>
    <w:rsid w:val="003203EC"/>
    <w:rsid w:val="003205F7"/>
    <w:rsid w:val="003215A9"/>
    <w:rsid w:val="00321B17"/>
    <w:rsid w:val="0032223C"/>
    <w:rsid w:val="003223AF"/>
    <w:rsid w:val="003225AF"/>
    <w:rsid w:val="00322A26"/>
    <w:rsid w:val="00324371"/>
    <w:rsid w:val="00324A37"/>
    <w:rsid w:val="00325240"/>
    <w:rsid w:val="003253C9"/>
    <w:rsid w:val="00325969"/>
    <w:rsid w:val="00325ADC"/>
    <w:rsid w:val="00325FFB"/>
    <w:rsid w:val="0032650A"/>
    <w:rsid w:val="003269D1"/>
    <w:rsid w:val="00326AED"/>
    <w:rsid w:val="00327840"/>
    <w:rsid w:val="00327ADB"/>
    <w:rsid w:val="00327B0F"/>
    <w:rsid w:val="00327B64"/>
    <w:rsid w:val="0033021A"/>
    <w:rsid w:val="00330B8F"/>
    <w:rsid w:val="00330C5D"/>
    <w:rsid w:val="0033128C"/>
    <w:rsid w:val="00331ACA"/>
    <w:rsid w:val="00332221"/>
    <w:rsid w:val="00332441"/>
    <w:rsid w:val="00332B5B"/>
    <w:rsid w:val="00332E3E"/>
    <w:rsid w:val="00333193"/>
    <w:rsid w:val="00333E9E"/>
    <w:rsid w:val="00333FFA"/>
    <w:rsid w:val="003347AC"/>
    <w:rsid w:val="003348E2"/>
    <w:rsid w:val="00335204"/>
    <w:rsid w:val="003352B6"/>
    <w:rsid w:val="0033542C"/>
    <w:rsid w:val="003359A7"/>
    <w:rsid w:val="00335A80"/>
    <w:rsid w:val="00336680"/>
    <w:rsid w:val="00337C43"/>
    <w:rsid w:val="00340588"/>
    <w:rsid w:val="00341935"/>
    <w:rsid w:val="0034202D"/>
    <w:rsid w:val="00342558"/>
    <w:rsid w:val="00342C31"/>
    <w:rsid w:val="0034320E"/>
    <w:rsid w:val="00343297"/>
    <w:rsid w:val="003435A6"/>
    <w:rsid w:val="003439CC"/>
    <w:rsid w:val="00343AA5"/>
    <w:rsid w:val="00343EAD"/>
    <w:rsid w:val="0034447F"/>
    <w:rsid w:val="00345235"/>
    <w:rsid w:val="00345D5E"/>
    <w:rsid w:val="00347048"/>
    <w:rsid w:val="0034730C"/>
    <w:rsid w:val="003479CF"/>
    <w:rsid w:val="00347E9D"/>
    <w:rsid w:val="0035055F"/>
    <w:rsid w:val="00350CB3"/>
    <w:rsid w:val="003517D3"/>
    <w:rsid w:val="003517E7"/>
    <w:rsid w:val="00351A33"/>
    <w:rsid w:val="00351E79"/>
    <w:rsid w:val="00351F92"/>
    <w:rsid w:val="00351FFE"/>
    <w:rsid w:val="00352CF0"/>
    <w:rsid w:val="00352DF0"/>
    <w:rsid w:val="00352FFC"/>
    <w:rsid w:val="003537A8"/>
    <w:rsid w:val="003537CE"/>
    <w:rsid w:val="003538AD"/>
    <w:rsid w:val="003539B1"/>
    <w:rsid w:val="003545DF"/>
    <w:rsid w:val="00355103"/>
    <w:rsid w:val="00355F34"/>
    <w:rsid w:val="00357004"/>
    <w:rsid w:val="003607F1"/>
    <w:rsid w:val="003613D7"/>
    <w:rsid w:val="003625BD"/>
    <w:rsid w:val="00362BE6"/>
    <w:rsid w:val="00362E67"/>
    <w:rsid w:val="00363071"/>
    <w:rsid w:val="003634CC"/>
    <w:rsid w:val="0036441F"/>
    <w:rsid w:val="00364A12"/>
    <w:rsid w:val="00364D73"/>
    <w:rsid w:val="003654A5"/>
    <w:rsid w:val="00365BB2"/>
    <w:rsid w:val="00366CDC"/>
    <w:rsid w:val="00366D71"/>
    <w:rsid w:val="00367A82"/>
    <w:rsid w:val="00370F00"/>
    <w:rsid w:val="00370F0C"/>
    <w:rsid w:val="00371106"/>
    <w:rsid w:val="0037145A"/>
    <w:rsid w:val="00372237"/>
    <w:rsid w:val="00372259"/>
    <w:rsid w:val="003727EE"/>
    <w:rsid w:val="00372AF5"/>
    <w:rsid w:val="003730ED"/>
    <w:rsid w:val="00373125"/>
    <w:rsid w:val="00373E8B"/>
    <w:rsid w:val="00373F4D"/>
    <w:rsid w:val="003745CB"/>
    <w:rsid w:val="00375E42"/>
    <w:rsid w:val="00375F2A"/>
    <w:rsid w:val="00376480"/>
    <w:rsid w:val="0037658C"/>
    <w:rsid w:val="003768D8"/>
    <w:rsid w:val="00376D40"/>
    <w:rsid w:val="00377492"/>
    <w:rsid w:val="00380A33"/>
    <w:rsid w:val="00380A78"/>
    <w:rsid w:val="00380E6A"/>
    <w:rsid w:val="00380FB3"/>
    <w:rsid w:val="00381127"/>
    <w:rsid w:val="003818C7"/>
    <w:rsid w:val="00381B1F"/>
    <w:rsid w:val="00382555"/>
    <w:rsid w:val="00382BCE"/>
    <w:rsid w:val="003831C4"/>
    <w:rsid w:val="003834E5"/>
    <w:rsid w:val="0038391C"/>
    <w:rsid w:val="00383B36"/>
    <w:rsid w:val="00384616"/>
    <w:rsid w:val="00384973"/>
    <w:rsid w:val="00384C69"/>
    <w:rsid w:val="003857EE"/>
    <w:rsid w:val="00385A84"/>
    <w:rsid w:val="003876D9"/>
    <w:rsid w:val="003878D2"/>
    <w:rsid w:val="00387A18"/>
    <w:rsid w:val="00390800"/>
    <w:rsid w:val="003912BC"/>
    <w:rsid w:val="00391970"/>
    <w:rsid w:val="00392172"/>
    <w:rsid w:val="0039260A"/>
    <w:rsid w:val="00392877"/>
    <w:rsid w:val="00394A9D"/>
    <w:rsid w:val="00395257"/>
    <w:rsid w:val="003953A9"/>
    <w:rsid w:val="003953BE"/>
    <w:rsid w:val="003956D8"/>
    <w:rsid w:val="003960B0"/>
    <w:rsid w:val="003973F9"/>
    <w:rsid w:val="003978C4"/>
    <w:rsid w:val="00397DDA"/>
    <w:rsid w:val="00397E1D"/>
    <w:rsid w:val="003A0B41"/>
    <w:rsid w:val="003A0DF9"/>
    <w:rsid w:val="003A1446"/>
    <w:rsid w:val="003A1863"/>
    <w:rsid w:val="003A1FAB"/>
    <w:rsid w:val="003A22DE"/>
    <w:rsid w:val="003A475C"/>
    <w:rsid w:val="003A4848"/>
    <w:rsid w:val="003A5265"/>
    <w:rsid w:val="003A596C"/>
    <w:rsid w:val="003A5ABE"/>
    <w:rsid w:val="003A5ED9"/>
    <w:rsid w:val="003A7A13"/>
    <w:rsid w:val="003A7F12"/>
    <w:rsid w:val="003B0F01"/>
    <w:rsid w:val="003B1430"/>
    <w:rsid w:val="003B19AB"/>
    <w:rsid w:val="003B2CCC"/>
    <w:rsid w:val="003B2CFF"/>
    <w:rsid w:val="003B2D99"/>
    <w:rsid w:val="003B37DE"/>
    <w:rsid w:val="003B3876"/>
    <w:rsid w:val="003B3ECF"/>
    <w:rsid w:val="003B50D7"/>
    <w:rsid w:val="003B58F4"/>
    <w:rsid w:val="003B5CE9"/>
    <w:rsid w:val="003B5E3E"/>
    <w:rsid w:val="003B5F60"/>
    <w:rsid w:val="003B726D"/>
    <w:rsid w:val="003B75D5"/>
    <w:rsid w:val="003B7EA7"/>
    <w:rsid w:val="003C000A"/>
    <w:rsid w:val="003C09BC"/>
    <w:rsid w:val="003C0BDB"/>
    <w:rsid w:val="003C0C60"/>
    <w:rsid w:val="003C12FF"/>
    <w:rsid w:val="003C1C13"/>
    <w:rsid w:val="003C21CA"/>
    <w:rsid w:val="003C26DC"/>
    <w:rsid w:val="003C318E"/>
    <w:rsid w:val="003C32DC"/>
    <w:rsid w:val="003C3554"/>
    <w:rsid w:val="003C376F"/>
    <w:rsid w:val="003C3E3E"/>
    <w:rsid w:val="003C46BC"/>
    <w:rsid w:val="003C4B1C"/>
    <w:rsid w:val="003C5660"/>
    <w:rsid w:val="003C5BFB"/>
    <w:rsid w:val="003C5F0F"/>
    <w:rsid w:val="003C6647"/>
    <w:rsid w:val="003C6B88"/>
    <w:rsid w:val="003C6E9F"/>
    <w:rsid w:val="003C74EA"/>
    <w:rsid w:val="003C7A0B"/>
    <w:rsid w:val="003D014D"/>
    <w:rsid w:val="003D0375"/>
    <w:rsid w:val="003D05C7"/>
    <w:rsid w:val="003D0E1E"/>
    <w:rsid w:val="003D0F8F"/>
    <w:rsid w:val="003D19B2"/>
    <w:rsid w:val="003D202B"/>
    <w:rsid w:val="003D2EC5"/>
    <w:rsid w:val="003D31C9"/>
    <w:rsid w:val="003D340D"/>
    <w:rsid w:val="003D404C"/>
    <w:rsid w:val="003D4560"/>
    <w:rsid w:val="003D4D5A"/>
    <w:rsid w:val="003D515A"/>
    <w:rsid w:val="003D6989"/>
    <w:rsid w:val="003D74B5"/>
    <w:rsid w:val="003E0029"/>
    <w:rsid w:val="003E05E7"/>
    <w:rsid w:val="003E092B"/>
    <w:rsid w:val="003E1046"/>
    <w:rsid w:val="003E20CE"/>
    <w:rsid w:val="003E2605"/>
    <w:rsid w:val="003E2B17"/>
    <w:rsid w:val="003E2E41"/>
    <w:rsid w:val="003E3606"/>
    <w:rsid w:val="003E365D"/>
    <w:rsid w:val="003E377A"/>
    <w:rsid w:val="003E3DE3"/>
    <w:rsid w:val="003E4655"/>
    <w:rsid w:val="003E4850"/>
    <w:rsid w:val="003E4A8F"/>
    <w:rsid w:val="003E5045"/>
    <w:rsid w:val="003E5C7C"/>
    <w:rsid w:val="003E611A"/>
    <w:rsid w:val="003E6B15"/>
    <w:rsid w:val="003E70E7"/>
    <w:rsid w:val="003F0254"/>
    <w:rsid w:val="003F026E"/>
    <w:rsid w:val="003F1A75"/>
    <w:rsid w:val="003F1FDD"/>
    <w:rsid w:val="003F3A79"/>
    <w:rsid w:val="003F3D46"/>
    <w:rsid w:val="003F4080"/>
    <w:rsid w:val="003F46AB"/>
    <w:rsid w:val="003F6E4F"/>
    <w:rsid w:val="003F73B6"/>
    <w:rsid w:val="0040042C"/>
    <w:rsid w:val="00400E55"/>
    <w:rsid w:val="00400ED1"/>
    <w:rsid w:val="00401F3D"/>
    <w:rsid w:val="00401F4E"/>
    <w:rsid w:val="0040244D"/>
    <w:rsid w:val="00402940"/>
    <w:rsid w:val="00403148"/>
    <w:rsid w:val="004037BC"/>
    <w:rsid w:val="00403D42"/>
    <w:rsid w:val="00403FFC"/>
    <w:rsid w:val="00404CE4"/>
    <w:rsid w:val="00406CD5"/>
    <w:rsid w:val="00406D3B"/>
    <w:rsid w:val="00406F57"/>
    <w:rsid w:val="00406FF3"/>
    <w:rsid w:val="00407378"/>
    <w:rsid w:val="00407794"/>
    <w:rsid w:val="0041018C"/>
    <w:rsid w:val="00410368"/>
    <w:rsid w:val="00410BB6"/>
    <w:rsid w:val="00410CF0"/>
    <w:rsid w:val="00411BBA"/>
    <w:rsid w:val="00414323"/>
    <w:rsid w:val="00414570"/>
    <w:rsid w:val="00415AF3"/>
    <w:rsid w:val="004160E5"/>
    <w:rsid w:val="0041619D"/>
    <w:rsid w:val="004162E1"/>
    <w:rsid w:val="004163AF"/>
    <w:rsid w:val="00416557"/>
    <w:rsid w:val="0041713F"/>
    <w:rsid w:val="004179D7"/>
    <w:rsid w:val="00417CB6"/>
    <w:rsid w:val="00417D7F"/>
    <w:rsid w:val="00417F17"/>
    <w:rsid w:val="004207CF"/>
    <w:rsid w:val="0042161C"/>
    <w:rsid w:val="00421A76"/>
    <w:rsid w:val="00422411"/>
    <w:rsid w:val="00423170"/>
    <w:rsid w:val="00423690"/>
    <w:rsid w:val="0042450D"/>
    <w:rsid w:val="00425053"/>
    <w:rsid w:val="00425260"/>
    <w:rsid w:val="00425B9F"/>
    <w:rsid w:val="00425DAA"/>
    <w:rsid w:val="004263AE"/>
    <w:rsid w:val="00426A22"/>
    <w:rsid w:val="0042701C"/>
    <w:rsid w:val="0042713A"/>
    <w:rsid w:val="004274E2"/>
    <w:rsid w:val="00427A9C"/>
    <w:rsid w:val="00427BA6"/>
    <w:rsid w:val="00427BBE"/>
    <w:rsid w:val="00430B78"/>
    <w:rsid w:val="00431160"/>
    <w:rsid w:val="004317E9"/>
    <w:rsid w:val="00431C04"/>
    <w:rsid w:val="00431EA7"/>
    <w:rsid w:val="00432187"/>
    <w:rsid w:val="0043233A"/>
    <w:rsid w:val="00432532"/>
    <w:rsid w:val="00432C39"/>
    <w:rsid w:val="00432F58"/>
    <w:rsid w:val="004333C1"/>
    <w:rsid w:val="004336BB"/>
    <w:rsid w:val="00433712"/>
    <w:rsid w:val="00433B66"/>
    <w:rsid w:val="00433E78"/>
    <w:rsid w:val="004340A3"/>
    <w:rsid w:val="004351C5"/>
    <w:rsid w:val="00435885"/>
    <w:rsid w:val="004359ED"/>
    <w:rsid w:val="00435AA5"/>
    <w:rsid w:val="004361BB"/>
    <w:rsid w:val="004365B3"/>
    <w:rsid w:val="00436E03"/>
    <w:rsid w:val="004370FB"/>
    <w:rsid w:val="004417D2"/>
    <w:rsid w:val="004425D7"/>
    <w:rsid w:val="00442777"/>
    <w:rsid w:val="00442DB2"/>
    <w:rsid w:val="00443460"/>
    <w:rsid w:val="004436F0"/>
    <w:rsid w:val="0044385D"/>
    <w:rsid w:val="004442CA"/>
    <w:rsid w:val="004452C5"/>
    <w:rsid w:val="0044531D"/>
    <w:rsid w:val="004453A6"/>
    <w:rsid w:val="00445F24"/>
    <w:rsid w:val="00446E42"/>
    <w:rsid w:val="00446F6E"/>
    <w:rsid w:val="004471A7"/>
    <w:rsid w:val="004475FB"/>
    <w:rsid w:val="00447945"/>
    <w:rsid w:val="00447F63"/>
    <w:rsid w:val="00450915"/>
    <w:rsid w:val="00450C93"/>
    <w:rsid w:val="00451762"/>
    <w:rsid w:val="00451793"/>
    <w:rsid w:val="0045224C"/>
    <w:rsid w:val="004527AC"/>
    <w:rsid w:val="00452C88"/>
    <w:rsid w:val="004537A2"/>
    <w:rsid w:val="004539B3"/>
    <w:rsid w:val="00453A07"/>
    <w:rsid w:val="00453B00"/>
    <w:rsid w:val="004545D4"/>
    <w:rsid w:val="004547D3"/>
    <w:rsid w:val="00455C0A"/>
    <w:rsid w:val="00455D42"/>
    <w:rsid w:val="00455F0E"/>
    <w:rsid w:val="00456674"/>
    <w:rsid w:val="00456704"/>
    <w:rsid w:val="00456B2F"/>
    <w:rsid w:val="00457136"/>
    <w:rsid w:val="00457958"/>
    <w:rsid w:val="0046078F"/>
    <w:rsid w:val="004616C0"/>
    <w:rsid w:val="00462D05"/>
    <w:rsid w:val="00462DD4"/>
    <w:rsid w:val="00463400"/>
    <w:rsid w:val="00463A4C"/>
    <w:rsid w:val="004644CD"/>
    <w:rsid w:val="00464A65"/>
    <w:rsid w:val="00464D00"/>
    <w:rsid w:val="00464DCF"/>
    <w:rsid w:val="0046511F"/>
    <w:rsid w:val="004660EB"/>
    <w:rsid w:val="004661D8"/>
    <w:rsid w:val="004665FC"/>
    <w:rsid w:val="0046789E"/>
    <w:rsid w:val="00467C19"/>
    <w:rsid w:val="00467E18"/>
    <w:rsid w:val="00470647"/>
    <w:rsid w:val="0047129A"/>
    <w:rsid w:val="00471683"/>
    <w:rsid w:val="00472C58"/>
    <w:rsid w:val="00472C64"/>
    <w:rsid w:val="004730DA"/>
    <w:rsid w:val="004734F7"/>
    <w:rsid w:val="004735A2"/>
    <w:rsid w:val="00474E2E"/>
    <w:rsid w:val="00475105"/>
    <w:rsid w:val="004754E1"/>
    <w:rsid w:val="00476754"/>
    <w:rsid w:val="004768D8"/>
    <w:rsid w:val="004769B3"/>
    <w:rsid w:val="00476D1A"/>
    <w:rsid w:val="0047711B"/>
    <w:rsid w:val="00477499"/>
    <w:rsid w:val="0047757A"/>
    <w:rsid w:val="0047758C"/>
    <w:rsid w:val="00477ECC"/>
    <w:rsid w:val="00480F10"/>
    <w:rsid w:val="004811D9"/>
    <w:rsid w:val="0048158A"/>
    <w:rsid w:val="00481A03"/>
    <w:rsid w:val="00481CDE"/>
    <w:rsid w:val="00482464"/>
    <w:rsid w:val="00482AA8"/>
    <w:rsid w:val="0048333F"/>
    <w:rsid w:val="00483F56"/>
    <w:rsid w:val="00484014"/>
    <w:rsid w:val="00484566"/>
    <w:rsid w:val="004846E1"/>
    <w:rsid w:val="00485509"/>
    <w:rsid w:val="0048593B"/>
    <w:rsid w:val="00485EB7"/>
    <w:rsid w:val="00490103"/>
    <w:rsid w:val="00490321"/>
    <w:rsid w:val="00491B07"/>
    <w:rsid w:val="00492436"/>
    <w:rsid w:val="004928A8"/>
    <w:rsid w:val="00492A05"/>
    <w:rsid w:val="00492F87"/>
    <w:rsid w:val="004930B4"/>
    <w:rsid w:val="00493979"/>
    <w:rsid w:val="004942A9"/>
    <w:rsid w:val="00494E24"/>
    <w:rsid w:val="00494EF6"/>
    <w:rsid w:val="004951A8"/>
    <w:rsid w:val="004956C2"/>
    <w:rsid w:val="00495E54"/>
    <w:rsid w:val="00495FFC"/>
    <w:rsid w:val="0049634E"/>
    <w:rsid w:val="0049647E"/>
    <w:rsid w:val="004975AB"/>
    <w:rsid w:val="00497BC0"/>
    <w:rsid w:val="004A1250"/>
    <w:rsid w:val="004A2C5D"/>
    <w:rsid w:val="004A31F7"/>
    <w:rsid w:val="004A3758"/>
    <w:rsid w:val="004A3B55"/>
    <w:rsid w:val="004A43A5"/>
    <w:rsid w:val="004A49A4"/>
    <w:rsid w:val="004A49F0"/>
    <w:rsid w:val="004A4BDA"/>
    <w:rsid w:val="004A5745"/>
    <w:rsid w:val="004A5825"/>
    <w:rsid w:val="004A600A"/>
    <w:rsid w:val="004A72F5"/>
    <w:rsid w:val="004A74F2"/>
    <w:rsid w:val="004A7783"/>
    <w:rsid w:val="004A7B1A"/>
    <w:rsid w:val="004A7E73"/>
    <w:rsid w:val="004B0BA2"/>
    <w:rsid w:val="004B12C3"/>
    <w:rsid w:val="004B23BF"/>
    <w:rsid w:val="004B2666"/>
    <w:rsid w:val="004B2755"/>
    <w:rsid w:val="004B2CAA"/>
    <w:rsid w:val="004B2D4B"/>
    <w:rsid w:val="004B3162"/>
    <w:rsid w:val="004B3413"/>
    <w:rsid w:val="004B343F"/>
    <w:rsid w:val="004B4033"/>
    <w:rsid w:val="004B416D"/>
    <w:rsid w:val="004B422F"/>
    <w:rsid w:val="004B52A8"/>
    <w:rsid w:val="004B5E3D"/>
    <w:rsid w:val="004B609A"/>
    <w:rsid w:val="004B6714"/>
    <w:rsid w:val="004B739B"/>
    <w:rsid w:val="004B75B5"/>
    <w:rsid w:val="004B78D5"/>
    <w:rsid w:val="004C0290"/>
    <w:rsid w:val="004C039F"/>
    <w:rsid w:val="004C1C09"/>
    <w:rsid w:val="004C22AD"/>
    <w:rsid w:val="004C2386"/>
    <w:rsid w:val="004C4638"/>
    <w:rsid w:val="004C4639"/>
    <w:rsid w:val="004C47B2"/>
    <w:rsid w:val="004C54A3"/>
    <w:rsid w:val="004C598A"/>
    <w:rsid w:val="004C5E14"/>
    <w:rsid w:val="004C6A4D"/>
    <w:rsid w:val="004C6AAF"/>
    <w:rsid w:val="004C6D16"/>
    <w:rsid w:val="004C737D"/>
    <w:rsid w:val="004C7996"/>
    <w:rsid w:val="004D0C10"/>
    <w:rsid w:val="004D26E6"/>
    <w:rsid w:val="004D35DC"/>
    <w:rsid w:val="004D375B"/>
    <w:rsid w:val="004D3DCB"/>
    <w:rsid w:val="004D47D4"/>
    <w:rsid w:val="004D4A92"/>
    <w:rsid w:val="004D52F5"/>
    <w:rsid w:val="004D52F9"/>
    <w:rsid w:val="004D5C63"/>
    <w:rsid w:val="004D6049"/>
    <w:rsid w:val="004D606F"/>
    <w:rsid w:val="004D62A4"/>
    <w:rsid w:val="004D64B6"/>
    <w:rsid w:val="004D6E7E"/>
    <w:rsid w:val="004D7ACB"/>
    <w:rsid w:val="004D7BCF"/>
    <w:rsid w:val="004E0642"/>
    <w:rsid w:val="004E0ED1"/>
    <w:rsid w:val="004E0FBC"/>
    <w:rsid w:val="004E1D16"/>
    <w:rsid w:val="004E209B"/>
    <w:rsid w:val="004E2174"/>
    <w:rsid w:val="004E2A7C"/>
    <w:rsid w:val="004E2C16"/>
    <w:rsid w:val="004E2E1D"/>
    <w:rsid w:val="004E31A5"/>
    <w:rsid w:val="004E36CF"/>
    <w:rsid w:val="004E3AEC"/>
    <w:rsid w:val="004E3C48"/>
    <w:rsid w:val="004E3EAD"/>
    <w:rsid w:val="004E41FA"/>
    <w:rsid w:val="004E4200"/>
    <w:rsid w:val="004E4722"/>
    <w:rsid w:val="004E4AEF"/>
    <w:rsid w:val="004E529E"/>
    <w:rsid w:val="004E5352"/>
    <w:rsid w:val="004E5576"/>
    <w:rsid w:val="004E6144"/>
    <w:rsid w:val="004E67A3"/>
    <w:rsid w:val="004E739A"/>
    <w:rsid w:val="004E7F22"/>
    <w:rsid w:val="004F0103"/>
    <w:rsid w:val="004F0CAD"/>
    <w:rsid w:val="004F1778"/>
    <w:rsid w:val="004F187D"/>
    <w:rsid w:val="004F1BDA"/>
    <w:rsid w:val="004F2482"/>
    <w:rsid w:val="004F3152"/>
    <w:rsid w:val="004F347E"/>
    <w:rsid w:val="004F35A2"/>
    <w:rsid w:val="004F3CE0"/>
    <w:rsid w:val="004F48CD"/>
    <w:rsid w:val="004F4913"/>
    <w:rsid w:val="004F4E67"/>
    <w:rsid w:val="004F58D4"/>
    <w:rsid w:val="004F60FC"/>
    <w:rsid w:val="004F636A"/>
    <w:rsid w:val="004F74E1"/>
    <w:rsid w:val="004F79B1"/>
    <w:rsid w:val="00501680"/>
    <w:rsid w:val="00501C13"/>
    <w:rsid w:val="005030CE"/>
    <w:rsid w:val="005031CB"/>
    <w:rsid w:val="00503CF9"/>
    <w:rsid w:val="00504565"/>
    <w:rsid w:val="00504E68"/>
    <w:rsid w:val="005053F5"/>
    <w:rsid w:val="005056CA"/>
    <w:rsid w:val="00506011"/>
    <w:rsid w:val="0050642D"/>
    <w:rsid w:val="0050718A"/>
    <w:rsid w:val="005073C0"/>
    <w:rsid w:val="00507427"/>
    <w:rsid w:val="00507E94"/>
    <w:rsid w:val="00510597"/>
    <w:rsid w:val="00510B73"/>
    <w:rsid w:val="00510FE2"/>
    <w:rsid w:val="00511642"/>
    <w:rsid w:val="005117A8"/>
    <w:rsid w:val="005118A8"/>
    <w:rsid w:val="0051191A"/>
    <w:rsid w:val="00512560"/>
    <w:rsid w:val="00512EB4"/>
    <w:rsid w:val="00513C76"/>
    <w:rsid w:val="005156A9"/>
    <w:rsid w:val="00516BD9"/>
    <w:rsid w:val="00517C2E"/>
    <w:rsid w:val="0052042E"/>
    <w:rsid w:val="00520572"/>
    <w:rsid w:val="00520B8F"/>
    <w:rsid w:val="00520F98"/>
    <w:rsid w:val="00521990"/>
    <w:rsid w:val="00522382"/>
    <w:rsid w:val="0052245A"/>
    <w:rsid w:val="00522A76"/>
    <w:rsid w:val="00522EBB"/>
    <w:rsid w:val="005232AA"/>
    <w:rsid w:val="005236AC"/>
    <w:rsid w:val="00523A83"/>
    <w:rsid w:val="00523DB6"/>
    <w:rsid w:val="00524D7B"/>
    <w:rsid w:val="005254BB"/>
    <w:rsid w:val="0052560B"/>
    <w:rsid w:val="0052577D"/>
    <w:rsid w:val="00525A73"/>
    <w:rsid w:val="00525E8D"/>
    <w:rsid w:val="00525EA8"/>
    <w:rsid w:val="00526E98"/>
    <w:rsid w:val="0052705A"/>
    <w:rsid w:val="005270DE"/>
    <w:rsid w:val="0052717C"/>
    <w:rsid w:val="005272C3"/>
    <w:rsid w:val="00527D03"/>
    <w:rsid w:val="005301C1"/>
    <w:rsid w:val="00530712"/>
    <w:rsid w:val="00530B62"/>
    <w:rsid w:val="00531B1B"/>
    <w:rsid w:val="005328E9"/>
    <w:rsid w:val="00532C07"/>
    <w:rsid w:val="00533316"/>
    <w:rsid w:val="005335AC"/>
    <w:rsid w:val="005338C0"/>
    <w:rsid w:val="00533F85"/>
    <w:rsid w:val="00534138"/>
    <w:rsid w:val="00534909"/>
    <w:rsid w:val="005350C0"/>
    <w:rsid w:val="00535BC2"/>
    <w:rsid w:val="005366B3"/>
    <w:rsid w:val="00536716"/>
    <w:rsid w:val="00536BD0"/>
    <w:rsid w:val="00536F2D"/>
    <w:rsid w:val="0053704A"/>
    <w:rsid w:val="0053727F"/>
    <w:rsid w:val="00537507"/>
    <w:rsid w:val="00537848"/>
    <w:rsid w:val="00537FD6"/>
    <w:rsid w:val="00540777"/>
    <w:rsid w:val="00541720"/>
    <w:rsid w:val="00541E33"/>
    <w:rsid w:val="005420DE"/>
    <w:rsid w:val="005427C0"/>
    <w:rsid w:val="005427F3"/>
    <w:rsid w:val="00542AAA"/>
    <w:rsid w:val="00543204"/>
    <w:rsid w:val="005434EE"/>
    <w:rsid w:val="00543B3B"/>
    <w:rsid w:val="00543CF3"/>
    <w:rsid w:val="00543E44"/>
    <w:rsid w:val="00543EE5"/>
    <w:rsid w:val="00544157"/>
    <w:rsid w:val="00545073"/>
    <w:rsid w:val="00545527"/>
    <w:rsid w:val="00546012"/>
    <w:rsid w:val="00546167"/>
    <w:rsid w:val="005469D6"/>
    <w:rsid w:val="00546CE0"/>
    <w:rsid w:val="005470FB"/>
    <w:rsid w:val="0054776F"/>
    <w:rsid w:val="00547C7A"/>
    <w:rsid w:val="00550AE0"/>
    <w:rsid w:val="00550D84"/>
    <w:rsid w:val="00550FF8"/>
    <w:rsid w:val="00551097"/>
    <w:rsid w:val="00551285"/>
    <w:rsid w:val="005513C6"/>
    <w:rsid w:val="005513ED"/>
    <w:rsid w:val="005519D5"/>
    <w:rsid w:val="00551A4B"/>
    <w:rsid w:val="005527B3"/>
    <w:rsid w:val="005536C5"/>
    <w:rsid w:val="005541CC"/>
    <w:rsid w:val="00554368"/>
    <w:rsid w:val="005544D8"/>
    <w:rsid w:val="00554958"/>
    <w:rsid w:val="00555FB5"/>
    <w:rsid w:val="005560AD"/>
    <w:rsid w:val="005571DA"/>
    <w:rsid w:val="00557686"/>
    <w:rsid w:val="00557E83"/>
    <w:rsid w:val="00560147"/>
    <w:rsid w:val="00560876"/>
    <w:rsid w:val="00561271"/>
    <w:rsid w:val="00561321"/>
    <w:rsid w:val="00561A01"/>
    <w:rsid w:val="00561C19"/>
    <w:rsid w:val="00561F47"/>
    <w:rsid w:val="00562B8B"/>
    <w:rsid w:val="00563ACD"/>
    <w:rsid w:val="00563DD0"/>
    <w:rsid w:val="00563E65"/>
    <w:rsid w:val="00564B0C"/>
    <w:rsid w:val="00564C13"/>
    <w:rsid w:val="0056520F"/>
    <w:rsid w:val="00565869"/>
    <w:rsid w:val="005662E8"/>
    <w:rsid w:val="00566492"/>
    <w:rsid w:val="00566496"/>
    <w:rsid w:val="0056690E"/>
    <w:rsid w:val="00566962"/>
    <w:rsid w:val="005675FC"/>
    <w:rsid w:val="00570412"/>
    <w:rsid w:val="00570870"/>
    <w:rsid w:val="00570DA0"/>
    <w:rsid w:val="00570FE8"/>
    <w:rsid w:val="005711A5"/>
    <w:rsid w:val="005718D1"/>
    <w:rsid w:val="00571971"/>
    <w:rsid w:val="005726B3"/>
    <w:rsid w:val="00572F85"/>
    <w:rsid w:val="00573433"/>
    <w:rsid w:val="005735A2"/>
    <w:rsid w:val="005738F1"/>
    <w:rsid w:val="00573A9A"/>
    <w:rsid w:val="005743CC"/>
    <w:rsid w:val="00574A81"/>
    <w:rsid w:val="00575449"/>
    <w:rsid w:val="00575776"/>
    <w:rsid w:val="00576997"/>
    <w:rsid w:val="005769DC"/>
    <w:rsid w:val="00576A00"/>
    <w:rsid w:val="00576BFA"/>
    <w:rsid w:val="00580D3F"/>
    <w:rsid w:val="00581BEB"/>
    <w:rsid w:val="00581DA9"/>
    <w:rsid w:val="00581EF8"/>
    <w:rsid w:val="00583E26"/>
    <w:rsid w:val="00585B27"/>
    <w:rsid w:val="00585BBC"/>
    <w:rsid w:val="00585C27"/>
    <w:rsid w:val="0058600B"/>
    <w:rsid w:val="00586350"/>
    <w:rsid w:val="005864D6"/>
    <w:rsid w:val="0058688F"/>
    <w:rsid w:val="00587529"/>
    <w:rsid w:val="00587EF4"/>
    <w:rsid w:val="00590196"/>
    <w:rsid w:val="0059064B"/>
    <w:rsid w:val="005920E4"/>
    <w:rsid w:val="00592210"/>
    <w:rsid w:val="005930BE"/>
    <w:rsid w:val="005944DA"/>
    <w:rsid w:val="00595952"/>
    <w:rsid w:val="00595CDE"/>
    <w:rsid w:val="00596F49"/>
    <w:rsid w:val="005974A6"/>
    <w:rsid w:val="005A0196"/>
    <w:rsid w:val="005A02CB"/>
    <w:rsid w:val="005A0641"/>
    <w:rsid w:val="005A126A"/>
    <w:rsid w:val="005A14D6"/>
    <w:rsid w:val="005A1503"/>
    <w:rsid w:val="005A1B24"/>
    <w:rsid w:val="005A1D54"/>
    <w:rsid w:val="005A1FBC"/>
    <w:rsid w:val="005A207E"/>
    <w:rsid w:val="005A35D5"/>
    <w:rsid w:val="005A3A2B"/>
    <w:rsid w:val="005A3FBA"/>
    <w:rsid w:val="005A538E"/>
    <w:rsid w:val="005A55C0"/>
    <w:rsid w:val="005A5B77"/>
    <w:rsid w:val="005A68A1"/>
    <w:rsid w:val="005A69FF"/>
    <w:rsid w:val="005A79C9"/>
    <w:rsid w:val="005A7C2E"/>
    <w:rsid w:val="005B0706"/>
    <w:rsid w:val="005B0723"/>
    <w:rsid w:val="005B0A89"/>
    <w:rsid w:val="005B0E39"/>
    <w:rsid w:val="005B1337"/>
    <w:rsid w:val="005B14AF"/>
    <w:rsid w:val="005B18F5"/>
    <w:rsid w:val="005B204F"/>
    <w:rsid w:val="005B3B2E"/>
    <w:rsid w:val="005B4D3A"/>
    <w:rsid w:val="005B4DB0"/>
    <w:rsid w:val="005B562D"/>
    <w:rsid w:val="005B7115"/>
    <w:rsid w:val="005B7250"/>
    <w:rsid w:val="005B7572"/>
    <w:rsid w:val="005B75C7"/>
    <w:rsid w:val="005C02E3"/>
    <w:rsid w:val="005C0910"/>
    <w:rsid w:val="005C13D8"/>
    <w:rsid w:val="005C1C49"/>
    <w:rsid w:val="005C1F1A"/>
    <w:rsid w:val="005C2926"/>
    <w:rsid w:val="005C2C40"/>
    <w:rsid w:val="005C378E"/>
    <w:rsid w:val="005C3C24"/>
    <w:rsid w:val="005C43A5"/>
    <w:rsid w:val="005C480B"/>
    <w:rsid w:val="005C52B6"/>
    <w:rsid w:val="005C5750"/>
    <w:rsid w:val="005C5BE3"/>
    <w:rsid w:val="005C650F"/>
    <w:rsid w:val="005C6756"/>
    <w:rsid w:val="005C6D50"/>
    <w:rsid w:val="005C78A8"/>
    <w:rsid w:val="005D0299"/>
    <w:rsid w:val="005D1257"/>
    <w:rsid w:val="005D184F"/>
    <w:rsid w:val="005D24B1"/>
    <w:rsid w:val="005D285F"/>
    <w:rsid w:val="005D3AF3"/>
    <w:rsid w:val="005D4D8A"/>
    <w:rsid w:val="005D4EB2"/>
    <w:rsid w:val="005D4F31"/>
    <w:rsid w:val="005D52F8"/>
    <w:rsid w:val="005D548C"/>
    <w:rsid w:val="005D5D34"/>
    <w:rsid w:val="005D60F8"/>
    <w:rsid w:val="005D63C4"/>
    <w:rsid w:val="005D6A13"/>
    <w:rsid w:val="005D6B3A"/>
    <w:rsid w:val="005D7E91"/>
    <w:rsid w:val="005D7EDD"/>
    <w:rsid w:val="005D7FBD"/>
    <w:rsid w:val="005E0086"/>
    <w:rsid w:val="005E05EE"/>
    <w:rsid w:val="005E1785"/>
    <w:rsid w:val="005E1797"/>
    <w:rsid w:val="005E1B41"/>
    <w:rsid w:val="005E1B67"/>
    <w:rsid w:val="005E249C"/>
    <w:rsid w:val="005E29F2"/>
    <w:rsid w:val="005E2E12"/>
    <w:rsid w:val="005E37D3"/>
    <w:rsid w:val="005E4160"/>
    <w:rsid w:val="005E50F4"/>
    <w:rsid w:val="005E52F4"/>
    <w:rsid w:val="005E532C"/>
    <w:rsid w:val="005E5CF1"/>
    <w:rsid w:val="005E6349"/>
    <w:rsid w:val="005E690B"/>
    <w:rsid w:val="005E6D7C"/>
    <w:rsid w:val="005E76AC"/>
    <w:rsid w:val="005E7E95"/>
    <w:rsid w:val="005F03CD"/>
    <w:rsid w:val="005F0E12"/>
    <w:rsid w:val="005F2868"/>
    <w:rsid w:val="005F2B0B"/>
    <w:rsid w:val="005F2CB7"/>
    <w:rsid w:val="005F2DFF"/>
    <w:rsid w:val="005F2E13"/>
    <w:rsid w:val="005F2EDB"/>
    <w:rsid w:val="005F4BB2"/>
    <w:rsid w:val="005F4CE6"/>
    <w:rsid w:val="005F5077"/>
    <w:rsid w:val="005F53BD"/>
    <w:rsid w:val="005F5B0C"/>
    <w:rsid w:val="005F6130"/>
    <w:rsid w:val="005F622C"/>
    <w:rsid w:val="005F6670"/>
    <w:rsid w:val="005F67F1"/>
    <w:rsid w:val="005F6E9B"/>
    <w:rsid w:val="005F73E3"/>
    <w:rsid w:val="005F7794"/>
    <w:rsid w:val="005F7F23"/>
    <w:rsid w:val="00600630"/>
    <w:rsid w:val="00601074"/>
    <w:rsid w:val="006017B2"/>
    <w:rsid w:val="0060193A"/>
    <w:rsid w:val="00601F2A"/>
    <w:rsid w:val="00602AC8"/>
    <w:rsid w:val="00602C95"/>
    <w:rsid w:val="0060315A"/>
    <w:rsid w:val="00605CFE"/>
    <w:rsid w:val="00605F04"/>
    <w:rsid w:val="00606367"/>
    <w:rsid w:val="006066D6"/>
    <w:rsid w:val="006076BA"/>
    <w:rsid w:val="00607A83"/>
    <w:rsid w:val="00610EDC"/>
    <w:rsid w:val="00611974"/>
    <w:rsid w:val="00611CE7"/>
    <w:rsid w:val="00611E9F"/>
    <w:rsid w:val="006121FA"/>
    <w:rsid w:val="00612314"/>
    <w:rsid w:val="00612F41"/>
    <w:rsid w:val="006133E0"/>
    <w:rsid w:val="006139D5"/>
    <w:rsid w:val="00613A4A"/>
    <w:rsid w:val="00614F99"/>
    <w:rsid w:val="006156CF"/>
    <w:rsid w:val="0061576C"/>
    <w:rsid w:val="006159D7"/>
    <w:rsid w:val="0061663D"/>
    <w:rsid w:val="00616727"/>
    <w:rsid w:val="0061674F"/>
    <w:rsid w:val="00616777"/>
    <w:rsid w:val="00616A88"/>
    <w:rsid w:val="0061743B"/>
    <w:rsid w:val="00617A36"/>
    <w:rsid w:val="00617F73"/>
    <w:rsid w:val="00621023"/>
    <w:rsid w:val="0062105A"/>
    <w:rsid w:val="00621ABC"/>
    <w:rsid w:val="00622865"/>
    <w:rsid w:val="00622B8E"/>
    <w:rsid w:val="00622DA1"/>
    <w:rsid w:val="00622F9C"/>
    <w:rsid w:val="006231C8"/>
    <w:rsid w:val="0062419E"/>
    <w:rsid w:val="00624927"/>
    <w:rsid w:val="00624D1E"/>
    <w:rsid w:val="00624E68"/>
    <w:rsid w:val="006260F8"/>
    <w:rsid w:val="0062690D"/>
    <w:rsid w:val="0062741C"/>
    <w:rsid w:val="00627E27"/>
    <w:rsid w:val="00627FF1"/>
    <w:rsid w:val="006303AD"/>
    <w:rsid w:val="0063078D"/>
    <w:rsid w:val="00630A33"/>
    <w:rsid w:val="00630A73"/>
    <w:rsid w:val="00630AD1"/>
    <w:rsid w:val="00630E92"/>
    <w:rsid w:val="00631810"/>
    <w:rsid w:val="006322E1"/>
    <w:rsid w:val="00632FF7"/>
    <w:rsid w:val="006347BA"/>
    <w:rsid w:val="00634BEB"/>
    <w:rsid w:val="00634BF2"/>
    <w:rsid w:val="006360C8"/>
    <w:rsid w:val="006361F4"/>
    <w:rsid w:val="0063624B"/>
    <w:rsid w:val="00636849"/>
    <w:rsid w:val="00636FAE"/>
    <w:rsid w:val="00636FE5"/>
    <w:rsid w:val="006371B7"/>
    <w:rsid w:val="0064170B"/>
    <w:rsid w:val="00641C49"/>
    <w:rsid w:val="00642B7F"/>
    <w:rsid w:val="00643E59"/>
    <w:rsid w:val="0064467E"/>
    <w:rsid w:val="00644C7C"/>
    <w:rsid w:val="0064587F"/>
    <w:rsid w:val="0064649D"/>
    <w:rsid w:val="00646723"/>
    <w:rsid w:val="00646C86"/>
    <w:rsid w:val="00646E5A"/>
    <w:rsid w:val="006472C7"/>
    <w:rsid w:val="00647EA1"/>
    <w:rsid w:val="00650228"/>
    <w:rsid w:val="0065025B"/>
    <w:rsid w:val="0065066B"/>
    <w:rsid w:val="00650927"/>
    <w:rsid w:val="0065207A"/>
    <w:rsid w:val="00652AD5"/>
    <w:rsid w:val="00652C3C"/>
    <w:rsid w:val="00652DAC"/>
    <w:rsid w:val="00653452"/>
    <w:rsid w:val="00653655"/>
    <w:rsid w:val="00653D40"/>
    <w:rsid w:val="00654302"/>
    <w:rsid w:val="0065497C"/>
    <w:rsid w:val="006549BE"/>
    <w:rsid w:val="006552C7"/>
    <w:rsid w:val="00656F55"/>
    <w:rsid w:val="0065742C"/>
    <w:rsid w:val="006575ED"/>
    <w:rsid w:val="0065784B"/>
    <w:rsid w:val="00657F13"/>
    <w:rsid w:val="00660B18"/>
    <w:rsid w:val="00660FFA"/>
    <w:rsid w:val="00661A7C"/>
    <w:rsid w:val="00661B7B"/>
    <w:rsid w:val="00661EFD"/>
    <w:rsid w:val="00662318"/>
    <w:rsid w:val="0066258A"/>
    <w:rsid w:val="00662685"/>
    <w:rsid w:val="006628C5"/>
    <w:rsid w:val="00662E8C"/>
    <w:rsid w:val="00663BB1"/>
    <w:rsid w:val="00663CBB"/>
    <w:rsid w:val="00663FA6"/>
    <w:rsid w:val="006648EC"/>
    <w:rsid w:val="00664A03"/>
    <w:rsid w:val="00664A4D"/>
    <w:rsid w:val="00665C7D"/>
    <w:rsid w:val="00665D7A"/>
    <w:rsid w:val="00666C01"/>
    <w:rsid w:val="00666F67"/>
    <w:rsid w:val="00667450"/>
    <w:rsid w:val="00667902"/>
    <w:rsid w:val="0067014F"/>
    <w:rsid w:val="0067023B"/>
    <w:rsid w:val="006719F5"/>
    <w:rsid w:val="00671AE3"/>
    <w:rsid w:val="0067250E"/>
    <w:rsid w:val="00672C78"/>
    <w:rsid w:val="0067327D"/>
    <w:rsid w:val="0067401E"/>
    <w:rsid w:val="0067403C"/>
    <w:rsid w:val="00674267"/>
    <w:rsid w:val="006745B3"/>
    <w:rsid w:val="00674F20"/>
    <w:rsid w:val="00675220"/>
    <w:rsid w:val="00675336"/>
    <w:rsid w:val="00675E6F"/>
    <w:rsid w:val="00676A8A"/>
    <w:rsid w:val="006775F4"/>
    <w:rsid w:val="00677897"/>
    <w:rsid w:val="006779FA"/>
    <w:rsid w:val="00677C4E"/>
    <w:rsid w:val="006804E4"/>
    <w:rsid w:val="00680ABD"/>
    <w:rsid w:val="00680E2D"/>
    <w:rsid w:val="00681B78"/>
    <w:rsid w:val="00681C2E"/>
    <w:rsid w:val="00682E29"/>
    <w:rsid w:val="00683101"/>
    <w:rsid w:val="0068348C"/>
    <w:rsid w:val="006835A1"/>
    <w:rsid w:val="00683DBC"/>
    <w:rsid w:val="00684E1D"/>
    <w:rsid w:val="006852AA"/>
    <w:rsid w:val="00685883"/>
    <w:rsid w:val="00685FA3"/>
    <w:rsid w:val="00686230"/>
    <w:rsid w:val="006863BF"/>
    <w:rsid w:val="006866F2"/>
    <w:rsid w:val="00686A96"/>
    <w:rsid w:val="00686D9F"/>
    <w:rsid w:val="00686E6E"/>
    <w:rsid w:val="00686EC3"/>
    <w:rsid w:val="00686FD2"/>
    <w:rsid w:val="00687228"/>
    <w:rsid w:val="0068748C"/>
    <w:rsid w:val="006878F3"/>
    <w:rsid w:val="00687952"/>
    <w:rsid w:val="006906FA"/>
    <w:rsid w:val="00690D66"/>
    <w:rsid w:val="00690F38"/>
    <w:rsid w:val="006913A2"/>
    <w:rsid w:val="0069195F"/>
    <w:rsid w:val="0069239B"/>
    <w:rsid w:val="00692529"/>
    <w:rsid w:val="00692A03"/>
    <w:rsid w:val="00693746"/>
    <w:rsid w:val="006937DD"/>
    <w:rsid w:val="0069388A"/>
    <w:rsid w:val="00693A2E"/>
    <w:rsid w:val="0069411E"/>
    <w:rsid w:val="006948D6"/>
    <w:rsid w:val="00694A81"/>
    <w:rsid w:val="00694E3B"/>
    <w:rsid w:val="006950B3"/>
    <w:rsid w:val="0069573A"/>
    <w:rsid w:val="0069588B"/>
    <w:rsid w:val="006958D6"/>
    <w:rsid w:val="0069599B"/>
    <w:rsid w:val="00696165"/>
    <w:rsid w:val="00696BA1"/>
    <w:rsid w:val="0069775A"/>
    <w:rsid w:val="00697F4B"/>
    <w:rsid w:val="006A0410"/>
    <w:rsid w:val="006A06A5"/>
    <w:rsid w:val="006A07C0"/>
    <w:rsid w:val="006A12F4"/>
    <w:rsid w:val="006A1796"/>
    <w:rsid w:val="006A1CD4"/>
    <w:rsid w:val="006A2E25"/>
    <w:rsid w:val="006A422F"/>
    <w:rsid w:val="006A4816"/>
    <w:rsid w:val="006A4B79"/>
    <w:rsid w:val="006A541A"/>
    <w:rsid w:val="006A5C7E"/>
    <w:rsid w:val="006A60BA"/>
    <w:rsid w:val="006A63F4"/>
    <w:rsid w:val="006A645F"/>
    <w:rsid w:val="006B0710"/>
    <w:rsid w:val="006B1035"/>
    <w:rsid w:val="006B10F9"/>
    <w:rsid w:val="006B12F5"/>
    <w:rsid w:val="006B17E8"/>
    <w:rsid w:val="006B279E"/>
    <w:rsid w:val="006B29D8"/>
    <w:rsid w:val="006B31D9"/>
    <w:rsid w:val="006B35B1"/>
    <w:rsid w:val="006B387C"/>
    <w:rsid w:val="006B3B40"/>
    <w:rsid w:val="006B44BD"/>
    <w:rsid w:val="006B45C0"/>
    <w:rsid w:val="006B468F"/>
    <w:rsid w:val="006B55D9"/>
    <w:rsid w:val="006B59A0"/>
    <w:rsid w:val="006B6237"/>
    <w:rsid w:val="006B7DA7"/>
    <w:rsid w:val="006C008E"/>
    <w:rsid w:val="006C03B1"/>
    <w:rsid w:val="006C082C"/>
    <w:rsid w:val="006C0F01"/>
    <w:rsid w:val="006C1252"/>
    <w:rsid w:val="006C142D"/>
    <w:rsid w:val="006C1541"/>
    <w:rsid w:val="006C1610"/>
    <w:rsid w:val="006C171F"/>
    <w:rsid w:val="006C1747"/>
    <w:rsid w:val="006C1BE1"/>
    <w:rsid w:val="006C1E88"/>
    <w:rsid w:val="006C21EF"/>
    <w:rsid w:val="006C2550"/>
    <w:rsid w:val="006C2823"/>
    <w:rsid w:val="006C2833"/>
    <w:rsid w:val="006C2950"/>
    <w:rsid w:val="006C330C"/>
    <w:rsid w:val="006C3751"/>
    <w:rsid w:val="006C3E3C"/>
    <w:rsid w:val="006C403F"/>
    <w:rsid w:val="006C40C5"/>
    <w:rsid w:val="006C420A"/>
    <w:rsid w:val="006C450A"/>
    <w:rsid w:val="006C4AB5"/>
    <w:rsid w:val="006C529C"/>
    <w:rsid w:val="006C5B6B"/>
    <w:rsid w:val="006C6226"/>
    <w:rsid w:val="006C63AF"/>
    <w:rsid w:val="006C656C"/>
    <w:rsid w:val="006C7786"/>
    <w:rsid w:val="006D1A46"/>
    <w:rsid w:val="006D1F68"/>
    <w:rsid w:val="006D21C9"/>
    <w:rsid w:val="006D2865"/>
    <w:rsid w:val="006D2E24"/>
    <w:rsid w:val="006D2F6F"/>
    <w:rsid w:val="006D30A8"/>
    <w:rsid w:val="006D3ED2"/>
    <w:rsid w:val="006D3FFB"/>
    <w:rsid w:val="006D3FFF"/>
    <w:rsid w:val="006D414A"/>
    <w:rsid w:val="006D4B0D"/>
    <w:rsid w:val="006D4BC0"/>
    <w:rsid w:val="006D51D4"/>
    <w:rsid w:val="006D569B"/>
    <w:rsid w:val="006D5A71"/>
    <w:rsid w:val="006D5BEC"/>
    <w:rsid w:val="006D65FC"/>
    <w:rsid w:val="006D706F"/>
    <w:rsid w:val="006D723A"/>
    <w:rsid w:val="006D7B1F"/>
    <w:rsid w:val="006E0205"/>
    <w:rsid w:val="006E0EC9"/>
    <w:rsid w:val="006E187F"/>
    <w:rsid w:val="006E1906"/>
    <w:rsid w:val="006E1CD4"/>
    <w:rsid w:val="006E2565"/>
    <w:rsid w:val="006E2DCA"/>
    <w:rsid w:val="006E4342"/>
    <w:rsid w:val="006E4445"/>
    <w:rsid w:val="006E4564"/>
    <w:rsid w:val="006E488C"/>
    <w:rsid w:val="006E4BF5"/>
    <w:rsid w:val="006E4DD7"/>
    <w:rsid w:val="006E4F27"/>
    <w:rsid w:val="006E4FC9"/>
    <w:rsid w:val="006E5D67"/>
    <w:rsid w:val="006E64BC"/>
    <w:rsid w:val="006E69E0"/>
    <w:rsid w:val="006E6E39"/>
    <w:rsid w:val="006E7AC2"/>
    <w:rsid w:val="006E7B03"/>
    <w:rsid w:val="006F0082"/>
    <w:rsid w:val="006F00D1"/>
    <w:rsid w:val="006F00D8"/>
    <w:rsid w:val="006F142D"/>
    <w:rsid w:val="006F1C25"/>
    <w:rsid w:val="006F2ADF"/>
    <w:rsid w:val="006F3E43"/>
    <w:rsid w:val="006F4192"/>
    <w:rsid w:val="006F4750"/>
    <w:rsid w:val="006F4A2D"/>
    <w:rsid w:val="006F50C6"/>
    <w:rsid w:val="006F515E"/>
    <w:rsid w:val="006F5372"/>
    <w:rsid w:val="006F62CE"/>
    <w:rsid w:val="006F6553"/>
    <w:rsid w:val="006F6E57"/>
    <w:rsid w:val="006F7653"/>
    <w:rsid w:val="006F76AB"/>
    <w:rsid w:val="006F7DB9"/>
    <w:rsid w:val="006F7E18"/>
    <w:rsid w:val="007009F8"/>
    <w:rsid w:val="007019E8"/>
    <w:rsid w:val="00701CFF"/>
    <w:rsid w:val="00701D13"/>
    <w:rsid w:val="00702079"/>
    <w:rsid w:val="0070278F"/>
    <w:rsid w:val="00702DFE"/>
    <w:rsid w:val="007038BF"/>
    <w:rsid w:val="00703975"/>
    <w:rsid w:val="00703C4D"/>
    <w:rsid w:val="00705DAE"/>
    <w:rsid w:val="00705FAF"/>
    <w:rsid w:val="00706C7E"/>
    <w:rsid w:val="007105A1"/>
    <w:rsid w:val="0071122D"/>
    <w:rsid w:val="00711B8D"/>
    <w:rsid w:val="007126AC"/>
    <w:rsid w:val="007133F2"/>
    <w:rsid w:val="00713D8C"/>
    <w:rsid w:val="00714BFC"/>
    <w:rsid w:val="0071525A"/>
    <w:rsid w:val="007152CE"/>
    <w:rsid w:val="0071552B"/>
    <w:rsid w:val="00715EF6"/>
    <w:rsid w:val="00716529"/>
    <w:rsid w:val="00716A15"/>
    <w:rsid w:val="00717A00"/>
    <w:rsid w:val="00717B8E"/>
    <w:rsid w:val="00720268"/>
    <w:rsid w:val="00720558"/>
    <w:rsid w:val="00720646"/>
    <w:rsid w:val="0072069A"/>
    <w:rsid w:val="0072139F"/>
    <w:rsid w:val="00721677"/>
    <w:rsid w:val="0072205B"/>
    <w:rsid w:val="0072234A"/>
    <w:rsid w:val="00722434"/>
    <w:rsid w:val="00722B64"/>
    <w:rsid w:val="007234C3"/>
    <w:rsid w:val="007246BA"/>
    <w:rsid w:val="007247B6"/>
    <w:rsid w:val="0072519E"/>
    <w:rsid w:val="007252ED"/>
    <w:rsid w:val="00725703"/>
    <w:rsid w:val="007259D4"/>
    <w:rsid w:val="00725E23"/>
    <w:rsid w:val="0072682B"/>
    <w:rsid w:val="00726CA8"/>
    <w:rsid w:val="00726F2F"/>
    <w:rsid w:val="00727683"/>
    <w:rsid w:val="007278F6"/>
    <w:rsid w:val="007279C3"/>
    <w:rsid w:val="007300C1"/>
    <w:rsid w:val="0073062C"/>
    <w:rsid w:val="00730FBB"/>
    <w:rsid w:val="0073134B"/>
    <w:rsid w:val="007313CA"/>
    <w:rsid w:val="007314B7"/>
    <w:rsid w:val="0073273A"/>
    <w:rsid w:val="007329F0"/>
    <w:rsid w:val="00732C5A"/>
    <w:rsid w:val="00733FD4"/>
    <w:rsid w:val="00734016"/>
    <w:rsid w:val="00734286"/>
    <w:rsid w:val="0073444A"/>
    <w:rsid w:val="007344E0"/>
    <w:rsid w:val="007345A0"/>
    <w:rsid w:val="00735990"/>
    <w:rsid w:val="0073715E"/>
    <w:rsid w:val="007404A1"/>
    <w:rsid w:val="007405F3"/>
    <w:rsid w:val="007412FF"/>
    <w:rsid w:val="0074141E"/>
    <w:rsid w:val="007415CB"/>
    <w:rsid w:val="00741DA1"/>
    <w:rsid w:val="00742297"/>
    <w:rsid w:val="007422AA"/>
    <w:rsid w:val="00742395"/>
    <w:rsid w:val="00742A93"/>
    <w:rsid w:val="00742B8B"/>
    <w:rsid w:val="007431DB"/>
    <w:rsid w:val="0074467B"/>
    <w:rsid w:val="00744695"/>
    <w:rsid w:val="00745059"/>
    <w:rsid w:val="007451E5"/>
    <w:rsid w:val="00745611"/>
    <w:rsid w:val="00745DC4"/>
    <w:rsid w:val="00746845"/>
    <w:rsid w:val="00746CAE"/>
    <w:rsid w:val="007475BD"/>
    <w:rsid w:val="00747602"/>
    <w:rsid w:val="007478A5"/>
    <w:rsid w:val="00747A91"/>
    <w:rsid w:val="007502D8"/>
    <w:rsid w:val="0075064E"/>
    <w:rsid w:val="00750EDC"/>
    <w:rsid w:val="00751123"/>
    <w:rsid w:val="0075223F"/>
    <w:rsid w:val="007535E7"/>
    <w:rsid w:val="00753D26"/>
    <w:rsid w:val="00756FF5"/>
    <w:rsid w:val="0075739B"/>
    <w:rsid w:val="007573D1"/>
    <w:rsid w:val="0075762B"/>
    <w:rsid w:val="007578CC"/>
    <w:rsid w:val="007607E9"/>
    <w:rsid w:val="0076094B"/>
    <w:rsid w:val="00760C79"/>
    <w:rsid w:val="00760F9A"/>
    <w:rsid w:val="0076136B"/>
    <w:rsid w:val="00762B8C"/>
    <w:rsid w:val="00762FAA"/>
    <w:rsid w:val="00763D09"/>
    <w:rsid w:val="00763ECE"/>
    <w:rsid w:val="00763F01"/>
    <w:rsid w:val="007641D6"/>
    <w:rsid w:val="00764A10"/>
    <w:rsid w:val="007664EB"/>
    <w:rsid w:val="00766BC1"/>
    <w:rsid w:val="00766C00"/>
    <w:rsid w:val="00766D65"/>
    <w:rsid w:val="007670A4"/>
    <w:rsid w:val="0076711A"/>
    <w:rsid w:val="007676FE"/>
    <w:rsid w:val="00767767"/>
    <w:rsid w:val="00767CA3"/>
    <w:rsid w:val="0077074F"/>
    <w:rsid w:val="007707E0"/>
    <w:rsid w:val="007709CA"/>
    <w:rsid w:val="00770F84"/>
    <w:rsid w:val="00771090"/>
    <w:rsid w:val="00771FF1"/>
    <w:rsid w:val="0077216A"/>
    <w:rsid w:val="00772800"/>
    <w:rsid w:val="00772902"/>
    <w:rsid w:val="00772B92"/>
    <w:rsid w:val="00772E07"/>
    <w:rsid w:val="00772EEA"/>
    <w:rsid w:val="007732AD"/>
    <w:rsid w:val="00773445"/>
    <w:rsid w:val="00773726"/>
    <w:rsid w:val="00774204"/>
    <w:rsid w:val="00774E6D"/>
    <w:rsid w:val="007752DC"/>
    <w:rsid w:val="00775F74"/>
    <w:rsid w:val="00775F86"/>
    <w:rsid w:val="00777702"/>
    <w:rsid w:val="007779B3"/>
    <w:rsid w:val="00780009"/>
    <w:rsid w:val="00780363"/>
    <w:rsid w:val="00781688"/>
    <w:rsid w:val="00781D49"/>
    <w:rsid w:val="00781FA9"/>
    <w:rsid w:val="00782256"/>
    <w:rsid w:val="00782597"/>
    <w:rsid w:val="00782782"/>
    <w:rsid w:val="00782A8C"/>
    <w:rsid w:val="00783D9B"/>
    <w:rsid w:val="00783EF5"/>
    <w:rsid w:val="007842C8"/>
    <w:rsid w:val="00784DFF"/>
    <w:rsid w:val="0078563A"/>
    <w:rsid w:val="00785912"/>
    <w:rsid w:val="0078606A"/>
    <w:rsid w:val="0078768B"/>
    <w:rsid w:val="00787B82"/>
    <w:rsid w:val="00787E7C"/>
    <w:rsid w:val="007900F1"/>
    <w:rsid w:val="0079010C"/>
    <w:rsid w:val="00790255"/>
    <w:rsid w:val="00790484"/>
    <w:rsid w:val="00791039"/>
    <w:rsid w:val="00791CC5"/>
    <w:rsid w:val="007932D2"/>
    <w:rsid w:val="007934B1"/>
    <w:rsid w:val="007940B2"/>
    <w:rsid w:val="007940F6"/>
    <w:rsid w:val="007946D6"/>
    <w:rsid w:val="00794B03"/>
    <w:rsid w:val="00794DB1"/>
    <w:rsid w:val="00795AB5"/>
    <w:rsid w:val="00795B8F"/>
    <w:rsid w:val="00795F7D"/>
    <w:rsid w:val="00796306"/>
    <w:rsid w:val="00796EEA"/>
    <w:rsid w:val="007972B9"/>
    <w:rsid w:val="007974AE"/>
    <w:rsid w:val="00797E60"/>
    <w:rsid w:val="007A01CC"/>
    <w:rsid w:val="007A0568"/>
    <w:rsid w:val="007A09D5"/>
    <w:rsid w:val="007A132A"/>
    <w:rsid w:val="007A1534"/>
    <w:rsid w:val="007A1BDF"/>
    <w:rsid w:val="007A219B"/>
    <w:rsid w:val="007A2471"/>
    <w:rsid w:val="007A2B37"/>
    <w:rsid w:val="007A34FD"/>
    <w:rsid w:val="007A3774"/>
    <w:rsid w:val="007A3C87"/>
    <w:rsid w:val="007A45AE"/>
    <w:rsid w:val="007A4838"/>
    <w:rsid w:val="007A488E"/>
    <w:rsid w:val="007A4AAB"/>
    <w:rsid w:val="007A4E89"/>
    <w:rsid w:val="007A5F3B"/>
    <w:rsid w:val="007A641C"/>
    <w:rsid w:val="007A6534"/>
    <w:rsid w:val="007A6F4E"/>
    <w:rsid w:val="007A6F75"/>
    <w:rsid w:val="007A737D"/>
    <w:rsid w:val="007A738E"/>
    <w:rsid w:val="007A79B8"/>
    <w:rsid w:val="007A79FA"/>
    <w:rsid w:val="007A7C4C"/>
    <w:rsid w:val="007B1639"/>
    <w:rsid w:val="007B18AD"/>
    <w:rsid w:val="007B2389"/>
    <w:rsid w:val="007B3851"/>
    <w:rsid w:val="007B3EBE"/>
    <w:rsid w:val="007B422E"/>
    <w:rsid w:val="007B4601"/>
    <w:rsid w:val="007B5293"/>
    <w:rsid w:val="007B5BA3"/>
    <w:rsid w:val="007B66AF"/>
    <w:rsid w:val="007B763E"/>
    <w:rsid w:val="007B77FB"/>
    <w:rsid w:val="007C07EE"/>
    <w:rsid w:val="007C0967"/>
    <w:rsid w:val="007C0980"/>
    <w:rsid w:val="007C119A"/>
    <w:rsid w:val="007C11A3"/>
    <w:rsid w:val="007C12E0"/>
    <w:rsid w:val="007C1520"/>
    <w:rsid w:val="007C4C02"/>
    <w:rsid w:val="007C4D52"/>
    <w:rsid w:val="007C513A"/>
    <w:rsid w:val="007C60B2"/>
    <w:rsid w:val="007C64FD"/>
    <w:rsid w:val="007C66ED"/>
    <w:rsid w:val="007C6A07"/>
    <w:rsid w:val="007C6E88"/>
    <w:rsid w:val="007C70EB"/>
    <w:rsid w:val="007C7701"/>
    <w:rsid w:val="007C77D4"/>
    <w:rsid w:val="007D0128"/>
    <w:rsid w:val="007D01F6"/>
    <w:rsid w:val="007D03D2"/>
    <w:rsid w:val="007D0591"/>
    <w:rsid w:val="007D1018"/>
    <w:rsid w:val="007D181E"/>
    <w:rsid w:val="007D2333"/>
    <w:rsid w:val="007D24F6"/>
    <w:rsid w:val="007D29DB"/>
    <w:rsid w:val="007D2C12"/>
    <w:rsid w:val="007D375A"/>
    <w:rsid w:val="007D3909"/>
    <w:rsid w:val="007D3EF4"/>
    <w:rsid w:val="007D4546"/>
    <w:rsid w:val="007D46A4"/>
    <w:rsid w:val="007D4C8B"/>
    <w:rsid w:val="007D4CEC"/>
    <w:rsid w:val="007D536F"/>
    <w:rsid w:val="007D53F4"/>
    <w:rsid w:val="007D69D5"/>
    <w:rsid w:val="007D6DA5"/>
    <w:rsid w:val="007D6E12"/>
    <w:rsid w:val="007D6FA9"/>
    <w:rsid w:val="007D77D6"/>
    <w:rsid w:val="007E03E3"/>
    <w:rsid w:val="007E0BEC"/>
    <w:rsid w:val="007E1164"/>
    <w:rsid w:val="007E1769"/>
    <w:rsid w:val="007E1F57"/>
    <w:rsid w:val="007E28DD"/>
    <w:rsid w:val="007E3273"/>
    <w:rsid w:val="007E364A"/>
    <w:rsid w:val="007E3DCE"/>
    <w:rsid w:val="007E4E25"/>
    <w:rsid w:val="007E5C7F"/>
    <w:rsid w:val="007E7515"/>
    <w:rsid w:val="007E7C9E"/>
    <w:rsid w:val="007E7D91"/>
    <w:rsid w:val="007F06AC"/>
    <w:rsid w:val="007F0885"/>
    <w:rsid w:val="007F0FA8"/>
    <w:rsid w:val="007F14DC"/>
    <w:rsid w:val="007F192C"/>
    <w:rsid w:val="007F22E9"/>
    <w:rsid w:val="007F2E85"/>
    <w:rsid w:val="007F30E7"/>
    <w:rsid w:val="007F3527"/>
    <w:rsid w:val="007F499D"/>
    <w:rsid w:val="007F4B72"/>
    <w:rsid w:val="007F51ED"/>
    <w:rsid w:val="007F5D4F"/>
    <w:rsid w:val="007F7489"/>
    <w:rsid w:val="0080266F"/>
    <w:rsid w:val="00802702"/>
    <w:rsid w:val="008032F2"/>
    <w:rsid w:val="00803501"/>
    <w:rsid w:val="0080380A"/>
    <w:rsid w:val="0080390C"/>
    <w:rsid w:val="00804B7B"/>
    <w:rsid w:val="00805312"/>
    <w:rsid w:val="00805F8B"/>
    <w:rsid w:val="008060D4"/>
    <w:rsid w:val="00806384"/>
    <w:rsid w:val="00806B5D"/>
    <w:rsid w:val="00807651"/>
    <w:rsid w:val="008079D6"/>
    <w:rsid w:val="00807A0E"/>
    <w:rsid w:val="00807DAE"/>
    <w:rsid w:val="00807E2A"/>
    <w:rsid w:val="00807FB6"/>
    <w:rsid w:val="008101F0"/>
    <w:rsid w:val="008102E4"/>
    <w:rsid w:val="00810F5A"/>
    <w:rsid w:val="00810FCC"/>
    <w:rsid w:val="00811984"/>
    <w:rsid w:val="00811A65"/>
    <w:rsid w:val="0081237D"/>
    <w:rsid w:val="00812AE1"/>
    <w:rsid w:val="00812C69"/>
    <w:rsid w:val="00812E46"/>
    <w:rsid w:val="008135D1"/>
    <w:rsid w:val="00813EE7"/>
    <w:rsid w:val="008141AC"/>
    <w:rsid w:val="00814D08"/>
    <w:rsid w:val="0081502D"/>
    <w:rsid w:val="00815C5C"/>
    <w:rsid w:val="00815EBC"/>
    <w:rsid w:val="00816002"/>
    <w:rsid w:val="00816454"/>
    <w:rsid w:val="00816952"/>
    <w:rsid w:val="00817041"/>
    <w:rsid w:val="00817089"/>
    <w:rsid w:val="0081762A"/>
    <w:rsid w:val="00820044"/>
    <w:rsid w:val="008206E6"/>
    <w:rsid w:val="008206EA"/>
    <w:rsid w:val="00823E24"/>
    <w:rsid w:val="00823F06"/>
    <w:rsid w:val="008244AD"/>
    <w:rsid w:val="00824E8C"/>
    <w:rsid w:val="00824FA4"/>
    <w:rsid w:val="00825F00"/>
    <w:rsid w:val="00826321"/>
    <w:rsid w:val="00826434"/>
    <w:rsid w:val="0082647D"/>
    <w:rsid w:val="00826AF2"/>
    <w:rsid w:val="00826DBC"/>
    <w:rsid w:val="0082703E"/>
    <w:rsid w:val="008270D1"/>
    <w:rsid w:val="00827CF9"/>
    <w:rsid w:val="00827D18"/>
    <w:rsid w:val="008304A5"/>
    <w:rsid w:val="008309F0"/>
    <w:rsid w:val="00831240"/>
    <w:rsid w:val="00831CFA"/>
    <w:rsid w:val="00832FE9"/>
    <w:rsid w:val="00833689"/>
    <w:rsid w:val="0083479D"/>
    <w:rsid w:val="00834A97"/>
    <w:rsid w:val="008359AA"/>
    <w:rsid w:val="00835FC6"/>
    <w:rsid w:val="00836A91"/>
    <w:rsid w:val="00836D64"/>
    <w:rsid w:val="00836F1F"/>
    <w:rsid w:val="008375D3"/>
    <w:rsid w:val="00840351"/>
    <w:rsid w:val="00840696"/>
    <w:rsid w:val="00840B97"/>
    <w:rsid w:val="00840BAF"/>
    <w:rsid w:val="00840C14"/>
    <w:rsid w:val="0084164C"/>
    <w:rsid w:val="00842475"/>
    <w:rsid w:val="00842D29"/>
    <w:rsid w:val="00842D48"/>
    <w:rsid w:val="008431E6"/>
    <w:rsid w:val="00843299"/>
    <w:rsid w:val="008435AD"/>
    <w:rsid w:val="00843DFE"/>
    <w:rsid w:val="008445F3"/>
    <w:rsid w:val="008446F3"/>
    <w:rsid w:val="00844D95"/>
    <w:rsid w:val="00844E11"/>
    <w:rsid w:val="008456E5"/>
    <w:rsid w:val="00845ADE"/>
    <w:rsid w:val="008463B1"/>
    <w:rsid w:val="0084650D"/>
    <w:rsid w:val="00846CD6"/>
    <w:rsid w:val="00847DF6"/>
    <w:rsid w:val="008504C0"/>
    <w:rsid w:val="008504ED"/>
    <w:rsid w:val="008511F9"/>
    <w:rsid w:val="00852BDA"/>
    <w:rsid w:val="00852E50"/>
    <w:rsid w:val="00853C5E"/>
    <w:rsid w:val="00853D6D"/>
    <w:rsid w:val="0085418B"/>
    <w:rsid w:val="008548A9"/>
    <w:rsid w:val="00854C60"/>
    <w:rsid w:val="00855194"/>
    <w:rsid w:val="0085569F"/>
    <w:rsid w:val="00855B17"/>
    <w:rsid w:val="008566E2"/>
    <w:rsid w:val="00856FCD"/>
    <w:rsid w:val="0085713D"/>
    <w:rsid w:val="008572B6"/>
    <w:rsid w:val="00857AEC"/>
    <w:rsid w:val="00857B09"/>
    <w:rsid w:val="00857B44"/>
    <w:rsid w:val="00857E39"/>
    <w:rsid w:val="00857EE8"/>
    <w:rsid w:val="008601DD"/>
    <w:rsid w:val="00860236"/>
    <w:rsid w:val="0086075A"/>
    <w:rsid w:val="00860BC1"/>
    <w:rsid w:val="00860E6B"/>
    <w:rsid w:val="00860EFF"/>
    <w:rsid w:val="008614DC"/>
    <w:rsid w:val="008618BC"/>
    <w:rsid w:val="00861B61"/>
    <w:rsid w:val="00862358"/>
    <w:rsid w:val="00862B6A"/>
    <w:rsid w:val="00864670"/>
    <w:rsid w:val="0086479D"/>
    <w:rsid w:val="00865778"/>
    <w:rsid w:val="008663D0"/>
    <w:rsid w:val="008665EF"/>
    <w:rsid w:val="00866FEE"/>
    <w:rsid w:val="008672F5"/>
    <w:rsid w:val="00870166"/>
    <w:rsid w:val="00870689"/>
    <w:rsid w:val="00870E57"/>
    <w:rsid w:val="00870EE6"/>
    <w:rsid w:val="008713D9"/>
    <w:rsid w:val="008715DA"/>
    <w:rsid w:val="00871B37"/>
    <w:rsid w:val="00871E36"/>
    <w:rsid w:val="008731C0"/>
    <w:rsid w:val="008732C1"/>
    <w:rsid w:val="008734A4"/>
    <w:rsid w:val="00874279"/>
    <w:rsid w:val="008742C4"/>
    <w:rsid w:val="00874AAB"/>
    <w:rsid w:val="00874D4C"/>
    <w:rsid w:val="00874DEE"/>
    <w:rsid w:val="00875632"/>
    <w:rsid w:val="00875BD9"/>
    <w:rsid w:val="00875DD0"/>
    <w:rsid w:val="008763D7"/>
    <w:rsid w:val="00877155"/>
    <w:rsid w:val="00877334"/>
    <w:rsid w:val="0087734D"/>
    <w:rsid w:val="00877721"/>
    <w:rsid w:val="00877A05"/>
    <w:rsid w:val="00880381"/>
    <w:rsid w:val="00880F50"/>
    <w:rsid w:val="00880FA9"/>
    <w:rsid w:val="00881359"/>
    <w:rsid w:val="008815F2"/>
    <w:rsid w:val="0088171E"/>
    <w:rsid w:val="00881DD8"/>
    <w:rsid w:val="00882B59"/>
    <w:rsid w:val="00883653"/>
    <w:rsid w:val="00883712"/>
    <w:rsid w:val="0088401B"/>
    <w:rsid w:val="00884B70"/>
    <w:rsid w:val="00885AFA"/>
    <w:rsid w:val="00885F24"/>
    <w:rsid w:val="00887078"/>
    <w:rsid w:val="008873B1"/>
    <w:rsid w:val="00887620"/>
    <w:rsid w:val="00887CCF"/>
    <w:rsid w:val="00890529"/>
    <w:rsid w:val="00890546"/>
    <w:rsid w:val="00890857"/>
    <w:rsid w:val="008909CB"/>
    <w:rsid w:val="00891B35"/>
    <w:rsid w:val="00892652"/>
    <w:rsid w:val="00892C0C"/>
    <w:rsid w:val="0089325A"/>
    <w:rsid w:val="008938AA"/>
    <w:rsid w:val="0089438A"/>
    <w:rsid w:val="00894662"/>
    <w:rsid w:val="00895AA3"/>
    <w:rsid w:val="00895AF5"/>
    <w:rsid w:val="0089631E"/>
    <w:rsid w:val="0089636A"/>
    <w:rsid w:val="00896973"/>
    <w:rsid w:val="00896ACA"/>
    <w:rsid w:val="00896CCE"/>
    <w:rsid w:val="00896E7A"/>
    <w:rsid w:val="00897134"/>
    <w:rsid w:val="0089755A"/>
    <w:rsid w:val="008975BB"/>
    <w:rsid w:val="00897C37"/>
    <w:rsid w:val="008A133B"/>
    <w:rsid w:val="008A1DFF"/>
    <w:rsid w:val="008A36F4"/>
    <w:rsid w:val="008A4A64"/>
    <w:rsid w:val="008A546E"/>
    <w:rsid w:val="008A5D07"/>
    <w:rsid w:val="008A5E99"/>
    <w:rsid w:val="008A6179"/>
    <w:rsid w:val="008A6E87"/>
    <w:rsid w:val="008A7BEB"/>
    <w:rsid w:val="008B12C5"/>
    <w:rsid w:val="008B163D"/>
    <w:rsid w:val="008B1C96"/>
    <w:rsid w:val="008B1EEA"/>
    <w:rsid w:val="008B2C82"/>
    <w:rsid w:val="008B33AF"/>
    <w:rsid w:val="008B3EBD"/>
    <w:rsid w:val="008B4A6E"/>
    <w:rsid w:val="008B4E75"/>
    <w:rsid w:val="008B52CC"/>
    <w:rsid w:val="008B572B"/>
    <w:rsid w:val="008B5F39"/>
    <w:rsid w:val="008B61CD"/>
    <w:rsid w:val="008B691C"/>
    <w:rsid w:val="008B7666"/>
    <w:rsid w:val="008B779A"/>
    <w:rsid w:val="008B7EEF"/>
    <w:rsid w:val="008C0345"/>
    <w:rsid w:val="008C0ED0"/>
    <w:rsid w:val="008C1007"/>
    <w:rsid w:val="008C183A"/>
    <w:rsid w:val="008C1DAD"/>
    <w:rsid w:val="008C2840"/>
    <w:rsid w:val="008C3663"/>
    <w:rsid w:val="008C4136"/>
    <w:rsid w:val="008C4A5F"/>
    <w:rsid w:val="008C4AEE"/>
    <w:rsid w:val="008C4FEC"/>
    <w:rsid w:val="008C5551"/>
    <w:rsid w:val="008C612F"/>
    <w:rsid w:val="008C6904"/>
    <w:rsid w:val="008C7A5C"/>
    <w:rsid w:val="008C7DE9"/>
    <w:rsid w:val="008D0854"/>
    <w:rsid w:val="008D0935"/>
    <w:rsid w:val="008D0D06"/>
    <w:rsid w:val="008D0D14"/>
    <w:rsid w:val="008D0F72"/>
    <w:rsid w:val="008D0F97"/>
    <w:rsid w:val="008D1D19"/>
    <w:rsid w:val="008D1E47"/>
    <w:rsid w:val="008D25FF"/>
    <w:rsid w:val="008D2E47"/>
    <w:rsid w:val="008D2F4E"/>
    <w:rsid w:val="008D3437"/>
    <w:rsid w:val="008D354C"/>
    <w:rsid w:val="008D3B1D"/>
    <w:rsid w:val="008D3F7D"/>
    <w:rsid w:val="008D4338"/>
    <w:rsid w:val="008D4452"/>
    <w:rsid w:val="008D4A48"/>
    <w:rsid w:val="008D4CE8"/>
    <w:rsid w:val="008D4DDA"/>
    <w:rsid w:val="008D5048"/>
    <w:rsid w:val="008D5BCC"/>
    <w:rsid w:val="008D6287"/>
    <w:rsid w:val="008D6355"/>
    <w:rsid w:val="008D638B"/>
    <w:rsid w:val="008D67A4"/>
    <w:rsid w:val="008D7837"/>
    <w:rsid w:val="008E00A1"/>
    <w:rsid w:val="008E022E"/>
    <w:rsid w:val="008E0445"/>
    <w:rsid w:val="008E0856"/>
    <w:rsid w:val="008E0CA9"/>
    <w:rsid w:val="008E0D53"/>
    <w:rsid w:val="008E21C2"/>
    <w:rsid w:val="008E2A12"/>
    <w:rsid w:val="008E2C32"/>
    <w:rsid w:val="008E2DAB"/>
    <w:rsid w:val="008E3173"/>
    <w:rsid w:val="008E3C76"/>
    <w:rsid w:val="008E40A6"/>
    <w:rsid w:val="008E4429"/>
    <w:rsid w:val="008E54ED"/>
    <w:rsid w:val="008E5A94"/>
    <w:rsid w:val="008E69CB"/>
    <w:rsid w:val="008E6B59"/>
    <w:rsid w:val="008E715A"/>
    <w:rsid w:val="008E7188"/>
    <w:rsid w:val="008E7257"/>
    <w:rsid w:val="008E749D"/>
    <w:rsid w:val="008F073F"/>
    <w:rsid w:val="008F0A8C"/>
    <w:rsid w:val="008F0E74"/>
    <w:rsid w:val="008F12CF"/>
    <w:rsid w:val="008F1BB9"/>
    <w:rsid w:val="008F2DB3"/>
    <w:rsid w:val="008F33B4"/>
    <w:rsid w:val="008F3F29"/>
    <w:rsid w:val="008F4121"/>
    <w:rsid w:val="008F4865"/>
    <w:rsid w:val="008F4987"/>
    <w:rsid w:val="008F4CD9"/>
    <w:rsid w:val="008F54ED"/>
    <w:rsid w:val="008F6131"/>
    <w:rsid w:val="008F69A4"/>
    <w:rsid w:val="008F710B"/>
    <w:rsid w:val="008F7600"/>
    <w:rsid w:val="008F7D8A"/>
    <w:rsid w:val="008F7E80"/>
    <w:rsid w:val="00900DDD"/>
    <w:rsid w:val="00901FF2"/>
    <w:rsid w:val="00902215"/>
    <w:rsid w:val="00902449"/>
    <w:rsid w:val="0090328D"/>
    <w:rsid w:val="0090355F"/>
    <w:rsid w:val="00904199"/>
    <w:rsid w:val="00904235"/>
    <w:rsid w:val="009047A0"/>
    <w:rsid w:val="009048D6"/>
    <w:rsid w:val="00905C5B"/>
    <w:rsid w:val="00905EF5"/>
    <w:rsid w:val="009063AE"/>
    <w:rsid w:val="009065F1"/>
    <w:rsid w:val="00906998"/>
    <w:rsid w:val="00906B79"/>
    <w:rsid w:val="00906ECE"/>
    <w:rsid w:val="00907424"/>
    <w:rsid w:val="00907F88"/>
    <w:rsid w:val="00910477"/>
    <w:rsid w:val="00910FEF"/>
    <w:rsid w:val="0091194C"/>
    <w:rsid w:val="00911BC6"/>
    <w:rsid w:val="009123D2"/>
    <w:rsid w:val="0091269A"/>
    <w:rsid w:val="009126FB"/>
    <w:rsid w:val="009127DE"/>
    <w:rsid w:val="0091290E"/>
    <w:rsid w:val="00912E72"/>
    <w:rsid w:val="0091363A"/>
    <w:rsid w:val="00913A0A"/>
    <w:rsid w:val="00914521"/>
    <w:rsid w:val="00914D7D"/>
    <w:rsid w:val="00914D7F"/>
    <w:rsid w:val="00914E1E"/>
    <w:rsid w:val="009156F4"/>
    <w:rsid w:val="0091583E"/>
    <w:rsid w:val="00915940"/>
    <w:rsid w:val="00915CB3"/>
    <w:rsid w:val="00916D25"/>
    <w:rsid w:val="00917FF4"/>
    <w:rsid w:val="009205C8"/>
    <w:rsid w:val="00920893"/>
    <w:rsid w:val="009208D3"/>
    <w:rsid w:val="00920D51"/>
    <w:rsid w:val="009212C3"/>
    <w:rsid w:val="009213A3"/>
    <w:rsid w:val="0092154E"/>
    <w:rsid w:val="009215CE"/>
    <w:rsid w:val="009220AC"/>
    <w:rsid w:val="0092233A"/>
    <w:rsid w:val="00922706"/>
    <w:rsid w:val="00923838"/>
    <w:rsid w:val="00923B98"/>
    <w:rsid w:val="00923C33"/>
    <w:rsid w:val="00923F84"/>
    <w:rsid w:val="0092401F"/>
    <w:rsid w:val="00926289"/>
    <w:rsid w:val="00926568"/>
    <w:rsid w:val="00927AA6"/>
    <w:rsid w:val="00930287"/>
    <w:rsid w:val="009314AA"/>
    <w:rsid w:val="009325CD"/>
    <w:rsid w:val="00932FBF"/>
    <w:rsid w:val="00933AD5"/>
    <w:rsid w:val="00933E68"/>
    <w:rsid w:val="0093476F"/>
    <w:rsid w:val="00934E40"/>
    <w:rsid w:val="00934EEE"/>
    <w:rsid w:val="0093571B"/>
    <w:rsid w:val="00935AA7"/>
    <w:rsid w:val="00935F21"/>
    <w:rsid w:val="00936227"/>
    <w:rsid w:val="00936931"/>
    <w:rsid w:val="00936A62"/>
    <w:rsid w:val="00937229"/>
    <w:rsid w:val="0093776E"/>
    <w:rsid w:val="00937CA0"/>
    <w:rsid w:val="00937FF7"/>
    <w:rsid w:val="00940387"/>
    <w:rsid w:val="0094048D"/>
    <w:rsid w:val="00940533"/>
    <w:rsid w:val="0094055F"/>
    <w:rsid w:val="00940CE8"/>
    <w:rsid w:val="00941499"/>
    <w:rsid w:val="00941686"/>
    <w:rsid w:val="00942A9B"/>
    <w:rsid w:val="00943296"/>
    <w:rsid w:val="009451CD"/>
    <w:rsid w:val="0094522D"/>
    <w:rsid w:val="009452D6"/>
    <w:rsid w:val="009460E7"/>
    <w:rsid w:val="00946502"/>
    <w:rsid w:val="009468C8"/>
    <w:rsid w:val="00946A5D"/>
    <w:rsid w:val="00947B9B"/>
    <w:rsid w:val="00950243"/>
    <w:rsid w:val="00950B76"/>
    <w:rsid w:val="009517A5"/>
    <w:rsid w:val="0095279D"/>
    <w:rsid w:val="00952A1A"/>
    <w:rsid w:val="00953168"/>
    <w:rsid w:val="00953549"/>
    <w:rsid w:val="009546F0"/>
    <w:rsid w:val="00954AB9"/>
    <w:rsid w:val="00954FBF"/>
    <w:rsid w:val="00955BF5"/>
    <w:rsid w:val="0095610D"/>
    <w:rsid w:val="009564D5"/>
    <w:rsid w:val="00956898"/>
    <w:rsid w:val="00956B79"/>
    <w:rsid w:val="00956C0E"/>
    <w:rsid w:val="00957148"/>
    <w:rsid w:val="0095734B"/>
    <w:rsid w:val="0095743E"/>
    <w:rsid w:val="009577F4"/>
    <w:rsid w:val="00957CD3"/>
    <w:rsid w:val="0096075A"/>
    <w:rsid w:val="00960C97"/>
    <w:rsid w:val="00961902"/>
    <w:rsid w:val="0096211A"/>
    <w:rsid w:val="0096251E"/>
    <w:rsid w:val="00962705"/>
    <w:rsid w:val="00962723"/>
    <w:rsid w:val="00962827"/>
    <w:rsid w:val="00962CA4"/>
    <w:rsid w:val="00963059"/>
    <w:rsid w:val="00963B4F"/>
    <w:rsid w:val="00964174"/>
    <w:rsid w:val="00964777"/>
    <w:rsid w:val="00964ABC"/>
    <w:rsid w:val="00964D11"/>
    <w:rsid w:val="00965EF1"/>
    <w:rsid w:val="0096688A"/>
    <w:rsid w:val="009669E8"/>
    <w:rsid w:val="00966AD4"/>
    <w:rsid w:val="00966C95"/>
    <w:rsid w:val="009670C0"/>
    <w:rsid w:val="009671D3"/>
    <w:rsid w:val="00967816"/>
    <w:rsid w:val="00967BED"/>
    <w:rsid w:val="009704FE"/>
    <w:rsid w:val="009709B3"/>
    <w:rsid w:val="00970E92"/>
    <w:rsid w:val="0097125B"/>
    <w:rsid w:val="009715F6"/>
    <w:rsid w:val="00971652"/>
    <w:rsid w:val="00971B3E"/>
    <w:rsid w:val="00971D02"/>
    <w:rsid w:val="00972588"/>
    <w:rsid w:val="009725E9"/>
    <w:rsid w:val="009728A1"/>
    <w:rsid w:val="00973223"/>
    <w:rsid w:val="00973E25"/>
    <w:rsid w:val="009741BA"/>
    <w:rsid w:val="00974851"/>
    <w:rsid w:val="009749A8"/>
    <w:rsid w:val="00974CE7"/>
    <w:rsid w:val="00974FD3"/>
    <w:rsid w:val="00976DCE"/>
    <w:rsid w:val="009770EE"/>
    <w:rsid w:val="0097733B"/>
    <w:rsid w:val="00980002"/>
    <w:rsid w:val="00980628"/>
    <w:rsid w:val="00981D10"/>
    <w:rsid w:val="00981D7C"/>
    <w:rsid w:val="00982AA6"/>
    <w:rsid w:val="00982BCE"/>
    <w:rsid w:val="00983B94"/>
    <w:rsid w:val="00983D20"/>
    <w:rsid w:val="00984DA8"/>
    <w:rsid w:val="00985684"/>
    <w:rsid w:val="00985B4E"/>
    <w:rsid w:val="00986189"/>
    <w:rsid w:val="00986B16"/>
    <w:rsid w:val="00986BCC"/>
    <w:rsid w:val="00986C31"/>
    <w:rsid w:val="009877BB"/>
    <w:rsid w:val="009902C4"/>
    <w:rsid w:val="0099033D"/>
    <w:rsid w:val="00990ABC"/>
    <w:rsid w:val="009929B6"/>
    <w:rsid w:val="00992F28"/>
    <w:rsid w:val="00993558"/>
    <w:rsid w:val="009941F7"/>
    <w:rsid w:val="00994296"/>
    <w:rsid w:val="00994C26"/>
    <w:rsid w:val="0099574A"/>
    <w:rsid w:val="009971C6"/>
    <w:rsid w:val="00997898"/>
    <w:rsid w:val="0099792D"/>
    <w:rsid w:val="009A016F"/>
    <w:rsid w:val="009A0351"/>
    <w:rsid w:val="009A049B"/>
    <w:rsid w:val="009A0A04"/>
    <w:rsid w:val="009A0DA2"/>
    <w:rsid w:val="009A1437"/>
    <w:rsid w:val="009A168D"/>
    <w:rsid w:val="009A1FC0"/>
    <w:rsid w:val="009A3709"/>
    <w:rsid w:val="009A37A9"/>
    <w:rsid w:val="009A383B"/>
    <w:rsid w:val="009A3994"/>
    <w:rsid w:val="009A3A0F"/>
    <w:rsid w:val="009A3C08"/>
    <w:rsid w:val="009A4137"/>
    <w:rsid w:val="009A45BB"/>
    <w:rsid w:val="009A4D8F"/>
    <w:rsid w:val="009A5684"/>
    <w:rsid w:val="009A568B"/>
    <w:rsid w:val="009A5765"/>
    <w:rsid w:val="009A57A9"/>
    <w:rsid w:val="009A5C61"/>
    <w:rsid w:val="009A6F05"/>
    <w:rsid w:val="009A72FD"/>
    <w:rsid w:val="009A74A9"/>
    <w:rsid w:val="009B0E4E"/>
    <w:rsid w:val="009B0F45"/>
    <w:rsid w:val="009B2FE8"/>
    <w:rsid w:val="009B3CEB"/>
    <w:rsid w:val="009B3F0F"/>
    <w:rsid w:val="009B4A63"/>
    <w:rsid w:val="009B4AF7"/>
    <w:rsid w:val="009B4EAA"/>
    <w:rsid w:val="009B4F49"/>
    <w:rsid w:val="009B4FA4"/>
    <w:rsid w:val="009B58B2"/>
    <w:rsid w:val="009B5BE4"/>
    <w:rsid w:val="009B5F0C"/>
    <w:rsid w:val="009B6386"/>
    <w:rsid w:val="009B6CF9"/>
    <w:rsid w:val="009B6D1A"/>
    <w:rsid w:val="009B706C"/>
    <w:rsid w:val="009B7174"/>
    <w:rsid w:val="009B7989"/>
    <w:rsid w:val="009C0230"/>
    <w:rsid w:val="009C036A"/>
    <w:rsid w:val="009C102D"/>
    <w:rsid w:val="009C1500"/>
    <w:rsid w:val="009C2428"/>
    <w:rsid w:val="009C2A34"/>
    <w:rsid w:val="009C2D97"/>
    <w:rsid w:val="009C32F7"/>
    <w:rsid w:val="009C40FF"/>
    <w:rsid w:val="009C4ED7"/>
    <w:rsid w:val="009C5175"/>
    <w:rsid w:val="009C561E"/>
    <w:rsid w:val="009C7579"/>
    <w:rsid w:val="009C75CD"/>
    <w:rsid w:val="009C7869"/>
    <w:rsid w:val="009D04A8"/>
    <w:rsid w:val="009D0D15"/>
    <w:rsid w:val="009D0DF7"/>
    <w:rsid w:val="009D0E05"/>
    <w:rsid w:val="009D17B7"/>
    <w:rsid w:val="009D2F8F"/>
    <w:rsid w:val="009D302A"/>
    <w:rsid w:val="009D4043"/>
    <w:rsid w:val="009D479F"/>
    <w:rsid w:val="009D4C39"/>
    <w:rsid w:val="009D531F"/>
    <w:rsid w:val="009D5CA4"/>
    <w:rsid w:val="009D60BB"/>
    <w:rsid w:val="009D6569"/>
    <w:rsid w:val="009D66B5"/>
    <w:rsid w:val="009D7CF5"/>
    <w:rsid w:val="009E0587"/>
    <w:rsid w:val="009E10C3"/>
    <w:rsid w:val="009E1296"/>
    <w:rsid w:val="009E1C6D"/>
    <w:rsid w:val="009E1D2D"/>
    <w:rsid w:val="009E2280"/>
    <w:rsid w:val="009E2383"/>
    <w:rsid w:val="009E24D7"/>
    <w:rsid w:val="009E2614"/>
    <w:rsid w:val="009E2770"/>
    <w:rsid w:val="009E2E3E"/>
    <w:rsid w:val="009E2EBB"/>
    <w:rsid w:val="009E2F5B"/>
    <w:rsid w:val="009E3CC2"/>
    <w:rsid w:val="009E444E"/>
    <w:rsid w:val="009E4B61"/>
    <w:rsid w:val="009E4EFE"/>
    <w:rsid w:val="009E50F7"/>
    <w:rsid w:val="009E5918"/>
    <w:rsid w:val="009E6731"/>
    <w:rsid w:val="009E6A15"/>
    <w:rsid w:val="009E6AEA"/>
    <w:rsid w:val="009E6E42"/>
    <w:rsid w:val="009E714B"/>
    <w:rsid w:val="009E7760"/>
    <w:rsid w:val="009E7B11"/>
    <w:rsid w:val="009F052C"/>
    <w:rsid w:val="009F057C"/>
    <w:rsid w:val="009F083B"/>
    <w:rsid w:val="009F08EC"/>
    <w:rsid w:val="009F0ACE"/>
    <w:rsid w:val="009F1AE3"/>
    <w:rsid w:val="009F1CB9"/>
    <w:rsid w:val="009F23DF"/>
    <w:rsid w:val="009F2541"/>
    <w:rsid w:val="009F3B7B"/>
    <w:rsid w:val="009F402B"/>
    <w:rsid w:val="009F461E"/>
    <w:rsid w:val="009F4869"/>
    <w:rsid w:val="009F4C2D"/>
    <w:rsid w:val="009F4E3C"/>
    <w:rsid w:val="009F512E"/>
    <w:rsid w:val="009F5E12"/>
    <w:rsid w:val="009F5F27"/>
    <w:rsid w:val="009F7FB8"/>
    <w:rsid w:val="00A00E73"/>
    <w:rsid w:val="00A0106E"/>
    <w:rsid w:val="00A01535"/>
    <w:rsid w:val="00A017A8"/>
    <w:rsid w:val="00A01D3C"/>
    <w:rsid w:val="00A01EE9"/>
    <w:rsid w:val="00A0256C"/>
    <w:rsid w:val="00A02F02"/>
    <w:rsid w:val="00A03836"/>
    <w:rsid w:val="00A03D6A"/>
    <w:rsid w:val="00A056FC"/>
    <w:rsid w:val="00A05A9D"/>
    <w:rsid w:val="00A05DE1"/>
    <w:rsid w:val="00A0642C"/>
    <w:rsid w:val="00A06466"/>
    <w:rsid w:val="00A07D3D"/>
    <w:rsid w:val="00A07E20"/>
    <w:rsid w:val="00A10745"/>
    <w:rsid w:val="00A11350"/>
    <w:rsid w:val="00A116C1"/>
    <w:rsid w:val="00A117F4"/>
    <w:rsid w:val="00A123E0"/>
    <w:rsid w:val="00A13508"/>
    <w:rsid w:val="00A13849"/>
    <w:rsid w:val="00A13D1E"/>
    <w:rsid w:val="00A14978"/>
    <w:rsid w:val="00A14C69"/>
    <w:rsid w:val="00A154C2"/>
    <w:rsid w:val="00A15EC3"/>
    <w:rsid w:val="00A160B6"/>
    <w:rsid w:val="00A16511"/>
    <w:rsid w:val="00A16CB3"/>
    <w:rsid w:val="00A16E90"/>
    <w:rsid w:val="00A17A84"/>
    <w:rsid w:val="00A20760"/>
    <w:rsid w:val="00A20D89"/>
    <w:rsid w:val="00A21010"/>
    <w:rsid w:val="00A214DC"/>
    <w:rsid w:val="00A21D62"/>
    <w:rsid w:val="00A21F20"/>
    <w:rsid w:val="00A23856"/>
    <w:rsid w:val="00A247BB"/>
    <w:rsid w:val="00A24B6F"/>
    <w:rsid w:val="00A24B9F"/>
    <w:rsid w:val="00A25218"/>
    <w:rsid w:val="00A25AEB"/>
    <w:rsid w:val="00A25B18"/>
    <w:rsid w:val="00A262B3"/>
    <w:rsid w:val="00A266B0"/>
    <w:rsid w:val="00A268FA"/>
    <w:rsid w:val="00A27319"/>
    <w:rsid w:val="00A2771C"/>
    <w:rsid w:val="00A3167E"/>
    <w:rsid w:val="00A316B5"/>
    <w:rsid w:val="00A31E67"/>
    <w:rsid w:val="00A324E1"/>
    <w:rsid w:val="00A32E3C"/>
    <w:rsid w:val="00A333A2"/>
    <w:rsid w:val="00A339CF"/>
    <w:rsid w:val="00A33B7B"/>
    <w:rsid w:val="00A34012"/>
    <w:rsid w:val="00A34BEC"/>
    <w:rsid w:val="00A35B83"/>
    <w:rsid w:val="00A35BF8"/>
    <w:rsid w:val="00A35C83"/>
    <w:rsid w:val="00A36563"/>
    <w:rsid w:val="00A3672D"/>
    <w:rsid w:val="00A3679E"/>
    <w:rsid w:val="00A36AE3"/>
    <w:rsid w:val="00A36FD7"/>
    <w:rsid w:val="00A37314"/>
    <w:rsid w:val="00A37659"/>
    <w:rsid w:val="00A37EEE"/>
    <w:rsid w:val="00A402A1"/>
    <w:rsid w:val="00A41712"/>
    <w:rsid w:val="00A42183"/>
    <w:rsid w:val="00A42689"/>
    <w:rsid w:val="00A42D31"/>
    <w:rsid w:val="00A43C06"/>
    <w:rsid w:val="00A44065"/>
    <w:rsid w:val="00A44996"/>
    <w:rsid w:val="00A44C8F"/>
    <w:rsid w:val="00A45284"/>
    <w:rsid w:val="00A45487"/>
    <w:rsid w:val="00A455E4"/>
    <w:rsid w:val="00A459FE"/>
    <w:rsid w:val="00A46325"/>
    <w:rsid w:val="00A46CE1"/>
    <w:rsid w:val="00A478A6"/>
    <w:rsid w:val="00A507C2"/>
    <w:rsid w:val="00A50A91"/>
    <w:rsid w:val="00A50CAF"/>
    <w:rsid w:val="00A511F8"/>
    <w:rsid w:val="00A51EDB"/>
    <w:rsid w:val="00A52240"/>
    <w:rsid w:val="00A53CD5"/>
    <w:rsid w:val="00A548AE"/>
    <w:rsid w:val="00A54B49"/>
    <w:rsid w:val="00A564ED"/>
    <w:rsid w:val="00A57152"/>
    <w:rsid w:val="00A57232"/>
    <w:rsid w:val="00A575FE"/>
    <w:rsid w:val="00A57C3B"/>
    <w:rsid w:val="00A60332"/>
    <w:rsid w:val="00A60C70"/>
    <w:rsid w:val="00A60E67"/>
    <w:rsid w:val="00A60EDD"/>
    <w:rsid w:val="00A60FD4"/>
    <w:rsid w:val="00A621E2"/>
    <w:rsid w:val="00A62927"/>
    <w:rsid w:val="00A63674"/>
    <w:rsid w:val="00A63D1D"/>
    <w:rsid w:val="00A64595"/>
    <w:rsid w:val="00A64BB6"/>
    <w:rsid w:val="00A6533F"/>
    <w:rsid w:val="00A657EF"/>
    <w:rsid w:val="00A65C9D"/>
    <w:rsid w:val="00A65D06"/>
    <w:rsid w:val="00A67F6E"/>
    <w:rsid w:val="00A700FF"/>
    <w:rsid w:val="00A70530"/>
    <w:rsid w:val="00A70F22"/>
    <w:rsid w:val="00A7188F"/>
    <w:rsid w:val="00A71949"/>
    <w:rsid w:val="00A72142"/>
    <w:rsid w:val="00A72146"/>
    <w:rsid w:val="00A728D9"/>
    <w:rsid w:val="00A72EFD"/>
    <w:rsid w:val="00A7309D"/>
    <w:rsid w:val="00A73440"/>
    <w:rsid w:val="00A7391F"/>
    <w:rsid w:val="00A74640"/>
    <w:rsid w:val="00A7507E"/>
    <w:rsid w:val="00A75BC9"/>
    <w:rsid w:val="00A76416"/>
    <w:rsid w:val="00A8005D"/>
    <w:rsid w:val="00A80DA8"/>
    <w:rsid w:val="00A8215B"/>
    <w:rsid w:val="00A825EF"/>
    <w:rsid w:val="00A82BC3"/>
    <w:rsid w:val="00A83043"/>
    <w:rsid w:val="00A83BCC"/>
    <w:rsid w:val="00A853C9"/>
    <w:rsid w:val="00A855D5"/>
    <w:rsid w:val="00A86066"/>
    <w:rsid w:val="00A86492"/>
    <w:rsid w:val="00A864E9"/>
    <w:rsid w:val="00A869B9"/>
    <w:rsid w:val="00A86D6D"/>
    <w:rsid w:val="00A86EC1"/>
    <w:rsid w:val="00A871D7"/>
    <w:rsid w:val="00A879DE"/>
    <w:rsid w:val="00A87A35"/>
    <w:rsid w:val="00A87EC6"/>
    <w:rsid w:val="00A917B6"/>
    <w:rsid w:val="00A91822"/>
    <w:rsid w:val="00A91F4F"/>
    <w:rsid w:val="00A921AB"/>
    <w:rsid w:val="00A92815"/>
    <w:rsid w:val="00A9364F"/>
    <w:rsid w:val="00A937AE"/>
    <w:rsid w:val="00A93A0D"/>
    <w:rsid w:val="00A94268"/>
    <w:rsid w:val="00A942DA"/>
    <w:rsid w:val="00A94A9D"/>
    <w:rsid w:val="00A94C18"/>
    <w:rsid w:val="00A94E08"/>
    <w:rsid w:val="00A94F17"/>
    <w:rsid w:val="00A9514F"/>
    <w:rsid w:val="00A95957"/>
    <w:rsid w:val="00A95EB9"/>
    <w:rsid w:val="00A96171"/>
    <w:rsid w:val="00A974D6"/>
    <w:rsid w:val="00A9772A"/>
    <w:rsid w:val="00A97EB9"/>
    <w:rsid w:val="00AA0105"/>
    <w:rsid w:val="00AA1FC9"/>
    <w:rsid w:val="00AA218B"/>
    <w:rsid w:val="00AA21DF"/>
    <w:rsid w:val="00AA227A"/>
    <w:rsid w:val="00AA23A7"/>
    <w:rsid w:val="00AA2577"/>
    <w:rsid w:val="00AA2A0A"/>
    <w:rsid w:val="00AA2C8C"/>
    <w:rsid w:val="00AA2DC8"/>
    <w:rsid w:val="00AA3225"/>
    <w:rsid w:val="00AA33C4"/>
    <w:rsid w:val="00AA4E6B"/>
    <w:rsid w:val="00AA4EFC"/>
    <w:rsid w:val="00AA5563"/>
    <w:rsid w:val="00AA58A5"/>
    <w:rsid w:val="00AA58BC"/>
    <w:rsid w:val="00AA590A"/>
    <w:rsid w:val="00AA6326"/>
    <w:rsid w:val="00AA6AE2"/>
    <w:rsid w:val="00AA74C2"/>
    <w:rsid w:val="00AA75F4"/>
    <w:rsid w:val="00AA7ADE"/>
    <w:rsid w:val="00AB0112"/>
    <w:rsid w:val="00AB0528"/>
    <w:rsid w:val="00AB05C7"/>
    <w:rsid w:val="00AB063C"/>
    <w:rsid w:val="00AB0A38"/>
    <w:rsid w:val="00AB0B00"/>
    <w:rsid w:val="00AB0C5B"/>
    <w:rsid w:val="00AB12B5"/>
    <w:rsid w:val="00AB17D9"/>
    <w:rsid w:val="00AB3D0B"/>
    <w:rsid w:val="00AB404E"/>
    <w:rsid w:val="00AB475F"/>
    <w:rsid w:val="00AB4882"/>
    <w:rsid w:val="00AB48CA"/>
    <w:rsid w:val="00AB4D93"/>
    <w:rsid w:val="00AB58A9"/>
    <w:rsid w:val="00AB62C8"/>
    <w:rsid w:val="00AB646B"/>
    <w:rsid w:val="00AB7982"/>
    <w:rsid w:val="00AC11E3"/>
    <w:rsid w:val="00AC1318"/>
    <w:rsid w:val="00AC1518"/>
    <w:rsid w:val="00AC1776"/>
    <w:rsid w:val="00AC1B31"/>
    <w:rsid w:val="00AC1FDB"/>
    <w:rsid w:val="00AC239D"/>
    <w:rsid w:val="00AC2CC5"/>
    <w:rsid w:val="00AC2DA6"/>
    <w:rsid w:val="00AC310C"/>
    <w:rsid w:val="00AC3A4D"/>
    <w:rsid w:val="00AC3A64"/>
    <w:rsid w:val="00AC5215"/>
    <w:rsid w:val="00AC5794"/>
    <w:rsid w:val="00AC57C6"/>
    <w:rsid w:val="00AC5A5A"/>
    <w:rsid w:val="00AC7C70"/>
    <w:rsid w:val="00AC7FE0"/>
    <w:rsid w:val="00AD0F34"/>
    <w:rsid w:val="00AD12F0"/>
    <w:rsid w:val="00AD18A2"/>
    <w:rsid w:val="00AD1AA6"/>
    <w:rsid w:val="00AD1BF1"/>
    <w:rsid w:val="00AD1F14"/>
    <w:rsid w:val="00AD3193"/>
    <w:rsid w:val="00AD3357"/>
    <w:rsid w:val="00AD362E"/>
    <w:rsid w:val="00AD389F"/>
    <w:rsid w:val="00AD3A50"/>
    <w:rsid w:val="00AD411F"/>
    <w:rsid w:val="00AD4589"/>
    <w:rsid w:val="00AD4931"/>
    <w:rsid w:val="00AD5060"/>
    <w:rsid w:val="00AD565F"/>
    <w:rsid w:val="00AD5C38"/>
    <w:rsid w:val="00AD5EC6"/>
    <w:rsid w:val="00AD66E0"/>
    <w:rsid w:val="00AD690E"/>
    <w:rsid w:val="00AD6BD0"/>
    <w:rsid w:val="00AD784F"/>
    <w:rsid w:val="00AD799D"/>
    <w:rsid w:val="00AD7BDB"/>
    <w:rsid w:val="00AD7EC5"/>
    <w:rsid w:val="00AE0547"/>
    <w:rsid w:val="00AE05EB"/>
    <w:rsid w:val="00AE0714"/>
    <w:rsid w:val="00AE1444"/>
    <w:rsid w:val="00AE1A72"/>
    <w:rsid w:val="00AE1C27"/>
    <w:rsid w:val="00AE1D4D"/>
    <w:rsid w:val="00AE2096"/>
    <w:rsid w:val="00AE2A6E"/>
    <w:rsid w:val="00AE30AE"/>
    <w:rsid w:val="00AE3631"/>
    <w:rsid w:val="00AE36E2"/>
    <w:rsid w:val="00AE385D"/>
    <w:rsid w:val="00AE402B"/>
    <w:rsid w:val="00AE462C"/>
    <w:rsid w:val="00AE50E5"/>
    <w:rsid w:val="00AE5B65"/>
    <w:rsid w:val="00AE6212"/>
    <w:rsid w:val="00AE638A"/>
    <w:rsid w:val="00AE6772"/>
    <w:rsid w:val="00AE71FD"/>
    <w:rsid w:val="00AE731C"/>
    <w:rsid w:val="00AE79C9"/>
    <w:rsid w:val="00AEA8F2"/>
    <w:rsid w:val="00AF0702"/>
    <w:rsid w:val="00AF0800"/>
    <w:rsid w:val="00AF19E5"/>
    <w:rsid w:val="00AF2302"/>
    <w:rsid w:val="00AF37A3"/>
    <w:rsid w:val="00AF3AF7"/>
    <w:rsid w:val="00AF3BAC"/>
    <w:rsid w:val="00AF650D"/>
    <w:rsid w:val="00AF6DA2"/>
    <w:rsid w:val="00AF7D38"/>
    <w:rsid w:val="00B001DC"/>
    <w:rsid w:val="00B003E0"/>
    <w:rsid w:val="00B00455"/>
    <w:rsid w:val="00B00DC7"/>
    <w:rsid w:val="00B0173E"/>
    <w:rsid w:val="00B01B09"/>
    <w:rsid w:val="00B0203A"/>
    <w:rsid w:val="00B020B3"/>
    <w:rsid w:val="00B02217"/>
    <w:rsid w:val="00B03380"/>
    <w:rsid w:val="00B0388D"/>
    <w:rsid w:val="00B038F7"/>
    <w:rsid w:val="00B03B09"/>
    <w:rsid w:val="00B03B0B"/>
    <w:rsid w:val="00B040F4"/>
    <w:rsid w:val="00B0442E"/>
    <w:rsid w:val="00B046F6"/>
    <w:rsid w:val="00B049C6"/>
    <w:rsid w:val="00B04E5D"/>
    <w:rsid w:val="00B052BA"/>
    <w:rsid w:val="00B0531E"/>
    <w:rsid w:val="00B055BF"/>
    <w:rsid w:val="00B06C9F"/>
    <w:rsid w:val="00B0705F"/>
    <w:rsid w:val="00B07063"/>
    <w:rsid w:val="00B071CA"/>
    <w:rsid w:val="00B1009C"/>
    <w:rsid w:val="00B102CB"/>
    <w:rsid w:val="00B103C0"/>
    <w:rsid w:val="00B107D1"/>
    <w:rsid w:val="00B10930"/>
    <w:rsid w:val="00B1172C"/>
    <w:rsid w:val="00B11C8A"/>
    <w:rsid w:val="00B11D37"/>
    <w:rsid w:val="00B12191"/>
    <w:rsid w:val="00B123C5"/>
    <w:rsid w:val="00B124DB"/>
    <w:rsid w:val="00B12AFF"/>
    <w:rsid w:val="00B1302E"/>
    <w:rsid w:val="00B1337E"/>
    <w:rsid w:val="00B13515"/>
    <w:rsid w:val="00B14998"/>
    <w:rsid w:val="00B1499D"/>
    <w:rsid w:val="00B14A0C"/>
    <w:rsid w:val="00B14CA6"/>
    <w:rsid w:val="00B15099"/>
    <w:rsid w:val="00B154AD"/>
    <w:rsid w:val="00B16761"/>
    <w:rsid w:val="00B16B7C"/>
    <w:rsid w:val="00B16BDC"/>
    <w:rsid w:val="00B16C8D"/>
    <w:rsid w:val="00B16CDD"/>
    <w:rsid w:val="00B17134"/>
    <w:rsid w:val="00B1741F"/>
    <w:rsid w:val="00B175FB"/>
    <w:rsid w:val="00B2011C"/>
    <w:rsid w:val="00B20762"/>
    <w:rsid w:val="00B20D27"/>
    <w:rsid w:val="00B20E15"/>
    <w:rsid w:val="00B20E85"/>
    <w:rsid w:val="00B2113C"/>
    <w:rsid w:val="00B2148A"/>
    <w:rsid w:val="00B21B8B"/>
    <w:rsid w:val="00B2223A"/>
    <w:rsid w:val="00B22320"/>
    <w:rsid w:val="00B223B5"/>
    <w:rsid w:val="00B2293D"/>
    <w:rsid w:val="00B23048"/>
    <w:rsid w:val="00B233DB"/>
    <w:rsid w:val="00B233EE"/>
    <w:rsid w:val="00B23683"/>
    <w:rsid w:val="00B24A21"/>
    <w:rsid w:val="00B25099"/>
    <w:rsid w:val="00B25B01"/>
    <w:rsid w:val="00B25C47"/>
    <w:rsid w:val="00B260EA"/>
    <w:rsid w:val="00B264B6"/>
    <w:rsid w:val="00B2668E"/>
    <w:rsid w:val="00B267FB"/>
    <w:rsid w:val="00B27864"/>
    <w:rsid w:val="00B305A1"/>
    <w:rsid w:val="00B30DAD"/>
    <w:rsid w:val="00B31519"/>
    <w:rsid w:val="00B31BAC"/>
    <w:rsid w:val="00B323C1"/>
    <w:rsid w:val="00B323DE"/>
    <w:rsid w:val="00B32AAC"/>
    <w:rsid w:val="00B34ED8"/>
    <w:rsid w:val="00B3501F"/>
    <w:rsid w:val="00B35A34"/>
    <w:rsid w:val="00B35D0C"/>
    <w:rsid w:val="00B35E9A"/>
    <w:rsid w:val="00B36B24"/>
    <w:rsid w:val="00B36C74"/>
    <w:rsid w:val="00B40082"/>
    <w:rsid w:val="00B400A3"/>
    <w:rsid w:val="00B4026D"/>
    <w:rsid w:val="00B402EC"/>
    <w:rsid w:val="00B40445"/>
    <w:rsid w:val="00B408F7"/>
    <w:rsid w:val="00B40D5A"/>
    <w:rsid w:val="00B415BF"/>
    <w:rsid w:val="00B41D14"/>
    <w:rsid w:val="00B42B04"/>
    <w:rsid w:val="00B42DC0"/>
    <w:rsid w:val="00B42EB4"/>
    <w:rsid w:val="00B4409F"/>
    <w:rsid w:val="00B44987"/>
    <w:rsid w:val="00B45337"/>
    <w:rsid w:val="00B45EDB"/>
    <w:rsid w:val="00B466A2"/>
    <w:rsid w:val="00B4795C"/>
    <w:rsid w:val="00B5097F"/>
    <w:rsid w:val="00B50C52"/>
    <w:rsid w:val="00B51072"/>
    <w:rsid w:val="00B51ECF"/>
    <w:rsid w:val="00B526B2"/>
    <w:rsid w:val="00B52712"/>
    <w:rsid w:val="00B5283D"/>
    <w:rsid w:val="00B528C9"/>
    <w:rsid w:val="00B53847"/>
    <w:rsid w:val="00B53E1C"/>
    <w:rsid w:val="00B54B87"/>
    <w:rsid w:val="00B54D16"/>
    <w:rsid w:val="00B54FD9"/>
    <w:rsid w:val="00B55BBC"/>
    <w:rsid w:val="00B56265"/>
    <w:rsid w:val="00B56B87"/>
    <w:rsid w:val="00B56DBA"/>
    <w:rsid w:val="00B571D5"/>
    <w:rsid w:val="00B600DC"/>
    <w:rsid w:val="00B60945"/>
    <w:rsid w:val="00B61731"/>
    <w:rsid w:val="00B62F25"/>
    <w:rsid w:val="00B62FD3"/>
    <w:rsid w:val="00B630DC"/>
    <w:rsid w:val="00B630E4"/>
    <w:rsid w:val="00B6362A"/>
    <w:rsid w:val="00B636D1"/>
    <w:rsid w:val="00B6394B"/>
    <w:rsid w:val="00B63A6A"/>
    <w:rsid w:val="00B63A82"/>
    <w:rsid w:val="00B64131"/>
    <w:rsid w:val="00B66A7B"/>
    <w:rsid w:val="00B66C3C"/>
    <w:rsid w:val="00B66D58"/>
    <w:rsid w:val="00B6782D"/>
    <w:rsid w:val="00B67F61"/>
    <w:rsid w:val="00B70197"/>
    <w:rsid w:val="00B7123A"/>
    <w:rsid w:val="00B72289"/>
    <w:rsid w:val="00B728FF"/>
    <w:rsid w:val="00B72AD2"/>
    <w:rsid w:val="00B72F67"/>
    <w:rsid w:val="00B73E28"/>
    <w:rsid w:val="00B74202"/>
    <w:rsid w:val="00B74771"/>
    <w:rsid w:val="00B74844"/>
    <w:rsid w:val="00B75147"/>
    <w:rsid w:val="00B75673"/>
    <w:rsid w:val="00B757A8"/>
    <w:rsid w:val="00B75995"/>
    <w:rsid w:val="00B75AB3"/>
    <w:rsid w:val="00B76BA0"/>
    <w:rsid w:val="00B770F0"/>
    <w:rsid w:val="00B777C3"/>
    <w:rsid w:val="00B77DE2"/>
    <w:rsid w:val="00B8001D"/>
    <w:rsid w:val="00B800EA"/>
    <w:rsid w:val="00B80209"/>
    <w:rsid w:val="00B8095E"/>
    <w:rsid w:val="00B80FC5"/>
    <w:rsid w:val="00B81A98"/>
    <w:rsid w:val="00B824CA"/>
    <w:rsid w:val="00B8252B"/>
    <w:rsid w:val="00B82761"/>
    <w:rsid w:val="00B829C3"/>
    <w:rsid w:val="00B835DD"/>
    <w:rsid w:val="00B851CA"/>
    <w:rsid w:val="00B8543D"/>
    <w:rsid w:val="00B854F1"/>
    <w:rsid w:val="00B857A8"/>
    <w:rsid w:val="00B857D3"/>
    <w:rsid w:val="00B85AAA"/>
    <w:rsid w:val="00B86438"/>
    <w:rsid w:val="00B86CAF"/>
    <w:rsid w:val="00B87326"/>
    <w:rsid w:val="00B87B02"/>
    <w:rsid w:val="00B87C48"/>
    <w:rsid w:val="00B90007"/>
    <w:rsid w:val="00B9045E"/>
    <w:rsid w:val="00B904B2"/>
    <w:rsid w:val="00B907B1"/>
    <w:rsid w:val="00B90840"/>
    <w:rsid w:val="00B90A26"/>
    <w:rsid w:val="00B90D6F"/>
    <w:rsid w:val="00B91144"/>
    <w:rsid w:val="00B9123B"/>
    <w:rsid w:val="00B9153B"/>
    <w:rsid w:val="00B919B6"/>
    <w:rsid w:val="00B91BE6"/>
    <w:rsid w:val="00B9201E"/>
    <w:rsid w:val="00B922E6"/>
    <w:rsid w:val="00B9261D"/>
    <w:rsid w:val="00B92A4A"/>
    <w:rsid w:val="00B92F19"/>
    <w:rsid w:val="00B932E3"/>
    <w:rsid w:val="00B936F4"/>
    <w:rsid w:val="00B938CD"/>
    <w:rsid w:val="00B941C4"/>
    <w:rsid w:val="00B9462E"/>
    <w:rsid w:val="00B94A34"/>
    <w:rsid w:val="00B94CE5"/>
    <w:rsid w:val="00B95026"/>
    <w:rsid w:val="00B95132"/>
    <w:rsid w:val="00B955FE"/>
    <w:rsid w:val="00B956C8"/>
    <w:rsid w:val="00B956D4"/>
    <w:rsid w:val="00B961E1"/>
    <w:rsid w:val="00B96347"/>
    <w:rsid w:val="00B97865"/>
    <w:rsid w:val="00B97D70"/>
    <w:rsid w:val="00BA11C7"/>
    <w:rsid w:val="00BA2934"/>
    <w:rsid w:val="00BA29C8"/>
    <w:rsid w:val="00BA2B02"/>
    <w:rsid w:val="00BA34E4"/>
    <w:rsid w:val="00BA3606"/>
    <w:rsid w:val="00BA4217"/>
    <w:rsid w:val="00BA4E95"/>
    <w:rsid w:val="00BA50A7"/>
    <w:rsid w:val="00BA5445"/>
    <w:rsid w:val="00BA56AF"/>
    <w:rsid w:val="00BA5B93"/>
    <w:rsid w:val="00BA6219"/>
    <w:rsid w:val="00BA6322"/>
    <w:rsid w:val="00BA6469"/>
    <w:rsid w:val="00BA6678"/>
    <w:rsid w:val="00BA73B9"/>
    <w:rsid w:val="00BA7F16"/>
    <w:rsid w:val="00BB000B"/>
    <w:rsid w:val="00BB03D4"/>
    <w:rsid w:val="00BB0CD0"/>
    <w:rsid w:val="00BB1973"/>
    <w:rsid w:val="00BB1996"/>
    <w:rsid w:val="00BB1DF4"/>
    <w:rsid w:val="00BB2E18"/>
    <w:rsid w:val="00BB39AF"/>
    <w:rsid w:val="00BB3B59"/>
    <w:rsid w:val="00BB3E53"/>
    <w:rsid w:val="00BB44DE"/>
    <w:rsid w:val="00BB4F00"/>
    <w:rsid w:val="00BB4F99"/>
    <w:rsid w:val="00BB520A"/>
    <w:rsid w:val="00BB59A9"/>
    <w:rsid w:val="00BB6376"/>
    <w:rsid w:val="00BB6D19"/>
    <w:rsid w:val="00BB74D3"/>
    <w:rsid w:val="00BB75F8"/>
    <w:rsid w:val="00BB77F7"/>
    <w:rsid w:val="00BC1716"/>
    <w:rsid w:val="00BC1B44"/>
    <w:rsid w:val="00BC2455"/>
    <w:rsid w:val="00BC24B9"/>
    <w:rsid w:val="00BC287D"/>
    <w:rsid w:val="00BC2DF1"/>
    <w:rsid w:val="00BC37EC"/>
    <w:rsid w:val="00BC3A8D"/>
    <w:rsid w:val="00BC3F90"/>
    <w:rsid w:val="00BC419C"/>
    <w:rsid w:val="00BC489B"/>
    <w:rsid w:val="00BC4F6A"/>
    <w:rsid w:val="00BC5231"/>
    <w:rsid w:val="00BC55F9"/>
    <w:rsid w:val="00BC5BDC"/>
    <w:rsid w:val="00BC5C8F"/>
    <w:rsid w:val="00BC6A3F"/>
    <w:rsid w:val="00BC7598"/>
    <w:rsid w:val="00BC793F"/>
    <w:rsid w:val="00BC7C37"/>
    <w:rsid w:val="00BD0E6D"/>
    <w:rsid w:val="00BD100D"/>
    <w:rsid w:val="00BD1243"/>
    <w:rsid w:val="00BD23D9"/>
    <w:rsid w:val="00BD259F"/>
    <w:rsid w:val="00BD2D4A"/>
    <w:rsid w:val="00BD2E9B"/>
    <w:rsid w:val="00BD35B2"/>
    <w:rsid w:val="00BD3C3C"/>
    <w:rsid w:val="00BD3CAF"/>
    <w:rsid w:val="00BD40DD"/>
    <w:rsid w:val="00BD4F5C"/>
    <w:rsid w:val="00BD508C"/>
    <w:rsid w:val="00BD5508"/>
    <w:rsid w:val="00BD57A2"/>
    <w:rsid w:val="00BD5BCB"/>
    <w:rsid w:val="00BD5C87"/>
    <w:rsid w:val="00BD5E51"/>
    <w:rsid w:val="00BD5E72"/>
    <w:rsid w:val="00BD636E"/>
    <w:rsid w:val="00BD67D8"/>
    <w:rsid w:val="00BD68A5"/>
    <w:rsid w:val="00BD6A99"/>
    <w:rsid w:val="00BD79EA"/>
    <w:rsid w:val="00BD7C1A"/>
    <w:rsid w:val="00BD7CEE"/>
    <w:rsid w:val="00BD7D0A"/>
    <w:rsid w:val="00BD7F7E"/>
    <w:rsid w:val="00BE015C"/>
    <w:rsid w:val="00BE01C8"/>
    <w:rsid w:val="00BE03CF"/>
    <w:rsid w:val="00BE0EBB"/>
    <w:rsid w:val="00BE1991"/>
    <w:rsid w:val="00BE1C2A"/>
    <w:rsid w:val="00BE1D03"/>
    <w:rsid w:val="00BE22D9"/>
    <w:rsid w:val="00BE284C"/>
    <w:rsid w:val="00BE2BA2"/>
    <w:rsid w:val="00BE2EA6"/>
    <w:rsid w:val="00BE33FF"/>
    <w:rsid w:val="00BE411E"/>
    <w:rsid w:val="00BE4C49"/>
    <w:rsid w:val="00BE57D2"/>
    <w:rsid w:val="00BE581C"/>
    <w:rsid w:val="00BE6BA5"/>
    <w:rsid w:val="00BF0165"/>
    <w:rsid w:val="00BF018F"/>
    <w:rsid w:val="00BF0959"/>
    <w:rsid w:val="00BF1063"/>
    <w:rsid w:val="00BF1AD4"/>
    <w:rsid w:val="00BF1D6E"/>
    <w:rsid w:val="00BF1E9A"/>
    <w:rsid w:val="00BF256B"/>
    <w:rsid w:val="00BF2B7D"/>
    <w:rsid w:val="00BF2D01"/>
    <w:rsid w:val="00BF36B3"/>
    <w:rsid w:val="00BF3999"/>
    <w:rsid w:val="00BF3E86"/>
    <w:rsid w:val="00BF3FC1"/>
    <w:rsid w:val="00BF462E"/>
    <w:rsid w:val="00BF4B8F"/>
    <w:rsid w:val="00BF5807"/>
    <w:rsid w:val="00BF593B"/>
    <w:rsid w:val="00BF6063"/>
    <w:rsid w:val="00BF6A3A"/>
    <w:rsid w:val="00BF6EE4"/>
    <w:rsid w:val="00BF74F7"/>
    <w:rsid w:val="00BF7D12"/>
    <w:rsid w:val="00C0019F"/>
    <w:rsid w:val="00C001CC"/>
    <w:rsid w:val="00C0045C"/>
    <w:rsid w:val="00C00701"/>
    <w:rsid w:val="00C012DD"/>
    <w:rsid w:val="00C015F4"/>
    <w:rsid w:val="00C017A7"/>
    <w:rsid w:val="00C01C0F"/>
    <w:rsid w:val="00C02000"/>
    <w:rsid w:val="00C02322"/>
    <w:rsid w:val="00C02C89"/>
    <w:rsid w:val="00C02F1E"/>
    <w:rsid w:val="00C02F2B"/>
    <w:rsid w:val="00C02F53"/>
    <w:rsid w:val="00C03282"/>
    <w:rsid w:val="00C036A2"/>
    <w:rsid w:val="00C04339"/>
    <w:rsid w:val="00C04837"/>
    <w:rsid w:val="00C05375"/>
    <w:rsid w:val="00C0571D"/>
    <w:rsid w:val="00C058DE"/>
    <w:rsid w:val="00C05984"/>
    <w:rsid w:val="00C06002"/>
    <w:rsid w:val="00C06C26"/>
    <w:rsid w:val="00C06F86"/>
    <w:rsid w:val="00C07D12"/>
    <w:rsid w:val="00C1003E"/>
    <w:rsid w:val="00C10EB4"/>
    <w:rsid w:val="00C11955"/>
    <w:rsid w:val="00C11BDD"/>
    <w:rsid w:val="00C120B0"/>
    <w:rsid w:val="00C12347"/>
    <w:rsid w:val="00C12D54"/>
    <w:rsid w:val="00C130D0"/>
    <w:rsid w:val="00C13309"/>
    <w:rsid w:val="00C142E4"/>
    <w:rsid w:val="00C146D3"/>
    <w:rsid w:val="00C14C34"/>
    <w:rsid w:val="00C14C99"/>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DF0"/>
    <w:rsid w:val="00C22513"/>
    <w:rsid w:val="00C23449"/>
    <w:rsid w:val="00C2353D"/>
    <w:rsid w:val="00C23D49"/>
    <w:rsid w:val="00C24538"/>
    <w:rsid w:val="00C25654"/>
    <w:rsid w:val="00C25905"/>
    <w:rsid w:val="00C25AEF"/>
    <w:rsid w:val="00C25E1B"/>
    <w:rsid w:val="00C26D33"/>
    <w:rsid w:val="00C27C96"/>
    <w:rsid w:val="00C3041F"/>
    <w:rsid w:val="00C3087E"/>
    <w:rsid w:val="00C30B87"/>
    <w:rsid w:val="00C30C03"/>
    <w:rsid w:val="00C30F5D"/>
    <w:rsid w:val="00C3107C"/>
    <w:rsid w:val="00C31202"/>
    <w:rsid w:val="00C318E7"/>
    <w:rsid w:val="00C3256B"/>
    <w:rsid w:val="00C3290F"/>
    <w:rsid w:val="00C333A9"/>
    <w:rsid w:val="00C3371A"/>
    <w:rsid w:val="00C33D1B"/>
    <w:rsid w:val="00C355BE"/>
    <w:rsid w:val="00C355D6"/>
    <w:rsid w:val="00C35F9D"/>
    <w:rsid w:val="00C36202"/>
    <w:rsid w:val="00C36B22"/>
    <w:rsid w:val="00C37D46"/>
    <w:rsid w:val="00C40174"/>
    <w:rsid w:val="00C403F6"/>
    <w:rsid w:val="00C40496"/>
    <w:rsid w:val="00C40588"/>
    <w:rsid w:val="00C41105"/>
    <w:rsid w:val="00C41E0C"/>
    <w:rsid w:val="00C41F50"/>
    <w:rsid w:val="00C420BC"/>
    <w:rsid w:val="00C4356F"/>
    <w:rsid w:val="00C445D8"/>
    <w:rsid w:val="00C44FFB"/>
    <w:rsid w:val="00C45117"/>
    <w:rsid w:val="00C45580"/>
    <w:rsid w:val="00C45A4D"/>
    <w:rsid w:val="00C4622B"/>
    <w:rsid w:val="00C46841"/>
    <w:rsid w:val="00C4768F"/>
    <w:rsid w:val="00C47A86"/>
    <w:rsid w:val="00C47D8D"/>
    <w:rsid w:val="00C50390"/>
    <w:rsid w:val="00C50585"/>
    <w:rsid w:val="00C5113D"/>
    <w:rsid w:val="00C51B94"/>
    <w:rsid w:val="00C52538"/>
    <w:rsid w:val="00C52604"/>
    <w:rsid w:val="00C5296E"/>
    <w:rsid w:val="00C52AD9"/>
    <w:rsid w:val="00C533D8"/>
    <w:rsid w:val="00C54431"/>
    <w:rsid w:val="00C54A63"/>
    <w:rsid w:val="00C54E77"/>
    <w:rsid w:val="00C55066"/>
    <w:rsid w:val="00C550A3"/>
    <w:rsid w:val="00C55552"/>
    <w:rsid w:val="00C55754"/>
    <w:rsid w:val="00C55C8E"/>
    <w:rsid w:val="00C5659B"/>
    <w:rsid w:val="00C56B3B"/>
    <w:rsid w:val="00C570BF"/>
    <w:rsid w:val="00C570E0"/>
    <w:rsid w:val="00C576BE"/>
    <w:rsid w:val="00C578DE"/>
    <w:rsid w:val="00C579C4"/>
    <w:rsid w:val="00C57BEB"/>
    <w:rsid w:val="00C57FFD"/>
    <w:rsid w:val="00C60A5A"/>
    <w:rsid w:val="00C615CF"/>
    <w:rsid w:val="00C61988"/>
    <w:rsid w:val="00C623D4"/>
    <w:rsid w:val="00C624C2"/>
    <w:rsid w:val="00C62510"/>
    <w:rsid w:val="00C62607"/>
    <w:rsid w:val="00C62711"/>
    <w:rsid w:val="00C637F9"/>
    <w:rsid w:val="00C638E4"/>
    <w:rsid w:val="00C63A2A"/>
    <w:rsid w:val="00C64009"/>
    <w:rsid w:val="00C656D0"/>
    <w:rsid w:val="00C66681"/>
    <w:rsid w:val="00C6705C"/>
    <w:rsid w:val="00C67BA8"/>
    <w:rsid w:val="00C71A13"/>
    <w:rsid w:val="00C71C4F"/>
    <w:rsid w:val="00C71D14"/>
    <w:rsid w:val="00C72236"/>
    <w:rsid w:val="00C727A5"/>
    <w:rsid w:val="00C72FDD"/>
    <w:rsid w:val="00C73B0C"/>
    <w:rsid w:val="00C753C3"/>
    <w:rsid w:val="00C7545E"/>
    <w:rsid w:val="00C75C46"/>
    <w:rsid w:val="00C760B9"/>
    <w:rsid w:val="00C765C5"/>
    <w:rsid w:val="00C76E4E"/>
    <w:rsid w:val="00C770A0"/>
    <w:rsid w:val="00C7719E"/>
    <w:rsid w:val="00C77A2A"/>
    <w:rsid w:val="00C77AED"/>
    <w:rsid w:val="00C77BC5"/>
    <w:rsid w:val="00C77E38"/>
    <w:rsid w:val="00C77FCE"/>
    <w:rsid w:val="00C800CC"/>
    <w:rsid w:val="00C80B66"/>
    <w:rsid w:val="00C80B72"/>
    <w:rsid w:val="00C80C15"/>
    <w:rsid w:val="00C81AC3"/>
    <w:rsid w:val="00C81CE1"/>
    <w:rsid w:val="00C82577"/>
    <w:rsid w:val="00C82665"/>
    <w:rsid w:val="00C82712"/>
    <w:rsid w:val="00C828F2"/>
    <w:rsid w:val="00C82AB8"/>
    <w:rsid w:val="00C832E1"/>
    <w:rsid w:val="00C8333A"/>
    <w:rsid w:val="00C834D2"/>
    <w:rsid w:val="00C8371E"/>
    <w:rsid w:val="00C845B0"/>
    <w:rsid w:val="00C84B0C"/>
    <w:rsid w:val="00C84B24"/>
    <w:rsid w:val="00C852B0"/>
    <w:rsid w:val="00C85733"/>
    <w:rsid w:val="00C85DA8"/>
    <w:rsid w:val="00C86B7E"/>
    <w:rsid w:val="00C86C89"/>
    <w:rsid w:val="00C87E46"/>
    <w:rsid w:val="00C90FC1"/>
    <w:rsid w:val="00C91A8A"/>
    <w:rsid w:val="00C91B1A"/>
    <w:rsid w:val="00C92435"/>
    <w:rsid w:val="00C924C6"/>
    <w:rsid w:val="00C928E0"/>
    <w:rsid w:val="00C92A27"/>
    <w:rsid w:val="00C93538"/>
    <w:rsid w:val="00C939EA"/>
    <w:rsid w:val="00C945E2"/>
    <w:rsid w:val="00C94884"/>
    <w:rsid w:val="00C948BA"/>
    <w:rsid w:val="00C94B12"/>
    <w:rsid w:val="00C94B9D"/>
    <w:rsid w:val="00C95504"/>
    <w:rsid w:val="00C956B4"/>
    <w:rsid w:val="00C95A90"/>
    <w:rsid w:val="00C96175"/>
    <w:rsid w:val="00C96292"/>
    <w:rsid w:val="00C96F3F"/>
    <w:rsid w:val="00C97FB7"/>
    <w:rsid w:val="00CA000B"/>
    <w:rsid w:val="00CA00A6"/>
    <w:rsid w:val="00CA0734"/>
    <w:rsid w:val="00CA075E"/>
    <w:rsid w:val="00CA0792"/>
    <w:rsid w:val="00CA1219"/>
    <w:rsid w:val="00CA1BEB"/>
    <w:rsid w:val="00CA1C59"/>
    <w:rsid w:val="00CA1DA5"/>
    <w:rsid w:val="00CA205A"/>
    <w:rsid w:val="00CA2EF7"/>
    <w:rsid w:val="00CA38EF"/>
    <w:rsid w:val="00CA41A6"/>
    <w:rsid w:val="00CA6180"/>
    <w:rsid w:val="00CA69BF"/>
    <w:rsid w:val="00CA71B2"/>
    <w:rsid w:val="00CA760A"/>
    <w:rsid w:val="00CA796C"/>
    <w:rsid w:val="00CB04D7"/>
    <w:rsid w:val="00CB0A6E"/>
    <w:rsid w:val="00CB103B"/>
    <w:rsid w:val="00CB12CF"/>
    <w:rsid w:val="00CB1F29"/>
    <w:rsid w:val="00CB29A6"/>
    <w:rsid w:val="00CB3324"/>
    <w:rsid w:val="00CB359C"/>
    <w:rsid w:val="00CB3636"/>
    <w:rsid w:val="00CB38FE"/>
    <w:rsid w:val="00CB51F4"/>
    <w:rsid w:val="00CB538D"/>
    <w:rsid w:val="00CB5F24"/>
    <w:rsid w:val="00CB6ABB"/>
    <w:rsid w:val="00CB6F19"/>
    <w:rsid w:val="00CC1070"/>
    <w:rsid w:val="00CC134B"/>
    <w:rsid w:val="00CC17D4"/>
    <w:rsid w:val="00CC23BE"/>
    <w:rsid w:val="00CC284E"/>
    <w:rsid w:val="00CC2C0F"/>
    <w:rsid w:val="00CC2E28"/>
    <w:rsid w:val="00CC4116"/>
    <w:rsid w:val="00CC5A6B"/>
    <w:rsid w:val="00CC5E19"/>
    <w:rsid w:val="00CC62DD"/>
    <w:rsid w:val="00CC6CC1"/>
    <w:rsid w:val="00CC70FB"/>
    <w:rsid w:val="00CD06FB"/>
    <w:rsid w:val="00CD079C"/>
    <w:rsid w:val="00CD0D85"/>
    <w:rsid w:val="00CD1398"/>
    <w:rsid w:val="00CD22E1"/>
    <w:rsid w:val="00CD2EDA"/>
    <w:rsid w:val="00CD323E"/>
    <w:rsid w:val="00CD34DA"/>
    <w:rsid w:val="00CD3616"/>
    <w:rsid w:val="00CD3BD7"/>
    <w:rsid w:val="00CD3C25"/>
    <w:rsid w:val="00CD3C76"/>
    <w:rsid w:val="00CD3C7F"/>
    <w:rsid w:val="00CD3CF1"/>
    <w:rsid w:val="00CD4160"/>
    <w:rsid w:val="00CD44C1"/>
    <w:rsid w:val="00CD4B08"/>
    <w:rsid w:val="00CD4DEB"/>
    <w:rsid w:val="00CD5A6D"/>
    <w:rsid w:val="00CD6094"/>
    <w:rsid w:val="00CD65FE"/>
    <w:rsid w:val="00CD7D87"/>
    <w:rsid w:val="00CE0621"/>
    <w:rsid w:val="00CE084F"/>
    <w:rsid w:val="00CE0887"/>
    <w:rsid w:val="00CE09EC"/>
    <w:rsid w:val="00CE0AF8"/>
    <w:rsid w:val="00CE104F"/>
    <w:rsid w:val="00CE17CD"/>
    <w:rsid w:val="00CE17F5"/>
    <w:rsid w:val="00CE23B9"/>
    <w:rsid w:val="00CE270B"/>
    <w:rsid w:val="00CE307F"/>
    <w:rsid w:val="00CE3130"/>
    <w:rsid w:val="00CE37CF"/>
    <w:rsid w:val="00CE4E5B"/>
    <w:rsid w:val="00CE60B2"/>
    <w:rsid w:val="00CE6150"/>
    <w:rsid w:val="00CE770E"/>
    <w:rsid w:val="00CF0622"/>
    <w:rsid w:val="00CF0C9F"/>
    <w:rsid w:val="00CF0ED5"/>
    <w:rsid w:val="00CF0EDA"/>
    <w:rsid w:val="00CF2374"/>
    <w:rsid w:val="00CF2E1C"/>
    <w:rsid w:val="00CF2EF7"/>
    <w:rsid w:val="00CF3FAF"/>
    <w:rsid w:val="00CF43FE"/>
    <w:rsid w:val="00CF45B3"/>
    <w:rsid w:val="00CF4AD6"/>
    <w:rsid w:val="00CF52B9"/>
    <w:rsid w:val="00CF58E1"/>
    <w:rsid w:val="00CF6474"/>
    <w:rsid w:val="00CF66C8"/>
    <w:rsid w:val="00CF6731"/>
    <w:rsid w:val="00CF75B2"/>
    <w:rsid w:val="00CF7678"/>
    <w:rsid w:val="00CF7A44"/>
    <w:rsid w:val="00D0025B"/>
    <w:rsid w:val="00D00B4D"/>
    <w:rsid w:val="00D00F27"/>
    <w:rsid w:val="00D00F5D"/>
    <w:rsid w:val="00D01797"/>
    <w:rsid w:val="00D029D8"/>
    <w:rsid w:val="00D032F2"/>
    <w:rsid w:val="00D037C0"/>
    <w:rsid w:val="00D0394F"/>
    <w:rsid w:val="00D03D23"/>
    <w:rsid w:val="00D04917"/>
    <w:rsid w:val="00D04A8C"/>
    <w:rsid w:val="00D050B3"/>
    <w:rsid w:val="00D063BF"/>
    <w:rsid w:val="00D06D81"/>
    <w:rsid w:val="00D07656"/>
    <w:rsid w:val="00D10136"/>
    <w:rsid w:val="00D101CC"/>
    <w:rsid w:val="00D1055B"/>
    <w:rsid w:val="00D10659"/>
    <w:rsid w:val="00D1093B"/>
    <w:rsid w:val="00D10A78"/>
    <w:rsid w:val="00D10E9A"/>
    <w:rsid w:val="00D11214"/>
    <w:rsid w:val="00D114B2"/>
    <w:rsid w:val="00D11825"/>
    <w:rsid w:val="00D12072"/>
    <w:rsid w:val="00D122DC"/>
    <w:rsid w:val="00D1350D"/>
    <w:rsid w:val="00D13B62"/>
    <w:rsid w:val="00D144B8"/>
    <w:rsid w:val="00D148C2"/>
    <w:rsid w:val="00D14ACD"/>
    <w:rsid w:val="00D1525A"/>
    <w:rsid w:val="00D153B7"/>
    <w:rsid w:val="00D1551D"/>
    <w:rsid w:val="00D15CF9"/>
    <w:rsid w:val="00D1677F"/>
    <w:rsid w:val="00D16976"/>
    <w:rsid w:val="00D16C21"/>
    <w:rsid w:val="00D16EC9"/>
    <w:rsid w:val="00D17056"/>
    <w:rsid w:val="00D172FE"/>
    <w:rsid w:val="00D20E5B"/>
    <w:rsid w:val="00D21F1C"/>
    <w:rsid w:val="00D21FEF"/>
    <w:rsid w:val="00D22892"/>
    <w:rsid w:val="00D233E8"/>
    <w:rsid w:val="00D23509"/>
    <w:rsid w:val="00D23F59"/>
    <w:rsid w:val="00D252F7"/>
    <w:rsid w:val="00D2530F"/>
    <w:rsid w:val="00D2539E"/>
    <w:rsid w:val="00D2678D"/>
    <w:rsid w:val="00D26999"/>
    <w:rsid w:val="00D26E74"/>
    <w:rsid w:val="00D27D89"/>
    <w:rsid w:val="00D27E1D"/>
    <w:rsid w:val="00D27E80"/>
    <w:rsid w:val="00D300E8"/>
    <w:rsid w:val="00D3030E"/>
    <w:rsid w:val="00D30C97"/>
    <w:rsid w:val="00D30EAD"/>
    <w:rsid w:val="00D313B5"/>
    <w:rsid w:val="00D31E2E"/>
    <w:rsid w:val="00D32296"/>
    <w:rsid w:val="00D32B95"/>
    <w:rsid w:val="00D33377"/>
    <w:rsid w:val="00D3390C"/>
    <w:rsid w:val="00D33CB3"/>
    <w:rsid w:val="00D33D6D"/>
    <w:rsid w:val="00D33EBD"/>
    <w:rsid w:val="00D33F77"/>
    <w:rsid w:val="00D356A2"/>
    <w:rsid w:val="00D357D0"/>
    <w:rsid w:val="00D35B85"/>
    <w:rsid w:val="00D36270"/>
    <w:rsid w:val="00D36435"/>
    <w:rsid w:val="00D3677C"/>
    <w:rsid w:val="00D37053"/>
    <w:rsid w:val="00D40899"/>
    <w:rsid w:val="00D40D96"/>
    <w:rsid w:val="00D40F30"/>
    <w:rsid w:val="00D40FAA"/>
    <w:rsid w:val="00D420E6"/>
    <w:rsid w:val="00D427E1"/>
    <w:rsid w:val="00D42C30"/>
    <w:rsid w:val="00D43388"/>
    <w:rsid w:val="00D43D7E"/>
    <w:rsid w:val="00D44193"/>
    <w:rsid w:val="00D44FDA"/>
    <w:rsid w:val="00D45215"/>
    <w:rsid w:val="00D45E89"/>
    <w:rsid w:val="00D46830"/>
    <w:rsid w:val="00D46846"/>
    <w:rsid w:val="00D46CF9"/>
    <w:rsid w:val="00D47D8E"/>
    <w:rsid w:val="00D50080"/>
    <w:rsid w:val="00D50B5B"/>
    <w:rsid w:val="00D50EE1"/>
    <w:rsid w:val="00D514DB"/>
    <w:rsid w:val="00D5292D"/>
    <w:rsid w:val="00D52F6D"/>
    <w:rsid w:val="00D53191"/>
    <w:rsid w:val="00D53496"/>
    <w:rsid w:val="00D534FE"/>
    <w:rsid w:val="00D53C56"/>
    <w:rsid w:val="00D5468A"/>
    <w:rsid w:val="00D551F4"/>
    <w:rsid w:val="00D5666E"/>
    <w:rsid w:val="00D56A7B"/>
    <w:rsid w:val="00D5704F"/>
    <w:rsid w:val="00D570B3"/>
    <w:rsid w:val="00D57657"/>
    <w:rsid w:val="00D576DF"/>
    <w:rsid w:val="00D57DED"/>
    <w:rsid w:val="00D60097"/>
    <w:rsid w:val="00D601B9"/>
    <w:rsid w:val="00D607B1"/>
    <w:rsid w:val="00D61232"/>
    <w:rsid w:val="00D6296F"/>
    <w:rsid w:val="00D62A22"/>
    <w:rsid w:val="00D62CFD"/>
    <w:rsid w:val="00D62E37"/>
    <w:rsid w:val="00D63706"/>
    <w:rsid w:val="00D63D08"/>
    <w:rsid w:val="00D64431"/>
    <w:rsid w:val="00D64F49"/>
    <w:rsid w:val="00D6531D"/>
    <w:rsid w:val="00D659BB"/>
    <w:rsid w:val="00D65EA2"/>
    <w:rsid w:val="00D667E6"/>
    <w:rsid w:val="00D66979"/>
    <w:rsid w:val="00D66D6B"/>
    <w:rsid w:val="00D676CE"/>
    <w:rsid w:val="00D679C9"/>
    <w:rsid w:val="00D700F4"/>
    <w:rsid w:val="00D70F23"/>
    <w:rsid w:val="00D71B65"/>
    <w:rsid w:val="00D72594"/>
    <w:rsid w:val="00D73298"/>
    <w:rsid w:val="00D73943"/>
    <w:rsid w:val="00D73980"/>
    <w:rsid w:val="00D74A76"/>
    <w:rsid w:val="00D7542C"/>
    <w:rsid w:val="00D75557"/>
    <w:rsid w:val="00D759F3"/>
    <w:rsid w:val="00D7611C"/>
    <w:rsid w:val="00D767EB"/>
    <w:rsid w:val="00D76867"/>
    <w:rsid w:val="00D776EC"/>
    <w:rsid w:val="00D77BB7"/>
    <w:rsid w:val="00D802F7"/>
    <w:rsid w:val="00D8049B"/>
    <w:rsid w:val="00D80CB4"/>
    <w:rsid w:val="00D811E6"/>
    <w:rsid w:val="00D813F0"/>
    <w:rsid w:val="00D81B14"/>
    <w:rsid w:val="00D839EF"/>
    <w:rsid w:val="00D84734"/>
    <w:rsid w:val="00D8489F"/>
    <w:rsid w:val="00D84A2E"/>
    <w:rsid w:val="00D853EF"/>
    <w:rsid w:val="00D85646"/>
    <w:rsid w:val="00D85D08"/>
    <w:rsid w:val="00D861B7"/>
    <w:rsid w:val="00D863A1"/>
    <w:rsid w:val="00D865A9"/>
    <w:rsid w:val="00D8672F"/>
    <w:rsid w:val="00D86D6A"/>
    <w:rsid w:val="00D86F79"/>
    <w:rsid w:val="00D87B58"/>
    <w:rsid w:val="00D90B17"/>
    <w:rsid w:val="00D90CB5"/>
    <w:rsid w:val="00D9139C"/>
    <w:rsid w:val="00D91887"/>
    <w:rsid w:val="00D91DC1"/>
    <w:rsid w:val="00D9253C"/>
    <w:rsid w:val="00D925B1"/>
    <w:rsid w:val="00D93BD6"/>
    <w:rsid w:val="00D95BBA"/>
    <w:rsid w:val="00D961E9"/>
    <w:rsid w:val="00D96C8D"/>
    <w:rsid w:val="00D97614"/>
    <w:rsid w:val="00D97736"/>
    <w:rsid w:val="00DA0F1E"/>
    <w:rsid w:val="00DA12CD"/>
    <w:rsid w:val="00DA171C"/>
    <w:rsid w:val="00DA1969"/>
    <w:rsid w:val="00DA1E3E"/>
    <w:rsid w:val="00DA2675"/>
    <w:rsid w:val="00DA37DA"/>
    <w:rsid w:val="00DA3F4F"/>
    <w:rsid w:val="00DA5869"/>
    <w:rsid w:val="00DA6630"/>
    <w:rsid w:val="00DA6EC8"/>
    <w:rsid w:val="00DA739F"/>
    <w:rsid w:val="00DA747C"/>
    <w:rsid w:val="00DA7803"/>
    <w:rsid w:val="00DA7869"/>
    <w:rsid w:val="00DA7C12"/>
    <w:rsid w:val="00DB0540"/>
    <w:rsid w:val="00DB07A8"/>
    <w:rsid w:val="00DB082E"/>
    <w:rsid w:val="00DB091B"/>
    <w:rsid w:val="00DB0AB2"/>
    <w:rsid w:val="00DB0BB5"/>
    <w:rsid w:val="00DB0CF2"/>
    <w:rsid w:val="00DB0D0E"/>
    <w:rsid w:val="00DB2044"/>
    <w:rsid w:val="00DB22F7"/>
    <w:rsid w:val="00DB272F"/>
    <w:rsid w:val="00DB391C"/>
    <w:rsid w:val="00DB3AC8"/>
    <w:rsid w:val="00DB46A1"/>
    <w:rsid w:val="00DB478C"/>
    <w:rsid w:val="00DB47FA"/>
    <w:rsid w:val="00DB57A2"/>
    <w:rsid w:val="00DB67FC"/>
    <w:rsid w:val="00DB6932"/>
    <w:rsid w:val="00DB69BF"/>
    <w:rsid w:val="00DB707E"/>
    <w:rsid w:val="00DB7388"/>
    <w:rsid w:val="00DC11F2"/>
    <w:rsid w:val="00DC1343"/>
    <w:rsid w:val="00DC17E2"/>
    <w:rsid w:val="00DC19C1"/>
    <w:rsid w:val="00DC1C66"/>
    <w:rsid w:val="00DC201E"/>
    <w:rsid w:val="00DC2079"/>
    <w:rsid w:val="00DC22C9"/>
    <w:rsid w:val="00DC2B9C"/>
    <w:rsid w:val="00DC38DA"/>
    <w:rsid w:val="00DC39BE"/>
    <w:rsid w:val="00DC4BCF"/>
    <w:rsid w:val="00DC52D5"/>
    <w:rsid w:val="00DC53CD"/>
    <w:rsid w:val="00DC5CC9"/>
    <w:rsid w:val="00DC5E0B"/>
    <w:rsid w:val="00DC5FEE"/>
    <w:rsid w:val="00DC6720"/>
    <w:rsid w:val="00DC7131"/>
    <w:rsid w:val="00DD0028"/>
    <w:rsid w:val="00DD0AE1"/>
    <w:rsid w:val="00DD112F"/>
    <w:rsid w:val="00DD123F"/>
    <w:rsid w:val="00DD15FA"/>
    <w:rsid w:val="00DD1A23"/>
    <w:rsid w:val="00DD21DA"/>
    <w:rsid w:val="00DD238C"/>
    <w:rsid w:val="00DD23B3"/>
    <w:rsid w:val="00DD390F"/>
    <w:rsid w:val="00DD4019"/>
    <w:rsid w:val="00DD4551"/>
    <w:rsid w:val="00DD47FF"/>
    <w:rsid w:val="00DD4F44"/>
    <w:rsid w:val="00DD57C4"/>
    <w:rsid w:val="00DD68D0"/>
    <w:rsid w:val="00DD69EA"/>
    <w:rsid w:val="00DD7210"/>
    <w:rsid w:val="00DD7728"/>
    <w:rsid w:val="00DD7AB2"/>
    <w:rsid w:val="00DE0938"/>
    <w:rsid w:val="00DE0B09"/>
    <w:rsid w:val="00DE1115"/>
    <w:rsid w:val="00DE1DDC"/>
    <w:rsid w:val="00DE2E2E"/>
    <w:rsid w:val="00DE2F8D"/>
    <w:rsid w:val="00DE39D2"/>
    <w:rsid w:val="00DE3EAE"/>
    <w:rsid w:val="00DE3F3C"/>
    <w:rsid w:val="00DE4270"/>
    <w:rsid w:val="00DE4405"/>
    <w:rsid w:val="00DE4ECC"/>
    <w:rsid w:val="00DE5531"/>
    <w:rsid w:val="00DE559B"/>
    <w:rsid w:val="00DE57E3"/>
    <w:rsid w:val="00DE5F1B"/>
    <w:rsid w:val="00DE61CF"/>
    <w:rsid w:val="00DE63B4"/>
    <w:rsid w:val="00DE6678"/>
    <w:rsid w:val="00DE6AB6"/>
    <w:rsid w:val="00DE7567"/>
    <w:rsid w:val="00DE7EFB"/>
    <w:rsid w:val="00DF158C"/>
    <w:rsid w:val="00DF18BD"/>
    <w:rsid w:val="00DF18F0"/>
    <w:rsid w:val="00DF1C7B"/>
    <w:rsid w:val="00DF1D77"/>
    <w:rsid w:val="00DF1F50"/>
    <w:rsid w:val="00DF34CF"/>
    <w:rsid w:val="00DF4148"/>
    <w:rsid w:val="00DF41CF"/>
    <w:rsid w:val="00DF458B"/>
    <w:rsid w:val="00DF500E"/>
    <w:rsid w:val="00DF62B4"/>
    <w:rsid w:val="00DF6BA6"/>
    <w:rsid w:val="00DF6BAF"/>
    <w:rsid w:val="00DF6E60"/>
    <w:rsid w:val="00DF6E70"/>
    <w:rsid w:val="00DF72E5"/>
    <w:rsid w:val="00DF7539"/>
    <w:rsid w:val="00E004F8"/>
    <w:rsid w:val="00E00BD3"/>
    <w:rsid w:val="00E010EE"/>
    <w:rsid w:val="00E013C4"/>
    <w:rsid w:val="00E024E3"/>
    <w:rsid w:val="00E025CE"/>
    <w:rsid w:val="00E02D64"/>
    <w:rsid w:val="00E03B97"/>
    <w:rsid w:val="00E04202"/>
    <w:rsid w:val="00E04286"/>
    <w:rsid w:val="00E04433"/>
    <w:rsid w:val="00E0467E"/>
    <w:rsid w:val="00E04F92"/>
    <w:rsid w:val="00E04FDB"/>
    <w:rsid w:val="00E059A8"/>
    <w:rsid w:val="00E05FA1"/>
    <w:rsid w:val="00E06021"/>
    <w:rsid w:val="00E060E8"/>
    <w:rsid w:val="00E06DF9"/>
    <w:rsid w:val="00E07652"/>
    <w:rsid w:val="00E07915"/>
    <w:rsid w:val="00E1048C"/>
    <w:rsid w:val="00E106F4"/>
    <w:rsid w:val="00E10832"/>
    <w:rsid w:val="00E10F0F"/>
    <w:rsid w:val="00E1150F"/>
    <w:rsid w:val="00E1157A"/>
    <w:rsid w:val="00E124F2"/>
    <w:rsid w:val="00E131C3"/>
    <w:rsid w:val="00E13F1C"/>
    <w:rsid w:val="00E1423E"/>
    <w:rsid w:val="00E146C9"/>
    <w:rsid w:val="00E14BEF"/>
    <w:rsid w:val="00E14DB1"/>
    <w:rsid w:val="00E151BC"/>
    <w:rsid w:val="00E15593"/>
    <w:rsid w:val="00E15756"/>
    <w:rsid w:val="00E1735D"/>
    <w:rsid w:val="00E173EF"/>
    <w:rsid w:val="00E17D3A"/>
    <w:rsid w:val="00E17FD5"/>
    <w:rsid w:val="00E2048D"/>
    <w:rsid w:val="00E20BB7"/>
    <w:rsid w:val="00E20EC5"/>
    <w:rsid w:val="00E21019"/>
    <w:rsid w:val="00E22C61"/>
    <w:rsid w:val="00E235CC"/>
    <w:rsid w:val="00E2413A"/>
    <w:rsid w:val="00E2422A"/>
    <w:rsid w:val="00E25800"/>
    <w:rsid w:val="00E25D6A"/>
    <w:rsid w:val="00E26072"/>
    <w:rsid w:val="00E268CA"/>
    <w:rsid w:val="00E26F00"/>
    <w:rsid w:val="00E270DC"/>
    <w:rsid w:val="00E276BC"/>
    <w:rsid w:val="00E2770D"/>
    <w:rsid w:val="00E279E6"/>
    <w:rsid w:val="00E27C10"/>
    <w:rsid w:val="00E27E2C"/>
    <w:rsid w:val="00E27FE9"/>
    <w:rsid w:val="00E30455"/>
    <w:rsid w:val="00E3085C"/>
    <w:rsid w:val="00E3140A"/>
    <w:rsid w:val="00E31612"/>
    <w:rsid w:val="00E324B0"/>
    <w:rsid w:val="00E327AB"/>
    <w:rsid w:val="00E32D33"/>
    <w:rsid w:val="00E33CAB"/>
    <w:rsid w:val="00E34404"/>
    <w:rsid w:val="00E34909"/>
    <w:rsid w:val="00E3501B"/>
    <w:rsid w:val="00E36306"/>
    <w:rsid w:val="00E365C7"/>
    <w:rsid w:val="00E36EBD"/>
    <w:rsid w:val="00E371D6"/>
    <w:rsid w:val="00E3787A"/>
    <w:rsid w:val="00E40CE5"/>
    <w:rsid w:val="00E4139F"/>
    <w:rsid w:val="00E41D31"/>
    <w:rsid w:val="00E41D72"/>
    <w:rsid w:val="00E425EA"/>
    <w:rsid w:val="00E4291F"/>
    <w:rsid w:val="00E42E08"/>
    <w:rsid w:val="00E437BF"/>
    <w:rsid w:val="00E43A33"/>
    <w:rsid w:val="00E44023"/>
    <w:rsid w:val="00E443B7"/>
    <w:rsid w:val="00E451EE"/>
    <w:rsid w:val="00E455A6"/>
    <w:rsid w:val="00E45E11"/>
    <w:rsid w:val="00E4621E"/>
    <w:rsid w:val="00E467D0"/>
    <w:rsid w:val="00E47185"/>
    <w:rsid w:val="00E4734F"/>
    <w:rsid w:val="00E50C1C"/>
    <w:rsid w:val="00E5116E"/>
    <w:rsid w:val="00E51170"/>
    <w:rsid w:val="00E51820"/>
    <w:rsid w:val="00E51B4C"/>
    <w:rsid w:val="00E5288D"/>
    <w:rsid w:val="00E52BD4"/>
    <w:rsid w:val="00E52C81"/>
    <w:rsid w:val="00E53367"/>
    <w:rsid w:val="00E5428E"/>
    <w:rsid w:val="00E5437A"/>
    <w:rsid w:val="00E5460F"/>
    <w:rsid w:val="00E547A4"/>
    <w:rsid w:val="00E54ADB"/>
    <w:rsid w:val="00E54AF7"/>
    <w:rsid w:val="00E5688B"/>
    <w:rsid w:val="00E56ABA"/>
    <w:rsid w:val="00E56E44"/>
    <w:rsid w:val="00E57313"/>
    <w:rsid w:val="00E57F02"/>
    <w:rsid w:val="00E60130"/>
    <w:rsid w:val="00E61AA2"/>
    <w:rsid w:val="00E61CC5"/>
    <w:rsid w:val="00E62C18"/>
    <w:rsid w:val="00E62C78"/>
    <w:rsid w:val="00E63145"/>
    <w:rsid w:val="00E633CC"/>
    <w:rsid w:val="00E63BC3"/>
    <w:rsid w:val="00E6424E"/>
    <w:rsid w:val="00E642EA"/>
    <w:rsid w:val="00E6471B"/>
    <w:rsid w:val="00E649C7"/>
    <w:rsid w:val="00E65DB8"/>
    <w:rsid w:val="00E6604C"/>
    <w:rsid w:val="00E66712"/>
    <w:rsid w:val="00E66BA3"/>
    <w:rsid w:val="00E67650"/>
    <w:rsid w:val="00E67C24"/>
    <w:rsid w:val="00E67CE3"/>
    <w:rsid w:val="00E7111B"/>
    <w:rsid w:val="00E71305"/>
    <w:rsid w:val="00E713B6"/>
    <w:rsid w:val="00E71722"/>
    <w:rsid w:val="00E72BA5"/>
    <w:rsid w:val="00E72F17"/>
    <w:rsid w:val="00E733F1"/>
    <w:rsid w:val="00E735B2"/>
    <w:rsid w:val="00E747E5"/>
    <w:rsid w:val="00E74AA1"/>
    <w:rsid w:val="00E74F3B"/>
    <w:rsid w:val="00E75E16"/>
    <w:rsid w:val="00E76653"/>
    <w:rsid w:val="00E7713B"/>
    <w:rsid w:val="00E77A27"/>
    <w:rsid w:val="00E77FEC"/>
    <w:rsid w:val="00E80356"/>
    <w:rsid w:val="00E808FD"/>
    <w:rsid w:val="00E81A6F"/>
    <w:rsid w:val="00E81B4C"/>
    <w:rsid w:val="00E8224A"/>
    <w:rsid w:val="00E835CF"/>
    <w:rsid w:val="00E84E32"/>
    <w:rsid w:val="00E85349"/>
    <w:rsid w:val="00E85502"/>
    <w:rsid w:val="00E86001"/>
    <w:rsid w:val="00E8798C"/>
    <w:rsid w:val="00E87BD1"/>
    <w:rsid w:val="00E9103F"/>
    <w:rsid w:val="00E9117B"/>
    <w:rsid w:val="00E91BB9"/>
    <w:rsid w:val="00E92440"/>
    <w:rsid w:val="00E92E01"/>
    <w:rsid w:val="00E93D25"/>
    <w:rsid w:val="00E9406B"/>
    <w:rsid w:val="00E94384"/>
    <w:rsid w:val="00E94AF1"/>
    <w:rsid w:val="00E94B21"/>
    <w:rsid w:val="00E94DBA"/>
    <w:rsid w:val="00E94F80"/>
    <w:rsid w:val="00E95CE1"/>
    <w:rsid w:val="00E967C8"/>
    <w:rsid w:val="00E96ECD"/>
    <w:rsid w:val="00E9704C"/>
    <w:rsid w:val="00EA06BF"/>
    <w:rsid w:val="00EA07A2"/>
    <w:rsid w:val="00EA09B9"/>
    <w:rsid w:val="00EA0E83"/>
    <w:rsid w:val="00EA1734"/>
    <w:rsid w:val="00EA275F"/>
    <w:rsid w:val="00EA27EE"/>
    <w:rsid w:val="00EA2F56"/>
    <w:rsid w:val="00EA3C6C"/>
    <w:rsid w:val="00EA4082"/>
    <w:rsid w:val="00EA4DCF"/>
    <w:rsid w:val="00EA5607"/>
    <w:rsid w:val="00EA5920"/>
    <w:rsid w:val="00EA5D5E"/>
    <w:rsid w:val="00EA6756"/>
    <w:rsid w:val="00EA68AD"/>
    <w:rsid w:val="00EA6918"/>
    <w:rsid w:val="00EA6D2A"/>
    <w:rsid w:val="00EA71BF"/>
    <w:rsid w:val="00EA7941"/>
    <w:rsid w:val="00EB02CD"/>
    <w:rsid w:val="00EB0416"/>
    <w:rsid w:val="00EB096A"/>
    <w:rsid w:val="00EB0B55"/>
    <w:rsid w:val="00EB0BF5"/>
    <w:rsid w:val="00EB1065"/>
    <w:rsid w:val="00EB1245"/>
    <w:rsid w:val="00EB18CC"/>
    <w:rsid w:val="00EB1944"/>
    <w:rsid w:val="00EB21D7"/>
    <w:rsid w:val="00EB237C"/>
    <w:rsid w:val="00EB308A"/>
    <w:rsid w:val="00EB320F"/>
    <w:rsid w:val="00EB3269"/>
    <w:rsid w:val="00EB3AB7"/>
    <w:rsid w:val="00EB3D2C"/>
    <w:rsid w:val="00EB5235"/>
    <w:rsid w:val="00EB54F5"/>
    <w:rsid w:val="00EB559C"/>
    <w:rsid w:val="00EB5776"/>
    <w:rsid w:val="00EB5DE4"/>
    <w:rsid w:val="00EB6430"/>
    <w:rsid w:val="00EB6607"/>
    <w:rsid w:val="00EB6C5A"/>
    <w:rsid w:val="00EB7184"/>
    <w:rsid w:val="00EC03C8"/>
    <w:rsid w:val="00EC064A"/>
    <w:rsid w:val="00EC09D7"/>
    <w:rsid w:val="00EC0E98"/>
    <w:rsid w:val="00EC116C"/>
    <w:rsid w:val="00EC1395"/>
    <w:rsid w:val="00EC1431"/>
    <w:rsid w:val="00EC1B3F"/>
    <w:rsid w:val="00EC20CC"/>
    <w:rsid w:val="00EC28A7"/>
    <w:rsid w:val="00EC306F"/>
    <w:rsid w:val="00EC31DF"/>
    <w:rsid w:val="00EC353D"/>
    <w:rsid w:val="00EC3CE4"/>
    <w:rsid w:val="00EC435F"/>
    <w:rsid w:val="00EC4555"/>
    <w:rsid w:val="00EC6927"/>
    <w:rsid w:val="00EC72A0"/>
    <w:rsid w:val="00EC7471"/>
    <w:rsid w:val="00EC79D2"/>
    <w:rsid w:val="00EC7D26"/>
    <w:rsid w:val="00ED01D0"/>
    <w:rsid w:val="00ED02AA"/>
    <w:rsid w:val="00ED0897"/>
    <w:rsid w:val="00ED0902"/>
    <w:rsid w:val="00ED1D9B"/>
    <w:rsid w:val="00ED2005"/>
    <w:rsid w:val="00ED3247"/>
    <w:rsid w:val="00ED336C"/>
    <w:rsid w:val="00ED3564"/>
    <w:rsid w:val="00ED36A0"/>
    <w:rsid w:val="00ED388E"/>
    <w:rsid w:val="00ED4B9D"/>
    <w:rsid w:val="00ED623F"/>
    <w:rsid w:val="00ED6459"/>
    <w:rsid w:val="00ED6AAE"/>
    <w:rsid w:val="00ED7184"/>
    <w:rsid w:val="00EE02CC"/>
    <w:rsid w:val="00EE0DB6"/>
    <w:rsid w:val="00EE0E59"/>
    <w:rsid w:val="00EE13B5"/>
    <w:rsid w:val="00EE1626"/>
    <w:rsid w:val="00EE18DA"/>
    <w:rsid w:val="00EE18E7"/>
    <w:rsid w:val="00EE218D"/>
    <w:rsid w:val="00EE21D2"/>
    <w:rsid w:val="00EE26F5"/>
    <w:rsid w:val="00EE2FA4"/>
    <w:rsid w:val="00EE3230"/>
    <w:rsid w:val="00EE3537"/>
    <w:rsid w:val="00EE3DFD"/>
    <w:rsid w:val="00EE3F59"/>
    <w:rsid w:val="00EE4246"/>
    <w:rsid w:val="00EE552C"/>
    <w:rsid w:val="00EE55AE"/>
    <w:rsid w:val="00EE5B42"/>
    <w:rsid w:val="00EE6168"/>
    <w:rsid w:val="00EE68A1"/>
    <w:rsid w:val="00EE6BB0"/>
    <w:rsid w:val="00EE6E8D"/>
    <w:rsid w:val="00EE75D5"/>
    <w:rsid w:val="00EE7712"/>
    <w:rsid w:val="00EE7A54"/>
    <w:rsid w:val="00EE7DF5"/>
    <w:rsid w:val="00EF03F1"/>
    <w:rsid w:val="00EF07CD"/>
    <w:rsid w:val="00EF0A85"/>
    <w:rsid w:val="00EF0EB6"/>
    <w:rsid w:val="00EF10D6"/>
    <w:rsid w:val="00EF1E23"/>
    <w:rsid w:val="00EF1E5E"/>
    <w:rsid w:val="00EF2167"/>
    <w:rsid w:val="00EF2777"/>
    <w:rsid w:val="00EF2B48"/>
    <w:rsid w:val="00EF2D7A"/>
    <w:rsid w:val="00EF2DAB"/>
    <w:rsid w:val="00EF3364"/>
    <w:rsid w:val="00EF3A12"/>
    <w:rsid w:val="00EF3E6F"/>
    <w:rsid w:val="00EF4066"/>
    <w:rsid w:val="00EF40CC"/>
    <w:rsid w:val="00EF422E"/>
    <w:rsid w:val="00EF4FFB"/>
    <w:rsid w:val="00EF53AA"/>
    <w:rsid w:val="00EF58D8"/>
    <w:rsid w:val="00EF5C79"/>
    <w:rsid w:val="00EF5C80"/>
    <w:rsid w:val="00EF7B49"/>
    <w:rsid w:val="00F003FC"/>
    <w:rsid w:val="00F00416"/>
    <w:rsid w:val="00F00C17"/>
    <w:rsid w:val="00F00E4F"/>
    <w:rsid w:val="00F0196D"/>
    <w:rsid w:val="00F041AA"/>
    <w:rsid w:val="00F0438F"/>
    <w:rsid w:val="00F04AFB"/>
    <w:rsid w:val="00F051E2"/>
    <w:rsid w:val="00F051F3"/>
    <w:rsid w:val="00F0548A"/>
    <w:rsid w:val="00F05587"/>
    <w:rsid w:val="00F05C6F"/>
    <w:rsid w:val="00F06602"/>
    <w:rsid w:val="00F06DE4"/>
    <w:rsid w:val="00F07634"/>
    <w:rsid w:val="00F07650"/>
    <w:rsid w:val="00F10D21"/>
    <w:rsid w:val="00F12204"/>
    <w:rsid w:val="00F12406"/>
    <w:rsid w:val="00F1258B"/>
    <w:rsid w:val="00F127A8"/>
    <w:rsid w:val="00F133B9"/>
    <w:rsid w:val="00F13618"/>
    <w:rsid w:val="00F13CF8"/>
    <w:rsid w:val="00F13E48"/>
    <w:rsid w:val="00F14B42"/>
    <w:rsid w:val="00F15423"/>
    <w:rsid w:val="00F15955"/>
    <w:rsid w:val="00F159EB"/>
    <w:rsid w:val="00F164A8"/>
    <w:rsid w:val="00F16844"/>
    <w:rsid w:val="00F1698F"/>
    <w:rsid w:val="00F17037"/>
    <w:rsid w:val="00F17242"/>
    <w:rsid w:val="00F17AB1"/>
    <w:rsid w:val="00F17F2D"/>
    <w:rsid w:val="00F20FA2"/>
    <w:rsid w:val="00F21843"/>
    <w:rsid w:val="00F21926"/>
    <w:rsid w:val="00F22124"/>
    <w:rsid w:val="00F223EB"/>
    <w:rsid w:val="00F2268C"/>
    <w:rsid w:val="00F229F2"/>
    <w:rsid w:val="00F22F7E"/>
    <w:rsid w:val="00F240FF"/>
    <w:rsid w:val="00F249E9"/>
    <w:rsid w:val="00F24E73"/>
    <w:rsid w:val="00F250B1"/>
    <w:rsid w:val="00F25447"/>
    <w:rsid w:val="00F25F56"/>
    <w:rsid w:val="00F26341"/>
    <w:rsid w:val="00F267DE"/>
    <w:rsid w:val="00F26A08"/>
    <w:rsid w:val="00F26CC1"/>
    <w:rsid w:val="00F27659"/>
    <w:rsid w:val="00F27988"/>
    <w:rsid w:val="00F27E79"/>
    <w:rsid w:val="00F30E69"/>
    <w:rsid w:val="00F31A51"/>
    <w:rsid w:val="00F31EDA"/>
    <w:rsid w:val="00F32E24"/>
    <w:rsid w:val="00F33172"/>
    <w:rsid w:val="00F33512"/>
    <w:rsid w:val="00F33977"/>
    <w:rsid w:val="00F33DE6"/>
    <w:rsid w:val="00F34103"/>
    <w:rsid w:val="00F3448A"/>
    <w:rsid w:val="00F349A7"/>
    <w:rsid w:val="00F349CD"/>
    <w:rsid w:val="00F34A56"/>
    <w:rsid w:val="00F35A44"/>
    <w:rsid w:val="00F3662C"/>
    <w:rsid w:val="00F36F5B"/>
    <w:rsid w:val="00F36FDD"/>
    <w:rsid w:val="00F3783C"/>
    <w:rsid w:val="00F378B6"/>
    <w:rsid w:val="00F37BDE"/>
    <w:rsid w:val="00F40182"/>
    <w:rsid w:val="00F402F7"/>
    <w:rsid w:val="00F41733"/>
    <w:rsid w:val="00F41A33"/>
    <w:rsid w:val="00F41DBE"/>
    <w:rsid w:val="00F420B5"/>
    <w:rsid w:val="00F42119"/>
    <w:rsid w:val="00F4234C"/>
    <w:rsid w:val="00F42832"/>
    <w:rsid w:val="00F428CC"/>
    <w:rsid w:val="00F42F84"/>
    <w:rsid w:val="00F43A94"/>
    <w:rsid w:val="00F43F64"/>
    <w:rsid w:val="00F43F86"/>
    <w:rsid w:val="00F447DF"/>
    <w:rsid w:val="00F44A4F"/>
    <w:rsid w:val="00F44DD3"/>
    <w:rsid w:val="00F44FF7"/>
    <w:rsid w:val="00F45983"/>
    <w:rsid w:val="00F4761A"/>
    <w:rsid w:val="00F47CEB"/>
    <w:rsid w:val="00F507DE"/>
    <w:rsid w:val="00F50F84"/>
    <w:rsid w:val="00F51C26"/>
    <w:rsid w:val="00F54207"/>
    <w:rsid w:val="00F542B9"/>
    <w:rsid w:val="00F54579"/>
    <w:rsid w:val="00F54885"/>
    <w:rsid w:val="00F548D3"/>
    <w:rsid w:val="00F54B4B"/>
    <w:rsid w:val="00F54CA4"/>
    <w:rsid w:val="00F54E74"/>
    <w:rsid w:val="00F55385"/>
    <w:rsid w:val="00F5625A"/>
    <w:rsid w:val="00F56480"/>
    <w:rsid w:val="00F568E1"/>
    <w:rsid w:val="00F5769D"/>
    <w:rsid w:val="00F57783"/>
    <w:rsid w:val="00F578B0"/>
    <w:rsid w:val="00F57C26"/>
    <w:rsid w:val="00F60749"/>
    <w:rsid w:val="00F60994"/>
    <w:rsid w:val="00F61752"/>
    <w:rsid w:val="00F6203D"/>
    <w:rsid w:val="00F624D0"/>
    <w:rsid w:val="00F62BCF"/>
    <w:rsid w:val="00F63543"/>
    <w:rsid w:val="00F6365C"/>
    <w:rsid w:val="00F6385B"/>
    <w:rsid w:val="00F63A1F"/>
    <w:rsid w:val="00F641E5"/>
    <w:rsid w:val="00F64692"/>
    <w:rsid w:val="00F64A3B"/>
    <w:rsid w:val="00F64AA8"/>
    <w:rsid w:val="00F65132"/>
    <w:rsid w:val="00F65ADC"/>
    <w:rsid w:val="00F65C08"/>
    <w:rsid w:val="00F65E13"/>
    <w:rsid w:val="00F672E4"/>
    <w:rsid w:val="00F67577"/>
    <w:rsid w:val="00F67913"/>
    <w:rsid w:val="00F679FA"/>
    <w:rsid w:val="00F709CF"/>
    <w:rsid w:val="00F70D63"/>
    <w:rsid w:val="00F70F1B"/>
    <w:rsid w:val="00F7132A"/>
    <w:rsid w:val="00F71525"/>
    <w:rsid w:val="00F71A88"/>
    <w:rsid w:val="00F7257D"/>
    <w:rsid w:val="00F7269D"/>
    <w:rsid w:val="00F72DDE"/>
    <w:rsid w:val="00F72DF4"/>
    <w:rsid w:val="00F7343D"/>
    <w:rsid w:val="00F736FB"/>
    <w:rsid w:val="00F74499"/>
    <w:rsid w:val="00F745DD"/>
    <w:rsid w:val="00F75C43"/>
    <w:rsid w:val="00F75C61"/>
    <w:rsid w:val="00F75DD0"/>
    <w:rsid w:val="00F765AE"/>
    <w:rsid w:val="00F76753"/>
    <w:rsid w:val="00F76B83"/>
    <w:rsid w:val="00F77130"/>
    <w:rsid w:val="00F77473"/>
    <w:rsid w:val="00F7757C"/>
    <w:rsid w:val="00F77800"/>
    <w:rsid w:val="00F77D5C"/>
    <w:rsid w:val="00F79AE4"/>
    <w:rsid w:val="00F8080F"/>
    <w:rsid w:val="00F80903"/>
    <w:rsid w:val="00F80945"/>
    <w:rsid w:val="00F80D42"/>
    <w:rsid w:val="00F80D74"/>
    <w:rsid w:val="00F80E08"/>
    <w:rsid w:val="00F80F86"/>
    <w:rsid w:val="00F8124E"/>
    <w:rsid w:val="00F81286"/>
    <w:rsid w:val="00F8189B"/>
    <w:rsid w:val="00F8196A"/>
    <w:rsid w:val="00F82647"/>
    <w:rsid w:val="00F82D8B"/>
    <w:rsid w:val="00F83970"/>
    <w:rsid w:val="00F853AC"/>
    <w:rsid w:val="00F85667"/>
    <w:rsid w:val="00F8680B"/>
    <w:rsid w:val="00F8683A"/>
    <w:rsid w:val="00F86DAD"/>
    <w:rsid w:val="00F87FD8"/>
    <w:rsid w:val="00F906F4"/>
    <w:rsid w:val="00F90D58"/>
    <w:rsid w:val="00F91CD2"/>
    <w:rsid w:val="00F91F0B"/>
    <w:rsid w:val="00F92249"/>
    <w:rsid w:val="00F92A7B"/>
    <w:rsid w:val="00F92B67"/>
    <w:rsid w:val="00F92FEC"/>
    <w:rsid w:val="00F93366"/>
    <w:rsid w:val="00F9361E"/>
    <w:rsid w:val="00F93AF8"/>
    <w:rsid w:val="00F93E7E"/>
    <w:rsid w:val="00F93E9F"/>
    <w:rsid w:val="00F94AEE"/>
    <w:rsid w:val="00F95215"/>
    <w:rsid w:val="00F95D06"/>
    <w:rsid w:val="00F96011"/>
    <w:rsid w:val="00F9632F"/>
    <w:rsid w:val="00F96348"/>
    <w:rsid w:val="00F970A5"/>
    <w:rsid w:val="00F97245"/>
    <w:rsid w:val="00F97565"/>
    <w:rsid w:val="00F97EA6"/>
    <w:rsid w:val="00F9EC30"/>
    <w:rsid w:val="00FA04F4"/>
    <w:rsid w:val="00FA09EC"/>
    <w:rsid w:val="00FA0D96"/>
    <w:rsid w:val="00FA1B83"/>
    <w:rsid w:val="00FA2385"/>
    <w:rsid w:val="00FA285A"/>
    <w:rsid w:val="00FA2ABC"/>
    <w:rsid w:val="00FA41B8"/>
    <w:rsid w:val="00FA4759"/>
    <w:rsid w:val="00FA4A24"/>
    <w:rsid w:val="00FA4EF5"/>
    <w:rsid w:val="00FA515B"/>
    <w:rsid w:val="00FA5DF0"/>
    <w:rsid w:val="00FA73E4"/>
    <w:rsid w:val="00FB0D73"/>
    <w:rsid w:val="00FB1361"/>
    <w:rsid w:val="00FB1DB4"/>
    <w:rsid w:val="00FB2469"/>
    <w:rsid w:val="00FB249D"/>
    <w:rsid w:val="00FB2F76"/>
    <w:rsid w:val="00FB3EE1"/>
    <w:rsid w:val="00FB3EF2"/>
    <w:rsid w:val="00FB3EF6"/>
    <w:rsid w:val="00FB413A"/>
    <w:rsid w:val="00FB41E3"/>
    <w:rsid w:val="00FB4358"/>
    <w:rsid w:val="00FB4651"/>
    <w:rsid w:val="00FB468D"/>
    <w:rsid w:val="00FB46A2"/>
    <w:rsid w:val="00FB58CE"/>
    <w:rsid w:val="00FB5A8E"/>
    <w:rsid w:val="00FB61A9"/>
    <w:rsid w:val="00FB7229"/>
    <w:rsid w:val="00FB752F"/>
    <w:rsid w:val="00FB7A15"/>
    <w:rsid w:val="00FC0010"/>
    <w:rsid w:val="00FC0869"/>
    <w:rsid w:val="00FC0DA5"/>
    <w:rsid w:val="00FC0E9A"/>
    <w:rsid w:val="00FC14AD"/>
    <w:rsid w:val="00FC1867"/>
    <w:rsid w:val="00FC1A66"/>
    <w:rsid w:val="00FC24E1"/>
    <w:rsid w:val="00FC2BF9"/>
    <w:rsid w:val="00FC48A8"/>
    <w:rsid w:val="00FC5C6B"/>
    <w:rsid w:val="00FC64FC"/>
    <w:rsid w:val="00FC6AA6"/>
    <w:rsid w:val="00FC6F3B"/>
    <w:rsid w:val="00FC7088"/>
    <w:rsid w:val="00FC715C"/>
    <w:rsid w:val="00FC77DE"/>
    <w:rsid w:val="00FC7DDD"/>
    <w:rsid w:val="00FD0B00"/>
    <w:rsid w:val="00FD0DD7"/>
    <w:rsid w:val="00FD188F"/>
    <w:rsid w:val="00FD1D60"/>
    <w:rsid w:val="00FD1F1E"/>
    <w:rsid w:val="00FD222C"/>
    <w:rsid w:val="00FD2466"/>
    <w:rsid w:val="00FD257A"/>
    <w:rsid w:val="00FD25E7"/>
    <w:rsid w:val="00FD3136"/>
    <w:rsid w:val="00FD338A"/>
    <w:rsid w:val="00FD34C3"/>
    <w:rsid w:val="00FD37F1"/>
    <w:rsid w:val="00FD3D87"/>
    <w:rsid w:val="00FD485C"/>
    <w:rsid w:val="00FD4CE0"/>
    <w:rsid w:val="00FD52F4"/>
    <w:rsid w:val="00FD750B"/>
    <w:rsid w:val="00FD77E9"/>
    <w:rsid w:val="00FD7A99"/>
    <w:rsid w:val="00FE02CE"/>
    <w:rsid w:val="00FE1973"/>
    <w:rsid w:val="00FE20D5"/>
    <w:rsid w:val="00FE2AD1"/>
    <w:rsid w:val="00FE2D46"/>
    <w:rsid w:val="00FE38E2"/>
    <w:rsid w:val="00FE42A3"/>
    <w:rsid w:val="00FE4826"/>
    <w:rsid w:val="00FE51C8"/>
    <w:rsid w:val="00FE5DE5"/>
    <w:rsid w:val="00FE612C"/>
    <w:rsid w:val="00FE6838"/>
    <w:rsid w:val="00FF06C6"/>
    <w:rsid w:val="00FF09F1"/>
    <w:rsid w:val="00FF16B5"/>
    <w:rsid w:val="00FF17A3"/>
    <w:rsid w:val="00FF2372"/>
    <w:rsid w:val="00FF244B"/>
    <w:rsid w:val="00FF2FFB"/>
    <w:rsid w:val="00FF307B"/>
    <w:rsid w:val="00FF3E27"/>
    <w:rsid w:val="00FF42BD"/>
    <w:rsid w:val="00FF4630"/>
    <w:rsid w:val="00FF50C3"/>
    <w:rsid w:val="00FF5B10"/>
    <w:rsid w:val="00FF5BD7"/>
    <w:rsid w:val="00FF5DBE"/>
    <w:rsid w:val="00FF5F4F"/>
    <w:rsid w:val="00FF6574"/>
    <w:rsid w:val="00FF68D6"/>
    <w:rsid w:val="00FF71B7"/>
    <w:rsid w:val="00FF753B"/>
    <w:rsid w:val="00FF7606"/>
    <w:rsid w:val="00FF77E3"/>
    <w:rsid w:val="00FF79C7"/>
    <w:rsid w:val="01510A89"/>
    <w:rsid w:val="015B3B32"/>
    <w:rsid w:val="018A1DC1"/>
    <w:rsid w:val="01A9DF76"/>
    <w:rsid w:val="01BC1C93"/>
    <w:rsid w:val="01C6030E"/>
    <w:rsid w:val="01D75B90"/>
    <w:rsid w:val="01E86002"/>
    <w:rsid w:val="024C3632"/>
    <w:rsid w:val="029439B8"/>
    <w:rsid w:val="029DB6BC"/>
    <w:rsid w:val="02CBB707"/>
    <w:rsid w:val="0329B6D5"/>
    <w:rsid w:val="03896240"/>
    <w:rsid w:val="04224A23"/>
    <w:rsid w:val="04475C51"/>
    <w:rsid w:val="0488FA81"/>
    <w:rsid w:val="04C1270B"/>
    <w:rsid w:val="04EE6DE0"/>
    <w:rsid w:val="05023968"/>
    <w:rsid w:val="0525717C"/>
    <w:rsid w:val="05294CF5"/>
    <w:rsid w:val="053C7AEE"/>
    <w:rsid w:val="056B801A"/>
    <w:rsid w:val="057A1CDC"/>
    <w:rsid w:val="05D792FE"/>
    <w:rsid w:val="05DAAC02"/>
    <w:rsid w:val="05F44926"/>
    <w:rsid w:val="060D4839"/>
    <w:rsid w:val="0689A87B"/>
    <w:rsid w:val="06A60EEA"/>
    <w:rsid w:val="06AD870B"/>
    <w:rsid w:val="078E7498"/>
    <w:rsid w:val="07A41556"/>
    <w:rsid w:val="07B55379"/>
    <w:rsid w:val="081DF5FD"/>
    <w:rsid w:val="082305F5"/>
    <w:rsid w:val="08A457CA"/>
    <w:rsid w:val="08A59E8E"/>
    <w:rsid w:val="096DA742"/>
    <w:rsid w:val="09B1A0D4"/>
    <w:rsid w:val="09BFC79B"/>
    <w:rsid w:val="09E17766"/>
    <w:rsid w:val="09FC5971"/>
    <w:rsid w:val="0A161A66"/>
    <w:rsid w:val="0A9450D3"/>
    <w:rsid w:val="0A954440"/>
    <w:rsid w:val="0A9748BE"/>
    <w:rsid w:val="0B0475BA"/>
    <w:rsid w:val="0B095C0C"/>
    <w:rsid w:val="0B63EA43"/>
    <w:rsid w:val="0C255A72"/>
    <w:rsid w:val="0C66426B"/>
    <w:rsid w:val="0C963635"/>
    <w:rsid w:val="0CAA367A"/>
    <w:rsid w:val="0D07B499"/>
    <w:rsid w:val="0D470BB9"/>
    <w:rsid w:val="0D9682F7"/>
    <w:rsid w:val="0E1C06E8"/>
    <w:rsid w:val="0E21001F"/>
    <w:rsid w:val="0E81ED6A"/>
    <w:rsid w:val="0E900758"/>
    <w:rsid w:val="0E927D21"/>
    <w:rsid w:val="0EAEFF64"/>
    <w:rsid w:val="0EB706DE"/>
    <w:rsid w:val="0F7DC3D2"/>
    <w:rsid w:val="0F892891"/>
    <w:rsid w:val="0FA24CFE"/>
    <w:rsid w:val="102AE3AD"/>
    <w:rsid w:val="1041B739"/>
    <w:rsid w:val="1060EBD4"/>
    <w:rsid w:val="10741B89"/>
    <w:rsid w:val="1077C609"/>
    <w:rsid w:val="10900D84"/>
    <w:rsid w:val="10A799ED"/>
    <w:rsid w:val="10D24D7F"/>
    <w:rsid w:val="10DCE3DE"/>
    <w:rsid w:val="114FF422"/>
    <w:rsid w:val="1154117A"/>
    <w:rsid w:val="1154F934"/>
    <w:rsid w:val="1174FF24"/>
    <w:rsid w:val="11ABFB4A"/>
    <w:rsid w:val="11AD7DB5"/>
    <w:rsid w:val="11BC66DE"/>
    <w:rsid w:val="11F1016B"/>
    <w:rsid w:val="11F87A1D"/>
    <w:rsid w:val="11FD0565"/>
    <w:rsid w:val="1204ED7A"/>
    <w:rsid w:val="1248F4FF"/>
    <w:rsid w:val="124FF8B2"/>
    <w:rsid w:val="129EA294"/>
    <w:rsid w:val="12FCF4C2"/>
    <w:rsid w:val="138BE364"/>
    <w:rsid w:val="149BC407"/>
    <w:rsid w:val="14BA708C"/>
    <w:rsid w:val="14C0B352"/>
    <w:rsid w:val="14D13C6C"/>
    <w:rsid w:val="14F0AFD0"/>
    <w:rsid w:val="15615E1E"/>
    <w:rsid w:val="15BC154E"/>
    <w:rsid w:val="15D4FB6D"/>
    <w:rsid w:val="1616DCF9"/>
    <w:rsid w:val="1636EED5"/>
    <w:rsid w:val="168FE673"/>
    <w:rsid w:val="169E6A99"/>
    <w:rsid w:val="16CC90BD"/>
    <w:rsid w:val="16F2E914"/>
    <w:rsid w:val="174B3200"/>
    <w:rsid w:val="175F5645"/>
    <w:rsid w:val="17761885"/>
    <w:rsid w:val="179CA901"/>
    <w:rsid w:val="179CE420"/>
    <w:rsid w:val="17BF26F1"/>
    <w:rsid w:val="18579AC8"/>
    <w:rsid w:val="18658A7B"/>
    <w:rsid w:val="186D17C3"/>
    <w:rsid w:val="18724CAA"/>
    <w:rsid w:val="18F4BDC2"/>
    <w:rsid w:val="190A12C5"/>
    <w:rsid w:val="191C1C77"/>
    <w:rsid w:val="195C8CC4"/>
    <w:rsid w:val="19ABA827"/>
    <w:rsid w:val="19CE8F1E"/>
    <w:rsid w:val="1A069F39"/>
    <w:rsid w:val="1A35A829"/>
    <w:rsid w:val="1A5B0A97"/>
    <w:rsid w:val="1A5B3310"/>
    <w:rsid w:val="1A7D3F42"/>
    <w:rsid w:val="1ABCA352"/>
    <w:rsid w:val="1B03AC77"/>
    <w:rsid w:val="1B645F05"/>
    <w:rsid w:val="1C02410C"/>
    <w:rsid w:val="1C0288B3"/>
    <w:rsid w:val="1C2138B4"/>
    <w:rsid w:val="1C2A4F0F"/>
    <w:rsid w:val="1C42F88F"/>
    <w:rsid w:val="1C477B56"/>
    <w:rsid w:val="1C93E54B"/>
    <w:rsid w:val="1CACC027"/>
    <w:rsid w:val="1D2E718C"/>
    <w:rsid w:val="1DC66D20"/>
    <w:rsid w:val="1DE0F094"/>
    <w:rsid w:val="1DF85838"/>
    <w:rsid w:val="1E072703"/>
    <w:rsid w:val="1E51ED89"/>
    <w:rsid w:val="1EA4B784"/>
    <w:rsid w:val="1EABF902"/>
    <w:rsid w:val="1F331A99"/>
    <w:rsid w:val="1F358224"/>
    <w:rsid w:val="1F37D49E"/>
    <w:rsid w:val="1F4DA379"/>
    <w:rsid w:val="1F7016A8"/>
    <w:rsid w:val="1F8DC5EA"/>
    <w:rsid w:val="1FA060AA"/>
    <w:rsid w:val="1FAA1241"/>
    <w:rsid w:val="201AA392"/>
    <w:rsid w:val="202030D3"/>
    <w:rsid w:val="20377B42"/>
    <w:rsid w:val="20A6EE45"/>
    <w:rsid w:val="20A92C9B"/>
    <w:rsid w:val="20DC37E0"/>
    <w:rsid w:val="2105EAEF"/>
    <w:rsid w:val="212E846A"/>
    <w:rsid w:val="2182525B"/>
    <w:rsid w:val="21FEFF96"/>
    <w:rsid w:val="229DA99C"/>
    <w:rsid w:val="22BAA69B"/>
    <w:rsid w:val="22C13260"/>
    <w:rsid w:val="22F62800"/>
    <w:rsid w:val="231E22BC"/>
    <w:rsid w:val="232555FD"/>
    <w:rsid w:val="23A019EC"/>
    <w:rsid w:val="23C14F65"/>
    <w:rsid w:val="241B8C43"/>
    <w:rsid w:val="24399694"/>
    <w:rsid w:val="24472BA0"/>
    <w:rsid w:val="2470191C"/>
    <w:rsid w:val="24A4FF0C"/>
    <w:rsid w:val="24C4A822"/>
    <w:rsid w:val="24CC7C98"/>
    <w:rsid w:val="24D5C060"/>
    <w:rsid w:val="252A33BD"/>
    <w:rsid w:val="25C424A3"/>
    <w:rsid w:val="261B2E33"/>
    <w:rsid w:val="263FECCD"/>
    <w:rsid w:val="2660ED10"/>
    <w:rsid w:val="26D2E03E"/>
    <w:rsid w:val="270CAD8C"/>
    <w:rsid w:val="2755DBFA"/>
    <w:rsid w:val="2775B0E7"/>
    <w:rsid w:val="27845C08"/>
    <w:rsid w:val="27D22D5F"/>
    <w:rsid w:val="27E175B2"/>
    <w:rsid w:val="27FD68C3"/>
    <w:rsid w:val="28472EF6"/>
    <w:rsid w:val="287B95CD"/>
    <w:rsid w:val="28B490EC"/>
    <w:rsid w:val="28DD4B86"/>
    <w:rsid w:val="28EB5FA4"/>
    <w:rsid w:val="2905A23A"/>
    <w:rsid w:val="29235D23"/>
    <w:rsid w:val="292789E8"/>
    <w:rsid w:val="292EA0B2"/>
    <w:rsid w:val="2963D4DE"/>
    <w:rsid w:val="2979E43C"/>
    <w:rsid w:val="2A14DD8E"/>
    <w:rsid w:val="2ACC5939"/>
    <w:rsid w:val="2AD7D4A4"/>
    <w:rsid w:val="2AF25B13"/>
    <w:rsid w:val="2B4543DC"/>
    <w:rsid w:val="2B56AADA"/>
    <w:rsid w:val="2BA2218D"/>
    <w:rsid w:val="2BC1C8B7"/>
    <w:rsid w:val="2C53C7BD"/>
    <w:rsid w:val="2C6BA712"/>
    <w:rsid w:val="2C807C72"/>
    <w:rsid w:val="2C89D4EB"/>
    <w:rsid w:val="2CA03C7B"/>
    <w:rsid w:val="2CE1FF5A"/>
    <w:rsid w:val="2D00C1B5"/>
    <w:rsid w:val="2D67F73A"/>
    <w:rsid w:val="2D8F581D"/>
    <w:rsid w:val="2D96EEB9"/>
    <w:rsid w:val="2DA3B672"/>
    <w:rsid w:val="2DB5DD21"/>
    <w:rsid w:val="2DBDD6FC"/>
    <w:rsid w:val="2DFE6A7D"/>
    <w:rsid w:val="2E23CBC8"/>
    <w:rsid w:val="2E3668DA"/>
    <w:rsid w:val="2E3FCA33"/>
    <w:rsid w:val="2EF1E856"/>
    <w:rsid w:val="2EF8730C"/>
    <w:rsid w:val="2F3AC06A"/>
    <w:rsid w:val="2F5A7D8D"/>
    <w:rsid w:val="2F6F679F"/>
    <w:rsid w:val="2F95A786"/>
    <w:rsid w:val="2FC591E2"/>
    <w:rsid w:val="2FC62A9D"/>
    <w:rsid w:val="2FD03749"/>
    <w:rsid w:val="2FFE12C0"/>
    <w:rsid w:val="30526717"/>
    <w:rsid w:val="3080BDFD"/>
    <w:rsid w:val="3097F2D0"/>
    <w:rsid w:val="30B14E0F"/>
    <w:rsid w:val="30F147AE"/>
    <w:rsid w:val="3103A72D"/>
    <w:rsid w:val="316604AA"/>
    <w:rsid w:val="317C8F94"/>
    <w:rsid w:val="317DAC74"/>
    <w:rsid w:val="3186037A"/>
    <w:rsid w:val="31B60001"/>
    <w:rsid w:val="321FE451"/>
    <w:rsid w:val="3228BCF7"/>
    <w:rsid w:val="325F4F74"/>
    <w:rsid w:val="32936C59"/>
    <w:rsid w:val="32AEA253"/>
    <w:rsid w:val="33012F5F"/>
    <w:rsid w:val="33628897"/>
    <w:rsid w:val="33A0DEEB"/>
    <w:rsid w:val="33B291F0"/>
    <w:rsid w:val="33BD75AE"/>
    <w:rsid w:val="3402A90B"/>
    <w:rsid w:val="341985F0"/>
    <w:rsid w:val="3466B843"/>
    <w:rsid w:val="346752CA"/>
    <w:rsid w:val="348D1841"/>
    <w:rsid w:val="34AC888B"/>
    <w:rsid w:val="34B2FAF0"/>
    <w:rsid w:val="34B3D1E0"/>
    <w:rsid w:val="35C52772"/>
    <w:rsid w:val="3603232B"/>
    <w:rsid w:val="36C0CBE3"/>
    <w:rsid w:val="36C66D93"/>
    <w:rsid w:val="36E8CB15"/>
    <w:rsid w:val="3748801F"/>
    <w:rsid w:val="3761ABC5"/>
    <w:rsid w:val="378DD3F9"/>
    <w:rsid w:val="37A3E5AF"/>
    <w:rsid w:val="37BAA32E"/>
    <w:rsid w:val="388D9BF9"/>
    <w:rsid w:val="38CE0C14"/>
    <w:rsid w:val="3920059B"/>
    <w:rsid w:val="3961E0E3"/>
    <w:rsid w:val="396EC46F"/>
    <w:rsid w:val="399877C7"/>
    <w:rsid w:val="39BF9649"/>
    <w:rsid w:val="39D69359"/>
    <w:rsid w:val="39F8E23A"/>
    <w:rsid w:val="3A81C30B"/>
    <w:rsid w:val="3A9B79AB"/>
    <w:rsid w:val="3AA1235B"/>
    <w:rsid w:val="3AC4C136"/>
    <w:rsid w:val="3AC6AEDC"/>
    <w:rsid w:val="3AD7D1B0"/>
    <w:rsid w:val="3ADC4710"/>
    <w:rsid w:val="3B1F4B35"/>
    <w:rsid w:val="3B59ECEF"/>
    <w:rsid w:val="3B74E323"/>
    <w:rsid w:val="3B7C3ECC"/>
    <w:rsid w:val="3B7F9712"/>
    <w:rsid w:val="3B7FF291"/>
    <w:rsid w:val="3B86F8F1"/>
    <w:rsid w:val="3BBC3C38"/>
    <w:rsid w:val="3BD94234"/>
    <w:rsid w:val="3C5AD02C"/>
    <w:rsid w:val="3C6D9EC9"/>
    <w:rsid w:val="3C7D4609"/>
    <w:rsid w:val="3CBD3FA5"/>
    <w:rsid w:val="3CC133A1"/>
    <w:rsid w:val="3D23A515"/>
    <w:rsid w:val="3D774B8D"/>
    <w:rsid w:val="3D832F18"/>
    <w:rsid w:val="3D9740A1"/>
    <w:rsid w:val="3D9FF9CB"/>
    <w:rsid w:val="3E25A2EF"/>
    <w:rsid w:val="3E4BFF4A"/>
    <w:rsid w:val="3E7EADC6"/>
    <w:rsid w:val="3E921908"/>
    <w:rsid w:val="3EB5E8B2"/>
    <w:rsid w:val="3EB6B79E"/>
    <w:rsid w:val="3F97B65C"/>
    <w:rsid w:val="40589342"/>
    <w:rsid w:val="406FA7DC"/>
    <w:rsid w:val="4071E128"/>
    <w:rsid w:val="4079F497"/>
    <w:rsid w:val="40C2636F"/>
    <w:rsid w:val="40C56968"/>
    <w:rsid w:val="40DEDE07"/>
    <w:rsid w:val="414EC850"/>
    <w:rsid w:val="414FF6CD"/>
    <w:rsid w:val="416D85FD"/>
    <w:rsid w:val="41BD32EE"/>
    <w:rsid w:val="420BAC71"/>
    <w:rsid w:val="425DD452"/>
    <w:rsid w:val="42D32250"/>
    <w:rsid w:val="4309BAF4"/>
    <w:rsid w:val="43665E7A"/>
    <w:rsid w:val="4370BF67"/>
    <w:rsid w:val="4400436F"/>
    <w:rsid w:val="44493972"/>
    <w:rsid w:val="4486FF03"/>
    <w:rsid w:val="44DEEF54"/>
    <w:rsid w:val="44F79430"/>
    <w:rsid w:val="4515DD05"/>
    <w:rsid w:val="45ADC2D6"/>
    <w:rsid w:val="45B3DC65"/>
    <w:rsid w:val="4617368C"/>
    <w:rsid w:val="46415BB6"/>
    <w:rsid w:val="468992F6"/>
    <w:rsid w:val="46A9389E"/>
    <w:rsid w:val="46BD80C0"/>
    <w:rsid w:val="46E3731B"/>
    <w:rsid w:val="46EE2F8D"/>
    <w:rsid w:val="4720B2DD"/>
    <w:rsid w:val="472C42C7"/>
    <w:rsid w:val="47826CBF"/>
    <w:rsid w:val="47AD7F85"/>
    <w:rsid w:val="47BC5F5C"/>
    <w:rsid w:val="47DE7A92"/>
    <w:rsid w:val="4808FBB5"/>
    <w:rsid w:val="48732FC2"/>
    <w:rsid w:val="487B879E"/>
    <w:rsid w:val="48AF7480"/>
    <w:rsid w:val="48F4D115"/>
    <w:rsid w:val="493086FD"/>
    <w:rsid w:val="498F613A"/>
    <w:rsid w:val="49AE016C"/>
    <w:rsid w:val="49CB0553"/>
    <w:rsid w:val="49CB70A4"/>
    <w:rsid w:val="49DD39B3"/>
    <w:rsid w:val="49E09B83"/>
    <w:rsid w:val="49EE2B2F"/>
    <w:rsid w:val="4AD5E423"/>
    <w:rsid w:val="4AD7F0A3"/>
    <w:rsid w:val="4AFE2E79"/>
    <w:rsid w:val="4B280C16"/>
    <w:rsid w:val="4BAD12E0"/>
    <w:rsid w:val="4BE4D7E7"/>
    <w:rsid w:val="4C960467"/>
    <w:rsid w:val="4C9637BE"/>
    <w:rsid w:val="4CCC130F"/>
    <w:rsid w:val="4CD2E718"/>
    <w:rsid w:val="4D514FF7"/>
    <w:rsid w:val="4DA39264"/>
    <w:rsid w:val="4E7F1294"/>
    <w:rsid w:val="4EDC50D2"/>
    <w:rsid w:val="4EE69C6A"/>
    <w:rsid w:val="4F308A6B"/>
    <w:rsid w:val="4F46353B"/>
    <w:rsid w:val="4F4CFDA7"/>
    <w:rsid w:val="50007B5D"/>
    <w:rsid w:val="50558162"/>
    <w:rsid w:val="50597884"/>
    <w:rsid w:val="506E089E"/>
    <w:rsid w:val="507F38DD"/>
    <w:rsid w:val="5110E7E8"/>
    <w:rsid w:val="5170C30F"/>
    <w:rsid w:val="51828F82"/>
    <w:rsid w:val="52270BB3"/>
    <w:rsid w:val="52283CE9"/>
    <w:rsid w:val="5231CE4C"/>
    <w:rsid w:val="52394D17"/>
    <w:rsid w:val="5240792D"/>
    <w:rsid w:val="526841E1"/>
    <w:rsid w:val="52C40568"/>
    <w:rsid w:val="52FB47DE"/>
    <w:rsid w:val="53557B2A"/>
    <w:rsid w:val="5365ACBA"/>
    <w:rsid w:val="5380FE0B"/>
    <w:rsid w:val="53EBA805"/>
    <w:rsid w:val="549AB423"/>
    <w:rsid w:val="54A9277D"/>
    <w:rsid w:val="54C9C2B5"/>
    <w:rsid w:val="54C9DEE1"/>
    <w:rsid w:val="54E5EA1A"/>
    <w:rsid w:val="54EA6313"/>
    <w:rsid w:val="54EFFB0F"/>
    <w:rsid w:val="552A525C"/>
    <w:rsid w:val="5535AD32"/>
    <w:rsid w:val="55D6131D"/>
    <w:rsid w:val="56178142"/>
    <w:rsid w:val="566B1F4C"/>
    <w:rsid w:val="57137189"/>
    <w:rsid w:val="5729F832"/>
    <w:rsid w:val="57FDBFC2"/>
    <w:rsid w:val="583F995B"/>
    <w:rsid w:val="584D4642"/>
    <w:rsid w:val="58AAF3DC"/>
    <w:rsid w:val="59787B0D"/>
    <w:rsid w:val="5A1F8ACA"/>
    <w:rsid w:val="5A42C203"/>
    <w:rsid w:val="5A8CF74C"/>
    <w:rsid w:val="5B2FB818"/>
    <w:rsid w:val="5BDA9764"/>
    <w:rsid w:val="5BF6B273"/>
    <w:rsid w:val="5C67FC22"/>
    <w:rsid w:val="5C7D8BFA"/>
    <w:rsid w:val="5CC653AE"/>
    <w:rsid w:val="5D0893BD"/>
    <w:rsid w:val="5D22B079"/>
    <w:rsid w:val="5D5C91DE"/>
    <w:rsid w:val="5DA15B9A"/>
    <w:rsid w:val="5DA8D563"/>
    <w:rsid w:val="5DCDA36F"/>
    <w:rsid w:val="5DFB57AA"/>
    <w:rsid w:val="5E0C8CD2"/>
    <w:rsid w:val="5E5C9469"/>
    <w:rsid w:val="5E743481"/>
    <w:rsid w:val="5E76EE04"/>
    <w:rsid w:val="5E7CFEA8"/>
    <w:rsid w:val="5E8CCD6C"/>
    <w:rsid w:val="5F63CD06"/>
    <w:rsid w:val="5F6F63D0"/>
    <w:rsid w:val="5F6FE3AF"/>
    <w:rsid w:val="5FB39E18"/>
    <w:rsid w:val="5FC321F5"/>
    <w:rsid w:val="6019F882"/>
    <w:rsid w:val="603182E3"/>
    <w:rsid w:val="609E2AA4"/>
    <w:rsid w:val="60B8B954"/>
    <w:rsid w:val="60FA829B"/>
    <w:rsid w:val="611999EF"/>
    <w:rsid w:val="612160A2"/>
    <w:rsid w:val="6133441D"/>
    <w:rsid w:val="61492A65"/>
    <w:rsid w:val="615D9753"/>
    <w:rsid w:val="61AFBDBE"/>
    <w:rsid w:val="61DAF65C"/>
    <w:rsid w:val="61F02D42"/>
    <w:rsid w:val="61F6549C"/>
    <w:rsid w:val="62092206"/>
    <w:rsid w:val="6261762B"/>
    <w:rsid w:val="62CF65D8"/>
    <w:rsid w:val="62FB483C"/>
    <w:rsid w:val="633BC818"/>
    <w:rsid w:val="6344D7CB"/>
    <w:rsid w:val="634B8E1F"/>
    <w:rsid w:val="63673E4F"/>
    <w:rsid w:val="6383BE0A"/>
    <w:rsid w:val="6416A1CB"/>
    <w:rsid w:val="647B828C"/>
    <w:rsid w:val="64DA9FB3"/>
    <w:rsid w:val="6505B34A"/>
    <w:rsid w:val="65116008"/>
    <w:rsid w:val="65279C85"/>
    <w:rsid w:val="657705E6"/>
    <w:rsid w:val="6593E39B"/>
    <w:rsid w:val="66434122"/>
    <w:rsid w:val="6695870F"/>
    <w:rsid w:val="669B1D96"/>
    <w:rsid w:val="66E6C405"/>
    <w:rsid w:val="67044FB9"/>
    <w:rsid w:val="677C443F"/>
    <w:rsid w:val="6788D711"/>
    <w:rsid w:val="679F6F2C"/>
    <w:rsid w:val="681EFF42"/>
    <w:rsid w:val="6931C9C3"/>
    <w:rsid w:val="6935CE94"/>
    <w:rsid w:val="694FB0BF"/>
    <w:rsid w:val="695BF917"/>
    <w:rsid w:val="69CB7E55"/>
    <w:rsid w:val="6A08676A"/>
    <w:rsid w:val="6A129B9E"/>
    <w:rsid w:val="6A137534"/>
    <w:rsid w:val="6A96E66E"/>
    <w:rsid w:val="6AE3CA55"/>
    <w:rsid w:val="6AEB0EE0"/>
    <w:rsid w:val="6B16AB62"/>
    <w:rsid w:val="6B2D06D9"/>
    <w:rsid w:val="6B5653EC"/>
    <w:rsid w:val="6BC45495"/>
    <w:rsid w:val="6BC4D658"/>
    <w:rsid w:val="6BCEF146"/>
    <w:rsid w:val="6CEBC8C6"/>
    <w:rsid w:val="6D22FF85"/>
    <w:rsid w:val="6DA0603E"/>
    <w:rsid w:val="6DC77EF8"/>
    <w:rsid w:val="6DE2A95E"/>
    <w:rsid w:val="6DE47EFE"/>
    <w:rsid w:val="6E104896"/>
    <w:rsid w:val="6E730EB0"/>
    <w:rsid w:val="6E89312F"/>
    <w:rsid w:val="6E8F2F24"/>
    <w:rsid w:val="6EAF3BCB"/>
    <w:rsid w:val="6EC7EA15"/>
    <w:rsid w:val="6EC8CA6F"/>
    <w:rsid w:val="6ED19C2A"/>
    <w:rsid w:val="6EE2B777"/>
    <w:rsid w:val="6EE7EE4B"/>
    <w:rsid w:val="6F178D2C"/>
    <w:rsid w:val="6F4FF1AA"/>
    <w:rsid w:val="6FFE27CA"/>
    <w:rsid w:val="704860C0"/>
    <w:rsid w:val="7048F5E2"/>
    <w:rsid w:val="707484F4"/>
    <w:rsid w:val="7082A125"/>
    <w:rsid w:val="70B243F0"/>
    <w:rsid w:val="70BF78E9"/>
    <w:rsid w:val="70F30C85"/>
    <w:rsid w:val="7141517A"/>
    <w:rsid w:val="71803141"/>
    <w:rsid w:val="71949653"/>
    <w:rsid w:val="71A56C80"/>
    <w:rsid w:val="71CDCF0E"/>
    <w:rsid w:val="72006B31"/>
    <w:rsid w:val="722546CF"/>
    <w:rsid w:val="7238EFCD"/>
    <w:rsid w:val="725FDE03"/>
    <w:rsid w:val="72B6DCF8"/>
    <w:rsid w:val="72BCB472"/>
    <w:rsid w:val="72E0D792"/>
    <w:rsid w:val="734B713E"/>
    <w:rsid w:val="739353F4"/>
    <w:rsid w:val="73F9D8BA"/>
    <w:rsid w:val="742A8430"/>
    <w:rsid w:val="742CB74D"/>
    <w:rsid w:val="7494394C"/>
    <w:rsid w:val="75090497"/>
    <w:rsid w:val="755494EE"/>
    <w:rsid w:val="7564F18B"/>
    <w:rsid w:val="756A76DB"/>
    <w:rsid w:val="756DE2E4"/>
    <w:rsid w:val="7599B820"/>
    <w:rsid w:val="75E6E857"/>
    <w:rsid w:val="76640FDE"/>
    <w:rsid w:val="76715760"/>
    <w:rsid w:val="76A2B876"/>
    <w:rsid w:val="776501A9"/>
    <w:rsid w:val="777D3242"/>
    <w:rsid w:val="7784908C"/>
    <w:rsid w:val="77B1EA46"/>
    <w:rsid w:val="783E69C2"/>
    <w:rsid w:val="78A42D78"/>
    <w:rsid w:val="78C38E8C"/>
    <w:rsid w:val="78C4E3AE"/>
    <w:rsid w:val="78EF5240"/>
    <w:rsid w:val="7906B329"/>
    <w:rsid w:val="7928E5FF"/>
    <w:rsid w:val="79AEF474"/>
    <w:rsid w:val="7A57BA1D"/>
    <w:rsid w:val="7A75D1B9"/>
    <w:rsid w:val="7ADC55B0"/>
    <w:rsid w:val="7AEC2CB9"/>
    <w:rsid w:val="7AEC61A3"/>
    <w:rsid w:val="7AEF8F3D"/>
    <w:rsid w:val="7AEFCCA6"/>
    <w:rsid w:val="7B1C0B2C"/>
    <w:rsid w:val="7B7C7350"/>
    <w:rsid w:val="7BB54936"/>
    <w:rsid w:val="7BD382B7"/>
    <w:rsid w:val="7C45195A"/>
    <w:rsid w:val="7CE86DC0"/>
    <w:rsid w:val="7CFDAA58"/>
    <w:rsid w:val="7D3CEC22"/>
    <w:rsid w:val="7DDED420"/>
    <w:rsid w:val="7E36DCEE"/>
    <w:rsid w:val="7E785743"/>
    <w:rsid w:val="7E894837"/>
    <w:rsid w:val="7E91D8FA"/>
    <w:rsid w:val="7E95826E"/>
    <w:rsid w:val="7F012976"/>
    <w:rsid w:val="7FB35C31"/>
    <w:rsid w:val="7FCB753C"/>
    <w:rsid w:val="7FDE49FE"/>
    <w:rsid w:val="7FF2DDE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8337F"/>
  <w15:docId w15:val="{A18140BB-D0C6-406B-925B-A37BF5FA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1E2E0F"/>
    <w:pPr>
      <w:keepNext/>
      <w:widowControl w:val="0"/>
      <w:numPr>
        <w:numId w:val="18"/>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89325A"/>
    <w:pPr>
      <w:spacing w:before="160" w:after="100" w:line="240" w:lineRule="atLeast"/>
    </w:pPr>
    <w:rPr>
      <w:rFonts w:ascii="Arial" w:eastAsiaTheme="minorHAnsi" w:hAnsi="Arial" w:cs="Arial"/>
      <w:sz w:val="23"/>
      <w:szCs w:val="23"/>
      <w:lang w:eastAsia="en-US"/>
    </w:rPr>
  </w:style>
  <w:style w:type="character" w:customStyle="1" w:styleId="BodyTextChar">
    <w:name w:val="Body Text Char"/>
    <w:basedOn w:val="DefaultParagraphFont"/>
    <w:link w:val="BodyText"/>
    <w:rsid w:val="0089325A"/>
    <w:rPr>
      <w:rFonts w:ascii="Arial" w:eastAsiaTheme="minorHAns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BD7C1A"/>
    <w:pPr>
      <w:numPr>
        <w:numId w:val="23"/>
      </w:numPr>
      <w:spacing w:before="120" w:after="80"/>
    </w:pPr>
    <w:rPr>
      <w:rFonts w:eastAsia="Times New Roman"/>
    </w:rPr>
  </w:style>
  <w:style w:type="character" w:customStyle="1" w:styleId="Bullet1Char">
    <w:name w:val="Bullet 1 Char"/>
    <w:link w:val="Bullet1"/>
    <w:rsid w:val="00BD7C1A"/>
    <w:rPr>
      <w:rFonts w:ascii="Arial" w:hAnsi="Arial" w:cs="Arial"/>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2"/>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3"/>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4"/>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5"/>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6"/>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7"/>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8"/>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9"/>
      </w:numPr>
      <w:pBdr>
        <w:bottom w:val="single" w:sz="4" w:space="4" w:color="00ABE6"/>
      </w:pBdr>
      <w:spacing w:before="240" w:after="100"/>
    </w:pPr>
    <w:rPr>
      <w:rFonts w:ascii="Arial" w:hAnsi="Arial"/>
      <w:b/>
      <w:color w:val="00ABE6"/>
      <w:sz w:val="28"/>
    </w:rPr>
  </w:style>
  <w:style w:type="paragraph" w:customStyle="1" w:styleId="Chart11">
    <w:name w:val="Chart 1.1"/>
    <w:basedOn w:val="Normal"/>
    <w:qFormat/>
    <w:rsid w:val="00E4734F"/>
    <w:pPr>
      <w:numPr>
        <w:numId w:val="11"/>
      </w:numPr>
      <w:spacing w:before="240" w:after="120"/>
    </w:pPr>
    <w:rPr>
      <w:rFonts w:ascii="Arial" w:eastAsiaTheme="minorEastAsia" w:hAnsi="Arial"/>
      <w:i/>
      <w:color w:val="4F4F4F"/>
      <w:sz w:val="22"/>
      <w:lang w:eastAsia="en-AU"/>
    </w:rPr>
  </w:style>
  <w:style w:type="paragraph" w:customStyle="1" w:styleId="Table21">
    <w:name w:val="Table 2.1"/>
    <w:basedOn w:val="Normal"/>
    <w:qFormat/>
    <w:rsid w:val="00383B36"/>
    <w:pPr>
      <w:numPr>
        <w:numId w:val="12"/>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4"/>
      </w:numPr>
      <w:pBdr>
        <w:bottom w:val="single" w:sz="4" w:space="4" w:color="00ABE6"/>
      </w:pBdr>
      <w:spacing w:before="240" w:after="100"/>
      <w:ind w:left="357" w:hanging="357"/>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Table2X">
    <w:name w:val="Table 2.X"/>
    <w:basedOn w:val="Normal"/>
    <w:qFormat/>
    <w:rsid w:val="00C4768F"/>
    <w:pPr>
      <w:widowControl w:val="0"/>
      <w:tabs>
        <w:tab w:val="left" w:pos="1304"/>
      </w:tabs>
      <w:spacing w:before="240" w:after="120"/>
      <w:ind w:left="360" w:hanging="360"/>
    </w:pPr>
    <w:rPr>
      <w:rFonts w:ascii="Arial" w:hAnsi="Arial"/>
      <w:bCs/>
      <w:i/>
      <w:color w:val="4F4F4F"/>
      <w:kern w:val="28"/>
      <w:sz w:val="22"/>
      <w:szCs w:val="22"/>
      <w:lang w:val="en-US"/>
    </w:rPr>
  </w:style>
  <w:style w:type="character" w:styleId="UnresolvedMention">
    <w:name w:val="Unresolved Mention"/>
    <w:basedOn w:val="DefaultParagraphFont"/>
    <w:uiPriority w:val="99"/>
    <w:unhideWhenUsed/>
    <w:rsid w:val="008A1DFF"/>
    <w:rPr>
      <w:color w:val="605E5C"/>
      <w:shd w:val="clear" w:color="auto" w:fill="E1DFDD"/>
    </w:rPr>
  </w:style>
  <w:style w:type="character" w:styleId="Mention">
    <w:name w:val="Mention"/>
    <w:basedOn w:val="DefaultParagraphFont"/>
    <w:uiPriority w:val="99"/>
    <w:unhideWhenUsed/>
    <w:rsid w:val="008A1DFF"/>
    <w:rPr>
      <w:color w:val="2B579A"/>
      <w:shd w:val="clear" w:color="auto" w:fill="E1DFDD"/>
    </w:rPr>
  </w:style>
  <w:style w:type="paragraph" w:customStyle="1" w:styleId="Chart1X">
    <w:name w:val="Chart 1.X"/>
    <w:basedOn w:val="Normal"/>
    <w:next w:val="Normal"/>
    <w:rsid w:val="0066258A"/>
    <w:pPr>
      <w:keepLines/>
      <w:numPr>
        <w:numId w:val="35"/>
      </w:numPr>
      <w:tabs>
        <w:tab w:val="left" w:pos="1304"/>
      </w:tabs>
      <w:spacing w:before="240" w:after="120"/>
    </w:pPr>
    <w:rPr>
      <w:rFonts w:ascii="Arial" w:hAnsi="Arial"/>
      <w:i/>
      <w:color w:val="4F4F4F"/>
      <w:sz w:val="22"/>
      <w:lang w:val="en-US"/>
    </w:rPr>
  </w:style>
  <w:style w:type="paragraph" w:customStyle="1" w:styleId="Chart2X">
    <w:name w:val="Chart 2.X"/>
    <w:basedOn w:val="Normal"/>
    <w:next w:val="Normal"/>
    <w:rsid w:val="00624E68"/>
    <w:pPr>
      <w:keepLines/>
      <w:tabs>
        <w:tab w:val="left" w:pos="1304"/>
      </w:tabs>
      <w:spacing w:before="360" w:after="120"/>
      <w:ind w:left="1304" w:hanging="1304"/>
    </w:pPr>
    <w:rPr>
      <w:rFonts w:ascii="Arial" w:hAnsi="Arial"/>
      <w:i/>
      <w:color w:val="57514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343634134">
      <w:bodyDiv w:val="1"/>
      <w:marLeft w:val="0"/>
      <w:marRight w:val="0"/>
      <w:marTop w:val="0"/>
      <w:marBottom w:val="0"/>
      <w:divBdr>
        <w:top w:val="none" w:sz="0" w:space="0" w:color="auto"/>
        <w:left w:val="none" w:sz="0" w:space="0" w:color="auto"/>
        <w:bottom w:val="none" w:sz="0" w:space="0" w:color="auto"/>
        <w:right w:val="none" w:sz="0" w:space="0" w:color="auto"/>
      </w:divBdr>
      <w:divsChild>
        <w:div w:id="643123449">
          <w:marLeft w:val="0"/>
          <w:marRight w:val="0"/>
          <w:marTop w:val="0"/>
          <w:marBottom w:val="0"/>
          <w:divBdr>
            <w:top w:val="none" w:sz="0" w:space="0" w:color="auto"/>
            <w:left w:val="none" w:sz="0" w:space="0" w:color="auto"/>
            <w:bottom w:val="none" w:sz="0" w:space="0" w:color="auto"/>
            <w:right w:val="none" w:sz="0" w:space="0" w:color="auto"/>
          </w:divBdr>
        </w:div>
      </w:divsChild>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46316580">
      <w:bodyDiv w:val="1"/>
      <w:marLeft w:val="0"/>
      <w:marRight w:val="0"/>
      <w:marTop w:val="0"/>
      <w:marBottom w:val="0"/>
      <w:divBdr>
        <w:top w:val="none" w:sz="0" w:space="0" w:color="auto"/>
        <w:left w:val="none" w:sz="0" w:space="0" w:color="auto"/>
        <w:bottom w:val="none" w:sz="0" w:space="0" w:color="auto"/>
        <w:right w:val="none" w:sz="0" w:space="0" w:color="auto"/>
      </w:divBdr>
      <w:divsChild>
        <w:div w:id="334308508">
          <w:marLeft w:val="0"/>
          <w:marRight w:val="0"/>
          <w:marTop w:val="0"/>
          <w:marBottom w:val="0"/>
          <w:divBdr>
            <w:top w:val="none" w:sz="0" w:space="0" w:color="auto"/>
            <w:left w:val="none" w:sz="0" w:space="0" w:color="auto"/>
            <w:bottom w:val="none" w:sz="0" w:space="0" w:color="auto"/>
            <w:right w:val="none" w:sz="0" w:space="0" w:color="auto"/>
          </w:divBdr>
        </w:div>
      </w:divsChild>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06075111">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4057704">
      <w:bodyDiv w:val="1"/>
      <w:marLeft w:val="0"/>
      <w:marRight w:val="0"/>
      <w:marTop w:val="0"/>
      <w:marBottom w:val="0"/>
      <w:divBdr>
        <w:top w:val="none" w:sz="0" w:space="0" w:color="auto"/>
        <w:left w:val="none" w:sz="0" w:space="0" w:color="auto"/>
        <w:bottom w:val="none" w:sz="0" w:space="0" w:color="auto"/>
        <w:right w:val="none" w:sz="0" w:space="0" w:color="auto"/>
      </w:divBdr>
      <w:divsChild>
        <w:div w:id="1123425455">
          <w:marLeft w:val="0"/>
          <w:marRight w:val="0"/>
          <w:marTop w:val="0"/>
          <w:marBottom w:val="0"/>
          <w:divBdr>
            <w:top w:val="none" w:sz="0" w:space="0" w:color="auto"/>
            <w:left w:val="none" w:sz="0" w:space="0" w:color="auto"/>
            <w:bottom w:val="none" w:sz="0" w:space="0" w:color="auto"/>
            <w:right w:val="none" w:sz="0" w:space="0" w:color="auto"/>
          </w:divBdr>
        </w:div>
      </w:divsChild>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image" Target="media/image8.png"/><Relationship Id="rId30" Type="http://schemas.openxmlformats.org/officeDocument/2006/relationships/header" Target="header6.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1-22%20Budget/02.%20Budget%20Paper%20No%202%20(Outcomes%20Statement)/00.%20Tiger%20Team/Financials/WHITE%20PRINT/2021-22%20BP2%20Outcome%20-%20WHITE%20FINAL%20PRIN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DonutCS!$D$1</c:f>
              <c:strCache>
                <c:ptCount val="1"/>
                <c:pt idx="0">
                  <c:v>Rec</c:v>
                </c:pt>
              </c:strCache>
            </c:strRef>
          </c:tx>
          <c:spPr>
            <a:ln>
              <a:noFill/>
            </a:ln>
          </c:spPr>
          <c:dPt>
            <c:idx val="0"/>
            <c:bubble3D val="0"/>
            <c:spPr>
              <a:solidFill>
                <a:srgbClr val="008EBA"/>
              </a:solidFill>
              <a:ln>
                <a:noFill/>
              </a:ln>
              <a:effectLst/>
            </c:spPr>
            <c:extLst>
              <c:ext xmlns:c16="http://schemas.microsoft.com/office/drawing/2014/chart" uri="{C3380CC4-5D6E-409C-BE32-E72D297353CC}">
                <c16:uniqueId val="{00000001-29C4-4203-9D6B-26B0A786C0AF}"/>
              </c:ext>
            </c:extLst>
          </c:dPt>
          <c:dPt>
            <c:idx val="1"/>
            <c:bubble3D val="0"/>
            <c:spPr>
              <a:solidFill>
                <a:srgbClr val="00426F"/>
              </a:solidFill>
              <a:ln>
                <a:noFill/>
              </a:ln>
              <a:effectLst/>
            </c:spPr>
            <c:extLst>
              <c:ext xmlns:c16="http://schemas.microsoft.com/office/drawing/2014/chart" uri="{C3380CC4-5D6E-409C-BE32-E72D297353CC}">
                <c16:uniqueId val="{00000003-29C4-4203-9D6B-26B0A786C0AF}"/>
              </c:ext>
            </c:extLst>
          </c:dPt>
          <c:dPt>
            <c:idx val="2"/>
            <c:bubble3D val="0"/>
            <c:spPr>
              <a:solidFill>
                <a:srgbClr val="53C8E9"/>
              </a:solidFill>
              <a:ln>
                <a:noFill/>
              </a:ln>
              <a:effectLst/>
            </c:spPr>
            <c:extLst>
              <c:ext xmlns:c16="http://schemas.microsoft.com/office/drawing/2014/chart" uri="{C3380CC4-5D6E-409C-BE32-E72D297353CC}">
                <c16:uniqueId val="{00000005-29C4-4203-9D6B-26B0A786C0AF}"/>
              </c:ext>
            </c:extLst>
          </c:dPt>
          <c:dLbls>
            <c:dLbl>
              <c:idx val="0"/>
              <c:layout>
                <c:manualLayout>
                  <c:x val="0.18681015382021135"/>
                  <c:y val="-0.12930738353847954"/>
                </c:manualLayout>
              </c:layout>
              <c:showLegendKey val="0"/>
              <c:showVal val="0"/>
              <c:showCatName val="1"/>
              <c:showSerName val="0"/>
              <c:showPercent val="0"/>
              <c:showBubbleSize val="0"/>
              <c:extLst>
                <c:ext xmlns:c15="http://schemas.microsoft.com/office/drawing/2012/chart" uri="{CE6537A1-D6FC-4f65-9D91-7224C49458BB}">
                  <c15:layout>
                    <c:manualLayout>
                      <c:w val="0.42115895643763473"/>
                      <c:h val="0.20472732036037081"/>
                    </c:manualLayout>
                  </c15:layout>
                </c:ext>
                <c:ext xmlns:c16="http://schemas.microsoft.com/office/drawing/2014/chart" uri="{C3380CC4-5D6E-409C-BE32-E72D297353CC}">
                  <c16:uniqueId val="{00000001-29C4-4203-9D6B-26B0A786C0AF}"/>
                </c:ext>
              </c:extLst>
            </c:dLbl>
            <c:dLbl>
              <c:idx val="1"/>
              <c:layout>
                <c:manualLayout>
                  <c:x val="0.17599195117869254"/>
                  <c:y val="4.9612091766943409E-2"/>
                </c:manualLayout>
              </c:layout>
              <c:showLegendKey val="0"/>
              <c:showVal val="0"/>
              <c:showCatName val="1"/>
              <c:showSerName val="0"/>
              <c:showPercent val="0"/>
              <c:showBubbleSize val="0"/>
              <c:extLst>
                <c:ext xmlns:c15="http://schemas.microsoft.com/office/drawing/2012/chart" uri="{CE6537A1-D6FC-4f65-9D91-7224C49458BB}">
                  <c15:layout>
                    <c:manualLayout>
                      <c:w val="0.24499029124627394"/>
                      <c:h val="0.15635633923763226"/>
                    </c:manualLayout>
                  </c15:layout>
                </c:ext>
                <c:ext xmlns:c16="http://schemas.microsoft.com/office/drawing/2014/chart" uri="{C3380CC4-5D6E-409C-BE32-E72D297353CC}">
                  <c16:uniqueId val="{00000003-29C4-4203-9D6B-26B0A786C0AF}"/>
                </c:ext>
              </c:extLst>
            </c:dLbl>
            <c:dLbl>
              <c:idx val="2"/>
              <c:layout>
                <c:manualLayout>
                  <c:x val="-0.17161441421129547"/>
                  <c:y val="9.5438965462034439E-2"/>
                </c:manualLayout>
              </c:layout>
              <c:showLegendKey val="0"/>
              <c:showVal val="0"/>
              <c:showCatName val="1"/>
              <c:showSerName val="0"/>
              <c:showPercent val="0"/>
              <c:showBubbleSize val="0"/>
              <c:extLst>
                <c:ext xmlns:c15="http://schemas.microsoft.com/office/drawing/2012/chart" uri="{CE6537A1-D6FC-4f65-9D91-7224C49458BB}">
                  <c15:layout>
                    <c:manualLayout>
                      <c:w val="0.2602225375422843"/>
                      <c:h val="0.16152138792262796"/>
                    </c:manualLayout>
                  </c15:layout>
                </c:ext>
                <c:ext xmlns:c16="http://schemas.microsoft.com/office/drawing/2014/chart" uri="{C3380CC4-5D6E-409C-BE32-E72D297353CC}">
                  <c16:uniqueId val="{00000005-29C4-4203-9D6B-26B0A786C0A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(DonutCS!$C$2:$C$8,DonutCS!$C$10)</c:f>
              <c:strCache>
                <c:ptCount val="3"/>
                <c:pt idx="0">
                  <c:v>Digital leadership and innovation in government services $514.9m, 14%</c:v>
                </c:pt>
                <c:pt idx="1">
                  <c:v>Excellence in Customer Service $1.6b, 44%</c:v>
                </c:pt>
                <c:pt idx="2">
                  <c:v>Fair, secure and efficient markets $1.5b, 41%</c:v>
                </c:pt>
              </c:strCache>
            </c:strRef>
          </c:cat>
          <c:val>
            <c:numRef>
              <c:f>(DonutCS!$D$2:$D$8,DonutCS!$D$10)</c:f>
              <c:numCache>
                <c:formatCode>"$"#,##0.0;\-"$"#,##0.0</c:formatCode>
                <c:ptCount val="3"/>
                <c:pt idx="0">
                  <c:v>514920543.11999989</c:v>
                </c:pt>
                <c:pt idx="1">
                  <c:v>1564269024.4699993</c:v>
                </c:pt>
                <c:pt idx="2">
                  <c:v>1474935492.1699991</c:v>
                </c:pt>
              </c:numCache>
            </c:numRef>
          </c:val>
          <c:extLst>
            <c:ext xmlns:c16="http://schemas.microsoft.com/office/drawing/2014/chart" uri="{C3380CC4-5D6E-409C-BE32-E72D297353CC}">
              <c16:uniqueId val="{00000006-29C4-4203-9D6B-26B0A786C0AF}"/>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19693996368343"/>
          <c:y val="9.4923734117338857E-2"/>
          <c:w val="0.34987614914216386"/>
          <c:h val="0.78172420568501022"/>
        </c:manualLayout>
      </c:layout>
      <c:doughnutChart>
        <c:varyColors val="1"/>
        <c:ser>
          <c:idx val="0"/>
          <c:order val="0"/>
          <c:tx>
            <c:strRef>
              <c:f>DonutCS!$D$16</c:f>
              <c:strCache>
                <c:ptCount val="1"/>
                <c:pt idx="0">
                  <c:v>Cap</c:v>
                </c:pt>
              </c:strCache>
            </c:strRef>
          </c:tx>
          <c:dPt>
            <c:idx val="0"/>
            <c:bubble3D val="0"/>
            <c:spPr>
              <a:solidFill>
                <a:srgbClr val="008EBA"/>
              </a:solidFill>
              <a:ln w="19050">
                <a:solidFill>
                  <a:srgbClr val="008EBA"/>
                </a:solidFill>
              </a:ln>
              <a:effectLst/>
            </c:spPr>
            <c:extLst>
              <c:ext xmlns:c16="http://schemas.microsoft.com/office/drawing/2014/chart" uri="{C3380CC4-5D6E-409C-BE32-E72D297353CC}">
                <c16:uniqueId val="{00000001-754A-4B0E-B993-FFC3CA9E53D6}"/>
              </c:ext>
            </c:extLst>
          </c:dPt>
          <c:dPt>
            <c:idx val="1"/>
            <c:bubble3D val="0"/>
            <c:spPr>
              <a:solidFill>
                <a:srgbClr val="00426F"/>
              </a:solidFill>
              <a:ln w="19050">
                <a:solidFill>
                  <a:srgbClr val="00426F"/>
                </a:solidFill>
              </a:ln>
              <a:effectLst/>
            </c:spPr>
            <c:extLst>
              <c:ext xmlns:c16="http://schemas.microsoft.com/office/drawing/2014/chart" uri="{C3380CC4-5D6E-409C-BE32-E72D297353CC}">
                <c16:uniqueId val="{00000003-754A-4B0E-B993-FFC3CA9E53D6}"/>
              </c:ext>
            </c:extLst>
          </c:dPt>
          <c:dPt>
            <c:idx val="2"/>
            <c:bubble3D val="0"/>
            <c:spPr>
              <a:solidFill>
                <a:srgbClr val="53C8E9"/>
              </a:solidFill>
              <a:ln w="19050">
                <a:solidFill>
                  <a:srgbClr val="53C8E9"/>
                </a:solidFill>
              </a:ln>
              <a:effectLst/>
            </c:spPr>
            <c:extLst>
              <c:ext xmlns:c16="http://schemas.microsoft.com/office/drawing/2014/chart" uri="{C3380CC4-5D6E-409C-BE32-E72D297353CC}">
                <c16:uniqueId val="{00000005-754A-4B0E-B993-FFC3CA9E53D6}"/>
              </c:ext>
            </c:extLst>
          </c:dPt>
          <c:dLbls>
            <c:dLbl>
              <c:idx val="0"/>
              <c:layout>
                <c:manualLayout>
                  <c:x val="0.18330780354335902"/>
                  <c:y val="-0.26931084442589437"/>
                </c:manualLayout>
              </c:layout>
              <c:showLegendKey val="0"/>
              <c:showVal val="0"/>
              <c:showCatName val="1"/>
              <c:showSerName val="0"/>
              <c:showPercent val="0"/>
              <c:showBubbleSize val="0"/>
              <c:extLst>
                <c:ext xmlns:c15="http://schemas.microsoft.com/office/drawing/2012/chart" uri="{CE6537A1-D6FC-4f65-9D91-7224C49458BB}">
                  <c15:layout>
                    <c:manualLayout>
                      <c:w val="0.22520287601071581"/>
                      <c:h val="0.23840838633618117"/>
                    </c:manualLayout>
                  </c15:layout>
                </c:ext>
                <c:ext xmlns:c16="http://schemas.microsoft.com/office/drawing/2014/chart" uri="{C3380CC4-5D6E-409C-BE32-E72D297353CC}">
                  <c16:uniqueId val="{00000001-754A-4B0E-B993-FFC3CA9E53D6}"/>
                </c:ext>
              </c:extLst>
            </c:dLbl>
            <c:dLbl>
              <c:idx val="1"/>
              <c:layout>
                <c:manualLayout>
                  <c:x val="-0.17463546151695275"/>
                  <c:y val="3.1819743722287741E-2"/>
                </c:manualLayout>
              </c:layout>
              <c:showLegendKey val="0"/>
              <c:showVal val="0"/>
              <c:showCatName val="1"/>
              <c:showSerName val="0"/>
              <c:showPercent val="0"/>
              <c:showBubbleSize val="0"/>
              <c:extLst>
                <c:ext xmlns:c15="http://schemas.microsoft.com/office/drawing/2012/chart" uri="{CE6537A1-D6FC-4f65-9D91-7224C49458BB}">
                  <c15:layout>
                    <c:manualLayout>
                      <c:w val="0.25253458622739378"/>
                      <c:h val="0.157842359584904"/>
                    </c:manualLayout>
                  </c15:layout>
                </c:ext>
                <c:ext xmlns:c16="http://schemas.microsoft.com/office/drawing/2014/chart" uri="{C3380CC4-5D6E-409C-BE32-E72D297353CC}">
                  <c16:uniqueId val="{00000003-754A-4B0E-B993-FFC3CA9E53D6}"/>
                </c:ext>
              </c:extLst>
            </c:dLbl>
            <c:dLbl>
              <c:idx val="2"/>
              <c:layout>
                <c:manualLayout>
                  <c:x val="-0.12408761879374669"/>
                  <c:y val="-0.10414734870093388"/>
                </c:manualLayout>
              </c:layout>
              <c:showLegendKey val="0"/>
              <c:showVal val="0"/>
              <c:showCatName val="1"/>
              <c:showSerName val="0"/>
              <c:showPercent val="0"/>
              <c:showBubbleSize val="0"/>
              <c:extLst>
                <c:ext xmlns:c15="http://schemas.microsoft.com/office/drawing/2012/chart" uri="{CE6537A1-D6FC-4f65-9D91-7224C49458BB}">
                  <c15:layout>
                    <c:manualLayout>
                      <c:w val="0.2797363990408327"/>
                      <c:h val="0.10560002368125038"/>
                    </c:manualLayout>
                  </c15:layout>
                </c:ext>
                <c:ext xmlns:c16="http://schemas.microsoft.com/office/drawing/2014/chart" uri="{C3380CC4-5D6E-409C-BE32-E72D297353CC}">
                  <c16:uniqueId val="{00000005-754A-4B0E-B993-FFC3CA9E53D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(DonutCS!$C$17:$C$23,DonutCS!$C$25)</c:f>
              <c:strCache>
                <c:ptCount val="3"/>
                <c:pt idx="0">
                  <c:v>Digital leadership and innovation in government services $510.2m, 73%</c:v>
                </c:pt>
                <c:pt idx="1">
                  <c:v>Excellence in Customer Service $109.2m, 16%</c:v>
                </c:pt>
                <c:pt idx="2">
                  <c:v>Fair, secure and efficient markets $77.9m, 11%</c:v>
                </c:pt>
              </c:strCache>
            </c:strRef>
          </c:cat>
          <c:val>
            <c:numRef>
              <c:f>(DonutCS!$D$17:$D$23,DonutCS!$D$25)</c:f>
              <c:numCache>
                <c:formatCode>"$"#,##0.0;\-"$"#,##0.0</c:formatCode>
                <c:ptCount val="3"/>
                <c:pt idx="0">
                  <c:v>510223230</c:v>
                </c:pt>
                <c:pt idx="1">
                  <c:v>109209330</c:v>
                </c:pt>
                <c:pt idx="2">
                  <c:v>77897440</c:v>
                </c:pt>
              </c:numCache>
            </c:numRef>
          </c:val>
          <c:extLst>
            <c:ext xmlns:c16="http://schemas.microsoft.com/office/drawing/2014/chart" uri="{C3380CC4-5D6E-409C-BE32-E72D297353CC}">
              <c16:uniqueId val="{00000006-754A-4B0E-B993-FFC3CA9E53D6}"/>
            </c:ext>
          </c:extLst>
        </c:ser>
        <c:dLbls>
          <c:showLegendKey val="0"/>
          <c:showVal val="1"/>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Dimitri Deligiannis</DisplayName>
        <AccountId>121</AccountId>
        <AccountType/>
      </UserInfo>
      <UserInfo>
        <DisplayName>Angela McIlwain</DisplayName>
        <AccountId>731</AccountId>
        <AccountType/>
      </UserInfo>
      <UserInfo>
        <DisplayName>Mathew Koshy</DisplayName>
        <AccountId>1388</AccountId>
        <AccountType/>
      </UserInfo>
      <UserInfo>
        <DisplayName>Colin Campbell</DisplayName>
        <AccountId>158</AccountId>
        <AccountType/>
      </UserInfo>
      <UserInfo>
        <DisplayName>Shirley Dang</DisplayName>
        <AccountId>256</AccountId>
        <AccountType/>
      </UserInfo>
    </SharedWithUsers>
  </documentManagement>
</p:properties>
</file>

<file path=customXml/itemProps1.xml><?xml version="1.0" encoding="utf-8"?>
<ds:datastoreItem xmlns:ds="http://schemas.openxmlformats.org/officeDocument/2006/customXml" ds:itemID="{19E4F0DE-AFEA-45C9-9EEE-AA1B93B9405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7E97368E-12CE-4230-B81B-7694A68E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5.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2939</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2019-20 Budget Paper No. 3 - Budget Estimates - 02 Education Cluster</vt:lpstr>
    </vt:vector>
  </TitlesOfParts>
  <Company>NSW Treasury</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2 - Outcomes Statement - 01 Customer Service Cluster</dc:title>
  <dc:subject/>
  <dc:creator>The Treasury</dc:creator>
  <cp:keywords/>
  <cp:lastModifiedBy>Francess Lavorato</cp:lastModifiedBy>
  <cp:revision>50</cp:revision>
  <cp:lastPrinted>2021-06-14T09:05:00Z</cp:lastPrinted>
  <dcterms:created xsi:type="dcterms:W3CDTF">2021-06-12T07:35:00Z</dcterms:created>
  <dcterms:modified xsi:type="dcterms:W3CDTF">2021-06-15T10:12:00Z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