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4C0784" w14:textId="2F8C00DA" w:rsidR="003D1D64" w:rsidRPr="000F43DF" w:rsidRDefault="009E41F4" w:rsidP="00946535">
      <w:pPr>
        <w:pStyle w:val="Heading1"/>
        <w:numPr>
          <w:ilvl w:val="0"/>
          <w:numId w:val="49"/>
        </w:numPr>
        <w:tabs>
          <w:tab w:val="clear" w:pos="284"/>
          <w:tab w:val="left" w:pos="993"/>
        </w:tabs>
        <w:spacing w:after="360"/>
        <w:ind w:left="709" w:hanging="709"/>
        <w:rPr>
          <w:rFonts w:ascii="Arial" w:hAnsi="Arial" w:cs="Arial"/>
        </w:rPr>
      </w:pPr>
      <w:r w:rsidRPr="000F43DF">
        <w:rPr>
          <w:rFonts w:ascii="Arial" w:hAnsi="Arial" w:cs="Arial"/>
        </w:rPr>
        <w:t>OVERVIEW</w:t>
      </w:r>
      <w:r w:rsidR="00BC36D0" w:rsidRPr="000F43DF">
        <w:rPr>
          <w:rFonts w:ascii="Arial" w:hAnsi="Arial" w:cs="Arial"/>
        </w:rPr>
        <w:t xml:space="preserve"> </w:t>
      </w:r>
    </w:p>
    <w:tbl>
      <w:tblPr>
        <w:tblW w:w="9639" w:type="dxa"/>
        <w:shd w:val="clear" w:color="auto" w:fill="F2F2F2" w:themeFill="background1" w:themeFillShade="F2"/>
        <w:tblCellMar>
          <w:left w:w="0" w:type="dxa"/>
          <w:right w:w="0" w:type="dxa"/>
        </w:tblCellMar>
        <w:tblLook w:val="04A0" w:firstRow="1" w:lastRow="0" w:firstColumn="1" w:lastColumn="0" w:noHBand="0" w:noVBand="1"/>
        <w:tblCaption w:val="Budget Paper No. 3 Infrastructure Statement - Chapter 1. OVERVIEW"/>
        <w:tblDescription w:val="Budget Paper No. 3 Infrastructure Statement - Chapter 1. OVERVIEW"/>
      </w:tblPr>
      <w:tblGrid>
        <w:gridCol w:w="9639"/>
      </w:tblGrid>
      <w:tr w:rsidR="00493ADF" w:rsidRPr="00A1397D" w14:paraId="280FB1B3" w14:textId="77777777" w:rsidTr="009861E8">
        <w:trPr>
          <w:trHeight w:val="10490"/>
        </w:trPr>
        <w:tc>
          <w:tcPr>
            <w:tcW w:w="9639" w:type="dxa"/>
            <w:shd w:val="clear" w:color="auto" w:fill="F2F2F2" w:themeFill="background1" w:themeFillShade="F2"/>
            <w:tcMar>
              <w:top w:w="0" w:type="dxa"/>
              <w:left w:w="108" w:type="dxa"/>
              <w:bottom w:w="0" w:type="dxa"/>
              <w:right w:w="108" w:type="dxa"/>
            </w:tcMar>
          </w:tcPr>
          <w:p w14:paraId="5AC33A2A" w14:textId="71453ACD" w:rsidR="00A607E0" w:rsidRDefault="002D37CD" w:rsidP="009861E8">
            <w:pPr>
              <w:pStyle w:val="BodyTextBox"/>
              <w:framePr w:hSpace="0" w:wrap="auto" w:vAnchor="margin" w:yAlign="inline"/>
            </w:pPr>
            <w:bookmarkStart w:id="0" w:name="_Hlk514493407"/>
            <w:bookmarkStart w:id="1" w:name="_Toc481587875"/>
            <w:r>
              <w:t xml:space="preserve">The </w:t>
            </w:r>
            <w:r w:rsidR="00B663DD">
              <w:t>2021-22</w:t>
            </w:r>
            <w:r>
              <w:t xml:space="preserve"> Budget</w:t>
            </w:r>
            <w:r w:rsidR="00FB6CAA">
              <w:t xml:space="preserve"> provides for </w:t>
            </w:r>
            <w:r w:rsidR="006276E5">
              <w:t xml:space="preserve">a </w:t>
            </w:r>
            <w:r w:rsidR="00AB44F2">
              <w:t xml:space="preserve">new </w:t>
            </w:r>
            <w:r w:rsidR="006276E5">
              <w:t>record</w:t>
            </w:r>
            <w:r w:rsidR="006D6399">
              <w:t xml:space="preserve"> </w:t>
            </w:r>
            <w:r w:rsidR="004D6A8F" w:rsidRPr="001305E7">
              <w:t>$</w:t>
            </w:r>
            <w:r w:rsidR="00EF2A3D" w:rsidRPr="001305E7">
              <w:t>108.5</w:t>
            </w:r>
            <w:r w:rsidR="00A95A66" w:rsidRPr="001305E7">
              <w:t xml:space="preserve"> billion</w:t>
            </w:r>
            <w:r w:rsidR="00FB6CAA">
              <w:t xml:space="preserve"> infrastructure commitment</w:t>
            </w:r>
            <w:r w:rsidR="00CC1B76">
              <w:t xml:space="preserve"> </w:t>
            </w:r>
            <w:r w:rsidR="00E857B6" w:rsidDel="001E16A7">
              <w:t xml:space="preserve">over </w:t>
            </w:r>
            <w:r w:rsidR="004D6A8F">
              <w:t>four</w:t>
            </w:r>
            <w:r w:rsidR="00E857B6" w:rsidDel="001E16A7">
              <w:t xml:space="preserve"> years</w:t>
            </w:r>
            <w:r w:rsidR="00FB6CAA" w:rsidDel="001E16A7">
              <w:t xml:space="preserve"> </w:t>
            </w:r>
            <w:r w:rsidR="00F432B1">
              <w:t xml:space="preserve">to </w:t>
            </w:r>
            <w:r w:rsidR="004D6A8F">
              <w:t xml:space="preserve">drive economic </w:t>
            </w:r>
            <w:r w:rsidR="00B37B13">
              <w:t>growth</w:t>
            </w:r>
            <w:r w:rsidR="00A465A9">
              <w:t xml:space="preserve">, </w:t>
            </w:r>
            <w:r w:rsidR="00F72BDB">
              <w:t>boost</w:t>
            </w:r>
            <w:r w:rsidR="00B37B13">
              <w:t xml:space="preserve"> productive capacity</w:t>
            </w:r>
            <w:r w:rsidR="00F432B1">
              <w:t xml:space="preserve"> and </w:t>
            </w:r>
            <w:r w:rsidR="00B37B13">
              <w:t>enable innovation.</w:t>
            </w:r>
          </w:p>
          <w:p w14:paraId="1822E9A4" w14:textId="07EDAEA8" w:rsidR="00207175" w:rsidRDefault="00207175" w:rsidP="009861E8">
            <w:pPr>
              <w:pStyle w:val="BodyTextBox"/>
              <w:framePr w:hSpace="0" w:wrap="auto" w:vAnchor="margin" w:yAlign="inline"/>
            </w:pPr>
            <w:r w:rsidRPr="003703DD">
              <w:t>Th</w:t>
            </w:r>
            <w:r w:rsidR="008B6B39">
              <w:t>e</w:t>
            </w:r>
            <w:r w:rsidR="00357DCE">
              <w:t xml:space="preserve"> record</w:t>
            </w:r>
            <w:r w:rsidR="004B4CA2">
              <w:t xml:space="preserve"> infrastructure </w:t>
            </w:r>
            <w:r w:rsidR="0031052B">
              <w:t>program</w:t>
            </w:r>
            <w:r w:rsidR="00433D46">
              <w:t xml:space="preserve"> </w:t>
            </w:r>
            <w:r w:rsidR="00697F35">
              <w:t xml:space="preserve">is </w:t>
            </w:r>
            <w:r w:rsidR="00677D83">
              <w:t>focus</w:t>
            </w:r>
            <w:r w:rsidR="00697F35">
              <w:t>ed</w:t>
            </w:r>
            <w:r w:rsidR="0041519F">
              <w:t xml:space="preserve"> on</w:t>
            </w:r>
            <w:r w:rsidR="00E84019">
              <w:t xml:space="preserve"> </w:t>
            </w:r>
            <w:r w:rsidR="003C4A5E">
              <w:t xml:space="preserve">investing for </w:t>
            </w:r>
            <w:r w:rsidR="00D745D2">
              <w:t xml:space="preserve">continued </w:t>
            </w:r>
            <w:r w:rsidR="003C4A5E">
              <w:t xml:space="preserve">growth beyond the recovery, making the best services even better and transforming our communities by elevating </w:t>
            </w:r>
            <w:r w:rsidR="009211B3">
              <w:t xml:space="preserve">New South Wales’ </w:t>
            </w:r>
            <w:r w:rsidR="003C4A5E">
              <w:t xml:space="preserve">natural and cultural </w:t>
            </w:r>
            <w:r w:rsidR="00C07F39">
              <w:t xml:space="preserve">treasures. </w:t>
            </w:r>
          </w:p>
          <w:p w14:paraId="61301927" w14:textId="11CBF316" w:rsidR="00ED15D3" w:rsidRPr="005D268D" w:rsidRDefault="00B11348" w:rsidP="009861E8">
            <w:pPr>
              <w:pStyle w:val="Bullet1inabox"/>
              <w:numPr>
                <w:ilvl w:val="0"/>
                <w:numId w:val="0"/>
              </w:numPr>
              <w:ind w:left="360"/>
            </w:pPr>
            <w:r>
              <w:rPr>
                <w:noProof/>
              </w:rPr>
              <mc:AlternateContent>
                <mc:Choice Requires="wpg">
                  <w:drawing>
                    <wp:anchor distT="0" distB="0" distL="114300" distR="114300" simplePos="0" relativeHeight="251658240" behindDoc="0" locked="0" layoutInCell="1" allowOverlap="1" wp14:anchorId="202FE91F" wp14:editId="484D21F4">
                      <wp:simplePos x="0" y="0"/>
                      <wp:positionH relativeFrom="column">
                        <wp:posOffset>72390</wp:posOffset>
                      </wp:positionH>
                      <wp:positionV relativeFrom="paragraph">
                        <wp:posOffset>223520</wp:posOffset>
                      </wp:positionV>
                      <wp:extent cx="6045200" cy="3212276"/>
                      <wp:effectExtent l="0" t="19050" r="0" b="7620"/>
                      <wp:wrapNone/>
                      <wp:docPr id="3" name="Group 3"/>
                      <wp:cNvGraphicFramePr/>
                      <a:graphic xmlns:a="http://schemas.openxmlformats.org/drawingml/2006/main">
                        <a:graphicData uri="http://schemas.microsoft.com/office/word/2010/wordprocessingGroup">
                          <wpg:wgp>
                            <wpg:cNvGrpSpPr/>
                            <wpg:grpSpPr>
                              <a:xfrm>
                                <a:off x="0" y="0"/>
                                <a:ext cx="6045200" cy="3212276"/>
                                <a:chOff x="0" y="0"/>
                                <a:chExt cx="6625887" cy="3520646"/>
                              </a:xfrm>
                            </wpg:grpSpPr>
                            <wps:wsp>
                              <wps:cNvPr id="7" name="Freeform 6"/>
                              <wps:cNvSpPr>
                                <a:spLocks noChangeArrowheads="1"/>
                              </wps:cNvSpPr>
                              <wps:spPr bwMode="auto">
                                <a:xfrm>
                                  <a:off x="0" y="0"/>
                                  <a:ext cx="3942886" cy="3496047"/>
                                </a:xfrm>
                                <a:custGeom>
                                  <a:avLst/>
                                  <a:gdLst>
                                    <a:gd name="T0" fmla="*/ 4331 w 6067"/>
                                    <a:gd name="T1" fmla="*/ 5314 h 5379"/>
                                    <a:gd name="T2" fmla="*/ 4290 w 6067"/>
                                    <a:gd name="T3" fmla="*/ 5145 h 5379"/>
                                    <a:gd name="T4" fmla="*/ 4343 w 6067"/>
                                    <a:gd name="T5" fmla="*/ 4912 h 5379"/>
                                    <a:gd name="T6" fmla="*/ 4412 w 6067"/>
                                    <a:gd name="T7" fmla="*/ 4615 h 5379"/>
                                    <a:gd name="T8" fmla="*/ 4453 w 6067"/>
                                    <a:gd name="T9" fmla="*/ 4307 h 5379"/>
                                    <a:gd name="T10" fmla="*/ 4605 w 6067"/>
                                    <a:gd name="T11" fmla="*/ 3992 h 5379"/>
                                    <a:gd name="T12" fmla="*/ 4651 w 6067"/>
                                    <a:gd name="T13" fmla="*/ 3969 h 5379"/>
                                    <a:gd name="T14" fmla="*/ 4674 w 6067"/>
                                    <a:gd name="T15" fmla="*/ 3894 h 5379"/>
                                    <a:gd name="T16" fmla="*/ 4762 w 6067"/>
                                    <a:gd name="T17" fmla="*/ 3666 h 5379"/>
                                    <a:gd name="T18" fmla="*/ 4866 w 6067"/>
                                    <a:gd name="T19" fmla="*/ 3387 h 5379"/>
                                    <a:gd name="T20" fmla="*/ 4901 w 6067"/>
                                    <a:gd name="T21" fmla="*/ 3038 h 5379"/>
                                    <a:gd name="T22" fmla="*/ 4948 w 6067"/>
                                    <a:gd name="T23" fmla="*/ 2974 h 5379"/>
                                    <a:gd name="T24" fmla="*/ 5082 w 6067"/>
                                    <a:gd name="T25" fmla="*/ 2828 h 5379"/>
                                    <a:gd name="T26" fmla="*/ 5123 w 6067"/>
                                    <a:gd name="T27" fmla="*/ 2799 h 5379"/>
                                    <a:gd name="T28" fmla="*/ 5414 w 6067"/>
                                    <a:gd name="T29" fmla="*/ 2496 h 5379"/>
                                    <a:gd name="T30" fmla="*/ 5501 w 6067"/>
                                    <a:gd name="T31" fmla="*/ 2310 h 5379"/>
                                    <a:gd name="T32" fmla="*/ 5670 w 6067"/>
                                    <a:gd name="T33" fmla="*/ 2031 h 5379"/>
                                    <a:gd name="T34" fmla="*/ 5821 w 6067"/>
                                    <a:gd name="T35" fmla="*/ 1583 h 5379"/>
                                    <a:gd name="T36" fmla="*/ 5862 w 6067"/>
                                    <a:gd name="T37" fmla="*/ 1140 h 5379"/>
                                    <a:gd name="T38" fmla="*/ 5914 w 6067"/>
                                    <a:gd name="T39" fmla="*/ 936 h 5379"/>
                                    <a:gd name="T40" fmla="*/ 5868 w 6067"/>
                                    <a:gd name="T41" fmla="*/ 703 h 5379"/>
                                    <a:gd name="T42" fmla="*/ 6043 w 6067"/>
                                    <a:gd name="T43" fmla="*/ 174 h 5379"/>
                                    <a:gd name="T44" fmla="*/ 5955 w 6067"/>
                                    <a:gd name="T45" fmla="*/ 46 h 5379"/>
                                    <a:gd name="T46" fmla="*/ 5693 w 6067"/>
                                    <a:gd name="T47" fmla="*/ 104 h 5379"/>
                                    <a:gd name="T48" fmla="*/ 5286 w 6067"/>
                                    <a:gd name="T49" fmla="*/ 214 h 5379"/>
                                    <a:gd name="T50" fmla="*/ 5227 w 6067"/>
                                    <a:gd name="T51" fmla="*/ 447 h 5379"/>
                                    <a:gd name="T52" fmla="*/ 4913 w 6067"/>
                                    <a:gd name="T53" fmla="*/ 389 h 5379"/>
                                    <a:gd name="T54" fmla="*/ 4610 w 6067"/>
                                    <a:gd name="T55" fmla="*/ 273 h 5379"/>
                                    <a:gd name="T56" fmla="*/ 4261 w 6067"/>
                                    <a:gd name="T57" fmla="*/ 255 h 5379"/>
                                    <a:gd name="T58" fmla="*/ 3894 w 6067"/>
                                    <a:gd name="T59" fmla="*/ 389 h 5379"/>
                                    <a:gd name="T60" fmla="*/ 0 w 6067"/>
                                    <a:gd name="T61" fmla="*/ 3311 h 5379"/>
                                    <a:gd name="T62" fmla="*/ 279 w 6067"/>
                                    <a:gd name="T63" fmla="*/ 3410 h 5379"/>
                                    <a:gd name="T64" fmla="*/ 593 w 6067"/>
                                    <a:gd name="T65" fmla="*/ 3439 h 5379"/>
                                    <a:gd name="T66" fmla="*/ 710 w 6067"/>
                                    <a:gd name="T67" fmla="*/ 3637 h 5379"/>
                                    <a:gd name="T68" fmla="*/ 1030 w 6067"/>
                                    <a:gd name="T69" fmla="*/ 3696 h 5379"/>
                                    <a:gd name="T70" fmla="*/ 1251 w 6067"/>
                                    <a:gd name="T71" fmla="*/ 4033 h 5379"/>
                                    <a:gd name="T72" fmla="*/ 1554 w 6067"/>
                                    <a:gd name="T73" fmla="*/ 4289 h 5379"/>
                                    <a:gd name="T74" fmla="*/ 1862 w 6067"/>
                                    <a:gd name="T75" fmla="*/ 4528 h 5379"/>
                                    <a:gd name="T76" fmla="*/ 2107 w 6067"/>
                                    <a:gd name="T77" fmla="*/ 4400 h 5379"/>
                                    <a:gd name="T78" fmla="*/ 2421 w 6067"/>
                                    <a:gd name="T79" fmla="*/ 4476 h 5379"/>
                                    <a:gd name="T80" fmla="*/ 2614 w 6067"/>
                                    <a:gd name="T81" fmla="*/ 4499 h 5379"/>
                                    <a:gd name="T82" fmla="*/ 2689 w 6067"/>
                                    <a:gd name="T83" fmla="*/ 4470 h 5379"/>
                                    <a:gd name="T84" fmla="*/ 3178 w 6067"/>
                                    <a:gd name="T85" fmla="*/ 4441 h 5379"/>
                                    <a:gd name="T86" fmla="*/ 3463 w 6067"/>
                                    <a:gd name="T87" fmla="*/ 4883 h 5379"/>
                                    <a:gd name="T88" fmla="*/ 4325 w 6067"/>
                                    <a:gd name="T89" fmla="*/ 5378 h 5379"/>
                                    <a:gd name="T90" fmla="*/ 4046 w 6067"/>
                                    <a:gd name="T91" fmla="*/ 4068 h 5379"/>
                                    <a:gd name="T92" fmla="*/ 3912 w 6067"/>
                                    <a:gd name="T93" fmla="*/ 4348 h 5379"/>
                                    <a:gd name="T94" fmla="*/ 3731 w 6067"/>
                                    <a:gd name="T95" fmla="*/ 4220 h 5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067" h="5379">
                                      <a:moveTo>
                                        <a:pt x="4325" y="5378"/>
                                      </a:moveTo>
                                      <a:lnTo>
                                        <a:pt x="4325" y="5378"/>
                                      </a:lnTo>
                                      <a:cubicBezTo>
                                        <a:pt x="4331" y="5372"/>
                                        <a:pt x="4331" y="5366"/>
                                        <a:pt x="4331" y="5361"/>
                                      </a:cubicBezTo>
                                      <a:cubicBezTo>
                                        <a:pt x="4331" y="5314"/>
                                        <a:pt x="4331" y="5314"/>
                                        <a:pt x="4331" y="5314"/>
                                      </a:cubicBezTo>
                                      <a:cubicBezTo>
                                        <a:pt x="4331" y="5273"/>
                                        <a:pt x="4343" y="5250"/>
                                        <a:pt x="4343" y="5215"/>
                                      </a:cubicBezTo>
                                      <a:cubicBezTo>
                                        <a:pt x="4343" y="5180"/>
                                        <a:pt x="4337" y="5163"/>
                                        <a:pt x="4337" y="5133"/>
                                      </a:cubicBezTo>
                                      <a:cubicBezTo>
                                        <a:pt x="4314" y="5133"/>
                                        <a:pt x="4314" y="5133"/>
                                        <a:pt x="4314" y="5133"/>
                                      </a:cubicBezTo>
                                      <a:cubicBezTo>
                                        <a:pt x="4302" y="5133"/>
                                        <a:pt x="4302" y="5139"/>
                                        <a:pt x="4290" y="5145"/>
                                      </a:cubicBezTo>
                                      <a:cubicBezTo>
                                        <a:pt x="4290" y="5122"/>
                                        <a:pt x="4290" y="5122"/>
                                        <a:pt x="4290" y="5122"/>
                                      </a:cubicBezTo>
                                      <a:cubicBezTo>
                                        <a:pt x="4308" y="5064"/>
                                        <a:pt x="4308" y="5064"/>
                                        <a:pt x="4308" y="5064"/>
                                      </a:cubicBezTo>
                                      <a:cubicBezTo>
                                        <a:pt x="4302" y="5052"/>
                                        <a:pt x="4296" y="5046"/>
                                        <a:pt x="4296" y="5035"/>
                                      </a:cubicBezTo>
                                      <a:cubicBezTo>
                                        <a:pt x="4296" y="4988"/>
                                        <a:pt x="4343" y="4965"/>
                                        <a:pt x="4343" y="4912"/>
                                      </a:cubicBezTo>
                                      <a:cubicBezTo>
                                        <a:pt x="4343" y="4906"/>
                                        <a:pt x="4337" y="4906"/>
                                        <a:pt x="4337" y="4906"/>
                                      </a:cubicBezTo>
                                      <a:cubicBezTo>
                                        <a:pt x="4337" y="4854"/>
                                        <a:pt x="4377" y="4831"/>
                                        <a:pt x="4377" y="4784"/>
                                      </a:cubicBezTo>
                                      <a:cubicBezTo>
                                        <a:pt x="4377" y="4703"/>
                                        <a:pt x="4377" y="4703"/>
                                        <a:pt x="4377" y="4703"/>
                                      </a:cubicBezTo>
                                      <a:cubicBezTo>
                                        <a:pt x="4377" y="4668"/>
                                        <a:pt x="4412" y="4650"/>
                                        <a:pt x="4412" y="4615"/>
                                      </a:cubicBezTo>
                                      <a:cubicBezTo>
                                        <a:pt x="4412" y="4569"/>
                                        <a:pt x="4389" y="4551"/>
                                        <a:pt x="4389" y="4505"/>
                                      </a:cubicBezTo>
                                      <a:cubicBezTo>
                                        <a:pt x="4389" y="4476"/>
                                        <a:pt x="4424" y="4470"/>
                                        <a:pt x="4424" y="4441"/>
                                      </a:cubicBezTo>
                                      <a:cubicBezTo>
                                        <a:pt x="4424" y="4435"/>
                                        <a:pt x="4412" y="4441"/>
                                        <a:pt x="4412" y="4435"/>
                                      </a:cubicBezTo>
                                      <a:cubicBezTo>
                                        <a:pt x="4412" y="4383"/>
                                        <a:pt x="4453" y="4359"/>
                                        <a:pt x="4453" y="4307"/>
                                      </a:cubicBezTo>
                                      <a:cubicBezTo>
                                        <a:pt x="4471" y="4313"/>
                                        <a:pt x="4482" y="4295"/>
                                        <a:pt x="4488" y="4272"/>
                                      </a:cubicBezTo>
                                      <a:cubicBezTo>
                                        <a:pt x="4500" y="4249"/>
                                        <a:pt x="4523" y="4237"/>
                                        <a:pt x="4523" y="4208"/>
                                      </a:cubicBezTo>
                                      <a:cubicBezTo>
                                        <a:pt x="4523" y="4150"/>
                                        <a:pt x="4558" y="4126"/>
                                        <a:pt x="4570" y="4074"/>
                                      </a:cubicBezTo>
                                      <a:cubicBezTo>
                                        <a:pt x="4575" y="4045"/>
                                        <a:pt x="4587" y="4016"/>
                                        <a:pt x="4605" y="3992"/>
                                      </a:cubicBezTo>
                                      <a:lnTo>
                                        <a:pt x="4605" y="3992"/>
                                      </a:lnTo>
                                      <a:cubicBezTo>
                                        <a:pt x="4599" y="3987"/>
                                        <a:pt x="4593" y="3987"/>
                                        <a:pt x="4593" y="3975"/>
                                      </a:cubicBezTo>
                                      <a:cubicBezTo>
                                        <a:pt x="4593" y="3958"/>
                                        <a:pt x="4634" y="3934"/>
                                        <a:pt x="4651" y="3969"/>
                                      </a:cubicBezTo>
                                      <a:lnTo>
                                        <a:pt x="4651" y="3969"/>
                                      </a:lnTo>
                                      <a:cubicBezTo>
                                        <a:pt x="4657" y="3969"/>
                                        <a:pt x="4657" y="3969"/>
                                        <a:pt x="4663" y="3969"/>
                                      </a:cubicBezTo>
                                      <a:cubicBezTo>
                                        <a:pt x="4669" y="3969"/>
                                        <a:pt x="4674" y="3975"/>
                                        <a:pt x="4680" y="3975"/>
                                      </a:cubicBezTo>
                                      <a:cubicBezTo>
                                        <a:pt x="4686" y="3975"/>
                                        <a:pt x="4692" y="3969"/>
                                        <a:pt x="4692" y="3969"/>
                                      </a:cubicBezTo>
                                      <a:cubicBezTo>
                                        <a:pt x="4680" y="3946"/>
                                        <a:pt x="4674" y="3928"/>
                                        <a:pt x="4674" y="3894"/>
                                      </a:cubicBezTo>
                                      <a:cubicBezTo>
                                        <a:pt x="4674" y="3882"/>
                                        <a:pt x="4692" y="3876"/>
                                        <a:pt x="4703" y="3876"/>
                                      </a:cubicBezTo>
                                      <a:cubicBezTo>
                                        <a:pt x="4733" y="3894"/>
                                        <a:pt x="4738" y="3940"/>
                                        <a:pt x="4709" y="3818"/>
                                      </a:cubicBezTo>
                                      <a:cubicBezTo>
                                        <a:pt x="4703" y="3812"/>
                                        <a:pt x="4703" y="3800"/>
                                        <a:pt x="4698" y="3789"/>
                                      </a:cubicBezTo>
                                      <a:cubicBezTo>
                                        <a:pt x="4738" y="3754"/>
                                        <a:pt x="4762" y="3719"/>
                                        <a:pt x="4762" y="3666"/>
                                      </a:cubicBezTo>
                                      <a:cubicBezTo>
                                        <a:pt x="4762" y="3608"/>
                                        <a:pt x="4762" y="3608"/>
                                        <a:pt x="4762" y="3608"/>
                                      </a:cubicBezTo>
                                      <a:cubicBezTo>
                                        <a:pt x="4762" y="3597"/>
                                        <a:pt x="4744" y="3591"/>
                                        <a:pt x="4744" y="3579"/>
                                      </a:cubicBezTo>
                                      <a:cubicBezTo>
                                        <a:pt x="4744" y="3550"/>
                                        <a:pt x="4768" y="3539"/>
                                        <a:pt x="4779" y="3515"/>
                                      </a:cubicBezTo>
                                      <a:cubicBezTo>
                                        <a:pt x="4803" y="3463"/>
                                        <a:pt x="4832" y="3434"/>
                                        <a:pt x="4866" y="3387"/>
                                      </a:cubicBezTo>
                                      <a:cubicBezTo>
                                        <a:pt x="4936" y="3288"/>
                                        <a:pt x="4971" y="3213"/>
                                        <a:pt x="4971" y="3090"/>
                                      </a:cubicBezTo>
                                      <a:cubicBezTo>
                                        <a:pt x="4971" y="3079"/>
                                        <a:pt x="4966" y="3067"/>
                                        <a:pt x="4954" y="3067"/>
                                      </a:cubicBezTo>
                                      <a:cubicBezTo>
                                        <a:pt x="4931" y="3067"/>
                                        <a:pt x="4925" y="3084"/>
                                        <a:pt x="4901" y="3090"/>
                                      </a:cubicBezTo>
                                      <a:cubicBezTo>
                                        <a:pt x="4901" y="3067"/>
                                        <a:pt x="4901" y="3055"/>
                                        <a:pt x="4901" y="3038"/>
                                      </a:cubicBezTo>
                                      <a:cubicBezTo>
                                        <a:pt x="4901" y="3014"/>
                                        <a:pt x="4884" y="3003"/>
                                        <a:pt x="4884" y="2985"/>
                                      </a:cubicBezTo>
                                      <a:cubicBezTo>
                                        <a:pt x="4884" y="2980"/>
                                        <a:pt x="4890" y="2980"/>
                                        <a:pt x="4890" y="2974"/>
                                      </a:cubicBezTo>
                                      <a:cubicBezTo>
                                        <a:pt x="4901" y="2980"/>
                                        <a:pt x="4907" y="2991"/>
                                        <a:pt x="4919" y="2991"/>
                                      </a:cubicBezTo>
                                      <a:cubicBezTo>
                                        <a:pt x="4931" y="2991"/>
                                        <a:pt x="4936" y="2974"/>
                                        <a:pt x="4948" y="2974"/>
                                      </a:cubicBezTo>
                                      <a:cubicBezTo>
                                        <a:pt x="4960" y="2974"/>
                                        <a:pt x="4966" y="2991"/>
                                        <a:pt x="4983" y="2991"/>
                                      </a:cubicBezTo>
                                      <a:cubicBezTo>
                                        <a:pt x="5006" y="2991"/>
                                        <a:pt x="5035" y="2980"/>
                                        <a:pt x="5035" y="2950"/>
                                      </a:cubicBezTo>
                                      <a:cubicBezTo>
                                        <a:pt x="5035" y="2939"/>
                                        <a:pt x="5029" y="2939"/>
                                        <a:pt x="5029" y="2927"/>
                                      </a:cubicBezTo>
                                      <a:cubicBezTo>
                                        <a:pt x="5029" y="2881"/>
                                        <a:pt x="5082" y="2875"/>
                                        <a:pt x="5082" y="2828"/>
                                      </a:cubicBezTo>
                                      <a:cubicBezTo>
                                        <a:pt x="5082" y="2758"/>
                                        <a:pt x="5082" y="2758"/>
                                        <a:pt x="5082" y="2758"/>
                                      </a:cubicBezTo>
                                      <a:cubicBezTo>
                                        <a:pt x="5082" y="2741"/>
                                        <a:pt x="5094" y="2735"/>
                                        <a:pt x="5105" y="2735"/>
                                      </a:cubicBezTo>
                                      <a:cubicBezTo>
                                        <a:pt x="5123" y="2735"/>
                                        <a:pt x="5123" y="2735"/>
                                        <a:pt x="5123" y="2735"/>
                                      </a:cubicBezTo>
                                      <a:cubicBezTo>
                                        <a:pt x="5123" y="2758"/>
                                        <a:pt x="5117" y="2776"/>
                                        <a:pt x="5123" y="2799"/>
                                      </a:cubicBezTo>
                                      <a:cubicBezTo>
                                        <a:pt x="5140" y="2764"/>
                                        <a:pt x="5140" y="2741"/>
                                        <a:pt x="5163" y="2706"/>
                                      </a:cubicBezTo>
                                      <a:cubicBezTo>
                                        <a:pt x="5198" y="2648"/>
                                        <a:pt x="5251" y="2642"/>
                                        <a:pt x="5286" y="2584"/>
                                      </a:cubicBezTo>
                                      <a:cubicBezTo>
                                        <a:pt x="5292" y="2566"/>
                                        <a:pt x="5286" y="2555"/>
                                        <a:pt x="5297" y="2537"/>
                                      </a:cubicBezTo>
                                      <a:cubicBezTo>
                                        <a:pt x="5321" y="2496"/>
                                        <a:pt x="5367" y="2514"/>
                                        <a:pt x="5414" y="2496"/>
                                      </a:cubicBezTo>
                                      <a:cubicBezTo>
                                        <a:pt x="5455" y="2479"/>
                                        <a:pt x="5466" y="2444"/>
                                        <a:pt x="5507" y="2421"/>
                                      </a:cubicBezTo>
                                      <a:cubicBezTo>
                                        <a:pt x="5524" y="2409"/>
                                        <a:pt x="5548" y="2398"/>
                                        <a:pt x="5548" y="2374"/>
                                      </a:cubicBezTo>
                                      <a:cubicBezTo>
                                        <a:pt x="5548" y="2345"/>
                                        <a:pt x="5542" y="2304"/>
                                        <a:pt x="5513" y="2304"/>
                                      </a:cubicBezTo>
                                      <a:cubicBezTo>
                                        <a:pt x="5507" y="2304"/>
                                        <a:pt x="5507" y="2310"/>
                                        <a:pt x="5501" y="2310"/>
                                      </a:cubicBezTo>
                                      <a:cubicBezTo>
                                        <a:pt x="5501" y="2287"/>
                                        <a:pt x="5489" y="2275"/>
                                        <a:pt x="5489" y="2246"/>
                                      </a:cubicBezTo>
                                      <a:cubicBezTo>
                                        <a:pt x="5489" y="2217"/>
                                        <a:pt x="5542" y="2229"/>
                                        <a:pt x="5554" y="2205"/>
                                      </a:cubicBezTo>
                                      <a:cubicBezTo>
                                        <a:pt x="5565" y="2182"/>
                                        <a:pt x="5559" y="2170"/>
                                        <a:pt x="5571" y="2153"/>
                                      </a:cubicBezTo>
                                      <a:cubicBezTo>
                                        <a:pt x="5600" y="2101"/>
                                        <a:pt x="5647" y="2089"/>
                                        <a:pt x="5670" y="2031"/>
                                      </a:cubicBezTo>
                                      <a:cubicBezTo>
                                        <a:pt x="5687" y="1978"/>
                                        <a:pt x="5699" y="1949"/>
                                        <a:pt x="5705" y="1891"/>
                                      </a:cubicBezTo>
                                      <a:cubicBezTo>
                                        <a:pt x="5711" y="1879"/>
                                        <a:pt x="5722" y="1874"/>
                                        <a:pt x="5734" y="1862"/>
                                      </a:cubicBezTo>
                                      <a:cubicBezTo>
                                        <a:pt x="5757" y="1827"/>
                                        <a:pt x="5763" y="1804"/>
                                        <a:pt x="5769" y="1763"/>
                                      </a:cubicBezTo>
                                      <a:cubicBezTo>
                                        <a:pt x="5781" y="1693"/>
                                        <a:pt x="5821" y="1652"/>
                                        <a:pt x="5821" y="1583"/>
                                      </a:cubicBezTo>
                                      <a:cubicBezTo>
                                        <a:pt x="5821" y="1559"/>
                                        <a:pt x="5821" y="1548"/>
                                        <a:pt x="5821" y="1530"/>
                                      </a:cubicBezTo>
                                      <a:cubicBezTo>
                                        <a:pt x="5781" y="1524"/>
                                        <a:pt x="5792" y="1478"/>
                                        <a:pt x="5792" y="1437"/>
                                      </a:cubicBezTo>
                                      <a:cubicBezTo>
                                        <a:pt x="5792" y="1396"/>
                                        <a:pt x="5810" y="1373"/>
                                        <a:pt x="5815" y="1332"/>
                                      </a:cubicBezTo>
                                      <a:cubicBezTo>
                                        <a:pt x="5839" y="1257"/>
                                        <a:pt x="5839" y="1216"/>
                                        <a:pt x="5862" y="1140"/>
                                      </a:cubicBezTo>
                                      <a:cubicBezTo>
                                        <a:pt x="5868" y="1111"/>
                                        <a:pt x="5897" y="1099"/>
                                        <a:pt x="5897" y="1059"/>
                                      </a:cubicBezTo>
                                      <a:cubicBezTo>
                                        <a:pt x="5897" y="1047"/>
                                        <a:pt x="5897" y="1041"/>
                                        <a:pt x="5897" y="1029"/>
                                      </a:cubicBezTo>
                                      <a:cubicBezTo>
                                        <a:pt x="5897" y="1000"/>
                                        <a:pt x="5926" y="989"/>
                                        <a:pt x="5926" y="960"/>
                                      </a:cubicBezTo>
                                      <a:cubicBezTo>
                                        <a:pt x="5926" y="948"/>
                                        <a:pt x="5914" y="942"/>
                                        <a:pt x="5914" y="936"/>
                                      </a:cubicBezTo>
                                      <a:cubicBezTo>
                                        <a:pt x="5914" y="860"/>
                                        <a:pt x="5961" y="826"/>
                                        <a:pt x="5961" y="756"/>
                                      </a:cubicBezTo>
                                      <a:cubicBezTo>
                                        <a:pt x="5961" y="721"/>
                                        <a:pt x="5932" y="703"/>
                                        <a:pt x="5897" y="703"/>
                                      </a:cubicBezTo>
                                      <a:cubicBezTo>
                                        <a:pt x="5885" y="703"/>
                                        <a:pt x="5874" y="709"/>
                                        <a:pt x="5862" y="715"/>
                                      </a:cubicBezTo>
                                      <a:cubicBezTo>
                                        <a:pt x="5868" y="703"/>
                                        <a:pt x="5868" y="703"/>
                                        <a:pt x="5868" y="703"/>
                                      </a:cubicBezTo>
                                      <a:cubicBezTo>
                                        <a:pt x="5885" y="663"/>
                                        <a:pt x="5938" y="668"/>
                                        <a:pt x="5967" y="634"/>
                                      </a:cubicBezTo>
                                      <a:cubicBezTo>
                                        <a:pt x="6008" y="581"/>
                                        <a:pt x="5984" y="529"/>
                                        <a:pt x="6008" y="465"/>
                                      </a:cubicBezTo>
                                      <a:cubicBezTo>
                                        <a:pt x="6025" y="418"/>
                                        <a:pt x="6066" y="395"/>
                                        <a:pt x="6066" y="348"/>
                                      </a:cubicBezTo>
                                      <a:cubicBezTo>
                                        <a:pt x="6066" y="279"/>
                                        <a:pt x="6043" y="238"/>
                                        <a:pt x="6043" y="174"/>
                                      </a:cubicBezTo>
                                      <a:cubicBezTo>
                                        <a:pt x="6043" y="133"/>
                                        <a:pt x="6054" y="110"/>
                                        <a:pt x="6054" y="69"/>
                                      </a:cubicBezTo>
                                      <a:cubicBezTo>
                                        <a:pt x="6054" y="46"/>
                                        <a:pt x="6048" y="22"/>
                                        <a:pt x="6043" y="0"/>
                                      </a:cubicBezTo>
                                      <a:lnTo>
                                        <a:pt x="6043" y="0"/>
                                      </a:lnTo>
                                      <a:cubicBezTo>
                                        <a:pt x="6008" y="22"/>
                                        <a:pt x="5990" y="34"/>
                                        <a:pt x="5955" y="46"/>
                                      </a:cubicBezTo>
                                      <a:cubicBezTo>
                                        <a:pt x="5932" y="51"/>
                                        <a:pt x="5909" y="40"/>
                                        <a:pt x="5891" y="51"/>
                                      </a:cubicBezTo>
                                      <a:cubicBezTo>
                                        <a:pt x="5862" y="63"/>
                                        <a:pt x="5862" y="110"/>
                                        <a:pt x="5833" y="110"/>
                                      </a:cubicBezTo>
                                      <a:cubicBezTo>
                                        <a:pt x="5815" y="110"/>
                                        <a:pt x="5810" y="98"/>
                                        <a:pt x="5792" y="98"/>
                                      </a:cubicBezTo>
                                      <a:cubicBezTo>
                                        <a:pt x="5757" y="92"/>
                                        <a:pt x="5728" y="104"/>
                                        <a:pt x="5693" y="104"/>
                                      </a:cubicBezTo>
                                      <a:cubicBezTo>
                                        <a:pt x="5635" y="104"/>
                                        <a:pt x="5612" y="57"/>
                                        <a:pt x="5554" y="57"/>
                                      </a:cubicBezTo>
                                      <a:cubicBezTo>
                                        <a:pt x="5507" y="57"/>
                                        <a:pt x="5501" y="104"/>
                                        <a:pt x="5466" y="133"/>
                                      </a:cubicBezTo>
                                      <a:cubicBezTo>
                                        <a:pt x="5449" y="145"/>
                                        <a:pt x="5431" y="133"/>
                                        <a:pt x="5408" y="145"/>
                                      </a:cubicBezTo>
                                      <a:cubicBezTo>
                                        <a:pt x="5355" y="162"/>
                                        <a:pt x="5338" y="197"/>
                                        <a:pt x="5286" y="214"/>
                                      </a:cubicBezTo>
                                      <a:cubicBezTo>
                                        <a:pt x="5297" y="244"/>
                                        <a:pt x="5303" y="261"/>
                                        <a:pt x="5321" y="279"/>
                                      </a:cubicBezTo>
                                      <a:cubicBezTo>
                                        <a:pt x="5326" y="284"/>
                                        <a:pt x="5344" y="284"/>
                                        <a:pt x="5344" y="296"/>
                                      </a:cubicBezTo>
                                      <a:cubicBezTo>
                                        <a:pt x="5344" y="360"/>
                                        <a:pt x="5297" y="418"/>
                                        <a:pt x="5233" y="418"/>
                                      </a:cubicBezTo>
                                      <a:cubicBezTo>
                                        <a:pt x="5233" y="430"/>
                                        <a:pt x="5233" y="436"/>
                                        <a:pt x="5227" y="447"/>
                                      </a:cubicBezTo>
                                      <a:cubicBezTo>
                                        <a:pt x="5198" y="447"/>
                                        <a:pt x="5187" y="407"/>
                                        <a:pt x="5158" y="407"/>
                                      </a:cubicBezTo>
                                      <a:cubicBezTo>
                                        <a:pt x="5094" y="407"/>
                                        <a:pt x="5070" y="465"/>
                                        <a:pt x="5041" y="523"/>
                                      </a:cubicBezTo>
                                      <a:cubicBezTo>
                                        <a:pt x="5029" y="540"/>
                                        <a:pt x="5035" y="564"/>
                                        <a:pt x="5018" y="564"/>
                                      </a:cubicBezTo>
                                      <a:cubicBezTo>
                                        <a:pt x="4936" y="564"/>
                                        <a:pt x="4983" y="424"/>
                                        <a:pt x="4913" y="389"/>
                                      </a:cubicBezTo>
                                      <a:cubicBezTo>
                                        <a:pt x="4849" y="360"/>
                                        <a:pt x="4826" y="325"/>
                                        <a:pt x="4768" y="290"/>
                                      </a:cubicBezTo>
                                      <a:cubicBezTo>
                                        <a:pt x="4750" y="279"/>
                                        <a:pt x="4750" y="255"/>
                                        <a:pt x="4727" y="255"/>
                                      </a:cubicBezTo>
                                      <a:cubicBezTo>
                                        <a:pt x="4703" y="255"/>
                                        <a:pt x="4692" y="273"/>
                                        <a:pt x="4663" y="273"/>
                                      </a:cubicBezTo>
                                      <a:cubicBezTo>
                                        <a:pt x="4610" y="273"/>
                                        <a:pt x="4610" y="273"/>
                                        <a:pt x="4610" y="273"/>
                                      </a:cubicBezTo>
                                      <a:cubicBezTo>
                                        <a:pt x="4605" y="273"/>
                                        <a:pt x="4599" y="279"/>
                                        <a:pt x="4587" y="279"/>
                                      </a:cubicBezTo>
                                      <a:cubicBezTo>
                                        <a:pt x="4540" y="279"/>
                                        <a:pt x="4535" y="214"/>
                                        <a:pt x="4488" y="214"/>
                                      </a:cubicBezTo>
                                      <a:cubicBezTo>
                                        <a:pt x="4412" y="214"/>
                                        <a:pt x="4377" y="261"/>
                                        <a:pt x="4302" y="261"/>
                                      </a:cubicBezTo>
                                      <a:cubicBezTo>
                                        <a:pt x="4284" y="261"/>
                                        <a:pt x="4279" y="255"/>
                                        <a:pt x="4261" y="255"/>
                                      </a:cubicBezTo>
                                      <a:cubicBezTo>
                                        <a:pt x="4209" y="255"/>
                                        <a:pt x="4209" y="255"/>
                                        <a:pt x="4209" y="255"/>
                                      </a:cubicBezTo>
                                      <a:cubicBezTo>
                                        <a:pt x="4174" y="255"/>
                                        <a:pt x="4156" y="232"/>
                                        <a:pt x="4121" y="232"/>
                                      </a:cubicBezTo>
                                      <a:cubicBezTo>
                                        <a:pt x="4075" y="232"/>
                                        <a:pt x="4057" y="279"/>
                                        <a:pt x="4017" y="308"/>
                                      </a:cubicBezTo>
                                      <a:cubicBezTo>
                                        <a:pt x="3970" y="342"/>
                                        <a:pt x="3929" y="342"/>
                                        <a:pt x="3894" y="389"/>
                                      </a:cubicBezTo>
                                      <a:cubicBezTo>
                                        <a:pt x="3877" y="407"/>
                                        <a:pt x="3888" y="442"/>
                                        <a:pt x="3865" y="447"/>
                                      </a:cubicBezTo>
                                      <a:cubicBezTo>
                                        <a:pt x="11" y="459"/>
                                        <a:pt x="11" y="459"/>
                                        <a:pt x="11" y="459"/>
                                      </a:cubicBezTo>
                                      <a:lnTo>
                                        <a:pt x="11" y="459"/>
                                      </a:lnTo>
                                      <a:cubicBezTo>
                                        <a:pt x="0" y="3311"/>
                                        <a:pt x="0" y="3311"/>
                                        <a:pt x="0" y="3311"/>
                                      </a:cubicBezTo>
                                      <a:lnTo>
                                        <a:pt x="0" y="3311"/>
                                      </a:lnTo>
                                      <a:cubicBezTo>
                                        <a:pt x="23" y="3306"/>
                                        <a:pt x="23" y="3306"/>
                                        <a:pt x="23" y="3306"/>
                                      </a:cubicBezTo>
                                      <a:cubicBezTo>
                                        <a:pt x="64" y="3329"/>
                                        <a:pt x="93" y="3323"/>
                                        <a:pt x="139" y="3340"/>
                                      </a:cubicBezTo>
                                      <a:cubicBezTo>
                                        <a:pt x="198" y="3364"/>
                                        <a:pt x="215" y="3410"/>
                                        <a:pt x="279" y="3410"/>
                                      </a:cubicBezTo>
                                      <a:cubicBezTo>
                                        <a:pt x="314" y="3410"/>
                                        <a:pt x="308" y="3346"/>
                                        <a:pt x="343" y="3346"/>
                                      </a:cubicBezTo>
                                      <a:cubicBezTo>
                                        <a:pt x="378" y="3346"/>
                                        <a:pt x="401" y="3364"/>
                                        <a:pt x="436" y="3364"/>
                                      </a:cubicBezTo>
                                      <a:cubicBezTo>
                                        <a:pt x="460" y="3364"/>
                                        <a:pt x="471" y="3358"/>
                                        <a:pt x="495" y="3358"/>
                                      </a:cubicBezTo>
                                      <a:cubicBezTo>
                                        <a:pt x="541" y="3358"/>
                                        <a:pt x="564" y="3399"/>
                                        <a:pt x="593" y="3439"/>
                                      </a:cubicBezTo>
                                      <a:cubicBezTo>
                                        <a:pt x="599" y="3451"/>
                                        <a:pt x="605" y="3463"/>
                                        <a:pt x="617" y="3474"/>
                                      </a:cubicBezTo>
                                      <a:cubicBezTo>
                                        <a:pt x="640" y="3492"/>
                                        <a:pt x="687" y="3474"/>
                                        <a:pt x="687" y="3503"/>
                                      </a:cubicBezTo>
                                      <a:cubicBezTo>
                                        <a:pt x="687" y="3527"/>
                                        <a:pt x="675" y="3544"/>
                                        <a:pt x="675" y="3573"/>
                                      </a:cubicBezTo>
                                      <a:cubicBezTo>
                                        <a:pt x="675" y="3602"/>
                                        <a:pt x="698" y="3614"/>
                                        <a:pt x="710" y="3637"/>
                                      </a:cubicBezTo>
                                      <a:cubicBezTo>
                                        <a:pt x="733" y="3690"/>
                                        <a:pt x="739" y="3748"/>
                                        <a:pt x="791" y="3748"/>
                                      </a:cubicBezTo>
                                      <a:cubicBezTo>
                                        <a:pt x="826" y="3748"/>
                                        <a:pt x="832" y="3702"/>
                                        <a:pt x="832" y="3666"/>
                                      </a:cubicBezTo>
                                      <a:cubicBezTo>
                                        <a:pt x="838" y="3637"/>
                                        <a:pt x="867" y="3632"/>
                                        <a:pt x="873" y="3602"/>
                                      </a:cubicBezTo>
                                      <a:cubicBezTo>
                                        <a:pt x="896" y="3672"/>
                                        <a:pt x="966" y="3678"/>
                                        <a:pt x="1030" y="3696"/>
                                      </a:cubicBezTo>
                                      <a:cubicBezTo>
                                        <a:pt x="1082" y="3707"/>
                                        <a:pt x="1100" y="3736"/>
                                        <a:pt x="1147" y="3754"/>
                                      </a:cubicBezTo>
                                      <a:cubicBezTo>
                                        <a:pt x="1141" y="3783"/>
                                        <a:pt x="1123" y="3795"/>
                                        <a:pt x="1123" y="3824"/>
                                      </a:cubicBezTo>
                                      <a:cubicBezTo>
                                        <a:pt x="1123" y="3882"/>
                                        <a:pt x="1123" y="3928"/>
                                        <a:pt x="1164" y="3969"/>
                                      </a:cubicBezTo>
                                      <a:cubicBezTo>
                                        <a:pt x="1193" y="3998"/>
                                        <a:pt x="1251" y="3992"/>
                                        <a:pt x="1251" y="4033"/>
                                      </a:cubicBezTo>
                                      <a:cubicBezTo>
                                        <a:pt x="1251" y="4074"/>
                                        <a:pt x="1251" y="4074"/>
                                        <a:pt x="1251" y="4074"/>
                                      </a:cubicBezTo>
                                      <a:cubicBezTo>
                                        <a:pt x="1251" y="4103"/>
                                        <a:pt x="1292" y="4097"/>
                                        <a:pt x="1315" y="4103"/>
                                      </a:cubicBezTo>
                                      <a:cubicBezTo>
                                        <a:pt x="1356" y="4115"/>
                                        <a:pt x="1373" y="4144"/>
                                        <a:pt x="1408" y="4167"/>
                                      </a:cubicBezTo>
                                      <a:cubicBezTo>
                                        <a:pt x="1473" y="4208"/>
                                        <a:pt x="1519" y="4225"/>
                                        <a:pt x="1554" y="4289"/>
                                      </a:cubicBezTo>
                                      <a:cubicBezTo>
                                        <a:pt x="1566" y="4313"/>
                                        <a:pt x="1589" y="4313"/>
                                        <a:pt x="1606" y="4330"/>
                                      </a:cubicBezTo>
                                      <a:cubicBezTo>
                                        <a:pt x="1641" y="4388"/>
                                        <a:pt x="1659" y="4429"/>
                                        <a:pt x="1717" y="4470"/>
                                      </a:cubicBezTo>
                                      <a:cubicBezTo>
                                        <a:pt x="1758" y="4505"/>
                                        <a:pt x="1781" y="4546"/>
                                        <a:pt x="1839" y="4546"/>
                                      </a:cubicBezTo>
                                      <a:cubicBezTo>
                                        <a:pt x="1851" y="4546"/>
                                        <a:pt x="1851" y="4534"/>
                                        <a:pt x="1862" y="4528"/>
                                      </a:cubicBezTo>
                                      <a:cubicBezTo>
                                        <a:pt x="1886" y="4522"/>
                                        <a:pt x="1903" y="4528"/>
                                        <a:pt x="1927" y="4522"/>
                                      </a:cubicBezTo>
                                      <a:cubicBezTo>
                                        <a:pt x="1921" y="4499"/>
                                        <a:pt x="1909" y="4493"/>
                                        <a:pt x="1909" y="4470"/>
                                      </a:cubicBezTo>
                                      <a:cubicBezTo>
                                        <a:pt x="1909" y="4423"/>
                                        <a:pt x="1956" y="4388"/>
                                        <a:pt x="2002" y="4388"/>
                                      </a:cubicBezTo>
                                      <a:cubicBezTo>
                                        <a:pt x="2043" y="4388"/>
                                        <a:pt x="2066" y="4400"/>
                                        <a:pt x="2107" y="4400"/>
                                      </a:cubicBezTo>
                                      <a:cubicBezTo>
                                        <a:pt x="2136" y="4400"/>
                                        <a:pt x="2142" y="4377"/>
                                        <a:pt x="2165" y="4377"/>
                                      </a:cubicBezTo>
                                      <a:cubicBezTo>
                                        <a:pt x="2247" y="4377"/>
                                        <a:pt x="2264" y="4470"/>
                                        <a:pt x="2340" y="4470"/>
                                      </a:cubicBezTo>
                                      <a:cubicBezTo>
                                        <a:pt x="2352" y="4470"/>
                                        <a:pt x="2352" y="4458"/>
                                        <a:pt x="2363" y="4458"/>
                                      </a:cubicBezTo>
                                      <a:cubicBezTo>
                                        <a:pt x="2387" y="4458"/>
                                        <a:pt x="2392" y="4476"/>
                                        <a:pt x="2421" y="4476"/>
                                      </a:cubicBezTo>
                                      <a:cubicBezTo>
                                        <a:pt x="2433" y="4476"/>
                                        <a:pt x="2439" y="4470"/>
                                        <a:pt x="2456" y="4470"/>
                                      </a:cubicBezTo>
                                      <a:cubicBezTo>
                                        <a:pt x="2474" y="4470"/>
                                        <a:pt x="2480" y="4487"/>
                                        <a:pt x="2491" y="4493"/>
                                      </a:cubicBezTo>
                                      <a:cubicBezTo>
                                        <a:pt x="2526" y="4505"/>
                                        <a:pt x="2555" y="4499"/>
                                        <a:pt x="2590" y="4499"/>
                                      </a:cubicBezTo>
                                      <a:cubicBezTo>
                                        <a:pt x="2614" y="4499"/>
                                        <a:pt x="2614" y="4499"/>
                                        <a:pt x="2614" y="4499"/>
                                      </a:cubicBezTo>
                                      <a:cubicBezTo>
                                        <a:pt x="2614" y="4476"/>
                                        <a:pt x="2614" y="4476"/>
                                        <a:pt x="2614" y="4476"/>
                                      </a:cubicBezTo>
                                      <a:cubicBezTo>
                                        <a:pt x="2619" y="4470"/>
                                        <a:pt x="2625" y="4464"/>
                                        <a:pt x="2631" y="4464"/>
                                      </a:cubicBezTo>
                                      <a:cubicBezTo>
                                        <a:pt x="2643" y="4464"/>
                                        <a:pt x="2648" y="4470"/>
                                        <a:pt x="2660" y="4470"/>
                                      </a:cubicBezTo>
                                      <a:cubicBezTo>
                                        <a:pt x="2672" y="4470"/>
                                        <a:pt x="2678" y="4470"/>
                                        <a:pt x="2689" y="4470"/>
                                      </a:cubicBezTo>
                                      <a:cubicBezTo>
                                        <a:pt x="2713" y="4470"/>
                                        <a:pt x="2724" y="4493"/>
                                        <a:pt x="2747" y="4499"/>
                                      </a:cubicBezTo>
                                      <a:cubicBezTo>
                                        <a:pt x="2806" y="4522"/>
                                        <a:pt x="2841" y="4546"/>
                                        <a:pt x="2905" y="4546"/>
                                      </a:cubicBezTo>
                                      <a:cubicBezTo>
                                        <a:pt x="2934" y="4546"/>
                                        <a:pt x="2928" y="4493"/>
                                        <a:pt x="2957" y="4487"/>
                                      </a:cubicBezTo>
                                      <a:cubicBezTo>
                                        <a:pt x="3044" y="4464"/>
                                        <a:pt x="3091" y="4441"/>
                                        <a:pt x="3178" y="4441"/>
                                      </a:cubicBezTo>
                                      <a:cubicBezTo>
                                        <a:pt x="3254" y="4441"/>
                                        <a:pt x="3300" y="4452"/>
                                        <a:pt x="3359" y="4499"/>
                                      </a:cubicBezTo>
                                      <a:cubicBezTo>
                                        <a:pt x="3405" y="4528"/>
                                        <a:pt x="3399" y="4580"/>
                                        <a:pt x="3399" y="4639"/>
                                      </a:cubicBezTo>
                                      <a:cubicBezTo>
                                        <a:pt x="3399" y="4691"/>
                                        <a:pt x="3399" y="4691"/>
                                        <a:pt x="3399" y="4691"/>
                                      </a:cubicBezTo>
                                      <a:cubicBezTo>
                                        <a:pt x="3399" y="4773"/>
                                        <a:pt x="3463" y="4802"/>
                                        <a:pt x="3463" y="4883"/>
                                      </a:cubicBezTo>
                                      <a:cubicBezTo>
                                        <a:pt x="3463" y="4901"/>
                                        <a:pt x="3458" y="4906"/>
                                        <a:pt x="3458" y="4924"/>
                                      </a:cubicBezTo>
                                      <a:cubicBezTo>
                                        <a:pt x="3458" y="4953"/>
                                        <a:pt x="3487" y="4959"/>
                                        <a:pt x="3516" y="4970"/>
                                      </a:cubicBezTo>
                                      <a:cubicBezTo>
                                        <a:pt x="3562" y="4988"/>
                                        <a:pt x="3586" y="5011"/>
                                        <a:pt x="3632" y="5029"/>
                                      </a:cubicBezTo>
                                      <a:cubicBezTo>
                                        <a:pt x="4325" y="5378"/>
                                        <a:pt x="4325" y="5378"/>
                                        <a:pt x="4325" y="5378"/>
                                      </a:cubicBezTo>
                                      <a:close/>
                                      <a:moveTo>
                                        <a:pt x="3859" y="3987"/>
                                      </a:moveTo>
                                      <a:lnTo>
                                        <a:pt x="3859" y="3987"/>
                                      </a:lnTo>
                                      <a:cubicBezTo>
                                        <a:pt x="3883" y="3969"/>
                                        <a:pt x="3900" y="3952"/>
                                        <a:pt x="3929" y="3952"/>
                                      </a:cubicBezTo>
                                      <a:cubicBezTo>
                                        <a:pt x="3993" y="3952"/>
                                        <a:pt x="3988" y="4039"/>
                                        <a:pt x="4046" y="4068"/>
                                      </a:cubicBezTo>
                                      <a:cubicBezTo>
                                        <a:pt x="4011" y="4097"/>
                                        <a:pt x="3970" y="4074"/>
                                        <a:pt x="3935" y="4103"/>
                                      </a:cubicBezTo>
                                      <a:cubicBezTo>
                                        <a:pt x="3918" y="4115"/>
                                        <a:pt x="3923" y="4144"/>
                                        <a:pt x="3918" y="4167"/>
                                      </a:cubicBezTo>
                                      <a:cubicBezTo>
                                        <a:pt x="3912" y="4196"/>
                                        <a:pt x="3900" y="4220"/>
                                        <a:pt x="3900" y="4249"/>
                                      </a:cubicBezTo>
                                      <a:cubicBezTo>
                                        <a:pt x="3900" y="4289"/>
                                        <a:pt x="3912" y="4307"/>
                                        <a:pt x="3912" y="4348"/>
                                      </a:cubicBezTo>
                                      <a:cubicBezTo>
                                        <a:pt x="3912" y="4365"/>
                                        <a:pt x="3906" y="4377"/>
                                        <a:pt x="3906" y="4394"/>
                                      </a:cubicBezTo>
                                      <a:cubicBezTo>
                                        <a:pt x="3906" y="4412"/>
                                        <a:pt x="3918" y="4435"/>
                                        <a:pt x="3900" y="4435"/>
                                      </a:cubicBezTo>
                                      <a:cubicBezTo>
                                        <a:pt x="3848" y="4435"/>
                                        <a:pt x="3830" y="4388"/>
                                        <a:pt x="3801" y="4348"/>
                                      </a:cubicBezTo>
                                      <a:cubicBezTo>
                                        <a:pt x="3766" y="4301"/>
                                        <a:pt x="3731" y="4278"/>
                                        <a:pt x="3731" y="4220"/>
                                      </a:cubicBezTo>
                                      <a:cubicBezTo>
                                        <a:pt x="3731" y="4173"/>
                                        <a:pt x="3766" y="4155"/>
                                        <a:pt x="3766" y="4109"/>
                                      </a:cubicBezTo>
                                      <a:cubicBezTo>
                                        <a:pt x="3766" y="4068"/>
                                        <a:pt x="3766" y="4068"/>
                                        <a:pt x="3766" y="4068"/>
                                      </a:cubicBezTo>
                                      <a:cubicBezTo>
                                        <a:pt x="3766" y="4022"/>
                                        <a:pt x="3848" y="4039"/>
                                        <a:pt x="3859" y="3987"/>
                                      </a:cubicBezTo>
                                      <a:close/>
                                    </a:path>
                                  </a:pathLst>
                                </a:custGeom>
                                <a:solidFill>
                                  <a:srgbClr val="008EBA"/>
                                </a:solidFill>
                                <a:ln w="3175" cap="flat" cmpd="sng">
                                  <a:solidFill>
                                    <a:srgbClr val="FFFFFF"/>
                                  </a:solidFill>
                                  <a:prstDash val="solid"/>
                                  <a:miter/>
                                  <a:headEnd type="none" w="med" len="med"/>
                                  <a:tailEnd type="none" w="med" len="med"/>
                                </a:ln>
                              </wps:spPr>
                              <wps:bodyPr lIns="34285" tIns="17138" rIns="34285" bIns="17138" anchor="t" anchorCtr="0">
                                <a:noAutofit/>
                              </wps:bodyPr>
                            </wps:wsp>
                            <wps:wsp>
                              <wps:cNvPr id="8" name="Rectangle 8"/>
                              <wps:cNvSpPr/>
                              <wps:spPr>
                                <a:xfrm>
                                  <a:off x="257175" y="990600"/>
                                  <a:ext cx="2921330" cy="1258784"/>
                                </a:xfrm>
                                <a:prstGeom prst="rect">
                                  <a:avLst/>
                                </a:prstGeom>
                                <a:solidFill>
                                  <a:srgbClr val="008EB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F0016F" w14:textId="599C4DD5" w:rsidR="00B11348" w:rsidRPr="00E30164" w:rsidRDefault="00B11348" w:rsidP="00B11348">
                                    <w:pPr>
                                      <w:jc w:val="center"/>
                                      <w:rPr>
                                        <w:rFonts w:asciiTheme="minorHAnsi" w:hAnsiTheme="minorHAnsi" w:cstheme="minorHAnsi"/>
                                        <w:sz w:val="40"/>
                                        <w:szCs w:val="40"/>
                                      </w:rPr>
                                    </w:pPr>
                                    <w:r w:rsidRPr="00A95A66">
                                      <w:rPr>
                                        <w:rFonts w:asciiTheme="minorHAnsi" w:hAnsiTheme="minorHAnsi" w:cstheme="minorHAnsi"/>
                                        <w:b/>
                                        <w:bCs/>
                                        <w:sz w:val="40"/>
                                        <w:szCs w:val="40"/>
                                      </w:rPr>
                                      <w:t>$</w:t>
                                    </w:r>
                                    <w:r w:rsidR="00EF2A3D">
                                      <w:rPr>
                                        <w:rFonts w:asciiTheme="minorHAnsi" w:hAnsiTheme="minorHAnsi" w:cstheme="minorHAnsi"/>
                                        <w:b/>
                                        <w:bCs/>
                                        <w:sz w:val="40"/>
                                        <w:szCs w:val="40"/>
                                      </w:rPr>
                                      <w:t>108.5</w:t>
                                    </w:r>
                                    <w:r w:rsidRPr="00A95A66">
                                      <w:rPr>
                                        <w:rFonts w:asciiTheme="minorHAnsi" w:hAnsiTheme="minorHAnsi" w:cstheme="minorHAnsi"/>
                                        <w:b/>
                                        <w:bCs/>
                                        <w:sz w:val="40"/>
                                        <w:szCs w:val="40"/>
                                      </w:rPr>
                                      <w:t xml:space="preserve"> billion</w:t>
                                    </w:r>
                                    <w:r w:rsidRPr="00E30164">
                                      <w:rPr>
                                        <w:rFonts w:asciiTheme="minorHAnsi" w:hAnsiTheme="minorHAnsi" w:cstheme="minorHAnsi"/>
                                        <w:sz w:val="40"/>
                                        <w:szCs w:val="40"/>
                                      </w:rPr>
                                      <w:t xml:space="preserve"> </w:t>
                                    </w:r>
                                  </w:p>
                                  <w:p w14:paraId="7773D856" w14:textId="77777777" w:rsidR="00B11348" w:rsidRPr="00E30164" w:rsidRDefault="00B11348" w:rsidP="00B11348">
                                    <w:pPr>
                                      <w:jc w:val="center"/>
                                      <w:rPr>
                                        <w:rFonts w:asciiTheme="minorHAnsi" w:hAnsiTheme="minorHAnsi" w:cstheme="minorHAnsi"/>
                                        <w:sz w:val="40"/>
                                        <w:szCs w:val="40"/>
                                      </w:rPr>
                                    </w:pPr>
                                    <w:r w:rsidRPr="00E30164">
                                      <w:rPr>
                                        <w:rFonts w:asciiTheme="minorHAnsi" w:hAnsiTheme="minorHAnsi" w:cstheme="minorHAnsi"/>
                                        <w:sz w:val="40"/>
                                        <w:szCs w:val="40"/>
                                      </w:rPr>
                                      <w:t>infrastructure investment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 name="Picture 9"/>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3008118" y="2689431"/>
                                  <a:ext cx="831215" cy="831215"/>
                                </a:xfrm>
                                <a:prstGeom prst="rect">
                                  <a:avLst/>
                                </a:prstGeom>
                                <a:noFill/>
                                <a:ln>
                                  <a:noFill/>
                                </a:ln>
                              </pic:spPr>
                            </pic:pic>
                            <pic:pic xmlns:pic="http://schemas.openxmlformats.org/drawingml/2006/picture">
                              <pic:nvPicPr>
                                <pic:cNvPr id="10" name="Picture 10"/>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3578091" y="1418190"/>
                                  <a:ext cx="831215" cy="831215"/>
                                </a:xfrm>
                                <a:prstGeom prst="rect">
                                  <a:avLst/>
                                </a:prstGeom>
                                <a:noFill/>
                                <a:ln>
                                  <a:noFill/>
                                </a:ln>
                              </pic:spPr>
                            </pic:pic>
                            <pic:pic xmlns:pic="http://schemas.openxmlformats.org/drawingml/2006/picture">
                              <pic:nvPicPr>
                                <pic:cNvPr id="11" name="Picture 1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4040430" y="143789"/>
                                  <a:ext cx="831215" cy="831215"/>
                                </a:xfrm>
                                <a:prstGeom prst="rect">
                                  <a:avLst/>
                                </a:prstGeom>
                                <a:noFill/>
                                <a:ln>
                                  <a:noFill/>
                                </a:ln>
                              </pic:spPr>
                            </pic:pic>
                            <wps:wsp>
                              <wps:cNvPr id="12" name="Text Box 12"/>
                              <wps:cNvSpPr txBox="1"/>
                              <wps:spPr>
                                <a:xfrm>
                                  <a:off x="4713960" y="201854"/>
                                  <a:ext cx="1911927" cy="748145"/>
                                </a:xfrm>
                                <a:prstGeom prst="rect">
                                  <a:avLst/>
                                </a:prstGeom>
                                <a:noFill/>
                                <a:ln w="6350">
                                  <a:noFill/>
                                </a:ln>
                              </wps:spPr>
                              <wps:txbx>
                                <w:txbxContent>
                                  <w:p w14:paraId="426D8421" w14:textId="7C33F3E4" w:rsidR="00B11348" w:rsidRPr="00CA24C3" w:rsidRDefault="00B11348" w:rsidP="00B11348">
                                    <w:pPr>
                                      <w:jc w:val="center"/>
                                      <w:rPr>
                                        <w:rFonts w:ascii="Arial" w:hAnsi="Arial" w:cs="Arial"/>
                                        <w:b/>
                                        <w:bCs/>
                                      </w:rPr>
                                    </w:pPr>
                                    <w:r w:rsidRPr="002B25AE">
                                      <w:rPr>
                                        <w:rFonts w:ascii="Arial" w:hAnsi="Arial" w:cs="Arial"/>
                                        <w:b/>
                                        <w:bCs/>
                                        <w:sz w:val="28"/>
                                        <w:szCs w:val="28"/>
                                      </w:rPr>
                                      <w:t>$</w:t>
                                    </w:r>
                                    <w:r w:rsidR="004215E7" w:rsidRPr="002B25AE">
                                      <w:rPr>
                                        <w:rFonts w:ascii="Arial" w:hAnsi="Arial" w:cs="Arial"/>
                                        <w:b/>
                                        <w:bCs/>
                                        <w:sz w:val="28"/>
                                        <w:szCs w:val="28"/>
                                      </w:rPr>
                                      <w:t>71.</w:t>
                                    </w:r>
                                    <w:r w:rsidR="007300E5" w:rsidRPr="002B25AE">
                                      <w:rPr>
                                        <w:rFonts w:ascii="Arial" w:hAnsi="Arial" w:cs="Arial"/>
                                        <w:b/>
                                        <w:bCs/>
                                        <w:sz w:val="28"/>
                                        <w:szCs w:val="28"/>
                                      </w:rPr>
                                      <w:t>5</w:t>
                                    </w:r>
                                    <w:r w:rsidRPr="00CA24C3">
                                      <w:rPr>
                                        <w:rFonts w:ascii="Arial" w:hAnsi="Arial" w:cs="Arial"/>
                                        <w:b/>
                                        <w:bCs/>
                                        <w:sz w:val="28"/>
                                        <w:szCs w:val="28"/>
                                      </w:rPr>
                                      <w:t xml:space="preserve"> billion</w:t>
                                    </w:r>
                                    <w:r w:rsidRPr="00CA24C3">
                                      <w:rPr>
                                        <w:rFonts w:ascii="Arial" w:hAnsi="Arial" w:cs="Arial"/>
                                        <w:b/>
                                        <w:bCs/>
                                      </w:rPr>
                                      <w:br/>
                                    </w:r>
                                    <w:r w:rsidRPr="00CA24C3">
                                      <w:rPr>
                                        <w:rFonts w:ascii="Arial" w:hAnsi="Arial" w:cs="Arial"/>
                                      </w:rPr>
                                      <w:t>Delivering road and rail projects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13"/>
                              <wps:cNvSpPr txBox="1"/>
                              <wps:spPr>
                                <a:xfrm>
                                  <a:off x="3688569" y="2748030"/>
                                  <a:ext cx="1911350" cy="748030"/>
                                </a:xfrm>
                                <a:prstGeom prst="rect">
                                  <a:avLst/>
                                </a:prstGeom>
                                <a:noFill/>
                                <a:ln w="6350">
                                  <a:noFill/>
                                </a:ln>
                              </wps:spPr>
                              <wps:txbx>
                                <w:txbxContent>
                                  <w:p w14:paraId="11E5A8D2" w14:textId="005F1872" w:rsidR="00B11348" w:rsidRPr="00CA24C3" w:rsidRDefault="00B11348" w:rsidP="00B11348">
                                    <w:pPr>
                                      <w:jc w:val="center"/>
                                      <w:rPr>
                                        <w:rFonts w:ascii="Arial" w:hAnsi="Arial" w:cs="Arial"/>
                                        <w:b/>
                                        <w:bCs/>
                                      </w:rPr>
                                    </w:pPr>
                                    <w:r w:rsidRPr="002B25AE">
                                      <w:rPr>
                                        <w:rFonts w:ascii="Arial" w:hAnsi="Arial" w:cs="Arial"/>
                                        <w:b/>
                                        <w:bCs/>
                                        <w:sz w:val="28"/>
                                        <w:szCs w:val="28"/>
                                      </w:rPr>
                                      <w:t>$</w:t>
                                    </w:r>
                                    <w:r w:rsidR="00375677" w:rsidRPr="002B25AE">
                                      <w:rPr>
                                        <w:rFonts w:ascii="Arial" w:hAnsi="Arial" w:cs="Arial"/>
                                        <w:b/>
                                        <w:bCs/>
                                        <w:sz w:val="28"/>
                                        <w:szCs w:val="28"/>
                                      </w:rPr>
                                      <w:t>8.5</w:t>
                                    </w:r>
                                    <w:r w:rsidRPr="00CA24C3">
                                      <w:rPr>
                                        <w:rFonts w:ascii="Arial" w:hAnsi="Arial" w:cs="Arial"/>
                                        <w:b/>
                                        <w:bCs/>
                                        <w:sz w:val="28"/>
                                        <w:szCs w:val="28"/>
                                      </w:rPr>
                                      <w:t xml:space="preserve"> billion</w:t>
                                    </w:r>
                                    <w:r w:rsidRPr="00CA24C3">
                                      <w:rPr>
                                        <w:rFonts w:ascii="Arial" w:hAnsi="Arial" w:cs="Arial"/>
                                        <w:b/>
                                        <w:bCs/>
                                      </w:rPr>
                                      <w:br/>
                                    </w:r>
                                    <w:r w:rsidRPr="00CA24C3">
                                      <w:rPr>
                                        <w:rFonts w:ascii="Arial" w:hAnsi="Arial" w:cs="Arial"/>
                                      </w:rPr>
                                      <w:t>Delivering schools and educational facilities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 Box 14"/>
                              <wps:cNvSpPr txBox="1"/>
                              <wps:spPr>
                                <a:xfrm>
                                  <a:off x="4266237" y="1541620"/>
                                  <a:ext cx="1911925" cy="748145"/>
                                </a:xfrm>
                                <a:prstGeom prst="rect">
                                  <a:avLst/>
                                </a:prstGeom>
                                <a:noFill/>
                                <a:ln w="6350">
                                  <a:noFill/>
                                </a:ln>
                              </wps:spPr>
                              <wps:txbx>
                                <w:txbxContent>
                                  <w:p w14:paraId="7E26D2E2" w14:textId="5B398C47" w:rsidR="00B11348" w:rsidRPr="00CA24C3" w:rsidRDefault="00B11348" w:rsidP="00B11348">
                                    <w:pPr>
                                      <w:jc w:val="center"/>
                                      <w:rPr>
                                        <w:rFonts w:ascii="Arial" w:hAnsi="Arial" w:cs="Arial"/>
                                        <w:b/>
                                        <w:bCs/>
                                      </w:rPr>
                                    </w:pPr>
                                    <w:r w:rsidRPr="002B25AE">
                                      <w:rPr>
                                        <w:rFonts w:ascii="Arial" w:hAnsi="Arial" w:cs="Arial"/>
                                        <w:b/>
                                        <w:bCs/>
                                        <w:sz w:val="28"/>
                                        <w:szCs w:val="28"/>
                                      </w:rPr>
                                      <w:t>$</w:t>
                                    </w:r>
                                    <w:r w:rsidR="00375677" w:rsidRPr="002B25AE">
                                      <w:rPr>
                                        <w:rFonts w:ascii="Arial" w:hAnsi="Arial" w:cs="Arial"/>
                                        <w:b/>
                                        <w:bCs/>
                                        <w:sz w:val="28"/>
                                        <w:szCs w:val="28"/>
                                      </w:rPr>
                                      <w:t>10.8</w:t>
                                    </w:r>
                                    <w:r w:rsidRPr="00CA24C3">
                                      <w:rPr>
                                        <w:rFonts w:ascii="Arial" w:hAnsi="Arial" w:cs="Arial"/>
                                        <w:b/>
                                        <w:bCs/>
                                        <w:sz w:val="28"/>
                                        <w:szCs w:val="28"/>
                                      </w:rPr>
                                      <w:t xml:space="preserve"> billion</w:t>
                                    </w:r>
                                    <w:r w:rsidRPr="00CA24C3">
                                      <w:rPr>
                                        <w:rFonts w:ascii="Arial" w:hAnsi="Arial" w:cs="Arial"/>
                                        <w:b/>
                                        <w:bCs/>
                                      </w:rPr>
                                      <w:br/>
                                    </w:r>
                                    <w:r w:rsidRPr="00CA24C3">
                                      <w:rPr>
                                        <w:rFonts w:ascii="Arial" w:hAnsi="Arial" w:cs="Arial"/>
                                      </w:rPr>
                                      <w:t>Delivering hospitals and health facilities</w:t>
                                    </w:r>
                                    <w:r w:rsidR="008A65AD" w:rsidRPr="00CA24C3">
                                      <w:rPr>
                                        <w:rFonts w:ascii="Arial" w:hAnsi="Arial" w:cs="Arial"/>
                                        <w:vertAlign w:val="super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2FE91F" id="Group 3" o:spid="_x0000_s1026" style="position:absolute;left:0;text-align:left;margin-left:5.7pt;margin-top:17.6pt;width:476pt;height:252.95pt;z-index:251658240;mso-width-relative:margin;mso-height-relative:margin" coordsize="66258,35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">
                      <v:shape id="Freeform 6" o:spid="_x0000_s1027" style="position:absolute;width:39428;height:34960;visibility:visible;mso-wrap-style:square;v-text-anchor:top" coordsize="6067,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" path="m4325,5378r,c4331,5372,4331,5366,4331,5361v,-47,,-47,,-47c4331,5273,4343,5250,4343,5215v,-35,-6,-52,-6,-82c4314,5133,4314,5133,4314,5133v-12,,-12,6,-24,12c4290,5122,4290,5122,4290,5122v18,-58,18,-58,18,-58c4302,5052,4296,5046,4296,5035v,-47,47,-70,47,-123c4343,4906,4337,4906,4337,4906v,-52,40,-75,40,-122c4377,4703,4377,4703,4377,4703v,-35,35,-53,35,-88c4412,4569,4389,4551,4389,4505v,-29,35,-35,35,-64c4424,4435,4412,4441,4412,4435v,-52,41,-76,41,-128c4471,4313,4482,4295,4488,4272v12,-23,35,-35,35,-64c4523,4150,4558,4126,4570,4074v5,-29,17,-58,35,-82l4605,3992v-6,-5,-12,-5,-12,-17c4593,3958,4634,3934,4651,3969r,c4657,3969,4657,3969,4663,3969v6,,11,6,17,6c4686,3975,4692,3969,4692,3969v-12,-23,-18,-41,-18,-75c4674,3882,4692,3876,4703,3876v30,18,35,64,6,-58c4703,3812,4703,3800,4698,3789v40,-35,64,-70,64,-123c4762,3608,4762,3608,4762,3608v,-11,-18,-17,-18,-29c4744,3550,4768,3539,4779,3515v24,-52,53,-81,87,-128c4936,3288,4971,3213,4971,3090v,-11,-5,-23,-17,-23c4931,3067,4925,3084,4901,3090v,-23,,-35,,-52c4901,3014,4884,3003,4884,2985v,-5,6,-5,6,-11c4901,2980,4907,2991,4919,2991v12,,17,-17,29,-17c4960,2974,4966,2991,4983,2991v23,,52,-11,52,-41c5035,2939,5029,2939,5029,2927v,-46,53,-52,53,-99c5082,2758,5082,2758,5082,2758v,-17,12,-23,23,-23c5123,2735,5123,2735,5123,2735v,23,-6,41,,64c5140,2764,5140,2741,5163,2706v35,-58,88,-64,123,-122c5292,2566,5286,2555,5297,2537v24,-41,70,-23,117,-41c5455,2479,5466,2444,5507,2421v17,-12,41,-23,41,-47c5548,2345,5542,2304,5513,2304v-6,,-6,6,-12,6c5501,2287,5489,2275,5489,2246v,-29,53,-17,65,-41c5565,2182,5559,2170,5571,2153v29,-52,76,-64,99,-122c5687,1978,5699,1949,5705,1891v6,-12,17,-17,29,-29c5757,1827,5763,1804,5769,1763v12,-70,52,-111,52,-180c5821,1559,5821,1548,5821,1530v-40,-6,-29,-52,-29,-93c5792,1396,5810,1373,5815,1332v24,-75,24,-116,47,-192c5868,1111,5897,1099,5897,1059v,-12,,-18,,-30c5897,1000,5926,989,5926,960v,-12,-12,-18,-12,-24c5914,860,5961,826,5961,756v,-35,-29,-53,-64,-53c5885,703,5874,709,5862,715v6,-12,6,-12,6,-12c5885,663,5938,668,5967,634v41,-53,17,-105,41,-169c6025,418,6066,395,6066,348v,-69,-23,-110,-23,-174c6043,133,6054,110,6054,69v,-23,-6,-47,-11,-69l6043,v-35,22,-53,34,-88,46c5932,51,5909,40,5891,51v-29,12,-29,59,-58,59c5815,110,5810,98,5792,98v-35,-6,-64,6,-99,6c5635,104,5612,57,5554,57v-47,,-53,47,-88,76c5449,145,5431,133,5408,145v-53,17,-70,52,-122,69c5297,244,5303,261,5321,279v5,5,23,5,23,17c5344,360,5297,418,5233,418v,12,,18,-6,29c5198,447,5187,407,5158,407v-64,,-88,58,-117,116c5029,540,5035,564,5018,564v-82,,-35,-140,-105,-175c4849,360,4826,325,4768,290v-18,-11,-18,-35,-41,-35c4703,255,4692,273,4663,273v-53,,-53,,-53,c4605,273,4599,279,4587,279v-47,,-52,-65,-99,-65c4412,214,4377,261,4302,261v-18,,-23,-6,-41,-6c4209,255,4209,255,4209,255v-35,,-53,-23,-88,-23c4075,232,4057,279,4017,308v-47,34,-88,34,-123,81c3877,407,3888,442,3865,447,11,459,11,459,11,459r,c,3311,,3311,,3311r,c23,3306,23,3306,23,3306v41,23,70,17,116,34c198,3364,215,3410,279,3410v35,,29,-64,64,-64c378,3346,401,3364,436,3364v24,,35,-6,59,-6c541,3358,564,3399,593,3439v6,12,12,24,24,35c640,3492,687,3474,687,3503v,24,-12,41,-12,70c675,3602,698,3614,710,3637v23,53,29,111,81,111c826,3748,832,3702,832,3666v6,-29,35,-34,41,-64c896,3672,966,3678,1030,3696v52,11,70,40,117,58c1141,3783,1123,3795,1123,3824v,58,,104,41,145c1193,3998,1251,3992,1251,4033v,41,,41,,41c1251,4103,1292,4097,1315,4103v41,12,58,41,93,64c1473,4208,1519,4225,1554,4289v12,24,35,24,52,41c1641,4388,1659,4429,1717,4470v41,35,64,76,122,76c1851,4546,1851,4534,1862,4528v24,-6,41,,65,-6c1921,4499,1909,4493,1909,4470v,-47,47,-82,93,-82c2043,4388,2066,4400,2107,4400v29,,35,-23,58,-23c2247,4377,2264,4470,2340,4470v12,,12,-12,23,-12c2387,4458,2392,4476,2421,4476v12,,18,-6,35,-6c2474,4470,2480,4487,2491,4493v35,12,64,6,99,6c2614,4499,2614,4499,2614,4499v,-23,,-23,,-23c2619,4470,2625,4464,2631,4464v12,,17,6,29,6c2672,4470,2678,4470,2689,4470v24,,35,23,58,29c2806,4522,2841,4546,2905,4546v29,,23,-53,52,-59c3044,4464,3091,4441,3178,4441v76,,122,11,181,58c3405,4528,3399,4580,3399,4639v,52,,52,,52c3399,4773,3463,4802,3463,4883v,18,-5,23,-5,41c3458,4953,3487,4959,3516,4970v46,18,70,41,116,59c4325,5378,4325,5378,4325,5378xm3859,3987r,c3883,3969,3900,3952,3929,3952v64,,59,87,117,116c4011,4097,3970,4074,3935,4103v-17,12,-12,41,-17,64c3912,4196,3900,4220,3900,4249v,40,12,58,12,99c3912,4365,3906,4377,3906,4394v,18,12,41,-6,41c3848,4435,3830,4388,3801,4348v-35,-47,-70,-70,-70,-128c3731,4173,3766,4155,3766,4109v,-41,,-41,,-41c3766,4022,3848,4039,3859,3987xe" fillcolor="#008eba" strokecolor="white" strokeweight=".25pt">
                        <v:stroke joinstyle="miter"/>
                        <v:path o:connecttype="custom" o:connectlocs="2814676,3453801;2788030,3343960;2822475,3192523;2867317,2999490;2893963,2799307;2992746,2594575;3022641,2579626;3037588,2530881;3094779,2382693;3162367,2201359;3185114,1974529;3215658,1932932;3302744,1838041;3329389,1819192;3518507,1622259;3575048,1501370;3684879,1320036;3783013,1028861;3809658,740936;3843453,608347;3813558,456910;3927289,113090;3870098,29897;3699827,67594;3435321,139088;3396978,290525;3192912,252828;2995995,177435;2769184,165736;2530674,252828;0,2151963;181319,2216308;385385,2235156;461422,2363845;669387,2402192;813013,2621223;1009930,2787608;1210096,2942945;1369319,2859752;1573385,2909148;1698814,2924097;1747556,2905248;2065352,2886400;2250571,3173675;2810777,3495397;2629457,2643971;2542372,2825955;2424742,2742762" o:connectangles="0,0,0,0,0,0,0,0,0,0,0,0,0,0,0,0,0,0,0,0,0,0,0,0,0,0,0,0,0,0,0,0,0,0,0,0,0,0,0,0,0,0,0,0,0,0,0,0"/>
                      </v:shape>
                      <v:rect id="Rectangle 8" o:spid="_x0000_s1028" style="position:absolute;left:2571;top:9906;width:29214;height:12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" fillcolor="#008eba" stroked="f" strokeweight="1pt">
                        <v:textbox>
                          <w:txbxContent>
                            <w:p w14:paraId="29F0016F" w14:textId="599C4DD5" w:rsidR="00B11348" w:rsidRPr="00E30164" w:rsidRDefault="00B11348" w:rsidP="00B11348">
                              <w:pPr>
                                <w:jc w:val="center"/>
                                <w:rPr>
                                  <w:rFonts w:asciiTheme="minorHAnsi" w:hAnsiTheme="minorHAnsi" w:cstheme="minorHAnsi"/>
                                  <w:sz w:val="40"/>
                                  <w:szCs w:val="40"/>
                                </w:rPr>
                              </w:pPr>
                              <w:r w:rsidRPr="00A95A66">
                                <w:rPr>
                                  <w:rFonts w:asciiTheme="minorHAnsi" w:hAnsiTheme="minorHAnsi" w:cstheme="minorHAnsi"/>
                                  <w:b/>
                                  <w:bCs/>
                                  <w:sz w:val="40"/>
                                  <w:szCs w:val="40"/>
                                </w:rPr>
                                <w:t>$</w:t>
                              </w:r>
                              <w:r w:rsidR="00EF2A3D">
                                <w:rPr>
                                  <w:rFonts w:asciiTheme="minorHAnsi" w:hAnsiTheme="minorHAnsi" w:cstheme="minorHAnsi"/>
                                  <w:b/>
                                  <w:bCs/>
                                  <w:sz w:val="40"/>
                                  <w:szCs w:val="40"/>
                                </w:rPr>
                                <w:t>108.5</w:t>
                              </w:r>
                              <w:r w:rsidRPr="00A95A66">
                                <w:rPr>
                                  <w:rFonts w:asciiTheme="minorHAnsi" w:hAnsiTheme="minorHAnsi" w:cstheme="minorHAnsi"/>
                                  <w:b/>
                                  <w:bCs/>
                                  <w:sz w:val="40"/>
                                  <w:szCs w:val="40"/>
                                </w:rPr>
                                <w:t xml:space="preserve"> billion</w:t>
                              </w:r>
                              <w:r w:rsidRPr="00E30164">
                                <w:rPr>
                                  <w:rFonts w:asciiTheme="minorHAnsi" w:hAnsiTheme="minorHAnsi" w:cstheme="minorHAnsi"/>
                                  <w:sz w:val="40"/>
                                  <w:szCs w:val="40"/>
                                </w:rPr>
                                <w:t xml:space="preserve"> </w:t>
                              </w:r>
                            </w:p>
                            <w:p w14:paraId="7773D856" w14:textId="77777777" w:rsidR="00B11348" w:rsidRPr="00E30164" w:rsidRDefault="00B11348" w:rsidP="00B11348">
                              <w:pPr>
                                <w:jc w:val="center"/>
                                <w:rPr>
                                  <w:rFonts w:asciiTheme="minorHAnsi" w:hAnsiTheme="minorHAnsi" w:cstheme="minorHAnsi"/>
                                  <w:sz w:val="40"/>
                                  <w:szCs w:val="40"/>
                                </w:rPr>
                              </w:pPr>
                              <w:r w:rsidRPr="00E30164">
                                <w:rPr>
                                  <w:rFonts w:asciiTheme="minorHAnsi" w:hAnsiTheme="minorHAnsi" w:cstheme="minorHAnsi"/>
                                  <w:sz w:val="40"/>
                                  <w:szCs w:val="40"/>
                                </w:rPr>
                                <w:t>infrastructure investment</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9" type="#_x0000_t75" style="position:absolute;left:30081;top:26894;width:8312;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">
                        <v:imagedata r:id="rId14" o:title=""/>
                      </v:shape>
                      <v:shape id="Picture 10" o:spid="_x0000_s1030" type="#_x0000_t75" style="position:absolute;left:35780;top:14181;width:8313;height:8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">
                        <v:imagedata r:id="rId15" o:title=""/>
                      </v:shape>
                      <v:shape id="Picture 11" o:spid="_x0000_s1031" type="#_x0000_t75" style="position:absolute;left:40404;top:1437;width:8312;height:8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">
                        <v:imagedata r:id="rId16" o:title=""/>
                      </v:shape>
                      <v:shapetype id="_x0000_t202" coordsize="21600,21600" o:spt="202" path="m,l,21600r21600,l21600,xe">
                        <v:stroke joinstyle="miter"/>
                        <v:path gradientshapeok="t" o:connecttype="rect"/>
                      </v:shapetype>
                      <v:shape id="Text Box 12" o:spid="_x0000_s1032" type="#_x0000_t202" style="position:absolute;left:47139;top:2018;width:19119;height:7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14:paraId="426D8421" w14:textId="7C33F3E4" w:rsidR="00B11348" w:rsidRPr="00CA24C3" w:rsidRDefault="00B11348" w:rsidP="00B11348">
                              <w:pPr>
                                <w:jc w:val="center"/>
                                <w:rPr>
                                  <w:rFonts w:ascii="Arial" w:hAnsi="Arial" w:cs="Arial"/>
                                  <w:b/>
                                  <w:bCs/>
                                </w:rPr>
                              </w:pPr>
                              <w:r w:rsidRPr="002B25AE">
                                <w:rPr>
                                  <w:rFonts w:ascii="Arial" w:hAnsi="Arial" w:cs="Arial"/>
                                  <w:b/>
                                  <w:bCs/>
                                  <w:sz w:val="28"/>
                                  <w:szCs w:val="28"/>
                                </w:rPr>
                                <w:t>$</w:t>
                              </w:r>
                              <w:r w:rsidR="004215E7" w:rsidRPr="002B25AE">
                                <w:rPr>
                                  <w:rFonts w:ascii="Arial" w:hAnsi="Arial" w:cs="Arial"/>
                                  <w:b/>
                                  <w:bCs/>
                                  <w:sz w:val="28"/>
                                  <w:szCs w:val="28"/>
                                </w:rPr>
                                <w:t>71.</w:t>
                              </w:r>
                              <w:r w:rsidR="007300E5" w:rsidRPr="002B25AE">
                                <w:rPr>
                                  <w:rFonts w:ascii="Arial" w:hAnsi="Arial" w:cs="Arial"/>
                                  <w:b/>
                                  <w:bCs/>
                                  <w:sz w:val="28"/>
                                  <w:szCs w:val="28"/>
                                </w:rPr>
                                <w:t>5</w:t>
                              </w:r>
                              <w:r w:rsidRPr="00CA24C3">
                                <w:rPr>
                                  <w:rFonts w:ascii="Arial" w:hAnsi="Arial" w:cs="Arial"/>
                                  <w:b/>
                                  <w:bCs/>
                                  <w:sz w:val="28"/>
                                  <w:szCs w:val="28"/>
                                </w:rPr>
                                <w:t xml:space="preserve"> billion</w:t>
                              </w:r>
                              <w:r w:rsidRPr="00CA24C3">
                                <w:rPr>
                                  <w:rFonts w:ascii="Arial" w:hAnsi="Arial" w:cs="Arial"/>
                                  <w:b/>
                                  <w:bCs/>
                                </w:rPr>
                                <w:br/>
                              </w:r>
                              <w:r w:rsidRPr="00CA24C3">
                                <w:rPr>
                                  <w:rFonts w:ascii="Arial" w:hAnsi="Arial" w:cs="Arial"/>
                                </w:rPr>
                                <w:t>Delivering road and rail projects</w:t>
                              </w:r>
                            </w:p>
                          </w:txbxContent>
                        </v:textbox>
                      </v:shape>
                      <v:shape id="Text Box 13" o:spid="_x0000_s1033" type="#_x0000_t202" style="position:absolute;left:36885;top:27480;width:19114;height:7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11E5A8D2" w14:textId="005F1872" w:rsidR="00B11348" w:rsidRPr="00CA24C3" w:rsidRDefault="00B11348" w:rsidP="00B11348">
                              <w:pPr>
                                <w:jc w:val="center"/>
                                <w:rPr>
                                  <w:rFonts w:ascii="Arial" w:hAnsi="Arial" w:cs="Arial"/>
                                  <w:b/>
                                  <w:bCs/>
                                </w:rPr>
                              </w:pPr>
                              <w:r w:rsidRPr="002B25AE">
                                <w:rPr>
                                  <w:rFonts w:ascii="Arial" w:hAnsi="Arial" w:cs="Arial"/>
                                  <w:b/>
                                  <w:bCs/>
                                  <w:sz w:val="28"/>
                                  <w:szCs w:val="28"/>
                                </w:rPr>
                                <w:t>$</w:t>
                              </w:r>
                              <w:r w:rsidR="00375677" w:rsidRPr="002B25AE">
                                <w:rPr>
                                  <w:rFonts w:ascii="Arial" w:hAnsi="Arial" w:cs="Arial"/>
                                  <w:b/>
                                  <w:bCs/>
                                  <w:sz w:val="28"/>
                                  <w:szCs w:val="28"/>
                                </w:rPr>
                                <w:t>8.5</w:t>
                              </w:r>
                              <w:r w:rsidRPr="00CA24C3">
                                <w:rPr>
                                  <w:rFonts w:ascii="Arial" w:hAnsi="Arial" w:cs="Arial"/>
                                  <w:b/>
                                  <w:bCs/>
                                  <w:sz w:val="28"/>
                                  <w:szCs w:val="28"/>
                                </w:rPr>
                                <w:t xml:space="preserve"> billion</w:t>
                              </w:r>
                              <w:r w:rsidRPr="00CA24C3">
                                <w:rPr>
                                  <w:rFonts w:ascii="Arial" w:hAnsi="Arial" w:cs="Arial"/>
                                  <w:b/>
                                  <w:bCs/>
                                </w:rPr>
                                <w:br/>
                              </w:r>
                              <w:r w:rsidRPr="00CA24C3">
                                <w:rPr>
                                  <w:rFonts w:ascii="Arial" w:hAnsi="Arial" w:cs="Arial"/>
                                </w:rPr>
                                <w:t>Delivering schools and educational facilities</w:t>
                              </w:r>
                            </w:p>
                          </w:txbxContent>
                        </v:textbox>
                      </v:shape>
                      <v:shape id="Text Box 14" o:spid="_x0000_s1034" type="#_x0000_t202" style="position:absolute;left:42662;top:15416;width:19119;height:7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yMxAAAANsAAAAPAAAAZHJzL2Rvd25yZXYueG1sRE9Na8JA&#10;EL0X/A/LCN7qpmI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KssHIzEAAAA2wAAAA8A&#10;AAAAAAAAAAAAAAAABwIAAGRycy9kb3ducmV2LnhtbFBLBQYAAAAAAwADALcAAAD4AgAAAAA=&#10;" filled="f" stroked="f" strokeweight=".5pt">
                        <v:textbox>
                          <w:txbxContent>
                            <w:p w14:paraId="7E26D2E2" w14:textId="5B398C47" w:rsidR="00B11348" w:rsidRPr="00CA24C3" w:rsidRDefault="00B11348" w:rsidP="00B11348">
                              <w:pPr>
                                <w:jc w:val="center"/>
                                <w:rPr>
                                  <w:rFonts w:ascii="Arial" w:hAnsi="Arial" w:cs="Arial"/>
                                  <w:b/>
                                  <w:bCs/>
                                </w:rPr>
                              </w:pPr>
                              <w:r w:rsidRPr="002B25AE">
                                <w:rPr>
                                  <w:rFonts w:ascii="Arial" w:hAnsi="Arial" w:cs="Arial"/>
                                  <w:b/>
                                  <w:bCs/>
                                  <w:sz w:val="28"/>
                                  <w:szCs w:val="28"/>
                                </w:rPr>
                                <w:t>$</w:t>
                              </w:r>
                              <w:r w:rsidR="00375677" w:rsidRPr="002B25AE">
                                <w:rPr>
                                  <w:rFonts w:ascii="Arial" w:hAnsi="Arial" w:cs="Arial"/>
                                  <w:b/>
                                  <w:bCs/>
                                  <w:sz w:val="28"/>
                                  <w:szCs w:val="28"/>
                                </w:rPr>
                                <w:t>10.8</w:t>
                              </w:r>
                              <w:r w:rsidRPr="00CA24C3">
                                <w:rPr>
                                  <w:rFonts w:ascii="Arial" w:hAnsi="Arial" w:cs="Arial"/>
                                  <w:b/>
                                  <w:bCs/>
                                  <w:sz w:val="28"/>
                                  <w:szCs w:val="28"/>
                                </w:rPr>
                                <w:t xml:space="preserve"> billion</w:t>
                              </w:r>
                              <w:r w:rsidRPr="00CA24C3">
                                <w:rPr>
                                  <w:rFonts w:ascii="Arial" w:hAnsi="Arial" w:cs="Arial"/>
                                  <w:b/>
                                  <w:bCs/>
                                </w:rPr>
                                <w:br/>
                              </w:r>
                              <w:r w:rsidRPr="00CA24C3">
                                <w:rPr>
                                  <w:rFonts w:ascii="Arial" w:hAnsi="Arial" w:cs="Arial"/>
                                </w:rPr>
                                <w:t>Delivering hospitals and health facilities</w:t>
                              </w:r>
                              <w:r w:rsidR="008A65AD" w:rsidRPr="00CA24C3">
                                <w:rPr>
                                  <w:rFonts w:ascii="Arial" w:hAnsi="Arial" w:cs="Arial"/>
                                  <w:vertAlign w:val="superscript"/>
                                </w:rPr>
                                <w:t>1</w:t>
                              </w:r>
                            </w:p>
                          </w:txbxContent>
                        </v:textbox>
                      </v:shape>
                    </v:group>
                  </w:pict>
                </mc:Fallback>
              </mc:AlternateContent>
            </w:r>
          </w:p>
          <w:p w14:paraId="311DF302" w14:textId="5D722293" w:rsidR="007F70B4" w:rsidRPr="00A1397D" w:rsidRDefault="007F70B4" w:rsidP="009861E8">
            <w:pPr>
              <w:rPr>
                <w:rFonts w:ascii="Calibri" w:hAnsi="Calibri" w:cs="Calibri"/>
              </w:rPr>
            </w:pPr>
          </w:p>
          <w:p w14:paraId="650070C9" w14:textId="085F3827" w:rsidR="007F70B4" w:rsidRPr="00A1397D" w:rsidRDefault="007F70B4" w:rsidP="009861E8">
            <w:pPr>
              <w:rPr>
                <w:rFonts w:ascii="Calibri" w:hAnsi="Calibri" w:cs="Calibri"/>
              </w:rPr>
            </w:pPr>
          </w:p>
          <w:p w14:paraId="5CF3BFC9" w14:textId="0DCC3C6E" w:rsidR="007F70B4" w:rsidRPr="00A1397D" w:rsidRDefault="007F70B4" w:rsidP="009861E8">
            <w:pPr>
              <w:rPr>
                <w:rFonts w:ascii="Calibri" w:hAnsi="Calibri" w:cs="Calibri"/>
              </w:rPr>
            </w:pPr>
          </w:p>
          <w:p w14:paraId="0E116A06" w14:textId="492D5126" w:rsidR="007F70B4" w:rsidRPr="00A1397D" w:rsidRDefault="007F70B4" w:rsidP="009861E8">
            <w:pPr>
              <w:rPr>
                <w:rFonts w:ascii="Calibri" w:hAnsi="Calibri" w:cs="Calibri"/>
              </w:rPr>
            </w:pPr>
          </w:p>
          <w:p w14:paraId="4D1D2027" w14:textId="05510444" w:rsidR="007F70B4" w:rsidRPr="00A1397D" w:rsidRDefault="007F70B4" w:rsidP="009861E8">
            <w:pPr>
              <w:rPr>
                <w:rFonts w:ascii="Calibri" w:hAnsi="Calibri" w:cs="Calibri"/>
              </w:rPr>
            </w:pPr>
          </w:p>
          <w:p w14:paraId="716745F1" w14:textId="5A736AC0" w:rsidR="007F70B4" w:rsidRPr="00A1397D" w:rsidRDefault="007F70B4" w:rsidP="009861E8">
            <w:pPr>
              <w:rPr>
                <w:rFonts w:ascii="Calibri" w:hAnsi="Calibri" w:cs="Calibri"/>
              </w:rPr>
            </w:pPr>
          </w:p>
          <w:p w14:paraId="21F31D39" w14:textId="50B12042" w:rsidR="007F70B4" w:rsidRPr="00A1397D" w:rsidRDefault="007F70B4" w:rsidP="009861E8">
            <w:pPr>
              <w:rPr>
                <w:rFonts w:ascii="Calibri" w:hAnsi="Calibri" w:cs="Calibri"/>
              </w:rPr>
            </w:pPr>
          </w:p>
          <w:p w14:paraId="06B4D220" w14:textId="05C750E1" w:rsidR="008C6150" w:rsidRPr="00A1397D" w:rsidRDefault="008C6150" w:rsidP="009861E8">
            <w:pPr>
              <w:rPr>
                <w:rFonts w:ascii="Calibri" w:hAnsi="Calibri" w:cs="Calibri"/>
              </w:rPr>
            </w:pPr>
          </w:p>
          <w:p w14:paraId="61EDD4DD" w14:textId="04B972CA" w:rsidR="008C6150" w:rsidRPr="00A1397D" w:rsidRDefault="008C6150" w:rsidP="009861E8">
            <w:pPr>
              <w:rPr>
                <w:rFonts w:ascii="Calibri" w:hAnsi="Calibri" w:cs="Calibri"/>
              </w:rPr>
            </w:pPr>
          </w:p>
          <w:p w14:paraId="7C0C07CF" w14:textId="15035943" w:rsidR="008C6150" w:rsidRPr="00A1397D" w:rsidRDefault="008C6150" w:rsidP="009861E8">
            <w:pPr>
              <w:rPr>
                <w:rFonts w:ascii="Calibri" w:hAnsi="Calibri" w:cs="Calibri"/>
              </w:rPr>
            </w:pPr>
          </w:p>
          <w:p w14:paraId="7494951E" w14:textId="47F563F1" w:rsidR="008C6150" w:rsidRPr="00A1397D" w:rsidRDefault="008C6150" w:rsidP="009861E8">
            <w:pPr>
              <w:rPr>
                <w:rFonts w:ascii="Calibri" w:hAnsi="Calibri" w:cs="Calibri"/>
              </w:rPr>
            </w:pPr>
          </w:p>
          <w:p w14:paraId="0329A919" w14:textId="030247B2" w:rsidR="008C6150" w:rsidRPr="00A1397D" w:rsidRDefault="008C6150" w:rsidP="009861E8">
            <w:pPr>
              <w:rPr>
                <w:rFonts w:ascii="Calibri" w:hAnsi="Calibri" w:cs="Calibri"/>
              </w:rPr>
            </w:pPr>
          </w:p>
          <w:p w14:paraId="7048C7AC" w14:textId="054B1F0B" w:rsidR="008C6150" w:rsidRPr="00A1397D" w:rsidRDefault="008C6150" w:rsidP="009861E8">
            <w:pPr>
              <w:rPr>
                <w:rFonts w:ascii="Calibri" w:hAnsi="Calibri" w:cs="Calibri"/>
              </w:rPr>
            </w:pPr>
          </w:p>
          <w:p w14:paraId="3320F60B" w14:textId="52ED9541" w:rsidR="008C6150" w:rsidRPr="00A1397D" w:rsidRDefault="008C6150" w:rsidP="009861E8">
            <w:pPr>
              <w:rPr>
                <w:rFonts w:ascii="Calibri" w:hAnsi="Calibri" w:cs="Calibri"/>
              </w:rPr>
            </w:pPr>
          </w:p>
          <w:p w14:paraId="128BC569" w14:textId="7451EA00" w:rsidR="00356E02" w:rsidRPr="00A1397D" w:rsidRDefault="00356E02" w:rsidP="009861E8">
            <w:pPr>
              <w:rPr>
                <w:rFonts w:ascii="Calibri" w:hAnsi="Calibri" w:cs="Calibri"/>
              </w:rPr>
            </w:pPr>
          </w:p>
          <w:p w14:paraId="17211694" w14:textId="752D3A76" w:rsidR="00356E02" w:rsidRPr="00A1397D" w:rsidRDefault="00356E02" w:rsidP="009861E8">
            <w:pPr>
              <w:rPr>
                <w:rFonts w:ascii="Calibri" w:hAnsi="Calibri" w:cs="Calibri"/>
              </w:rPr>
            </w:pPr>
          </w:p>
          <w:p w14:paraId="6B6BDF8A" w14:textId="38338E8B" w:rsidR="00356E02" w:rsidRPr="00A1397D" w:rsidRDefault="00356E02" w:rsidP="009861E8">
            <w:pPr>
              <w:rPr>
                <w:rFonts w:ascii="Calibri" w:hAnsi="Calibri" w:cs="Calibri"/>
              </w:rPr>
            </w:pPr>
          </w:p>
          <w:p w14:paraId="246B9EAE" w14:textId="1E1CB304" w:rsidR="00356E02" w:rsidRPr="00A1397D" w:rsidRDefault="00356E02" w:rsidP="009861E8">
            <w:pPr>
              <w:rPr>
                <w:rFonts w:ascii="Calibri" w:hAnsi="Calibri" w:cs="Calibri"/>
              </w:rPr>
            </w:pPr>
          </w:p>
          <w:p w14:paraId="4FB34244" w14:textId="2CDA1B83" w:rsidR="00356E02" w:rsidRPr="00A1397D" w:rsidRDefault="00356E02" w:rsidP="009861E8">
            <w:pPr>
              <w:rPr>
                <w:rFonts w:ascii="Calibri" w:hAnsi="Calibri" w:cs="Calibri"/>
              </w:rPr>
            </w:pPr>
          </w:p>
          <w:p w14:paraId="2B02085D" w14:textId="66662B86" w:rsidR="00356E02" w:rsidRPr="00A1397D" w:rsidRDefault="00356E02" w:rsidP="009861E8">
            <w:pPr>
              <w:rPr>
                <w:rFonts w:ascii="Calibri" w:hAnsi="Calibri" w:cs="Calibri"/>
              </w:rPr>
            </w:pPr>
          </w:p>
          <w:p w14:paraId="62F38D87" w14:textId="77777777" w:rsidR="008C6150" w:rsidRDefault="008C6150" w:rsidP="009861E8">
            <w:pPr>
              <w:pStyle w:val="Bullet1inabox"/>
              <w:numPr>
                <w:ilvl w:val="0"/>
                <w:numId w:val="0"/>
              </w:numPr>
              <w:ind w:left="360"/>
            </w:pPr>
          </w:p>
          <w:bookmarkEnd w:id="0"/>
          <w:p w14:paraId="34CEF50D" w14:textId="5ACC5080" w:rsidR="00B9574B" w:rsidRPr="00B9574B" w:rsidRDefault="00C07F39" w:rsidP="009861E8">
            <w:pPr>
              <w:pStyle w:val="BodyTextBox"/>
              <w:framePr w:hSpace="0" w:wrap="auto" w:vAnchor="margin" w:yAlign="inline"/>
            </w:pPr>
            <w:r>
              <w:t xml:space="preserve">Funding </w:t>
            </w:r>
            <w:r w:rsidR="00453420">
              <w:t>has been allocated to projects that will transform local communities</w:t>
            </w:r>
            <w:r w:rsidR="00156850">
              <w:t>,</w:t>
            </w:r>
            <w:r w:rsidR="00453420">
              <w:t xml:space="preserve"> including a record investment in schools</w:t>
            </w:r>
            <w:r w:rsidR="004D45E7">
              <w:t xml:space="preserve"> and hospitals</w:t>
            </w:r>
            <w:r w:rsidR="00220382">
              <w:t xml:space="preserve">, the new Bradfield City Centre and continued investment in </w:t>
            </w:r>
            <w:r w:rsidR="00AE1825">
              <w:t>transport</w:t>
            </w:r>
            <w:r w:rsidR="00220382">
              <w:t xml:space="preserve"> network</w:t>
            </w:r>
            <w:r w:rsidR="00AE1825">
              <w:t>s</w:t>
            </w:r>
            <w:r w:rsidR="00220382">
              <w:t xml:space="preserve">. </w:t>
            </w:r>
            <w:r w:rsidR="000511DF" w:rsidRPr="00525F98">
              <w:t xml:space="preserve"> </w:t>
            </w:r>
          </w:p>
          <w:p w14:paraId="1EE2F95C" w14:textId="755640CA" w:rsidR="00B9574B" w:rsidRPr="00B9574B" w:rsidRDefault="00B9574B" w:rsidP="009861E8">
            <w:pPr>
              <w:pStyle w:val="BodyTextBox"/>
              <w:framePr w:hSpace="0" w:wrap="auto" w:vAnchor="margin" w:yAlign="inline"/>
            </w:pPr>
            <w:r w:rsidRPr="00525F98">
              <w:t>The Government is</w:t>
            </w:r>
            <w:r w:rsidRPr="00525F98" w:rsidDel="00F21597">
              <w:t xml:space="preserve"> </w:t>
            </w:r>
            <w:r w:rsidRPr="00525F98">
              <w:t xml:space="preserve">continuing </w:t>
            </w:r>
            <w:r>
              <w:t>to invest</w:t>
            </w:r>
            <w:r w:rsidRPr="00525F98">
              <w:t xml:space="preserve"> </w:t>
            </w:r>
            <w:r>
              <w:t xml:space="preserve">heavily </w:t>
            </w:r>
            <w:r w:rsidR="006B26E0">
              <w:t>across</w:t>
            </w:r>
            <w:r w:rsidRPr="00525F98">
              <w:t xml:space="preserve"> regional New South Wales</w:t>
            </w:r>
            <w:r w:rsidR="00101571">
              <w:t>, with new</w:t>
            </w:r>
            <w:r w:rsidR="00D23CAB">
              <w:t xml:space="preserve"> infrastructure </w:t>
            </w:r>
            <w:r w:rsidR="00101571">
              <w:t>to</w:t>
            </w:r>
            <w:r w:rsidR="00D23CAB">
              <w:t xml:space="preserve"> </w:t>
            </w:r>
            <w:r w:rsidRPr="00525F98">
              <w:t>support jobs</w:t>
            </w:r>
            <w:r w:rsidR="00D23CAB">
              <w:t xml:space="preserve"> growth</w:t>
            </w:r>
            <w:r w:rsidRPr="00525F98">
              <w:t xml:space="preserve">, </w:t>
            </w:r>
            <w:r w:rsidR="00E744E7">
              <w:t>the</w:t>
            </w:r>
            <w:r w:rsidR="00CC318D">
              <w:t xml:space="preserve"> </w:t>
            </w:r>
            <w:r w:rsidRPr="00525F98">
              <w:t>deliver</w:t>
            </w:r>
            <w:r w:rsidR="00CC318D">
              <w:t>y of</w:t>
            </w:r>
            <w:r w:rsidRPr="00525F98">
              <w:t xml:space="preserve"> vital public services and </w:t>
            </w:r>
            <w:r w:rsidR="007D0ECF">
              <w:t xml:space="preserve">the ability </w:t>
            </w:r>
            <w:r>
              <w:t>to</w:t>
            </w:r>
            <w:r w:rsidRPr="00525F98">
              <w:t xml:space="preserve"> </w:t>
            </w:r>
            <w:r w:rsidR="007D0ECF">
              <w:t xml:space="preserve">manage and respond to </w:t>
            </w:r>
            <w:r w:rsidRPr="00525F98">
              <w:t>natural disasters</w:t>
            </w:r>
            <w:r w:rsidR="00D842F8">
              <w:t xml:space="preserve"> and</w:t>
            </w:r>
            <w:r w:rsidR="00086C67">
              <w:t xml:space="preserve"> events</w:t>
            </w:r>
            <w:r w:rsidRPr="00525F98">
              <w:t>.</w:t>
            </w:r>
            <w:r w:rsidR="00D23CAB">
              <w:t xml:space="preserve"> </w:t>
            </w:r>
          </w:p>
          <w:p w14:paraId="776991EA" w14:textId="381E2BE8" w:rsidR="00206DA5" w:rsidRPr="00934306" w:rsidRDefault="00AF30A2" w:rsidP="009861E8">
            <w:pPr>
              <w:pStyle w:val="BodyTextBox"/>
              <w:framePr w:hSpace="0" w:wrap="auto" w:vAnchor="margin" w:yAlign="inline"/>
            </w:pPr>
            <w:r>
              <w:t>This</w:t>
            </w:r>
            <w:r w:rsidR="00E26F4D" w:rsidRPr="00E6229C">
              <w:t xml:space="preserve"> </w:t>
            </w:r>
            <w:r w:rsidR="00C35D9E">
              <w:t>significant infrast</w:t>
            </w:r>
            <w:r w:rsidR="005E471B">
              <w:t>ructure investment</w:t>
            </w:r>
            <w:r w:rsidR="00E26F4D" w:rsidRPr="00E6229C">
              <w:t xml:space="preserve"> </w:t>
            </w:r>
            <w:r>
              <w:t>will ensure</w:t>
            </w:r>
            <w:r w:rsidR="00822476" w:rsidRPr="00E6229C">
              <w:t xml:space="preserve"> New South Wales is </w:t>
            </w:r>
            <w:r w:rsidR="00E3688F">
              <w:t>well</w:t>
            </w:r>
            <w:r w:rsidR="00822476" w:rsidRPr="00E6229C">
              <w:t xml:space="preserve"> positioned to rebound from the COVID-19 pandemic</w:t>
            </w:r>
            <w:r w:rsidR="00EB5E68">
              <w:t xml:space="preserve"> </w:t>
            </w:r>
            <w:r w:rsidR="00E1258C" w:rsidRPr="00E6229C">
              <w:t xml:space="preserve">and </w:t>
            </w:r>
            <w:r w:rsidR="00E3688F">
              <w:t>can</w:t>
            </w:r>
            <w:r w:rsidR="00C07C43">
              <w:t xml:space="preserve"> </w:t>
            </w:r>
            <w:r w:rsidR="00E1258C" w:rsidRPr="00E6229C">
              <w:t xml:space="preserve">respond </w:t>
            </w:r>
            <w:r w:rsidR="00C07C43">
              <w:t xml:space="preserve">with agility </w:t>
            </w:r>
            <w:r w:rsidR="00E6229C" w:rsidRPr="00E6229C">
              <w:t xml:space="preserve">to the challenges of </w:t>
            </w:r>
            <w:r w:rsidR="00100B50">
              <w:t xml:space="preserve">today and tomorrow. </w:t>
            </w:r>
            <w:r w:rsidR="00D8685A">
              <w:t xml:space="preserve"> </w:t>
            </w:r>
          </w:p>
        </w:tc>
      </w:tr>
    </w:tbl>
    <w:p w14:paraId="5B56182C" w14:textId="77777777" w:rsidR="00443E23" w:rsidRDefault="00443E23"/>
    <w:p w14:paraId="04615DA9" w14:textId="77777777" w:rsidR="00443E23" w:rsidRDefault="00443E23"/>
    <w:p w14:paraId="69CC2AD0" w14:textId="037D821C" w:rsidR="00443E23" w:rsidRDefault="00443E23"/>
    <w:p w14:paraId="11ECFD41" w14:textId="77777777" w:rsidR="00714920" w:rsidRDefault="00714920"/>
    <w:p w14:paraId="6C29455F" w14:textId="77777777" w:rsidR="00714920" w:rsidRDefault="00714920"/>
    <w:p w14:paraId="43E6FA56" w14:textId="77777777" w:rsidR="00714920" w:rsidRDefault="00714920"/>
    <w:p w14:paraId="5AFD128F" w14:textId="77777777" w:rsidR="00714920" w:rsidRDefault="00714920"/>
    <w:p w14:paraId="5210E704" w14:textId="77777777" w:rsidR="00714920" w:rsidRDefault="00714920"/>
    <w:bookmarkEnd w:id="1"/>
    <w:p w14:paraId="00F51DA1" w14:textId="7F5665F2" w:rsidR="00435E37" w:rsidRDefault="00435E37"/>
    <w:p w14:paraId="3091EC33" w14:textId="77777777" w:rsidR="008A2C15" w:rsidRDefault="008A2C15"/>
    <w:p w14:paraId="28EF7BF8" w14:textId="77777777" w:rsidR="00435E37" w:rsidRDefault="00435E37"/>
    <w:p w14:paraId="234137E4" w14:textId="77777777" w:rsidR="00C511EF" w:rsidRPr="00A1397D" w:rsidRDefault="00C511EF" w:rsidP="00167D49">
      <w:pPr>
        <w:tabs>
          <w:tab w:val="left" w:pos="2835"/>
        </w:tabs>
        <w:ind w:right="6804"/>
        <w:rPr>
          <w:rFonts w:ascii="Calibri" w:hAnsi="Calibri" w:cs="Calibri"/>
          <w:strike/>
          <w:sz w:val="17"/>
          <w:szCs w:val="17"/>
          <w:lang w:val="en-AU"/>
        </w:rPr>
      </w:pPr>
      <w:r w:rsidRPr="00A1397D">
        <w:rPr>
          <w:rFonts w:ascii="Calibri" w:hAnsi="Calibri" w:cs="Calibri"/>
          <w:strike/>
          <w:sz w:val="17"/>
          <w:szCs w:val="17"/>
          <w:lang w:val="en-AU"/>
        </w:rPr>
        <w:tab/>
      </w:r>
    </w:p>
    <w:p w14:paraId="287CAA32" w14:textId="77777777" w:rsidR="003943A4" w:rsidRDefault="001662A0" w:rsidP="003A65CC">
      <w:pPr>
        <w:spacing w:before="40"/>
        <w:ind w:left="709" w:hanging="284"/>
        <w:rPr>
          <w:rFonts w:ascii="Arial" w:hAnsi="Arial" w:cs="Arial"/>
          <w:sz w:val="17"/>
          <w:szCs w:val="17"/>
        </w:rPr>
      </w:pPr>
      <w:r w:rsidRPr="00A1397D">
        <w:rPr>
          <w:rFonts w:ascii="Arial" w:hAnsi="Arial" w:cs="Arial"/>
          <w:sz w:val="17"/>
          <w:szCs w:val="17"/>
          <w:vertAlign w:val="superscript"/>
          <w:lang w:val="en-AU"/>
        </w:rPr>
        <w:t>1</w:t>
      </w:r>
      <w:r w:rsidRPr="00A1397D">
        <w:rPr>
          <w:rFonts w:ascii="Arial" w:hAnsi="Arial" w:cs="Arial"/>
          <w:sz w:val="17"/>
          <w:szCs w:val="17"/>
          <w:lang w:val="en-AU"/>
        </w:rPr>
        <w:tab/>
      </w:r>
      <w:r w:rsidR="00535EC4" w:rsidRPr="00C212AB">
        <w:rPr>
          <w:rStyle w:val="FootnoteReference"/>
          <w:rFonts w:cs="Arial"/>
          <w:szCs w:val="17"/>
          <w:vertAlign w:val="baseline"/>
        </w:rPr>
        <w:t xml:space="preserve">Health Capital Expenditure includes capital expensing amounts. Further information is provided at footnote c) of </w:t>
      </w:r>
    </w:p>
    <w:p w14:paraId="71D8BC65" w14:textId="656B962B" w:rsidR="00443E23" w:rsidRPr="002126BE" w:rsidRDefault="00535EC4" w:rsidP="002126BE">
      <w:pPr>
        <w:ind w:left="709"/>
        <w:rPr>
          <w:rFonts w:ascii="Arial" w:hAnsi="Arial" w:cs="Arial"/>
          <w:sz w:val="17"/>
          <w:szCs w:val="17"/>
          <w:lang w:val="en-AU"/>
        </w:rPr>
      </w:pPr>
      <w:r w:rsidRPr="00C212AB">
        <w:rPr>
          <w:rStyle w:val="FootnoteReference"/>
          <w:rFonts w:cs="Arial"/>
          <w:szCs w:val="17"/>
          <w:vertAlign w:val="baseline"/>
        </w:rPr>
        <w:t>Table</w:t>
      </w:r>
      <w:r w:rsidR="003943A4">
        <w:rPr>
          <w:rFonts w:ascii="Arial" w:hAnsi="Arial" w:cs="Arial"/>
          <w:sz w:val="17"/>
          <w:szCs w:val="17"/>
        </w:rPr>
        <w:t xml:space="preserve"> </w:t>
      </w:r>
      <w:r w:rsidRPr="00C212AB">
        <w:rPr>
          <w:rStyle w:val="FootnoteReference"/>
          <w:rFonts w:cs="Arial"/>
          <w:szCs w:val="17"/>
          <w:vertAlign w:val="baseline"/>
        </w:rPr>
        <w:t>1.2</w:t>
      </w:r>
      <w:r w:rsidRPr="00D5463E">
        <w:rPr>
          <w:rFonts w:ascii="Arial" w:hAnsi="Arial" w:cs="Arial"/>
          <w:sz w:val="17"/>
          <w:szCs w:val="17"/>
        </w:rPr>
        <w:t>.</w:t>
      </w:r>
      <w:r w:rsidR="006977C3">
        <w:rPr>
          <w:rFonts w:ascii="Arial" w:hAnsi="Arial" w:cs="Arial"/>
          <w:sz w:val="17"/>
          <w:szCs w:val="17"/>
          <w:lang w:val="en-AU"/>
        </w:rPr>
        <w:t xml:space="preserve"> </w:t>
      </w:r>
    </w:p>
    <w:p w14:paraId="02D66F6D" w14:textId="77777777" w:rsidR="00443E23" w:rsidRDefault="00443E23" w:rsidP="002D1C1D">
      <w:pPr>
        <w:pStyle w:val="BodyTextBox"/>
        <w:framePr w:wrap="around"/>
        <w:sectPr w:rsidR="00443E23" w:rsidSect="005012D4">
          <w:headerReference w:type="even" r:id="rId17"/>
          <w:footerReference w:type="even" r:id="rId18"/>
          <w:footerReference w:type="default" r:id="rId19"/>
          <w:headerReference w:type="first" r:id="rId20"/>
          <w:footerReference w:type="first" r:id="rId21"/>
          <w:footnotePr>
            <w:numStart w:val="2"/>
          </w:footnotePr>
          <w:type w:val="continuous"/>
          <w:pgSz w:w="11907" w:h="16840" w:code="9"/>
          <w:pgMar w:top="1134" w:right="1134" w:bottom="510" w:left="1134" w:header="454" w:footer="454" w:gutter="0"/>
          <w:cols w:space="720"/>
          <w:docGrid w:linePitch="272"/>
        </w:sectPr>
      </w:pPr>
    </w:p>
    <w:p w14:paraId="59A65FAC" w14:textId="55826BC5" w:rsidR="00175897" w:rsidRPr="00620D78" w:rsidRDefault="00C17117" w:rsidP="000460C6">
      <w:pPr>
        <w:pStyle w:val="Heading2"/>
      </w:pPr>
      <w:r>
        <w:lastRenderedPageBreak/>
        <w:t xml:space="preserve">The </w:t>
      </w:r>
      <w:r w:rsidR="006C25BA">
        <w:t>Government’s</w:t>
      </w:r>
      <w:r>
        <w:t xml:space="preserve"> </w:t>
      </w:r>
      <w:r w:rsidR="006C25BA">
        <w:t>i</w:t>
      </w:r>
      <w:r>
        <w:t xml:space="preserve">nfrastructure program driving </w:t>
      </w:r>
      <w:r w:rsidR="00913E71">
        <w:t>a better state</w:t>
      </w:r>
    </w:p>
    <w:p w14:paraId="2EE3D692" w14:textId="6EF72966" w:rsidR="00337F33" w:rsidRDefault="003E48E7">
      <w:pPr>
        <w:pStyle w:val="BodyText"/>
      </w:pPr>
      <w:r>
        <w:t xml:space="preserve">The people of New South Wales demonstrated incredible resilience during recent challenges including the COVID-19 pandemic, bushfires, </w:t>
      </w:r>
      <w:proofErr w:type="gramStart"/>
      <w:r>
        <w:t>drought</w:t>
      </w:r>
      <w:proofErr w:type="gramEnd"/>
      <w:r>
        <w:t xml:space="preserve"> and floo</w:t>
      </w:r>
      <w:r w:rsidRPr="0071059A">
        <w:t>d.</w:t>
      </w:r>
      <w:r>
        <w:t xml:space="preserve"> </w:t>
      </w:r>
      <w:r w:rsidR="001D4945">
        <w:t>T</w:t>
      </w:r>
      <w:r w:rsidR="00957497" w:rsidRPr="0071059A">
        <w:t xml:space="preserve">he 2020-21 Budget </w:t>
      </w:r>
      <w:r w:rsidR="00047156" w:rsidRPr="0071059A">
        <w:t xml:space="preserve">contained </w:t>
      </w:r>
      <w:r w:rsidR="00957497" w:rsidRPr="0071059A">
        <w:t xml:space="preserve">significant investment in stimulus projects, </w:t>
      </w:r>
      <w:r w:rsidR="00F174B4" w:rsidRPr="0071059A">
        <w:t xml:space="preserve">including the $3.0 billion Jobs and Infrastructure Acceleration Fund, </w:t>
      </w:r>
      <w:r w:rsidR="00957497" w:rsidRPr="0071059A">
        <w:t>which continues to support economic recovery</w:t>
      </w:r>
      <w:r w:rsidR="00C366D8" w:rsidRPr="0071059A">
        <w:t xml:space="preserve">. </w:t>
      </w:r>
      <w:r w:rsidR="00974038">
        <w:t>T</w:t>
      </w:r>
      <w:r w:rsidR="00C366D8" w:rsidRPr="0071059A">
        <w:t>h</w:t>
      </w:r>
      <w:r w:rsidR="00D924D6" w:rsidRPr="0071059A">
        <w:t>e 2021-22</w:t>
      </w:r>
      <w:r w:rsidR="00C366D8" w:rsidRPr="0071059A">
        <w:t xml:space="preserve"> Budget continues </w:t>
      </w:r>
      <w:r w:rsidR="00A9528E" w:rsidRPr="0071059A">
        <w:t xml:space="preserve">the </w:t>
      </w:r>
      <w:r w:rsidR="00E6623E" w:rsidRPr="0071059A">
        <w:t xml:space="preserve">Government’s investment in world class infrastructure </w:t>
      </w:r>
      <w:r w:rsidR="00C366D8" w:rsidRPr="0071059A">
        <w:t>to</w:t>
      </w:r>
      <w:r w:rsidR="00E6623E" w:rsidRPr="0071059A">
        <w:t xml:space="preserve"> </w:t>
      </w:r>
      <w:r w:rsidR="00871A3B" w:rsidRPr="0071059A">
        <w:t xml:space="preserve">ensure the State </w:t>
      </w:r>
      <w:r w:rsidR="00DE45D9" w:rsidRPr="0071059A">
        <w:t xml:space="preserve">and its residents are </w:t>
      </w:r>
      <w:r w:rsidR="00871A3B" w:rsidRPr="0071059A">
        <w:t xml:space="preserve">prepared for </w:t>
      </w:r>
      <w:r w:rsidR="001D4945">
        <w:t xml:space="preserve">future challenges and opportunities. </w:t>
      </w:r>
      <w:r w:rsidR="00871A3B">
        <w:t xml:space="preserve"> </w:t>
      </w:r>
    </w:p>
    <w:p w14:paraId="51A87612" w14:textId="77B074BB" w:rsidR="00555262" w:rsidRDefault="005607E8">
      <w:pPr>
        <w:pStyle w:val="BodyText"/>
      </w:pPr>
      <w:r>
        <w:t xml:space="preserve">The </w:t>
      </w:r>
      <w:r w:rsidR="00337F33" w:rsidRPr="00D1512F">
        <w:t xml:space="preserve">Government’s </w:t>
      </w:r>
      <w:r w:rsidR="00E6623E" w:rsidRPr="00D1512F">
        <w:t>infrastructure</w:t>
      </w:r>
      <w:r w:rsidR="00E6623E">
        <w:t xml:space="preserve"> program</w:t>
      </w:r>
      <w:r w:rsidR="00337F33" w:rsidRPr="00D1512F">
        <w:t xml:space="preserve"> </w:t>
      </w:r>
      <w:r w:rsidR="00BD733F">
        <w:t>continues</w:t>
      </w:r>
      <w:r w:rsidR="00B10C0F">
        <w:t xml:space="preserve"> to support </w:t>
      </w:r>
      <w:r w:rsidR="00F75830">
        <w:t>th</w:t>
      </w:r>
      <w:r w:rsidR="00C57AD9">
        <w:t xml:space="preserve">e community </w:t>
      </w:r>
      <w:r w:rsidR="00B10C0F">
        <w:t xml:space="preserve">with </w:t>
      </w:r>
      <w:r w:rsidR="007B5E7C">
        <w:t xml:space="preserve">modern, </w:t>
      </w:r>
      <w:proofErr w:type="gramStart"/>
      <w:r w:rsidR="007B5E7C" w:rsidRPr="0075789E">
        <w:t>efficient</w:t>
      </w:r>
      <w:proofErr w:type="gramEnd"/>
      <w:r w:rsidR="007B5E7C" w:rsidRPr="0075789E">
        <w:t xml:space="preserve"> and reliable</w:t>
      </w:r>
      <w:r w:rsidR="00356AC2" w:rsidRPr="0075789E">
        <w:t xml:space="preserve"> assets</w:t>
      </w:r>
      <w:r w:rsidR="007B5E7C" w:rsidRPr="0075789E">
        <w:t xml:space="preserve">. </w:t>
      </w:r>
      <w:r w:rsidR="0022715B">
        <w:t>I</w:t>
      </w:r>
      <w:r w:rsidR="0020229A" w:rsidRPr="0075789E">
        <w:t xml:space="preserve">nfrastructure </w:t>
      </w:r>
      <w:r w:rsidR="005D5E3C">
        <w:t>is</w:t>
      </w:r>
      <w:r w:rsidR="00D30C7B">
        <w:t xml:space="preserve"> the </w:t>
      </w:r>
      <w:r w:rsidR="001C20C9" w:rsidRPr="0075789E">
        <w:t xml:space="preserve">backbone </w:t>
      </w:r>
      <w:r w:rsidR="005D5E3C">
        <w:t>of</w:t>
      </w:r>
      <w:r w:rsidR="001C20C9" w:rsidRPr="0075789E">
        <w:t xml:space="preserve"> the economy </w:t>
      </w:r>
      <w:r w:rsidR="00482DEF" w:rsidRPr="0075789E">
        <w:t>–</w:t>
      </w:r>
      <w:r w:rsidR="001C20C9">
        <w:t xml:space="preserve"> </w:t>
      </w:r>
      <w:r w:rsidR="00092898">
        <w:t xml:space="preserve">transport </w:t>
      </w:r>
      <w:r w:rsidR="00482DEF">
        <w:t>connect</w:t>
      </w:r>
      <w:r w:rsidR="00092898">
        <w:t>s</w:t>
      </w:r>
      <w:r w:rsidR="00482DEF">
        <w:t xml:space="preserve"> workers to their jobs, </w:t>
      </w:r>
      <w:r w:rsidR="00092898">
        <w:t>schools</w:t>
      </w:r>
      <w:r w:rsidR="00AD095D">
        <w:t xml:space="preserve"> </w:t>
      </w:r>
      <w:r w:rsidR="00A133A4">
        <w:t xml:space="preserve">shape </w:t>
      </w:r>
      <w:r w:rsidR="00092898">
        <w:t>the leaders of the future</w:t>
      </w:r>
      <w:r w:rsidR="00356AC2">
        <w:t>,</w:t>
      </w:r>
      <w:r w:rsidR="00092898">
        <w:t xml:space="preserve"> </w:t>
      </w:r>
      <w:r w:rsidR="007B4CB1">
        <w:t>hospita</w:t>
      </w:r>
      <w:r w:rsidR="00CD2B4B">
        <w:t xml:space="preserve">ls </w:t>
      </w:r>
      <w:r w:rsidR="007970E8">
        <w:t>support a healthy population</w:t>
      </w:r>
      <w:r w:rsidR="00356AC2">
        <w:t>, w</w:t>
      </w:r>
      <w:r w:rsidR="00F26216">
        <w:t>ater</w:t>
      </w:r>
      <w:r w:rsidR="004D5A24">
        <w:t xml:space="preserve"> infrastructure is critical for </w:t>
      </w:r>
      <w:r w:rsidR="00F26216">
        <w:t xml:space="preserve">communities and </w:t>
      </w:r>
      <w:r w:rsidR="00A60498">
        <w:t xml:space="preserve">digital </w:t>
      </w:r>
      <w:r w:rsidR="004555D7">
        <w:t>technologies sh</w:t>
      </w:r>
      <w:r w:rsidR="004664DB">
        <w:t xml:space="preserve">ape how </w:t>
      </w:r>
      <w:r w:rsidR="00F92399">
        <w:t xml:space="preserve">people </w:t>
      </w:r>
      <w:r w:rsidR="004664DB">
        <w:t>connect.</w:t>
      </w:r>
      <w:r w:rsidR="00356AC2">
        <w:t xml:space="preserve"> </w:t>
      </w:r>
    </w:p>
    <w:p w14:paraId="4C112049" w14:textId="78BB1CCF" w:rsidR="004C2B77" w:rsidRDefault="00420E13">
      <w:pPr>
        <w:pStyle w:val="BodyText"/>
      </w:pPr>
      <w:r>
        <w:t xml:space="preserve">The Budget commits </w:t>
      </w:r>
      <w:r w:rsidRPr="002B25AE">
        <w:t>$</w:t>
      </w:r>
      <w:r w:rsidR="007300E5" w:rsidRPr="002B25AE">
        <w:t>108.5</w:t>
      </w:r>
      <w:r>
        <w:t xml:space="preserve"> billion over the four years to </w:t>
      </w:r>
      <w:r w:rsidR="00736EBE">
        <w:t>2024-25</w:t>
      </w:r>
      <w:r>
        <w:t xml:space="preserve"> </w:t>
      </w:r>
      <w:r w:rsidRPr="001776BE">
        <w:t xml:space="preserve">to </w:t>
      </w:r>
      <w:r w:rsidRPr="004F22F2">
        <w:t>the Government’s infrastructure program</w:t>
      </w:r>
      <w:r w:rsidRPr="008D2630">
        <w:t xml:space="preserve">. The average infrastructure investment of </w:t>
      </w:r>
      <w:r w:rsidRPr="002574B2">
        <w:t>$</w:t>
      </w:r>
      <w:r w:rsidR="007300E5" w:rsidRPr="002574B2">
        <w:t>27.1</w:t>
      </w:r>
      <w:r w:rsidRPr="002574B2">
        <w:t xml:space="preserve"> billion per annum over four years is </w:t>
      </w:r>
      <w:r w:rsidR="000631B3" w:rsidRPr="002574B2">
        <w:t>1.3</w:t>
      </w:r>
      <w:r>
        <w:t xml:space="preserve"> per cent higher than the average four</w:t>
      </w:r>
      <w:r w:rsidR="00E07CDD">
        <w:t>-</w:t>
      </w:r>
      <w:r>
        <w:t xml:space="preserve">year investment </w:t>
      </w:r>
      <w:r w:rsidR="0086006E">
        <w:t>of $</w:t>
      </w:r>
      <w:r w:rsidR="002E7B39">
        <w:t>26.8</w:t>
      </w:r>
      <w:r w:rsidR="0086006E">
        <w:t xml:space="preserve"> billion </w:t>
      </w:r>
      <w:r>
        <w:t xml:space="preserve">announced in the </w:t>
      </w:r>
      <w:r w:rsidR="00736EBE">
        <w:t>2020-21</w:t>
      </w:r>
      <w:r>
        <w:t xml:space="preserve"> Budget</w:t>
      </w:r>
      <w:r w:rsidR="00CD6E30">
        <w:t xml:space="preserve">, and nearly double the average </w:t>
      </w:r>
      <w:r w:rsidR="00361214">
        <w:t>four-year</w:t>
      </w:r>
      <w:r w:rsidR="00CD6E30">
        <w:t xml:space="preserve"> investment of $15.4 billion from 2013-14 to 2016-17</w:t>
      </w:r>
      <w:r>
        <w:t>.</w:t>
      </w:r>
      <w:r w:rsidR="00744471">
        <w:t xml:space="preserve"> </w:t>
      </w:r>
      <w:r w:rsidR="004C2B77" w:rsidRPr="0027578E">
        <w:t xml:space="preserve">Chart 1.1 shows the </w:t>
      </w:r>
      <w:r w:rsidR="00B8093A">
        <w:t>projected</w:t>
      </w:r>
      <w:r w:rsidR="004C2B77" w:rsidRPr="0027578E">
        <w:t xml:space="preserve"> growth in the State’s capital program from </w:t>
      </w:r>
      <w:r w:rsidR="00736EBE">
        <w:t>2013-14 to 2024-25</w:t>
      </w:r>
      <w:r w:rsidR="00C22065">
        <w:t>.</w:t>
      </w:r>
      <w:r w:rsidR="004C2B77" w:rsidRPr="0027578E">
        <w:t xml:space="preserve"> </w:t>
      </w:r>
    </w:p>
    <w:p w14:paraId="59BF2FA4" w14:textId="2C8F3426" w:rsidR="004F4C11" w:rsidRPr="002574B2" w:rsidRDefault="004C2B77" w:rsidP="0020619A">
      <w:pPr>
        <w:pStyle w:val="Chart1X"/>
        <w:rPr>
          <w:lang w:val="en-AU" w:eastAsia="en-AU"/>
        </w:rPr>
      </w:pPr>
      <w:r w:rsidRPr="002574B2">
        <w:rPr>
          <w:lang w:val="en-AU" w:eastAsia="en-AU"/>
        </w:rPr>
        <w:t xml:space="preserve">Infrastructure program from </w:t>
      </w:r>
      <w:r w:rsidR="00736EBE" w:rsidRPr="002574B2">
        <w:t xml:space="preserve">2013-14 to 2024-25 </w:t>
      </w:r>
    </w:p>
    <w:p w14:paraId="126F0AAA" w14:textId="6EEC81E0" w:rsidR="004C2B77" w:rsidRDefault="001F7DAA" w:rsidP="00001F5A">
      <w:pPr>
        <w:jc w:val="center"/>
      </w:pPr>
      <w:r>
        <w:rPr>
          <w:noProof/>
        </w:rPr>
        <w:drawing>
          <wp:inline distT="0" distB="0" distL="0" distR="0" wp14:anchorId="048E293F" wp14:editId="2FCF5609">
            <wp:extent cx="6120765" cy="2713990"/>
            <wp:effectExtent l="0" t="0" r="0" b="0"/>
            <wp:docPr id="6" name="Chart 6" descr="Chart 1.1: Infrastructure program from 2013-14 to 2024-25 ">
              <a:extLst xmlns:a="http://schemas.openxmlformats.org/drawingml/2006/main">
                <a:ext uri="{FF2B5EF4-FFF2-40B4-BE49-F238E27FC236}">
                  <a16:creationId xmlns:a16="http://schemas.microsoft.com/office/drawing/2014/main" id="{221FD475-227C-4BF7-B339-00B4712597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60978A5" w14:textId="3B6F8ACF" w:rsidR="00C3231E" w:rsidRDefault="00C3231E" w:rsidP="001C73C4">
      <w:pPr>
        <w:pStyle w:val="BodyText"/>
      </w:pPr>
      <w:r>
        <w:t xml:space="preserve">This </w:t>
      </w:r>
      <w:r w:rsidR="00AE20CD">
        <w:t xml:space="preserve">commitment </w:t>
      </w:r>
      <w:r w:rsidR="00607ABE">
        <w:t>maintains the</w:t>
      </w:r>
      <w:r>
        <w:t xml:space="preserve"> Government’s record level </w:t>
      </w:r>
      <w:r w:rsidR="00ED49FA">
        <w:t>of</w:t>
      </w:r>
      <w:r>
        <w:t xml:space="preserve"> infrastructure</w:t>
      </w:r>
      <w:r w:rsidR="00ED49FA">
        <w:t xml:space="preserve"> </w:t>
      </w:r>
      <w:r>
        <w:t>investment</w:t>
      </w:r>
      <w:r w:rsidR="00B920F4">
        <w:t xml:space="preserve">, </w:t>
      </w:r>
      <w:r w:rsidR="006D3683">
        <w:t xml:space="preserve">with </w:t>
      </w:r>
      <w:r w:rsidR="00F175BE">
        <w:t>$15</w:t>
      </w:r>
      <w:r w:rsidR="00E04238">
        <w:t>3</w:t>
      </w:r>
      <w:r w:rsidR="00F175BE">
        <w:t xml:space="preserve">.9 </w:t>
      </w:r>
      <w:r w:rsidR="006D3683">
        <w:t>billion invested</w:t>
      </w:r>
      <w:r w:rsidR="0090190F">
        <w:t xml:space="preserve"> </w:t>
      </w:r>
      <w:r w:rsidR="00C654E2">
        <w:t xml:space="preserve">from </w:t>
      </w:r>
      <w:r w:rsidR="0090190F">
        <w:t xml:space="preserve">2011-12 to 2019-20. </w:t>
      </w:r>
      <w:r w:rsidR="006D3683">
        <w:t xml:space="preserve">The benefits of this infrastructure pipeline </w:t>
      </w:r>
      <w:r w:rsidR="006D6E14">
        <w:t>continue to be</w:t>
      </w:r>
      <w:r w:rsidR="006D3683">
        <w:t xml:space="preserve"> realised</w:t>
      </w:r>
      <w:r w:rsidR="00865D92">
        <w:t xml:space="preserve"> a</w:t>
      </w:r>
      <w:r w:rsidR="00A5117A">
        <w:t xml:space="preserve">nd </w:t>
      </w:r>
      <w:r w:rsidR="00BF71F7">
        <w:t>enjoyed by the people of New South Wales</w:t>
      </w:r>
      <w:r w:rsidR="006D3683">
        <w:t xml:space="preserve">, with </w:t>
      </w:r>
      <w:r w:rsidR="00AB76C5">
        <w:t>many</w:t>
      </w:r>
      <w:r w:rsidR="006D3683">
        <w:t xml:space="preserve"> projects </w:t>
      </w:r>
      <w:r w:rsidR="00AB76C5">
        <w:t xml:space="preserve">across </w:t>
      </w:r>
      <w:r w:rsidR="00A540C8">
        <w:t>all</w:t>
      </w:r>
      <w:r w:rsidR="00AB76C5">
        <w:t xml:space="preserve"> </w:t>
      </w:r>
      <w:r w:rsidR="002574B2">
        <w:t>c</w:t>
      </w:r>
      <w:r w:rsidR="00AB76C5">
        <w:t xml:space="preserve">lusters </w:t>
      </w:r>
      <w:r w:rsidR="00865D92">
        <w:t>now complete</w:t>
      </w:r>
      <w:r w:rsidR="00BF71F7">
        <w:t xml:space="preserve">. </w:t>
      </w:r>
      <w:r w:rsidR="00ED1571">
        <w:t xml:space="preserve">Further information on how the Government’s infrastructure program is </w:t>
      </w:r>
      <w:r w:rsidR="00F175BE">
        <w:t xml:space="preserve">benefiting </w:t>
      </w:r>
      <w:r w:rsidR="003D2918">
        <w:t>resident</w:t>
      </w:r>
      <w:r w:rsidR="005C2697">
        <w:t>s</w:t>
      </w:r>
      <w:r w:rsidR="00F175BE">
        <w:t xml:space="preserve"> is provid</w:t>
      </w:r>
      <w:r w:rsidR="004D5CFE">
        <w:t>ed</w:t>
      </w:r>
      <w:r w:rsidR="00F175BE">
        <w:t xml:space="preserve"> in Box 1.1</w:t>
      </w:r>
      <w:r w:rsidR="005C2697">
        <w:t>.</w:t>
      </w:r>
    </w:p>
    <w:p w14:paraId="070174E9" w14:textId="18321092" w:rsidR="002D1C1D" w:rsidRDefault="0038699B">
      <w:pPr>
        <w:rPr>
          <w:rFonts w:ascii="Arial" w:hAnsi="Arial" w:cs="Calibri"/>
          <w:sz w:val="23"/>
          <w:lang w:val="en-AU"/>
        </w:rPr>
      </w:pPr>
      <w:r>
        <w:br w:type="page"/>
      </w:r>
    </w:p>
    <w:tbl>
      <w:tblPr>
        <w:tblW w:w="9606" w:type="dxa"/>
        <w:shd w:val="clear" w:color="auto" w:fill="F2F2F2" w:themeFill="background1" w:themeFillShade="F2"/>
        <w:tblLayout w:type="fixed"/>
        <w:tblCellMar>
          <w:left w:w="0" w:type="dxa"/>
          <w:right w:w="0" w:type="dxa"/>
        </w:tblCellMar>
        <w:tblLook w:val="04A0" w:firstRow="1" w:lastRow="0" w:firstColumn="1" w:lastColumn="0" w:noHBand="0" w:noVBand="1"/>
        <w:tblCaption w:val="Box 1.1:  Improving wellbeing through our record infrastructure investment"/>
        <w:tblDescription w:val="Box 1.1:  Improving wellbeing through our record infrastructure investment"/>
      </w:tblPr>
      <w:tblGrid>
        <w:gridCol w:w="9606"/>
      </w:tblGrid>
      <w:tr w:rsidR="002D1C1D" w:rsidRPr="00A1397D" w14:paraId="3408902E" w14:textId="77777777" w:rsidTr="006B6D01">
        <w:trPr>
          <w:trHeight w:val="10490"/>
        </w:trPr>
        <w:tc>
          <w:tcPr>
            <w:tcW w:w="9606" w:type="dxa"/>
            <w:shd w:val="clear" w:color="auto" w:fill="F2F2F2" w:themeFill="background1" w:themeFillShade="F2"/>
            <w:tcMar>
              <w:top w:w="0" w:type="dxa"/>
              <w:left w:w="108" w:type="dxa"/>
              <w:bottom w:w="0" w:type="dxa"/>
              <w:right w:w="108" w:type="dxa"/>
            </w:tcMar>
          </w:tcPr>
          <w:p w14:paraId="2D88ACCD" w14:textId="07A7751A" w:rsidR="002D1C1D" w:rsidRPr="00165B3E" w:rsidRDefault="002D1C1D" w:rsidP="009C2C85">
            <w:pPr>
              <w:pStyle w:val="Box11BoxHeading"/>
            </w:pPr>
            <w:r w:rsidRPr="32B3554B">
              <w:rPr>
                <w:highlight w:val="yellow"/>
              </w:rPr>
              <w:br w:type="page"/>
            </w:r>
            <w:r w:rsidR="004E4C90" w:rsidRPr="009C2C85">
              <w:t>Improving</w:t>
            </w:r>
            <w:r w:rsidR="004E4C90">
              <w:t xml:space="preserve"> wellbeing through </w:t>
            </w:r>
            <w:r w:rsidR="00A762E2">
              <w:t>our record infrastructure investment</w:t>
            </w:r>
          </w:p>
          <w:p w14:paraId="6F5A0744" w14:textId="45E86F72" w:rsidR="002D1C1D" w:rsidRDefault="00F0120A" w:rsidP="00DA6923">
            <w:pPr>
              <w:pStyle w:val="BodyTextBox"/>
              <w:framePr w:wrap="around"/>
            </w:pPr>
            <w:r w:rsidRPr="00307078">
              <w:t>M</w:t>
            </w:r>
            <w:r w:rsidR="00F6539B" w:rsidRPr="00307078">
              <w:t>ore</w:t>
            </w:r>
            <w:r w:rsidR="00F6539B">
              <w:t xml:space="preserve"> than 170</w:t>
            </w:r>
            <w:r w:rsidR="00D63CC7" w:rsidRPr="00D63CC7">
              <w:t xml:space="preserve"> </w:t>
            </w:r>
            <w:r w:rsidR="00C20C60">
              <w:t>health capital projects</w:t>
            </w:r>
            <w:r w:rsidR="00D63CC7" w:rsidRPr="00D63CC7">
              <w:t xml:space="preserve"> and </w:t>
            </w:r>
            <w:r w:rsidR="005E3F2E">
              <w:t>over 160 new and upgraded</w:t>
            </w:r>
            <w:r w:rsidR="00D63CC7" w:rsidRPr="00D63CC7">
              <w:t xml:space="preserve"> schools</w:t>
            </w:r>
            <w:r w:rsidR="0084733C" w:rsidRPr="00307078">
              <w:t xml:space="preserve"> have been delivered since 2011 as part of a record infrastructure investment by the Government</w:t>
            </w:r>
            <w:r w:rsidR="00D63CC7" w:rsidRPr="00307078">
              <w:t>.</w:t>
            </w:r>
            <w:r w:rsidR="00D63CC7" w:rsidRPr="00D63CC7">
              <w:t xml:space="preserve"> </w:t>
            </w:r>
            <w:r w:rsidR="007F26CF">
              <w:t>Many projects</w:t>
            </w:r>
            <w:r w:rsidR="0027282B">
              <w:t xml:space="preserve"> are now complete and benefitting </w:t>
            </w:r>
            <w:r w:rsidR="00010455">
              <w:t>local communi</w:t>
            </w:r>
            <w:r w:rsidR="006C2B08">
              <w:t>ties by supporting the provision of quality services</w:t>
            </w:r>
            <w:r w:rsidR="00D63CC7">
              <w:t>,</w:t>
            </w:r>
            <w:r w:rsidR="00B249B8">
              <w:t xml:space="preserve"> </w:t>
            </w:r>
            <w:r w:rsidR="003F0A38">
              <w:t xml:space="preserve">improving </w:t>
            </w:r>
            <w:r w:rsidR="00215FB4">
              <w:t xml:space="preserve">the </w:t>
            </w:r>
            <w:r w:rsidR="00F919E5">
              <w:t xml:space="preserve">capacity </w:t>
            </w:r>
            <w:r w:rsidR="00215FB4">
              <w:t xml:space="preserve">of </w:t>
            </w:r>
            <w:r w:rsidR="00F92399">
              <w:t>the</w:t>
            </w:r>
            <w:r w:rsidR="00215FB4">
              <w:t xml:space="preserve"> transport </w:t>
            </w:r>
            <w:proofErr w:type="gramStart"/>
            <w:r w:rsidR="00215FB4">
              <w:t>network</w:t>
            </w:r>
            <w:proofErr w:type="gramEnd"/>
            <w:r w:rsidR="00215FB4">
              <w:t xml:space="preserve"> and g</w:t>
            </w:r>
            <w:r w:rsidR="00EF4855">
              <w:t xml:space="preserve">rowing </w:t>
            </w:r>
            <w:r w:rsidR="0047284A">
              <w:t>the</w:t>
            </w:r>
            <w:r w:rsidR="00EF4855">
              <w:t xml:space="preserve"> economy</w:t>
            </w:r>
            <w:r w:rsidR="00073DF4" w:rsidRPr="00307078">
              <w:t xml:space="preserve"> by keeping people </w:t>
            </w:r>
            <w:r w:rsidR="00F919E5">
              <w:t>healthy</w:t>
            </w:r>
            <w:r w:rsidR="00F919E5" w:rsidRPr="00307078">
              <w:t xml:space="preserve"> </w:t>
            </w:r>
            <w:r w:rsidR="00073DF4" w:rsidRPr="00307078">
              <w:t>and connected</w:t>
            </w:r>
            <w:r w:rsidR="006C2B08" w:rsidDel="00B249B8">
              <w:t>.</w:t>
            </w:r>
          </w:p>
          <w:p w14:paraId="6BD5B0E3" w14:textId="5084406B" w:rsidR="002D1C1D" w:rsidRDefault="002D1C1D" w:rsidP="00DA6923">
            <w:pPr>
              <w:pStyle w:val="BodyTextBox"/>
              <w:framePr w:wrap="around"/>
            </w:pPr>
            <w:r>
              <w:t>Examples of key projects the Government has delivered</w:t>
            </w:r>
            <w:r w:rsidR="002A7C1A">
              <w:t xml:space="preserve"> since 2011</w:t>
            </w:r>
            <w:r w:rsidR="007A33B1">
              <w:t xml:space="preserve"> </w:t>
            </w:r>
            <w:r>
              <w:t>include:</w:t>
            </w:r>
          </w:p>
          <w:p w14:paraId="02A362E1" w14:textId="000CC477" w:rsidR="007D01E1" w:rsidRDefault="007E5B70" w:rsidP="00513502">
            <w:pPr>
              <w:pStyle w:val="Bullet1inabox"/>
              <w:numPr>
                <w:ilvl w:val="0"/>
                <w:numId w:val="138"/>
              </w:numPr>
            </w:pPr>
            <w:r>
              <w:t xml:space="preserve">the </w:t>
            </w:r>
            <w:r w:rsidR="007D01E1">
              <w:t xml:space="preserve">Pacific Highway </w:t>
            </w:r>
            <w:r w:rsidR="000941A2">
              <w:t>Upgrade</w:t>
            </w:r>
            <w:r w:rsidR="00D9325A">
              <w:t xml:space="preserve"> </w:t>
            </w:r>
            <w:r w:rsidR="00C92A3F">
              <w:t>from</w:t>
            </w:r>
            <w:r w:rsidR="00D9325A">
              <w:t xml:space="preserve"> Woolgoolga</w:t>
            </w:r>
            <w:r w:rsidR="007D01E1">
              <w:t xml:space="preserve"> to Ballina</w:t>
            </w:r>
            <w:r w:rsidR="00C92A3F">
              <w:t>.</w:t>
            </w:r>
            <w:r w:rsidR="00B377C7">
              <w:t xml:space="preserve"> </w:t>
            </w:r>
            <w:r w:rsidR="00C92A3F">
              <w:t>T</w:t>
            </w:r>
            <w:r w:rsidR="00B377C7">
              <w:t>he 155</w:t>
            </w:r>
            <w:r w:rsidR="00E21F1D">
              <w:t>-</w:t>
            </w:r>
            <w:r w:rsidR="00B377C7">
              <w:t xml:space="preserve">kilometre upgrade is the final link in the </w:t>
            </w:r>
            <w:r w:rsidR="00B37D5D">
              <w:t>657-kilometre</w:t>
            </w:r>
            <w:r w:rsidR="00B377C7">
              <w:t xml:space="preserve"> Pacific Highway upgrade, </w:t>
            </w:r>
            <w:r w:rsidR="00B377C7" w:rsidRPr="00307078">
              <w:t xml:space="preserve">a </w:t>
            </w:r>
            <w:r w:rsidR="00C92A3F">
              <w:t>Commonwealth</w:t>
            </w:r>
            <w:r w:rsidR="00B377C7">
              <w:t xml:space="preserve"> and NSW Government commitment to upgrade the highway to a four-lane divided road between Hexham and the Queensland border.</w:t>
            </w:r>
            <w:r w:rsidR="00A16304">
              <w:t xml:space="preserve"> </w:t>
            </w:r>
            <w:r w:rsidR="00A16304" w:rsidRPr="00307078">
              <w:t>Th</w:t>
            </w:r>
            <w:r w:rsidR="00FA341D">
              <w:t>e</w:t>
            </w:r>
            <w:r w:rsidR="00A16304">
              <w:t xml:space="preserve"> upgrade </w:t>
            </w:r>
            <w:r w:rsidR="00002784">
              <w:t>means</w:t>
            </w:r>
            <w:r w:rsidR="00A16304" w:rsidRPr="00307078">
              <w:t xml:space="preserve"> </w:t>
            </w:r>
            <w:r w:rsidR="00002784">
              <w:t>a quicker and safer journey for</w:t>
            </w:r>
            <w:r w:rsidR="00A16304">
              <w:t xml:space="preserve"> local, inter-regional and interstate travellers with </w:t>
            </w:r>
            <w:r w:rsidR="00981E35">
              <w:t>a</w:t>
            </w:r>
            <w:r w:rsidR="00A16304">
              <w:t xml:space="preserve"> 75 per cent reduction in fatal and injury </w:t>
            </w:r>
            <w:r w:rsidR="000B56E0">
              <w:t xml:space="preserve">causing </w:t>
            </w:r>
            <w:r w:rsidR="00A16304">
              <w:t>crashes</w:t>
            </w:r>
            <w:r w:rsidR="002933B5">
              <w:t>, as well as</w:t>
            </w:r>
            <w:r w:rsidR="00A16304">
              <w:t xml:space="preserve"> a reduced travel time of approximately 25 minutes</w:t>
            </w:r>
            <w:r w:rsidR="00712908">
              <w:t xml:space="preserve"> </w:t>
            </w:r>
          </w:p>
          <w:p w14:paraId="54F5C14A" w14:textId="2BFA1F14" w:rsidR="0079469B" w:rsidRDefault="004150FE" w:rsidP="00513502">
            <w:pPr>
              <w:pStyle w:val="Bullet1inabox"/>
              <w:numPr>
                <w:ilvl w:val="0"/>
                <w:numId w:val="138"/>
              </w:numPr>
            </w:pPr>
            <w:r>
              <w:t xml:space="preserve">the </w:t>
            </w:r>
            <w:r w:rsidR="0079469B">
              <w:t xml:space="preserve">Westmead Hospital </w:t>
            </w:r>
            <w:r w:rsidR="008B55A3">
              <w:t>Redevelopment</w:t>
            </w:r>
            <w:r w:rsidR="0079469B">
              <w:t xml:space="preserve"> Stage 1 and the Sydney Children’s Hospital Network </w:t>
            </w:r>
            <w:r w:rsidR="008B55A3">
              <w:t>Westmead Redevelopment Stage 1</w:t>
            </w:r>
            <w:r w:rsidR="00DA73CA">
              <w:t xml:space="preserve"> </w:t>
            </w:r>
            <w:r w:rsidR="008B55A3">
              <w:t>delivered two new emergency departments, one for adults and one for children</w:t>
            </w:r>
            <w:r w:rsidR="009C1385">
              <w:t>.</w:t>
            </w:r>
            <w:r w:rsidR="008B55A3">
              <w:t xml:space="preserve"> </w:t>
            </w:r>
            <w:r w:rsidR="009C1385">
              <w:t>This included</w:t>
            </w:r>
            <w:r w:rsidR="008B55A3">
              <w:t xml:space="preserve"> more than 300 patient rooms and </w:t>
            </w:r>
            <w:r w:rsidR="004F75DA">
              <w:t xml:space="preserve">one and a half floors for the University of Sydney to enable greater integration of education, </w:t>
            </w:r>
            <w:proofErr w:type="gramStart"/>
            <w:r w:rsidR="004F75DA">
              <w:t>research</w:t>
            </w:r>
            <w:proofErr w:type="gramEnd"/>
            <w:r w:rsidR="004F75DA">
              <w:t xml:space="preserve"> and health service delivery</w:t>
            </w:r>
          </w:p>
          <w:p w14:paraId="6433D93C" w14:textId="19907D87" w:rsidR="007D01E1" w:rsidRDefault="006B6C17" w:rsidP="00513502">
            <w:pPr>
              <w:pStyle w:val="Bullet1inabox"/>
              <w:numPr>
                <w:ilvl w:val="0"/>
                <w:numId w:val="138"/>
              </w:numPr>
            </w:pPr>
            <w:r>
              <w:t xml:space="preserve">Sydney </w:t>
            </w:r>
            <w:r w:rsidR="00BB7F63">
              <w:t>Metro Northwest</w:t>
            </w:r>
            <w:r w:rsidR="00F51BC6">
              <w:t xml:space="preserve"> </w:t>
            </w:r>
            <w:r w:rsidR="00B14EB1" w:rsidRPr="00307078">
              <w:t>deliver</w:t>
            </w:r>
            <w:r w:rsidR="001E5BB3" w:rsidRPr="00307078">
              <w:t>ed</w:t>
            </w:r>
            <w:r w:rsidR="00B14EB1">
              <w:t xml:space="preserve"> 36</w:t>
            </w:r>
            <w:r w:rsidR="007D6BE3">
              <w:t xml:space="preserve"> </w:t>
            </w:r>
            <w:r w:rsidR="00796352" w:rsidRPr="00307078">
              <w:t>kilometres</w:t>
            </w:r>
            <w:r w:rsidR="00B14EB1">
              <w:t xml:space="preserve"> </w:t>
            </w:r>
            <w:r w:rsidR="008D3808">
              <w:t xml:space="preserve">of </w:t>
            </w:r>
            <w:r w:rsidR="70CD0851">
              <w:t xml:space="preserve">rail </w:t>
            </w:r>
            <w:r w:rsidR="008D3808">
              <w:t xml:space="preserve">track </w:t>
            </w:r>
            <w:r w:rsidR="00703FCD">
              <w:t xml:space="preserve">and allows peak time commuters </w:t>
            </w:r>
            <w:r w:rsidR="008D3808">
              <w:t>between Chatswood and Rouse Hill</w:t>
            </w:r>
            <w:r w:rsidR="00086019" w:rsidRPr="00307078">
              <w:t xml:space="preserve"> to access </w:t>
            </w:r>
            <w:r w:rsidR="00783CAD" w:rsidRPr="00307078">
              <w:t>a train service every four minutes</w:t>
            </w:r>
            <w:r w:rsidR="79C0CA25" w:rsidRPr="00307078">
              <w:t>.</w:t>
            </w:r>
            <w:r w:rsidR="00E9309B" w:rsidRPr="00307078">
              <w:t xml:space="preserve"> </w:t>
            </w:r>
            <w:r w:rsidR="00C26AE3" w:rsidRPr="00307078">
              <w:t xml:space="preserve">The </w:t>
            </w:r>
            <w:r w:rsidR="00CA468A" w:rsidRPr="00307078">
              <w:t xml:space="preserve">project </w:t>
            </w:r>
            <w:r w:rsidR="003155CA">
              <w:t>provide</w:t>
            </w:r>
            <w:r w:rsidR="00A1658E">
              <w:t>d</w:t>
            </w:r>
            <w:r w:rsidR="00CA468A" w:rsidRPr="00307078">
              <w:t xml:space="preserve"> </w:t>
            </w:r>
            <w:r w:rsidR="00CA468A">
              <w:t>eight new railway stations</w:t>
            </w:r>
            <w:r w:rsidR="00B0144A">
              <w:t>, 4</w:t>
            </w:r>
            <w:r w:rsidR="00E85F64">
              <w:t>,</w:t>
            </w:r>
            <w:r w:rsidR="00B0144A">
              <w:t xml:space="preserve">000 commuter car parking spaces, </w:t>
            </w:r>
            <w:r w:rsidR="0093726E">
              <w:t xml:space="preserve">a </w:t>
            </w:r>
            <w:r w:rsidR="008425D7">
              <w:t>m</w:t>
            </w:r>
            <w:r w:rsidR="0079768F">
              <w:t xml:space="preserve">ajor </w:t>
            </w:r>
            <w:r w:rsidR="001F4250">
              <w:t>M</w:t>
            </w:r>
            <w:r w:rsidR="0079768F">
              <w:t>etro train stabling facility</w:t>
            </w:r>
            <w:r w:rsidR="00BA0D06">
              <w:t xml:space="preserve"> and rail </w:t>
            </w:r>
            <w:r w:rsidR="004A6BEA">
              <w:t xml:space="preserve">bridges </w:t>
            </w:r>
            <w:r w:rsidR="00EE0C70">
              <w:t xml:space="preserve">to </w:t>
            </w:r>
            <w:r w:rsidR="00EE277A">
              <w:t xml:space="preserve">minimise disruption to the community </w:t>
            </w:r>
          </w:p>
          <w:p w14:paraId="771BF4B9" w14:textId="08E4FE3E" w:rsidR="00340AA3" w:rsidRPr="00307078" w:rsidRDefault="00907478" w:rsidP="00513502">
            <w:pPr>
              <w:pStyle w:val="Bullet1inabox"/>
              <w:numPr>
                <w:ilvl w:val="0"/>
                <w:numId w:val="138"/>
              </w:numPr>
            </w:pPr>
            <w:r w:rsidRPr="00307078">
              <w:t xml:space="preserve">Arthur Phillip High School and Parramatta Public School </w:t>
            </w:r>
            <w:r w:rsidR="00725A66">
              <w:t xml:space="preserve">to </w:t>
            </w:r>
            <w:r w:rsidRPr="00307078">
              <w:t xml:space="preserve">accommodate </w:t>
            </w:r>
            <w:r w:rsidR="00E845A4">
              <w:t>3</w:t>
            </w:r>
            <w:r w:rsidRPr="00307078">
              <w:t>,000 student</w:t>
            </w:r>
            <w:r w:rsidR="002D5206">
              <w:t xml:space="preserve">s </w:t>
            </w:r>
            <w:r w:rsidRPr="00307078">
              <w:t xml:space="preserve">and </w:t>
            </w:r>
            <w:r w:rsidR="00133B14">
              <w:t xml:space="preserve">provide readily </w:t>
            </w:r>
            <w:r w:rsidR="008749B3">
              <w:t>accessible</w:t>
            </w:r>
            <w:r w:rsidR="00133B14">
              <w:t xml:space="preserve"> and flexible </w:t>
            </w:r>
            <w:r w:rsidR="008749B3">
              <w:t>facilities to meet the demands of an evolving curriculum in line with innovative learning principles</w:t>
            </w:r>
          </w:p>
          <w:p w14:paraId="27FE3BEA" w14:textId="673C2C3B" w:rsidR="00FA5D05" w:rsidRPr="00307078" w:rsidRDefault="002E5685" w:rsidP="00513502">
            <w:pPr>
              <w:pStyle w:val="Bullet1inabox"/>
              <w:numPr>
                <w:ilvl w:val="0"/>
                <w:numId w:val="138"/>
              </w:numPr>
            </w:pPr>
            <w:r>
              <w:t>Western Sydney Stadium</w:t>
            </w:r>
            <w:r w:rsidR="00AC42C6">
              <w:t xml:space="preserve"> </w:t>
            </w:r>
            <w:r w:rsidR="00200361">
              <w:t xml:space="preserve">set a new standard </w:t>
            </w:r>
            <w:r w:rsidR="006C587D">
              <w:t>for sports fans with 30,000</w:t>
            </w:r>
            <w:r w:rsidR="00B008AF">
              <w:t xml:space="preserve"> </w:t>
            </w:r>
            <w:r w:rsidR="00EB236C">
              <w:t>undercover</w:t>
            </w:r>
            <w:r w:rsidR="00EB236C" w:rsidDel="00B008AF">
              <w:t xml:space="preserve"> seats</w:t>
            </w:r>
            <w:r w:rsidR="00E659FB">
              <w:t xml:space="preserve">, </w:t>
            </w:r>
            <w:r w:rsidR="009F450F">
              <w:t xml:space="preserve">big </w:t>
            </w:r>
            <w:proofErr w:type="gramStart"/>
            <w:r w:rsidR="009F450F">
              <w:t>screens</w:t>
            </w:r>
            <w:proofErr w:type="gramEnd"/>
            <w:r w:rsidR="009F450F">
              <w:t xml:space="preserve"> and modern technolog</w:t>
            </w:r>
            <w:r w:rsidR="00C57A9F">
              <w:t>y</w:t>
            </w:r>
            <w:r w:rsidR="009F450F">
              <w:t xml:space="preserve">. </w:t>
            </w:r>
            <w:r w:rsidR="00B53E2D">
              <w:t>Featuring the steepest grandstands in Australia, the stadium creates an unparalleled live event experience</w:t>
            </w:r>
          </w:p>
          <w:p w14:paraId="7FEFF7F6" w14:textId="25E35D41" w:rsidR="002D1C1D" w:rsidRPr="006D2C0F" w:rsidRDefault="007E7696" w:rsidP="00513502">
            <w:pPr>
              <w:pStyle w:val="Bullet1inabox"/>
              <w:numPr>
                <w:ilvl w:val="0"/>
                <w:numId w:val="138"/>
              </w:numPr>
            </w:pPr>
            <w:r w:rsidRPr="00307078">
              <w:t>t</w:t>
            </w:r>
            <w:r w:rsidR="004C2BE7" w:rsidRPr="00307078">
              <w:t xml:space="preserve">he Wentworth to Broken Hill pipeline </w:t>
            </w:r>
            <w:r w:rsidR="00777BC4" w:rsidRPr="00307078">
              <w:t xml:space="preserve">is a major piece of public </w:t>
            </w:r>
            <w:r w:rsidR="004E1F9A" w:rsidRPr="00307078">
              <w:t xml:space="preserve">infrastructure </w:t>
            </w:r>
            <w:r w:rsidR="001F092A" w:rsidRPr="00307078">
              <w:t xml:space="preserve">supplying </w:t>
            </w:r>
            <w:r w:rsidR="001D4BF5" w:rsidRPr="00307078">
              <w:t>up to 37.4 megalitres of water per day to Broken Hill</w:t>
            </w:r>
            <w:r w:rsidR="004650BF" w:rsidRPr="00307078">
              <w:t xml:space="preserve"> and surrounding communities</w:t>
            </w:r>
            <w:r w:rsidR="001D4BF5" w:rsidRPr="00307078">
              <w:t xml:space="preserve">. The </w:t>
            </w:r>
            <w:r w:rsidR="00E21F1D" w:rsidRPr="00307078">
              <w:t>270-kilometre</w:t>
            </w:r>
            <w:r w:rsidR="001D4BF5" w:rsidRPr="00307078">
              <w:t xml:space="preserve"> pipeline </w:t>
            </w:r>
            <w:r w:rsidR="008B7B74" w:rsidRPr="00307078">
              <w:t xml:space="preserve">runs from </w:t>
            </w:r>
            <w:r w:rsidR="004A63BF" w:rsidRPr="00307078">
              <w:t xml:space="preserve">the River Murray near Wentworth </w:t>
            </w:r>
            <w:r w:rsidR="00CC798B" w:rsidRPr="00307078">
              <w:t>to Broken Hill</w:t>
            </w:r>
            <w:r w:rsidR="007B5C7D">
              <w:t>, providing</w:t>
            </w:r>
            <w:r w:rsidR="00CC798B" w:rsidRPr="00307078">
              <w:t xml:space="preserve"> </w:t>
            </w:r>
            <w:proofErr w:type="gramStart"/>
            <w:r w:rsidR="001631B9" w:rsidRPr="00307078">
              <w:t>local</w:t>
            </w:r>
            <w:r w:rsidR="001631B9">
              <w:t xml:space="preserve"> </w:t>
            </w:r>
            <w:r w:rsidR="004650BF">
              <w:t>residents</w:t>
            </w:r>
            <w:proofErr w:type="gramEnd"/>
            <w:r w:rsidR="001631B9">
              <w:t xml:space="preserve"> </w:t>
            </w:r>
            <w:r w:rsidR="00712397">
              <w:t xml:space="preserve">with </w:t>
            </w:r>
            <w:r w:rsidR="00EB0513">
              <w:t xml:space="preserve">a </w:t>
            </w:r>
            <w:r w:rsidR="00F939AD">
              <w:t xml:space="preserve">reliable </w:t>
            </w:r>
            <w:r w:rsidR="00615BB8">
              <w:t>supply</w:t>
            </w:r>
            <w:r w:rsidR="00853A21">
              <w:t xml:space="preserve"> of water</w:t>
            </w:r>
            <w:r w:rsidR="00615BB8">
              <w:t xml:space="preserve">. </w:t>
            </w:r>
            <w:r w:rsidR="00B53E2D">
              <w:t xml:space="preserve"> </w:t>
            </w:r>
          </w:p>
        </w:tc>
      </w:tr>
    </w:tbl>
    <w:p w14:paraId="05395CA4" w14:textId="77777777" w:rsidR="005903B1" w:rsidRDefault="005903B1" w:rsidP="005903B1">
      <w:pPr>
        <w:rPr>
          <w:rFonts w:eastAsia="Calibri"/>
        </w:rPr>
      </w:pPr>
    </w:p>
    <w:p w14:paraId="00D97879" w14:textId="456EB78C" w:rsidR="00896BEB" w:rsidRPr="00E30164" w:rsidRDefault="00896BEB">
      <w:pPr>
        <w:pStyle w:val="BodyText"/>
        <w:rPr>
          <w:rFonts w:eastAsia="Calibri"/>
        </w:rPr>
      </w:pPr>
      <w:r>
        <w:rPr>
          <w:rFonts w:eastAsia="Calibri"/>
        </w:rPr>
        <w:t xml:space="preserve">Infrastructure investment is a key component in achieving State Outcomes, supporting the provision of Government </w:t>
      </w:r>
      <w:proofErr w:type="gramStart"/>
      <w:r>
        <w:rPr>
          <w:rFonts w:eastAsia="Calibri"/>
        </w:rPr>
        <w:t>services</w:t>
      </w:r>
      <w:proofErr w:type="gramEnd"/>
      <w:r>
        <w:rPr>
          <w:rFonts w:eastAsia="Calibri"/>
        </w:rPr>
        <w:t xml:space="preserve"> and improving the lives of </w:t>
      </w:r>
      <w:r w:rsidR="00CE7467">
        <w:rPr>
          <w:rFonts w:eastAsia="Calibri"/>
        </w:rPr>
        <w:t>NSW</w:t>
      </w:r>
      <w:r w:rsidR="00D318FC">
        <w:rPr>
          <w:rFonts w:eastAsia="Calibri"/>
        </w:rPr>
        <w:t xml:space="preserve"> residents</w:t>
      </w:r>
      <w:r w:rsidRPr="00203353">
        <w:rPr>
          <w:rFonts w:eastAsia="Calibri"/>
        </w:rPr>
        <w:t xml:space="preserve">. </w:t>
      </w:r>
      <w:r w:rsidRPr="00203353">
        <w:t xml:space="preserve">Further information on how infrastructure contributes to the delivery of State Outcomes is provided in </w:t>
      </w:r>
      <w:r w:rsidRPr="00203353">
        <w:rPr>
          <w:i/>
        </w:rPr>
        <w:t xml:space="preserve">Budget Paper </w:t>
      </w:r>
      <w:r w:rsidR="000B4535">
        <w:rPr>
          <w:i/>
        </w:rPr>
        <w:t>No.</w:t>
      </w:r>
      <w:r w:rsidRPr="00203353">
        <w:rPr>
          <w:i/>
        </w:rPr>
        <w:t>2 –</w:t>
      </w:r>
      <w:r w:rsidR="00A22B21">
        <w:rPr>
          <w:i/>
        </w:rPr>
        <w:t xml:space="preserve"> </w:t>
      </w:r>
      <w:r w:rsidRPr="00203353">
        <w:rPr>
          <w:i/>
        </w:rPr>
        <w:t>Outcomes Statement</w:t>
      </w:r>
      <w:r>
        <w:rPr>
          <w:i/>
        </w:rPr>
        <w:t>.</w:t>
      </w:r>
    </w:p>
    <w:p w14:paraId="226376D1" w14:textId="3CCE25AE" w:rsidR="004C60D2" w:rsidRDefault="0077244B">
      <w:pPr>
        <w:pStyle w:val="BodyText"/>
      </w:pPr>
      <w:r>
        <w:t>The</w:t>
      </w:r>
      <w:r w:rsidR="004C60D2" w:rsidRPr="00C04948">
        <w:t xml:space="preserve"> </w:t>
      </w:r>
      <w:r w:rsidR="008D5B68">
        <w:t>Government’s</w:t>
      </w:r>
      <w:r w:rsidR="004C60D2" w:rsidRPr="00C04948">
        <w:t xml:space="preserve"> successful asset recycling strategy and strong </w:t>
      </w:r>
      <w:r w:rsidR="004C60D2">
        <w:t xml:space="preserve">economic </w:t>
      </w:r>
      <w:r w:rsidR="003809D4">
        <w:t xml:space="preserve">credentials </w:t>
      </w:r>
      <w:r w:rsidR="004C60D2" w:rsidRPr="00C04948">
        <w:t>ha</w:t>
      </w:r>
      <w:r w:rsidR="004C1375">
        <w:t>ve</w:t>
      </w:r>
      <w:r w:rsidR="004C60D2" w:rsidRPr="00C04948">
        <w:t xml:space="preserve"> </w:t>
      </w:r>
      <w:r w:rsidR="001A7A95">
        <w:t xml:space="preserve">been an integral </w:t>
      </w:r>
      <w:r w:rsidR="000B3453">
        <w:t xml:space="preserve">and innovative </w:t>
      </w:r>
      <w:r w:rsidR="001A7A95">
        <w:t xml:space="preserve">building block for </w:t>
      </w:r>
      <w:r w:rsidR="0012434E">
        <w:t xml:space="preserve">consistent </w:t>
      </w:r>
      <w:r w:rsidR="004C60D2">
        <w:t xml:space="preserve">record infrastructure investment. The Government is continuing to investigate </w:t>
      </w:r>
      <w:r w:rsidR="007D2B02">
        <w:t>asset recycling opportunities</w:t>
      </w:r>
      <w:r w:rsidR="004C60D2">
        <w:t xml:space="preserve">, </w:t>
      </w:r>
      <w:r w:rsidR="00812C33">
        <w:t xml:space="preserve">including the </w:t>
      </w:r>
      <w:r w:rsidR="00D03442">
        <w:t xml:space="preserve">WestConnex </w:t>
      </w:r>
      <w:r w:rsidR="00D11BF1">
        <w:t xml:space="preserve">transaction and the </w:t>
      </w:r>
      <w:r w:rsidR="00674873">
        <w:t>finalisation</w:t>
      </w:r>
      <w:r w:rsidR="00D03442">
        <w:t xml:space="preserve"> of </w:t>
      </w:r>
      <w:r w:rsidR="00674873">
        <w:t xml:space="preserve">the </w:t>
      </w:r>
      <w:r w:rsidR="00D03442">
        <w:t xml:space="preserve">Lotteries </w:t>
      </w:r>
      <w:r w:rsidR="00674873">
        <w:t>Scoping Study</w:t>
      </w:r>
      <w:r w:rsidR="00D03442">
        <w:t>.</w:t>
      </w:r>
      <w:r w:rsidR="004C60D2" w:rsidDel="005443F7">
        <w:t xml:space="preserve"> </w:t>
      </w:r>
      <w:r w:rsidR="004C60D2" w:rsidRPr="003C21F1">
        <w:t xml:space="preserve">Further information on the Government’s asset recycling strategy is provided </w:t>
      </w:r>
      <w:r w:rsidR="004C60D2" w:rsidRPr="005C6C95">
        <w:t xml:space="preserve">in Section 1.3 </w:t>
      </w:r>
      <w:r w:rsidR="005C6C95" w:rsidRPr="005C6C95">
        <w:t>of this</w:t>
      </w:r>
      <w:r w:rsidR="005C6C95">
        <w:t xml:space="preserve"> </w:t>
      </w:r>
      <w:r w:rsidR="00C21DDE">
        <w:rPr>
          <w:i/>
          <w:iCs w:val="0"/>
        </w:rPr>
        <w:t>Infrastructure Statement</w:t>
      </w:r>
      <w:r w:rsidR="005C6C95">
        <w:t xml:space="preserve"> </w:t>
      </w:r>
      <w:proofErr w:type="gramStart"/>
      <w:r w:rsidR="004C60D2" w:rsidRPr="003C21F1">
        <w:t>and also</w:t>
      </w:r>
      <w:proofErr w:type="gramEnd"/>
      <w:r w:rsidR="004C60D2" w:rsidRPr="003C21F1">
        <w:t xml:space="preserve"> in </w:t>
      </w:r>
      <w:r w:rsidR="004C60D2" w:rsidRPr="005C6C95">
        <w:t>Chapter 3</w:t>
      </w:r>
      <w:r w:rsidR="004C60D2" w:rsidRPr="003C21F1">
        <w:t xml:space="preserve"> of </w:t>
      </w:r>
      <w:r w:rsidR="004C60D2" w:rsidRPr="00932F84">
        <w:rPr>
          <w:i/>
          <w:iCs w:val="0"/>
        </w:rPr>
        <w:t xml:space="preserve">Budget Paper </w:t>
      </w:r>
      <w:r w:rsidR="000B4535">
        <w:rPr>
          <w:i/>
          <w:iCs w:val="0"/>
        </w:rPr>
        <w:t xml:space="preserve">No. </w:t>
      </w:r>
      <w:r w:rsidR="004C60D2" w:rsidRPr="00932F84">
        <w:rPr>
          <w:i/>
          <w:iCs w:val="0"/>
        </w:rPr>
        <w:t>1</w:t>
      </w:r>
      <w:r w:rsidR="00C0179A">
        <w:rPr>
          <w:i/>
          <w:iCs w:val="0"/>
        </w:rPr>
        <w:t xml:space="preserve"> – Budget Statement</w:t>
      </w:r>
      <w:r w:rsidR="004C60D2" w:rsidRPr="003C21F1">
        <w:t>.</w:t>
      </w:r>
    </w:p>
    <w:p w14:paraId="13481E11" w14:textId="77777777" w:rsidR="006B6D01" w:rsidRDefault="006B6D01">
      <w:pPr>
        <w:rPr>
          <w:rFonts w:ascii="Arial" w:eastAsia="Calibri" w:hAnsi="Arial" w:cs="Arial"/>
          <w:iCs/>
          <w:sz w:val="23"/>
          <w:szCs w:val="22"/>
          <w:lang w:val="en-AU"/>
        </w:rPr>
      </w:pPr>
      <w:r>
        <w:rPr>
          <w:rFonts w:eastAsia="Calibri"/>
        </w:rPr>
        <w:br w:type="page"/>
      </w:r>
    </w:p>
    <w:p w14:paraId="242CC346" w14:textId="654B42A2" w:rsidR="00175897" w:rsidRDefault="003D7124">
      <w:pPr>
        <w:pStyle w:val="BodyText"/>
        <w:rPr>
          <w:vertAlign w:val="superscript"/>
        </w:rPr>
      </w:pPr>
      <w:r>
        <w:rPr>
          <w:rFonts w:eastAsia="Calibri"/>
        </w:rPr>
        <w:t xml:space="preserve">The everyday lives of </w:t>
      </w:r>
      <w:r w:rsidR="00623800">
        <w:rPr>
          <w:rFonts w:eastAsia="Calibri"/>
        </w:rPr>
        <w:t>NSW</w:t>
      </w:r>
      <w:r>
        <w:rPr>
          <w:rFonts w:eastAsia="Calibri"/>
        </w:rPr>
        <w:t xml:space="preserve"> residents</w:t>
      </w:r>
      <w:r w:rsidR="000277B9">
        <w:rPr>
          <w:rFonts w:eastAsia="Calibri"/>
        </w:rPr>
        <w:t xml:space="preserve"> are being </w:t>
      </w:r>
      <w:r w:rsidR="006313F2">
        <w:rPr>
          <w:rFonts w:eastAsia="Calibri"/>
        </w:rPr>
        <w:t xml:space="preserve">improved </w:t>
      </w:r>
      <w:r w:rsidR="001D53A5">
        <w:rPr>
          <w:rFonts w:eastAsia="Calibri"/>
        </w:rPr>
        <w:t>through the</w:t>
      </w:r>
      <w:r w:rsidR="00180822">
        <w:rPr>
          <w:rFonts w:eastAsia="Calibri"/>
        </w:rPr>
        <w:t xml:space="preserve"> wide range of projects being delivered as part of the </w:t>
      </w:r>
      <w:r w:rsidR="00812D76" w:rsidRPr="00A1397D">
        <w:t>Government’s infrastructure program</w:t>
      </w:r>
      <w:r w:rsidR="00D127B3">
        <w:t>,</w:t>
      </w:r>
      <w:r w:rsidR="00180822">
        <w:t xml:space="preserve"> </w:t>
      </w:r>
      <w:r w:rsidR="00D127B3">
        <w:t>i</w:t>
      </w:r>
      <w:r w:rsidR="00702A77" w:rsidRPr="00A1397D">
        <w:t>ncluding</w:t>
      </w:r>
      <w:r w:rsidR="00812D76" w:rsidRPr="00A1397D">
        <w:t>:</w:t>
      </w:r>
      <w:r w:rsidR="001651A2">
        <w:rPr>
          <w:rStyle w:val="FootnoteReference"/>
        </w:rPr>
        <w:footnoteReference w:id="2"/>
      </w:r>
    </w:p>
    <w:p w14:paraId="08D8EF5D" w14:textId="6FCC8984" w:rsidR="0058195D" w:rsidRPr="00C23084" w:rsidRDefault="005C3690" w:rsidP="00C23084">
      <w:pPr>
        <w:spacing w:before="160" w:after="100"/>
        <w:rPr>
          <w:rFonts w:ascii="Arial" w:hAnsi="Arial" w:cs="Arial"/>
          <w:b/>
          <w:bCs/>
          <w:sz w:val="23"/>
          <w:szCs w:val="23"/>
        </w:rPr>
      </w:pPr>
      <w:r w:rsidRPr="00C23084">
        <w:rPr>
          <w:rFonts w:ascii="Arial" w:hAnsi="Arial" w:cs="Arial"/>
          <w:b/>
          <w:bCs/>
          <w:sz w:val="23"/>
          <w:szCs w:val="23"/>
        </w:rPr>
        <w:t>$</w:t>
      </w:r>
      <w:r w:rsidR="004215E7" w:rsidRPr="00C23084">
        <w:rPr>
          <w:rFonts w:ascii="Arial" w:hAnsi="Arial" w:cs="Arial"/>
          <w:b/>
          <w:bCs/>
          <w:sz w:val="23"/>
          <w:szCs w:val="23"/>
        </w:rPr>
        <w:t>71.</w:t>
      </w:r>
      <w:r w:rsidR="009505E4" w:rsidRPr="00C23084">
        <w:rPr>
          <w:rFonts w:ascii="Arial" w:hAnsi="Arial" w:cs="Arial"/>
          <w:b/>
          <w:bCs/>
          <w:sz w:val="23"/>
          <w:szCs w:val="23"/>
        </w:rPr>
        <w:t>5</w:t>
      </w:r>
      <w:r w:rsidRPr="00C23084">
        <w:rPr>
          <w:rFonts w:ascii="Arial" w:hAnsi="Arial" w:cs="Arial"/>
          <w:b/>
          <w:bCs/>
          <w:sz w:val="23"/>
          <w:szCs w:val="23"/>
        </w:rPr>
        <w:t xml:space="preserve"> billion for public transport and roads</w:t>
      </w:r>
      <w:r w:rsidR="00367723" w:rsidRPr="00C23084">
        <w:rPr>
          <w:rFonts w:ascii="Arial" w:hAnsi="Arial" w:cs="Arial"/>
          <w:b/>
          <w:bCs/>
          <w:sz w:val="23"/>
          <w:szCs w:val="23"/>
        </w:rPr>
        <w:t>, including:</w:t>
      </w:r>
    </w:p>
    <w:p w14:paraId="1A2ECB30" w14:textId="14C4843E" w:rsidR="00294480" w:rsidRDefault="00B012DF" w:rsidP="00C23084">
      <w:pPr>
        <w:pStyle w:val="Bullet1"/>
      </w:pPr>
      <w:r>
        <w:t>$</w:t>
      </w:r>
      <w:r w:rsidR="002B1A5B">
        <w:t>12.0</w:t>
      </w:r>
      <w:r>
        <w:t xml:space="preserve"> </w:t>
      </w:r>
      <w:r w:rsidRPr="00FB2118">
        <w:t>billion</w:t>
      </w:r>
      <w:r>
        <w:t xml:space="preserve"> </w:t>
      </w:r>
      <w:r w:rsidR="00B15CAB">
        <w:t>over the next four years</w:t>
      </w:r>
      <w:r>
        <w:t xml:space="preserve"> for Sydney Metro West</w:t>
      </w:r>
    </w:p>
    <w:p w14:paraId="13E52232" w14:textId="0ED34B20" w:rsidR="00E450FC" w:rsidRPr="00412676" w:rsidRDefault="00E450FC" w:rsidP="00C23084">
      <w:pPr>
        <w:pStyle w:val="Bullet1"/>
      </w:pPr>
      <w:r>
        <w:t xml:space="preserve">$3.1 billion over </w:t>
      </w:r>
      <w:r w:rsidRPr="00412676">
        <w:t>the next four years for More Trains, More Services</w:t>
      </w:r>
    </w:p>
    <w:p w14:paraId="5AF5CB10" w14:textId="10642156" w:rsidR="002E51C5" w:rsidRPr="00412676" w:rsidRDefault="002E51C5" w:rsidP="00C23084">
      <w:pPr>
        <w:pStyle w:val="Bullet1"/>
      </w:pPr>
      <w:r w:rsidRPr="00412676">
        <w:t>$2.7 billion over the next four years for the M6 Extension Stage 1</w:t>
      </w:r>
    </w:p>
    <w:p w14:paraId="07F463FC" w14:textId="046E77F9" w:rsidR="0091728C" w:rsidRPr="00412676" w:rsidRDefault="0091728C" w:rsidP="00C23084">
      <w:pPr>
        <w:pStyle w:val="Bullet1"/>
      </w:pPr>
      <w:r w:rsidRPr="00412676">
        <w:t>$</w:t>
      </w:r>
      <w:r w:rsidR="00377DB5" w:rsidRPr="00412676">
        <w:t>2.0</w:t>
      </w:r>
      <w:r w:rsidRPr="00412676">
        <w:t xml:space="preserve"> billion over the next four years for the Great Western Highway </w:t>
      </w:r>
      <w:r w:rsidR="009C227B">
        <w:t>U</w:t>
      </w:r>
      <w:r w:rsidRPr="00412676">
        <w:t>pgrade</w:t>
      </w:r>
    </w:p>
    <w:p w14:paraId="7E98DC9E" w14:textId="159D0E58" w:rsidR="0091728C" w:rsidRPr="00412676" w:rsidRDefault="009C3BC0" w:rsidP="00C23084">
      <w:pPr>
        <w:pStyle w:val="Bullet1"/>
      </w:pPr>
      <w:r w:rsidRPr="00412676">
        <w:t>$</w:t>
      </w:r>
      <w:r w:rsidR="00D522F0" w:rsidRPr="00412676">
        <w:t>872.6</w:t>
      </w:r>
      <w:r w:rsidRPr="00412676">
        <w:t xml:space="preserve"> million over the next four years for </w:t>
      </w:r>
      <w:r w:rsidR="002E51C5" w:rsidRPr="00412676">
        <w:t xml:space="preserve">the </w:t>
      </w:r>
      <w:r w:rsidRPr="00412676">
        <w:t>Newell Highway</w:t>
      </w:r>
    </w:p>
    <w:p w14:paraId="18BF392C" w14:textId="1CFD3FAF" w:rsidR="007A5563" w:rsidRPr="00001F5A" w:rsidRDefault="00B81F76" w:rsidP="00C23084">
      <w:pPr>
        <w:pStyle w:val="Bullet1"/>
      </w:pPr>
      <w:r w:rsidRPr="00412676">
        <w:t>$</w:t>
      </w:r>
      <w:r w:rsidR="00555134" w:rsidRPr="00412676">
        <w:t>329.</w:t>
      </w:r>
      <w:r w:rsidR="00FD7648">
        <w:t>1</w:t>
      </w:r>
      <w:r w:rsidRPr="00412676">
        <w:t xml:space="preserve"> million over the next four years </w:t>
      </w:r>
      <w:r w:rsidR="00FD1F4D" w:rsidRPr="00412676">
        <w:t>for the Princes Highway</w:t>
      </w:r>
      <w:r w:rsidR="00745398">
        <w:t xml:space="preserve"> Upgrade</w:t>
      </w:r>
      <w:r w:rsidR="00143FDD" w:rsidRPr="00412676">
        <w:t>, including the Albion Park Rail Bypass</w:t>
      </w:r>
      <w:r w:rsidR="000B4B78" w:rsidRPr="00412676">
        <w:t>, construction</w:t>
      </w:r>
      <w:r w:rsidR="000B4B78">
        <w:t xml:space="preserve"> of the new Nowra Bridge and the Berry to Bomaderry </w:t>
      </w:r>
      <w:r w:rsidR="009C227B">
        <w:t>U</w:t>
      </w:r>
      <w:r w:rsidR="000B4B78">
        <w:t>pgrade</w:t>
      </w:r>
    </w:p>
    <w:p w14:paraId="7EA04CE1" w14:textId="2D3B7EC4" w:rsidR="00E011B1" w:rsidRPr="00C23084" w:rsidRDefault="00994DB0" w:rsidP="00C23084">
      <w:pPr>
        <w:spacing w:before="160" w:after="100"/>
        <w:rPr>
          <w:rFonts w:ascii="Arial" w:hAnsi="Arial" w:cs="Arial"/>
          <w:b/>
          <w:bCs/>
          <w:sz w:val="23"/>
          <w:szCs w:val="23"/>
        </w:rPr>
      </w:pPr>
      <w:r w:rsidRPr="00C23084">
        <w:rPr>
          <w:rFonts w:ascii="Arial" w:hAnsi="Arial" w:cs="Arial"/>
          <w:b/>
          <w:bCs/>
          <w:sz w:val="23"/>
          <w:szCs w:val="23"/>
        </w:rPr>
        <w:t>$</w:t>
      </w:r>
      <w:r w:rsidR="007F5FD4" w:rsidRPr="00C23084">
        <w:rPr>
          <w:rFonts w:ascii="Arial" w:hAnsi="Arial" w:cs="Arial"/>
          <w:b/>
          <w:bCs/>
          <w:sz w:val="23"/>
          <w:szCs w:val="23"/>
        </w:rPr>
        <w:t>10.8</w:t>
      </w:r>
      <w:r w:rsidR="000D7B06" w:rsidRPr="00C23084">
        <w:rPr>
          <w:rFonts w:ascii="Arial" w:hAnsi="Arial" w:cs="Arial"/>
          <w:b/>
          <w:bCs/>
          <w:sz w:val="23"/>
          <w:szCs w:val="23"/>
        </w:rPr>
        <w:t xml:space="preserve"> </w:t>
      </w:r>
      <w:r w:rsidR="004A654D" w:rsidRPr="00C23084">
        <w:rPr>
          <w:rFonts w:ascii="Arial" w:hAnsi="Arial" w:cs="Arial"/>
          <w:b/>
          <w:bCs/>
          <w:sz w:val="23"/>
          <w:szCs w:val="23"/>
        </w:rPr>
        <w:t xml:space="preserve">billion </w:t>
      </w:r>
      <w:r w:rsidR="00D66C01" w:rsidRPr="00C23084">
        <w:rPr>
          <w:rFonts w:ascii="Arial" w:hAnsi="Arial" w:cs="Arial"/>
          <w:b/>
          <w:bCs/>
          <w:sz w:val="23"/>
          <w:szCs w:val="23"/>
        </w:rPr>
        <w:t>for</w:t>
      </w:r>
      <w:r w:rsidR="00175897" w:rsidRPr="00C23084">
        <w:rPr>
          <w:rFonts w:ascii="Arial" w:hAnsi="Arial" w:cs="Arial"/>
          <w:b/>
          <w:bCs/>
          <w:sz w:val="23"/>
          <w:szCs w:val="23"/>
        </w:rPr>
        <w:t xml:space="preserve"> health infrastructure</w:t>
      </w:r>
      <w:r w:rsidR="00260C33" w:rsidRPr="0086146C">
        <w:rPr>
          <w:rStyle w:val="FootnoteReference"/>
          <w:rFonts w:eastAsiaTheme="minorHAnsi"/>
          <w:iCs/>
          <w:szCs w:val="22"/>
          <w:lang w:val="en-AU"/>
        </w:rPr>
        <w:footnoteReference w:id="3"/>
      </w:r>
      <w:r w:rsidR="005A564C" w:rsidRPr="0086146C">
        <w:rPr>
          <w:rStyle w:val="FootnoteReference"/>
          <w:rFonts w:eastAsiaTheme="minorHAnsi"/>
          <w:iCs/>
          <w:szCs w:val="22"/>
          <w:lang w:val="en-AU"/>
        </w:rPr>
        <w:t xml:space="preserve"> </w:t>
      </w:r>
      <w:r w:rsidR="0086146C">
        <w:rPr>
          <w:rFonts w:eastAsiaTheme="minorHAnsi"/>
          <w:iCs/>
          <w:szCs w:val="22"/>
          <w:lang w:val="en-AU"/>
        </w:rPr>
        <w:t xml:space="preserve"> </w:t>
      </w:r>
      <w:r w:rsidR="004E7546" w:rsidRPr="00C23084">
        <w:rPr>
          <w:rFonts w:ascii="Arial" w:hAnsi="Arial" w:cs="Arial"/>
          <w:b/>
          <w:bCs/>
          <w:sz w:val="23"/>
          <w:szCs w:val="23"/>
        </w:rPr>
        <w:t>to plan and deliver</w:t>
      </w:r>
      <w:r w:rsidR="002C0362" w:rsidRPr="00C23084">
        <w:rPr>
          <w:rFonts w:ascii="Arial" w:hAnsi="Arial" w:cs="Arial"/>
          <w:b/>
          <w:bCs/>
          <w:sz w:val="23"/>
          <w:szCs w:val="23"/>
        </w:rPr>
        <w:t xml:space="preserve"> </w:t>
      </w:r>
      <w:r w:rsidR="00BA5C61" w:rsidRPr="00C23084">
        <w:rPr>
          <w:rFonts w:ascii="Arial" w:hAnsi="Arial" w:cs="Arial"/>
          <w:b/>
          <w:bCs/>
          <w:sz w:val="23"/>
          <w:szCs w:val="23"/>
        </w:rPr>
        <w:t xml:space="preserve">new and upgraded </w:t>
      </w:r>
      <w:r w:rsidR="00591737" w:rsidRPr="00C23084">
        <w:rPr>
          <w:rFonts w:ascii="Arial" w:hAnsi="Arial" w:cs="Arial"/>
          <w:b/>
          <w:bCs/>
          <w:sz w:val="23"/>
          <w:szCs w:val="23"/>
        </w:rPr>
        <w:t xml:space="preserve">hospital builds, </w:t>
      </w:r>
      <w:r w:rsidR="00BF11CF" w:rsidRPr="00C23084">
        <w:rPr>
          <w:rFonts w:ascii="Arial" w:hAnsi="Arial" w:cs="Arial"/>
          <w:b/>
          <w:bCs/>
          <w:sz w:val="23"/>
          <w:szCs w:val="23"/>
        </w:rPr>
        <w:t>including</w:t>
      </w:r>
      <w:r w:rsidR="00175897" w:rsidRPr="00C23084">
        <w:rPr>
          <w:rFonts w:ascii="Arial" w:hAnsi="Arial" w:cs="Arial"/>
          <w:b/>
          <w:bCs/>
          <w:sz w:val="23"/>
          <w:szCs w:val="23"/>
        </w:rPr>
        <w:t>:</w:t>
      </w:r>
    </w:p>
    <w:p w14:paraId="60011258" w14:textId="5E32C6A9" w:rsidR="00303AA7" w:rsidRDefault="00303AA7" w:rsidP="00C23084">
      <w:pPr>
        <w:pStyle w:val="Bullet1"/>
      </w:pPr>
      <w:r>
        <w:t>$1.3 billion for the Bankstown</w:t>
      </w:r>
      <w:r w:rsidR="00F427E3">
        <w:t>-</w:t>
      </w:r>
      <w:r>
        <w:t>Lidcombe Hospital and Community Health Services Redevelopment</w:t>
      </w:r>
    </w:p>
    <w:p w14:paraId="76514F2F" w14:textId="518EF723" w:rsidR="002029E6" w:rsidRDefault="002029E6" w:rsidP="00C23084">
      <w:pPr>
        <w:pStyle w:val="Bullet1"/>
      </w:pPr>
      <w:r>
        <w:t>$835.0 million for the John Hunter Health and Innovation Precinct</w:t>
      </w:r>
      <w:r w:rsidR="003556AA">
        <w:t xml:space="preserve"> and car park</w:t>
      </w:r>
    </w:p>
    <w:p w14:paraId="6F39255B" w14:textId="3932E2F1" w:rsidR="007746C4" w:rsidRPr="00C17578" w:rsidRDefault="00E90D1D" w:rsidP="00C23084">
      <w:pPr>
        <w:pStyle w:val="Bullet1"/>
      </w:pPr>
      <w:r>
        <w:t>$740.0 million for the Liverpool Hea</w:t>
      </w:r>
      <w:r w:rsidR="003A0016">
        <w:t>lth and Academic Precinct</w:t>
      </w:r>
    </w:p>
    <w:p w14:paraId="456A9AF6" w14:textId="59C4F650" w:rsidR="006E784A" w:rsidRPr="00C23084" w:rsidRDefault="006B2EA9" w:rsidP="00C23084">
      <w:pPr>
        <w:spacing w:before="160" w:after="100"/>
        <w:rPr>
          <w:rFonts w:ascii="Arial" w:hAnsi="Arial" w:cs="Arial"/>
          <w:b/>
          <w:bCs/>
          <w:sz w:val="23"/>
          <w:szCs w:val="23"/>
        </w:rPr>
      </w:pPr>
      <w:r w:rsidRPr="00C23084">
        <w:rPr>
          <w:rFonts w:ascii="Arial" w:hAnsi="Arial" w:cs="Arial"/>
          <w:b/>
          <w:bCs/>
          <w:sz w:val="23"/>
          <w:szCs w:val="23"/>
        </w:rPr>
        <w:t>$</w:t>
      </w:r>
      <w:r w:rsidR="007F5FD4" w:rsidRPr="00C23084">
        <w:rPr>
          <w:rFonts w:ascii="Arial" w:hAnsi="Arial" w:cs="Arial"/>
          <w:b/>
          <w:bCs/>
          <w:sz w:val="23"/>
          <w:szCs w:val="23"/>
        </w:rPr>
        <w:t>8.5</w:t>
      </w:r>
      <w:r w:rsidRPr="00C23084">
        <w:rPr>
          <w:rFonts w:ascii="Arial" w:hAnsi="Arial" w:cs="Arial"/>
          <w:b/>
          <w:bCs/>
          <w:sz w:val="23"/>
          <w:szCs w:val="23"/>
        </w:rPr>
        <w:t xml:space="preserve"> billion </w:t>
      </w:r>
      <w:r w:rsidR="00D66C01" w:rsidRPr="00C23084">
        <w:rPr>
          <w:rFonts w:ascii="Arial" w:hAnsi="Arial" w:cs="Arial"/>
          <w:b/>
          <w:bCs/>
          <w:sz w:val="23"/>
          <w:szCs w:val="23"/>
        </w:rPr>
        <w:t>for</w:t>
      </w:r>
      <w:r w:rsidR="00175897" w:rsidRPr="00C23084">
        <w:rPr>
          <w:rFonts w:ascii="Arial" w:hAnsi="Arial" w:cs="Arial"/>
          <w:b/>
          <w:bCs/>
          <w:sz w:val="23"/>
          <w:szCs w:val="23"/>
        </w:rPr>
        <w:t xml:space="preserve"> education</w:t>
      </w:r>
      <w:r w:rsidR="00032E2A" w:rsidRPr="00C23084">
        <w:rPr>
          <w:rFonts w:ascii="Arial" w:hAnsi="Arial" w:cs="Arial"/>
          <w:b/>
          <w:bCs/>
          <w:sz w:val="23"/>
          <w:szCs w:val="23"/>
        </w:rPr>
        <w:t xml:space="preserve"> and skills</w:t>
      </w:r>
      <w:r w:rsidR="005B7D8E" w:rsidRPr="00C23084">
        <w:rPr>
          <w:rFonts w:ascii="Arial" w:hAnsi="Arial" w:cs="Arial"/>
          <w:b/>
          <w:bCs/>
          <w:sz w:val="23"/>
          <w:szCs w:val="23"/>
        </w:rPr>
        <w:t xml:space="preserve"> </w:t>
      </w:r>
      <w:r w:rsidR="00175897" w:rsidRPr="00C23084">
        <w:rPr>
          <w:rFonts w:ascii="Arial" w:hAnsi="Arial" w:cs="Arial"/>
          <w:b/>
          <w:bCs/>
          <w:sz w:val="23"/>
          <w:szCs w:val="23"/>
        </w:rPr>
        <w:t>infrastructure, including</w:t>
      </w:r>
      <w:r w:rsidR="006E784A" w:rsidRPr="00C23084">
        <w:rPr>
          <w:rFonts w:ascii="Arial" w:hAnsi="Arial" w:cs="Arial"/>
          <w:b/>
          <w:bCs/>
          <w:sz w:val="23"/>
          <w:szCs w:val="23"/>
        </w:rPr>
        <w:t>:</w:t>
      </w:r>
    </w:p>
    <w:p w14:paraId="78B26E7B" w14:textId="613280C0" w:rsidR="009D1D1B" w:rsidRDefault="00047A19" w:rsidP="00C23084">
      <w:pPr>
        <w:pStyle w:val="Bullet1"/>
      </w:pPr>
      <w:r>
        <w:t>$</w:t>
      </w:r>
      <w:r w:rsidR="00574BE2">
        <w:t>2.1</w:t>
      </w:r>
      <w:r w:rsidR="00AC33B0">
        <w:t xml:space="preserve"> billion</w:t>
      </w:r>
      <w:r>
        <w:t xml:space="preserve"> over </w:t>
      </w:r>
      <w:r w:rsidR="00574BE2">
        <w:t xml:space="preserve">four </w:t>
      </w:r>
      <w:r>
        <w:t>years</w:t>
      </w:r>
      <w:r w:rsidR="00C51850">
        <w:t>, as part of a total new investment of $3.3 billion,</w:t>
      </w:r>
      <w:r w:rsidR="00AC33B0">
        <w:t xml:space="preserve"> </w:t>
      </w:r>
      <w:r w:rsidR="009D1D1B">
        <w:t xml:space="preserve">for </w:t>
      </w:r>
      <w:r>
        <w:t>new and upgraded schools</w:t>
      </w:r>
      <w:r w:rsidR="00242674">
        <w:t xml:space="preserve"> </w:t>
      </w:r>
      <w:r>
        <w:t>(see Box 1.2 for more information)</w:t>
      </w:r>
    </w:p>
    <w:p w14:paraId="07006184" w14:textId="6D8666C3" w:rsidR="004E7282" w:rsidRPr="00826D02" w:rsidRDefault="00944FF0" w:rsidP="00932F84">
      <w:pPr>
        <w:pStyle w:val="Bullet1"/>
        <w:rPr>
          <w:bCs/>
        </w:rPr>
      </w:pPr>
      <w:r>
        <w:t xml:space="preserve">$79.6 million </w:t>
      </w:r>
      <w:r w:rsidR="004958DB">
        <w:t xml:space="preserve">over four years </w:t>
      </w:r>
      <w:r>
        <w:t>for the</w:t>
      </w:r>
      <w:r w:rsidR="00E54B95">
        <w:t xml:space="preserve"> Institute of Applied Technology</w:t>
      </w:r>
      <w:r w:rsidR="00AF20DF">
        <w:t xml:space="preserve"> for Construction</w:t>
      </w:r>
    </w:p>
    <w:p w14:paraId="2A739B42" w14:textId="56F3F741" w:rsidR="00210D0E" w:rsidRPr="004E7282" w:rsidRDefault="000123A7" w:rsidP="00C23084">
      <w:pPr>
        <w:pStyle w:val="BodyText"/>
      </w:pPr>
      <w:r w:rsidRPr="004E7282">
        <w:t xml:space="preserve">These projects are </w:t>
      </w:r>
      <w:r w:rsidR="00DE5266">
        <w:t>complemented by</w:t>
      </w:r>
      <w:r w:rsidRPr="004E7282">
        <w:t xml:space="preserve"> </w:t>
      </w:r>
      <w:r w:rsidR="00577269" w:rsidRPr="004E7282">
        <w:t xml:space="preserve">a </w:t>
      </w:r>
      <w:r w:rsidR="002D375E" w:rsidRPr="004E7282">
        <w:t>significant investment</w:t>
      </w:r>
      <w:r w:rsidR="00091E51" w:rsidRPr="004E7282">
        <w:t xml:space="preserve"> </w:t>
      </w:r>
      <w:r w:rsidR="00EF4F0A" w:rsidRPr="004E7282">
        <w:t>acros</w:t>
      </w:r>
      <w:r w:rsidR="00B65D14" w:rsidRPr="004E7282">
        <w:t xml:space="preserve">s </w:t>
      </w:r>
      <w:r w:rsidR="00DC7983" w:rsidRPr="004E7282">
        <w:t>arts and culture</w:t>
      </w:r>
      <w:r w:rsidR="00691B09" w:rsidRPr="004E7282">
        <w:t>,</w:t>
      </w:r>
      <w:r w:rsidR="00236393" w:rsidRPr="004E7282">
        <w:t xml:space="preserve"> venues,</w:t>
      </w:r>
      <w:r w:rsidR="00EE5BC7" w:rsidRPr="004E7282">
        <w:t xml:space="preserve"> </w:t>
      </w:r>
      <w:r w:rsidR="003D17F6" w:rsidRPr="004E7282">
        <w:t>en</w:t>
      </w:r>
      <w:r w:rsidR="007D0940" w:rsidRPr="004E7282">
        <w:t>ergy</w:t>
      </w:r>
      <w:r w:rsidR="006723A1" w:rsidRPr="004E7282">
        <w:t>, water utilities</w:t>
      </w:r>
      <w:r w:rsidR="00FE3B4A" w:rsidRPr="004E7282">
        <w:t>, emergency services</w:t>
      </w:r>
      <w:r w:rsidR="00D85CD4" w:rsidRPr="004E7282">
        <w:t xml:space="preserve"> and</w:t>
      </w:r>
      <w:r w:rsidR="00A71772" w:rsidRPr="004E7282">
        <w:t xml:space="preserve"> other important </w:t>
      </w:r>
      <w:r w:rsidR="00D8092F" w:rsidRPr="004E7282">
        <w:t>infrastructure</w:t>
      </w:r>
      <w:r w:rsidR="007D0940" w:rsidRPr="004E7282">
        <w:t xml:space="preserve"> </w:t>
      </w:r>
      <w:r w:rsidR="004261D6" w:rsidRPr="004E7282">
        <w:t xml:space="preserve">to </w:t>
      </w:r>
      <w:r w:rsidR="00CD1DE4" w:rsidRPr="004E7282">
        <w:t xml:space="preserve">provide vital services for </w:t>
      </w:r>
      <w:r w:rsidR="00955806" w:rsidRPr="004E7282">
        <w:t xml:space="preserve">communities </w:t>
      </w:r>
      <w:r w:rsidR="00353DB0" w:rsidRPr="004E7282">
        <w:t>and support job creation</w:t>
      </w:r>
      <w:r w:rsidRPr="004E7282">
        <w:t xml:space="preserve">. </w:t>
      </w:r>
      <w:bookmarkStart w:id="2" w:name="_Hlk8754325"/>
      <w:bookmarkStart w:id="3" w:name="_Hlk516526617"/>
      <w:r w:rsidR="00210D0E" w:rsidRPr="004E7282">
        <w:t xml:space="preserve">Chapter 2 of this </w:t>
      </w:r>
      <w:r w:rsidR="00210D0E" w:rsidRPr="004E7282">
        <w:rPr>
          <w:i/>
        </w:rPr>
        <w:t>Infrastructure Statement</w:t>
      </w:r>
      <w:r w:rsidR="00210D0E" w:rsidRPr="004E7282">
        <w:t xml:space="preserve"> provides further details on infrastructure projects the Government is delivering. </w:t>
      </w:r>
    </w:p>
    <w:p w14:paraId="659F8B84" w14:textId="21C19515" w:rsidR="00932636" w:rsidRDefault="00932636">
      <w:pPr>
        <w:rPr>
          <w:rFonts w:ascii="Arial" w:hAnsi="Arial" w:cs="Calibri"/>
          <w:sz w:val="23"/>
          <w:lang w:val="en-AU"/>
        </w:rPr>
      </w:pPr>
      <w:r>
        <w:br w:type="page"/>
      </w:r>
    </w:p>
    <w:tbl>
      <w:tblPr>
        <w:tblW w:w="9606" w:type="dxa"/>
        <w:shd w:val="clear" w:color="auto" w:fill="F2F2F2" w:themeFill="background1" w:themeFillShade="F2"/>
        <w:tblLayout w:type="fixed"/>
        <w:tblCellMar>
          <w:left w:w="0" w:type="dxa"/>
          <w:right w:w="0" w:type="dxa"/>
        </w:tblCellMar>
        <w:tblLook w:val="04A0" w:firstRow="1" w:lastRow="0" w:firstColumn="1" w:lastColumn="0" w:noHBand="0" w:noVBand="1"/>
        <w:tblCaption w:val="Box 1.2: Schools Infrastructure Investment "/>
        <w:tblDescription w:val="Box 1.2: Schools Infrastructure Investment "/>
      </w:tblPr>
      <w:tblGrid>
        <w:gridCol w:w="9606"/>
      </w:tblGrid>
      <w:tr w:rsidR="002D1C1D" w:rsidRPr="00A1397D" w14:paraId="4B017C59" w14:textId="77777777" w:rsidTr="00435E37">
        <w:trPr>
          <w:trHeight w:val="568"/>
        </w:trPr>
        <w:tc>
          <w:tcPr>
            <w:tcW w:w="9606" w:type="dxa"/>
            <w:shd w:val="clear" w:color="auto" w:fill="F2F2F2" w:themeFill="background1" w:themeFillShade="F2"/>
            <w:tcMar>
              <w:top w:w="0" w:type="dxa"/>
              <w:left w:w="108" w:type="dxa"/>
              <w:bottom w:w="0" w:type="dxa"/>
              <w:right w:w="108" w:type="dxa"/>
            </w:tcMar>
          </w:tcPr>
          <w:p w14:paraId="64164EF9" w14:textId="7693B02C" w:rsidR="002D1C1D" w:rsidRPr="00165B3E" w:rsidRDefault="002D1C1D" w:rsidP="00C23084">
            <w:pPr>
              <w:pStyle w:val="Box11BoxHeading"/>
            </w:pPr>
            <w:bookmarkStart w:id="4" w:name="_Hlk8719257"/>
            <w:r w:rsidRPr="32B3554B">
              <w:rPr>
                <w:highlight w:val="yellow"/>
              </w:rPr>
              <w:br w:type="page"/>
            </w:r>
            <w:r w:rsidR="00C47604">
              <w:t xml:space="preserve">Schools </w:t>
            </w:r>
            <w:r w:rsidR="00C47604" w:rsidRPr="00C23084">
              <w:t>Infrastructure</w:t>
            </w:r>
            <w:r w:rsidR="00C47604">
              <w:t xml:space="preserve"> Investment </w:t>
            </w:r>
          </w:p>
          <w:p w14:paraId="7D375D65" w14:textId="23D5DDA3" w:rsidR="00EC6A59" w:rsidRPr="00E045A3" w:rsidRDefault="00EC6A59" w:rsidP="00EC6A59">
            <w:pPr>
              <w:pStyle w:val="BodyTextBox"/>
              <w:framePr w:wrap="around"/>
            </w:pPr>
            <w:r w:rsidRPr="00E045A3">
              <w:t>The 2021-22 Budget includes a new investment of $</w:t>
            </w:r>
            <w:r w:rsidR="00A80E39">
              <w:t>3.3</w:t>
            </w:r>
            <w:r w:rsidRPr="00E045A3">
              <w:t xml:space="preserve"> billion</w:t>
            </w:r>
            <w:r w:rsidR="00A80E39">
              <w:t xml:space="preserve"> (including </w:t>
            </w:r>
            <w:r w:rsidR="00CD5431">
              <w:br/>
            </w:r>
            <w:r w:rsidR="00A80E39">
              <w:t>$2.1</w:t>
            </w:r>
            <w:r w:rsidRPr="00E045A3">
              <w:t xml:space="preserve"> billion </w:t>
            </w:r>
            <w:r w:rsidR="00A80E39">
              <w:t>over the four years to 2024-25)</w:t>
            </w:r>
            <w:r w:rsidRPr="00E045A3">
              <w:t xml:space="preserve"> for </w:t>
            </w:r>
            <w:r w:rsidR="00594F17">
              <w:t xml:space="preserve">44 </w:t>
            </w:r>
            <w:r w:rsidRPr="00E045A3">
              <w:t>new and upgraded school</w:t>
            </w:r>
            <w:r w:rsidR="00B74247">
              <w:t>s</w:t>
            </w:r>
            <w:r w:rsidRPr="00E045A3">
              <w:t xml:space="preserve"> across the </w:t>
            </w:r>
            <w:r w:rsidR="00B74247">
              <w:t>state</w:t>
            </w:r>
            <w:r w:rsidRPr="00E045A3">
              <w:t xml:space="preserve">.  </w:t>
            </w:r>
          </w:p>
          <w:p w14:paraId="5006F7E2" w14:textId="0A5DB1F6" w:rsidR="00EC6A59" w:rsidRPr="006242A5" w:rsidRDefault="00EC6A59" w:rsidP="00EC6A59">
            <w:pPr>
              <w:pStyle w:val="BodyTextBox"/>
              <w:framePr w:wrap="around"/>
              <w:rPr>
                <w:szCs w:val="23"/>
              </w:rPr>
            </w:pPr>
            <w:r w:rsidRPr="00E045A3">
              <w:rPr>
                <w:szCs w:val="23"/>
              </w:rPr>
              <w:t xml:space="preserve">This investment will deliver world-class education facilities to foster a safe and </w:t>
            </w:r>
            <w:r w:rsidR="00530A33">
              <w:rPr>
                <w:szCs w:val="23"/>
              </w:rPr>
              <w:t>holistic</w:t>
            </w:r>
            <w:r w:rsidR="00DB1CF3">
              <w:rPr>
                <w:szCs w:val="23"/>
              </w:rPr>
              <w:t xml:space="preserve"> teaching and</w:t>
            </w:r>
            <w:r w:rsidR="00A22DAB" w:rsidRPr="00E045A3">
              <w:rPr>
                <w:szCs w:val="23"/>
              </w:rPr>
              <w:t xml:space="preserve"> </w:t>
            </w:r>
            <w:r w:rsidRPr="00E045A3">
              <w:rPr>
                <w:szCs w:val="23"/>
              </w:rPr>
              <w:t>learning environment for both teachers and students. This will be achieved through investing in</w:t>
            </w:r>
            <w:r w:rsidR="004247A1">
              <w:rPr>
                <w:szCs w:val="23"/>
              </w:rPr>
              <w:t xml:space="preserve"> </w:t>
            </w:r>
            <w:r w:rsidRPr="00E045A3">
              <w:rPr>
                <w:szCs w:val="23"/>
              </w:rPr>
              <w:t>flexible teaching and learning spaces to enable a wide variety of education practices</w:t>
            </w:r>
            <w:r w:rsidR="004247A1">
              <w:rPr>
                <w:szCs w:val="23"/>
              </w:rPr>
              <w:t xml:space="preserve"> </w:t>
            </w:r>
            <w:r w:rsidR="00DD096F">
              <w:rPr>
                <w:szCs w:val="23"/>
              </w:rPr>
              <w:t xml:space="preserve">and </w:t>
            </w:r>
            <w:r w:rsidR="004247A1">
              <w:rPr>
                <w:szCs w:val="23"/>
              </w:rPr>
              <w:t>support</w:t>
            </w:r>
            <w:r w:rsidRPr="00E045A3">
              <w:rPr>
                <w:szCs w:val="23"/>
              </w:rPr>
              <w:t xml:space="preserve"> </w:t>
            </w:r>
            <w:r w:rsidR="000E63BF">
              <w:rPr>
                <w:szCs w:val="23"/>
              </w:rPr>
              <w:t xml:space="preserve">growing </w:t>
            </w:r>
            <w:r w:rsidRPr="00E045A3">
              <w:rPr>
                <w:szCs w:val="23"/>
              </w:rPr>
              <w:t>student demands with future focused learning principles.</w:t>
            </w:r>
          </w:p>
          <w:p w14:paraId="36606D3F" w14:textId="1EB46DA1" w:rsidR="00EC6A59" w:rsidRPr="00E045A3" w:rsidRDefault="001E7C7E" w:rsidP="00EC6A59">
            <w:pPr>
              <w:pStyle w:val="BodyTextBox"/>
              <w:framePr w:wrap="around"/>
            </w:pPr>
            <w:r>
              <w:rPr>
                <w:szCs w:val="23"/>
              </w:rPr>
              <w:t>S</w:t>
            </w:r>
            <w:r w:rsidR="00EC6A59" w:rsidRPr="00E045A3">
              <w:rPr>
                <w:szCs w:val="23"/>
              </w:rPr>
              <w:t>chools Infrastructure NSW, a specialist unit established within the Department of Education, will oversee the delivery of the program across metro</w:t>
            </w:r>
            <w:r w:rsidR="00EB216A">
              <w:rPr>
                <w:szCs w:val="23"/>
              </w:rPr>
              <w:t>politan</w:t>
            </w:r>
            <w:r w:rsidR="00EC6A59" w:rsidRPr="00E045A3">
              <w:rPr>
                <w:szCs w:val="23"/>
              </w:rPr>
              <w:t xml:space="preserve"> and regional areas. </w:t>
            </w:r>
          </w:p>
          <w:p w14:paraId="2C4BE30E" w14:textId="0ADE8312" w:rsidR="00EC6A59" w:rsidRPr="00E045A3" w:rsidRDefault="00332FEC" w:rsidP="00EC6A59">
            <w:pPr>
              <w:pStyle w:val="BodyTextBox"/>
              <w:framePr w:wrap="around"/>
            </w:pPr>
            <w:r>
              <w:t xml:space="preserve">New funding of </w:t>
            </w:r>
            <w:r w:rsidR="00EC6A59" w:rsidRPr="00E045A3">
              <w:t>$</w:t>
            </w:r>
            <w:r w:rsidR="00F84491">
              <w:t>3.3 billion</w:t>
            </w:r>
            <w:r w:rsidR="00EC6A59" w:rsidRPr="00E045A3">
              <w:t xml:space="preserve"> has been allocated for new and upgraded schools</w:t>
            </w:r>
            <w:r w:rsidR="002F2492" w:rsidRPr="00E045A3">
              <w:t xml:space="preserve"> </w:t>
            </w:r>
            <w:r w:rsidR="00EC6A59" w:rsidRPr="00E045A3">
              <w:t>includ</w:t>
            </w:r>
            <w:r w:rsidR="002F2492" w:rsidRPr="00E045A3">
              <w:t>ing</w:t>
            </w:r>
            <w:r w:rsidR="00EC6A59" w:rsidRPr="00E045A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673"/>
            </w:tblGrid>
            <w:tr w:rsidR="00E045A3" w:rsidRPr="00E045A3" w14:paraId="5634A329" w14:textId="77777777" w:rsidTr="00F84774">
              <w:tc>
                <w:tcPr>
                  <w:tcW w:w="4673" w:type="dxa"/>
                </w:tcPr>
                <w:p w14:paraId="76524967" w14:textId="0A2A376D" w:rsidR="00EC6A59" w:rsidRPr="002A1AEC" w:rsidRDefault="00EC6A59" w:rsidP="00513502">
                  <w:pPr>
                    <w:pStyle w:val="Bullet1inabox"/>
                  </w:pPr>
                  <w:r w:rsidRPr="00E045A3">
                    <w:t>Macquarie Park Education Campus</w:t>
                  </w:r>
                </w:p>
                <w:p w14:paraId="4DD6F2E5" w14:textId="727E60E6" w:rsidR="00EC6A59" w:rsidRPr="00E045A3" w:rsidRDefault="00EC6A59" w:rsidP="00513502">
                  <w:pPr>
                    <w:pStyle w:val="Bullet1inabox"/>
                  </w:pPr>
                  <w:r w:rsidRPr="00E045A3">
                    <w:t>Rydalmere Education Campus</w:t>
                  </w:r>
                </w:p>
                <w:p w14:paraId="4A312C68" w14:textId="755854C2" w:rsidR="00EC6A59" w:rsidRPr="00E045A3" w:rsidRDefault="00EC6A59" w:rsidP="00513502">
                  <w:pPr>
                    <w:pStyle w:val="Bullet1inabox"/>
                  </w:pPr>
                  <w:r w:rsidRPr="00E045A3">
                    <w:t>Liverpool Boys and Girls High School</w:t>
                  </w:r>
                </w:p>
                <w:p w14:paraId="5B817D3A" w14:textId="1E2919EB" w:rsidR="00EC6A59" w:rsidRPr="00E045A3" w:rsidRDefault="00EC6A59" w:rsidP="00513502">
                  <w:pPr>
                    <w:pStyle w:val="Bullet1inabox"/>
                  </w:pPr>
                  <w:r w:rsidRPr="00E045A3">
                    <w:t>the new</w:t>
                  </w:r>
                  <w:r w:rsidR="00E204ED">
                    <w:t xml:space="preserve"> high school in</w:t>
                  </w:r>
                  <w:r w:rsidRPr="00E045A3">
                    <w:t xml:space="preserve"> Marsden Park </w:t>
                  </w:r>
                </w:p>
                <w:p w14:paraId="4843BEF2" w14:textId="77777777" w:rsidR="009642CA" w:rsidRPr="00325578" w:rsidRDefault="0039740B" w:rsidP="00513502">
                  <w:pPr>
                    <w:pStyle w:val="Bullet1inabox"/>
                    <w:rPr>
                      <w:rFonts w:cs="Calibri"/>
                      <w:szCs w:val="19"/>
                    </w:rPr>
                  </w:pPr>
                  <w:r>
                    <w:t>Bomaderry High School Upgrade</w:t>
                  </w:r>
                </w:p>
                <w:p w14:paraId="11AE060C" w14:textId="7167F7C6" w:rsidR="00302645" w:rsidRPr="00302645" w:rsidRDefault="00325578" w:rsidP="00302645">
                  <w:pPr>
                    <w:pStyle w:val="Bullet1inabox"/>
                    <w:rPr>
                      <w:rFonts w:cs="Calibri"/>
                      <w:szCs w:val="19"/>
                    </w:rPr>
                  </w:pPr>
                  <w:r>
                    <w:t>Yanco Agricultural High School Upgrade</w:t>
                  </w:r>
                </w:p>
              </w:tc>
              <w:tc>
                <w:tcPr>
                  <w:tcW w:w="4673" w:type="dxa"/>
                </w:tcPr>
                <w:p w14:paraId="5C2AA405" w14:textId="2C470CC8" w:rsidR="00EC6A59" w:rsidRPr="00E045A3" w:rsidRDefault="009F3296" w:rsidP="00513502">
                  <w:pPr>
                    <w:pStyle w:val="Bullet1inabox"/>
                  </w:pPr>
                  <w:r>
                    <w:t>Wee Waa High School</w:t>
                  </w:r>
                </w:p>
                <w:p w14:paraId="6AE32D5A" w14:textId="4B9BBAC7" w:rsidR="00EC6A59" w:rsidRPr="00E045A3" w:rsidRDefault="00EB1512" w:rsidP="00513502">
                  <w:pPr>
                    <w:pStyle w:val="Bullet1inabox"/>
                  </w:pPr>
                  <w:r>
                    <w:t>South West Sydney, new selective high school</w:t>
                  </w:r>
                </w:p>
                <w:p w14:paraId="719AAD0E" w14:textId="1EA43F9D" w:rsidR="009642CA" w:rsidRPr="00E045A3" w:rsidRDefault="007032BA" w:rsidP="00513502">
                  <w:pPr>
                    <w:pStyle w:val="Bullet1inabox"/>
                  </w:pPr>
                  <w:r>
                    <w:t xml:space="preserve">the new </w:t>
                  </w:r>
                  <w:r w:rsidR="00E204ED">
                    <w:t xml:space="preserve">high school in </w:t>
                  </w:r>
                  <w:r w:rsidR="009642CA" w:rsidRPr="00E045A3">
                    <w:t xml:space="preserve">Edmondson Park </w:t>
                  </w:r>
                </w:p>
                <w:p w14:paraId="53771FA1" w14:textId="7C8EFDE0" w:rsidR="009642CA" w:rsidRDefault="009642CA" w:rsidP="00513502">
                  <w:pPr>
                    <w:pStyle w:val="Bullet1inabox"/>
                  </w:pPr>
                  <w:r w:rsidRPr="00E045A3">
                    <w:t>Oran Park Public School Stage 2</w:t>
                  </w:r>
                </w:p>
                <w:p w14:paraId="5C94DECF" w14:textId="7F6FF398" w:rsidR="001932D1" w:rsidRPr="00E045A3" w:rsidRDefault="001932D1" w:rsidP="00325578">
                  <w:pPr>
                    <w:pStyle w:val="Bullet1inabox"/>
                    <w:numPr>
                      <w:ilvl w:val="0"/>
                      <w:numId w:val="0"/>
                    </w:numPr>
                  </w:pPr>
                </w:p>
              </w:tc>
            </w:tr>
            <w:tr w:rsidR="00302645" w:rsidRPr="00E045A3" w14:paraId="57C2AC0F" w14:textId="77777777" w:rsidTr="003D5EF9">
              <w:trPr>
                <w:trHeight w:val="779"/>
              </w:trPr>
              <w:tc>
                <w:tcPr>
                  <w:tcW w:w="9346" w:type="dxa"/>
                  <w:gridSpan w:val="2"/>
                </w:tcPr>
                <w:p w14:paraId="4E52C0FE" w14:textId="38B99BBB" w:rsidR="00302645" w:rsidRDefault="00302645" w:rsidP="00302645">
                  <w:pPr>
                    <w:pStyle w:val="Bullet1inabox"/>
                    <w:numPr>
                      <w:ilvl w:val="0"/>
                      <w:numId w:val="0"/>
                    </w:numPr>
                  </w:pPr>
                  <w:r>
                    <w:t xml:space="preserve">A full list of new and upgraded schools </w:t>
                  </w:r>
                  <w:r w:rsidR="00E6054E">
                    <w:t>currently being delivered</w:t>
                  </w:r>
                  <w:r>
                    <w:t xml:space="preserve"> is provided in Box </w:t>
                  </w:r>
                  <w:r w:rsidR="00A47662">
                    <w:t>2.6</w:t>
                  </w:r>
                  <w:r>
                    <w:t xml:space="preserve"> of Chapter 2. </w:t>
                  </w:r>
                </w:p>
              </w:tc>
            </w:tr>
          </w:tbl>
          <w:p w14:paraId="7FD93635" w14:textId="73820D5C" w:rsidR="002D1C1D" w:rsidRPr="00A1397D" w:rsidRDefault="002D1C1D" w:rsidP="00DA6923">
            <w:pPr>
              <w:pStyle w:val="BodyTextBox"/>
              <w:framePr w:wrap="around"/>
            </w:pPr>
          </w:p>
        </w:tc>
      </w:tr>
    </w:tbl>
    <w:p w14:paraId="1BEAC356" w14:textId="77777777" w:rsidR="00EC13CB" w:rsidRDefault="00EC13CB" w:rsidP="00C23084"/>
    <w:p w14:paraId="7B3E2F49" w14:textId="77777777" w:rsidR="00EC13CB" w:rsidRDefault="00EC13CB">
      <w:pPr>
        <w:rPr>
          <w:rFonts w:ascii="Arial" w:hAnsi="Arial"/>
          <w:b/>
          <w:kern w:val="28"/>
          <w:sz w:val="28"/>
          <w:szCs w:val="36"/>
          <w:lang w:val="en-AU"/>
        </w:rPr>
      </w:pPr>
      <w:r>
        <w:br w:type="page"/>
      </w:r>
    </w:p>
    <w:p w14:paraId="6C30C83C" w14:textId="185475F6" w:rsidR="006730AE" w:rsidRDefault="006730AE" w:rsidP="00CE0173">
      <w:pPr>
        <w:pStyle w:val="Heading3"/>
      </w:pPr>
      <w:r>
        <w:t xml:space="preserve">Delivering for </w:t>
      </w:r>
      <w:r w:rsidRPr="0021435A">
        <w:t>regional</w:t>
      </w:r>
      <w:r>
        <w:t xml:space="preserve"> </w:t>
      </w:r>
      <w:bookmarkEnd w:id="4"/>
      <w:r w:rsidR="003A7AC8">
        <w:t>communities</w:t>
      </w:r>
      <w:r w:rsidR="007A1ADD">
        <w:t xml:space="preserve"> </w:t>
      </w:r>
    </w:p>
    <w:p w14:paraId="07017B7C" w14:textId="205E3B8D" w:rsidR="006730AE" w:rsidRPr="00EA3CFF" w:rsidRDefault="00561C49" w:rsidP="00EA3CFF">
      <w:pPr>
        <w:pStyle w:val="BodyText"/>
      </w:pPr>
      <w:r>
        <w:t xml:space="preserve">The 2021-22 Budget </w:t>
      </w:r>
      <w:r w:rsidR="000F749F">
        <w:t xml:space="preserve">includes </w:t>
      </w:r>
      <w:r w:rsidR="00B34DF9">
        <w:t xml:space="preserve">a </w:t>
      </w:r>
      <w:r w:rsidR="00E430AA">
        <w:t xml:space="preserve">significant infrastructure investment </w:t>
      </w:r>
      <w:r w:rsidR="00B34DF9">
        <w:t xml:space="preserve">for </w:t>
      </w:r>
      <w:r w:rsidR="00C254EE">
        <w:t>regional New South Wales</w:t>
      </w:r>
      <w:r w:rsidR="008C1526">
        <w:t xml:space="preserve">, including the construction of new and upgraded hospitals, </w:t>
      </w:r>
      <w:proofErr w:type="gramStart"/>
      <w:r w:rsidR="008C1526">
        <w:t>schools</w:t>
      </w:r>
      <w:proofErr w:type="gramEnd"/>
      <w:r w:rsidR="008C1526">
        <w:t xml:space="preserve"> and roads</w:t>
      </w:r>
      <w:r w:rsidR="008B198D">
        <w:t xml:space="preserve">. </w:t>
      </w:r>
      <w:r w:rsidR="008E7E51">
        <w:t xml:space="preserve">These investments </w:t>
      </w:r>
      <w:r w:rsidR="000D2A9F">
        <w:t xml:space="preserve">respond to the </w:t>
      </w:r>
      <w:r w:rsidR="007A1FBC">
        <w:t>many</w:t>
      </w:r>
      <w:r w:rsidR="000D2A9F">
        <w:t xml:space="preserve"> challenges </w:t>
      </w:r>
      <w:r w:rsidR="00245CDB">
        <w:t xml:space="preserve">that </w:t>
      </w:r>
      <w:r w:rsidR="002C3775">
        <w:t>confront</w:t>
      </w:r>
      <w:r w:rsidR="00245CDB">
        <w:t xml:space="preserve"> the people and towns of regional </w:t>
      </w:r>
      <w:r w:rsidR="0091215A">
        <w:t>New South Wales</w:t>
      </w:r>
      <w:r w:rsidR="00245CDB">
        <w:t xml:space="preserve">, including drought, bushfires, </w:t>
      </w:r>
      <w:proofErr w:type="gramStart"/>
      <w:r w:rsidR="00245CDB">
        <w:t>floods</w:t>
      </w:r>
      <w:proofErr w:type="gramEnd"/>
      <w:r w:rsidR="00245CDB">
        <w:t xml:space="preserve"> and the COVID-19 pandemic.</w:t>
      </w:r>
      <w:r w:rsidR="008C1526">
        <w:t xml:space="preserve"> </w:t>
      </w:r>
      <w:r w:rsidR="001A1885" w:rsidRPr="00C15E70">
        <w:t>S</w:t>
      </w:r>
      <w:r w:rsidR="00A51F59" w:rsidRPr="00C15E70">
        <w:t xml:space="preserve">ignificant regional </w:t>
      </w:r>
      <w:r w:rsidR="00101B65" w:rsidRPr="00C15E70">
        <w:t>projects include</w:t>
      </w:r>
      <w:r w:rsidR="00CC6CE0">
        <w:t>:</w:t>
      </w:r>
    </w:p>
    <w:p w14:paraId="29392169" w14:textId="32F07F89" w:rsidR="00E20E7E" w:rsidRDefault="0010771C" w:rsidP="00513502">
      <w:pPr>
        <w:pStyle w:val="Bullet1"/>
      </w:pPr>
      <w:r>
        <w:t xml:space="preserve">the </w:t>
      </w:r>
      <w:r w:rsidR="00EE2469">
        <w:t>Coffs Harbour Bypass</w:t>
      </w:r>
      <w:r>
        <w:t xml:space="preserve">: </w:t>
      </w:r>
      <w:r w:rsidR="00E9418C">
        <w:t>$1.</w:t>
      </w:r>
      <w:r w:rsidR="00A24E5C">
        <w:t>2</w:t>
      </w:r>
      <w:r w:rsidR="00E9418C">
        <w:t xml:space="preserve"> billion over the next four years to continue the joint State and Commonwealth funded </w:t>
      </w:r>
      <w:r w:rsidR="0046132D">
        <w:t xml:space="preserve">Coffs Harbour Bypass as part of the </w:t>
      </w:r>
      <w:r w:rsidR="00730C5A">
        <w:t>Pacific Highway Upgrade program</w:t>
      </w:r>
      <w:r w:rsidR="0046132D">
        <w:t xml:space="preserve"> to improve connectivity</w:t>
      </w:r>
      <w:r w:rsidR="00627C43">
        <w:t>, road transport efficiency and safety for local and interstate motorists</w:t>
      </w:r>
      <w:r w:rsidR="00203E25">
        <w:t xml:space="preserve"> </w:t>
      </w:r>
    </w:p>
    <w:p w14:paraId="4F597386" w14:textId="0E236FD4" w:rsidR="00712A13" w:rsidRDefault="00712A13" w:rsidP="00712A13">
      <w:pPr>
        <w:pStyle w:val="Bullet1"/>
      </w:pPr>
      <w:r>
        <w:t>the Goulburn Hospital Redevelopment: $165.0 million for the construction of a new four-storey clinical services building to integrate and consolidate most health services into one location, improving accessibility for the local community to a range of a health services</w:t>
      </w:r>
    </w:p>
    <w:p w14:paraId="5EEB0A2E" w14:textId="6459A5E3" w:rsidR="006730AE" w:rsidRDefault="00080D55" w:rsidP="00513502">
      <w:pPr>
        <w:pStyle w:val="Bullet1"/>
      </w:pPr>
      <w:r>
        <w:t xml:space="preserve">the </w:t>
      </w:r>
      <w:r w:rsidR="001A5922">
        <w:t>Wagga Wagga Special Activation Precinct</w:t>
      </w:r>
      <w:r w:rsidR="00D91677">
        <w:t>:</w:t>
      </w:r>
      <w:r w:rsidR="009730EA">
        <w:t xml:space="preserve"> </w:t>
      </w:r>
      <w:r w:rsidR="00D91677">
        <w:t xml:space="preserve">$150.6 million </w:t>
      </w:r>
      <w:r w:rsidR="00406DB5">
        <w:t xml:space="preserve">to develop a </w:t>
      </w:r>
      <w:r w:rsidR="008569BD">
        <w:t>4,500-hectare</w:t>
      </w:r>
      <w:r w:rsidR="00234AC4">
        <w:t xml:space="preserve"> precinct </w:t>
      </w:r>
      <w:r w:rsidR="008551AC">
        <w:t>supporting</w:t>
      </w:r>
      <w:r w:rsidR="0043039E">
        <w:t xml:space="preserve"> up to 6,000 </w:t>
      </w:r>
      <w:r w:rsidR="007A456A">
        <w:t>jobs</w:t>
      </w:r>
      <w:r w:rsidR="00B662B8">
        <w:t xml:space="preserve"> across a range of </w:t>
      </w:r>
      <w:r w:rsidR="00D750D1">
        <w:t>industries including renewables, recycling, advance</w:t>
      </w:r>
      <w:r w:rsidR="004A730F">
        <w:t>d</w:t>
      </w:r>
      <w:r w:rsidR="00D750D1">
        <w:t xml:space="preserve"> manufacturing</w:t>
      </w:r>
      <w:r w:rsidR="00915DB8">
        <w:t xml:space="preserve">, value-added agriculture and freight and logistics </w:t>
      </w:r>
    </w:p>
    <w:p w14:paraId="61EDFCFE" w14:textId="32E5421D" w:rsidR="00712A13" w:rsidRDefault="00712A13" w:rsidP="00712A13">
      <w:pPr>
        <w:pStyle w:val="Bullet1"/>
      </w:pPr>
      <w:r>
        <w:t>Showcasing our National Parks: $80.4 million over three years for signature walking experiences, including the Great Southern Walk in the Illawarra, with a range of dedicated accommodation options, making natural and cultural heritage assets in NSW national parks a must-see destination for local national and international visitors</w:t>
      </w:r>
    </w:p>
    <w:p w14:paraId="1102A543" w14:textId="65073E4D" w:rsidR="00710B7E" w:rsidRDefault="004E212E" w:rsidP="00513502">
      <w:pPr>
        <w:pStyle w:val="Bullet1"/>
      </w:pPr>
      <w:r>
        <w:t xml:space="preserve">the Moree Hospital </w:t>
      </w:r>
      <w:r w:rsidR="00406DB5">
        <w:t>Redevelopment</w:t>
      </w:r>
      <w:r w:rsidR="001F54BE">
        <w:t xml:space="preserve">: </w:t>
      </w:r>
      <w:r w:rsidR="00406DB5">
        <w:t xml:space="preserve">$80.0 million for the construction </w:t>
      </w:r>
      <w:r w:rsidR="00447B39">
        <w:t>of a culturally welcoming, contemporary health facility</w:t>
      </w:r>
      <w:r w:rsidR="003A6449">
        <w:t xml:space="preserve"> that will deliver better health outcomes</w:t>
      </w:r>
      <w:r w:rsidR="00240CF5">
        <w:t xml:space="preserve"> for the Northern Tablelands community </w:t>
      </w:r>
    </w:p>
    <w:p w14:paraId="4AE2608C" w14:textId="785A0AFC" w:rsidR="00D02AB0" w:rsidRDefault="00D02AB0" w:rsidP="00513502">
      <w:pPr>
        <w:pStyle w:val="Bullet1"/>
      </w:pPr>
      <w:r>
        <w:t xml:space="preserve">Goulburn Police Academy </w:t>
      </w:r>
      <w:r w:rsidR="003D0DCC">
        <w:t>upgrade</w:t>
      </w:r>
      <w:r>
        <w:t xml:space="preserve">: $60.0 million to </w:t>
      </w:r>
      <w:r w:rsidR="00790E57">
        <w:t xml:space="preserve">upgrade the Goulburn Police Academy to incorporate contemporary technology and training facilities and </w:t>
      </w:r>
      <w:r w:rsidR="00601D26">
        <w:t>refurbish</w:t>
      </w:r>
      <w:r w:rsidR="00790E57">
        <w:t xml:space="preserve"> student accommodation and classrooms</w:t>
      </w:r>
    </w:p>
    <w:p w14:paraId="316462AE" w14:textId="3447B76D" w:rsidR="00712A13" w:rsidRDefault="00712A13" w:rsidP="00712A13">
      <w:pPr>
        <w:pStyle w:val="Bullet1"/>
      </w:pPr>
      <w:r w:rsidRPr="00AE5CAE">
        <w:t>new investment in regional schools including Wee Waa High School Upgrade and Yanco Agricultural High School Upgrade, and a continued investment in the Murwillumbah Education Campus</w:t>
      </w:r>
      <w:r>
        <w:t>.</w:t>
      </w:r>
    </w:p>
    <w:p w14:paraId="0039EC5A" w14:textId="6663FB71" w:rsidR="009545BA" w:rsidRDefault="00461D80" w:rsidP="003A0B06">
      <w:pPr>
        <w:pStyle w:val="BodyText"/>
      </w:pPr>
      <w:r>
        <w:t>T</w:t>
      </w:r>
      <w:r w:rsidR="008E7393" w:rsidRPr="007164BB">
        <w:t>he Government has also</w:t>
      </w:r>
      <w:r w:rsidR="00E26916">
        <w:t xml:space="preserve"> </w:t>
      </w:r>
      <w:r w:rsidR="008E7393" w:rsidRPr="007164BB">
        <w:t>commit</w:t>
      </w:r>
      <w:r w:rsidR="00EE37CA">
        <w:t>ted</w:t>
      </w:r>
      <w:r w:rsidR="008E7393" w:rsidRPr="007164BB">
        <w:t xml:space="preserve"> to invest 30 per cent of the $</w:t>
      </w:r>
      <w:r w:rsidR="009440CB">
        <w:t>37.4</w:t>
      </w:r>
      <w:r w:rsidR="008E7393" w:rsidRPr="007164BB">
        <w:t xml:space="preserve"> billion Restart NSW Fund (</w:t>
      </w:r>
      <w:r w:rsidR="004855F6">
        <w:t>forecast</w:t>
      </w:r>
      <w:r w:rsidR="0005794D">
        <w:t xml:space="preserve"> </w:t>
      </w:r>
      <w:r w:rsidR="008E7393" w:rsidRPr="007164BB">
        <w:t xml:space="preserve">as at </w:t>
      </w:r>
      <w:r w:rsidR="004855F6">
        <w:t>30 June 2021</w:t>
      </w:r>
      <w:r w:rsidR="008E7393" w:rsidRPr="007164BB">
        <w:t xml:space="preserve">) </w:t>
      </w:r>
      <w:r w:rsidR="00E138A8">
        <w:t>i</w:t>
      </w:r>
      <w:r w:rsidR="008E7393" w:rsidRPr="007164BB">
        <w:t xml:space="preserve">n regional infrastructure over the life of the fund. This is in addition to the $4.2 billion from the Snowy Hydro Legacy Fund </w:t>
      </w:r>
      <w:r w:rsidR="00DF61D6">
        <w:t>which</w:t>
      </w:r>
      <w:r w:rsidR="008E7393" w:rsidRPr="007164BB">
        <w:t xml:space="preserve"> is delivering major transformative infrastructure projects across regional New South Wales.</w:t>
      </w:r>
      <w:bookmarkEnd w:id="2"/>
      <w:bookmarkEnd w:id="3"/>
      <w:r w:rsidR="00B665FA">
        <w:t xml:space="preserve"> </w:t>
      </w:r>
      <w:r w:rsidR="00515C26" w:rsidRPr="0005077A">
        <w:t>For more information see the</w:t>
      </w:r>
      <w:r w:rsidR="00BF62B7" w:rsidRPr="0005077A">
        <w:t xml:space="preserve"> </w:t>
      </w:r>
      <w:r w:rsidR="00BF62B7" w:rsidRPr="0005077A">
        <w:rPr>
          <w:i/>
        </w:rPr>
        <w:t>Regional NSW</w:t>
      </w:r>
      <w:r w:rsidR="00515C26" w:rsidRPr="0005077A">
        <w:t xml:space="preserve"> </w:t>
      </w:r>
      <w:r w:rsidR="00BF62B7" w:rsidRPr="0005077A">
        <w:t>budget publication.</w:t>
      </w:r>
      <w:r w:rsidR="00BF62B7">
        <w:rPr>
          <w:i/>
        </w:rPr>
        <w:t xml:space="preserve"> </w:t>
      </w:r>
      <w:r w:rsidR="009545BA">
        <w:br w:type="page"/>
      </w:r>
    </w:p>
    <w:p w14:paraId="04E8A859" w14:textId="4FA875DC" w:rsidR="007E0DEA" w:rsidRPr="00A97C9E" w:rsidRDefault="00376636" w:rsidP="007C03A6">
      <w:pPr>
        <w:pStyle w:val="Heading2"/>
      </w:pPr>
      <w:r>
        <w:t xml:space="preserve">Infrastructure </w:t>
      </w:r>
      <w:r w:rsidR="003C18CD">
        <w:t>supporting the economy</w:t>
      </w:r>
      <w:r>
        <w:t xml:space="preserve"> </w:t>
      </w:r>
      <w:r w:rsidR="00254E8F">
        <w:t>and productivity</w:t>
      </w:r>
      <w:r>
        <w:t xml:space="preserve"> </w:t>
      </w:r>
    </w:p>
    <w:p w14:paraId="0F609954" w14:textId="1CCBE418" w:rsidR="006210B2" w:rsidRDefault="00A4516F" w:rsidP="00A722F2">
      <w:pPr>
        <w:pStyle w:val="BodyText"/>
      </w:pPr>
      <w:r>
        <w:t xml:space="preserve">The Government is delivering a record infrastructure pipeline </w:t>
      </w:r>
      <w:r w:rsidR="0025447E">
        <w:t>to support</w:t>
      </w:r>
      <w:r w:rsidR="00F93CB0">
        <w:t xml:space="preserve"> </w:t>
      </w:r>
      <w:r w:rsidR="000801D5">
        <w:t>the</w:t>
      </w:r>
      <w:r w:rsidR="00004B0C">
        <w:t xml:space="preserve"> </w:t>
      </w:r>
      <w:r w:rsidR="00F93CB0">
        <w:t xml:space="preserve">economic recovery </w:t>
      </w:r>
      <w:r w:rsidR="000A016B">
        <w:t>following</w:t>
      </w:r>
      <w:r w:rsidR="00F93CB0">
        <w:t xml:space="preserve"> the COVID-19 pandemic</w:t>
      </w:r>
      <w:r w:rsidR="00BA71C2">
        <w:t>,</w:t>
      </w:r>
      <w:r w:rsidR="00F93CB0">
        <w:t xml:space="preserve"> while also building </w:t>
      </w:r>
      <w:r w:rsidR="00765484">
        <w:t>the New South Wales of tomorrow</w:t>
      </w:r>
      <w:r w:rsidR="000306AA">
        <w:t xml:space="preserve"> where </w:t>
      </w:r>
      <w:r w:rsidR="00D318FC">
        <w:t>residents</w:t>
      </w:r>
      <w:r w:rsidR="000306AA">
        <w:t xml:space="preserve"> can </w:t>
      </w:r>
      <w:r w:rsidR="00C562EA">
        <w:t>continue to enjoy world-class service delivery</w:t>
      </w:r>
      <w:r w:rsidR="00765484">
        <w:t xml:space="preserve">. </w:t>
      </w:r>
    </w:p>
    <w:p w14:paraId="468F8EFE" w14:textId="27E71314" w:rsidR="00BA5CE1" w:rsidRDefault="00D31DCB" w:rsidP="00A722F2">
      <w:pPr>
        <w:pStyle w:val="BodyText"/>
      </w:pPr>
      <w:r>
        <w:t>Consecutive</w:t>
      </w:r>
      <w:r w:rsidR="00E2578C">
        <w:t xml:space="preserve"> years of record investment</w:t>
      </w:r>
      <w:r w:rsidR="00457CEE">
        <w:t xml:space="preserve"> and strong strategic planning</w:t>
      </w:r>
      <w:r>
        <w:t xml:space="preserve"> </w:t>
      </w:r>
      <w:r w:rsidR="00C02057">
        <w:t>means</w:t>
      </w:r>
      <w:r w:rsidR="00101143">
        <w:t xml:space="preserve"> that the Government is uniquely placed to accelerate infrastructure projects </w:t>
      </w:r>
      <w:r w:rsidR="006210B2">
        <w:t xml:space="preserve">and support jobs </w:t>
      </w:r>
      <w:r w:rsidR="009476C3">
        <w:t xml:space="preserve">(see </w:t>
      </w:r>
      <w:r w:rsidR="00CD5431">
        <w:br/>
      </w:r>
      <w:r w:rsidR="00E10E84">
        <w:t>Box 1.3</w:t>
      </w:r>
      <w:r w:rsidR="009476C3">
        <w:t>.)</w:t>
      </w:r>
    </w:p>
    <w:p w14:paraId="66D3A6A1" w14:textId="77777777" w:rsidR="003A0B06" w:rsidRPr="00A722F2" w:rsidRDefault="003A0B06" w:rsidP="003A0B06"/>
    <w:tbl>
      <w:tblPr>
        <w:tblW w:w="0" w:type="auto"/>
        <w:shd w:val="clear" w:color="auto" w:fill="F2F2F2" w:themeFill="background1" w:themeFillShade="F2"/>
        <w:tblCellMar>
          <w:left w:w="0" w:type="dxa"/>
          <w:right w:w="0" w:type="dxa"/>
        </w:tblCellMar>
        <w:tblLook w:val="04A0" w:firstRow="1" w:lastRow="0" w:firstColumn="1" w:lastColumn="0" w:noHBand="0" w:noVBand="1"/>
        <w:tblCaption w:val="Box 1.3: Infrastructure supporting the economic recovery"/>
        <w:tblDescription w:val="Box 1.3: Infrastructure supporting the economic recovery"/>
      </w:tblPr>
      <w:tblGrid>
        <w:gridCol w:w="9639"/>
      </w:tblGrid>
      <w:tr w:rsidR="005E62BE" w:rsidRPr="00A1397D" w14:paraId="3BE8FAE1" w14:textId="77777777" w:rsidTr="00EC0241">
        <w:trPr>
          <w:trHeight w:val="10797"/>
        </w:trPr>
        <w:tc>
          <w:tcPr>
            <w:tcW w:w="9639" w:type="dxa"/>
            <w:shd w:val="clear" w:color="auto" w:fill="F2F2F2" w:themeFill="background1" w:themeFillShade="F2"/>
            <w:tcMar>
              <w:top w:w="0" w:type="dxa"/>
              <w:left w:w="108" w:type="dxa"/>
              <w:bottom w:w="0" w:type="dxa"/>
              <w:right w:w="108" w:type="dxa"/>
            </w:tcMar>
          </w:tcPr>
          <w:p w14:paraId="184B90DA" w14:textId="4DA28C49" w:rsidR="00630EEB" w:rsidRPr="00630EEB" w:rsidRDefault="00E313C1" w:rsidP="003A0B06">
            <w:pPr>
              <w:pStyle w:val="Box11BoxHeading"/>
              <w:rPr>
                <w:rFonts w:eastAsia="Arial Bold"/>
              </w:rPr>
            </w:pPr>
            <w:bookmarkStart w:id="5" w:name="_Hlk55491206"/>
            <w:r>
              <w:t xml:space="preserve">Infrastructure </w:t>
            </w:r>
            <w:r w:rsidRPr="003A0B06">
              <w:t>supporting</w:t>
            </w:r>
            <w:r>
              <w:t xml:space="preserve"> the economic recovery</w:t>
            </w:r>
            <w:bookmarkEnd w:id="5"/>
          </w:p>
          <w:p w14:paraId="24C35405" w14:textId="457BB3D7" w:rsidR="00630EEB" w:rsidRPr="006652A4" w:rsidRDefault="00630EEB" w:rsidP="003A0B06">
            <w:pPr>
              <w:pStyle w:val="BodyTextBox"/>
              <w:framePr w:wrap="around"/>
            </w:pPr>
            <w:r w:rsidRPr="006652A4">
              <w:t xml:space="preserve">The Government’s </w:t>
            </w:r>
            <w:r w:rsidR="001D08E8" w:rsidRPr="006652A4">
              <w:t>infrastructure pipeline</w:t>
            </w:r>
            <w:r w:rsidRPr="006652A4">
              <w:t xml:space="preserve"> </w:t>
            </w:r>
            <w:r w:rsidR="006652A4" w:rsidRPr="006652A4">
              <w:t xml:space="preserve">is </w:t>
            </w:r>
            <w:r w:rsidR="005A24E2">
              <w:t>supporting</w:t>
            </w:r>
            <w:r w:rsidR="006652A4" w:rsidRPr="006652A4">
              <w:t xml:space="preserve"> much needed jobs</w:t>
            </w:r>
            <w:r w:rsidRPr="006652A4">
              <w:t xml:space="preserve"> across regional and metropolitan New South Wales.</w:t>
            </w:r>
          </w:p>
          <w:p w14:paraId="747AF9E9" w14:textId="55E84D04" w:rsidR="00630EEB" w:rsidRPr="006652A4" w:rsidRDefault="00630EEB" w:rsidP="00EC0241">
            <w:pPr>
              <w:pStyle w:val="BodyTextBox"/>
              <w:framePr w:wrap="around"/>
            </w:pPr>
            <w:r w:rsidRPr="006652A4">
              <w:t xml:space="preserve">As well as making the State more liveable and its people more productive in the medium- and long-term, investing in infrastructure </w:t>
            </w:r>
            <w:r w:rsidR="004A7F10">
              <w:t>supports</w:t>
            </w:r>
            <w:r w:rsidRPr="006652A4">
              <w:t xml:space="preserve"> jobs in many trades and locations. Infrastructure projects also support indirect jobs across the full spectrum of industries required to </w:t>
            </w:r>
            <w:r w:rsidR="00AA09D1">
              <w:t>assist</w:t>
            </w:r>
            <w:r w:rsidR="00AA09D1" w:rsidRPr="006652A4">
              <w:t xml:space="preserve"> </w:t>
            </w:r>
            <w:r w:rsidRPr="006652A4">
              <w:t>the construction supply chain.</w:t>
            </w:r>
          </w:p>
          <w:p w14:paraId="2CD26565" w14:textId="6055444E" w:rsidR="00630EEB" w:rsidRPr="006652A4" w:rsidRDefault="00630EEB" w:rsidP="00EC0241">
            <w:pPr>
              <w:pStyle w:val="BodyTextBox"/>
              <w:framePr w:wrap="around"/>
            </w:pPr>
            <w:r w:rsidRPr="006652A4">
              <w:t xml:space="preserve">The </w:t>
            </w:r>
            <w:r w:rsidR="009A2066">
              <w:t>scale of the</w:t>
            </w:r>
            <w:r w:rsidRPr="006652A4">
              <w:t xml:space="preserve"> Government’s infrastructure </w:t>
            </w:r>
            <w:r w:rsidR="00D8200C">
              <w:t>investment</w:t>
            </w:r>
            <w:r w:rsidRPr="006652A4">
              <w:t xml:space="preserve"> </w:t>
            </w:r>
            <w:r w:rsidR="009A2066">
              <w:t>is unprecedented</w:t>
            </w:r>
            <w:r>
              <w:t xml:space="preserve"> and </w:t>
            </w:r>
            <w:r w:rsidR="00FB223F">
              <w:t>is supporting tens</w:t>
            </w:r>
            <w:r>
              <w:t xml:space="preserve"> of </w:t>
            </w:r>
            <w:r w:rsidR="00FB223F">
              <w:t>thousands of jobs each year</w:t>
            </w:r>
            <w:r w:rsidR="00D8200C">
              <w:t>.</w:t>
            </w:r>
            <w:r w:rsidRPr="006652A4">
              <w:t xml:space="preserve"> </w:t>
            </w:r>
            <w:r w:rsidR="00D8200C">
              <w:t>Th</w:t>
            </w:r>
            <w:r w:rsidR="00113DE0">
              <w:t>e</w:t>
            </w:r>
            <w:r w:rsidR="00F60420" w:rsidRPr="00F60420">
              <w:t xml:space="preserve"> </w:t>
            </w:r>
            <w:r w:rsidR="00F60420" w:rsidRPr="001F5B7D">
              <w:t>$</w:t>
            </w:r>
            <w:r w:rsidR="00113DE0" w:rsidRPr="001F5B7D">
              <w:t>108.5</w:t>
            </w:r>
            <w:r w:rsidR="00113DE0">
              <w:t xml:space="preserve"> billion</w:t>
            </w:r>
            <w:r w:rsidR="00F60420" w:rsidRPr="00F60420">
              <w:t xml:space="preserve"> </w:t>
            </w:r>
            <w:r w:rsidR="00E4659E">
              <w:t xml:space="preserve">infrastructure </w:t>
            </w:r>
            <w:r w:rsidR="00F60420" w:rsidRPr="00F60420">
              <w:t xml:space="preserve">program </w:t>
            </w:r>
            <w:r w:rsidR="00FB223F">
              <w:t>also</w:t>
            </w:r>
            <w:r w:rsidR="00F60420" w:rsidRPr="00F60420">
              <w:t xml:space="preserve"> </w:t>
            </w:r>
            <w:r w:rsidR="00113DE0">
              <w:t>underpin</w:t>
            </w:r>
            <w:r w:rsidR="00D8200C">
              <w:t>s</w:t>
            </w:r>
            <w:r w:rsidR="00F60420" w:rsidRPr="00F60420">
              <w:t xml:space="preserve"> a lift in state </w:t>
            </w:r>
            <w:r w:rsidR="00AA09D1">
              <w:t>and</w:t>
            </w:r>
            <w:r w:rsidR="00F60420" w:rsidRPr="00F60420">
              <w:t xml:space="preserve"> local</w:t>
            </w:r>
            <w:r w:rsidRPr="00F60420">
              <w:t xml:space="preserve"> public investment </w:t>
            </w:r>
            <w:r w:rsidR="00F60420" w:rsidRPr="00F60420">
              <w:t xml:space="preserve">which </w:t>
            </w:r>
            <w:r w:rsidRPr="00F60420">
              <w:t xml:space="preserve">is expected to contribute </w:t>
            </w:r>
            <w:r w:rsidR="00113DE0">
              <w:t>½</w:t>
            </w:r>
            <w:r>
              <w:t xml:space="preserve"> </w:t>
            </w:r>
            <w:r w:rsidR="001F147E">
              <w:t xml:space="preserve">a </w:t>
            </w:r>
            <w:r w:rsidRPr="00F60420">
              <w:t xml:space="preserve">percentage point to economic growth </w:t>
            </w:r>
            <w:r w:rsidR="001F147E">
              <w:t>in</w:t>
            </w:r>
            <w:r w:rsidR="00F60420" w:rsidRPr="00F60420">
              <w:t xml:space="preserve"> 2021-22</w:t>
            </w:r>
            <w:r w:rsidRPr="00F60420">
              <w:t>.</w:t>
            </w:r>
          </w:p>
          <w:p w14:paraId="1E889003" w14:textId="1628B6B8" w:rsidR="00630EEB" w:rsidRDefault="00630EEB" w:rsidP="00EC0241">
            <w:pPr>
              <w:pStyle w:val="BodyTextBox"/>
              <w:framePr w:wrap="around"/>
            </w:pPr>
            <w:r w:rsidRPr="006652A4">
              <w:t>The Government has announced a suite of job-</w:t>
            </w:r>
            <w:r w:rsidRPr="00EC0241">
              <w:t>supporting</w:t>
            </w:r>
            <w:r w:rsidRPr="006652A4">
              <w:t xml:space="preserve"> infrastructure initiatives, including:</w:t>
            </w:r>
          </w:p>
          <w:p w14:paraId="6E6CE1DA" w14:textId="4BCD7198" w:rsidR="00A56D71" w:rsidRDefault="00DF4C50" w:rsidP="00513502">
            <w:pPr>
              <w:pStyle w:val="Bullet1inabox"/>
              <w:numPr>
                <w:ilvl w:val="0"/>
                <w:numId w:val="140"/>
              </w:numPr>
            </w:pPr>
            <w:r>
              <w:t>the new Bradfield City Centre</w:t>
            </w:r>
            <w:r w:rsidR="00E26E7C">
              <w:t xml:space="preserve"> </w:t>
            </w:r>
            <w:r w:rsidR="00CA473A">
              <w:t xml:space="preserve">will </w:t>
            </w:r>
            <w:r w:rsidR="00D46589">
              <w:t xml:space="preserve">be </w:t>
            </w:r>
            <w:r w:rsidR="009B468D">
              <w:t xml:space="preserve">a </w:t>
            </w:r>
            <w:r w:rsidR="00D46589">
              <w:t xml:space="preserve">key </w:t>
            </w:r>
            <w:r w:rsidR="009B468D">
              <w:t xml:space="preserve">driver </w:t>
            </w:r>
            <w:r w:rsidR="00D46589">
              <w:t>of economic growth</w:t>
            </w:r>
            <w:r w:rsidR="008A1604">
              <w:t xml:space="preserve"> and support</w:t>
            </w:r>
            <w:r w:rsidR="00D46589">
              <w:t xml:space="preserve"> up</w:t>
            </w:r>
            <w:r w:rsidR="00B01508">
              <w:t xml:space="preserve"> to</w:t>
            </w:r>
            <w:r w:rsidR="00D46589">
              <w:t xml:space="preserve"> 200,000 jobs</w:t>
            </w:r>
            <w:r w:rsidR="00541309">
              <w:t xml:space="preserve"> across the Western Parkland City</w:t>
            </w:r>
            <w:r w:rsidR="00D46589">
              <w:t xml:space="preserve">  </w:t>
            </w:r>
          </w:p>
          <w:p w14:paraId="73BBC146" w14:textId="418A1AB5" w:rsidR="00873168" w:rsidRDefault="00873168" w:rsidP="00513502">
            <w:pPr>
              <w:pStyle w:val="Bullet1inabox"/>
              <w:numPr>
                <w:ilvl w:val="0"/>
                <w:numId w:val="140"/>
              </w:numPr>
            </w:pPr>
            <w:r>
              <w:t>the Jobs and Infrastructure Accelerated Fund</w:t>
            </w:r>
            <w:r w:rsidR="00CA5B0A">
              <w:t xml:space="preserve"> has invested </w:t>
            </w:r>
            <w:r w:rsidR="00BC3657">
              <w:t xml:space="preserve">$3.0 billion </w:t>
            </w:r>
            <w:r w:rsidR="000C0776">
              <w:t xml:space="preserve">to accelerate </w:t>
            </w:r>
            <w:r w:rsidR="00E717E0">
              <w:t xml:space="preserve">over 100 </w:t>
            </w:r>
            <w:r w:rsidR="00757DA1">
              <w:t xml:space="preserve">new and existing projects </w:t>
            </w:r>
            <w:r w:rsidR="00675849">
              <w:t xml:space="preserve">and </w:t>
            </w:r>
            <w:r w:rsidR="00757DA1">
              <w:t>support up to 20,000</w:t>
            </w:r>
            <w:r w:rsidR="00675849">
              <w:t xml:space="preserve"> direct and indirect jobs across</w:t>
            </w:r>
            <w:r w:rsidR="00E717E0">
              <w:t xml:space="preserve"> the State </w:t>
            </w:r>
            <w:r w:rsidR="00675849">
              <w:t xml:space="preserve"> </w:t>
            </w:r>
            <w:r w:rsidR="00757DA1">
              <w:t xml:space="preserve"> </w:t>
            </w:r>
            <w:r w:rsidR="00BC3657">
              <w:t xml:space="preserve"> </w:t>
            </w:r>
          </w:p>
          <w:p w14:paraId="717F4F2D" w14:textId="37901FC8" w:rsidR="00FD3741" w:rsidRDefault="00FD3741" w:rsidP="00513502">
            <w:pPr>
              <w:pStyle w:val="Bullet1inabox"/>
              <w:numPr>
                <w:ilvl w:val="0"/>
                <w:numId w:val="140"/>
              </w:numPr>
            </w:pPr>
            <w:r>
              <w:t>the Parkes Special Activation Precinct</w:t>
            </w:r>
            <w:r w:rsidR="00D01950">
              <w:t xml:space="preserve"> </w:t>
            </w:r>
            <w:r w:rsidR="009C1348">
              <w:t>cover</w:t>
            </w:r>
            <w:r w:rsidR="00DE3861">
              <w:t>s</w:t>
            </w:r>
            <w:r w:rsidR="009C1348">
              <w:t xml:space="preserve"> 4,800 hectares</w:t>
            </w:r>
            <w:r w:rsidR="00367B48">
              <w:t xml:space="preserve"> and</w:t>
            </w:r>
            <w:r w:rsidR="006D6223">
              <w:t xml:space="preserve"> </w:t>
            </w:r>
            <w:r w:rsidR="00E42DF6">
              <w:t xml:space="preserve">will </w:t>
            </w:r>
            <w:r w:rsidR="006D6223">
              <w:t>promote Parkes</w:t>
            </w:r>
            <w:r w:rsidR="00713FD2">
              <w:t xml:space="preserve"> as a major inland freight and logistics hub</w:t>
            </w:r>
            <w:r w:rsidR="00367B48">
              <w:t xml:space="preserve"> </w:t>
            </w:r>
            <w:r w:rsidR="00713FD2">
              <w:t>while</w:t>
            </w:r>
            <w:r w:rsidR="007437D8">
              <w:t xml:space="preserve"> support</w:t>
            </w:r>
            <w:r w:rsidR="00713FD2">
              <w:t>ing</w:t>
            </w:r>
            <w:r w:rsidR="007437D8">
              <w:t xml:space="preserve"> up to 3,000 jobs across a range of industries including freight and logistics, resource recovery, value-added </w:t>
            </w:r>
            <w:proofErr w:type="gramStart"/>
            <w:r w:rsidR="007437D8">
              <w:t>agriculture</w:t>
            </w:r>
            <w:proofErr w:type="gramEnd"/>
            <w:r w:rsidR="007437D8">
              <w:t xml:space="preserve"> and renewable energy</w:t>
            </w:r>
            <w:r>
              <w:t xml:space="preserve"> </w:t>
            </w:r>
          </w:p>
          <w:p w14:paraId="747766C5" w14:textId="2F2003E3" w:rsidR="003D7124" w:rsidRDefault="002260A3" w:rsidP="00513502">
            <w:pPr>
              <w:pStyle w:val="Bullet1inabox"/>
              <w:numPr>
                <w:ilvl w:val="0"/>
                <w:numId w:val="140"/>
              </w:numPr>
            </w:pPr>
            <w:r>
              <w:t xml:space="preserve">the M6 </w:t>
            </w:r>
            <w:r w:rsidR="008A1604">
              <w:t xml:space="preserve">Extension </w:t>
            </w:r>
            <w:r>
              <w:t xml:space="preserve">Stage 1 </w:t>
            </w:r>
            <w:r w:rsidR="00E42DF6">
              <w:t>will</w:t>
            </w:r>
            <w:r w:rsidR="00DE3861">
              <w:t xml:space="preserve"> </w:t>
            </w:r>
            <w:r w:rsidR="003B2B6C">
              <w:t xml:space="preserve">connect President Avenue at Kogarah with the WestConnex M8 at Arncliffe via </w:t>
            </w:r>
            <w:r w:rsidR="006C32FF">
              <w:t xml:space="preserve">twin </w:t>
            </w:r>
            <w:r w:rsidR="00B2558F">
              <w:t>four-kilometre</w:t>
            </w:r>
            <w:r w:rsidR="006C32FF">
              <w:t xml:space="preserve"> tunnels</w:t>
            </w:r>
            <w:r w:rsidR="001E31F5">
              <w:t xml:space="preserve">, </w:t>
            </w:r>
            <w:r w:rsidR="00D01950">
              <w:t xml:space="preserve">supporting </w:t>
            </w:r>
            <w:r w:rsidR="00B2558F">
              <w:t>more than 5,000 jobs, with</w:t>
            </w:r>
            <w:r w:rsidR="007752E1">
              <w:t xml:space="preserve"> construction expected to start in early 2022</w:t>
            </w:r>
          </w:p>
          <w:p w14:paraId="0C918E3C" w14:textId="252294C3" w:rsidR="007A57FD" w:rsidRDefault="007A57FD" w:rsidP="00513502">
            <w:pPr>
              <w:pStyle w:val="Bullet1inabox"/>
              <w:numPr>
                <w:ilvl w:val="0"/>
                <w:numId w:val="140"/>
              </w:numPr>
            </w:pPr>
            <w:r>
              <w:t xml:space="preserve">the </w:t>
            </w:r>
            <w:r w:rsidR="00261164">
              <w:t>c</w:t>
            </w:r>
            <w:r>
              <w:t xml:space="preserve">ity </w:t>
            </w:r>
            <w:r w:rsidR="00261164">
              <w:t>s</w:t>
            </w:r>
            <w:r>
              <w:t>haping Sydney Metro West project will</w:t>
            </w:r>
            <w:r w:rsidR="003D5AD4">
              <w:t xml:space="preserve"> improve travel times for commuters from the western suburbs</w:t>
            </w:r>
            <w:r>
              <w:t xml:space="preserve"> while </w:t>
            </w:r>
            <w:r w:rsidR="00D01950">
              <w:t xml:space="preserve">supporting </w:t>
            </w:r>
            <w:r>
              <w:t>10,000 direct and 70,000 indirect jobs</w:t>
            </w:r>
          </w:p>
          <w:p w14:paraId="39409F1B" w14:textId="77383F94" w:rsidR="00907CC8" w:rsidRDefault="00722C0D" w:rsidP="00513502">
            <w:pPr>
              <w:pStyle w:val="Bullet1inabox"/>
            </w:pPr>
            <w:r w:rsidRPr="00907CC8">
              <w:t xml:space="preserve">the Sydney </w:t>
            </w:r>
            <w:r w:rsidR="006F5AA1" w:rsidRPr="00907CC8">
              <w:t>Gateway motorway</w:t>
            </w:r>
            <w:r w:rsidR="000B634E">
              <w:t xml:space="preserve"> will</w:t>
            </w:r>
            <w:r w:rsidR="00FF50A5">
              <w:t xml:space="preserve"> </w:t>
            </w:r>
            <w:r w:rsidR="009C16BF" w:rsidRPr="00907CC8">
              <w:t xml:space="preserve">connect </w:t>
            </w:r>
            <w:r w:rsidR="00AB6FB9" w:rsidRPr="00907CC8">
              <w:t>the WestConnex St Peters Interchange to the Airport and Port Botany Precinct</w:t>
            </w:r>
            <w:r w:rsidR="000B634E">
              <w:t xml:space="preserve">, </w:t>
            </w:r>
            <w:r w:rsidR="00771E22" w:rsidRPr="00907CC8">
              <w:t>supporting 1</w:t>
            </w:r>
            <w:r w:rsidR="00B95FA8">
              <w:t>,</w:t>
            </w:r>
            <w:r w:rsidR="00771E22" w:rsidRPr="00907CC8">
              <w:t>000 direct and 3</w:t>
            </w:r>
            <w:r w:rsidR="00B95FA8">
              <w:t>,</w:t>
            </w:r>
            <w:r w:rsidR="00771E22" w:rsidRPr="00907CC8">
              <w:t>000 indirect jobs</w:t>
            </w:r>
          </w:p>
          <w:p w14:paraId="26DE5ED6" w14:textId="0B822929" w:rsidR="004E529C" w:rsidRPr="00907CC8" w:rsidRDefault="00BB4F30" w:rsidP="00513502">
            <w:pPr>
              <w:pStyle w:val="Bullet1inabox"/>
              <w:numPr>
                <w:ilvl w:val="0"/>
                <w:numId w:val="140"/>
              </w:numPr>
            </w:pPr>
            <w:r>
              <w:t xml:space="preserve">the Campbelltown </w:t>
            </w:r>
            <w:r w:rsidR="009E05DE">
              <w:t>Hospital Redevelopment Stage 2</w:t>
            </w:r>
            <w:r w:rsidR="00C72F20">
              <w:t xml:space="preserve"> </w:t>
            </w:r>
            <w:r w:rsidR="00D77B5B">
              <w:t xml:space="preserve">will </w:t>
            </w:r>
            <w:r w:rsidR="00730242">
              <w:t xml:space="preserve">deliver the expansion of key clinical and support services, </w:t>
            </w:r>
            <w:proofErr w:type="gramStart"/>
            <w:r w:rsidR="00730242">
              <w:t>inte</w:t>
            </w:r>
            <w:r w:rsidR="00625BC7">
              <w:t>grated</w:t>
            </w:r>
            <w:proofErr w:type="gramEnd"/>
            <w:r w:rsidR="00625BC7">
              <w:t xml:space="preserve"> and expanded mental health service and enhanced paediatric services for the Macarthur region</w:t>
            </w:r>
            <w:r w:rsidR="00B95FA8">
              <w:t>,</w:t>
            </w:r>
            <w:r w:rsidR="00625BC7">
              <w:t xml:space="preserve"> </w:t>
            </w:r>
            <w:r w:rsidR="003B37A7">
              <w:t xml:space="preserve">while supporting around 700 direct </w:t>
            </w:r>
            <w:r w:rsidR="00EC11C0">
              <w:t>jobs during construction</w:t>
            </w:r>
            <w:r w:rsidR="00873168">
              <w:t>.</w:t>
            </w:r>
          </w:p>
        </w:tc>
      </w:tr>
    </w:tbl>
    <w:p w14:paraId="2309FF91" w14:textId="77777777" w:rsidR="00DC0CBF" w:rsidRDefault="00DC0CBF" w:rsidP="00EC0241"/>
    <w:p w14:paraId="3B718F65" w14:textId="77777777" w:rsidR="00DC0CBF" w:rsidRDefault="00DC0CBF">
      <w:pPr>
        <w:rPr>
          <w:rFonts w:ascii="Arial" w:hAnsi="Arial" w:cs="Calibri"/>
          <w:sz w:val="23"/>
          <w:lang w:val="en-AU"/>
        </w:rPr>
      </w:pPr>
      <w:r>
        <w:br w:type="page"/>
      </w:r>
    </w:p>
    <w:p w14:paraId="75416F49" w14:textId="18356B27" w:rsidR="00332049" w:rsidRDefault="00804D20">
      <w:pPr>
        <w:pStyle w:val="BodyText"/>
      </w:pPr>
      <w:r>
        <w:t xml:space="preserve">Quality </w:t>
      </w:r>
      <w:r w:rsidR="00BF10C7">
        <w:t>infrastructure investment can raise productivity and provide multiple economic and social benefits</w:t>
      </w:r>
      <w:r w:rsidR="00287FD7">
        <w:t xml:space="preserve">. Examples of this include: </w:t>
      </w:r>
    </w:p>
    <w:p w14:paraId="5A0EC44C" w14:textId="3FD46CBE" w:rsidR="002E7B39" w:rsidRPr="00AB7446" w:rsidRDefault="004835BE" w:rsidP="00513502">
      <w:pPr>
        <w:pStyle w:val="Bullet1"/>
      </w:pPr>
      <w:r>
        <w:t>world class hospitals and schools</w:t>
      </w:r>
      <w:r w:rsidR="00F55013">
        <w:t xml:space="preserve"> to</w:t>
      </w:r>
      <w:r>
        <w:t xml:space="preserve"> </w:t>
      </w:r>
      <w:r w:rsidR="00C93832">
        <w:t xml:space="preserve">enable high quality health and education services that are the foundation of wellbeing </w:t>
      </w:r>
      <w:r w:rsidR="00C50DF5">
        <w:t xml:space="preserve">for the community </w:t>
      </w:r>
    </w:p>
    <w:p w14:paraId="4DE9E2E2" w14:textId="78FE0767" w:rsidR="0046341F" w:rsidRDefault="00AE7318" w:rsidP="00513502">
      <w:pPr>
        <w:pStyle w:val="Bullet1"/>
      </w:pPr>
      <w:r w:rsidRPr="00AB7446">
        <w:t>q</w:t>
      </w:r>
      <w:r w:rsidR="4BB5C99C" w:rsidRPr="00AB7446">
        <w:t xml:space="preserve">uality, smart infrastructure </w:t>
      </w:r>
      <w:r w:rsidR="00F55013">
        <w:t xml:space="preserve">to </w:t>
      </w:r>
      <w:r w:rsidR="4BB5C99C" w:rsidRPr="00AB7446">
        <w:t xml:space="preserve">enable businesses and employment precincts to thrive. The </w:t>
      </w:r>
      <w:r w:rsidR="00425261">
        <w:t>new Bradfield City Centre</w:t>
      </w:r>
      <w:r w:rsidR="4BB5C99C" w:rsidRPr="00AB7446">
        <w:t xml:space="preserve"> will provide a</w:t>
      </w:r>
      <w:r w:rsidR="0061239F">
        <w:t>n</w:t>
      </w:r>
      <w:r w:rsidR="4BB5C99C" w:rsidRPr="00AB7446">
        <w:t xml:space="preserve"> economic hub for businesses and jobs of the future</w:t>
      </w:r>
      <w:r w:rsidR="003919D4">
        <w:t>. It will</w:t>
      </w:r>
      <w:r w:rsidR="00F46730" w:rsidRPr="00AB7446">
        <w:t xml:space="preserve"> connect businesses </w:t>
      </w:r>
      <w:r w:rsidR="00F837D3">
        <w:t xml:space="preserve">to the world </w:t>
      </w:r>
      <w:r w:rsidR="00BE6F22">
        <w:t>through</w:t>
      </w:r>
      <w:r w:rsidR="00BE6F22" w:rsidRPr="00AB7446">
        <w:t xml:space="preserve"> </w:t>
      </w:r>
      <w:r w:rsidR="00F46730" w:rsidRPr="00AB7446">
        <w:t xml:space="preserve">the new </w:t>
      </w:r>
      <w:r w:rsidR="00A730FE">
        <w:t>Western Sydney International (Nancy-Bird Walton</w:t>
      </w:r>
      <w:r w:rsidR="008C1561">
        <w:t>)</w:t>
      </w:r>
      <w:r w:rsidR="00F72BF7">
        <w:t xml:space="preserve"> Airport</w:t>
      </w:r>
      <w:r w:rsidR="003919D4">
        <w:t>,</w:t>
      </w:r>
      <w:r w:rsidR="00F46730" w:rsidRPr="00AB7446">
        <w:t xml:space="preserve"> and </w:t>
      </w:r>
      <w:r w:rsidR="00C016B3" w:rsidRPr="00AB7446">
        <w:t xml:space="preserve">to the rest of Sydney </w:t>
      </w:r>
      <w:r w:rsidR="002901AD">
        <w:t xml:space="preserve">through </w:t>
      </w:r>
      <w:r w:rsidR="002A4C05">
        <w:br/>
      </w:r>
      <w:r w:rsidR="002901AD">
        <w:t>Sydney Metro</w:t>
      </w:r>
      <w:r w:rsidR="00C83337">
        <w:t xml:space="preserve"> - </w:t>
      </w:r>
      <w:r w:rsidR="002901AD">
        <w:t>Western Sydney Airport</w:t>
      </w:r>
      <w:r w:rsidR="007F7712">
        <w:t xml:space="preserve"> and the </w:t>
      </w:r>
      <w:r w:rsidR="00E36523">
        <w:t xml:space="preserve">M12 motorway </w:t>
      </w:r>
      <w:r w:rsidR="002901AD">
        <w:t xml:space="preserve"> </w:t>
      </w:r>
    </w:p>
    <w:p w14:paraId="20B1C6C7" w14:textId="446EF42D" w:rsidR="0046341F" w:rsidRDefault="005C0D49" w:rsidP="00513502">
      <w:pPr>
        <w:pStyle w:val="Bullet1"/>
      </w:pPr>
      <w:r>
        <w:t xml:space="preserve">Renewable Energy Zones (REZs) to </w:t>
      </w:r>
      <w:r w:rsidR="0046341F" w:rsidRPr="00AB7446">
        <w:t xml:space="preserve">support industry transition to a more sustainable future. The Government is establishing REZs in regional New South Wales to help replace the State’s existing power stations as they </w:t>
      </w:r>
      <w:r w:rsidR="007E62F5">
        <w:t>approach</w:t>
      </w:r>
      <w:r w:rsidR="0046341F" w:rsidRPr="00AB7446">
        <w:t xml:space="preserve"> their scheduled end of operational life. REZs will unlock a significant pipeline of large-scale </w:t>
      </w:r>
      <w:r w:rsidR="007E62F5">
        <w:t>generation</w:t>
      </w:r>
      <w:r w:rsidR="00BB4050">
        <w:t xml:space="preserve"> </w:t>
      </w:r>
      <w:r w:rsidR="0046341F" w:rsidRPr="00AB7446">
        <w:t xml:space="preserve">and storage projects </w:t>
      </w:r>
      <w:r w:rsidR="0046341F">
        <w:t>to provide more</w:t>
      </w:r>
      <w:r w:rsidR="0046341F" w:rsidRPr="00AB7446">
        <w:t xml:space="preserve"> reliable</w:t>
      </w:r>
      <w:r w:rsidR="00357A75">
        <w:t xml:space="preserve"> and </w:t>
      </w:r>
      <w:r w:rsidR="008420CE">
        <w:t xml:space="preserve">affordable </w:t>
      </w:r>
      <w:r w:rsidR="008420CE" w:rsidRPr="00AB7446">
        <w:t>energy</w:t>
      </w:r>
      <w:r w:rsidR="0046341F" w:rsidRPr="00AB7446">
        <w:t xml:space="preserve"> for households</w:t>
      </w:r>
      <w:r w:rsidR="008420CE">
        <w:t xml:space="preserve">, </w:t>
      </w:r>
      <w:r w:rsidR="0046341F" w:rsidRPr="00AB7446">
        <w:t>support emissions reduction through a cleaner energy sector</w:t>
      </w:r>
      <w:r w:rsidR="008420CE">
        <w:t xml:space="preserve"> and increase regional employment</w:t>
      </w:r>
    </w:p>
    <w:p w14:paraId="19751189" w14:textId="2AE66E0C" w:rsidR="002742E7" w:rsidRPr="00DB514A" w:rsidRDefault="002742E7" w:rsidP="00513502">
      <w:pPr>
        <w:pStyle w:val="Bullet1"/>
      </w:pPr>
      <w:r w:rsidRPr="006242A5">
        <w:t>digital infrastructure</w:t>
      </w:r>
      <w:r w:rsidR="00E249D7" w:rsidRPr="004835BE">
        <w:t xml:space="preserve"> </w:t>
      </w:r>
      <w:r w:rsidR="00F55013">
        <w:t xml:space="preserve">to </w:t>
      </w:r>
      <w:r w:rsidR="006242A5">
        <w:t xml:space="preserve">assist in planning </w:t>
      </w:r>
      <w:r w:rsidR="00CB084A">
        <w:t>by better visualising</w:t>
      </w:r>
      <w:r w:rsidR="00C57C0D">
        <w:t xml:space="preserve"> </w:t>
      </w:r>
      <w:r w:rsidR="002F175B">
        <w:t>future scenarios</w:t>
      </w:r>
      <w:r w:rsidR="006242A5">
        <w:t xml:space="preserve">. </w:t>
      </w:r>
      <w:r w:rsidR="003F25A3" w:rsidRPr="004835BE">
        <w:t>T</w:t>
      </w:r>
      <w:r w:rsidR="004B1BB3" w:rsidRPr="004835BE">
        <w:t>he</w:t>
      </w:r>
      <w:r w:rsidR="004B1BB3">
        <w:t xml:space="preserve"> </w:t>
      </w:r>
      <w:r w:rsidR="00A3459C">
        <w:t>NSW</w:t>
      </w:r>
      <w:r w:rsidR="004B1BB3">
        <w:t xml:space="preserve"> Spatial Digital Twin </w:t>
      </w:r>
      <w:r w:rsidR="006D7EC4">
        <w:t xml:space="preserve">is </w:t>
      </w:r>
      <w:r w:rsidR="005A0018">
        <w:t xml:space="preserve">creating a full three-dimensional model of the State’s physical environment </w:t>
      </w:r>
      <w:r w:rsidR="0004206A">
        <w:t xml:space="preserve">which </w:t>
      </w:r>
      <w:proofErr w:type="gramStart"/>
      <w:r w:rsidR="0004206A">
        <w:t>is</w:t>
      </w:r>
      <w:r w:rsidR="005A0018">
        <w:t xml:space="preserve"> capable of recording</w:t>
      </w:r>
      <w:proofErr w:type="gramEnd"/>
      <w:r w:rsidR="005A0018">
        <w:t xml:space="preserve"> past conditions and </w:t>
      </w:r>
      <w:r w:rsidR="00733ACF">
        <w:t>scoping</w:t>
      </w:r>
      <w:r w:rsidR="00B9740E">
        <w:t xml:space="preserve"> </w:t>
      </w:r>
      <w:r w:rsidR="005A0018">
        <w:t>future scenarios</w:t>
      </w:r>
      <w:r w:rsidR="00C01705" w:rsidRPr="0004068D">
        <w:t>.</w:t>
      </w:r>
      <w:r w:rsidR="00B71666" w:rsidRPr="0004068D">
        <w:t xml:space="preserve"> </w:t>
      </w:r>
      <w:r w:rsidR="00C01705" w:rsidRPr="0004068D">
        <w:t>These models will</w:t>
      </w:r>
      <w:r w:rsidR="003032F7">
        <w:t xml:space="preserve"> support</w:t>
      </w:r>
      <w:r w:rsidR="00C52BB9">
        <w:t xml:space="preserve"> infrastructure planning and delivery</w:t>
      </w:r>
      <w:r w:rsidR="00C81A17">
        <w:t>, as well as environmental and natural resource management</w:t>
      </w:r>
    </w:p>
    <w:p w14:paraId="33EFEA6A" w14:textId="37D4D129" w:rsidR="005A3178" w:rsidRDefault="00AE7318" w:rsidP="00513502">
      <w:pPr>
        <w:pStyle w:val="Bullet1"/>
      </w:pPr>
      <w:r w:rsidRPr="00D5463E">
        <w:t>r</w:t>
      </w:r>
      <w:r w:rsidR="4BB5C99C" w:rsidRPr="00D5463E">
        <w:t>esilient infrastructure</w:t>
      </w:r>
      <w:r w:rsidR="00BF384A">
        <w:t xml:space="preserve"> </w:t>
      </w:r>
      <w:r w:rsidR="00F62940">
        <w:t>to</w:t>
      </w:r>
      <w:r w:rsidR="00E13431">
        <w:t xml:space="preserve"> </w:t>
      </w:r>
      <w:r w:rsidR="00514C0C">
        <w:t>provide for continuity of service</w:t>
      </w:r>
      <w:r w:rsidR="4BB5C99C" w:rsidRPr="00D5463E">
        <w:t xml:space="preserve"> in difficult conditions</w:t>
      </w:r>
      <w:r w:rsidR="00F62940">
        <w:t xml:space="preserve"> by withstanding disruption</w:t>
      </w:r>
      <w:r w:rsidR="4BB5C99C" w:rsidRPr="00D5463E">
        <w:t xml:space="preserve">. </w:t>
      </w:r>
      <w:r w:rsidR="003F25A3" w:rsidRPr="00AB7446">
        <w:t>T</w:t>
      </w:r>
      <w:r w:rsidR="00D507F5" w:rsidRPr="00AB7446">
        <w:t>he</w:t>
      </w:r>
      <w:r w:rsidR="00D507F5">
        <w:t xml:space="preserve"> </w:t>
      </w:r>
      <w:r w:rsidR="00EF3D92">
        <w:t>N</w:t>
      </w:r>
      <w:r w:rsidR="00D507F5">
        <w:t xml:space="preserve">ew Dubbo </w:t>
      </w:r>
      <w:r w:rsidR="00EF3D92">
        <w:t xml:space="preserve">(River Street) </w:t>
      </w:r>
      <w:r w:rsidR="00D507F5">
        <w:t xml:space="preserve">bridge </w:t>
      </w:r>
      <w:r w:rsidR="00EF3D92">
        <w:t xml:space="preserve">will provide for an additional </w:t>
      </w:r>
      <w:r w:rsidR="003B6DAB">
        <w:t>high-level</w:t>
      </w:r>
      <w:r w:rsidR="00EF3D92">
        <w:t xml:space="preserve"> crossing across the Macquarie River</w:t>
      </w:r>
      <w:r w:rsidR="006A0837">
        <w:t xml:space="preserve"> to ease congestion and maintain reliable access through Dubbo during flood events. </w:t>
      </w:r>
      <w:r w:rsidR="002A612A">
        <w:t>The bridge will provide 1:</w:t>
      </w:r>
      <w:proofErr w:type="gramStart"/>
      <w:r w:rsidR="002A612A">
        <w:t>100 year</w:t>
      </w:r>
      <w:proofErr w:type="gramEnd"/>
      <w:r w:rsidR="002A612A">
        <w:t xml:space="preserve"> flood </w:t>
      </w:r>
      <w:r w:rsidR="003B6DAB">
        <w:t xml:space="preserve">immunity </w:t>
      </w:r>
      <w:r w:rsidR="006806ED">
        <w:t xml:space="preserve">to ensure </w:t>
      </w:r>
      <w:r w:rsidR="00F6067F">
        <w:t>access during floods for emergency services, local schools, hospitals and the airport</w:t>
      </w:r>
    </w:p>
    <w:p w14:paraId="4A0F81B3" w14:textId="5E536778" w:rsidR="00BB0A93" w:rsidRPr="00AB7446" w:rsidRDefault="00072746" w:rsidP="00513502">
      <w:pPr>
        <w:pStyle w:val="Bullet1"/>
      </w:pPr>
      <w:r>
        <w:t xml:space="preserve">lifestyle enabling infrastructure, </w:t>
      </w:r>
      <w:r w:rsidRPr="00AB7446">
        <w:t xml:space="preserve">including cultural, sporting and </w:t>
      </w:r>
      <w:r>
        <w:t>environment</w:t>
      </w:r>
      <w:r w:rsidRPr="00AB7446">
        <w:t xml:space="preserve"> infrastructure</w:t>
      </w:r>
      <w:r>
        <w:t xml:space="preserve">, to </w:t>
      </w:r>
      <w:r w:rsidR="006A01CD" w:rsidRPr="00AB7446">
        <w:t xml:space="preserve">enrich </w:t>
      </w:r>
      <w:r w:rsidR="00485DDA" w:rsidRPr="00AB7446">
        <w:t xml:space="preserve">the </w:t>
      </w:r>
      <w:r w:rsidR="006A01CD" w:rsidRPr="00AB7446">
        <w:t>way of life</w:t>
      </w:r>
      <w:r w:rsidR="00485DDA" w:rsidRPr="00AB7446">
        <w:t xml:space="preserve"> for </w:t>
      </w:r>
      <w:r w:rsidR="00010F92" w:rsidRPr="00AB7446">
        <w:t>residents</w:t>
      </w:r>
      <w:r w:rsidR="00485DDA" w:rsidRPr="00AB7446">
        <w:t xml:space="preserve"> and attract</w:t>
      </w:r>
      <w:r>
        <w:t xml:space="preserve"> </w:t>
      </w:r>
      <w:r w:rsidR="00485DDA" w:rsidRPr="00AB7446">
        <w:t>visitors to the State</w:t>
      </w:r>
      <w:r>
        <w:t xml:space="preserve">. </w:t>
      </w:r>
      <w:r w:rsidR="00867E88">
        <w:t xml:space="preserve">The </w:t>
      </w:r>
      <w:r w:rsidR="00516797">
        <w:t>transformation of the</w:t>
      </w:r>
      <w:r w:rsidR="00867E88">
        <w:t xml:space="preserve"> </w:t>
      </w:r>
      <w:r w:rsidR="00516797">
        <w:t>Ultimo Powerhouse Museum</w:t>
      </w:r>
      <w:r w:rsidR="008A155C">
        <w:t xml:space="preserve">, with </w:t>
      </w:r>
      <w:r w:rsidR="00AF5767">
        <w:t>its</w:t>
      </w:r>
      <w:r w:rsidR="008A155C">
        <w:t xml:space="preserve"> emphasis on innovation</w:t>
      </w:r>
      <w:r w:rsidR="00516797">
        <w:t>,</w:t>
      </w:r>
      <w:r w:rsidR="008A155C">
        <w:t xml:space="preserve"> </w:t>
      </w:r>
      <w:proofErr w:type="gramStart"/>
      <w:r w:rsidR="008A155C">
        <w:t>design</w:t>
      </w:r>
      <w:proofErr w:type="gramEnd"/>
      <w:r w:rsidR="008A155C">
        <w:t xml:space="preserve"> and fashion, will drive the visitor and cultural economy </w:t>
      </w:r>
      <w:r w:rsidR="00742DEA">
        <w:t>and deliver</w:t>
      </w:r>
      <w:r w:rsidR="008A155C">
        <w:t xml:space="preserve"> a rich and diverse experience</w:t>
      </w:r>
      <w:r w:rsidR="00762AF2">
        <w:t xml:space="preserve"> for visitors, surrounding communities and creative industries alike</w:t>
      </w:r>
      <w:r w:rsidR="008A155C">
        <w:t xml:space="preserve"> </w:t>
      </w:r>
    </w:p>
    <w:p w14:paraId="410E28F1" w14:textId="5C3E02F6" w:rsidR="0015553B" w:rsidRPr="00BB0A93" w:rsidRDefault="00446FC0" w:rsidP="00513502">
      <w:pPr>
        <w:pStyle w:val="Bullet1"/>
        <w:rPr>
          <w:rFonts w:eastAsia="Calibri"/>
        </w:rPr>
      </w:pPr>
      <w:r>
        <w:rPr>
          <w:rFonts w:eastAsia="Calibri"/>
        </w:rPr>
        <w:t xml:space="preserve">efficient transport networks to </w:t>
      </w:r>
      <w:r w:rsidR="002D1B4A" w:rsidRPr="00BB0A93">
        <w:rPr>
          <w:rFonts w:eastAsia="Calibri"/>
        </w:rPr>
        <w:t>produc</w:t>
      </w:r>
      <w:r>
        <w:rPr>
          <w:rFonts w:eastAsia="Calibri"/>
        </w:rPr>
        <w:t>e</w:t>
      </w:r>
      <w:r w:rsidR="002D1B4A" w:rsidRPr="00BB0A93">
        <w:rPr>
          <w:rFonts w:eastAsia="Calibri"/>
        </w:rPr>
        <w:t xml:space="preserve"> </w:t>
      </w:r>
      <w:r w:rsidR="005D2D6C" w:rsidRPr="00BB0A93">
        <w:rPr>
          <w:rFonts w:eastAsia="Calibri"/>
        </w:rPr>
        <w:t>real</w:t>
      </w:r>
      <w:r w:rsidR="005243B3" w:rsidRPr="00BB0A93">
        <w:rPr>
          <w:rFonts w:eastAsia="Calibri"/>
        </w:rPr>
        <w:t xml:space="preserve"> and measurable</w:t>
      </w:r>
      <w:r w:rsidR="005D2D6C" w:rsidRPr="00BB0A93">
        <w:rPr>
          <w:rFonts w:eastAsia="Calibri"/>
        </w:rPr>
        <w:t xml:space="preserve"> benefits for the community as they go ab</w:t>
      </w:r>
      <w:r w:rsidR="005243B3" w:rsidRPr="00BB0A93">
        <w:rPr>
          <w:rFonts w:eastAsia="Calibri"/>
        </w:rPr>
        <w:t>o</w:t>
      </w:r>
      <w:r w:rsidR="005D2D6C" w:rsidRPr="00BB0A93">
        <w:rPr>
          <w:rFonts w:eastAsia="Calibri"/>
        </w:rPr>
        <w:t>ut their daily lives.</w:t>
      </w:r>
      <w:r w:rsidR="005243B3" w:rsidRPr="00BB0A93">
        <w:rPr>
          <w:rFonts w:eastAsia="Calibri"/>
        </w:rPr>
        <w:t xml:space="preserve"> </w:t>
      </w:r>
      <w:r w:rsidR="00BB0A93">
        <w:rPr>
          <w:rFonts w:eastAsia="Calibri"/>
        </w:rPr>
        <w:t>S</w:t>
      </w:r>
      <w:r w:rsidR="005243B3" w:rsidRPr="00BB0A93">
        <w:rPr>
          <w:rFonts w:eastAsia="Calibri"/>
        </w:rPr>
        <w:t>ince 2012</w:t>
      </w:r>
      <w:r w:rsidR="00EA24D4" w:rsidRPr="00BB0A93">
        <w:rPr>
          <w:rFonts w:eastAsia="Calibri"/>
        </w:rPr>
        <w:t xml:space="preserve"> Transport for NSW has delivered 217 pinch point projects to help ease congestion </w:t>
      </w:r>
      <w:r w:rsidR="00EB75BB" w:rsidRPr="00BB0A93">
        <w:rPr>
          <w:rFonts w:eastAsia="Calibri"/>
        </w:rPr>
        <w:t>and provide more consistent</w:t>
      </w:r>
      <w:r w:rsidR="0081350E" w:rsidRPr="00BB0A93">
        <w:rPr>
          <w:rFonts w:eastAsia="Calibri"/>
        </w:rPr>
        <w:t xml:space="preserve"> travel times for motorists in Sydney. These projects include widening small sections of roads, </w:t>
      </w:r>
      <w:r w:rsidR="005F495F" w:rsidRPr="00BB0A93">
        <w:rPr>
          <w:rFonts w:eastAsia="Calibri"/>
        </w:rPr>
        <w:t xml:space="preserve">replacing busy roundabouts with traffic </w:t>
      </w:r>
      <w:proofErr w:type="gramStart"/>
      <w:r w:rsidR="005F495F" w:rsidRPr="00BB0A93">
        <w:rPr>
          <w:rFonts w:eastAsia="Calibri"/>
        </w:rPr>
        <w:t>lights</w:t>
      </w:r>
      <w:proofErr w:type="gramEnd"/>
      <w:r w:rsidR="005F495F" w:rsidRPr="00BB0A93">
        <w:rPr>
          <w:rFonts w:eastAsia="Calibri"/>
        </w:rPr>
        <w:t xml:space="preserve"> and adding extra turning lanes. </w:t>
      </w:r>
      <w:r w:rsidR="00333FED" w:rsidRPr="00BB0A93">
        <w:rPr>
          <w:rFonts w:eastAsia="Calibri"/>
        </w:rPr>
        <w:t>Based on Transport for NSW estimates, these projects have resulted in $1.</w:t>
      </w:r>
      <w:r w:rsidR="00493916" w:rsidRPr="00BB0A93">
        <w:rPr>
          <w:rFonts w:eastAsia="Calibri"/>
        </w:rPr>
        <w:t>4</w:t>
      </w:r>
      <w:r w:rsidR="00333FED" w:rsidRPr="00BB0A93">
        <w:rPr>
          <w:rFonts w:eastAsia="Calibri"/>
        </w:rPr>
        <w:t xml:space="preserve"> billion in realised benefits</w:t>
      </w:r>
      <w:r w:rsidR="002F1042" w:rsidRPr="00BB0A93">
        <w:rPr>
          <w:rFonts w:eastAsia="Calibri"/>
        </w:rPr>
        <w:t>, including eased congestion and reduced travel times,</w:t>
      </w:r>
      <w:r w:rsidR="00333FED" w:rsidRPr="00BB0A93">
        <w:rPr>
          <w:rFonts w:eastAsia="Calibri"/>
        </w:rPr>
        <w:t xml:space="preserve"> compared to the $579</w:t>
      </w:r>
      <w:r w:rsidR="00EB65A5" w:rsidRPr="00BB0A93">
        <w:rPr>
          <w:rFonts w:eastAsia="Calibri"/>
        </w:rPr>
        <w:t>.0</w:t>
      </w:r>
      <w:r w:rsidR="00333FED" w:rsidRPr="00BB0A93">
        <w:rPr>
          <w:rFonts w:eastAsia="Calibri"/>
        </w:rPr>
        <w:t xml:space="preserve"> </w:t>
      </w:r>
      <w:r w:rsidR="00CE1CF4" w:rsidRPr="00BB0A93">
        <w:rPr>
          <w:rFonts w:eastAsia="Calibri"/>
        </w:rPr>
        <w:t>million</w:t>
      </w:r>
      <w:r w:rsidR="00AD4DED" w:rsidRPr="00BB0A93">
        <w:rPr>
          <w:rFonts w:eastAsia="Calibri"/>
        </w:rPr>
        <w:t xml:space="preserve"> </w:t>
      </w:r>
      <w:r w:rsidR="00CE4967" w:rsidRPr="00BB0A93">
        <w:rPr>
          <w:rFonts w:eastAsia="Calibri"/>
        </w:rPr>
        <w:t>spent</w:t>
      </w:r>
      <w:r w:rsidR="00277FDD">
        <w:rPr>
          <w:rStyle w:val="FootnoteReference"/>
          <w:rFonts w:eastAsia="Calibri"/>
        </w:rPr>
        <w:footnoteReference w:id="4"/>
      </w:r>
      <w:r w:rsidR="004D7554" w:rsidRPr="00B87A50">
        <w:rPr>
          <w:rFonts w:eastAsia="Calibri"/>
        </w:rPr>
        <w:t>.</w:t>
      </w:r>
    </w:p>
    <w:p w14:paraId="0119F5C1" w14:textId="77777777" w:rsidR="00273418" w:rsidRDefault="00273418" w:rsidP="00273418">
      <w:pPr>
        <w:pStyle w:val="BodyText"/>
        <w:rPr>
          <w:rFonts w:eastAsia="Calibri"/>
        </w:rPr>
      </w:pPr>
      <w:bookmarkStart w:id="6" w:name="_Hlk11140559"/>
    </w:p>
    <w:p w14:paraId="454DB32F" w14:textId="5B89087B" w:rsidR="00273418" w:rsidRDefault="00273418">
      <w:pPr>
        <w:rPr>
          <w:rFonts w:ascii="Calibri" w:eastAsia="Calibri" w:hAnsi="Calibri" w:cs="Calibri"/>
          <w:sz w:val="23"/>
          <w:lang w:val="en-AU"/>
        </w:rPr>
      </w:pPr>
      <w:r>
        <w:rPr>
          <w:rFonts w:eastAsia="Calibri"/>
        </w:rPr>
        <w:br w:type="page"/>
      </w:r>
    </w:p>
    <w:p w14:paraId="1F091B62" w14:textId="55971639" w:rsidR="004356CA" w:rsidRPr="00826275" w:rsidRDefault="005465FC" w:rsidP="007C03A6">
      <w:pPr>
        <w:pStyle w:val="Heading2"/>
      </w:pPr>
      <w:r>
        <w:t>Our</w:t>
      </w:r>
      <w:r w:rsidR="00D57C99" w:rsidRPr="00826275">
        <w:t xml:space="preserve"> fiscal management</w:t>
      </w:r>
    </w:p>
    <w:p w14:paraId="3B6C2F61" w14:textId="07B46EA0" w:rsidR="004356CA" w:rsidRPr="00A1397D" w:rsidRDefault="00683E5B">
      <w:pPr>
        <w:pStyle w:val="BodyText"/>
      </w:pPr>
      <w:r>
        <w:t>The Governmen</w:t>
      </w:r>
      <w:r w:rsidR="00853123">
        <w:t xml:space="preserve">t is maintaining </w:t>
      </w:r>
      <w:r w:rsidR="00430A02">
        <w:t>record level</w:t>
      </w:r>
      <w:r w:rsidR="00E66ED2">
        <w:t>s</w:t>
      </w:r>
      <w:r w:rsidR="00430A02">
        <w:t xml:space="preserve"> of infrastructure investment </w:t>
      </w:r>
      <w:r w:rsidR="00CA3130">
        <w:t>while upholding a sustainable and responsible approach to fiscal management.</w:t>
      </w:r>
      <w:r w:rsidR="000C1A72">
        <w:t xml:space="preserve"> </w:t>
      </w:r>
      <w:r w:rsidR="00A952C6">
        <w:t xml:space="preserve">The State’s balance sheet is being leveraged </w:t>
      </w:r>
      <w:r w:rsidR="00B87D8D" w:rsidRPr="00942443">
        <w:t xml:space="preserve">during a period of </w:t>
      </w:r>
      <w:r w:rsidR="008D7157" w:rsidRPr="00001F5A">
        <w:t>very</w:t>
      </w:r>
      <w:r w:rsidR="00B87D8D" w:rsidRPr="00942443">
        <w:t xml:space="preserve"> low interest rates </w:t>
      </w:r>
      <w:r w:rsidR="00A952C6">
        <w:t xml:space="preserve">to ensure </w:t>
      </w:r>
      <w:r w:rsidR="00A06EDA">
        <w:t xml:space="preserve">key infrastructure projects </w:t>
      </w:r>
      <w:r w:rsidR="00950009">
        <w:t>are</w:t>
      </w:r>
      <w:r w:rsidR="00A06EDA">
        <w:t xml:space="preserve"> delivered</w:t>
      </w:r>
      <w:r w:rsidR="00C80212">
        <w:t xml:space="preserve"> to improve the lives of both current and future </w:t>
      </w:r>
      <w:r w:rsidR="00010F92">
        <w:t>residents</w:t>
      </w:r>
      <w:r w:rsidR="00843DAB">
        <w:t xml:space="preserve">. </w:t>
      </w:r>
      <w:r w:rsidR="00096C8D">
        <w:t xml:space="preserve">This has been enabled by the Government’s fiscal strategy which </w:t>
      </w:r>
      <w:r w:rsidR="00D92672">
        <w:t>includes</w:t>
      </w:r>
      <w:r w:rsidR="00176803">
        <w:t>:</w:t>
      </w:r>
    </w:p>
    <w:p w14:paraId="40627F98" w14:textId="6E58C4DA" w:rsidR="004356CA" w:rsidRPr="00A1397D" w:rsidRDefault="00E21EF7" w:rsidP="00513502">
      <w:pPr>
        <w:pStyle w:val="Bullet1"/>
      </w:pPr>
      <w:r w:rsidRPr="00277A13">
        <w:t>continuing</w:t>
      </w:r>
      <w:r w:rsidRPr="00A1397D">
        <w:t xml:space="preserve"> </w:t>
      </w:r>
      <w:r w:rsidR="004356CA" w:rsidRPr="00A1397D">
        <w:t>management of recurrent expenditure consistent with the</w:t>
      </w:r>
      <w:r w:rsidR="004356CA" w:rsidRPr="00AB7446">
        <w:t xml:space="preserve"> </w:t>
      </w:r>
      <w:r w:rsidR="004356CA" w:rsidRPr="00461D80">
        <w:rPr>
          <w:i/>
        </w:rPr>
        <w:t>Fiscal Responsibility Act</w:t>
      </w:r>
      <w:r w:rsidR="004356CA" w:rsidRPr="00D5463E">
        <w:rPr>
          <w:i/>
        </w:rPr>
        <w:t xml:space="preserve"> </w:t>
      </w:r>
      <w:r w:rsidR="004356CA" w:rsidRPr="00461D80">
        <w:rPr>
          <w:i/>
        </w:rPr>
        <w:t>2012</w:t>
      </w:r>
      <w:r w:rsidR="00B2185F" w:rsidRPr="00AB7446">
        <w:t xml:space="preserve"> </w:t>
      </w:r>
    </w:p>
    <w:p w14:paraId="1DC5BE84" w14:textId="7AF10097" w:rsidR="004356CA" w:rsidRPr="00A1397D" w:rsidRDefault="00CC52CB" w:rsidP="00513502">
      <w:pPr>
        <w:pStyle w:val="Bullet1"/>
      </w:pPr>
      <w:r w:rsidRPr="00A1397D">
        <w:t xml:space="preserve">active </w:t>
      </w:r>
      <w:r w:rsidR="004356CA" w:rsidRPr="00A1397D">
        <w:t>management</w:t>
      </w:r>
      <w:r w:rsidR="00273FCC" w:rsidRPr="00A1397D">
        <w:t xml:space="preserve"> of the State’s balance sheet</w:t>
      </w:r>
      <w:r w:rsidR="004356CA" w:rsidRPr="00A1397D">
        <w:t xml:space="preserve">, including </w:t>
      </w:r>
      <w:r w:rsidR="0096083C" w:rsidRPr="00A1397D">
        <w:t xml:space="preserve">reinvesting the proceeds of </w:t>
      </w:r>
      <w:r w:rsidR="004356CA" w:rsidRPr="00A1397D">
        <w:t>asset recycling into productive infrastructure</w:t>
      </w:r>
      <w:r w:rsidR="002D3420" w:rsidRPr="00A1397D">
        <w:t xml:space="preserve"> via </w:t>
      </w:r>
      <w:r w:rsidR="009F4208" w:rsidRPr="00A1397D">
        <w:t xml:space="preserve">the </w:t>
      </w:r>
      <w:r w:rsidR="00C53C87">
        <w:t>NSW</w:t>
      </w:r>
      <w:r w:rsidR="009F4208" w:rsidRPr="00A1397D">
        <w:t xml:space="preserve"> Infrast</w:t>
      </w:r>
      <w:r w:rsidR="0095194A" w:rsidRPr="00A1397D">
        <w:t xml:space="preserve">ructure </w:t>
      </w:r>
      <w:r w:rsidR="002E1B4A" w:rsidRPr="00A1397D">
        <w:t xml:space="preserve">Future </w:t>
      </w:r>
      <w:r w:rsidR="0095194A" w:rsidRPr="00A1397D">
        <w:t>Fund</w:t>
      </w:r>
      <w:r w:rsidR="0029066C" w:rsidRPr="00A1397D">
        <w:t xml:space="preserve"> (NIFF), allowing the Government to generate additional returns for taxpayers </w:t>
      </w:r>
      <w:r w:rsidR="0029066C" w:rsidRPr="00AB7446">
        <w:t xml:space="preserve"> </w:t>
      </w:r>
    </w:p>
    <w:p w14:paraId="462A8EB1" w14:textId="0A2DB3F6" w:rsidR="004356CA" w:rsidRPr="00A1397D" w:rsidRDefault="004356CA" w:rsidP="00513502">
      <w:pPr>
        <w:pStyle w:val="Bullet1"/>
      </w:pPr>
      <w:r w:rsidRPr="00A1397D">
        <w:t xml:space="preserve">whole-of-government prioritisation of </w:t>
      </w:r>
      <w:r w:rsidR="008E415F">
        <w:t>infrastructure</w:t>
      </w:r>
      <w:r w:rsidR="008E415F" w:rsidRPr="00A1397D">
        <w:t xml:space="preserve"> </w:t>
      </w:r>
      <w:r w:rsidRPr="00A1397D">
        <w:t>projects</w:t>
      </w:r>
      <w:r w:rsidR="00221589" w:rsidRPr="00A1397D">
        <w:t>,</w:t>
      </w:r>
      <w:r w:rsidRPr="00A1397D">
        <w:t xml:space="preserve"> </w:t>
      </w:r>
      <w:r w:rsidR="00221589" w:rsidRPr="00A1397D">
        <w:t xml:space="preserve">based on </w:t>
      </w:r>
      <w:r w:rsidR="0021738E" w:rsidRPr="00A1397D">
        <w:t xml:space="preserve">a </w:t>
      </w:r>
      <w:r w:rsidR="005F02D6" w:rsidRPr="00A1397D">
        <w:t>rigorous</w:t>
      </w:r>
      <w:r w:rsidR="00221589" w:rsidRPr="00A1397D">
        <w:t xml:space="preserve"> project assessment</w:t>
      </w:r>
      <w:r w:rsidR="005F02D6" w:rsidRPr="00A1397D">
        <w:t xml:space="preserve"> process</w:t>
      </w:r>
      <w:r w:rsidR="00221589" w:rsidRPr="00A1397D">
        <w:t xml:space="preserve">, </w:t>
      </w:r>
      <w:r w:rsidRPr="00A1397D">
        <w:t xml:space="preserve">to enable a more strategic approach to </w:t>
      </w:r>
      <w:r w:rsidR="00421A69">
        <w:t xml:space="preserve">capital </w:t>
      </w:r>
      <w:r w:rsidR="008E415F">
        <w:t>allocation</w:t>
      </w:r>
    </w:p>
    <w:p w14:paraId="0269249E" w14:textId="1C3550A9" w:rsidR="002C3288" w:rsidRPr="00A1397D" w:rsidRDefault="002C3288" w:rsidP="00513502">
      <w:pPr>
        <w:pStyle w:val="Bullet1"/>
      </w:pPr>
      <w:r>
        <w:t xml:space="preserve">the establishment of the </w:t>
      </w:r>
      <w:r w:rsidR="00C6161C">
        <w:t>NSW</w:t>
      </w:r>
      <w:r w:rsidR="00FC251E">
        <w:t xml:space="preserve"> </w:t>
      </w:r>
      <w:r w:rsidR="0050501C">
        <w:t>G</w:t>
      </w:r>
      <w:r w:rsidR="00FC251E">
        <w:t xml:space="preserve">enerations </w:t>
      </w:r>
      <w:r w:rsidR="0050501C">
        <w:t>F</w:t>
      </w:r>
      <w:r w:rsidR="00FC251E">
        <w:t>und</w:t>
      </w:r>
      <w:r w:rsidR="00C3224F">
        <w:t xml:space="preserve"> (NGF)</w:t>
      </w:r>
      <w:r w:rsidR="0050501C">
        <w:t>,</w:t>
      </w:r>
      <w:r>
        <w:t xml:space="preserve"> </w:t>
      </w:r>
      <w:r w:rsidR="00C6161C">
        <w:t>the State’s</w:t>
      </w:r>
      <w:r>
        <w:t xml:space="preserve"> own sovereign wealth fund</w:t>
      </w:r>
      <w:r w:rsidR="00566A99">
        <w:t>,</w:t>
      </w:r>
      <w:r>
        <w:t xml:space="preserve"> that invests asset recycling proceeds to achieve a competitive return for taxpayers</w:t>
      </w:r>
      <w:r w:rsidR="007D669F">
        <w:t xml:space="preserve"> and</w:t>
      </w:r>
      <w:r w:rsidR="009522CE">
        <w:t xml:space="preserve"> </w:t>
      </w:r>
      <w:r w:rsidR="007D669F">
        <w:t>facilitate</w:t>
      </w:r>
      <w:r w:rsidR="005D7D39">
        <w:t>s</w:t>
      </w:r>
      <w:r w:rsidR="007D669F">
        <w:t xml:space="preserve"> infrastructure investment</w:t>
      </w:r>
      <w:r w:rsidR="0097630C">
        <w:t>,</w:t>
      </w:r>
      <w:r w:rsidR="00971262">
        <w:t xml:space="preserve"> while </w:t>
      </w:r>
      <w:r w:rsidR="00AD0593">
        <w:t xml:space="preserve">supporting a sustainable debt position </w:t>
      </w:r>
      <w:r w:rsidR="00C57969">
        <w:t xml:space="preserve">over the medium term. </w:t>
      </w:r>
    </w:p>
    <w:bookmarkEnd w:id="6"/>
    <w:p w14:paraId="2C47531C" w14:textId="51F641A5" w:rsidR="003F2CD0" w:rsidRDefault="008A008E">
      <w:pPr>
        <w:pStyle w:val="BodyText"/>
      </w:pPr>
      <w:r w:rsidRPr="00A1397D">
        <w:t xml:space="preserve">The </w:t>
      </w:r>
      <w:r w:rsidR="00251D77" w:rsidRPr="00A1397D">
        <w:t>G</w:t>
      </w:r>
      <w:r w:rsidRPr="00A1397D">
        <w:t xml:space="preserve">overnment </w:t>
      </w:r>
      <w:r w:rsidR="007F14FB" w:rsidRPr="00A1397D">
        <w:t>uses</w:t>
      </w:r>
      <w:r w:rsidRPr="00A1397D">
        <w:t xml:space="preserve"> a </w:t>
      </w:r>
      <w:r w:rsidR="00D92672">
        <w:t xml:space="preserve">comprehensive </w:t>
      </w:r>
      <w:r w:rsidRPr="00A1397D">
        <w:t>c</w:t>
      </w:r>
      <w:r w:rsidR="004356CA" w:rsidRPr="00A1397D">
        <w:t>apital investment framework</w:t>
      </w:r>
      <w:r w:rsidRPr="00A1397D">
        <w:t xml:space="preserve"> </w:t>
      </w:r>
      <w:r w:rsidR="002C60CD" w:rsidRPr="00A1397D">
        <w:t>to</w:t>
      </w:r>
      <w:r w:rsidRPr="00A1397D">
        <w:t xml:space="preserve"> </w:t>
      </w:r>
      <w:r w:rsidR="00F367AB">
        <w:t>inform</w:t>
      </w:r>
      <w:r w:rsidR="001062AF">
        <w:t xml:space="preserve"> and </w:t>
      </w:r>
      <w:r w:rsidR="00651C18">
        <w:t>evaluate</w:t>
      </w:r>
      <w:r w:rsidR="002C60CD" w:rsidRPr="00A1397D">
        <w:t xml:space="preserve"> investment decisions</w:t>
      </w:r>
      <w:r w:rsidR="00251D77" w:rsidRPr="00A1397D">
        <w:t xml:space="preserve">. This framework </w:t>
      </w:r>
      <w:r w:rsidR="00021BEA">
        <w:t>integrates planning, project selection, funding and delivery</w:t>
      </w:r>
      <w:r w:rsidR="0099305E">
        <w:t xml:space="preserve"> and</w:t>
      </w:r>
      <w:r w:rsidR="00021BEA">
        <w:t xml:space="preserve"> </w:t>
      </w:r>
      <w:r w:rsidR="00855ED9">
        <w:t>is</w:t>
      </w:r>
      <w:r w:rsidR="00061C48" w:rsidRPr="00A1397D">
        <w:t xml:space="preserve"> </w:t>
      </w:r>
      <w:r w:rsidR="00221589" w:rsidRPr="00A1397D">
        <w:t xml:space="preserve">designed </w:t>
      </w:r>
      <w:r w:rsidR="004356CA" w:rsidRPr="00A1397D">
        <w:t xml:space="preserve">to ensure </w:t>
      </w:r>
      <w:r w:rsidR="00B04BF2" w:rsidRPr="00A1397D">
        <w:t>the Government</w:t>
      </w:r>
      <w:r w:rsidR="00067084" w:rsidRPr="00A1397D">
        <w:t xml:space="preserve"> invests</w:t>
      </w:r>
      <w:r w:rsidR="00B04BF2" w:rsidRPr="00A1397D">
        <w:t xml:space="preserve"> </w:t>
      </w:r>
      <w:r w:rsidR="004356CA" w:rsidRPr="00A1397D">
        <w:t>in infrastructure projects</w:t>
      </w:r>
      <w:r w:rsidR="00D25DE0" w:rsidRPr="00A1397D">
        <w:t xml:space="preserve"> </w:t>
      </w:r>
      <w:r w:rsidR="00BA6DD7" w:rsidRPr="00A1397D">
        <w:t>that</w:t>
      </w:r>
      <w:r w:rsidR="00D25DE0" w:rsidRPr="00A1397D">
        <w:t xml:space="preserve"> </w:t>
      </w:r>
      <w:r w:rsidR="008210FF" w:rsidRPr="00A1397D">
        <w:t xml:space="preserve">provide the greatest </w:t>
      </w:r>
      <w:r w:rsidR="00F875B7" w:rsidRPr="00A1397D">
        <w:t>benefit</w:t>
      </w:r>
      <w:r w:rsidR="0096083C" w:rsidRPr="00A1397D">
        <w:t xml:space="preserve"> </w:t>
      </w:r>
      <w:r w:rsidR="00D310A6">
        <w:t>at</w:t>
      </w:r>
      <w:r w:rsidR="00D310A6" w:rsidRPr="00A1397D">
        <w:t xml:space="preserve"> </w:t>
      </w:r>
      <w:r w:rsidR="004356CA" w:rsidRPr="00A1397D">
        <w:t>the most effici</w:t>
      </w:r>
      <w:r w:rsidR="00D25DE0" w:rsidRPr="00A1397D">
        <w:t>ent cost</w:t>
      </w:r>
      <w:r w:rsidR="00D650E3">
        <w:t xml:space="preserve"> for the taxpayer.</w:t>
      </w:r>
    </w:p>
    <w:p w14:paraId="51D88EBC" w14:textId="77777777" w:rsidR="00FD29D3" w:rsidRDefault="00397AD2" w:rsidP="00B83055">
      <w:pPr>
        <w:pStyle w:val="BodyText"/>
      </w:pPr>
      <w:r>
        <w:t>Infrastructure NSW plays</w:t>
      </w:r>
      <w:r w:rsidRPr="00A1397D">
        <w:t xml:space="preserve"> a key role in assisting the Government to identify and prioritise infrastructure projects. It provides independent advice on infrastructure needs and delivery, with a focus on capital investment that brings economic growth and social well</w:t>
      </w:r>
      <w:r w:rsidRPr="00A1397D">
        <w:noBreakHyphen/>
        <w:t>being.</w:t>
      </w:r>
      <w:r w:rsidR="00FD29D3">
        <w:t xml:space="preserve"> </w:t>
      </w:r>
    </w:p>
    <w:p w14:paraId="70C30307" w14:textId="5B66B230" w:rsidR="00E4160C" w:rsidRPr="00E4160C" w:rsidRDefault="00FD29D3" w:rsidP="00B83055">
      <w:pPr>
        <w:pStyle w:val="BodyText"/>
        <w:rPr>
          <w:sz w:val="5"/>
        </w:rPr>
      </w:pPr>
      <w:r>
        <w:t>More</w:t>
      </w:r>
      <w:r w:rsidR="00FC5BFB">
        <w:t xml:space="preserve"> information on the role of Infrastructure NSW, as well as the project assurance processes the Government utilises, is provided in Section 1.7 of this </w:t>
      </w:r>
      <w:r w:rsidR="00FC5BFB">
        <w:rPr>
          <w:i/>
          <w:iCs w:val="0"/>
        </w:rPr>
        <w:t xml:space="preserve">Infrastructure Statement. </w:t>
      </w:r>
      <w:r w:rsidR="00FC5BFB">
        <w:t xml:space="preserve"> </w:t>
      </w:r>
    </w:p>
    <w:p w14:paraId="689DD01B" w14:textId="4EC38B9F" w:rsidR="005A43F2" w:rsidRDefault="008B0580" w:rsidP="00202661">
      <w:pPr>
        <w:pStyle w:val="Heading3"/>
      </w:pPr>
      <w:r w:rsidRPr="00826275">
        <w:t>Asset recycling strategy</w:t>
      </w:r>
    </w:p>
    <w:p w14:paraId="2B59624B" w14:textId="734BD43E" w:rsidR="00274FBD" w:rsidRDefault="008B5D17">
      <w:pPr>
        <w:pStyle w:val="BodyText"/>
      </w:pPr>
      <w:r>
        <w:t>T</w:t>
      </w:r>
      <w:r w:rsidR="008B0580" w:rsidRPr="00A1397D">
        <w:t xml:space="preserve">he Government’s successful asset recycling strategy </w:t>
      </w:r>
      <w:r w:rsidR="0055347F">
        <w:t>continues to play</w:t>
      </w:r>
      <w:r w:rsidR="00C9501A">
        <w:t xml:space="preserve"> a major role in ensuring the delivery of the infrastructure pipeline.</w:t>
      </w:r>
      <w:r w:rsidR="008B0580" w:rsidRPr="00A1397D">
        <w:t xml:space="preserve"> </w:t>
      </w:r>
      <w:r w:rsidR="00274FBD" w:rsidRPr="00A1397D">
        <w:t xml:space="preserve">Asset recycling </w:t>
      </w:r>
      <w:r w:rsidR="006D11BA">
        <w:t>proceeds have been used</w:t>
      </w:r>
      <w:r w:rsidR="00274FBD" w:rsidRPr="00A1397D">
        <w:t xml:space="preserve"> </w:t>
      </w:r>
      <w:r w:rsidR="006D11BA">
        <w:t xml:space="preserve">to </w:t>
      </w:r>
      <w:r w:rsidR="0073305B">
        <w:t>accelerate the delivery of key projects</w:t>
      </w:r>
      <w:r w:rsidR="00274FBD" w:rsidRPr="00A1397D">
        <w:t xml:space="preserve"> </w:t>
      </w:r>
      <w:r w:rsidR="00084BD5">
        <w:t>including</w:t>
      </w:r>
      <w:r w:rsidR="00274FBD" w:rsidRPr="00A1397D">
        <w:t xml:space="preserve"> Sydney Metro City and Southwest, the More Trains, More Services </w:t>
      </w:r>
      <w:proofErr w:type="gramStart"/>
      <w:r w:rsidR="00274FBD" w:rsidRPr="00A1397D">
        <w:t>program</w:t>
      </w:r>
      <w:proofErr w:type="gramEnd"/>
      <w:r w:rsidR="00274FBD" w:rsidRPr="00A1397D">
        <w:t xml:space="preserve"> and the Parramatta Light Rail.</w:t>
      </w:r>
    </w:p>
    <w:p w14:paraId="63941712" w14:textId="5CAC51D5" w:rsidR="008B0580" w:rsidRPr="00A1397D" w:rsidRDefault="00A05623">
      <w:pPr>
        <w:pStyle w:val="BodyText"/>
      </w:pPr>
      <w:r>
        <w:t>Asset recycling proceeds will continue to support the State’s balance sheet and new infrastructure investment.</w:t>
      </w:r>
      <w:r w:rsidR="00084BD5">
        <w:t xml:space="preserve"> </w:t>
      </w:r>
      <w:r w:rsidR="0055347F">
        <w:t>A</w:t>
      </w:r>
      <w:r w:rsidR="00084BD5">
        <w:t>sset</w:t>
      </w:r>
      <w:r w:rsidR="008B0580" w:rsidRPr="00A1397D">
        <w:t xml:space="preserve"> recycling proceeds</w:t>
      </w:r>
      <w:r w:rsidR="00F17157">
        <w:t xml:space="preserve"> are being</w:t>
      </w:r>
      <w:r w:rsidR="00084BD5">
        <w:t xml:space="preserve"> invested in</w:t>
      </w:r>
      <w:r w:rsidR="002F71A5" w:rsidRPr="00A1397D">
        <w:t xml:space="preserve"> </w:t>
      </w:r>
      <w:r w:rsidR="00276347">
        <w:t xml:space="preserve">a </w:t>
      </w:r>
      <w:r w:rsidR="002F71A5" w:rsidRPr="00A1397D">
        <w:t>special purpose fund</w:t>
      </w:r>
      <w:r w:rsidR="00E25E0A">
        <w:t xml:space="preserve">, </w:t>
      </w:r>
      <w:r w:rsidR="00562527" w:rsidRPr="00A1397D">
        <w:t xml:space="preserve">the </w:t>
      </w:r>
      <w:r w:rsidR="007A27C0">
        <w:t>NGF</w:t>
      </w:r>
      <w:r w:rsidR="00E25E0A">
        <w:t>,</w:t>
      </w:r>
      <w:r w:rsidR="00084BD5">
        <w:t xml:space="preserve"> to</w:t>
      </w:r>
      <w:r w:rsidR="008B0580" w:rsidRPr="00A1397D">
        <w:t xml:space="preserve"> </w:t>
      </w:r>
      <w:r w:rsidR="00767296">
        <w:t>earn competitive returns for taxpayers, support sustainable debt levels and facilitate investment in world class infrastructure.</w:t>
      </w:r>
      <w:r w:rsidR="008B0580" w:rsidRPr="00A1397D">
        <w:t xml:space="preserve"> </w:t>
      </w:r>
    </w:p>
    <w:p w14:paraId="2F5C8CFD" w14:textId="0301BA4C" w:rsidR="003958C4" w:rsidRDefault="00A650A4">
      <w:pPr>
        <w:pStyle w:val="BodyText"/>
      </w:pPr>
      <w:r>
        <w:t xml:space="preserve">For further information on the Government’s asset recycling strategy and how it is being used to continue the Government’s record infrastructure </w:t>
      </w:r>
      <w:r w:rsidRPr="001F5B7D">
        <w:t xml:space="preserve">investment see </w:t>
      </w:r>
      <w:r w:rsidR="00AF2005" w:rsidRPr="005C6C95">
        <w:t>Chapter 3</w:t>
      </w:r>
      <w:r w:rsidR="00AF2005" w:rsidRPr="003C21F1">
        <w:t xml:space="preserve"> of </w:t>
      </w:r>
      <w:r w:rsidR="00AF2005" w:rsidRPr="00780692">
        <w:rPr>
          <w:i/>
          <w:iCs w:val="0"/>
        </w:rPr>
        <w:t xml:space="preserve">Budget Paper </w:t>
      </w:r>
      <w:r w:rsidR="00AF2005">
        <w:rPr>
          <w:i/>
          <w:iCs w:val="0"/>
        </w:rPr>
        <w:t xml:space="preserve">No. </w:t>
      </w:r>
      <w:r w:rsidR="00AF2005" w:rsidRPr="00780692">
        <w:rPr>
          <w:i/>
          <w:iCs w:val="0"/>
        </w:rPr>
        <w:t>1</w:t>
      </w:r>
      <w:r w:rsidR="00AF2005">
        <w:rPr>
          <w:i/>
          <w:iCs w:val="0"/>
        </w:rPr>
        <w:t xml:space="preserve"> – Budget Statement</w:t>
      </w:r>
      <w:r w:rsidR="00AF2005" w:rsidRPr="003C21F1">
        <w:t>.</w:t>
      </w:r>
    </w:p>
    <w:p w14:paraId="673C084A" w14:textId="77777777" w:rsidR="000C717B" w:rsidRDefault="000C717B">
      <w:pPr>
        <w:rPr>
          <w:rFonts w:ascii="Calibri" w:hAnsi="Calibri" w:cs="Calibri"/>
          <w:sz w:val="23"/>
          <w:lang w:val="en-AU"/>
        </w:rPr>
      </w:pPr>
      <w:r>
        <w:br w:type="page"/>
      </w:r>
    </w:p>
    <w:p w14:paraId="4B4018C5" w14:textId="674176B1" w:rsidR="00A33734" w:rsidRPr="00FF6283" w:rsidRDefault="00A33734" w:rsidP="007C03A6">
      <w:pPr>
        <w:pStyle w:val="Heading2"/>
      </w:pPr>
      <w:bookmarkStart w:id="7" w:name="_Hlk9522916"/>
      <w:r>
        <w:t>F</w:t>
      </w:r>
      <w:r w:rsidRPr="00B70145">
        <w:t>our</w:t>
      </w:r>
      <w:r>
        <w:t>-</w:t>
      </w:r>
      <w:r w:rsidRPr="0004489C">
        <w:t>year</w:t>
      </w:r>
      <w:r>
        <w:t xml:space="preserve"> capital program</w:t>
      </w:r>
    </w:p>
    <w:p w14:paraId="36B99054" w14:textId="52BD3BEE" w:rsidR="00AB7EEE" w:rsidRDefault="00A33734">
      <w:pPr>
        <w:pStyle w:val="BodyText"/>
      </w:pPr>
      <w:r w:rsidRPr="00C15E70">
        <w:t xml:space="preserve">The Government’s capital </w:t>
      </w:r>
      <w:r w:rsidR="005904FE">
        <w:t>investment</w:t>
      </w:r>
      <w:r w:rsidR="005904FE" w:rsidRPr="00C15E70">
        <w:t xml:space="preserve"> </w:t>
      </w:r>
      <w:r w:rsidRPr="00C15E70">
        <w:t xml:space="preserve">program is forecast to </w:t>
      </w:r>
      <w:r w:rsidRPr="001F5B7D">
        <w:t>be $</w:t>
      </w:r>
      <w:r w:rsidR="00B4285F" w:rsidRPr="001F5B7D">
        <w:t>108.5</w:t>
      </w:r>
      <w:r w:rsidRPr="001F5B7D">
        <w:t xml:space="preserve"> billion</w:t>
      </w:r>
      <w:r w:rsidRPr="00C15E70">
        <w:t xml:space="preserve"> over four years to </w:t>
      </w:r>
      <w:r w:rsidR="00876830">
        <w:t>2024-25</w:t>
      </w:r>
      <w:r w:rsidR="00E51F39">
        <w:t xml:space="preserve">. </w:t>
      </w:r>
      <w:r w:rsidRPr="00C15E70">
        <w:t xml:space="preserve">Table 1.1 provides a reconciliation of capital expenditure between the </w:t>
      </w:r>
      <w:r w:rsidR="00460735">
        <w:br/>
      </w:r>
      <w:r w:rsidR="00876830">
        <w:t>2020-21</w:t>
      </w:r>
      <w:r w:rsidR="00AF6ED6">
        <w:t> </w:t>
      </w:r>
      <w:r w:rsidR="00E51F39">
        <w:t>Budget</w:t>
      </w:r>
      <w:r w:rsidR="00347D22" w:rsidRPr="00C15E70">
        <w:t xml:space="preserve"> </w:t>
      </w:r>
      <w:r w:rsidRPr="00C15E70">
        <w:t xml:space="preserve">and </w:t>
      </w:r>
      <w:r w:rsidR="00347D22" w:rsidRPr="00C15E70">
        <w:t xml:space="preserve">the </w:t>
      </w:r>
      <w:r w:rsidR="004521EA">
        <w:t>2021-22</w:t>
      </w:r>
      <w:r w:rsidRPr="00C15E70">
        <w:t> </w:t>
      </w:r>
      <w:r w:rsidR="00347D22" w:rsidRPr="00C15E70">
        <w:t>Budget</w:t>
      </w:r>
      <w:r w:rsidRPr="00C15E70">
        <w:t>.</w:t>
      </w:r>
    </w:p>
    <w:p w14:paraId="760AA963" w14:textId="7454B00D" w:rsidR="00DE5FE1" w:rsidRPr="00C15E70" w:rsidRDefault="00A33734">
      <w:pPr>
        <w:pStyle w:val="BodyText"/>
      </w:pPr>
      <w:r w:rsidRPr="00C15E70">
        <w:t>Movements in the profile of capital expenditure across years for individual projects are captured at an aggregate level in parameter and other variations.</w:t>
      </w:r>
      <w:r w:rsidR="00FF6F94" w:rsidRPr="00C15E70">
        <w:t xml:space="preserve"> </w:t>
      </w:r>
      <w:r w:rsidR="00901546">
        <w:t>These</w:t>
      </w:r>
      <w:r w:rsidR="0071447B" w:rsidRPr="00C15E70">
        <w:t xml:space="preserve"> variations are the result of changes to the cost and timing of </w:t>
      </w:r>
      <w:r w:rsidR="008016D9">
        <w:t>infrastructure projects</w:t>
      </w:r>
      <w:r w:rsidR="0071447B" w:rsidRPr="00C15E70">
        <w:t xml:space="preserve"> that are largely outside government control. </w:t>
      </w:r>
      <w:r w:rsidR="00A31349">
        <w:t xml:space="preserve">Examples </w:t>
      </w:r>
      <w:r w:rsidR="00A44690">
        <w:t>include changes</w:t>
      </w:r>
      <w:r w:rsidR="0071447B" w:rsidRPr="00C15E70">
        <w:t xml:space="preserve"> </w:t>
      </w:r>
      <w:r w:rsidR="00815BEF">
        <w:t>in</w:t>
      </w:r>
      <w:r w:rsidR="00815BEF" w:rsidRPr="00C15E70">
        <w:t xml:space="preserve"> </w:t>
      </w:r>
      <w:r w:rsidR="0071447B" w:rsidRPr="00C15E70">
        <w:t xml:space="preserve">economic conditions, variations to Commonwealth Government grants, accounting and technical adjustments (including accounting standard changes) and </w:t>
      </w:r>
      <w:r w:rsidR="00711E11" w:rsidRPr="00C15E70">
        <w:t>changes to project delivery schedules</w:t>
      </w:r>
      <w:r w:rsidR="008F162F">
        <w:t xml:space="preserve"> which may have been adversely impacted by major events such as the COVID-19 pandemic, bushfires and floods. </w:t>
      </w:r>
    </w:p>
    <w:p w14:paraId="2DBB4211" w14:textId="6FF2D6A3" w:rsidR="00492E0D" w:rsidRDefault="00DC37DB" w:rsidP="002D0B36">
      <w:pPr>
        <w:pStyle w:val="BodyText"/>
      </w:pPr>
      <w:r w:rsidRPr="004E3945">
        <w:t xml:space="preserve">Table 1.1 shows that </w:t>
      </w:r>
      <w:r w:rsidRPr="004F22F2">
        <w:t xml:space="preserve">capital expenditure has increased from </w:t>
      </w:r>
      <w:r w:rsidR="00E03D5B">
        <w:t xml:space="preserve">a projected </w:t>
      </w:r>
      <w:r w:rsidRPr="00513BB8">
        <w:t>$</w:t>
      </w:r>
      <w:r w:rsidR="002D422B" w:rsidRPr="00513BB8">
        <w:t>25.4</w:t>
      </w:r>
      <w:r w:rsidRPr="006E3051">
        <w:t xml:space="preserve"> billion in </w:t>
      </w:r>
      <w:r w:rsidR="0076275F">
        <w:br/>
      </w:r>
      <w:r w:rsidR="00755DE4">
        <w:t>2020-21</w:t>
      </w:r>
      <w:r w:rsidRPr="006E3051">
        <w:t xml:space="preserve"> to </w:t>
      </w:r>
      <w:r w:rsidRPr="00513BB8">
        <w:t>$</w:t>
      </w:r>
      <w:r w:rsidR="006F252F" w:rsidRPr="00513BB8">
        <w:t>30.</w:t>
      </w:r>
      <w:r w:rsidR="00513BB8" w:rsidRPr="00513BB8">
        <w:t>4</w:t>
      </w:r>
      <w:r>
        <w:t> </w:t>
      </w:r>
      <w:r w:rsidRPr="00A1397D">
        <w:t>billion</w:t>
      </w:r>
      <w:r>
        <w:t xml:space="preserve"> in </w:t>
      </w:r>
      <w:r w:rsidR="00755DE4">
        <w:t>2021-22</w:t>
      </w:r>
      <w:r w:rsidRPr="00A1397D">
        <w:t xml:space="preserve">. Key drivers of this increase include </w:t>
      </w:r>
      <w:r>
        <w:t>initiatives</w:t>
      </w:r>
      <w:r w:rsidR="00645A0D">
        <w:t xml:space="preserve"> such as </w:t>
      </w:r>
      <w:r w:rsidRPr="00A1397D">
        <w:t xml:space="preserve">the </w:t>
      </w:r>
      <w:r w:rsidR="00484371">
        <w:t>new school infrastructure investment</w:t>
      </w:r>
      <w:r w:rsidR="00267935">
        <w:t>,</w:t>
      </w:r>
      <w:r w:rsidR="0048411B">
        <w:t xml:space="preserve"> </w:t>
      </w:r>
      <w:r w:rsidR="00A42127">
        <w:t xml:space="preserve">the Critical Communications </w:t>
      </w:r>
      <w:r w:rsidR="00A42127" w:rsidRPr="006F252F">
        <w:t>Enhancement Program</w:t>
      </w:r>
      <w:r w:rsidR="00A42127">
        <w:t xml:space="preserve"> and </w:t>
      </w:r>
      <w:r w:rsidR="0048411B">
        <w:t>enabling works for the Bradfield City Centre</w:t>
      </w:r>
      <w:r w:rsidR="00A42127">
        <w:t>.</w:t>
      </w:r>
    </w:p>
    <w:p w14:paraId="17D7B41B" w14:textId="5D6777CD" w:rsidR="00826981" w:rsidRPr="008C18C1" w:rsidRDefault="00A33734" w:rsidP="00443719">
      <w:pPr>
        <w:pStyle w:val="Table1X"/>
      </w:pPr>
      <w:r w:rsidRPr="008C18C1">
        <w:t>Capital expenditure reconciliation</w:t>
      </w:r>
      <w:r w:rsidR="009D26AB" w:rsidRPr="008C18C1">
        <w:t xml:space="preserve"> </w:t>
      </w:r>
    </w:p>
    <w:tbl>
      <w:tblPr>
        <w:tblW w:w="9639" w:type="dxa"/>
        <w:tblLayout w:type="fixed"/>
        <w:tblLook w:val="04A0" w:firstRow="1" w:lastRow="0" w:firstColumn="1" w:lastColumn="0" w:noHBand="0" w:noVBand="1"/>
        <w:tblCaption w:val="Table 1.1: Capital expenditure reconciliation "/>
        <w:tblDescription w:val="Table 1.1: Capital expenditure reconciliation "/>
      </w:tblPr>
      <w:tblGrid>
        <w:gridCol w:w="1678"/>
        <w:gridCol w:w="1678"/>
        <w:gridCol w:w="1322"/>
        <w:gridCol w:w="1134"/>
        <w:gridCol w:w="1313"/>
        <w:gridCol w:w="1257"/>
        <w:gridCol w:w="1257"/>
      </w:tblGrid>
      <w:tr w:rsidR="00C37351" w:rsidRPr="00C37351" w14:paraId="1629A581" w14:textId="77777777" w:rsidTr="00001F5A">
        <w:trPr>
          <w:trHeight w:val="315"/>
        </w:trPr>
        <w:tc>
          <w:tcPr>
            <w:tcW w:w="1678" w:type="dxa"/>
            <w:tcBorders>
              <w:top w:val="nil"/>
              <w:left w:val="nil"/>
              <w:right w:val="nil"/>
            </w:tcBorders>
            <w:shd w:val="clear" w:color="auto" w:fill="008EBA"/>
            <w:vAlign w:val="center"/>
            <w:hideMark/>
          </w:tcPr>
          <w:p w14:paraId="221A2F47" w14:textId="77777777" w:rsidR="00C37351" w:rsidRPr="00F70D66" w:rsidRDefault="00C37351" w:rsidP="00C37351">
            <w:pPr>
              <w:jc w:val="center"/>
              <w:rPr>
                <w:rFonts w:ascii="Arial" w:hAnsi="Arial" w:cs="Arial"/>
                <w:color w:val="FFFFFF" w:themeColor="background1"/>
                <w:sz w:val="18"/>
                <w:szCs w:val="18"/>
                <w:lang w:val="en-AU" w:eastAsia="en-AU"/>
              </w:rPr>
            </w:pPr>
            <w:r w:rsidRPr="00F70D66">
              <w:rPr>
                <w:rFonts w:ascii="Arial" w:hAnsi="Arial" w:cs="Arial"/>
                <w:color w:val="FFFFFF" w:themeColor="background1"/>
                <w:sz w:val="18"/>
                <w:szCs w:val="18"/>
                <w:lang w:val="en-AU" w:eastAsia="en-AU"/>
              </w:rPr>
              <w:t> </w:t>
            </w:r>
          </w:p>
        </w:tc>
        <w:tc>
          <w:tcPr>
            <w:tcW w:w="1678" w:type="dxa"/>
            <w:tcBorders>
              <w:top w:val="nil"/>
              <w:left w:val="nil"/>
              <w:right w:val="nil"/>
            </w:tcBorders>
            <w:shd w:val="clear" w:color="auto" w:fill="008EBA"/>
            <w:vAlign w:val="center"/>
            <w:hideMark/>
          </w:tcPr>
          <w:p w14:paraId="61946B8A" w14:textId="77777777" w:rsidR="00C37351" w:rsidRPr="00F70D66" w:rsidRDefault="00C37351" w:rsidP="00C37351">
            <w:pPr>
              <w:jc w:val="center"/>
              <w:rPr>
                <w:rFonts w:ascii="Arial" w:hAnsi="Arial" w:cs="Arial"/>
                <w:color w:val="FFFFFF" w:themeColor="background1"/>
                <w:sz w:val="18"/>
                <w:szCs w:val="18"/>
                <w:lang w:val="en-AU" w:eastAsia="en-AU"/>
              </w:rPr>
            </w:pPr>
            <w:r w:rsidRPr="00F70D66">
              <w:rPr>
                <w:rFonts w:ascii="Arial" w:hAnsi="Arial" w:cs="Arial"/>
                <w:color w:val="FFFFFF" w:themeColor="background1"/>
                <w:sz w:val="18"/>
                <w:szCs w:val="18"/>
                <w:lang w:val="en-AU" w:eastAsia="en-AU"/>
              </w:rPr>
              <w:t> </w:t>
            </w:r>
          </w:p>
        </w:tc>
        <w:tc>
          <w:tcPr>
            <w:tcW w:w="1322" w:type="dxa"/>
            <w:tcBorders>
              <w:top w:val="nil"/>
              <w:left w:val="nil"/>
              <w:right w:val="nil"/>
            </w:tcBorders>
            <w:shd w:val="clear" w:color="auto" w:fill="008EBA"/>
            <w:vAlign w:val="bottom"/>
            <w:hideMark/>
          </w:tcPr>
          <w:p w14:paraId="15EE888B" w14:textId="0C91996D" w:rsidR="00C37351" w:rsidRPr="00F70D66" w:rsidRDefault="009D26AB" w:rsidP="00C37351">
            <w:pPr>
              <w:jc w:val="center"/>
              <w:rPr>
                <w:rFonts w:ascii="Arial" w:hAnsi="Arial" w:cs="Arial"/>
                <w:color w:val="FFFFFF" w:themeColor="background1"/>
                <w:sz w:val="18"/>
                <w:szCs w:val="18"/>
                <w:lang w:val="en-AU" w:eastAsia="en-AU"/>
              </w:rPr>
            </w:pPr>
            <w:r>
              <w:rPr>
                <w:rFonts w:ascii="Arial" w:hAnsi="Arial" w:cs="Arial"/>
                <w:color w:val="FFFFFF" w:themeColor="background1"/>
                <w:sz w:val="18"/>
                <w:szCs w:val="18"/>
                <w:lang w:val="en-AU" w:eastAsia="en-AU"/>
              </w:rPr>
              <w:t>202</w:t>
            </w:r>
            <w:r w:rsidR="00FA3627">
              <w:rPr>
                <w:rFonts w:ascii="Arial" w:hAnsi="Arial" w:cs="Arial"/>
                <w:color w:val="FFFFFF" w:themeColor="background1"/>
                <w:sz w:val="18"/>
                <w:szCs w:val="18"/>
                <w:lang w:val="en-AU" w:eastAsia="en-AU"/>
              </w:rPr>
              <w:t>0</w:t>
            </w:r>
            <w:r>
              <w:rPr>
                <w:rFonts w:ascii="Arial" w:hAnsi="Arial" w:cs="Arial"/>
                <w:color w:val="FFFFFF" w:themeColor="background1"/>
                <w:sz w:val="18"/>
                <w:szCs w:val="18"/>
                <w:lang w:val="en-AU" w:eastAsia="en-AU"/>
              </w:rPr>
              <w:t>-21</w:t>
            </w:r>
          </w:p>
        </w:tc>
        <w:tc>
          <w:tcPr>
            <w:tcW w:w="1134" w:type="dxa"/>
            <w:tcBorders>
              <w:top w:val="nil"/>
              <w:left w:val="nil"/>
              <w:right w:val="nil"/>
            </w:tcBorders>
            <w:shd w:val="clear" w:color="auto" w:fill="008EBA"/>
            <w:vAlign w:val="bottom"/>
            <w:hideMark/>
          </w:tcPr>
          <w:p w14:paraId="7AF8F630" w14:textId="5AA9D347" w:rsidR="00C37351" w:rsidRPr="00F70D66" w:rsidRDefault="002121B2" w:rsidP="00C37351">
            <w:pPr>
              <w:jc w:val="center"/>
              <w:rPr>
                <w:rFonts w:ascii="Arial" w:hAnsi="Arial" w:cs="Arial"/>
                <w:color w:val="FFFFFF" w:themeColor="background1"/>
                <w:sz w:val="18"/>
                <w:szCs w:val="18"/>
                <w:lang w:val="en-AU" w:eastAsia="en-AU"/>
              </w:rPr>
            </w:pPr>
            <w:r>
              <w:rPr>
                <w:rFonts w:ascii="Arial" w:hAnsi="Arial" w:cs="Arial"/>
                <w:color w:val="FFFFFF" w:themeColor="background1"/>
                <w:sz w:val="18"/>
                <w:szCs w:val="18"/>
                <w:lang w:val="en-AU" w:eastAsia="en-AU"/>
              </w:rPr>
              <w:t>2021-22</w:t>
            </w:r>
          </w:p>
        </w:tc>
        <w:tc>
          <w:tcPr>
            <w:tcW w:w="1313" w:type="dxa"/>
            <w:tcBorders>
              <w:top w:val="nil"/>
              <w:left w:val="nil"/>
              <w:right w:val="nil"/>
            </w:tcBorders>
            <w:shd w:val="clear" w:color="auto" w:fill="008EBA"/>
            <w:vAlign w:val="bottom"/>
            <w:hideMark/>
          </w:tcPr>
          <w:p w14:paraId="3C098A65" w14:textId="6753CDD2" w:rsidR="00C37351" w:rsidRPr="00F70D66" w:rsidRDefault="002121B2" w:rsidP="00C37351">
            <w:pPr>
              <w:jc w:val="center"/>
              <w:rPr>
                <w:rFonts w:ascii="Arial" w:hAnsi="Arial" w:cs="Arial"/>
                <w:color w:val="FFFFFF" w:themeColor="background1"/>
                <w:sz w:val="18"/>
                <w:szCs w:val="18"/>
                <w:lang w:val="en-AU" w:eastAsia="en-AU"/>
              </w:rPr>
            </w:pPr>
            <w:r>
              <w:rPr>
                <w:rFonts w:ascii="Arial" w:hAnsi="Arial" w:cs="Arial"/>
                <w:color w:val="FFFFFF" w:themeColor="background1"/>
                <w:sz w:val="18"/>
                <w:szCs w:val="18"/>
                <w:lang w:val="en-AU" w:eastAsia="en-AU"/>
              </w:rPr>
              <w:t>2022-23</w:t>
            </w:r>
          </w:p>
        </w:tc>
        <w:tc>
          <w:tcPr>
            <w:tcW w:w="1257" w:type="dxa"/>
            <w:tcBorders>
              <w:top w:val="nil"/>
              <w:left w:val="nil"/>
              <w:right w:val="nil"/>
            </w:tcBorders>
            <w:shd w:val="clear" w:color="auto" w:fill="008EBA"/>
            <w:vAlign w:val="bottom"/>
            <w:hideMark/>
          </w:tcPr>
          <w:p w14:paraId="550F2160" w14:textId="75328066" w:rsidR="00C37351" w:rsidRPr="00F70D66" w:rsidRDefault="002121B2" w:rsidP="00C37351">
            <w:pPr>
              <w:jc w:val="center"/>
              <w:rPr>
                <w:rFonts w:ascii="Arial" w:hAnsi="Arial" w:cs="Arial"/>
                <w:color w:val="FFFFFF" w:themeColor="background1"/>
                <w:sz w:val="18"/>
                <w:szCs w:val="18"/>
                <w:lang w:val="en-AU" w:eastAsia="en-AU"/>
              </w:rPr>
            </w:pPr>
            <w:r>
              <w:rPr>
                <w:rFonts w:ascii="Arial" w:hAnsi="Arial" w:cs="Arial"/>
                <w:color w:val="FFFFFF" w:themeColor="background1"/>
                <w:sz w:val="18"/>
                <w:szCs w:val="18"/>
                <w:lang w:val="en-AU" w:eastAsia="en-AU"/>
              </w:rPr>
              <w:t>2023-24</w:t>
            </w:r>
          </w:p>
        </w:tc>
        <w:tc>
          <w:tcPr>
            <w:tcW w:w="1257" w:type="dxa"/>
            <w:tcBorders>
              <w:top w:val="nil"/>
              <w:left w:val="nil"/>
              <w:right w:val="nil"/>
            </w:tcBorders>
            <w:shd w:val="clear" w:color="auto" w:fill="008EBA"/>
            <w:vAlign w:val="bottom"/>
            <w:hideMark/>
          </w:tcPr>
          <w:p w14:paraId="4080542A" w14:textId="1D5ED840" w:rsidR="00C37351" w:rsidRPr="00F70D66" w:rsidRDefault="002121B2" w:rsidP="00C37351">
            <w:pPr>
              <w:jc w:val="center"/>
              <w:rPr>
                <w:rFonts w:ascii="Arial" w:hAnsi="Arial" w:cs="Arial"/>
                <w:color w:val="FFFFFF" w:themeColor="background1"/>
                <w:sz w:val="18"/>
                <w:szCs w:val="18"/>
                <w:lang w:val="en-AU" w:eastAsia="en-AU"/>
              </w:rPr>
            </w:pPr>
            <w:r>
              <w:rPr>
                <w:rFonts w:ascii="Arial" w:hAnsi="Arial" w:cs="Arial"/>
                <w:color w:val="FFFFFF" w:themeColor="background1"/>
                <w:sz w:val="18"/>
                <w:szCs w:val="18"/>
                <w:lang w:val="en-AU" w:eastAsia="en-AU"/>
              </w:rPr>
              <w:t>2024-25</w:t>
            </w:r>
          </w:p>
        </w:tc>
      </w:tr>
      <w:tr w:rsidR="007E0984" w:rsidRPr="00C37351" w14:paraId="49B266CD" w14:textId="77777777" w:rsidTr="00001F5A">
        <w:trPr>
          <w:trHeight w:val="252"/>
        </w:trPr>
        <w:tc>
          <w:tcPr>
            <w:tcW w:w="1678" w:type="dxa"/>
            <w:tcBorders>
              <w:top w:val="nil"/>
              <w:left w:val="nil"/>
              <w:right w:val="nil"/>
            </w:tcBorders>
            <w:shd w:val="clear" w:color="auto" w:fill="008EBA"/>
            <w:vAlign w:val="center"/>
          </w:tcPr>
          <w:p w14:paraId="62CE808E" w14:textId="77777777" w:rsidR="007E0984" w:rsidRPr="00F70D66" w:rsidRDefault="007E0984" w:rsidP="00C37351">
            <w:pPr>
              <w:jc w:val="center"/>
              <w:rPr>
                <w:rFonts w:ascii="Arial" w:hAnsi="Arial" w:cs="Arial"/>
                <w:color w:val="FFFFFF" w:themeColor="background1"/>
                <w:sz w:val="18"/>
                <w:szCs w:val="18"/>
                <w:lang w:val="en-AU" w:eastAsia="en-AU"/>
              </w:rPr>
            </w:pPr>
          </w:p>
        </w:tc>
        <w:tc>
          <w:tcPr>
            <w:tcW w:w="1678" w:type="dxa"/>
            <w:tcBorders>
              <w:top w:val="nil"/>
              <w:left w:val="nil"/>
              <w:right w:val="nil"/>
            </w:tcBorders>
            <w:shd w:val="clear" w:color="auto" w:fill="008EBA"/>
            <w:vAlign w:val="center"/>
          </w:tcPr>
          <w:p w14:paraId="2726C5C4" w14:textId="77777777" w:rsidR="007E0984" w:rsidRPr="00F70D66" w:rsidRDefault="007E0984" w:rsidP="00C37351">
            <w:pPr>
              <w:jc w:val="center"/>
              <w:rPr>
                <w:rFonts w:ascii="Arial" w:hAnsi="Arial" w:cs="Arial"/>
                <w:color w:val="FFFFFF" w:themeColor="background1"/>
                <w:sz w:val="18"/>
                <w:szCs w:val="18"/>
                <w:lang w:val="en-AU" w:eastAsia="en-AU"/>
              </w:rPr>
            </w:pPr>
          </w:p>
        </w:tc>
        <w:tc>
          <w:tcPr>
            <w:tcW w:w="1322" w:type="dxa"/>
            <w:tcBorders>
              <w:top w:val="nil"/>
              <w:left w:val="nil"/>
              <w:right w:val="nil"/>
            </w:tcBorders>
            <w:shd w:val="clear" w:color="auto" w:fill="008EBA"/>
            <w:vAlign w:val="bottom"/>
          </w:tcPr>
          <w:p w14:paraId="157DC58D" w14:textId="6DCE3382" w:rsidR="007E0984" w:rsidRPr="00F70D66" w:rsidRDefault="008A7931" w:rsidP="00C37351">
            <w:pPr>
              <w:jc w:val="center"/>
              <w:rPr>
                <w:rFonts w:ascii="Arial" w:hAnsi="Arial" w:cs="Arial"/>
                <w:color w:val="FFFFFF" w:themeColor="background1"/>
                <w:sz w:val="18"/>
                <w:szCs w:val="18"/>
                <w:lang w:val="en-AU" w:eastAsia="en-AU"/>
              </w:rPr>
            </w:pPr>
            <w:r>
              <w:rPr>
                <w:rFonts w:ascii="Arial" w:hAnsi="Arial" w:cs="Arial"/>
                <w:color w:val="FFFFFF" w:themeColor="background1"/>
                <w:sz w:val="18"/>
                <w:szCs w:val="18"/>
                <w:lang w:val="en-AU" w:eastAsia="en-AU"/>
              </w:rPr>
              <w:t>Revised</w:t>
            </w:r>
          </w:p>
        </w:tc>
        <w:tc>
          <w:tcPr>
            <w:tcW w:w="1134" w:type="dxa"/>
            <w:tcBorders>
              <w:top w:val="nil"/>
              <w:left w:val="nil"/>
              <w:right w:val="nil"/>
            </w:tcBorders>
            <w:shd w:val="clear" w:color="auto" w:fill="008EBA"/>
            <w:vAlign w:val="bottom"/>
          </w:tcPr>
          <w:p w14:paraId="1510616E" w14:textId="67B49813" w:rsidR="007E0984" w:rsidRPr="00F70D66" w:rsidRDefault="007E0984" w:rsidP="00C37351">
            <w:pPr>
              <w:jc w:val="center"/>
              <w:rPr>
                <w:rFonts w:ascii="Arial" w:hAnsi="Arial" w:cs="Arial"/>
                <w:color w:val="FFFFFF" w:themeColor="background1"/>
                <w:sz w:val="18"/>
                <w:szCs w:val="18"/>
                <w:lang w:val="en-AU" w:eastAsia="en-AU"/>
              </w:rPr>
            </w:pPr>
            <w:r>
              <w:rPr>
                <w:rFonts w:ascii="Arial" w:hAnsi="Arial" w:cs="Arial"/>
                <w:color w:val="FFFFFF" w:themeColor="background1"/>
                <w:sz w:val="18"/>
                <w:szCs w:val="18"/>
                <w:lang w:val="en-AU" w:eastAsia="en-AU"/>
              </w:rPr>
              <w:t>Budget</w:t>
            </w:r>
          </w:p>
        </w:tc>
        <w:tc>
          <w:tcPr>
            <w:tcW w:w="3827" w:type="dxa"/>
            <w:gridSpan w:val="3"/>
            <w:tcBorders>
              <w:top w:val="nil"/>
              <w:left w:val="nil"/>
              <w:right w:val="nil"/>
            </w:tcBorders>
            <w:shd w:val="clear" w:color="auto" w:fill="008EBA"/>
            <w:vAlign w:val="bottom"/>
          </w:tcPr>
          <w:p w14:paraId="097E348B" w14:textId="6CA46E84" w:rsidR="007E0984" w:rsidRPr="00F70D66" w:rsidRDefault="007E0984" w:rsidP="00C37351">
            <w:pPr>
              <w:jc w:val="center"/>
              <w:rPr>
                <w:rFonts w:ascii="Arial" w:hAnsi="Arial" w:cs="Arial"/>
                <w:color w:val="FFFFFF" w:themeColor="background1"/>
                <w:sz w:val="18"/>
                <w:szCs w:val="18"/>
                <w:lang w:val="en-AU" w:eastAsia="en-AU"/>
              </w:rPr>
            </w:pPr>
            <w:r>
              <w:rPr>
                <w:rFonts w:ascii="Arial" w:hAnsi="Arial" w:cs="Arial"/>
                <w:color w:val="FFFFFF" w:themeColor="background1"/>
                <w:sz w:val="18"/>
                <w:szCs w:val="18"/>
                <w:lang w:val="en-AU" w:eastAsia="en-AU"/>
              </w:rPr>
              <w:t>Forward Estimates</w:t>
            </w:r>
          </w:p>
        </w:tc>
      </w:tr>
      <w:tr w:rsidR="00C37351" w:rsidRPr="00C37351" w14:paraId="44311EDA" w14:textId="77777777" w:rsidTr="00090EF0">
        <w:trPr>
          <w:trHeight w:val="315"/>
        </w:trPr>
        <w:tc>
          <w:tcPr>
            <w:tcW w:w="1678" w:type="dxa"/>
            <w:tcBorders>
              <w:top w:val="nil"/>
              <w:left w:val="nil"/>
              <w:right w:val="nil"/>
            </w:tcBorders>
            <w:shd w:val="clear" w:color="auto" w:fill="00426F"/>
            <w:vAlign w:val="center"/>
            <w:hideMark/>
          </w:tcPr>
          <w:p w14:paraId="56BEFBF6" w14:textId="77777777" w:rsidR="00C37351" w:rsidRPr="00C37351" w:rsidRDefault="00C37351" w:rsidP="00C37351">
            <w:pPr>
              <w:jc w:val="center"/>
              <w:rPr>
                <w:rFonts w:ascii="Arial" w:hAnsi="Arial" w:cs="Arial"/>
                <w:color w:val="FFFFFF"/>
                <w:sz w:val="18"/>
                <w:szCs w:val="18"/>
                <w:lang w:val="en-AU" w:eastAsia="en-AU"/>
              </w:rPr>
            </w:pPr>
            <w:r w:rsidRPr="00C37351">
              <w:rPr>
                <w:rFonts w:ascii="Arial" w:hAnsi="Arial" w:cs="Arial"/>
                <w:color w:val="FFFFFF"/>
                <w:sz w:val="18"/>
                <w:szCs w:val="18"/>
                <w:lang w:val="en-AU" w:eastAsia="en-AU"/>
              </w:rPr>
              <w:t> </w:t>
            </w:r>
          </w:p>
        </w:tc>
        <w:tc>
          <w:tcPr>
            <w:tcW w:w="1678" w:type="dxa"/>
            <w:tcBorders>
              <w:top w:val="nil"/>
              <w:left w:val="nil"/>
              <w:right w:val="nil"/>
            </w:tcBorders>
            <w:shd w:val="clear" w:color="auto" w:fill="00426F"/>
            <w:vAlign w:val="center"/>
            <w:hideMark/>
          </w:tcPr>
          <w:p w14:paraId="77D4EBBF" w14:textId="77777777" w:rsidR="00C37351" w:rsidRPr="00C37351" w:rsidRDefault="00C37351" w:rsidP="00C37351">
            <w:pPr>
              <w:jc w:val="center"/>
              <w:rPr>
                <w:rFonts w:ascii="Arial" w:hAnsi="Arial" w:cs="Arial"/>
                <w:color w:val="FFFFFF"/>
                <w:sz w:val="18"/>
                <w:szCs w:val="18"/>
                <w:lang w:val="en-AU" w:eastAsia="en-AU"/>
              </w:rPr>
            </w:pPr>
            <w:r w:rsidRPr="00C37351">
              <w:rPr>
                <w:rFonts w:ascii="Arial" w:hAnsi="Arial" w:cs="Arial"/>
                <w:color w:val="FFFFFF"/>
                <w:sz w:val="18"/>
                <w:szCs w:val="18"/>
                <w:lang w:val="en-AU" w:eastAsia="en-AU"/>
              </w:rPr>
              <w:t> </w:t>
            </w:r>
          </w:p>
        </w:tc>
        <w:tc>
          <w:tcPr>
            <w:tcW w:w="1322" w:type="dxa"/>
            <w:tcBorders>
              <w:top w:val="nil"/>
              <w:left w:val="nil"/>
              <w:right w:val="nil"/>
            </w:tcBorders>
            <w:shd w:val="clear" w:color="auto" w:fill="00426F"/>
            <w:hideMark/>
          </w:tcPr>
          <w:p w14:paraId="3E65075B" w14:textId="77777777" w:rsidR="00C37351" w:rsidRPr="00C37351" w:rsidRDefault="00C37351" w:rsidP="00C37351">
            <w:pPr>
              <w:jc w:val="center"/>
              <w:rPr>
                <w:rFonts w:ascii="Arial" w:hAnsi="Arial" w:cs="Arial"/>
                <w:color w:val="FFFFFF"/>
                <w:sz w:val="18"/>
                <w:szCs w:val="18"/>
                <w:lang w:val="en-AU" w:eastAsia="en-AU"/>
              </w:rPr>
            </w:pPr>
            <w:r w:rsidRPr="00C37351">
              <w:rPr>
                <w:rFonts w:ascii="Arial" w:hAnsi="Arial" w:cs="Arial"/>
                <w:color w:val="FFFFFF"/>
                <w:sz w:val="18"/>
                <w:szCs w:val="18"/>
                <w:lang w:val="en-AU" w:eastAsia="en-AU"/>
              </w:rPr>
              <w:t>$m</w:t>
            </w:r>
          </w:p>
        </w:tc>
        <w:tc>
          <w:tcPr>
            <w:tcW w:w="1134" w:type="dxa"/>
            <w:tcBorders>
              <w:top w:val="nil"/>
              <w:left w:val="nil"/>
              <w:right w:val="nil"/>
            </w:tcBorders>
            <w:shd w:val="clear" w:color="auto" w:fill="00426F"/>
            <w:hideMark/>
          </w:tcPr>
          <w:p w14:paraId="44D80965" w14:textId="77777777" w:rsidR="00C37351" w:rsidRPr="00C37351" w:rsidRDefault="00C37351" w:rsidP="00C37351">
            <w:pPr>
              <w:jc w:val="center"/>
              <w:rPr>
                <w:rFonts w:ascii="Arial" w:hAnsi="Arial" w:cs="Arial"/>
                <w:color w:val="FFFFFF"/>
                <w:sz w:val="18"/>
                <w:szCs w:val="18"/>
                <w:lang w:val="en-AU" w:eastAsia="en-AU"/>
              </w:rPr>
            </w:pPr>
            <w:r w:rsidRPr="00C37351">
              <w:rPr>
                <w:rFonts w:ascii="Arial" w:hAnsi="Arial" w:cs="Arial"/>
                <w:color w:val="FFFFFF"/>
                <w:sz w:val="18"/>
                <w:szCs w:val="18"/>
                <w:lang w:val="en-AU" w:eastAsia="en-AU"/>
              </w:rPr>
              <w:t>$m</w:t>
            </w:r>
          </w:p>
        </w:tc>
        <w:tc>
          <w:tcPr>
            <w:tcW w:w="1313" w:type="dxa"/>
            <w:tcBorders>
              <w:top w:val="nil"/>
              <w:left w:val="nil"/>
              <w:right w:val="nil"/>
            </w:tcBorders>
            <w:shd w:val="clear" w:color="auto" w:fill="00426F"/>
            <w:hideMark/>
          </w:tcPr>
          <w:p w14:paraId="2EED51A4" w14:textId="77777777" w:rsidR="00C37351" w:rsidRPr="00C37351" w:rsidRDefault="00C37351" w:rsidP="00C37351">
            <w:pPr>
              <w:jc w:val="center"/>
              <w:rPr>
                <w:rFonts w:ascii="Arial" w:hAnsi="Arial" w:cs="Arial"/>
                <w:color w:val="FFFFFF"/>
                <w:sz w:val="18"/>
                <w:szCs w:val="18"/>
                <w:lang w:val="en-AU" w:eastAsia="en-AU"/>
              </w:rPr>
            </w:pPr>
            <w:r w:rsidRPr="00C37351">
              <w:rPr>
                <w:rFonts w:ascii="Arial" w:hAnsi="Arial" w:cs="Arial"/>
                <w:color w:val="FFFFFF"/>
                <w:sz w:val="18"/>
                <w:szCs w:val="18"/>
                <w:lang w:val="en-AU" w:eastAsia="en-AU"/>
              </w:rPr>
              <w:t>$m</w:t>
            </w:r>
          </w:p>
        </w:tc>
        <w:tc>
          <w:tcPr>
            <w:tcW w:w="1257" w:type="dxa"/>
            <w:tcBorders>
              <w:top w:val="nil"/>
              <w:left w:val="nil"/>
              <w:right w:val="nil"/>
            </w:tcBorders>
            <w:shd w:val="clear" w:color="auto" w:fill="00426F"/>
            <w:hideMark/>
          </w:tcPr>
          <w:p w14:paraId="6161D445" w14:textId="77777777" w:rsidR="00C37351" w:rsidRPr="00C37351" w:rsidRDefault="00C37351" w:rsidP="00C37351">
            <w:pPr>
              <w:jc w:val="center"/>
              <w:rPr>
                <w:rFonts w:ascii="Arial" w:hAnsi="Arial" w:cs="Arial"/>
                <w:color w:val="FFFFFF"/>
                <w:sz w:val="18"/>
                <w:szCs w:val="18"/>
                <w:lang w:val="en-AU" w:eastAsia="en-AU"/>
              </w:rPr>
            </w:pPr>
            <w:r w:rsidRPr="00C37351">
              <w:rPr>
                <w:rFonts w:ascii="Arial" w:hAnsi="Arial" w:cs="Arial"/>
                <w:color w:val="FFFFFF"/>
                <w:sz w:val="18"/>
                <w:szCs w:val="18"/>
                <w:lang w:val="en-AU" w:eastAsia="en-AU"/>
              </w:rPr>
              <w:t>$m</w:t>
            </w:r>
          </w:p>
        </w:tc>
        <w:tc>
          <w:tcPr>
            <w:tcW w:w="1257" w:type="dxa"/>
            <w:tcBorders>
              <w:top w:val="nil"/>
              <w:left w:val="nil"/>
              <w:right w:val="nil"/>
            </w:tcBorders>
            <w:shd w:val="clear" w:color="auto" w:fill="00426F"/>
            <w:hideMark/>
          </w:tcPr>
          <w:p w14:paraId="01195727" w14:textId="77777777" w:rsidR="00C37351" w:rsidRPr="00C37351" w:rsidRDefault="00C37351" w:rsidP="00C37351">
            <w:pPr>
              <w:jc w:val="center"/>
              <w:rPr>
                <w:rFonts w:ascii="Arial" w:hAnsi="Arial" w:cs="Arial"/>
                <w:color w:val="FFFFFF"/>
                <w:sz w:val="18"/>
                <w:szCs w:val="18"/>
                <w:lang w:val="en-AU" w:eastAsia="en-AU"/>
              </w:rPr>
            </w:pPr>
            <w:r w:rsidRPr="00C37351">
              <w:rPr>
                <w:rFonts w:ascii="Arial" w:hAnsi="Arial" w:cs="Arial"/>
                <w:color w:val="FFFFFF"/>
                <w:sz w:val="18"/>
                <w:szCs w:val="18"/>
                <w:lang w:val="en-AU" w:eastAsia="en-AU"/>
              </w:rPr>
              <w:t>$m</w:t>
            </w:r>
          </w:p>
        </w:tc>
      </w:tr>
      <w:tr w:rsidR="00527942" w:rsidRPr="00C37351" w14:paraId="52530C00" w14:textId="77777777" w:rsidTr="00090EF0">
        <w:trPr>
          <w:trHeight w:val="363"/>
        </w:trPr>
        <w:tc>
          <w:tcPr>
            <w:tcW w:w="3356" w:type="dxa"/>
            <w:gridSpan w:val="2"/>
            <w:tcBorders>
              <w:left w:val="nil"/>
              <w:right w:val="nil"/>
            </w:tcBorders>
            <w:shd w:val="clear" w:color="auto" w:fill="auto"/>
            <w:noWrap/>
            <w:vAlign w:val="center"/>
          </w:tcPr>
          <w:p w14:paraId="215717C0" w14:textId="6792C695" w:rsidR="00527942" w:rsidRPr="00C37351" w:rsidRDefault="00975DCB" w:rsidP="00C37351">
            <w:pPr>
              <w:rPr>
                <w:rFonts w:ascii="Arial" w:hAnsi="Arial" w:cs="Arial"/>
                <w:b/>
                <w:bCs/>
                <w:color w:val="0579B9"/>
                <w:sz w:val="18"/>
                <w:szCs w:val="18"/>
                <w:lang w:val="en-AU" w:eastAsia="en-AU"/>
              </w:rPr>
            </w:pPr>
            <w:r w:rsidRPr="00C828EE">
              <w:rPr>
                <w:rFonts w:ascii="Arial" w:hAnsi="Arial" w:cs="Arial"/>
                <w:b/>
                <w:bCs/>
                <w:color w:val="0579B9"/>
                <w:sz w:val="18"/>
                <w:szCs w:val="18"/>
                <w:lang w:val="en-AU" w:eastAsia="en-AU"/>
              </w:rPr>
              <w:t xml:space="preserve">Capital </w:t>
            </w:r>
            <w:r w:rsidR="002121B2">
              <w:rPr>
                <w:rFonts w:ascii="Arial" w:hAnsi="Arial" w:cs="Arial"/>
                <w:b/>
                <w:bCs/>
                <w:color w:val="0579B9"/>
                <w:sz w:val="18"/>
                <w:szCs w:val="18"/>
                <w:lang w:val="en-AU" w:eastAsia="en-AU"/>
              </w:rPr>
              <w:t>–</w:t>
            </w:r>
            <w:r w:rsidRPr="00C828EE">
              <w:rPr>
                <w:rFonts w:ascii="Arial" w:hAnsi="Arial" w:cs="Arial"/>
                <w:b/>
                <w:bCs/>
                <w:color w:val="0579B9"/>
                <w:sz w:val="18"/>
                <w:szCs w:val="18"/>
                <w:lang w:val="en-AU" w:eastAsia="en-AU"/>
              </w:rPr>
              <w:t xml:space="preserve"> </w:t>
            </w:r>
            <w:r w:rsidR="002121B2">
              <w:rPr>
                <w:rFonts w:ascii="Arial" w:hAnsi="Arial" w:cs="Arial"/>
                <w:b/>
                <w:bCs/>
                <w:color w:val="0579B9"/>
                <w:sz w:val="18"/>
                <w:szCs w:val="18"/>
                <w:lang w:val="en-AU" w:eastAsia="en-AU"/>
              </w:rPr>
              <w:t>2020-21</w:t>
            </w:r>
            <w:r w:rsidRPr="00C828EE">
              <w:rPr>
                <w:rFonts w:ascii="Arial" w:hAnsi="Arial" w:cs="Arial"/>
                <w:b/>
                <w:bCs/>
                <w:color w:val="0579B9"/>
                <w:sz w:val="18"/>
                <w:szCs w:val="18"/>
                <w:lang w:val="en-AU" w:eastAsia="en-AU"/>
              </w:rPr>
              <w:t xml:space="preserve"> </w:t>
            </w:r>
            <w:r>
              <w:rPr>
                <w:rFonts w:ascii="Arial" w:hAnsi="Arial" w:cs="Arial"/>
                <w:b/>
                <w:bCs/>
                <w:color w:val="0579B9"/>
                <w:sz w:val="18"/>
                <w:szCs w:val="18"/>
                <w:lang w:val="en-AU" w:eastAsia="en-AU"/>
              </w:rPr>
              <w:t>Budget</w:t>
            </w:r>
          </w:p>
        </w:tc>
        <w:tc>
          <w:tcPr>
            <w:tcW w:w="1322" w:type="dxa"/>
            <w:tcBorders>
              <w:left w:val="nil"/>
              <w:right w:val="nil"/>
            </w:tcBorders>
            <w:shd w:val="clear" w:color="auto" w:fill="auto"/>
            <w:noWrap/>
            <w:vAlign w:val="center"/>
          </w:tcPr>
          <w:p w14:paraId="2536DDF8" w14:textId="3FC6AB4E" w:rsidR="00527942" w:rsidRPr="00D20950" w:rsidRDefault="007F4F78" w:rsidP="00766DC5">
            <w:pPr>
              <w:ind w:right="170"/>
              <w:jc w:val="right"/>
              <w:rPr>
                <w:rFonts w:ascii="Arial" w:hAnsi="Arial" w:cs="Arial"/>
                <w:b/>
                <w:color w:val="0579B9"/>
                <w:sz w:val="18"/>
                <w:szCs w:val="18"/>
                <w:lang w:val="en-AU" w:eastAsia="en-AU"/>
              </w:rPr>
            </w:pPr>
            <w:r w:rsidRPr="00AC66EB">
              <w:rPr>
                <w:rFonts w:ascii="Arial" w:hAnsi="Arial" w:cs="Arial"/>
                <w:b/>
                <w:color w:val="0579B9"/>
                <w:sz w:val="18"/>
                <w:szCs w:val="18"/>
                <w:lang w:val="en-AU" w:eastAsia="en-AU"/>
              </w:rPr>
              <w:t>29</w:t>
            </w:r>
            <w:r>
              <w:rPr>
                <w:rFonts w:ascii="Arial" w:hAnsi="Arial" w:cs="Arial"/>
                <w:b/>
                <w:bCs/>
                <w:color w:val="0579B9"/>
                <w:sz w:val="18"/>
                <w:szCs w:val="18"/>
                <w:lang w:val="en-AU" w:eastAsia="en-AU"/>
              </w:rPr>
              <w:t>,146</w:t>
            </w:r>
          </w:p>
        </w:tc>
        <w:tc>
          <w:tcPr>
            <w:tcW w:w="1134" w:type="dxa"/>
            <w:tcBorders>
              <w:left w:val="nil"/>
              <w:right w:val="nil"/>
            </w:tcBorders>
            <w:shd w:val="pct5" w:color="auto" w:fill="auto"/>
            <w:noWrap/>
            <w:vAlign w:val="center"/>
          </w:tcPr>
          <w:p w14:paraId="44EE35EE" w14:textId="43A6B4F0" w:rsidR="00527942" w:rsidRPr="00D20950" w:rsidRDefault="00414A0F" w:rsidP="00766DC5">
            <w:pPr>
              <w:ind w:right="170"/>
              <w:jc w:val="right"/>
              <w:rPr>
                <w:rFonts w:ascii="Arial" w:hAnsi="Arial" w:cs="Arial"/>
                <w:b/>
                <w:color w:val="0579B9"/>
                <w:sz w:val="18"/>
                <w:szCs w:val="18"/>
                <w:lang w:val="en-AU" w:eastAsia="en-AU"/>
              </w:rPr>
            </w:pPr>
            <w:r w:rsidRPr="00AC66EB">
              <w:rPr>
                <w:rFonts w:ascii="Arial" w:hAnsi="Arial" w:cs="Arial"/>
                <w:b/>
                <w:color w:val="0579B9"/>
                <w:sz w:val="18"/>
                <w:szCs w:val="18"/>
                <w:lang w:val="en-AU" w:eastAsia="en-AU"/>
              </w:rPr>
              <w:t>29</w:t>
            </w:r>
            <w:r>
              <w:rPr>
                <w:rFonts w:ascii="Arial" w:hAnsi="Arial" w:cs="Arial"/>
                <w:b/>
                <w:bCs/>
                <w:color w:val="0579B9"/>
                <w:sz w:val="18"/>
                <w:szCs w:val="18"/>
                <w:lang w:val="en-AU" w:eastAsia="en-AU"/>
              </w:rPr>
              <w:t>,818</w:t>
            </w:r>
          </w:p>
        </w:tc>
        <w:tc>
          <w:tcPr>
            <w:tcW w:w="1313" w:type="dxa"/>
            <w:tcBorders>
              <w:left w:val="nil"/>
              <w:right w:val="nil"/>
            </w:tcBorders>
            <w:shd w:val="pct5" w:color="auto" w:fill="auto"/>
            <w:noWrap/>
            <w:vAlign w:val="center"/>
          </w:tcPr>
          <w:p w14:paraId="0197C634" w14:textId="6D7840B6" w:rsidR="00527942" w:rsidRPr="00D20950" w:rsidRDefault="00414A0F" w:rsidP="00766DC5">
            <w:pPr>
              <w:ind w:right="170"/>
              <w:jc w:val="right"/>
              <w:rPr>
                <w:rFonts w:ascii="Arial" w:hAnsi="Arial" w:cs="Arial"/>
                <w:b/>
                <w:color w:val="0579B9"/>
                <w:sz w:val="18"/>
                <w:szCs w:val="18"/>
                <w:lang w:val="en-AU" w:eastAsia="en-AU"/>
              </w:rPr>
            </w:pPr>
            <w:r w:rsidRPr="00AC66EB">
              <w:rPr>
                <w:rFonts w:ascii="Arial" w:hAnsi="Arial" w:cs="Arial"/>
                <w:b/>
                <w:color w:val="0579B9"/>
                <w:sz w:val="18"/>
                <w:szCs w:val="18"/>
                <w:lang w:val="en-AU" w:eastAsia="en-AU"/>
              </w:rPr>
              <w:t>25</w:t>
            </w:r>
            <w:r>
              <w:rPr>
                <w:rFonts w:ascii="Arial" w:hAnsi="Arial" w:cs="Arial"/>
                <w:b/>
                <w:bCs/>
                <w:color w:val="0579B9"/>
                <w:sz w:val="18"/>
                <w:szCs w:val="18"/>
                <w:lang w:val="en-AU" w:eastAsia="en-AU"/>
              </w:rPr>
              <w:t>,401</w:t>
            </w:r>
          </w:p>
        </w:tc>
        <w:tc>
          <w:tcPr>
            <w:tcW w:w="1257" w:type="dxa"/>
            <w:tcBorders>
              <w:left w:val="nil"/>
              <w:right w:val="nil"/>
            </w:tcBorders>
            <w:shd w:val="pct5" w:color="auto" w:fill="auto"/>
            <w:noWrap/>
            <w:vAlign w:val="center"/>
          </w:tcPr>
          <w:p w14:paraId="369B6B18" w14:textId="39578B0A" w:rsidR="00527942" w:rsidRPr="00D20950" w:rsidRDefault="00414A0F" w:rsidP="00766DC5">
            <w:pPr>
              <w:ind w:right="170"/>
              <w:jc w:val="right"/>
              <w:rPr>
                <w:rFonts w:ascii="Arial" w:hAnsi="Arial" w:cs="Arial"/>
                <w:b/>
                <w:color w:val="0579B9"/>
                <w:sz w:val="18"/>
                <w:szCs w:val="18"/>
                <w:lang w:val="en-AU" w:eastAsia="en-AU"/>
              </w:rPr>
            </w:pPr>
            <w:r w:rsidRPr="00AC66EB">
              <w:rPr>
                <w:rFonts w:ascii="Arial" w:hAnsi="Arial" w:cs="Arial"/>
                <w:b/>
                <w:color w:val="0579B9"/>
                <w:sz w:val="18"/>
                <w:szCs w:val="18"/>
                <w:lang w:val="en-AU" w:eastAsia="en-AU"/>
              </w:rPr>
              <w:t>22</w:t>
            </w:r>
            <w:r>
              <w:rPr>
                <w:rFonts w:ascii="Arial" w:hAnsi="Arial" w:cs="Arial"/>
                <w:b/>
                <w:bCs/>
                <w:color w:val="0579B9"/>
                <w:sz w:val="18"/>
                <w:szCs w:val="18"/>
                <w:lang w:val="en-AU" w:eastAsia="en-AU"/>
              </w:rPr>
              <w:t>,722</w:t>
            </w:r>
          </w:p>
        </w:tc>
        <w:tc>
          <w:tcPr>
            <w:tcW w:w="1257" w:type="dxa"/>
            <w:tcBorders>
              <w:left w:val="nil"/>
              <w:right w:val="nil"/>
            </w:tcBorders>
            <w:shd w:val="pct5" w:color="auto" w:fill="auto"/>
            <w:noWrap/>
            <w:vAlign w:val="center"/>
          </w:tcPr>
          <w:p w14:paraId="03684606" w14:textId="4E21B35C" w:rsidR="00527942" w:rsidRPr="007917CA" w:rsidRDefault="005E2360" w:rsidP="00766DC5">
            <w:pPr>
              <w:ind w:right="170"/>
              <w:jc w:val="right"/>
              <w:rPr>
                <w:rFonts w:ascii="Arial" w:hAnsi="Arial" w:cs="Arial"/>
                <w:color w:val="000000"/>
                <w:sz w:val="18"/>
                <w:szCs w:val="18"/>
                <w:lang w:val="en-AU" w:eastAsia="en-AU"/>
              </w:rPr>
            </w:pPr>
            <w:r>
              <w:rPr>
                <w:rFonts w:ascii="Arial" w:hAnsi="Arial" w:cs="Arial"/>
                <w:b/>
                <w:color w:val="0579B9"/>
                <w:sz w:val="18"/>
                <w:szCs w:val="18"/>
                <w:lang w:val="en-AU" w:eastAsia="en-AU"/>
              </w:rPr>
              <w:t>N/A</w:t>
            </w:r>
          </w:p>
        </w:tc>
      </w:tr>
      <w:tr w:rsidR="00D52CC9" w:rsidRPr="00C37351" w14:paraId="77A9D3B9" w14:textId="77777777" w:rsidTr="00090EF0">
        <w:trPr>
          <w:trHeight w:val="363"/>
        </w:trPr>
        <w:tc>
          <w:tcPr>
            <w:tcW w:w="3356" w:type="dxa"/>
            <w:gridSpan w:val="2"/>
            <w:tcBorders>
              <w:left w:val="nil"/>
              <w:right w:val="nil"/>
            </w:tcBorders>
            <w:shd w:val="clear" w:color="auto" w:fill="auto"/>
            <w:noWrap/>
            <w:vAlign w:val="center"/>
          </w:tcPr>
          <w:p w14:paraId="57004233" w14:textId="1B4C5F6D" w:rsidR="00D52CC9" w:rsidRPr="00C37351" w:rsidRDefault="00B70C58" w:rsidP="00D52CC9">
            <w:pPr>
              <w:rPr>
                <w:rFonts w:ascii="Arial" w:hAnsi="Arial" w:cs="Arial"/>
                <w:b/>
                <w:bCs/>
                <w:color w:val="0579B9"/>
                <w:sz w:val="18"/>
                <w:szCs w:val="18"/>
                <w:lang w:val="en-AU" w:eastAsia="en-AU"/>
              </w:rPr>
            </w:pPr>
            <w:r>
              <w:rPr>
                <w:rFonts w:ascii="Arial" w:hAnsi="Arial" w:cs="Arial"/>
                <w:b/>
                <w:bCs/>
                <w:color w:val="000000"/>
                <w:sz w:val="18"/>
                <w:szCs w:val="18"/>
                <w:lang w:val="en-AU" w:eastAsia="en-AU"/>
              </w:rPr>
              <w:t>C</w:t>
            </w:r>
            <w:r w:rsidR="00D52CC9" w:rsidRPr="002170FF">
              <w:rPr>
                <w:rFonts w:ascii="Arial" w:hAnsi="Arial" w:cs="Arial"/>
                <w:b/>
                <w:bCs/>
                <w:color w:val="000000"/>
                <w:sz w:val="18"/>
                <w:szCs w:val="18"/>
                <w:lang w:val="en-AU" w:eastAsia="en-AU"/>
              </w:rPr>
              <w:t xml:space="preserve">apital </w:t>
            </w:r>
            <w:r w:rsidR="00C57647">
              <w:rPr>
                <w:rFonts w:ascii="Arial" w:hAnsi="Arial" w:cs="Arial"/>
                <w:b/>
                <w:bCs/>
                <w:color w:val="000000"/>
                <w:sz w:val="18"/>
                <w:szCs w:val="18"/>
                <w:lang w:val="en-AU" w:eastAsia="en-AU"/>
              </w:rPr>
              <w:t>measures</w:t>
            </w:r>
            <w:r w:rsidR="00D52CC9" w:rsidRPr="00C828EE">
              <w:rPr>
                <w:rFonts w:ascii="Arial" w:hAnsi="Arial" w:cs="Arial"/>
                <w:color w:val="000000"/>
                <w:sz w:val="18"/>
                <w:szCs w:val="18"/>
                <w:vertAlign w:val="superscript"/>
                <w:lang w:val="en-AU" w:eastAsia="en-AU"/>
              </w:rPr>
              <w:t>(a)</w:t>
            </w:r>
          </w:p>
        </w:tc>
        <w:tc>
          <w:tcPr>
            <w:tcW w:w="1322" w:type="dxa"/>
            <w:tcBorders>
              <w:left w:val="nil"/>
              <w:right w:val="nil"/>
            </w:tcBorders>
            <w:shd w:val="clear" w:color="auto" w:fill="auto"/>
            <w:noWrap/>
            <w:vAlign w:val="center"/>
          </w:tcPr>
          <w:p w14:paraId="3FF89570" w14:textId="6E7DE176" w:rsidR="00D52CC9" w:rsidRPr="009F3CFF" w:rsidRDefault="00274260" w:rsidP="00766DC5">
            <w:pPr>
              <w:ind w:right="170"/>
              <w:jc w:val="right"/>
              <w:rPr>
                <w:rFonts w:ascii="Arial" w:hAnsi="Arial" w:cs="Arial"/>
                <w:color w:val="000000"/>
                <w:sz w:val="18"/>
                <w:szCs w:val="18"/>
                <w:lang w:val="en-AU" w:eastAsia="en-AU"/>
              </w:rPr>
            </w:pPr>
            <w:r>
              <w:rPr>
                <w:rFonts w:ascii="Arial" w:hAnsi="Arial" w:cs="Arial"/>
                <w:color w:val="000000"/>
                <w:sz w:val="18"/>
                <w:szCs w:val="18"/>
                <w:lang w:val="en-AU" w:eastAsia="en-AU"/>
              </w:rPr>
              <w:t>(6)</w:t>
            </w:r>
          </w:p>
        </w:tc>
        <w:tc>
          <w:tcPr>
            <w:tcW w:w="1134" w:type="dxa"/>
            <w:tcBorders>
              <w:left w:val="nil"/>
              <w:right w:val="nil"/>
            </w:tcBorders>
            <w:shd w:val="pct5" w:color="auto" w:fill="auto"/>
            <w:noWrap/>
            <w:vAlign w:val="center"/>
          </w:tcPr>
          <w:p w14:paraId="3E89CDA4" w14:textId="6E3F5C1B" w:rsidR="00D52CC9" w:rsidRPr="009F3CFF" w:rsidRDefault="00274260" w:rsidP="00766DC5">
            <w:pPr>
              <w:ind w:right="170"/>
              <w:jc w:val="right"/>
              <w:rPr>
                <w:rFonts w:ascii="Arial" w:hAnsi="Arial" w:cs="Arial"/>
                <w:color w:val="000000"/>
                <w:sz w:val="18"/>
                <w:szCs w:val="18"/>
                <w:lang w:val="en-AU" w:eastAsia="en-AU"/>
              </w:rPr>
            </w:pPr>
            <w:r w:rsidRPr="00AC66EB">
              <w:rPr>
                <w:rFonts w:ascii="Arial" w:hAnsi="Arial" w:cs="Arial"/>
                <w:color w:val="000000"/>
                <w:sz w:val="18"/>
                <w:szCs w:val="18"/>
                <w:lang w:val="en-AU" w:eastAsia="en-AU"/>
              </w:rPr>
              <w:t>74</w:t>
            </w:r>
          </w:p>
        </w:tc>
        <w:tc>
          <w:tcPr>
            <w:tcW w:w="1313" w:type="dxa"/>
            <w:tcBorders>
              <w:left w:val="nil"/>
              <w:right w:val="nil"/>
            </w:tcBorders>
            <w:shd w:val="pct5" w:color="auto" w:fill="auto"/>
            <w:noWrap/>
            <w:vAlign w:val="center"/>
          </w:tcPr>
          <w:p w14:paraId="47A2F241" w14:textId="0FBD7BE9" w:rsidR="00D52CC9" w:rsidRPr="009F3CFF" w:rsidRDefault="00274260" w:rsidP="00766DC5">
            <w:pPr>
              <w:ind w:right="170"/>
              <w:jc w:val="right"/>
              <w:rPr>
                <w:rFonts w:ascii="Arial" w:hAnsi="Arial" w:cs="Arial"/>
                <w:color w:val="000000"/>
                <w:sz w:val="18"/>
                <w:szCs w:val="18"/>
                <w:lang w:val="en-AU" w:eastAsia="en-AU"/>
              </w:rPr>
            </w:pPr>
            <w:r w:rsidRPr="00AC66EB">
              <w:rPr>
                <w:rFonts w:ascii="Arial" w:hAnsi="Arial" w:cs="Arial"/>
                <w:color w:val="000000"/>
                <w:sz w:val="18"/>
                <w:szCs w:val="18"/>
                <w:lang w:val="en-AU" w:eastAsia="en-AU"/>
              </w:rPr>
              <w:t>64</w:t>
            </w:r>
          </w:p>
        </w:tc>
        <w:tc>
          <w:tcPr>
            <w:tcW w:w="1257" w:type="dxa"/>
            <w:tcBorders>
              <w:left w:val="nil"/>
              <w:right w:val="nil"/>
            </w:tcBorders>
            <w:shd w:val="pct5" w:color="auto" w:fill="auto"/>
            <w:noWrap/>
            <w:vAlign w:val="center"/>
          </w:tcPr>
          <w:p w14:paraId="5134941C" w14:textId="7347561C" w:rsidR="00D52CC9" w:rsidRPr="009F3CFF" w:rsidRDefault="00274260" w:rsidP="00766DC5">
            <w:pPr>
              <w:ind w:right="170"/>
              <w:jc w:val="right"/>
              <w:rPr>
                <w:rFonts w:ascii="Arial" w:hAnsi="Arial" w:cs="Arial"/>
                <w:color w:val="000000"/>
                <w:sz w:val="18"/>
                <w:szCs w:val="18"/>
                <w:lang w:val="en-AU" w:eastAsia="en-AU"/>
              </w:rPr>
            </w:pPr>
            <w:r w:rsidRPr="00AC66EB">
              <w:rPr>
                <w:rFonts w:ascii="Arial" w:hAnsi="Arial" w:cs="Arial"/>
                <w:color w:val="000000"/>
                <w:sz w:val="18"/>
                <w:szCs w:val="18"/>
                <w:lang w:val="en-AU" w:eastAsia="en-AU"/>
              </w:rPr>
              <w:t>59</w:t>
            </w:r>
          </w:p>
        </w:tc>
        <w:tc>
          <w:tcPr>
            <w:tcW w:w="1257" w:type="dxa"/>
            <w:tcBorders>
              <w:left w:val="nil"/>
              <w:right w:val="nil"/>
            </w:tcBorders>
            <w:shd w:val="pct5" w:color="auto" w:fill="auto"/>
            <w:noWrap/>
            <w:vAlign w:val="center"/>
          </w:tcPr>
          <w:p w14:paraId="6922D09C" w14:textId="6406BF50" w:rsidR="00D52CC9" w:rsidRPr="007917CA" w:rsidRDefault="005E2360" w:rsidP="00766DC5">
            <w:pPr>
              <w:ind w:right="170"/>
              <w:jc w:val="right"/>
              <w:rPr>
                <w:rFonts w:ascii="Arial" w:hAnsi="Arial" w:cs="Arial"/>
                <w:color w:val="000000"/>
                <w:sz w:val="18"/>
                <w:szCs w:val="18"/>
                <w:lang w:val="en-AU" w:eastAsia="en-AU"/>
              </w:rPr>
            </w:pPr>
            <w:r>
              <w:rPr>
                <w:rFonts w:ascii="Arial" w:hAnsi="Arial" w:cs="Arial"/>
                <w:color w:val="000000"/>
                <w:sz w:val="18"/>
                <w:szCs w:val="18"/>
                <w:lang w:val="en-AU" w:eastAsia="en-AU"/>
              </w:rPr>
              <w:t>N/A</w:t>
            </w:r>
          </w:p>
        </w:tc>
      </w:tr>
      <w:tr w:rsidR="00D52CC9" w:rsidRPr="00C37351" w14:paraId="1410F97E" w14:textId="77777777" w:rsidTr="00090EF0">
        <w:trPr>
          <w:trHeight w:val="363"/>
        </w:trPr>
        <w:tc>
          <w:tcPr>
            <w:tcW w:w="3356" w:type="dxa"/>
            <w:gridSpan w:val="2"/>
            <w:tcBorders>
              <w:left w:val="nil"/>
              <w:right w:val="nil"/>
            </w:tcBorders>
            <w:shd w:val="clear" w:color="auto" w:fill="auto"/>
            <w:noWrap/>
            <w:vAlign w:val="center"/>
          </w:tcPr>
          <w:p w14:paraId="492C655B" w14:textId="5D94BAB7" w:rsidR="00D52CC9" w:rsidRPr="00C37351" w:rsidRDefault="00D52CC9" w:rsidP="00D52CC9">
            <w:pPr>
              <w:rPr>
                <w:rFonts w:ascii="Arial" w:hAnsi="Arial" w:cs="Arial"/>
                <w:b/>
                <w:bCs/>
                <w:color w:val="0579B9"/>
                <w:sz w:val="18"/>
                <w:szCs w:val="18"/>
                <w:lang w:val="en-AU" w:eastAsia="en-AU"/>
              </w:rPr>
            </w:pPr>
            <w:r w:rsidRPr="00C828EE">
              <w:rPr>
                <w:rFonts w:ascii="Arial" w:hAnsi="Arial" w:cs="Arial"/>
                <w:b/>
                <w:bCs/>
                <w:color w:val="000000"/>
                <w:sz w:val="18"/>
                <w:szCs w:val="18"/>
                <w:lang w:val="en-AU" w:eastAsia="en-AU"/>
              </w:rPr>
              <w:t>Parameter and other variations</w:t>
            </w:r>
            <w:r w:rsidR="00E25E0A" w:rsidRPr="00C37351">
              <w:rPr>
                <w:rFonts w:ascii="Arial" w:hAnsi="Arial" w:cs="Arial"/>
                <w:color w:val="000000"/>
                <w:sz w:val="18"/>
                <w:szCs w:val="18"/>
                <w:vertAlign w:val="superscript"/>
                <w:lang w:val="en-AU" w:eastAsia="en-AU"/>
              </w:rPr>
              <w:t>(</w:t>
            </w:r>
            <w:r w:rsidR="00E25E0A">
              <w:rPr>
                <w:rFonts w:ascii="Arial" w:hAnsi="Arial" w:cs="Arial"/>
                <w:color w:val="000000"/>
                <w:sz w:val="18"/>
                <w:szCs w:val="18"/>
                <w:vertAlign w:val="superscript"/>
                <w:lang w:val="en-AU" w:eastAsia="en-AU"/>
              </w:rPr>
              <w:t>b</w:t>
            </w:r>
            <w:r w:rsidR="00E25E0A" w:rsidRPr="00C37351">
              <w:rPr>
                <w:rFonts w:ascii="Arial" w:hAnsi="Arial" w:cs="Arial"/>
                <w:color w:val="000000"/>
                <w:sz w:val="18"/>
                <w:szCs w:val="18"/>
                <w:vertAlign w:val="superscript"/>
                <w:lang w:val="en-AU" w:eastAsia="en-AU"/>
              </w:rPr>
              <w:t>)</w:t>
            </w:r>
          </w:p>
        </w:tc>
        <w:tc>
          <w:tcPr>
            <w:tcW w:w="1322" w:type="dxa"/>
            <w:tcBorders>
              <w:left w:val="nil"/>
              <w:right w:val="nil"/>
            </w:tcBorders>
            <w:shd w:val="clear" w:color="auto" w:fill="auto"/>
            <w:noWrap/>
            <w:vAlign w:val="center"/>
          </w:tcPr>
          <w:p w14:paraId="4739255B" w14:textId="12BF606B" w:rsidR="00D52CC9" w:rsidRPr="009F3CFF" w:rsidRDefault="00274260" w:rsidP="00766DC5">
            <w:pPr>
              <w:ind w:right="170"/>
              <w:jc w:val="right"/>
              <w:rPr>
                <w:rFonts w:ascii="Arial" w:hAnsi="Arial" w:cs="Arial"/>
                <w:color w:val="000000"/>
                <w:sz w:val="18"/>
                <w:szCs w:val="18"/>
                <w:lang w:val="en-AU" w:eastAsia="en-AU"/>
              </w:rPr>
            </w:pPr>
            <w:r>
              <w:rPr>
                <w:rFonts w:ascii="Arial" w:hAnsi="Arial" w:cs="Arial"/>
                <w:color w:val="000000"/>
                <w:sz w:val="18"/>
                <w:szCs w:val="18"/>
                <w:lang w:val="en-AU" w:eastAsia="en-AU"/>
              </w:rPr>
              <w:t>(1,934)</w:t>
            </w:r>
          </w:p>
        </w:tc>
        <w:tc>
          <w:tcPr>
            <w:tcW w:w="1134" w:type="dxa"/>
            <w:tcBorders>
              <w:left w:val="nil"/>
              <w:right w:val="nil"/>
            </w:tcBorders>
            <w:shd w:val="pct5" w:color="auto" w:fill="auto"/>
            <w:noWrap/>
            <w:vAlign w:val="center"/>
          </w:tcPr>
          <w:p w14:paraId="765AF0F7" w14:textId="52E2A03E" w:rsidR="00D52CC9" w:rsidRPr="009F3CFF" w:rsidRDefault="00274260" w:rsidP="00766DC5">
            <w:pPr>
              <w:ind w:right="170"/>
              <w:jc w:val="right"/>
              <w:rPr>
                <w:rFonts w:ascii="Arial" w:hAnsi="Arial" w:cs="Arial"/>
                <w:color w:val="000000"/>
                <w:sz w:val="18"/>
                <w:szCs w:val="18"/>
                <w:lang w:val="en-AU" w:eastAsia="en-AU"/>
              </w:rPr>
            </w:pPr>
            <w:r w:rsidRPr="00AC66EB">
              <w:rPr>
                <w:rFonts w:ascii="Arial" w:hAnsi="Arial" w:cs="Arial"/>
                <w:color w:val="000000"/>
                <w:sz w:val="18"/>
                <w:szCs w:val="18"/>
                <w:lang w:val="en-AU" w:eastAsia="en-AU"/>
              </w:rPr>
              <w:t>721</w:t>
            </w:r>
          </w:p>
        </w:tc>
        <w:tc>
          <w:tcPr>
            <w:tcW w:w="1313" w:type="dxa"/>
            <w:tcBorders>
              <w:left w:val="nil"/>
              <w:right w:val="nil"/>
            </w:tcBorders>
            <w:shd w:val="pct5" w:color="auto" w:fill="auto"/>
            <w:noWrap/>
            <w:vAlign w:val="center"/>
          </w:tcPr>
          <w:p w14:paraId="19DB3CED" w14:textId="5B2A4D47" w:rsidR="00D52CC9" w:rsidRPr="009F3CFF" w:rsidRDefault="00274260" w:rsidP="00766DC5">
            <w:pPr>
              <w:ind w:right="170"/>
              <w:jc w:val="right"/>
              <w:rPr>
                <w:rFonts w:ascii="Arial" w:hAnsi="Arial" w:cs="Arial"/>
                <w:color w:val="000000"/>
                <w:sz w:val="18"/>
                <w:szCs w:val="18"/>
                <w:lang w:val="en-AU" w:eastAsia="en-AU"/>
              </w:rPr>
            </w:pPr>
            <w:r w:rsidRPr="00AC66EB">
              <w:rPr>
                <w:rFonts w:ascii="Arial" w:hAnsi="Arial" w:cs="Arial"/>
                <w:color w:val="000000"/>
                <w:sz w:val="18"/>
                <w:szCs w:val="18"/>
                <w:lang w:val="en-AU" w:eastAsia="en-AU"/>
              </w:rPr>
              <w:t>507</w:t>
            </w:r>
          </w:p>
        </w:tc>
        <w:tc>
          <w:tcPr>
            <w:tcW w:w="1257" w:type="dxa"/>
            <w:tcBorders>
              <w:left w:val="nil"/>
              <w:right w:val="nil"/>
            </w:tcBorders>
            <w:shd w:val="pct5" w:color="auto" w:fill="auto"/>
            <w:noWrap/>
            <w:vAlign w:val="center"/>
          </w:tcPr>
          <w:p w14:paraId="0ABD1A0E" w14:textId="00E38612" w:rsidR="00D52CC9" w:rsidRPr="009F3CFF" w:rsidRDefault="00274260" w:rsidP="00766DC5">
            <w:pPr>
              <w:ind w:right="170"/>
              <w:jc w:val="right"/>
              <w:rPr>
                <w:rFonts w:ascii="Arial" w:hAnsi="Arial" w:cs="Arial"/>
                <w:color w:val="000000"/>
                <w:sz w:val="18"/>
                <w:szCs w:val="18"/>
                <w:lang w:val="en-AU" w:eastAsia="en-AU"/>
              </w:rPr>
            </w:pPr>
            <w:r w:rsidRPr="00AC66EB">
              <w:rPr>
                <w:rFonts w:ascii="Arial" w:hAnsi="Arial" w:cs="Arial"/>
                <w:color w:val="000000"/>
                <w:sz w:val="18"/>
                <w:szCs w:val="18"/>
                <w:lang w:val="en-AU" w:eastAsia="en-AU"/>
              </w:rPr>
              <w:t>630</w:t>
            </w:r>
          </w:p>
        </w:tc>
        <w:tc>
          <w:tcPr>
            <w:tcW w:w="1257" w:type="dxa"/>
            <w:tcBorders>
              <w:left w:val="nil"/>
              <w:right w:val="nil"/>
            </w:tcBorders>
            <w:shd w:val="pct5" w:color="auto" w:fill="auto"/>
            <w:noWrap/>
            <w:vAlign w:val="center"/>
          </w:tcPr>
          <w:p w14:paraId="139D4948" w14:textId="021440ED" w:rsidR="00D52CC9" w:rsidRPr="007917CA" w:rsidRDefault="005E2360" w:rsidP="00766DC5">
            <w:pPr>
              <w:ind w:right="170"/>
              <w:jc w:val="right"/>
              <w:rPr>
                <w:rFonts w:ascii="Arial" w:hAnsi="Arial" w:cs="Arial"/>
                <w:color w:val="000000"/>
                <w:sz w:val="18"/>
                <w:szCs w:val="18"/>
                <w:lang w:val="en-AU" w:eastAsia="en-AU"/>
              </w:rPr>
            </w:pPr>
            <w:r>
              <w:rPr>
                <w:rFonts w:ascii="Arial" w:hAnsi="Arial" w:cs="Arial"/>
                <w:color w:val="000000"/>
                <w:sz w:val="18"/>
                <w:szCs w:val="18"/>
                <w:lang w:val="en-AU" w:eastAsia="en-AU"/>
              </w:rPr>
              <w:t>N/A</w:t>
            </w:r>
          </w:p>
        </w:tc>
      </w:tr>
      <w:tr w:rsidR="00C37351" w:rsidRPr="00C37351" w14:paraId="267150D4" w14:textId="77777777" w:rsidTr="00090EF0">
        <w:trPr>
          <w:trHeight w:val="363"/>
        </w:trPr>
        <w:tc>
          <w:tcPr>
            <w:tcW w:w="3356" w:type="dxa"/>
            <w:gridSpan w:val="2"/>
            <w:tcBorders>
              <w:top w:val="single" w:sz="4" w:space="0" w:color="auto"/>
              <w:left w:val="nil"/>
              <w:bottom w:val="single" w:sz="4" w:space="0" w:color="auto"/>
              <w:right w:val="nil"/>
            </w:tcBorders>
            <w:shd w:val="clear" w:color="auto" w:fill="auto"/>
            <w:noWrap/>
            <w:vAlign w:val="center"/>
            <w:hideMark/>
          </w:tcPr>
          <w:p w14:paraId="2B796711" w14:textId="65CA604D" w:rsidR="00C37351" w:rsidRPr="00C37351" w:rsidRDefault="00C37351" w:rsidP="00C37351">
            <w:pPr>
              <w:rPr>
                <w:rFonts w:ascii="Arial" w:hAnsi="Arial" w:cs="Arial"/>
                <w:b/>
                <w:bCs/>
                <w:color w:val="0579B9"/>
                <w:sz w:val="18"/>
                <w:szCs w:val="18"/>
                <w:lang w:val="en-AU" w:eastAsia="en-AU"/>
              </w:rPr>
            </w:pPr>
            <w:r w:rsidRPr="00C37351">
              <w:rPr>
                <w:rFonts w:ascii="Arial" w:hAnsi="Arial" w:cs="Arial"/>
                <w:b/>
                <w:bCs/>
                <w:color w:val="0579B9"/>
                <w:sz w:val="18"/>
                <w:szCs w:val="18"/>
                <w:lang w:val="en-AU" w:eastAsia="en-AU"/>
              </w:rPr>
              <w:t xml:space="preserve">Capital </w:t>
            </w:r>
            <w:r w:rsidR="002121B2">
              <w:rPr>
                <w:rFonts w:ascii="Arial" w:hAnsi="Arial" w:cs="Arial"/>
                <w:b/>
                <w:bCs/>
                <w:color w:val="0579B9"/>
                <w:sz w:val="18"/>
                <w:szCs w:val="18"/>
                <w:lang w:val="en-AU" w:eastAsia="en-AU"/>
              </w:rPr>
              <w:t>–</w:t>
            </w:r>
            <w:r w:rsidRPr="00C37351">
              <w:rPr>
                <w:rFonts w:ascii="Arial" w:hAnsi="Arial" w:cs="Arial"/>
                <w:b/>
                <w:bCs/>
                <w:color w:val="0579B9"/>
                <w:sz w:val="18"/>
                <w:szCs w:val="18"/>
                <w:lang w:val="en-AU" w:eastAsia="en-AU"/>
              </w:rPr>
              <w:t xml:space="preserve"> </w:t>
            </w:r>
            <w:r w:rsidR="002121B2">
              <w:rPr>
                <w:rFonts w:ascii="Arial" w:hAnsi="Arial" w:cs="Arial"/>
                <w:b/>
                <w:bCs/>
                <w:color w:val="0579B9"/>
                <w:sz w:val="18"/>
                <w:szCs w:val="18"/>
                <w:lang w:val="en-AU" w:eastAsia="en-AU"/>
              </w:rPr>
              <w:t>202</w:t>
            </w:r>
            <w:r w:rsidR="00B13BAA">
              <w:rPr>
                <w:rFonts w:ascii="Arial" w:hAnsi="Arial" w:cs="Arial"/>
                <w:b/>
                <w:bCs/>
                <w:color w:val="0579B9"/>
                <w:sz w:val="18"/>
                <w:szCs w:val="18"/>
                <w:lang w:val="en-AU" w:eastAsia="en-AU"/>
              </w:rPr>
              <w:t>0</w:t>
            </w:r>
            <w:r w:rsidR="002121B2">
              <w:rPr>
                <w:rFonts w:ascii="Arial" w:hAnsi="Arial" w:cs="Arial"/>
                <w:b/>
                <w:bCs/>
                <w:color w:val="0579B9"/>
                <w:sz w:val="18"/>
                <w:szCs w:val="18"/>
                <w:lang w:val="en-AU" w:eastAsia="en-AU"/>
              </w:rPr>
              <w:t xml:space="preserve">-21 </w:t>
            </w:r>
            <w:r w:rsidRPr="00C37351">
              <w:rPr>
                <w:rFonts w:ascii="Arial" w:hAnsi="Arial" w:cs="Arial"/>
                <w:b/>
                <w:bCs/>
                <w:color w:val="0579B9"/>
                <w:sz w:val="18"/>
                <w:szCs w:val="18"/>
                <w:lang w:val="en-AU" w:eastAsia="en-AU"/>
              </w:rPr>
              <w:t>Half Yearly Review</w:t>
            </w:r>
          </w:p>
        </w:tc>
        <w:tc>
          <w:tcPr>
            <w:tcW w:w="1322" w:type="dxa"/>
            <w:tcBorders>
              <w:top w:val="single" w:sz="4" w:space="0" w:color="auto"/>
              <w:left w:val="nil"/>
              <w:bottom w:val="single" w:sz="4" w:space="0" w:color="auto"/>
              <w:right w:val="nil"/>
            </w:tcBorders>
            <w:shd w:val="clear" w:color="auto" w:fill="auto"/>
            <w:noWrap/>
            <w:vAlign w:val="center"/>
            <w:hideMark/>
          </w:tcPr>
          <w:p w14:paraId="6B73BC42" w14:textId="339B1BE2" w:rsidR="00C37351" w:rsidRPr="00D20950" w:rsidRDefault="000625D1" w:rsidP="00766DC5">
            <w:pPr>
              <w:ind w:right="170"/>
              <w:jc w:val="right"/>
              <w:rPr>
                <w:rFonts w:ascii="Arial" w:hAnsi="Arial" w:cs="Arial"/>
                <w:b/>
                <w:color w:val="0579B9"/>
                <w:sz w:val="18"/>
                <w:szCs w:val="18"/>
                <w:lang w:val="en-AU" w:eastAsia="en-AU"/>
              </w:rPr>
            </w:pPr>
            <w:r w:rsidRPr="00AC66EB">
              <w:rPr>
                <w:rFonts w:ascii="Arial" w:hAnsi="Arial" w:cs="Arial"/>
                <w:b/>
                <w:color w:val="0579B9"/>
                <w:sz w:val="18"/>
                <w:szCs w:val="18"/>
                <w:lang w:val="en-AU" w:eastAsia="en-AU"/>
              </w:rPr>
              <w:t>27</w:t>
            </w:r>
            <w:r>
              <w:rPr>
                <w:rFonts w:ascii="Arial" w:hAnsi="Arial" w:cs="Arial"/>
                <w:b/>
                <w:color w:val="0579B9"/>
                <w:sz w:val="18"/>
                <w:szCs w:val="18"/>
                <w:lang w:val="en-AU" w:eastAsia="en-AU"/>
              </w:rPr>
              <w:t>,206</w:t>
            </w:r>
          </w:p>
        </w:tc>
        <w:tc>
          <w:tcPr>
            <w:tcW w:w="1134" w:type="dxa"/>
            <w:tcBorders>
              <w:top w:val="single" w:sz="4" w:space="0" w:color="auto"/>
              <w:left w:val="nil"/>
              <w:bottom w:val="single" w:sz="4" w:space="0" w:color="auto"/>
              <w:right w:val="nil"/>
            </w:tcBorders>
            <w:shd w:val="pct5" w:color="auto" w:fill="auto"/>
            <w:noWrap/>
            <w:vAlign w:val="center"/>
            <w:hideMark/>
          </w:tcPr>
          <w:p w14:paraId="520A1BF3" w14:textId="6089818C" w:rsidR="00C37351" w:rsidRPr="00D20950" w:rsidRDefault="000625D1" w:rsidP="00766DC5">
            <w:pPr>
              <w:ind w:right="170"/>
              <w:jc w:val="right"/>
              <w:rPr>
                <w:rFonts w:ascii="Arial" w:hAnsi="Arial" w:cs="Arial"/>
                <w:b/>
                <w:color w:val="0579B9"/>
                <w:sz w:val="18"/>
                <w:szCs w:val="18"/>
                <w:lang w:val="en-AU" w:eastAsia="en-AU"/>
              </w:rPr>
            </w:pPr>
            <w:r w:rsidRPr="00AC66EB">
              <w:rPr>
                <w:rFonts w:ascii="Arial" w:hAnsi="Arial" w:cs="Arial"/>
                <w:b/>
                <w:color w:val="0579B9"/>
                <w:sz w:val="18"/>
                <w:szCs w:val="18"/>
                <w:lang w:val="en-AU" w:eastAsia="en-AU"/>
              </w:rPr>
              <w:t>30</w:t>
            </w:r>
            <w:r>
              <w:rPr>
                <w:rFonts w:ascii="Arial" w:hAnsi="Arial" w:cs="Arial"/>
                <w:b/>
                <w:color w:val="0579B9"/>
                <w:sz w:val="18"/>
                <w:szCs w:val="18"/>
                <w:lang w:val="en-AU" w:eastAsia="en-AU"/>
              </w:rPr>
              <w:t>,613</w:t>
            </w:r>
          </w:p>
        </w:tc>
        <w:tc>
          <w:tcPr>
            <w:tcW w:w="1313" w:type="dxa"/>
            <w:tcBorders>
              <w:top w:val="single" w:sz="4" w:space="0" w:color="auto"/>
              <w:left w:val="nil"/>
              <w:bottom w:val="single" w:sz="4" w:space="0" w:color="auto"/>
              <w:right w:val="nil"/>
            </w:tcBorders>
            <w:shd w:val="pct5" w:color="auto" w:fill="auto"/>
            <w:noWrap/>
            <w:vAlign w:val="center"/>
            <w:hideMark/>
          </w:tcPr>
          <w:p w14:paraId="68DF0960" w14:textId="163BB20A" w:rsidR="00C37351" w:rsidRPr="00D20950" w:rsidRDefault="000625D1" w:rsidP="00766DC5">
            <w:pPr>
              <w:ind w:right="170"/>
              <w:jc w:val="right"/>
              <w:rPr>
                <w:rFonts w:ascii="Arial" w:hAnsi="Arial" w:cs="Arial"/>
                <w:b/>
                <w:color w:val="0579B9"/>
                <w:sz w:val="18"/>
                <w:szCs w:val="18"/>
                <w:lang w:val="en-AU" w:eastAsia="en-AU"/>
              </w:rPr>
            </w:pPr>
            <w:r w:rsidRPr="00AC66EB">
              <w:rPr>
                <w:rFonts w:ascii="Arial" w:hAnsi="Arial" w:cs="Arial"/>
                <w:b/>
                <w:color w:val="0579B9"/>
                <w:sz w:val="18"/>
                <w:szCs w:val="18"/>
                <w:lang w:val="en-AU" w:eastAsia="en-AU"/>
              </w:rPr>
              <w:t>25</w:t>
            </w:r>
            <w:r>
              <w:rPr>
                <w:rFonts w:ascii="Arial" w:hAnsi="Arial" w:cs="Arial"/>
                <w:b/>
                <w:color w:val="0579B9"/>
                <w:sz w:val="18"/>
                <w:szCs w:val="18"/>
                <w:lang w:val="en-AU" w:eastAsia="en-AU"/>
              </w:rPr>
              <w:t>,972</w:t>
            </w:r>
          </w:p>
        </w:tc>
        <w:tc>
          <w:tcPr>
            <w:tcW w:w="1257" w:type="dxa"/>
            <w:tcBorders>
              <w:top w:val="single" w:sz="4" w:space="0" w:color="auto"/>
              <w:left w:val="nil"/>
              <w:bottom w:val="single" w:sz="4" w:space="0" w:color="auto"/>
              <w:right w:val="nil"/>
            </w:tcBorders>
            <w:shd w:val="pct5" w:color="auto" w:fill="auto"/>
            <w:noWrap/>
            <w:vAlign w:val="center"/>
            <w:hideMark/>
          </w:tcPr>
          <w:p w14:paraId="4F778862" w14:textId="0B29E115" w:rsidR="00C37351" w:rsidRPr="00D20950" w:rsidRDefault="000625D1" w:rsidP="00766DC5">
            <w:pPr>
              <w:ind w:right="170"/>
              <w:jc w:val="right"/>
              <w:rPr>
                <w:rFonts w:ascii="Arial" w:hAnsi="Arial" w:cs="Arial"/>
                <w:b/>
                <w:color w:val="0579B9"/>
                <w:sz w:val="18"/>
                <w:szCs w:val="18"/>
                <w:lang w:val="en-AU" w:eastAsia="en-AU"/>
              </w:rPr>
            </w:pPr>
            <w:r w:rsidRPr="00AC66EB">
              <w:rPr>
                <w:rFonts w:ascii="Arial" w:hAnsi="Arial" w:cs="Arial"/>
                <w:b/>
                <w:color w:val="0579B9"/>
                <w:sz w:val="18"/>
                <w:szCs w:val="18"/>
                <w:lang w:val="en-AU" w:eastAsia="en-AU"/>
              </w:rPr>
              <w:t>23</w:t>
            </w:r>
            <w:r>
              <w:rPr>
                <w:rFonts w:ascii="Arial" w:hAnsi="Arial" w:cs="Arial"/>
                <w:b/>
                <w:color w:val="0579B9"/>
                <w:sz w:val="18"/>
                <w:szCs w:val="18"/>
                <w:lang w:val="en-AU" w:eastAsia="en-AU"/>
              </w:rPr>
              <w:t>,411</w:t>
            </w:r>
          </w:p>
        </w:tc>
        <w:tc>
          <w:tcPr>
            <w:tcW w:w="1257" w:type="dxa"/>
            <w:tcBorders>
              <w:top w:val="single" w:sz="4" w:space="0" w:color="auto"/>
              <w:left w:val="nil"/>
              <w:bottom w:val="single" w:sz="4" w:space="0" w:color="auto"/>
              <w:right w:val="nil"/>
            </w:tcBorders>
            <w:shd w:val="pct5" w:color="auto" w:fill="auto"/>
            <w:noWrap/>
            <w:vAlign w:val="center"/>
            <w:hideMark/>
          </w:tcPr>
          <w:p w14:paraId="37B7EFA5" w14:textId="794617D8" w:rsidR="00C37351" w:rsidRPr="00D20950" w:rsidRDefault="005E2360" w:rsidP="00766DC5">
            <w:pPr>
              <w:ind w:right="170"/>
              <w:jc w:val="right"/>
              <w:rPr>
                <w:rFonts w:ascii="Arial" w:hAnsi="Arial" w:cs="Arial"/>
                <w:b/>
                <w:color w:val="0579B9"/>
                <w:sz w:val="18"/>
                <w:szCs w:val="18"/>
                <w:lang w:val="en-AU" w:eastAsia="en-AU"/>
              </w:rPr>
            </w:pPr>
            <w:r>
              <w:rPr>
                <w:rFonts w:ascii="Arial" w:hAnsi="Arial" w:cs="Arial"/>
                <w:b/>
                <w:color w:val="0579B9"/>
                <w:sz w:val="18"/>
                <w:szCs w:val="18"/>
                <w:lang w:val="en-AU" w:eastAsia="en-AU"/>
              </w:rPr>
              <w:t>N/A</w:t>
            </w:r>
          </w:p>
        </w:tc>
      </w:tr>
      <w:tr w:rsidR="00C37351" w:rsidRPr="00C37351" w14:paraId="75894724" w14:textId="77777777" w:rsidTr="00090EF0">
        <w:trPr>
          <w:trHeight w:val="363"/>
        </w:trPr>
        <w:tc>
          <w:tcPr>
            <w:tcW w:w="3356" w:type="dxa"/>
            <w:gridSpan w:val="2"/>
            <w:tcBorders>
              <w:top w:val="nil"/>
              <w:left w:val="nil"/>
              <w:bottom w:val="nil"/>
              <w:right w:val="nil"/>
            </w:tcBorders>
            <w:shd w:val="clear" w:color="auto" w:fill="auto"/>
            <w:noWrap/>
            <w:vAlign w:val="center"/>
            <w:hideMark/>
          </w:tcPr>
          <w:p w14:paraId="573F6412" w14:textId="3FADAACE" w:rsidR="00C37351" w:rsidRPr="00C37351" w:rsidRDefault="00B70C58" w:rsidP="008269A5">
            <w:pPr>
              <w:ind w:right="57"/>
              <w:rPr>
                <w:rFonts w:ascii="Arial" w:hAnsi="Arial" w:cs="Arial"/>
                <w:color w:val="000000"/>
                <w:sz w:val="18"/>
                <w:szCs w:val="18"/>
                <w:lang w:val="en-AU" w:eastAsia="en-AU"/>
              </w:rPr>
            </w:pPr>
            <w:r>
              <w:rPr>
                <w:rFonts w:ascii="Arial" w:hAnsi="Arial" w:cs="Arial"/>
                <w:b/>
                <w:color w:val="000000"/>
                <w:sz w:val="18"/>
                <w:szCs w:val="18"/>
                <w:lang w:val="en-AU" w:eastAsia="en-AU"/>
              </w:rPr>
              <w:t>C</w:t>
            </w:r>
            <w:r w:rsidR="00C37351" w:rsidRPr="00D20950">
              <w:rPr>
                <w:rFonts w:ascii="Arial" w:hAnsi="Arial" w:cs="Arial"/>
                <w:b/>
                <w:color w:val="000000"/>
                <w:sz w:val="18"/>
                <w:szCs w:val="18"/>
                <w:lang w:val="en-AU" w:eastAsia="en-AU"/>
              </w:rPr>
              <w:t xml:space="preserve">apital </w:t>
            </w:r>
            <w:r w:rsidR="00C57647">
              <w:rPr>
                <w:rFonts w:ascii="Arial" w:hAnsi="Arial" w:cs="Arial"/>
                <w:b/>
                <w:color w:val="000000"/>
                <w:sz w:val="18"/>
                <w:szCs w:val="18"/>
                <w:lang w:val="en-AU" w:eastAsia="en-AU"/>
              </w:rPr>
              <w:t>measures</w:t>
            </w:r>
            <w:r w:rsidR="00C37351" w:rsidRPr="00C37351">
              <w:rPr>
                <w:rFonts w:ascii="Arial" w:hAnsi="Arial" w:cs="Arial"/>
                <w:color w:val="000000"/>
                <w:sz w:val="18"/>
                <w:szCs w:val="18"/>
                <w:vertAlign w:val="superscript"/>
                <w:lang w:val="en-AU" w:eastAsia="en-AU"/>
              </w:rPr>
              <w:t>(a)</w:t>
            </w:r>
          </w:p>
        </w:tc>
        <w:tc>
          <w:tcPr>
            <w:tcW w:w="1322" w:type="dxa"/>
            <w:tcBorders>
              <w:top w:val="nil"/>
              <w:left w:val="nil"/>
              <w:bottom w:val="nil"/>
              <w:right w:val="nil"/>
            </w:tcBorders>
            <w:shd w:val="clear" w:color="auto" w:fill="auto"/>
            <w:noWrap/>
            <w:vAlign w:val="center"/>
            <w:hideMark/>
          </w:tcPr>
          <w:p w14:paraId="35EEEE51" w14:textId="7DABE951" w:rsidR="00C37351" w:rsidRPr="008C18C1" w:rsidRDefault="00A60C6B" w:rsidP="00766DC5">
            <w:pPr>
              <w:ind w:right="170"/>
              <w:jc w:val="right"/>
              <w:rPr>
                <w:rFonts w:ascii="Arial" w:hAnsi="Arial" w:cs="Arial"/>
                <w:color w:val="000000"/>
                <w:sz w:val="18"/>
                <w:szCs w:val="18"/>
                <w:lang w:val="en-AU" w:eastAsia="en-AU"/>
              </w:rPr>
            </w:pPr>
            <w:r w:rsidRPr="008C18C1">
              <w:rPr>
                <w:rFonts w:ascii="Arial" w:hAnsi="Arial" w:cs="Arial"/>
                <w:color w:val="000000"/>
                <w:sz w:val="18"/>
                <w:szCs w:val="18"/>
                <w:lang w:val="en-AU" w:eastAsia="en-AU"/>
              </w:rPr>
              <w:t>20</w:t>
            </w:r>
            <w:r w:rsidR="00D73FFB">
              <w:rPr>
                <w:rFonts w:ascii="Arial" w:hAnsi="Arial" w:cs="Arial"/>
                <w:color w:val="000000"/>
                <w:sz w:val="18"/>
                <w:szCs w:val="18"/>
                <w:lang w:val="en-AU" w:eastAsia="en-AU"/>
              </w:rPr>
              <w:t>4</w:t>
            </w:r>
          </w:p>
        </w:tc>
        <w:tc>
          <w:tcPr>
            <w:tcW w:w="1134" w:type="dxa"/>
            <w:tcBorders>
              <w:top w:val="nil"/>
              <w:left w:val="nil"/>
              <w:bottom w:val="nil"/>
              <w:right w:val="nil"/>
            </w:tcBorders>
            <w:shd w:val="pct5" w:color="auto" w:fill="auto"/>
            <w:noWrap/>
            <w:vAlign w:val="center"/>
            <w:hideMark/>
          </w:tcPr>
          <w:p w14:paraId="2A3962DB" w14:textId="41EAE34E" w:rsidR="00C37351" w:rsidRPr="008C18C1" w:rsidRDefault="00D73FFB" w:rsidP="00766DC5">
            <w:pPr>
              <w:ind w:right="170"/>
              <w:jc w:val="right"/>
              <w:rPr>
                <w:rFonts w:ascii="Arial" w:hAnsi="Arial" w:cs="Arial"/>
                <w:color w:val="000000"/>
                <w:sz w:val="18"/>
                <w:szCs w:val="18"/>
                <w:lang w:val="en-AU" w:eastAsia="en-AU"/>
              </w:rPr>
            </w:pPr>
            <w:r>
              <w:rPr>
                <w:rFonts w:ascii="Arial" w:hAnsi="Arial" w:cs="Arial"/>
                <w:color w:val="000000"/>
                <w:sz w:val="18"/>
                <w:szCs w:val="18"/>
                <w:lang w:val="en-AU" w:eastAsia="en-AU"/>
              </w:rPr>
              <w:t>845</w:t>
            </w:r>
          </w:p>
        </w:tc>
        <w:tc>
          <w:tcPr>
            <w:tcW w:w="1313" w:type="dxa"/>
            <w:tcBorders>
              <w:top w:val="nil"/>
              <w:left w:val="nil"/>
              <w:bottom w:val="nil"/>
              <w:right w:val="nil"/>
            </w:tcBorders>
            <w:shd w:val="pct5" w:color="auto" w:fill="auto"/>
            <w:noWrap/>
            <w:vAlign w:val="center"/>
            <w:hideMark/>
          </w:tcPr>
          <w:p w14:paraId="769245B2" w14:textId="0762D3B8" w:rsidR="00C37351" w:rsidRPr="008C18C1" w:rsidRDefault="00A57DFA" w:rsidP="00766DC5">
            <w:pPr>
              <w:ind w:right="170"/>
              <w:jc w:val="right"/>
              <w:rPr>
                <w:rFonts w:ascii="Arial" w:hAnsi="Arial" w:cs="Arial"/>
                <w:color w:val="000000"/>
                <w:sz w:val="18"/>
                <w:szCs w:val="18"/>
                <w:lang w:val="en-AU" w:eastAsia="en-AU"/>
              </w:rPr>
            </w:pPr>
            <w:r w:rsidRPr="008C18C1">
              <w:rPr>
                <w:rFonts w:ascii="Arial" w:hAnsi="Arial" w:cs="Arial"/>
                <w:color w:val="000000"/>
                <w:sz w:val="18"/>
                <w:szCs w:val="18"/>
                <w:lang w:val="en-AU" w:eastAsia="en-AU"/>
              </w:rPr>
              <w:t>1,738</w:t>
            </w:r>
          </w:p>
        </w:tc>
        <w:tc>
          <w:tcPr>
            <w:tcW w:w="1257" w:type="dxa"/>
            <w:tcBorders>
              <w:top w:val="nil"/>
              <w:left w:val="nil"/>
              <w:bottom w:val="nil"/>
              <w:right w:val="nil"/>
            </w:tcBorders>
            <w:shd w:val="pct5" w:color="auto" w:fill="auto"/>
            <w:noWrap/>
            <w:vAlign w:val="center"/>
            <w:hideMark/>
          </w:tcPr>
          <w:p w14:paraId="6488AB35" w14:textId="0B5F630B" w:rsidR="00C37351" w:rsidRPr="008C18C1" w:rsidRDefault="00A57DFA" w:rsidP="00766DC5">
            <w:pPr>
              <w:ind w:right="170"/>
              <w:jc w:val="right"/>
              <w:rPr>
                <w:rFonts w:ascii="Arial" w:hAnsi="Arial" w:cs="Arial"/>
                <w:color w:val="000000"/>
                <w:sz w:val="18"/>
                <w:szCs w:val="18"/>
                <w:lang w:val="en-AU" w:eastAsia="en-AU"/>
              </w:rPr>
            </w:pPr>
            <w:r w:rsidRPr="008C18C1">
              <w:rPr>
                <w:rFonts w:ascii="Arial" w:hAnsi="Arial" w:cs="Arial"/>
                <w:color w:val="000000"/>
                <w:sz w:val="18"/>
                <w:szCs w:val="18"/>
                <w:lang w:val="en-AU" w:eastAsia="en-AU"/>
              </w:rPr>
              <w:t>2,268</w:t>
            </w:r>
          </w:p>
        </w:tc>
        <w:tc>
          <w:tcPr>
            <w:tcW w:w="1257" w:type="dxa"/>
            <w:tcBorders>
              <w:top w:val="nil"/>
              <w:left w:val="nil"/>
              <w:bottom w:val="nil"/>
              <w:right w:val="nil"/>
            </w:tcBorders>
            <w:shd w:val="pct5" w:color="auto" w:fill="auto"/>
            <w:noWrap/>
            <w:vAlign w:val="center"/>
            <w:hideMark/>
          </w:tcPr>
          <w:p w14:paraId="6A1CFFAC" w14:textId="192A9695" w:rsidR="00C37351" w:rsidRPr="008C18C1" w:rsidRDefault="00A57DFA" w:rsidP="00766DC5">
            <w:pPr>
              <w:ind w:right="170"/>
              <w:jc w:val="right"/>
              <w:rPr>
                <w:rFonts w:ascii="Arial" w:hAnsi="Arial" w:cs="Arial"/>
                <w:color w:val="000000"/>
                <w:sz w:val="18"/>
                <w:szCs w:val="18"/>
                <w:lang w:val="en-AU" w:eastAsia="en-AU"/>
              </w:rPr>
            </w:pPr>
            <w:r w:rsidRPr="008C18C1">
              <w:rPr>
                <w:rFonts w:ascii="Arial" w:hAnsi="Arial" w:cs="Arial"/>
                <w:color w:val="000000"/>
                <w:sz w:val="18"/>
                <w:szCs w:val="18"/>
                <w:lang w:val="en-AU" w:eastAsia="en-AU"/>
              </w:rPr>
              <w:t>1,951</w:t>
            </w:r>
          </w:p>
        </w:tc>
      </w:tr>
      <w:tr w:rsidR="00C37351" w:rsidRPr="00C37351" w14:paraId="0B04C5F2" w14:textId="77777777" w:rsidTr="00090EF0">
        <w:trPr>
          <w:trHeight w:val="363"/>
        </w:trPr>
        <w:tc>
          <w:tcPr>
            <w:tcW w:w="3356" w:type="dxa"/>
            <w:gridSpan w:val="2"/>
            <w:tcBorders>
              <w:top w:val="nil"/>
              <w:left w:val="nil"/>
              <w:bottom w:val="nil"/>
              <w:right w:val="nil"/>
            </w:tcBorders>
            <w:shd w:val="clear" w:color="auto" w:fill="auto"/>
            <w:noWrap/>
            <w:vAlign w:val="center"/>
            <w:hideMark/>
          </w:tcPr>
          <w:p w14:paraId="2E7B323B" w14:textId="35945CB0" w:rsidR="00C37351" w:rsidRPr="00C37351" w:rsidRDefault="00C37351" w:rsidP="00C37351">
            <w:pPr>
              <w:rPr>
                <w:rFonts w:ascii="Arial" w:hAnsi="Arial" w:cs="Arial"/>
                <w:b/>
                <w:bCs/>
                <w:color w:val="000000"/>
                <w:sz w:val="18"/>
                <w:szCs w:val="18"/>
                <w:lang w:val="en-AU" w:eastAsia="en-AU"/>
              </w:rPr>
            </w:pPr>
            <w:r w:rsidRPr="00C37351">
              <w:rPr>
                <w:rFonts w:ascii="Arial" w:hAnsi="Arial" w:cs="Arial"/>
                <w:b/>
                <w:bCs/>
                <w:color w:val="000000"/>
                <w:sz w:val="18"/>
                <w:szCs w:val="18"/>
                <w:lang w:val="en-AU" w:eastAsia="en-AU"/>
              </w:rPr>
              <w:t>Parameter and other variations</w:t>
            </w:r>
            <w:r w:rsidR="00E25E0A" w:rsidRPr="00C37351">
              <w:rPr>
                <w:rFonts w:ascii="Arial" w:hAnsi="Arial" w:cs="Arial"/>
                <w:color w:val="000000"/>
                <w:sz w:val="18"/>
                <w:szCs w:val="18"/>
                <w:vertAlign w:val="superscript"/>
                <w:lang w:val="en-AU" w:eastAsia="en-AU"/>
              </w:rPr>
              <w:t>(</w:t>
            </w:r>
            <w:r w:rsidR="00E25E0A">
              <w:rPr>
                <w:rFonts w:ascii="Arial" w:hAnsi="Arial" w:cs="Arial"/>
                <w:color w:val="000000"/>
                <w:sz w:val="18"/>
                <w:szCs w:val="18"/>
                <w:vertAlign w:val="superscript"/>
                <w:lang w:val="en-AU" w:eastAsia="en-AU"/>
              </w:rPr>
              <w:t>b</w:t>
            </w:r>
            <w:r w:rsidR="00E25E0A" w:rsidRPr="00C37351">
              <w:rPr>
                <w:rFonts w:ascii="Arial" w:hAnsi="Arial" w:cs="Arial"/>
                <w:color w:val="000000"/>
                <w:sz w:val="18"/>
                <w:szCs w:val="18"/>
                <w:vertAlign w:val="superscript"/>
                <w:lang w:val="en-AU" w:eastAsia="en-AU"/>
              </w:rPr>
              <w:t>)</w:t>
            </w:r>
          </w:p>
        </w:tc>
        <w:tc>
          <w:tcPr>
            <w:tcW w:w="1322" w:type="dxa"/>
            <w:tcBorders>
              <w:top w:val="nil"/>
              <w:left w:val="nil"/>
              <w:bottom w:val="nil"/>
              <w:right w:val="nil"/>
            </w:tcBorders>
            <w:shd w:val="clear" w:color="auto" w:fill="auto"/>
            <w:noWrap/>
            <w:vAlign w:val="center"/>
            <w:hideMark/>
          </w:tcPr>
          <w:p w14:paraId="4742C88A" w14:textId="2967EF41" w:rsidR="00C37351" w:rsidRPr="008C18C1" w:rsidRDefault="00214AE6" w:rsidP="00766DC5">
            <w:pPr>
              <w:ind w:right="170"/>
              <w:jc w:val="right"/>
              <w:rPr>
                <w:rFonts w:ascii="Arial" w:hAnsi="Arial" w:cs="Arial"/>
                <w:color w:val="000000"/>
                <w:sz w:val="18"/>
                <w:szCs w:val="18"/>
                <w:lang w:val="en-AU" w:eastAsia="en-AU"/>
              </w:rPr>
            </w:pPr>
            <w:r w:rsidRPr="008C18C1">
              <w:rPr>
                <w:rFonts w:ascii="Arial" w:hAnsi="Arial" w:cs="Arial"/>
                <w:color w:val="000000"/>
                <w:sz w:val="18"/>
                <w:szCs w:val="18"/>
                <w:lang w:val="en-AU" w:eastAsia="en-AU"/>
              </w:rPr>
              <w:t>(1,</w:t>
            </w:r>
            <w:r w:rsidR="00D73FFB">
              <w:rPr>
                <w:rFonts w:ascii="Arial" w:hAnsi="Arial" w:cs="Arial"/>
                <w:color w:val="000000"/>
                <w:sz w:val="18"/>
                <w:szCs w:val="18"/>
                <w:lang w:val="en-AU" w:eastAsia="en-AU"/>
              </w:rPr>
              <w:t>970</w:t>
            </w:r>
            <w:r w:rsidRPr="008C18C1">
              <w:rPr>
                <w:rFonts w:ascii="Arial" w:hAnsi="Arial" w:cs="Arial"/>
                <w:color w:val="000000"/>
                <w:sz w:val="18"/>
                <w:szCs w:val="18"/>
                <w:lang w:val="en-AU" w:eastAsia="en-AU"/>
              </w:rPr>
              <w:t>)</w:t>
            </w:r>
          </w:p>
        </w:tc>
        <w:tc>
          <w:tcPr>
            <w:tcW w:w="1134" w:type="dxa"/>
            <w:tcBorders>
              <w:top w:val="nil"/>
              <w:left w:val="nil"/>
              <w:bottom w:val="nil"/>
              <w:right w:val="nil"/>
            </w:tcBorders>
            <w:shd w:val="pct5" w:color="auto" w:fill="auto"/>
            <w:noWrap/>
            <w:vAlign w:val="center"/>
            <w:hideMark/>
          </w:tcPr>
          <w:p w14:paraId="68143E6E" w14:textId="55C56E3B" w:rsidR="00C37351" w:rsidRPr="008C18C1" w:rsidRDefault="00B24AA3" w:rsidP="00766DC5">
            <w:pPr>
              <w:ind w:right="170"/>
              <w:jc w:val="right"/>
              <w:rPr>
                <w:rFonts w:ascii="Arial" w:hAnsi="Arial" w:cs="Arial"/>
                <w:color w:val="000000"/>
                <w:sz w:val="18"/>
                <w:szCs w:val="18"/>
                <w:lang w:val="en-AU" w:eastAsia="en-AU"/>
              </w:rPr>
            </w:pPr>
            <w:r w:rsidRPr="008C18C1">
              <w:rPr>
                <w:rFonts w:ascii="Arial" w:hAnsi="Arial" w:cs="Arial"/>
                <w:color w:val="000000"/>
                <w:sz w:val="18"/>
                <w:szCs w:val="18"/>
                <w:lang w:val="en-AU" w:eastAsia="en-AU"/>
              </w:rPr>
              <w:t>(1,</w:t>
            </w:r>
            <w:r w:rsidR="00EB6B31">
              <w:rPr>
                <w:rFonts w:ascii="Arial" w:hAnsi="Arial" w:cs="Arial"/>
                <w:color w:val="000000"/>
                <w:sz w:val="18"/>
                <w:szCs w:val="18"/>
                <w:lang w:val="en-AU" w:eastAsia="en-AU"/>
              </w:rPr>
              <w:t>108</w:t>
            </w:r>
            <w:r w:rsidRPr="008C18C1">
              <w:rPr>
                <w:rFonts w:ascii="Arial" w:hAnsi="Arial" w:cs="Arial"/>
                <w:color w:val="000000"/>
                <w:sz w:val="18"/>
                <w:szCs w:val="18"/>
                <w:lang w:val="en-AU" w:eastAsia="en-AU"/>
              </w:rPr>
              <w:t>)</w:t>
            </w:r>
          </w:p>
        </w:tc>
        <w:tc>
          <w:tcPr>
            <w:tcW w:w="1313" w:type="dxa"/>
            <w:tcBorders>
              <w:top w:val="nil"/>
              <w:left w:val="nil"/>
              <w:bottom w:val="nil"/>
              <w:right w:val="nil"/>
            </w:tcBorders>
            <w:shd w:val="pct5" w:color="auto" w:fill="auto"/>
            <w:noWrap/>
            <w:vAlign w:val="center"/>
            <w:hideMark/>
          </w:tcPr>
          <w:p w14:paraId="6BABFC2B" w14:textId="176B6279" w:rsidR="00C37351" w:rsidRPr="008C18C1" w:rsidRDefault="00A76F04" w:rsidP="00766DC5">
            <w:pPr>
              <w:ind w:right="170"/>
              <w:jc w:val="right"/>
              <w:rPr>
                <w:rFonts w:ascii="Arial" w:hAnsi="Arial" w:cs="Arial"/>
                <w:color w:val="000000"/>
                <w:sz w:val="18"/>
                <w:szCs w:val="18"/>
                <w:lang w:val="en-AU" w:eastAsia="en-AU"/>
              </w:rPr>
            </w:pPr>
            <w:r w:rsidRPr="008C18C1">
              <w:rPr>
                <w:rFonts w:ascii="Arial" w:hAnsi="Arial" w:cs="Arial"/>
                <w:color w:val="000000"/>
                <w:sz w:val="18"/>
                <w:szCs w:val="18"/>
                <w:lang w:val="en-AU" w:eastAsia="en-AU"/>
              </w:rPr>
              <w:t>1,7</w:t>
            </w:r>
            <w:r w:rsidR="00D40728" w:rsidRPr="008C18C1">
              <w:rPr>
                <w:rFonts w:ascii="Arial" w:hAnsi="Arial" w:cs="Arial"/>
                <w:color w:val="000000"/>
                <w:sz w:val="18"/>
                <w:szCs w:val="18"/>
                <w:lang w:val="en-AU" w:eastAsia="en-AU"/>
              </w:rPr>
              <w:t>26</w:t>
            </w:r>
          </w:p>
        </w:tc>
        <w:tc>
          <w:tcPr>
            <w:tcW w:w="1257" w:type="dxa"/>
            <w:tcBorders>
              <w:top w:val="nil"/>
              <w:left w:val="nil"/>
              <w:bottom w:val="nil"/>
              <w:right w:val="nil"/>
            </w:tcBorders>
            <w:shd w:val="pct5" w:color="auto" w:fill="auto"/>
            <w:noWrap/>
            <w:vAlign w:val="center"/>
            <w:hideMark/>
          </w:tcPr>
          <w:p w14:paraId="3FF5E147" w14:textId="177F377B" w:rsidR="00C37351" w:rsidRPr="008C18C1" w:rsidRDefault="00D40728" w:rsidP="00766DC5">
            <w:pPr>
              <w:ind w:right="170"/>
              <w:jc w:val="right"/>
              <w:rPr>
                <w:rFonts w:ascii="Arial" w:hAnsi="Arial" w:cs="Arial"/>
                <w:color w:val="000000"/>
                <w:sz w:val="18"/>
                <w:szCs w:val="18"/>
                <w:lang w:val="en-AU" w:eastAsia="en-AU"/>
              </w:rPr>
            </w:pPr>
            <w:r w:rsidRPr="008C18C1">
              <w:rPr>
                <w:rFonts w:ascii="Arial" w:hAnsi="Arial" w:cs="Arial"/>
                <w:color w:val="000000"/>
                <w:sz w:val="18"/>
                <w:szCs w:val="18"/>
                <w:lang w:val="en-AU" w:eastAsia="en-AU"/>
              </w:rPr>
              <w:t>350</w:t>
            </w:r>
          </w:p>
        </w:tc>
        <w:tc>
          <w:tcPr>
            <w:tcW w:w="1257" w:type="dxa"/>
            <w:tcBorders>
              <w:top w:val="nil"/>
              <w:left w:val="nil"/>
              <w:bottom w:val="nil"/>
              <w:right w:val="nil"/>
            </w:tcBorders>
            <w:shd w:val="pct5" w:color="auto" w:fill="auto"/>
            <w:noWrap/>
            <w:vAlign w:val="center"/>
            <w:hideMark/>
          </w:tcPr>
          <w:p w14:paraId="56D02ABF" w14:textId="3FA89B59" w:rsidR="00C37351" w:rsidRPr="008C18C1" w:rsidRDefault="005E2360" w:rsidP="00766DC5">
            <w:pPr>
              <w:ind w:right="170"/>
              <w:jc w:val="right"/>
              <w:rPr>
                <w:rFonts w:ascii="Arial" w:hAnsi="Arial" w:cs="Arial"/>
                <w:color w:val="000000"/>
                <w:sz w:val="18"/>
                <w:szCs w:val="18"/>
                <w:lang w:val="en-AU" w:eastAsia="en-AU"/>
              </w:rPr>
            </w:pPr>
            <w:r>
              <w:rPr>
                <w:rFonts w:ascii="Arial" w:hAnsi="Arial" w:cs="Arial"/>
                <w:color w:val="000000"/>
                <w:sz w:val="18"/>
                <w:szCs w:val="18"/>
                <w:lang w:val="en-AU" w:eastAsia="en-AU"/>
              </w:rPr>
              <w:t>N/A</w:t>
            </w:r>
          </w:p>
        </w:tc>
      </w:tr>
      <w:tr w:rsidR="00C37351" w:rsidRPr="00C37351" w14:paraId="0BDC072C" w14:textId="77777777" w:rsidTr="00090EF0">
        <w:trPr>
          <w:trHeight w:val="379"/>
        </w:trPr>
        <w:tc>
          <w:tcPr>
            <w:tcW w:w="3356" w:type="dxa"/>
            <w:gridSpan w:val="2"/>
            <w:tcBorders>
              <w:top w:val="single" w:sz="4" w:space="0" w:color="auto"/>
              <w:left w:val="nil"/>
              <w:bottom w:val="single" w:sz="4" w:space="0" w:color="auto"/>
              <w:right w:val="nil"/>
            </w:tcBorders>
            <w:shd w:val="clear" w:color="auto" w:fill="auto"/>
            <w:noWrap/>
            <w:vAlign w:val="center"/>
            <w:hideMark/>
          </w:tcPr>
          <w:p w14:paraId="512A7F3F" w14:textId="3C1AF2F8" w:rsidR="00C37351" w:rsidRPr="00C37351" w:rsidRDefault="00C37351" w:rsidP="00C37351">
            <w:pPr>
              <w:rPr>
                <w:rFonts w:ascii="Arial" w:hAnsi="Arial" w:cs="Arial"/>
                <w:b/>
                <w:bCs/>
                <w:color w:val="0579B9"/>
                <w:sz w:val="18"/>
                <w:szCs w:val="18"/>
                <w:lang w:val="en-AU" w:eastAsia="en-AU"/>
              </w:rPr>
            </w:pPr>
            <w:r w:rsidRPr="00C37351">
              <w:rPr>
                <w:rFonts w:ascii="Arial" w:hAnsi="Arial" w:cs="Arial"/>
                <w:b/>
                <w:bCs/>
                <w:color w:val="0579B9"/>
                <w:sz w:val="18"/>
                <w:szCs w:val="18"/>
                <w:lang w:val="en-AU" w:eastAsia="en-AU"/>
              </w:rPr>
              <w:t xml:space="preserve">Capital </w:t>
            </w:r>
            <w:r w:rsidR="002121B2">
              <w:rPr>
                <w:rFonts w:ascii="Arial" w:hAnsi="Arial" w:cs="Arial"/>
                <w:b/>
                <w:bCs/>
                <w:color w:val="0579B9"/>
                <w:sz w:val="18"/>
                <w:szCs w:val="18"/>
                <w:lang w:val="en-AU" w:eastAsia="en-AU"/>
              </w:rPr>
              <w:t>–</w:t>
            </w:r>
            <w:r w:rsidRPr="00C37351">
              <w:rPr>
                <w:rFonts w:ascii="Arial" w:hAnsi="Arial" w:cs="Arial"/>
                <w:b/>
                <w:bCs/>
                <w:color w:val="0579B9"/>
                <w:sz w:val="18"/>
                <w:szCs w:val="18"/>
                <w:lang w:val="en-AU" w:eastAsia="en-AU"/>
              </w:rPr>
              <w:t xml:space="preserve"> </w:t>
            </w:r>
            <w:r w:rsidR="002121B2">
              <w:rPr>
                <w:rFonts w:ascii="Arial" w:hAnsi="Arial" w:cs="Arial"/>
                <w:b/>
                <w:bCs/>
                <w:color w:val="0579B9"/>
                <w:sz w:val="18"/>
                <w:szCs w:val="18"/>
                <w:lang w:val="en-AU" w:eastAsia="en-AU"/>
              </w:rPr>
              <w:t>2021-22</w:t>
            </w:r>
            <w:r w:rsidRPr="00C37351">
              <w:rPr>
                <w:rFonts w:ascii="Arial" w:hAnsi="Arial" w:cs="Arial"/>
                <w:b/>
                <w:bCs/>
                <w:color w:val="0579B9"/>
                <w:sz w:val="18"/>
                <w:szCs w:val="18"/>
                <w:lang w:val="en-AU" w:eastAsia="en-AU"/>
              </w:rPr>
              <w:t xml:space="preserve"> Budget</w:t>
            </w:r>
          </w:p>
        </w:tc>
        <w:tc>
          <w:tcPr>
            <w:tcW w:w="1322" w:type="dxa"/>
            <w:tcBorders>
              <w:top w:val="single" w:sz="4" w:space="0" w:color="auto"/>
              <w:left w:val="nil"/>
              <w:bottom w:val="single" w:sz="4" w:space="0" w:color="auto"/>
              <w:right w:val="nil"/>
            </w:tcBorders>
            <w:shd w:val="clear" w:color="auto" w:fill="auto"/>
            <w:noWrap/>
            <w:vAlign w:val="center"/>
            <w:hideMark/>
          </w:tcPr>
          <w:p w14:paraId="666085C7" w14:textId="2FB89DC5" w:rsidR="00C37351" w:rsidRPr="008F5894" w:rsidRDefault="006F252F" w:rsidP="00766DC5">
            <w:pPr>
              <w:ind w:right="170"/>
              <w:jc w:val="right"/>
              <w:rPr>
                <w:rFonts w:ascii="Arial" w:hAnsi="Arial" w:cs="Arial"/>
                <w:b/>
                <w:color w:val="0579B9"/>
                <w:sz w:val="18"/>
                <w:szCs w:val="18"/>
                <w:lang w:val="en-AU" w:eastAsia="en-AU"/>
              </w:rPr>
            </w:pPr>
            <w:r w:rsidRPr="008F5894">
              <w:rPr>
                <w:rFonts w:ascii="Arial" w:hAnsi="Arial" w:cs="Arial"/>
                <w:b/>
                <w:color w:val="0579B9"/>
                <w:sz w:val="18"/>
                <w:szCs w:val="18"/>
                <w:lang w:val="en-AU" w:eastAsia="en-AU"/>
              </w:rPr>
              <w:t>25,440</w:t>
            </w:r>
          </w:p>
        </w:tc>
        <w:tc>
          <w:tcPr>
            <w:tcW w:w="1134" w:type="dxa"/>
            <w:tcBorders>
              <w:top w:val="single" w:sz="4" w:space="0" w:color="auto"/>
              <w:left w:val="nil"/>
              <w:bottom w:val="single" w:sz="4" w:space="0" w:color="auto"/>
              <w:right w:val="nil"/>
            </w:tcBorders>
            <w:shd w:val="pct5" w:color="auto" w:fill="auto"/>
            <w:noWrap/>
            <w:vAlign w:val="center"/>
            <w:hideMark/>
          </w:tcPr>
          <w:p w14:paraId="1FF900BB" w14:textId="4AC4424B" w:rsidR="00C37351" w:rsidRPr="008F5894" w:rsidRDefault="006F252F" w:rsidP="00766DC5">
            <w:pPr>
              <w:ind w:right="170"/>
              <w:jc w:val="right"/>
              <w:rPr>
                <w:rFonts w:ascii="Arial" w:hAnsi="Arial" w:cs="Arial"/>
                <w:b/>
                <w:color w:val="0579B9"/>
                <w:sz w:val="18"/>
                <w:szCs w:val="18"/>
                <w:lang w:val="en-AU" w:eastAsia="en-AU"/>
              </w:rPr>
            </w:pPr>
            <w:r w:rsidRPr="008F5894">
              <w:rPr>
                <w:rFonts w:ascii="Arial" w:hAnsi="Arial" w:cs="Arial"/>
                <w:b/>
                <w:color w:val="0579B9"/>
                <w:sz w:val="18"/>
                <w:szCs w:val="18"/>
                <w:lang w:val="en-AU" w:eastAsia="en-AU"/>
              </w:rPr>
              <w:t>30,3</w:t>
            </w:r>
            <w:r w:rsidR="00214AE6" w:rsidRPr="008F5894">
              <w:rPr>
                <w:rFonts w:ascii="Arial" w:hAnsi="Arial" w:cs="Arial"/>
                <w:b/>
                <w:color w:val="0579B9"/>
                <w:sz w:val="18"/>
                <w:szCs w:val="18"/>
                <w:lang w:val="en-AU" w:eastAsia="en-AU"/>
              </w:rPr>
              <w:t>50</w:t>
            </w:r>
          </w:p>
        </w:tc>
        <w:tc>
          <w:tcPr>
            <w:tcW w:w="1313" w:type="dxa"/>
            <w:tcBorders>
              <w:top w:val="single" w:sz="4" w:space="0" w:color="auto"/>
              <w:left w:val="nil"/>
              <w:bottom w:val="single" w:sz="4" w:space="0" w:color="auto"/>
              <w:right w:val="nil"/>
            </w:tcBorders>
            <w:shd w:val="pct5" w:color="auto" w:fill="auto"/>
            <w:noWrap/>
            <w:vAlign w:val="center"/>
            <w:hideMark/>
          </w:tcPr>
          <w:p w14:paraId="2E9DCCD1" w14:textId="2A5A70BF" w:rsidR="00C37351" w:rsidRPr="008F5894" w:rsidRDefault="006F252F" w:rsidP="00766DC5">
            <w:pPr>
              <w:ind w:right="170"/>
              <w:jc w:val="right"/>
              <w:rPr>
                <w:rFonts w:ascii="Arial" w:hAnsi="Arial" w:cs="Arial"/>
                <w:b/>
                <w:color w:val="0579B9"/>
                <w:sz w:val="18"/>
                <w:szCs w:val="18"/>
                <w:lang w:val="en-AU" w:eastAsia="en-AU"/>
              </w:rPr>
            </w:pPr>
            <w:r w:rsidRPr="008F5894">
              <w:rPr>
                <w:rFonts w:ascii="Arial" w:hAnsi="Arial" w:cs="Arial"/>
                <w:b/>
                <w:color w:val="0579B9"/>
                <w:sz w:val="18"/>
                <w:szCs w:val="18"/>
                <w:lang w:val="en-AU" w:eastAsia="en-AU"/>
              </w:rPr>
              <w:t>29</w:t>
            </w:r>
            <w:r w:rsidR="00CA05E6" w:rsidRPr="008F5894">
              <w:rPr>
                <w:rFonts w:ascii="Arial" w:hAnsi="Arial" w:cs="Arial"/>
                <w:b/>
                <w:color w:val="0579B9"/>
                <w:sz w:val="18"/>
                <w:szCs w:val="18"/>
                <w:lang w:val="en-AU" w:eastAsia="en-AU"/>
              </w:rPr>
              <w:t>,435</w:t>
            </w:r>
          </w:p>
        </w:tc>
        <w:tc>
          <w:tcPr>
            <w:tcW w:w="1257" w:type="dxa"/>
            <w:tcBorders>
              <w:top w:val="single" w:sz="4" w:space="0" w:color="auto"/>
              <w:left w:val="nil"/>
              <w:bottom w:val="single" w:sz="4" w:space="0" w:color="auto"/>
              <w:right w:val="nil"/>
            </w:tcBorders>
            <w:shd w:val="pct5" w:color="auto" w:fill="auto"/>
            <w:noWrap/>
            <w:vAlign w:val="center"/>
            <w:hideMark/>
          </w:tcPr>
          <w:p w14:paraId="76C74151" w14:textId="6AA42B9F" w:rsidR="00C37351" w:rsidRPr="008F5894" w:rsidRDefault="00CA05E6" w:rsidP="00766DC5">
            <w:pPr>
              <w:ind w:right="170"/>
              <w:jc w:val="right"/>
              <w:rPr>
                <w:rFonts w:ascii="Arial" w:hAnsi="Arial" w:cs="Arial"/>
                <w:b/>
                <w:color w:val="0579B9"/>
                <w:sz w:val="18"/>
                <w:szCs w:val="18"/>
                <w:lang w:val="en-AU" w:eastAsia="en-AU"/>
              </w:rPr>
            </w:pPr>
            <w:r w:rsidRPr="008F5894">
              <w:rPr>
                <w:rFonts w:ascii="Arial" w:hAnsi="Arial" w:cs="Arial"/>
                <w:b/>
                <w:color w:val="0579B9"/>
                <w:sz w:val="18"/>
                <w:szCs w:val="18"/>
                <w:lang w:val="en-AU" w:eastAsia="en-AU"/>
              </w:rPr>
              <w:t>26,029</w:t>
            </w:r>
          </w:p>
        </w:tc>
        <w:tc>
          <w:tcPr>
            <w:tcW w:w="1257" w:type="dxa"/>
            <w:tcBorders>
              <w:top w:val="single" w:sz="4" w:space="0" w:color="auto"/>
              <w:left w:val="nil"/>
              <w:bottom w:val="single" w:sz="4" w:space="0" w:color="auto"/>
              <w:right w:val="nil"/>
            </w:tcBorders>
            <w:shd w:val="pct5" w:color="auto" w:fill="auto"/>
            <w:noWrap/>
            <w:vAlign w:val="center"/>
            <w:hideMark/>
          </w:tcPr>
          <w:p w14:paraId="5521C6FF" w14:textId="703BF9E9" w:rsidR="00C37351" w:rsidRPr="008F5894" w:rsidRDefault="00CA05E6" w:rsidP="00766DC5">
            <w:pPr>
              <w:ind w:right="170"/>
              <w:jc w:val="right"/>
              <w:rPr>
                <w:rFonts w:ascii="Arial" w:hAnsi="Arial" w:cs="Arial"/>
                <w:b/>
                <w:color w:val="0579B9"/>
                <w:sz w:val="18"/>
                <w:szCs w:val="18"/>
                <w:lang w:val="en-AU" w:eastAsia="en-AU"/>
              </w:rPr>
            </w:pPr>
            <w:r w:rsidRPr="008F5894">
              <w:rPr>
                <w:rFonts w:ascii="Arial" w:hAnsi="Arial" w:cs="Arial"/>
                <w:b/>
                <w:color w:val="0579B9"/>
                <w:sz w:val="18"/>
                <w:szCs w:val="18"/>
                <w:lang w:val="en-AU" w:eastAsia="en-AU"/>
              </w:rPr>
              <w:t>22,733</w:t>
            </w:r>
          </w:p>
        </w:tc>
      </w:tr>
    </w:tbl>
    <w:p w14:paraId="3BBBB59E" w14:textId="77777777" w:rsidR="00C37351" w:rsidRPr="00353CA5" w:rsidRDefault="00C37351" w:rsidP="0036689C">
      <w:pPr>
        <w:rPr>
          <w:rFonts w:ascii="Calibri" w:hAnsi="Calibri" w:cs="Calibri"/>
          <w:sz w:val="6"/>
          <w:szCs w:val="6"/>
        </w:rPr>
      </w:pPr>
    </w:p>
    <w:p w14:paraId="4CC9126A" w14:textId="2DCBD4F3" w:rsidR="00A33734" w:rsidRDefault="00A33734" w:rsidP="00EA2D1D">
      <w:pPr>
        <w:widowControl w:val="0"/>
        <w:numPr>
          <w:ilvl w:val="0"/>
          <w:numId w:val="3"/>
        </w:numPr>
        <w:tabs>
          <w:tab w:val="left" w:pos="364"/>
          <w:tab w:val="right" w:pos="4196"/>
          <w:tab w:val="right" w:pos="5046"/>
          <w:tab w:val="right" w:pos="5897"/>
          <w:tab w:val="right" w:pos="6747"/>
          <w:tab w:val="right" w:pos="7598"/>
        </w:tabs>
        <w:autoSpaceDE w:val="0"/>
        <w:autoSpaceDN w:val="0"/>
        <w:ind w:left="363" w:hanging="357"/>
        <w:rPr>
          <w:rFonts w:ascii="Arial" w:hAnsi="Arial" w:cs="Arial"/>
          <w:kern w:val="28"/>
          <w:sz w:val="17"/>
          <w:szCs w:val="17"/>
        </w:rPr>
      </w:pPr>
      <w:r w:rsidRPr="00EA2D1D">
        <w:rPr>
          <w:rFonts w:ascii="Arial" w:hAnsi="Arial" w:cs="Arial"/>
          <w:kern w:val="28"/>
          <w:sz w:val="17"/>
          <w:szCs w:val="17"/>
        </w:rPr>
        <w:t>Includes the estimated impact of spending funds committed and reserved in Restart NSW.</w:t>
      </w:r>
    </w:p>
    <w:p w14:paraId="7FB53947" w14:textId="2DE67FDC" w:rsidR="00E25E0A" w:rsidRPr="00EA2D1D" w:rsidRDefault="00E25E0A" w:rsidP="00EA2D1D">
      <w:pPr>
        <w:widowControl w:val="0"/>
        <w:numPr>
          <w:ilvl w:val="0"/>
          <w:numId w:val="3"/>
        </w:numPr>
        <w:tabs>
          <w:tab w:val="left" w:pos="364"/>
          <w:tab w:val="right" w:pos="4196"/>
          <w:tab w:val="right" w:pos="5046"/>
          <w:tab w:val="right" w:pos="5897"/>
          <w:tab w:val="right" w:pos="6747"/>
          <w:tab w:val="right" w:pos="7598"/>
        </w:tabs>
        <w:autoSpaceDE w:val="0"/>
        <w:autoSpaceDN w:val="0"/>
        <w:ind w:left="363" w:hanging="357"/>
        <w:rPr>
          <w:rFonts w:ascii="Arial" w:hAnsi="Arial" w:cs="Arial"/>
          <w:kern w:val="28"/>
          <w:sz w:val="17"/>
          <w:szCs w:val="17"/>
        </w:rPr>
      </w:pPr>
      <w:r>
        <w:rPr>
          <w:rFonts w:ascii="Arial" w:hAnsi="Arial" w:cs="Arial"/>
          <w:kern w:val="28"/>
          <w:sz w:val="17"/>
          <w:szCs w:val="17"/>
        </w:rPr>
        <w:t xml:space="preserve">Includes </w:t>
      </w:r>
      <w:r w:rsidR="000D7BFC">
        <w:rPr>
          <w:rFonts w:ascii="Arial" w:hAnsi="Arial" w:cs="Arial"/>
          <w:kern w:val="28"/>
          <w:sz w:val="17"/>
          <w:szCs w:val="17"/>
        </w:rPr>
        <w:t xml:space="preserve">timing adjustments related to movements in </w:t>
      </w:r>
      <w:r w:rsidR="00503A37">
        <w:rPr>
          <w:rFonts w:ascii="Arial" w:hAnsi="Arial" w:cs="Arial"/>
          <w:kern w:val="28"/>
          <w:sz w:val="17"/>
          <w:szCs w:val="17"/>
        </w:rPr>
        <w:t>project delivery schedules</w:t>
      </w:r>
      <w:r w:rsidR="00C636B8">
        <w:rPr>
          <w:rFonts w:ascii="Arial" w:hAnsi="Arial" w:cs="Arial"/>
          <w:kern w:val="28"/>
          <w:sz w:val="17"/>
          <w:szCs w:val="17"/>
        </w:rPr>
        <w:t>.</w:t>
      </w:r>
    </w:p>
    <w:p w14:paraId="3D528DCE" w14:textId="633C8775" w:rsidR="00867996" w:rsidRPr="00A1397D" w:rsidRDefault="005F6F7A" w:rsidP="00CE0173">
      <w:pPr>
        <w:keepNext/>
        <w:widowControl w:val="0"/>
        <w:spacing w:before="240" w:after="100" w:line="240" w:lineRule="atLeast"/>
        <w:outlineLvl w:val="2"/>
        <w:rPr>
          <w:rFonts w:ascii="Calibri" w:hAnsi="Calibri" w:cs="Calibri"/>
          <w:b/>
          <w:kern w:val="28"/>
          <w:sz w:val="28"/>
          <w:szCs w:val="36"/>
        </w:rPr>
      </w:pPr>
      <w:r>
        <w:rPr>
          <w:rFonts w:ascii="Calibri" w:hAnsi="Calibri"/>
          <w:b/>
          <w:kern w:val="28"/>
          <w:sz w:val="28"/>
          <w:szCs w:val="36"/>
          <w:lang w:val="en-AU"/>
        </w:rPr>
        <w:t>Breakdown of the capital program</w:t>
      </w:r>
    </w:p>
    <w:p w14:paraId="30B8F71E" w14:textId="5281594A" w:rsidR="00EE62FF" w:rsidRDefault="00A33734">
      <w:pPr>
        <w:pStyle w:val="BodyText"/>
      </w:pPr>
      <w:r w:rsidRPr="00A1397D">
        <w:t>Table 1.</w:t>
      </w:r>
      <w:r w:rsidR="008C03DC">
        <w:t>2</w:t>
      </w:r>
      <w:r w:rsidR="007433B9">
        <w:t xml:space="preserve"> details the breakdown of capital expenditure by </w:t>
      </w:r>
      <w:r w:rsidR="00810961">
        <w:t>c</w:t>
      </w:r>
      <w:r w:rsidR="007433B9">
        <w:t>luster</w:t>
      </w:r>
      <w:r w:rsidRPr="00A1397D">
        <w:t>.</w:t>
      </w:r>
      <w:r w:rsidR="00A85015" w:rsidRPr="00A1397D">
        <w:t xml:space="preserve"> </w:t>
      </w:r>
      <w:r w:rsidRPr="00A1397D">
        <w:t xml:space="preserve">More than half </w:t>
      </w:r>
      <w:r w:rsidR="00C146C6">
        <w:t>of</w:t>
      </w:r>
      <w:r w:rsidRPr="00A1397D">
        <w:t xml:space="preserve"> the four-year capital program reflects </w:t>
      </w:r>
      <w:r w:rsidR="0083156F">
        <w:t>the Government’s</w:t>
      </w:r>
      <w:r w:rsidRPr="00A1397D">
        <w:t xml:space="preserve"> investment in road and rail infrastructure</w:t>
      </w:r>
      <w:r w:rsidRPr="00C15E70">
        <w:t>. The table also highlights the</w:t>
      </w:r>
      <w:r w:rsidR="00977ED1">
        <w:t xml:space="preserve"> significant</w:t>
      </w:r>
      <w:r w:rsidR="005615EC" w:rsidRPr="00C15E70">
        <w:t xml:space="preserve"> </w:t>
      </w:r>
      <w:r w:rsidRPr="00C15E70">
        <w:t xml:space="preserve">infrastructure </w:t>
      </w:r>
      <w:r w:rsidR="00E06C32">
        <w:t xml:space="preserve">investment in </w:t>
      </w:r>
      <w:r w:rsidR="00A85015" w:rsidRPr="00C15E70">
        <w:t>H</w:t>
      </w:r>
      <w:r w:rsidRPr="00C15E70">
        <w:t xml:space="preserve">ealth and </w:t>
      </w:r>
      <w:r w:rsidR="00A85015" w:rsidRPr="00C15E70">
        <w:t>E</w:t>
      </w:r>
      <w:r w:rsidRPr="00C15E70">
        <w:t xml:space="preserve">ducation over the four years to </w:t>
      </w:r>
      <w:r w:rsidR="00977ED1">
        <w:t>2024-25</w:t>
      </w:r>
      <w:r w:rsidRPr="00C15E70">
        <w:t>.</w:t>
      </w:r>
      <w:r w:rsidR="002A6189">
        <w:t xml:space="preserve"> </w:t>
      </w:r>
    </w:p>
    <w:p w14:paraId="64B02D7D" w14:textId="45588FEF" w:rsidR="002A6189" w:rsidRDefault="002A6189">
      <w:pPr>
        <w:pStyle w:val="BodyText"/>
      </w:pPr>
      <w:r>
        <w:t xml:space="preserve">More information on individual agency capital </w:t>
      </w:r>
      <w:r w:rsidR="00E82239">
        <w:t>programs</w:t>
      </w:r>
      <w:r>
        <w:t xml:space="preserve"> is provided in </w:t>
      </w:r>
      <w:r w:rsidRPr="00A1397D">
        <w:t xml:space="preserve">Chapter </w:t>
      </w:r>
      <w:r w:rsidR="002E0410">
        <w:t>5</w:t>
      </w:r>
      <w:r w:rsidRPr="00A1397D">
        <w:t xml:space="preserve"> (general government agencies) and Chapter </w:t>
      </w:r>
      <w:r w:rsidR="002E0410">
        <w:t>6</w:t>
      </w:r>
      <w:r w:rsidRPr="00A1397D">
        <w:t xml:space="preserve"> (public non-financial corporations)</w:t>
      </w:r>
      <w:r>
        <w:t>.</w:t>
      </w:r>
    </w:p>
    <w:p w14:paraId="5C8EEEB0" w14:textId="77777777" w:rsidR="00443719" w:rsidRDefault="00443719">
      <w:pPr>
        <w:rPr>
          <w:rFonts w:ascii="Arial" w:hAnsi="Arial"/>
          <w:bCs/>
          <w:i/>
          <w:color w:val="4F4F4F"/>
          <w:kern w:val="28"/>
          <w:sz w:val="22"/>
          <w:szCs w:val="22"/>
        </w:rPr>
      </w:pPr>
      <w:r>
        <w:br w:type="page"/>
      </w:r>
    </w:p>
    <w:p w14:paraId="5133946C" w14:textId="077BE0EB" w:rsidR="009C3790" w:rsidRPr="00135F2A" w:rsidRDefault="00E6054E" w:rsidP="00443719">
      <w:pPr>
        <w:pStyle w:val="Table1X"/>
      </w:pPr>
      <w:r>
        <w:t>Non-financial public sector</w:t>
      </w:r>
      <w:r w:rsidR="00F733B9" w:rsidRPr="00135F2A">
        <w:t xml:space="preserve"> </w:t>
      </w:r>
      <w:r w:rsidR="00A33734" w:rsidRPr="00443719">
        <w:t>capital</w:t>
      </w:r>
      <w:r w:rsidR="00A33734" w:rsidRPr="00135F2A">
        <w:t xml:space="preserve"> spending by </w:t>
      </w:r>
      <w:r w:rsidR="00F6363E" w:rsidRPr="00135F2A">
        <w:t>c</w:t>
      </w:r>
      <w:r w:rsidR="00A33734" w:rsidRPr="00135F2A">
        <w:t>luste</w:t>
      </w:r>
      <w:r w:rsidR="00357E90" w:rsidRPr="00135F2A">
        <w:t>r</w:t>
      </w:r>
      <w:r w:rsidR="00CC4B6D" w:rsidRPr="00135F2A">
        <w:rPr>
          <w:vertAlign w:val="superscript"/>
        </w:rPr>
        <w:t>(a)</w:t>
      </w:r>
      <w:r w:rsidR="00D87A07" w:rsidRPr="00135F2A">
        <w:rPr>
          <w:vertAlign w:val="superscript"/>
        </w:rPr>
        <w:t xml:space="preserve"> </w:t>
      </w:r>
    </w:p>
    <w:tbl>
      <w:tblPr>
        <w:tblW w:w="9639" w:type="dxa"/>
        <w:tblLayout w:type="fixed"/>
        <w:tblLook w:val="04A0" w:firstRow="1" w:lastRow="0" w:firstColumn="1" w:lastColumn="0" w:noHBand="0" w:noVBand="1"/>
        <w:tblCaption w:val="Table 1.2: Non-financial public sector capital spending by cluster(a) "/>
        <w:tblDescription w:val="Table 1.2: Non-financial public sector capital spending by cluster(a) "/>
      </w:tblPr>
      <w:tblGrid>
        <w:gridCol w:w="3119"/>
        <w:gridCol w:w="1073"/>
        <w:gridCol w:w="49"/>
        <w:gridCol w:w="1087"/>
        <w:gridCol w:w="36"/>
        <w:gridCol w:w="1100"/>
        <w:gridCol w:w="23"/>
        <w:gridCol w:w="1113"/>
        <w:gridCol w:w="10"/>
        <w:gridCol w:w="1123"/>
        <w:gridCol w:w="906"/>
      </w:tblGrid>
      <w:tr w:rsidR="004D0A57" w:rsidRPr="00FC0F4B" w14:paraId="78B6568A" w14:textId="77777777" w:rsidTr="009A4564">
        <w:trPr>
          <w:trHeight w:val="283"/>
        </w:trPr>
        <w:tc>
          <w:tcPr>
            <w:tcW w:w="3119" w:type="dxa"/>
            <w:tcBorders>
              <w:top w:val="nil"/>
              <w:left w:val="nil"/>
              <w:bottom w:val="nil"/>
              <w:right w:val="nil"/>
            </w:tcBorders>
            <w:shd w:val="clear" w:color="auto" w:fill="008EBA"/>
            <w:noWrap/>
            <w:vAlign w:val="bottom"/>
            <w:hideMark/>
          </w:tcPr>
          <w:p w14:paraId="08547A4C" w14:textId="77777777" w:rsidR="004D0A57" w:rsidRPr="00FC0F4B" w:rsidRDefault="004D0A57" w:rsidP="008C5D92">
            <w:pPr>
              <w:keepNext/>
              <w:keepLines/>
              <w:jc w:val="center"/>
              <w:rPr>
                <w:rFonts w:ascii="Arial" w:hAnsi="Arial" w:cs="Arial"/>
                <w:color w:val="FFFFFF"/>
                <w:sz w:val="18"/>
                <w:szCs w:val="18"/>
                <w:lang w:val="en-AU" w:eastAsia="en-AU"/>
              </w:rPr>
            </w:pPr>
            <w:r w:rsidRPr="00FC0F4B">
              <w:rPr>
                <w:rFonts w:ascii="Arial" w:hAnsi="Arial" w:cs="Arial"/>
                <w:color w:val="FFFFFF"/>
                <w:sz w:val="18"/>
                <w:szCs w:val="18"/>
                <w:lang w:val="en-AU" w:eastAsia="en-AU"/>
              </w:rPr>
              <w:t> </w:t>
            </w:r>
          </w:p>
        </w:tc>
        <w:tc>
          <w:tcPr>
            <w:tcW w:w="1073" w:type="dxa"/>
            <w:tcBorders>
              <w:top w:val="nil"/>
              <w:left w:val="nil"/>
              <w:bottom w:val="nil"/>
              <w:right w:val="nil"/>
            </w:tcBorders>
            <w:shd w:val="clear" w:color="auto" w:fill="008EBA"/>
            <w:noWrap/>
            <w:vAlign w:val="bottom"/>
            <w:hideMark/>
          </w:tcPr>
          <w:p w14:paraId="2BE45C0D" w14:textId="79D7A81B" w:rsidR="004D0A57" w:rsidRPr="00FC0F4B" w:rsidRDefault="00977ED1" w:rsidP="008C5D92">
            <w:pPr>
              <w:keepNext/>
              <w:keepLines/>
              <w:jc w:val="center"/>
              <w:rPr>
                <w:rFonts w:ascii="Arial" w:hAnsi="Arial" w:cs="Arial"/>
                <w:color w:val="FFFFFF"/>
                <w:sz w:val="18"/>
                <w:szCs w:val="18"/>
                <w:lang w:val="en-AU" w:eastAsia="en-AU"/>
              </w:rPr>
            </w:pPr>
            <w:r>
              <w:rPr>
                <w:rFonts w:ascii="Arial" w:hAnsi="Arial" w:cs="Arial"/>
                <w:color w:val="FFFFFF"/>
                <w:sz w:val="18"/>
                <w:szCs w:val="18"/>
                <w:lang w:val="en-AU" w:eastAsia="en-AU"/>
              </w:rPr>
              <w:t>2021-22</w:t>
            </w:r>
          </w:p>
        </w:tc>
        <w:tc>
          <w:tcPr>
            <w:tcW w:w="1136" w:type="dxa"/>
            <w:gridSpan w:val="2"/>
            <w:tcBorders>
              <w:top w:val="nil"/>
              <w:left w:val="nil"/>
              <w:bottom w:val="nil"/>
              <w:right w:val="nil"/>
            </w:tcBorders>
            <w:shd w:val="clear" w:color="auto" w:fill="008EBA"/>
            <w:noWrap/>
            <w:vAlign w:val="bottom"/>
            <w:hideMark/>
          </w:tcPr>
          <w:p w14:paraId="72AC192A" w14:textId="32A7F2F6" w:rsidR="004D0A57" w:rsidRPr="00FC0F4B" w:rsidRDefault="00977ED1" w:rsidP="008C5D92">
            <w:pPr>
              <w:keepNext/>
              <w:keepLines/>
              <w:jc w:val="center"/>
              <w:rPr>
                <w:rFonts w:ascii="Arial" w:hAnsi="Arial" w:cs="Arial"/>
                <w:color w:val="FFFFFF"/>
                <w:sz w:val="18"/>
                <w:szCs w:val="18"/>
                <w:lang w:val="en-AU" w:eastAsia="en-AU"/>
              </w:rPr>
            </w:pPr>
            <w:r>
              <w:rPr>
                <w:rFonts w:ascii="Arial" w:hAnsi="Arial" w:cs="Arial"/>
                <w:color w:val="FFFFFF"/>
                <w:sz w:val="18"/>
                <w:szCs w:val="18"/>
                <w:lang w:val="en-AU" w:eastAsia="en-AU"/>
              </w:rPr>
              <w:t>2022-23</w:t>
            </w:r>
          </w:p>
        </w:tc>
        <w:tc>
          <w:tcPr>
            <w:tcW w:w="1136" w:type="dxa"/>
            <w:gridSpan w:val="2"/>
            <w:tcBorders>
              <w:top w:val="nil"/>
              <w:left w:val="nil"/>
              <w:bottom w:val="nil"/>
              <w:right w:val="nil"/>
            </w:tcBorders>
            <w:shd w:val="clear" w:color="auto" w:fill="008EBA"/>
            <w:noWrap/>
            <w:vAlign w:val="bottom"/>
            <w:hideMark/>
          </w:tcPr>
          <w:p w14:paraId="4F4E542C" w14:textId="5F3C20E8" w:rsidR="004D0A57" w:rsidRPr="00FC0F4B" w:rsidRDefault="00977ED1" w:rsidP="008C5D92">
            <w:pPr>
              <w:keepNext/>
              <w:keepLines/>
              <w:jc w:val="center"/>
              <w:rPr>
                <w:rFonts w:ascii="Arial" w:hAnsi="Arial" w:cs="Arial"/>
                <w:color w:val="FFFFFF"/>
                <w:sz w:val="18"/>
                <w:szCs w:val="18"/>
                <w:lang w:val="en-AU" w:eastAsia="en-AU"/>
              </w:rPr>
            </w:pPr>
            <w:r>
              <w:rPr>
                <w:rFonts w:ascii="Arial" w:hAnsi="Arial" w:cs="Arial"/>
                <w:color w:val="FFFFFF"/>
                <w:sz w:val="18"/>
                <w:szCs w:val="18"/>
                <w:lang w:val="en-AU" w:eastAsia="en-AU"/>
              </w:rPr>
              <w:t>2023-24</w:t>
            </w:r>
          </w:p>
        </w:tc>
        <w:tc>
          <w:tcPr>
            <w:tcW w:w="1136" w:type="dxa"/>
            <w:gridSpan w:val="2"/>
            <w:tcBorders>
              <w:top w:val="nil"/>
              <w:left w:val="nil"/>
              <w:bottom w:val="nil"/>
              <w:right w:val="nil"/>
            </w:tcBorders>
            <w:shd w:val="clear" w:color="auto" w:fill="008EBA"/>
            <w:noWrap/>
            <w:vAlign w:val="bottom"/>
            <w:hideMark/>
          </w:tcPr>
          <w:p w14:paraId="0AFFF5D4" w14:textId="0508CE57" w:rsidR="004D0A57" w:rsidRPr="00FC0F4B" w:rsidRDefault="00977ED1" w:rsidP="008C5D92">
            <w:pPr>
              <w:keepNext/>
              <w:keepLines/>
              <w:jc w:val="center"/>
              <w:rPr>
                <w:rFonts w:ascii="Arial" w:hAnsi="Arial" w:cs="Arial"/>
                <w:color w:val="FFFFFF"/>
                <w:sz w:val="18"/>
                <w:szCs w:val="18"/>
                <w:lang w:val="en-AU" w:eastAsia="en-AU"/>
              </w:rPr>
            </w:pPr>
            <w:r>
              <w:rPr>
                <w:rFonts w:ascii="Arial" w:hAnsi="Arial" w:cs="Arial"/>
                <w:color w:val="FFFFFF"/>
                <w:sz w:val="18"/>
                <w:szCs w:val="18"/>
                <w:lang w:val="en-AU" w:eastAsia="en-AU"/>
              </w:rPr>
              <w:t>2024-25</w:t>
            </w:r>
          </w:p>
        </w:tc>
        <w:tc>
          <w:tcPr>
            <w:tcW w:w="2039" w:type="dxa"/>
            <w:gridSpan w:val="3"/>
            <w:vMerge w:val="restart"/>
            <w:tcBorders>
              <w:top w:val="nil"/>
              <w:left w:val="nil"/>
              <w:bottom w:val="nil"/>
              <w:right w:val="nil"/>
            </w:tcBorders>
            <w:shd w:val="clear" w:color="auto" w:fill="008EBA"/>
            <w:noWrap/>
            <w:vAlign w:val="center"/>
            <w:hideMark/>
          </w:tcPr>
          <w:p w14:paraId="18867154" w14:textId="142B1201" w:rsidR="004D0A57" w:rsidRPr="00FC0F4B" w:rsidRDefault="004D0A57" w:rsidP="008C5D92">
            <w:pPr>
              <w:keepNext/>
              <w:keepLines/>
              <w:jc w:val="center"/>
              <w:rPr>
                <w:rFonts w:ascii="Arial" w:hAnsi="Arial" w:cs="Arial"/>
                <w:color w:val="FFFFFF"/>
                <w:sz w:val="18"/>
                <w:szCs w:val="18"/>
                <w:lang w:val="en-AU" w:eastAsia="en-AU"/>
              </w:rPr>
            </w:pPr>
            <w:r w:rsidRPr="00FC0F4B">
              <w:rPr>
                <w:rFonts w:ascii="Arial" w:hAnsi="Arial" w:cs="Arial"/>
                <w:color w:val="FFFFFF"/>
                <w:sz w:val="18"/>
                <w:szCs w:val="18"/>
                <w:lang w:val="en-AU" w:eastAsia="en-AU"/>
              </w:rPr>
              <w:t>Four</w:t>
            </w:r>
            <w:r w:rsidR="00E07CDD">
              <w:rPr>
                <w:rFonts w:ascii="Arial" w:hAnsi="Arial" w:cs="Arial"/>
                <w:color w:val="FFFFFF"/>
                <w:sz w:val="18"/>
                <w:szCs w:val="18"/>
                <w:lang w:val="en-AU" w:eastAsia="en-AU"/>
              </w:rPr>
              <w:t>-</w:t>
            </w:r>
            <w:r w:rsidRPr="00FC0F4B">
              <w:rPr>
                <w:rFonts w:ascii="Arial" w:hAnsi="Arial" w:cs="Arial"/>
                <w:color w:val="FFFFFF"/>
                <w:sz w:val="18"/>
                <w:szCs w:val="18"/>
                <w:lang w:val="en-AU" w:eastAsia="en-AU"/>
              </w:rPr>
              <w:t>year total</w:t>
            </w:r>
          </w:p>
        </w:tc>
      </w:tr>
      <w:tr w:rsidR="004D0A57" w:rsidRPr="00FC0F4B" w14:paraId="724B8BB7" w14:textId="77777777" w:rsidTr="009A4564">
        <w:trPr>
          <w:trHeight w:val="227"/>
        </w:trPr>
        <w:tc>
          <w:tcPr>
            <w:tcW w:w="3119" w:type="dxa"/>
            <w:tcBorders>
              <w:top w:val="nil"/>
              <w:left w:val="nil"/>
              <w:right w:val="nil"/>
            </w:tcBorders>
            <w:shd w:val="clear" w:color="auto" w:fill="008EBA"/>
            <w:noWrap/>
            <w:vAlign w:val="bottom"/>
            <w:hideMark/>
          </w:tcPr>
          <w:p w14:paraId="0622E0BA" w14:textId="77777777" w:rsidR="004D0A57" w:rsidRPr="00FC0F4B" w:rsidRDefault="004D0A57" w:rsidP="008C5D92">
            <w:pPr>
              <w:keepNext/>
              <w:keepLines/>
              <w:jc w:val="center"/>
              <w:rPr>
                <w:rFonts w:ascii="Arial" w:hAnsi="Arial" w:cs="Arial"/>
                <w:color w:val="FFFFFF"/>
                <w:sz w:val="18"/>
                <w:szCs w:val="18"/>
                <w:lang w:val="en-AU" w:eastAsia="en-AU"/>
              </w:rPr>
            </w:pPr>
            <w:r w:rsidRPr="00FC0F4B">
              <w:rPr>
                <w:rFonts w:ascii="Arial" w:hAnsi="Arial" w:cs="Arial"/>
                <w:color w:val="FFFFFF"/>
                <w:sz w:val="18"/>
                <w:szCs w:val="18"/>
                <w:lang w:val="en-AU" w:eastAsia="en-AU"/>
              </w:rPr>
              <w:t> </w:t>
            </w:r>
          </w:p>
        </w:tc>
        <w:tc>
          <w:tcPr>
            <w:tcW w:w="1073" w:type="dxa"/>
            <w:tcBorders>
              <w:top w:val="nil"/>
              <w:left w:val="nil"/>
              <w:right w:val="nil"/>
            </w:tcBorders>
            <w:shd w:val="clear" w:color="auto" w:fill="008EBA"/>
            <w:noWrap/>
            <w:vAlign w:val="bottom"/>
            <w:hideMark/>
          </w:tcPr>
          <w:p w14:paraId="0313E4F7" w14:textId="77777777" w:rsidR="004D0A57" w:rsidRPr="00FC0F4B" w:rsidRDefault="004D0A57" w:rsidP="008C5D92">
            <w:pPr>
              <w:keepNext/>
              <w:keepLines/>
              <w:jc w:val="center"/>
              <w:rPr>
                <w:rFonts w:ascii="Arial" w:hAnsi="Arial" w:cs="Arial"/>
                <w:color w:val="FFFFFF"/>
                <w:sz w:val="18"/>
                <w:szCs w:val="18"/>
                <w:lang w:val="en-AU" w:eastAsia="en-AU"/>
              </w:rPr>
            </w:pPr>
            <w:r w:rsidRPr="00FC0F4B">
              <w:rPr>
                <w:rFonts w:ascii="Arial" w:hAnsi="Arial" w:cs="Arial"/>
                <w:color w:val="FFFFFF"/>
                <w:sz w:val="18"/>
                <w:szCs w:val="18"/>
                <w:lang w:val="en-AU" w:eastAsia="en-AU"/>
              </w:rPr>
              <w:t>Budget</w:t>
            </w:r>
          </w:p>
        </w:tc>
        <w:tc>
          <w:tcPr>
            <w:tcW w:w="3408" w:type="dxa"/>
            <w:gridSpan w:val="6"/>
            <w:tcBorders>
              <w:top w:val="nil"/>
              <w:left w:val="nil"/>
              <w:right w:val="nil"/>
            </w:tcBorders>
            <w:shd w:val="clear" w:color="auto" w:fill="008EBA"/>
            <w:noWrap/>
            <w:vAlign w:val="bottom"/>
            <w:hideMark/>
          </w:tcPr>
          <w:p w14:paraId="2D437D59" w14:textId="77777777" w:rsidR="004D0A57" w:rsidRPr="00FC0F4B" w:rsidRDefault="004D0A57" w:rsidP="008C5D92">
            <w:pPr>
              <w:keepNext/>
              <w:keepLines/>
              <w:jc w:val="center"/>
              <w:rPr>
                <w:rFonts w:ascii="Arial" w:hAnsi="Arial" w:cs="Arial"/>
                <w:color w:val="FFFFFF"/>
                <w:sz w:val="18"/>
                <w:szCs w:val="18"/>
                <w:lang w:val="en-AU" w:eastAsia="en-AU"/>
              </w:rPr>
            </w:pPr>
            <w:r w:rsidRPr="00FC0F4B">
              <w:rPr>
                <w:rFonts w:ascii="Arial" w:hAnsi="Arial" w:cs="Arial"/>
                <w:color w:val="FFFFFF"/>
                <w:sz w:val="18"/>
                <w:szCs w:val="18"/>
                <w:lang w:val="en-AU" w:eastAsia="en-AU"/>
              </w:rPr>
              <w:t>Forward Estimates</w:t>
            </w:r>
          </w:p>
        </w:tc>
        <w:tc>
          <w:tcPr>
            <w:tcW w:w="2039" w:type="dxa"/>
            <w:gridSpan w:val="3"/>
            <w:vMerge/>
            <w:tcBorders>
              <w:top w:val="nil"/>
              <w:left w:val="nil"/>
              <w:right w:val="nil"/>
            </w:tcBorders>
            <w:shd w:val="clear" w:color="auto" w:fill="008EBA"/>
            <w:vAlign w:val="center"/>
            <w:hideMark/>
          </w:tcPr>
          <w:p w14:paraId="112C79DB" w14:textId="77777777" w:rsidR="004D0A57" w:rsidRPr="00FC0F4B" w:rsidRDefault="004D0A57" w:rsidP="008C5D92">
            <w:pPr>
              <w:keepNext/>
              <w:keepLines/>
              <w:rPr>
                <w:rFonts w:ascii="Arial" w:hAnsi="Arial" w:cs="Arial"/>
                <w:color w:val="FFFFFF"/>
                <w:sz w:val="18"/>
                <w:szCs w:val="18"/>
                <w:lang w:val="en-AU" w:eastAsia="en-AU"/>
              </w:rPr>
            </w:pPr>
          </w:p>
        </w:tc>
      </w:tr>
      <w:tr w:rsidR="004D0A57" w:rsidRPr="00FC0F4B" w14:paraId="6E6874AE" w14:textId="77777777" w:rsidTr="00DA05F8">
        <w:trPr>
          <w:trHeight w:val="283"/>
        </w:trPr>
        <w:tc>
          <w:tcPr>
            <w:tcW w:w="3119" w:type="dxa"/>
            <w:tcBorders>
              <w:top w:val="nil"/>
              <w:left w:val="nil"/>
              <w:bottom w:val="nil"/>
              <w:right w:val="nil"/>
            </w:tcBorders>
            <w:shd w:val="clear" w:color="000000" w:fill="00426F"/>
            <w:noWrap/>
            <w:hideMark/>
          </w:tcPr>
          <w:p w14:paraId="573BDE6B" w14:textId="77777777" w:rsidR="004D0A57" w:rsidRPr="00FC0F4B" w:rsidRDefault="004D0A57" w:rsidP="008C5D92">
            <w:pPr>
              <w:keepNext/>
              <w:keepLines/>
              <w:jc w:val="center"/>
              <w:rPr>
                <w:rFonts w:ascii="Arial" w:hAnsi="Arial" w:cs="Arial"/>
                <w:color w:val="FFFFFF"/>
                <w:sz w:val="18"/>
                <w:szCs w:val="18"/>
                <w:lang w:val="en-AU" w:eastAsia="en-AU"/>
              </w:rPr>
            </w:pPr>
          </w:p>
        </w:tc>
        <w:tc>
          <w:tcPr>
            <w:tcW w:w="1122" w:type="dxa"/>
            <w:gridSpan w:val="2"/>
            <w:tcBorders>
              <w:top w:val="nil"/>
              <w:left w:val="nil"/>
              <w:right w:val="nil"/>
            </w:tcBorders>
            <w:shd w:val="clear" w:color="000000" w:fill="00426F"/>
            <w:noWrap/>
            <w:hideMark/>
          </w:tcPr>
          <w:p w14:paraId="2ED0A14A" w14:textId="77777777" w:rsidR="004D0A57" w:rsidRPr="00FC0F4B" w:rsidRDefault="004D0A57" w:rsidP="008C5D92">
            <w:pPr>
              <w:keepNext/>
              <w:keepLines/>
              <w:jc w:val="center"/>
              <w:rPr>
                <w:rFonts w:ascii="Arial" w:hAnsi="Arial" w:cs="Arial"/>
                <w:color w:val="FFFFFF"/>
                <w:sz w:val="18"/>
                <w:szCs w:val="18"/>
                <w:lang w:val="en-AU" w:eastAsia="en-AU"/>
              </w:rPr>
            </w:pPr>
            <w:r w:rsidRPr="00FC0F4B">
              <w:rPr>
                <w:rFonts w:ascii="Arial" w:hAnsi="Arial" w:cs="Arial"/>
                <w:color w:val="FFFFFF"/>
                <w:sz w:val="18"/>
                <w:szCs w:val="18"/>
                <w:lang w:val="en-AU" w:eastAsia="en-AU"/>
              </w:rPr>
              <w:t>$m</w:t>
            </w:r>
          </w:p>
        </w:tc>
        <w:tc>
          <w:tcPr>
            <w:tcW w:w="1123" w:type="dxa"/>
            <w:gridSpan w:val="2"/>
            <w:tcBorders>
              <w:top w:val="nil"/>
              <w:left w:val="nil"/>
              <w:right w:val="nil"/>
            </w:tcBorders>
            <w:shd w:val="clear" w:color="000000" w:fill="00426F"/>
            <w:noWrap/>
            <w:hideMark/>
          </w:tcPr>
          <w:p w14:paraId="14C85560" w14:textId="77777777" w:rsidR="004D0A57" w:rsidRPr="00FC0F4B" w:rsidRDefault="004D0A57" w:rsidP="008C5D92">
            <w:pPr>
              <w:keepNext/>
              <w:keepLines/>
              <w:jc w:val="center"/>
              <w:rPr>
                <w:rFonts w:ascii="Arial" w:hAnsi="Arial" w:cs="Arial"/>
                <w:color w:val="FFFFFF"/>
                <w:sz w:val="18"/>
                <w:szCs w:val="18"/>
                <w:lang w:val="en-AU" w:eastAsia="en-AU"/>
              </w:rPr>
            </w:pPr>
            <w:r w:rsidRPr="00FC0F4B">
              <w:rPr>
                <w:rFonts w:ascii="Arial" w:hAnsi="Arial" w:cs="Arial"/>
                <w:color w:val="FFFFFF"/>
                <w:sz w:val="18"/>
                <w:szCs w:val="18"/>
                <w:lang w:val="en-AU" w:eastAsia="en-AU"/>
              </w:rPr>
              <w:t>$m</w:t>
            </w:r>
          </w:p>
        </w:tc>
        <w:tc>
          <w:tcPr>
            <w:tcW w:w="1123" w:type="dxa"/>
            <w:gridSpan w:val="2"/>
            <w:tcBorders>
              <w:top w:val="nil"/>
              <w:left w:val="nil"/>
              <w:right w:val="nil"/>
            </w:tcBorders>
            <w:shd w:val="clear" w:color="000000" w:fill="00426F"/>
            <w:noWrap/>
            <w:hideMark/>
          </w:tcPr>
          <w:p w14:paraId="647FEDE8" w14:textId="77777777" w:rsidR="004D0A57" w:rsidRPr="00FC0F4B" w:rsidRDefault="004D0A57" w:rsidP="008C5D92">
            <w:pPr>
              <w:keepNext/>
              <w:keepLines/>
              <w:jc w:val="center"/>
              <w:rPr>
                <w:rFonts w:ascii="Arial" w:hAnsi="Arial" w:cs="Arial"/>
                <w:color w:val="FFFFFF"/>
                <w:sz w:val="18"/>
                <w:szCs w:val="18"/>
                <w:lang w:val="en-AU" w:eastAsia="en-AU"/>
              </w:rPr>
            </w:pPr>
            <w:r w:rsidRPr="00FC0F4B">
              <w:rPr>
                <w:rFonts w:ascii="Arial" w:hAnsi="Arial" w:cs="Arial"/>
                <w:color w:val="FFFFFF"/>
                <w:sz w:val="18"/>
                <w:szCs w:val="18"/>
                <w:lang w:val="en-AU" w:eastAsia="en-AU"/>
              </w:rPr>
              <w:t>$m</w:t>
            </w:r>
          </w:p>
        </w:tc>
        <w:tc>
          <w:tcPr>
            <w:tcW w:w="1123" w:type="dxa"/>
            <w:gridSpan w:val="2"/>
            <w:tcBorders>
              <w:top w:val="nil"/>
              <w:left w:val="nil"/>
              <w:right w:val="nil"/>
            </w:tcBorders>
            <w:shd w:val="clear" w:color="000000" w:fill="00426F"/>
            <w:noWrap/>
            <w:hideMark/>
          </w:tcPr>
          <w:p w14:paraId="1AD6D9AA" w14:textId="77777777" w:rsidR="004D0A57" w:rsidRPr="00FC0F4B" w:rsidRDefault="004D0A57" w:rsidP="008C5D92">
            <w:pPr>
              <w:keepNext/>
              <w:keepLines/>
              <w:jc w:val="center"/>
              <w:rPr>
                <w:rFonts w:ascii="Arial" w:hAnsi="Arial" w:cs="Arial"/>
                <w:color w:val="FFFFFF"/>
                <w:sz w:val="18"/>
                <w:szCs w:val="18"/>
                <w:lang w:val="en-AU" w:eastAsia="en-AU"/>
              </w:rPr>
            </w:pPr>
            <w:r w:rsidRPr="00FC0F4B">
              <w:rPr>
                <w:rFonts w:ascii="Arial" w:hAnsi="Arial" w:cs="Arial"/>
                <w:color w:val="FFFFFF"/>
                <w:sz w:val="18"/>
                <w:szCs w:val="18"/>
                <w:lang w:val="en-AU" w:eastAsia="en-AU"/>
              </w:rPr>
              <w:t>$m</w:t>
            </w:r>
          </w:p>
        </w:tc>
        <w:tc>
          <w:tcPr>
            <w:tcW w:w="1123" w:type="dxa"/>
            <w:tcBorders>
              <w:top w:val="nil"/>
              <w:left w:val="nil"/>
              <w:bottom w:val="nil"/>
              <w:right w:val="nil"/>
            </w:tcBorders>
            <w:shd w:val="clear" w:color="000000" w:fill="00426F"/>
            <w:noWrap/>
            <w:hideMark/>
          </w:tcPr>
          <w:p w14:paraId="3F691651" w14:textId="77777777" w:rsidR="004D0A57" w:rsidRPr="00FC0F4B" w:rsidRDefault="004D0A57" w:rsidP="008C5D92">
            <w:pPr>
              <w:keepNext/>
              <w:keepLines/>
              <w:jc w:val="center"/>
              <w:rPr>
                <w:rFonts w:ascii="Arial" w:hAnsi="Arial" w:cs="Arial"/>
                <w:color w:val="FFFFFF"/>
                <w:sz w:val="18"/>
                <w:szCs w:val="18"/>
                <w:lang w:val="en-AU" w:eastAsia="en-AU"/>
              </w:rPr>
            </w:pPr>
            <w:r w:rsidRPr="00FC0F4B">
              <w:rPr>
                <w:rFonts w:ascii="Arial" w:hAnsi="Arial" w:cs="Arial"/>
                <w:color w:val="FFFFFF"/>
                <w:sz w:val="18"/>
                <w:szCs w:val="18"/>
                <w:lang w:val="en-AU" w:eastAsia="en-AU"/>
              </w:rPr>
              <w:t>$m</w:t>
            </w:r>
          </w:p>
        </w:tc>
        <w:tc>
          <w:tcPr>
            <w:tcW w:w="906" w:type="dxa"/>
            <w:tcBorders>
              <w:top w:val="nil"/>
              <w:left w:val="nil"/>
              <w:bottom w:val="nil"/>
              <w:right w:val="nil"/>
            </w:tcBorders>
            <w:shd w:val="clear" w:color="000000" w:fill="00426F"/>
            <w:noWrap/>
            <w:hideMark/>
          </w:tcPr>
          <w:p w14:paraId="3D89E6CF" w14:textId="77777777" w:rsidR="004D0A57" w:rsidRPr="00FC0F4B" w:rsidRDefault="004D0A57" w:rsidP="008C5D92">
            <w:pPr>
              <w:keepNext/>
              <w:keepLines/>
              <w:jc w:val="center"/>
              <w:rPr>
                <w:rFonts w:ascii="Arial" w:hAnsi="Arial" w:cs="Arial"/>
                <w:color w:val="FFFFFF"/>
                <w:sz w:val="18"/>
                <w:szCs w:val="18"/>
                <w:lang w:val="en-AU" w:eastAsia="en-AU"/>
              </w:rPr>
            </w:pPr>
            <w:r w:rsidRPr="00FC0F4B">
              <w:rPr>
                <w:rFonts w:ascii="Arial" w:hAnsi="Arial" w:cs="Arial"/>
                <w:color w:val="FFFFFF"/>
                <w:sz w:val="18"/>
                <w:szCs w:val="18"/>
                <w:lang w:val="en-AU" w:eastAsia="en-AU"/>
              </w:rPr>
              <w:t>%</w:t>
            </w:r>
          </w:p>
        </w:tc>
      </w:tr>
      <w:tr w:rsidR="00B377BC" w:rsidRPr="00FC0F4B" w14:paraId="50A7CF77" w14:textId="77777777" w:rsidTr="00FF1372">
        <w:trPr>
          <w:trHeight w:val="283"/>
        </w:trPr>
        <w:tc>
          <w:tcPr>
            <w:tcW w:w="3119" w:type="dxa"/>
            <w:tcBorders>
              <w:top w:val="nil"/>
              <w:left w:val="nil"/>
              <w:bottom w:val="nil"/>
              <w:right w:val="nil"/>
            </w:tcBorders>
            <w:shd w:val="clear" w:color="auto" w:fill="auto"/>
            <w:noWrap/>
            <w:vAlign w:val="bottom"/>
            <w:hideMark/>
          </w:tcPr>
          <w:p w14:paraId="38511D1D" w14:textId="381CF0B8" w:rsidR="00B377BC" w:rsidRPr="00FC0F4B" w:rsidRDefault="00B377BC" w:rsidP="00B377BC">
            <w:pPr>
              <w:keepNext/>
              <w:keepLines/>
              <w:rPr>
                <w:rFonts w:ascii="Arial" w:hAnsi="Arial" w:cs="Arial"/>
                <w:color w:val="000000"/>
                <w:sz w:val="18"/>
                <w:szCs w:val="18"/>
                <w:lang w:val="en-AU" w:eastAsia="en-AU"/>
              </w:rPr>
            </w:pPr>
            <w:r w:rsidRPr="00FC0F4B">
              <w:rPr>
                <w:rFonts w:ascii="Arial" w:hAnsi="Arial" w:cs="Arial"/>
                <w:color w:val="000000"/>
                <w:sz w:val="18"/>
                <w:szCs w:val="18"/>
                <w:lang w:val="en-AU" w:eastAsia="en-AU"/>
              </w:rPr>
              <w:t>Transport</w:t>
            </w:r>
            <w:r w:rsidR="00A552F3" w:rsidRPr="00B83055">
              <w:rPr>
                <w:rFonts w:ascii="Arial" w:hAnsi="Arial" w:cs="Arial"/>
                <w:color w:val="000000"/>
                <w:sz w:val="18"/>
                <w:szCs w:val="18"/>
                <w:vertAlign w:val="superscript"/>
                <w:lang w:val="en-AU" w:eastAsia="en-AU"/>
              </w:rPr>
              <w:t>(b)</w:t>
            </w:r>
            <w:r w:rsidR="00A552F3">
              <w:rPr>
                <w:rFonts w:ascii="Arial" w:hAnsi="Arial" w:cs="Arial"/>
                <w:color w:val="000000"/>
                <w:sz w:val="18"/>
                <w:szCs w:val="18"/>
                <w:lang w:val="en-AU" w:eastAsia="en-AU"/>
              </w:rPr>
              <w:t xml:space="preserve"> </w:t>
            </w:r>
          </w:p>
        </w:tc>
        <w:tc>
          <w:tcPr>
            <w:tcW w:w="1122" w:type="dxa"/>
            <w:gridSpan w:val="2"/>
            <w:tcBorders>
              <w:left w:val="nil"/>
              <w:bottom w:val="nil"/>
              <w:right w:val="nil"/>
            </w:tcBorders>
            <w:shd w:val="pct5" w:color="auto" w:fill="auto"/>
            <w:noWrap/>
            <w:vAlign w:val="bottom"/>
            <w:hideMark/>
          </w:tcPr>
          <w:p w14:paraId="1AD6BC93" w14:textId="47EF6039" w:rsidR="00B377BC" w:rsidRPr="00FC0F4B" w:rsidRDefault="00CA05E6" w:rsidP="00FF1372">
            <w:pPr>
              <w:keepNext/>
              <w:keepLines/>
              <w:ind w:right="113"/>
              <w:jc w:val="right"/>
              <w:rPr>
                <w:rFonts w:ascii="Arial" w:hAnsi="Arial" w:cs="Arial"/>
                <w:color w:val="000000"/>
                <w:sz w:val="18"/>
                <w:szCs w:val="18"/>
                <w:lang w:val="en-AU" w:eastAsia="en-AU"/>
              </w:rPr>
            </w:pPr>
            <w:r>
              <w:rPr>
                <w:rFonts w:ascii="Arial" w:hAnsi="Arial" w:cs="Arial"/>
                <w:sz w:val="18"/>
                <w:szCs w:val="18"/>
              </w:rPr>
              <w:t>18,649</w:t>
            </w:r>
          </w:p>
        </w:tc>
        <w:tc>
          <w:tcPr>
            <w:tcW w:w="1123" w:type="dxa"/>
            <w:gridSpan w:val="2"/>
            <w:tcBorders>
              <w:left w:val="nil"/>
              <w:bottom w:val="nil"/>
              <w:right w:val="nil"/>
            </w:tcBorders>
            <w:shd w:val="pct5" w:color="auto" w:fill="auto"/>
            <w:noWrap/>
            <w:vAlign w:val="bottom"/>
            <w:hideMark/>
          </w:tcPr>
          <w:p w14:paraId="3B0D217A" w14:textId="454B38DB" w:rsidR="00B377BC" w:rsidRPr="00FC0F4B" w:rsidRDefault="00CA05E6" w:rsidP="00FF1372">
            <w:pPr>
              <w:keepNext/>
              <w:keepLines/>
              <w:ind w:right="113"/>
              <w:jc w:val="right"/>
              <w:rPr>
                <w:rFonts w:ascii="Arial" w:hAnsi="Arial" w:cs="Arial"/>
                <w:color w:val="000000"/>
                <w:sz w:val="18"/>
                <w:szCs w:val="18"/>
                <w:lang w:val="en-AU" w:eastAsia="en-AU"/>
              </w:rPr>
            </w:pPr>
            <w:r>
              <w:rPr>
                <w:rFonts w:ascii="Arial" w:hAnsi="Arial" w:cs="Arial"/>
                <w:sz w:val="18"/>
                <w:szCs w:val="18"/>
              </w:rPr>
              <w:t>20,447</w:t>
            </w:r>
          </w:p>
        </w:tc>
        <w:tc>
          <w:tcPr>
            <w:tcW w:w="1123" w:type="dxa"/>
            <w:gridSpan w:val="2"/>
            <w:tcBorders>
              <w:left w:val="nil"/>
              <w:bottom w:val="nil"/>
              <w:right w:val="nil"/>
            </w:tcBorders>
            <w:shd w:val="pct5" w:color="auto" w:fill="auto"/>
            <w:noWrap/>
            <w:vAlign w:val="bottom"/>
            <w:hideMark/>
          </w:tcPr>
          <w:p w14:paraId="01CA2981" w14:textId="71D114B4" w:rsidR="00B377BC" w:rsidRPr="00FC0F4B" w:rsidRDefault="00CA05E6" w:rsidP="00FF1372">
            <w:pPr>
              <w:keepNext/>
              <w:keepLines/>
              <w:ind w:right="113"/>
              <w:jc w:val="right"/>
              <w:rPr>
                <w:rFonts w:ascii="Arial" w:hAnsi="Arial" w:cs="Arial"/>
                <w:color w:val="000000"/>
                <w:sz w:val="18"/>
                <w:szCs w:val="18"/>
                <w:lang w:val="en-AU" w:eastAsia="en-AU"/>
              </w:rPr>
            </w:pPr>
            <w:r>
              <w:rPr>
                <w:rFonts w:ascii="Arial" w:hAnsi="Arial" w:cs="Arial"/>
                <w:sz w:val="18"/>
                <w:szCs w:val="18"/>
              </w:rPr>
              <w:t>17,304</w:t>
            </w:r>
          </w:p>
        </w:tc>
        <w:tc>
          <w:tcPr>
            <w:tcW w:w="1123" w:type="dxa"/>
            <w:gridSpan w:val="2"/>
            <w:tcBorders>
              <w:left w:val="nil"/>
              <w:bottom w:val="nil"/>
              <w:right w:val="nil"/>
            </w:tcBorders>
            <w:shd w:val="pct5" w:color="auto" w:fill="auto"/>
            <w:noWrap/>
            <w:vAlign w:val="bottom"/>
            <w:hideMark/>
          </w:tcPr>
          <w:p w14:paraId="43A6E7B8" w14:textId="7D1433D9" w:rsidR="00B377BC" w:rsidRPr="00FC0F4B" w:rsidRDefault="00CA05E6" w:rsidP="00FF1372">
            <w:pPr>
              <w:keepNext/>
              <w:keepLines/>
              <w:ind w:right="113"/>
              <w:jc w:val="right"/>
              <w:rPr>
                <w:rFonts w:ascii="Arial" w:hAnsi="Arial" w:cs="Arial"/>
                <w:color w:val="000000"/>
                <w:sz w:val="18"/>
                <w:szCs w:val="18"/>
                <w:lang w:val="en-AU" w:eastAsia="en-AU"/>
              </w:rPr>
            </w:pPr>
            <w:r>
              <w:rPr>
                <w:rFonts w:ascii="Arial" w:hAnsi="Arial" w:cs="Arial"/>
                <w:sz w:val="18"/>
                <w:szCs w:val="18"/>
              </w:rPr>
              <w:t>14,704</w:t>
            </w:r>
          </w:p>
        </w:tc>
        <w:tc>
          <w:tcPr>
            <w:tcW w:w="1123" w:type="dxa"/>
            <w:tcBorders>
              <w:top w:val="nil"/>
              <w:left w:val="nil"/>
              <w:bottom w:val="nil"/>
              <w:right w:val="nil"/>
            </w:tcBorders>
            <w:shd w:val="clear" w:color="auto" w:fill="auto"/>
            <w:noWrap/>
            <w:vAlign w:val="bottom"/>
            <w:hideMark/>
          </w:tcPr>
          <w:p w14:paraId="75145DFA" w14:textId="0B1612C8" w:rsidR="00B377BC" w:rsidRPr="00FC0F4B" w:rsidRDefault="00CA05E6" w:rsidP="00FF1372">
            <w:pPr>
              <w:keepNext/>
              <w:keepLines/>
              <w:ind w:right="113"/>
              <w:jc w:val="right"/>
              <w:rPr>
                <w:rFonts w:ascii="Arial" w:hAnsi="Arial" w:cs="Arial"/>
                <w:color w:val="000000"/>
                <w:sz w:val="18"/>
                <w:szCs w:val="18"/>
                <w:lang w:val="en-AU" w:eastAsia="en-AU"/>
              </w:rPr>
            </w:pPr>
            <w:r>
              <w:rPr>
                <w:rFonts w:ascii="Arial" w:hAnsi="Arial" w:cs="Arial"/>
                <w:sz w:val="18"/>
                <w:szCs w:val="18"/>
              </w:rPr>
              <w:t>71,105</w:t>
            </w:r>
          </w:p>
        </w:tc>
        <w:tc>
          <w:tcPr>
            <w:tcW w:w="906" w:type="dxa"/>
            <w:tcBorders>
              <w:top w:val="nil"/>
              <w:left w:val="nil"/>
              <w:bottom w:val="nil"/>
              <w:right w:val="nil"/>
            </w:tcBorders>
            <w:shd w:val="clear" w:color="auto" w:fill="auto"/>
            <w:noWrap/>
            <w:vAlign w:val="bottom"/>
            <w:hideMark/>
          </w:tcPr>
          <w:p w14:paraId="29663263" w14:textId="68DB3B60" w:rsidR="00B377BC" w:rsidRPr="00FC0F4B" w:rsidRDefault="00CA05E6" w:rsidP="00FF1372">
            <w:pPr>
              <w:keepNext/>
              <w:keepLines/>
              <w:ind w:right="113"/>
              <w:jc w:val="right"/>
              <w:rPr>
                <w:rFonts w:ascii="Arial" w:hAnsi="Arial" w:cs="Arial"/>
                <w:color w:val="000000"/>
                <w:sz w:val="18"/>
                <w:szCs w:val="18"/>
                <w:lang w:val="en-AU" w:eastAsia="en-AU"/>
              </w:rPr>
            </w:pPr>
            <w:r>
              <w:rPr>
                <w:rFonts w:ascii="Arial" w:hAnsi="Arial" w:cs="Arial"/>
                <w:sz w:val="18"/>
                <w:szCs w:val="18"/>
              </w:rPr>
              <w:t>65.5</w:t>
            </w:r>
          </w:p>
        </w:tc>
      </w:tr>
      <w:tr w:rsidR="00977ED1" w:rsidRPr="00FC0F4B" w14:paraId="5336FF15" w14:textId="77777777" w:rsidTr="00FF1372">
        <w:trPr>
          <w:trHeight w:val="283"/>
        </w:trPr>
        <w:tc>
          <w:tcPr>
            <w:tcW w:w="3119" w:type="dxa"/>
            <w:tcBorders>
              <w:top w:val="nil"/>
              <w:left w:val="nil"/>
              <w:bottom w:val="nil"/>
              <w:right w:val="nil"/>
            </w:tcBorders>
            <w:shd w:val="clear" w:color="auto" w:fill="auto"/>
            <w:noWrap/>
            <w:vAlign w:val="bottom"/>
            <w:hideMark/>
          </w:tcPr>
          <w:p w14:paraId="50CED75B" w14:textId="494B8FF2" w:rsidR="00977ED1" w:rsidRPr="00FC0F4B" w:rsidRDefault="00977ED1" w:rsidP="00977ED1">
            <w:pPr>
              <w:keepNext/>
              <w:keepLines/>
              <w:rPr>
                <w:rFonts w:ascii="Arial" w:hAnsi="Arial" w:cs="Arial"/>
                <w:color w:val="000000"/>
                <w:sz w:val="18"/>
                <w:szCs w:val="18"/>
                <w:lang w:val="en-AU" w:eastAsia="en-AU"/>
              </w:rPr>
            </w:pPr>
            <w:r w:rsidRPr="00FC0F4B">
              <w:rPr>
                <w:rFonts w:ascii="Arial" w:hAnsi="Arial" w:cs="Arial"/>
                <w:color w:val="000000"/>
                <w:sz w:val="18"/>
                <w:szCs w:val="18"/>
                <w:lang w:val="en-AU" w:eastAsia="en-AU"/>
              </w:rPr>
              <w:t>Health</w:t>
            </w:r>
            <w:r w:rsidRPr="00FC0F4B">
              <w:rPr>
                <w:rFonts w:ascii="Arial" w:hAnsi="Arial" w:cs="Arial"/>
                <w:color w:val="000000"/>
                <w:sz w:val="18"/>
                <w:szCs w:val="18"/>
                <w:vertAlign w:val="superscript"/>
                <w:lang w:val="en-AU" w:eastAsia="en-AU"/>
              </w:rPr>
              <w:t>(</w:t>
            </w:r>
            <w:r>
              <w:rPr>
                <w:rFonts w:ascii="Arial" w:hAnsi="Arial" w:cs="Arial"/>
                <w:color w:val="000000"/>
                <w:sz w:val="18"/>
                <w:szCs w:val="18"/>
                <w:vertAlign w:val="superscript"/>
                <w:lang w:val="en-AU" w:eastAsia="en-AU"/>
              </w:rPr>
              <w:t>c)</w:t>
            </w:r>
          </w:p>
        </w:tc>
        <w:tc>
          <w:tcPr>
            <w:tcW w:w="1122" w:type="dxa"/>
            <w:gridSpan w:val="2"/>
            <w:tcBorders>
              <w:top w:val="nil"/>
              <w:left w:val="nil"/>
              <w:bottom w:val="nil"/>
              <w:right w:val="nil"/>
            </w:tcBorders>
            <w:shd w:val="pct5" w:color="auto" w:fill="auto"/>
            <w:noWrap/>
            <w:vAlign w:val="bottom"/>
            <w:hideMark/>
          </w:tcPr>
          <w:p w14:paraId="2A2890B5" w14:textId="520C75C6" w:rsidR="00977ED1" w:rsidRPr="00977ED1" w:rsidRDefault="008403E5" w:rsidP="00FF1372">
            <w:pPr>
              <w:keepNext/>
              <w:keepLines/>
              <w:ind w:right="113"/>
              <w:jc w:val="right"/>
              <w:rPr>
                <w:rFonts w:ascii="Arial" w:hAnsi="Arial" w:cs="Arial"/>
                <w:sz w:val="18"/>
                <w:szCs w:val="18"/>
              </w:rPr>
            </w:pPr>
            <w:r>
              <w:rPr>
                <w:rFonts w:ascii="Arial" w:hAnsi="Arial" w:cs="Arial"/>
                <w:sz w:val="18"/>
                <w:szCs w:val="18"/>
              </w:rPr>
              <w:t>2,943</w:t>
            </w:r>
          </w:p>
        </w:tc>
        <w:tc>
          <w:tcPr>
            <w:tcW w:w="1123" w:type="dxa"/>
            <w:gridSpan w:val="2"/>
            <w:tcBorders>
              <w:top w:val="nil"/>
              <w:left w:val="nil"/>
              <w:bottom w:val="nil"/>
              <w:right w:val="nil"/>
            </w:tcBorders>
            <w:shd w:val="pct5" w:color="auto" w:fill="auto"/>
            <w:noWrap/>
            <w:vAlign w:val="bottom"/>
            <w:hideMark/>
          </w:tcPr>
          <w:p w14:paraId="714430A4" w14:textId="430F1D19" w:rsidR="00977ED1" w:rsidRPr="00977ED1" w:rsidRDefault="008403E5" w:rsidP="00FF1372">
            <w:pPr>
              <w:keepNext/>
              <w:keepLines/>
              <w:ind w:right="113"/>
              <w:jc w:val="right"/>
              <w:rPr>
                <w:rFonts w:ascii="Arial" w:hAnsi="Arial" w:cs="Arial"/>
                <w:sz w:val="18"/>
                <w:szCs w:val="18"/>
              </w:rPr>
            </w:pPr>
            <w:r>
              <w:rPr>
                <w:rFonts w:ascii="Arial" w:hAnsi="Arial" w:cs="Arial"/>
                <w:sz w:val="18"/>
                <w:szCs w:val="18"/>
              </w:rPr>
              <w:t>2,416</w:t>
            </w:r>
          </w:p>
        </w:tc>
        <w:tc>
          <w:tcPr>
            <w:tcW w:w="1123" w:type="dxa"/>
            <w:gridSpan w:val="2"/>
            <w:tcBorders>
              <w:top w:val="nil"/>
              <w:left w:val="nil"/>
              <w:bottom w:val="nil"/>
              <w:right w:val="nil"/>
            </w:tcBorders>
            <w:shd w:val="pct5" w:color="auto" w:fill="auto"/>
            <w:noWrap/>
            <w:vAlign w:val="bottom"/>
            <w:hideMark/>
          </w:tcPr>
          <w:p w14:paraId="600AE8F4" w14:textId="35DC1EB3" w:rsidR="00977ED1" w:rsidRPr="00977ED1" w:rsidRDefault="008403E5" w:rsidP="00FF1372">
            <w:pPr>
              <w:keepNext/>
              <w:keepLines/>
              <w:ind w:right="113"/>
              <w:jc w:val="right"/>
              <w:rPr>
                <w:rFonts w:ascii="Arial" w:hAnsi="Arial" w:cs="Arial"/>
                <w:sz w:val="18"/>
                <w:szCs w:val="18"/>
              </w:rPr>
            </w:pPr>
            <w:r>
              <w:rPr>
                <w:rFonts w:ascii="Arial" w:hAnsi="Arial" w:cs="Arial"/>
                <w:sz w:val="18"/>
                <w:szCs w:val="18"/>
              </w:rPr>
              <w:t>2,615</w:t>
            </w:r>
          </w:p>
        </w:tc>
        <w:tc>
          <w:tcPr>
            <w:tcW w:w="1123" w:type="dxa"/>
            <w:gridSpan w:val="2"/>
            <w:tcBorders>
              <w:top w:val="nil"/>
              <w:left w:val="nil"/>
              <w:bottom w:val="nil"/>
              <w:right w:val="nil"/>
            </w:tcBorders>
            <w:shd w:val="pct5" w:color="auto" w:fill="auto"/>
            <w:noWrap/>
            <w:vAlign w:val="bottom"/>
            <w:hideMark/>
          </w:tcPr>
          <w:p w14:paraId="1D97CFB4" w14:textId="589291F7" w:rsidR="00977ED1" w:rsidRPr="00977ED1" w:rsidRDefault="008403E5" w:rsidP="00FF1372">
            <w:pPr>
              <w:keepNext/>
              <w:keepLines/>
              <w:ind w:right="113"/>
              <w:jc w:val="right"/>
              <w:rPr>
                <w:rFonts w:ascii="Arial" w:hAnsi="Arial" w:cs="Arial"/>
                <w:sz w:val="18"/>
                <w:szCs w:val="18"/>
              </w:rPr>
            </w:pPr>
            <w:r>
              <w:rPr>
                <w:rFonts w:ascii="Arial" w:hAnsi="Arial" w:cs="Arial"/>
                <w:sz w:val="18"/>
                <w:szCs w:val="18"/>
              </w:rPr>
              <w:t>2,211</w:t>
            </w:r>
          </w:p>
        </w:tc>
        <w:tc>
          <w:tcPr>
            <w:tcW w:w="1123" w:type="dxa"/>
            <w:tcBorders>
              <w:top w:val="nil"/>
              <w:left w:val="nil"/>
              <w:bottom w:val="nil"/>
              <w:right w:val="nil"/>
            </w:tcBorders>
            <w:shd w:val="clear" w:color="auto" w:fill="auto"/>
            <w:noWrap/>
            <w:vAlign w:val="bottom"/>
            <w:hideMark/>
          </w:tcPr>
          <w:p w14:paraId="6407F7EB" w14:textId="09F6A1E0" w:rsidR="00977ED1" w:rsidRPr="00977ED1" w:rsidRDefault="008403E5" w:rsidP="00FF1372">
            <w:pPr>
              <w:keepNext/>
              <w:keepLines/>
              <w:ind w:right="113"/>
              <w:jc w:val="right"/>
              <w:rPr>
                <w:rFonts w:ascii="Arial" w:hAnsi="Arial" w:cs="Arial"/>
                <w:sz w:val="18"/>
                <w:szCs w:val="18"/>
              </w:rPr>
            </w:pPr>
            <w:r>
              <w:rPr>
                <w:rFonts w:ascii="Arial" w:hAnsi="Arial" w:cs="Arial"/>
                <w:sz w:val="18"/>
                <w:szCs w:val="18"/>
              </w:rPr>
              <w:t>10,185</w:t>
            </w:r>
          </w:p>
        </w:tc>
        <w:tc>
          <w:tcPr>
            <w:tcW w:w="906" w:type="dxa"/>
            <w:tcBorders>
              <w:top w:val="nil"/>
              <w:left w:val="nil"/>
              <w:bottom w:val="nil"/>
              <w:right w:val="nil"/>
            </w:tcBorders>
            <w:shd w:val="clear" w:color="auto" w:fill="auto"/>
            <w:noWrap/>
            <w:vAlign w:val="bottom"/>
            <w:hideMark/>
          </w:tcPr>
          <w:p w14:paraId="20BECFCF" w14:textId="3D81BEF9" w:rsidR="00977ED1" w:rsidRPr="00977ED1" w:rsidRDefault="00CA05E6" w:rsidP="00FF1372">
            <w:pPr>
              <w:keepNext/>
              <w:keepLines/>
              <w:ind w:right="113"/>
              <w:jc w:val="right"/>
              <w:rPr>
                <w:rFonts w:ascii="Arial" w:hAnsi="Arial" w:cs="Arial"/>
                <w:sz w:val="18"/>
                <w:szCs w:val="18"/>
              </w:rPr>
            </w:pPr>
            <w:r>
              <w:rPr>
                <w:rFonts w:ascii="Arial" w:hAnsi="Arial" w:cs="Arial"/>
                <w:sz w:val="18"/>
                <w:szCs w:val="18"/>
              </w:rPr>
              <w:t>9.4</w:t>
            </w:r>
          </w:p>
        </w:tc>
      </w:tr>
      <w:tr w:rsidR="00977ED1" w:rsidRPr="00FC0F4B" w14:paraId="168B1F38" w14:textId="77777777" w:rsidTr="00FF1372">
        <w:trPr>
          <w:trHeight w:val="283"/>
        </w:trPr>
        <w:tc>
          <w:tcPr>
            <w:tcW w:w="3119" w:type="dxa"/>
            <w:tcBorders>
              <w:top w:val="nil"/>
              <w:left w:val="nil"/>
              <w:bottom w:val="nil"/>
              <w:right w:val="nil"/>
            </w:tcBorders>
            <w:shd w:val="clear" w:color="auto" w:fill="auto"/>
            <w:noWrap/>
            <w:vAlign w:val="bottom"/>
            <w:hideMark/>
          </w:tcPr>
          <w:p w14:paraId="7FE49C05" w14:textId="77777777" w:rsidR="00977ED1" w:rsidRPr="00FC0F4B" w:rsidRDefault="00977ED1" w:rsidP="00977ED1">
            <w:pPr>
              <w:keepNext/>
              <w:keepLines/>
              <w:rPr>
                <w:rFonts w:ascii="Arial" w:hAnsi="Arial" w:cs="Arial"/>
                <w:color w:val="000000"/>
                <w:sz w:val="18"/>
                <w:szCs w:val="18"/>
                <w:lang w:val="en-AU" w:eastAsia="en-AU"/>
              </w:rPr>
            </w:pPr>
            <w:r w:rsidRPr="00FC0F4B">
              <w:rPr>
                <w:rFonts w:ascii="Arial" w:hAnsi="Arial" w:cs="Arial"/>
                <w:color w:val="000000"/>
                <w:sz w:val="18"/>
                <w:szCs w:val="18"/>
                <w:lang w:val="en-AU" w:eastAsia="en-AU"/>
              </w:rPr>
              <w:t>Education and Skills</w:t>
            </w:r>
          </w:p>
        </w:tc>
        <w:tc>
          <w:tcPr>
            <w:tcW w:w="1122" w:type="dxa"/>
            <w:gridSpan w:val="2"/>
            <w:tcBorders>
              <w:top w:val="nil"/>
              <w:left w:val="nil"/>
              <w:bottom w:val="nil"/>
              <w:right w:val="nil"/>
            </w:tcBorders>
            <w:shd w:val="pct5" w:color="auto" w:fill="auto"/>
            <w:noWrap/>
            <w:vAlign w:val="bottom"/>
            <w:hideMark/>
          </w:tcPr>
          <w:p w14:paraId="00427264" w14:textId="35881BEB" w:rsidR="00977ED1" w:rsidRPr="00977ED1" w:rsidRDefault="00CA05E6" w:rsidP="00FF1372">
            <w:pPr>
              <w:keepNext/>
              <w:keepLines/>
              <w:ind w:right="113"/>
              <w:jc w:val="right"/>
              <w:rPr>
                <w:rFonts w:ascii="Arial" w:hAnsi="Arial" w:cs="Arial"/>
                <w:sz w:val="18"/>
                <w:szCs w:val="18"/>
              </w:rPr>
            </w:pPr>
            <w:r>
              <w:rPr>
                <w:rFonts w:ascii="Arial" w:hAnsi="Arial" w:cs="Arial"/>
                <w:sz w:val="18"/>
                <w:szCs w:val="18"/>
              </w:rPr>
              <w:t>3,444</w:t>
            </w:r>
          </w:p>
        </w:tc>
        <w:tc>
          <w:tcPr>
            <w:tcW w:w="1123" w:type="dxa"/>
            <w:gridSpan w:val="2"/>
            <w:tcBorders>
              <w:top w:val="nil"/>
              <w:left w:val="nil"/>
              <w:bottom w:val="nil"/>
              <w:right w:val="nil"/>
            </w:tcBorders>
            <w:shd w:val="pct5" w:color="auto" w:fill="auto"/>
            <w:noWrap/>
            <w:vAlign w:val="bottom"/>
            <w:hideMark/>
          </w:tcPr>
          <w:p w14:paraId="102B2280" w14:textId="41A3C875" w:rsidR="00977ED1" w:rsidRPr="00977ED1" w:rsidRDefault="00CA05E6" w:rsidP="00FF1372">
            <w:pPr>
              <w:keepNext/>
              <w:keepLines/>
              <w:ind w:right="113"/>
              <w:jc w:val="right"/>
              <w:rPr>
                <w:rFonts w:ascii="Arial" w:hAnsi="Arial" w:cs="Arial"/>
                <w:sz w:val="18"/>
                <w:szCs w:val="18"/>
              </w:rPr>
            </w:pPr>
            <w:r>
              <w:rPr>
                <w:rFonts w:ascii="Arial" w:hAnsi="Arial" w:cs="Arial"/>
                <w:sz w:val="18"/>
                <w:szCs w:val="18"/>
              </w:rPr>
              <w:t>1,590</w:t>
            </w:r>
          </w:p>
        </w:tc>
        <w:tc>
          <w:tcPr>
            <w:tcW w:w="1123" w:type="dxa"/>
            <w:gridSpan w:val="2"/>
            <w:tcBorders>
              <w:top w:val="nil"/>
              <w:left w:val="nil"/>
              <w:bottom w:val="nil"/>
              <w:right w:val="nil"/>
            </w:tcBorders>
            <w:shd w:val="pct5" w:color="auto" w:fill="auto"/>
            <w:noWrap/>
            <w:vAlign w:val="bottom"/>
            <w:hideMark/>
          </w:tcPr>
          <w:p w14:paraId="61D73681" w14:textId="434E1249" w:rsidR="00977ED1" w:rsidRPr="00977ED1" w:rsidRDefault="000D5AC8" w:rsidP="00FF1372">
            <w:pPr>
              <w:keepNext/>
              <w:keepLines/>
              <w:ind w:right="113"/>
              <w:jc w:val="right"/>
              <w:rPr>
                <w:rFonts w:ascii="Arial" w:hAnsi="Arial" w:cs="Arial"/>
                <w:sz w:val="18"/>
                <w:szCs w:val="18"/>
              </w:rPr>
            </w:pPr>
            <w:r>
              <w:rPr>
                <w:rFonts w:ascii="Arial" w:hAnsi="Arial" w:cs="Arial"/>
                <w:sz w:val="18"/>
                <w:szCs w:val="18"/>
              </w:rPr>
              <w:t>1,657</w:t>
            </w:r>
          </w:p>
        </w:tc>
        <w:tc>
          <w:tcPr>
            <w:tcW w:w="1123" w:type="dxa"/>
            <w:gridSpan w:val="2"/>
            <w:tcBorders>
              <w:top w:val="nil"/>
              <w:left w:val="nil"/>
              <w:bottom w:val="nil"/>
              <w:right w:val="nil"/>
            </w:tcBorders>
            <w:shd w:val="pct5" w:color="auto" w:fill="auto"/>
            <w:noWrap/>
            <w:vAlign w:val="bottom"/>
            <w:hideMark/>
          </w:tcPr>
          <w:p w14:paraId="1852EF4E" w14:textId="252055EF" w:rsidR="00977ED1" w:rsidRPr="00977ED1" w:rsidRDefault="000D5AC8" w:rsidP="00FF1372">
            <w:pPr>
              <w:keepNext/>
              <w:keepLines/>
              <w:ind w:right="113"/>
              <w:jc w:val="right"/>
              <w:rPr>
                <w:rFonts w:ascii="Arial" w:hAnsi="Arial" w:cs="Arial"/>
                <w:sz w:val="18"/>
                <w:szCs w:val="18"/>
              </w:rPr>
            </w:pPr>
            <w:r>
              <w:rPr>
                <w:rFonts w:ascii="Arial" w:hAnsi="Arial" w:cs="Arial"/>
                <w:sz w:val="18"/>
                <w:szCs w:val="18"/>
              </w:rPr>
              <w:t>1,749</w:t>
            </w:r>
          </w:p>
        </w:tc>
        <w:tc>
          <w:tcPr>
            <w:tcW w:w="1123" w:type="dxa"/>
            <w:tcBorders>
              <w:top w:val="nil"/>
              <w:left w:val="nil"/>
              <w:bottom w:val="nil"/>
              <w:right w:val="nil"/>
            </w:tcBorders>
            <w:shd w:val="clear" w:color="auto" w:fill="auto"/>
            <w:noWrap/>
            <w:vAlign w:val="bottom"/>
            <w:hideMark/>
          </w:tcPr>
          <w:p w14:paraId="40B3335E" w14:textId="648D7C60" w:rsidR="00977ED1" w:rsidRPr="00977ED1" w:rsidRDefault="000D5AC8" w:rsidP="00FF1372">
            <w:pPr>
              <w:keepNext/>
              <w:keepLines/>
              <w:ind w:right="113"/>
              <w:jc w:val="right"/>
              <w:rPr>
                <w:rFonts w:ascii="Arial" w:hAnsi="Arial" w:cs="Arial"/>
                <w:sz w:val="18"/>
                <w:szCs w:val="18"/>
              </w:rPr>
            </w:pPr>
            <w:r>
              <w:rPr>
                <w:rFonts w:ascii="Arial" w:hAnsi="Arial" w:cs="Arial"/>
                <w:sz w:val="18"/>
                <w:szCs w:val="18"/>
              </w:rPr>
              <w:t>8,440</w:t>
            </w:r>
          </w:p>
        </w:tc>
        <w:tc>
          <w:tcPr>
            <w:tcW w:w="906" w:type="dxa"/>
            <w:tcBorders>
              <w:top w:val="nil"/>
              <w:left w:val="nil"/>
              <w:bottom w:val="nil"/>
              <w:right w:val="nil"/>
            </w:tcBorders>
            <w:shd w:val="clear" w:color="auto" w:fill="auto"/>
            <w:noWrap/>
            <w:vAlign w:val="bottom"/>
            <w:hideMark/>
          </w:tcPr>
          <w:p w14:paraId="35C6612F" w14:textId="22E964D0" w:rsidR="00977ED1" w:rsidRPr="00977ED1" w:rsidRDefault="000D5AC8" w:rsidP="00FF1372">
            <w:pPr>
              <w:keepNext/>
              <w:keepLines/>
              <w:ind w:right="113"/>
              <w:jc w:val="right"/>
              <w:rPr>
                <w:rFonts w:ascii="Arial" w:hAnsi="Arial" w:cs="Arial"/>
                <w:sz w:val="18"/>
                <w:szCs w:val="18"/>
              </w:rPr>
            </w:pPr>
            <w:r>
              <w:rPr>
                <w:rFonts w:ascii="Arial" w:hAnsi="Arial" w:cs="Arial"/>
                <w:sz w:val="18"/>
                <w:szCs w:val="18"/>
              </w:rPr>
              <w:t>7.8</w:t>
            </w:r>
          </w:p>
        </w:tc>
      </w:tr>
      <w:tr w:rsidR="00977ED1" w:rsidRPr="00FC0F4B" w14:paraId="7BD87AC5" w14:textId="77777777" w:rsidTr="00FF1372">
        <w:trPr>
          <w:trHeight w:val="283"/>
        </w:trPr>
        <w:tc>
          <w:tcPr>
            <w:tcW w:w="3119" w:type="dxa"/>
            <w:tcBorders>
              <w:top w:val="nil"/>
              <w:left w:val="nil"/>
              <w:bottom w:val="nil"/>
              <w:right w:val="nil"/>
            </w:tcBorders>
            <w:shd w:val="clear" w:color="auto" w:fill="auto"/>
            <w:noWrap/>
            <w:vAlign w:val="bottom"/>
            <w:hideMark/>
          </w:tcPr>
          <w:p w14:paraId="72396455" w14:textId="77777777" w:rsidR="00977ED1" w:rsidRPr="00FC0F4B" w:rsidRDefault="00977ED1" w:rsidP="00977ED1">
            <w:pPr>
              <w:keepNext/>
              <w:keepLines/>
              <w:rPr>
                <w:rFonts w:ascii="Arial" w:hAnsi="Arial" w:cs="Arial"/>
                <w:color w:val="000000"/>
                <w:sz w:val="18"/>
                <w:szCs w:val="18"/>
                <w:lang w:val="en-AU" w:eastAsia="en-AU"/>
              </w:rPr>
            </w:pPr>
            <w:r w:rsidRPr="00FC0F4B">
              <w:rPr>
                <w:rFonts w:ascii="Arial" w:hAnsi="Arial" w:cs="Arial"/>
                <w:color w:val="000000"/>
                <w:sz w:val="18"/>
                <w:szCs w:val="18"/>
                <w:lang w:val="en-AU" w:eastAsia="en-AU"/>
              </w:rPr>
              <w:t>Stronger Communities</w:t>
            </w:r>
          </w:p>
        </w:tc>
        <w:tc>
          <w:tcPr>
            <w:tcW w:w="1122" w:type="dxa"/>
            <w:gridSpan w:val="2"/>
            <w:tcBorders>
              <w:top w:val="nil"/>
              <w:left w:val="nil"/>
              <w:bottom w:val="nil"/>
              <w:right w:val="nil"/>
            </w:tcBorders>
            <w:shd w:val="pct5" w:color="auto" w:fill="auto"/>
            <w:noWrap/>
            <w:vAlign w:val="bottom"/>
            <w:hideMark/>
          </w:tcPr>
          <w:p w14:paraId="1ECB0B8A" w14:textId="6ECD55A7" w:rsidR="00977ED1" w:rsidRPr="00977ED1" w:rsidRDefault="000D5AC8" w:rsidP="00FF1372">
            <w:pPr>
              <w:keepNext/>
              <w:keepLines/>
              <w:ind w:right="113"/>
              <w:jc w:val="right"/>
              <w:rPr>
                <w:rFonts w:ascii="Arial" w:hAnsi="Arial" w:cs="Arial"/>
                <w:sz w:val="18"/>
                <w:szCs w:val="18"/>
              </w:rPr>
            </w:pPr>
            <w:r>
              <w:rPr>
                <w:rFonts w:ascii="Arial" w:hAnsi="Arial" w:cs="Arial"/>
                <w:sz w:val="18"/>
                <w:szCs w:val="18"/>
              </w:rPr>
              <w:t>945</w:t>
            </w:r>
          </w:p>
        </w:tc>
        <w:tc>
          <w:tcPr>
            <w:tcW w:w="1123" w:type="dxa"/>
            <w:gridSpan w:val="2"/>
            <w:tcBorders>
              <w:top w:val="nil"/>
              <w:left w:val="nil"/>
              <w:bottom w:val="nil"/>
              <w:right w:val="nil"/>
            </w:tcBorders>
            <w:shd w:val="pct5" w:color="auto" w:fill="auto"/>
            <w:noWrap/>
            <w:vAlign w:val="bottom"/>
            <w:hideMark/>
          </w:tcPr>
          <w:p w14:paraId="6E866DF1" w14:textId="619215D1" w:rsidR="00977ED1" w:rsidRPr="00977ED1" w:rsidRDefault="00AC58C2" w:rsidP="00FF1372">
            <w:pPr>
              <w:keepNext/>
              <w:keepLines/>
              <w:ind w:right="113"/>
              <w:jc w:val="right"/>
              <w:rPr>
                <w:rFonts w:ascii="Arial" w:hAnsi="Arial" w:cs="Arial"/>
                <w:sz w:val="18"/>
                <w:szCs w:val="18"/>
              </w:rPr>
            </w:pPr>
            <w:r>
              <w:rPr>
                <w:rFonts w:ascii="Arial" w:hAnsi="Arial" w:cs="Arial"/>
                <w:sz w:val="18"/>
                <w:szCs w:val="18"/>
              </w:rPr>
              <w:t>666</w:t>
            </w:r>
          </w:p>
        </w:tc>
        <w:tc>
          <w:tcPr>
            <w:tcW w:w="1123" w:type="dxa"/>
            <w:gridSpan w:val="2"/>
            <w:tcBorders>
              <w:top w:val="nil"/>
              <w:left w:val="nil"/>
              <w:bottom w:val="nil"/>
              <w:right w:val="nil"/>
            </w:tcBorders>
            <w:shd w:val="pct5" w:color="auto" w:fill="auto"/>
            <w:noWrap/>
            <w:vAlign w:val="bottom"/>
            <w:hideMark/>
          </w:tcPr>
          <w:p w14:paraId="3634BB53" w14:textId="3C5BD7A1" w:rsidR="00977ED1" w:rsidRPr="00977ED1" w:rsidRDefault="00AC58C2" w:rsidP="00FF1372">
            <w:pPr>
              <w:keepNext/>
              <w:keepLines/>
              <w:ind w:right="113"/>
              <w:jc w:val="right"/>
              <w:rPr>
                <w:rFonts w:ascii="Arial" w:hAnsi="Arial" w:cs="Arial"/>
                <w:sz w:val="18"/>
                <w:szCs w:val="18"/>
              </w:rPr>
            </w:pPr>
            <w:r>
              <w:rPr>
                <w:rFonts w:ascii="Arial" w:hAnsi="Arial" w:cs="Arial"/>
                <w:sz w:val="18"/>
                <w:szCs w:val="18"/>
              </w:rPr>
              <w:t>491</w:t>
            </w:r>
          </w:p>
        </w:tc>
        <w:tc>
          <w:tcPr>
            <w:tcW w:w="1123" w:type="dxa"/>
            <w:gridSpan w:val="2"/>
            <w:tcBorders>
              <w:top w:val="nil"/>
              <w:left w:val="nil"/>
              <w:bottom w:val="nil"/>
              <w:right w:val="nil"/>
            </w:tcBorders>
            <w:shd w:val="pct5" w:color="auto" w:fill="auto"/>
            <w:noWrap/>
            <w:vAlign w:val="bottom"/>
            <w:hideMark/>
          </w:tcPr>
          <w:p w14:paraId="200333E6" w14:textId="359A2827" w:rsidR="00977ED1" w:rsidRPr="00977ED1" w:rsidRDefault="00EF4409" w:rsidP="00FF1372">
            <w:pPr>
              <w:keepNext/>
              <w:keepLines/>
              <w:ind w:right="113"/>
              <w:jc w:val="right"/>
              <w:rPr>
                <w:rFonts w:ascii="Arial" w:hAnsi="Arial" w:cs="Arial"/>
                <w:sz w:val="18"/>
                <w:szCs w:val="18"/>
              </w:rPr>
            </w:pPr>
            <w:r>
              <w:rPr>
                <w:rFonts w:ascii="Arial" w:hAnsi="Arial" w:cs="Arial"/>
                <w:sz w:val="18"/>
                <w:szCs w:val="18"/>
              </w:rPr>
              <w:t>551</w:t>
            </w:r>
          </w:p>
        </w:tc>
        <w:tc>
          <w:tcPr>
            <w:tcW w:w="1123" w:type="dxa"/>
            <w:tcBorders>
              <w:top w:val="nil"/>
              <w:left w:val="nil"/>
              <w:bottom w:val="nil"/>
              <w:right w:val="nil"/>
            </w:tcBorders>
            <w:shd w:val="clear" w:color="auto" w:fill="auto"/>
            <w:noWrap/>
            <w:vAlign w:val="bottom"/>
            <w:hideMark/>
          </w:tcPr>
          <w:p w14:paraId="35EAC2BE" w14:textId="565BDC8E" w:rsidR="00977ED1" w:rsidRPr="00977ED1" w:rsidRDefault="000D5AC8" w:rsidP="00FF1372">
            <w:pPr>
              <w:keepNext/>
              <w:keepLines/>
              <w:ind w:right="113"/>
              <w:jc w:val="right"/>
              <w:rPr>
                <w:rFonts w:ascii="Arial" w:hAnsi="Arial" w:cs="Arial"/>
                <w:sz w:val="18"/>
                <w:szCs w:val="18"/>
              </w:rPr>
            </w:pPr>
            <w:r>
              <w:rPr>
                <w:rFonts w:ascii="Arial" w:hAnsi="Arial" w:cs="Arial"/>
                <w:sz w:val="18"/>
                <w:szCs w:val="18"/>
              </w:rPr>
              <w:t>2,652</w:t>
            </w:r>
          </w:p>
        </w:tc>
        <w:tc>
          <w:tcPr>
            <w:tcW w:w="906" w:type="dxa"/>
            <w:tcBorders>
              <w:top w:val="nil"/>
              <w:left w:val="nil"/>
              <w:bottom w:val="nil"/>
              <w:right w:val="nil"/>
            </w:tcBorders>
            <w:shd w:val="clear" w:color="auto" w:fill="auto"/>
            <w:noWrap/>
            <w:vAlign w:val="bottom"/>
            <w:hideMark/>
          </w:tcPr>
          <w:p w14:paraId="0A3DB1BE" w14:textId="1D291B37" w:rsidR="00977ED1" w:rsidRPr="00977ED1" w:rsidRDefault="000D5AC8" w:rsidP="00FF1372">
            <w:pPr>
              <w:keepNext/>
              <w:keepLines/>
              <w:ind w:right="113"/>
              <w:jc w:val="right"/>
              <w:rPr>
                <w:rFonts w:ascii="Arial" w:hAnsi="Arial" w:cs="Arial"/>
                <w:sz w:val="18"/>
                <w:szCs w:val="18"/>
              </w:rPr>
            </w:pPr>
            <w:r>
              <w:rPr>
                <w:rFonts w:ascii="Arial" w:hAnsi="Arial" w:cs="Arial"/>
                <w:sz w:val="18"/>
                <w:szCs w:val="18"/>
              </w:rPr>
              <w:t>2.4</w:t>
            </w:r>
          </w:p>
        </w:tc>
      </w:tr>
      <w:tr w:rsidR="00977ED1" w:rsidRPr="00FC0F4B" w14:paraId="4E7330CB" w14:textId="77777777" w:rsidTr="00FF1372">
        <w:trPr>
          <w:trHeight w:val="283"/>
        </w:trPr>
        <w:tc>
          <w:tcPr>
            <w:tcW w:w="3119" w:type="dxa"/>
            <w:tcBorders>
              <w:top w:val="nil"/>
              <w:left w:val="nil"/>
              <w:bottom w:val="nil"/>
              <w:right w:val="nil"/>
            </w:tcBorders>
            <w:shd w:val="clear" w:color="auto" w:fill="auto"/>
            <w:noWrap/>
            <w:vAlign w:val="bottom"/>
            <w:hideMark/>
          </w:tcPr>
          <w:p w14:paraId="3AEAD2F9" w14:textId="15169E7C" w:rsidR="00977ED1" w:rsidRPr="00FC0F4B" w:rsidRDefault="00977ED1" w:rsidP="00977ED1">
            <w:pPr>
              <w:keepNext/>
              <w:keepLines/>
              <w:rPr>
                <w:rFonts w:ascii="Arial" w:hAnsi="Arial" w:cs="Arial"/>
                <w:color w:val="000000"/>
                <w:sz w:val="18"/>
                <w:szCs w:val="18"/>
                <w:lang w:val="en-AU" w:eastAsia="en-AU"/>
              </w:rPr>
            </w:pPr>
            <w:r>
              <w:rPr>
                <w:rFonts w:ascii="Arial" w:hAnsi="Arial" w:cs="Arial"/>
                <w:color w:val="000000"/>
                <w:sz w:val="18"/>
                <w:szCs w:val="18"/>
                <w:lang w:val="en-AU" w:eastAsia="en-AU"/>
              </w:rPr>
              <w:t>Premier and Cabinet</w:t>
            </w:r>
          </w:p>
        </w:tc>
        <w:tc>
          <w:tcPr>
            <w:tcW w:w="1122" w:type="dxa"/>
            <w:gridSpan w:val="2"/>
            <w:tcBorders>
              <w:top w:val="nil"/>
              <w:left w:val="nil"/>
              <w:bottom w:val="nil"/>
              <w:right w:val="nil"/>
            </w:tcBorders>
            <w:shd w:val="pct5" w:color="auto" w:fill="auto"/>
            <w:noWrap/>
            <w:vAlign w:val="bottom"/>
            <w:hideMark/>
          </w:tcPr>
          <w:p w14:paraId="5DAC7A97" w14:textId="4D05C879" w:rsidR="00977ED1" w:rsidRPr="00977ED1" w:rsidRDefault="000D5AC8" w:rsidP="00FF1372">
            <w:pPr>
              <w:keepNext/>
              <w:keepLines/>
              <w:ind w:right="113"/>
              <w:jc w:val="right"/>
              <w:rPr>
                <w:rFonts w:ascii="Arial" w:hAnsi="Arial" w:cs="Arial"/>
                <w:sz w:val="18"/>
                <w:szCs w:val="18"/>
              </w:rPr>
            </w:pPr>
            <w:r>
              <w:rPr>
                <w:rFonts w:ascii="Arial" w:hAnsi="Arial" w:cs="Arial"/>
                <w:sz w:val="18"/>
                <w:szCs w:val="18"/>
              </w:rPr>
              <w:t>1,254</w:t>
            </w:r>
          </w:p>
        </w:tc>
        <w:tc>
          <w:tcPr>
            <w:tcW w:w="1123" w:type="dxa"/>
            <w:gridSpan w:val="2"/>
            <w:tcBorders>
              <w:top w:val="nil"/>
              <w:left w:val="nil"/>
              <w:bottom w:val="nil"/>
              <w:right w:val="nil"/>
            </w:tcBorders>
            <w:shd w:val="pct5" w:color="auto" w:fill="auto"/>
            <w:noWrap/>
            <w:vAlign w:val="bottom"/>
            <w:hideMark/>
          </w:tcPr>
          <w:p w14:paraId="3CE7CE6B" w14:textId="71E8AC56" w:rsidR="00977ED1" w:rsidRPr="00977ED1" w:rsidRDefault="000D5AC8" w:rsidP="00FF1372">
            <w:pPr>
              <w:keepNext/>
              <w:keepLines/>
              <w:ind w:right="113"/>
              <w:jc w:val="right"/>
              <w:rPr>
                <w:rFonts w:ascii="Arial" w:hAnsi="Arial" w:cs="Arial"/>
                <w:sz w:val="18"/>
                <w:szCs w:val="18"/>
              </w:rPr>
            </w:pPr>
            <w:r>
              <w:rPr>
                <w:rFonts w:ascii="Arial" w:hAnsi="Arial" w:cs="Arial"/>
                <w:sz w:val="18"/>
                <w:szCs w:val="18"/>
              </w:rPr>
              <w:t>976</w:t>
            </w:r>
          </w:p>
        </w:tc>
        <w:tc>
          <w:tcPr>
            <w:tcW w:w="1123" w:type="dxa"/>
            <w:gridSpan w:val="2"/>
            <w:tcBorders>
              <w:top w:val="nil"/>
              <w:left w:val="nil"/>
              <w:bottom w:val="nil"/>
              <w:right w:val="nil"/>
            </w:tcBorders>
            <w:shd w:val="pct5" w:color="auto" w:fill="auto"/>
            <w:noWrap/>
            <w:vAlign w:val="bottom"/>
            <w:hideMark/>
          </w:tcPr>
          <w:p w14:paraId="23E6B75D" w14:textId="06284C0B" w:rsidR="00977ED1" w:rsidRPr="00977ED1" w:rsidRDefault="000D5AC8" w:rsidP="00FF1372">
            <w:pPr>
              <w:keepNext/>
              <w:keepLines/>
              <w:ind w:right="113"/>
              <w:jc w:val="right"/>
              <w:rPr>
                <w:rFonts w:ascii="Arial" w:hAnsi="Arial" w:cs="Arial"/>
                <w:sz w:val="18"/>
                <w:szCs w:val="18"/>
              </w:rPr>
            </w:pPr>
            <w:r>
              <w:rPr>
                <w:rFonts w:ascii="Arial" w:hAnsi="Arial" w:cs="Arial"/>
                <w:sz w:val="18"/>
                <w:szCs w:val="18"/>
              </w:rPr>
              <w:t>741</w:t>
            </w:r>
          </w:p>
        </w:tc>
        <w:tc>
          <w:tcPr>
            <w:tcW w:w="1123" w:type="dxa"/>
            <w:gridSpan w:val="2"/>
            <w:tcBorders>
              <w:top w:val="nil"/>
              <w:left w:val="nil"/>
              <w:bottom w:val="nil"/>
              <w:right w:val="nil"/>
            </w:tcBorders>
            <w:shd w:val="pct5" w:color="auto" w:fill="auto"/>
            <w:noWrap/>
            <w:vAlign w:val="bottom"/>
            <w:hideMark/>
          </w:tcPr>
          <w:p w14:paraId="6515321D" w14:textId="52F9EB95" w:rsidR="00977ED1" w:rsidRPr="00977ED1" w:rsidRDefault="000D5AC8" w:rsidP="00FF1372">
            <w:pPr>
              <w:keepNext/>
              <w:keepLines/>
              <w:ind w:right="113"/>
              <w:jc w:val="right"/>
              <w:rPr>
                <w:rFonts w:ascii="Arial" w:hAnsi="Arial" w:cs="Arial"/>
                <w:sz w:val="18"/>
                <w:szCs w:val="18"/>
              </w:rPr>
            </w:pPr>
            <w:r>
              <w:rPr>
                <w:rFonts w:ascii="Arial" w:hAnsi="Arial" w:cs="Arial"/>
                <w:sz w:val="18"/>
                <w:szCs w:val="18"/>
              </w:rPr>
              <w:t>512</w:t>
            </w:r>
          </w:p>
        </w:tc>
        <w:tc>
          <w:tcPr>
            <w:tcW w:w="1123" w:type="dxa"/>
            <w:tcBorders>
              <w:top w:val="nil"/>
              <w:left w:val="nil"/>
              <w:bottom w:val="nil"/>
              <w:right w:val="nil"/>
            </w:tcBorders>
            <w:shd w:val="clear" w:color="auto" w:fill="auto"/>
            <w:noWrap/>
            <w:vAlign w:val="bottom"/>
            <w:hideMark/>
          </w:tcPr>
          <w:p w14:paraId="79307FBD" w14:textId="58CF85B3" w:rsidR="00977ED1" w:rsidRPr="00977ED1" w:rsidRDefault="000D5AC8" w:rsidP="00FF1372">
            <w:pPr>
              <w:keepNext/>
              <w:keepLines/>
              <w:ind w:right="113"/>
              <w:jc w:val="right"/>
              <w:rPr>
                <w:rFonts w:ascii="Arial" w:hAnsi="Arial" w:cs="Arial"/>
                <w:sz w:val="18"/>
                <w:szCs w:val="18"/>
              </w:rPr>
            </w:pPr>
            <w:r>
              <w:rPr>
                <w:rFonts w:ascii="Arial" w:hAnsi="Arial" w:cs="Arial"/>
                <w:sz w:val="18"/>
                <w:szCs w:val="18"/>
              </w:rPr>
              <w:t>3,483</w:t>
            </w:r>
          </w:p>
        </w:tc>
        <w:tc>
          <w:tcPr>
            <w:tcW w:w="906" w:type="dxa"/>
            <w:tcBorders>
              <w:top w:val="nil"/>
              <w:left w:val="nil"/>
              <w:bottom w:val="nil"/>
              <w:right w:val="nil"/>
            </w:tcBorders>
            <w:shd w:val="clear" w:color="auto" w:fill="auto"/>
            <w:noWrap/>
            <w:vAlign w:val="bottom"/>
            <w:hideMark/>
          </w:tcPr>
          <w:p w14:paraId="54A16381" w14:textId="2C490450" w:rsidR="00977ED1" w:rsidRPr="00977ED1" w:rsidRDefault="000D5AC8" w:rsidP="00FF1372">
            <w:pPr>
              <w:keepNext/>
              <w:keepLines/>
              <w:ind w:right="113"/>
              <w:jc w:val="right"/>
              <w:rPr>
                <w:rFonts w:ascii="Arial" w:hAnsi="Arial" w:cs="Arial"/>
                <w:sz w:val="18"/>
                <w:szCs w:val="18"/>
              </w:rPr>
            </w:pPr>
            <w:r>
              <w:rPr>
                <w:rFonts w:ascii="Arial" w:hAnsi="Arial" w:cs="Arial"/>
                <w:sz w:val="18"/>
                <w:szCs w:val="18"/>
              </w:rPr>
              <w:t>3.2</w:t>
            </w:r>
          </w:p>
        </w:tc>
      </w:tr>
      <w:tr w:rsidR="00977ED1" w:rsidRPr="00FC0F4B" w14:paraId="698E34B4" w14:textId="77777777" w:rsidTr="00FF1372">
        <w:trPr>
          <w:trHeight w:val="283"/>
        </w:trPr>
        <w:tc>
          <w:tcPr>
            <w:tcW w:w="3119" w:type="dxa"/>
            <w:tcBorders>
              <w:top w:val="nil"/>
              <w:left w:val="nil"/>
              <w:bottom w:val="nil"/>
              <w:right w:val="nil"/>
            </w:tcBorders>
            <w:shd w:val="clear" w:color="auto" w:fill="auto"/>
            <w:noWrap/>
            <w:vAlign w:val="bottom"/>
            <w:hideMark/>
          </w:tcPr>
          <w:p w14:paraId="3423A8EC" w14:textId="77777777" w:rsidR="00977ED1" w:rsidRPr="00FC0F4B" w:rsidRDefault="00977ED1" w:rsidP="00977ED1">
            <w:pPr>
              <w:keepNext/>
              <w:keepLines/>
              <w:rPr>
                <w:rFonts w:ascii="Arial" w:hAnsi="Arial" w:cs="Arial"/>
                <w:color w:val="000000"/>
                <w:sz w:val="18"/>
                <w:szCs w:val="18"/>
                <w:lang w:val="en-AU" w:eastAsia="en-AU"/>
              </w:rPr>
            </w:pPr>
            <w:r w:rsidRPr="00FC0F4B">
              <w:rPr>
                <w:rFonts w:ascii="Arial" w:hAnsi="Arial" w:cs="Arial"/>
                <w:color w:val="000000"/>
                <w:sz w:val="18"/>
                <w:szCs w:val="18"/>
                <w:lang w:val="en-AU" w:eastAsia="en-AU"/>
              </w:rPr>
              <w:t>Planning, Industry and Environment</w:t>
            </w:r>
          </w:p>
        </w:tc>
        <w:tc>
          <w:tcPr>
            <w:tcW w:w="1122" w:type="dxa"/>
            <w:gridSpan w:val="2"/>
            <w:tcBorders>
              <w:top w:val="nil"/>
              <w:left w:val="nil"/>
              <w:bottom w:val="nil"/>
              <w:right w:val="nil"/>
            </w:tcBorders>
            <w:shd w:val="pct5" w:color="auto" w:fill="auto"/>
            <w:noWrap/>
            <w:vAlign w:val="bottom"/>
            <w:hideMark/>
          </w:tcPr>
          <w:p w14:paraId="57144305" w14:textId="08373434" w:rsidR="00977ED1" w:rsidRPr="00977ED1" w:rsidRDefault="00EB470F" w:rsidP="00FF1372">
            <w:pPr>
              <w:keepNext/>
              <w:keepLines/>
              <w:ind w:right="113"/>
              <w:jc w:val="right"/>
              <w:rPr>
                <w:rFonts w:ascii="Arial" w:hAnsi="Arial" w:cs="Arial"/>
                <w:sz w:val="18"/>
                <w:szCs w:val="18"/>
              </w:rPr>
            </w:pPr>
            <w:r>
              <w:rPr>
                <w:rFonts w:ascii="Arial" w:hAnsi="Arial" w:cs="Arial"/>
                <w:sz w:val="18"/>
                <w:szCs w:val="18"/>
              </w:rPr>
              <w:t>995</w:t>
            </w:r>
          </w:p>
        </w:tc>
        <w:tc>
          <w:tcPr>
            <w:tcW w:w="1123" w:type="dxa"/>
            <w:gridSpan w:val="2"/>
            <w:tcBorders>
              <w:top w:val="nil"/>
              <w:left w:val="nil"/>
              <w:bottom w:val="nil"/>
              <w:right w:val="nil"/>
            </w:tcBorders>
            <w:shd w:val="pct5" w:color="auto" w:fill="auto"/>
            <w:noWrap/>
            <w:vAlign w:val="bottom"/>
            <w:hideMark/>
          </w:tcPr>
          <w:p w14:paraId="3F5BF620" w14:textId="48DA58C6" w:rsidR="00977ED1" w:rsidRPr="00977ED1" w:rsidRDefault="00EB470F" w:rsidP="00FF1372">
            <w:pPr>
              <w:keepNext/>
              <w:keepLines/>
              <w:ind w:right="113"/>
              <w:jc w:val="right"/>
              <w:rPr>
                <w:rFonts w:ascii="Arial" w:hAnsi="Arial" w:cs="Arial"/>
                <w:sz w:val="18"/>
                <w:szCs w:val="18"/>
              </w:rPr>
            </w:pPr>
            <w:r>
              <w:rPr>
                <w:rFonts w:ascii="Arial" w:hAnsi="Arial" w:cs="Arial"/>
                <w:sz w:val="18"/>
                <w:szCs w:val="18"/>
              </w:rPr>
              <w:t>618</w:t>
            </w:r>
          </w:p>
        </w:tc>
        <w:tc>
          <w:tcPr>
            <w:tcW w:w="1123" w:type="dxa"/>
            <w:gridSpan w:val="2"/>
            <w:tcBorders>
              <w:top w:val="nil"/>
              <w:left w:val="nil"/>
              <w:bottom w:val="nil"/>
              <w:right w:val="nil"/>
            </w:tcBorders>
            <w:shd w:val="pct5" w:color="auto" w:fill="auto"/>
            <w:noWrap/>
            <w:vAlign w:val="bottom"/>
            <w:hideMark/>
          </w:tcPr>
          <w:p w14:paraId="45FE0543" w14:textId="7B8C925F" w:rsidR="00977ED1" w:rsidRPr="00977ED1" w:rsidRDefault="00EB470F" w:rsidP="00FF1372">
            <w:pPr>
              <w:keepNext/>
              <w:keepLines/>
              <w:ind w:right="113"/>
              <w:jc w:val="right"/>
              <w:rPr>
                <w:rFonts w:ascii="Arial" w:hAnsi="Arial" w:cs="Arial"/>
                <w:sz w:val="18"/>
                <w:szCs w:val="18"/>
              </w:rPr>
            </w:pPr>
            <w:r>
              <w:rPr>
                <w:rFonts w:ascii="Arial" w:hAnsi="Arial" w:cs="Arial"/>
                <w:sz w:val="18"/>
                <w:szCs w:val="18"/>
              </w:rPr>
              <w:t>401</w:t>
            </w:r>
          </w:p>
        </w:tc>
        <w:tc>
          <w:tcPr>
            <w:tcW w:w="1123" w:type="dxa"/>
            <w:gridSpan w:val="2"/>
            <w:tcBorders>
              <w:top w:val="nil"/>
              <w:left w:val="nil"/>
              <w:bottom w:val="nil"/>
              <w:right w:val="nil"/>
            </w:tcBorders>
            <w:shd w:val="pct5" w:color="auto" w:fill="auto"/>
            <w:noWrap/>
            <w:vAlign w:val="bottom"/>
            <w:hideMark/>
          </w:tcPr>
          <w:p w14:paraId="3D1CBACD" w14:textId="5AD83CAC" w:rsidR="00977ED1" w:rsidRPr="00977ED1" w:rsidRDefault="00EB470F" w:rsidP="00FF1372">
            <w:pPr>
              <w:keepNext/>
              <w:keepLines/>
              <w:ind w:right="113"/>
              <w:jc w:val="right"/>
              <w:rPr>
                <w:rFonts w:ascii="Arial" w:hAnsi="Arial" w:cs="Arial"/>
                <w:sz w:val="18"/>
                <w:szCs w:val="18"/>
              </w:rPr>
            </w:pPr>
            <w:r>
              <w:rPr>
                <w:rFonts w:ascii="Arial" w:hAnsi="Arial" w:cs="Arial"/>
                <w:sz w:val="18"/>
                <w:szCs w:val="18"/>
              </w:rPr>
              <w:t>249</w:t>
            </w:r>
          </w:p>
        </w:tc>
        <w:tc>
          <w:tcPr>
            <w:tcW w:w="1123" w:type="dxa"/>
            <w:tcBorders>
              <w:top w:val="nil"/>
              <w:left w:val="nil"/>
              <w:bottom w:val="nil"/>
              <w:right w:val="nil"/>
            </w:tcBorders>
            <w:shd w:val="clear" w:color="auto" w:fill="auto"/>
            <w:noWrap/>
            <w:vAlign w:val="bottom"/>
            <w:hideMark/>
          </w:tcPr>
          <w:p w14:paraId="12370DB0" w14:textId="349C7D8F" w:rsidR="00977ED1" w:rsidRPr="00977ED1" w:rsidRDefault="00EB470F" w:rsidP="00FF1372">
            <w:pPr>
              <w:keepNext/>
              <w:keepLines/>
              <w:ind w:right="113"/>
              <w:jc w:val="right"/>
              <w:rPr>
                <w:rFonts w:ascii="Arial" w:hAnsi="Arial" w:cs="Arial"/>
                <w:sz w:val="18"/>
                <w:szCs w:val="18"/>
              </w:rPr>
            </w:pPr>
            <w:r>
              <w:rPr>
                <w:rFonts w:ascii="Arial" w:hAnsi="Arial" w:cs="Arial"/>
                <w:sz w:val="18"/>
                <w:szCs w:val="18"/>
              </w:rPr>
              <w:t>2,264</w:t>
            </w:r>
          </w:p>
        </w:tc>
        <w:tc>
          <w:tcPr>
            <w:tcW w:w="906" w:type="dxa"/>
            <w:tcBorders>
              <w:top w:val="nil"/>
              <w:left w:val="nil"/>
              <w:bottom w:val="nil"/>
              <w:right w:val="nil"/>
            </w:tcBorders>
            <w:shd w:val="clear" w:color="auto" w:fill="auto"/>
            <w:noWrap/>
            <w:vAlign w:val="bottom"/>
            <w:hideMark/>
          </w:tcPr>
          <w:p w14:paraId="6514C9CA" w14:textId="7289A014" w:rsidR="00977ED1" w:rsidRPr="00977ED1" w:rsidRDefault="00EB470F" w:rsidP="00FF1372">
            <w:pPr>
              <w:keepNext/>
              <w:keepLines/>
              <w:ind w:right="113"/>
              <w:jc w:val="right"/>
              <w:rPr>
                <w:rFonts w:ascii="Arial" w:hAnsi="Arial" w:cs="Arial"/>
                <w:sz w:val="18"/>
                <w:szCs w:val="18"/>
              </w:rPr>
            </w:pPr>
            <w:r>
              <w:rPr>
                <w:rFonts w:ascii="Arial" w:hAnsi="Arial" w:cs="Arial"/>
                <w:sz w:val="18"/>
                <w:szCs w:val="18"/>
              </w:rPr>
              <w:t>2.1</w:t>
            </w:r>
          </w:p>
        </w:tc>
      </w:tr>
      <w:tr w:rsidR="00977ED1" w:rsidRPr="00FC0F4B" w14:paraId="2DA61FCC" w14:textId="77777777" w:rsidTr="00FF1372">
        <w:trPr>
          <w:trHeight w:val="283"/>
        </w:trPr>
        <w:tc>
          <w:tcPr>
            <w:tcW w:w="3119" w:type="dxa"/>
            <w:tcBorders>
              <w:top w:val="nil"/>
              <w:left w:val="nil"/>
              <w:bottom w:val="nil"/>
              <w:right w:val="nil"/>
            </w:tcBorders>
            <w:shd w:val="clear" w:color="auto" w:fill="auto"/>
            <w:noWrap/>
            <w:vAlign w:val="bottom"/>
            <w:hideMark/>
          </w:tcPr>
          <w:p w14:paraId="0F88D3EE" w14:textId="71053DA2" w:rsidR="00977ED1" w:rsidRPr="00FC0F4B" w:rsidRDefault="00977ED1" w:rsidP="00977ED1">
            <w:pPr>
              <w:keepNext/>
              <w:keepLines/>
              <w:rPr>
                <w:rFonts w:ascii="Arial" w:hAnsi="Arial" w:cs="Arial"/>
                <w:color w:val="000000"/>
                <w:sz w:val="18"/>
                <w:szCs w:val="18"/>
                <w:lang w:val="en-AU" w:eastAsia="en-AU"/>
              </w:rPr>
            </w:pPr>
            <w:r w:rsidRPr="00FC0F4B">
              <w:rPr>
                <w:rFonts w:ascii="Arial" w:hAnsi="Arial" w:cs="Arial"/>
                <w:color w:val="000000"/>
                <w:sz w:val="18"/>
                <w:szCs w:val="18"/>
                <w:lang w:val="en-AU" w:eastAsia="en-AU"/>
              </w:rPr>
              <w:t>Regional</w:t>
            </w:r>
            <w:r>
              <w:rPr>
                <w:rFonts w:ascii="Arial" w:hAnsi="Arial" w:cs="Arial"/>
                <w:color w:val="000000"/>
                <w:sz w:val="18"/>
                <w:szCs w:val="18"/>
                <w:lang w:val="en-AU" w:eastAsia="en-AU"/>
              </w:rPr>
              <w:t xml:space="preserve"> NSW</w:t>
            </w:r>
          </w:p>
        </w:tc>
        <w:tc>
          <w:tcPr>
            <w:tcW w:w="1122" w:type="dxa"/>
            <w:gridSpan w:val="2"/>
            <w:tcBorders>
              <w:top w:val="nil"/>
              <w:left w:val="nil"/>
              <w:bottom w:val="nil"/>
              <w:right w:val="nil"/>
            </w:tcBorders>
            <w:shd w:val="pct5" w:color="auto" w:fill="auto"/>
            <w:noWrap/>
            <w:vAlign w:val="bottom"/>
            <w:hideMark/>
          </w:tcPr>
          <w:p w14:paraId="0F371294" w14:textId="32344C1B" w:rsidR="00977ED1" w:rsidRPr="00977ED1" w:rsidRDefault="00FC5523" w:rsidP="00FF1372">
            <w:pPr>
              <w:keepNext/>
              <w:keepLines/>
              <w:ind w:right="113"/>
              <w:jc w:val="right"/>
              <w:rPr>
                <w:rFonts w:ascii="Arial" w:hAnsi="Arial" w:cs="Arial"/>
                <w:sz w:val="18"/>
                <w:szCs w:val="18"/>
              </w:rPr>
            </w:pPr>
            <w:r>
              <w:rPr>
                <w:rFonts w:ascii="Arial" w:hAnsi="Arial" w:cs="Arial"/>
                <w:sz w:val="18"/>
                <w:szCs w:val="18"/>
              </w:rPr>
              <w:t>333</w:t>
            </w:r>
          </w:p>
        </w:tc>
        <w:tc>
          <w:tcPr>
            <w:tcW w:w="1123" w:type="dxa"/>
            <w:gridSpan w:val="2"/>
            <w:tcBorders>
              <w:top w:val="nil"/>
              <w:left w:val="nil"/>
              <w:bottom w:val="nil"/>
              <w:right w:val="nil"/>
            </w:tcBorders>
            <w:shd w:val="pct5" w:color="auto" w:fill="auto"/>
            <w:noWrap/>
            <w:vAlign w:val="bottom"/>
            <w:hideMark/>
          </w:tcPr>
          <w:p w14:paraId="4ED06552" w14:textId="1B587164" w:rsidR="00977ED1" w:rsidRPr="00977ED1" w:rsidRDefault="00FC5523" w:rsidP="00FF1372">
            <w:pPr>
              <w:keepNext/>
              <w:keepLines/>
              <w:ind w:right="113"/>
              <w:jc w:val="right"/>
              <w:rPr>
                <w:rFonts w:ascii="Arial" w:hAnsi="Arial" w:cs="Arial"/>
                <w:sz w:val="18"/>
                <w:szCs w:val="18"/>
              </w:rPr>
            </w:pPr>
            <w:r>
              <w:rPr>
                <w:rFonts w:ascii="Arial" w:hAnsi="Arial" w:cs="Arial"/>
                <w:sz w:val="18"/>
                <w:szCs w:val="18"/>
              </w:rPr>
              <w:t>309</w:t>
            </w:r>
          </w:p>
        </w:tc>
        <w:tc>
          <w:tcPr>
            <w:tcW w:w="1123" w:type="dxa"/>
            <w:gridSpan w:val="2"/>
            <w:tcBorders>
              <w:top w:val="nil"/>
              <w:left w:val="nil"/>
              <w:bottom w:val="nil"/>
              <w:right w:val="nil"/>
            </w:tcBorders>
            <w:shd w:val="pct5" w:color="auto" w:fill="auto"/>
            <w:noWrap/>
            <w:vAlign w:val="bottom"/>
            <w:hideMark/>
          </w:tcPr>
          <w:p w14:paraId="2BCBE56A" w14:textId="2B02CB0B" w:rsidR="00977ED1" w:rsidRPr="00977ED1" w:rsidRDefault="00FC5523" w:rsidP="00FF1372">
            <w:pPr>
              <w:keepNext/>
              <w:keepLines/>
              <w:ind w:right="113"/>
              <w:jc w:val="right"/>
              <w:rPr>
                <w:rFonts w:ascii="Arial" w:hAnsi="Arial" w:cs="Arial"/>
                <w:sz w:val="18"/>
                <w:szCs w:val="18"/>
              </w:rPr>
            </w:pPr>
            <w:r>
              <w:rPr>
                <w:rFonts w:ascii="Arial" w:hAnsi="Arial" w:cs="Arial"/>
                <w:sz w:val="18"/>
                <w:szCs w:val="18"/>
              </w:rPr>
              <w:t>57</w:t>
            </w:r>
          </w:p>
        </w:tc>
        <w:tc>
          <w:tcPr>
            <w:tcW w:w="1123" w:type="dxa"/>
            <w:gridSpan w:val="2"/>
            <w:tcBorders>
              <w:top w:val="nil"/>
              <w:left w:val="nil"/>
              <w:bottom w:val="nil"/>
              <w:right w:val="nil"/>
            </w:tcBorders>
            <w:shd w:val="pct5" w:color="auto" w:fill="auto"/>
            <w:noWrap/>
            <w:vAlign w:val="bottom"/>
            <w:hideMark/>
          </w:tcPr>
          <w:p w14:paraId="482CD931" w14:textId="253423F0" w:rsidR="00977ED1" w:rsidRPr="00977ED1" w:rsidRDefault="00FC5523" w:rsidP="00FF1372">
            <w:pPr>
              <w:keepNext/>
              <w:keepLines/>
              <w:ind w:right="113"/>
              <w:jc w:val="right"/>
              <w:rPr>
                <w:rFonts w:ascii="Arial" w:hAnsi="Arial" w:cs="Arial"/>
                <w:sz w:val="18"/>
                <w:szCs w:val="18"/>
              </w:rPr>
            </w:pPr>
            <w:r>
              <w:rPr>
                <w:rFonts w:ascii="Arial" w:hAnsi="Arial" w:cs="Arial"/>
                <w:sz w:val="18"/>
                <w:szCs w:val="18"/>
              </w:rPr>
              <w:t>11</w:t>
            </w:r>
          </w:p>
        </w:tc>
        <w:tc>
          <w:tcPr>
            <w:tcW w:w="1123" w:type="dxa"/>
            <w:tcBorders>
              <w:top w:val="nil"/>
              <w:left w:val="nil"/>
              <w:bottom w:val="nil"/>
              <w:right w:val="nil"/>
            </w:tcBorders>
            <w:shd w:val="clear" w:color="auto" w:fill="auto"/>
            <w:noWrap/>
            <w:vAlign w:val="bottom"/>
            <w:hideMark/>
          </w:tcPr>
          <w:p w14:paraId="7B9503CA" w14:textId="5C5377D7" w:rsidR="00977ED1" w:rsidRPr="00977ED1" w:rsidRDefault="00FC5523" w:rsidP="00FF1372">
            <w:pPr>
              <w:keepNext/>
              <w:keepLines/>
              <w:ind w:right="113"/>
              <w:jc w:val="right"/>
              <w:rPr>
                <w:rFonts w:ascii="Arial" w:hAnsi="Arial" w:cs="Arial"/>
                <w:sz w:val="18"/>
                <w:szCs w:val="18"/>
              </w:rPr>
            </w:pPr>
            <w:r>
              <w:rPr>
                <w:rFonts w:ascii="Arial" w:hAnsi="Arial" w:cs="Arial"/>
                <w:sz w:val="18"/>
                <w:szCs w:val="18"/>
              </w:rPr>
              <w:t>710</w:t>
            </w:r>
          </w:p>
        </w:tc>
        <w:tc>
          <w:tcPr>
            <w:tcW w:w="906" w:type="dxa"/>
            <w:tcBorders>
              <w:top w:val="nil"/>
              <w:left w:val="nil"/>
              <w:bottom w:val="nil"/>
              <w:right w:val="nil"/>
            </w:tcBorders>
            <w:shd w:val="clear" w:color="auto" w:fill="auto"/>
            <w:noWrap/>
            <w:vAlign w:val="bottom"/>
            <w:hideMark/>
          </w:tcPr>
          <w:p w14:paraId="1EBF582B" w14:textId="24CF03E5" w:rsidR="00977ED1" w:rsidRPr="00977ED1" w:rsidRDefault="00EB470F" w:rsidP="00FF1372">
            <w:pPr>
              <w:keepNext/>
              <w:keepLines/>
              <w:ind w:right="113"/>
              <w:jc w:val="right"/>
              <w:rPr>
                <w:rFonts w:ascii="Arial" w:hAnsi="Arial" w:cs="Arial"/>
                <w:sz w:val="18"/>
                <w:szCs w:val="18"/>
              </w:rPr>
            </w:pPr>
            <w:r>
              <w:rPr>
                <w:rFonts w:ascii="Arial" w:hAnsi="Arial" w:cs="Arial"/>
                <w:sz w:val="18"/>
                <w:szCs w:val="18"/>
              </w:rPr>
              <w:t>0.7</w:t>
            </w:r>
          </w:p>
        </w:tc>
      </w:tr>
      <w:tr w:rsidR="00977ED1" w:rsidRPr="00FC0F4B" w14:paraId="5DD459D0" w14:textId="77777777" w:rsidTr="00FF1372">
        <w:trPr>
          <w:trHeight w:val="283"/>
        </w:trPr>
        <w:tc>
          <w:tcPr>
            <w:tcW w:w="3119" w:type="dxa"/>
            <w:tcBorders>
              <w:top w:val="nil"/>
              <w:left w:val="nil"/>
              <w:bottom w:val="nil"/>
              <w:right w:val="nil"/>
            </w:tcBorders>
            <w:shd w:val="clear" w:color="auto" w:fill="auto"/>
            <w:noWrap/>
            <w:vAlign w:val="bottom"/>
            <w:hideMark/>
          </w:tcPr>
          <w:p w14:paraId="591E9519" w14:textId="77777777" w:rsidR="00977ED1" w:rsidRPr="00FC0F4B" w:rsidRDefault="00977ED1" w:rsidP="00977ED1">
            <w:pPr>
              <w:keepNext/>
              <w:keepLines/>
              <w:rPr>
                <w:rFonts w:ascii="Arial" w:hAnsi="Arial" w:cs="Arial"/>
                <w:color w:val="000000"/>
                <w:sz w:val="18"/>
                <w:szCs w:val="18"/>
                <w:lang w:val="en-AU" w:eastAsia="en-AU"/>
              </w:rPr>
            </w:pPr>
            <w:r w:rsidRPr="00FC0F4B">
              <w:rPr>
                <w:rFonts w:ascii="Arial" w:hAnsi="Arial" w:cs="Arial"/>
                <w:color w:val="000000"/>
                <w:sz w:val="18"/>
                <w:szCs w:val="18"/>
                <w:lang w:val="en-AU" w:eastAsia="en-AU"/>
              </w:rPr>
              <w:t>Customer Service</w:t>
            </w:r>
          </w:p>
        </w:tc>
        <w:tc>
          <w:tcPr>
            <w:tcW w:w="1122" w:type="dxa"/>
            <w:gridSpan w:val="2"/>
            <w:tcBorders>
              <w:top w:val="nil"/>
              <w:left w:val="nil"/>
              <w:bottom w:val="nil"/>
              <w:right w:val="nil"/>
            </w:tcBorders>
            <w:shd w:val="pct5" w:color="auto" w:fill="auto"/>
            <w:noWrap/>
            <w:vAlign w:val="bottom"/>
            <w:hideMark/>
          </w:tcPr>
          <w:p w14:paraId="054ABE92" w14:textId="13A72CFD" w:rsidR="00977ED1" w:rsidRPr="00977ED1" w:rsidRDefault="00FC5523" w:rsidP="00FF1372">
            <w:pPr>
              <w:keepNext/>
              <w:keepLines/>
              <w:ind w:right="113"/>
              <w:jc w:val="right"/>
              <w:rPr>
                <w:rFonts w:ascii="Arial" w:hAnsi="Arial" w:cs="Arial"/>
                <w:sz w:val="18"/>
                <w:szCs w:val="18"/>
              </w:rPr>
            </w:pPr>
            <w:r>
              <w:rPr>
                <w:rFonts w:ascii="Arial" w:hAnsi="Arial" w:cs="Arial"/>
                <w:sz w:val="18"/>
                <w:szCs w:val="18"/>
              </w:rPr>
              <w:t>689</w:t>
            </w:r>
          </w:p>
        </w:tc>
        <w:tc>
          <w:tcPr>
            <w:tcW w:w="1123" w:type="dxa"/>
            <w:gridSpan w:val="2"/>
            <w:tcBorders>
              <w:top w:val="nil"/>
              <w:left w:val="nil"/>
              <w:bottom w:val="nil"/>
              <w:right w:val="nil"/>
            </w:tcBorders>
            <w:shd w:val="pct5" w:color="auto" w:fill="auto"/>
            <w:noWrap/>
            <w:vAlign w:val="bottom"/>
            <w:hideMark/>
          </w:tcPr>
          <w:p w14:paraId="1F7D9C64" w14:textId="0F75AFF1" w:rsidR="00977ED1" w:rsidRPr="00977ED1" w:rsidRDefault="00FC5523" w:rsidP="00FF1372">
            <w:pPr>
              <w:keepNext/>
              <w:keepLines/>
              <w:ind w:right="113"/>
              <w:jc w:val="right"/>
              <w:rPr>
                <w:rFonts w:ascii="Arial" w:hAnsi="Arial" w:cs="Arial"/>
                <w:sz w:val="18"/>
                <w:szCs w:val="18"/>
              </w:rPr>
            </w:pPr>
            <w:r>
              <w:rPr>
                <w:rFonts w:ascii="Arial" w:hAnsi="Arial" w:cs="Arial"/>
                <w:sz w:val="18"/>
                <w:szCs w:val="18"/>
              </w:rPr>
              <w:t>405</w:t>
            </w:r>
          </w:p>
        </w:tc>
        <w:tc>
          <w:tcPr>
            <w:tcW w:w="1123" w:type="dxa"/>
            <w:gridSpan w:val="2"/>
            <w:tcBorders>
              <w:top w:val="nil"/>
              <w:left w:val="nil"/>
              <w:bottom w:val="nil"/>
              <w:right w:val="nil"/>
            </w:tcBorders>
            <w:shd w:val="pct5" w:color="auto" w:fill="auto"/>
            <w:noWrap/>
            <w:vAlign w:val="bottom"/>
            <w:hideMark/>
          </w:tcPr>
          <w:p w14:paraId="30E56865" w14:textId="30EB75B6" w:rsidR="00977ED1" w:rsidRPr="00977ED1" w:rsidRDefault="00FC5523" w:rsidP="00FF1372">
            <w:pPr>
              <w:keepNext/>
              <w:keepLines/>
              <w:ind w:right="113"/>
              <w:jc w:val="right"/>
              <w:rPr>
                <w:rFonts w:ascii="Arial" w:hAnsi="Arial" w:cs="Arial"/>
                <w:sz w:val="18"/>
                <w:szCs w:val="18"/>
              </w:rPr>
            </w:pPr>
            <w:r>
              <w:rPr>
                <w:rFonts w:ascii="Arial" w:hAnsi="Arial" w:cs="Arial"/>
                <w:sz w:val="18"/>
                <w:szCs w:val="18"/>
              </w:rPr>
              <w:t>243</w:t>
            </w:r>
          </w:p>
        </w:tc>
        <w:tc>
          <w:tcPr>
            <w:tcW w:w="1123" w:type="dxa"/>
            <w:gridSpan w:val="2"/>
            <w:tcBorders>
              <w:top w:val="nil"/>
              <w:left w:val="nil"/>
              <w:bottom w:val="nil"/>
              <w:right w:val="nil"/>
            </w:tcBorders>
            <w:shd w:val="pct5" w:color="auto" w:fill="auto"/>
            <w:noWrap/>
            <w:vAlign w:val="bottom"/>
            <w:hideMark/>
          </w:tcPr>
          <w:p w14:paraId="6BE2A9C7" w14:textId="540F93B1" w:rsidR="00977ED1" w:rsidRPr="00977ED1" w:rsidRDefault="00FC5523" w:rsidP="00FF1372">
            <w:pPr>
              <w:keepNext/>
              <w:keepLines/>
              <w:ind w:right="113"/>
              <w:jc w:val="right"/>
              <w:rPr>
                <w:rFonts w:ascii="Arial" w:hAnsi="Arial" w:cs="Arial"/>
                <w:sz w:val="18"/>
                <w:szCs w:val="18"/>
              </w:rPr>
            </w:pPr>
            <w:r>
              <w:rPr>
                <w:rFonts w:ascii="Arial" w:hAnsi="Arial" w:cs="Arial"/>
                <w:sz w:val="18"/>
                <w:szCs w:val="18"/>
              </w:rPr>
              <w:t>132</w:t>
            </w:r>
          </w:p>
        </w:tc>
        <w:tc>
          <w:tcPr>
            <w:tcW w:w="1123" w:type="dxa"/>
            <w:tcBorders>
              <w:top w:val="nil"/>
              <w:left w:val="nil"/>
              <w:bottom w:val="nil"/>
              <w:right w:val="nil"/>
            </w:tcBorders>
            <w:shd w:val="clear" w:color="auto" w:fill="auto"/>
            <w:noWrap/>
            <w:vAlign w:val="bottom"/>
            <w:hideMark/>
          </w:tcPr>
          <w:p w14:paraId="7198353F" w14:textId="74A1DF90" w:rsidR="00977ED1" w:rsidRPr="00977ED1" w:rsidRDefault="00FC5523" w:rsidP="00FF1372">
            <w:pPr>
              <w:keepNext/>
              <w:keepLines/>
              <w:ind w:right="113"/>
              <w:jc w:val="right"/>
              <w:rPr>
                <w:rFonts w:ascii="Arial" w:hAnsi="Arial" w:cs="Arial"/>
                <w:sz w:val="18"/>
                <w:szCs w:val="18"/>
              </w:rPr>
            </w:pPr>
            <w:r>
              <w:rPr>
                <w:rFonts w:ascii="Arial" w:hAnsi="Arial" w:cs="Arial"/>
                <w:sz w:val="18"/>
                <w:szCs w:val="18"/>
              </w:rPr>
              <w:t>1,469</w:t>
            </w:r>
          </w:p>
        </w:tc>
        <w:tc>
          <w:tcPr>
            <w:tcW w:w="906" w:type="dxa"/>
            <w:tcBorders>
              <w:top w:val="nil"/>
              <w:left w:val="nil"/>
              <w:bottom w:val="nil"/>
              <w:right w:val="nil"/>
            </w:tcBorders>
            <w:shd w:val="clear" w:color="auto" w:fill="auto"/>
            <w:noWrap/>
            <w:vAlign w:val="bottom"/>
            <w:hideMark/>
          </w:tcPr>
          <w:p w14:paraId="773F98C3" w14:textId="34D53FEF" w:rsidR="00977ED1" w:rsidRPr="00977ED1" w:rsidRDefault="00EB470F" w:rsidP="00FF1372">
            <w:pPr>
              <w:keepNext/>
              <w:keepLines/>
              <w:ind w:right="113"/>
              <w:jc w:val="right"/>
              <w:rPr>
                <w:rFonts w:ascii="Arial" w:hAnsi="Arial" w:cs="Arial"/>
                <w:sz w:val="18"/>
                <w:szCs w:val="18"/>
              </w:rPr>
            </w:pPr>
            <w:r>
              <w:rPr>
                <w:rFonts w:ascii="Arial" w:hAnsi="Arial" w:cs="Arial"/>
                <w:sz w:val="18"/>
                <w:szCs w:val="18"/>
              </w:rPr>
              <w:t>1.4</w:t>
            </w:r>
          </w:p>
        </w:tc>
      </w:tr>
      <w:tr w:rsidR="00977ED1" w:rsidRPr="00FC0F4B" w14:paraId="1C6B8BF1" w14:textId="77777777" w:rsidTr="00FF1372">
        <w:trPr>
          <w:trHeight w:val="283"/>
        </w:trPr>
        <w:tc>
          <w:tcPr>
            <w:tcW w:w="3119" w:type="dxa"/>
            <w:tcBorders>
              <w:top w:val="nil"/>
              <w:left w:val="nil"/>
              <w:bottom w:val="nil"/>
              <w:right w:val="nil"/>
            </w:tcBorders>
            <w:shd w:val="clear" w:color="auto" w:fill="auto"/>
            <w:noWrap/>
            <w:vAlign w:val="bottom"/>
            <w:hideMark/>
          </w:tcPr>
          <w:p w14:paraId="36866CD6" w14:textId="72DE0D3B" w:rsidR="00977ED1" w:rsidRPr="00FC0F4B" w:rsidRDefault="00977ED1" w:rsidP="00977ED1">
            <w:pPr>
              <w:keepNext/>
              <w:keepLines/>
              <w:rPr>
                <w:rFonts w:ascii="Arial" w:hAnsi="Arial" w:cs="Arial"/>
                <w:color w:val="000000"/>
                <w:sz w:val="18"/>
                <w:szCs w:val="18"/>
                <w:lang w:val="en-AU" w:eastAsia="en-AU"/>
              </w:rPr>
            </w:pPr>
            <w:r w:rsidRPr="00FC0F4B">
              <w:rPr>
                <w:rFonts w:ascii="Arial" w:hAnsi="Arial" w:cs="Arial"/>
                <w:color w:val="000000"/>
                <w:sz w:val="18"/>
                <w:szCs w:val="18"/>
                <w:lang w:val="en-AU" w:eastAsia="en-AU"/>
              </w:rPr>
              <w:t>Other</w:t>
            </w:r>
            <w:r w:rsidRPr="00FC0F4B">
              <w:rPr>
                <w:rFonts w:ascii="Arial" w:hAnsi="Arial" w:cs="Arial"/>
                <w:color w:val="000000"/>
                <w:sz w:val="18"/>
                <w:szCs w:val="18"/>
                <w:vertAlign w:val="superscript"/>
                <w:lang w:val="en-AU" w:eastAsia="en-AU"/>
              </w:rPr>
              <w:t>(</w:t>
            </w:r>
            <w:r>
              <w:rPr>
                <w:rFonts w:ascii="Arial" w:hAnsi="Arial" w:cs="Arial"/>
                <w:color w:val="000000"/>
                <w:sz w:val="18"/>
                <w:szCs w:val="18"/>
                <w:vertAlign w:val="superscript"/>
                <w:lang w:val="en-AU" w:eastAsia="en-AU"/>
              </w:rPr>
              <w:t>d</w:t>
            </w:r>
            <w:r w:rsidRPr="00FC0F4B">
              <w:rPr>
                <w:rFonts w:ascii="Arial" w:hAnsi="Arial" w:cs="Arial"/>
                <w:color w:val="000000"/>
                <w:sz w:val="18"/>
                <w:szCs w:val="18"/>
                <w:vertAlign w:val="superscript"/>
                <w:lang w:val="en-AU" w:eastAsia="en-AU"/>
              </w:rPr>
              <w:t>)</w:t>
            </w:r>
          </w:p>
        </w:tc>
        <w:tc>
          <w:tcPr>
            <w:tcW w:w="1122" w:type="dxa"/>
            <w:gridSpan w:val="2"/>
            <w:tcBorders>
              <w:top w:val="nil"/>
              <w:left w:val="nil"/>
              <w:bottom w:val="single" w:sz="4" w:space="0" w:color="auto"/>
              <w:right w:val="nil"/>
            </w:tcBorders>
            <w:shd w:val="pct5" w:color="auto" w:fill="auto"/>
            <w:noWrap/>
            <w:vAlign w:val="bottom"/>
            <w:hideMark/>
          </w:tcPr>
          <w:p w14:paraId="5E0A1346" w14:textId="203B152B" w:rsidR="00977ED1" w:rsidRPr="00977ED1" w:rsidRDefault="00EB470F" w:rsidP="00FF1372">
            <w:pPr>
              <w:keepNext/>
              <w:keepLines/>
              <w:ind w:right="113"/>
              <w:jc w:val="right"/>
              <w:rPr>
                <w:rFonts w:ascii="Arial" w:hAnsi="Arial" w:cs="Arial"/>
                <w:sz w:val="18"/>
                <w:szCs w:val="18"/>
              </w:rPr>
            </w:pPr>
            <w:r>
              <w:rPr>
                <w:rFonts w:ascii="Arial" w:hAnsi="Arial" w:cs="Arial"/>
                <w:sz w:val="18"/>
                <w:szCs w:val="18"/>
              </w:rPr>
              <w:t>1,09</w:t>
            </w:r>
            <w:r w:rsidR="0026012C">
              <w:rPr>
                <w:rFonts w:ascii="Arial" w:hAnsi="Arial" w:cs="Arial"/>
                <w:sz w:val="18"/>
                <w:szCs w:val="18"/>
              </w:rPr>
              <w:t>8</w:t>
            </w:r>
          </w:p>
        </w:tc>
        <w:tc>
          <w:tcPr>
            <w:tcW w:w="1123" w:type="dxa"/>
            <w:gridSpan w:val="2"/>
            <w:tcBorders>
              <w:top w:val="nil"/>
              <w:left w:val="nil"/>
              <w:bottom w:val="single" w:sz="4" w:space="0" w:color="auto"/>
              <w:right w:val="nil"/>
            </w:tcBorders>
            <w:shd w:val="pct5" w:color="auto" w:fill="auto"/>
            <w:noWrap/>
            <w:vAlign w:val="bottom"/>
            <w:hideMark/>
          </w:tcPr>
          <w:p w14:paraId="439253D9" w14:textId="1F49B838" w:rsidR="00977ED1" w:rsidRPr="00977ED1" w:rsidRDefault="00EB470F" w:rsidP="00FF1372">
            <w:pPr>
              <w:keepNext/>
              <w:keepLines/>
              <w:ind w:right="113"/>
              <w:jc w:val="right"/>
              <w:rPr>
                <w:rFonts w:ascii="Arial" w:hAnsi="Arial" w:cs="Arial"/>
                <w:sz w:val="18"/>
                <w:szCs w:val="18"/>
              </w:rPr>
            </w:pPr>
            <w:r>
              <w:rPr>
                <w:rFonts w:ascii="Arial" w:hAnsi="Arial" w:cs="Arial"/>
                <w:sz w:val="18"/>
                <w:szCs w:val="18"/>
              </w:rPr>
              <w:t>2,009</w:t>
            </w:r>
          </w:p>
        </w:tc>
        <w:tc>
          <w:tcPr>
            <w:tcW w:w="1123" w:type="dxa"/>
            <w:gridSpan w:val="2"/>
            <w:tcBorders>
              <w:top w:val="nil"/>
              <w:left w:val="nil"/>
              <w:bottom w:val="single" w:sz="4" w:space="0" w:color="auto"/>
              <w:right w:val="nil"/>
            </w:tcBorders>
            <w:shd w:val="pct5" w:color="auto" w:fill="auto"/>
            <w:noWrap/>
            <w:vAlign w:val="bottom"/>
            <w:hideMark/>
          </w:tcPr>
          <w:p w14:paraId="5FA7897E" w14:textId="6A2D0027" w:rsidR="00977ED1" w:rsidRPr="00977ED1" w:rsidRDefault="00EB470F" w:rsidP="00FF1372">
            <w:pPr>
              <w:keepNext/>
              <w:keepLines/>
              <w:ind w:right="113"/>
              <w:jc w:val="right"/>
              <w:rPr>
                <w:rFonts w:ascii="Arial" w:hAnsi="Arial" w:cs="Arial"/>
                <w:sz w:val="18"/>
                <w:szCs w:val="18"/>
              </w:rPr>
            </w:pPr>
            <w:r>
              <w:rPr>
                <w:rFonts w:ascii="Arial" w:hAnsi="Arial" w:cs="Arial"/>
                <w:sz w:val="18"/>
                <w:szCs w:val="18"/>
              </w:rPr>
              <w:t>2,520</w:t>
            </w:r>
          </w:p>
        </w:tc>
        <w:tc>
          <w:tcPr>
            <w:tcW w:w="1123" w:type="dxa"/>
            <w:gridSpan w:val="2"/>
            <w:tcBorders>
              <w:top w:val="nil"/>
              <w:left w:val="nil"/>
              <w:bottom w:val="single" w:sz="4" w:space="0" w:color="auto"/>
              <w:right w:val="nil"/>
            </w:tcBorders>
            <w:shd w:val="pct5" w:color="auto" w:fill="auto"/>
            <w:noWrap/>
            <w:vAlign w:val="bottom"/>
            <w:hideMark/>
          </w:tcPr>
          <w:p w14:paraId="39528290" w14:textId="5B6BC0C4" w:rsidR="00977ED1" w:rsidRPr="00977ED1" w:rsidRDefault="00EB470F" w:rsidP="00FF1372">
            <w:pPr>
              <w:keepNext/>
              <w:keepLines/>
              <w:ind w:right="113"/>
              <w:jc w:val="right"/>
              <w:rPr>
                <w:rFonts w:ascii="Arial" w:hAnsi="Arial" w:cs="Arial"/>
                <w:sz w:val="18"/>
                <w:szCs w:val="18"/>
              </w:rPr>
            </w:pPr>
            <w:r>
              <w:rPr>
                <w:rFonts w:ascii="Arial" w:hAnsi="Arial" w:cs="Arial"/>
                <w:sz w:val="18"/>
                <w:szCs w:val="18"/>
              </w:rPr>
              <w:t>2,615</w:t>
            </w:r>
          </w:p>
        </w:tc>
        <w:tc>
          <w:tcPr>
            <w:tcW w:w="1123" w:type="dxa"/>
            <w:tcBorders>
              <w:top w:val="nil"/>
              <w:left w:val="nil"/>
              <w:bottom w:val="nil"/>
              <w:right w:val="nil"/>
            </w:tcBorders>
            <w:shd w:val="clear" w:color="auto" w:fill="auto"/>
            <w:noWrap/>
            <w:vAlign w:val="bottom"/>
            <w:hideMark/>
          </w:tcPr>
          <w:p w14:paraId="2D679559" w14:textId="25479963" w:rsidR="00977ED1" w:rsidRPr="00977ED1" w:rsidRDefault="000A5C01" w:rsidP="00FF1372">
            <w:pPr>
              <w:keepNext/>
              <w:keepLines/>
              <w:ind w:right="113"/>
              <w:jc w:val="right"/>
              <w:rPr>
                <w:rFonts w:ascii="Arial" w:hAnsi="Arial" w:cs="Arial"/>
                <w:sz w:val="18"/>
                <w:szCs w:val="18"/>
              </w:rPr>
            </w:pPr>
            <w:r>
              <w:rPr>
                <w:rFonts w:ascii="Arial" w:hAnsi="Arial" w:cs="Arial"/>
                <w:sz w:val="18"/>
                <w:szCs w:val="18"/>
              </w:rPr>
              <w:t>8,242</w:t>
            </w:r>
          </w:p>
        </w:tc>
        <w:tc>
          <w:tcPr>
            <w:tcW w:w="906" w:type="dxa"/>
            <w:tcBorders>
              <w:top w:val="nil"/>
              <w:left w:val="nil"/>
              <w:bottom w:val="nil"/>
              <w:right w:val="nil"/>
            </w:tcBorders>
            <w:shd w:val="clear" w:color="auto" w:fill="auto"/>
            <w:noWrap/>
            <w:vAlign w:val="bottom"/>
            <w:hideMark/>
          </w:tcPr>
          <w:p w14:paraId="79D9324C" w14:textId="557C46E7" w:rsidR="00977ED1" w:rsidRPr="00977ED1" w:rsidRDefault="00EB470F" w:rsidP="00FF1372">
            <w:pPr>
              <w:keepNext/>
              <w:keepLines/>
              <w:ind w:right="113"/>
              <w:jc w:val="right"/>
              <w:rPr>
                <w:rFonts w:ascii="Arial" w:hAnsi="Arial" w:cs="Arial"/>
                <w:sz w:val="18"/>
                <w:szCs w:val="18"/>
              </w:rPr>
            </w:pPr>
            <w:r>
              <w:rPr>
                <w:rFonts w:ascii="Arial" w:hAnsi="Arial" w:cs="Arial"/>
                <w:sz w:val="18"/>
                <w:szCs w:val="18"/>
              </w:rPr>
              <w:t>7.6</w:t>
            </w:r>
          </w:p>
        </w:tc>
      </w:tr>
      <w:tr w:rsidR="00B377BC" w:rsidRPr="00FC0F4B" w14:paraId="0B51D9C3" w14:textId="77777777" w:rsidTr="00090EF0">
        <w:trPr>
          <w:trHeight w:val="340"/>
        </w:trPr>
        <w:tc>
          <w:tcPr>
            <w:tcW w:w="3119" w:type="dxa"/>
            <w:tcBorders>
              <w:top w:val="single" w:sz="4" w:space="0" w:color="auto"/>
              <w:left w:val="nil"/>
              <w:bottom w:val="single" w:sz="4" w:space="0" w:color="auto"/>
              <w:right w:val="nil"/>
            </w:tcBorders>
            <w:shd w:val="clear" w:color="auto" w:fill="auto"/>
            <w:noWrap/>
            <w:vAlign w:val="center"/>
            <w:hideMark/>
          </w:tcPr>
          <w:p w14:paraId="5F08E6F2" w14:textId="4BAE73DD" w:rsidR="00B377BC" w:rsidRPr="006B5907" w:rsidRDefault="00B377BC" w:rsidP="006B5907">
            <w:pPr>
              <w:rPr>
                <w:rFonts w:ascii="Arial" w:hAnsi="Arial" w:cs="Arial"/>
                <w:b/>
                <w:bCs/>
                <w:color w:val="0579B9"/>
                <w:sz w:val="18"/>
                <w:szCs w:val="18"/>
                <w:lang w:val="en-AU" w:eastAsia="en-AU"/>
              </w:rPr>
            </w:pPr>
            <w:r w:rsidRPr="006B5907">
              <w:rPr>
                <w:rFonts w:ascii="Arial" w:hAnsi="Arial" w:cs="Arial"/>
                <w:b/>
                <w:bCs/>
                <w:color w:val="0579B9"/>
                <w:sz w:val="18"/>
                <w:szCs w:val="18"/>
                <w:lang w:val="en-AU" w:eastAsia="en-AU"/>
              </w:rPr>
              <w:t>Total</w:t>
            </w:r>
            <w:r w:rsidRPr="006B5907">
              <w:rPr>
                <w:rFonts w:ascii="Arial" w:hAnsi="Arial" w:cs="Arial"/>
                <w:b/>
                <w:bCs/>
                <w:color w:val="0579B9"/>
                <w:sz w:val="18"/>
                <w:szCs w:val="18"/>
                <w:vertAlign w:val="superscript"/>
                <w:lang w:val="en-AU" w:eastAsia="en-AU"/>
              </w:rPr>
              <w:t>(</w:t>
            </w:r>
            <w:r w:rsidR="00162BE2">
              <w:rPr>
                <w:rFonts w:ascii="Arial" w:hAnsi="Arial" w:cs="Arial"/>
                <w:b/>
                <w:bCs/>
                <w:color w:val="0579B9"/>
                <w:sz w:val="18"/>
                <w:szCs w:val="18"/>
                <w:vertAlign w:val="superscript"/>
                <w:lang w:val="en-AU" w:eastAsia="en-AU"/>
              </w:rPr>
              <w:t>e</w:t>
            </w:r>
            <w:r w:rsidRPr="006B5907">
              <w:rPr>
                <w:rFonts w:ascii="Arial" w:hAnsi="Arial" w:cs="Arial"/>
                <w:b/>
                <w:bCs/>
                <w:color w:val="0579B9"/>
                <w:sz w:val="18"/>
                <w:szCs w:val="18"/>
                <w:vertAlign w:val="superscript"/>
                <w:lang w:val="en-AU" w:eastAsia="en-AU"/>
              </w:rPr>
              <w:t>)</w:t>
            </w:r>
          </w:p>
        </w:tc>
        <w:tc>
          <w:tcPr>
            <w:tcW w:w="1122" w:type="dxa"/>
            <w:gridSpan w:val="2"/>
            <w:tcBorders>
              <w:top w:val="single" w:sz="4" w:space="0" w:color="auto"/>
              <w:left w:val="nil"/>
              <w:bottom w:val="single" w:sz="4" w:space="0" w:color="auto"/>
              <w:right w:val="nil"/>
            </w:tcBorders>
            <w:shd w:val="pct5" w:color="auto" w:fill="auto"/>
            <w:noWrap/>
            <w:vAlign w:val="center"/>
            <w:hideMark/>
          </w:tcPr>
          <w:p w14:paraId="7390CCF2" w14:textId="51C7F0FE" w:rsidR="00B377BC" w:rsidRPr="006B5907" w:rsidRDefault="000A5C01" w:rsidP="008269A5">
            <w:pPr>
              <w:keepNext/>
              <w:keepLines/>
              <w:ind w:right="113"/>
              <w:jc w:val="right"/>
              <w:rPr>
                <w:rFonts w:ascii="Arial" w:hAnsi="Arial" w:cs="Arial"/>
                <w:b/>
                <w:bCs/>
                <w:color w:val="0579B9"/>
                <w:sz w:val="18"/>
                <w:szCs w:val="18"/>
                <w:lang w:val="en-AU" w:eastAsia="en-AU"/>
              </w:rPr>
            </w:pPr>
            <w:r>
              <w:rPr>
                <w:rFonts w:ascii="Arial" w:hAnsi="Arial" w:cs="Arial"/>
                <w:b/>
                <w:color w:val="0579B9"/>
                <w:sz w:val="18"/>
                <w:szCs w:val="18"/>
                <w:lang w:val="en-AU" w:eastAsia="en-AU"/>
              </w:rPr>
              <w:t>30,350</w:t>
            </w:r>
          </w:p>
        </w:tc>
        <w:tc>
          <w:tcPr>
            <w:tcW w:w="1123" w:type="dxa"/>
            <w:gridSpan w:val="2"/>
            <w:tcBorders>
              <w:top w:val="single" w:sz="4" w:space="0" w:color="auto"/>
              <w:left w:val="nil"/>
              <w:bottom w:val="single" w:sz="4" w:space="0" w:color="auto"/>
              <w:right w:val="nil"/>
            </w:tcBorders>
            <w:shd w:val="pct5" w:color="auto" w:fill="auto"/>
            <w:noWrap/>
            <w:vAlign w:val="center"/>
            <w:hideMark/>
          </w:tcPr>
          <w:p w14:paraId="1513437F" w14:textId="22E52C06" w:rsidR="00B377BC" w:rsidRPr="006B5907" w:rsidRDefault="00EB470F" w:rsidP="008269A5">
            <w:pPr>
              <w:keepNext/>
              <w:keepLines/>
              <w:ind w:right="113"/>
              <w:jc w:val="right"/>
              <w:rPr>
                <w:rFonts w:ascii="Arial" w:hAnsi="Arial" w:cs="Arial"/>
                <w:b/>
                <w:bCs/>
                <w:color w:val="0579B9"/>
                <w:sz w:val="18"/>
                <w:szCs w:val="18"/>
                <w:lang w:val="en-AU" w:eastAsia="en-AU"/>
              </w:rPr>
            </w:pPr>
            <w:r>
              <w:rPr>
                <w:rFonts w:ascii="Arial" w:hAnsi="Arial" w:cs="Arial"/>
                <w:b/>
                <w:color w:val="0579B9"/>
                <w:sz w:val="18"/>
                <w:szCs w:val="18"/>
                <w:lang w:val="en-AU" w:eastAsia="en-AU"/>
              </w:rPr>
              <w:t>29,435</w:t>
            </w:r>
          </w:p>
        </w:tc>
        <w:tc>
          <w:tcPr>
            <w:tcW w:w="1123" w:type="dxa"/>
            <w:gridSpan w:val="2"/>
            <w:tcBorders>
              <w:top w:val="single" w:sz="4" w:space="0" w:color="auto"/>
              <w:left w:val="nil"/>
              <w:bottom w:val="single" w:sz="4" w:space="0" w:color="auto"/>
              <w:right w:val="nil"/>
            </w:tcBorders>
            <w:shd w:val="pct5" w:color="auto" w:fill="auto"/>
            <w:noWrap/>
            <w:vAlign w:val="center"/>
            <w:hideMark/>
          </w:tcPr>
          <w:p w14:paraId="1F11220D" w14:textId="4CD6B56D" w:rsidR="00B377BC" w:rsidRPr="006B5907" w:rsidRDefault="00EB470F" w:rsidP="008269A5">
            <w:pPr>
              <w:keepNext/>
              <w:keepLines/>
              <w:ind w:right="113"/>
              <w:jc w:val="right"/>
              <w:rPr>
                <w:rFonts w:ascii="Arial" w:hAnsi="Arial" w:cs="Arial"/>
                <w:b/>
                <w:bCs/>
                <w:color w:val="0579B9"/>
                <w:sz w:val="18"/>
                <w:szCs w:val="18"/>
                <w:lang w:val="en-AU" w:eastAsia="en-AU"/>
              </w:rPr>
            </w:pPr>
            <w:r>
              <w:rPr>
                <w:rFonts w:ascii="Arial" w:hAnsi="Arial" w:cs="Arial"/>
                <w:b/>
                <w:color w:val="0579B9"/>
                <w:sz w:val="18"/>
                <w:szCs w:val="18"/>
                <w:lang w:val="en-AU" w:eastAsia="en-AU"/>
              </w:rPr>
              <w:t>26,029</w:t>
            </w:r>
          </w:p>
        </w:tc>
        <w:tc>
          <w:tcPr>
            <w:tcW w:w="1123" w:type="dxa"/>
            <w:gridSpan w:val="2"/>
            <w:tcBorders>
              <w:top w:val="single" w:sz="4" w:space="0" w:color="auto"/>
              <w:left w:val="nil"/>
              <w:bottom w:val="single" w:sz="4" w:space="0" w:color="auto"/>
              <w:right w:val="nil"/>
            </w:tcBorders>
            <w:shd w:val="pct5" w:color="auto" w:fill="auto"/>
            <w:noWrap/>
            <w:vAlign w:val="center"/>
            <w:hideMark/>
          </w:tcPr>
          <w:p w14:paraId="6F540810" w14:textId="63FAE8DE" w:rsidR="00B377BC" w:rsidRPr="006B5907" w:rsidRDefault="00EB470F" w:rsidP="008269A5">
            <w:pPr>
              <w:keepNext/>
              <w:keepLines/>
              <w:ind w:right="113"/>
              <w:jc w:val="right"/>
              <w:rPr>
                <w:rFonts w:ascii="Arial" w:hAnsi="Arial" w:cs="Arial"/>
                <w:b/>
                <w:bCs/>
                <w:color w:val="0579B9"/>
                <w:sz w:val="18"/>
                <w:szCs w:val="18"/>
                <w:lang w:val="en-AU" w:eastAsia="en-AU"/>
              </w:rPr>
            </w:pPr>
            <w:r>
              <w:rPr>
                <w:rFonts w:ascii="Arial" w:hAnsi="Arial" w:cs="Arial"/>
                <w:b/>
                <w:color w:val="0579B9"/>
                <w:sz w:val="18"/>
                <w:szCs w:val="18"/>
                <w:lang w:val="en-AU" w:eastAsia="en-AU"/>
              </w:rPr>
              <w:t>22,733</w:t>
            </w:r>
          </w:p>
        </w:tc>
        <w:tc>
          <w:tcPr>
            <w:tcW w:w="1123" w:type="dxa"/>
            <w:tcBorders>
              <w:top w:val="single" w:sz="4" w:space="0" w:color="auto"/>
              <w:left w:val="nil"/>
              <w:bottom w:val="single" w:sz="4" w:space="0" w:color="auto"/>
              <w:right w:val="nil"/>
            </w:tcBorders>
            <w:shd w:val="clear" w:color="auto" w:fill="FFFFFF" w:themeFill="background1"/>
            <w:noWrap/>
            <w:vAlign w:val="center"/>
            <w:hideMark/>
          </w:tcPr>
          <w:p w14:paraId="05C648A0" w14:textId="2CB430F5" w:rsidR="00B377BC" w:rsidRPr="006B5907" w:rsidRDefault="000A5C01" w:rsidP="008269A5">
            <w:pPr>
              <w:keepNext/>
              <w:keepLines/>
              <w:ind w:right="113"/>
              <w:jc w:val="right"/>
              <w:rPr>
                <w:rFonts w:ascii="Arial" w:hAnsi="Arial" w:cs="Arial"/>
                <w:b/>
                <w:bCs/>
                <w:color w:val="0579B9"/>
                <w:sz w:val="18"/>
                <w:szCs w:val="18"/>
                <w:lang w:val="en-AU" w:eastAsia="en-AU"/>
              </w:rPr>
            </w:pPr>
            <w:r>
              <w:rPr>
                <w:rFonts w:ascii="Arial" w:hAnsi="Arial" w:cs="Arial"/>
                <w:b/>
                <w:color w:val="0579B9"/>
                <w:sz w:val="18"/>
                <w:szCs w:val="18"/>
                <w:lang w:val="en-AU" w:eastAsia="en-AU"/>
              </w:rPr>
              <w:t>108,548</w:t>
            </w:r>
          </w:p>
        </w:tc>
        <w:tc>
          <w:tcPr>
            <w:tcW w:w="906" w:type="dxa"/>
            <w:tcBorders>
              <w:top w:val="single" w:sz="4" w:space="0" w:color="auto"/>
              <w:left w:val="nil"/>
              <w:bottom w:val="single" w:sz="4" w:space="0" w:color="auto"/>
              <w:right w:val="nil"/>
            </w:tcBorders>
            <w:shd w:val="clear" w:color="auto" w:fill="auto"/>
            <w:noWrap/>
            <w:vAlign w:val="center"/>
            <w:hideMark/>
          </w:tcPr>
          <w:p w14:paraId="22DCCA83" w14:textId="27505111" w:rsidR="00B377BC" w:rsidRPr="006B5907" w:rsidRDefault="00B377BC" w:rsidP="008269A5">
            <w:pPr>
              <w:keepNext/>
              <w:keepLines/>
              <w:ind w:right="113"/>
              <w:jc w:val="right"/>
              <w:rPr>
                <w:rFonts w:ascii="Arial" w:hAnsi="Arial" w:cs="Arial"/>
                <w:b/>
                <w:bCs/>
                <w:color w:val="0579B9"/>
                <w:sz w:val="18"/>
                <w:szCs w:val="18"/>
                <w:lang w:val="en-AU" w:eastAsia="en-AU"/>
              </w:rPr>
            </w:pPr>
            <w:r w:rsidRPr="006B5907">
              <w:rPr>
                <w:rFonts w:ascii="Arial" w:hAnsi="Arial" w:cs="Arial"/>
                <w:b/>
                <w:bCs/>
                <w:color w:val="0579B9"/>
                <w:sz w:val="18"/>
                <w:szCs w:val="18"/>
                <w:lang w:val="en-AU" w:eastAsia="en-AU"/>
              </w:rPr>
              <w:t>100</w:t>
            </w:r>
          </w:p>
        </w:tc>
      </w:tr>
    </w:tbl>
    <w:p w14:paraId="16AD9AE0" w14:textId="77777777" w:rsidR="00A33734" w:rsidRPr="00A1397D" w:rsidRDefault="00A33734" w:rsidP="00340805">
      <w:pPr>
        <w:ind w:left="363"/>
        <w:rPr>
          <w:rFonts w:ascii="Calibri" w:hAnsi="Calibri" w:cs="Calibri"/>
          <w:sz w:val="4"/>
        </w:rPr>
      </w:pPr>
    </w:p>
    <w:p w14:paraId="51CDFD33" w14:textId="0FB9D0C8" w:rsidR="00BC6297" w:rsidRPr="00C32AAC" w:rsidRDefault="00BC6297" w:rsidP="00090EF0">
      <w:pPr>
        <w:pStyle w:val="FootnoteText"/>
        <w:spacing w:before="0" w:after="0"/>
        <w:ind w:left="357" w:hanging="357"/>
        <w:rPr>
          <w:rFonts w:ascii="Arial" w:hAnsi="Arial" w:cs="Arial"/>
          <w:i w:val="0"/>
          <w:sz w:val="17"/>
          <w:szCs w:val="17"/>
        </w:rPr>
      </w:pPr>
      <w:r w:rsidRPr="00C32AAC">
        <w:rPr>
          <w:rFonts w:ascii="Arial" w:hAnsi="Arial" w:cs="Arial"/>
          <w:i w:val="0"/>
          <w:sz w:val="17"/>
          <w:szCs w:val="17"/>
        </w:rPr>
        <w:t>Numbers represented in the table are on an eliminated Government Sector basis. This table does not agree with individual agenc</w:t>
      </w:r>
      <w:r w:rsidR="004D058C" w:rsidRPr="00C32AAC">
        <w:rPr>
          <w:rFonts w:ascii="Arial" w:hAnsi="Arial" w:cs="Arial"/>
          <w:i w:val="0"/>
          <w:sz w:val="17"/>
          <w:szCs w:val="17"/>
        </w:rPr>
        <w:t>y</w:t>
      </w:r>
      <w:r w:rsidRPr="00C32AAC">
        <w:rPr>
          <w:rFonts w:ascii="Arial" w:hAnsi="Arial" w:cs="Arial"/>
          <w:i w:val="0"/>
          <w:sz w:val="17"/>
          <w:szCs w:val="17"/>
        </w:rPr>
        <w:t xml:space="preserve"> reporting</w:t>
      </w:r>
      <w:r w:rsidR="002D6F04" w:rsidRPr="00C32AAC">
        <w:rPr>
          <w:rFonts w:ascii="Arial" w:hAnsi="Arial" w:cs="Arial"/>
          <w:i w:val="0"/>
          <w:sz w:val="17"/>
          <w:szCs w:val="17"/>
        </w:rPr>
        <w:t xml:space="preserve"> elsewhere in these Budget Papers</w:t>
      </w:r>
      <w:r w:rsidRPr="00C32AAC">
        <w:rPr>
          <w:rFonts w:ascii="Arial" w:hAnsi="Arial" w:cs="Arial"/>
          <w:i w:val="0"/>
          <w:sz w:val="17"/>
          <w:szCs w:val="17"/>
        </w:rPr>
        <w:t xml:space="preserve"> which is done on a</w:t>
      </w:r>
      <w:r w:rsidR="005D7461" w:rsidRPr="00C32AAC">
        <w:rPr>
          <w:rFonts w:ascii="Arial" w:hAnsi="Arial" w:cs="Arial"/>
          <w:i w:val="0"/>
          <w:sz w:val="17"/>
          <w:szCs w:val="17"/>
        </w:rPr>
        <w:t>n</w:t>
      </w:r>
      <w:r w:rsidRPr="00C32AAC">
        <w:rPr>
          <w:rFonts w:ascii="Arial" w:hAnsi="Arial" w:cs="Arial"/>
          <w:i w:val="0"/>
          <w:sz w:val="17"/>
          <w:szCs w:val="17"/>
        </w:rPr>
        <w:t xml:space="preserve"> uneliminated basis.</w:t>
      </w:r>
    </w:p>
    <w:p w14:paraId="49B515D7" w14:textId="2E293046" w:rsidR="00162BE2" w:rsidRPr="00C32AAC" w:rsidRDefault="004F685D" w:rsidP="00090EF0">
      <w:pPr>
        <w:pStyle w:val="FootnoteText"/>
        <w:spacing w:before="0" w:after="0"/>
        <w:ind w:left="357" w:hanging="357"/>
        <w:rPr>
          <w:rFonts w:ascii="Arial" w:hAnsi="Arial" w:cs="Arial"/>
          <w:i w:val="0"/>
          <w:sz w:val="17"/>
          <w:szCs w:val="17"/>
        </w:rPr>
      </w:pPr>
      <w:r w:rsidRPr="00C32AAC">
        <w:rPr>
          <w:rFonts w:ascii="Arial" w:hAnsi="Arial" w:cs="Arial"/>
          <w:i w:val="0"/>
          <w:sz w:val="17"/>
          <w:szCs w:val="17"/>
        </w:rPr>
        <w:t>Includes Transport PNFC agencies</w:t>
      </w:r>
      <w:r w:rsidR="000D5731" w:rsidRPr="00C32AAC">
        <w:rPr>
          <w:rFonts w:ascii="Arial" w:hAnsi="Arial" w:cs="Arial"/>
          <w:i w:val="0"/>
          <w:sz w:val="17"/>
          <w:szCs w:val="17"/>
        </w:rPr>
        <w:t>.</w:t>
      </w:r>
    </w:p>
    <w:p w14:paraId="062A4216" w14:textId="6E6DD375" w:rsidR="00A33734" w:rsidRPr="00C32AAC" w:rsidRDefault="00A33734" w:rsidP="00090EF0">
      <w:pPr>
        <w:pStyle w:val="FootnoteText"/>
        <w:spacing w:before="0" w:after="0"/>
        <w:ind w:left="357" w:hanging="357"/>
        <w:rPr>
          <w:rFonts w:ascii="Arial" w:hAnsi="Arial" w:cs="Arial"/>
          <w:i w:val="0"/>
          <w:sz w:val="17"/>
          <w:szCs w:val="17"/>
        </w:rPr>
      </w:pPr>
      <w:bookmarkStart w:id="8" w:name="_Hlk515907559"/>
      <w:r w:rsidRPr="00C32AAC">
        <w:rPr>
          <w:rFonts w:ascii="Arial" w:hAnsi="Arial" w:cs="Arial"/>
          <w:i w:val="0"/>
          <w:sz w:val="17"/>
          <w:szCs w:val="17"/>
        </w:rPr>
        <w:t xml:space="preserve">Health </w:t>
      </w:r>
      <w:r w:rsidR="00FD1CB3">
        <w:rPr>
          <w:rFonts w:ascii="Arial" w:hAnsi="Arial" w:cs="Arial"/>
          <w:i w:val="0"/>
          <w:sz w:val="17"/>
          <w:szCs w:val="17"/>
        </w:rPr>
        <w:t>uneliminated</w:t>
      </w:r>
      <w:r w:rsidRPr="00C32AAC">
        <w:rPr>
          <w:rFonts w:ascii="Arial" w:hAnsi="Arial" w:cs="Arial"/>
          <w:i w:val="0"/>
          <w:sz w:val="17"/>
          <w:szCs w:val="17"/>
        </w:rPr>
        <w:t xml:space="preserve"> spending on capital is </w:t>
      </w:r>
      <w:r w:rsidR="00F7369B" w:rsidRPr="00C32AAC">
        <w:rPr>
          <w:rFonts w:ascii="Arial" w:hAnsi="Arial" w:cs="Arial"/>
          <w:i w:val="0"/>
          <w:sz w:val="17"/>
          <w:szCs w:val="17"/>
        </w:rPr>
        <w:t xml:space="preserve">forecast </w:t>
      </w:r>
      <w:r w:rsidRPr="00C32AAC">
        <w:rPr>
          <w:rFonts w:ascii="Arial" w:hAnsi="Arial" w:cs="Arial"/>
          <w:i w:val="0"/>
          <w:sz w:val="17"/>
          <w:szCs w:val="17"/>
        </w:rPr>
        <w:t>to total $</w:t>
      </w:r>
      <w:r w:rsidR="00306249" w:rsidRPr="0093027D">
        <w:rPr>
          <w:rFonts w:ascii="Arial" w:hAnsi="Arial" w:cs="Arial"/>
          <w:i w:val="0"/>
          <w:sz w:val="17"/>
          <w:szCs w:val="17"/>
        </w:rPr>
        <w:t>10.8</w:t>
      </w:r>
      <w:r w:rsidR="003C0365" w:rsidRPr="00C32AAC">
        <w:rPr>
          <w:rFonts w:ascii="Arial" w:hAnsi="Arial" w:cs="Arial"/>
          <w:i w:val="0"/>
          <w:sz w:val="17"/>
          <w:szCs w:val="17"/>
        </w:rPr>
        <w:t xml:space="preserve"> </w:t>
      </w:r>
      <w:r w:rsidRPr="00C32AAC">
        <w:rPr>
          <w:rFonts w:ascii="Arial" w:hAnsi="Arial" w:cs="Arial"/>
          <w:i w:val="0"/>
          <w:sz w:val="17"/>
          <w:szCs w:val="17"/>
        </w:rPr>
        <w:t xml:space="preserve">billion over the four years to </w:t>
      </w:r>
      <w:r w:rsidR="00144F02" w:rsidRPr="00C32AAC">
        <w:rPr>
          <w:rFonts w:ascii="Arial" w:hAnsi="Arial" w:cs="Arial"/>
          <w:i w:val="0"/>
          <w:sz w:val="17"/>
          <w:szCs w:val="17"/>
        </w:rPr>
        <w:t>2024-25</w:t>
      </w:r>
      <w:r w:rsidRPr="00C32AAC">
        <w:rPr>
          <w:rFonts w:ascii="Arial" w:hAnsi="Arial" w:cs="Arial"/>
          <w:i w:val="0"/>
          <w:sz w:val="17"/>
          <w:szCs w:val="17"/>
        </w:rPr>
        <w:t>. Table 1.</w:t>
      </w:r>
      <w:r w:rsidR="00FB6A10" w:rsidRPr="00C32AAC">
        <w:rPr>
          <w:rFonts w:ascii="Arial" w:hAnsi="Arial" w:cs="Arial"/>
          <w:i w:val="0"/>
          <w:sz w:val="17"/>
          <w:szCs w:val="17"/>
        </w:rPr>
        <w:t xml:space="preserve">2 </w:t>
      </w:r>
      <w:r w:rsidRPr="00C32AAC">
        <w:rPr>
          <w:rFonts w:ascii="Arial" w:hAnsi="Arial" w:cs="Arial"/>
          <w:i w:val="0"/>
          <w:sz w:val="17"/>
          <w:szCs w:val="17"/>
        </w:rPr>
        <w:t xml:space="preserve">does not include </w:t>
      </w:r>
      <w:r w:rsidRPr="00E50AE3">
        <w:rPr>
          <w:rFonts w:ascii="Arial" w:hAnsi="Arial" w:cs="Arial"/>
          <w:i w:val="0"/>
          <w:sz w:val="17"/>
          <w:szCs w:val="17"/>
        </w:rPr>
        <w:t>$</w:t>
      </w:r>
      <w:r w:rsidR="006C57FD" w:rsidRPr="00E50AE3">
        <w:rPr>
          <w:rFonts w:ascii="Arial" w:hAnsi="Arial" w:cs="Arial"/>
          <w:i w:val="0"/>
          <w:sz w:val="17"/>
          <w:szCs w:val="17"/>
        </w:rPr>
        <w:t>138.7</w:t>
      </w:r>
      <w:r w:rsidR="0091068C" w:rsidRPr="00C32AAC">
        <w:rPr>
          <w:rFonts w:ascii="Arial" w:hAnsi="Arial" w:cs="Arial"/>
          <w:i w:val="0"/>
          <w:sz w:val="17"/>
          <w:szCs w:val="17"/>
        </w:rPr>
        <w:t> </w:t>
      </w:r>
      <w:r w:rsidRPr="00C32AAC">
        <w:rPr>
          <w:rFonts w:ascii="Arial" w:hAnsi="Arial" w:cs="Arial"/>
          <w:i w:val="0"/>
          <w:sz w:val="17"/>
          <w:szCs w:val="17"/>
        </w:rPr>
        <w:t xml:space="preserve">million in </w:t>
      </w:r>
      <w:r w:rsidR="00144F02" w:rsidRPr="00C32AAC">
        <w:rPr>
          <w:rFonts w:ascii="Arial" w:hAnsi="Arial" w:cs="Arial"/>
          <w:i w:val="0"/>
          <w:sz w:val="17"/>
          <w:szCs w:val="17"/>
        </w:rPr>
        <w:t>2021-22</w:t>
      </w:r>
      <w:r w:rsidRPr="00C32AAC">
        <w:rPr>
          <w:rFonts w:ascii="Arial" w:hAnsi="Arial" w:cs="Arial"/>
          <w:i w:val="0"/>
          <w:sz w:val="17"/>
          <w:szCs w:val="17"/>
        </w:rPr>
        <w:t xml:space="preserve">, </w:t>
      </w:r>
      <w:r w:rsidRPr="00E50AE3">
        <w:rPr>
          <w:rFonts w:ascii="Arial" w:hAnsi="Arial" w:cs="Arial"/>
          <w:i w:val="0"/>
          <w:sz w:val="17"/>
          <w:szCs w:val="17"/>
        </w:rPr>
        <w:t>$</w:t>
      </w:r>
      <w:r w:rsidR="006C57FD" w:rsidRPr="00E50AE3">
        <w:rPr>
          <w:rFonts w:ascii="Arial" w:hAnsi="Arial" w:cs="Arial"/>
          <w:i w:val="0"/>
          <w:sz w:val="17"/>
          <w:szCs w:val="17"/>
        </w:rPr>
        <w:t>104.2</w:t>
      </w:r>
      <w:r w:rsidRPr="00C32AAC">
        <w:rPr>
          <w:rFonts w:ascii="Arial" w:hAnsi="Arial" w:cs="Arial"/>
          <w:i w:val="0"/>
          <w:sz w:val="17"/>
          <w:szCs w:val="17"/>
        </w:rPr>
        <w:t xml:space="preserve"> million in </w:t>
      </w:r>
      <w:r w:rsidR="006C57FD">
        <w:rPr>
          <w:rFonts w:ascii="Arial" w:hAnsi="Arial" w:cs="Arial"/>
          <w:i w:val="0"/>
          <w:sz w:val="17"/>
          <w:szCs w:val="17"/>
        </w:rPr>
        <w:t>2022-23</w:t>
      </w:r>
      <w:r w:rsidRPr="00C32AAC">
        <w:rPr>
          <w:rFonts w:ascii="Arial" w:hAnsi="Arial" w:cs="Arial"/>
          <w:i w:val="0"/>
          <w:sz w:val="17"/>
          <w:szCs w:val="17"/>
        </w:rPr>
        <w:t xml:space="preserve">, </w:t>
      </w:r>
      <w:r w:rsidRPr="00E50AE3">
        <w:rPr>
          <w:rFonts w:ascii="Arial" w:hAnsi="Arial" w:cs="Arial"/>
          <w:i w:val="0"/>
          <w:sz w:val="17"/>
          <w:szCs w:val="17"/>
        </w:rPr>
        <w:t>$</w:t>
      </w:r>
      <w:r w:rsidR="006C57FD" w:rsidRPr="00E50AE3">
        <w:rPr>
          <w:rFonts w:ascii="Arial" w:hAnsi="Arial" w:cs="Arial"/>
          <w:i w:val="0"/>
          <w:sz w:val="17"/>
          <w:szCs w:val="17"/>
        </w:rPr>
        <w:t>94.6</w:t>
      </w:r>
      <w:r w:rsidR="009F2537" w:rsidRPr="00C32AAC">
        <w:rPr>
          <w:rFonts w:ascii="Arial" w:hAnsi="Arial" w:cs="Arial"/>
          <w:i w:val="0"/>
          <w:sz w:val="17"/>
          <w:szCs w:val="17"/>
        </w:rPr>
        <w:t> </w:t>
      </w:r>
      <w:r w:rsidRPr="00C32AAC">
        <w:rPr>
          <w:rFonts w:ascii="Arial" w:hAnsi="Arial" w:cs="Arial"/>
          <w:i w:val="0"/>
          <w:sz w:val="17"/>
          <w:szCs w:val="17"/>
        </w:rPr>
        <w:t xml:space="preserve">million in </w:t>
      </w:r>
      <w:r w:rsidR="00144F02" w:rsidRPr="00C32AAC">
        <w:rPr>
          <w:rFonts w:ascii="Arial" w:hAnsi="Arial" w:cs="Arial"/>
          <w:i w:val="0"/>
          <w:sz w:val="17"/>
          <w:szCs w:val="17"/>
        </w:rPr>
        <w:t>2023-24</w:t>
      </w:r>
      <w:r w:rsidRPr="00C32AAC">
        <w:rPr>
          <w:rFonts w:ascii="Arial" w:hAnsi="Arial" w:cs="Arial"/>
          <w:i w:val="0"/>
          <w:sz w:val="17"/>
          <w:szCs w:val="17"/>
        </w:rPr>
        <w:t xml:space="preserve"> and </w:t>
      </w:r>
      <w:r w:rsidRPr="00E50AE3">
        <w:rPr>
          <w:rFonts w:ascii="Arial" w:hAnsi="Arial" w:cs="Arial"/>
          <w:i w:val="0"/>
          <w:sz w:val="17"/>
          <w:szCs w:val="17"/>
        </w:rPr>
        <w:t>$</w:t>
      </w:r>
      <w:r w:rsidR="006C57FD" w:rsidRPr="00E50AE3">
        <w:rPr>
          <w:rFonts w:ascii="Arial" w:hAnsi="Arial" w:cs="Arial"/>
          <w:i w:val="0"/>
          <w:sz w:val="17"/>
          <w:szCs w:val="17"/>
        </w:rPr>
        <w:t>91.0</w:t>
      </w:r>
      <w:r w:rsidR="009F2537" w:rsidRPr="00C32AAC">
        <w:rPr>
          <w:rFonts w:ascii="Arial" w:hAnsi="Arial" w:cs="Arial"/>
          <w:i w:val="0"/>
          <w:sz w:val="17"/>
          <w:szCs w:val="17"/>
        </w:rPr>
        <w:t xml:space="preserve"> </w:t>
      </w:r>
      <w:r w:rsidRPr="00C32AAC">
        <w:rPr>
          <w:rFonts w:ascii="Arial" w:hAnsi="Arial" w:cs="Arial"/>
          <w:i w:val="0"/>
          <w:sz w:val="17"/>
          <w:szCs w:val="17"/>
        </w:rPr>
        <w:t xml:space="preserve">million in </w:t>
      </w:r>
      <w:r w:rsidR="00144F02" w:rsidRPr="00C32AAC">
        <w:rPr>
          <w:rFonts w:ascii="Arial" w:hAnsi="Arial" w:cs="Arial"/>
          <w:i w:val="0"/>
          <w:sz w:val="17"/>
          <w:szCs w:val="17"/>
        </w:rPr>
        <w:t>2024-25</w:t>
      </w:r>
      <w:r w:rsidRPr="00C32AAC">
        <w:rPr>
          <w:rFonts w:ascii="Arial" w:hAnsi="Arial" w:cs="Arial"/>
          <w:i w:val="0"/>
          <w:sz w:val="17"/>
          <w:szCs w:val="17"/>
        </w:rPr>
        <w:t xml:space="preserve"> for</w:t>
      </w:r>
      <w:r w:rsidR="00577F8B" w:rsidRPr="00C32AAC">
        <w:rPr>
          <w:rFonts w:ascii="Arial" w:hAnsi="Arial" w:cs="Arial"/>
          <w:i w:val="0"/>
          <w:sz w:val="17"/>
          <w:szCs w:val="17"/>
        </w:rPr>
        <w:t xml:space="preserve"> minor capital spending</w:t>
      </w:r>
      <w:r w:rsidRPr="00C32AAC">
        <w:rPr>
          <w:rFonts w:ascii="Arial" w:hAnsi="Arial" w:cs="Arial"/>
          <w:i w:val="0"/>
          <w:sz w:val="17"/>
          <w:szCs w:val="17"/>
        </w:rPr>
        <w:t xml:space="preserve"> </w:t>
      </w:r>
      <w:r w:rsidR="00577F8B" w:rsidRPr="00C32AAC">
        <w:rPr>
          <w:rFonts w:ascii="Arial" w:hAnsi="Arial" w:cs="Arial"/>
          <w:i w:val="0"/>
          <w:sz w:val="17"/>
          <w:szCs w:val="17"/>
        </w:rPr>
        <w:t>for</w:t>
      </w:r>
      <w:r w:rsidRPr="00C32AAC">
        <w:rPr>
          <w:rFonts w:ascii="Arial" w:hAnsi="Arial" w:cs="Arial"/>
          <w:i w:val="0"/>
          <w:sz w:val="17"/>
          <w:szCs w:val="17"/>
        </w:rPr>
        <w:t xml:space="preserve"> the construction of health capital projects which fall below </w:t>
      </w:r>
      <w:r w:rsidR="003E1476" w:rsidRPr="00C32AAC">
        <w:rPr>
          <w:rFonts w:ascii="Arial" w:hAnsi="Arial" w:cs="Arial"/>
          <w:i w:val="0"/>
          <w:sz w:val="17"/>
          <w:szCs w:val="17"/>
        </w:rPr>
        <w:t xml:space="preserve">a </w:t>
      </w:r>
      <w:proofErr w:type="spellStart"/>
      <w:r w:rsidRPr="00C32AAC">
        <w:rPr>
          <w:rFonts w:ascii="Arial" w:hAnsi="Arial" w:cs="Arial"/>
          <w:i w:val="0"/>
          <w:sz w:val="17"/>
          <w:szCs w:val="17"/>
        </w:rPr>
        <w:t>capitalisation</w:t>
      </w:r>
      <w:proofErr w:type="spellEnd"/>
      <w:r w:rsidRPr="00C32AAC">
        <w:rPr>
          <w:rFonts w:ascii="Arial" w:hAnsi="Arial" w:cs="Arial"/>
          <w:i w:val="0"/>
          <w:sz w:val="17"/>
          <w:szCs w:val="17"/>
        </w:rPr>
        <w:t xml:space="preserve"> threshold and </w:t>
      </w:r>
      <w:r w:rsidR="00CB7E00" w:rsidRPr="00C32AAC">
        <w:rPr>
          <w:rFonts w:ascii="Arial" w:hAnsi="Arial" w:cs="Arial"/>
          <w:i w:val="0"/>
          <w:sz w:val="17"/>
          <w:szCs w:val="17"/>
        </w:rPr>
        <w:t xml:space="preserve">are </w:t>
      </w:r>
      <w:r w:rsidRPr="00C32AAC">
        <w:rPr>
          <w:rFonts w:ascii="Arial" w:hAnsi="Arial" w:cs="Arial"/>
          <w:i w:val="0"/>
          <w:sz w:val="17"/>
          <w:szCs w:val="17"/>
        </w:rPr>
        <w:t xml:space="preserve">not </w:t>
      </w:r>
      <w:r w:rsidR="003E1476" w:rsidRPr="00C32AAC">
        <w:rPr>
          <w:rFonts w:ascii="Arial" w:hAnsi="Arial" w:cs="Arial"/>
          <w:i w:val="0"/>
          <w:sz w:val="17"/>
          <w:szCs w:val="17"/>
        </w:rPr>
        <w:t xml:space="preserve">reported </w:t>
      </w:r>
      <w:r w:rsidRPr="00C32AAC">
        <w:rPr>
          <w:rFonts w:ascii="Arial" w:hAnsi="Arial" w:cs="Arial"/>
          <w:i w:val="0"/>
          <w:sz w:val="17"/>
          <w:szCs w:val="17"/>
        </w:rPr>
        <w:t>as capital expenditur</w:t>
      </w:r>
      <w:r w:rsidR="00F7369B" w:rsidRPr="00C32AAC">
        <w:rPr>
          <w:rFonts w:ascii="Arial" w:hAnsi="Arial" w:cs="Arial"/>
          <w:i w:val="0"/>
          <w:sz w:val="17"/>
          <w:szCs w:val="17"/>
        </w:rPr>
        <w:t>e</w:t>
      </w:r>
      <w:r w:rsidR="00F60D11" w:rsidRPr="00C32AAC">
        <w:rPr>
          <w:rFonts w:ascii="Arial" w:hAnsi="Arial" w:cs="Arial"/>
          <w:i w:val="0"/>
          <w:sz w:val="17"/>
          <w:szCs w:val="17"/>
        </w:rPr>
        <w:t>.</w:t>
      </w:r>
      <w:r w:rsidR="00F2086A" w:rsidRPr="00C32AAC">
        <w:rPr>
          <w:rFonts w:ascii="Arial" w:hAnsi="Arial" w:cs="Arial"/>
          <w:i w:val="0"/>
          <w:sz w:val="17"/>
          <w:szCs w:val="17"/>
        </w:rPr>
        <w:t xml:space="preserve"> </w:t>
      </w:r>
    </w:p>
    <w:p w14:paraId="7F7A4260" w14:textId="3B3C6825" w:rsidR="00162BE2" w:rsidRPr="00C32AAC" w:rsidRDefault="00162BE2" w:rsidP="00090EF0">
      <w:pPr>
        <w:pStyle w:val="FootnoteText"/>
        <w:spacing w:before="0" w:after="0"/>
        <w:ind w:left="357" w:hanging="357"/>
        <w:rPr>
          <w:rFonts w:ascii="Arial" w:hAnsi="Arial" w:cs="Arial"/>
          <w:i w:val="0"/>
          <w:sz w:val="17"/>
          <w:szCs w:val="17"/>
        </w:rPr>
      </w:pPr>
      <w:r w:rsidRPr="00C32AAC">
        <w:rPr>
          <w:rFonts w:ascii="Arial" w:hAnsi="Arial" w:cs="Arial"/>
          <w:i w:val="0"/>
          <w:sz w:val="17"/>
          <w:szCs w:val="17"/>
        </w:rPr>
        <w:t xml:space="preserve">Mainly comprises energy, </w:t>
      </w:r>
      <w:proofErr w:type="gramStart"/>
      <w:r w:rsidRPr="00C32AAC">
        <w:rPr>
          <w:rFonts w:ascii="Arial" w:hAnsi="Arial" w:cs="Arial"/>
          <w:i w:val="0"/>
          <w:sz w:val="17"/>
          <w:szCs w:val="17"/>
        </w:rPr>
        <w:t>water</w:t>
      </w:r>
      <w:proofErr w:type="gramEnd"/>
      <w:r w:rsidRPr="00C32AAC">
        <w:rPr>
          <w:rFonts w:ascii="Arial" w:hAnsi="Arial" w:cs="Arial"/>
          <w:i w:val="0"/>
          <w:sz w:val="17"/>
          <w:szCs w:val="17"/>
        </w:rPr>
        <w:t xml:space="preserve"> and property PNFC agencies. </w:t>
      </w:r>
      <w:r w:rsidR="00144F02" w:rsidRPr="00C32AAC">
        <w:rPr>
          <w:rFonts w:ascii="Arial" w:hAnsi="Arial" w:cs="Arial"/>
          <w:i w:val="0"/>
          <w:sz w:val="17"/>
          <w:szCs w:val="17"/>
        </w:rPr>
        <w:t>2021-22</w:t>
      </w:r>
      <w:r w:rsidRPr="00C32AAC">
        <w:rPr>
          <w:rFonts w:ascii="Arial" w:hAnsi="Arial" w:cs="Arial"/>
          <w:i w:val="0"/>
          <w:sz w:val="17"/>
          <w:szCs w:val="17"/>
        </w:rPr>
        <w:t xml:space="preserve"> budgets are set out in Chapter </w:t>
      </w:r>
      <w:r w:rsidR="005E3594">
        <w:rPr>
          <w:rFonts w:ascii="Arial" w:hAnsi="Arial" w:cs="Arial"/>
          <w:i w:val="0"/>
          <w:sz w:val="17"/>
          <w:szCs w:val="17"/>
        </w:rPr>
        <w:t>6</w:t>
      </w:r>
      <w:r w:rsidRPr="00C32AAC">
        <w:rPr>
          <w:rFonts w:ascii="Arial" w:hAnsi="Arial" w:cs="Arial"/>
          <w:i w:val="0"/>
          <w:sz w:val="17"/>
          <w:szCs w:val="17"/>
        </w:rPr>
        <w:t xml:space="preserve">. </w:t>
      </w:r>
    </w:p>
    <w:p w14:paraId="1E36065C" w14:textId="77777777" w:rsidR="00A33734" w:rsidRPr="00C32AAC" w:rsidRDefault="00A33734" w:rsidP="00090EF0">
      <w:pPr>
        <w:pStyle w:val="FootnoteText"/>
        <w:spacing w:before="0" w:after="0"/>
        <w:ind w:left="357" w:hanging="357"/>
        <w:rPr>
          <w:rFonts w:ascii="Arial" w:hAnsi="Arial" w:cs="Arial"/>
          <w:i w:val="0"/>
          <w:sz w:val="17"/>
          <w:szCs w:val="17"/>
        </w:rPr>
      </w:pPr>
      <w:r w:rsidRPr="00C32AAC">
        <w:rPr>
          <w:rFonts w:ascii="Arial" w:hAnsi="Arial" w:cs="Arial"/>
          <w:i w:val="0"/>
          <w:sz w:val="17"/>
          <w:szCs w:val="17"/>
        </w:rPr>
        <w:t>Spending excludes capital expenditure by public financial corporations.</w:t>
      </w:r>
    </w:p>
    <w:bookmarkEnd w:id="8"/>
    <w:p w14:paraId="5F5BB779" w14:textId="052F9C26" w:rsidR="00427F40" w:rsidRPr="00146FA1" w:rsidRDefault="00427F40" w:rsidP="007C03A6">
      <w:pPr>
        <w:pStyle w:val="Heading2"/>
      </w:pPr>
      <w:r w:rsidRPr="0018124B">
        <w:t>Funding</w:t>
      </w:r>
      <w:r w:rsidRPr="00146FA1">
        <w:t xml:space="preserve"> </w:t>
      </w:r>
      <w:r w:rsidR="00E41F59" w:rsidRPr="00146FA1">
        <w:t xml:space="preserve">the </w:t>
      </w:r>
      <w:r w:rsidR="00F2326F" w:rsidRPr="00146FA1">
        <w:t>d</w:t>
      </w:r>
      <w:r w:rsidR="00E41F59" w:rsidRPr="00146FA1">
        <w:t xml:space="preserve">elivery of </w:t>
      </w:r>
      <w:r w:rsidR="00F2326F" w:rsidRPr="00146FA1">
        <w:t>i</w:t>
      </w:r>
      <w:r w:rsidR="00E41F59" w:rsidRPr="00146FA1">
        <w:t>nfrastructure</w:t>
      </w:r>
      <w:bookmarkEnd w:id="7"/>
      <w:r w:rsidR="006F102C" w:rsidRPr="00146FA1">
        <w:t xml:space="preserve"> </w:t>
      </w:r>
    </w:p>
    <w:p w14:paraId="5C9A8BD9" w14:textId="0B114461" w:rsidR="00427F40" w:rsidRPr="00A1397D" w:rsidRDefault="00427F40">
      <w:pPr>
        <w:pStyle w:val="BodyText"/>
      </w:pPr>
      <w:r w:rsidRPr="00A1397D">
        <w:t xml:space="preserve">The State’s capital program </w:t>
      </w:r>
      <w:r w:rsidR="00D00EC0" w:rsidRPr="00A1397D">
        <w:t>of</w:t>
      </w:r>
      <w:r w:rsidRPr="00A1397D">
        <w:t xml:space="preserve"> </w:t>
      </w:r>
      <w:r w:rsidRPr="001F7564">
        <w:t>$</w:t>
      </w:r>
      <w:r w:rsidR="00AD7C1F" w:rsidRPr="001F7564">
        <w:t>108.5</w:t>
      </w:r>
      <w:r w:rsidRPr="00A1397D">
        <w:t xml:space="preserve"> billion over four years to </w:t>
      </w:r>
      <w:r w:rsidR="00B7091D">
        <w:t>2024-25</w:t>
      </w:r>
      <w:r w:rsidRPr="00A1397D">
        <w:t xml:space="preserve"> is funded </w:t>
      </w:r>
      <w:r w:rsidR="00E60A59">
        <w:t>by a range of sources including</w:t>
      </w:r>
      <w:r w:rsidRPr="00A1397D">
        <w:t>:</w:t>
      </w:r>
    </w:p>
    <w:p w14:paraId="2FF3FD71" w14:textId="7B997F61" w:rsidR="00427F40" w:rsidRPr="00A1397D" w:rsidRDefault="13FA3603" w:rsidP="00E50AE3">
      <w:pPr>
        <w:pStyle w:val="Bullet1"/>
      </w:pPr>
      <w:r>
        <w:t>St</w:t>
      </w:r>
      <w:r w:rsidR="00427F40">
        <w:t xml:space="preserve">ate </w:t>
      </w:r>
      <w:r w:rsidR="00B34EC7">
        <w:t>funding</w:t>
      </w:r>
      <w:r w:rsidR="00427F40">
        <w:t xml:space="preserve">, </w:t>
      </w:r>
      <w:r w:rsidR="00427F40" w:rsidRPr="00090EF0">
        <w:t>comprising</w:t>
      </w:r>
      <w:r w:rsidR="00427F40">
        <w:t>:</w:t>
      </w:r>
    </w:p>
    <w:p w14:paraId="3E4EAA53" w14:textId="4AE05A70" w:rsidR="00427F40" w:rsidRPr="00D7033D" w:rsidRDefault="00B34EC7" w:rsidP="00090EF0">
      <w:pPr>
        <w:pStyle w:val="Bullet2"/>
      </w:pPr>
      <w:r>
        <w:t xml:space="preserve">State sources including </w:t>
      </w:r>
      <w:r w:rsidR="00427F40" w:rsidRPr="00D7033D">
        <w:t>taxation, other own-source State revenues and borrowings ($</w:t>
      </w:r>
      <w:r w:rsidR="00717E4E" w:rsidRPr="00D7033D">
        <w:t>77.</w:t>
      </w:r>
      <w:r w:rsidR="00B36276">
        <w:t>3</w:t>
      </w:r>
      <w:r w:rsidR="00427F40" w:rsidRPr="00D7033D">
        <w:t xml:space="preserve"> billion)</w:t>
      </w:r>
    </w:p>
    <w:p w14:paraId="535924A2" w14:textId="652BE34A" w:rsidR="00E10B0D" w:rsidRPr="00D7033D" w:rsidRDefault="00427F40" w:rsidP="00090EF0">
      <w:pPr>
        <w:pStyle w:val="Bullet2"/>
      </w:pPr>
      <w:r w:rsidRPr="00D7033D">
        <w:t>Restart NSW (including the Rebuilding NSW plan)</w:t>
      </w:r>
      <w:r w:rsidR="003B3994" w:rsidRPr="00D7033D">
        <w:t xml:space="preserve"> and Snowy Hydro Legacy Fund</w:t>
      </w:r>
      <w:r w:rsidRPr="00D7033D">
        <w:t xml:space="preserve"> </w:t>
      </w:r>
      <w:r w:rsidR="00A412BB" w:rsidRPr="00D7033D">
        <w:t xml:space="preserve">which </w:t>
      </w:r>
      <w:r w:rsidR="00D249E2" w:rsidRPr="00D7033D">
        <w:t>encompass</w:t>
      </w:r>
      <w:r w:rsidRPr="00D7033D">
        <w:t xml:space="preserve"> asset recycling proceeds, windfall tax revenues and the issuing of Waratah Bonds ($</w:t>
      </w:r>
      <w:r w:rsidR="00CB1C7E" w:rsidRPr="00D7033D">
        <w:t>5.3</w:t>
      </w:r>
      <w:r w:rsidRPr="00D7033D">
        <w:t xml:space="preserve"> billion</w:t>
      </w:r>
      <w:r w:rsidR="00EF299C">
        <w:t>)</w:t>
      </w:r>
      <w:r w:rsidR="00590FEC">
        <w:rPr>
          <w:rStyle w:val="FootnoteReference"/>
        </w:rPr>
        <w:footnoteReference w:id="5"/>
      </w:r>
      <w:r w:rsidR="00EF299C">
        <w:t>.</w:t>
      </w:r>
    </w:p>
    <w:p w14:paraId="0647C5F0" w14:textId="09246660" w:rsidR="00427F40" w:rsidRPr="00D7033D" w:rsidRDefault="00427F40" w:rsidP="00090EF0">
      <w:pPr>
        <w:pStyle w:val="Bullet1"/>
      </w:pPr>
      <w:r w:rsidRPr="00D7033D">
        <w:t xml:space="preserve">Public non-financial corporations (PNFC) </w:t>
      </w:r>
      <w:r w:rsidR="00110DA1" w:rsidRPr="00D7033D">
        <w:t>sources</w:t>
      </w:r>
      <w:r w:rsidRPr="00D7033D">
        <w:t xml:space="preserve"> (including from </w:t>
      </w:r>
      <w:r w:rsidR="00110DA1" w:rsidRPr="00D7033D">
        <w:t>own source revenue,</w:t>
      </w:r>
      <w:r w:rsidRPr="00D7033D">
        <w:t xml:space="preserve"> equity, retained earnings and borrowings) ($</w:t>
      </w:r>
      <w:r w:rsidR="00B1451C" w:rsidRPr="00D7033D">
        <w:t>14.2</w:t>
      </w:r>
      <w:r w:rsidRPr="00D7033D">
        <w:t> billion)</w:t>
      </w:r>
    </w:p>
    <w:p w14:paraId="600AC19C" w14:textId="54783835" w:rsidR="001E1BBD" w:rsidRPr="00D7033D" w:rsidRDefault="00427F40" w:rsidP="00090EF0">
      <w:pPr>
        <w:pStyle w:val="Bullet1"/>
      </w:pPr>
      <w:r w:rsidRPr="00D7033D">
        <w:t>Commonwealth Government grants ($</w:t>
      </w:r>
      <w:r w:rsidR="00B1451C" w:rsidRPr="00D7033D">
        <w:t>11.7</w:t>
      </w:r>
      <w:r w:rsidR="004171BF" w:rsidRPr="00D7033D">
        <w:t xml:space="preserve"> </w:t>
      </w:r>
      <w:r w:rsidRPr="00D7033D">
        <w:t>billion).</w:t>
      </w:r>
    </w:p>
    <w:p w14:paraId="78DF755C" w14:textId="409418D9" w:rsidR="00EA3847" w:rsidRDefault="00EA3847">
      <w:pPr>
        <w:rPr>
          <w:rFonts w:ascii="Calibri" w:hAnsi="Calibri" w:cs="Calibri"/>
          <w:sz w:val="23"/>
          <w:lang w:val="en-AU"/>
        </w:rPr>
      </w:pPr>
      <w:r>
        <w:br w:type="page"/>
      </w:r>
    </w:p>
    <w:p w14:paraId="53A39117" w14:textId="2F53070A" w:rsidR="008A4460" w:rsidRPr="00C9465F" w:rsidRDefault="00D63372" w:rsidP="00C9465F">
      <w:pPr>
        <w:pStyle w:val="Chart1X"/>
        <w:ind w:left="1247" w:hanging="1247"/>
        <w:rPr>
          <w:lang w:val="en-AU" w:eastAsia="en-AU"/>
        </w:rPr>
      </w:pPr>
      <w:r w:rsidRPr="00C9465F">
        <w:rPr>
          <w:lang w:val="en-AU" w:eastAsia="en-AU"/>
        </w:rPr>
        <w:t xml:space="preserve">Summary of capital expenditure and funding sources </w:t>
      </w:r>
      <w:r w:rsidR="43E94609" w:rsidRPr="00C9465F">
        <w:rPr>
          <w:lang w:val="en-AU" w:eastAsia="en-AU"/>
        </w:rPr>
        <w:t xml:space="preserve">– </w:t>
      </w:r>
      <w:r w:rsidR="00B7091D" w:rsidRPr="00C9465F">
        <w:rPr>
          <w:lang w:val="en-AU" w:eastAsia="en-AU"/>
        </w:rPr>
        <w:t xml:space="preserve">2021-22 to 2024-25 </w:t>
      </w:r>
    </w:p>
    <w:p w14:paraId="5FBE8702" w14:textId="1328A198" w:rsidR="00B11B15" w:rsidRPr="00B11B15" w:rsidRDefault="00B11B15" w:rsidP="00B83055">
      <w:pPr>
        <w:rPr>
          <w:lang w:val="en-AU" w:eastAsia="en-AU"/>
        </w:rPr>
      </w:pPr>
    </w:p>
    <w:p w14:paraId="72037FF0" w14:textId="49E48055" w:rsidR="00D31C84" w:rsidRPr="00B11B15" w:rsidRDefault="00D24710" w:rsidP="00B83055">
      <w:pPr>
        <w:rPr>
          <w:lang w:val="en-AU" w:eastAsia="en-AU"/>
        </w:rPr>
      </w:pPr>
      <w:r>
        <w:rPr>
          <w:noProof/>
        </w:rPr>
        <w:drawing>
          <wp:inline distT="0" distB="0" distL="0" distR="0" wp14:anchorId="5E1C240E" wp14:editId="7BA83791">
            <wp:extent cx="6076950" cy="3248025"/>
            <wp:effectExtent l="0" t="0" r="0" b="0"/>
            <wp:docPr id="1" name="Chart 1" descr="Chart 1.2:  Summary of capital expenditure and funding sources – 2021-22 to 2024-25 ">
              <a:extLst xmlns:a="http://schemas.openxmlformats.org/drawingml/2006/main">
                <a:ext uri="{FF2B5EF4-FFF2-40B4-BE49-F238E27FC236}">
                  <a16:creationId xmlns:a16="http://schemas.microsoft.com/office/drawing/2014/main" id="{80ABC59F-7BEA-48ED-A15F-593B673FDA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BBE7FF0" w14:textId="77777777" w:rsidR="00E32655" w:rsidRDefault="00E32655" w:rsidP="00E32655"/>
    <w:p w14:paraId="181AE7E1" w14:textId="43E38DAA" w:rsidR="00427F40" w:rsidRPr="00A1397D" w:rsidRDefault="00427F40">
      <w:pPr>
        <w:pStyle w:val="BodyText"/>
      </w:pPr>
      <w:r w:rsidRPr="00BE2C1A">
        <w:t>As shown in Chart 1.</w:t>
      </w:r>
      <w:r w:rsidR="00532EDF" w:rsidRPr="00BE2C1A">
        <w:t>2</w:t>
      </w:r>
      <w:r w:rsidRPr="00BE2C1A">
        <w:t xml:space="preserve">, the capital program </w:t>
      </w:r>
      <w:r w:rsidR="0040749C" w:rsidRPr="00BE2C1A">
        <w:t xml:space="preserve">comprises </w:t>
      </w:r>
      <w:r w:rsidRPr="00BE2C1A">
        <w:t>$</w:t>
      </w:r>
      <w:r w:rsidR="00B1451C" w:rsidRPr="00BE2C1A">
        <w:t>85.6</w:t>
      </w:r>
      <w:r w:rsidRPr="00BE2C1A">
        <w:t xml:space="preserve"> billion from the general government sector and $</w:t>
      </w:r>
      <w:r w:rsidR="00B1451C" w:rsidRPr="00BE2C1A">
        <w:t>22.9</w:t>
      </w:r>
      <w:r w:rsidRPr="00BE2C1A">
        <w:t> billion from the PNFC sector.</w:t>
      </w:r>
    </w:p>
    <w:p w14:paraId="5B3E5B3C" w14:textId="456E7F28" w:rsidR="00427F40" w:rsidRPr="00A1397D" w:rsidRDefault="00427F40">
      <w:pPr>
        <w:pStyle w:val="BodyText"/>
      </w:pPr>
      <w:r w:rsidRPr="00BE2C1A">
        <w:t xml:space="preserve">State </w:t>
      </w:r>
      <w:r w:rsidR="00045A6D" w:rsidRPr="00BE2C1A">
        <w:t>sources</w:t>
      </w:r>
      <w:r w:rsidRPr="00BE2C1A">
        <w:t xml:space="preserve"> </w:t>
      </w:r>
      <w:r w:rsidR="00B94CA2" w:rsidRPr="00BE2C1A">
        <w:t>are</w:t>
      </w:r>
      <w:r w:rsidRPr="00BE2C1A">
        <w:t xml:space="preserve"> expected to be the largest funding source for capital expenditure</w:t>
      </w:r>
      <w:r w:rsidR="002B27FF" w:rsidRPr="00BE2C1A">
        <w:t>, totalling</w:t>
      </w:r>
      <w:r w:rsidRPr="00BE2C1A">
        <w:t xml:space="preserve"> $</w:t>
      </w:r>
      <w:r w:rsidR="00233987" w:rsidRPr="00BE2C1A">
        <w:t>77.</w:t>
      </w:r>
      <w:r w:rsidR="00DD06B9">
        <w:t>3</w:t>
      </w:r>
      <w:r w:rsidRPr="00BE2C1A">
        <w:t xml:space="preserve"> billion over the four years to </w:t>
      </w:r>
      <w:r w:rsidR="00F06407" w:rsidRPr="00BE2C1A">
        <w:t>2024-25.</w:t>
      </w:r>
    </w:p>
    <w:p w14:paraId="0F458AE3" w14:textId="3C8426CD" w:rsidR="003677C3" w:rsidRDefault="00427F40">
      <w:pPr>
        <w:pStyle w:val="BodyText"/>
        <w:rPr>
          <w:b/>
          <w:kern w:val="28"/>
          <w:sz w:val="28"/>
          <w:szCs w:val="36"/>
        </w:rPr>
      </w:pPr>
      <w:r w:rsidRPr="00CE7695">
        <w:t>Commonwealth Government funding comprises infrastructure grants for specific projects and accounts for $</w:t>
      </w:r>
      <w:r w:rsidR="00AF6E5C" w:rsidRPr="00CE7695">
        <w:t>11.7</w:t>
      </w:r>
      <w:r w:rsidRPr="00CE7695">
        <w:t xml:space="preserve"> billion, or </w:t>
      </w:r>
      <w:r w:rsidR="00AF6E5C" w:rsidRPr="00CE7695">
        <w:t>10.8</w:t>
      </w:r>
      <w:r w:rsidR="00F06407" w:rsidRPr="00CE7695">
        <w:t xml:space="preserve"> </w:t>
      </w:r>
      <w:r w:rsidRPr="00CE7695">
        <w:t>per cent, of the capital program. PNFC own-source funding is $</w:t>
      </w:r>
      <w:r w:rsidR="00AF6E5C" w:rsidRPr="00CE7695">
        <w:t>14.2</w:t>
      </w:r>
      <w:r w:rsidRPr="00CE7695">
        <w:t xml:space="preserve"> billion, or </w:t>
      </w:r>
      <w:r w:rsidR="00AF6E5C" w:rsidRPr="00CE7695">
        <w:t>13.1</w:t>
      </w:r>
      <w:r w:rsidR="00E347ED" w:rsidRPr="00CE7695">
        <w:t xml:space="preserve"> </w:t>
      </w:r>
      <w:r w:rsidRPr="00CE7695">
        <w:t>per cent of the capital program.</w:t>
      </w:r>
    </w:p>
    <w:p w14:paraId="780696D4" w14:textId="46D90946" w:rsidR="007D6809" w:rsidRPr="00736BB2" w:rsidRDefault="007D6809" w:rsidP="007D6809">
      <w:pPr>
        <w:pStyle w:val="Heading3"/>
      </w:pPr>
      <w:r w:rsidRPr="00736BB2">
        <w:t>State funding</w:t>
      </w:r>
    </w:p>
    <w:p w14:paraId="23461A6B" w14:textId="7EFD7B31" w:rsidR="00EA3847" w:rsidRDefault="007D6809" w:rsidP="00492E0D">
      <w:pPr>
        <w:pStyle w:val="BodyText"/>
      </w:pPr>
      <w:r w:rsidRPr="003D1E88">
        <w:t xml:space="preserve">The </w:t>
      </w:r>
      <w:r w:rsidR="00C9465F">
        <w:t>total s</w:t>
      </w:r>
      <w:r w:rsidRPr="003D1E88">
        <w:t>tate funded program</w:t>
      </w:r>
      <w:r w:rsidR="00C9465F">
        <w:t xml:space="preserve">, comprising </w:t>
      </w:r>
      <w:r w:rsidR="00EA66A6">
        <w:t>s</w:t>
      </w:r>
      <w:r w:rsidR="00C9465F">
        <w:t>tate sources</w:t>
      </w:r>
      <w:r w:rsidRPr="003D1E88">
        <w:t xml:space="preserve"> </w:t>
      </w:r>
      <w:r w:rsidR="00C9465F">
        <w:t xml:space="preserve">and Restart NSW, </w:t>
      </w:r>
      <w:r w:rsidRPr="003D1E88">
        <w:t>is</w:t>
      </w:r>
      <w:r w:rsidR="00C9465F">
        <w:t xml:space="preserve"> forecast to be</w:t>
      </w:r>
      <w:r w:rsidRPr="003D1E88">
        <w:t xml:space="preserve"> $</w:t>
      </w:r>
      <w:r w:rsidR="00DF0795" w:rsidRPr="003D1E88">
        <w:t>82.6</w:t>
      </w:r>
      <w:r w:rsidRPr="003D1E88">
        <w:t xml:space="preserve"> billion over the four years to </w:t>
      </w:r>
      <w:r w:rsidR="00F06407" w:rsidRPr="003D1E88">
        <w:t>2024-25</w:t>
      </w:r>
      <w:r w:rsidR="006F7476" w:rsidRPr="003D1E88">
        <w:t xml:space="preserve">. </w:t>
      </w:r>
      <w:r w:rsidR="00AA7839">
        <w:t xml:space="preserve">This is driven </w:t>
      </w:r>
      <w:r w:rsidRPr="003D1E88">
        <w:t xml:space="preserve">by </w:t>
      </w:r>
      <w:r w:rsidR="00F17AFD" w:rsidRPr="003D1E88">
        <w:t>the Government’s</w:t>
      </w:r>
      <w:r w:rsidRPr="003D1E88">
        <w:t xml:space="preserve"> </w:t>
      </w:r>
      <w:r w:rsidR="00F17AFD" w:rsidRPr="003D1E88">
        <w:t>significant</w:t>
      </w:r>
      <w:r w:rsidR="00F139BF" w:rsidRPr="003D1E88">
        <w:t xml:space="preserve"> investment in </w:t>
      </w:r>
      <w:r w:rsidR="00D47BCF" w:rsidRPr="003D1E88">
        <w:t xml:space="preserve">new and upgraded schools, </w:t>
      </w:r>
      <w:r w:rsidR="00F17AFD" w:rsidRPr="003D1E88">
        <w:t>hospitals, road and transport networks</w:t>
      </w:r>
      <w:r w:rsidR="001F37C1" w:rsidRPr="003D1E88">
        <w:t xml:space="preserve"> and</w:t>
      </w:r>
      <w:r w:rsidR="00F17AFD" w:rsidRPr="003D1E88">
        <w:t xml:space="preserve"> emergency services </w:t>
      </w:r>
      <w:r w:rsidR="001F37C1" w:rsidRPr="003D1E88">
        <w:t xml:space="preserve">and cultural </w:t>
      </w:r>
      <w:r w:rsidR="00F17AFD" w:rsidRPr="003D1E88">
        <w:t>infrastructure</w:t>
      </w:r>
      <w:r w:rsidR="001F37C1" w:rsidRPr="003D1E88">
        <w:t>.</w:t>
      </w:r>
      <w:r w:rsidR="001F37C1">
        <w:t xml:space="preserve"> </w:t>
      </w:r>
    </w:p>
    <w:p w14:paraId="0CDEF634" w14:textId="0CB1FD11" w:rsidR="00492E0D" w:rsidRDefault="00492E0D" w:rsidP="00492E0D">
      <w:pPr>
        <w:pStyle w:val="BodyText"/>
      </w:pPr>
      <w:r>
        <w:br w:type="page"/>
      </w:r>
    </w:p>
    <w:p w14:paraId="26AC0F54" w14:textId="5C3ED80A" w:rsidR="00427F40" w:rsidRPr="00F71A50" w:rsidRDefault="00427F40" w:rsidP="00427F40">
      <w:pPr>
        <w:pStyle w:val="Heading3"/>
      </w:pPr>
      <w:r w:rsidRPr="00BE0412">
        <w:t>Commonwealth</w:t>
      </w:r>
      <w:r w:rsidRPr="00F71A50">
        <w:t xml:space="preserve"> Government funding</w:t>
      </w:r>
    </w:p>
    <w:p w14:paraId="3CF1CF69" w14:textId="7499D001" w:rsidR="001F53ED" w:rsidRDefault="56081879">
      <w:pPr>
        <w:pStyle w:val="BodyText"/>
      </w:pPr>
      <w:r w:rsidRPr="003D1E88">
        <w:t>The</w:t>
      </w:r>
      <w:r w:rsidR="00427F40" w:rsidRPr="003D1E88">
        <w:t xml:space="preserve"> Commonwealth Government will contribute $</w:t>
      </w:r>
      <w:r w:rsidR="001E0736" w:rsidRPr="003D1E88">
        <w:t>11.7</w:t>
      </w:r>
      <w:r w:rsidR="00427F40" w:rsidRPr="003D1E88">
        <w:t xml:space="preserve"> billion to the </w:t>
      </w:r>
      <w:r w:rsidR="00041BAA">
        <w:t>NSW</w:t>
      </w:r>
      <w:r w:rsidR="00427F40" w:rsidRPr="003D1E88">
        <w:t xml:space="preserve"> </w:t>
      </w:r>
      <w:r w:rsidR="007678FF" w:rsidRPr="003D1E88">
        <w:t xml:space="preserve">infrastructure </w:t>
      </w:r>
      <w:r w:rsidR="00427F40" w:rsidRPr="003D1E88">
        <w:t xml:space="preserve">program over the four years to </w:t>
      </w:r>
      <w:r w:rsidR="00F06407" w:rsidRPr="003D1E88">
        <w:t>2024-25</w:t>
      </w:r>
      <w:r w:rsidR="00427F40" w:rsidRPr="003D1E88">
        <w:t>. Chart 1.</w:t>
      </w:r>
      <w:r w:rsidR="001C3D67" w:rsidRPr="003D1E88">
        <w:t>3</w:t>
      </w:r>
      <w:r w:rsidR="00427F40" w:rsidRPr="003D1E88">
        <w:t xml:space="preserve"> shows the Commonwealth</w:t>
      </w:r>
      <w:r w:rsidR="118E1421" w:rsidRPr="003D1E88">
        <w:t>’s</w:t>
      </w:r>
      <w:r w:rsidR="00427F40" w:rsidRPr="003D1E88">
        <w:t xml:space="preserve"> contribution </w:t>
      </w:r>
      <w:r w:rsidR="009012A8" w:rsidRPr="003D1E88">
        <w:t>as a proportion of the total state capital program</w:t>
      </w:r>
      <w:r w:rsidR="00427F40" w:rsidRPr="003D1E88">
        <w:t xml:space="preserve"> over the years </w:t>
      </w:r>
      <w:r w:rsidR="00F06407" w:rsidRPr="003D1E88">
        <w:t>2013-14</w:t>
      </w:r>
      <w:r w:rsidR="00427F40" w:rsidRPr="003D1E88">
        <w:t xml:space="preserve"> to </w:t>
      </w:r>
      <w:r w:rsidR="00F06407" w:rsidRPr="003D1E88">
        <w:t>2024-25</w:t>
      </w:r>
      <w:r w:rsidR="00427F40" w:rsidRPr="003D1E88">
        <w:t>.</w:t>
      </w:r>
      <w:r w:rsidR="00427F40" w:rsidRPr="00A1397D">
        <w:t xml:space="preserve"> </w:t>
      </w:r>
    </w:p>
    <w:p w14:paraId="78E44105" w14:textId="1C4C0CEF" w:rsidR="009712E5" w:rsidRPr="00296A7B" w:rsidRDefault="00427F40" w:rsidP="0020619A">
      <w:pPr>
        <w:pStyle w:val="Chart1X"/>
      </w:pPr>
      <w:r w:rsidRPr="00296A7B">
        <w:t xml:space="preserve">Commonwealth </w:t>
      </w:r>
      <w:r w:rsidR="00345663" w:rsidRPr="00296A7B">
        <w:t xml:space="preserve">contribution to the State </w:t>
      </w:r>
      <w:r w:rsidR="00D16283" w:rsidRPr="00296A7B">
        <w:t>c</w:t>
      </w:r>
      <w:r w:rsidR="00345663" w:rsidRPr="00296A7B">
        <w:t xml:space="preserve">apital </w:t>
      </w:r>
      <w:r w:rsidR="00D16283" w:rsidRPr="00296A7B">
        <w:t>p</w:t>
      </w:r>
      <w:r w:rsidR="00345663" w:rsidRPr="00296A7B">
        <w:t>rogram</w:t>
      </w:r>
      <w:r w:rsidR="007910D4" w:rsidRPr="00296A7B">
        <w:t xml:space="preserve"> </w:t>
      </w:r>
      <w:r w:rsidR="00063387" w:rsidRPr="00296A7B">
        <w:t xml:space="preserve">2013-14 to 2024-25 </w:t>
      </w:r>
    </w:p>
    <w:p w14:paraId="7CCD0D11" w14:textId="5C5C79C8" w:rsidR="00F72A51" w:rsidRPr="00A1397D" w:rsidRDefault="00EF3C54" w:rsidP="00E25F50">
      <w:pPr>
        <w:jc w:val="center"/>
      </w:pPr>
      <w:r>
        <w:rPr>
          <w:noProof/>
        </w:rPr>
        <w:drawing>
          <wp:inline distT="0" distB="0" distL="0" distR="0" wp14:anchorId="62B8CF5C" wp14:editId="39960E6C">
            <wp:extent cx="6120765" cy="2510155"/>
            <wp:effectExtent l="0" t="0" r="13335" b="4445"/>
            <wp:docPr id="4" name="Chart 4" descr="Chart 1.3: Commonwealth contribution to the State capital program 2013-14 to 2024-25 ">
              <a:extLst xmlns:a="http://schemas.openxmlformats.org/drawingml/2006/main">
                <a:ext uri="{FF2B5EF4-FFF2-40B4-BE49-F238E27FC236}">
                  <a16:creationId xmlns:a16="http://schemas.microsoft.com/office/drawing/2014/main" id="{95B39CB4-E69F-4E07-82DA-7A3ACFDC93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61CC78D" w14:textId="1F3E2B11" w:rsidR="006800CF" w:rsidRDefault="001F53ED" w:rsidP="00D5463E">
      <w:pPr>
        <w:pStyle w:val="BodyText"/>
      </w:pPr>
      <w:bookmarkStart w:id="9" w:name="_Hlk514421774"/>
      <w:r>
        <w:t xml:space="preserve">The </w:t>
      </w:r>
      <w:r w:rsidR="00BB1A2B">
        <w:t>2021-22</w:t>
      </w:r>
      <w:r>
        <w:t xml:space="preserve"> Commonwealth Budget included </w:t>
      </w:r>
      <w:r w:rsidR="00C30362">
        <w:t>over $3</w:t>
      </w:r>
      <w:r w:rsidR="00AF3F84">
        <w:t>.0</w:t>
      </w:r>
      <w:r w:rsidR="00C30362">
        <w:t xml:space="preserve"> billion in </w:t>
      </w:r>
      <w:r w:rsidR="00010D40">
        <w:t xml:space="preserve">new </w:t>
      </w:r>
      <w:r w:rsidR="00C30362">
        <w:t xml:space="preserve">funding for </w:t>
      </w:r>
      <w:r w:rsidR="00EE4AC8">
        <w:t>New South Wales</w:t>
      </w:r>
      <w:r w:rsidR="00C30362">
        <w:t xml:space="preserve"> road </w:t>
      </w:r>
      <w:r w:rsidR="00566FE4">
        <w:t xml:space="preserve">upgrades </w:t>
      </w:r>
      <w:r w:rsidR="007529BF">
        <w:t>including the</w:t>
      </w:r>
      <w:r w:rsidR="00EE4AC8">
        <w:t xml:space="preserve"> </w:t>
      </w:r>
      <w:r w:rsidR="002269E9">
        <w:t>Great Western Highwa</w:t>
      </w:r>
      <w:r w:rsidR="00566FE4">
        <w:t>y</w:t>
      </w:r>
      <w:r w:rsidR="002269E9">
        <w:t xml:space="preserve">, the Mount Ousley </w:t>
      </w:r>
      <w:proofErr w:type="gramStart"/>
      <w:r w:rsidR="002269E9">
        <w:t>Interchange</w:t>
      </w:r>
      <w:proofErr w:type="gramEnd"/>
      <w:r w:rsidR="00780716">
        <w:t xml:space="preserve"> </w:t>
      </w:r>
      <w:r w:rsidR="00566FE4">
        <w:t xml:space="preserve">and </w:t>
      </w:r>
      <w:r w:rsidR="00060C9E">
        <w:t>the Princes Highway Corridor</w:t>
      </w:r>
      <w:r w:rsidR="00BB1A2B">
        <w:t xml:space="preserve">. </w:t>
      </w:r>
      <w:r w:rsidR="00926EDF">
        <w:t>C</w:t>
      </w:r>
      <w:r>
        <w:t xml:space="preserve">ontributions from the Commonwealth Government are currently forecast to increase over the four years to </w:t>
      </w:r>
      <w:r w:rsidR="00BB1A2B">
        <w:t>2024-25</w:t>
      </w:r>
      <w:r>
        <w:t>.</w:t>
      </w:r>
    </w:p>
    <w:p w14:paraId="43F62056" w14:textId="02886604" w:rsidR="00C83CC7" w:rsidRPr="007C03A6" w:rsidRDefault="00C83CC7" w:rsidP="00A33734">
      <w:pPr>
        <w:pStyle w:val="Heading2"/>
      </w:pPr>
      <w:bookmarkStart w:id="10" w:name="_Toc481587894"/>
      <w:bookmarkStart w:id="11" w:name="_Toc481587890"/>
      <w:bookmarkEnd w:id="9"/>
      <w:r w:rsidRPr="00AF022A">
        <w:t>Existing assets and maintenance program</w:t>
      </w:r>
      <w:bookmarkEnd w:id="10"/>
    </w:p>
    <w:p w14:paraId="544365D9" w14:textId="77777777" w:rsidR="00C83CC7" w:rsidRDefault="00C83CC7" w:rsidP="00C83CC7">
      <w:pPr>
        <w:pStyle w:val="Heading3"/>
      </w:pPr>
      <w:r>
        <w:t xml:space="preserve">Existing assets </w:t>
      </w:r>
    </w:p>
    <w:p w14:paraId="07F95E60" w14:textId="1504C57B" w:rsidR="00620D41" w:rsidRDefault="00DD7204">
      <w:pPr>
        <w:pStyle w:val="BodyText"/>
      </w:pPr>
      <w:r>
        <w:t>The Government’s asset portfolio is vital for community wellbeing</w:t>
      </w:r>
      <w:r w:rsidR="003A3014">
        <w:t xml:space="preserve"> and productivity. </w:t>
      </w:r>
      <w:r w:rsidR="00BD53BC">
        <w:t xml:space="preserve">Over the past </w:t>
      </w:r>
      <w:r w:rsidR="00AA7A49">
        <w:t>10</w:t>
      </w:r>
      <w:r w:rsidR="00BD53BC">
        <w:t xml:space="preserve"> years</w:t>
      </w:r>
      <w:r w:rsidR="007963D1">
        <w:t xml:space="preserve"> the </w:t>
      </w:r>
      <w:r w:rsidR="00751929">
        <w:t xml:space="preserve">Government has invested </w:t>
      </w:r>
      <w:r w:rsidR="00C7066F">
        <w:t>heavily in</w:t>
      </w:r>
      <w:r w:rsidR="008D6925">
        <w:t xml:space="preserve"> increasing the State’s asset base with productivity boosting infrastructure.</w:t>
      </w:r>
      <w:r w:rsidR="00C56DC6">
        <w:t xml:space="preserve"> </w:t>
      </w:r>
    </w:p>
    <w:p w14:paraId="782426EA" w14:textId="337671DD" w:rsidR="0027262C" w:rsidRPr="00A1397D" w:rsidRDefault="003E0DB7">
      <w:pPr>
        <w:pStyle w:val="BodyText"/>
      </w:pPr>
      <w:r w:rsidRPr="000672E8">
        <w:t>Table 1.</w:t>
      </w:r>
      <w:r w:rsidR="008C19F4" w:rsidRPr="000672E8">
        <w:t>3</w:t>
      </w:r>
      <w:r w:rsidRPr="000672E8">
        <w:t xml:space="preserve"> shows that </w:t>
      </w:r>
      <w:r w:rsidR="00EB5472" w:rsidRPr="000672E8">
        <w:t>the State’s asset base</w:t>
      </w:r>
      <w:r w:rsidR="00702179" w:rsidRPr="000672E8">
        <w:t xml:space="preserve"> continues to grow </w:t>
      </w:r>
      <w:proofErr w:type="gramStart"/>
      <w:r w:rsidR="00702179" w:rsidRPr="000672E8">
        <w:t>as a result of</w:t>
      </w:r>
      <w:proofErr w:type="gramEnd"/>
      <w:r w:rsidR="00702179" w:rsidRPr="000672E8">
        <w:t xml:space="preserve"> the Government’s record infrastructure program. </w:t>
      </w:r>
      <w:r w:rsidR="00EB5472" w:rsidRPr="000672E8">
        <w:t xml:space="preserve">The </w:t>
      </w:r>
      <w:r w:rsidR="00D152BD" w:rsidRPr="000672E8">
        <w:t>State’s physical assets are estimated to have a value of $</w:t>
      </w:r>
      <w:r w:rsidR="0075050C" w:rsidRPr="000672E8">
        <w:t>386.7</w:t>
      </w:r>
      <w:r w:rsidR="007F6080" w:rsidRPr="000672E8">
        <w:t> </w:t>
      </w:r>
      <w:r w:rsidR="00D152BD" w:rsidRPr="000672E8">
        <w:t xml:space="preserve">billion as at 30 June </w:t>
      </w:r>
      <w:r w:rsidR="000923D3" w:rsidRPr="000672E8">
        <w:t>202</w:t>
      </w:r>
      <w:r w:rsidR="00B82111" w:rsidRPr="000672E8">
        <w:t>1</w:t>
      </w:r>
      <w:r w:rsidR="00D152BD" w:rsidRPr="000672E8">
        <w:t xml:space="preserve">, </w:t>
      </w:r>
      <w:r w:rsidR="009D61DE" w:rsidRPr="000672E8">
        <w:t xml:space="preserve">representing </w:t>
      </w:r>
      <w:r w:rsidR="00D152BD" w:rsidRPr="000672E8">
        <w:t>an increase of $</w:t>
      </w:r>
      <w:r w:rsidR="00E4209D" w:rsidRPr="000672E8">
        <w:t>20.7</w:t>
      </w:r>
      <w:r w:rsidR="00D83A49" w:rsidRPr="000672E8">
        <w:t xml:space="preserve"> </w:t>
      </w:r>
      <w:r w:rsidR="00D152BD" w:rsidRPr="000672E8">
        <w:t>billion from 30 June 20</w:t>
      </w:r>
      <w:r w:rsidR="00AF392A" w:rsidRPr="000672E8">
        <w:t>20</w:t>
      </w:r>
      <w:r w:rsidR="00D152BD" w:rsidRPr="000672E8">
        <w:t xml:space="preserve">. </w:t>
      </w:r>
    </w:p>
    <w:p w14:paraId="38B6FF79" w14:textId="77777777" w:rsidR="00E5368B" w:rsidRDefault="00E5368B">
      <w:pPr>
        <w:pStyle w:val="BodyText"/>
      </w:pPr>
    </w:p>
    <w:p w14:paraId="70F63169" w14:textId="77777777" w:rsidR="00E5368B" w:rsidRDefault="00E5368B">
      <w:pPr>
        <w:pStyle w:val="BodyText"/>
      </w:pPr>
    </w:p>
    <w:p w14:paraId="370C39C6" w14:textId="64440FC9" w:rsidR="00E5368B" w:rsidRDefault="00E5368B">
      <w:pPr>
        <w:pStyle w:val="BodyText"/>
      </w:pPr>
    </w:p>
    <w:p w14:paraId="221E6FC2" w14:textId="015AE153" w:rsidR="000D67E8" w:rsidRDefault="000D67E8">
      <w:pPr>
        <w:pStyle w:val="BodyText"/>
      </w:pPr>
    </w:p>
    <w:p w14:paraId="1682D864" w14:textId="58A15F99" w:rsidR="0020733D" w:rsidRDefault="0020733D">
      <w:pPr>
        <w:rPr>
          <w:rFonts w:ascii="Arial" w:eastAsiaTheme="minorHAnsi" w:hAnsi="Arial" w:cs="Arial"/>
          <w:iCs/>
          <w:sz w:val="23"/>
          <w:szCs w:val="22"/>
          <w:lang w:val="en-AU"/>
        </w:rPr>
      </w:pPr>
      <w:r>
        <w:br w:type="page"/>
      </w:r>
    </w:p>
    <w:p w14:paraId="25CFA0D8" w14:textId="135EE99A" w:rsidR="009A0484" w:rsidRPr="006F740E" w:rsidRDefault="00C83CC7" w:rsidP="00C15EF8">
      <w:pPr>
        <w:pStyle w:val="Table1X"/>
        <w:keepNext/>
        <w:keepLines/>
        <w:widowControl/>
        <w:ind w:left="1208" w:hanging="1208"/>
      </w:pPr>
      <w:r w:rsidRPr="006F740E">
        <w:t xml:space="preserve">State owned physical assets: value by sector </w:t>
      </w:r>
      <w:r w:rsidRPr="006F740E">
        <w:rPr>
          <w:vertAlign w:val="superscript"/>
        </w:rPr>
        <w:t>(a)(b)</w:t>
      </w:r>
      <w:r w:rsidRPr="006F740E">
        <w:t xml:space="preserve"> </w:t>
      </w:r>
    </w:p>
    <w:tbl>
      <w:tblPr>
        <w:tblW w:w="9655" w:type="dxa"/>
        <w:tblLayout w:type="fixed"/>
        <w:tblLook w:val="04A0" w:firstRow="1" w:lastRow="0" w:firstColumn="1" w:lastColumn="0" w:noHBand="0" w:noVBand="1"/>
        <w:tblCaption w:val="Table 1.3: State owned physical assets: value by sector (a)(b) "/>
        <w:tblDescription w:val="Table 1.3: State owned physical assets: value by sector (a)(b) "/>
      </w:tblPr>
      <w:tblGrid>
        <w:gridCol w:w="4111"/>
        <w:gridCol w:w="1108"/>
        <w:gridCol w:w="1109"/>
        <w:gridCol w:w="1109"/>
        <w:gridCol w:w="1109"/>
        <w:gridCol w:w="1109"/>
      </w:tblGrid>
      <w:tr w:rsidR="00016E4D" w:rsidRPr="00E801E2" w14:paraId="5C9985FF" w14:textId="77777777" w:rsidTr="009D7B97">
        <w:trPr>
          <w:trHeight w:val="510"/>
        </w:trPr>
        <w:tc>
          <w:tcPr>
            <w:tcW w:w="4111" w:type="dxa"/>
            <w:tcBorders>
              <w:top w:val="nil"/>
              <w:left w:val="nil"/>
              <w:right w:val="nil"/>
            </w:tcBorders>
            <w:shd w:val="clear" w:color="000000" w:fill="008EBA"/>
            <w:noWrap/>
            <w:vAlign w:val="bottom"/>
            <w:hideMark/>
          </w:tcPr>
          <w:p w14:paraId="32981F0F" w14:textId="77777777" w:rsidR="00016E4D" w:rsidRPr="00E034C7" w:rsidRDefault="00016E4D"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As at 30 June</w:t>
            </w:r>
          </w:p>
        </w:tc>
        <w:tc>
          <w:tcPr>
            <w:tcW w:w="1108" w:type="dxa"/>
            <w:tcBorders>
              <w:top w:val="nil"/>
              <w:left w:val="nil"/>
              <w:right w:val="nil"/>
            </w:tcBorders>
            <w:shd w:val="clear" w:color="000000" w:fill="008EBA"/>
            <w:vAlign w:val="bottom"/>
            <w:hideMark/>
          </w:tcPr>
          <w:p w14:paraId="10EC631C" w14:textId="77260C2C" w:rsidR="00016E4D" w:rsidRPr="00E034C7" w:rsidRDefault="00016E4D"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201</w:t>
            </w:r>
            <w:r w:rsidR="00675195">
              <w:rPr>
                <w:rFonts w:ascii="Arial" w:hAnsi="Arial" w:cs="Arial"/>
                <w:color w:val="FFFFFF"/>
                <w:sz w:val="18"/>
                <w:szCs w:val="18"/>
                <w:lang w:val="en-AU" w:eastAsia="en-AU"/>
              </w:rPr>
              <w:t>8</w:t>
            </w:r>
            <w:r w:rsidRPr="00E034C7">
              <w:rPr>
                <w:rFonts w:ascii="Arial" w:hAnsi="Arial" w:cs="Arial"/>
                <w:color w:val="FFFFFF"/>
                <w:sz w:val="18"/>
                <w:szCs w:val="18"/>
                <w:lang w:val="en-AU" w:eastAsia="en-AU"/>
              </w:rPr>
              <w:br/>
              <w:t xml:space="preserve">Actual </w:t>
            </w:r>
          </w:p>
        </w:tc>
        <w:tc>
          <w:tcPr>
            <w:tcW w:w="1109" w:type="dxa"/>
            <w:tcBorders>
              <w:top w:val="nil"/>
              <w:left w:val="nil"/>
              <w:right w:val="nil"/>
            </w:tcBorders>
            <w:shd w:val="clear" w:color="000000" w:fill="008EBA"/>
            <w:vAlign w:val="bottom"/>
            <w:hideMark/>
          </w:tcPr>
          <w:p w14:paraId="57A2E8C9" w14:textId="3214D9DF" w:rsidR="00016E4D" w:rsidRPr="00E034C7" w:rsidRDefault="00016E4D"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201</w:t>
            </w:r>
            <w:r w:rsidR="00675195">
              <w:rPr>
                <w:rFonts w:ascii="Arial" w:hAnsi="Arial" w:cs="Arial"/>
                <w:color w:val="FFFFFF"/>
                <w:sz w:val="18"/>
                <w:szCs w:val="18"/>
                <w:lang w:val="en-AU" w:eastAsia="en-AU"/>
              </w:rPr>
              <w:t>9</w:t>
            </w:r>
            <w:r w:rsidRPr="00E034C7">
              <w:rPr>
                <w:rFonts w:ascii="Arial" w:hAnsi="Arial" w:cs="Arial"/>
                <w:color w:val="FFFFFF"/>
                <w:sz w:val="18"/>
                <w:szCs w:val="18"/>
                <w:lang w:val="en-AU" w:eastAsia="en-AU"/>
              </w:rPr>
              <w:br/>
              <w:t xml:space="preserve">Actual </w:t>
            </w:r>
          </w:p>
        </w:tc>
        <w:tc>
          <w:tcPr>
            <w:tcW w:w="1109" w:type="dxa"/>
            <w:tcBorders>
              <w:top w:val="nil"/>
              <w:left w:val="nil"/>
              <w:right w:val="nil"/>
            </w:tcBorders>
            <w:shd w:val="clear" w:color="000000" w:fill="008EBA"/>
            <w:vAlign w:val="bottom"/>
            <w:hideMark/>
          </w:tcPr>
          <w:p w14:paraId="1FC94907" w14:textId="61A86F6F" w:rsidR="00016E4D" w:rsidRPr="00E034C7" w:rsidRDefault="00016E4D"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20</w:t>
            </w:r>
            <w:r w:rsidR="00675195">
              <w:rPr>
                <w:rFonts w:ascii="Arial" w:hAnsi="Arial" w:cs="Arial"/>
                <w:color w:val="FFFFFF"/>
                <w:sz w:val="18"/>
                <w:szCs w:val="18"/>
                <w:lang w:val="en-AU" w:eastAsia="en-AU"/>
              </w:rPr>
              <w:t>20</w:t>
            </w:r>
            <w:r w:rsidRPr="00E034C7">
              <w:rPr>
                <w:rFonts w:ascii="Arial" w:hAnsi="Arial" w:cs="Arial"/>
                <w:color w:val="FFFFFF"/>
                <w:sz w:val="18"/>
                <w:szCs w:val="18"/>
                <w:lang w:val="en-AU" w:eastAsia="en-AU"/>
              </w:rPr>
              <w:br/>
              <w:t>Actual</w:t>
            </w:r>
          </w:p>
        </w:tc>
        <w:tc>
          <w:tcPr>
            <w:tcW w:w="1109" w:type="dxa"/>
            <w:tcBorders>
              <w:top w:val="nil"/>
              <w:left w:val="nil"/>
              <w:right w:val="nil"/>
            </w:tcBorders>
            <w:shd w:val="clear" w:color="000000" w:fill="008EBA"/>
            <w:vAlign w:val="bottom"/>
            <w:hideMark/>
          </w:tcPr>
          <w:p w14:paraId="08035B80" w14:textId="505B281B" w:rsidR="00016E4D" w:rsidRPr="00E034C7" w:rsidRDefault="00016E4D"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202</w:t>
            </w:r>
            <w:r w:rsidR="00675195">
              <w:rPr>
                <w:rFonts w:ascii="Arial" w:hAnsi="Arial" w:cs="Arial"/>
                <w:color w:val="FFFFFF"/>
                <w:sz w:val="18"/>
                <w:szCs w:val="18"/>
                <w:lang w:val="en-AU" w:eastAsia="en-AU"/>
              </w:rPr>
              <w:t>1</w:t>
            </w:r>
            <w:r w:rsidRPr="00E034C7">
              <w:rPr>
                <w:rFonts w:ascii="Arial" w:hAnsi="Arial" w:cs="Arial"/>
                <w:color w:val="FFFFFF"/>
                <w:sz w:val="18"/>
                <w:szCs w:val="18"/>
                <w:lang w:val="en-AU" w:eastAsia="en-AU"/>
              </w:rPr>
              <w:br/>
            </w:r>
            <w:r w:rsidR="00675195">
              <w:rPr>
                <w:rFonts w:ascii="Arial" w:hAnsi="Arial" w:cs="Arial"/>
                <w:color w:val="FFFFFF"/>
                <w:sz w:val="18"/>
                <w:szCs w:val="18"/>
                <w:lang w:val="en-AU" w:eastAsia="en-AU"/>
              </w:rPr>
              <w:t>Revised</w:t>
            </w:r>
          </w:p>
        </w:tc>
        <w:tc>
          <w:tcPr>
            <w:tcW w:w="1109" w:type="dxa"/>
            <w:tcBorders>
              <w:top w:val="nil"/>
              <w:left w:val="nil"/>
              <w:right w:val="nil"/>
            </w:tcBorders>
            <w:shd w:val="clear" w:color="000000" w:fill="008EBA"/>
            <w:vAlign w:val="bottom"/>
            <w:hideMark/>
          </w:tcPr>
          <w:p w14:paraId="03D9FBB2" w14:textId="4EE834A2" w:rsidR="00016E4D" w:rsidRPr="00E034C7" w:rsidRDefault="00016E4D"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202</w:t>
            </w:r>
            <w:r w:rsidR="00675195">
              <w:rPr>
                <w:rFonts w:ascii="Arial" w:hAnsi="Arial" w:cs="Arial"/>
                <w:color w:val="FFFFFF"/>
                <w:sz w:val="18"/>
                <w:szCs w:val="18"/>
                <w:lang w:val="en-AU" w:eastAsia="en-AU"/>
              </w:rPr>
              <w:t>2</w:t>
            </w:r>
            <w:r w:rsidRPr="00E034C7">
              <w:rPr>
                <w:rFonts w:ascii="Arial" w:hAnsi="Arial" w:cs="Arial"/>
                <w:color w:val="FFFFFF"/>
                <w:sz w:val="18"/>
                <w:szCs w:val="18"/>
                <w:lang w:val="en-AU" w:eastAsia="en-AU"/>
              </w:rPr>
              <w:br/>
              <w:t>Budget</w:t>
            </w:r>
          </w:p>
        </w:tc>
      </w:tr>
      <w:tr w:rsidR="00016E4D" w:rsidRPr="00E801E2" w14:paraId="663C9EBD" w14:textId="77777777" w:rsidTr="0020733D">
        <w:trPr>
          <w:trHeight w:val="283"/>
        </w:trPr>
        <w:tc>
          <w:tcPr>
            <w:tcW w:w="4111" w:type="dxa"/>
            <w:tcBorders>
              <w:top w:val="nil"/>
              <w:left w:val="nil"/>
              <w:bottom w:val="nil"/>
              <w:right w:val="nil"/>
            </w:tcBorders>
            <w:shd w:val="clear" w:color="000000" w:fill="00426F"/>
            <w:vAlign w:val="center"/>
            <w:hideMark/>
          </w:tcPr>
          <w:p w14:paraId="08B67988" w14:textId="77777777" w:rsidR="00016E4D" w:rsidRPr="00E034C7" w:rsidRDefault="00016E4D"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 </w:t>
            </w:r>
          </w:p>
        </w:tc>
        <w:tc>
          <w:tcPr>
            <w:tcW w:w="1108" w:type="dxa"/>
            <w:tcBorders>
              <w:top w:val="nil"/>
              <w:left w:val="nil"/>
              <w:bottom w:val="nil"/>
              <w:right w:val="nil"/>
            </w:tcBorders>
            <w:shd w:val="clear" w:color="000000" w:fill="00426F"/>
            <w:hideMark/>
          </w:tcPr>
          <w:p w14:paraId="5B610D7A" w14:textId="77777777" w:rsidR="00016E4D" w:rsidRPr="00E034C7" w:rsidRDefault="00016E4D"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$m</w:t>
            </w:r>
          </w:p>
        </w:tc>
        <w:tc>
          <w:tcPr>
            <w:tcW w:w="1109" w:type="dxa"/>
            <w:tcBorders>
              <w:top w:val="nil"/>
              <w:left w:val="nil"/>
              <w:bottom w:val="nil"/>
              <w:right w:val="nil"/>
            </w:tcBorders>
            <w:shd w:val="clear" w:color="000000" w:fill="00426F"/>
            <w:hideMark/>
          </w:tcPr>
          <w:p w14:paraId="354EEE91" w14:textId="77777777" w:rsidR="00016E4D" w:rsidRPr="00E034C7" w:rsidRDefault="00016E4D"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$m</w:t>
            </w:r>
          </w:p>
        </w:tc>
        <w:tc>
          <w:tcPr>
            <w:tcW w:w="1109" w:type="dxa"/>
            <w:tcBorders>
              <w:top w:val="nil"/>
              <w:left w:val="nil"/>
              <w:right w:val="nil"/>
            </w:tcBorders>
            <w:shd w:val="clear" w:color="000000" w:fill="00426F"/>
            <w:hideMark/>
          </w:tcPr>
          <w:p w14:paraId="30230412" w14:textId="77777777" w:rsidR="00016E4D" w:rsidRPr="00E034C7" w:rsidRDefault="00016E4D"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$m</w:t>
            </w:r>
          </w:p>
        </w:tc>
        <w:tc>
          <w:tcPr>
            <w:tcW w:w="1109" w:type="dxa"/>
            <w:tcBorders>
              <w:top w:val="nil"/>
              <w:left w:val="nil"/>
              <w:right w:val="nil"/>
            </w:tcBorders>
            <w:shd w:val="clear" w:color="000000" w:fill="00426F"/>
            <w:hideMark/>
          </w:tcPr>
          <w:p w14:paraId="4A6006BF" w14:textId="77777777" w:rsidR="00016E4D" w:rsidRPr="00E034C7" w:rsidRDefault="00016E4D"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$m</w:t>
            </w:r>
          </w:p>
        </w:tc>
        <w:tc>
          <w:tcPr>
            <w:tcW w:w="1109" w:type="dxa"/>
            <w:tcBorders>
              <w:top w:val="nil"/>
              <w:left w:val="nil"/>
              <w:right w:val="nil"/>
            </w:tcBorders>
            <w:shd w:val="clear" w:color="000000" w:fill="00426F"/>
            <w:hideMark/>
          </w:tcPr>
          <w:p w14:paraId="60EFAFEA" w14:textId="77777777" w:rsidR="00016E4D" w:rsidRPr="00E034C7" w:rsidRDefault="00016E4D"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$m</w:t>
            </w:r>
          </w:p>
        </w:tc>
      </w:tr>
      <w:tr w:rsidR="00016E4D" w:rsidRPr="00E801E2" w14:paraId="6C57EE99" w14:textId="77777777" w:rsidTr="0020733D">
        <w:trPr>
          <w:trHeight w:val="283"/>
        </w:trPr>
        <w:tc>
          <w:tcPr>
            <w:tcW w:w="4111" w:type="dxa"/>
            <w:tcBorders>
              <w:top w:val="nil"/>
              <w:left w:val="nil"/>
              <w:bottom w:val="nil"/>
              <w:right w:val="nil"/>
            </w:tcBorders>
            <w:shd w:val="clear" w:color="auto" w:fill="auto"/>
            <w:noWrap/>
            <w:vAlign w:val="center"/>
            <w:hideMark/>
          </w:tcPr>
          <w:p w14:paraId="3EA2A6BB" w14:textId="77777777" w:rsidR="00016E4D" w:rsidRPr="00E034C7" w:rsidRDefault="00016E4D" w:rsidP="009D7B97">
            <w:pPr>
              <w:rPr>
                <w:rFonts w:ascii="Arial" w:hAnsi="Arial" w:cs="Arial"/>
                <w:sz w:val="18"/>
                <w:szCs w:val="18"/>
                <w:lang w:val="en-AU" w:eastAsia="en-AU"/>
              </w:rPr>
            </w:pPr>
            <w:r w:rsidRPr="00E034C7">
              <w:rPr>
                <w:rFonts w:ascii="Arial" w:hAnsi="Arial" w:cs="Arial"/>
                <w:sz w:val="18"/>
                <w:szCs w:val="18"/>
                <w:lang w:val="en-AU" w:eastAsia="en-AU"/>
              </w:rPr>
              <w:t>General Government Sector</w:t>
            </w:r>
          </w:p>
        </w:tc>
        <w:tc>
          <w:tcPr>
            <w:tcW w:w="1108" w:type="dxa"/>
            <w:tcBorders>
              <w:top w:val="nil"/>
              <w:left w:val="nil"/>
              <w:bottom w:val="nil"/>
              <w:right w:val="nil"/>
            </w:tcBorders>
            <w:shd w:val="clear" w:color="auto" w:fill="auto"/>
            <w:noWrap/>
            <w:vAlign w:val="center"/>
            <w:hideMark/>
          </w:tcPr>
          <w:p w14:paraId="00E32742" w14:textId="48415B84" w:rsidR="00016E4D" w:rsidRPr="00E034C7" w:rsidRDefault="00B41A80" w:rsidP="00F1415E">
            <w:pPr>
              <w:ind w:right="13"/>
              <w:jc w:val="right"/>
              <w:rPr>
                <w:rFonts w:ascii="Arial" w:hAnsi="Arial" w:cs="Arial"/>
                <w:sz w:val="18"/>
                <w:szCs w:val="18"/>
                <w:lang w:val="en-AU" w:eastAsia="en-AU"/>
              </w:rPr>
            </w:pPr>
            <w:r>
              <w:rPr>
                <w:rFonts w:ascii="Arial" w:hAnsi="Arial" w:cs="Arial"/>
                <w:sz w:val="18"/>
                <w:szCs w:val="18"/>
                <w:lang w:val="en-AU" w:eastAsia="en-AU"/>
              </w:rPr>
              <w:t>196,478</w:t>
            </w:r>
          </w:p>
        </w:tc>
        <w:tc>
          <w:tcPr>
            <w:tcW w:w="1109" w:type="dxa"/>
            <w:tcBorders>
              <w:top w:val="nil"/>
              <w:left w:val="nil"/>
              <w:bottom w:val="nil"/>
              <w:right w:val="nil"/>
            </w:tcBorders>
            <w:shd w:val="clear" w:color="auto" w:fill="auto"/>
            <w:noWrap/>
            <w:vAlign w:val="center"/>
            <w:hideMark/>
          </w:tcPr>
          <w:p w14:paraId="2565C1DB" w14:textId="1BD581AC" w:rsidR="00016E4D" w:rsidRPr="00E034C7" w:rsidRDefault="00B41A80" w:rsidP="00F1415E">
            <w:pPr>
              <w:ind w:right="13"/>
              <w:jc w:val="right"/>
              <w:rPr>
                <w:rFonts w:ascii="Arial" w:hAnsi="Arial" w:cs="Arial"/>
                <w:sz w:val="18"/>
                <w:szCs w:val="18"/>
                <w:lang w:val="en-AU" w:eastAsia="en-AU"/>
              </w:rPr>
            </w:pPr>
            <w:r>
              <w:rPr>
                <w:rFonts w:ascii="Arial" w:hAnsi="Arial" w:cs="Arial"/>
                <w:sz w:val="18"/>
                <w:szCs w:val="18"/>
                <w:lang w:val="en-AU" w:eastAsia="en-AU"/>
              </w:rPr>
              <w:t>221,100</w:t>
            </w:r>
          </w:p>
        </w:tc>
        <w:tc>
          <w:tcPr>
            <w:tcW w:w="1109" w:type="dxa"/>
            <w:tcBorders>
              <w:top w:val="nil"/>
              <w:left w:val="nil"/>
              <w:bottom w:val="nil"/>
              <w:right w:val="nil"/>
            </w:tcBorders>
            <w:shd w:val="clear" w:color="auto" w:fill="FFFFFF" w:themeFill="background1"/>
            <w:noWrap/>
            <w:vAlign w:val="center"/>
            <w:hideMark/>
          </w:tcPr>
          <w:p w14:paraId="4BCAAED9" w14:textId="2EA5D400" w:rsidR="00016E4D" w:rsidRPr="00E034C7" w:rsidRDefault="004A2318" w:rsidP="00F1415E">
            <w:pPr>
              <w:ind w:right="13"/>
              <w:jc w:val="right"/>
              <w:rPr>
                <w:rFonts w:ascii="Arial" w:hAnsi="Arial" w:cs="Arial"/>
                <w:sz w:val="18"/>
                <w:szCs w:val="18"/>
                <w:lang w:val="en-AU" w:eastAsia="en-AU"/>
              </w:rPr>
            </w:pPr>
            <w:r w:rsidRPr="007228E1">
              <w:rPr>
                <w:rFonts w:ascii="Arial" w:hAnsi="Arial" w:cs="Arial"/>
                <w:sz w:val="18"/>
                <w:szCs w:val="18"/>
                <w:lang w:val="en-AU" w:eastAsia="en-AU"/>
              </w:rPr>
              <w:t>231,766</w:t>
            </w:r>
          </w:p>
        </w:tc>
        <w:tc>
          <w:tcPr>
            <w:tcW w:w="1109" w:type="dxa"/>
            <w:tcBorders>
              <w:top w:val="nil"/>
              <w:left w:val="nil"/>
              <w:bottom w:val="nil"/>
              <w:right w:val="nil"/>
            </w:tcBorders>
            <w:shd w:val="clear" w:color="auto" w:fill="FFFFFF" w:themeFill="background1"/>
            <w:noWrap/>
            <w:vAlign w:val="center"/>
            <w:hideMark/>
          </w:tcPr>
          <w:p w14:paraId="39A29A54" w14:textId="1B6D3981" w:rsidR="00016E4D" w:rsidRPr="00E034C7" w:rsidRDefault="00D521D0" w:rsidP="00F1415E">
            <w:pPr>
              <w:ind w:right="13"/>
              <w:jc w:val="right"/>
              <w:rPr>
                <w:rFonts w:ascii="Arial" w:hAnsi="Arial" w:cs="Arial"/>
                <w:sz w:val="18"/>
                <w:szCs w:val="18"/>
                <w:lang w:val="en-AU" w:eastAsia="en-AU"/>
              </w:rPr>
            </w:pPr>
            <w:r>
              <w:rPr>
                <w:rFonts w:ascii="Arial" w:hAnsi="Arial" w:cs="Arial"/>
                <w:sz w:val="18"/>
                <w:szCs w:val="18"/>
                <w:lang w:val="en-AU" w:eastAsia="en-AU"/>
              </w:rPr>
              <w:t>272</w:t>
            </w:r>
            <w:r w:rsidR="00266EA2">
              <w:rPr>
                <w:rFonts w:ascii="Arial" w:hAnsi="Arial" w:cs="Arial"/>
                <w:sz w:val="18"/>
                <w:szCs w:val="18"/>
                <w:lang w:val="en-AU" w:eastAsia="en-AU"/>
              </w:rPr>
              <w:t>,44</w:t>
            </w:r>
            <w:r w:rsidR="00355D6F">
              <w:rPr>
                <w:rFonts w:ascii="Arial" w:hAnsi="Arial" w:cs="Arial"/>
                <w:sz w:val="18"/>
                <w:szCs w:val="18"/>
                <w:lang w:val="en-AU" w:eastAsia="en-AU"/>
              </w:rPr>
              <w:t>2</w:t>
            </w:r>
          </w:p>
        </w:tc>
        <w:tc>
          <w:tcPr>
            <w:tcW w:w="1109" w:type="dxa"/>
            <w:tcBorders>
              <w:top w:val="nil"/>
              <w:left w:val="nil"/>
              <w:bottom w:val="nil"/>
              <w:right w:val="nil"/>
            </w:tcBorders>
            <w:shd w:val="pct5" w:color="auto" w:fill="auto"/>
            <w:noWrap/>
            <w:vAlign w:val="center"/>
            <w:hideMark/>
          </w:tcPr>
          <w:p w14:paraId="2E07626E" w14:textId="5DC57701" w:rsidR="00016E4D" w:rsidRPr="00E034C7" w:rsidRDefault="00266EA2" w:rsidP="00F1415E">
            <w:pPr>
              <w:ind w:right="13"/>
              <w:jc w:val="right"/>
              <w:rPr>
                <w:rFonts w:ascii="Arial" w:hAnsi="Arial" w:cs="Arial"/>
                <w:sz w:val="18"/>
                <w:szCs w:val="18"/>
                <w:lang w:val="en-AU" w:eastAsia="en-AU"/>
              </w:rPr>
            </w:pPr>
            <w:r>
              <w:rPr>
                <w:rFonts w:ascii="Arial" w:hAnsi="Arial" w:cs="Arial"/>
                <w:sz w:val="18"/>
                <w:szCs w:val="18"/>
                <w:lang w:val="en-AU" w:eastAsia="en-AU"/>
              </w:rPr>
              <w:t>290,24</w:t>
            </w:r>
            <w:r w:rsidR="00154EC4">
              <w:rPr>
                <w:rFonts w:ascii="Arial" w:hAnsi="Arial" w:cs="Arial"/>
                <w:sz w:val="18"/>
                <w:szCs w:val="18"/>
                <w:lang w:val="en-AU" w:eastAsia="en-AU"/>
              </w:rPr>
              <w:t>4</w:t>
            </w:r>
          </w:p>
        </w:tc>
      </w:tr>
      <w:tr w:rsidR="00016E4D" w:rsidRPr="00E801E2" w14:paraId="7B78E1A6" w14:textId="77777777" w:rsidTr="0020733D">
        <w:trPr>
          <w:trHeight w:val="283"/>
        </w:trPr>
        <w:tc>
          <w:tcPr>
            <w:tcW w:w="4111" w:type="dxa"/>
            <w:tcBorders>
              <w:top w:val="nil"/>
              <w:left w:val="nil"/>
              <w:bottom w:val="single" w:sz="4" w:space="0" w:color="auto"/>
              <w:right w:val="nil"/>
            </w:tcBorders>
            <w:shd w:val="clear" w:color="auto" w:fill="auto"/>
            <w:noWrap/>
            <w:vAlign w:val="center"/>
            <w:hideMark/>
          </w:tcPr>
          <w:p w14:paraId="04695F38" w14:textId="77777777" w:rsidR="00016E4D" w:rsidRPr="00E034C7" w:rsidRDefault="00016E4D" w:rsidP="009D7B97">
            <w:pPr>
              <w:rPr>
                <w:rFonts w:ascii="Arial" w:hAnsi="Arial" w:cs="Arial"/>
                <w:sz w:val="18"/>
                <w:szCs w:val="18"/>
                <w:lang w:val="en-AU" w:eastAsia="en-AU"/>
              </w:rPr>
            </w:pPr>
            <w:r w:rsidRPr="00E034C7">
              <w:rPr>
                <w:rFonts w:ascii="Arial" w:hAnsi="Arial" w:cs="Arial"/>
                <w:sz w:val="18"/>
                <w:szCs w:val="18"/>
                <w:lang w:val="en-AU" w:eastAsia="en-AU"/>
              </w:rPr>
              <w:t>Public Non-Financial Corporations</w:t>
            </w:r>
          </w:p>
        </w:tc>
        <w:tc>
          <w:tcPr>
            <w:tcW w:w="1108" w:type="dxa"/>
            <w:tcBorders>
              <w:top w:val="nil"/>
              <w:left w:val="nil"/>
              <w:bottom w:val="single" w:sz="4" w:space="0" w:color="auto"/>
              <w:right w:val="nil"/>
            </w:tcBorders>
            <w:shd w:val="clear" w:color="auto" w:fill="auto"/>
            <w:noWrap/>
            <w:vAlign w:val="center"/>
            <w:hideMark/>
          </w:tcPr>
          <w:p w14:paraId="59768FBB" w14:textId="2AC2CF4E" w:rsidR="00016E4D" w:rsidRPr="00E034C7" w:rsidRDefault="004A2318" w:rsidP="00F1415E">
            <w:pPr>
              <w:ind w:right="13"/>
              <w:jc w:val="right"/>
              <w:rPr>
                <w:rFonts w:ascii="Arial" w:hAnsi="Arial" w:cs="Arial"/>
                <w:sz w:val="18"/>
                <w:szCs w:val="18"/>
                <w:lang w:val="en-AU" w:eastAsia="en-AU"/>
              </w:rPr>
            </w:pPr>
            <w:r w:rsidRPr="007228E1">
              <w:rPr>
                <w:rFonts w:ascii="Arial" w:hAnsi="Arial" w:cs="Arial"/>
                <w:sz w:val="18"/>
                <w:szCs w:val="18"/>
                <w:lang w:val="en-AU" w:eastAsia="en-AU"/>
              </w:rPr>
              <w:t>140,012</w:t>
            </w:r>
          </w:p>
        </w:tc>
        <w:tc>
          <w:tcPr>
            <w:tcW w:w="1109" w:type="dxa"/>
            <w:tcBorders>
              <w:top w:val="nil"/>
              <w:left w:val="nil"/>
              <w:bottom w:val="single" w:sz="4" w:space="0" w:color="auto"/>
              <w:right w:val="nil"/>
            </w:tcBorders>
            <w:shd w:val="clear" w:color="auto" w:fill="auto"/>
            <w:noWrap/>
            <w:vAlign w:val="center"/>
            <w:hideMark/>
          </w:tcPr>
          <w:p w14:paraId="3474CF1A" w14:textId="0E97ABDF" w:rsidR="00016E4D" w:rsidRPr="00E034C7" w:rsidRDefault="004A2318" w:rsidP="00F1415E">
            <w:pPr>
              <w:ind w:right="13"/>
              <w:jc w:val="right"/>
              <w:rPr>
                <w:rFonts w:ascii="Arial" w:hAnsi="Arial" w:cs="Arial"/>
                <w:sz w:val="18"/>
                <w:szCs w:val="18"/>
                <w:lang w:val="en-AU" w:eastAsia="en-AU"/>
              </w:rPr>
            </w:pPr>
            <w:r w:rsidRPr="007228E1">
              <w:rPr>
                <w:rFonts w:ascii="Arial" w:hAnsi="Arial" w:cs="Arial"/>
                <w:sz w:val="18"/>
                <w:szCs w:val="18"/>
                <w:lang w:val="en-AU" w:eastAsia="en-AU"/>
              </w:rPr>
              <w:t>131,036</w:t>
            </w:r>
          </w:p>
        </w:tc>
        <w:tc>
          <w:tcPr>
            <w:tcW w:w="1109" w:type="dxa"/>
            <w:tcBorders>
              <w:top w:val="nil"/>
              <w:left w:val="nil"/>
              <w:bottom w:val="single" w:sz="4" w:space="0" w:color="auto"/>
              <w:right w:val="nil"/>
            </w:tcBorders>
            <w:shd w:val="clear" w:color="auto" w:fill="FFFFFF" w:themeFill="background1"/>
            <w:noWrap/>
            <w:vAlign w:val="center"/>
            <w:hideMark/>
          </w:tcPr>
          <w:p w14:paraId="0039EDF1" w14:textId="6BA936E4" w:rsidR="00016E4D" w:rsidRPr="00E034C7" w:rsidRDefault="004A2318" w:rsidP="00F1415E">
            <w:pPr>
              <w:ind w:right="13"/>
              <w:jc w:val="right"/>
              <w:rPr>
                <w:rFonts w:ascii="Arial" w:hAnsi="Arial" w:cs="Arial"/>
                <w:sz w:val="18"/>
                <w:szCs w:val="18"/>
                <w:lang w:val="en-AU" w:eastAsia="en-AU"/>
              </w:rPr>
            </w:pPr>
            <w:r w:rsidRPr="007228E1">
              <w:rPr>
                <w:rFonts w:ascii="Arial" w:hAnsi="Arial" w:cs="Arial"/>
                <w:sz w:val="18"/>
                <w:szCs w:val="18"/>
                <w:lang w:val="en-AU" w:eastAsia="en-AU"/>
              </w:rPr>
              <w:t>134,</w:t>
            </w:r>
            <w:r w:rsidR="00911738" w:rsidRPr="007228E1">
              <w:rPr>
                <w:rFonts w:ascii="Arial" w:hAnsi="Arial" w:cs="Arial"/>
                <w:sz w:val="18"/>
                <w:szCs w:val="18"/>
                <w:lang w:val="en-AU" w:eastAsia="en-AU"/>
              </w:rPr>
              <w:t>242</w:t>
            </w:r>
          </w:p>
        </w:tc>
        <w:tc>
          <w:tcPr>
            <w:tcW w:w="1109" w:type="dxa"/>
            <w:tcBorders>
              <w:top w:val="nil"/>
              <w:left w:val="nil"/>
              <w:bottom w:val="single" w:sz="4" w:space="0" w:color="auto"/>
              <w:right w:val="nil"/>
            </w:tcBorders>
            <w:shd w:val="clear" w:color="auto" w:fill="FFFFFF" w:themeFill="background1"/>
            <w:noWrap/>
            <w:vAlign w:val="center"/>
            <w:hideMark/>
          </w:tcPr>
          <w:p w14:paraId="4969F3B1" w14:textId="7B735CB1" w:rsidR="00016E4D" w:rsidRPr="00E034C7" w:rsidRDefault="001650CC" w:rsidP="00F1415E">
            <w:pPr>
              <w:ind w:right="13"/>
              <w:jc w:val="right"/>
              <w:rPr>
                <w:rFonts w:ascii="Arial" w:hAnsi="Arial" w:cs="Arial"/>
                <w:sz w:val="18"/>
                <w:szCs w:val="18"/>
                <w:lang w:val="en-AU" w:eastAsia="en-AU"/>
              </w:rPr>
            </w:pPr>
            <w:r>
              <w:rPr>
                <w:rFonts w:ascii="Arial" w:hAnsi="Arial" w:cs="Arial"/>
                <w:sz w:val="18"/>
                <w:szCs w:val="18"/>
                <w:lang w:val="en-AU" w:eastAsia="en-AU"/>
              </w:rPr>
              <w:t>114</w:t>
            </w:r>
            <w:r w:rsidR="00154EC4">
              <w:rPr>
                <w:rFonts w:ascii="Arial" w:hAnsi="Arial" w:cs="Arial"/>
                <w:sz w:val="18"/>
                <w:szCs w:val="18"/>
                <w:lang w:val="en-AU" w:eastAsia="en-AU"/>
              </w:rPr>
              <w:t>,218</w:t>
            </w:r>
          </w:p>
        </w:tc>
        <w:tc>
          <w:tcPr>
            <w:tcW w:w="1109" w:type="dxa"/>
            <w:tcBorders>
              <w:top w:val="nil"/>
              <w:left w:val="nil"/>
              <w:bottom w:val="single" w:sz="4" w:space="0" w:color="auto"/>
              <w:right w:val="nil"/>
            </w:tcBorders>
            <w:shd w:val="pct5" w:color="auto" w:fill="auto"/>
            <w:noWrap/>
            <w:vAlign w:val="center"/>
            <w:hideMark/>
          </w:tcPr>
          <w:p w14:paraId="00B6AF8A" w14:textId="1BAED08A" w:rsidR="00016E4D" w:rsidRPr="00E034C7" w:rsidRDefault="002C589C" w:rsidP="00F1415E">
            <w:pPr>
              <w:ind w:right="13"/>
              <w:jc w:val="right"/>
              <w:rPr>
                <w:rFonts w:ascii="Arial" w:hAnsi="Arial" w:cs="Arial"/>
                <w:sz w:val="18"/>
                <w:szCs w:val="18"/>
                <w:lang w:val="en-AU" w:eastAsia="en-AU"/>
              </w:rPr>
            </w:pPr>
            <w:r>
              <w:rPr>
                <w:rFonts w:ascii="Arial" w:hAnsi="Arial" w:cs="Arial"/>
                <w:sz w:val="18"/>
                <w:szCs w:val="18"/>
                <w:lang w:val="en-AU" w:eastAsia="en-AU"/>
              </w:rPr>
              <w:t>120,597</w:t>
            </w:r>
          </w:p>
        </w:tc>
      </w:tr>
      <w:tr w:rsidR="00016E4D" w:rsidRPr="00E801E2" w14:paraId="3FC4FF28" w14:textId="77777777" w:rsidTr="0020733D">
        <w:trPr>
          <w:trHeight w:val="340"/>
        </w:trPr>
        <w:tc>
          <w:tcPr>
            <w:tcW w:w="4111" w:type="dxa"/>
            <w:tcBorders>
              <w:top w:val="single" w:sz="4" w:space="0" w:color="auto"/>
              <w:left w:val="nil"/>
              <w:bottom w:val="single" w:sz="4" w:space="0" w:color="auto"/>
              <w:right w:val="nil"/>
            </w:tcBorders>
            <w:shd w:val="clear" w:color="auto" w:fill="auto"/>
            <w:noWrap/>
            <w:vAlign w:val="center"/>
            <w:hideMark/>
          </w:tcPr>
          <w:p w14:paraId="67759710" w14:textId="77777777" w:rsidR="00016E4D" w:rsidRPr="00E034C7" w:rsidRDefault="00016E4D" w:rsidP="008C5D92">
            <w:pPr>
              <w:rPr>
                <w:rFonts w:ascii="Arial" w:hAnsi="Arial" w:cs="Arial"/>
                <w:b/>
                <w:bCs/>
                <w:color w:val="008EBA"/>
                <w:sz w:val="18"/>
                <w:szCs w:val="18"/>
                <w:lang w:val="en-AU" w:eastAsia="en-AU"/>
              </w:rPr>
            </w:pPr>
            <w:r w:rsidRPr="00E034C7">
              <w:rPr>
                <w:rFonts w:ascii="Arial" w:hAnsi="Arial" w:cs="Arial"/>
                <w:b/>
                <w:bCs/>
                <w:color w:val="008EBA"/>
                <w:sz w:val="18"/>
                <w:szCs w:val="18"/>
                <w:lang w:val="en-AU" w:eastAsia="en-AU"/>
              </w:rPr>
              <w:t xml:space="preserve">Total </w:t>
            </w:r>
            <w:r w:rsidRPr="00E034C7">
              <w:rPr>
                <w:rFonts w:ascii="Arial" w:hAnsi="Arial" w:cs="Arial"/>
                <w:b/>
                <w:bCs/>
                <w:color w:val="008EBA"/>
                <w:sz w:val="18"/>
                <w:szCs w:val="18"/>
                <w:vertAlign w:val="superscript"/>
                <w:lang w:val="en-AU" w:eastAsia="en-AU"/>
              </w:rPr>
              <w:t xml:space="preserve">(c) </w:t>
            </w:r>
          </w:p>
        </w:tc>
        <w:tc>
          <w:tcPr>
            <w:tcW w:w="1108" w:type="dxa"/>
            <w:tcBorders>
              <w:top w:val="single" w:sz="4" w:space="0" w:color="auto"/>
              <w:left w:val="nil"/>
              <w:bottom w:val="single" w:sz="4" w:space="0" w:color="auto"/>
              <w:right w:val="nil"/>
            </w:tcBorders>
            <w:shd w:val="clear" w:color="auto" w:fill="auto"/>
            <w:noWrap/>
            <w:vAlign w:val="center"/>
            <w:hideMark/>
          </w:tcPr>
          <w:p w14:paraId="25312CA3" w14:textId="51B7BEA0" w:rsidR="00016E4D" w:rsidRPr="00E034C7" w:rsidRDefault="009C6183" w:rsidP="00F1415E">
            <w:pPr>
              <w:ind w:right="13"/>
              <w:jc w:val="right"/>
              <w:rPr>
                <w:rFonts w:ascii="Arial" w:hAnsi="Arial" w:cs="Arial"/>
                <w:b/>
                <w:bCs/>
                <w:color w:val="008EBA"/>
                <w:sz w:val="18"/>
                <w:szCs w:val="18"/>
                <w:lang w:val="en-AU" w:eastAsia="en-AU"/>
              </w:rPr>
            </w:pPr>
            <w:r>
              <w:rPr>
                <w:rFonts w:ascii="Arial" w:hAnsi="Arial" w:cs="Arial"/>
                <w:b/>
                <w:color w:val="008EBA"/>
                <w:sz w:val="18"/>
                <w:szCs w:val="18"/>
                <w:lang w:val="en-AU" w:eastAsia="en-AU"/>
              </w:rPr>
              <w:t>336,490</w:t>
            </w:r>
          </w:p>
        </w:tc>
        <w:tc>
          <w:tcPr>
            <w:tcW w:w="1109" w:type="dxa"/>
            <w:tcBorders>
              <w:top w:val="single" w:sz="4" w:space="0" w:color="auto"/>
              <w:left w:val="nil"/>
              <w:bottom w:val="single" w:sz="4" w:space="0" w:color="auto"/>
              <w:right w:val="nil"/>
            </w:tcBorders>
            <w:shd w:val="clear" w:color="auto" w:fill="auto"/>
            <w:noWrap/>
            <w:vAlign w:val="center"/>
            <w:hideMark/>
          </w:tcPr>
          <w:p w14:paraId="6A8A2B4D" w14:textId="4A258896" w:rsidR="00016E4D" w:rsidRPr="00E034C7" w:rsidRDefault="009C6183" w:rsidP="00F1415E">
            <w:pPr>
              <w:ind w:right="13"/>
              <w:jc w:val="right"/>
              <w:rPr>
                <w:rFonts w:ascii="Arial" w:hAnsi="Arial" w:cs="Arial"/>
                <w:b/>
                <w:bCs/>
                <w:color w:val="008EBA"/>
                <w:sz w:val="18"/>
                <w:szCs w:val="18"/>
                <w:lang w:val="en-AU" w:eastAsia="en-AU"/>
              </w:rPr>
            </w:pPr>
            <w:r>
              <w:rPr>
                <w:rFonts w:ascii="Arial" w:hAnsi="Arial" w:cs="Arial"/>
                <w:b/>
                <w:color w:val="008EBA"/>
                <w:sz w:val="18"/>
                <w:szCs w:val="18"/>
                <w:lang w:val="en-AU" w:eastAsia="en-AU"/>
              </w:rPr>
              <w:t>352,136</w:t>
            </w:r>
          </w:p>
        </w:tc>
        <w:tc>
          <w:tcPr>
            <w:tcW w:w="1109" w:type="dxa"/>
            <w:tcBorders>
              <w:top w:val="single" w:sz="4" w:space="0" w:color="auto"/>
              <w:left w:val="nil"/>
              <w:bottom w:val="single" w:sz="4" w:space="0" w:color="auto"/>
              <w:right w:val="nil"/>
            </w:tcBorders>
            <w:shd w:val="clear" w:color="auto" w:fill="auto"/>
            <w:noWrap/>
            <w:vAlign w:val="center"/>
            <w:hideMark/>
          </w:tcPr>
          <w:p w14:paraId="51AC0AC1" w14:textId="105644F1" w:rsidR="00016E4D" w:rsidRPr="00E034C7" w:rsidRDefault="00911738" w:rsidP="00F1415E">
            <w:pPr>
              <w:ind w:right="13"/>
              <w:jc w:val="right"/>
              <w:rPr>
                <w:rFonts w:ascii="Arial" w:hAnsi="Arial" w:cs="Arial"/>
                <w:b/>
                <w:bCs/>
                <w:color w:val="008EBA"/>
                <w:sz w:val="18"/>
                <w:szCs w:val="18"/>
                <w:lang w:val="en-AU" w:eastAsia="en-AU"/>
              </w:rPr>
            </w:pPr>
            <w:r w:rsidRPr="007228E1">
              <w:rPr>
                <w:rFonts w:ascii="Arial" w:hAnsi="Arial" w:cs="Arial"/>
                <w:b/>
                <w:color w:val="008EBA"/>
                <w:sz w:val="18"/>
                <w:szCs w:val="18"/>
                <w:lang w:val="en-AU" w:eastAsia="en-AU"/>
              </w:rPr>
              <w:t>366,008</w:t>
            </w:r>
          </w:p>
        </w:tc>
        <w:tc>
          <w:tcPr>
            <w:tcW w:w="1109" w:type="dxa"/>
            <w:tcBorders>
              <w:top w:val="single" w:sz="4" w:space="0" w:color="auto"/>
              <w:left w:val="nil"/>
              <w:bottom w:val="single" w:sz="4" w:space="0" w:color="auto"/>
              <w:right w:val="nil"/>
            </w:tcBorders>
            <w:shd w:val="clear" w:color="auto" w:fill="FFFFFF" w:themeFill="background1"/>
            <w:noWrap/>
            <w:vAlign w:val="center"/>
            <w:hideMark/>
          </w:tcPr>
          <w:p w14:paraId="50256986" w14:textId="7CED810B" w:rsidR="00016E4D" w:rsidRPr="00E034C7" w:rsidRDefault="00266EA2" w:rsidP="00F1415E">
            <w:pPr>
              <w:ind w:right="13"/>
              <w:jc w:val="right"/>
              <w:rPr>
                <w:rFonts w:ascii="Arial" w:hAnsi="Arial" w:cs="Arial"/>
                <w:b/>
                <w:bCs/>
                <w:color w:val="008EBA"/>
                <w:sz w:val="18"/>
                <w:szCs w:val="18"/>
                <w:lang w:val="en-AU" w:eastAsia="en-AU"/>
              </w:rPr>
            </w:pPr>
            <w:r>
              <w:rPr>
                <w:rFonts w:ascii="Arial" w:hAnsi="Arial" w:cs="Arial"/>
                <w:b/>
                <w:color w:val="008EBA"/>
                <w:sz w:val="18"/>
                <w:szCs w:val="18"/>
                <w:lang w:val="en-AU" w:eastAsia="en-AU"/>
              </w:rPr>
              <w:t>386,6</w:t>
            </w:r>
            <w:r w:rsidR="00355D6F">
              <w:rPr>
                <w:rFonts w:ascii="Arial" w:hAnsi="Arial" w:cs="Arial"/>
                <w:b/>
                <w:color w:val="008EBA"/>
                <w:sz w:val="18"/>
                <w:szCs w:val="18"/>
                <w:lang w:val="en-AU" w:eastAsia="en-AU"/>
              </w:rPr>
              <w:t>60</w:t>
            </w:r>
          </w:p>
        </w:tc>
        <w:tc>
          <w:tcPr>
            <w:tcW w:w="1109" w:type="dxa"/>
            <w:tcBorders>
              <w:top w:val="single" w:sz="4" w:space="0" w:color="auto"/>
              <w:left w:val="nil"/>
              <w:bottom w:val="single" w:sz="4" w:space="0" w:color="auto"/>
              <w:right w:val="nil"/>
            </w:tcBorders>
            <w:shd w:val="pct5" w:color="auto" w:fill="auto"/>
            <w:noWrap/>
            <w:vAlign w:val="center"/>
            <w:hideMark/>
          </w:tcPr>
          <w:p w14:paraId="464E2A99" w14:textId="13B7F1C2" w:rsidR="00016E4D" w:rsidRPr="00E034C7" w:rsidRDefault="000E227E" w:rsidP="00F1415E">
            <w:pPr>
              <w:ind w:right="13"/>
              <w:jc w:val="right"/>
              <w:rPr>
                <w:rFonts w:ascii="Arial" w:hAnsi="Arial" w:cs="Arial"/>
                <w:b/>
                <w:bCs/>
                <w:color w:val="008EBA"/>
                <w:sz w:val="18"/>
                <w:szCs w:val="18"/>
                <w:lang w:val="en-AU" w:eastAsia="en-AU"/>
              </w:rPr>
            </w:pPr>
            <w:r>
              <w:rPr>
                <w:rFonts w:ascii="Arial" w:hAnsi="Arial" w:cs="Arial"/>
                <w:b/>
                <w:color w:val="008EBA"/>
                <w:sz w:val="18"/>
                <w:szCs w:val="18"/>
                <w:lang w:val="en-AU" w:eastAsia="en-AU"/>
              </w:rPr>
              <w:t>410,84</w:t>
            </w:r>
            <w:r w:rsidR="00154EC4">
              <w:rPr>
                <w:rFonts w:ascii="Arial" w:hAnsi="Arial" w:cs="Arial"/>
                <w:b/>
                <w:color w:val="008EBA"/>
                <w:sz w:val="18"/>
                <w:szCs w:val="18"/>
                <w:lang w:val="en-AU" w:eastAsia="en-AU"/>
              </w:rPr>
              <w:t>1</w:t>
            </w:r>
          </w:p>
        </w:tc>
      </w:tr>
    </w:tbl>
    <w:p w14:paraId="79BE30D0" w14:textId="77777777" w:rsidR="00C045BC" w:rsidRPr="00A1397D" w:rsidRDefault="00C045BC" w:rsidP="00C045BC">
      <w:pPr>
        <w:rPr>
          <w:rFonts w:ascii="Calibri" w:hAnsi="Calibri" w:cs="Calibri"/>
          <w:sz w:val="6"/>
          <w:szCs w:val="6"/>
        </w:rPr>
      </w:pPr>
    </w:p>
    <w:p w14:paraId="081A0160" w14:textId="265CB1DE" w:rsidR="00C83CC7" w:rsidRPr="00E32655" w:rsidRDefault="00C83CC7" w:rsidP="00A24161">
      <w:pPr>
        <w:widowControl w:val="0"/>
        <w:numPr>
          <w:ilvl w:val="0"/>
          <w:numId w:val="1"/>
        </w:numPr>
        <w:tabs>
          <w:tab w:val="left" w:pos="364"/>
          <w:tab w:val="right" w:pos="4196"/>
          <w:tab w:val="right" w:pos="5046"/>
          <w:tab w:val="right" w:pos="5897"/>
          <w:tab w:val="right" w:pos="6747"/>
          <w:tab w:val="right" w:pos="7598"/>
        </w:tabs>
        <w:autoSpaceDE w:val="0"/>
        <w:autoSpaceDN w:val="0"/>
        <w:ind w:left="357" w:hanging="357"/>
        <w:jc w:val="both"/>
        <w:rPr>
          <w:rFonts w:ascii="Arial" w:hAnsi="Arial" w:cs="Arial"/>
          <w:kern w:val="28"/>
          <w:sz w:val="17"/>
          <w:szCs w:val="17"/>
        </w:rPr>
      </w:pPr>
      <w:r w:rsidRPr="00E32655">
        <w:rPr>
          <w:rFonts w:ascii="Arial" w:hAnsi="Arial" w:cs="Arial"/>
          <w:kern w:val="28"/>
          <w:sz w:val="17"/>
          <w:szCs w:val="17"/>
        </w:rPr>
        <w:t xml:space="preserve">Net of </w:t>
      </w:r>
      <w:r w:rsidR="003F51CD" w:rsidRPr="00E32655">
        <w:rPr>
          <w:rFonts w:ascii="Arial" w:hAnsi="Arial" w:cs="Arial"/>
          <w:kern w:val="28"/>
          <w:sz w:val="17"/>
          <w:szCs w:val="17"/>
        </w:rPr>
        <w:t xml:space="preserve">accumulated </w:t>
      </w:r>
      <w:r w:rsidRPr="00E32655">
        <w:rPr>
          <w:rFonts w:ascii="Arial" w:hAnsi="Arial" w:cs="Arial"/>
          <w:kern w:val="28"/>
          <w:sz w:val="17"/>
          <w:szCs w:val="17"/>
        </w:rPr>
        <w:t>depreciation.</w:t>
      </w:r>
    </w:p>
    <w:p w14:paraId="68B36B42" w14:textId="77777777" w:rsidR="00C83CC7" w:rsidRPr="00E32655" w:rsidRDefault="00C83CC7" w:rsidP="00A24161">
      <w:pPr>
        <w:widowControl w:val="0"/>
        <w:numPr>
          <w:ilvl w:val="0"/>
          <w:numId w:val="1"/>
        </w:numPr>
        <w:tabs>
          <w:tab w:val="left" w:pos="364"/>
          <w:tab w:val="right" w:pos="4196"/>
          <w:tab w:val="right" w:pos="5046"/>
          <w:tab w:val="right" w:pos="5897"/>
          <w:tab w:val="right" w:pos="6747"/>
          <w:tab w:val="right" w:pos="7598"/>
        </w:tabs>
        <w:autoSpaceDE w:val="0"/>
        <w:autoSpaceDN w:val="0"/>
        <w:ind w:left="357" w:hanging="357"/>
        <w:jc w:val="both"/>
        <w:rPr>
          <w:rFonts w:ascii="Arial" w:hAnsi="Arial" w:cs="Arial"/>
          <w:kern w:val="28"/>
          <w:sz w:val="17"/>
          <w:szCs w:val="17"/>
        </w:rPr>
      </w:pPr>
      <w:r w:rsidRPr="00E32655">
        <w:rPr>
          <w:rFonts w:ascii="Arial" w:hAnsi="Arial" w:cs="Arial"/>
          <w:kern w:val="28"/>
          <w:sz w:val="17"/>
          <w:szCs w:val="17"/>
        </w:rPr>
        <w:t>Includes investment properties.</w:t>
      </w:r>
    </w:p>
    <w:p w14:paraId="3A2D8F4B" w14:textId="6C3D04A3" w:rsidR="00427F40" w:rsidRPr="00E32655" w:rsidRDefault="00C83CC7" w:rsidP="00A24161">
      <w:pPr>
        <w:widowControl w:val="0"/>
        <w:numPr>
          <w:ilvl w:val="0"/>
          <w:numId w:val="1"/>
        </w:numPr>
        <w:tabs>
          <w:tab w:val="left" w:pos="364"/>
          <w:tab w:val="right" w:pos="4196"/>
          <w:tab w:val="right" w:pos="5046"/>
          <w:tab w:val="right" w:pos="5897"/>
          <w:tab w:val="right" w:pos="6747"/>
          <w:tab w:val="right" w:pos="7598"/>
        </w:tabs>
        <w:autoSpaceDE w:val="0"/>
        <w:autoSpaceDN w:val="0"/>
        <w:ind w:left="357" w:hanging="357"/>
        <w:jc w:val="both"/>
        <w:rPr>
          <w:sz w:val="17"/>
          <w:szCs w:val="17"/>
        </w:rPr>
      </w:pPr>
      <w:r w:rsidRPr="00E32655">
        <w:rPr>
          <w:rFonts w:ascii="Arial" w:hAnsi="Arial" w:cs="Arial"/>
          <w:kern w:val="28"/>
          <w:sz w:val="17"/>
          <w:szCs w:val="17"/>
        </w:rPr>
        <w:t>Consolidated total may not equal the sum of the individual sectors due to differences in classification between the individual sectors and the consolidated sector.</w:t>
      </w:r>
    </w:p>
    <w:p w14:paraId="2C125766" w14:textId="61FAEBA6" w:rsidR="00AF05D9" w:rsidRDefault="0086286B" w:rsidP="00001F5A">
      <w:pPr>
        <w:pStyle w:val="BodyText"/>
      </w:pPr>
      <w:r>
        <w:t xml:space="preserve">In 2020 the Government launched the </w:t>
      </w:r>
      <w:r w:rsidR="003D169C">
        <w:rPr>
          <w:i/>
        </w:rPr>
        <w:t>Asset Management Policy for the NSW Public Sector</w:t>
      </w:r>
      <w:r w:rsidR="000A05AB">
        <w:rPr>
          <w:i/>
        </w:rPr>
        <w:t xml:space="preserve"> (TPP19-07)</w:t>
      </w:r>
      <w:r w:rsidR="000A05AB">
        <w:t xml:space="preserve"> to</w:t>
      </w:r>
      <w:r w:rsidR="00AF05D9">
        <w:t xml:space="preserve"> optimise</w:t>
      </w:r>
      <w:r w:rsidR="00574D8F">
        <w:t xml:space="preserve"> the</w:t>
      </w:r>
      <w:r w:rsidR="00AF05D9">
        <w:t xml:space="preserve"> benefits derived from use of the state’s asset portfolio and to ensure infrastructure spending is prioritised in a way that supports the needs of NSW communities.</w:t>
      </w:r>
    </w:p>
    <w:p w14:paraId="49DF9E4F" w14:textId="45D80946" w:rsidR="00AF05D9" w:rsidRDefault="00AF05D9">
      <w:pPr>
        <w:pStyle w:val="BodyText"/>
      </w:pPr>
      <w:r>
        <w:t xml:space="preserve">The Asset Management policy arose from a recommendation in the </w:t>
      </w:r>
      <w:r>
        <w:rPr>
          <w:i/>
        </w:rPr>
        <w:t>2018-2038 State Infrastructure Strategy: Building Momentum</w:t>
      </w:r>
      <w:r>
        <w:t>.</w:t>
      </w:r>
      <w:r w:rsidR="00C57173">
        <w:t xml:space="preserve"> </w:t>
      </w:r>
      <w:r w:rsidR="00B80155">
        <w:t>The policy</w:t>
      </w:r>
      <w:r>
        <w:t xml:space="preserve"> support</w:t>
      </w:r>
      <w:r w:rsidR="00B80155">
        <w:t>s</w:t>
      </w:r>
      <w:r>
        <w:t xml:space="preserve"> the provision of </w:t>
      </w:r>
      <w:r w:rsidR="00B80155">
        <w:t>high-quality</w:t>
      </w:r>
      <w:r>
        <w:t xml:space="preserve"> government services through adoption of sustainable, whole-of-asset-lifecycle approaches to investment decisions, acquisition of new assets, operations and maintenance</w:t>
      </w:r>
      <w:r w:rsidR="00205E34">
        <w:t>,</w:t>
      </w:r>
      <w:r>
        <w:t xml:space="preserve"> and recycling of assets at the </w:t>
      </w:r>
      <w:r w:rsidR="006453CC">
        <w:t>optimal time</w:t>
      </w:r>
      <w:r>
        <w:t>.</w:t>
      </w:r>
      <w:r w:rsidR="00F23CFE">
        <w:t xml:space="preserve"> </w:t>
      </w:r>
      <w:r w:rsidR="000233AD">
        <w:t xml:space="preserve">The policy is also supported by a robust assurance framework, further information on which is provided in Section 1.7. </w:t>
      </w:r>
    </w:p>
    <w:p w14:paraId="2F9F0CB8" w14:textId="01195A46" w:rsidR="002F48CC" w:rsidRDefault="00A6316B">
      <w:pPr>
        <w:pStyle w:val="BodyText"/>
      </w:pPr>
      <w:r w:rsidRPr="00A1397D">
        <w:t>Chart 1.</w:t>
      </w:r>
      <w:r w:rsidR="00D814F7">
        <w:t>4</w:t>
      </w:r>
      <w:r w:rsidRPr="00A1397D">
        <w:t xml:space="preserve"> details the components of the State’s physical assets. The largest component </w:t>
      </w:r>
      <w:r w:rsidR="00C24283">
        <w:t xml:space="preserve">as </w:t>
      </w:r>
      <w:r w:rsidRPr="00A1397D">
        <w:t>at 30 June 20</w:t>
      </w:r>
      <w:r w:rsidR="00FD0841">
        <w:t>20</w:t>
      </w:r>
      <w:r w:rsidRPr="00A1397D">
        <w:t xml:space="preserve"> was infrastructure systems ($</w:t>
      </w:r>
      <w:r w:rsidR="00D3388F">
        <w:t>180.2</w:t>
      </w:r>
      <w:r w:rsidRPr="00A1397D">
        <w:t xml:space="preserve"> billion)</w:t>
      </w:r>
      <w:r w:rsidR="00F10D2A">
        <w:t>.</w:t>
      </w:r>
      <w:r w:rsidRPr="00A1397D">
        <w:t xml:space="preserve"> The remaining components comprise buildings ($</w:t>
      </w:r>
      <w:r w:rsidR="00A54FE9">
        <w:t>93.9</w:t>
      </w:r>
      <w:r w:rsidRPr="00A1397D">
        <w:t xml:space="preserve"> billion), land ($</w:t>
      </w:r>
      <w:r w:rsidR="00191FA5">
        <w:t>74.6</w:t>
      </w:r>
      <w:r w:rsidRPr="00A1397D">
        <w:t> billion)</w:t>
      </w:r>
      <w:r w:rsidR="00535B80">
        <w:t>,</w:t>
      </w:r>
      <w:r w:rsidRPr="00A1397D">
        <w:t xml:space="preserve"> plant and equipment ($</w:t>
      </w:r>
      <w:r w:rsidR="00D537D0">
        <w:t>16.6</w:t>
      </w:r>
      <w:r w:rsidRPr="00A1397D">
        <w:t xml:space="preserve"> billion)</w:t>
      </w:r>
      <w:r w:rsidR="00535B80">
        <w:t xml:space="preserve"> and investment properties (</w:t>
      </w:r>
      <w:r w:rsidR="00910AB6">
        <w:t>$</w:t>
      </w:r>
      <w:r w:rsidR="00535B80">
        <w:t>0.</w:t>
      </w:r>
      <w:r w:rsidR="00910AB6">
        <w:t>7 billion</w:t>
      </w:r>
      <w:r w:rsidRPr="00A1397D">
        <w:t>).</w:t>
      </w:r>
    </w:p>
    <w:p w14:paraId="7AC8F675" w14:textId="1B365491" w:rsidR="00E57248" w:rsidRPr="00DF3D6B" w:rsidRDefault="00E57248" w:rsidP="0020619A">
      <w:pPr>
        <w:pStyle w:val="Chart1X"/>
        <w:rPr>
          <w:lang w:eastAsia="en-AU"/>
        </w:rPr>
      </w:pPr>
      <w:r w:rsidRPr="00DF3D6B">
        <w:t>State owned physical assets: val</w:t>
      </w:r>
      <w:r w:rsidR="00875580">
        <w:t>ue by type, as at 30 June 20</w:t>
      </w:r>
      <w:r w:rsidR="00FD0841">
        <w:t>20</w:t>
      </w:r>
    </w:p>
    <w:p w14:paraId="43565F9A" w14:textId="6665010A" w:rsidR="00BE26B1" w:rsidRPr="00A1397D" w:rsidRDefault="00C8098B" w:rsidP="00FC2527">
      <w:pPr>
        <w:rPr>
          <w:rFonts w:ascii="Calibri" w:hAnsi="Calibri" w:cs="Calibri"/>
        </w:rPr>
      </w:pPr>
      <w:r>
        <w:rPr>
          <w:noProof/>
        </w:rPr>
        <w:drawing>
          <wp:inline distT="0" distB="0" distL="0" distR="0" wp14:anchorId="4BE5CB3A" wp14:editId="3E25DAC9">
            <wp:extent cx="6515100" cy="3375660"/>
            <wp:effectExtent l="0" t="0" r="0" b="0"/>
            <wp:docPr id="15" name="Chart 15" descr="Chart 1.4: State owned physical assets: value by type, as at 30 June 2020">
              <a:extLst xmlns:a="http://schemas.openxmlformats.org/drawingml/2006/main">
                <a:ext uri="{FF2B5EF4-FFF2-40B4-BE49-F238E27FC236}">
                  <a16:creationId xmlns:a16="http://schemas.microsoft.com/office/drawing/2014/main" id="{00000000-0008-0000-1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80E2618" w14:textId="77777777" w:rsidR="006E0478" w:rsidRPr="006E0478" w:rsidRDefault="006E0478" w:rsidP="006E0478">
      <w:pPr>
        <w:rPr>
          <w:rFonts w:ascii="Calibri" w:hAnsi="Calibri" w:cs="Calibri"/>
          <w:sz w:val="6"/>
          <w:szCs w:val="6"/>
        </w:rPr>
      </w:pPr>
    </w:p>
    <w:p w14:paraId="5B8B8366" w14:textId="25B71787" w:rsidR="00287382" w:rsidRDefault="00465D55" w:rsidP="000F6DDB">
      <w:pPr>
        <w:widowControl w:val="0"/>
        <w:numPr>
          <w:ilvl w:val="0"/>
          <w:numId w:val="151"/>
        </w:numPr>
        <w:tabs>
          <w:tab w:val="left" w:pos="364"/>
          <w:tab w:val="right" w:pos="4196"/>
          <w:tab w:val="right" w:pos="5046"/>
          <w:tab w:val="right" w:pos="5897"/>
          <w:tab w:val="right" w:pos="6747"/>
          <w:tab w:val="right" w:pos="7598"/>
        </w:tabs>
        <w:autoSpaceDE w:val="0"/>
        <w:autoSpaceDN w:val="0"/>
        <w:ind w:left="357" w:hanging="357"/>
        <w:jc w:val="both"/>
      </w:pPr>
      <w:r w:rsidRPr="00D02B88">
        <w:rPr>
          <w:rFonts w:ascii="Arial" w:hAnsi="Arial" w:cs="Arial"/>
          <w:kern w:val="28"/>
          <w:sz w:val="17"/>
          <w:szCs w:val="17"/>
        </w:rPr>
        <w:t>Infrastructure Systems are assets that comprise public facilities and which provide essential services</w:t>
      </w:r>
      <w:r w:rsidR="00722D17" w:rsidRPr="00D02B88">
        <w:rPr>
          <w:rFonts w:ascii="Arial" w:hAnsi="Arial" w:cs="Arial"/>
          <w:kern w:val="28"/>
          <w:sz w:val="17"/>
          <w:szCs w:val="17"/>
        </w:rPr>
        <w:t>. They also</w:t>
      </w:r>
      <w:r w:rsidRPr="00D02B88">
        <w:rPr>
          <w:rFonts w:ascii="Arial" w:hAnsi="Arial" w:cs="Arial"/>
          <w:kern w:val="28"/>
          <w:sz w:val="17"/>
          <w:szCs w:val="17"/>
        </w:rPr>
        <w:t xml:space="preserve"> enhance the productive capacity of the economy, including roads, bridges</w:t>
      </w:r>
      <w:r w:rsidR="00DE0375" w:rsidRPr="00D02B88">
        <w:rPr>
          <w:rFonts w:ascii="Arial" w:hAnsi="Arial" w:cs="Arial"/>
          <w:kern w:val="28"/>
          <w:sz w:val="17"/>
          <w:szCs w:val="17"/>
        </w:rPr>
        <w:t>,</w:t>
      </w:r>
      <w:r w:rsidRPr="00D02B88">
        <w:rPr>
          <w:rFonts w:ascii="Arial" w:hAnsi="Arial" w:cs="Arial"/>
          <w:kern w:val="28"/>
          <w:sz w:val="17"/>
          <w:szCs w:val="17"/>
        </w:rPr>
        <w:t xml:space="preserve"> and water infrastructure and distribution works</w:t>
      </w:r>
      <w:r w:rsidR="00FC2527" w:rsidRPr="00D02B88">
        <w:rPr>
          <w:rFonts w:ascii="Arial" w:hAnsi="Arial" w:cs="Arial"/>
          <w:kern w:val="28"/>
          <w:sz w:val="17"/>
          <w:szCs w:val="17"/>
        </w:rPr>
        <w:t>.</w:t>
      </w:r>
      <w:r w:rsidRPr="009F5493">
        <w:rPr>
          <w:rFonts w:ascii="Arial" w:hAnsi="Arial" w:cs="Arial"/>
          <w:kern w:val="28"/>
          <w:sz w:val="17"/>
          <w:szCs w:val="17"/>
        </w:rPr>
        <w:t xml:space="preserve"> </w:t>
      </w:r>
    </w:p>
    <w:p w14:paraId="64F3C2EA" w14:textId="77777777" w:rsidR="004D104C" w:rsidRDefault="004D104C" w:rsidP="00001F5A">
      <w:pPr>
        <w:pStyle w:val="BodyText"/>
      </w:pPr>
    </w:p>
    <w:p w14:paraId="5778F348" w14:textId="77777777" w:rsidR="00224A96" w:rsidRPr="00D02B88" w:rsidRDefault="00224A96" w:rsidP="00D02B88">
      <w:pPr>
        <w:rPr>
          <w:rFonts w:ascii="Calibri" w:hAnsi="Calibri" w:cs="Calibri"/>
        </w:rPr>
      </w:pPr>
    </w:p>
    <w:p w14:paraId="6C163B39" w14:textId="2E3637E2" w:rsidR="00C83CC7" w:rsidRPr="004F4954" w:rsidRDefault="00C83CC7" w:rsidP="00A1397D">
      <w:pPr>
        <w:pStyle w:val="Heading3"/>
      </w:pPr>
      <w:r w:rsidRPr="00E15A68">
        <w:t>Infrastructure maintenance</w:t>
      </w:r>
    </w:p>
    <w:p w14:paraId="0650CA45" w14:textId="2B18A0DC" w:rsidR="007C390D" w:rsidRDefault="007B0286">
      <w:pPr>
        <w:pStyle w:val="BodyText"/>
      </w:pPr>
      <w:r w:rsidRPr="00A1397D">
        <w:t>Agencies maintain their infrastructure to support the delivery of high-quality services.</w:t>
      </w:r>
      <w:r w:rsidR="00BC325D">
        <w:t xml:space="preserve"> </w:t>
      </w:r>
      <w:r w:rsidR="006F4A54" w:rsidRPr="0018609C">
        <w:t xml:space="preserve">Table 1.4 shows </w:t>
      </w:r>
      <w:r w:rsidR="007455B3">
        <w:t>the forecast</w:t>
      </w:r>
      <w:r w:rsidR="006F4A54" w:rsidRPr="0018609C">
        <w:t xml:space="preserve"> maintenance expenditure estimates for the general government and PNFC sectors </w:t>
      </w:r>
      <w:r w:rsidR="006F4A54">
        <w:t xml:space="preserve">across the four years to </w:t>
      </w:r>
      <w:r w:rsidR="00EE28E7">
        <w:t>2024-25</w:t>
      </w:r>
      <w:r w:rsidR="006F4A54">
        <w:t>.</w:t>
      </w:r>
      <w:r w:rsidR="00745D4A">
        <w:t xml:space="preserve"> </w:t>
      </w:r>
    </w:p>
    <w:p w14:paraId="5D397E47" w14:textId="320AA487" w:rsidR="00C045BC" w:rsidRPr="001B73B2" w:rsidRDefault="00C83CC7" w:rsidP="00C15EF8">
      <w:pPr>
        <w:pStyle w:val="Table1X"/>
        <w:keepNext/>
        <w:keepLines/>
        <w:widowControl/>
        <w:ind w:left="1208" w:hanging="1208"/>
      </w:pPr>
      <w:r w:rsidRPr="001B73B2">
        <w:t>Maintenance expenses</w:t>
      </w:r>
      <w:r w:rsidR="00185851" w:rsidRPr="001B73B2">
        <w:rPr>
          <w:vertAlign w:val="superscript"/>
        </w:rPr>
        <w:t>(a)</w:t>
      </w:r>
      <w:r w:rsidR="00966A40" w:rsidRPr="001B73B2">
        <w:rPr>
          <w:vertAlign w:val="superscript"/>
        </w:rPr>
        <w:t xml:space="preserve"> </w:t>
      </w:r>
    </w:p>
    <w:tbl>
      <w:tblPr>
        <w:tblW w:w="9639" w:type="dxa"/>
        <w:tblLayout w:type="fixed"/>
        <w:tblLook w:val="04A0" w:firstRow="1" w:lastRow="0" w:firstColumn="1" w:lastColumn="0" w:noHBand="0" w:noVBand="1"/>
        <w:tblCaption w:val="Table 1.4: Maintenance expenses(a) "/>
        <w:tblDescription w:val="Table 1.4: Maintenance expenses(a) "/>
      </w:tblPr>
      <w:tblGrid>
        <w:gridCol w:w="1201"/>
        <w:gridCol w:w="2201"/>
        <w:gridCol w:w="1022"/>
        <w:gridCol w:w="980"/>
        <w:gridCol w:w="1117"/>
        <w:gridCol w:w="1052"/>
        <w:gridCol w:w="1008"/>
        <w:gridCol w:w="1058"/>
      </w:tblGrid>
      <w:tr w:rsidR="00034842" w:rsidRPr="00035057" w14:paraId="5EED2AAD" w14:textId="77777777" w:rsidTr="00C67D54">
        <w:trPr>
          <w:trHeight w:val="283"/>
        </w:trPr>
        <w:tc>
          <w:tcPr>
            <w:tcW w:w="1201" w:type="dxa"/>
            <w:tcBorders>
              <w:top w:val="nil"/>
              <w:left w:val="nil"/>
              <w:bottom w:val="nil"/>
              <w:right w:val="nil"/>
            </w:tcBorders>
            <w:shd w:val="clear" w:color="000000" w:fill="008EBA"/>
            <w:vAlign w:val="bottom"/>
            <w:hideMark/>
          </w:tcPr>
          <w:p w14:paraId="5FCE4725" w14:textId="77777777" w:rsidR="00DA7C74" w:rsidRPr="00A135A4" w:rsidRDefault="00DA7C74" w:rsidP="008C5D92">
            <w:pPr>
              <w:jc w:val="center"/>
              <w:rPr>
                <w:rFonts w:ascii="Arial" w:hAnsi="Arial" w:cs="Arial"/>
                <w:color w:val="FFFFFF"/>
                <w:sz w:val="18"/>
                <w:szCs w:val="18"/>
                <w:lang w:val="en-AU" w:eastAsia="en-AU"/>
              </w:rPr>
            </w:pPr>
            <w:r w:rsidRPr="00A135A4">
              <w:rPr>
                <w:rFonts w:ascii="Arial" w:hAnsi="Arial" w:cs="Arial"/>
                <w:color w:val="FFFFFF"/>
                <w:sz w:val="18"/>
                <w:szCs w:val="18"/>
                <w:lang w:val="en-AU" w:eastAsia="en-AU"/>
              </w:rPr>
              <w:t> </w:t>
            </w:r>
          </w:p>
        </w:tc>
        <w:tc>
          <w:tcPr>
            <w:tcW w:w="2201" w:type="dxa"/>
            <w:tcBorders>
              <w:top w:val="nil"/>
              <w:left w:val="nil"/>
              <w:bottom w:val="nil"/>
              <w:right w:val="nil"/>
            </w:tcBorders>
            <w:shd w:val="clear" w:color="000000" w:fill="008EBA"/>
            <w:vAlign w:val="bottom"/>
            <w:hideMark/>
          </w:tcPr>
          <w:p w14:paraId="078C4557" w14:textId="77777777" w:rsidR="00DA7C74" w:rsidRPr="00E034C7" w:rsidRDefault="00DA7C74"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 </w:t>
            </w:r>
          </w:p>
        </w:tc>
        <w:tc>
          <w:tcPr>
            <w:tcW w:w="2002" w:type="dxa"/>
            <w:gridSpan w:val="2"/>
            <w:tcBorders>
              <w:top w:val="nil"/>
              <w:left w:val="nil"/>
              <w:bottom w:val="nil"/>
              <w:right w:val="nil"/>
            </w:tcBorders>
            <w:shd w:val="clear" w:color="000000" w:fill="008EBA"/>
            <w:vAlign w:val="bottom"/>
            <w:hideMark/>
          </w:tcPr>
          <w:p w14:paraId="2B4CC77D" w14:textId="2DEBF3C3" w:rsidR="00DA7C74" w:rsidRPr="00E034C7" w:rsidRDefault="00EE28E7" w:rsidP="008C5D92">
            <w:pPr>
              <w:jc w:val="center"/>
              <w:rPr>
                <w:rFonts w:ascii="Arial" w:hAnsi="Arial" w:cs="Arial"/>
                <w:color w:val="FFFFFF"/>
                <w:sz w:val="18"/>
                <w:szCs w:val="18"/>
                <w:lang w:val="en-AU" w:eastAsia="en-AU"/>
              </w:rPr>
            </w:pPr>
            <w:r>
              <w:rPr>
                <w:rFonts w:ascii="Arial" w:hAnsi="Arial" w:cs="Arial"/>
                <w:color w:val="FFFFFF"/>
                <w:sz w:val="18"/>
                <w:szCs w:val="18"/>
                <w:lang w:val="en-AU" w:eastAsia="en-AU"/>
              </w:rPr>
              <w:t>2020-21</w:t>
            </w:r>
          </w:p>
        </w:tc>
        <w:tc>
          <w:tcPr>
            <w:tcW w:w="1117" w:type="dxa"/>
            <w:tcBorders>
              <w:top w:val="nil"/>
              <w:left w:val="nil"/>
              <w:bottom w:val="nil"/>
              <w:right w:val="nil"/>
            </w:tcBorders>
            <w:shd w:val="clear" w:color="000000" w:fill="008EBA"/>
            <w:vAlign w:val="bottom"/>
            <w:hideMark/>
          </w:tcPr>
          <w:p w14:paraId="3B8DD8AF" w14:textId="1E992599" w:rsidR="00DA7C74" w:rsidRPr="00E034C7" w:rsidRDefault="00EE28E7" w:rsidP="008C5D92">
            <w:pPr>
              <w:jc w:val="center"/>
              <w:rPr>
                <w:rFonts w:ascii="Arial" w:hAnsi="Arial" w:cs="Arial"/>
                <w:color w:val="FFFFFF"/>
                <w:sz w:val="18"/>
                <w:szCs w:val="18"/>
                <w:lang w:val="en-AU" w:eastAsia="en-AU"/>
              </w:rPr>
            </w:pPr>
            <w:r>
              <w:rPr>
                <w:rFonts w:ascii="Arial" w:hAnsi="Arial" w:cs="Arial"/>
                <w:color w:val="FFFFFF"/>
                <w:sz w:val="18"/>
                <w:szCs w:val="18"/>
                <w:lang w:val="en-AU" w:eastAsia="en-AU"/>
              </w:rPr>
              <w:t>2021-22</w:t>
            </w:r>
          </w:p>
        </w:tc>
        <w:tc>
          <w:tcPr>
            <w:tcW w:w="1052" w:type="dxa"/>
            <w:tcBorders>
              <w:top w:val="nil"/>
              <w:left w:val="nil"/>
              <w:bottom w:val="nil"/>
              <w:right w:val="nil"/>
            </w:tcBorders>
            <w:shd w:val="clear" w:color="000000" w:fill="008EBA"/>
            <w:vAlign w:val="bottom"/>
            <w:hideMark/>
          </w:tcPr>
          <w:p w14:paraId="4BBE75FC" w14:textId="6DAF10D5" w:rsidR="00DA7C74" w:rsidRPr="00E034C7" w:rsidRDefault="00EE28E7" w:rsidP="008C5D92">
            <w:pPr>
              <w:jc w:val="center"/>
              <w:rPr>
                <w:rFonts w:ascii="Arial" w:hAnsi="Arial" w:cs="Arial"/>
                <w:color w:val="FFFFFF"/>
                <w:sz w:val="18"/>
                <w:szCs w:val="18"/>
                <w:lang w:val="en-AU" w:eastAsia="en-AU"/>
              </w:rPr>
            </w:pPr>
            <w:r>
              <w:rPr>
                <w:rFonts w:ascii="Arial" w:hAnsi="Arial" w:cs="Arial"/>
                <w:color w:val="FFFFFF"/>
                <w:sz w:val="18"/>
                <w:szCs w:val="18"/>
                <w:lang w:val="en-AU" w:eastAsia="en-AU"/>
              </w:rPr>
              <w:t>2022-23</w:t>
            </w:r>
          </w:p>
        </w:tc>
        <w:tc>
          <w:tcPr>
            <w:tcW w:w="1008" w:type="dxa"/>
            <w:tcBorders>
              <w:top w:val="nil"/>
              <w:left w:val="nil"/>
              <w:bottom w:val="nil"/>
              <w:right w:val="nil"/>
            </w:tcBorders>
            <w:shd w:val="clear" w:color="000000" w:fill="008EBA"/>
            <w:vAlign w:val="bottom"/>
            <w:hideMark/>
          </w:tcPr>
          <w:p w14:paraId="64C1182A" w14:textId="6B71CC2B" w:rsidR="00DA7C74" w:rsidRPr="00E034C7" w:rsidRDefault="00EE28E7" w:rsidP="008C5D92">
            <w:pPr>
              <w:jc w:val="center"/>
              <w:rPr>
                <w:rFonts w:ascii="Arial" w:hAnsi="Arial" w:cs="Arial"/>
                <w:color w:val="FFFFFF"/>
                <w:sz w:val="18"/>
                <w:szCs w:val="18"/>
                <w:lang w:val="en-AU" w:eastAsia="en-AU"/>
              </w:rPr>
            </w:pPr>
            <w:r>
              <w:rPr>
                <w:rFonts w:ascii="Arial" w:hAnsi="Arial" w:cs="Arial"/>
                <w:color w:val="FFFFFF"/>
                <w:sz w:val="18"/>
                <w:szCs w:val="18"/>
                <w:lang w:val="en-AU" w:eastAsia="en-AU"/>
              </w:rPr>
              <w:t>2023-24</w:t>
            </w:r>
          </w:p>
        </w:tc>
        <w:tc>
          <w:tcPr>
            <w:tcW w:w="1058" w:type="dxa"/>
            <w:tcBorders>
              <w:top w:val="nil"/>
              <w:left w:val="nil"/>
              <w:bottom w:val="nil"/>
              <w:right w:val="nil"/>
            </w:tcBorders>
            <w:shd w:val="clear" w:color="000000" w:fill="008EBA"/>
            <w:vAlign w:val="bottom"/>
            <w:hideMark/>
          </w:tcPr>
          <w:p w14:paraId="5EC8F85F" w14:textId="60FD94B3" w:rsidR="00DA7C74" w:rsidRPr="00E034C7" w:rsidRDefault="00EE28E7" w:rsidP="008C5D92">
            <w:pPr>
              <w:jc w:val="center"/>
              <w:rPr>
                <w:rFonts w:ascii="Arial" w:hAnsi="Arial" w:cs="Arial"/>
                <w:color w:val="FFFFFF"/>
                <w:sz w:val="18"/>
                <w:szCs w:val="18"/>
                <w:lang w:val="en-AU" w:eastAsia="en-AU"/>
              </w:rPr>
            </w:pPr>
            <w:r>
              <w:rPr>
                <w:rFonts w:ascii="Arial" w:hAnsi="Arial" w:cs="Arial"/>
                <w:color w:val="FFFFFF"/>
                <w:sz w:val="18"/>
                <w:szCs w:val="18"/>
                <w:lang w:val="en-AU" w:eastAsia="en-AU"/>
              </w:rPr>
              <w:t>2024-25</w:t>
            </w:r>
          </w:p>
        </w:tc>
      </w:tr>
      <w:tr w:rsidR="00034842" w:rsidRPr="00035057" w14:paraId="0DB2A78F" w14:textId="77777777" w:rsidTr="00C67D54">
        <w:trPr>
          <w:trHeight w:val="227"/>
        </w:trPr>
        <w:tc>
          <w:tcPr>
            <w:tcW w:w="1201" w:type="dxa"/>
            <w:tcBorders>
              <w:top w:val="nil"/>
              <w:left w:val="nil"/>
              <w:right w:val="nil"/>
            </w:tcBorders>
            <w:shd w:val="clear" w:color="000000" w:fill="008EBA"/>
            <w:vAlign w:val="bottom"/>
            <w:hideMark/>
          </w:tcPr>
          <w:p w14:paraId="4B8B2AB4" w14:textId="77777777" w:rsidR="00DA7C74" w:rsidRPr="00A135A4" w:rsidRDefault="00DA7C74" w:rsidP="008C5D92">
            <w:pPr>
              <w:jc w:val="center"/>
              <w:rPr>
                <w:rFonts w:ascii="Arial" w:hAnsi="Arial" w:cs="Arial"/>
                <w:color w:val="FFFFFF"/>
                <w:sz w:val="18"/>
                <w:szCs w:val="18"/>
                <w:lang w:val="en-AU" w:eastAsia="en-AU"/>
              </w:rPr>
            </w:pPr>
          </w:p>
        </w:tc>
        <w:tc>
          <w:tcPr>
            <w:tcW w:w="2201" w:type="dxa"/>
            <w:tcBorders>
              <w:top w:val="nil"/>
              <w:left w:val="nil"/>
              <w:right w:val="nil"/>
            </w:tcBorders>
            <w:shd w:val="clear" w:color="000000" w:fill="008EBA"/>
            <w:vAlign w:val="bottom"/>
            <w:hideMark/>
          </w:tcPr>
          <w:p w14:paraId="34F21EE5" w14:textId="77777777" w:rsidR="00DA7C74" w:rsidRPr="00E034C7" w:rsidRDefault="00DA7C74" w:rsidP="008C5D92">
            <w:pPr>
              <w:jc w:val="center"/>
              <w:rPr>
                <w:rFonts w:ascii="Arial" w:hAnsi="Arial" w:cs="Arial"/>
                <w:color w:val="FFFFFF"/>
                <w:sz w:val="18"/>
                <w:szCs w:val="18"/>
                <w:lang w:val="en-AU" w:eastAsia="en-AU"/>
              </w:rPr>
            </w:pPr>
          </w:p>
        </w:tc>
        <w:tc>
          <w:tcPr>
            <w:tcW w:w="1022" w:type="dxa"/>
            <w:tcBorders>
              <w:top w:val="nil"/>
              <w:left w:val="nil"/>
              <w:right w:val="nil"/>
            </w:tcBorders>
            <w:shd w:val="clear" w:color="000000" w:fill="008EBA"/>
            <w:vAlign w:val="bottom"/>
            <w:hideMark/>
          </w:tcPr>
          <w:p w14:paraId="4798196C" w14:textId="77777777" w:rsidR="00DA7C74" w:rsidRPr="00E034C7" w:rsidRDefault="00DA7C74"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Budget</w:t>
            </w:r>
          </w:p>
        </w:tc>
        <w:tc>
          <w:tcPr>
            <w:tcW w:w="980" w:type="dxa"/>
            <w:tcBorders>
              <w:top w:val="nil"/>
              <w:left w:val="nil"/>
              <w:right w:val="nil"/>
            </w:tcBorders>
            <w:shd w:val="clear" w:color="000000" w:fill="008EBA"/>
            <w:vAlign w:val="bottom"/>
            <w:hideMark/>
          </w:tcPr>
          <w:p w14:paraId="31142318" w14:textId="75C25AC1" w:rsidR="00DA7C74" w:rsidRPr="00E034C7" w:rsidRDefault="00EE28E7" w:rsidP="008C5D92">
            <w:pPr>
              <w:jc w:val="center"/>
              <w:rPr>
                <w:rFonts w:ascii="Arial" w:hAnsi="Arial" w:cs="Arial"/>
                <w:color w:val="FFFFFF"/>
                <w:sz w:val="18"/>
                <w:szCs w:val="18"/>
                <w:lang w:val="en-AU" w:eastAsia="en-AU"/>
              </w:rPr>
            </w:pPr>
            <w:r>
              <w:rPr>
                <w:rFonts w:ascii="Arial" w:hAnsi="Arial" w:cs="Arial"/>
                <w:color w:val="FFFFFF"/>
                <w:sz w:val="18"/>
                <w:szCs w:val="18"/>
                <w:lang w:val="en-AU" w:eastAsia="en-AU"/>
              </w:rPr>
              <w:t>Revised</w:t>
            </w:r>
          </w:p>
        </w:tc>
        <w:tc>
          <w:tcPr>
            <w:tcW w:w="1117" w:type="dxa"/>
            <w:tcBorders>
              <w:top w:val="nil"/>
              <w:left w:val="nil"/>
              <w:right w:val="nil"/>
            </w:tcBorders>
            <w:shd w:val="clear" w:color="000000" w:fill="008EBA"/>
            <w:vAlign w:val="bottom"/>
            <w:hideMark/>
          </w:tcPr>
          <w:p w14:paraId="6C9327E8" w14:textId="77777777" w:rsidR="00DA7C74" w:rsidRPr="00E034C7" w:rsidRDefault="00DA7C74"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Budget</w:t>
            </w:r>
          </w:p>
        </w:tc>
        <w:tc>
          <w:tcPr>
            <w:tcW w:w="3118" w:type="dxa"/>
            <w:gridSpan w:val="3"/>
            <w:tcBorders>
              <w:top w:val="nil"/>
              <w:left w:val="nil"/>
              <w:right w:val="nil"/>
            </w:tcBorders>
            <w:shd w:val="clear" w:color="000000" w:fill="008EBA"/>
            <w:vAlign w:val="bottom"/>
            <w:hideMark/>
          </w:tcPr>
          <w:p w14:paraId="646EE777" w14:textId="77777777" w:rsidR="00DA7C74" w:rsidRPr="00E034C7" w:rsidRDefault="00DA7C74"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Forward estimates</w:t>
            </w:r>
          </w:p>
        </w:tc>
      </w:tr>
      <w:tr w:rsidR="00034842" w:rsidRPr="00035057" w14:paraId="4EA0050A" w14:textId="77777777" w:rsidTr="00C67D54">
        <w:trPr>
          <w:trHeight w:val="283"/>
        </w:trPr>
        <w:tc>
          <w:tcPr>
            <w:tcW w:w="1201" w:type="dxa"/>
            <w:tcBorders>
              <w:top w:val="nil"/>
              <w:left w:val="nil"/>
              <w:bottom w:val="nil"/>
              <w:right w:val="nil"/>
            </w:tcBorders>
            <w:shd w:val="clear" w:color="000000" w:fill="00426F"/>
            <w:hideMark/>
          </w:tcPr>
          <w:p w14:paraId="19D2DEEF" w14:textId="77777777" w:rsidR="00DA7C74" w:rsidRPr="00A135A4" w:rsidRDefault="00DA7C74" w:rsidP="008C5D92">
            <w:pPr>
              <w:jc w:val="center"/>
              <w:rPr>
                <w:rFonts w:ascii="Arial" w:hAnsi="Arial" w:cs="Arial"/>
                <w:color w:val="FFFFFF"/>
                <w:sz w:val="18"/>
                <w:szCs w:val="18"/>
                <w:lang w:val="en-AU" w:eastAsia="en-AU"/>
              </w:rPr>
            </w:pPr>
            <w:r w:rsidRPr="00A135A4">
              <w:rPr>
                <w:rFonts w:ascii="Arial" w:hAnsi="Arial" w:cs="Arial"/>
                <w:color w:val="FFFFFF"/>
                <w:sz w:val="18"/>
                <w:szCs w:val="18"/>
                <w:lang w:val="en-AU" w:eastAsia="en-AU"/>
              </w:rPr>
              <w:t> </w:t>
            </w:r>
          </w:p>
        </w:tc>
        <w:tc>
          <w:tcPr>
            <w:tcW w:w="2201" w:type="dxa"/>
            <w:tcBorders>
              <w:top w:val="nil"/>
              <w:left w:val="nil"/>
              <w:bottom w:val="nil"/>
              <w:right w:val="nil"/>
            </w:tcBorders>
            <w:shd w:val="clear" w:color="000000" w:fill="00426F"/>
            <w:hideMark/>
          </w:tcPr>
          <w:p w14:paraId="49BF4353" w14:textId="77777777" w:rsidR="00DA7C74" w:rsidRPr="00E034C7" w:rsidRDefault="00DA7C74"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 </w:t>
            </w:r>
          </w:p>
        </w:tc>
        <w:tc>
          <w:tcPr>
            <w:tcW w:w="1022" w:type="dxa"/>
            <w:tcBorders>
              <w:top w:val="nil"/>
              <w:left w:val="nil"/>
              <w:bottom w:val="nil"/>
              <w:right w:val="nil"/>
            </w:tcBorders>
            <w:shd w:val="clear" w:color="000000" w:fill="00426F"/>
            <w:hideMark/>
          </w:tcPr>
          <w:p w14:paraId="4986B273" w14:textId="77777777" w:rsidR="00DA7C74" w:rsidRPr="00E034C7" w:rsidRDefault="00DA7C74"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$m</w:t>
            </w:r>
          </w:p>
        </w:tc>
        <w:tc>
          <w:tcPr>
            <w:tcW w:w="980" w:type="dxa"/>
            <w:tcBorders>
              <w:top w:val="nil"/>
              <w:left w:val="nil"/>
              <w:bottom w:val="nil"/>
              <w:right w:val="nil"/>
            </w:tcBorders>
            <w:shd w:val="clear" w:color="000000" w:fill="00426F"/>
            <w:hideMark/>
          </w:tcPr>
          <w:p w14:paraId="4F78C3D0" w14:textId="77777777" w:rsidR="00DA7C74" w:rsidRPr="00E034C7" w:rsidRDefault="00DA7C74"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$m</w:t>
            </w:r>
          </w:p>
        </w:tc>
        <w:tc>
          <w:tcPr>
            <w:tcW w:w="1117" w:type="dxa"/>
            <w:tcBorders>
              <w:top w:val="nil"/>
              <w:left w:val="nil"/>
              <w:right w:val="nil"/>
            </w:tcBorders>
            <w:shd w:val="clear" w:color="000000" w:fill="00426F"/>
            <w:hideMark/>
          </w:tcPr>
          <w:p w14:paraId="66FCDAD3" w14:textId="77777777" w:rsidR="00DA7C74" w:rsidRPr="00E034C7" w:rsidRDefault="00DA7C74"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$m</w:t>
            </w:r>
          </w:p>
        </w:tc>
        <w:tc>
          <w:tcPr>
            <w:tcW w:w="1052" w:type="dxa"/>
            <w:tcBorders>
              <w:top w:val="nil"/>
              <w:left w:val="nil"/>
              <w:right w:val="nil"/>
            </w:tcBorders>
            <w:shd w:val="clear" w:color="000000" w:fill="00426F"/>
            <w:hideMark/>
          </w:tcPr>
          <w:p w14:paraId="0D63CFCF" w14:textId="77777777" w:rsidR="00DA7C74" w:rsidRPr="00E034C7" w:rsidRDefault="00DA7C74"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$m</w:t>
            </w:r>
          </w:p>
        </w:tc>
        <w:tc>
          <w:tcPr>
            <w:tcW w:w="1008" w:type="dxa"/>
            <w:tcBorders>
              <w:top w:val="nil"/>
              <w:left w:val="nil"/>
              <w:right w:val="nil"/>
            </w:tcBorders>
            <w:shd w:val="clear" w:color="000000" w:fill="00426F"/>
            <w:hideMark/>
          </w:tcPr>
          <w:p w14:paraId="4927F50A" w14:textId="77777777" w:rsidR="00DA7C74" w:rsidRPr="00E034C7" w:rsidRDefault="00DA7C74"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$m</w:t>
            </w:r>
          </w:p>
        </w:tc>
        <w:tc>
          <w:tcPr>
            <w:tcW w:w="1058" w:type="dxa"/>
            <w:tcBorders>
              <w:top w:val="nil"/>
              <w:left w:val="nil"/>
              <w:right w:val="nil"/>
            </w:tcBorders>
            <w:shd w:val="clear" w:color="000000" w:fill="00426F"/>
            <w:hideMark/>
          </w:tcPr>
          <w:p w14:paraId="1CF06D5B" w14:textId="77777777" w:rsidR="00DA7C74" w:rsidRPr="00E034C7" w:rsidRDefault="00DA7C74" w:rsidP="008C5D92">
            <w:pPr>
              <w:jc w:val="center"/>
              <w:rPr>
                <w:rFonts w:ascii="Arial" w:hAnsi="Arial" w:cs="Arial"/>
                <w:color w:val="FFFFFF"/>
                <w:sz w:val="18"/>
                <w:szCs w:val="18"/>
                <w:lang w:val="en-AU" w:eastAsia="en-AU"/>
              </w:rPr>
            </w:pPr>
            <w:r w:rsidRPr="00E034C7">
              <w:rPr>
                <w:rFonts w:ascii="Arial" w:hAnsi="Arial" w:cs="Arial"/>
                <w:color w:val="FFFFFF"/>
                <w:sz w:val="18"/>
                <w:szCs w:val="18"/>
                <w:lang w:val="en-AU" w:eastAsia="en-AU"/>
              </w:rPr>
              <w:t>$m</w:t>
            </w:r>
          </w:p>
        </w:tc>
      </w:tr>
      <w:tr w:rsidR="00034842" w:rsidRPr="00035057" w14:paraId="0082A191" w14:textId="77777777" w:rsidTr="00C67D54">
        <w:trPr>
          <w:trHeight w:val="354"/>
        </w:trPr>
        <w:tc>
          <w:tcPr>
            <w:tcW w:w="3402" w:type="dxa"/>
            <w:gridSpan w:val="2"/>
            <w:tcBorders>
              <w:top w:val="nil"/>
              <w:left w:val="nil"/>
              <w:bottom w:val="nil"/>
              <w:right w:val="nil"/>
            </w:tcBorders>
            <w:shd w:val="clear" w:color="000000" w:fill="FFFFFF"/>
            <w:noWrap/>
            <w:vAlign w:val="center"/>
            <w:hideMark/>
          </w:tcPr>
          <w:p w14:paraId="6BEE2753" w14:textId="77777777" w:rsidR="00DA7C74" w:rsidRPr="00C33D2C" w:rsidRDefault="00DA7C74" w:rsidP="00847905">
            <w:pPr>
              <w:rPr>
                <w:rFonts w:ascii="Arial" w:hAnsi="Arial" w:cs="Arial"/>
                <w:sz w:val="18"/>
                <w:szCs w:val="18"/>
                <w:lang w:val="en-AU" w:eastAsia="en-AU"/>
              </w:rPr>
            </w:pPr>
            <w:r w:rsidRPr="00C33D2C">
              <w:rPr>
                <w:rFonts w:ascii="Arial" w:hAnsi="Arial" w:cs="Arial"/>
                <w:sz w:val="18"/>
                <w:szCs w:val="18"/>
                <w:lang w:val="en-AU" w:eastAsia="en-AU"/>
              </w:rPr>
              <w:t>General Government Sector</w:t>
            </w:r>
          </w:p>
        </w:tc>
        <w:tc>
          <w:tcPr>
            <w:tcW w:w="1022" w:type="dxa"/>
            <w:tcBorders>
              <w:top w:val="nil"/>
              <w:left w:val="nil"/>
              <w:bottom w:val="nil"/>
              <w:right w:val="nil"/>
            </w:tcBorders>
            <w:shd w:val="clear" w:color="000000" w:fill="FFFFFF"/>
            <w:noWrap/>
            <w:vAlign w:val="center"/>
            <w:hideMark/>
          </w:tcPr>
          <w:p w14:paraId="2A677B10" w14:textId="6EA18434" w:rsidR="00DA7C74" w:rsidRPr="00A135A4" w:rsidRDefault="0028194D" w:rsidP="008F4333">
            <w:pPr>
              <w:ind w:right="113" w:firstLineChars="100" w:firstLine="180"/>
              <w:jc w:val="right"/>
              <w:rPr>
                <w:rFonts w:ascii="Arial" w:hAnsi="Arial" w:cs="Arial"/>
                <w:sz w:val="18"/>
                <w:szCs w:val="18"/>
                <w:lang w:val="en-AU" w:eastAsia="en-AU"/>
              </w:rPr>
            </w:pPr>
            <w:r>
              <w:rPr>
                <w:rFonts w:ascii="Arial" w:hAnsi="Arial" w:cs="Arial"/>
                <w:sz w:val="18"/>
                <w:szCs w:val="18"/>
                <w:lang w:val="en-AU" w:eastAsia="en-AU"/>
              </w:rPr>
              <w:t>1,865</w:t>
            </w:r>
          </w:p>
        </w:tc>
        <w:tc>
          <w:tcPr>
            <w:tcW w:w="980" w:type="dxa"/>
            <w:tcBorders>
              <w:top w:val="nil"/>
              <w:left w:val="nil"/>
              <w:bottom w:val="nil"/>
              <w:right w:val="nil"/>
            </w:tcBorders>
            <w:shd w:val="clear" w:color="000000" w:fill="FFFFFF"/>
            <w:noWrap/>
            <w:vAlign w:val="center"/>
            <w:hideMark/>
          </w:tcPr>
          <w:p w14:paraId="5EE8DB78" w14:textId="3490D6ED" w:rsidR="00DA7C74" w:rsidRPr="00A135A4" w:rsidRDefault="00454F4F" w:rsidP="008F4333">
            <w:pPr>
              <w:ind w:right="113" w:firstLineChars="100" w:firstLine="180"/>
              <w:jc w:val="right"/>
              <w:rPr>
                <w:rFonts w:ascii="Arial" w:hAnsi="Arial" w:cs="Arial"/>
                <w:sz w:val="18"/>
                <w:szCs w:val="18"/>
                <w:lang w:val="en-AU" w:eastAsia="en-AU"/>
              </w:rPr>
            </w:pPr>
            <w:r>
              <w:rPr>
                <w:rFonts w:ascii="Arial" w:hAnsi="Arial" w:cs="Arial"/>
                <w:sz w:val="18"/>
                <w:szCs w:val="18"/>
                <w:lang w:val="en-AU" w:eastAsia="en-AU"/>
              </w:rPr>
              <w:t>1,83</w:t>
            </w:r>
            <w:r w:rsidR="008D083E">
              <w:rPr>
                <w:rFonts w:ascii="Arial" w:hAnsi="Arial" w:cs="Arial"/>
                <w:sz w:val="18"/>
                <w:szCs w:val="18"/>
                <w:lang w:val="en-AU" w:eastAsia="en-AU"/>
              </w:rPr>
              <w:t>3</w:t>
            </w:r>
          </w:p>
        </w:tc>
        <w:tc>
          <w:tcPr>
            <w:tcW w:w="1117" w:type="dxa"/>
            <w:tcBorders>
              <w:top w:val="nil"/>
              <w:left w:val="nil"/>
              <w:bottom w:val="nil"/>
              <w:right w:val="nil"/>
            </w:tcBorders>
            <w:shd w:val="pct5" w:color="auto" w:fill="auto"/>
            <w:noWrap/>
            <w:vAlign w:val="center"/>
            <w:hideMark/>
          </w:tcPr>
          <w:p w14:paraId="26386F73" w14:textId="339214BF" w:rsidR="00DA7C74" w:rsidRPr="00A135A4" w:rsidRDefault="00E159F4" w:rsidP="008F4333">
            <w:pPr>
              <w:ind w:right="113" w:firstLineChars="100" w:firstLine="180"/>
              <w:jc w:val="right"/>
              <w:rPr>
                <w:rFonts w:ascii="Arial" w:hAnsi="Arial" w:cs="Arial"/>
                <w:sz w:val="18"/>
                <w:szCs w:val="18"/>
                <w:lang w:val="en-AU" w:eastAsia="en-AU"/>
              </w:rPr>
            </w:pPr>
            <w:r>
              <w:rPr>
                <w:rFonts w:ascii="Arial" w:hAnsi="Arial" w:cs="Arial"/>
                <w:sz w:val="18"/>
                <w:szCs w:val="18"/>
                <w:lang w:val="en-AU" w:eastAsia="en-AU"/>
              </w:rPr>
              <w:t>1,946</w:t>
            </w:r>
          </w:p>
        </w:tc>
        <w:tc>
          <w:tcPr>
            <w:tcW w:w="1052" w:type="dxa"/>
            <w:tcBorders>
              <w:top w:val="nil"/>
              <w:left w:val="nil"/>
              <w:bottom w:val="nil"/>
              <w:right w:val="nil"/>
            </w:tcBorders>
            <w:shd w:val="pct5" w:color="auto" w:fill="auto"/>
            <w:noWrap/>
            <w:vAlign w:val="center"/>
            <w:hideMark/>
          </w:tcPr>
          <w:p w14:paraId="5E1854FC" w14:textId="0632A447" w:rsidR="00DA7C74" w:rsidRPr="00A135A4" w:rsidRDefault="00E159F4" w:rsidP="008F4333">
            <w:pPr>
              <w:ind w:right="113" w:firstLineChars="100" w:firstLine="180"/>
              <w:jc w:val="right"/>
              <w:rPr>
                <w:rFonts w:ascii="Arial" w:hAnsi="Arial" w:cs="Arial"/>
                <w:sz w:val="18"/>
                <w:szCs w:val="18"/>
                <w:lang w:val="en-AU" w:eastAsia="en-AU"/>
              </w:rPr>
            </w:pPr>
            <w:r>
              <w:rPr>
                <w:rFonts w:ascii="Arial" w:hAnsi="Arial" w:cs="Arial"/>
                <w:sz w:val="18"/>
                <w:szCs w:val="18"/>
                <w:lang w:val="en-AU" w:eastAsia="en-AU"/>
              </w:rPr>
              <w:t>2,038</w:t>
            </w:r>
          </w:p>
        </w:tc>
        <w:tc>
          <w:tcPr>
            <w:tcW w:w="1008" w:type="dxa"/>
            <w:tcBorders>
              <w:top w:val="nil"/>
              <w:left w:val="nil"/>
              <w:bottom w:val="nil"/>
              <w:right w:val="nil"/>
            </w:tcBorders>
            <w:shd w:val="pct5" w:color="auto" w:fill="auto"/>
            <w:noWrap/>
            <w:vAlign w:val="center"/>
            <w:hideMark/>
          </w:tcPr>
          <w:p w14:paraId="668128F4" w14:textId="080D33D3" w:rsidR="00DA7C74" w:rsidRPr="00A135A4" w:rsidRDefault="008D083E" w:rsidP="008F4333">
            <w:pPr>
              <w:ind w:right="113" w:firstLineChars="100" w:firstLine="180"/>
              <w:jc w:val="right"/>
              <w:rPr>
                <w:rFonts w:ascii="Arial" w:hAnsi="Arial" w:cs="Arial"/>
                <w:sz w:val="18"/>
                <w:szCs w:val="18"/>
                <w:lang w:val="en-AU" w:eastAsia="en-AU"/>
              </w:rPr>
            </w:pPr>
            <w:r>
              <w:rPr>
                <w:rFonts w:ascii="Arial" w:hAnsi="Arial" w:cs="Arial"/>
                <w:sz w:val="18"/>
                <w:szCs w:val="18"/>
                <w:lang w:val="en-AU" w:eastAsia="en-AU"/>
              </w:rPr>
              <w:t>2,042</w:t>
            </w:r>
          </w:p>
        </w:tc>
        <w:tc>
          <w:tcPr>
            <w:tcW w:w="1058" w:type="dxa"/>
            <w:tcBorders>
              <w:top w:val="nil"/>
              <w:left w:val="nil"/>
              <w:bottom w:val="nil"/>
              <w:right w:val="nil"/>
            </w:tcBorders>
            <w:shd w:val="pct5" w:color="auto" w:fill="auto"/>
            <w:noWrap/>
            <w:vAlign w:val="center"/>
            <w:hideMark/>
          </w:tcPr>
          <w:p w14:paraId="040CF794" w14:textId="7D89EA35" w:rsidR="00DA7C74" w:rsidRPr="00A135A4" w:rsidRDefault="00E159F4" w:rsidP="008F4333">
            <w:pPr>
              <w:ind w:right="113" w:firstLineChars="100" w:firstLine="180"/>
              <w:jc w:val="right"/>
              <w:rPr>
                <w:rFonts w:ascii="Arial" w:hAnsi="Arial" w:cs="Arial"/>
                <w:sz w:val="18"/>
                <w:szCs w:val="18"/>
                <w:lang w:val="en-AU" w:eastAsia="en-AU"/>
              </w:rPr>
            </w:pPr>
            <w:r>
              <w:rPr>
                <w:rFonts w:ascii="Arial" w:hAnsi="Arial" w:cs="Arial"/>
                <w:sz w:val="18"/>
                <w:szCs w:val="18"/>
                <w:lang w:val="en-AU" w:eastAsia="en-AU"/>
              </w:rPr>
              <w:t>2,094</w:t>
            </w:r>
          </w:p>
        </w:tc>
      </w:tr>
      <w:tr w:rsidR="00034842" w:rsidRPr="00035057" w14:paraId="344C594E" w14:textId="77777777" w:rsidTr="00C67D54">
        <w:trPr>
          <w:trHeight w:val="354"/>
        </w:trPr>
        <w:tc>
          <w:tcPr>
            <w:tcW w:w="3402" w:type="dxa"/>
            <w:gridSpan w:val="2"/>
            <w:tcBorders>
              <w:top w:val="nil"/>
              <w:left w:val="nil"/>
              <w:bottom w:val="nil"/>
              <w:right w:val="nil"/>
            </w:tcBorders>
            <w:shd w:val="clear" w:color="000000" w:fill="FFFFFF"/>
            <w:noWrap/>
            <w:vAlign w:val="center"/>
            <w:hideMark/>
          </w:tcPr>
          <w:p w14:paraId="2E7CDF04" w14:textId="20CDE631" w:rsidR="00DA7C74" w:rsidRPr="00C33D2C" w:rsidRDefault="00DA7C74" w:rsidP="009D7B97">
            <w:pPr>
              <w:ind w:right="-57"/>
              <w:rPr>
                <w:rFonts w:ascii="Arial" w:hAnsi="Arial" w:cs="Arial"/>
                <w:sz w:val="18"/>
                <w:szCs w:val="18"/>
                <w:lang w:val="en-AU" w:eastAsia="en-AU"/>
              </w:rPr>
            </w:pPr>
            <w:r w:rsidRPr="00C33D2C">
              <w:rPr>
                <w:rFonts w:ascii="Arial" w:hAnsi="Arial" w:cs="Arial"/>
                <w:sz w:val="18"/>
                <w:szCs w:val="18"/>
                <w:lang w:val="en-AU" w:eastAsia="en-AU"/>
              </w:rPr>
              <w:t>Public Non-Financial Corporation Sector</w:t>
            </w:r>
          </w:p>
        </w:tc>
        <w:tc>
          <w:tcPr>
            <w:tcW w:w="1022" w:type="dxa"/>
            <w:tcBorders>
              <w:top w:val="nil"/>
              <w:left w:val="nil"/>
              <w:bottom w:val="nil"/>
              <w:right w:val="nil"/>
            </w:tcBorders>
            <w:shd w:val="clear" w:color="000000" w:fill="FFFFFF"/>
            <w:noWrap/>
            <w:vAlign w:val="bottom"/>
            <w:hideMark/>
          </w:tcPr>
          <w:p w14:paraId="07845DCC" w14:textId="0B87BB48" w:rsidR="00DA7C74" w:rsidRPr="00A135A4" w:rsidRDefault="0028194D" w:rsidP="008F4333">
            <w:pPr>
              <w:ind w:right="113" w:firstLineChars="100" w:firstLine="180"/>
              <w:jc w:val="right"/>
              <w:rPr>
                <w:rFonts w:ascii="Arial" w:hAnsi="Arial" w:cs="Arial"/>
                <w:sz w:val="18"/>
                <w:szCs w:val="18"/>
                <w:lang w:val="en-AU" w:eastAsia="en-AU"/>
              </w:rPr>
            </w:pPr>
            <w:r>
              <w:rPr>
                <w:rFonts w:ascii="Arial" w:hAnsi="Arial" w:cs="Arial"/>
                <w:sz w:val="18"/>
                <w:szCs w:val="18"/>
                <w:lang w:val="en-AU" w:eastAsia="en-AU"/>
              </w:rPr>
              <w:t>2,192</w:t>
            </w:r>
          </w:p>
        </w:tc>
        <w:tc>
          <w:tcPr>
            <w:tcW w:w="980" w:type="dxa"/>
            <w:tcBorders>
              <w:top w:val="nil"/>
              <w:left w:val="nil"/>
              <w:bottom w:val="nil"/>
              <w:right w:val="nil"/>
            </w:tcBorders>
            <w:shd w:val="clear" w:color="000000" w:fill="FFFFFF"/>
            <w:noWrap/>
            <w:vAlign w:val="bottom"/>
            <w:hideMark/>
          </w:tcPr>
          <w:p w14:paraId="7C0F02B5" w14:textId="2EEAFB2D" w:rsidR="00DA7C74" w:rsidRPr="00A135A4" w:rsidRDefault="008D083E" w:rsidP="008F4333">
            <w:pPr>
              <w:ind w:right="113" w:firstLineChars="100" w:firstLine="180"/>
              <w:jc w:val="right"/>
              <w:rPr>
                <w:rFonts w:ascii="Arial" w:hAnsi="Arial" w:cs="Arial"/>
                <w:sz w:val="18"/>
                <w:szCs w:val="18"/>
                <w:lang w:val="en-AU" w:eastAsia="en-AU"/>
              </w:rPr>
            </w:pPr>
            <w:r>
              <w:rPr>
                <w:rFonts w:ascii="Arial" w:hAnsi="Arial" w:cs="Arial"/>
                <w:sz w:val="18"/>
                <w:szCs w:val="18"/>
                <w:lang w:val="en-AU" w:eastAsia="en-AU"/>
              </w:rPr>
              <w:t>2,171</w:t>
            </w:r>
          </w:p>
        </w:tc>
        <w:tc>
          <w:tcPr>
            <w:tcW w:w="1117" w:type="dxa"/>
            <w:tcBorders>
              <w:top w:val="nil"/>
              <w:left w:val="nil"/>
              <w:bottom w:val="nil"/>
              <w:right w:val="nil"/>
            </w:tcBorders>
            <w:shd w:val="pct5" w:color="auto" w:fill="auto"/>
            <w:noWrap/>
            <w:vAlign w:val="bottom"/>
            <w:hideMark/>
          </w:tcPr>
          <w:p w14:paraId="66E7C6A9" w14:textId="5C9B713B" w:rsidR="00DA7C74" w:rsidRPr="00A135A4" w:rsidRDefault="008D083E" w:rsidP="008F4333">
            <w:pPr>
              <w:ind w:right="113" w:firstLineChars="100" w:firstLine="180"/>
              <w:jc w:val="right"/>
              <w:rPr>
                <w:rFonts w:ascii="Arial" w:hAnsi="Arial" w:cs="Arial"/>
                <w:sz w:val="18"/>
                <w:szCs w:val="18"/>
                <w:lang w:val="en-AU" w:eastAsia="en-AU"/>
              </w:rPr>
            </w:pPr>
            <w:r>
              <w:rPr>
                <w:rFonts w:ascii="Arial" w:hAnsi="Arial" w:cs="Arial"/>
                <w:sz w:val="18"/>
                <w:szCs w:val="18"/>
                <w:lang w:val="en-AU" w:eastAsia="en-AU"/>
              </w:rPr>
              <w:t>2,18</w:t>
            </w:r>
            <w:r w:rsidR="00281B14">
              <w:rPr>
                <w:rFonts w:ascii="Arial" w:hAnsi="Arial" w:cs="Arial"/>
                <w:sz w:val="18"/>
                <w:szCs w:val="18"/>
                <w:lang w:val="en-AU" w:eastAsia="en-AU"/>
              </w:rPr>
              <w:t>4</w:t>
            </w:r>
          </w:p>
        </w:tc>
        <w:tc>
          <w:tcPr>
            <w:tcW w:w="1052" w:type="dxa"/>
            <w:tcBorders>
              <w:top w:val="nil"/>
              <w:left w:val="nil"/>
              <w:bottom w:val="nil"/>
              <w:right w:val="nil"/>
            </w:tcBorders>
            <w:shd w:val="pct5" w:color="auto" w:fill="auto"/>
            <w:noWrap/>
            <w:vAlign w:val="bottom"/>
            <w:hideMark/>
          </w:tcPr>
          <w:p w14:paraId="64BD2F03" w14:textId="10755D06" w:rsidR="00DA7C74" w:rsidRPr="00A135A4" w:rsidRDefault="008D083E" w:rsidP="008F4333">
            <w:pPr>
              <w:ind w:right="113" w:firstLineChars="100" w:firstLine="180"/>
              <w:jc w:val="right"/>
              <w:rPr>
                <w:rFonts w:ascii="Arial" w:hAnsi="Arial" w:cs="Arial"/>
                <w:sz w:val="18"/>
                <w:szCs w:val="18"/>
                <w:lang w:val="en-AU" w:eastAsia="en-AU"/>
              </w:rPr>
            </w:pPr>
            <w:r>
              <w:rPr>
                <w:rFonts w:ascii="Arial" w:hAnsi="Arial" w:cs="Arial"/>
                <w:sz w:val="18"/>
                <w:szCs w:val="18"/>
                <w:lang w:val="en-AU" w:eastAsia="en-AU"/>
              </w:rPr>
              <w:t>2,14</w:t>
            </w:r>
            <w:r w:rsidR="00353F48">
              <w:rPr>
                <w:rFonts w:ascii="Arial" w:hAnsi="Arial" w:cs="Arial"/>
                <w:sz w:val="18"/>
                <w:szCs w:val="18"/>
                <w:lang w:val="en-AU" w:eastAsia="en-AU"/>
              </w:rPr>
              <w:t>2</w:t>
            </w:r>
          </w:p>
        </w:tc>
        <w:tc>
          <w:tcPr>
            <w:tcW w:w="1008" w:type="dxa"/>
            <w:tcBorders>
              <w:top w:val="nil"/>
              <w:left w:val="nil"/>
              <w:bottom w:val="nil"/>
              <w:right w:val="nil"/>
            </w:tcBorders>
            <w:shd w:val="pct5" w:color="auto" w:fill="auto"/>
            <w:noWrap/>
            <w:vAlign w:val="bottom"/>
            <w:hideMark/>
          </w:tcPr>
          <w:p w14:paraId="48C17C54" w14:textId="48886BB4" w:rsidR="00DA7C74" w:rsidRPr="00A135A4" w:rsidRDefault="008D083E" w:rsidP="008F4333">
            <w:pPr>
              <w:ind w:right="113" w:firstLineChars="100" w:firstLine="180"/>
              <w:jc w:val="right"/>
              <w:rPr>
                <w:rFonts w:ascii="Arial" w:hAnsi="Arial" w:cs="Arial"/>
                <w:sz w:val="18"/>
                <w:szCs w:val="18"/>
                <w:lang w:val="en-AU" w:eastAsia="en-AU"/>
              </w:rPr>
            </w:pPr>
            <w:r>
              <w:rPr>
                <w:rFonts w:ascii="Arial" w:hAnsi="Arial" w:cs="Arial"/>
                <w:sz w:val="18"/>
                <w:szCs w:val="18"/>
                <w:lang w:val="en-AU" w:eastAsia="en-AU"/>
              </w:rPr>
              <w:t>2,105</w:t>
            </w:r>
          </w:p>
        </w:tc>
        <w:tc>
          <w:tcPr>
            <w:tcW w:w="1058" w:type="dxa"/>
            <w:tcBorders>
              <w:top w:val="nil"/>
              <w:left w:val="nil"/>
              <w:bottom w:val="nil"/>
              <w:right w:val="nil"/>
            </w:tcBorders>
            <w:shd w:val="pct5" w:color="auto" w:fill="auto"/>
            <w:noWrap/>
            <w:vAlign w:val="bottom"/>
            <w:hideMark/>
          </w:tcPr>
          <w:p w14:paraId="41CB6E1E" w14:textId="39C51B98" w:rsidR="00DA7C74" w:rsidRPr="00A135A4" w:rsidRDefault="008D083E" w:rsidP="008F4333">
            <w:pPr>
              <w:ind w:right="113" w:firstLineChars="100" w:firstLine="180"/>
              <w:jc w:val="right"/>
              <w:rPr>
                <w:rFonts w:ascii="Arial" w:hAnsi="Arial" w:cs="Arial"/>
                <w:sz w:val="18"/>
                <w:szCs w:val="18"/>
                <w:lang w:val="en-AU" w:eastAsia="en-AU"/>
              </w:rPr>
            </w:pPr>
            <w:r>
              <w:rPr>
                <w:rFonts w:ascii="Arial" w:hAnsi="Arial" w:cs="Arial"/>
                <w:sz w:val="18"/>
                <w:szCs w:val="18"/>
                <w:lang w:val="en-AU" w:eastAsia="en-AU"/>
              </w:rPr>
              <w:t>2,11</w:t>
            </w:r>
            <w:r w:rsidR="00B05C90">
              <w:rPr>
                <w:rFonts w:ascii="Arial" w:hAnsi="Arial" w:cs="Arial"/>
                <w:sz w:val="18"/>
                <w:szCs w:val="18"/>
                <w:lang w:val="en-AU" w:eastAsia="en-AU"/>
              </w:rPr>
              <w:t>8</w:t>
            </w:r>
          </w:p>
        </w:tc>
      </w:tr>
      <w:tr w:rsidR="00034842" w:rsidRPr="00035057" w14:paraId="41391E4E" w14:textId="77777777" w:rsidTr="00C67D54">
        <w:trPr>
          <w:trHeight w:val="340"/>
        </w:trPr>
        <w:tc>
          <w:tcPr>
            <w:tcW w:w="3402" w:type="dxa"/>
            <w:gridSpan w:val="2"/>
            <w:tcBorders>
              <w:top w:val="single" w:sz="4" w:space="0" w:color="auto"/>
              <w:left w:val="nil"/>
              <w:bottom w:val="single" w:sz="4" w:space="0" w:color="auto"/>
              <w:right w:val="nil"/>
            </w:tcBorders>
            <w:shd w:val="clear" w:color="000000" w:fill="FFFFFF"/>
            <w:noWrap/>
            <w:vAlign w:val="center"/>
            <w:hideMark/>
          </w:tcPr>
          <w:p w14:paraId="68AB3ADA" w14:textId="0603A2B7" w:rsidR="00DA7C74" w:rsidRPr="00C33D2C" w:rsidRDefault="00847422" w:rsidP="008C5D92">
            <w:pPr>
              <w:rPr>
                <w:rFonts w:ascii="Arial" w:hAnsi="Arial" w:cs="Arial"/>
                <w:color w:val="008EBA"/>
                <w:sz w:val="18"/>
                <w:szCs w:val="18"/>
                <w:lang w:val="en-AU" w:eastAsia="en-AU"/>
              </w:rPr>
            </w:pPr>
            <w:r w:rsidRPr="00C33D2C">
              <w:rPr>
                <w:rFonts w:ascii="Arial" w:hAnsi="Arial" w:cs="Arial"/>
                <w:b/>
                <w:bCs/>
                <w:color w:val="008EBA"/>
                <w:sz w:val="18"/>
                <w:szCs w:val="18"/>
                <w:lang w:val="en-AU" w:eastAsia="en-AU"/>
              </w:rPr>
              <w:t>Total</w:t>
            </w:r>
          </w:p>
        </w:tc>
        <w:tc>
          <w:tcPr>
            <w:tcW w:w="1022" w:type="dxa"/>
            <w:tcBorders>
              <w:top w:val="single" w:sz="4" w:space="0" w:color="auto"/>
              <w:left w:val="nil"/>
              <w:bottom w:val="single" w:sz="4" w:space="0" w:color="auto"/>
              <w:right w:val="nil"/>
            </w:tcBorders>
            <w:shd w:val="clear" w:color="auto" w:fill="auto"/>
            <w:noWrap/>
            <w:vAlign w:val="center"/>
            <w:hideMark/>
          </w:tcPr>
          <w:p w14:paraId="0BFD9A09" w14:textId="287DAB92" w:rsidR="00DA7C74" w:rsidRPr="00A135A4" w:rsidRDefault="00454F4F" w:rsidP="008F4333">
            <w:pPr>
              <w:ind w:right="113" w:firstLineChars="100" w:firstLine="181"/>
              <w:jc w:val="right"/>
              <w:rPr>
                <w:rFonts w:ascii="Arial" w:hAnsi="Arial" w:cs="Arial"/>
                <w:b/>
                <w:color w:val="008EBA"/>
                <w:sz w:val="18"/>
                <w:szCs w:val="18"/>
                <w:lang w:val="en-AU" w:eastAsia="en-AU"/>
              </w:rPr>
            </w:pPr>
            <w:r>
              <w:rPr>
                <w:rFonts w:ascii="Arial" w:hAnsi="Arial" w:cs="Arial"/>
                <w:b/>
                <w:color w:val="008EBA"/>
                <w:sz w:val="18"/>
                <w:szCs w:val="18"/>
                <w:lang w:val="en-AU" w:eastAsia="en-AU"/>
              </w:rPr>
              <w:t>4,055</w:t>
            </w:r>
          </w:p>
        </w:tc>
        <w:tc>
          <w:tcPr>
            <w:tcW w:w="980" w:type="dxa"/>
            <w:tcBorders>
              <w:top w:val="single" w:sz="4" w:space="0" w:color="auto"/>
              <w:left w:val="nil"/>
              <w:bottom w:val="single" w:sz="4" w:space="0" w:color="auto"/>
              <w:right w:val="nil"/>
            </w:tcBorders>
            <w:shd w:val="clear" w:color="000000" w:fill="FFFFFF"/>
            <w:noWrap/>
            <w:vAlign w:val="center"/>
            <w:hideMark/>
          </w:tcPr>
          <w:p w14:paraId="1B0B00C5" w14:textId="62C91E48" w:rsidR="00DA7C74" w:rsidRPr="00A135A4" w:rsidRDefault="00454F4F" w:rsidP="008F4333">
            <w:pPr>
              <w:ind w:right="113" w:firstLineChars="100" w:firstLine="181"/>
              <w:jc w:val="right"/>
              <w:rPr>
                <w:rFonts w:ascii="Arial" w:hAnsi="Arial" w:cs="Arial"/>
                <w:b/>
                <w:color w:val="008EBA"/>
                <w:sz w:val="18"/>
                <w:szCs w:val="18"/>
                <w:lang w:val="en-AU" w:eastAsia="en-AU"/>
              </w:rPr>
            </w:pPr>
            <w:r>
              <w:rPr>
                <w:rFonts w:ascii="Arial" w:hAnsi="Arial" w:cs="Arial"/>
                <w:b/>
                <w:color w:val="008EBA"/>
                <w:sz w:val="18"/>
                <w:szCs w:val="18"/>
                <w:lang w:val="en-AU" w:eastAsia="en-AU"/>
              </w:rPr>
              <w:t>4,00</w:t>
            </w:r>
            <w:r w:rsidR="00E159F4">
              <w:rPr>
                <w:rFonts w:ascii="Arial" w:hAnsi="Arial" w:cs="Arial"/>
                <w:b/>
                <w:color w:val="008EBA"/>
                <w:sz w:val="18"/>
                <w:szCs w:val="18"/>
                <w:lang w:val="en-AU" w:eastAsia="en-AU"/>
              </w:rPr>
              <w:t>3</w:t>
            </w:r>
          </w:p>
        </w:tc>
        <w:tc>
          <w:tcPr>
            <w:tcW w:w="1117" w:type="dxa"/>
            <w:tcBorders>
              <w:top w:val="single" w:sz="4" w:space="0" w:color="auto"/>
              <w:left w:val="nil"/>
              <w:bottom w:val="single" w:sz="4" w:space="0" w:color="auto"/>
              <w:right w:val="nil"/>
            </w:tcBorders>
            <w:shd w:val="pct5" w:color="auto" w:fill="auto"/>
            <w:noWrap/>
            <w:vAlign w:val="center"/>
            <w:hideMark/>
          </w:tcPr>
          <w:p w14:paraId="10295392" w14:textId="589BA498" w:rsidR="00DA7C74" w:rsidRPr="00A135A4" w:rsidRDefault="00F04EE9" w:rsidP="008F4333">
            <w:pPr>
              <w:ind w:right="113" w:firstLineChars="100" w:firstLine="181"/>
              <w:jc w:val="right"/>
              <w:rPr>
                <w:rFonts w:ascii="Arial" w:hAnsi="Arial" w:cs="Arial"/>
                <w:b/>
                <w:color w:val="008EBA"/>
                <w:sz w:val="18"/>
                <w:szCs w:val="18"/>
                <w:lang w:val="en-AU" w:eastAsia="en-AU"/>
              </w:rPr>
            </w:pPr>
            <w:r>
              <w:rPr>
                <w:rFonts w:ascii="Arial" w:hAnsi="Arial" w:cs="Arial"/>
                <w:b/>
                <w:color w:val="008EBA"/>
                <w:sz w:val="18"/>
                <w:szCs w:val="18"/>
                <w:lang w:val="en-AU" w:eastAsia="en-AU"/>
              </w:rPr>
              <w:t>4,130</w:t>
            </w:r>
          </w:p>
        </w:tc>
        <w:tc>
          <w:tcPr>
            <w:tcW w:w="1052" w:type="dxa"/>
            <w:tcBorders>
              <w:top w:val="single" w:sz="4" w:space="0" w:color="auto"/>
              <w:left w:val="nil"/>
              <w:bottom w:val="single" w:sz="4" w:space="0" w:color="auto"/>
              <w:right w:val="nil"/>
            </w:tcBorders>
            <w:shd w:val="pct5" w:color="auto" w:fill="auto"/>
            <w:noWrap/>
            <w:vAlign w:val="center"/>
            <w:hideMark/>
          </w:tcPr>
          <w:p w14:paraId="1C77BEE4" w14:textId="017E5AF1" w:rsidR="00DA7C74" w:rsidRPr="00A135A4" w:rsidRDefault="003B10F8" w:rsidP="008F4333">
            <w:pPr>
              <w:ind w:right="113" w:firstLineChars="100" w:firstLine="181"/>
              <w:jc w:val="right"/>
              <w:rPr>
                <w:rFonts w:ascii="Arial" w:hAnsi="Arial" w:cs="Arial"/>
                <w:b/>
                <w:color w:val="008EBA"/>
                <w:sz w:val="18"/>
                <w:szCs w:val="18"/>
                <w:lang w:val="en-AU" w:eastAsia="en-AU"/>
              </w:rPr>
            </w:pPr>
            <w:r>
              <w:rPr>
                <w:rFonts w:ascii="Arial" w:hAnsi="Arial" w:cs="Arial"/>
                <w:b/>
                <w:color w:val="008EBA"/>
                <w:sz w:val="18"/>
                <w:szCs w:val="18"/>
                <w:lang w:val="en-AU" w:eastAsia="en-AU"/>
              </w:rPr>
              <w:t>4,18</w:t>
            </w:r>
            <w:r w:rsidR="00353F48">
              <w:rPr>
                <w:rFonts w:ascii="Arial" w:hAnsi="Arial" w:cs="Arial"/>
                <w:b/>
                <w:color w:val="008EBA"/>
                <w:sz w:val="18"/>
                <w:szCs w:val="18"/>
                <w:lang w:val="en-AU" w:eastAsia="en-AU"/>
              </w:rPr>
              <w:t>0</w:t>
            </w:r>
          </w:p>
        </w:tc>
        <w:tc>
          <w:tcPr>
            <w:tcW w:w="1008" w:type="dxa"/>
            <w:tcBorders>
              <w:top w:val="single" w:sz="4" w:space="0" w:color="auto"/>
              <w:left w:val="nil"/>
              <w:bottom w:val="single" w:sz="4" w:space="0" w:color="auto"/>
              <w:right w:val="nil"/>
            </w:tcBorders>
            <w:shd w:val="pct5" w:color="auto" w:fill="auto"/>
            <w:noWrap/>
            <w:vAlign w:val="center"/>
            <w:hideMark/>
          </w:tcPr>
          <w:p w14:paraId="38E2E2CE" w14:textId="67738606" w:rsidR="00DA7C74" w:rsidRPr="00A135A4" w:rsidRDefault="00BE503F" w:rsidP="008F4333">
            <w:pPr>
              <w:ind w:right="113" w:firstLineChars="100" w:firstLine="181"/>
              <w:jc w:val="right"/>
              <w:rPr>
                <w:rFonts w:ascii="Arial" w:hAnsi="Arial" w:cs="Arial"/>
                <w:b/>
                <w:color w:val="008EBA"/>
                <w:sz w:val="18"/>
                <w:szCs w:val="18"/>
                <w:lang w:val="en-AU" w:eastAsia="en-AU"/>
              </w:rPr>
            </w:pPr>
            <w:r>
              <w:rPr>
                <w:rFonts w:ascii="Arial" w:hAnsi="Arial" w:cs="Arial"/>
                <w:b/>
                <w:color w:val="008EBA"/>
                <w:sz w:val="18"/>
                <w:szCs w:val="18"/>
                <w:lang w:val="en-AU" w:eastAsia="en-AU"/>
              </w:rPr>
              <w:t>4,14</w:t>
            </w:r>
            <w:r w:rsidR="00CD06D4">
              <w:rPr>
                <w:rFonts w:ascii="Arial" w:hAnsi="Arial" w:cs="Arial"/>
                <w:b/>
                <w:color w:val="008EBA"/>
                <w:sz w:val="18"/>
                <w:szCs w:val="18"/>
                <w:lang w:val="en-AU" w:eastAsia="en-AU"/>
              </w:rPr>
              <w:t>6</w:t>
            </w:r>
          </w:p>
        </w:tc>
        <w:tc>
          <w:tcPr>
            <w:tcW w:w="1058" w:type="dxa"/>
            <w:tcBorders>
              <w:top w:val="single" w:sz="4" w:space="0" w:color="auto"/>
              <w:left w:val="nil"/>
              <w:bottom w:val="single" w:sz="4" w:space="0" w:color="auto"/>
              <w:right w:val="nil"/>
            </w:tcBorders>
            <w:shd w:val="pct5" w:color="auto" w:fill="auto"/>
            <w:noWrap/>
            <w:vAlign w:val="center"/>
            <w:hideMark/>
          </w:tcPr>
          <w:p w14:paraId="7323D897" w14:textId="55E9700B" w:rsidR="00DA7C74" w:rsidRPr="00A135A4" w:rsidRDefault="00BE503F" w:rsidP="008F4333">
            <w:pPr>
              <w:ind w:right="113" w:firstLineChars="100" w:firstLine="181"/>
              <w:jc w:val="right"/>
              <w:rPr>
                <w:rFonts w:ascii="Arial" w:hAnsi="Arial" w:cs="Arial"/>
                <w:b/>
                <w:color w:val="008EBA"/>
                <w:sz w:val="18"/>
                <w:szCs w:val="18"/>
                <w:lang w:val="en-AU" w:eastAsia="en-AU"/>
              </w:rPr>
            </w:pPr>
            <w:r>
              <w:rPr>
                <w:rFonts w:ascii="Arial" w:hAnsi="Arial" w:cs="Arial"/>
                <w:b/>
                <w:color w:val="008EBA"/>
                <w:sz w:val="18"/>
                <w:szCs w:val="18"/>
                <w:lang w:val="en-AU" w:eastAsia="en-AU"/>
              </w:rPr>
              <w:t>4,21</w:t>
            </w:r>
            <w:r w:rsidR="00CD06D4">
              <w:rPr>
                <w:rFonts w:ascii="Arial" w:hAnsi="Arial" w:cs="Arial"/>
                <w:b/>
                <w:color w:val="008EBA"/>
                <w:sz w:val="18"/>
                <w:szCs w:val="18"/>
                <w:lang w:val="en-AU" w:eastAsia="en-AU"/>
              </w:rPr>
              <w:t>2</w:t>
            </w:r>
          </w:p>
        </w:tc>
      </w:tr>
    </w:tbl>
    <w:p w14:paraId="39DF2610" w14:textId="77777777" w:rsidR="00753513" w:rsidRPr="00A1397D" w:rsidRDefault="00753513" w:rsidP="00753513">
      <w:pPr>
        <w:widowControl w:val="0"/>
        <w:tabs>
          <w:tab w:val="left" w:pos="350"/>
          <w:tab w:val="right" w:pos="4196"/>
          <w:tab w:val="right" w:pos="5046"/>
          <w:tab w:val="right" w:pos="5897"/>
          <w:tab w:val="right" w:pos="6747"/>
          <w:tab w:val="right" w:pos="7598"/>
        </w:tabs>
        <w:autoSpaceDE w:val="0"/>
        <w:autoSpaceDN w:val="0"/>
        <w:spacing w:before="20" w:after="20"/>
        <w:rPr>
          <w:rFonts w:ascii="Calibri" w:hAnsi="Calibri" w:cs="Calibri"/>
          <w:sz w:val="6"/>
          <w:szCs w:val="6"/>
        </w:rPr>
      </w:pPr>
    </w:p>
    <w:p w14:paraId="1CCD4FE0" w14:textId="4D25FEFA" w:rsidR="001E1BBD" w:rsidRPr="0027262C" w:rsidRDefault="00C83CC7" w:rsidP="0027262C">
      <w:pPr>
        <w:pStyle w:val="ListParagraph"/>
        <w:widowControl w:val="0"/>
        <w:numPr>
          <w:ilvl w:val="0"/>
          <w:numId w:val="16"/>
        </w:numPr>
        <w:tabs>
          <w:tab w:val="left" w:pos="350"/>
          <w:tab w:val="right" w:pos="4196"/>
          <w:tab w:val="right" w:pos="5046"/>
          <w:tab w:val="right" w:pos="5897"/>
          <w:tab w:val="right" w:pos="6747"/>
          <w:tab w:val="right" w:pos="7598"/>
        </w:tabs>
        <w:autoSpaceDE w:val="0"/>
        <w:autoSpaceDN w:val="0"/>
        <w:spacing w:after="0" w:line="240" w:lineRule="auto"/>
        <w:ind w:left="357" w:hanging="357"/>
        <w:contextualSpacing w:val="0"/>
        <w:rPr>
          <w:rFonts w:ascii="Arial" w:hAnsi="Arial" w:cs="Arial"/>
          <w:sz w:val="17"/>
          <w:szCs w:val="17"/>
        </w:rPr>
      </w:pPr>
      <w:r w:rsidRPr="00A1397D">
        <w:rPr>
          <w:rFonts w:ascii="Arial" w:hAnsi="Arial" w:cs="Arial"/>
          <w:sz w:val="17"/>
          <w:szCs w:val="17"/>
        </w:rPr>
        <w:t>Total spending may not equal the total of general government and PNFC expenditure due to intra-sector purchases.</w:t>
      </w:r>
    </w:p>
    <w:p w14:paraId="62B2189B" w14:textId="77777777" w:rsidR="0027262C" w:rsidRPr="0004068D" w:rsidRDefault="0027262C" w:rsidP="0004068D">
      <w:pPr>
        <w:widowControl w:val="0"/>
        <w:tabs>
          <w:tab w:val="left" w:pos="350"/>
          <w:tab w:val="right" w:pos="4196"/>
          <w:tab w:val="right" w:pos="5046"/>
          <w:tab w:val="right" w:pos="5897"/>
          <w:tab w:val="right" w:pos="6747"/>
          <w:tab w:val="right" w:pos="7598"/>
        </w:tabs>
        <w:autoSpaceDE w:val="0"/>
        <w:autoSpaceDN w:val="0"/>
        <w:rPr>
          <w:rFonts w:ascii="Calibri" w:hAnsi="Calibri" w:cs="Calibri"/>
          <w:sz w:val="17"/>
          <w:szCs w:val="17"/>
        </w:rPr>
      </w:pPr>
    </w:p>
    <w:bookmarkEnd w:id="11"/>
    <w:p w14:paraId="41E33A6B" w14:textId="048C13C6" w:rsidR="008043E3" w:rsidRPr="004B739F" w:rsidRDefault="00C47280" w:rsidP="00E25F50">
      <w:pPr>
        <w:pStyle w:val="Heading2"/>
      </w:pPr>
      <w:r>
        <w:t xml:space="preserve">Infrastructure </w:t>
      </w:r>
      <w:r w:rsidR="00FF5552">
        <w:t>i</w:t>
      </w:r>
      <w:r>
        <w:t xml:space="preserve">nvestment </w:t>
      </w:r>
      <w:r w:rsidR="00FF5552">
        <w:t>a</w:t>
      </w:r>
      <w:r>
        <w:t>ssurance</w:t>
      </w:r>
    </w:p>
    <w:p w14:paraId="2791A625" w14:textId="0E56F84D" w:rsidR="009A4CA1" w:rsidRDefault="00CD0411" w:rsidP="00001F5A">
      <w:pPr>
        <w:pStyle w:val="BodyText"/>
        <w:spacing w:after="240"/>
      </w:pPr>
      <w:r w:rsidRPr="00E30164">
        <w:t xml:space="preserve">The Government’s capital investment is </w:t>
      </w:r>
      <w:r w:rsidR="00691C56">
        <w:t>guided</w:t>
      </w:r>
      <w:r w:rsidRPr="00E30164">
        <w:t xml:space="preserve"> by the rigorous analysis and stakeholder consultation captured in key strategies and plans including the </w:t>
      </w:r>
      <w:r w:rsidRPr="00E30164">
        <w:rPr>
          <w:i/>
        </w:rPr>
        <w:t xml:space="preserve">State Infrastructure Strategy 2018-2038: Building Momentum, </w:t>
      </w:r>
      <w:r w:rsidRPr="00932F84">
        <w:rPr>
          <w:iCs w:val="0"/>
        </w:rPr>
        <w:t>the</w:t>
      </w:r>
      <w:r w:rsidRPr="00E30164">
        <w:rPr>
          <w:i/>
        </w:rPr>
        <w:t xml:space="preserve"> Greater Sydney Region Plan – A Metropolis of Three Cities, </w:t>
      </w:r>
      <w:r w:rsidRPr="00932F84">
        <w:rPr>
          <w:iCs w:val="0"/>
        </w:rPr>
        <w:t>the</w:t>
      </w:r>
      <w:r w:rsidRPr="00E30164">
        <w:rPr>
          <w:i/>
        </w:rPr>
        <w:t xml:space="preserve"> Future Transport Strategy 2056</w:t>
      </w:r>
      <w:r w:rsidRPr="00E30164">
        <w:t xml:space="preserve">, </w:t>
      </w:r>
      <w:r w:rsidR="009F7667" w:rsidRPr="0004068D">
        <w:rPr>
          <w:i/>
        </w:rPr>
        <w:t>Digital NSW</w:t>
      </w:r>
      <w:r w:rsidR="007E03FB" w:rsidRPr="0004068D">
        <w:rPr>
          <w:i/>
        </w:rPr>
        <w:t>: Designing our Digital Future</w:t>
      </w:r>
      <w:r w:rsidR="007E03FB">
        <w:t xml:space="preserve"> </w:t>
      </w:r>
      <w:r w:rsidRPr="00E30164">
        <w:t xml:space="preserve">and the </w:t>
      </w:r>
      <w:r w:rsidRPr="00E30164">
        <w:rPr>
          <w:i/>
        </w:rPr>
        <w:t>Regional Development Framework</w:t>
      </w:r>
      <w:r w:rsidRPr="00E30164">
        <w:t xml:space="preserve">. </w:t>
      </w:r>
      <w:r w:rsidR="001770E9">
        <w:t>T</w:t>
      </w:r>
      <w:r w:rsidRPr="00E30164">
        <w:t>hese documents set out the Government’s priorities and bring together infrastructure investment, precinct and land-use planning for cities and regions.</w:t>
      </w:r>
    </w:p>
    <w:p w14:paraId="3980493C" w14:textId="77777777" w:rsidR="00570A87" w:rsidRPr="00CD0411" w:rsidRDefault="00570A87" w:rsidP="00570A87"/>
    <w:tbl>
      <w:tblPr>
        <w:tblW w:w="9639" w:type="dxa"/>
        <w:shd w:val="clear" w:color="auto" w:fill="F2F2F2" w:themeFill="background1" w:themeFillShade="F2"/>
        <w:tblCellMar>
          <w:left w:w="0" w:type="dxa"/>
          <w:right w:w="0" w:type="dxa"/>
        </w:tblCellMar>
        <w:tblLook w:val="04A0" w:firstRow="1" w:lastRow="0" w:firstColumn="1" w:lastColumn="0" w:noHBand="0" w:noVBand="1"/>
        <w:tblCaption w:val="Box 1.4:  Infrastructure NSW: Independent expert advice"/>
        <w:tblDescription w:val="Box 1.4:  Infrastructure NSW: Independent expert advice"/>
      </w:tblPr>
      <w:tblGrid>
        <w:gridCol w:w="9639"/>
      </w:tblGrid>
      <w:tr w:rsidR="00CF3B5A" w:rsidRPr="00E15A68" w14:paraId="02FE0F1E" w14:textId="77777777" w:rsidTr="00BB6079">
        <w:trPr>
          <w:trHeight w:val="6233"/>
        </w:trPr>
        <w:tc>
          <w:tcPr>
            <w:tcW w:w="9639" w:type="dxa"/>
            <w:shd w:val="clear" w:color="auto" w:fill="F2F2F2" w:themeFill="background1" w:themeFillShade="F2"/>
            <w:tcMar>
              <w:top w:w="0" w:type="dxa"/>
              <w:left w:w="108" w:type="dxa"/>
              <w:bottom w:w="0" w:type="dxa"/>
              <w:right w:w="108" w:type="dxa"/>
            </w:tcMar>
          </w:tcPr>
          <w:p w14:paraId="0A300911" w14:textId="20379CC1" w:rsidR="00CF3B5A" w:rsidRPr="00F6374B" w:rsidRDefault="00CF3B5A" w:rsidP="00E46789">
            <w:pPr>
              <w:pStyle w:val="Box11BoxHeading"/>
              <w:tabs>
                <w:tab w:val="left" w:pos="1163"/>
              </w:tabs>
              <w:ind w:left="357" w:hanging="357"/>
              <w:rPr>
                <w:rFonts w:cs="Calibri"/>
              </w:rPr>
            </w:pPr>
            <w:r w:rsidRPr="00B02BA8">
              <w:rPr>
                <w:rFonts w:cs="Calibri"/>
                <w:b w:val="0"/>
              </w:rPr>
              <w:br w:type="page"/>
            </w:r>
            <w:r>
              <w:t>Infrastructure NSW</w:t>
            </w:r>
            <w:r w:rsidR="00DD6555">
              <w:t>: Independent expert advice</w:t>
            </w:r>
          </w:p>
          <w:p w14:paraId="4347F481" w14:textId="33AEB604" w:rsidR="00A145B6" w:rsidRPr="00001F5A" w:rsidRDefault="00CF3B5A" w:rsidP="00BB6079">
            <w:pPr>
              <w:pStyle w:val="BodyTextBox"/>
              <w:framePr w:wrap="around"/>
            </w:pPr>
            <w:r w:rsidRPr="00001F5A">
              <w:t>The Government’s investment in infrastructure is informed by independent, robust, evidence-based advice published by Infrastructure NSW in the 20-year State Infrastructure Strategy.</w:t>
            </w:r>
          </w:p>
          <w:p w14:paraId="66F0A203" w14:textId="0F734334" w:rsidR="00D23CFB" w:rsidRPr="00001F5A" w:rsidRDefault="00D23CFB" w:rsidP="00BB6079">
            <w:pPr>
              <w:pStyle w:val="BodyTextBox"/>
              <w:framePr w:wrap="around"/>
            </w:pPr>
            <w:r w:rsidRPr="00001F5A">
              <w:t xml:space="preserve">Updated every </w:t>
            </w:r>
            <w:r w:rsidR="00A85E9D">
              <w:t>five</w:t>
            </w:r>
            <w:r w:rsidRPr="00001F5A">
              <w:t xml:space="preserve"> years or as directed by the Premier, the State Infrastructure Strategy assesses infrastructure problems and solutions, and provides recommendations to best grow the State's economy, enhance productivity and improve living standards for </w:t>
            </w:r>
            <w:r w:rsidR="00F05816">
              <w:t>the</w:t>
            </w:r>
            <w:r w:rsidR="00F05816" w:rsidRPr="00001F5A">
              <w:t xml:space="preserve"> </w:t>
            </w:r>
            <w:r w:rsidRPr="00001F5A">
              <w:t>NSW community. The next State Infrastructure Strategy is being developed for release in 2022.</w:t>
            </w:r>
          </w:p>
          <w:p w14:paraId="3946CC79" w14:textId="114D78AE" w:rsidR="00A145B6" w:rsidRPr="00001F5A" w:rsidRDefault="00CF3B5A" w:rsidP="00BB6079">
            <w:pPr>
              <w:pStyle w:val="BodyTextBox"/>
              <w:framePr w:wrap="around"/>
            </w:pPr>
            <w:r w:rsidRPr="00001F5A">
              <w:t xml:space="preserve">Infrastructure NSW also leads the delivery of a </w:t>
            </w:r>
            <w:r w:rsidR="00E7526D">
              <w:t>five</w:t>
            </w:r>
            <w:r w:rsidRPr="00001F5A">
              <w:t>-year infrastructure plan, the NSW Infrastructure Pipeline, updated bi-annually and published on the Infrastructure NSW website.</w:t>
            </w:r>
          </w:p>
          <w:p w14:paraId="1953FECB" w14:textId="53E5E806" w:rsidR="00D23CFB" w:rsidRPr="00001F5A" w:rsidRDefault="00D23CFB" w:rsidP="00BB6079">
            <w:pPr>
              <w:pStyle w:val="BodyTextBox"/>
              <w:framePr w:wrap="around"/>
            </w:pPr>
            <w:r w:rsidRPr="00001F5A">
              <w:t>The plan sets out projects to be prioritised and the status and timeline for each. The pipeline brings together all Government infrastructure projects with a minimum capital value of over $50</w:t>
            </w:r>
            <w:r w:rsidR="00A145B6">
              <w:t>.0</w:t>
            </w:r>
            <w:r w:rsidRPr="00001F5A">
              <w:t xml:space="preserve"> million expected to come to market in the next </w:t>
            </w:r>
            <w:r w:rsidR="00A145B6">
              <w:t>three</w:t>
            </w:r>
            <w:r w:rsidRPr="00001F5A">
              <w:t xml:space="preserve"> to </w:t>
            </w:r>
            <w:r w:rsidR="00A145B6">
              <w:t>five</w:t>
            </w:r>
            <w:r w:rsidRPr="00001F5A">
              <w:t xml:space="preserve"> years, providing government with a priority list and industry with the best possible information to enable planning and resourcing. </w:t>
            </w:r>
          </w:p>
          <w:p w14:paraId="1FC5D160" w14:textId="2D6E7875" w:rsidR="00CF3B5A" w:rsidRPr="002363E9" w:rsidRDefault="00D23CFB" w:rsidP="00BB6079">
            <w:pPr>
              <w:pStyle w:val="BodyTextBox"/>
              <w:framePr w:wrap="around"/>
            </w:pPr>
            <w:r w:rsidRPr="00001F5A">
              <w:t xml:space="preserve">The </w:t>
            </w:r>
            <w:r w:rsidR="00CF3B5A" w:rsidRPr="00001F5A">
              <w:t xml:space="preserve">Government is committed to the continued transparency of its project pipeline, to attract investment and early participation in the design, construction, </w:t>
            </w:r>
            <w:proofErr w:type="gramStart"/>
            <w:r w:rsidR="00CF3B5A" w:rsidRPr="00001F5A">
              <w:t>management</w:t>
            </w:r>
            <w:proofErr w:type="gramEnd"/>
            <w:r w:rsidR="00CF3B5A" w:rsidRPr="00001F5A">
              <w:t xml:space="preserve"> and operation of major infrastructure projects across </w:t>
            </w:r>
            <w:r w:rsidR="00407E74">
              <w:t xml:space="preserve">New South Wales. </w:t>
            </w:r>
            <w:r w:rsidR="00CF3B5A" w:rsidRPr="00001F5A">
              <w:t xml:space="preserve">  </w:t>
            </w:r>
          </w:p>
        </w:tc>
      </w:tr>
    </w:tbl>
    <w:p w14:paraId="2998B68D" w14:textId="70A2ADCB" w:rsidR="00570A87" w:rsidRDefault="00570A87" w:rsidP="00001F5A">
      <w:pPr>
        <w:pStyle w:val="BodyText"/>
        <w:spacing w:before="240"/>
      </w:pPr>
    </w:p>
    <w:p w14:paraId="2BF23571" w14:textId="77777777" w:rsidR="00570A87" w:rsidRDefault="00570A87">
      <w:pPr>
        <w:rPr>
          <w:rFonts w:ascii="Arial" w:eastAsiaTheme="minorHAnsi" w:hAnsi="Arial" w:cs="Arial"/>
          <w:iCs/>
          <w:sz w:val="23"/>
          <w:szCs w:val="22"/>
          <w:lang w:val="en-AU"/>
        </w:rPr>
      </w:pPr>
      <w:r>
        <w:br w:type="page"/>
      </w:r>
    </w:p>
    <w:p w14:paraId="1613F3A4" w14:textId="3CD649ED" w:rsidR="00A35085" w:rsidRPr="008A2C15" w:rsidRDefault="008729AB" w:rsidP="00001F5A">
      <w:pPr>
        <w:pStyle w:val="BodyText"/>
        <w:spacing w:before="240"/>
        <w:rPr>
          <w:szCs w:val="20"/>
        </w:rPr>
      </w:pPr>
      <w:r w:rsidRPr="006639D4">
        <w:t>To support t</w:t>
      </w:r>
      <w:r w:rsidRPr="00184746">
        <w:t xml:space="preserve">he </w:t>
      </w:r>
      <w:r w:rsidR="00220E9D" w:rsidRPr="007C3BED">
        <w:t xml:space="preserve">timely </w:t>
      </w:r>
      <w:r w:rsidRPr="007C3BED">
        <w:t>delivery of projects within budget</w:t>
      </w:r>
      <w:r w:rsidR="002A019B">
        <w:t>,</w:t>
      </w:r>
      <w:r w:rsidRPr="007C3BED">
        <w:t xml:space="preserve"> and </w:t>
      </w:r>
      <w:r w:rsidR="00220E9D" w:rsidRPr="007C3BED">
        <w:t xml:space="preserve">to </w:t>
      </w:r>
      <w:r w:rsidRPr="007C3BED">
        <w:t>meet community expectations for quality and functionality, t</w:t>
      </w:r>
      <w:r w:rsidR="005A48D4" w:rsidRPr="007C3BED">
        <w:t xml:space="preserve">he Government </w:t>
      </w:r>
      <w:r w:rsidRPr="007C3BED">
        <w:t xml:space="preserve">applies </w:t>
      </w:r>
      <w:r w:rsidR="005A48D4" w:rsidRPr="007C3BED">
        <w:t xml:space="preserve">a </w:t>
      </w:r>
      <w:r w:rsidR="001C0DB0" w:rsidRPr="007C3BED">
        <w:t xml:space="preserve">comprehensive </w:t>
      </w:r>
      <w:r w:rsidR="00702AB6" w:rsidRPr="007C3BED">
        <w:t xml:space="preserve">suite of </w:t>
      </w:r>
      <w:r w:rsidRPr="007C3BED">
        <w:t>tools</w:t>
      </w:r>
      <w:r w:rsidR="00493FE5" w:rsidRPr="007C3BED">
        <w:t xml:space="preserve"> </w:t>
      </w:r>
      <w:r w:rsidR="00523A00">
        <w:t>focussed on</w:t>
      </w:r>
      <w:r w:rsidR="005A48D4" w:rsidRPr="007C3BED">
        <w:t xml:space="preserve"> effective infrastructure project selection, planning and delivery. The Gateway Review Policy and related assurance frameworks provide </w:t>
      </w:r>
      <w:r w:rsidR="00ED0C3D" w:rsidRPr="007C3BED">
        <w:t>oversight</w:t>
      </w:r>
      <w:r w:rsidR="005A48D4" w:rsidRPr="007C3BED">
        <w:t xml:space="preserve"> </w:t>
      </w:r>
      <w:r w:rsidR="00B26958" w:rsidRPr="007C3BED">
        <w:t>across</w:t>
      </w:r>
      <w:r w:rsidR="005A48D4" w:rsidRPr="007C3BED">
        <w:t xml:space="preserve"> the entire infrastructure investment lifecycle</w:t>
      </w:r>
      <w:r w:rsidR="00220E9D" w:rsidRPr="007C3BED">
        <w:t xml:space="preserve">. </w:t>
      </w:r>
      <w:r w:rsidR="005A48D4" w:rsidRPr="007C3BED">
        <w:t xml:space="preserve"> </w:t>
      </w:r>
    </w:p>
    <w:p w14:paraId="00739A93" w14:textId="21F76E6B" w:rsidR="008043E3" w:rsidRPr="00EC6884" w:rsidRDefault="008043E3" w:rsidP="008043E3">
      <w:pPr>
        <w:pStyle w:val="Heading3"/>
        <w:rPr>
          <w:rFonts w:cs="Calibri"/>
        </w:rPr>
      </w:pPr>
      <w:r w:rsidRPr="00EC6884">
        <w:rPr>
          <w:rFonts w:cs="Calibri"/>
        </w:rPr>
        <w:t>Gateway Review</w:t>
      </w:r>
    </w:p>
    <w:p w14:paraId="6DFDA562" w14:textId="298C3D64" w:rsidR="008043E3" w:rsidRPr="00EC6884" w:rsidRDefault="008043E3">
      <w:pPr>
        <w:pStyle w:val="BodyText"/>
      </w:pPr>
      <w:r w:rsidRPr="00EC6884">
        <w:t xml:space="preserve">The Gateway Review system </w:t>
      </w:r>
      <w:r w:rsidR="00326D8B">
        <w:t>underpins project design</w:t>
      </w:r>
      <w:r w:rsidR="00300681">
        <w:t xml:space="preserve"> and delivery in N</w:t>
      </w:r>
      <w:r w:rsidR="00220E9D">
        <w:t>ew South Wales</w:t>
      </w:r>
      <w:r w:rsidR="00300681">
        <w:t xml:space="preserve"> to </w:t>
      </w:r>
      <w:r w:rsidR="00DE301D">
        <w:t xml:space="preserve">provide confidence </w:t>
      </w:r>
      <w:r w:rsidR="00220E9D">
        <w:t xml:space="preserve">that </w:t>
      </w:r>
      <w:r w:rsidR="00DE301D">
        <w:t>outcomes</w:t>
      </w:r>
      <w:r w:rsidR="004E080E">
        <w:t xml:space="preserve"> will be achieved</w:t>
      </w:r>
      <w:r w:rsidR="00A44A8D">
        <w:t>. As</w:t>
      </w:r>
      <w:r w:rsidRPr="00EC6884">
        <w:t xml:space="preserve"> the Government’s assurance program for investments</w:t>
      </w:r>
      <w:r w:rsidR="00A44A8D">
        <w:t>, Gateway involves</w:t>
      </w:r>
      <w:r w:rsidRPr="00EC6884">
        <w:t xml:space="preserve"> peer reviews by independent experts at key decision points (or </w:t>
      </w:r>
      <w:r w:rsidR="00782AD3">
        <w:t>G</w:t>
      </w:r>
      <w:r w:rsidRPr="00EC6884">
        <w:t xml:space="preserve">ates) in a project or program’s lifecycle. </w:t>
      </w:r>
      <w:r w:rsidR="008C7C19">
        <w:t>Gateway</w:t>
      </w:r>
      <w:r w:rsidRPr="00EC6884">
        <w:t xml:space="preserve"> provide</w:t>
      </w:r>
      <w:r w:rsidR="00E866D2">
        <w:t>s</w:t>
      </w:r>
      <w:r w:rsidRPr="00EC6884">
        <w:t xml:space="preserve"> the Government with confidence that programs and projects are being effectively developed and delivered on time, on budget and in accordance with the Government’s objectives. </w:t>
      </w:r>
    </w:p>
    <w:p w14:paraId="30892F77" w14:textId="1236F14B" w:rsidR="007C04BE" w:rsidRPr="00EC6884" w:rsidRDefault="008043E3">
      <w:pPr>
        <w:pStyle w:val="BodyText"/>
      </w:pPr>
      <w:r w:rsidRPr="00EC6884">
        <w:t xml:space="preserve">It also provides delivery agencies with independent assessments to complement their internal assurance arrangements, </w:t>
      </w:r>
      <w:r w:rsidR="00D91F1E">
        <w:t>supporting</w:t>
      </w:r>
      <w:r w:rsidRPr="00EC6884">
        <w:t xml:space="preserve"> the delivery of successful projects.</w:t>
      </w:r>
    </w:p>
    <w:p w14:paraId="49BA2EBA" w14:textId="6AE19A97" w:rsidR="008043E3" w:rsidRPr="00EC6884" w:rsidRDefault="008043E3">
      <w:pPr>
        <w:pStyle w:val="BodyText"/>
      </w:pPr>
      <w:r w:rsidRPr="00EC6884">
        <w:t xml:space="preserve">Features of the </w:t>
      </w:r>
      <w:r w:rsidR="008D3AAB">
        <w:t>Gateway</w:t>
      </w:r>
      <w:r w:rsidRPr="00EC6884">
        <w:t xml:space="preserve"> </w:t>
      </w:r>
      <w:r w:rsidR="008D3AAB">
        <w:t>P</w:t>
      </w:r>
      <w:r w:rsidRPr="00EC6884">
        <w:t>olicy include:</w:t>
      </w:r>
    </w:p>
    <w:p w14:paraId="069F6573" w14:textId="212E98BD" w:rsidR="008043E3" w:rsidRPr="00EC6884" w:rsidRDefault="008043E3" w:rsidP="00513502">
      <w:pPr>
        <w:pStyle w:val="Bullet1"/>
      </w:pPr>
      <w:bookmarkStart w:id="12" w:name="_Hlk516491330"/>
      <w:r w:rsidRPr="00EC6884">
        <w:t xml:space="preserve">a Gateway review process that applies to significant </w:t>
      </w:r>
      <w:r w:rsidR="00D65330">
        <w:t>infrastructure</w:t>
      </w:r>
      <w:r w:rsidRPr="00EC6884">
        <w:t xml:space="preserve"> projects</w:t>
      </w:r>
      <w:r w:rsidR="00D65330">
        <w:t xml:space="preserve">, </w:t>
      </w:r>
      <w:r w:rsidRPr="00EC6884">
        <w:t>major Information and Communication Technology (ICT)</w:t>
      </w:r>
      <w:r w:rsidR="00D65330">
        <w:t xml:space="preserve"> projects</w:t>
      </w:r>
      <w:r w:rsidRPr="00EC6884">
        <w:t xml:space="preserve"> and recurrent projects</w:t>
      </w:r>
    </w:p>
    <w:bookmarkEnd w:id="12"/>
    <w:p w14:paraId="2C039205" w14:textId="77777777" w:rsidR="008043E3" w:rsidRPr="00EC6884" w:rsidRDefault="008043E3" w:rsidP="00513502">
      <w:pPr>
        <w:pStyle w:val="Bullet1"/>
      </w:pPr>
      <w:r w:rsidRPr="00EC6884">
        <w:t>a risk-based approach to determine when and at which decision points (or gates) Gateway reviews should be undertaken</w:t>
      </w:r>
    </w:p>
    <w:p w14:paraId="456E6104" w14:textId="3293343B" w:rsidR="008043E3" w:rsidRPr="00EC6884" w:rsidRDefault="00451C3E" w:rsidP="00513502">
      <w:pPr>
        <w:pStyle w:val="Bullet1"/>
      </w:pPr>
      <w:r>
        <w:t xml:space="preserve">establishing </w:t>
      </w:r>
      <w:r w:rsidR="008043E3" w:rsidRPr="00EC6884">
        <w:t>the minimum requirements for risk-based assurance frameworks</w:t>
      </w:r>
    </w:p>
    <w:p w14:paraId="08C89B28" w14:textId="09BA9103" w:rsidR="00CF3B5A" w:rsidRPr="00492E0D" w:rsidRDefault="008043E3" w:rsidP="00E50AE3">
      <w:pPr>
        <w:pStyle w:val="Bullet1"/>
      </w:pPr>
      <w:r w:rsidRPr="00AB7446">
        <w:t>the use of three Gateway Co-ordination Agencies</w:t>
      </w:r>
      <w:r w:rsidR="00C0223D">
        <w:t>, including Treas</w:t>
      </w:r>
      <w:r w:rsidR="00C652DF">
        <w:t xml:space="preserve">ury, the Department of Customer </w:t>
      </w:r>
      <w:proofErr w:type="gramStart"/>
      <w:r w:rsidR="00C652DF">
        <w:t>Service</w:t>
      </w:r>
      <w:proofErr w:type="gramEnd"/>
      <w:r w:rsidR="00C652DF">
        <w:t xml:space="preserve"> and Infrastructure NSW,</w:t>
      </w:r>
      <w:r w:rsidRPr="00AB7446">
        <w:t xml:space="preserve"> to design and operate risk-based assurance</w:t>
      </w:r>
      <w:r w:rsidRPr="00EC6884">
        <w:t xml:space="preserve"> frameworks.</w:t>
      </w:r>
    </w:p>
    <w:p w14:paraId="36619E58" w14:textId="4DC2876B" w:rsidR="008043E3" w:rsidRPr="00EC6884" w:rsidRDefault="008043E3" w:rsidP="008043E3">
      <w:pPr>
        <w:pStyle w:val="Heading3"/>
        <w:rPr>
          <w:rFonts w:cs="Calibri"/>
        </w:rPr>
      </w:pPr>
      <w:r w:rsidRPr="00EC6884">
        <w:rPr>
          <w:rFonts w:cs="Calibri"/>
        </w:rPr>
        <w:t>Infrastructure Investor Assurance Framework</w:t>
      </w:r>
    </w:p>
    <w:p w14:paraId="5A0472A7" w14:textId="18E48695" w:rsidR="008043E3" w:rsidRPr="00EC6884" w:rsidRDefault="00856902">
      <w:pPr>
        <w:pStyle w:val="BodyText"/>
        <w:rPr>
          <w:szCs w:val="23"/>
          <w:lang w:eastAsia="en-AU"/>
        </w:rPr>
      </w:pPr>
      <w:r>
        <w:rPr>
          <w:lang w:eastAsia="en-AU"/>
        </w:rPr>
        <w:t>The</w:t>
      </w:r>
      <w:r w:rsidR="008043E3" w:rsidRPr="00EC6884">
        <w:rPr>
          <w:lang w:eastAsia="en-AU"/>
        </w:rPr>
        <w:t xml:space="preserve"> </w:t>
      </w:r>
      <w:r w:rsidR="008043E3" w:rsidRPr="000937CB">
        <w:rPr>
          <w:iCs w:val="0"/>
          <w:lang w:eastAsia="en-AU"/>
        </w:rPr>
        <w:t>Infrastructure Investor Assurance Framework</w:t>
      </w:r>
      <w:r w:rsidR="008043E3" w:rsidRPr="00EC6884">
        <w:rPr>
          <w:lang w:eastAsia="en-AU"/>
        </w:rPr>
        <w:t xml:space="preserve"> (IIAF), further enhance</w:t>
      </w:r>
      <w:r>
        <w:rPr>
          <w:lang w:eastAsia="en-AU"/>
        </w:rPr>
        <w:t>s</w:t>
      </w:r>
      <w:r w:rsidR="008043E3" w:rsidRPr="00EC6884">
        <w:rPr>
          <w:lang w:eastAsia="en-AU"/>
        </w:rPr>
        <w:t xml:space="preserve"> the governance and oversight of infrastructure projects. The IIAF</w:t>
      </w:r>
      <w:r w:rsidR="005D0382">
        <w:rPr>
          <w:lang w:eastAsia="en-AU"/>
        </w:rPr>
        <w:t>:</w:t>
      </w:r>
      <w:r w:rsidR="008043E3" w:rsidRPr="00EC6884">
        <w:rPr>
          <w:lang w:eastAsia="en-AU"/>
        </w:rPr>
        <w:t xml:space="preserve"> </w:t>
      </w:r>
    </w:p>
    <w:p w14:paraId="77AF64F4" w14:textId="421B9B08" w:rsidR="008043E3" w:rsidRPr="00EC6884" w:rsidRDefault="008043E3" w:rsidP="00513502">
      <w:pPr>
        <w:pStyle w:val="Bullet1"/>
      </w:pPr>
      <w:r w:rsidRPr="00EC6884">
        <w:t>provide</w:t>
      </w:r>
      <w:r w:rsidR="005D0382">
        <w:t>s</w:t>
      </w:r>
      <w:r w:rsidRPr="00EC6884">
        <w:t xml:space="preserve"> the Government with confidence that key capital projects across the State are being delivered on time and on budget</w:t>
      </w:r>
    </w:p>
    <w:p w14:paraId="1EC0E140" w14:textId="38176616" w:rsidR="008043E3" w:rsidRPr="00EC6884" w:rsidRDefault="008043E3" w:rsidP="00513502">
      <w:pPr>
        <w:pStyle w:val="Bullet1"/>
      </w:pPr>
      <w:r w:rsidRPr="00AB7446">
        <w:t>monitor</w:t>
      </w:r>
      <w:r w:rsidR="005D0382">
        <w:t>s</w:t>
      </w:r>
      <w:r w:rsidRPr="00EC6884">
        <w:t xml:space="preserve"> the State’s infrastructure program, flagging emerging issues and allowing the Government to act ahead of time to prevent projects from failing.</w:t>
      </w:r>
    </w:p>
    <w:p w14:paraId="2C32B797" w14:textId="03110F20" w:rsidR="008043E3" w:rsidRDefault="008043E3">
      <w:pPr>
        <w:pStyle w:val="BodyText"/>
        <w:rPr>
          <w:lang w:eastAsia="en-AU"/>
        </w:rPr>
      </w:pPr>
      <w:r w:rsidRPr="00EC6884">
        <w:rPr>
          <w:lang w:eastAsia="en-AU"/>
        </w:rPr>
        <w:t xml:space="preserve">Infrastructure NSW is the </w:t>
      </w:r>
      <w:r w:rsidR="008837EB">
        <w:rPr>
          <w:lang w:eastAsia="en-AU"/>
        </w:rPr>
        <w:t>G</w:t>
      </w:r>
      <w:r w:rsidRPr="00EC6884">
        <w:rPr>
          <w:lang w:eastAsia="en-AU"/>
        </w:rPr>
        <w:t xml:space="preserve">ateway </w:t>
      </w:r>
      <w:r w:rsidR="008837EB">
        <w:rPr>
          <w:lang w:eastAsia="en-AU"/>
        </w:rPr>
        <w:t>C</w:t>
      </w:r>
      <w:r w:rsidRPr="00EC6884">
        <w:rPr>
          <w:lang w:eastAsia="en-AU"/>
        </w:rPr>
        <w:t xml:space="preserve">o-ordination </w:t>
      </w:r>
      <w:r w:rsidR="008837EB">
        <w:rPr>
          <w:lang w:eastAsia="en-AU"/>
        </w:rPr>
        <w:t>A</w:t>
      </w:r>
      <w:r w:rsidRPr="00EC6884">
        <w:rPr>
          <w:lang w:eastAsia="en-AU"/>
        </w:rPr>
        <w:t xml:space="preserve">gency for the IIAF and is responsible for its design and administration. Under the terms of the IIAF, capital projects developed and/or delivered by agencies covered by the </w:t>
      </w:r>
      <w:r w:rsidRPr="000937CB">
        <w:rPr>
          <w:iCs w:val="0"/>
          <w:lang w:eastAsia="en-AU"/>
        </w:rPr>
        <w:t>NSW Gateway Policy</w:t>
      </w:r>
      <w:r w:rsidRPr="00EC6884">
        <w:rPr>
          <w:lang w:eastAsia="en-AU"/>
        </w:rPr>
        <w:t xml:space="preserve"> valued at an estimated total cost of $10</w:t>
      </w:r>
      <w:r w:rsidR="005F0293">
        <w:rPr>
          <w:lang w:eastAsia="en-AU"/>
        </w:rPr>
        <w:t>.0</w:t>
      </w:r>
      <w:r w:rsidRPr="00EC6884">
        <w:rPr>
          <w:lang w:eastAsia="en-AU"/>
        </w:rPr>
        <w:t xml:space="preserve"> million or greater must be registered on </w:t>
      </w:r>
      <w:r w:rsidR="00441971">
        <w:rPr>
          <w:lang w:eastAsia="en-AU"/>
        </w:rPr>
        <w:t>the NSW</w:t>
      </w:r>
      <w:r w:rsidRPr="00EC6884">
        <w:rPr>
          <w:lang w:eastAsia="en-AU"/>
        </w:rPr>
        <w:t xml:space="preserve"> Assurance Portal. Once a project is registered, it will undergo risk profiling to determine appropriate levels of assurance and reporting.</w:t>
      </w:r>
      <w:bookmarkStart w:id="13" w:name="_Hlk513455992"/>
    </w:p>
    <w:p w14:paraId="1ADC1531" w14:textId="1D996723" w:rsidR="00FE4C86" w:rsidRDefault="00FE4C86">
      <w:pPr>
        <w:rPr>
          <w:rFonts w:ascii="Arial" w:eastAsiaTheme="minorHAnsi" w:hAnsi="Arial" w:cs="Arial"/>
          <w:iCs/>
          <w:sz w:val="23"/>
          <w:szCs w:val="22"/>
          <w:lang w:val="en-AU" w:eastAsia="en-AU"/>
        </w:rPr>
      </w:pPr>
      <w:r>
        <w:rPr>
          <w:lang w:eastAsia="en-AU"/>
        </w:rPr>
        <w:br w:type="page"/>
      </w:r>
    </w:p>
    <w:p w14:paraId="30B9D3FA" w14:textId="77777777" w:rsidR="008043E3" w:rsidRPr="00EC6884" w:rsidRDefault="008043E3" w:rsidP="008043E3">
      <w:pPr>
        <w:pStyle w:val="Heading3"/>
        <w:rPr>
          <w:rFonts w:cs="Calibri"/>
        </w:rPr>
      </w:pPr>
      <w:r w:rsidRPr="00EC6884">
        <w:rPr>
          <w:rFonts w:cs="Calibri"/>
        </w:rPr>
        <w:t xml:space="preserve">ICT Assurance </w:t>
      </w:r>
    </w:p>
    <w:p w14:paraId="6405F988" w14:textId="5CC3F62C" w:rsidR="008043E3" w:rsidRPr="00EC6884" w:rsidRDefault="008043E3">
      <w:pPr>
        <w:pStyle w:val="BodyText"/>
        <w:rPr>
          <w:lang w:eastAsia="en-AU"/>
        </w:rPr>
      </w:pPr>
      <w:r w:rsidRPr="00EC6884">
        <w:rPr>
          <w:lang w:eastAsia="en-AU"/>
        </w:rPr>
        <w:t xml:space="preserve">ICT Assurance is an independent risk-based process, developed to improve ICT investment outcomes and deliver better value for the State’s capital and recurrent ICT spending. </w:t>
      </w:r>
      <w:r w:rsidR="00C0350F">
        <w:rPr>
          <w:lang w:eastAsia="en-AU"/>
        </w:rPr>
        <w:t xml:space="preserve">The Department of Customer Service is the </w:t>
      </w:r>
      <w:r w:rsidR="00CE0BB8" w:rsidRPr="00EC6884">
        <w:rPr>
          <w:lang w:eastAsia="en-AU"/>
        </w:rPr>
        <w:t>Gateway Co-ordination Agency</w:t>
      </w:r>
      <w:r w:rsidRPr="00EC6884">
        <w:rPr>
          <w:lang w:eastAsia="en-AU"/>
        </w:rPr>
        <w:t xml:space="preserve"> responsible for ICT Assurance </w:t>
      </w:r>
      <w:r w:rsidR="00C0350F">
        <w:rPr>
          <w:lang w:eastAsia="en-AU"/>
        </w:rPr>
        <w:t>and</w:t>
      </w:r>
      <w:r w:rsidRPr="00EC6884">
        <w:rPr>
          <w:lang w:eastAsia="en-AU"/>
        </w:rPr>
        <w:t xml:space="preserve"> uses the ICT Assurance Framework (IAF) to deliver its objectives. Compliance with the IAF is mandatory and is monitored through a centralised and standardised project monitoring and reporting framework</w:t>
      </w:r>
      <w:r w:rsidR="00077395">
        <w:rPr>
          <w:lang w:eastAsia="en-AU"/>
        </w:rPr>
        <w:t>.</w:t>
      </w:r>
    </w:p>
    <w:p w14:paraId="018C5A5F" w14:textId="5323A682" w:rsidR="008043E3" w:rsidRDefault="008043E3">
      <w:pPr>
        <w:pStyle w:val="BodyText"/>
        <w:rPr>
          <w:lang w:eastAsia="en-AU"/>
        </w:rPr>
      </w:pPr>
      <w:r w:rsidRPr="00EC6884">
        <w:rPr>
          <w:lang w:eastAsia="en-AU"/>
        </w:rPr>
        <w:t>Recurrent or capital ICT proposals greater than $</w:t>
      </w:r>
      <w:r w:rsidR="006552C5">
        <w:rPr>
          <w:lang w:eastAsia="en-AU"/>
        </w:rPr>
        <w:t>5</w:t>
      </w:r>
      <w:r w:rsidR="001E7F16">
        <w:rPr>
          <w:lang w:eastAsia="en-AU"/>
        </w:rPr>
        <w:t>.0</w:t>
      </w:r>
      <w:r w:rsidRPr="00EC6884">
        <w:rPr>
          <w:lang w:eastAsia="en-AU"/>
        </w:rPr>
        <w:t xml:space="preserve"> million, or other nominated projects below the threshold</w:t>
      </w:r>
      <w:r w:rsidR="00077395">
        <w:rPr>
          <w:lang w:eastAsia="en-AU"/>
        </w:rPr>
        <w:t>,</w:t>
      </w:r>
      <w:r w:rsidRPr="00EC6884">
        <w:rPr>
          <w:lang w:eastAsia="en-AU"/>
        </w:rPr>
        <w:t xml:space="preserve"> must register with ICT Assurance. Projects are tiered based on risk and value. Those considered high</w:t>
      </w:r>
      <w:r w:rsidR="00A35560">
        <w:rPr>
          <w:lang w:eastAsia="en-AU"/>
        </w:rPr>
        <w:t>-</w:t>
      </w:r>
      <w:r w:rsidRPr="00EC6884">
        <w:rPr>
          <w:lang w:eastAsia="en-AU"/>
        </w:rPr>
        <w:t>risk will receive more assurance and reporting support.</w:t>
      </w:r>
      <w:bookmarkEnd w:id="13"/>
    </w:p>
    <w:p w14:paraId="535A180D" w14:textId="39F001E1" w:rsidR="004004D1" w:rsidRPr="00EC6884" w:rsidRDefault="004004D1" w:rsidP="004004D1">
      <w:pPr>
        <w:pStyle w:val="Heading3"/>
        <w:rPr>
          <w:rFonts w:cs="Calibri"/>
        </w:rPr>
      </w:pPr>
      <w:r>
        <w:rPr>
          <w:rFonts w:cs="Calibri"/>
        </w:rPr>
        <w:t xml:space="preserve">Asset Management </w:t>
      </w:r>
      <w:r w:rsidRPr="00EC6884">
        <w:rPr>
          <w:rFonts w:cs="Calibri"/>
        </w:rPr>
        <w:t xml:space="preserve">Assurance </w:t>
      </w:r>
    </w:p>
    <w:p w14:paraId="310D2A6A" w14:textId="77777777" w:rsidR="00473268" w:rsidRDefault="00473268" w:rsidP="00513502">
      <w:pPr>
        <w:pStyle w:val="Bullet1"/>
        <w:numPr>
          <w:ilvl w:val="0"/>
          <w:numId w:val="0"/>
        </w:numPr>
      </w:pPr>
      <w:r>
        <w:t xml:space="preserve">A key component of the Government’s new </w:t>
      </w:r>
      <w:r>
        <w:rPr>
          <w:i/>
        </w:rPr>
        <w:t>Asset Management Policy for the Public Sector</w:t>
      </w:r>
      <w:r>
        <w:t xml:space="preserve"> is the Asset Management Assurance function, designed to provide Government and NSW communities confidence that:</w:t>
      </w:r>
    </w:p>
    <w:p w14:paraId="61210504" w14:textId="77777777" w:rsidR="00473268" w:rsidRDefault="00473268" w:rsidP="00513502">
      <w:pPr>
        <w:pStyle w:val="Bullet1"/>
        <w:numPr>
          <w:ilvl w:val="0"/>
          <w:numId w:val="143"/>
        </w:numPr>
      </w:pPr>
      <w:r>
        <w:t>the state’s asset portfolio is effective in supporting current and future service provision for NSW communities, and</w:t>
      </w:r>
    </w:p>
    <w:p w14:paraId="4ACA4DFF" w14:textId="77777777" w:rsidR="00473268" w:rsidRDefault="00473268" w:rsidP="00513502">
      <w:pPr>
        <w:pStyle w:val="Bullet1"/>
        <w:numPr>
          <w:ilvl w:val="0"/>
          <w:numId w:val="143"/>
        </w:numPr>
      </w:pPr>
      <w:r>
        <w:t>spending through each stage of the asset lifecycle remains sustainable to meet future service demand.</w:t>
      </w:r>
    </w:p>
    <w:p w14:paraId="4E1F0235" w14:textId="3F2765D6" w:rsidR="00473268" w:rsidRDefault="00473268" w:rsidP="00513502">
      <w:pPr>
        <w:pStyle w:val="Bullet1"/>
        <w:numPr>
          <w:ilvl w:val="0"/>
          <w:numId w:val="0"/>
        </w:numPr>
      </w:pPr>
      <w:r>
        <w:t xml:space="preserve">Infrastructure NSW independently undertakes the Asset Management Assurance function </w:t>
      </w:r>
      <w:r w:rsidR="00C67D54">
        <w:br/>
      </w:r>
      <w:r>
        <w:t xml:space="preserve">and has developed a robust set of standards to build and sustain a level of asset </w:t>
      </w:r>
      <w:r w:rsidR="00C67D54">
        <w:br/>
      </w:r>
      <w:r>
        <w:t>management capability by government agencies, in line with leading practice. This includes the independent performance review of the NSW Government asset portfolio on a sector</w:t>
      </w:r>
      <w:r w:rsidR="00C67D54">
        <w:noBreakHyphen/>
      </w:r>
      <w:r>
        <w:t>by</w:t>
      </w:r>
      <w:r w:rsidR="00C67D54">
        <w:noBreakHyphen/>
      </w:r>
      <w:r>
        <w:t>sector basis to strengthen evidence-based decision making.</w:t>
      </w:r>
    </w:p>
    <w:p w14:paraId="16A48B8A" w14:textId="657A85E0" w:rsidR="00473268" w:rsidRDefault="00473268" w:rsidP="00513502">
      <w:pPr>
        <w:pStyle w:val="Bullet1"/>
        <w:numPr>
          <w:ilvl w:val="0"/>
          <w:numId w:val="0"/>
        </w:numPr>
      </w:pPr>
      <w:r>
        <w:t xml:space="preserve">Infrastructure NSW corresponded with asset management leaders and organisations across the globe in developing its approach to Asset Management Assurance. The feedback indicated that </w:t>
      </w:r>
      <w:r w:rsidR="007C0383">
        <w:t xml:space="preserve">New South Wales </w:t>
      </w:r>
      <w:r>
        <w:t>is on its way to becoming a leading jurisdiction in asset management, driving improved skills for asset management teams and enhanced performance of the State’s asset base.</w:t>
      </w:r>
    </w:p>
    <w:p w14:paraId="086408A6" w14:textId="3AA9CB52" w:rsidR="00FE5F3E" w:rsidRPr="003E54E0" w:rsidRDefault="00FE5F3E">
      <w:pPr>
        <w:pStyle w:val="BodyText"/>
      </w:pPr>
    </w:p>
    <w:sectPr w:rsidR="00FE5F3E" w:rsidRPr="003E54E0" w:rsidSect="003A52AC">
      <w:headerReference w:type="default" r:id="rId26"/>
      <w:footerReference w:type="even" r:id="rId27"/>
      <w:footerReference w:type="default" r:id="rId28"/>
      <w:footerReference w:type="first" r:id="rId29"/>
      <w:footnotePr>
        <w:numStart w:val="2"/>
      </w:footnotePr>
      <w:type w:val="continuous"/>
      <w:pgSz w:w="11907" w:h="16840" w:code="9"/>
      <w:pgMar w:top="1134" w:right="1134" w:bottom="510" w:left="1134" w:header="454" w:footer="454"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DDE58E" w14:textId="77777777" w:rsidR="00131428" w:rsidRDefault="00131428">
      <w:r>
        <w:separator/>
      </w:r>
    </w:p>
    <w:p w14:paraId="4ABC5054" w14:textId="77777777" w:rsidR="00131428" w:rsidRDefault="00131428"/>
    <w:p w14:paraId="356274E4" w14:textId="77777777" w:rsidR="00131428" w:rsidRDefault="00131428"/>
  </w:endnote>
  <w:endnote w:type="continuationSeparator" w:id="0">
    <w:p w14:paraId="1BBE3A0E" w14:textId="77777777" w:rsidR="00131428" w:rsidRDefault="00131428">
      <w:r>
        <w:continuationSeparator/>
      </w:r>
    </w:p>
    <w:p w14:paraId="6BC5E65A" w14:textId="77777777" w:rsidR="00131428" w:rsidRDefault="00131428"/>
    <w:p w14:paraId="2222FE89" w14:textId="77777777" w:rsidR="00131428" w:rsidRDefault="00131428"/>
  </w:endnote>
  <w:endnote w:type="continuationNotice" w:id="1">
    <w:p w14:paraId="0EA1693F" w14:textId="77777777" w:rsidR="00131428" w:rsidRDefault="001314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D6D30C" w14:textId="10657588" w:rsidR="007C2458" w:rsidRDefault="007C2458" w:rsidP="00826275">
    <w:pPr>
      <w:pBdr>
        <w:top w:val="single" w:sz="4" w:space="4" w:color="auto"/>
      </w:pBdr>
      <w:tabs>
        <w:tab w:val="right" w:pos="9639"/>
      </w:tabs>
      <w:rPr>
        <w:rFonts w:ascii="Calibri" w:hAnsi="Calibri" w:cs="Calibri"/>
        <w:sz w:val="18"/>
        <w:szCs w:val="18"/>
      </w:rPr>
    </w:pPr>
    <w:r w:rsidRPr="00BB1FE9">
      <w:rPr>
        <w:rFonts w:ascii="Calibri" w:hAnsi="Calibri" w:cs="Calibri"/>
        <w:sz w:val="18"/>
        <w:szCs w:val="18"/>
      </w:rPr>
      <w:t xml:space="preserve">1 </w:t>
    </w:r>
    <w:r>
      <w:rPr>
        <w:rFonts w:ascii="Calibri" w:hAnsi="Calibri" w:cs="Calibri"/>
        <w:sz w:val="18"/>
        <w:szCs w:val="18"/>
      </w:rPr>
      <w:t xml:space="preserve">- </w:t>
    </w:r>
    <w:r w:rsidRPr="009B17A3">
      <w:rPr>
        <w:rFonts w:ascii="Calibri" w:hAnsi="Calibri" w:cs="Calibri"/>
        <w:sz w:val="18"/>
        <w:szCs w:val="18"/>
      </w:rPr>
      <w:fldChar w:fldCharType="begin"/>
    </w:r>
    <w:r w:rsidRPr="009B17A3">
      <w:rPr>
        <w:rFonts w:ascii="Calibri" w:hAnsi="Calibri" w:cs="Calibri"/>
        <w:sz w:val="18"/>
        <w:szCs w:val="18"/>
      </w:rPr>
      <w:instrText xml:space="preserve"> PAGE   \* MERGEFORMAT </w:instrText>
    </w:r>
    <w:r w:rsidRPr="009B17A3">
      <w:rPr>
        <w:rFonts w:ascii="Calibri" w:hAnsi="Calibri" w:cs="Calibri"/>
        <w:sz w:val="18"/>
        <w:szCs w:val="18"/>
      </w:rPr>
      <w:fldChar w:fldCharType="separate"/>
    </w:r>
    <w:r>
      <w:rPr>
        <w:rFonts w:ascii="Calibri" w:hAnsi="Calibri" w:cs="Calibri"/>
        <w:sz w:val="18"/>
        <w:szCs w:val="18"/>
      </w:rPr>
      <w:t>4</w:t>
    </w:r>
    <w:r w:rsidRPr="009B17A3">
      <w:rPr>
        <w:rFonts w:ascii="Calibri" w:hAnsi="Calibri" w:cs="Calibri"/>
        <w:sz w:val="18"/>
        <w:szCs w:val="18"/>
      </w:rPr>
      <w:fldChar w:fldCharType="end"/>
    </w:r>
    <w:r>
      <w:rPr>
        <w:rFonts w:ascii="Calibri" w:hAnsi="Calibri" w:cs="Calibri"/>
        <w:sz w:val="18"/>
        <w:szCs w:val="18"/>
      </w:rPr>
      <w:tab/>
    </w:r>
    <w:r w:rsidRPr="00BB1FE9">
      <w:rPr>
        <w:rFonts w:ascii="Calibri" w:hAnsi="Calibri" w:cs="Calibri"/>
        <w:sz w:val="18"/>
        <w:szCs w:val="18"/>
      </w:rPr>
      <w:t xml:space="preserve">Infrastructure Statement </w:t>
    </w:r>
    <w:r w:rsidR="003E6327">
      <w:rPr>
        <w:rFonts w:ascii="Calibri" w:hAnsi="Calibri" w:cs="Calibri"/>
        <w:sz w:val="18"/>
        <w:szCs w:val="18"/>
      </w:rPr>
      <w:t>2020-21</w:t>
    </w:r>
  </w:p>
  <w:p w14:paraId="1543C28C" w14:textId="0CCFA5F0" w:rsidR="002C1B41" w:rsidRDefault="002C1B41" w:rsidP="002C1B41">
    <w:pPr>
      <w:pStyle w:val="Footer"/>
      <w:pBdr>
        <w:top w:val="single" w:sz="4" w:space="4" w:color="auto"/>
      </w:pBdr>
      <w:tabs>
        <w:tab w:val="clear" w:pos="7655"/>
        <w:tab w:val="right" w:pos="9639"/>
      </w:tabs>
      <w:rPr>
        <w:sz w:val="12"/>
        <w:szCs w:val="12"/>
      </w:rPr>
    </w:pPr>
    <w:r>
      <w:rPr>
        <w:sz w:val="12"/>
        <w:szCs w:val="12"/>
      </w:rPr>
      <w:fldChar w:fldCharType="begin"/>
    </w:r>
    <w:r>
      <w:rPr>
        <w:sz w:val="12"/>
        <w:szCs w:val="12"/>
      </w:rPr>
      <w:instrText xml:space="preserve"> FILENAME  \p  \* MERGEFORMAT </w:instrText>
    </w:r>
    <w:r>
      <w:rPr>
        <w:sz w:val="12"/>
        <w:szCs w:val="12"/>
      </w:rPr>
      <w:fldChar w:fldCharType="separate"/>
    </w:r>
    <w:r w:rsidR="00782AD3">
      <w:rPr>
        <w:noProof/>
        <w:sz w:val="12"/>
        <w:szCs w:val="12"/>
      </w:rPr>
      <w:t>https://nswgov.sharepoint.com/sites/TSY2019-20Budget/Shared Documents/General/2021-22 Budget/03. Budget Paper No 3 (Infrastructure Statement)/FRAN for PRINT/BP3 - Chapter 1 - Investment program overview.docx</w:t>
    </w:r>
    <w:r>
      <w:rPr>
        <w:sz w:val="12"/>
        <w:szCs w:val="12"/>
      </w:rPr>
      <w:fldChar w:fldCharType="end"/>
    </w:r>
    <w:r>
      <w:rPr>
        <w:sz w:val="12"/>
        <w:szCs w:val="12"/>
      </w:rPr>
      <w:tab/>
    </w:r>
    <w:r>
      <w:rPr>
        <w:sz w:val="12"/>
        <w:szCs w:val="12"/>
      </w:rPr>
      <w:fldChar w:fldCharType="begin"/>
    </w:r>
    <w:r>
      <w:rPr>
        <w:sz w:val="12"/>
        <w:szCs w:val="12"/>
      </w:rPr>
      <w:instrText xml:space="preserve"> DATE  \@ "d/MM/yyyy h:mm am/pm"  \* MERGEFORMAT </w:instrText>
    </w:r>
    <w:r>
      <w:rPr>
        <w:sz w:val="12"/>
        <w:szCs w:val="12"/>
      </w:rPr>
      <w:fldChar w:fldCharType="separate"/>
    </w:r>
    <w:r w:rsidR="003E5FCD">
      <w:rPr>
        <w:noProof/>
        <w:sz w:val="12"/>
        <w:szCs w:val="12"/>
      </w:rPr>
      <w:t>19/06/2021 10:06 AM</w:t>
    </w:r>
    <w:r>
      <w:rPr>
        <w:sz w:val="12"/>
        <w:szCs w:val="1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08A295" w14:textId="3A785786" w:rsidR="002C1B41" w:rsidRPr="00CE7807" w:rsidRDefault="007C2458" w:rsidP="00CE7807">
    <w:pPr>
      <w:pBdr>
        <w:top w:val="single" w:sz="4" w:space="4" w:color="auto"/>
      </w:pBdr>
      <w:tabs>
        <w:tab w:val="right" w:pos="9639"/>
      </w:tabs>
      <w:rPr>
        <w:rFonts w:ascii="Arial" w:hAnsi="Arial" w:cs="Arial"/>
        <w:sz w:val="18"/>
        <w:szCs w:val="18"/>
      </w:rPr>
    </w:pPr>
    <w:r w:rsidRPr="00CE7807">
      <w:rPr>
        <w:rFonts w:ascii="Arial" w:hAnsi="Arial" w:cs="Arial"/>
        <w:sz w:val="18"/>
        <w:szCs w:val="18"/>
      </w:rPr>
      <w:t xml:space="preserve">Infrastructure Statement </w:t>
    </w:r>
    <w:r w:rsidR="000C49C0" w:rsidRPr="00CE7807">
      <w:rPr>
        <w:rFonts w:ascii="Arial" w:hAnsi="Arial" w:cs="Arial"/>
        <w:sz w:val="18"/>
        <w:szCs w:val="18"/>
      </w:rPr>
      <w:t>2020</w:t>
    </w:r>
    <w:r w:rsidR="003E6327" w:rsidRPr="00CE7807">
      <w:rPr>
        <w:rFonts w:ascii="Arial" w:hAnsi="Arial" w:cs="Arial"/>
        <w:sz w:val="18"/>
        <w:szCs w:val="18"/>
      </w:rPr>
      <w:t>-21</w:t>
    </w:r>
    <w:r w:rsidRPr="00CE7807">
      <w:rPr>
        <w:rFonts w:ascii="Arial" w:hAnsi="Arial" w:cs="Arial"/>
        <w:sz w:val="18"/>
        <w:szCs w:val="18"/>
      </w:rPr>
      <w:tab/>
      <w:t xml:space="preserve">1 - </w:t>
    </w:r>
    <w:r w:rsidRPr="00CE7807">
      <w:rPr>
        <w:rFonts w:ascii="Arial" w:hAnsi="Arial" w:cs="Arial"/>
        <w:sz w:val="18"/>
        <w:szCs w:val="18"/>
      </w:rPr>
      <w:fldChar w:fldCharType="begin"/>
    </w:r>
    <w:r w:rsidRPr="00CE7807">
      <w:rPr>
        <w:rFonts w:ascii="Arial" w:hAnsi="Arial" w:cs="Arial"/>
        <w:sz w:val="18"/>
        <w:szCs w:val="18"/>
      </w:rPr>
      <w:instrText xml:space="preserve"> PAGE   \* MERGEFORMAT </w:instrText>
    </w:r>
    <w:r w:rsidRPr="00CE7807">
      <w:rPr>
        <w:rFonts w:ascii="Arial" w:hAnsi="Arial" w:cs="Arial"/>
        <w:sz w:val="18"/>
        <w:szCs w:val="18"/>
      </w:rPr>
      <w:fldChar w:fldCharType="separate"/>
    </w:r>
    <w:r w:rsidRPr="00CE7807">
      <w:rPr>
        <w:rFonts w:ascii="Arial" w:hAnsi="Arial" w:cs="Arial"/>
        <w:sz w:val="18"/>
        <w:szCs w:val="18"/>
      </w:rPr>
      <w:t>3</w:t>
    </w:r>
    <w:r w:rsidRPr="00CE7807">
      <w:rPr>
        <w:rFonts w:ascii="Arial" w:hAnsi="Arial" w:cs="Arial"/>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9B9D3B" w14:textId="7E50AA2F" w:rsidR="007C2458" w:rsidRDefault="007C2458" w:rsidP="00661D6A">
    <w:pPr>
      <w:pBdr>
        <w:top w:val="single" w:sz="4" w:space="4" w:color="auto"/>
      </w:pBdr>
      <w:tabs>
        <w:tab w:val="right" w:pos="9639"/>
      </w:tabs>
      <w:rPr>
        <w:rFonts w:ascii="Calibri" w:hAnsi="Calibri" w:cs="Calibri"/>
        <w:sz w:val="18"/>
        <w:szCs w:val="18"/>
      </w:rPr>
    </w:pPr>
    <w:r w:rsidRPr="00F048DD">
      <w:rPr>
        <w:rFonts w:ascii="Calibri" w:hAnsi="Calibri" w:cs="Calibri"/>
        <w:sz w:val="18"/>
        <w:szCs w:val="18"/>
      </w:rPr>
      <w:t xml:space="preserve">Infrastructure Statement </w:t>
    </w:r>
    <w:r w:rsidR="003E6327">
      <w:rPr>
        <w:rFonts w:ascii="Calibri" w:hAnsi="Calibri" w:cs="Calibri"/>
        <w:sz w:val="18"/>
        <w:szCs w:val="18"/>
      </w:rPr>
      <w:t>202</w:t>
    </w:r>
    <w:r w:rsidR="00426BFE">
      <w:rPr>
        <w:rFonts w:ascii="Calibri" w:hAnsi="Calibri" w:cs="Calibri"/>
        <w:sz w:val="18"/>
        <w:szCs w:val="18"/>
      </w:rPr>
      <w:t>1</w:t>
    </w:r>
    <w:r w:rsidR="003E6327">
      <w:rPr>
        <w:rFonts w:ascii="Calibri" w:hAnsi="Calibri" w:cs="Calibri"/>
        <w:sz w:val="18"/>
        <w:szCs w:val="18"/>
      </w:rPr>
      <w:t>-2</w:t>
    </w:r>
    <w:r w:rsidR="00426BFE">
      <w:rPr>
        <w:rFonts w:ascii="Calibri" w:hAnsi="Calibri" w:cs="Calibri"/>
        <w:sz w:val="18"/>
        <w:szCs w:val="18"/>
      </w:rPr>
      <w:t>2</w:t>
    </w:r>
    <w:r>
      <w:rPr>
        <w:rFonts w:ascii="Calibri" w:hAnsi="Calibri" w:cs="Calibri"/>
        <w:sz w:val="18"/>
        <w:szCs w:val="18"/>
      </w:rPr>
      <w:tab/>
    </w:r>
    <w:r w:rsidRPr="00BB1FE9">
      <w:rPr>
        <w:rFonts w:ascii="Calibri" w:hAnsi="Calibri" w:cs="Calibri"/>
        <w:sz w:val="18"/>
        <w:szCs w:val="18"/>
      </w:rPr>
      <w:t xml:space="preserve">1 </w:t>
    </w:r>
    <w:r>
      <w:rPr>
        <w:rFonts w:ascii="Calibri" w:hAnsi="Calibri" w:cs="Calibri"/>
        <w:sz w:val="18"/>
        <w:szCs w:val="18"/>
      </w:rPr>
      <w:t xml:space="preserve">- </w:t>
    </w:r>
    <w:r w:rsidRPr="009B17A3">
      <w:rPr>
        <w:rFonts w:ascii="Calibri" w:hAnsi="Calibri" w:cs="Calibri"/>
        <w:sz w:val="18"/>
        <w:szCs w:val="18"/>
      </w:rPr>
      <w:fldChar w:fldCharType="begin"/>
    </w:r>
    <w:r w:rsidRPr="009B17A3">
      <w:rPr>
        <w:rFonts w:ascii="Calibri" w:hAnsi="Calibri" w:cs="Calibri"/>
        <w:sz w:val="18"/>
        <w:szCs w:val="18"/>
      </w:rPr>
      <w:instrText xml:space="preserve"> PAGE   \* MERGEFORMAT </w:instrText>
    </w:r>
    <w:r w:rsidRPr="009B17A3">
      <w:rPr>
        <w:rFonts w:ascii="Calibri" w:hAnsi="Calibri" w:cs="Calibri"/>
        <w:sz w:val="18"/>
        <w:szCs w:val="18"/>
      </w:rPr>
      <w:fldChar w:fldCharType="separate"/>
    </w:r>
    <w:r>
      <w:rPr>
        <w:rFonts w:ascii="Calibri" w:hAnsi="Calibri" w:cs="Calibri"/>
        <w:sz w:val="18"/>
        <w:szCs w:val="18"/>
      </w:rPr>
      <w:t>1</w:t>
    </w:r>
    <w:r w:rsidRPr="009B17A3">
      <w:rPr>
        <w:rFonts w:ascii="Calibri" w:hAnsi="Calibri" w:cs="Calibri"/>
        <w:sz w:val="18"/>
        <w:szCs w:val="18"/>
      </w:rPr>
      <w:fldChar w:fldCharType="end"/>
    </w:r>
  </w:p>
  <w:p w14:paraId="3915AA96" w14:textId="365E7D71" w:rsidR="00426BFE" w:rsidRPr="00890392" w:rsidRDefault="00426BFE" w:rsidP="005B2E04">
    <w:pPr>
      <w:pBdr>
        <w:top w:val="single" w:sz="4" w:space="4" w:color="auto"/>
      </w:pBdr>
      <w:tabs>
        <w:tab w:val="right" w:pos="9639"/>
      </w:tabs>
      <w:rPr>
        <w:rFonts w:ascii="Calibri" w:hAnsi="Calibri" w:cs="Calibri"/>
        <w:sz w:val="10"/>
        <w:szCs w:val="10"/>
      </w:rPr>
    </w:pPr>
    <w:r w:rsidRPr="00890392">
      <w:rPr>
        <w:rFonts w:ascii="Calibri" w:hAnsi="Calibri" w:cs="Calibri"/>
        <w:sz w:val="10"/>
        <w:szCs w:val="10"/>
      </w:rPr>
      <w:fldChar w:fldCharType="begin"/>
    </w:r>
    <w:r w:rsidRPr="00890392">
      <w:rPr>
        <w:rFonts w:ascii="Arial" w:hAnsi="Arial" w:cs="Arial"/>
        <w:sz w:val="10"/>
        <w:szCs w:val="10"/>
      </w:rPr>
      <w:instrText xml:space="preserve"> FILENAME  \p  \* MERGEFORMAT </w:instrText>
    </w:r>
    <w:r w:rsidRPr="00890392">
      <w:rPr>
        <w:rFonts w:ascii="Calibri" w:hAnsi="Calibri" w:cs="Calibri"/>
        <w:sz w:val="10"/>
        <w:szCs w:val="10"/>
      </w:rPr>
      <w:fldChar w:fldCharType="separate"/>
    </w:r>
    <w:r w:rsidR="00782AD3">
      <w:rPr>
        <w:rFonts w:ascii="Arial" w:hAnsi="Arial" w:cs="Arial"/>
        <w:noProof/>
        <w:sz w:val="10"/>
        <w:szCs w:val="10"/>
      </w:rPr>
      <w:t>https://nswgov.sharepoint.com/sites/TSY2019-20Budget/Shared Documents/General/2021-22 Budget/03. Budget Paper No 3 (Infrastructure Statement)/FRAN for PRINT/BP3 - Chapter 1 - Investment program overview.docx</w:t>
    </w:r>
    <w:r w:rsidRPr="00890392">
      <w:rPr>
        <w:rFonts w:ascii="Calibri" w:hAnsi="Calibri" w:cs="Calibri"/>
        <w:sz w:val="10"/>
        <w:szCs w:val="10"/>
      </w:rPr>
      <w:fldChar w:fldCharType="end"/>
    </w:r>
    <w:r w:rsidRPr="00890392">
      <w:rPr>
        <w:rFonts w:ascii="Calibri" w:hAnsi="Calibri" w:cs="Calibri"/>
        <w:sz w:val="10"/>
        <w:szCs w:val="10"/>
      </w:rPr>
      <w:tab/>
    </w:r>
    <w:r w:rsidRPr="00890392">
      <w:rPr>
        <w:rFonts w:ascii="Calibri" w:hAnsi="Calibri" w:cs="Calibri"/>
        <w:sz w:val="10"/>
        <w:szCs w:val="10"/>
      </w:rPr>
      <w:fldChar w:fldCharType="begin"/>
    </w:r>
    <w:r w:rsidRPr="00890392">
      <w:rPr>
        <w:rFonts w:ascii="Arial" w:hAnsi="Arial" w:cs="Arial"/>
        <w:sz w:val="10"/>
        <w:szCs w:val="10"/>
      </w:rPr>
      <w:instrText xml:space="preserve"> DATE  \@ "M/d/yyyy h:mm am/pm"  \* MERGEFORMAT </w:instrText>
    </w:r>
    <w:r w:rsidRPr="00890392">
      <w:rPr>
        <w:rFonts w:ascii="Calibri" w:hAnsi="Calibri" w:cs="Calibri"/>
        <w:sz w:val="10"/>
        <w:szCs w:val="10"/>
      </w:rPr>
      <w:fldChar w:fldCharType="separate"/>
    </w:r>
    <w:r w:rsidR="003E5FCD">
      <w:rPr>
        <w:rFonts w:ascii="Arial" w:hAnsi="Arial" w:cs="Arial"/>
        <w:noProof/>
        <w:sz w:val="10"/>
        <w:szCs w:val="10"/>
      </w:rPr>
      <w:t>6/19/2021 10:06 AM</w:t>
    </w:r>
    <w:r w:rsidRPr="00890392">
      <w:rPr>
        <w:rFonts w:ascii="Calibri" w:hAnsi="Calibri" w:cs="Calibri"/>
        <w:sz w:val="10"/>
        <w:szCs w:val="1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976909" w14:textId="3AB2E590" w:rsidR="00426BFE" w:rsidRPr="00890392" w:rsidRDefault="007C2458" w:rsidP="00CE7807">
    <w:pPr>
      <w:pBdr>
        <w:top w:val="single" w:sz="4" w:space="4" w:color="auto"/>
      </w:pBdr>
      <w:tabs>
        <w:tab w:val="right" w:pos="9639"/>
      </w:tabs>
      <w:rPr>
        <w:rFonts w:ascii="Calibri" w:hAnsi="Calibri" w:cs="Calibri"/>
        <w:sz w:val="10"/>
        <w:szCs w:val="10"/>
      </w:rPr>
    </w:pPr>
    <w:r w:rsidRPr="009C3047">
      <w:rPr>
        <w:rFonts w:ascii="Arial" w:hAnsi="Arial" w:cs="Arial"/>
        <w:sz w:val="18"/>
        <w:szCs w:val="18"/>
      </w:rPr>
      <w:t xml:space="preserve">1 - </w:t>
    </w:r>
    <w:r w:rsidRPr="009C3047">
      <w:rPr>
        <w:rFonts w:ascii="Arial" w:hAnsi="Arial" w:cs="Arial"/>
        <w:sz w:val="18"/>
        <w:szCs w:val="18"/>
      </w:rPr>
      <w:fldChar w:fldCharType="begin"/>
    </w:r>
    <w:r w:rsidRPr="009C3047">
      <w:rPr>
        <w:rFonts w:ascii="Arial" w:hAnsi="Arial" w:cs="Arial"/>
        <w:sz w:val="18"/>
        <w:szCs w:val="18"/>
      </w:rPr>
      <w:instrText xml:space="preserve"> PAGE   \* MERGEFORMAT </w:instrText>
    </w:r>
    <w:r w:rsidRPr="009C3047">
      <w:rPr>
        <w:rFonts w:ascii="Arial" w:hAnsi="Arial" w:cs="Arial"/>
        <w:sz w:val="18"/>
        <w:szCs w:val="18"/>
      </w:rPr>
      <w:fldChar w:fldCharType="separate"/>
    </w:r>
    <w:r w:rsidRPr="009C3047">
      <w:rPr>
        <w:rFonts w:ascii="Arial" w:hAnsi="Arial" w:cs="Arial"/>
        <w:sz w:val="18"/>
        <w:szCs w:val="18"/>
      </w:rPr>
      <w:t>4</w:t>
    </w:r>
    <w:r w:rsidRPr="009C3047">
      <w:rPr>
        <w:rFonts w:ascii="Arial" w:hAnsi="Arial" w:cs="Arial"/>
        <w:sz w:val="18"/>
        <w:szCs w:val="18"/>
      </w:rPr>
      <w:fldChar w:fldCharType="end"/>
    </w:r>
    <w:r w:rsidR="00F757E9" w:rsidRPr="009C3047">
      <w:rPr>
        <w:rFonts w:ascii="Calibri" w:hAnsi="Calibri" w:cs="Calibri"/>
      </w:rPr>
      <w:tab/>
    </w:r>
    <w:r w:rsidR="00F757E9" w:rsidRPr="009C3047">
      <w:rPr>
        <w:rFonts w:ascii="Arial" w:hAnsi="Arial" w:cs="Arial"/>
        <w:sz w:val="18"/>
        <w:szCs w:val="18"/>
      </w:rPr>
      <w:t>Infrastructure Statement 202</w:t>
    </w:r>
    <w:r w:rsidR="00426BFE" w:rsidRPr="009C3047">
      <w:rPr>
        <w:rFonts w:ascii="Arial" w:hAnsi="Arial" w:cs="Arial"/>
        <w:sz w:val="18"/>
        <w:szCs w:val="18"/>
      </w:rPr>
      <w:t>1</w:t>
    </w:r>
    <w:r w:rsidR="00F757E9" w:rsidRPr="009C3047">
      <w:rPr>
        <w:rFonts w:ascii="Arial" w:hAnsi="Arial" w:cs="Arial"/>
        <w:sz w:val="18"/>
        <w:szCs w:val="18"/>
      </w:rPr>
      <w:t>-2</w:t>
    </w:r>
    <w:r w:rsidR="00426BFE" w:rsidRPr="009C3047">
      <w:rPr>
        <w:rFonts w:ascii="Arial" w:hAnsi="Arial" w:cs="Arial"/>
        <w:sz w:val="18"/>
        <w:szCs w:val="18"/>
      </w:rPr>
      <w:t>2</w:t>
    </w:r>
    <w:r w:rsidR="00CE7807" w:rsidRPr="00890392">
      <w:rPr>
        <w:rFonts w:ascii="Calibri" w:hAnsi="Calibri" w:cs="Calibri"/>
        <w:sz w:val="10"/>
        <w:szCs w:val="1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949978" w14:textId="1CA9E322" w:rsidR="00426BFE" w:rsidRPr="00CE7807" w:rsidRDefault="007C2458" w:rsidP="005B2E04">
    <w:pPr>
      <w:pBdr>
        <w:top w:val="single" w:sz="4" w:space="4" w:color="auto"/>
      </w:pBdr>
      <w:tabs>
        <w:tab w:val="right" w:pos="9639"/>
      </w:tabs>
      <w:rPr>
        <w:rFonts w:ascii="Arial" w:hAnsi="Arial" w:cs="Arial"/>
        <w:sz w:val="18"/>
        <w:szCs w:val="18"/>
      </w:rPr>
    </w:pPr>
    <w:r w:rsidRPr="009C3047">
      <w:rPr>
        <w:rFonts w:ascii="Arial" w:hAnsi="Arial" w:cs="Arial"/>
        <w:sz w:val="18"/>
        <w:szCs w:val="18"/>
      </w:rPr>
      <w:t xml:space="preserve">Infrastructure Statement </w:t>
    </w:r>
    <w:r w:rsidR="000C49C0" w:rsidRPr="009C3047">
      <w:rPr>
        <w:rFonts w:ascii="Arial" w:hAnsi="Arial" w:cs="Arial"/>
        <w:sz w:val="18"/>
        <w:szCs w:val="18"/>
      </w:rPr>
      <w:t>202</w:t>
    </w:r>
    <w:r w:rsidR="00426BFE" w:rsidRPr="009C3047">
      <w:rPr>
        <w:rFonts w:ascii="Arial" w:hAnsi="Arial" w:cs="Arial"/>
        <w:sz w:val="18"/>
        <w:szCs w:val="18"/>
      </w:rPr>
      <w:t>1</w:t>
    </w:r>
    <w:r w:rsidR="003E6327" w:rsidRPr="009C3047">
      <w:rPr>
        <w:rFonts w:ascii="Arial" w:hAnsi="Arial" w:cs="Arial"/>
        <w:sz w:val="18"/>
        <w:szCs w:val="18"/>
      </w:rPr>
      <w:t>-2</w:t>
    </w:r>
    <w:r w:rsidR="00426BFE" w:rsidRPr="009C3047">
      <w:rPr>
        <w:rFonts w:ascii="Arial" w:hAnsi="Arial" w:cs="Arial"/>
        <w:sz w:val="18"/>
        <w:szCs w:val="18"/>
      </w:rPr>
      <w:t>2</w:t>
    </w:r>
    <w:r w:rsidR="00F87243">
      <w:rPr>
        <w:rFonts w:ascii="Arial" w:hAnsi="Arial" w:cs="Arial"/>
        <w:sz w:val="18"/>
        <w:szCs w:val="18"/>
      </w:rPr>
      <w:tab/>
    </w:r>
    <w:r w:rsidR="00F87243" w:rsidRPr="009C3047">
      <w:rPr>
        <w:rFonts w:ascii="Arial" w:hAnsi="Arial" w:cs="Arial"/>
        <w:sz w:val="18"/>
        <w:szCs w:val="18"/>
      </w:rPr>
      <w:t xml:space="preserve">1 - </w:t>
    </w:r>
    <w:r w:rsidR="00F87243" w:rsidRPr="009C3047">
      <w:rPr>
        <w:rFonts w:ascii="Arial" w:hAnsi="Arial" w:cs="Arial"/>
        <w:sz w:val="18"/>
        <w:szCs w:val="18"/>
      </w:rPr>
      <w:fldChar w:fldCharType="begin"/>
    </w:r>
    <w:r w:rsidR="00F87243" w:rsidRPr="009C3047">
      <w:rPr>
        <w:rFonts w:ascii="Arial" w:hAnsi="Arial" w:cs="Arial"/>
        <w:sz w:val="18"/>
        <w:szCs w:val="18"/>
      </w:rPr>
      <w:instrText xml:space="preserve"> PAGE   \* MERGEFORMAT </w:instrText>
    </w:r>
    <w:r w:rsidR="00F87243" w:rsidRPr="009C3047">
      <w:rPr>
        <w:rFonts w:ascii="Arial" w:hAnsi="Arial" w:cs="Arial"/>
        <w:sz w:val="18"/>
        <w:szCs w:val="18"/>
      </w:rPr>
      <w:fldChar w:fldCharType="separate"/>
    </w:r>
    <w:r w:rsidR="00F87243">
      <w:rPr>
        <w:rFonts w:ascii="Arial" w:hAnsi="Arial" w:cs="Arial"/>
        <w:sz w:val="18"/>
        <w:szCs w:val="18"/>
      </w:rPr>
      <w:t>13</w:t>
    </w:r>
    <w:r w:rsidR="00F87243" w:rsidRPr="009C3047">
      <w:rPr>
        <w:rFonts w:ascii="Arial" w:hAnsi="Arial" w:cs="Arial"/>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9B9D99" w14:textId="43D1E6CD" w:rsidR="00426BFE" w:rsidRPr="00CE7807" w:rsidRDefault="001E04C5" w:rsidP="005B2E04">
    <w:pPr>
      <w:pBdr>
        <w:top w:val="single" w:sz="4" w:space="4" w:color="auto"/>
      </w:pBdr>
      <w:tabs>
        <w:tab w:val="right" w:pos="9639"/>
      </w:tabs>
      <w:rPr>
        <w:rFonts w:ascii="Arial" w:hAnsi="Arial" w:cs="Arial"/>
        <w:sz w:val="18"/>
        <w:szCs w:val="18"/>
      </w:rPr>
    </w:pPr>
    <w:r w:rsidRPr="00CE7807">
      <w:rPr>
        <w:rFonts w:ascii="Arial" w:hAnsi="Arial" w:cs="Arial"/>
        <w:sz w:val="18"/>
        <w:szCs w:val="18"/>
      </w:rPr>
      <w:t xml:space="preserve">1 - </w:t>
    </w:r>
    <w:r w:rsidRPr="00CE7807">
      <w:rPr>
        <w:rFonts w:ascii="Arial" w:hAnsi="Arial" w:cs="Arial"/>
        <w:sz w:val="18"/>
        <w:szCs w:val="18"/>
      </w:rPr>
      <w:fldChar w:fldCharType="begin"/>
    </w:r>
    <w:r w:rsidRPr="00CE7807">
      <w:rPr>
        <w:rFonts w:ascii="Arial" w:hAnsi="Arial" w:cs="Arial"/>
        <w:sz w:val="18"/>
        <w:szCs w:val="18"/>
      </w:rPr>
      <w:instrText xml:space="preserve"> PAGE   \* MERGEFORMAT </w:instrText>
    </w:r>
    <w:r w:rsidRPr="00CE7807">
      <w:rPr>
        <w:rFonts w:ascii="Arial" w:hAnsi="Arial" w:cs="Arial"/>
        <w:sz w:val="18"/>
        <w:szCs w:val="18"/>
      </w:rPr>
      <w:fldChar w:fldCharType="separate"/>
    </w:r>
    <w:r>
      <w:rPr>
        <w:rFonts w:ascii="Arial" w:hAnsi="Arial" w:cs="Arial"/>
        <w:sz w:val="18"/>
        <w:szCs w:val="18"/>
      </w:rPr>
      <w:t>2</w:t>
    </w:r>
    <w:r w:rsidRPr="00CE7807">
      <w:rPr>
        <w:rFonts w:ascii="Arial" w:hAnsi="Arial" w:cs="Arial"/>
        <w:sz w:val="18"/>
        <w:szCs w:val="18"/>
      </w:rPr>
      <w:fldChar w:fldCharType="end"/>
    </w:r>
    <w:r>
      <w:rPr>
        <w:rFonts w:ascii="Arial" w:hAnsi="Arial" w:cs="Arial"/>
        <w:sz w:val="18"/>
        <w:szCs w:val="18"/>
      </w:rPr>
      <w:tab/>
    </w:r>
    <w:r w:rsidR="007C2458" w:rsidRPr="00CE7807">
      <w:rPr>
        <w:rFonts w:ascii="Arial" w:hAnsi="Arial" w:cs="Arial"/>
        <w:sz w:val="18"/>
        <w:szCs w:val="18"/>
      </w:rPr>
      <w:t xml:space="preserve">Infrastructure Statement </w:t>
    </w:r>
    <w:r w:rsidR="003E6327" w:rsidRPr="00CE7807">
      <w:rPr>
        <w:rFonts w:ascii="Arial" w:hAnsi="Arial" w:cs="Arial"/>
        <w:sz w:val="18"/>
        <w:szCs w:val="18"/>
      </w:rPr>
      <w:t>202</w:t>
    </w:r>
    <w:r w:rsidR="00426BFE" w:rsidRPr="00CE7807">
      <w:rPr>
        <w:rFonts w:ascii="Arial" w:hAnsi="Arial" w:cs="Arial"/>
        <w:sz w:val="18"/>
        <w:szCs w:val="18"/>
      </w:rPr>
      <w:t>1</w:t>
    </w:r>
    <w:r w:rsidR="003E6327" w:rsidRPr="00CE7807">
      <w:rPr>
        <w:rFonts w:ascii="Arial" w:hAnsi="Arial" w:cs="Arial"/>
        <w:sz w:val="18"/>
        <w:szCs w:val="18"/>
      </w:rPr>
      <w:t>-2</w:t>
    </w:r>
    <w:r w:rsidR="00426BFE" w:rsidRPr="00CE7807">
      <w:rPr>
        <w:rFonts w:ascii="Arial" w:hAnsi="Arial" w:cs="Arial"/>
        <w:sz w:val="18"/>
        <w:szCs w:val="18"/>
      </w:rPr>
      <w:t>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555099" w14:textId="77777777" w:rsidR="00131428" w:rsidRDefault="00131428">
      <w:r>
        <w:separator/>
      </w:r>
    </w:p>
  </w:footnote>
  <w:footnote w:type="continuationSeparator" w:id="0">
    <w:p w14:paraId="71A00348" w14:textId="77777777" w:rsidR="00131428" w:rsidRDefault="00131428">
      <w:r>
        <w:continuationSeparator/>
      </w:r>
    </w:p>
    <w:p w14:paraId="22AAC26A" w14:textId="77777777" w:rsidR="00131428" w:rsidRDefault="00131428"/>
    <w:p w14:paraId="0BF12DA9" w14:textId="77777777" w:rsidR="00131428" w:rsidRDefault="00131428"/>
  </w:footnote>
  <w:footnote w:type="continuationNotice" w:id="1">
    <w:p w14:paraId="1CD6F270" w14:textId="77777777" w:rsidR="00131428" w:rsidRDefault="00131428"/>
  </w:footnote>
  <w:footnote w:id="2">
    <w:p w14:paraId="26739629" w14:textId="2E1C3226" w:rsidR="001651A2" w:rsidRPr="00D577DE" w:rsidRDefault="001651A2" w:rsidP="003A65CC">
      <w:pPr>
        <w:spacing w:before="40"/>
        <w:ind w:left="709" w:hanging="284"/>
        <w:rPr>
          <w:sz w:val="17"/>
          <w:szCs w:val="17"/>
        </w:rPr>
      </w:pPr>
      <w:r>
        <w:rPr>
          <w:rStyle w:val="FootnoteReference"/>
        </w:rPr>
        <w:footnoteRef/>
      </w:r>
      <w:r>
        <w:t xml:space="preserve"> </w:t>
      </w:r>
      <w:r w:rsidR="00090EF0">
        <w:tab/>
      </w:r>
      <w:r w:rsidR="00D577DE" w:rsidRPr="00C36F07">
        <w:rPr>
          <w:rStyle w:val="FootnoteReference"/>
          <w:rFonts w:cs="Arial"/>
          <w:szCs w:val="17"/>
          <w:vertAlign w:val="baseline"/>
        </w:rPr>
        <w:t>The estimated total cost (ETC) of projects identified in this chapter may include prior year expenditure and expenditure beyond the budget and forward estimates.</w:t>
      </w:r>
    </w:p>
  </w:footnote>
  <w:footnote w:id="3">
    <w:p w14:paraId="722D97B5" w14:textId="60F5E8CB" w:rsidR="004768B2" w:rsidRPr="00DE5668" w:rsidRDefault="004B0962" w:rsidP="00305FCC">
      <w:pPr>
        <w:ind w:left="709" w:hanging="283"/>
        <w:rPr>
          <w:rStyle w:val="FootnoteReference"/>
          <w:rFonts w:cs="Arial"/>
          <w:i/>
          <w:szCs w:val="17"/>
        </w:rPr>
      </w:pPr>
      <w:r>
        <w:rPr>
          <w:rStyle w:val="FootnoteReference"/>
        </w:rPr>
        <w:footnoteRef/>
      </w:r>
      <w:r>
        <w:t xml:space="preserve"> </w:t>
      </w:r>
      <w:r w:rsidR="00090EF0">
        <w:tab/>
      </w:r>
      <w:r w:rsidRPr="00855653">
        <w:rPr>
          <w:rStyle w:val="FootnoteReference"/>
          <w:rFonts w:cs="Arial"/>
          <w:szCs w:val="17"/>
          <w:vertAlign w:val="baseline"/>
        </w:rPr>
        <w:t>Health Capital Expenditure includes capital expensing amounts</w:t>
      </w:r>
      <w:r w:rsidR="001D72A0" w:rsidRPr="00855653">
        <w:rPr>
          <w:rStyle w:val="FootnoteReference"/>
          <w:rFonts w:cs="Arial"/>
          <w:szCs w:val="17"/>
          <w:vertAlign w:val="baseline"/>
        </w:rPr>
        <w:t xml:space="preserve">. </w:t>
      </w:r>
      <w:r w:rsidRPr="00855653">
        <w:rPr>
          <w:rStyle w:val="FootnoteReference"/>
          <w:rFonts w:cs="Arial"/>
          <w:szCs w:val="17"/>
          <w:vertAlign w:val="baseline"/>
        </w:rPr>
        <w:t xml:space="preserve">Further information is provided at footnote </w:t>
      </w:r>
      <w:r w:rsidR="00245E9E" w:rsidRPr="00855653">
        <w:rPr>
          <w:rStyle w:val="FootnoteReference"/>
          <w:rFonts w:cs="Arial"/>
          <w:szCs w:val="17"/>
          <w:vertAlign w:val="baseline"/>
        </w:rPr>
        <w:t>c</w:t>
      </w:r>
      <w:r w:rsidRPr="00855653">
        <w:rPr>
          <w:rStyle w:val="FootnoteReference"/>
          <w:rFonts w:cs="Arial"/>
          <w:szCs w:val="17"/>
          <w:vertAlign w:val="baseline"/>
        </w:rPr>
        <w:t>) of Table</w:t>
      </w:r>
      <w:r w:rsidR="00090EF0">
        <w:rPr>
          <w:rFonts w:cs="Arial"/>
          <w:szCs w:val="17"/>
        </w:rPr>
        <w:t> </w:t>
      </w:r>
      <w:r w:rsidRPr="00855653">
        <w:rPr>
          <w:rStyle w:val="FootnoteReference"/>
          <w:rFonts w:cs="Arial"/>
          <w:szCs w:val="17"/>
          <w:vertAlign w:val="baseline"/>
        </w:rPr>
        <w:t>1.</w:t>
      </w:r>
      <w:r w:rsidR="001D72A0">
        <w:rPr>
          <w:rStyle w:val="FootnoteReference"/>
          <w:rFonts w:cs="Arial"/>
          <w:i/>
          <w:iCs/>
          <w:szCs w:val="17"/>
          <w:vertAlign w:val="baseline"/>
        </w:rPr>
        <w:t>2</w:t>
      </w:r>
      <w:r w:rsidR="00100F52">
        <w:rPr>
          <w:rFonts w:ascii="Arial" w:hAnsi="Arial" w:cs="Arial"/>
          <w:i/>
          <w:iCs/>
          <w:sz w:val="17"/>
          <w:szCs w:val="17"/>
        </w:rPr>
        <w:t>.</w:t>
      </w:r>
    </w:p>
  </w:footnote>
  <w:footnote w:id="4">
    <w:p w14:paraId="27400906" w14:textId="47D01C04" w:rsidR="000102D7" w:rsidRPr="00EC5DAE" w:rsidRDefault="00277FDD" w:rsidP="00305FCC">
      <w:pPr>
        <w:spacing w:before="40"/>
        <w:ind w:left="714" w:hanging="357"/>
        <w:rPr>
          <w:rStyle w:val="FootnoteReference"/>
          <w:rFonts w:cs="Arial"/>
          <w:i/>
          <w:szCs w:val="17"/>
        </w:rPr>
      </w:pPr>
      <w:r>
        <w:rPr>
          <w:rStyle w:val="FootnoteReference"/>
        </w:rPr>
        <w:footnoteRef/>
      </w:r>
      <w:r>
        <w:t xml:space="preserve"> </w:t>
      </w:r>
      <w:r w:rsidR="00090EF0">
        <w:tab/>
      </w:r>
      <w:r w:rsidR="00965E3D" w:rsidRPr="00034968">
        <w:rPr>
          <w:rFonts w:ascii="Arial" w:hAnsi="Arial" w:cs="Arial"/>
          <w:sz w:val="17"/>
          <w:szCs w:val="17"/>
        </w:rPr>
        <w:t>Transport for NSW</w:t>
      </w:r>
      <w:r w:rsidR="00965E3D">
        <w:rPr>
          <w:rFonts w:ascii="Arial" w:hAnsi="Arial" w:cs="Arial"/>
          <w:sz w:val="17"/>
          <w:szCs w:val="17"/>
        </w:rPr>
        <w:t xml:space="preserve">, </w:t>
      </w:r>
      <w:r w:rsidR="004D2CFD" w:rsidRPr="00034968">
        <w:rPr>
          <w:rFonts w:ascii="Arial" w:hAnsi="Arial" w:cs="Arial"/>
          <w:i/>
          <w:iCs/>
          <w:sz w:val="17"/>
          <w:szCs w:val="17"/>
        </w:rPr>
        <w:t>Sydney Pinch Point Programs Overview May 2020</w:t>
      </w:r>
    </w:p>
  </w:footnote>
  <w:footnote w:id="5">
    <w:p w14:paraId="1465538A" w14:textId="248D8B76" w:rsidR="00590FEC" w:rsidRPr="00590FEC" w:rsidRDefault="00590FEC" w:rsidP="00940396">
      <w:pPr>
        <w:pStyle w:val="FootnoteText"/>
        <w:numPr>
          <w:ilvl w:val="0"/>
          <w:numId w:val="0"/>
        </w:numPr>
        <w:spacing w:before="40" w:after="40"/>
        <w:ind w:left="714" w:hanging="357"/>
        <w:rPr>
          <w:rFonts w:ascii="Arial" w:hAnsi="Arial" w:cs="Arial"/>
          <w:i w:val="0"/>
          <w:sz w:val="17"/>
          <w:szCs w:val="17"/>
          <w:lang w:val="en-AU"/>
        </w:rPr>
      </w:pPr>
      <w:r w:rsidRPr="00590FEC">
        <w:rPr>
          <w:rStyle w:val="FootnoteReference"/>
          <w:i w:val="0"/>
          <w:iCs/>
        </w:rPr>
        <w:footnoteRef/>
      </w:r>
      <w:r>
        <w:tab/>
      </w:r>
      <w:r>
        <w:rPr>
          <w:rFonts w:ascii="Arial" w:hAnsi="Arial" w:cs="Arial"/>
          <w:i w:val="0"/>
          <w:sz w:val="17"/>
          <w:szCs w:val="17"/>
        </w:rPr>
        <w:t xml:space="preserve">Restart NSW is forecast to have $37.1 billion of inflows as at 30 June 2021.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F84A91" w14:textId="06414C42" w:rsidR="007C2458" w:rsidRPr="009C3047" w:rsidRDefault="007C2458" w:rsidP="00826275">
    <w:pPr>
      <w:pBdr>
        <w:bottom w:val="single" w:sz="4" w:space="4" w:color="auto"/>
      </w:pBdr>
      <w:rPr>
        <w:rFonts w:ascii="Arial" w:hAnsi="Arial" w:cs="Arial"/>
        <w:sz w:val="18"/>
        <w:szCs w:val="18"/>
      </w:rPr>
    </w:pPr>
    <w:r w:rsidRPr="009C3047">
      <w:rPr>
        <w:rFonts w:ascii="Arial" w:hAnsi="Arial" w:cs="Arial"/>
        <w:sz w:val="18"/>
        <w:szCs w:val="18"/>
      </w:rPr>
      <w:t>Overview</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D1A4DA" w14:textId="2B3770DE" w:rsidR="00B17F66" w:rsidRPr="000A4AB9" w:rsidRDefault="0098012B" w:rsidP="00E30164">
    <w:pPr>
      <w:pBdr>
        <w:bottom w:val="single" w:sz="4" w:space="4" w:color="auto"/>
      </w:pBdr>
      <w:rPr>
        <w:rFonts w:ascii="Arial" w:hAnsi="Arial" w:cs="Arial"/>
        <w:sz w:val="16"/>
        <w:szCs w:val="16"/>
      </w:rPr>
    </w:pPr>
    <w:r w:rsidRPr="000A4AB9">
      <w:rPr>
        <w:rFonts w:ascii="Arial" w:hAnsi="Arial" w:cs="Arial"/>
        <w:sz w:val="16"/>
        <w:szCs w:val="16"/>
      </w:rPr>
      <w:t>Overview</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DF331C" w14:textId="77777777" w:rsidR="005012D4" w:rsidRPr="009C3047" w:rsidRDefault="005012D4" w:rsidP="003A52AC">
    <w:pPr>
      <w:pBdr>
        <w:bottom w:val="single" w:sz="4" w:space="4" w:color="auto"/>
      </w:pBdr>
      <w:jc w:val="right"/>
      <w:rPr>
        <w:rFonts w:ascii="Arial" w:hAnsi="Arial" w:cs="Arial"/>
        <w:sz w:val="18"/>
        <w:szCs w:val="18"/>
      </w:rPr>
    </w:pPr>
    <w:r w:rsidRPr="009C3047">
      <w:rPr>
        <w:rFonts w:ascii="Arial" w:hAnsi="Arial" w:cs="Arial"/>
        <w:sz w:val="18"/>
        <w:szCs w:val="18"/>
      </w:rPr>
      <w:t>Overview</w:t>
    </w:r>
  </w:p>
  <w:p w14:paraId="6FB893C2" w14:textId="77777777" w:rsidR="000460C6" w:rsidRDefault="000460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EA4AA236"/>
    <w:lvl w:ilvl="0">
      <w:start w:val="1"/>
      <w:numFmt w:val="decimal"/>
      <w:lvlText w:val="%1."/>
      <w:lvlJc w:val="left"/>
      <w:pPr>
        <w:tabs>
          <w:tab w:val="num" w:pos="-490"/>
        </w:tabs>
        <w:ind w:left="-490" w:hanging="360"/>
      </w:pPr>
    </w:lvl>
  </w:abstractNum>
  <w:abstractNum w:abstractNumId="1" w15:restartNumberingAfterBreak="0">
    <w:nsid w:val="FFFFFF89"/>
    <w:multiLevelType w:val="hybridMultilevel"/>
    <w:tmpl w:val="BF7C71E6"/>
    <w:lvl w:ilvl="0" w:tplc="84E23A8A">
      <w:start w:val="1"/>
      <w:numFmt w:val="bullet"/>
      <w:lvlText w:val=""/>
      <w:lvlJc w:val="left"/>
      <w:pPr>
        <w:tabs>
          <w:tab w:val="num" w:pos="360"/>
        </w:tabs>
        <w:ind w:left="360" w:hanging="360"/>
      </w:pPr>
      <w:rPr>
        <w:rFonts w:ascii="Symbol" w:hAnsi="Symbol" w:hint="default"/>
      </w:rPr>
    </w:lvl>
    <w:lvl w:ilvl="1" w:tplc="2CFE7F38">
      <w:numFmt w:val="decimal"/>
      <w:lvlText w:val=""/>
      <w:lvlJc w:val="left"/>
    </w:lvl>
    <w:lvl w:ilvl="2" w:tplc="2662FCA0">
      <w:numFmt w:val="decimal"/>
      <w:lvlText w:val=""/>
      <w:lvlJc w:val="left"/>
    </w:lvl>
    <w:lvl w:ilvl="3" w:tplc="44A6F8B6">
      <w:numFmt w:val="decimal"/>
      <w:lvlText w:val=""/>
      <w:lvlJc w:val="left"/>
    </w:lvl>
    <w:lvl w:ilvl="4" w:tplc="FD0C4DB0">
      <w:numFmt w:val="decimal"/>
      <w:lvlText w:val=""/>
      <w:lvlJc w:val="left"/>
    </w:lvl>
    <w:lvl w:ilvl="5" w:tplc="BEE021B4">
      <w:numFmt w:val="decimal"/>
      <w:lvlText w:val=""/>
      <w:lvlJc w:val="left"/>
    </w:lvl>
    <w:lvl w:ilvl="6" w:tplc="4EEC10CA">
      <w:numFmt w:val="decimal"/>
      <w:lvlText w:val=""/>
      <w:lvlJc w:val="left"/>
    </w:lvl>
    <w:lvl w:ilvl="7" w:tplc="9A205F98">
      <w:numFmt w:val="decimal"/>
      <w:lvlText w:val=""/>
      <w:lvlJc w:val="left"/>
    </w:lvl>
    <w:lvl w:ilvl="8" w:tplc="BF06F31C">
      <w:numFmt w:val="decimal"/>
      <w:lvlText w:val=""/>
      <w:lvlJc w:val="left"/>
    </w:lvl>
  </w:abstractNum>
  <w:abstractNum w:abstractNumId="2" w15:restartNumberingAfterBreak="0">
    <w:nsid w:val="005558BE"/>
    <w:multiLevelType w:val="hybridMultilevel"/>
    <w:tmpl w:val="7BD898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0E0436D"/>
    <w:multiLevelType w:val="hybridMultilevel"/>
    <w:tmpl w:val="D03AE99C"/>
    <w:lvl w:ilvl="0" w:tplc="4A8C740A">
      <w:start w:val="1"/>
      <w:numFmt w:val="bullet"/>
      <w:lvlText w:val=""/>
      <w:lvlJc w:val="left"/>
      <w:pPr>
        <w:tabs>
          <w:tab w:val="num" w:pos="720"/>
        </w:tabs>
        <w:ind w:left="720" w:hanging="360"/>
      </w:pPr>
      <w:rPr>
        <w:rFonts w:ascii="Symbol" w:hAnsi="Symbol" w:hint="default"/>
        <w:sz w:val="20"/>
      </w:rPr>
    </w:lvl>
    <w:lvl w:ilvl="1" w:tplc="45B23450" w:tentative="1">
      <w:start w:val="1"/>
      <w:numFmt w:val="bullet"/>
      <w:lvlText w:val=""/>
      <w:lvlJc w:val="left"/>
      <w:pPr>
        <w:tabs>
          <w:tab w:val="num" w:pos="1440"/>
        </w:tabs>
        <w:ind w:left="1440" w:hanging="360"/>
      </w:pPr>
      <w:rPr>
        <w:rFonts w:ascii="Symbol" w:hAnsi="Symbol" w:hint="default"/>
        <w:sz w:val="20"/>
      </w:rPr>
    </w:lvl>
    <w:lvl w:ilvl="2" w:tplc="479CAC8C" w:tentative="1">
      <w:start w:val="1"/>
      <w:numFmt w:val="bullet"/>
      <w:lvlText w:val=""/>
      <w:lvlJc w:val="left"/>
      <w:pPr>
        <w:tabs>
          <w:tab w:val="num" w:pos="2160"/>
        </w:tabs>
        <w:ind w:left="2160" w:hanging="360"/>
      </w:pPr>
      <w:rPr>
        <w:rFonts w:ascii="Symbol" w:hAnsi="Symbol" w:hint="default"/>
        <w:sz w:val="20"/>
      </w:rPr>
    </w:lvl>
    <w:lvl w:ilvl="3" w:tplc="E9167E18" w:tentative="1">
      <w:start w:val="1"/>
      <w:numFmt w:val="bullet"/>
      <w:lvlText w:val=""/>
      <w:lvlJc w:val="left"/>
      <w:pPr>
        <w:tabs>
          <w:tab w:val="num" w:pos="2880"/>
        </w:tabs>
        <w:ind w:left="2880" w:hanging="360"/>
      </w:pPr>
      <w:rPr>
        <w:rFonts w:ascii="Symbol" w:hAnsi="Symbol" w:hint="default"/>
        <w:sz w:val="20"/>
      </w:rPr>
    </w:lvl>
    <w:lvl w:ilvl="4" w:tplc="D988E042" w:tentative="1">
      <w:start w:val="1"/>
      <w:numFmt w:val="bullet"/>
      <w:lvlText w:val=""/>
      <w:lvlJc w:val="left"/>
      <w:pPr>
        <w:tabs>
          <w:tab w:val="num" w:pos="3600"/>
        </w:tabs>
        <w:ind w:left="3600" w:hanging="360"/>
      </w:pPr>
      <w:rPr>
        <w:rFonts w:ascii="Symbol" w:hAnsi="Symbol" w:hint="default"/>
        <w:sz w:val="20"/>
      </w:rPr>
    </w:lvl>
    <w:lvl w:ilvl="5" w:tplc="BD980FA6" w:tentative="1">
      <w:start w:val="1"/>
      <w:numFmt w:val="bullet"/>
      <w:lvlText w:val=""/>
      <w:lvlJc w:val="left"/>
      <w:pPr>
        <w:tabs>
          <w:tab w:val="num" w:pos="4320"/>
        </w:tabs>
        <w:ind w:left="4320" w:hanging="360"/>
      </w:pPr>
      <w:rPr>
        <w:rFonts w:ascii="Symbol" w:hAnsi="Symbol" w:hint="default"/>
        <w:sz w:val="20"/>
      </w:rPr>
    </w:lvl>
    <w:lvl w:ilvl="6" w:tplc="BE80E178" w:tentative="1">
      <w:start w:val="1"/>
      <w:numFmt w:val="bullet"/>
      <w:lvlText w:val=""/>
      <w:lvlJc w:val="left"/>
      <w:pPr>
        <w:tabs>
          <w:tab w:val="num" w:pos="5040"/>
        </w:tabs>
        <w:ind w:left="5040" w:hanging="360"/>
      </w:pPr>
      <w:rPr>
        <w:rFonts w:ascii="Symbol" w:hAnsi="Symbol" w:hint="default"/>
        <w:sz w:val="20"/>
      </w:rPr>
    </w:lvl>
    <w:lvl w:ilvl="7" w:tplc="7114AE9C" w:tentative="1">
      <w:start w:val="1"/>
      <w:numFmt w:val="bullet"/>
      <w:lvlText w:val=""/>
      <w:lvlJc w:val="left"/>
      <w:pPr>
        <w:tabs>
          <w:tab w:val="num" w:pos="5760"/>
        </w:tabs>
        <w:ind w:left="5760" w:hanging="360"/>
      </w:pPr>
      <w:rPr>
        <w:rFonts w:ascii="Symbol" w:hAnsi="Symbol" w:hint="default"/>
        <w:sz w:val="20"/>
      </w:rPr>
    </w:lvl>
    <w:lvl w:ilvl="8" w:tplc="397A8052"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30E507C"/>
    <w:multiLevelType w:val="hybridMultilevel"/>
    <w:tmpl w:val="5BAA11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46A088B"/>
    <w:multiLevelType w:val="hybridMultilevel"/>
    <w:tmpl w:val="18C80FC0"/>
    <w:lvl w:ilvl="0" w:tplc="99AE4F9E">
      <w:start w:val="1"/>
      <w:numFmt w:val="bullet"/>
      <w:lvlText w:val=""/>
      <w:lvlJc w:val="left"/>
      <w:pPr>
        <w:ind w:left="720" w:hanging="360"/>
      </w:pPr>
      <w:rPr>
        <w:rFonts w:ascii="Symbol" w:hAnsi="Symbol"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51F2489"/>
    <w:multiLevelType w:val="hybridMultilevel"/>
    <w:tmpl w:val="D1DA1798"/>
    <w:lvl w:ilvl="0" w:tplc="86EA4D7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5DE5882"/>
    <w:multiLevelType w:val="hybridMultilevel"/>
    <w:tmpl w:val="022A7A84"/>
    <w:lvl w:ilvl="0" w:tplc="3A3C8A72">
      <w:start w:val="1"/>
      <w:numFmt w:val="bullet"/>
      <w:pStyle w:val="Bullet3"/>
      <w:lvlText w:val=""/>
      <w:lvlJc w:val="left"/>
      <w:pPr>
        <w:tabs>
          <w:tab w:val="num" w:pos="1276"/>
        </w:tabs>
        <w:ind w:left="1276" w:hanging="425"/>
      </w:pPr>
      <w:rPr>
        <w:rFonts w:ascii="Arial Bold" w:hAnsi="Arial Bold" w:hint="default"/>
        <w:sz w:val="22"/>
      </w:rPr>
    </w:lvl>
    <w:lvl w:ilvl="1" w:tplc="9EC217D8">
      <w:numFmt w:val="decimal"/>
      <w:lvlText w:val=""/>
      <w:lvlJc w:val="left"/>
    </w:lvl>
    <w:lvl w:ilvl="2" w:tplc="2312E42C">
      <w:numFmt w:val="decimal"/>
      <w:lvlText w:val=""/>
      <w:lvlJc w:val="left"/>
    </w:lvl>
    <w:lvl w:ilvl="3" w:tplc="102CE760">
      <w:numFmt w:val="decimal"/>
      <w:lvlText w:val=""/>
      <w:lvlJc w:val="left"/>
    </w:lvl>
    <w:lvl w:ilvl="4" w:tplc="11100C30">
      <w:numFmt w:val="decimal"/>
      <w:lvlText w:val=""/>
      <w:lvlJc w:val="left"/>
    </w:lvl>
    <w:lvl w:ilvl="5" w:tplc="0E623F7A">
      <w:numFmt w:val="decimal"/>
      <w:lvlText w:val=""/>
      <w:lvlJc w:val="left"/>
    </w:lvl>
    <w:lvl w:ilvl="6" w:tplc="BBCCF624">
      <w:numFmt w:val="decimal"/>
      <w:lvlText w:val=""/>
      <w:lvlJc w:val="left"/>
    </w:lvl>
    <w:lvl w:ilvl="7" w:tplc="80129D46">
      <w:numFmt w:val="decimal"/>
      <w:lvlText w:val=""/>
      <w:lvlJc w:val="left"/>
    </w:lvl>
    <w:lvl w:ilvl="8" w:tplc="0ABAD078">
      <w:numFmt w:val="decimal"/>
      <w:lvlText w:val=""/>
      <w:lvlJc w:val="left"/>
    </w:lvl>
  </w:abstractNum>
  <w:abstractNum w:abstractNumId="8" w15:restartNumberingAfterBreak="0">
    <w:nsid w:val="071E3812"/>
    <w:multiLevelType w:val="hybridMultilevel"/>
    <w:tmpl w:val="A12239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96B7BD7"/>
    <w:multiLevelType w:val="hybridMultilevel"/>
    <w:tmpl w:val="B77ECAF4"/>
    <w:lvl w:ilvl="0" w:tplc="B34CE37C">
      <w:start w:val="1"/>
      <w:numFmt w:val="lowerLetter"/>
      <w:lvlText w:val="(%1)"/>
      <w:lvlJc w:val="left"/>
      <w:pPr>
        <w:ind w:left="720" w:hanging="360"/>
      </w:pPr>
      <w:rPr>
        <w:rFonts w:hint="default"/>
        <w:sz w:val="17"/>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9A40220"/>
    <w:multiLevelType w:val="hybridMultilevel"/>
    <w:tmpl w:val="40823DAC"/>
    <w:lvl w:ilvl="0" w:tplc="6B54148A">
      <w:start w:val="1"/>
      <w:numFmt w:val="decimal"/>
      <w:lvlText w:val="%1."/>
      <w:lvlJc w:val="left"/>
      <w:pPr>
        <w:ind w:left="1068" w:hanging="708"/>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A4813CE"/>
    <w:multiLevelType w:val="hybridMultilevel"/>
    <w:tmpl w:val="A4A62506"/>
    <w:lvl w:ilvl="0" w:tplc="997E13CC">
      <w:start w:val="1"/>
      <w:numFmt w:val="bullet"/>
      <w:lvlText w:val=""/>
      <w:lvlJc w:val="left"/>
      <w:pPr>
        <w:ind w:left="1800" w:hanging="360"/>
      </w:pPr>
      <w:rPr>
        <w:rFonts w:ascii="Symbol" w:hAnsi="Symbol" w:hint="default"/>
        <w:sz w:val="24"/>
        <w:szCs w:val="24"/>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2" w15:restartNumberingAfterBreak="0">
    <w:nsid w:val="0AA74755"/>
    <w:multiLevelType w:val="hybridMultilevel"/>
    <w:tmpl w:val="73B45062"/>
    <w:lvl w:ilvl="0" w:tplc="0C090001">
      <w:start w:val="1"/>
      <w:numFmt w:val="bullet"/>
      <w:pStyle w:val="Bullet2innumberedlist"/>
      <w:lvlText w:val=""/>
      <w:lvlJc w:val="left"/>
      <w:pPr>
        <w:tabs>
          <w:tab w:val="num" w:pos="360"/>
        </w:tabs>
        <w:ind w:left="360" w:hanging="360"/>
      </w:pPr>
      <w:rPr>
        <w:rFonts w:ascii="Symbol" w:hAnsi="Symbol"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3">
      <w:start w:val="1"/>
      <w:numFmt w:val="bullet"/>
      <w:lvlText w:val="o"/>
      <w:lvlJc w:val="left"/>
      <w:pPr>
        <w:tabs>
          <w:tab w:val="num" w:pos="1015"/>
        </w:tabs>
        <w:ind w:left="1015" w:hanging="360"/>
      </w:pPr>
      <w:rPr>
        <w:rFonts w:ascii="Lucida Sans" w:hAnsi="Lucida Sans" w:cs="Lucida Sans" w:hint="default"/>
      </w:rPr>
    </w:lvl>
    <w:lvl w:ilvl="2" w:tplc="0C090005">
      <w:start w:val="1"/>
      <w:numFmt w:val="bullet"/>
      <w:lvlText w:val=""/>
      <w:lvlJc w:val="left"/>
      <w:pPr>
        <w:tabs>
          <w:tab w:val="num" w:pos="1735"/>
        </w:tabs>
        <w:ind w:left="1735" w:hanging="360"/>
      </w:pPr>
      <w:rPr>
        <w:rFonts w:ascii="Calibri" w:hAnsi="Calibri" w:hint="default"/>
      </w:rPr>
    </w:lvl>
    <w:lvl w:ilvl="3" w:tplc="0C090001" w:tentative="1">
      <w:start w:val="1"/>
      <w:numFmt w:val="bullet"/>
      <w:lvlText w:val=""/>
      <w:lvlJc w:val="left"/>
      <w:pPr>
        <w:tabs>
          <w:tab w:val="num" w:pos="2455"/>
        </w:tabs>
        <w:ind w:left="2455" w:hanging="360"/>
      </w:pPr>
      <w:rPr>
        <w:rFonts w:ascii="Arial Bold" w:hAnsi="Arial Bold" w:hint="default"/>
      </w:rPr>
    </w:lvl>
    <w:lvl w:ilvl="4" w:tplc="0C090003" w:tentative="1">
      <w:start w:val="1"/>
      <w:numFmt w:val="bullet"/>
      <w:lvlText w:val="o"/>
      <w:lvlJc w:val="left"/>
      <w:pPr>
        <w:tabs>
          <w:tab w:val="num" w:pos="3175"/>
        </w:tabs>
        <w:ind w:left="3175" w:hanging="360"/>
      </w:pPr>
      <w:rPr>
        <w:rFonts w:ascii="Lucida Sans" w:hAnsi="Lucida Sans" w:cs="Lucida Sans" w:hint="default"/>
      </w:rPr>
    </w:lvl>
    <w:lvl w:ilvl="5" w:tplc="0C090005" w:tentative="1">
      <w:start w:val="1"/>
      <w:numFmt w:val="bullet"/>
      <w:lvlText w:val=""/>
      <w:lvlJc w:val="left"/>
      <w:pPr>
        <w:tabs>
          <w:tab w:val="num" w:pos="3895"/>
        </w:tabs>
        <w:ind w:left="3895" w:hanging="360"/>
      </w:pPr>
      <w:rPr>
        <w:rFonts w:ascii="Calibri" w:hAnsi="Calibri" w:hint="default"/>
      </w:rPr>
    </w:lvl>
    <w:lvl w:ilvl="6" w:tplc="0C090001" w:tentative="1">
      <w:start w:val="1"/>
      <w:numFmt w:val="bullet"/>
      <w:lvlText w:val=""/>
      <w:lvlJc w:val="left"/>
      <w:pPr>
        <w:tabs>
          <w:tab w:val="num" w:pos="4615"/>
        </w:tabs>
        <w:ind w:left="4615" w:hanging="360"/>
      </w:pPr>
      <w:rPr>
        <w:rFonts w:ascii="Arial Bold" w:hAnsi="Arial Bold" w:hint="default"/>
      </w:rPr>
    </w:lvl>
    <w:lvl w:ilvl="7" w:tplc="0C090003" w:tentative="1">
      <w:start w:val="1"/>
      <w:numFmt w:val="bullet"/>
      <w:lvlText w:val="o"/>
      <w:lvlJc w:val="left"/>
      <w:pPr>
        <w:tabs>
          <w:tab w:val="num" w:pos="5335"/>
        </w:tabs>
        <w:ind w:left="5335" w:hanging="360"/>
      </w:pPr>
      <w:rPr>
        <w:rFonts w:ascii="Lucida Sans" w:hAnsi="Lucida Sans" w:cs="Lucida Sans" w:hint="default"/>
      </w:rPr>
    </w:lvl>
    <w:lvl w:ilvl="8" w:tplc="0C090005" w:tentative="1">
      <w:start w:val="1"/>
      <w:numFmt w:val="bullet"/>
      <w:lvlText w:val=""/>
      <w:lvlJc w:val="left"/>
      <w:pPr>
        <w:tabs>
          <w:tab w:val="num" w:pos="6055"/>
        </w:tabs>
        <w:ind w:left="6055" w:hanging="360"/>
      </w:pPr>
      <w:rPr>
        <w:rFonts w:ascii="Calibri" w:hAnsi="Calibri" w:hint="default"/>
      </w:rPr>
    </w:lvl>
  </w:abstractNum>
  <w:abstractNum w:abstractNumId="13" w15:restartNumberingAfterBreak="0">
    <w:nsid w:val="0C7B0513"/>
    <w:multiLevelType w:val="hybridMultilevel"/>
    <w:tmpl w:val="65D88BAE"/>
    <w:lvl w:ilvl="0" w:tplc="F7F621A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D3313D5"/>
    <w:multiLevelType w:val="hybridMultilevel"/>
    <w:tmpl w:val="EEF2790A"/>
    <w:lvl w:ilvl="0" w:tplc="DDC689A0">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0DCB4AFF"/>
    <w:multiLevelType w:val="hybridMultilevel"/>
    <w:tmpl w:val="C4CC58DA"/>
    <w:lvl w:ilvl="0" w:tplc="54B061C6">
      <w:start w:val="1"/>
      <w:numFmt w:val="bullet"/>
      <w:pStyle w:val="ListBullet1"/>
      <w:lvlText w:val=""/>
      <w:lvlJc w:val="left"/>
      <w:pPr>
        <w:tabs>
          <w:tab w:val="num" w:pos="454"/>
        </w:tabs>
        <w:ind w:left="454" w:hanging="454"/>
      </w:pPr>
      <w:rPr>
        <w:rFonts w:ascii="Arial Bold" w:hAnsi="Arial Bold" w:hint="default"/>
      </w:rPr>
    </w:lvl>
    <w:lvl w:ilvl="1" w:tplc="5A70E5E4">
      <w:numFmt w:val="bullet"/>
      <w:lvlText w:val="-"/>
      <w:lvlJc w:val="left"/>
      <w:pPr>
        <w:tabs>
          <w:tab w:val="num" w:pos="1440"/>
        </w:tabs>
        <w:ind w:left="1440" w:hanging="360"/>
      </w:pPr>
      <w:rPr>
        <w:rFonts w:ascii="Arial Bold" w:eastAsia="Cambria Math" w:hAnsi="Arial Bold" w:cs="Arial Bold" w:hint="default"/>
      </w:rPr>
    </w:lvl>
    <w:lvl w:ilvl="2" w:tplc="0C090005" w:tentative="1">
      <w:start w:val="1"/>
      <w:numFmt w:val="bullet"/>
      <w:lvlText w:val=""/>
      <w:lvlJc w:val="left"/>
      <w:pPr>
        <w:tabs>
          <w:tab w:val="num" w:pos="2160"/>
        </w:tabs>
        <w:ind w:left="2160" w:hanging="360"/>
      </w:pPr>
      <w:rPr>
        <w:rFonts w:ascii="Calibri" w:hAnsi="Calibri" w:hint="default"/>
      </w:rPr>
    </w:lvl>
    <w:lvl w:ilvl="3" w:tplc="0C090001" w:tentative="1">
      <w:start w:val="1"/>
      <w:numFmt w:val="bullet"/>
      <w:lvlText w:val=""/>
      <w:lvlJc w:val="left"/>
      <w:pPr>
        <w:tabs>
          <w:tab w:val="num" w:pos="2880"/>
        </w:tabs>
        <w:ind w:left="2880" w:hanging="360"/>
      </w:pPr>
      <w:rPr>
        <w:rFonts w:ascii="Arial Bold" w:hAnsi="Arial Bold" w:hint="default"/>
      </w:rPr>
    </w:lvl>
    <w:lvl w:ilvl="4" w:tplc="0C090003" w:tentative="1">
      <w:start w:val="1"/>
      <w:numFmt w:val="bullet"/>
      <w:lvlText w:val="o"/>
      <w:lvlJc w:val="left"/>
      <w:pPr>
        <w:tabs>
          <w:tab w:val="num" w:pos="3600"/>
        </w:tabs>
        <w:ind w:left="3600" w:hanging="360"/>
      </w:pPr>
      <w:rPr>
        <w:rFonts w:ascii="Lucida Sans" w:hAnsi="Lucida Sans" w:cs="Lucida Sans" w:hint="default"/>
      </w:rPr>
    </w:lvl>
    <w:lvl w:ilvl="5" w:tplc="0C090005" w:tentative="1">
      <w:start w:val="1"/>
      <w:numFmt w:val="bullet"/>
      <w:lvlText w:val=""/>
      <w:lvlJc w:val="left"/>
      <w:pPr>
        <w:tabs>
          <w:tab w:val="num" w:pos="4320"/>
        </w:tabs>
        <w:ind w:left="4320" w:hanging="360"/>
      </w:pPr>
      <w:rPr>
        <w:rFonts w:ascii="Calibri" w:hAnsi="Calibri" w:hint="default"/>
      </w:rPr>
    </w:lvl>
    <w:lvl w:ilvl="6" w:tplc="0C090001" w:tentative="1">
      <w:start w:val="1"/>
      <w:numFmt w:val="bullet"/>
      <w:lvlText w:val=""/>
      <w:lvlJc w:val="left"/>
      <w:pPr>
        <w:tabs>
          <w:tab w:val="num" w:pos="5040"/>
        </w:tabs>
        <w:ind w:left="5040" w:hanging="360"/>
      </w:pPr>
      <w:rPr>
        <w:rFonts w:ascii="Arial Bold" w:hAnsi="Arial Bold" w:hint="default"/>
      </w:rPr>
    </w:lvl>
    <w:lvl w:ilvl="7" w:tplc="0C090003" w:tentative="1">
      <w:start w:val="1"/>
      <w:numFmt w:val="bullet"/>
      <w:lvlText w:val="o"/>
      <w:lvlJc w:val="left"/>
      <w:pPr>
        <w:tabs>
          <w:tab w:val="num" w:pos="5760"/>
        </w:tabs>
        <w:ind w:left="5760" w:hanging="360"/>
      </w:pPr>
      <w:rPr>
        <w:rFonts w:ascii="Lucida Sans" w:hAnsi="Lucida Sans" w:cs="Lucida Sans" w:hint="default"/>
      </w:rPr>
    </w:lvl>
    <w:lvl w:ilvl="8" w:tplc="0C090005" w:tentative="1">
      <w:start w:val="1"/>
      <w:numFmt w:val="bullet"/>
      <w:lvlText w:val=""/>
      <w:lvlJc w:val="left"/>
      <w:pPr>
        <w:tabs>
          <w:tab w:val="num" w:pos="6480"/>
        </w:tabs>
        <w:ind w:left="6480" w:hanging="360"/>
      </w:pPr>
      <w:rPr>
        <w:rFonts w:ascii="Calibri" w:hAnsi="Calibri" w:hint="default"/>
      </w:rPr>
    </w:lvl>
  </w:abstractNum>
  <w:abstractNum w:abstractNumId="16" w15:restartNumberingAfterBreak="0">
    <w:nsid w:val="0E9653FC"/>
    <w:multiLevelType w:val="hybridMultilevel"/>
    <w:tmpl w:val="FFFFFFFF"/>
    <w:lvl w:ilvl="0" w:tplc="6C242040">
      <w:start w:val="1"/>
      <w:numFmt w:val="bullet"/>
      <w:lvlText w:val=""/>
      <w:lvlJc w:val="left"/>
      <w:pPr>
        <w:ind w:left="720" w:hanging="360"/>
      </w:pPr>
      <w:rPr>
        <w:rFonts w:ascii="Symbol" w:hAnsi="Symbol" w:hint="default"/>
      </w:rPr>
    </w:lvl>
    <w:lvl w:ilvl="1" w:tplc="914465F2">
      <w:start w:val="1"/>
      <w:numFmt w:val="bullet"/>
      <w:lvlText w:val="o"/>
      <w:lvlJc w:val="left"/>
      <w:pPr>
        <w:ind w:left="1440" w:hanging="360"/>
      </w:pPr>
      <w:rPr>
        <w:rFonts w:ascii="Courier New" w:hAnsi="Courier New" w:hint="default"/>
      </w:rPr>
    </w:lvl>
    <w:lvl w:ilvl="2" w:tplc="50926C6E">
      <w:start w:val="1"/>
      <w:numFmt w:val="bullet"/>
      <w:lvlText w:val=""/>
      <w:lvlJc w:val="left"/>
      <w:pPr>
        <w:ind w:left="2160" w:hanging="360"/>
      </w:pPr>
      <w:rPr>
        <w:rFonts w:ascii="Wingdings" w:hAnsi="Wingdings" w:hint="default"/>
      </w:rPr>
    </w:lvl>
    <w:lvl w:ilvl="3" w:tplc="401E3B28">
      <w:start w:val="1"/>
      <w:numFmt w:val="bullet"/>
      <w:lvlText w:val=""/>
      <w:lvlJc w:val="left"/>
      <w:pPr>
        <w:ind w:left="2880" w:hanging="360"/>
      </w:pPr>
      <w:rPr>
        <w:rFonts w:ascii="Symbol" w:hAnsi="Symbol" w:hint="default"/>
      </w:rPr>
    </w:lvl>
    <w:lvl w:ilvl="4" w:tplc="CC5A1C32">
      <w:start w:val="1"/>
      <w:numFmt w:val="bullet"/>
      <w:lvlText w:val="o"/>
      <w:lvlJc w:val="left"/>
      <w:pPr>
        <w:ind w:left="3600" w:hanging="360"/>
      </w:pPr>
      <w:rPr>
        <w:rFonts w:ascii="Courier New" w:hAnsi="Courier New" w:hint="default"/>
      </w:rPr>
    </w:lvl>
    <w:lvl w:ilvl="5" w:tplc="FBD0E1CA">
      <w:start w:val="1"/>
      <w:numFmt w:val="bullet"/>
      <w:lvlText w:val=""/>
      <w:lvlJc w:val="left"/>
      <w:pPr>
        <w:ind w:left="4320" w:hanging="360"/>
      </w:pPr>
      <w:rPr>
        <w:rFonts w:ascii="Wingdings" w:hAnsi="Wingdings" w:hint="default"/>
      </w:rPr>
    </w:lvl>
    <w:lvl w:ilvl="6" w:tplc="894A767A">
      <w:start w:val="1"/>
      <w:numFmt w:val="bullet"/>
      <w:lvlText w:val=""/>
      <w:lvlJc w:val="left"/>
      <w:pPr>
        <w:ind w:left="5040" w:hanging="360"/>
      </w:pPr>
      <w:rPr>
        <w:rFonts w:ascii="Symbol" w:hAnsi="Symbol" w:hint="default"/>
      </w:rPr>
    </w:lvl>
    <w:lvl w:ilvl="7" w:tplc="B3544152">
      <w:start w:val="1"/>
      <w:numFmt w:val="bullet"/>
      <w:lvlText w:val="o"/>
      <w:lvlJc w:val="left"/>
      <w:pPr>
        <w:ind w:left="5760" w:hanging="360"/>
      </w:pPr>
      <w:rPr>
        <w:rFonts w:ascii="Courier New" w:hAnsi="Courier New" w:hint="default"/>
      </w:rPr>
    </w:lvl>
    <w:lvl w:ilvl="8" w:tplc="6D4A4FB2">
      <w:start w:val="1"/>
      <w:numFmt w:val="bullet"/>
      <w:lvlText w:val=""/>
      <w:lvlJc w:val="left"/>
      <w:pPr>
        <w:ind w:left="6480" w:hanging="360"/>
      </w:pPr>
      <w:rPr>
        <w:rFonts w:ascii="Wingdings" w:hAnsi="Wingdings" w:hint="default"/>
      </w:rPr>
    </w:lvl>
  </w:abstractNum>
  <w:abstractNum w:abstractNumId="17" w15:restartNumberingAfterBreak="0">
    <w:nsid w:val="0F532648"/>
    <w:multiLevelType w:val="hybridMultilevel"/>
    <w:tmpl w:val="A19A35D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117E4323"/>
    <w:multiLevelType w:val="hybridMultilevel"/>
    <w:tmpl w:val="5A3283DC"/>
    <w:lvl w:ilvl="0" w:tplc="737E4158">
      <w:start w:val="1"/>
      <w:numFmt w:val="decimal"/>
      <w:pStyle w:val="Table2X"/>
      <w:lvlText w:val="Table 2.%1:"/>
      <w:lvlJc w:val="left"/>
      <w:pPr>
        <w:ind w:left="360" w:hanging="360"/>
      </w:pPr>
      <w:rPr>
        <w:rFonts w:ascii="Arial Bold" w:hAnsi="Arial Bold" w:hint="default"/>
        <w:b w:val="0"/>
        <w:i w:val="0"/>
        <w:caps w:val="0"/>
        <w:color w:val="auto"/>
        <w:sz w:val="22"/>
        <w:u w:val="none"/>
      </w:rPr>
    </w:lvl>
    <w:lvl w:ilvl="1" w:tplc="0C090019">
      <w:start w:val="1"/>
      <w:numFmt w:val="lowerLetter"/>
      <w:lvlText w:val="(%2)"/>
      <w:lvlJc w:val="left"/>
      <w:pPr>
        <w:tabs>
          <w:tab w:val="num" w:pos="1440"/>
        </w:tabs>
        <w:ind w:left="1440" w:hanging="360"/>
      </w:pPr>
      <w:rPr>
        <w:rFonts w:hint="default"/>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9" w15:restartNumberingAfterBreak="0">
    <w:nsid w:val="14A52C78"/>
    <w:multiLevelType w:val="hybridMultilevel"/>
    <w:tmpl w:val="DA48B74E"/>
    <w:lvl w:ilvl="0" w:tplc="2DC0A614">
      <w:numFmt w:val="bullet"/>
      <w:lvlText w:val="-"/>
      <w:lvlJc w:val="left"/>
      <w:pPr>
        <w:ind w:left="1375" w:hanging="360"/>
      </w:pPr>
      <w:rPr>
        <w:rFonts w:ascii="Arial" w:eastAsia="Times New Roman" w:hAnsi="Arial" w:cs="Arial" w:hint="default"/>
      </w:rPr>
    </w:lvl>
    <w:lvl w:ilvl="1" w:tplc="0C090003" w:tentative="1">
      <w:start w:val="1"/>
      <w:numFmt w:val="bullet"/>
      <w:lvlText w:val="o"/>
      <w:lvlJc w:val="left"/>
      <w:pPr>
        <w:ind w:left="2095" w:hanging="360"/>
      </w:pPr>
      <w:rPr>
        <w:rFonts w:ascii="Courier New" w:hAnsi="Courier New" w:cs="Courier New" w:hint="default"/>
      </w:rPr>
    </w:lvl>
    <w:lvl w:ilvl="2" w:tplc="0C090005" w:tentative="1">
      <w:start w:val="1"/>
      <w:numFmt w:val="bullet"/>
      <w:lvlText w:val=""/>
      <w:lvlJc w:val="left"/>
      <w:pPr>
        <w:ind w:left="2815" w:hanging="360"/>
      </w:pPr>
      <w:rPr>
        <w:rFonts w:ascii="Wingdings" w:hAnsi="Wingdings" w:hint="default"/>
      </w:rPr>
    </w:lvl>
    <w:lvl w:ilvl="3" w:tplc="0C090001" w:tentative="1">
      <w:start w:val="1"/>
      <w:numFmt w:val="bullet"/>
      <w:lvlText w:val=""/>
      <w:lvlJc w:val="left"/>
      <w:pPr>
        <w:ind w:left="3535" w:hanging="360"/>
      </w:pPr>
      <w:rPr>
        <w:rFonts w:ascii="Symbol" w:hAnsi="Symbol" w:hint="default"/>
      </w:rPr>
    </w:lvl>
    <w:lvl w:ilvl="4" w:tplc="0C090003" w:tentative="1">
      <w:start w:val="1"/>
      <w:numFmt w:val="bullet"/>
      <w:lvlText w:val="o"/>
      <w:lvlJc w:val="left"/>
      <w:pPr>
        <w:ind w:left="4255" w:hanging="360"/>
      </w:pPr>
      <w:rPr>
        <w:rFonts w:ascii="Courier New" w:hAnsi="Courier New" w:cs="Courier New" w:hint="default"/>
      </w:rPr>
    </w:lvl>
    <w:lvl w:ilvl="5" w:tplc="0C090005" w:tentative="1">
      <w:start w:val="1"/>
      <w:numFmt w:val="bullet"/>
      <w:lvlText w:val=""/>
      <w:lvlJc w:val="left"/>
      <w:pPr>
        <w:ind w:left="4975" w:hanging="360"/>
      </w:pPr>
      <w:rPr>
        <w:rFonts w:ascii="Wingdings" w:hAnsi="Wingdings" w:hint="default"/>
      </w:rPr>
    </w:lvl>
    <w:lvl w:ilvl="6" w:tplc="0C090001" w:tentative="1">
      <w:start w:val="1"/>
      <w:numFmt w:val="bullet"/>
      <w:lvlText w:val=""/>
      <w:lvlJc w:val="left"/>
      <w:pPr>
        <w:ind w:left="5695" w:hanging="360"/>
      </w:pPr>
      <w:rPr>
        <w:rFonts w:ascii="Symbol" w:hAnsi="Symbol" w:hint="default"/>
      </w:rPr>
    </w:lvl>
    <w:lvl w:ilvl="7" w:tplc="0C090003" w:tentative="1">
      <w:start w:val="1"/>
      <w:numFmt w:val="bullet"/>
      <w:lvlText w:val="o"/>
      <w:lvlJc w:val="left"/>
      <w:pPr>
        <w:ind w:left="6415" w:hanging="360"/>
      </w:pPr>
      <w:rPr>
        <w:rFonts w:ascii="Courier New" w:hAnsi="Courier New" w:cs="Courier New" w:hint="default"/>
      </w:rPr>
    </w:lvl>
    <w:lvl w:ilvl="8" w:tplc="0C090005" w:tentative="1">
      <w:start w:val="1"/>
      <w:numFmt w:val="bullet"/>
      <w:lvlText w:val=""/>
      <w:lvlJc w:val="left"/>
      <w:pPr>
        <w:ind w:left="7135" w:hanging="360"/>
      </w:pPr>
      <w:rPr>
        <w:rFonts w:ascii="Wingdings" w:hAnsi="Wingdings" w:hint="default"/>
      </w:rPr>
    </w:lvl>
  </w:abstractNum>
  <w:abstractNum w:abstractNumId="20" w15:restartNumberingAfterBreak="0">
    <w:nsid w:val="150E722D"/>
    <w:multiLevelType w:val="hybridMultilevel"/>
    <w:tmpl w:val="140ED5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57D1E73"/>
    <w:multiLevelType w:val="hybridMultilevel"/>
    <w:tmpl w:val="9828B40A"/>
    <w:lvl w:ilvl="0" w:tplc="738C1DF4">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15:restartNumberingAfterBreak="0">
    <w:nsid w:val="15F33EEA"/>
    <w:multiLevelType w:val="hybridMultilevel"/>
    <w:tmpl w:val="A23C8410"/>
    <w:lvl w:ilvl="0" w:tplc="FA4CC030">
      <w:numFmt w:val="bullet"/>
      <w:lvlText w:val="-"/>
      <w:lvlJc w:val="left"/>
      <w:pPr>
        <w:ind w:left="2514" w:hanging="360"/>
      </w:pPr>
      <w:rPr>
        <w:rFonts w:ascii="Arial" w:eastAsia="Times New Roman" w:hAnsi="Arial" w:cs="Arial" w:hint="default"/>
      </w:rPr>
    </w:lvl>
    <w:lvl w:ilvl="1" w:tplc="0C090003" w:tentative="1">
      <w:start w:val="1"/>
      <w:numFmt w:val="bullet"/>
      <w:lvlText w:val="o"/>
      <w:lvlJc w:val="left"/>
      <w:pPr>
        <w:ind w:left="3234" w:hanging="360"/>
      </w:pPr>
      <w:rPr>
        <w:rFonts w:ascii="Courier New" w:hAnsi="Courier New" w:cs="Courier New" w:hint="default"/>
      </w:rPr>
    </w:lvl>
    <w:lvl w:ilvl="2" w:tplc="0C090005" w:tentative="1">
      <w:start w:val="1"/>
      <w:numFmt w:val="bullet"/>
      <w:lvlText w:val=""/>
      <w:lvlJc w:val="left"/>
      <w:pPr>
        <w:ind w:left="3954" w:hanging="360"/>
      </w:pPr>
      <w:rPr>
        <w:rFonts w:ascii="Wingdings" w:hAnsi="Wingdings" w:hint="default"/>
      </w:rPr>
    </w:lvl>
    <w:lvl w:ilvl="3" w:tplc="0C090001" w:tentative="1">
      <w:start w:val="1"/>
      <w:numFmt w:val="bullet"/>
      <w:lvlText w:val=""/>
      <w:lvlJc w:val="left"/>
      <w:pPr>
        <w:ind w:left="4674" w:hanging="360"/>
      </w:pPr>
      <w:rPr>
        <w:rFonts w:ascii="Symbol" w:hAnsi="Symbol" w:hint="default"/>
      </w:rPr>
    </w:lvl>
    <w:lvl w:ilvl="4" w:tplc="0C090003" w:tentative="1">
      <w:start w:val="1"/>
      <w:numFmt w:val="bullet"/>
      <w:lvlText w:val="o"/>
      <w:lvlJc w:val="left"/>
      <w:pPr>
        <w:ind w:left="5394" w:hanging="360"/>
      </w:pPr>
      <w:rPr>
        <w:rFonts w:ascii="Courier New" w:hAnsi="Courier New" w:cs="Courier New" w:hint="default"/>
      </w:rPr>
    </w:lvl>
    <w:lvl w:ilvl="5" w:tplc="0C090005" w:tentative="1">
      <w:start w:val="1"/>
      <w:numFmt w:val="bullet"/>
      <w:lvlText w:val=""/>
      <w:lvlJc w:val="left"/>
      <w:pPr>
        <w:ind w:left="6114" w:hanging="360"/>
      </w:pPr>
      <w:rPr>
        <w:rFonts w:ascii="Wingdings" w:hAnsi="Wingdings" w:hint="default"/>
      </w:rPr>
    </w:lvl>
    <w:lvl w:ilvl="6" w:tplc="0C090001" w:tentative="1">
      <w:start w:val="1"/>
      <w:numFmt w:val="bullet"/>
      <w:lvlText w:val=""/>
      <w:lvlJc w:val="left"/>
      <w:pPr>
        <w:ind w:left="6834" w:hanging="360"/>
      </w:pPr>
      <w:rPr>
        <w:rFonts w:ascii="Symbol" w:hAnsi="Symbol" w:hint="default"/>
      </w:rPr>
    </w:lvl>
    <w:lvl w:ilvl="7" w:tplc="0C090003" w:tentative="1">
      <w:start w:val="1"/>
      <w:numFmt w:val="bullet"/>
      <w:lvlText w:val="o"/>
      <w:lvlJc w:val="left"/>
      <w:pPr>
        <w:ind w:left="7554" w:hanging="360"/>
      </w:pPr>
      <w:rPr>
        <w:rFonts w:ascii="Courier New" w:hAnsi="Courier New" w:cs="Courier New" w:hint="default"/>
      </w:rPr>
    </w:lvl>
    <w:lvl w:ilvl="8" w:tplc="0C090005" w:tentative="1">
      <w:start w:val="1"/>
      <w:numFmt w:val="bullet"/>
      <w:lvlText w:val=""/>
      <w:lvlJc w:val="left"/>
      <w:pPr>
        <w:ind w:left="8274" w:hanging="360"/>
      </w:pPr>
      <w:rPr>
        <w:rFonts w:ascii="Wingdings" w:hAnsi="Wingdings" w:hint="default"/>
      </w:rPr>
    </w:lvl>
  </w:abstractNum>
  <w:abstractNum w:abstractNumId="23" w15:restartNumberingAfterBreak="0">
    <w:nsid w:val="17967A3D"/>
    <w:multiLevelType w:val="hybridMultilevel"/>
    <w:tmpl w:val="87FA10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7A83C6D"/>
    <w:multiLevelType w:val="hybridMultilevel"/>
    <w:tmpl w:val="908277D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5" w15:restartNumberingAfterBreak="0">
    <w:nsid w:val="1AB3001E"/>
    <w:multiLevelType w:val="hybridMultilevel"/>
    <w:tmpl w:val="7FCEA784"/>
    <w:lvl w:ilvl="0" w:tplc="E20203F8">
      <w:start w:val="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C855A3C"/>
    <w:multiLevelType w:val="hybridMultilevel"/>
    <w:tmpl w:val="19843B2A"/>
    <w:lvl w:ilvl="0" w:tplc="4346564C">
      <w:start w:val="1"/>
      <w:numFmt w:val="lowerLetter"/>
      <w:lvlText w:val="(%1)"/>
      <w:lvlJc w:val="left"/>
      <w:pPr>
        <w:ind w:left="717" w:hanging="360"/>
      </w:pPr>
      <w:rPr>
        <w:rFonts w:ascii="Arial" w:hAnsi="Arial" w:cs="Arial" w:hint="default"/>
        <w:b w:val="0"/>
        <w:i w:val="0"/>
        <w:sz w:val="17"/>
        <w:szCs w:val="17"/>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27" w15:restartNumberingAfterBreak="0">
    <w:nsid w:val="20602D25"/>
    <w:multiLevelType w:val="hybridMultilevel"/>
    <w:tmpl w:val="188E7EC8"/>
    <w:lvl w:ilvl="0" w:tplc="E82434CE">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212B2EEC"/>
    <w:multiLevelType w:val="hybridMultilevel"/>
    <w:tmpl w:val="BEC8A020"/>
    <w:lvl w:ilvl="0" w:tplc="657481AC">
      <w:start w:val="1"/>
      <w:numFmt w:val="bullet"/>
      <w:lvlText w:val=""/>
      <w:lvlJc w:val="left"/>
      <w:pPr>
        <w:ind w:left="4320" w:hanging="360"/>
      </w:pPr>
      <w:rPr>
        <w:rFonts w:ascii="Symbol" w:hAnsi="Symbol" w:hint="default"/>
      </w:rPr>
    </w:lvl>
    <w:lvl w:ilvl="1" w:tplc="0C090003" w:tentative="1">
      <w:start w:val="1"/>
      <w:numFmt w:val="bullet"/>
      <w:lvlText w:val="o"/>
      <w:lvlJc w:val="left"/>
      <w:pPr>
        <w:ind w:left="5040" w:hanging="360"/>
      </w:pPr>
      <w:rPr>
        <w:rFonts w:ascii="Courier New" w:hAnsi="Courier New" w:cs="Courier New" w:hint="default"/>
      </w:rPr>
    </w:lvl>
    <w:lvl w:ilvl="2" w:tplc="0C090005" w:tentative="1">
      <w:start w:val="1"/>
      <w:numFmt w:val="bullet"/>
      <w:lvlText w:val=""/>
      <w:lvlJc w:val="left"/>
      <w:pPr>
        <w:ind w:left="5760" w:hanging="360"/>
      </w:pPr>
      <w:rPr>
        <w:rFonts w:ascii="Wingdings" w:hAnsi="Wingdings" w:hint="default"/>
      </w:rPr>
    </w:lvl>
    <w:lvl w:ilvl="3" w:tplc="0C090001" w:tentative="1">
      <w:start w:val="1"/>
      <w:numFmt w:val="bullet"/>
      <w:lvlText w:val=""/>
      <w:lvlJc w:val="left"/>
      <w:pPr>
        <w:ind w:left="6480" w:hanging="360"/>
      </w:pPr>
      <w:rPr>
        <w:rFonts w:ascii="Symbol" w:hAnsi="Symbol" w:hint="default"/>
      </w:rPr>
    </w:lvl>
    <w:lvl w:ilvl="4" w:tplc="0C090003" w:tentative="1">
      <w:start w:val="1"/>
      <w:numFmt w:val="bullet"/>
      <w:lvlText w:val="o"/>
      <w:lvlJc w:val="left"/>
      <w:pPr>
        <w:ind w:left="7200" w:hanging="360"/>
      </w:pPr>
      <w:rPr>
        <w:rFonts w:ascii="Courier New" w:hAnsi="Courier New" w:cs="Courier New" w:hint="default"/>
      </w:rPr>
    </w:lvl>
    <w:lvl w:ilvl="5" w:tplc="0C090005" w:tentative="1">
      <w:start w:val="1"/>
      <w:numFmt w:val="bullet"/>
      <w:lvlText w:val=""/>
      <w:lvlJc w:val="left"/>
      <w:pPr>
        <w:ind w:left="7920" w:hanging="360"/>
      </w:pPr>
      <w:rPr>
        <w:rFonts w:ascii="Wingdings" w:hAnsi="Wingdings" w:hint="default"/>
      </w:rPr>
    </w:lvl>
    <w:lvl w:ilvl="6" w:tplc="0C090001" w:tentative="1">
      <w:start w:val="1"/>
      <w:numFmt w:val="bullet"/>
      <w:lvlText w:val=""/>
      <w:lvlJc w:val="left"/>
      <w:pPr>
        <w:ind w:left="8640" w:hanging="360"/>
      </w:pPr>
      <w:rPr>
        <w:rFonts w:ascii="Symbol" w:hAnsi="Symbol" w:hint="default"/>
      </w:rPr>
    </w:lvl>
    <w:lvl w:ilvl="7" w:tplc="0C090003" w:tentative="1">
      <w:start w:val="1"/>
      <w:numFmt w:val="bullet"/>
      <w:lvlText w:val="o"/>
      <w:lvlJc w:val="left"/>
      <w:pPr>
        <w:ind w:left="9360" w:hanging="360"/>
      </w:pPr>
      <w:rPr>
        <w:rFonts w:ascii="Courier New" w:hAnsi="Courier New" w:cs="Courier New" w:hint="default"/>
      </w:rPr>
    </w:lvl>
    <w:lvl w:ilvl="8" w:tplc="0C090005" w:tentative="1">
      <w:start w:val="1"/>
      <w:numFmt w:val="bullet"/>
      <w:lvlText w:val=""/>
      <w:lvlJc w:val="left"/>
      <w:pPr>
        <w:ind w:left="10080" w:hanging="360"/>
      </w:pPr>
      <w:rPr>
        <w:rFonts w:ascii="Wingdings" w:hAnsi="Wingdings" w:hint="default"/>
      </w:rPr>
    </w:lvl>
  </w:abstractNum>
  <w:abstractNum w:abstractNumId="29" w15:restartNumberingAfterBreak="0">
    <w:nsid w:val="24AC22D4"/>
    <w:multiLevelType w:val="hybridMultilevel"/>
    <w:tmpl w:val="A3D0021C"/>
    <w:lvl w:ilvl="0" w:tplc="474A59D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4CF5155"/>
    <w:multiLevelType w:val="hybridMultilevel"/>
    <w:tmpl w:val="A0008A24"/>
    <w:lvl w:ilvl="0" w:tplc="1442883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57708F0"/>
    <w:multiLevelType w:val="hybridMultilevel"/>
    <w:tmpl w:val="FFB0B6CA"/>
    <w:lvl w:ilvl="0" w:tplc="E77ADB92">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2" w15:restartNumberingAfterBreak="0">
    <w:nsid w:val="27856019"/>
    <w:multiLevelType w:val="hybridMultilevel"/>
    <w:tmpl w:val="BB2AEB38"/>
    <w:lvl w:ilvl="0" w:tplc="99E0C93C">
      <w:start w:val="1"/>
      <w:numFmt w:val="bullet"/>
      <w:lvlText w:val="•"/>
      <w:lvlJc w:val="left"/>
      <w:pPr>
        <w:ind w:left="360" w:hanging="360"/>
      </w:pPr>
      <w:rPr>
        <w:rFonts w:ascii="Arial" w:hAnsi="Arial" w:hint="default"/>
        <w:color w:val="008EBA"/>
        <w:sz w:val="28"/>
      </w:rPr>
    </w:lvl>
    <w:lvl w:ilvl="1" w:tplc="CC1A9CE2">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C0D338A"/>
    <w:multiLevelType w:val="hybridMultilevel"/>
    <w:tmpl w:val="CB16AF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2E4546D2"/>
    <w:multiLevelType w:val="hybridMultilevel"/>
    <w:tmpl w:val="A2923998"/>
    <w:lvl w:ilvl="0" w:tplc="474A59D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0B83AB9"/>
    <w:multiLevelType w:val="hybridMultilevel"/>
    <w:tmpl w:val="2A2E7E86"/>
    <w:lvl w:ilvl="0" w:tplc="86282FC6">
      <w:start w:val="1"/>
      <w:numFmt w:val="lowerLetter"/>
      <w:lvlText w:val="(%1)"/>
      <w:lvlJc w:val="left"/>
      <w:pPr>
        <w:ind w:left="360" w:hanging="360"/>
      </w:pPr>
      <w:rPr>
        <w:rFonts w:ascii="Arial" w:hAnsi="Arial" w:hint="default"/>
        <w:b w:val="0"/>
        <w:i w:val="0"/>
        <w:sz w:val="16"/>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15:restartNumberingAfterBreak="0">
    <w:nsid w:val="33297C5A"/>
    <w:multiLevelType w:val="hybridMultilevel"/>
    <w:tmpl w:val="390002DC"/>
    <w:lvl w:ilvl="0" w:tplc="F24CF728">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7" w15:restartNumberingAfterBreak="0">
    <w:nsid w:val="355F2956"/>
    <w:multiLevelType w:val="hybridMultilevel"/>
    <w:tmpl w:val="ED4AAE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A9404C7"/>
    <w:multiLevelType w:val="hybridMultilevel"/>
    <w:tmpl w:val="E8104438"/>
    <w:lvl w:ilvl="0" w:tplc="3754161C">
      <w:start w:val="1"/>
      <w:numFmt w:val="bullet"/>
      <w:lvlText w:val=""/>
      <w:lvlJc w:val="left"/>
      <w:pPr>
        <w:tabs>
          <w:tab w:val="num" w:pos="720"/>
        </w:tabs>
        <w:ind w:left="720" w:hanging="360"/>
      </w:pPr>
      <w:rPr>
        <w:rFonts w:ascii="Symbol" w:hAnsi="Symbol" w:hint="default"/>
        <w:sz w:val="20"/>
      </w:rPr>
    </w:lvl>
    <w:lvl w:ilvl="1" w:tplc="7B8E7458" w:tentative="1">
      <w:start w:val="1"/>
      <w:numFmt w:val="bullet"/>
      <w:lvlText w:val="o"/>
      <w:lvlJc w:val="left"/>
      <w:pPr>
        <w:tabs>
          <w:tab w:val="num" w:pos="1440"/>
        </w:tabs>
        <w:ind w:left="1440" w:hanging="360"/>
      </w:pPr>
      <w:rPr>
        <w:rFonts w:ascii="Courier New" w:hAnsi="Courier New" w:hint="default"/>
        <w:sz w:val="20"/>
      </w:rPr>
    </w:lvl>
    <w:lvl w:ilvl="2" w:tplc="F4ACEE1E" w:tentative="1">
      <w:start w:val="1"/>
      <w:numFmt w:val="bullet"/>
      <w:lvlText w:val=""/>
      <w:lvlJc w:val="left"/>
      <w:pPr>
        <w:tabs>
          <w:tab w:val="num" w:pos="2160"/>
        </w:tabs>
        <w:ind w:left="2160" w:hanging="360"/>
      </w:pPr>
      <w:rPr>
        <w:rFonts w:ascii="Wingdings" w:hAnsi="Wingdings" w:hint="default"/>
        <w:sz w:val="20"/>
      </w:rPr>
    </w:lvl>
    <w:lvl w:ilvl="3" w:tplc="975E6284" w:tentative="1">
      <w:start w:val="1"/>
      <w:numFmt w:val="bullet"/>
      <w:lvlText w:val=""/>
      <w:lvlJc w:val="left"/>
      <w:pPr>
        <w:tabs>
          <w:tab w:val="num" w:pos="2880"/>
        </w:tabs>
        <w:ind w:left="2880" w:hanging="360"/>
      </w:pPr>
      <w:rPr>
        <w:rFonts w:ascii="Wingdings" w:hAnsi="Wingdings" w:hint="default"/>
        <w:sz w:val="20"/>
      </w:rPr>
    </w:lvl>
    <w:lvl w:ilvl="4" w:tplc="BE52ED92" w:tentative="1">
      <w:start w:val="1"/>
      <w:numFmt w:val="bullet"/>
      <w:lvlText w:val=""/>
      <w:lvlJc w:val="left"/>
      <w:pPr>
        <w:tabs>
          <w:tab w:val="num" w:pos="3600"/>
        </w:tabs>
        <w:ind w:left="3600" w:hanging="360"/>
      </w:pPr>
      <w:rPr>
        <w:rFonts w:ascii="Wingdings" w:hAnsi="Wingdings" w:hint="default"/>
        <w:sz w:val="20"/>
      </w:rPr>
    </w:lvl>
    <w:lvl w:ilvl="5" w:tplc="7B5AAD84" w:tentative="1">
      <w:start w:val="1"/>
      <w:numFmt w:val="bullet"/>
      <w:lvlText w:val=""/>
      <w:lvlJc w:val="left"/>
      <w:pPr>
        <w:tabs>
          <w:tab w:val="num" w:pos="4320"/>
        </w:tabs>
        <w:ind w:left="4320" w:hanging="360"/>
      </w:pPr>
      <w:rPr>
        <w:rFonts w:ascii="Wingdings" w:hAnsi="Wingdings" w:hint="default"/>
        <w:sz w:val="20"/>
      </w:rPr>
    </w:lvl>
    <w:lvl w:ilvl="6" w:tplc="2D8E15A0" w:tentative="1">
      <w:start w:val="1"/>
      <w:numFmt w:val="bullet"/>
      <w:lvlText w:val=""/>
      <w:lvlJc w:val="left"/>
      <w:pPr>
        <w:tabs>
          <w:tab w:val="num" w:pos="5040"/>
        </w:tabs>
        <w:ind w:left="5040" w:hanging="360"/>
      </w:pPr>
      <w:rPr>
        <w:rFonts w:ascii="Wingdings" w:hAnsi="Wingdings" w:hint="default"/>
        <w:sz w:val="20"/>
      </w:rPr>
    </w:lvl>
    <w:lvl w:ilvl="7" w:tplc="D90ADCB8" w:tentative="1">
      <w:start w:val="1"/>
      <w:numFmt w:val="bullet"/>
      <w:lvlText w:val=""/>
      <w:lvlJc w:val="left"/>
      <w:pPr>
        <w:tabs>
          <w:tab w:val="num" w:pos="5760"/>
        </w:tabs>
        <w:ind w:left="5760" w:hanging="360"/>
      </w:pPr>
      <w:rPr>
        <w:rFonts w:ascii="Wingdings" w:hAnsi="Wingdings" w:hint="default"/>
        <w:sz w:val="20"/>
      </w:rPr>
    </w:lvl>
    <w:lvl w:ilvl="8" w:tplc="3362C6C2"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DF944FB"/>
    <w:multiLevelType w:val="hybridMultilevel"/>
    <w:tmpl w:val="96863882"/>
    <w:lvl w:ilvl="0" w:tplc="50180EA4">
      <w:start w:val="1"/>
      <w:numFmt w:val="bullet"/>
      <w:pStyle w:val="Bullet4"/>
      <w:lvlText w:val=""/>
      <w:lvlJc w:val="left"/>
      <w:pPr>
        <w:tabs>
          <w:tab w:val="num" w:pos="1701"/>
        </w:tabs>
        <w:ind w:left="1701" w:hanging="425"/>
      </w:pPr>
      <w:rPr>
        <w:rFonts w:ascii="Arial Bold" w:hAnsi="Arial Bold" w:hint="default"/>
        <w:sz w:val="22"/>
      </w:rPr>
    </w:lvl>
    <w:lvl w:ilvl="1" w:tplc="E8164EEA">
      <w:numFmt w:val="decimal"/>
      <w:lvlText w:val=""/>
      <w:lvlJc w:val="left"/>
    </w:lvl>
    <w:lvl w:ilvl="2" w:tplc="D31C8C10">
      <w:numFmt w:val="decimal"/>
      <w:lvlText w:val=""/>
      <w:lvlJc w:val="left"/>
    </w:lvl>
    <w:lvl w:ilvl="3" w:tplc="AF9A5C8A">
      <w:numFmt w:val="decimal"/>
      <w:lvlText w:val=""/>
      <w:lvlJc w:val="left"/>
    </w:lvl>
    <w:lvl w:ilvl="4" w:tplc="7E46E794">
      <w:numFmt w:val="decimal"/>
      <w:lvlText w:val=""/>
      <w:lvlJc w:val="left"/>
    </w:lvl>
    <w:lvl w:ilvl="5" w:tplc="B630D596">
      <w:numFmt w:val="decimal"/>
      <w:lvlText w:val=""/>
      <w:lvlJc w:val="left"/>
    </w:lvl>
    <w:lvl w:ilvl="6" w:tplc="99B64AF8">
      <w:numFmt w:val="decimal"/>
      <w:lvlText w:val=""/>
      <w:lvlJc w:val="left"/>
    </w:lvl>
    <w:lvl w:ilvl="7" w:tplc="75C48158">
      <w:numFmt w:val="decimal"/>
      <w:lvlText w:val=""/>
      <w:lvlJc w:val="left"/>
    </w:lvl>
    <w:lvl w:ilvl="8" w:tplc="9274FF76">
      <w:numFmt w:val="decimal"/>
      <w:lvlText w:val=""/>
      <w:lvlJc w:val="left"/>
    </w:lvl>
  </w:abstractNum>
  <w:abstractNum w:abstractNumId="40" w15:restartNumberingAfterBreak="0">
    <w:nsid w:val="407349B7"/>
    <w:multiLevelType w:val="hybridMultilevel"/>
    <w:tmpl w:val="82D25382"/>
    <w:lvl w:ilvl="0" w:tplc="0150CEFE">
      <w:start w:val="1"/>
      <w:numFmt w:val="bullet"/>
      <w:lvlText w:val=""/>
      <w:lvlJc w:val="left"/>
      <w:pPr>
        <w:ind w:left="1434"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41" w15:restartNumberingAfterBreak="0">
    <w:nsid w:val="4145260D"/>
    <w:multiLevelType w:val="hybridMultilevel"/>
    <w:tmpl w:val="2C1ECEE4"/>
    <w:lvl w:ilvl="0" w:tplc="BEAA2AF4">
      <w:start w:val="1"/>
      <w:numFmt w:val="lowerLetter"/>
      <w:lvlText w:val="(%1)"/>
      <w:lvlJc w:val="left"/>
      <w:pPr>
        <w:ind w:left="360" w:hanging="360"/>
      </w:pPr>
      <w:rPr>
        <w:rFonts w:ascii="Arial" w:hAnsi="Arial" w:cs="Arial" w:hint="default"/>
        <w:b w:val="0"/>
        <w:i w:val="0"/>
        <w:sz w:val="17"/>
        <w:szCs w:val="17"/>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42881652"/>
    <w:multiLevelType w:val="hybridMultilevel"/>
    <w:tmpl w:val="FCD0856C"/>
    <w:lvl w:ilvl="0" w:tplc="15FA614C">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449D0CE5"/>
    <w:multiLevelType w:val="hybridMultilevel"/>
    <w:tmpl w:val="05FCE48E"/>
    <w:lvl w:ilvl="0" w:tplc="DB12BA86">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4668368C"/>
    <w:multiLevelType w:val="hybridMultilevel"/>
    <w:tmpl w:val="C2A243A4"/>
    <w:lvl w:ilvl="0" w:tplc="3E5A8B4A">
      <w:start w:val="1"/>
      <w:numFmt w:val="bullet"/>
      <w:lvlText w:val=""/>
      <w:lvlJc w:val="left"/>
      <w:pPr>
        <w:ind w:left="360" w:hanging="360"/>
      </w:pPr>
      <w:rPr>
        <w:rFonts w:ascii="Symbol" w:hAnsi="Symbol" w:hint="default"/>
        <w:color w:val="5B9BD5" w:themeColor="accent5"/>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469C025D"/>
    <w:multiLevelType w:val="hybridMultilevel"/>
    <w:tmpl w:val="CC42BF20"/>
    <w:lvl w:ilvl="0" w:tplc="474A59D4">
      <w:numFmt w:val="bullet"/>
      <w:lvlText w:val="-"/>
      <w:lvlJc w:val="left"/>
      <w:pPr>
        <w:ind w:left="1440" w:hanging="360"/>
      </w:pPr>
      <w:rPr>
        <w:rFonts w:ascii="Arial" w:eastAsia="Times New Roman" w:hAnsi="Arial"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6" w15:restartNumberingAfterBreak="0">
    <w:nsid w:val="49434F2E"/>
    <w:multiLevelType w:val="hybridMultilevel"/>
    <w:tmpl w:val="C1E4EFE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498945A2"/>
    <w:multiLevelType w:val="hybridMultilevel"/>
    <w:tmpl w:val="2EE45FEE"/>
    <w:lvl w:ilvl="0" w:tplc="862E3C90">
      <w:start w:val="6"/>
      <w:numFmt w:val="decimal"/>
      <w:lvlText w:val="%1"/>
      <w:lvlJc w:val="left"/>
      <w:pPr>
        <w:ind w:left="720" w:hanging="360"/>
      </w:pPr>
      <w:rPr>
        <w:rFonts w:hint="default"/>
        <w:vertAlign w:val="superscrip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4BED1631"/>
    <w:multiLevelType w:val="hybridMultilevel"/>
    <w:tmpl w:val="29EEEC38"/>
    <w:lvl w:ilvl="0" w:tplc="B42CA76C">
      <w:start w:val="1"/>
      <w:numFmt w:val="bullet"/>
      <w:pStyle w:val="Bullet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D4220B6"/>
    <w:multiLevelType w:val="hybridMultilevel"/>
    <w:tmpl w:val="1FC651DC"/>
    <w:lvl w:ilvl="0" w:tplc="0B145FAE">
      <w:start w:val="1"/>
      <w:numFmt w:val="bullet"/>
      <w:lvlText w:val=""/>
      <w:lvlJc w:val="left"/>
      <w:pPr>
        <w:tabs>
          <w:tab w:val="num" w:pos="720"/>
        </w:tabs>
        <w:ind w:left="720" w:hanging="360"/>
      </w:pPr>
      <w:rPr>
        <w:rFonts w:ascii="Symbol" w:hAnsi="Symbol" w:hint="default"/>
        <w:sz w:val="20"/>
      </w:rPr>
    </w:lvl>
    <w:lvl w:ilvl="1" w:tplc="15CC7F96" w:tentative="1">
      <w:start w:val="1"/>
      <w:numFmt w:val="bullet"/>
      <w:lvlText w:val=""/>
      <w:lvlJc w:val="left"/>
      <w:pPr>
        <w:tabs>
          <w:tab w:val="num" w:pos="1440"/>
        </w:tabs>
        <w:ind w:left="1440" w:hanging="360"/>
      </w:pPr>
      <w:rPr>
        <w:rFonts w:ascii="Symbol" w:hAnsi="Symbol" w:hint="default"/>
        <w:sz w:val="20"/>
      </w:rPr>
    </w:lvl>
    <w:lvl w:ilvl="2" w:tplc="3536E830" w:tentative="1">
      <w:start w:val="1"/>
      <w:numFmt w:val="bullet"/>
      <w:lvlText w:val=""/>
      <w:lvlJc w:val="left"/>
      <w:pPr>
        <w:tabs>
          <w:tab w:val="num" w:pos="2160"/>
        </w:tabs>
        <w:ind w:left="2160" w:hanging="360"/>
      </w:pPr>
      <w:rPr>
        <w:rFonts w:ascii="Symbol" w:hAnsi="Symbol" w:hint="default"/>
        <w:sz w:val="20"/>
      </w:rPr>
    </w:lvl>
    <w:lvl w:ilvl="3" w:tplc="F5A0B2B4" w:tentative="1">
      <w:start w:val="1"/>
      <w:numFmt w:val="bullet"/>
      <w:lvlText w:val=""/>
      <w:lvlJc w:val="left"/>
      <w:pPr>
        <w:tabs>
          <w:tab w:val="num" w:pos="2880"/>
        </w:tabs>
        <w:ind w:left="2880" w:hanging="360"/>
      </w:pPr>
      <w:rPr>
        <w:rFonts w:ascii="Symbol" w:hAnsi="Symbol" w:hint="default"/>
        <w:sz w:val="20"/>
      </w:rPr>
    </w:lvl>
    <w:lvl w:ilvl="4" w:tplc="3356FA38" w:tentative="1">
      <w:start w:val="1"/>
      <w:numFmt w:val="bullet"/>
      <w:lvlText w:val=""/>
      <w:lvlJc w:val="left"/>
      <w:pPr>
        <w:tabs>
          <w:tab w:val="num" w:pos="3600"/>
        </w:tabs>
        <w:ind w:left="3600" w:hanging="360"/>
      </w:pPr>
      <w:rPr>
        <w:rFonts w:ascii="Symbol" w:hAnsi="Symbol" w:hint="default"/>
        <w:sz w:val="20"/>
      </w:rPr>
    </w:lvl>
    <w:lvl w:ilvl="5" w:tplc="EAA0A912" w:tentative="1">
      <w:start w:val="1"/>
      <w:numFmt w:val="bullet"/>
      <w:lvlText w:val=""/>
      <w:lvlJc w:val="left"/>
      <w:pPr>
        <w:tabs>
          <w:tab w:val="num" w:pos="4320"/>
        </w:tabs>
        <w:ind w:left="4320" w:hanging="360"/>
      </w:pPr>
      <w:rPr>
        <w:rFonts w:ascii="Symbol" w:hAnsi="Symbol" w:hint="default"/>
        <w:sz w:val="20"/>
      </w:rPr>
    </w:lvl>
    <w:lvl w:ilvl="6" w:tplc="A50AF7C2" w:tentative="1">
      <w:start w:val="1"/>
      <w:numFmt w:val="bullet"/>
      <w:lvlText w:val=""/>
      <w:lvlJc w:val="left"/>
      <w:pPr>
        <w:tabs>
          <w:tab w:val="num" w:pos="5040"/>
        </w:tabs>
        <w:ind w:left="5040" w:hanging="360"/>
      </w:pPr>
      <w:rPr>
        <w:rFonts w:ascii="Symbol" w:hAnsi="Symbol" w:hint="default"/>
        <w:sz w:val="20"/>
      </w:rPr>
    </w:lvl>
    <w:lvl w:ilvl="7" w:tplc="9000FB96" w:tentative="1">
      <w:start w:val="1"/>
      <w:numFmt w:val="bullet"/>
      <w:lvlText w:val=""/>
      <w:lvlJc w:val="left"/>
      <w:pPr>
        <w:tabs>
          <w:tab w:val="num" w:pos="5760"/>
        </w:tabs>
        <w:ind w:left="5760" w:hanging="360"/>
      </w:pPr>
      <w:rPr>
        <w:rFonts w:ascii="Symbol" w:hAnsi="Symbol" w:hint="default"/>
        <w:sz w:val="20"/>
      </w:rPr>
    </w:lvl>
    <w:lvl w:ilvl="8" w:tplc="4D54F5B0"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4D56259F"/>
    <w:multiLevelType w:val="hybridMultilevel"/>
    <w:tmpl w:val="FF2E27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E3457FB"/>
    <w:multiLevelType w:val="hybridMultilevel"/>
    <w:tmpl w:val="074EB3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F5E1517"/>
    <w:multiLevelType w:val="hybridMultilevel"/>
    <w:tmpl w:val="CAF832CE"/>
    <w:lvl w:ilvl="0" w:tplc="8528E856">
      <w:start w:val="1"/>
      <w:numFmt w:val="decimal"/>
      <w:pStyle w:val="Table1X"/>
      <w:lvlText w:val="Table 1.%1:"/>
      <w:lvlJc w:val="left"/>
      <w:pPr>
        <w:ind w:left="9574" w:hanging="360"/>
      </w:pPr>
      <w:rPr>
        <w:rFonts w:ascii="Arial" w:hAnsi="Arial" w:cs="Arial" w:hint="default"/>
        <w:b w:val="0"/>
        <w:i/>
        <w:caps w:val="0"/>
        <w:color w:val="4F4F4F"/>
        <w:sz w:val="22"/>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50CA14FD"/>
    <w:multiLevelType w:val="hybridMultilevel"/>
    <w:tmpl w:val="CB4EF8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51045771"/>
    <w:multiLevelType w:val="hybridMultilevel"/>
    <w:tmpl w:val="CADA9D78"/>
    <w:lvl w:ilvl="0" w:tplc="37E0EB26">
      <w:start w:val="1"/>
      <w:numFmt w:val="decimal"/>
      <w:pStyle w:val="TableHeading"/>
      <w:lvlText w:val="Table x.%1:"/>
      <w:lvlJc w:val="left"/>
      <w:pPr>
        <w:tabs>
          <w:tab w:val="num" w:pos="1440"/>
        </w:tabs>
        <w:ind w:left="360" w:hanging="360"/>
      </w:pPr>
      <w:rPr>
        <w:rFonts w:ascii="Arial Bold" w:hAnsi="Arial Bold" w:hint="default"/>
        <w:sz w:val="24"/>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5" w15:restartNumberingAfterBreak="0">
    <w:nsid w:val="51C06DAC"/>
    <w:multiLevelType w:val="hybridMultilevel"/>
    <w:tmpl w:val="38C0A256"/>
    <w:lvl w:ilvl="0" w:tplc="2BA601EA">
      <w:start w:val="1"/>
      <w:numFmt w:val="lowerLetter"/>
      <w:lvlText w:val="(%1)"/>
      <w:lvlJc w:val="left"/>
      <w:pPr>
        <w:ind w:left="710" w:hanging="360"/>
      </w:pPr>
      <w:rPr>
        <w:rFonts w:ascii="Arial" w:hAnsi="Arial" w:cs="Arial" w:hint="default"/>
        <w:b w:val="0"/>
        <w:i w:val="0"/>
        <w:sz w:val="17"/>
        <w:szCs w:val="17"/>
      </w:rPr>
    </w:lvl>
    <w:lvl w:ilvl="1" w:tplc="0C090019" w:tentative="1">
      <w:start w:val="1"/>
      <w:numFmt w:val="lowerLetter"/>
      <w:lvlText w:val="%2."/>
      <w:lvlJc w:val="left"/>
      <w:pPr>
        <w:ind w:left="1430" w:hanging="360"/>
      </w:pPr>
    </w:lvl>
    <w:lvl w:ilvl="2" w:tplc="0C09001B" w:tentative="1">
      <w:start w:val="1"/>
      <w:numFmt w:val="lowerRoman"/>
      <w:lvlText w:val="%3."/>
      <w:lvlJc w:val="right"/>
      <w:pPr>
        <w:ind w:left="2150" w:hanging="180"/>
      </w:pPr>
    </w:lvl>
    <w:lvl w:ilvl="3" w:tplc="0C09000F" w:tentative="1">
      <w:start w:val="1"/>
      <w:numFmt w:val="decimal"/>
      <w:lvlText w:val="%4."/>
      <w:lvlJc w:val="left"/>
      <w:pPr>
        <w:ind w:left="2870" w:hanging="360"/>
      </w:pPr>
    </w:lvl>
    <w:lvl w:ilvl="4" w:tplc="0C090019" w:tentative="1">
      <w:start w:val="1"/>
      <w:numFmt w:val="lowerLetter"/>
      <w:lvlText w:val="%5."/>
      <w:lvlJc w:val="left"/>
      <w:pPr>
        <w:ind w:left="3590" w:hanging="360"/>
      </w:pPr>
    </w:lvl>
    <w:lvl w:ilvl="5" w:tplc="0C09001B" w:tentative="1">
      <w:start w:val="1"/>
      <w:numFmt w:val="lowerRoman"/>
      <w:lvlText w:val="%6."/>
      <w:lvlJc w:val="right"/>
      <w:pPr>
        <w:ind w:left="4310" w:hanging="180"/>
      </w:pPr>
    </w:lvl>
    <w:lvl w:ilvl="6" w:tplc="0C09000F" w:tentative="1">
      <w:start w:val="1"/>
      <w:numFmt w:val="decimal"/>
      <w:lvlText w:val="%7."/>
      <w:lvlJc w:val="left"/>
      <w:pPr>
        <w:ind w:left="5030" w:hanging="360"/>
      </w:pPr>
    </w:lvl>
    <w:lvl w:ilvl="7" w:tplc="0C090019" w:tentative="1">
      <w:start w:val="1"/>
      <w:numFmt w:val="lowerLetter"/>
      <w:lvlText w:val="%8."/>
      <w:lvlJc w:val="left"/>
      <w:pPr>
        <w:ind w:left="5750" w:hanging="360"/>
      </w:pPr>
    </w:lvl>
    <w:lvl w:ilvl="8" w:tplc="0C09001B" w:tentative="1">
      <w:start w:val="1"/>
      <w:numFmt w:val="lowerRoman"/>
      <w:lvlText w:val="%9."/>
      <w:lvlJc w:val="right"/>
      <w:pPr>
        <w:ind w:left="6470" w:hanging="180"/>
      </w:pPr>
    </w:lvl>
  </w:abstractNum>
  <w:abstractNum w:abstractNumId="56" w15:restartNumberingAfterBreak="0">
    <w:nsid w:val="52BD70C2"/>
    <w:multiLevelType w:val="hybridMultilevel"/>
    <w:tmpl w:val="577A4FCA"/>
    <w:lvl w:ilvl="0" w:tplc="C100B666">
      <w:start w:val="1"/>
      <w:numFmt w:val="bullet"/>
      <w:pStyle w:val="Bullet2"/>
      <w:lvlText w:val="–"/>
      <w:lvlJc w:val="left"/>
      <w:pPr>
        <w:tabs>
          <w:tab w:val="num" w:pos="785"/>
        </w:tabs>
        <w:ind w:left="785" w:hanging="360"/>
      </w:pPr>
      <w:rPr>
        <w:rFonts w:ascii="Lucida Sans" w:hAnsi="Lucida Sans" w:hint="default"/>
        <w:sz w:val="24"/>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2D570AB"/>
    <w:multiLevelType w:val="hybridMultilevel"/>
    <w:tmpl w:val="7954E790"/>
    <w:lvl w:ilvl="0" w:tplc="EF6C9ECC">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8" w15:restartNumberingAfterBreak="0">
    <w:nsid w:val="540B78C7"/>
    <w:multiLevelType w:val="hybridMultilevel"/>
    <w:tmpl w:val="05F008D6"/>
    <w:lvl w:ilvl="0" w:tplc="52EC82AA">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15:restartNumberingAfterBreak="0">
    <w:nsid w:val="55F42A8F"/>
    <w:multiLevelType w:val="hybridMultilevel"/>
    <w:tmpl w:val="C5D61C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597B09DE"/>
    <w:multiLevelType w:val="hybridMultilevel"/>
    <w:tmpl w:val="FA2C305A"/>
    <w:lvl w:ilvl="0" w:tplc="5E0C65E4">
      <w:start w:val="1"/>
      <w:numFmt w:val="bullet"/>
      <w:lvlText w:val=""/>
      <w:lvlJc w:val="left"/>
      <w:pPr>
        <w:ind w:left="720" w:hanging="360"/>
      </w:pPr>
      <w:rPr>
        <w:rFonts w:ascii="Symbol" w:hAnsi="Symbol" w:hint="default"/>
        <w:color w:val="008EBA"/>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AB34244"/>
    <w:multiLevelType w:val="hybridMultilevel"/>
    <w:tmpl w:val="7EA2B306"/>
    <w:lvl w:ilvl="0" w:tplc="817E6550">
      <w:start w:val="1"/>
      <w:numFmt w:val="bullet"/>
      <w:lvlText w:val=""/>
      <w:lvlJc w:val="left"/>
      <w:pPr>
        <w:ind w:left="360" w:hanging="360"/>
      </w:pPr>
      <w:rPr>
        <w:rFonts w:ascii="Symbol" w:hAnsi="Symbol" w:hint="default"/>
        <w:color w:val="008EBA"/>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D6F3AEC"/>
    <w:multiLevelType w:val="hybridMultilevel"/>
    <w:tmpl w:val="55341906"/>
    <w:lvl w:ilvl="0" w:tplc="5D8C5A9C">
      <w:start w:val="1"/>
      <w:numFmt w:val="bullet"/>
      <w:lvlText w:val="o"/>
      <w:lvlJc w:val="left"/>
      <w:pPr>
        <w:tabs>
          <w:tab w:val="num" w:pos="720"/>
        </w:tabs>
        <w:ind w:left="720" w:hanging="360"/>
      </w:pPr>
      <w:rPr>
        <w:rFonts w:ascii="Courier New" w:hAnsi="Courier New" w:hint="default"/>
        <w:sz w:val="20"/>
      </w:rPr>
    </w:lvl>
    <w:lvl w:ilvl="1" w:tplc="7E52923C" w:tentative="1">
      <w:start w:val="1"/>
      <w:numFmt w:val="bullet"/>
      <w:lvlText w:val="o"/>
      <w:lvlJc w:val="left"/>
      <w:pPr>
        <w:tabs>
          <w:tab w:val="num" w:pos="1440"/>
        </w:tabs>
        <w:ind w:left="1440" w:hanging="360"/>
      </w:pPr>
      <w:rPr>
        <w:rFonts w:ascii="Courier New" w:hAnsi="Courier New" w:hint="default"/>
        <w:sz w:val="20"/>
      </w:rPr>
    </w:lvl>
    <w:lvl w:ilvl="2" w:tplc="84BE008E" w:tentative="1">
      <w:start w:val="1"/>
      <w:numFmt w:val="bullet"/>
      <w:lvlText w:val="o"/>
      <w:lvlJc w:val="left"/>
      <w:pPr>
        <w:tabs>
          <w:tab w:val="num" w:pos="2160"/>
        </w:tabs>
        <w:ind w:left="2160" w:hanging="360"/>
      </w:pPr>
      <w:rPr>
        <w:rFonts w:ascii="Courier New" w:hAnsi="Courier New" w:hint="default"/>
        <w:sz w:val="20"/>
      </w:rPr>
    </w:lvl>
    <w:lvl w:ilvl="3" w:tplc="C57484F2" w:tentative="1">
      <w:start w:val="1"/>
      <w:numFmt w:val="bullet"/>
      <w:lvlText w:val="o"/>
      <w:lvlJc w:val="left"/>
      <w:pPr>
        <w:tabs>
          <w:tab w:val="num" w:pos="2880"/>
        </w:tabs>
        <w:ind w:left="2880" w:hanging="360"/>
      </w:pPr>
      <w:rPr>
        <w:rFonts w:ascii="Courier New" w:hAnsi="Courier New" w:hint="default"/>
        <w:sz w:val="20"/>
      </w:rPr>
    </w:lvl>
    <w:lvl w:ilvl="4" w:tplc="BF1890B8" w:tentative="1">
      <w:start w:val="1"/>
      <w:numFmt w:val="bullet"/>
      <w:lvlText w:val="o"/>
      <w:lvlJc w:val="left"/>
      <w:pPr>
        <w:tabs>
          <w:tab w:val="num" w:pos="3600"/>
        </w:tabs>
        <w:ind w:left="3600" w:hanging="360"/>
      </w:pPr>
      <w:rPr>
        <w:rFonts w:ascii="Courier New" w:hAnsi="Courier New" w:hint="default"/>
        <w:sz w:val="20"/>
      </w:rPr>
    </w:lvl>
    <w:lvl w:ilvl="5" w:tplc="806671E0" w:tentative="1">
      <w:start w:val="1"/>
      <w:numFmt w:val="bullet"/>
      <w:lvlText w:val="o"/>
      <w:lvlJc w:val="left"/>
      <w:pPr>
        <w:tabs>
          <w:tab w:val="num" w:pos="4320"/>
        </w:tabs>
        <w:ind w:left="4320" w:hanging="360"/>
      </w:pPr>
      <w:rPr>
        <w:rFonts w:ascii="Courier New" w:hAnsi="Courier New" w:hint="default"/>
        <w:sz w:val="20"/>
      </w:rPr>
    </w:lvl>
    <w:lvl w:ilvl="6" w:tplc="400C59B0" w:tentative="1">
      <w:start w:val="1"/>
      <w:numFmt w:val="bullet"/>
      <w:lvlText w:val="o"/>
      <w:lvlJc w:val="left"/>
      <w:pPr>
        <w:tabs>
          <w:tab w:val="num" w:pos="5040"/>
        </w:tabs>
        <w:ind w:left="5040" w:hanging="360"/>
      </w:pPr>
      <w:rPr>
        <w:rFonts w:ascii="Courier New" w:hAnsi="Courier New" w:hint="default"/>
        <w:sz w:val="20"/>
      </w:rPr>
    </w:lvl>
    <w:lvl w:ilvl="7" w:tplc="19E6ECD0" w:tentative="1">
      <w:start w:val="1"/>
      <w:numFmt w:val="bullet"/>
      <w:lvlText w:val="o"/>
      <w:lvlJc w:val="left"/>
      <w:pPr>
        <w:tabs>
          <w:tab w:val="num" w:pos="5760"/>
        </w:tabs>
        <w:ind w:left="5760" w:hanging="360"/>
      </w:pPr>
      <w:rPr>
        <w:rFonts w:ascii="Courier New" w:hAnsi="Courier New" w:hint="default"/>
        <w:sz w:val="20"/>
      </w:rPr>
    </w:lvl>
    <w:lvl w:ilvl="8" w:tplc="9BD26B06" w:tentative="1">
      <w:start w:val="1"/>
      <w:numFmt w:val="bullet"/>
      <w:lvlText w:val="o"/>
      <w:lvlJc w:val="left"/>
      <w:pPr>
        <w:tabs>
          <w:tab w:val="num" w:pos="6480"/>
        </w:tabs>
        <w:ind w:left="6480" w:hanging="360"/>
      </w:pPr>
      <w:rPr>
        <w:rFonts w:ascii="Courier New" w:hAnsi="Courier New" w:hint="default"/>
        <w:sz w:val="20"/>
      </w:rPr>
    </w:lvl>
  </w:abstractNum>
  <w:abstractNum w:abstractNumId="63" w15:restartNumberingAfterBreak="0">
    <w:nsid w:val="5FBB52BF"/>
    <w:multiLevelType w:val="hybridMultilevel"/>
    <w:tmpl w:val="919C8E9C"/>
    <w:lvl w:ilvl="0" w:tplc="87DA1C6A">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4" w15:restartNumberingAfterBreak="0">
    <w:nsid w:val="60DA6701"/>
    <w:multiLevelType w:val="hybridMultilevel"/>
    <w:tmpl w:val="53402698"/>
    <w:lvl w:ilvl="0" w:tplc="12581786">
      <w:start w:val="1"/>
      <w:numFmt w:val="bullet"/>
      <w:pStyle w:val="Bullet1inabox"/>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62B04876"/>
    <w:multiLevelType w:val="hybridMultilevel"/>
    <w:tmpl w:val="A9FCDE20"/>
    <w:lvl w:ilvl="0" w:tplc="8EA831B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62FC3A63"/>
    <w:multiLevelType w:val="hybridMultilevel"/>
    <w:tmpl w:val="2E8E4F8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7" w15:restartNumberingAfterBreak="0">
    <w:nsid w:val="64E75030"/>
    <w:multiLevelType w:val="hybridMultilevel"/>
    <w:tmpl w:val="2CE46FB2"/>
    <w:lvl w:ilvl="0" w:tplc="9EC2FDFC">
      <w:start w:val="1"/>
      <w:numFmt w:val="decimal"/>
      <w:pStyle w:val="Heading2"/>
      <w:lvlText w:val="1.%1"/>
      <w:lvlJc w:val="left"/>
      <w:pPr>
        <w:ind w:left="360" w:hanging="360"/>
      </w:pPr>
      <w:rPr>
        <w:rFonts w:ascii="Arial" w:hAnsi="Arial" w:cs="Arial" w:hint="default"/>
        <w:b/>
        <w:i w:val="0"/>
        <w:color w:val="008EBA"/>
        <w:sz w:val="28"/>
        <w:u w:color="008EB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654F5E7A"/>
    <w:multiLevelType w:val="hybridMultilevel"/>
    <w:tmpl w:val="6DB88FCE"/>
    <w:lvl w:ilvl="0" w:tplc="0C090001">
      <w:start w:val="1"/>
      <w:numFmt w:val="bullet"/>
      <w:lvlText w:val=""/>
      <w:lvlJc w:val="left"/>
      <w:pPr>
        <w:ind w:left="855" w:hanging="360"/>
      </w:pPr>
      <w:rPr>
        <w:rFonts w:ascii="Symbol" w:hAnsi="Symbol" w:hint="default"/>
      </w:rPr>
    </w:lvl>
    <w:lvl w:ilvl="1" w:tplc="0C090003" w:tentative="1">
      <w:start w:val="1"/>
      <w:numFmt w:val="bullet"/>
      <w:lvlText w:val="o"/>
      <w:lvlJc w:val="left"/>
      <w:pPr>
        <w:ind w:left="1575" w:hanging="360"/>
      </w:pPr>
      <w:rPr>
        <w:rFonts w:ascii="Courier New" w:hAnsi="Courier New" w:cs="Courier New" w:hint="default"/>
      </w:rPr>
    </w:lvl>
    <w:lvl w:ilvl="2" w:tplc="0C090005" w:tentative="1">
      <w:start w:val="1"/>
      <w:numFmt w:val="bullet"/>
      <w:lvlText w:val=""/>
      <w:lvlJc w:val="left"/>
      <w:pPr>
        <w:ind w:left="2295" w:hanging="360"/>
      </w:pPr>
      <w:rPr>
        <w:rFonts w:ascii="Wingdings" w:hAnsi="Wingdings" w:hint="default"/>
      </w:rPr>
    </w:lvl>
    <w:lvl w:ilvl="3" w:tplc="0C090001" w:tentative="1">
      <w:start w:val="1"/>
      <w:numFmt w:val="bullet"/>
      <w:lvlText w:val=""/>
      <w:lvlJc w:val="left"/>
      <w:pPr>
        <w:ind w:left="3015" w:hanging="360"/>
      </w:pPr>
      <w:rPr>
        <w:rFonts w:ascii="Symbol" w:hAnsi="Symbol" w:hint="default"/>
      </w:rPr>
    </w:lvl>
    <w:lvl w:ilvl="4" w:tplc="0C090003" w:tentative="1">
      <w:start w:val="1"/>
      <w:numFmt w:val="bullet"/>
      <w:lvlText w:val="o"/>
      <w:lvlJc w:val="left"/>
      <w:pPr>
        <w:ind w:left="3735" w:hanging="360"/>
      </w:pPr>
      <w:rPr>
        <w:rFonts w:ascii="Courier New" w:hAnsi="Courier New" w:cs="Courier New" w:hint="default"/>
      </w:rPr>
    </w:lvl>
    <w:lvl w:ilvl="5" w:tplc="0C090005" w:tentative="1">
      <w:start w:val="1"/>
      <w:numFmt w:val="bullet"/>
      <w:lvlText w:val=""/>
      <w:lvlJc w:val="left"/>
      <w:pPr>
        <w:ind w:left="4455" w:hanging="360"/>
      </w:pPr>
      <w:rPr>
        <w:rFonts w:ascii="Wingdings" w:hAnsi="Wingdings" w:hint="default"/>
      </w:rPr>
    </w:lvl>
    <w:lvl w:ilvl="6" w:tplc="0C090001" w:tentative="1">
      <w:start w:val="1"/>
      <w:numFmt w:val="bullet"/>
      <w:lvlText w:val=""/>
      <w:lvlJc w:val="left"/>
      <w:pPr>
        <w:ind w:left="5175" w:hanging="360"/>
      </w:pPr>
      <w:rPr>
        <w:rFonts w:ascii="Symbol" w:hAnsi="Symbol" w:hint="default"/>
      </w:rPr>
    </w:lvl>
    <w:lvl w:ilvl="7" w:tplc="0C090003" w:tentative="1">
      <w:start w:val="1"/>
      <w:numFmt w:val="bullet"/>
      <w:lvlText w:val="o"/>
      <w:lvlJc w:val="left"/>
      <w:pPr>
        <w:ind w:left="5895" w:hanging="360"/>
      </w:pPr>
      <w:rPr>
        <w:rFonts w:ascii="Courier New" w:hAnsi="Courier New" w:cs="Courier New" w:hint="default"/>
      </w:rPr>
    </w:lvl>
    <w:lvl w:ilvl="8" w:tplc="0C090005" w:tentative="1">
      <w:start w:val="1"/>
      <w:numFmt w:val="bullet"/>
      <w:lvlText w:val=""/>
      <w:lvlJc w:val="left"/>
      <w:pPr>
        <w:ind w:left="6615" w:hanging="360"/>
      </w:pPr>
      <w:rPr>
        <w:rFonts w:ascii="Wingdings" w:hAnsi="Wingdings" w:hint="default"/>
      </w:rPr>
    </w:lvl>
  </w:abstractNum>
  <w:abstractNum w:abstractNumId="69" w15:restartNumberingAfterBreak="0">
    <w:nsid w:val="656A572E"/>
    <w:multiLevelType w:val="hybridMultilevel"/>
    <w:tmpl w:val="4AC4AC18"/>
    <w:lvl w:ilvl="0" w:tplc="9E2CA25A">
      <w:start w:val="1"/>
      <w:numFmt w:val="decimal"/>
      <w:pStyle w:val="Chart1X"/>
      <w:lvlText w:val="Chart 1.%1:"/>
      <w:lvlJc w:val="left"/>
      <w:pPr>
        <w:ind w:left="360" w:hanging="360"/>
      </w:pPr>
      <w:rPr>
        <w:b w:val="0"/>
        <w:bCs w:val="0"/>
        <w:i/>
        <w:iCs/>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0" w15:restartNumberingAfterBreak="0">
    <w:nsid w:val="6B015F4F"/>
    <w:multiLevelType w:val="hybridMultilevel"/>
    <w:tmpl w:val="36A0EB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6D633B70"/>
    <w:multiLevelType w:val="hybridMultilevel"/>
    <w:tmpl w:val="D8B2BA2E"/>
    <w:lvl w:ilvl="0" w:tplc="1082B44A">
      <w:start w:val="1"/>
      <w:numFmt w:val="decimal"/>
      <w:pStyle w:val="Box11BoxHeading"/>
      <w:lvlText w:val="Box 1.%1:"/>
      <w:lvlJc w:val="left"/>
      <w:pPr>
        <w:ind w:left="720" w:hanging="360"/>
      </w:pPr>
      <w:rPr>
        <w:rFonts w:ascii="Arial" w:hAnsi="Arial" w:cs="Arial" w:hint="default"/>
        <w:b/>
        <w:i w:val="0"/>
        <w:caps w:val="0"/>
        <w:color w:val="auto"/>
        <w:sz w:val="23"/>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6D6B71F0"/>
    <w:multiLevelType w:val="hybridMultilevel"/>
    <w:tmpl w:val="919E0636"/>
    <w:lvl w:ilvl="0" w:tplc="A3FEEC18">
      <w:start w:val="1"/>
      <w:numFmt w:val="decimal"/>
      <w:pStyle w:val="11Heading2"/>
      <w:lvlText w:val="1.%1"/>
      <w:lvlJc w:val="left"/>
      <w:pPr>
        <w:ind w:left="720" w:hanging="360"/>
      </w:pPr>
      <w:rPr>
        <w:rFonts w:ascii="Calibri" w:hAnsi="Calibri" w:hint="default"/>
        <w:b/>
        <w:i w:val="0"/>
        <w:sz w:val="28"/>
        <w:u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773B544B"/>
    <w:multiLevelType w:val="hybridMultilevel"/>
    <w:tmpl w:val="DBB2E628"/>
    <w:lvl w:ilvl="0" w:tplc="102A8A30">
      <w:start w:val="1"/>
      <w:numFmt w:val="lowerLetter"/>
      <w:pStyle w:val="FootnoteText"/>
      <w:lvlText w:val="(%1)"/>
      <w:lvlJc w:val="left"/>
      <w:pPr>
        <w:ind w:left="720" w:hanging="360"/>
      </w:pPr>
      <w:rPr>
        <w:rFonts w:hint="default"/>
        <w:i w:val="0"/>
        <w:i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78010E7F"/>
    <w:multiLevelType w:val="hybridMultilevel"/>
    <w:tmpl w:val="2D0EDDFC"/>
    <w:lvl w:ilvl="0" w:tplc="27ECF99A">
      <w:start w:val="1"/>
      <w:numFmt w:val="bullet"/>
      <w:pStyle w:val="Bullet2inabox"/>
      <w:lvlText w:val="–"/>
      <w:lvlJc w:val="left"/>
      <w:pPr>
        <w:ind w:left="720" w:hanging="360"/>
      </w:pPr>
      <w:rPr>
        <w:rFonts w:ascii="Lucida Sans" w:hAnsi="Lucida Sans" w:hint="default"/>
        <w:color w:val="008EBA"/>
        <w:sz w:val="23"/>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797F43BA"/>
    <w:multiLevelType w:val="hybridMultilevel"/>
    <w:tmpl w:val="9A764038"/>
    <w:lvl w:ilvl="0" w:tplc="26CEF856">
      <w:start w:val="1"/>
      <w:numFmt w:val="lowerRoman"/>
      <w:lvlText w:val="(%1)"/>
      <w:lvlJc w:val="left"/>
      <w:pPr>
        <w:ind w:left="720" w:hanging="72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76" w15:restartNumberingAfterBreak="0">
    <w:nsid w:val="7A5C6E08"/>
    <w:multiLevelType w:val="hybridMultilevel"/>
    <w:tmpl w:val="FFFFFFFF"/>
    <w:lvl w:ilvl="0" w:tplc="912603BA">
      <w:start w:val="1"/>
      <w:numFmt w:val="decimal"/>
      <w:lvlText w:val="%1."/>
      <w:lvlJc w:val="left"/>
      <w:pPr>
        <w:tabs>
          <w:tab w:val="num" w:pos="720"/>
        </w:tabs>
        <w:ind w:left="720" w:hanging="720"/>
      </w:pPr>
    </w:lvl>
    <w:lvl w:ilvl="1" w:tplc="3B266D6E">
      <w:start w:val="1"/>
      <w:numFmt w:val="decimal"/>
      <w:lvlText w:val="%2."/>
      <w:lvlJc w:val="left"/>
      <w:pPr>
        <w:tabs>
          <w:tab w:val="num" w:pos="1440"/>
        </w:tabs>
        <w:ind w:left="1440" w:hanging="720"/>
      </w:pPr>
    </w:lvl>
    <w:lvl w:ilvl="2" w:tplc="81AAFA8C">
      <w:start w:val="1"/>
      <w:numFmt w:val="decimal"/>
      <w:lvlText w:val="%3."/>
      <w:lvlJc w:val="left"/>
      <w:pPr>
        <w:tabs>
          <w:tab w:val="num" w:pos="2160"/>
        </w:tabs>
        <w:ind w:left="2160" w:hanging="720"/>
      </w:pPr>
    </w:lvl>
    <w:lvl w:ilvl="3" w:tplc="6F70A420">
      <w:start w:val="1"/>
      <w:numFmt w:val="decimal"/>
      <w:lvlText w:val="%4."/>
      <w:lvlJc w:val="left"/>
      <w:pPr>
        <w:tabs>
          <w:tab w:val="num" w:pos="2880"/>
        </w:tabs>
        <w:ind w:left="2880" w:hanging="720"/>
      </w:pPr>
    </w:lvl>
    <w:lvl w:ilvl="4" w:tplc="FAAC4798">
      <w:start w:val="1"/>
      <w:numFmt w:val="decimal"/>
      <w:lvlText w:val="%5."/>
      <w:lvlJc w:val="left"/>
      <w:pPr>
        <w:tabs>
          <w:tab w:val="num" w:pos="3600"/>
        </w:tabs>
        <w:ind w:left="3600" w:hanging="720"/>
      </w:pPr>
    </w:lvl>
    <w:lvl w:ilvl="5" w:tplc="E9527F5C">
      <w:start w:val="1"/>
      <w:numFmt w:val="decimal"/>
      <w:lvlText w:val="%6."/>
      <w:lvlJc w:val="left"/>
      <w:pPr>
        <w:tabs>
          <w:tab w:val="num" w:pos="4320"/>
        </w:tabs>
        <w:ind w:left="4320" w:hanging="720"/>
      </w:pPr>
    </w:lvl>
    <w:lvl w:ilvl="6" w:tplc="5A060506">
      <w:start w:val="1"/>
      <w:numFmt w:val="decimal"/>
      <w:lvlText w:val="%7."/>
      <w:lvlJc w:val="left"/>
      <w:pPr>
        <w:tabs>
          <w:tab w:val="num" w:pos="5040"/>
        </w:tabs>
        <w:ind w:left="5040" w:hanging="720"/>
      </w:pPr>
    </w:lvl>
    <w:lvl w:ilvl="7" w:tplc="0CC8D5F0">
      <w:start w:val="1"/>
      <w:numFmt w:val="decimal"/>
      <w:lvlText w:val="%8."/>
      <w:lvlJc w:val="left"/>
      <w:pPr>
        <w:tabs>
          <w:tab w:val="num" w:pos="5760"/>
        </w:tabs>
        <w:ind w:left="5760" w:hanging="720"/>
      </w:pPr>
    </w:lvl>
    <w:lvl w:ilvl="8" w:tplc="D7D0FCD4">
      <w:start w:val="1"/>
      <w:numFmt w:val="decimal"/>
      <w:lvlText w:val="%9."/>
      <w:lvlJc w:val="left"/>
      <w:pPr>
        <w:tabs>
          <w:tab w:val="num" w:pos="6480"/>
        </w:tabs>
        <w:ind w:left="6480" w:hanging="720"/>
      </w:pPr>
    </w:lvl>
  </w:abstractNum>
  <w:abstractNum w:abstractNumId="77" w15:restartNumberingAfterBreak="0">
    <w:nsid w:val="7D9802CC"/>
    <w:multiLevelType w:val="hybridMultilevel"/>
    <w:tmpl w:val="F230D0B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425" w:hanging="360"/>
      </w:pPr>
      <w:rPr>
        <w:rFonts w:ascii="Courier New" w:hAnsi="Courier New" w:cs="Courier New" w:hint="default"/>
      </w:rPr>
    </w:lvl>
    <w:lvl w:ilvl="2" w:tplc="0C090005" w:tentative="1">
      <w:start w:val="1"/>
      <w:numFmt w:val="bullet"/>
      <w:lvlText w:val=""/>
      <w:lvlJc w:val="left"/>
      <w:pPr>
        <w:ind w:left="1145" w:hanging="360"/>
      </w:pPr>
      <w:rPr>
        <w:rFonts w:ascii="Wingdings" w:hAnsi="Wingdings" w:hint="default"/>
      </w:rPr>
    </w:lvl>
    <w:lvl w:ilvl="3" w:tplc="0C090001" w:tentative="1">
      <w:start w:val="1"/>
      <w:numFmt w:val="bullet"/>
      <w:lvlText w:val=""/>
      <w:lvlJc w:val="left"/>
      <w:pPr>
        <w:ind w:left="1865" w:hanging="360"/>
      </w:pPr>
      <w:rPr>
        <w:rFonts w:ascii="Symbol" w:hAnsi="Symbol" w:hint="default"/>
      </w:rPr>
    </w:lvl>
    <w:lvl w:ilvl="4" w:tplc="0C090003" w:tentative="1">
      <w:start w:val="1"/>
      <w:numFmt w:val="bullet"/>
      <w:lvlText w:val="o"/>
      <w:lvlJc w:val="left"/>
      <w:pPr>
        <w:ind w:left="2585" w:hanging="360"/>
      </w:pPr>
      <w:rPr>
        <w:rFonts w:ascii="Courier New" w:hAnsi="Courier New" w:cs="Courier New" w:hint="default"/>
      </w:rPr>
    </w:lvl>
    <w:lvl w:ilvl="5" w:tplc="0C090005" w:tentative="1">
      <w:start w:val="1"/>
      <w:numFmt w:val="bullet"/>
      <w:lvlText w:val=""/>
      <w:lvlJc w:val="left"/>
      <w:pPr>
        <w:ind w:left="3305" w:hanging="360"/>
      </w:pPr>
      <w:rPr>
        <w:rFonts w:ascii="Wingdings" w:hAnsi="Wingdings" w:hint="default"/>
      </w:rPr>
    </w:lvl>
    <w:lvl w:ilvl="6" w:tplc="0C090001" w:tentative="1">
      <w:start w:val="1"/>
      <w:numFmt w:val="bullet"/>
      <w:lvlText w:val=""/>
      <w:lvlJc w:val="left"/>
      <w:pPr>
        <w:ind w:left="4025" w:hanging="360"/>
      </w:pPr>
      <w:rPr>
        <w:rFonts w:ascii="Symbol" w:hAnsi="Symbol" w:hint="default"/>
      </w:rPr>
    </w:lvl>
    <w:lvl w:ilvl="7" w:tplc="0C090003" w:tentative="1">
      <w:start w:val="1"/>
      <w:numFmt w:val="bullet"/>
      <w:lvlText w:val="o"/>
      <w:lvlJc w:val="left"/>
      <w:pPr>
        <w:ind w:left="4745" w:hanging="360"/>
      </w:pPr>
      <w:rPr>
        <w:rFonts w:ascii="Courier New" w:hAnsi="Courier New" w:cs="Courier New" w:hint="default"/>
      </w:rPr>
    </w:lvl>
    <w:lvl w:ilvl="8" w:tplc="0C090005" w:tentative="1">
      <w:start w:val="1"/>
      <w:numFmt w:val="bullet"/>
      <w:lvlText w:val=""/>
      <w:lvlJc w:val="left"/>
      <w:pPr>
        <w:ind w:left="5465" w:hanging="360"/>
      </w:pPr>
      <w:rPr>
        <w:rFonts w:ascii="Wingdings" w:hAnsi="Wingdings" w:hint="default"/>
      </w:rPr>
    </w:lvl>
  </w:abstractNum>
  <w:abstractNum w:abstractNumId="78" w15:restartNumberingAfterBreak="0">
    <w:nsid w:val="7F9D78EB"/>
    <w:multiLevelType w:val="hybridMultilevel"/>
    <w:tmpl w:val="947E166E"/>
    <w:lvl w:ilvl="0" w:tplc="FCD62476">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num w:numId="1">
    <w:abstractNumId w:val="55"/>
  </w:num>
  <w:num w:numId="2">
    <w:abstractNumId w:val="35"/>
  </w:num>
  <w:num w:numId="3">
    <w:abstractNumId w:val="26"/>
  </w:num>
  <w:num w:numId="4">
    <w:abstractNumId w:val="67"/>
  </w:num>
  <w:num w:numId="5">
    <w:abstractNumId w:val="32"/>
  </w:num>
  <w:num w:numId="6">
    <w:abstractNumId w:val="56"/>
  </w:num>
  <w:num w:numId="7">
    <w:abstractNumId w:val="7"/>
  </w:num>
  <w:num w:numId="8">
    <w:abstractNumId w:val="39"/>
  </w:num>
  <w:num w:numId="9">
    <w:abstractNumId w:val="69"/>
  </w:num>
  <w:num w:numId="10">
    <w:abstractNumId w:val="15"/>
  </w:num>
  <w:num w:numId="11">
    <w:abstractNumId w:val="52"/>
  </w:num>
  <w:num w:numId="12">
    <w:abstractNumId w:val="18"/>
  </w:num>
  <w:num w:numId="13">
    <w:abstractNumId w:val="54"/>
  </w:num>
  <w:num w:numId="14">
    <w:abstractNumId w:val="71"/>
  </w:num>
  <w:num w:numId="15">
    <w:abstractNumId w:val="72"/>
  </w:num>
  <w:num w:numId="16">
    <w:abstractNumId w:val="65"/>
  </w:num>
  <w:num w:numId="17">
    <w:abstractNumId w:val="25"/>
  </w:num>
  <w:num w:numId="18">
    <w:abstractNumId w:val="9"/>
  </w:num>
  <w:num w:numId="19">
    <w:abstractNumId w:val="16"/>
  </w:num>
  <w:num w:numId="20">
    <w:abstractNumId w:val="31"/>
  </w:num>
  <w:num w:numId="21">
    <w:abstractNumId w:val="36"/>
  </w:num>
  <w:num w:numId="22">
    <w:abstractNumId w:val="66"/>
  </w:num>
  <w:num w:numId="23">
    <w:abstractNumId w:val="14"/>
  </w:num>
  <w:num w:numId="24">
    <w:abstractNumId w:val="28"/>
  </w:num>
  <w:num w:numId="25">
    <w:abstractNumId w:val="1"/>
  </w:num>
  <w:num w:numId="26">
    <w:abstractNumId w:val="0"/>
  </w:num>
  <w:num w:numId="27">
    <w:abstractNumId w:val="3"/>
  </w:num>
  <w:num w:numId="28">
    <w:abstractNumId w:val="71"/>
  </w:num>
  <w:num w:numId="29">
    <w:abstractNumId w:val="71"/>
  </w:num>
  <w:num w:numId="30">
    <w:abstractNumId w:val="71"/>
  </w:num>
  <w:num w:numId="31">
    <w:abstractNumId w:val="71"/>
  </w:num>
  <w:num w:numId="32">
    <w:abstractNumId w:val="42"/>
  </w:num>
  <w:num w:numId="33">
    <w:abstractNumId w:val="22"/>
  </w:num>
  <w:num w:numId="34">
    <w:abstractNumId w:val="56"/>
  </w:num>
  <w:num w:numId="35">
    <w:abstractNumId w:val="67"/>
  </w:num>
  <w:num w:numId="36">
    <w:abstractNumId w:val="67"/>
  </w:num>
  <w:num w:numId="37">
    <w:abstractNumId w:val="67"/>
  </w:num>
  <w:num w:numId="38">
    <w:abstractNumId w:val="67"/>
  </w:num>
  <w:num w:numId="39">
    <w:abstractNumId w:val="67"/>
  </w:num>
  <w:num w:numId="40">
    <w:abstractNumId w:val="67"/>
  </w:num>
  <w:num w:numId="41">
    <w:abstractNumId w:val="67"/>
  </w:num>
  <w:num w:numId="42">
    <w:abstractNumId w:val="34"/>
  </w:num>
  <w:num w:numId="43">
    <w:abstractNumId w:val="45"/>
  </w:num>
  <w:num w:numId="44">
    <w:abstractNumId w:val="29"/>
  </w:num>
  <w:num w:numId="45">
    <w:abstractNumId w:val="61"/>
  </w:num>
  <w:num w:numId="46">
    <w:abstractNumId w:val="4"/>
  </w:num>
  <w:num w:numId="47">
    <w:abstractNumId w:val="57"/>
  </w:num>
  <w:num w:numId="48">
    <w:abstractNumId w:val="60"/>
  </w:num>
  <w:num w:numId="49">
    <w:abstractNumId w:val="10"/>
  </w:num>
  <w:num w:numId="50">
    <w:abstractNumId w:val="30"/>
  </w:num>
  <w:num w:numId="51">
    <w:abstractNumId w:val="5"/>
  </w:num>
  <w:num w:numId="52">
    <w:abstractNumId w:val="11"/>
  </w:num>
  <w:num w:numId="53">
    <w:abstractNumId w:val="67"/>
  </w:num>
  <w:num w:numId="54">
    <w:abstractNumId w:val="62"/>
  </w:num>
  <w:num w:numId="55">
    <w:abstractNumId w:val="42"/>
  </w:num>
  <w:num w:numId="56">
    <w:abstractNumId w:val="76"/>
  </w:num>
  <w:num w:numId="57">
    <w:abstractNumId w:val="23"/>
  </w:num>
  <w:num w:numId="58">
    <w:abstractNumId w:val="2"/>
  </w:num>
  <w:num w:numId="59">
    <w:abstractNumId w:val="59"/>
  </w:num>
  <w:num w:numId="60">
    <w:abstractNumId w:val="68"/>
  </w:num>
  <w:num w:numId="61">
    <w:abstractNumId w:val="8"/>
  </w:num>
  <w:num w:numId="62">
    <w:abstractNumId w:val="49"/>
  </w:num>
  <w:num w:numId="63">
    <w:abstractNumId w:val="78"/>
  </w:num>
  <w:num w:numId="64">
    <w:abstractNumId w:val="40"/>
  </w:num>
  <w:num w:numId="65">
    <w:abstractNumId w:val="11"/>
  </w:num>
  <w:num w:numId="66">
    <w:abstractNumId w:val="11"/>
  </w:num>
  <w:num w:numId="67">
    <w:abstractNumId w:val="5"/>
  </w:num>
  <w:num w:numId="68">
    <w:abstractNumId w:val="5"/>
  </w:num>
  <w:num w:numId="69">
    <w:abstractNumId w:val="11"/>
  </w:num>
  <w:num w:numId="70">
    <w:abstractNumId w:val="11"/>
  </w:num>
  <w:num w:numId="71">
    <w:abstractNumId w:val="11"/>
  </w:num>
  <w:num w:numId="72">
    <w:abstractNumId w:val="11"/>
  </w:num>
  <w:num w:numId="73">
    <w:abstractNumId w:val="27"/>
  </w:num>
  <w:num w:numId="74">
    <w:abstractNumId w:val="38"/>
  </w:num>
  <w:num w:numId="75">
    <w:abstractNumId w:val="58"/>
  </w:num>
  <w:num w:numId="76">
    <w:abstractNumId w:val="13"/>
  </w:num>
  <w:num w:numId="77">
    <w:abstractNumId w:val="5"/>
  </w:num>
  <w:num w:numId="78">
    <w:abstractNumId w:val="37"/>
  </w:num>
  <w:num w:numId="79">
    <w:abstractNumId w:val="5"/>
  </w:num>
  <w:num w:numId="80">
    <w:abstractNumId w:val="5"/>
  </w:num>
  <w:num w:numId="81">
    <w:abstractNumId w:val="5"/>
  </w:num>
  <w:num w:numId="82">
    <w:abstractNumId w:val="5"/>
  </w:num>
  <w:num w:numId="83">
    <w:abstractNumId w:val="5"/>
  </w:num>
  <w:num w:numId="84">
    <w:abstractNumId w:val="5"/>
  </w:num>
  <w:num w:numId="85">
    <w:abstractNumId w:val="58"/>
  </w:num>
  <w:num w:numId="86">
    <w:abstractNumId w:val="58"/>
  </w:num>
  <w:num w:numId="87">
    <w:abstractNumId w:val="21"/>
  </w:num>
  <w:num w:numId="88">
    <w:abstractNumId w:val="56"/>
  </w:num>
  <w:num w:numId="89">
    <w:abstractNumId w:val="56"/>
  </w:num>
  <w:num w:numId="90">
    <w:abstractNumId w:val="56"/>
  </w:num>
  <w:num w:numId="91">
    <w:abstractNumId w:val="56"/>
  </w:num>
  <w:num w:numId="92">
    <w:abstractNumId w:val="56"/>
  </w:num>
  <w:num w:numId="93">
    <w:abstractNumId w:val="56"/>
  </w:num>
  <w:num w:numId="94">
    <w:abstractNumId w:val="56"/>
  </w:num>
  <w:num w:numId="95">
    <w:abstractNumId w:val="56"/>
  </w:num>
  <w:num w:numId="96">
    <w:abstractNumId w:val="21"/>
  </w:num>
  <w:num w:numId="97">
    <w:abstractNumId w:val="21"/>
  </w:num>
  <w:num w:numId="98">
    <w:abstractNumId w:val="12"/>
  </w:num>
  <w:num w:numId="99">
    <w:abstractNumId w:val="56"/>
  </w:num>
  <w:num w:numId="100">
    <w:abstractNumId w:val="56"/>
  </w:num>
  <w:num w:numId="101">
    <w:abstractNumId w:val="56"/>
  </w:num>
  <w:num w:numId="102">
    <w:abstractNumId w:val="56"/>
  </w:num>
  <w:num w:numId="103">
    <w:abstractNumId w:val="21"/>
  </w:num>
  <w:num w:numId="104">
    <w:abstractNumId w:val="21"/>
  </w:num>
  <w:num w:numId="105">
    <w:abstractNumId w:val="21"/>
  </w:num>
  <w:num w:numId="106">
    <w:abstractNumId w:val="21"/>
  </w:num>
  <w:num w:numId="107">
    <w:abstractNumId w:val="21"/>
  </w:num>
  <w:num w:numId="108">
    <w:abstractNumId w:val="21"/>
  </w:num>
  <w:num w:numId="109">
    <w:abstractNumId w:val="21"/>
  </w:num>
  <w:num w:numId="110">
    <w:abstractNumId w:val="21"/>
  </w:num>
  <w:num w:numId="111">
    <w:abstractNumId w:val="21"/>
  </w:num>
  <w:num w:numId="112">
    <w:abstractNumId w:val="56"/>
  </w:num>
  <w:num w:numId="113">
    <w:abstractNumId w:val="63"/>
  </w:num>
  <w:num w:numId="114">
    <w:abstractNumId w:val="33"/>
  </w:num>
  <w:num w:numId="115">
    <w:abstractNumId w:val="61"/>
  </w:num>
  <w:num w:numId="116">
    <w:abstractNumId w:val="61"/>
  </w:num>
  <w:num w:numId="117">
    <w:abstractNumId w:val="56"/>
  </w:num>
  <w:num w:numId="118">
    <w:abstractNumId w:val="56"/>
  </w:num>
  <w:num w:numId="119">
    <w:abstractNumId w:val="56"/>
  </w:num>
  <w:num w:numId="120">
    <w:abstractNumId w:val="56"/>
  </w:num>
  <w:num w:numId="121">
    <w:abstractNumId w:val="56"/>
  </w:num>
  <w:num w:numId="122">
    <w:abstractNumId w:val="61"/>
  </w:num>
  <w:num w:numId="123">
    <w:abstractNumId w:val="61"/>
  </w:num>
  <w:num w:numId="124">
    <w:abstractNumId w:val="61"/>
  </w:num>
  <w:num w:numId="125">
    <w:abstractNumId w:val="70"/>
  </w:num>
  <w:num w:numId="126">
    <w:abstractNumId w:val="51"/>
  </w:num>
  <w:num w:numId="127">
    <w:abstractNumId w:val="50"/>
  </w:num>
  <w:num w:numId="12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61"/>
  </w:num>
  <w:num w:numId="130">
    <w:abstractNumId w:val="44"/>
  </w:num>
  <w:num w:numId="131">
    <w:abstractNumId w:val="17"/>
  </w:num>
  <w:num w:numId="132">
    <w:abstractNumId w:val="56"/>
  </w:num>
  <w:num w:numId="133">
    <w:abstractNumId w:val="44"/>
  </w:num>
  <w:num w:numId="134">
    <w:abstractNumId w:val="20"/>
  </w:num>
  <w:num w:numId="135">
    <w:abstractNumId w:val="6"/>
  </w:num>
  <w:num w:numId="136">
    <w:abstractNumId w:val="73"/>
  </w:num>
  <w:num w:numId="137">
    <w:abstractNumId w:val="19"/>
  </w:num>
  <w:num w:numId="138">
    <w:abstractNumId w:val="77"/>
  </w:num>
  <w:num w:numId="139">
    <w:abstractNumId w:val="43"/>
  </w:num>
  <w:num w:numId="140">
    <w:abstractNumId w:val="53"/>
  </w:num>
  <w:num w:numId="141">
    <w:abstractNumId w:val="47"/>
  </w:num>
  <w:num w:numId="142">
    <w:abstractNumId w:val="46"/>
  </w:num>
  <w:num w:numId="143">
    <w:abstractNumId w:val="24"/>
  </w:num>
  <w:num w:numId="144">
    <w:abstractNumId w:val="48"/>
  </w:num>
  <w:num w:numId="145">
    <w:abstractNumId w:val="64"/>
  </w:num>
  <w:num w:numId="146">
    <w:abstractNumId w:val="56"/>
  </w:num>
  <w:num w:numId="147">
    <w:abstractNumId w:val="74"/>
  </w:num>
  <w:num w:numId="148">
    <w:abstractNumId w:val="48"/>
  </w:num>
  <w:num w:numId="149">
    <w:abstractNumId w:val="56"/>
  </w:num>
  <w:num w:numId="150">
    <w:abstractNumId w:val="56"/>
  </w:num>
  <w:num w:numId="151">
    <w:abstractNumId w:val="41"/>
  </w:num>
  <w:num w:numId="152">
    <w:abstractNumId w:val="69"/>
  </w:num>
  <w:numIdMacAtCleanup w:val="1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9"/>
  <w:embedSystemFonts/>
  <w:proofState w:spelling="clean" w:grammar="clean"/>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defaultTabStop w:val="720"/>
  <w:evenAndOddHeaders/>
  <w:noPunctuationKerning/>
  <w:characterSpacingControl w:val="doNotCompress"/>
  <w:savePreviewPicture/>
  <w:hdrShapeDefaults>
    <o:shapedefaults v:ext="edit" spidmax="4097"/>
  </w:hdrShapeDefaults>
  <w:footnotePr>
    <w:numStart w:val="2"/>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TQxMzQyMDExtTQ0sjRU0lEKTi0uzszPAykwrAUAf/dTKywAAAA="/>
  </w:docVars>
  <w:rsids>
    <w:rsidRoot w:val="00854CFE"/>
    <w:rsid w:val="000002A3"/>
    <w:rsid w:val="000003BC"/>
    <w:rsid w:val="0000048F"/>
    <w:rsid w:val="0000055E"/>
    <w:rsid w:val="00000594"/>
    <w:rsid w:val="00000870"/>
    <w:rsid w:val="00000963"/>
    <w:rsid w:val="000009A1"/>
    <w:rsid w:val="00001012"/>
    <w:rsid w:val="00001053"/>
    <w:rsid w:val="0000130E"/>
    <w:rsid w:val="00001409"/>
    <w:rsid w:val="0000161B"/>
    <w:rsid w:val="00001623"/>
    <w:rsid w:val="00001655"/>
    <w:rsid w:val="00001B81"/>
    <w:rsid w:val="00001BC4"/>
    <w:rsid w:val="00001F5A"/>
    <w:rsid w:val="00002253"/>
    <w:rsid w:val="000023D8"/>
    <w:rsid w:val="00002640"/>
    <w:rsid w:val="00002697"/>
    <w:rsid w:val="00002784"/>
    <w:rsid w:val="00002A44"/>
    <w:rsid w:val="00002A8F"/>
    <w:rsid w:val="00002AA7"/>
    <w:rsid w:val="00002AF6"/>
    <w:rsid w:val="00002E4B"/>
    <w:rsid w:val="00002F60"/>
    <w:rsid w:val="000032A5"/>
    <w:rsid w:val="00003377"/>
    <w:rsid w:val="00003431"/>
    <w:rsid w:val="00003764"/>
    <w:rsid w:val="000043CB"/>
    <w:rsid w:val="000044D4"/>
    <w:rsid w:val="000046AF"/>
    <w:rsid w:val="00004927"/>
    <w:rsid w:val="00004989"/>
    <w:rsid w:val="00004B0C"/>
    <w:rsid w:val="00004B81"/>
    <w:rsid w:val="00004E1D"/>
    <w:rsid w:val="00005017"/>
    <w:rsid w:val="00005059"/>
    <w:rsid w:val="00005107"/>
    <w:rsid w:val="00005236"/>
    <w:rsid w:val="0000533C"/>
    <w:rsid w:val="000054E7"/>
    <w:rsid w:val="00005555"/>
    <w:rsid w:val="00005633"/>
    <w:rsid w:val="00005833"/>
    <w:rsid w:val="000058DE"/>
    <w:rsid w:val="00005B1E"/>
    <w:rsid w:val="00005BA3"/>
    <w:rsid w:val="00005BC7"/>
    <w:rsid w:val="00006138"/>
    <w:rsid w:val="0000650F"/>
    <w:rsid w:val="0000678D"/>
    <w:rsid w:val="00006923"/>
    <w:rsid w:val="00006A85"/>
    <w:rsid w:val="00006AC8"/>
    <w:rsid w:val="00006BDE"/>
    <w:rsid w:val="00006C0D"/>
    <w:rsid w:val="00006ED7"/>
    <w:rsid w:val="00007A3E"/>
    <w:rsid w:val="00007FF1"/>
    <w:rsid w:val="000102D7"/>
    <w:rsid w:val="00010455"/>
    <w:rsid w:val="00010457"/>
    <w:rsid w:val="00010689"/>
    <w:rsid w:val="00010732"/>
    <w:rsid w:val="000107D1"/>
    <w:rsid w:val="000107E5"/>
    <w:rsid w:val="000108E7"/>
    <w:rsid w:val="00010D40"/>
    <w:rsid w:val="00010ECC"/>
    <w:rsid w:val="00010F92"/>
    <w:rsid w:val="00010FC3"/>
    <w:rsid w:val="000110CD"/>
    <w:rsid w:val="000111B4"/>
    <w:rsid w:val="00011505"/>
    <w:rsid w:val="00011554"/>
    <w:rsid w:val="00011574"/>
    <w:rsid w:val="00011675"/>
    <w:rsid w:val="0001181B"/>
    <w:rsid w:val="00011879"/>
    <w:rsid w:val="0001196C"/>
    <w:rsid w:val="000119DD"/>
    <w:rsid w:val="000123A7"/>
    <w:rsid w:val="0001260E"/>
    <w:rsid w:val="00012788"/>
    <w:rsid w:val="00012889"/>
    <w:rsid w:val="000128EE"/>
    <w:rsid w:val="0001297E"/>
    <w:rsid w:val="00012A77"/>
    <w:rsid w:val="00012C13"/>
    <w:rsid w:val="00012E0F"/>
    <w:rsid w:val="0001317F"/>
    <w:rsid w:val="00013197"/>
    <w:rsid w:val="000134F0"/>
    <w:rsid w:val="00013511"/>
    <w:rsid w:val="00013536"/>
    <w:rsid w:val="0001375D"/>
    <w:rsid w:val="000137AA"/>
    <w:rsid w:val="00013874"/>
    <w:rsid w:val="00013889"/>
    <w:rsid w:val="000139B1"/>
    <w:rsid w:val="00013C12"/>
    <w:rsid w:val="00013C24"/>
    <w:rsid w:val="00013F17"/>
    <w:rsid w:val="00013F57"/>
    <w:rsid w:val="00013FFA"/>
    <w:rsid w:val="000140C9"/>
    <w:rsid w:val="00014162"/>
    <w:rsid w:val="000141B6"/>
    <w:rsid w:val="000142C9"/>
    <w:rsid w:val="00014609"/>
    <w:rsid w:val="000146D2"/>
    <w:rsid w:val="000148CB"/>
    <w:rsid w:val="00014A55"/>
    <w:rsid w:val="00014AD2"/>
    <w:rsid w:val="00014AE9"/>
    <w:rsid w:val="00014E02"/>
    <w:rsid w:val="00015063"/>
    <w:rsid w:val="0001530B"/>
    <w:rsid w:val="0001531F"/>
    <w:rsid w:val="0001539A"/>
    <w:rsid w:val="0001544B"/>
    <w:rsid w:val="00015686"/>
    <w:rsid w:val="00015760"/>
    <w:rsid w:val="00015804"/>
    <w:rsid w:val="0001584D"/>
    <w:rsid w:val="00015A23"/>
    <w:rsid w:val="00015B68"/>
    <w:rsid w:val="00015BD3"/>
    <w:rsid w:val="00015C35"/>
    <w:rsid w:val="00015D09"/>
    <w:rsid w:val="00015F01"/>
    <w:rsid w:val="00016167"/>
    <w:rsid w:val="0001622A"/>
    <w:rsid w:val="00016314"/>
    <w:rsid w:val="0001657A"/>
    <w:rsid w:val="000165C2"/>
    <w:rsid w:val="0001685B"/>
    <w:rsid w:val="000168BC"/>
    <w:rsid w:val="00016E4D"/>
    <w:rsid w:val="00016E65"/>
    <w:rsid w:val="00016FD1"/>
    <w:rsid w:val="0001726B"/>
    <w:rsid w:val="000172DA"/>
    <w:rsid w:val="00017752"/>
    <w:rsid w:val="00017A06"/>
    <w:rsid w:val="00017B94"/>
    <w:rsid w:val="00017D86"/>
    <w:rsid w:val="00017F31"/>
    <w:rsid w:val="00017F5C"/>
    <w:rsid w:val="0002019F"/>
    <w:rsid w:val="0002020D"/>
    <w:rsid w:val="00020370"/>
    <w:rsid w:val="00020491"/>
    <w:rsid w:val="000206F6"/>
    <w:rsid w:val="00020768"/>
    <w:rsid w:val="00020957"/>
    <w:rsid w:val="00020D60"/>
    <w:rsid w:val="00021182"/>
    <w:rsid w:val="000211B3"/>
    <w:rsid w:val="0002128C"/>
    <w:rsid w:val="0002147F"/>
    <w:rsid w:val="00021501"/>
    <w:rsid w:val="00021538"/>
    <w:rsid w:val="00021696"/>
    <w:rsid w:val="00021BEA"/>
    <w:rsid w:val="00021C55"/>
    <w:rsid w:val="00022272"/>
    <w:rsid w:val="000224AC"/>
    <w:rsid w:val="0002253E"/>
    <w:rsid w:val="0002260E"/>
    <w:rsid w:val="000227FA"/>
    <w:rsid w:val="000228A8"/>
    <w:rsid w:val="00022EE4"/>
    <w:rsid w:val="00023247"/>
    <w:rsid w:val="00023357"/>
    <w:rsid w:val="000233AD"/>
    <w:rsid w:val="0002364F"/>
    <w:rsid w:val="00023959"/>
    <w:rsid w:val="000239B0"/>
    <w:rsid w:val="00023A04"/>
    <w:rsid w:val="00023CD2"/>
    <w:rsid w:val="00023F5D"/>
    <w:rsid w:val="00024564"/>
    <w:rsid w:val="000245A8"/>
    <w:rsid w:val="000245D8"/>
    <w:rsid w:val="000247FA"/>
    <w:rsid w:val="0002483E"/>
    <w:rsid w:val="00024930"/>
    <w:rsid w:val="000249DD"/>
    <w:rsid w:val="00024A48"/>
    <w:rsid w:val="00024B91"/>
    <w:rsid w:val="00024C0C"/>
    <w:rsid w:val="00024F66"/>
    <w:rsid w:val="00024FE5"/>
    <w:rsid w:val="00025287"/>
    <w:rsid w:val="000253A2"/>
    <w:rsid w:val="0002542A"/>
    <w:rsid w:val="0002552E"/>
    <w:rsid w:val="00025640"/>
    <w:rsid w:val="00025A35"/>
    <w:rsid w:val="00025AB2"/>
    <w:rsid w:val="00025AF5"/>
    <w:rsid w:val="00025CF8"/>
    <w:rsid w:val="00025DF5"/>
    <w:rsid w:val="00025FFD"/>
    <w:rsid w:val="000262E3"/>
    <w:rsid w:val="00026A1E"/>
    <w:rsid w:val="00026BD0"/>
    <w:rsid w:val="00026C8B"/>
    <w:rsid w:val="00026ED5"/>
    <w:rsid w:val="00026FC0"/>
    <w:rsid w:val="000270B3"/>
    <w:rsid w:val="000270EB"/>
    <w:rsid w:val="00027143"/>
    <w:rsid w:val="000273D0"/>
    <w:rsid w:val="000273E3"/>
    <w:rsid w:val="00027429"/>
    <w:rsid w:val="00027452"/>
    <w:rsid w:val="00027762"/>
    <w:rsid w:val="00027777"/>
    <w:rsid w:val="000277B9"/>
    <w:rsid w:val="0002781A"/>
    <w:rsid w:val="00027903"/>
    <w:rsid w:val="00027B04"/>
    <w:rsid w:val="00027B21"/>
    <w:rsid w:val="00027CBE"/>
    <w:rsid w:val="000300A8"/>
    <w:rsid w:val="000303E9"/>
    <w:rsid w:val="0003057A"/>
    <w:rsid w:val="0003064A"/>
    <w:rsid w:val="000306AA"/>
    <w:rsid w:val="0003077E"/>
    <w:rsid w:val="00030A53"/>
    <w:rsid w:val="00030B2A"/>
    <w:rsid w:val="00030B33"/>
    <w:rsid w:val="0003106A"/>
    <w:rsid w:val="00031238"/>
    <w:rsid w:val="00031339"/>
    <w:rsid w:val="00031355"/>
    <w:rsid w:val="000315A1"/>
    <w:rsid w:val="000315AB"/>
    <w:rsid w:val="000316D5"/>
    <w:rsid w:val="00031709"/>
    <w:rsid w:val="00031735"/>
    <w:rsid w:val="0003174C"/>
    <w:rsid w:val="00031B62"/>
    <w:rsid w:val="00031FF4"/>
    <w:rsid w:val="00032367"/>
    <w:rsid w:val="00032633"/>
    <w:rsid w:val="000326E1"/>
    <w:rsid w:val="00032701"/>
    <w:rsid w:val="0003284F"/>
    <w:rsid w:val="000329DA"/>
    <w:rsid w:val="00032AD6"/>
    <w:rsid w:val="00032B3B"/>
    <w:rsid w:val="00032B60"/>
    <w:rsid w:val="00032D1B"/>
    <w:rsid w:val="00032E2A"/>
    <w:rsid w:val="00032EED"/>
    <w:rsid w:val="000330B2"/>
    <w:rsid w:val="0003312A"/>
    <w:rsid w:val="00033170"/>
    <w:rsid w:val="000332D4"/>
    <w:rsid w:val="000334B7"/>
    <w:rsid w:val="00033579"/>
    <w:rsid w:val="000335E9"/>
    <w:rsid w:val="0003380B"/>
    <w:rsid w:val="000339B4"/>
    <w:rsid w:val="00033A80"/>
    <w:rsid w:val="00033C28"/>
    <w:rsid w:val="00033D28"/>
    <w:rsid w:val="00033DB1"/>
    <w:rsid w:val="00033E14"/>
    <w:rsid w:val="00033F50"/>
    <w:rsid w:val="000340C4"/>
    <w:rsid w:val="000340D9"/>
    <w:rsid w:val="000341A6"/>
    <w:rsid w:val="0003426C"/>
    <w:rsid w:val="00034554"/>
    <w:rsid w:val="000345EB"/>
    <w:rsid w:val="00034842"/>
    <w:rsid w:val="00034968"/>
    <w:rsid w:val="00034DA6"/>
    <w:rsid w:val="00034E62"/>
    <w:rsid w:val="00035057"/>
    <w:rsid w:val="00035108"/>
    <w:rsid w:val="0003534D"/>
    <w:rsid w:val="00035A6E"/>
    <w:rsid w:val="00035D12"/>
    <w:rsid w:val="00035ED7"/>
    <w:rsid w:val="00036065"/>
    <w:rsid w:val="0003641F"/>
    <w:rsid w:val="000367DD"/>
    <w:rsid w:val="00036B32"/>
    <w:rsid w:val="00036BFA"/>
    <w:rsid w:val="00036D0B"/>
    <w:rsid w:val="00036D15"/>
    <w:rsid w:val="00036F12"/>
    <w:rsid w:val="00036F4B"/>
    <w:rsid w:val="0003709A"/>
    <w:rsid w:val="00037236"/>
    <w:rsid w:val="00037327"/>
    <w:rsid w:val="000374DD"/>
    <w:rsid w:val="0003761A"/>
    <w:rsid w:val="00037636"/>
    <w:rsid w:val="000377B7"/>
    <w:rsid w:val="00037FA1"/>
    <w:rsid w:val="00040200"/>
    <w:rsid w:val="0004068D"/>
    <w:rsid w:val="00040BB2"/>
    <w:rsid w:val="00040CD4"/>
    <w:rsid w:val="00040EDC"/>
    <w:rsid w:val="00040EE4"/>
    <w:rsid w:val="00040F57"/>
    <w:rsid w:val="0004110A"/>
    <w:rsid w:val="0004116F"/>
    <w:rsid w:val="000411BB"/>
    <w:rsid w:val="00041215"/>
    <w:rsid w:val="000412F4"/>
    <w:rsid w:val="000413F2"/>
    <w:rsid w:val="000414F1"/>
    <w:rsid w:val="0004177E"/>
    <w:rsid w:val="000419ED"/>
    <w:rsid w:val="00041A14"/>
    <w:rsid w:val="00041BAA"/>
    <w:rsid w:val="00041C49"/>
    <w:rsid w:val="00041DF0"/>
    <w:rsid w:val="0004206A"/>
    <w:rsid w:val="000425E2"/>
    <w:rsid w:val="00042A03"/>
    <w:rsid w:val="00042EE3"/>
    <w:rsid w:val="00042FF7"/>
    <w:rsid w:val="0004306D"/>
    <w:rsid w:val="00043099"/>
    <w:rsid w:val="00043232"/>
    <w:rsid w:val="0004326D"/>
    <w:rsid w:val="000432D1"/>
    <w:rsid w:val="00043355"/>
    <w:rsid w:val="0004343C"/>
    <w:rsid w:val="00043618"/>
    <w:rsid w:val="00043C73"/>
    <w:rsid w:val="00043E83"/>
    <w:rsid w:val="00043F82"/>
    <w:rsid w:val="00043FCF"/>
    <w:rsid w:val="000443CD"/>
    <w:rsid w:val="0004440F"/>
    <w:rsid w:val="000446D6"/>
    <w:rsid w:val="0004489C"/>
    <w:rsid w:val="000449DB"/>
    <w:rsid w:val="00044D6A"/>
    <w:rsid w:val="00045160"/>
    <w:rsid w:val="00045272"/>
    <w:rsid w:val="000452F1"/>
    <w:rsid w:val="00045326"/>
    <w:rsid w:val="000453B1"/>
    <w:rsid w:val="0004544F"/>
    <w:rsid w:val="00045A08"/>
    <w:rsid w:val="00045A69"/>
    <w:rsid w:val="00045A6D"/>
    <w:rsid w:val="00045F66"/>
    <w:rsid w:val="000460C6"/>
    <w:rsid w:val="000461EA"/>
    <w:rsid w:val="0004649D"/>
    <w:rsid w:val="000465AB"/>
    <w:rsid w:val="000468CF"/>
    <w:rsid w:val="00046979"/>
    <w:rsid w:val="00046B99"/>
    <w:rsid w:val="00046B9F"/>
    <w:rsid w:val="00046BA7"/>
    <w:rsid w:val="00046C86"/>
    <w:rsid w:val="00046F45"/>
    <w:rsid w:val="00047003"/>
    <w:rsid w:val="000470B5"/>
    <w:rsid w:val="00047156"/>
    <w:rsid w:val="0004718F"/>
    <w:rsid w:val="00047A05"/>
    <w:rsid w:val="00047A19"/>
    <w:rsid w:val="00047BCE"/>
    <w:rsid w:val="00047C55"/>
    <w:rsid w:val="000500C6"/>
    <w:rsid w:val="000500EE"/>
    <w:rsid w:val="0005016D"/>
    <w:rsid w:val="00050179"/>
    <w:rsid w:val="000501BA"/>
    <w:rsid w:val="000503FB"/>
    <w:rsid w:val="00050631"/>
    <w:rsid w:val="00050702"/>
    <w:rsid w:val="0005077A"/>
    <w:rsid w:val="00050A14"/>
    <w:rsid w:val="00050D1C"/>
    <w:rsid w:val="00050FE5"/>
    <w:rsid w:val="00051040"/>
    <w:rsid w:val="00051064"/>
    <w:rsid w:val="000511DF"/>
    <w:rsid w:val="00051355"/>
    <w:rsid w:val="00051444"/>
    <w:rsid w:val="000515EC"/>
    <w:rsid w:val="00051A3C"/>
    <w:rsid w:val="00051B7F"/>
    <w:rsid w:val="00051D2F"/>
    <w:rsid w:val="00051E92"/>
    <w:rsid w:val="00051F02"/>
    <w:rsid w:val="00051F54"/>
    <w:rsid w:val="0005209D"/>
    <w:rsid w:val="00052110"/>
    <w:rsid w:val="000521BD"/>
    <w:rsid w:val="000521F7"/>
    <w:rsid w:val="00052423"/>
    <w:rsid w:val="000524D8"/>
    <w:rsid w:val="00052501"/>
    <w:rsid w:val="00052582"/>
    <w:rsid w:val="00052740"/>
    <w:rsid w:val="00052797"/>
    <w:rsid w:val="000529FE"/>
    <w:rsid w:val="00052B5A"/>
    <w:rsid w:val="00052B7C"/>
    <w:rsid w:val="00052CBC"/>
    <w:rsid w:val="00053140"/>
    <w:rsid w:val="00053359"/>
    <w:rsid w:val="00053463"/>
    <w:rsid w:val="00053491"/>
    <w:rsid w:val="0005387B"/>
    <w:rsid w:val="00053ABD"/>
    <w:rsid w:val="00053FD7"/>
    <w:rsid w:val="00053FFF"/>
    <w:rsid w:val="0005408A"/>
    <w:rsid w:val="000540F1"/>
    <w:rsid w:val="000549C6"/>
    <w:rsid w:val="00054C62"/>
    <w:rsid w:val="00054E89"/>
    <w:rsid w:val="00055015"/>
    <w:rsid w:val="00055268"/>
    <w:rsid w:val="0005529E"/>
    <w:rsid w:val="000553C4"/>
    <w:rsid w:val="00055452"/>
    <w:rsid w:val="0005547C"/>
    <w:rsid w:val="00055533"/>
    <w:rsid w:val="00055538"/>
    <w:rsid w:val="00055566"/>
    <w:rsid w:val="00055A63"/>
    <w:rsid w:val="000561AF"/>
    <w:rsid w:val="000561BA"/>
    <w:rsid w:val="000561F2"/>
    <w:rsid w:val="000562A8"/>
    <w:rsid w:val="00056414"/>
    <w:rsid w:val="0005676A"/>
    <w:rsid w:val="00056990"/>
    <w:rsid w:val="000569A4"/>
    <w:rsid w:val="00056A37"/>
    <w:rsid w:val="00056AEC"/>
    <w:rsid w:val="00056DF2"/>
    <w:rsid w:val="0005705F"/>
    <w:rsid w:val="00057090"/>
    <w:rsid w:val="000570C0"/>
    <w:rsid w:val="00057388"/>
    <w:rsid w:val="00057550"/>
    <w:rsid w:val="000578F2"/>
    <w:rsid w:val="00057914"/>
    <w:rsid w:val="0005794D"/>
    <w:rsid w:val="00057A1B"/>
    <w:rsid w:val="00057A6E"/>
    <w:rsid w:val="00057B93"/>
    <w:rsid w:val="0006000A"/>
    <w:rsid w:val="0006010D"/>
    <w:rsid w:val="0006047A"/>
    <w:rsid w:val="00060868"/>
    <w:rsid w:val="000608CA"/>
    <w:rsid w:val="000608F4"/>
    <w:rsid w:val="00060AAE"/>
    <w:rsid w:val="00060C99"/>
    <w:rsid w:val="00060C9E"/>
    <w:rsid w:val="00060D6F"/>
    <w:rsid w:val="00060ED3"/>
    <w:rsid w:val="00060EEB"/>
    <w:rsid w:val="00060F91"/>
    <w:rsid w:val="0006114D"/>
    <w:rsid w:val="0006148E"/>
    <w:rsid w:val="0006148F"/>
    <w:rsid w:val="000615A7"/>
    <w:rsid w:val="000617DB"/>
    <w:rsid w:val="00061993"/>
    <w:rsid w:val="00061A8C"/>
    <w:rsid w:val="00061C48"/>
    <w:rsid w:val="00061CFA"/>
    <w:rsid w:val="00061D90"/>
    <w:rsid w:val="00061F05"/>
    <w:rsid w:val="00062210"/>
    <w:rsid w:val="000625D1"/>
    <w:rsid w:val="00062A80"/>
    <w:rsid w:val="00062AFB"/>
    <w:rsid w:val="00062D7C"/>
    <w:rsid w:val="00062DD4"/>
    <w:rsid w:val="00062E04"/>
    <w:rsid w:val="00062E3A"/>
    <w:rsid w:val="000631B3"/>
    <w:rsid w:val="000631B6"/>
    <w:rsid w:val="00063387"/>
    <w:rsid w:val="000633E9"/>
    <w:rsid w:val="0006345E"/>
    <w:rsid w:val="000634C9"/>
    <w:rsid w:val="0006368D"/>
    <w:rsid w:val="0006377B"/>
    <w:rsid w:val="00063CAF"/>
    <w:rsid w:val="00063D93"/>
    <w:rsid w:val="00063E62"/>
    <w:rsid w:val="00063F34"/>
    <w:rsid w:val="000644B9"/>
    <w:rsid w:val="000645CE"/>
    <w:rsid w:val="0006468A"/>
    <w:rsid w:val="0006499A"/>
    <w:rsid w:val="00065072"/>
    <w:rsid w:val="000650D4"/>
    <w:rsid w:val="000656DD"/>
    <w:rsid w:val="00065B0A"/>
    <w:rsid w:val="00065D61"/>
    <w:rsid w:val="00065D80"/>
    <w:rsid w:val="00065E5F"/>
    <w:rsid w:val="00065EA2"/>
    <w:rsid w:val="00065EB8"/>
    <w:rsid w:val="00065EDA"/>
    <w:rsid w:val="0006601E"/>
    <w:rsid w:val="000660E1"/>
    <w:rsid w:val="00066223"/>
    <w:rsid w:val="000662F2"/>
    <w:rsid w:val="000663BD"/>
    <w:rsid w:val="000666C5"/>
    <w:rsid w:val="00066765"/>
    <w:rsid w:val="000667AE"/>
    <w:rsid w:val="00066BAC"/>
    <w:rsid w:val="00066D62"/>
    <w:rsid w:val="00067084"/>
    <w:rsid w:val="00067124"/>
    <w:rsid w:val="0006715F"/>
    <w:rsid w:val="000671C8"/>
    <w:rsid w:val="000671CD"/>
    <w:rsid w:val="000672E8"/>
    <w:rsid w:val="00067482"/>
    <w:rsid w:val="000674B8"/>
    <w:rsid w:val="00067637"/>
    <w:rsid w:val="0006768C"/>
    <w:rsid w:val="00067790"/>
    <w:rsid w:val="00067ACB"/>
    <w:rsid w:val="00070291"/>
    <w:rsid w:val="00070305"/>
    <w:rsid w:val="00070527"/>
    <w:rsid w:val="00070608"/>
    <w:rsid w:val="00070BA3"/>
    <w:rsid w:val="00070E30"/>
    <w:rsid w:val="00070EA6"/>
    <w:rsid w:val="0007105B"/>
    <w:rsid w:val="00071098"/>
    <w:rsid w:val="000710B2"/>
    <w:rsid w:val="0007118A"/>
    <w:rsid w:val="00071569"/>
    <w:rsid w:val="00071744"/>
    <w:rsid w:val="00071992"/>
    <w:rsid w:val="000723D8"/>
    <w:rsid w:val="00072422"/>
    <w:rsid w:val="0007245C"/>
    <w:rsid w:val="00072621"/>
    <w:rsid w:val="0007269C"/>
    <w:rsid w:val="00072746"/>
    <w:rsid w:val="00072861"/>
    <w:rsid w:val="00072A04"/>
    <w:rsid w:val="00072ABF"/>
    <w:rsid w:val="00072B0A"/>
    <w:rsid w:val="00072B23"/>
    <w:rsid w:val="00072BCD"/>
    <w:rsid w:val="00072C8F"/>
    <w:rsid w:val="00072CF4"/>
    <w:rsid w:val="00072DA6"/>
    <w:rsid w:val="00072E86"/>
    <w:rsid w:val="00072FAA"/>
    <w:rsid w:val="00073229"/>
    <w:rsid w:val="000732CA"/>
    <w:rsid w:val="00073323"/>
    <w:rsid w:val="00073419"/>
    <w:rsid w:val="000735C5"/>
    <w:rsid w:val="00073780"/>
    <w:rsid w:val="00073879"/>
    <w:rsid w:val="0007387E"/>
    <w:rsid w:val="000739C4"/>
    <w:rsid w:val="00073ACD"/>
    <w:rsid w:val="00073C45"/>
    <w:rsid w:val="00073DF4"/>
    <w:rsid w:val="00073EA5"/>
    <w:rsid w:val="00073F5E"/>
    <w:rsid w:val="00073F64"/>
    <w:rsid w:val="0007417D"/>
    <w:rsid w:val="000745F9"/>
    <w:rsid w:val="00074731"/>
    <w:rsid w:val="00074B42"/>
    <w:rsid w:val="00074D69"/>
    <w:rsid w:val="00074EDE"/>
    <w:rsid w:val="00074F85"/>
    <w:rsid w:val="000752E6"/>
    <w:rsid w:val="00075358"/>
    <w:rsid w:val="0007547D"/>
    <w:rsid w:val="000757BE"/>
    <w:rsid w:val="0007583A"/>
    <w:rsid w:val="00075A3B"/>
    <w:rsid w:val="00075B27"/>
    <w:rsid w:val="000760E7"/>
    <w:rsid w:val="00076165"/>
    <w:rsid w:val="000762BA"/>
    <w:rsid w:val="00076420"/>
    <w:rsid w:val="00076435"/>
    <w:rsid w:val="000767CA"/>
    <w:rsid w:val="00076A44"/>
    <w:rsid w:val="00076B4E"/>
    <w:rsid w:val="00076D35"/>
    <w:rsid w:val="00076FC1"/>
    <w:rsid w:val="00076FE2"/>
    <w:rsid w:val="00077002"/>
    <w:rsid w:val="0007704D"/>
    <w:rsid w:val="0007705F"/>
    <w:rsid w:val="00077274"/>
    <w:rsid w:val="00077395"/>
    <w:rsid w:val="000779B3"/>
    <w:rsid w:val="00077A56"/>
    <w:rsid w:val="00077C5C"/>
    <w:rsid w:val="00077DCD"/>
    <w:rsid w:val="00080137"/>
    <w:rsid w:val="0008019B"/>
    <w:rsid w:val="000801D5"/>
    <w:rsid w:val="00080225"/>
    <w:rsid w:val="000802B3"/>
    <w:rsid w:val="000805AC"/>
    <w:rsid w:val="00080646"/>
    <w:rsid w:val="00080A0D"/>
    <w:rsid w:val="00080B56"/>
    <w:rsid w:val="00080C5C"/>
    <w:rsid w:val="00080CD4"/>
    <w:rsid w:val="00080D55"/>
    <w:rsid w:val="00080DFA"/>
    <w:rsid w:val="00080E31"/>
    <w:rsid w:val="00080F36"/>
    <w:rsid w:val="00080F7D"/>
    <w:rsid w:val="00081031"/>
    <w:rsid w:val="000810D5"/>
    <w:rsid w:val="000811C9"/>
    <w:rsid w:val="00081684"/>
    <w:rsid w:val="000816F1"/>
    <w:rsid w:val="00081902"/>
    <w:rsid w:val="000819C6"/>
    <w:rsid w:val="00081C69"/>
    <w:rsid w:val="00081E37"/>
    <w:rsid w:val="0008208B"/>
    <w:rsid w:val="0008215C"/>
    <w:rsid w:val="000822CA"/>
    <w:rsid w:val="0008245B"/>
    <w:rsid w:val="000824E7"/>
    <w:rsid w:val="00082614"/>
    <w:rsid w:val="00082695"/>
    <w:rsid w:val="000826E3"/>
    <w:rsid w:val="00082E3D"/>
    <w:rsid w:val="00082E44"/>
    <w:rsid w:val="00082F86"/>
    <w:rsid w:val="00082FD4"/>
    <w:rsid w:val="00083064"/>
    <w:rsid w:val="000830B5"/>
    <w:rsid w:val="000830BC"/>
    <w:rsid w:val="00083311"/>
    <w:rsid w:val="00083532"/>
    <w:rsid w:val="0008362A"/>
    <w:rsid w:val="0008371E"/>
    <w:rsid w:val="00083757"/>
    <w:rsid w:val="0008382E"/>
    <w:rsid w:val="00083924"/>
    <w:rsid w:val="000839C4"/>
    <w:rsid w:val="00083AD0"/>
    <w:rsid w:val="00083AD4"/>
    <w:rsid w:val="00083C82"/>
    <w:rsid w:val="00083D55"/>
    <w:rsid w:val="00083E15"/>
    <w:rsid w:val="00083F6D"/>
    <w:rsid w:val="00083FC5"/>
    <w:rsid w:val="00084016"/>
    <w:rsid w:val="0008418B"/>
    <w:rsid w:val="00084309"/>
    <w:rsid w:val="000843BE"/>
    <w:rsid w:val="000843ED"/>
    <w:rsid w:val="0008442C"/>
    <w:rsid w:val="0008456B"/>
    <w:rsid w:val="00084AEA"/>
    <w:rsid w:val="00084B4C"/>
    <w:rsid w:val="00084B53"/>
    <w:rsid w:val="00084BD5"/>
    <w:rsid w:val="00084BD9"/>
    <w:rsid w:val="00084BF8"/>
    <w:rsid w:val="00084CF3"/>
    <w:rsid w:val="00084D6B"/>
    <w:rsid w:val="00084D78"/>
    <w:rsid w:val="0008503E"/>
    <w:rsid w:val="00085194"/>
    <w:rsid w:val="000852F0"/>
    <w:rsid w:val="000853F9"/>
    <w:rsid w:val="00085497"/>
    <w:rsid w:val="0008561E"/>
    <w:rsid w:val="000856EF"/>
    <w:rsid w:val="000857E7"/>
    <w:rsid w:val="00085928"/>
    <w:rsid w:val="000859AA"/>
    <w:rsid w:val="00085A4F"/>
    <w:rsid w:val="00085D85"/>
    <w:rsid w:val="00085EB4"/>
    <w:rsid w:val="00085F06"/>
    <w:rsid w:val="00085FEA"/>
    <w:rsid w:val="00086019"/>
    <w:rsid w:val="00086032"/>
    <w:rsid w:val="0008623A"/>
    <w:rsid w:val="00086481"/>
    <w:rsid w:val="000866C7"/>
    <w:rsid w:val="00086A7D"/>
    <w:rsid w:val="00086B47"/>
    <w:rsid w:val="00086C67"/>
    <w:rsid w:val="00086CA9"/>
    <w:rsid w:val="00086D12"/>
    <w:rsid w:val="00086D62"/>
    <w:rsid w:val="0008703E"/>
    <w:rsid w:val="000874F8"/>
    <w:rsid w:val="00087574"/>
    <w:rsid w:val="000875AE"/>
    <w:rsid w:val="000876EE"/>
    <w:rsid w:val="000877B0"/>
    <w:rsid w:val="00087976"/>
    <w:rsid w:val="0008798E"/>
    <w:rsid w:val="000879FA"/>
    <w:rsid w:val="00087BCF"/>
    <w:rsid w:val="00087D17"/>
    <w:rsid w:val="00087E88"/>
    <w:rsid w:val="00087EB4"/>
    <w:rsid w:val="00087EC5"/>
    <w:rsid w:val="0009005F"/>
    <w:rsid w:val="00090097"/>
    <w:rsid w:val="0009013C"/>
    <w:rsid w:val="0009014E"/>
    <w:rsid w:val="000902C1"/>
    <w:rsid w:val="000902F9"/>
    <w:rsid w:val="0009052C"/>
    <w:rsid w:val="00090952"/>
    <w:rsid w:val="00090954"/>
    <w:rsid w:val="00090DA1"/>
    <w:rsid w:val="00090EC4"/>
    <w:rsid w:val="00090EF0"/>
    <w:rsid w:val="00090FAE"/>
    <w:rsid w:val="000912E2"/>
    <w:rsid w:val="00091381"/>
    <w:rsid w:val="000913F8"/>
    <w:rsid w:val="00091529"/>
    <w:rsid w:val="00091561"/>
    <w:rsid w:val="000919D3"/>
    <w:rsid w:val="00091E16"/>
    <w:rsid w:val="00091E51"/>
    <w:rsid w:val="00091EC4"/>
    <w:rsid w:val="0009205B"/>
    <w:rsid w:val="00092360"/>
    <w:rsid w:val="000923CA"/>
    <w:rsid w:val="000923D3"/>
    <w:rsid w:val="00092411"/>
    <w:rsid w:val="00092608"/>
    <w:rsid w:val="00092699"/>
    <w:rsid w:val="0009271A"/>
    <w:rsid w:val="000927C5"/>
    <w:rsid w:val="00092894"/>
    <w:rsid w:val="00092898"/>
    <w:rsid w:val="00092D45"/>
    <w:rsid w:val="00092DD5"/>
    <w:rsid w:val="00092DE6"/>
    <w:rsid w:val="00093031"/>
    <w:rsid w:val="000933B6"/>
    <w:rsid w:val="000933DA"/>
    <w:rsid w:val="000933E3"/>
    <w:rsid w:val="0009341D"/>
    <w:rsid w:val="000937CB"/>
    <w:rsid w:val="00093855"/>
    <w:rsid w:val="00093971"/>
    <w:rsid w:val="00093A19"/>
    <w:rsid w:val="00093CA0"/>
    <w:rsid w:val="00093FB4"/>
    <w:rsid w:val="00094019"/>
    <w:rsid w:val="000940BE"/>
    <w:rsid w:val="000941A2"/>
    <w:rsid w:val="000943CE"/>
    <w:rsid w:val="000944BF"/>
    <w:rsid w:val="000945D3"/>
    <w:rsid w:val="0009466A"/>
    <w:rsid w:val="000947EC"/>
    <w:rsid w:val="00094983"/>
    <w:rsid w:val="000949C9"/>
    <w:rsid w:val="00094A8D"/>
    <w:rsid w:val="00094AB9"/>
    <w:rsid w:val="00094CCD"/>
    <w:rsid w:val="00094EE3"/>
    <w:rsid w:val="00095104"/>
    <w:rsid w:val="00095255"/>
    <w:rsid w:val="00095264"/>
    <w:rsid w:val="000952AA"/>
    <w:rsid w:val="000954DE"/>
    <w:rsid w:val="000958F9"/>
    <w:rsid w:val="000959DA"/>
    <w:rsid w:val="00095A9C"/>
    <w:rsid w:val="00095B0D"/>
    <w:rsid w:val="00095E1A"/>
    <w:rsid w:val="00095EC6"/>
    <w:rsid w:val="00096059"/>
    <w:rsid w:val="00096087"/>
    <w:rsid w:val="00096141"/>
    <w:rsid w:val="0009653D"/>
    <w:rsid w:val="000965E6"/>
    <w:rsid w:val="00096852"/>
    <w:rsid w:val="00096A8F"/>
    <w:rsid w:val="00096C8D"/>
    <w:rsid w:val="00096E45"/>
    <w:rsid w:val="00096F19"/>
    <w:rsid w:val="000971A3"/>
    <w:rsid w:val="0009733A"/>
    <w:rsid w:val="00097420"/>
    <w:rsid w:val="0009749E"/>
    <w:rsid w:val="00097550"/>
    <w:rsid w:val="00097555"/>
    <w:rsid w:val="000975FF"/>
    <w:rsid w:val="000977DB"/>
    <w:rsid w:val="00097834"/>
    <w:rsid w:val="00097926"/>
    <w:rsid w:val="00097F0B"/>
    <w:rsid w:val="00097F6C"/>
    <w:rsid w:val="00097FF6"/>
    <w:rsid w:val="000A016B"/>
    <w:rsid w:val="000A05AB"/>
    <w:rsid w:val="000A0622"/>
    <w:rsid w:val="000A06BB"/>
    <w:rsid w:val="000A0AF2"/>
    <w:rsid w:val="000A0B65"/>
    <w:rsid w:val="000A0C6A"/>
    <w:rsid w:val="000A11BF"/>
    <w:rsid w:val="000A1239"/>
    <w:rsid w:val="000A135A"/>
    <w:rsid w:val="000A146B"/>
    <w:rsid w:val="000A15B4"/>
    <w:rsid w:val="000A1A8A"/>
    <w:rsid w:val="000A1D18"/>
    <w:rsid w:val="000A208A"/>
    <w:rsid w:val="000A216B"/>
    <w:rsid w:val="000A2446"/>
    <w:rsid w:val="000A261A"/>
    <w:rsid w:val="000A2655"/>
    <w:rsid w:val="000A2659"/>
    <w:rsid w:val="000A26A8"/>
    <w:rsid w:val="000A2935"/>
    <w:rsid w:val="000A2E51"/>
    <w:rsid w:val="000A30B6"/>
    <w:rsid w:val="000A3298"/>
    <w:rsid w:val="000A358E"/>
    <w:rsid w:val="000A399C"/>
    <w:rsid w:val="000A3A33"/>
    <w:rsid w:val="000A3AC7"/>
    <w:rsid w:val="000A3B6C"/>
    <w:rsid w:val="000A3C2E"/>
    <w:rsid w:val="000A3E10"/>
    <w:rsid w:val="000A44F5"/>
    <w:rsid w:val="000A47CD"/>
    <w:rsid w:val="000A47E7"/>
    <w:rsid w:val="000A4914"/>
    <w:rsid w:val="000A49D6"/>
    <w:rsid w:val="000A4AB9"/>
    <w:rsid w:val="000A4ACE"/>
    <w:rsid w:val="000A4BF7"/>
    <w:rsid w:val="000A4F11"/>
    <w:rsid w:val="000A5096"/>
    <w:rsid w:val="000A5296"/>
    <w:rsid w:val="000A5327"/>
    <w:rsid w:val="000A5344"/>
    <w:rsid w:val="000A53B1"/>
    <w:rsid w:val="000A5676"/>
    <w:rsid w:val="000A56E4"/>
    <w:rsid w:val="000A5711"/>
    <w:rsid w:val="000A5845"/>
    <w:rsid w:val="000A595B"/>
    <w:rsid w:val="000A5BB0"/>
    <w:rsid w:val="000A5C01"/>
    <w:rsid w:val="000A5D58"/>
    <w:rsid w:val="000A5E48"/>
    <w:rsid w:val="000A5FEC"/>
    <w:rsid w:val="000A6005"/>
    <w:rsid w:val="000A6117"/>
    <w:rsid w:val="000A61B7"/>
    <w:rsid w:val="000A6449"/>
    <w:rsid w:val="000A6929"/>
    <w:rsid w:val="000A6EFB"/>
    <w:rsid w:val="000A72C0"/>
    <w:rsid w:val="000A731B"/>
    <w:rsid w:val="000A7A41"/>
    <w:rsid w:val="000A7BB4"/>
    <w:rsid w:val="000A7CE5"/>
    <w:rsid w:val="000A7FD7"/>
    <w:rsid w:val="000A7FF6"/>
    <w:rsid w:val="000B0358"/>
    <w:rsid w:val="000B0AAF"/>
    <w:rsid w:val="000B0AC8"/>
    <w:rsid w:val="000B1033"/>
    <w:rsid w:val="000B1283"/>
    <w:rsid w:val="000B13CB"/>
    <w:rsid w:val="000B16AA"/>
    <w:rsid w:val="000B1806"/>
    <w:rsid w:val="000B1A41"/>
    <w:rsid w:val="000B1BA7"/>
    <w:rsid w:val="000B1BDB"/>
    <w:rsid w:val="000B1BEE"/>
    <w:rsid w:val="000B1C02"/>
    <w:rsid w:val="000B1CE3"/>
    <w:rsid w:val="000B208A"/>
    <w:rsid w:val="000B21CB"/>
    <w:rsid w:val="000B29D8"/>
    <w:rsid w:val="000B2A2B"/>
    <w:rsid w:val="000B2AE3"/>
    <w:rsid w:val="000B2CFF"/>
    <w:rsid w:val="000B2EC4"/>
    <w:rsid w:val="000B2F2A"/>
    <w:rsid w:val="000B3345"/>
    <w:rsid w:val="000B3453"/>
    <w:rsid w:val="000B3485"/>
    <w:rsid w:val="000B3780"/>
    <w:rsid w:val="000B390D"/>
    <w:rsid w:val="000B3BF1"/>
    <w:rsid w:val="000B3C7A"/>
    <w:rsid w:val="000B3D51"/>
    <w:rsid w:val="000B3E00"/>
    <w:rsid w:val="000B40FF"/>
    <w:rsid w:val="000B4247"/>
    <w:rsid w:val="000B452B"/>
    <w:rsid w:val="000B4535"/>
    <w:rsid w:val="000B453F"/>
    <w:rsid w:val="000B454D"/>
    <w:rsid w:val="000B4639"/>
    <w:rsid w:val="000B4667"/>
    <w:rsid w:val="000B469A"/>
    <w:rsid w:val="000B49E7"/>
    <w:rsid w:val="000B4B1D"/>
    <w:rsid w:val="000B4B78"/>
    <w:rsid w:val="000B4FA6"/>
    <w:rsid w:val="000B5091"/>
    <w:rsid w:val="000B51D1"/>
    <w:rsid w:val="000B5494"/>
    <w:rsid w:val="000B56B0"/>
    <w:rsid w:val="000B56E0"/>
    <w:rsid w:val="000B5717"/>
    <w:rsid w:val="000B5A80"/>
    <w:rsid w:val="000B634E"/>
    <w:rsid w:val="000B63EF"/>
    <w:rsid w:val="000B659C"/>
    <w:rsid w:val="000B65C0"/>
    <w:rsid w:val="000B67CA"/>
    <w:rsid w:val="000B6B14"/>
    <w:rsid w:val="000B6BD3"/>
    <w:rsid w:val="000B6C5A"/>
    <w:rsid w:val="000B6E34"/>
    <w:rsid w:val="000B7021"/>
    <w:rsid w:val="000B7338"/>
    <w:rsid w:val="000B73CA"/>
    <w:rsid w:val="000B75A4"/>
    <w:rsid w:val="000B77B9"/>
    <w:rsid w:val="000B7A48"/>
    <w:rsid w:val="000C0109"/>
    <w:rsid w:val="000C047F"/>
    <w:rsid w:val="000C05E0"/>
    <w:rsid w:val="000C0641"/>
    <w:rsid w:val="000C06D1"/>
    <w:rsid w:val="000C0776"/>
    <w:rsid w:val="000C0BF7"/>
    <w:rsid w:val="000C1570"/>
    <w:rsid w:val="000C15FC"/>
    <w:rsid w:val="000C1706"/>
    <w:rsid w:val="000C17B3"/>
    <w:rsid w:val="000C183A"/>
    <w:rsid w:val="000C19D8"/>
    <w:rsid w:val="000C1A72"/>
    <w:rsid w:val="000C1A75"/>
    <w:rsid w:val="000C1A76"/>
    <w:rsid w:val="000C1DE5"/>
    <w:rsid w:val="000C1F56"/>
    <w:rsid w:val="000C1FA0"/>
    <w:rsid w:val="000C2107"/>
    <w:rsid w:val="000C211E"/>
    <w:rsid w:val="000C2301"/>
    <w:rsid w:val="000C239A"/>
    <w:rsid w:val="000C255E"/>
    <w:rsid w:val="000C25B3"/>
    <w:rsid w:val="000C26E6"/>
    <w:rsid w:val="000C27C0"/>
    <w:rsid w:val="000C29D7"/>
    <w:rsid w:val="000C2A01"/>
    <w:rsid w:val="000C2BD2"/>
    <w:rsid w:val="000C2C6B"/>
    <w:rsid w:val="000C2F09"/>
    <w:rsid w:val="000C30B1"/>
    <w:rsid w:val="000C30FC"/>
    <w:rsid w:val="000C338F"/>
    <w:rsid w:val="000C3433"/>
    <w:rsid w:val="000C38E5"/>
    <w:rsid w:val="000C39D5"/>
    <w:rsid w:val="000C3AB0"/>
    <w:rsid w:val="000C3ECD"/>
    <w:rsid w:val="000C3F84"/>
    <w:rsid w:val="000C3F8B"/>
    <w:rsid w:val="000C44F1"/>
    <w:rsid w:val="000C451E"/>
    <w:rsid w:val="000C4587"/>
    <w:rsid w:val="000C49C0"/>
    <w:rsid w:val="000C4AFA"/>
    <w:rsid w:val="000C4C8C"/>
    <w:rsid w:val="000C4DBB"/>
    <w:rsid w:val="000C4F15"/>
    <w:rsid w:val="000C4FFB"/>
    <w:rsid w:val="000C5048"/>
    <w:rsid w:val="000C50C6"/>
    <w:rsid w:val="000C510F"/>
    <w:rsid w:val="000C523F"/>
    <w:rsid w:val="000C5257"/>
    <w:rsid w:val="000C5640"/>
    <w:rsid w:val="000C570B"/>
    <w:rsid w:val="000C5830"/>
    <w:rsid w:val="000C5910"/>
    <w:rsid w:val="000C5A8F"/>
    <w:rsid w:val="000C5B65"/>
    <w:rsid w:val="000C5B7F"/>
    <w:rsid w:val="000C5B97"/>
    <w:rsid w:val="000C5DF4"/>
    <w:rsid w:val="000C5E85"/>
    <w:rsid w:val="000C5E97"/>
    <w:rsid w:val="000C6427"/>
    <w:rsid w:val="000C6515"/>
    <w:rsid w:val="000C65EF"/>
    <w:rsid w:val="000C6603"/>
    <w:rsid w:val="000C6B03"/>
    <w:rsid w:val="000C6B71"/>
    <w:rsid w:val="000C717B"/>
    <w:rsid w:val="000C73F4"/>
    <w:rsid w:val="000C7846"/>
    <w:rsid w:val="000C794B"/>
    <w:rsid w:val="000C7999"/>
    <w:rsid w:val="000C7A25"/>
    <w:rsid w:val="000C7C0D"/>
    <w:rsid w:val="000C7F04"/>
    <w:rsid w:val="000D02CE"/>
    <w:rsid w:val="000D04B6"/>
    <w:rsid w:val="000D0654"/>
    <w:rsid w:val="000D088B"/>
    <w:rsid w:val="000D0A27"/>
    <w:rsid w:val="000D0C6F"/>
    <w:rsid w:val="000D0CBE"/>
    <w:rsid w:val="000D1100"/>
    <w:rsid w:val="000D11B1"/>
    <w:rsid w:val="000D11C1"/>
    <w:rsid w:val="000D127D"/>
    <w:rsid w:val="000D1372"/>
    <w:rsid w:val="000D13D6"/>
    <w:rsid w:val="000D14DF"/>
    <w:rsid w:val="000D154A"/>
    <w:rsid w:val="000D1630"/>
    <w:rsid w:val="000D179B"/>
    <w:rsid w:val="000D1832"/>
    <w:rsid w:val="000D1887"/>
    <w:rsid w:val="000D1B43"/>
    <w:rsid w:val="000D1B68"/>
    <w:rsid w:val="000D1CD3"/>
    <w:rsid w:val="000D1DEB"/>
    <w:rsid w:val="000D1EFB"/>
    <w:rsid w:val="000D22CE"/>
    <w:rsid w:val="000D2635"/>
    <w:rsid w:val="000D27A6"/>
    <w:rsid w:val="000D29C6"/>
    <w:rsid w:val="000D2A25"/>
    <w:rsid w:val="000D2A9F"/>
    <w:rsid w:val="000D3007"/>
    <w:rsid w:val="000D31E6"/>
    <w:rsid w:val="000D33E4"/>
    <w:rsid w:val="000D36CF"/>
    <w:rsid w:val="000D383A"/>
    <w:rsid w:val="000D3949"/>
    <w:rsid w:val="000D3B81"/>
    <w:rsid w:val="000D3EFF"/>
    <w:rsid w:val="000D47FD"/>
    <w:rsid w:val="000D49FF"/>
    <w:rsid w:val="000D4B1F"/>
    <w:rsid w:val="000D4E8A"/>
    <w:rsid w:val="000D4EBD"/>
    <w:rsid w:val="000D4F6C"/>
    <w:rsid w:val="000D5129"/>
    <w:rsid w:val="000D5234"/>
    <w:rsid w:val="000D5285"/>
    <w:rsid w:val="000D54F6"/>
    <w:rsid w:val="000D572D"/>
    <w:rsid w:val="000D5731"/>
    <w:rsid w:val="000D574B"/>
    <w:rsid w:val="000D57A7"/>
    <w:rsid w:val="000D5AC8"/>
    <w:rsid w:val="000D6263"/>
    <w:rsid w:val="000D63AA"/>
    <w:rsid w:val="000D669A"/>
    <w:rsid w:val="000D67E8"/>
    <w:rsid w:val="000D68AE"/>
    <w:rsid w:val="000D6AD7"/>
    <w:rsid w:val="000D6C2A"/>
    <w:rsid w:val="000D6D58"/>
    <w:rsid w:val="000D704E"/>
    <w:rsid w:val="000D7210"/>
    <w:rsid w:val="000D732B"/>
    <w:rsid w:val="000D7680"/>
    <w:rsid w:val="000D76DD"/>
    <w:rsid w:val="000D7806"/>
    <w:rsid w:val="000D78C4"/>
    <w:rsid w:val="000D7B06"/>
    <w:rsid w:val="000D7BD0"/>
    <w:rsid w:val="000D7BFC"/>
    <w:rsid w:val="000E01C8"/>
    <w:rsid w:val="000E0496"/>
    <w:rsid w:val="000E0715"/>
    <w:rsid w:val="000E0774"/>
    <w:rsid w:val="000E088F"/>
    <w:rsid w:val="000E0A49"/>
    <w:rsid w:val="000E0B30"/>
    <w:rsid w:val="000E0D60"/>
    <w:rsid w:val="000E11BB"/>
    <w:rsid w:val="000E12A8"/>
    <w:rsid w:val="000E13CC"/>
    <w:rsid w:val="000E14EA"/>
    <w:rsid w:val="000E1A28"/>
    <w:rsid w:val="000E1D94"/>
    <w:rsid w:val="000E1E0D"/>
    <w:rsid w:val="000E208C"/>
    <w:rsid w:val="000E21ED"/>
    <w:rsid w:val="000E223D"/>
    <w:rsid w:val="000E227E"/>
    <w:rsid w:val="000E2524"/>
    <w:rsid w:val="000E266B"/>
    <w:rsid w:val="000E26E8"/>
    <w:rsid w:val="000E26FF"/>
    <w:rsid w:val="000E283C"/>
    <w:rsid w:val="000E29D1"/>
    <w:rsid w:val="000E29FC"/>
    <w:rsid w:val="000E2B08"/>
    <w:rsid w:val="000E2B0B"/>
    <w:rsid w:val="000E2B22"/>
    <w:rsid w:val="000E2C80"/>
    <w:rsid w:val="000E2FAB"/>
    <w:rsid w:val="000E309B"/>
    <w:rsid w:val="000E310D"/>
    <w:rsid w:val="000E3479"/>
    <w:rsid w:val="000E354C"/>
    <w:rsid w:val="000E39DB"/>
    <w:rsid w:val="000E3FB7"/>
    <w:rsid w:val="000E3FFF"/>
    <w:rsid w:val="000E413C"/>
    <w:rsid w:val="000E41C2"/>
    <w:rsid w:val="000E4332"/>
    <w:rsid w:val="000E4425"/>
    <w:rsid w:val="000E4501"/>
    <w:rsid w:val="000E474C"/>
    <w:rsid w:val="000E4942"/>
    <w:rsid w:val="000E49AD"/>
    <w:rsid w:val="000E49CF"/>
    <w:rsid w:val="000E4C3E"/>
    <w:rsid w:val="000E4D01"/>
    <w:rsid w:val="000E4E0B"/>
    <w:rsid w:val="000E5036"/>
    <w:rsid w:val="000E5109"/>
    <w:rsid w:val="000E517A"/>
    <w:rsid w:val="000E523A"/>
    <w:rsid w:val="000E56B1"/>
    <w:rsid w:val="000E5914"/>
    <w:rsid w:val="000E5C9A"/>
    <w:rsid w:val="000E5EFD"/>
    <w:rsid w:val="000E63BF"/>
    <w:rsid w:val="000E65E3"/>
    <w:rsid w:val="000E6604"/>
    <w:rsid w:val="000E674F"/>
    <w:rsid w:val="000E6A19"/>
    <w:rsid w:val="000E6A20"/>
    <w:rsid w:val="000E6A25"/>
    <w:rsid w:val="000E6B14"/>
    <w:rsid w:val="000E6EFB"/>
    <w:rsid w:val="000E6FC2"/>
    <w:rsid w:val="000E742B"/>
    <w:rsid w:val="000E7D6E"/>
    <w:rsid w:val="000E7DD1"/>
    <w:rsid w:val="000E7DDD"/>
    <w:rsid w:val="000F00BB"/>
    <w:rsid w:val="000F019B"/>
    <w:rsid w:val="000F02C5"/>
    <w:rsid w:val="000F03D2"/>
    <w:rsid w:val="000F0423"/>
    <w:rsid w:val="000F0685"/>
    <w:rsid w:val="000F06DA"/>
    <w:rsid w:val="000F08CE"/>
    <w:rsid w:val="000F0B80"/>
    <w:rsid w:val="000F0D14"/>
    <w:rsid w:val="000F0D75"/>
    <w:rsid w:val="000F0EF2"/>
    <w:rsid w:val="000F0F04"/>
    <w:rsid w:val="000F10B8"/>
    <w:rsid w:val="000F128B"/>
    <w:rsid w:val="000F130A"/>
    <w:rsid w:val="000F13AB"/>
    <w:rsid w:val="000F1485"/>
    <w:rsid w:val="000F1499"/>
    <w:rsid w:val="000F18B8"/>
    <w:rsid w:val="000F18BA"/>
    <w:rsid w:val="000F1C18"/>
    <w:rsid w:val="000F1CBE"/>
    <w:rsid w:val="000F1D2B"/>
    <w:rsid w:val="000F1DE8"/>
    <w:rsid w:val="000F1E1F"/>
    <w:rsid w:val="000F1F01"/>
    <w:rsid w:val="000F1F62"/>
    <w:rsid w:val="000F2659"/>
    <w:rsid w:val="000F2913"/>
    <w:rsid w:val="000F29DE"/>
    <w:rsid w:val="000F2CE9"/>
    <w:rsid w:val="000F2DB1"/>
    <w:rsid w:val="000F2E00"/>
    <w:rsid w:val="000F2E4B"/>
    <w:rsid w:val="000F2F1E"/>
    <w:rsid w:val="000F2F97"/>
    <w:rsid w:val="000F34B4"/>
    <w:rsid w:val="000F3781"/>
    <w:rsid w:val="000F39C1"/>
    <w:rsid w:val="000F3A43"/>
    <w:rsid w:val="000F3B84"/>
    <w:rsid w:val="000F3D4A"/>
    <w:rsid w:val="000F3F11"/>
    <w:rsid w:val="000F3FCF"/>
    <w:rsid w:val="000F3FD7"/>
    <w:rsid w:val="000F41DF"/>
    <w:rsid w:val="000F439D"/>
    <w:rsid w:val="000F43D1"/>
    <w:rsid w:val="000F43DF"/>
    <w:rsid w:val="000F442C"/>
    <w:rsid w:val="000F4775"/>
    <w:rsid w:val="000F47BC"/>
    <w:rsid w:val="000F4B33"/>
    <w:rsid w:val="000F4C76"/>
    <w:rsid w:val="000F4F11"/>
    <w:rsid w:val="000F50D9"/>
    <w:rsid w:val="000F52A7"/>
    <w:rsid w:val="000F53C2"/>
    <w:rsid w:val="000F5637"/>
    <w:rsid w:val="000F5C87"/>
    <w:rsid w:val="000F5CE3"/>
    <w:rsid w:val="000F5F2E"/>
    <w:rsid w:val="000F6026"/>
    <w:rsid w:val="000F605B"/>
    <w:rsid w:val="000F6352"/>
    <w:rsid w:val="000F63AA"/>
    <w:rsid w:val="000F63EE"/>
    <w:rsid w:val="000F648D"/>
    <w:rsid w:val="000F6554"/>
    <w:rsid w:val="000F6564"/>
    <w:rsid w:val="000F6601"/>
    <w:rsid w:val="000F662D"/>
    <w:rsid w:val="000F66B6"/>
    <w:rsid w:val="000F6802"/>
    <w:rsid w:val="000F6816"/>
    <w:rsid w:val="000F6983"/>
    <w:rsid w:val="000F6B13"/>
    <w:rsid w:val="000F6B37"/>
    <w:rsid w:val="000F6D5C"/>
    <w:rsid w:val="000F6DDB"/>
    <w:rsid w:val="000F703E"/>
    <w:rsid w:val="000F7117"/>
    <w:rsid w:val="000F749F"/>
    <w:rsid w:val="000F74EE"/>
    <w:rsid w:val="000F753D"/>
    <w:rsid w:val="000F75A3"/>
    <w:rsid w:val="000F75B7"/>
    <w:rsid w:val="000F7B7E"/>
    <w:rsid w:val="000F7C83"/>
    <w:rsid w:val="000F7D1E"/>
    <w:rsid w:val="000F7E94"/>
    <w:rsid w:val="000F7F60"/>
    <w:rsid w:val="000F7F73"/>
    <w:rsid w:val="001000E5"/>
    <w:rsid w:val="00100233"/>
    <w:rsid w:val="001002ED"/>
    <w:rsid w:val="001007CD"/>
    <w:rsid w:val="00100B2F"/>
    <w:rsid w:val="00100B50"/>
    <w:rsid w:val="00100DA8"/>
    <w:rsid w:val="00100F52"/>
    <w:rsid w:val="00101143"/>
    <w:rsid w:val="001011B6"/>
    <w:rsid w:val="001011FA"/>
    <w:rsid w:val="001014E4"/>
    <w:rsid w:val="00101571"/>
    <w:rsid w:val="00101615"/>
    <w:rsid w:val="0010161B"/>
    <w:rsid w:val="001019B9"/>
    <w:rsid w:val="00101A82"/>
    <w:rsid w:val="00101B65"/>
    <w:rsid w:val="00101E49"/>
    <w:rsid w:val="0010204B"/>
    <w:rsid w:val="001024DB"/>
    <w:rsid w:val="0010291B"/>
    <w:rsid w:val="001029E1"/>
    <w:rsid w:val="00102A3B"/>
    <w:rsid w:val="00102CC4"/>
    <w:rsid w:val="00103066"/>
    <w:rsid w:val="00103170"/>
    <w:rsid w:val="001031F3"/>
    <w:rsid w:val="001033C9"/>
    <w:rsid w:val="00103523"/>
    <w:rsid w:val="001035C9"/>
    <w:rsid w:val="001035EA"/>
    <w:rsid w:val="00103DC3"/>
    <w:rsid w:val="00103E43"/>
    <w:rsid w:val="00103E68"/>
    <w:rsid w:val="00103F00"/>
    <w:rsid w:val="00103F10"/>
    <w:rsid w:val="00104308"/>
    <w:rsid w:val="0010443F"/>
    <w:rsid w:val="00104558"/>
    <w:rsid w:val="00104750"/>
    <w:rsid w:val="001048CC"/>
    <w:rsid w:val="00104EED"/>
    <w:rsid w:val="00104FC0"/>
    <w:rsid w:val="00105094"/>
    <w:rsid w:val="0010525F"/>
    <w:rsid w:val="001055F9"/>
    <w:rsid w:val="0010570F"/>
    <w:rsid w:val="0010575B"/>
    <w:rsid w:val="001059C7"/>
    <w:rsid w:val="00105A3E"/>
    <w:rsid w:val="00105A77"/>
    <w:rsid w:val="00105CB6"/>
    <w:rsid w:val="00105E67"/>
    <w:rsid w:val="00105FD8"/>
    <w:rsid w:val="001061FC"/>
    <w:rsid w:val="001062AF"/>
    <w:rsid w:val="001064A2"/>
    <w:rsid w:val="00106551"/>
    <w:rsid w:val="00106652"/>
    <w:rsid w:val="001066C1"/>
    <w:rsid w:val="001067D2"/>
    <w:rsid w:val="00106B80"/>
    <w:rsid w:val="00106FEC"/>
    <w:rsid w:val="00107029"/>
    <w:rsid w:val="0010703E"/>
    <w:rsid w:val="001071C9"/>
    <w:rsid w:val="0010723A"/>
    <w:rsid w:val="001073EC"/>
    <w:rsid w:val="00107478"/>
    <w:rsid w:val="00107567"/>
    <w:rsid w:val="00107669"/>
    <w:rsid w:val="0010771C"/>
    <w:rsid w:val="00107726"/>
    <w:rsid w:val="00107924"/>
    <w:rsid w:val="00107954"/>
    <w:rsid w:val="00107DBA"/>
    <w:rsid w:val="00107E9E"/>
    <w:rsid w:val="00110605"/>
    <w:rsid w:val="00110770"/>
    <w:rsid w:val="00110931"/>
    <w:rsid w:val="001109FF"/>
    <w:rsid w:val="00110AF4"/>
    <w:rsid w:val="00110BFD"/>
    <w:rsid w:val="00110DA1"/>
    <w:rsid w:val="00110E37"/>
    <w:rsid w:val="001113F3"/>
    <w:rsid w:val="0011142F"/>
    <w:rsid w:val="00111460"/>
    <w:rsid w:val="001115B9"/>
    <w:rsid w:val="00111763"/>
    <w:rsid w:val="00111895"/>
    <w:rsid w:val="00111C32"/>
    <w:rsid w:val="00112014"/>
    <w:rsid w:val="00112173"/>
    <w:rsid w:val="00112261"/>
    <w:rsid w:val="0011227C"/>
    <w:rsid w:val="001122F0"/>
    <w:rsid w:val="00112304"/>
    <w:rsid w:val="00112481"/>
    <w:rsid w:val="00112697"/>
    <w:rsid w:val="001126DB"/>
    <w:rsid w:val="00112704"/>
    <w:rsid w:val="001127E9"/>
    <w:rsid w:val="001129E3"/>
    <w:rsid w:val="00112A86"/>
    <w:rsid w:val="00112CEC"/>
    <w:rsid w:val="00112F93"/>
    <w:rsid w:val="00113072"/>
    <w:rsid w:val="001131D6"/>
    <w:rsid w:val="001133F8"/>
    <w:rsid w:val="001134B6"/>
    <w:rsid w:val="001134D4"/>
    <w:rsid w:val="001134DB"/>
    <w:rsid w:val="00113504"/>
    <w:rsid w:val="00113566"/>
    <w:rsid w:val="00113AB4"/>
    <w:rsid w:val="00113DE0"/>
    <w:rsid w:val="00113DFF"/>
    <w:rsid w:val="00114171"/>
    <w:rsid w:val="00114244"/>
    <w:rsid w:val="0011441C"/>
    <w:rsid w:val="00114468"/>
    <w:rsid w:val="0011451D"/>
    <w:rsid w:val="0011462E"/>
    <w:rsid w:val="0011469B"/>
    <w:rsid w:val="0011481C"/>
    <w:rsid w:val="001148F7"/>
    <w:rsid w:val="00114906"/>
    <w:rsid w:val="00114962"/>
    <w:rsid w:val="00114A24"/>
    <w:rsid w:val="00114B00"/>
    <w:rsid w:val="00114F50"/>
    <w:rsid w:val="00115266"/>
    <w:rsid w:val="00115507"/>
    <w:rsid w:val="001156CF"/>
    <w:rsid w:val="00115716"/>
    <w:rsid w:val="001157DA"/>
    <w:rsid w:val="00115975"/>
    <w:rsid w:val="0011599A"/>
    <w:rsid w:val="00115AC3"/>
    <w:rsid w:val="00115E75"/>
    <w:rsid w:val="00115EBB"/>
    <w:rsid w:val="001161FD"/>
    <w:rsid w:val="00116669"/>
    <w:rsid w:val="00116A22"/>
    <w:rsid w:val="00116A6D"/>
    <w:rsid w:val="00116C24"/>
    <w:rsid w:val="00116ECE"/>
    <w:rsid w:val="00116EDF"/>
    <w:rsid w:val="00116EF2"/>
    <w:rsid w:val="00117188"/>
    <w:rsid w:val="001171C8"/>
    <w:rsid w:val="00117578"/>
    <w:rsid w:val="00117581"/>
    <w:rsid w:val="001175A2"/>
    <w:rsid w:val="001175C2"/>
    <w:rsid w:val="00117641"/>
    <w:rsid w:val="00117727"/>
    <w:rsid w:val="00117DB4"/>
    <w:rsid w:val="0012001D"/>
    <w:rsid w:val="0012010E"/>
    <w:rsid w:val="00120245"/>
    <w:rsid w:val="001202DC"/>
    <w:rsid w:val="001208D0"/>
    <w:rsid w:val="0012098C"/>
    <w:rsid w:val="001209E1"/>
    <w:rsid w:val="00120A17"/>
    <w:rsid w:val="00120A52"/>
    <w:rsid w:val="00120AFF"/>
    <w:rsid w:val="00120DBE"/>
    <w:rsid w:val="00120F26"/>
    <w:rsid w:val="00121568"/>
    <w:rsid w:val="0012191B"/>
    <w:rsid w:val="0012194E"/>
    <w:rsid w:val="00121A26"/>
    <w:rsid w:val="00121CBF"/>
    <w:rsid w:val="00121EFF"/>
    <w:rsid w:val="0012213F"/>
    <w:rsid w:val="0012248B"/>
    <w:rsid w:val="00122523"/>
    <w:rsid w:val="001225E5"/>
    <w:rsid w:val="001225FC"/>
    <w:rsid w:val="001226B3"/>
    <w:rsid w:val="00122B5C"/>
    <w:rsid w:val="00122F5F"/>
    <w:rsid w:val="00123175"/>
    <w:rsid w:val="00123448"/>
    <w:rsid w:val="0012355E"/>
    <w:rsid w:val="0012361F"/>
    <w:rsid w:val="0012381F"/>
    <w:rsid w:val="001239BB"/>
    <w:rsid w:val="00123B45"/>
    <w:rsid w:val="00123E39"/>
    <w:rsid w:val="00123E5E"/>
    <w:rsid w:val="001241A6"/>
    <w:rsid w:val="0012428A"/>
    <w:rsid w:val="0012428E"/>
    <w:rsid w:val="0012434E"/>
    <w:rsid w:val="001243D3"/>
    <w:rsid w:val="00124691"/>
    <w:rsid w:val="0012495F"/>
    <w:rsid w:val="00124AE3"/>
    <w:rsid w:val="00124BB2"/>
    <w:rsid w:val="00124D4B"/>
    <w:rsid w:val="00124DF1"/>
    <w:rsid w:val="00124EAB"/>
    <w:rsid w:val="001252F5"/>
    <w:rsid w:val="0012540B"/>
    <w:rsid w:val="00125510"/>
    <w:rsid w:val="001255B3"/>
    <w:rsid w:val="001257DD"/>
    <w:rsid w:val="00125849"/>
    <w:rsid w:val="001258C0"/>
    <w:rsid w:val="00125B01"/>
    <w:rsid w:val="00125D6D"/>
    <w:rsid w:val="00125D70"/>
    <w:rsid w:val="001261C9"/>
    <w:rsid w:val="0012625F"/>
    <w:rsid w:val="001264F5"/>
    <w:rsid w:val="0012661E"/>
    <w:rsid w:val="00126713"/>
    <w:rsid w:val="00126879"/>
    <w:rsid w:val="001268AE"/>
    <w:rsid w:val="001268C2"/>
    <w:rsid w:val="00126B25"/>
    <w:rsid w:val="00126B68"/>
    <w:rsid w:val="00126D0C"/>
    <w:rsid w:val="00126E4A"/>
    <w:rsid w:val="00126F94"/>
    <w:rsid w:val="001270A7"/>
    <w:rsid w:val="001273EC"/>
    <w:rsid w:val="001274A9"/>
    <w:rsid w:val="00127516"/>
    <w:rsid w:val="001275BA"/>
    <w:rsid w:val="0012769E"/>
    <w:rsid w:val="00127E18"/>
    <w:rsid w:val="00127ED8"/>
    <w:rsid w:val="00130144"/>
    <w:rsid w:val="001303F0"/>
    <w:rsid w:val="001305E7"/>
    <w:rsid w:val="00130870"/>
    <w:rsid w:val="00130919"/>
    <w:rsid w:val="00130AD4"/>
    <w:rsid w:val="00130B74"/>
    <w:rsid w:val="00130D6D"/>
    <w:rsid w:val="00131131"/>
    <w:rsid w:val="0013135D"/>
    <w:rsid w:val="00131428"/>
    <w:rsid w:val="00131555"/>
    <w:rsid w:val="0013190B"/>
    <w:rsid w:val="001319F4"/>
    <w:rsid w:val="00131DE7"/>
    <w:rsid w:val="00131FD1"/>
    <w:rsid w:val="001322B9"/>
    <w:rsid w:val="00132494"/>
    <w:rsid w:val="001327BB"/>
    <w:rsid w:val="00132A51"/>
    <w:rsid w:val="00132A61"/>
    <w:rsid w:val="00132AF1"/>
    <w:rsid w:val="00132BE8"/>
    <w:rsid w:val="0013310B"/>
    <w:rsid w:val="0013320F"/>
    <w:rsid w:val="00133250"/>
    <w:rsid w:val="00133365"/>
    <w:rsid w:val="001333B5"/>
    <w:rsid w:val="0013341F"/>
    <w:rsid w:val="001334E0"/>
    <w:rsid w:val="0013363F"/>
    <w:rsid w:val="001338DD"/>
    <w:rsid w:val="00133B02"/>
    <w:rsid w:val="00133B14"/>
    <w:rsid w:val="00133BF4"/>
    <w:rsid w:val="00133D96"/>
    <w:rsid w:val="00133DEB"/>
    <w:rsid w:val="00133E6A"/>
    <w:rsid w:val="00134059"/>
    <w:rsid w:val="001341E0"/>
    <w:rsid w:val="00134313"/>
    <w:rsid w:val="0013462E"/>
    <w:rsid w:val="00134683"/>
    <w:rsid w:val="001347B1"/>
    <w:rsid w:val="00134831"/>
    <w:rsid w:val="00134867"/>
    <w:rsid w:val="00134895"/>
    <w:rsid w:val="00134956"/>
    <w:rsid w:val="00134A3C"/>
    <w:rsid w:val="00134D02"/>
    <w:rsid w:val="00134DBD"/>
    <w:rsid w:val="00134EB7"/>
    <w:rsid w:val="00135007"/>
    <w:rsid w:val="0013526B"/>
    <w:rsid w:val="00135385"/>
    <w:rsid w:val="00135434"/>
    <w:rsid w:val="00135678"/>
    <w:rsid w:val="00135681"/>
    <w:rsid w:val="001356AB"/>
    <w:rsid w:val="00135824"/>
    <w:rsid w:val="0013589C"/>
    <w:rsid w:val="00135935"/>
    <w:rsid w:val="00135949"/>
    <w:rsid w:val="00135E7D"/>
    <w:rsid w:val="00135F2A"/>
    <w:rsid w:val="001364A4"/>
    <w:rsid w:val="00136A09"/>
    <w:rsid w:val="00136AD2"/>
    <w:rsid w:val="00136B7A"/>
    <w:rsid w:val="00136C45"/>
    <w:rsid w:val="00136DAF"/>
    <w:rsid w:val="00136E24"/>
    <w:rsid w:val="00136F52"/>
    <w:rsid w:val="001375C4"/>
    <w:rsid w:val="00137779"/>
    <w:rsid w:val="001378EA"/>
    <w:rsid w:val="00137A9C"/>
    <w:rsid w:val="00137AA0"/>
    <w:rsid w:val="00137BF5"/>
    <w:rsid w:val="00137C59"/>
    <w:rsid w:val="00137F6C"/>
    <w:rsid w:val="00140161"/>
    <w:rsid w:val="0014040A"/>
    <w:rsid w:val="001404D1"/>
    <w:rsid w:val="00140571"/>
    <w:rsid w:val="00140975"/>
    <w:rsid w:val="001409E6"/>
    <w:rsid w:val="00140A25"/>
    <w:rsid w:val="00140B0E"/>
    <w:rsid w:val="00140C82"/>
    <w:rsid w:val="00140D40"/>
    <w:rsid w:val="00140E5B"/>
    <w:rsid w:val="00140EF2"/>
    <w:rsid w:val="00140F89"/>
    <w:rsid w:val="00140F98"/>
    <w:rsid w:val="00141219"/>
    <w:rsid w:val="00141573"/>
    <w:rsid w:val="00141647"/>
    <w:rsid w:val="00141694"/>
    <w:rsid w:val="001418CC"/>
    <w:rsid w:val="001418D5"/>
    <w:rsid w:val="001418EC"/>
    <w:rsid w:val="001419AC"/>
    <w:rsid w:val="00141A4F"/>
    <w:rsid w:val="00141A90"/>
    <w:rsid w:val="00141A9D"/>
    <w:rsid w:val="00141B76"/>
    <w:rsid w:val="00141D03"/>
    <w:rsid w:val="00141FF9"/>
    <w:rsid w:val="0014214A"/>
    <w:rsid w:val="001424C4"/>
    <w:rsid w:val="00142A7F"/>
    <w:rsid w:val="00142D34"/>
    <w:rsid w:val="00142F19"/>
    <w:rsid w:val="001430B0"/>
    <w:rsid w:val="001430BD"/>
    <w:rsid w:val="00143333"/>
    <w:rsid w:val="00143363"/>
    <w:rsid w:val="0014338B"/>
    <w:rsid w:val="00143563"/>
    <w:rsid w:val="0014360C"/>
    <w:rsid w:val="001439A3"/>
    <w:rsid w:val="00143BCA"/>
    <w:rsid w:val="00143FDD"/>
    <w:rsid w:val="001440A5"/>
    <w:rsid w:val="00144294"/>
    <w:rsid w:val="0014432B"/>
    <w:rsid w:val="0014433C"/>
    <w:rsid w:val="001443E9"/>
    <w:rsid w:val="001445B9"/>
    <w:rsid w:val="001445D9"/>
    <w:rsid w:val="001449FC"/>
    <w:rsid w:val="00144C4E"/>
    <w:rsid w:val="00144D48"/>
    <w:rsid w:val="00144E0E"/>
    <w:rsid w:val="00144E26"/>
    <w:rsid w:val="00144EEB"/>
    <w:rsid w:val="00144F02"/>
    <w:rsid w:val="00144F44"/>
    <w:rsid w:val="0014510C"/>
    <w:rsid w:val="001452F3"/>
    <w:rsid w:val="0014545C"/>
    <w:rsid w:val="001454DA"/>
    <w:rsid w:val="0014552E"/>
    <w:rsid w:val="001457B2"/>
    <w:rsid w:val="001457E5"/>
    <w:rsid w:val="00145801"/>
    <w:rsid w:val="0014580B"/>
    <w:rsid w:val="00145B34"/>
    <w:rsid w:val="00145BD3"/>
    <w:rsid w:val="00145D57"/>
    <w:rsid w:val="00145DE2"/>
    <w:rsid w:val="0014604A"/>
    <w:rsid w:val="00146585"/>
    <w:rsid w:val="001467EA"/>
    <w:rsid w:val="0014685E"/>
    <w:rsid w:val="0014698A"/>
    <w:rsid w:val="00146BDD"/>
    <w:rsid w:val="00146C52"/>
    <w:rsid w:val="00146C82"/>
    <w:rsid w:val="00146CED"/>
    <w:rsid w:val="00146D9D"/>
    <w:rsid w:val="00146E7F"/>
    <w:rsid w:val="00146FA1"/>
    <w:rsid w:val="0014700C"/>
    <w:rsid w:val="00147094"/>
    <w:rsid w:val="0014731C"/>
    <w:rsid w:val="001476AA"/>
    <w:rsid w:val="0014787C"/>
    <w:rsid w:val="00147998"/>
    <w:rsid w:val="00147BC2"/>
    <w:rsid w:val="00147F60"/>
    <w:rsid w:val="00147FD1"/>
    <w:rsid w:val="00147FE9"/>
    <w:rsid w:val="0015009A"/>
    <w:rsid w:val="0015013B"/>
    <w:rsid w:val="0015016C"/>
    <w:rsid w:val="001504B2"/>
    <w:rsid w:val="0015062F"/>
    <w:rsid w:val="00150CE0"/>
    <w:rsid w:val="00150E82"/>
    <w:rsid w:val="001514F6"/>
    <w:rsid w:val="001515AA"/>
    <w:rsid w:val="00151705"/>
    <w:rsid w:val="001517FA"/>
    <w:rsid w:val="00151A7B"/>
    <w:rsid w:val="00151BAB"/>
    <w:rsid w:val="00151BCD"/>
    <w:rsid w:val="00151D6F"/>
    <w:rsid w:val="00152771"/>
    <w:rsid w:val="00152950"/>
    <w:rsid w:val="00152A44"/>
    <w:rsid w:val="00152B21"/>
    <w:rsid w:val="00153145"/>
    <w:rsid w:val="0015323C"/>
    <w:rsid w:val="00153516"/>
    <w:rsid w:val="00153762"/>
    <w:rsid w:val="00153896"/>
    <w:rsid w:val="00153AEA"/>
    <w:rsid w:val="00153C77"/>
    <w:rsid w:val="00154053"/>
    <w:rsid w:val="00154331"/>
    <w:rsid w:val="00154416"/>
    <w:rsid w:val="001544A9"/>
    <w:rsid w:val="001546E4"/>
    <w:rsid w:val="0015470C"/>
    <w:rsid w:val="00154868"/>
    <w:rsid w:val="001548CD"/>
    <w:rsid w:val="0015495F"/>
    <w:rsid w:val="00154EC4"/>
    <w:rsid w:val="0015524F"/>
    <w:rsid w:val="00155363"/>
    <w:rsid w:val="001554D3"/>
    <w:rsid w:val="0015553B"/>
    <w:rsid w:val="001555F2"/>
    <w:rsid w:val="0015566D"/>
    <w:rsid w:val="0015571D"/>
    <w:rsid w:val="00155A10"/>
    <w:rsid w:val="00155AC9"/>
    <w:rsid w:val="00155B88"/>
    <w:rsid w:val="00155EF4"/>
    <w:rsid w:val="001560F5"/>
    <w:rsid w:val="0015610E"/>
    <w:rsid w:val="001563F3"/>
    <w:rsid w:val="00156850"/>
    <w:rsid w:val="00156B7E"/>
    <w:rsid w:val="00156BA2"/>
    <w:rsid w:val="00156C23"/>
    <w:rsid w:val="00156C3B"/>
    <w:rsid w:val="00156C48"/>
    <w:rsid w:val="00156C9D"/>
    <w:rsid w:val="00156D84"/>
    <w:rsid w:val="00156E15"/>
    <w:rsid w:val="001571E4"/>
    <w:rsid w:val="0015729B"/>
    <w:rsid w:val="001572DD"/>
    <w:rsid w:val="001575E6"/>
    <w:rsid w:val="00157888"/>
    <w:rsid w:val="001578EF"/>
    <w:rsid w:val="00157A9C"/>
    <w:rsid w:val="00157B91"/>
    <w:rsid w:val="00157F01"/>
    <w:rsid w:val="00157FCF"/>
    <w:rsid w:val="00160074"/>
    <w:rsid w:val="0016012C"/>
    <w:rsid w:val="00160666"/>
    <w:rsid w:val="0016066F"/>
    <w:rsid w:val="001608A5"/>
    <w:rsid w:val="0016097C"/>
    <w:rsid w:val="0016099E"/>
    <w:rsid w:val="001609EB"/>
    <w:rsid w:val="00160A92"/>
    <w:rsid w:val="00160E9D"/>
    <w:rsid w:val="00160EAF"/>
    <w:rsid w:val="0016105E"/>
    <w:rsid w:val="0016118D"/>
    <w:rsid w:val="00161191"/>
    <w:rsid w:val="00161274"/>
    <w:rsid w:val="001618CC"/>
    <w:rsid w:val="001618FB"/>
    <w:rsid w:val="00161A2F"/>
    <w:rsid w:val="00161ABC"/>
    <w:rsid w:val="00161B01"/>
    <w:rsid w:val="00161B4B"/>
    <w:rsid w:val="00161E2C"/>
    <w:rsid w:val="00161E8C"/>
    <w:rsid w:val="001621DE"/>
    <w:rsid w:val="001624C1"/>
    <w:rsid w:val="001624F2"/>
    <w:rsid w:val="00162531"/>
    <w:rsid w:val="0016267F"/>
    <w:rsid w:val="0016269F"/>
    <w:rsid w:val="00162A48"/>
    <w:rsid w:val="00162B52"/>
    <w:rsid w:val="00162BE2"/>
    <w:rsid w:val="00162C62"/>
    <w:rsid w:val="00162CC9"/>
    <w:rsid w:val="00162D49"/>
    <w:rsid w:val="00162DEE"/>
    <w:rsid w:val="00162E64"/>
    <w:rsid w:val="001630D2"/>
    <w:rsid w:val="001631B9"/>
    <w:rsid w:val="001632A8"/>
    <w:rsid w:val="001632AE"/>
    <w:rsid w:val="0016333C"/>
    <w:rsid w:val="001633CA"/>
    <w:rsid w:val="0016372B"/>
    <w:rsid w:val="00163811"/>
    <w:rsid w:val="00163833"/>
    <w:rsid w:val="0016394C"/>
    <w:rsid w:val="00163BB4"/>
    <w:rsid w:val="00163BF4"/>
    <w:rsid w:val="00163DD9"/>
    <w:rsid w:val="0016402A"/>
    <w:rsid w:val="00164314"/>
    <w:rsid w:val="0016454A"/>
    <w:rsid w:val="001645E6"/>
    <w:rsid w:val="0016481E"/>
    <w:rsid w:val="00164886"/>
    <w:rsid w:val="00164A08"/>
    <w:rsid w:val="00164A24"/>
    <w:rsid w:val="00164AF5"/>
    <w:rsid w:val="00164C49"/>
    <w:rsid w:val="00164EA1"/>
    <w:rsid w:val="001650CC"/>
    <w:rsid w:val="001651A2"/>
    <w:rsid w:val="001652B8"/>
    <w:rsid w:val="0016536A"/>
    <w:rsid w:val="00165625"/>
    <w:rsid w:val="00165843"/>
    <w:rsid w:val="00165989"/>
    <w:rsid w:val="001659E3"/>
    <w:rsid w:val="00165B23"/>
    <w:rsid w:val="00165B3E"/>
    <w:rsid w:val="00165B56"/>
    <w:rsid w:val="00165CCE"/>
    <w:rsid w:val="00165FF1"/>
    <w:rsid w:val="00166137"/>
    <w:rsid w:val="001661BC"/>
    <w:rsid w:val="001662A0"/>
    <w:rsid w:val="0016647C"/>
    <w:rsid w:val="001665D7"/>
    <w:rsid w:val="0016664B"/>
    <w:rsid w:val="0016677C"/>
    <w:rsid w:val="00166AB6"/>
    <w:rsid w:val="00166B32"/>
    <w:rsid w:val="00166BBD"/>
    <w:rsid w:val="00166DF2"/>
    <w:rsid w:val="00166FB9"/>
    <w:rsid w:val="001672EF"/>
    <w:rsid w:val="001676B7"/>
    <w:rsid w:val="0016777E"/>
    <w:rsid w:val="001677CC"/>
    <w:rsid w:val="00167961"/>
    <w:rsid w:val="00167983"/>
    <w:rsid w:val="001679FE"/>
    <w:rsid w:val="00167ACF"/>
    <w:rsid w:val="00167BF7"/>
    <w:rsid w:val="00167C4A"/>
    <w:rsid w:val="00167CEA"/>
    <w:rsid w:val="00167D49"/>
    <w:rsid w:val="00167D85"/>
    <w:rsid w:val="00170132"/>
    <w:rsid w:val="0017043B"/>
    <w:rsid w:val="001704F1"/>
    <w:rsid w:val="00170561"/>
    <w:rsid w:val="0017069E"/>
    <w:rsid w:val="001706B5"/>
    <w:rsid w:val="001709C0"/>
    <w:rsid w:val="00170AE1"/>
    <w:rsid w:val="001711F4"/>
    <w:rsid w:val="0017138B"/>
    <w:rsid w:val="00171658"/>
    <w:rsid w:val="001717F6"/>
    <w:rsid w:val="00171ABC"/>
    <w:rsid w:val="00171B8A"/>
    <w:rsid w:val="00171D6B"/>
    <w:rsid w:val="00171D74"/>
    <w:rsid w:val="00171E0A"/>
    <w:rsid w:val="00171E0D"/>
    <w:rsid w:val="001721DC"/>
    <w:rsid w:val="00172226"/>
    <w:rsid w:val="0017229C"/>
    <w:rsid w:val="0017236E"/>
    <w:rsid w:val="001723C1"/>
    <w:rsid w:val="0017275F"/>
    <w:rsid w:val="001729E0"/>
    <w:rsid w:val="00172E96"/>
    <w:rsid w:val="001730F3"/>
    <w:rsid w:val="001731AE"/>
    <w:rsid w:val="001731E2"/>
    <w:rsid w:val="00173710"/>
    <w:rsid w:val="0017388F"/>
    <w:rsid w:val="00173A9B"/>
    <w:rsid w:val="00173EC2"/>
    <w:rsid w:val="001743C9"/>
    <w:rsid w:val="00174604"/>
    <w:rsid w:val="00174643"/>
    <w:rsid w:val="0017472B"/>
    <w:rsid w:val="00174846"/>
    <w:rsid w:val="00174A00"/>
    <w:rsid w:val="00175150"/>
    <w:rsid w:val="00175243"/>
    <w:rsid w:val="001752C4"/>
    <w:rsid w:val="0017549C"/>
    <w:rsid w:val="00175596"/>
    <w:rsid w:val="001756E7"/>
    <w:rsid w:val="00175897"/>
    <w:rsid w:val="00175DBB"/>
    <w:rsid w:val="00176221"/>
    <w:rsid w:val="001764D0"/>
    <w:rsid w:val="00176803"/>
    <w:rsid w:val="00176ACC"/>
    <w:rsid w:val="00176BE7"/>
    <w:rsid w:val="00176C39"/>
    <w:rsid w:val="00176C6C"/>
    <w:rsid w:val="00176D64"/>
    <w:rsid w:val="00176FC2"/>
    <w:rsid w:val="001770E9"/>
    <w:rsid w:val="00177592"/>
    <w:rsid w:val="001776BE"/>
    <w:rsid w:val="001777A7"/>
    <w:rsid w:val="0017791E"/>
    <w:rsid w:val="0017797F"/>
    <w:rsid w:val="00177D3A"/>
    <w:rsid w:val="00180764"/>
    <w:rsid w:val="001807A8"/>
    <w:rsid w:val="00180822"/>
    <w:rsid w:val="001808AB"/>
    <w:rsid w:val="00180AF8"/>
    <w:rsid w:val="00180BCF"/>
    <w:rsid w:val="00180E88"/>
    <w:rsid w:val="0018124B"/>
    <w:rsid w:val="001814BF"/>
    <w:rsid w:val="0018197B"/>
    <w:rsid w:val="001819D4"/>
    <w:rsid w:val="00181B1A"/>
    <w:rsid w:val="00181B61"/>
    <w:rsid w:val="00181D7F"/>
    <w:rsid w:val="00181F5E"/>
    <w:rsid w:val="001820BC"/>
    <w:rsid w:val="001822D0"/>
    <w:rsid w:val="001824EA"/>
    <w:rsid w:val="001826C4"/>
    <w:rsid w:val="0018289B"/>
    <w:rsid w:val="00182D16"/>
    <w:rsid w:val="00182EC0"/>
    <w:rsid w:val="00182F25"/>
    <w:rsid w:val="00183242"/>
    <w:rsid w:val="00183283"/>
    <w:rsid w:val="00183A7D"/>
    <w:rsid w:val="00183BDB"/>
    <w:rsid w:val="00183F1A"/>
    <w:rsid w:val="001840A7"/>
    <w:rsid w:val="001841BF"/>
    <w:rsid w:val="001841D3"/>
    <w:rsid w:val="001841E8"/>
    <w:rsid w:val="001842CB"/>
    <w:rsid w:val="00184746"/>
    <w:rsid w:val="00184A7D"/>
    <w:rsid w:val="00184B3C"/>
    <w:rsid w:val="00184B92"/>
    <w:rsid w:val="00184BEF"/>
    <w:rsid w:val="00184C15"/>
    <w:rsid w:val="00184ED1"/>
    <w:rsid w:val="00184F1F"/>
    <w:rsid w:val="001850C9"/>
    <w:rsid w:val="00185192"/>
    <w:rsid w:val="00185330"/>
    <w:rsid w:val="001854DC"/>
    <w:rsid w:val="00185851"/>
    <w:rsid w:val="00185A14"/>
    <w:rsid w:val="00185C12"/>
    <w:rsid w:val="00185C43"/>
    <w:rsid w:val="00185C47"/>
    <w:rsid w:val="00185E73"/>
    <w:rsid w:val="00185F88"/>
    <w:rsid w:val="00186035"/>
    <w:rsid w:val="0018603E"/>
    <w:rsid w:val="0018609C"/>
    <w:rsid w:val="001863E8"/>
    <w:rsid w:val="00186585"/>
    <w:rsid w:val="0018669E"/>
    <w:rsid w:val="0018671B"/>
    <w:rsid w:val="00186A02"/>
    <w:rsid w:val="00186ACD"/>
    <w:rsid w:val="00186C83"/>
    <w:rsid w:val="00186D7F"/>
    <w:rsid w:val="0018701D"/>
    <w:rsid w:val="00187165"/>
    <w:rsid w:val="0018726E"/>
    <w:rsid w:val="001872D3"/>
    <w:rsid w:val="00187356"/>
    <w:rsid w:val="001875AC"/>
    <w:rsid w:val="00187799"/>
    <w:rsid w:val="00187A5B"/>
    <w:rsid w:val="00187C96"/>
    <w:rsid w:val="00187CFB"/>
    <w:rsid w:val="00187D09"/>
    <w:rsid w:val="00187DB8"/>
    <w:rsid w:val="00187FE6"/>
    <w:rsid w:val="00190047"/>
    <w:rsid w:val="001901CB"/>
    <w:rsid w:val="00190490"/>
    <w:rsid w:val="001904D5"/>
    <w:rsid w:val="0019083E"/>
    <w:rsid w:val="001908C6"/>
    <w:rsid w:val="00190CFB"/>
    <w:rsid w:val="00190E2D"/>
    <w:rsid w:val="001913C4"/>
    <w:rsid w:val="001913F4"/>
    <w:rsid w:val="00191473"/>
    <w:rsid w:val="001914C5"/>
    <w:rsid w:val="00191509"/>
    <w:rsid w:val="00191761"/>
    <w:rsid w:val="00191C59"/>
    <w:rsid w:val="00191FA5"/>
    <w:rsid w:val="001922B9"/>
    <w:rsid w:val="001922F4"/>
    <w:rsid w:val="0019232E"/>
    <w:rsid w:val="001924B1"/>
    <w:rsid w:val="001924D1"/>
    <w:rsid w:val="0019258A"/>
    <w:rsid w:val="00192618"/>
    <w:rsid w:val="00192667"/>
    <w:rsid w:val="001927B2"/>
    <w:rsid w:val="00192B65"/>
    <w:rsid w:val="00192C1F"/>
    <w:rsid w:val="00192E4A"/>
    <w:rsid w:val="00192F0A"/>
    <w:rsid w:val="0019309F"/>
    <w:rsid w:val="0019316E"/>
    <w:rsid w:val="001932D1"/>
    <w:rsid w:val="00193473"/>
    <w:rsid w:val="001934B2"/>
    <w:rsid w:val="001935FF"/>
    <w:rsid w:val="0019361C"/>
    <w:rsid w:val="00193920"/>
    <w:rsid w:val="00193AC6"/>
    <w:rsid w:val="00193BE4"/>
    <w:rsid w:val="00193DE4"/>
    <w:rsid w:val="00193F44"/>
    <w:rsid w:val="00193FEA"/>
    <w:rsid w:val="001940BE"/>
    <w:rsid w:val="00194111"/>
    <w:rsid w:val="0019411E"/>
    <w:rsid w:val="0019454D"/>
    <w:rsid w:val="0019467D"/>
    <w:rsid w:val="00194A5D"/>
    <w:rsid w:val="00194C1E"/>
    <w:rsid w:val="00194CE5"/>
    <w:rsid w:val="00194D74"/>
    <w:rsid w:val="00194DC8"/>
    <w:rsid w:val="00194E1D"/>
    <w:rsid w:val="00194E6E"/>
    <w:rsid w:val="00194EE2"/>
    <w:rsid w:val="00194F20"/>
    <w:rsid w:val="00195035"/>
    <w:rsid w:val="0019509B"/>
    <w:rsid w:val="001951A1"/>
    <w:rsid w:val="00195400"/>
    <w:rsid w:val="0019541A"/>
    <w:rsid w:val="001956AD"/>
    <w:rsid w:val="00195A46"/>
    <w:rsid w:val="0019604F"/>
    <w:rsid w:val="00196188"/>
    <w:rsid w:val="00196231"/>
    <w:rsid w:val="001962D9"/>
    <w:rsid w:val="00196358"/>
    <w:rsid w:val="001967E5"/>
    <w:rsid w:val="00196837"/>
    <w:rsid w:val="0019683E"/>
    <w:rsid w:val="0019694D"/>
    <w:rsid w:val="00196BAA"/>
    <w:rsid w:val="00196CF3"/>
    <w:rsid w:val="00196E80"/>
    <w:rsid w:val="00196FF9"/>
    <w:rsid w:val="001971E5"/>
    <w:rsid w:val="001974A0"/>
    <w:rsid w:val="00197CB8"/>
    <w:rsid w:val="001A01FE"/>
    <w:rsid w:val="001A0310"/>
    <w:rsid w:val="001A05B2"/>
    <w:rsid w:val="001A05E2"/>
    <w:rsid w:val="001A0661"/>
    <w:rsid w:val="001A0683"/>
    <w:rsid w:val="001A0FD2"/>
    <w:rsid w:val="001A138A"/>
    <w:rsid w:val="001A1885"/>
    <w:rsid w:val="001A19C4"/>
    <w:rsid w:val="001A1E14"/>
    <w:rsid w:val="001A2047"/>
    <w:rsid w:val="001A2463"/>
    <w:rsid w:val="001A2592"/>
    <w:rsid w:val="001A28F2"/>
    <w:rsid w:val="001A2AA2"/>
    <w:rsid w:val="001A2D02"/>
    <w:rsid w:val="001A319F"/>
    <w:rsid w:val="001A3280"/>
    <w:rsid w:val="001A3363"/>
    <w:rsid w:val="001A34EB"/>
    <w:rsid w:val="001A3567"/>
    <w:rsid w:val="001A3CD7"/>
    <w:rsid w:val="001A3E46"/>
    <w:rsid w:val="001A4271"/>
    <w:rsid w:val="001A44B1"/>
    <w:rsid w:val="001A44CB"/>
    <w:rsid w:val="001A4660"/>
    <w:rsid w:val="001A4913"/>
    <w:rsid w:val="001A4A03"/>
    <w:rsid w:val="001A4B1F"/>
    <w:rsid w:val="001A550D"/>
    <w:rsid w:val="001A56BC"/>
    <w:rsid w:val="001A579E"/>
    <w:rsid w:val="001A58E8"/>
    <w:rsid w:val="001A5922"/>
    <w:rsid w:val="001A5B7B"/>
    <w:rsid w:val="001A5B9F"/>
    <w:rsid w:val="001A5C42"/>
    <w:rsid w:val="001A5C48"/>
    <w:rsid w:val="001A6108"/>
    <w:rsid w:val="001A65D2"/>
    <w:rsid w:val="001A65F8"/>
    <w:rsid w:val="001A661B"/>
    <w:rsid w:val="001A673A"/>
    <w:rsid w:val="001A677F"/>
    <w:rsid w:val="001A68F4"/>
    <w:rsid w:val="001A6BC0"/>
    <w:rsid w:val="001A6E72"/>
    <w:rsid w:val="001A7555"/>
    <w:rsid w:val="001A767C"/>
    <w:rsid w:val="001A768E"/>
    <w:rsid w:val="001A7A95"/>
    <w:rsid w:val="001A7BA0"/>
    <w:rsid w:val="001A7EE7"/>
    <w:rsid w:val="001A7F25"/>
    <w:rsid w:val="001A7F54"/>
    <w:rsid w:val="001A7F81"/>
    <w:rsid w:val="001B0215"/>
    <w:rsid w:val="001B0252"/>
    <w:rsid w:val="001B04DC"/>
    <w:rsid w:val="001B0881"/>
    <w:rsid w:val="001B08B8"/>
    <w:rsid w:val="001B0BCE"/>
    <w:rsid w:val="001B0C21"/>
    <w:rsid w:val="001B0D41"/>
    <w:rsid w:val="001B0DAB"/>
    <w:rsid w:val="001B0F5A"/>
    <w:rsid w:val="001B109B"/>
    <w:rsid w:val="001B1272"/>
    <w:rsid w:val="001B1287"/>
    <w:rsid w:val="001B14CF"/>
    <w:rsid w:val="001B1A7F"/>
    <w:rsid w:val="001B1AA8"/>
    <w:rsid w:val="001B1EB7"/>
    <w:rsid w:val="001B1F4F"/>
    <w:rsid w:val="001B20BB"/>
    <w:rsid w:val="001B24C7"/>
    <w:rsid w:val="001B266F"/>
    <w:rsid w:val="001B2811"/>
    <w:rsid w:val="001B2A6D"/>
    <w:rsid w:val="001B2AB0"/>
    <w:rsid w:val="001B2AB9"/>
    <w:rsid w:val="001B2B4E"/>
    <w:rsid w:val="001B2B93"/>
    <w:rsid w:val="001B2B9D"/>
    <w:rsid w:val="001B2C67"/>
    <w:rsid w:val="001B2DFE"/>
    <w:rsid w:val="001B3137"/>
    <w:rsid w:val="001B31C9"/>
    <w:rsid w:val="001B31F3"/>
    <w:rsid w:val="001B3703"/>
    <w:rsid w:val="001B3705"/>
    <w:rsid w:val="001B388D"/>
    <w:rsid w:val="001B3ABA"/>
    <w:rsid w:val="001B3C8C"/>
    <w:rsid w:val="001B3DD4"/>
    <w:rsid w:val="001B3E40"/>
    <w:rsid w:val="001B3EAC"/>
    <w:rsid w:val="001B3EC2"/>
    <w:rsid w:val="001B4064"/>
    <w:rsid w:val="001B40D3"/>
    <w:rsid w:val="001B4615"/>
    <w:rsid w:val="001B47DA"/>
    <w:rsid w:val="001B4814"/>
    <w:rsid w:val="001B4A73"/>
    <w:rsid w:val="001B4B1D"/>
    <w:rsid w:val="001B4BC8"/>
    <w:rsid w:val="001B4BE6"/>
    <w:rsid w:val="001B4C9B"/>
    <w:rsid w:val="001B4D54"/>
    <w:rsid w:val="001B4DA4"/>
    <w:rsid w:val="001B5099"/>
    <w:rsid w:val="001B541C"/>
    <w:rsid w:val="001B548D"/>
    <w:rsid w:val="001B54FB"/>
    <w:rsid w:val="001B554B"/>
    <w:rsid w:val="001B55BA"/>
    <w:rsid w:val="001B562B"/>
    <w:rsid w:val="001B5D3C"/>
    <w:rsid w:val="001B5D66"/>
    <w:rsid w:val="001B5DB1"/>
    <w:rsid w:val="001B5E5F"/>
    <w:rsid w:val="001B5E74"/>
    <w:rsid w:val="001B66CE"/>
    <w:rsid w:val="001B6905"/>
    <w:rsid w:val="001B6FEC"/>
    <w:rsid w:val="001B714B"/>
    <w:rsid w:val="001B7188"/>
    <w:rsid w:val="001B71D8"/>
    <w:rsid w:val="001B73B2"/>
    <w:rsid w:val="001B79E0"/>
    <w:rsid w:val="001B7EE7"/>
    <w:rsid w:val="001C00B8"/>
    <w:rsid w:val="001C046F"/>
    <w:rsid w:val="001C07BE"/>
    <w:rsid w:val="001C0A5B"/>
    <w:rsid w:val="001C0DB0"/>
    <w:rsid w:val="001C0E60"/>
    <w:rsid w:val="001C16FE"/>
    <w:rsid w:val="001C1772"/>
    <w:rsid w:val="001C18C5"/>
    <w:rsid w:val="001C18D1"/>
    <w:rsid w:val="001C197F"/>
    <w:rsid w:val="001C1E81"/>
    <w:rsid w:val="001C1EF1"/>
    <w:rsid w:val="001C20C9"/>
    <w:rsid w:val="001C21AB"/>
    <w:rsid w:val="001C2479"/>
    <w:rsid w:val="001C2512"/>
    <w:rsid w:val="001C280C"/>
    <w:rsid w:val="001C2D62"/>
    <w:rsid w:val="001C2E1E"/>
    <w:rsid w:val="001C323F"/>
    <w:rsid w:val="001C362C"/>
    <w:rsid w:val="001C3D67"/>
    <w:rsid w:val="001C3D82"/>
    <w:rsid w:val="001C3E43"/>
    <w:rsid w:val="001C3EAD"/>
    <w:rsid w:val="001C3FE6"/>
    <w:rsid w:val="001C412D"/>
    <w:rsid w:val="001C414A"/>
    <w:rsid w:val="001C4259"/>
    <w:rsid w:val="001C4263"/>
    <w:rsid w:val="001C4546"/>
    <w:rsid w:val="001C45E6"/>
    <w:rsid w:val="001C4879"/>
    <w:rsid w:val="001C4AA8"/>
    <w:rsid w:val="001C4B01"/>
    <w:rsid w:val="001C4BCD"/>
    <w:rsid w:val="001C51AF"/>
    <w:rsid w:val="001C535F"/>
    <w:rsid w:val="001C56C9"/>
    <w:rsid w:val="001C58B8"/>
    <w:rsid w:val="001C5906"/>
    <w:rsid w:val="001C5A9D"/>
    <w:rsid w:val="001C5D0D"/>
    <w:rsid w:val="001C5E98"/>
    <w:rsid w:val="001C5F43"/>
    <w:rsid w:val="001C6068"/>
    <w:rsid w:val="001C634D"/>
    <w:rsid w:val="001C63A6"/>
    <w:rsid w:val="001C665E"/>
    <w:rsid w:val="001C670F"/>
    <w:rsid w:val="001C685A"/>
    <w:rsid w:val="001C68BE"/>
    <w:rsid w:val="001C6FDD"/>
    <w:rsid w:val="001C701B"/>
    <w:rsid w:val="001C70FA"/>
    <w:rsid w:val="001C7307"/>
    <w:rsid w:val="001C73C4"/>
    <w:rsid w:val="001C7545"/>
    <w:rsid w:val="001C761C"/>
    <w:rsid w:val="001C7767"/>
    <w:rsid w:val="001C7794"/>
    <w:rsid w:val="001C7856"/>
    <w:rsid w:val="001C7B0E"/>
    <w:rsid w:val="001C7C69"/>
    <w:rsid w:val="001C7EEF"/>
    <w:rsid w:val="001C7EFF"/>
    <w:rsid w:val="001D048B"/>
    <w:rsid w:val="001D0762"/>
    <w:rsid w:val="001D0893"/>
    <w:rsid w:val="001D08E8"/>
    <w:rsid w:val="001D0933"/>
    <w:rsid w:val="001D0DCD"/>
    <w:rsid w:val="001D0E61"/>
    <w:rsid w:val="001D0ECB"/>
    <w:rsid w:val="001D109A"/>
    <w:rsid w:val="001D1127"/>
    <w:rsid w:val="001D14F4"/>
    <w:rsid w:val="001D1507"/>
    <w:rsid w:val="001D151C"/>
    <w:rsid w:val="001D153E"/>
    <w:rsid w:val="001D15BA"/>
    <w:rsid w:val="001D169B"/>
    <w:rsid w:val="001D16D1"/>
    <w:rsid w:val="001D1747"/>
    <w:rsid w:val="001D1A8D"/>
    <w:rsid w:val="001D1B29"/>
    <w:rsid w:val="001D1C1B"/>
    <w:rsid w:val="001D1C61"/>
    <w:rsid w:val="001D1DC4"/>
    <w:rsid w:val="001D1DE5"/>
    <w:rsid w:val="001D20AF"/>
    <w:rsid w:val="001D2253"/>
    <w:rsid w:val="001D24D9"/>
    <w:rsid w:val="001D2742"/>
    <w:rsid w:val="001D27E8"/>
    <w:rsid w:val="001D2A9C"/>
    <w:rsid w:val="001D2DD5"/>
    <w:rsid w:val="001D2F73"/>
    <w:rsid w:val="001D30D1"/>
    <w:rsid w:val="001D317F"/>
    <w:rsid w:val="001D38C4"/>
    <w:rsid w:val="001D3A79"/>
    <w:rsid w:val="001D3B60"/>
    <w:rsid w:val="001D3BC7"/>
    <w:rsid w:val="001D3C47"/>
    <w:rsid w:val="001D3CC3"/>
    <w:rsid w:val="001D4060"/>
    <w:rsid w:val="001D4209"/>
    <w:rsid w:val="001D436B"/>
    <w:rsid w:val="001D43F1"/>
    <w:rsid w:val="001D44D1"/>
    <w:rsid w:val="001D46B8"/>
    <w:rsid w:val="001D482A"/>
    <w:rsid w:val="001D4945"/>
    <w:rsid w:val="001D4A77"/>
    <w:rsid w:val="001D4AC2"/>
    <w:rsid w:val="001D4BB6"/>
    <w:rsid w:val="001D4BF5"/>
    <w:rsid w:val="001D4BFB"/>
    <w:rsid w:val="001D4EC2"/>
    <w:rsid w:val="001D53A5"/>
    <w:rsid w:val="001D5414"/>
    <w:rsid w:val="001D5420"/>
    <w:rsid w:val="001D545D"/>
    <w:rsid w:val="001D550F"/>
    <w:rsid w:val="001D552F"/>
    <w:rsid w:val="001D5533"/>
    <w:rsid w:val="001D557B"/>
    <w:rsid w:val="001D57B0"/>
    <w:rsid w:val="001D57BF"/>
    <w:rsid w:val="001D57C9"/>
    <w:rsid w:val="001D5868"/>
    <w:rsid w:val="001D593F"/>
    <w:rsid w:val="001D6240"/>
    <w:rsid w:val="001D6572"/>
    <w:rsid w:val="001D66ED"/>
    <w:rsid w:val="001D6CF2"/>
    <w:rsid w:val="001D6CFF"/>
    <w:rsid w:val="001D7009"/>
    <w:rsid w:val="001D72A0"/>
    <w:rsid w:val="001D72FE"/>
    <w:rsid w:val="001D73FA"/>
    <w:rsid w:val="001D7432"/>
    <w:rsid w:val="001D7510"/>
    <w:rsid w:val="001D7980"/>
    <w:rsid w:val="001D7AEC"/>
    <w:rsid w:val="001D7E55"/>
    <w:rsid w:val="001D7FBB"/>
    <w:rsid w:val="001E0240"/>
    <w:rsid w:val="001E0285"/>
    <w:rsid w:val="001E04C5"/>
    <w:rsid w:val="001E06F2"/>
    <w:rsid w:val="001E0736"/>
    <w:rsid w:val="001E0879"/>
    <w:rsid w:val="001E08D0"/>
    <w:rsid w:val="001E0CE3"/>
    <w:rsid w:val="001E0DDC"/>
    <w:rsid w:val="001E0E5F"/>
    <w:rsid w:val="001E14C9"/>
    <w:rsid w:val="001E1679"/>
    <w:rsid w:val="001E1699"/>
    <w:rsid w:val="001E16A7"/>
    <w:rsid w:val="001E1745"/>
    <w:rsid w:val="001E1849"/>
    <w:rsid w:val="001E18EF"/>
    <w:rsid w:val="001E193F"/>
    <w:rsid w:val="001E194F"/>
    <w:rsid w:val="001E19CC"/>
    <w:rsid w:val="001E1B3A"/>
    <w:rsid w:val="001E1BBD"/>
    <w:rsid w:val="001E1C0D"/>
    <w:rsid w:val="001E1D17"/>
    <w:rsid w:val="001E1E1F"/>
    <w:rsid w:val="001E1F4B"/>
    <w:rsid w:val="001E20A7"/>
    <w:rsid w:val="001E2359"/>
    <w:rsid w:val="001E25B0"/>
    <w:rsid w:val="001E29B4"/>
    <w:rsid w:val="001E2B39"/>
    <w:rsid w:val="001E2C50"/>
    <w:rsid w:val="001E2CAE"/>
    <w:rsid w:val="001E2D9B"/>
    <w:rsid w:val="001E2F8E"/>
    <w:rsid w:val="001E2F95"/>
    <w:rsid w:val="001E2FA3"/>
    <w:rsid w:val="001E3154"/>
    <w:rsid w:val="001E31F5"/>
    <w:rsid w:val="001E334E"/>
    <w:rsid w:val="001E33D2"/>
    <w:rsid w:val="001E3409"/>
    <w:rsid w:val="001E361D"/>
    <w:rsid w:val="001E39E5"/>
    <w:rsid w:val="001E3AB1"/>
    <w:rsid w:val="001E3B5C"/>
    <w:rsid w:val="001E3C52"/>
    <w:rsid w:val="001E3CF9"/>
    <w:rsid w:val="001E3E05"/>
    <w:rsid w:val="001E416F"/>
    <w:rsid w:val="001E41FC"/>
    <w:rsid w:val="001E423A"/>
    <w:rsid w:val="001E425B"/>
    <w:rsid w:val="001E4380"/>
    <w:rsid w:val="001E43BA"/>
    <w:rsid w:val="001E4432"/>
    <w:rsid w:val="001E44D9"/>
    <w:rsid w:val="001E454B"/>
    <w:rsid w:val="001E4791"/>
    <w:rsid w:val="001E4796"/>
    <w:rsid w:val="001E4D3F"/>
    <w:rsid w:val="001E4F2D"/>
    <w:rsid w:val="001E4FB0"/>
    <w:rsid w:val="001E51FF"/>
    <w:rsid w:val="001E52DE"/>
    <w:rsid w:val="001E5726"/>
    <w:rsid w:val="001E57CB"/>
    <w:rsid w:val="001E588E"/>
    <w:rsid w:val="001E5BB3"/>
    <w:rsid w:val="001E5C00"/>
    <w:rsid w:val="001E5C74"/>
    <w:rsid w:val="001E5F21"/>
    <w:rsid w:val="001E5FC3"/>
    <w:rsid w:val="001E67D5"/>
    <w:rsid w:val="001E6811"/>
    <w:rsid w:val="001E6C77"/>
    <w:rsid w:val="001E6CF1"/>
    <w:rsid w:val="001E705D"/>
    <w:rsid w:val="001E7081"/>
    <w:rsid w:val="001E72D0"/>
    <w:rsid w:val="001E7496"/>
    <w:rsid w:val="001E7AFA"/>
    <w:rsid w:val="001E7C7E"/>
    <w:rsid w:val="001E7F16"/>
    <w:rsid w:val="001F0421"/>
    <w:rsid w:val="001F044C"/>
    <w:rsid w:val="001F092A"/>
    <w:rsid w:val="001F0990"/>
    <w:rsid w:val="001F0A34"/>
    <w:rsid w:val="001F0B53"/>
    <w:rsid w:val="001F112A"/>
    <w:rsid w:val="001F115D"/>
    <w:rsid w:val="001F120F"/>
    <w:rsid w:val="001F147E"/>
    <w:rsid w:val="001F1733"/>
    <w:rsid w:val="001F1910"/>
    <w:rsid w:val="001F1A7E"/>
    <w:rsid w:val="001F1B67"/>
    <w:rsid w:val="001F1BC1"/>
    <w:rsid w:val="001F1E9F"/>
    <w:rsid w:val="001F203C"/>
    <w:rsid w:val="001F2281"/>
    <w:rsid w:val="001F2289"/>
    <w:rsid w:val="001F237D"/>
    <w:rsid w:val="001F23D0"/>
    <w:rsid w:val="001F24BA"/>
    <w:rsid w:val="001F26C8"/>
    <w:rsid w:val="001F27A4"/>
    <w:rsid w:val="001F29D0"/>
    <w:rsid w:val="001F2A1C"/>
    <w:rsid w:val="001F2CCF"/>
    <w:rsid w:val="001F2E0F"/>
    <w:rsid w:val="001F305D"/>
    <w:rsid w:val="001F31CC"/>
    <w:rsid w:val="001F31F2"/>
    <w:rsid w:val="001F348A"/>
    <w:rsid w:val="001F35A1"/>
    <w:rsid w:val="001F35B3"/>
    <w:rsid w:val="001F37C1"/>
    <w:rsid w:val="001F37FB"/>
    <w:rsid w:val="001F3842"/>
    <w:rsid w:val="001F3851"/>
    <w:rsid w:val="001F386C"/>
    <w:rsid w:val="001F389B"/>
    <w:rsid w:val="001F3951"/>
    <w:rsid w:val="001F3A03"/>
    <w:rsid w:val="001F3B26"/>
    <w:rsid w:val="001F3BC0"/>
    <w:rsid w:val="001F3DCC"/>
    <w:rsid w:val="001F3F47"/>
    <w:rsid w:val="001F40FF"/>
    <w:rsid w:val="001F4250"/>
    <w:rsid w:val="001F4270"/>
    <w:rsid w:val="001F43BD"/>
    <w:rsid w:val="001F43E8"/>
    <w:rsid w:val="001F44A1"/>
    <w:rsid w:val="001F44AB"/>
    <w:rsid w:val="001F450F"/>
    <w:rsid w:val="001F4517"/>
    <w:rsid w:val="001F4833"/>
    <w:rsid w:val="001F4A1C"/>
    <w:rsid w:val="001F4F44"/>
    <w:rsid w:val="001F5219"/>
    <w:rsid w:val="001F52AE"/>
    <w:rsid w:val="001F53ED"/>
    <w:rsid w:val="001F54BE"/>
    <w:rsid w:val="001F57E1"/>
    <w:rsid w:val="001F5830"/>
    <w:rsid w:val="001F5876"/>
    <w:rsid w:val="001F5B7D"/>
    <w:rsid w:val="001F5C41"/>
    <w:rsid w:val="001F5DEF"/>
    <w:rsid w:val="001F5E9F"/>
    <w:rsid w:val="001F6256"/>
    <w:rsid w:val="001F637F"/>
    <w:rsid w:val="001F639D"/>
    <w:rsid w:val="001F6661"/>
    <w:rsid w:val="001F6684"/>
    <w:rsid w:val="001F692B"/>
    <w:rsid w:val="001F6933"/>
    <w:rsid w:val="001F6B53"/>
    <w:rsid w:val="001F6E0B"/>
    <w:rsid w:val="001F6E7A"/>
    <w:rsid w:val="001F7321"/>
    <w:rsid w:val="001F7344"/>
    <w:rsid w:val="001F7564"/>
    <w:rsid w:val="001F76E7"/>
    <w:rsid w:val="001F7A33"/>
    <w:rsid w:val="001F7C23"/>
    <w:rsid w:val="001F7DAA"/>
    <w:rsid w:val="001F7F50"/>
    <w:rsid w:val="002002E5"/>
    <w:rsid w:val="00200361"/>
    <w:rsid w:val="002004ED"/>
    <w:rsid w:val="00200806"/>
    <w:rsid w:val="00200863"/>
    <w:rsid w:val="00200976"/>
    <w:rsid w:val="00200C13"/>
    <w:rsid w:val="00200E01"/>
    <w:rsid w:val="002010F1"/>
    <w:rsid w:val="00201113"/>
    <w:rsid w:val="00201114"/>
    <w:rsid w:val="002011E3"/>
    <w:rsid w:val="002015A6"/>
    <w:rsid w:val="002015B0"/>
    <w:rsid w:val="00201899"/>
    <w:rsid w:val="00201B26"/>
    <w:rsid w:val="00201D5A"/>
    <w:rsid w:val="00201DC9"/>
    <w:rsid w:val="00201DFC"/>
    <w:rsid w:val="0020205E"/>
    <w:rsid w:val="00202228"/>
    <w:rsid w:val="0020229A"/>
    <w:rsid w:val="002025B1"/>
    <w:rsid w:val="00202661"/>
    <w:rsid w:val="002027A9"/>
    <w:rsid w:val="002027F6"/>
    <w:rsid w:val="002029E6"/>
    <w:rsid w:val="00202E11"/>
    <w:rsid w:val="00202FCB"/>
    <w:rsid w:val="00202FD4"/>
    <w:rsid w:val="00203095"/>
    <w:rsid w:val="002032CC"/>
    <w:rsid w:val="00203353"/>
    <w:rsid w:val="00203382"/>
    <w:rsid w:val="00203709"/>
    <w:rsid w:val="00203754"/>
    <w:rsid w:val="0020380A"/>
    <w:rsid w:val="0020384B"/>
    <w:rsid w:val="00203940"/>
    <w:rsid w:val="002039A1"/>
    <w:rsid w:val="00203E25"/>
    <w:rsid w:val="0020432A"/>
    <w:rsid w:val="00204349"/>
    <w:rsid w:val="0020464C"/>
    <w:rsid w:val="0020480E"/>
    <w:rsid w:val="00204C3D"/>
    <w:rsid w:val="00204C6B"/>
    <w:rsid w:val="00204F0B"/>
    <w:rsid w:val="0020519B"/>
    <w:rsid w:val="002051BD"/>
    <w:rsid w:val="002052DF"/>
    <w:rsid w:val="00205475"/>
    <w:rsid w:val="00205556"/>
    <w:rsid w:val="002055D3"/>
    <w:rsid w:val="002056B0"/>
    <w:rsid w:val="00205744"/>
    <w:rsid w:val="002058BB"/>
    <w:rsid w:val="00205911"/>
    <w:rsid w:val="0020598C"/>
    <w:rsid w:val="00205A78"/>
    <w:rsid w:val="00205E34"/>
    <w:rsid w:val="00205FD5"/>
    <w:rsid w:val="00206013"/>
    <w:rsid w:val="002060FB"/>
    <w:rsid w:val="0020619A"/>
    <w:rsid w:val="0020642C"/>
    <w:rsid w:val="00206850"/>
    <w:rsid w:val="002068AA"/>
    <w:rsid w:val="00206976"/>
    <w:rsid w:val="00206A19"/>
    <w:rsid w:val="00206C2A"/>
    <w:rsid w:val="00206D5E"/>
    <w:rsid w:val="00206DA5"/>
    <w:rsid w:val="00206DBF"/>
    <w:rsid w:val="00207175"/>
    <w:rsid w:val="00207291"/>
    <w:rsid w:val="002072FB"/>
    <w:rsid w:val="0020733D"/>
    <w:rsid w:val="00207702"/>
    <w:rsid w:val="00207C36"/>
    <w:rsid w:val="00207D38"/>
    <w:rsid w:val="00207FCB"/>
    <w:rsid w:val="0021000B"/>
    <w:rsid w:val="0021018D"/>
    <w:rsid w:val="00210417"/>
    <w:rsid w:val="002106B0"/>
    <w:rsid w:val="00210803"/>
    <w:rsid w:val="00210A14"/>
    <w:rsid w:val="00210CD7"/>
    <w:rsid w:val="00210D0E"/>
    <w:rsid w:val="00210D6F"/>
    <w:rsid w:val="00210E15"/>
    <w:rsid w:val="002110BB"/>
    <w:rsid w:val="002114D1"/>
    <w:rsid w:val="002115B1"/>
    <w:rsid w:val="0021166D"/>
    <w:rsid w:val="00211674"/>
    <w:rsid w:val="00211A4A"/>
    <w:rsid w:val="00211C0C"/>
    <w:rsid w:val="00211C0F"/>
    <w:rsid w:val="00211E1E"/>
    <w:rsid w:val="002121A6"/>
    <w:rsid w:val="002121B2"/>
    <w:rsid w:val="00212251"/>
    <w:rsid w:val="0021263A"/>
    <w:rsid w:val="00212666"/>
    <w:rsid w:val="0021269D"/>
    <w:rsid w:val="002126BE"/>
    <w:rsid w:val="002127C8"/>
    <w:rsid w:val="002128BF"/>
    <w:rsid w:val="00212928"/>
    <w:rsid w:val="002129A1"/>
    <w:rsid w:val="00212A22"/>
    <w:rsid w:val="00212A8B"/>
    <w:rsid w:val="00212BF1"/>
    <w:rsid w:val="00212CE8"/>
    <w:rsid w:val="00212E23"/>
    <w:rsid w:val="002130C4"/>
    <w:rsid w:val="0021312A"/>
    <w:rsid w:val="002135AF"/>
    <w:rsid w:val="00213654"/>
    <w:rsid w:val="00213813"/>
    <w:rsid w:val="0021397C"/>
    <w:rsid w:val="00213D0B"/>
    <w:rsid w:val="00213F10"/>
    <w:rsid w:val="0021407D"/>
    <w:rsid w:val="002140DC"/>
    <w:rsid w:val="0021435A"/>
    <w:rsid w:val="0021493E"/>
    <w:rsid w:val="0021493F"/>
    <w:rsid w:val="00214944"/>
    <w:rsid w:val="00214A8B"/>
    <w:rsid w:val="00214ADE"/>
    <w:rsid w:val="00214AE6"/>
    <w:rsid w:val="00214B41"/>
    <w:rsid w:val="00214C1B"/>
    <w:rsid w:val="00214E36"/>
    <w:rsid w:val="00215098"/>
    <w:rsid w:val="00215249"/>
    <w:rsid w:val="00215550"/>
    <w:rsid w:val="002155BD"/>
    <w:rsid w:val="00215790"/>
    <w:rsid w:val="00215BF4"/>
    <w:rsid w:val="00215C27"/>
    <w:rsid w:val="00215C84"/>
    <w:rsid w:val="00215D7B"/>
    <w:rsid w:val="00215F7E"/>
    <w:rsid w:val="00215FB4"/>
    <w:rsid w:val="002164AC"/>
    <w:rsid w:val="002166F9"/>
    <w:rsid w:val="002167DD"/>
    <w:rsid w:val="002168A1"/>
    <w:rsid w:val="00216AD5"/>
    <w:rsid w:val="00216C6D"/>
    <w:rsid w:val="00216DC1"/>
    <w:rsid w:val="00217117"/>
    <w:rsid w:val="00217354"/>
    <w:rsid w:val="0021738E"/>
    <w:rsid w:val="00217602"/>
    <w:rsid w:val="0021787F"/>
    <w:rsid w:val="00217D86"/>
    <w:rsid w:val="00217FD1"/>
    <w:rsid w:val="002200FE"/>
    <w:rsid w:val="00220275"/>
    <w:rsid w:val="0022032F"/>
    <w:rsid w:val="00220382"/>
    <w:rsid w:val="002203D7"/>
    <w:rsid w:val="002203EA"/>
    <w:rsid w:val="00220796"/>
    <w:rsid w:val="00220996"/>
    <w:rsid w:val="00220B19"/>
    <w:rsid w:val="00220B5B"/>
    <w:rsid w:val="00220E9D"/>
    <w:rsid w:val="00220EA1"/>
    <w:rsid w:val="00221322"/>
    <w:rsid w:val="00221589"/>
    <w:rsid w:val="00221650"/>
    <w:rsid w:val="002217ED"/>
    <w:rsid w:val="00221872"/>
    <w:rsid w:val="0022192D"/>
    <w:rsid w:val="00221E2C"/>
    <w:rsid w:val="0022205B"/>
    <w:rsid w:val="002223A6"/>
    <w:rsid w:val="00222496"/>
    <w:rsid w:val="002225C3"/>
    <w:rsid w:val="0022266A"/>
    <w:rsid w:val="00222863"/>
    <w:rsid w:val="002230A4"/>
    <w:rsid w:val="0022314D"/>
    <w:rsid w:val="002232F3"/>
    <w:rsid w:val="00223482"/>
    <w:rsid w:val="0022348E"/>
    <w:rsid w:val="002234F4"/>
    <w:rsid w:val="0022351F"/>
    <w:rsid w:val="00223C17"/>
    <w:rsid w:val="00223C39"/>
    <w:rsid w:val="00223CC4"/>
    <w:rsid w:val="00223D37"/>
    <w:rsid w:val="00223EB9"/>
    <w:rsid w:val="00223EF8"/>
    <w:rsid w:val="0022417A"/>
    <w:rsid w:val="00224264"/>
    <w:rsid w:val="00224534"/>
    <w:rsid w:val="002245CE"/>
    <w:rsid w:val="002248AC"/>
    <w:rsid w:val="00224A96"/>
    <w:rsid w:val="00224C11"/>
    <w:rsid w:val="00224CA7"/>
    <w:rsid w:val="00224E75"/>
    <w:rsid w:val="00224EFF"/>
    <w:rsid w:val="002250DF"/>
    <w:rsid w:val="002251C6"/>
    <w:rsid w:val="0022523B"/>
    <w:rsid w:val="002252C8"/>
    <w:rsid w:val="00225754"/>
    <w:rsid w:val="0022596A"/>
    <w:rsid w:val="00225E18"/>
    <w:rsid w:val="00225E6B"/>
    <w:rsid w:val="00225FB1"/>
    <w:rsid w:val="002260A3"/>
    <w:rsid w:val="002260F2"/>
    <w:rsid w:val="00226208"/>
    <w:rsid w:val="002263F2"/>
    <w:rsid w:val="0022653E"/>
    <w:rsid w:val="0022658B"/>
    <w:rsid w:val="002265EA"/>
    <w:rsid w:val="00226645"/>
    <w:rsid w:val="002266BB"/>
    <w:rsid w:val="00226736"/>
    <w:rsid w:val="00226986"/>
    <w:rsid w:val="002269E9"/>
    <w:rsid w:val="00226B9F"/>
    <w:rsid w:val="00226E83"/>
    <w:rsid w:val="0022715B"/>
    <w:rsid w:val="002272BF"/>
    <w:rsid w:val="0022758C"/>
    <w:rsid w:val="002277C0"/>
    <w:rsid w:val="002278DC"/>
    <w:rsid w:val="002279A5"/>
    <w:rsid w:val="00227B73"/>
    <w:rsid w:val="00227BB3"/>
    <w:rsid w:val="00227E0E"/>
    <w:rsid w:val="00230194"/>
    <w:rsid w:val="0023032D"/>
    <w:rsid w:val="002305A1"/>
    <w:rsid w:val="0023073E"/>
    <w:rsid w:val="00230A2D"/>
    <w:rsid w:val="00230D53"/>
    <w:rsid w:val="00230EDC"/>
    <w:rsid w:val="0023107C"/>
    <w:rsid w:val="0023112C"/>
    <w:rsid w:val="00231144"/>
    <w:rsid w:val="002312FD"/>
    <w:rsid w:val="00231514"/>
    <w:rsid w:val="00231E52"/>
    <w:rsid w:val="002321B5"/>
    <w:rsid w:val="00232425"/>
    <w:rsid w:val="00232550"/>
    <w:rsid w:val="002327CD"/>
    <w:rsid w:val="00232CAD"/>
    <w:rsid w:val="00232D45"/>
    <w:rsid w:val="00232F4E"/>
    <w:rsid w:val="002330DC"/>
    <w:rsid w:val="002331B6"/>
    <w:rsid w:val="00233480"/>
    <w:rsid w:val="002335AD"/>
    <w:rsid w:val="00233684"/>
    <w:rsid w:val="00233987"/>
    <w:rsid w:val="002339AD"/>
    <w:rsid w:val="00233A9D"/>
    <w:rsid w:val="00233CA2"/>
    <w:rsid w:val="00233F93"/>
    <w:rsid w:val="002343F1"/>
    <w:rsid w:val="002344C0"/>
    <w:rsid w:val="00234502"/>
    <w:rsid w:val="0023459E"/>
    <w:rsid w:val="00234681"/>
    <w:rsid w:val="00234747"/>
    <w:rsid w:val="00234779"/>
    <w:rsid w:val="0023479C"/>
    <w:rsid w:val="002347E8"/>
    <w:rsid w:val="00234925"/>
    <w:rsid w:val="00234AC4"/>
    <w:rsid w:val="00234ED8"/>
    <w:rsid w:val="00234EE9"/>
    <w:rsid w:val="00234F71"/>
    <w:rsid w:val="00234F9F"/>
    <w:rsid w:val="002350DD"/>
    <w:rsid w:val="002351AB"/>
    <w:rsid w:val="00235205"/>
    <w:rsid w:val="00235289"/>
    <w:rsid w:val="002353BB"/>
    <w:rsid w:val="0023541D"/>
    <w:rsid w:val="0023546F"/>
    <w:rsid w:val="00235585"/>
    <w:rsid w:val="002355BE"/>
    <w:rsid w:val="002355E1"/>
    <w:rsid w:val="00235A28"/>
    <w:rsid w:val="00235D68"/>
    <w:rsid w:val="00235DF6"/>
    <w:rsid w:val="00235E0B"/>
    <w:rsid w:val="002361E3"/>
    <w:rsid w:val="002362AE"/>
    <w:rsid w:val="00236393"/>
    <w:rsid w:val="002363E9"/>
    <w:rsid w:val="002365C9"/>
    <w:rsid w:val="00236929"/>
    <w:rsid w:val="00236F9B"/>
    <w:rsid w:val="002370B8"/>
    <w:rsid w:val="00237375"/>
    <w:rsid w:val="00237439"/>
    <w:rsid w:val="002375F0"/>
    <w:rsid w:val="0023760D"/>
    <w:rsid w:val="00237A33"/>
    <w:rsid w:val="00237A4E"/>
    <w:rsid w:val="00237AC9"/>
    <w:rsid w:val="00237D4C"/>
    <w:rsid w:val="00237ED4"/>
    <w:rsid w:val="00237FAE"/>
    <w:rsid w:val="002401D6"/>
    <w:rsid w:val="002407E0"/>
    <w:rsid w:val="0024089F"/>
    <w:rsid w:val="002408F5"/>
    <w:rsid w:val="00240B10"/>
    <w:rsid w:val="00240CF5"/>
    <w:rsid w:val="00240E12"/>
    <w:rsid w:val="002412BF"/>
    <w:rsid w:val="002414B2"/>
    <w:rsid w:val="00241974"/>
    <w:rsid w:val="002419CE"/>
    <w:rsid w:val="00242328"/>
    <w:rsid w:val="00242451"/>
    <w:rsid w:val="00242674"/>
    <w:rsid w:val="002426CB"/>
    <w:rsid w:val="00242A8B"/>
    <w:rsid w:val="00242E7B"/>
    <w:rsid w:val="00242EB0"/>
    <w:rsid w:val="00242F45"/>
    <w:rsid w:val="00242FDC"/>
    <w:rsid w:val="002430E5"/>
    <w:rsid w:val="00243648"/>
    <w:rsid w:val="00243670"/>
    <w:rsid w:val="002436E1"/>
    <w:rsid w:val="00243C28"/>
    <w:rsid w:val="00243C50"/>
    <w:rsid w:val="00243E10"/>
    <w:rsid w:val="00243F8C"/>
    <w:rsid w:val="00243FB0"/>
    <w:rsid w:val="00244098"/>
    <w:rsid w:val="00244105"/>
    <w:rsid w:val="00244258"/>
    <w:rsid w:val="002444D0"/>
    <w:rsid w:val="00244532"/>
    <w:rsid w:val="0024481A"/>
    <w:rsid w:val="00244896"/>
    <w:rsid w:val="00244A59"/>
    <w:rsid w:val="002452BA"/>
    <w:rsid w:val="00245479"/>
    <w:rsid w:val="002456B7"/>
    <w:rsid w:val="002457C8"/>
    <w:rsid w:val="0024580E"/>
    <w:rsid w:val="00245938"/>
    <w:rsid w:val="00245974"/>
    <w:rsid w:val="00245C0D"/>
    <w:rsid w:val="00245CDB"/>
    <w:rsid w:val="00245E9E"/>
    <w:rsid w:val="00245EF3"/>
    <w:rsid w:val="00245F80"/>
    <w:rsid w:val="002461D5"/>
    <w:rsid w:val="002462C1"/>
    <w:rsid w:val="00246481"/>
    <w:rsid w:val="002464EB"/>
    <w:rsid w:val="002464EC"/>
    <w:rsid w:val="002465A4"/>
    <w:rsid w:val="002467E9"/>
    <w:rsid w:val="002467F9"/>
    <w:rsid w:val="002467FE"/>
    <w:rsid w:val="00246807"/>
    <w:rsid w:val="00246A99"/>
    <w:rsid w:val="00246C57"/>
    <w:rsid w:val="00246D45"/>
    <w:rsid w:val="00246DF5"/>
    <w:rsid w:val="00247108"/>
    <w:rsid w:val="002471BE"/>
    <w:rsid w:val="00247242"/>
    <w:rsid w:val="00247261"/>
    <w:rsid w:val="002474D3"/>
    <w:rsid w:val="002477DE"/>
    <w:rsid w:val="00247821"/>
    <w:rsid w:val="00247CB9"/>
    <w:rsid w:val="00247EFA"/>
    <w:rsid w:val="00250162"/>
    <w:rsid w:val="00250216"/>
    <w:rsid w:val="00250791"/>
    <w:rsid w:val="0025086D"/>
    <w:rsid w:val="00250883"/>
    <w:rsid w:val="002508AB"/>
    <w:rsid w:val="002509D1"/>
    <w:rsid w:val="00250A50"/>
    <w:rsid w:val="00250ABE"/>
    <w:rsid w:val="00250D26"/>
    <w:rsid w:val="00250E1D"/>
    <w:rsid w:val="0025103A"/>
    <w:rsid w:val="0025114F"/>
    <w:rsid w:val="00251201"/>
    <w:rsid w:val="002512C5"/>
    <w:rsid w:val="00251433"/>
    <w:rsid w:val="002515A8"/>
    <w:rsid w:val="0025161F"/>
    <w:rsid w:val="00251678"/>
    <w:rsid w:val="00251733"/>
    <w:rsid w:val="00251D77"/>
    <w:rsid w:val="002521CE"/>
    <w:rsid w:val="00252291"/>
    <w:rsid w:val="00252390"/>
    <w:rsid w:val="002523CB"/>
    <w:rsid w:val="0025257E"/>
    <w:rsid w:val="00252789"/>
    <w:rsid w:val="00252858"/>
    <w:rsid w:val="00252B51"/>
    <w:rsid w:val="00252E69"/>
    <w:rsid w:val="00253136"/>
    <w:rsid w:val="002532D1"/>
    <w:rsid w:val="0025332A"/>
    <w:rsid w:val="002533F3"/>
    <w:rsid w:val="002534BE"/>
    <w:rsid w:val="002535C5"/>
    <w:rsid w:val="002537B1"/>
    <w:rsid w:val="0025391A"/>
    <w:rsid w:val="00253938"/>
    <w:rsid w:val="00253BA6"/>
    <w:rsid w:val="00253C51"/>
    <w:rsid w:val="00253D22"/>
    <w:rsid w:val="00254080"/>
    <w:rsid w:val="00254442"/>
    <w:rsid w:val="0025447E"/>
    <w:rsid w:val="00254531"/>
    <w:rsid w:val="002547BB"/>
    <w:rsid w:val="00254817"/>
    <w:rsid w:val="002549B4"/>
    <w:rsid w:val="002549D2"/>
    <w:rsid w:val="00254B57"/>
    <w:rsid w:val="00254BCB"/>
    <w:rsid w:val="00254C61"/>
    <w:rsid w:val="00254CD3"/>
    <w:rsid w:val="00254E8F"/>
    <w:rsid w:val="00254FE3"/>
    <w:rsid w:val="002552F2"/>
    <w:rsid w:val="0025532D"/>
    <w:rsid w:val="002555E8"/>
    <w:rsid w:val="00255790"/>
    <w:rsid w:val="002558A8"/>
    <w:rsid w:val="002559A3"/>
    <w:rsid w:val="002559AD"/>
    <w:rsid w:val="00255C62"/>
    <w:rsid w:val="00255DC8"/>
    <w:rsid w:val="00255EAE"/>
    <w:rsid w:val="002568AB"/>
    <w:rsid w:val="00256B31"/>
    <w:rsid w:val="00256F6A"/>
    <w:rsid w:val="00257171"/>
    <w:rsid w:val="002574B2"/>
    <w:rsid w:val="002578F2"/>
    <w:rsid w:val="0026012C"/>
    <w:rsid w:val="0026027A"/>
    <w:rsid w:val="002605A3"/>
    <w:rsid w:val="0026067C"/>
    <w:rsid w:val="0026068B"/>
    <w:rsid w:val="00260A9A"/>
    <w:rsid w:val="00260B0E"/>
    <w:rsid w:val="00260C33"/>
    <w:rsid w:val="00260D96"/>
    <w:rsid w:val="00260F13"/>
    <w:rsid w:val="00261164"/>
    <w:rsid w:val="00261168"/>
    <w:rsid w:val="002611C5"/>
    <w:rsid w:val="00261266"/>
    <w:rsid w:val="002612D7"/>
    <w:rsid w:val="002616F8"/>
    <w:rsid w:val="002618FB"/>
    <w:rsid w:val="00261A8F"/>
    <w:rsid w:val="00261E04"/>
    <w:rsid w:val="00261F31"/>
    <w:rsid w:val="00262009"/>
    <w:rsid w:val="002620C9"/>
    <w:rsid w:val="002621BE"/>
    <w:rsid w:val="0026233A"/>
    <w:rsid w:val="002623C2"/>
    <w:rsid w:val="00262464"/>
    <w:rsid w:val="0026258B"/>
    <w:rsid w:val="00262998"/>
    <w:rsid w:val="00262AB5"/>
    <w:rsid w:val="00263116"/>
    <w:rsid w:val="00263292"/>
    <w:rsid w:val="002632D2"/>
    <w:rsid w:val="00263642"/>
    <w:rsid w:val="00263716"/>
    <w:rsid w:val="00263881"/>
    <w:rsid w:val="0026391F"/>
    <w:rsid w:val="00263A14"/>
    <w:rsid w:val="00263A47"/>
    <w:rsid w:val="00263B5D"/>
    <w:rsid w:val="00263C8D"/>
    <w:rsid w:val="00263DEB"/>
    <w:rsid w:val="0026418E"/>
    <w:rsid w:val="002643B9"/>
    <w:rsid w:val="00264548"/>
    <w:rsid w:val="00264B43"/>
    <w:rsid w:val="00264D7E"/>
    <w:rsid w:val="00264DA5"/>
    <w:rsid w:val="00264E9A"/>
    <w:rsid w:val="00265051"/>
    <w:rsid w:val="00265055"/>
    <w:rsid w:val="002650D4"/>
    <w:rsid w:val="002650DD"/>
    <w:rsid w:val="00265120"/>
    <w:rsid w:val="00265437"/>
    <w:rsid w:val="002656A1"/>
    <w:rsid w:val="0026570C"/>
    <w:rsid w:val="002657B7"/>
    <w:rsid w:val="00265AE9"/>
    <w:rsid w:val="00265BC5"/>
    <w:rsid w:val="00265C5B"/>
    <w:rsid w:val="00265D26"/>
    <w:rsid w:val="00265D92"/>
    <w:rsid w:val="00265DB9"/>
    <w:rsid w:val="0026605A"/>
    <w:rsid w:val="002661E8"/>
    <w:rsid w:val="0026636B"/>
    <w:rsid w:val="00266703"/>
    <w:rsid w:val="0026688D"/>
    <w:rsid w:val="00266A22"/>
    <w:rsid w:val="00266A44"/>
    <w:rsid w:val="00266BCB"/>
    <w:rsid w:val="00266C31"/>
    <w:rsid w:val="00266EA2"/>
    <w:rsid w:val="00266ED9"/>
    <w:rsid w:val="00266FA1"/>
    <w:rsid w:val="00267079"/>
    <w:rsid w:val="0026728F"/>
    <w:rsid w:val="0026735D"/>
    <w:rsid w:val="002677CB"/>
    <w:rsid w:val="00267935"/>
    <w:rsid w:val="00267A18"/>
    <w:rsid w:val="00267B57"/>
    <w:rsid w:val="00267C60"/>
    <w:rsid w:val="00270140"/>
    <w:rsid w:val="0027016B"/>
    <w:rsid w:val="0027062D"/>
    <w:rsid w:val="002709E0"/>
    <w:rsid w:val="00270CE1"/>
    <w:rsid w:val="00270D4F"/>
    <w:rsid w:val="00270DAD"/>
    <w:rsid w:val="00270EAB"/>
    <w:rsid w:val="00270FCD"/>
    <w:rsid w:val="0027100F"/>
    <w:rsid w:val="00271441"/>
    <w:rsid w:val="00271454"/>
    <w:rsid w:val="0027150D"/>
    <w:rsid w:val="002716A8"/>
    <w:rsid w:val="00271D9F"/>
    <w:rsid w:val="00271DD5"/>
    <w:rsid w:val="00272007"/>
    <w:rsid w:val="00272034"/>
    <w:rsid w:val="0027217E"/>
    <w:rsid w:val="0027262C"/>
    <w:rsid w:val="002727F6"/>
    <w:rsid w:val="0027282B"/>
    <w:rsid w:val="00272BC9"/>
    <w:rsid w:val="00272BCF"/>
    <w:rsid w:val="00272C35"/>
    <w:rsid w:val="00272E28"/>
    <w:rsid w:val="00272EEA"/>
    <w:rsid w:val="00272FFC"/>
    <w:rsid w:val="002733F7"/>
    <w:rsid w:val="00273418"/>
    <w:rsid w:val="00273449"/>
    <w:rsid w:val="002735E6"/>
    <w:rsid w:val="00273656"/>
    <w:rsid w:val="00273705"/>
    <w:rsid w:val="00273768"/>
    <w:rsid w:val="0027383E"/>
    <w:rsid w:val="002738CA"/>
    <w:rsid w:val="002739E5"/>
    <w:rsid w:val="002739E8"/>
    <w:rsid w:val="00273B95"/>
    <w:rsid w:val="00273C3E"/>
    <w:rsid w:val="00273FCC"/>
    <w:rsid w:val="0027407D"/>
    <w:rsid w:val="00274148"/>
    <w:rsid w:val="002741A7"/>
    <w:rsid w:val="00274205"/>
    <w:rsid w:val="00274260"/>
    <w:rsid w:val="002742E7"/>
    <w:rsid w:val="00274340"/>
    <w:rsid w:val="0027434F"/>
    <w:rsid w:val="00274460"/>
    <w:rsid w:val="002745D9"/>
    <w:rsid w:val="002745DF"/>
    <w:rsid w:val="00274925"/>
    <w:rsid w:val="00274C11"/>
    <w:rsid w:val="00274CE6"/>
    <w:rsid w:val="00274FBD"/>
    <w:rsid w:val="00275111"/>
    <w:rsid w:val="002751E1"/>
    <w:rsid w:val="0027575C"/>
    <w:rsid w:val="0027578E"/>
    <w:rsid w:val="00275F25"/>
    <w:rsid w:val="00276347"/>
    <w:rsid w:val="0027641B"/>
    <w:rsid w:val="00276454"/>
    <w:rsid w:val="0027667C"/>
    <w:rsid w:val="002768AC"/>
    <w:rsid w:val="00276929"/>
    <w:rsid w:val="0027697B"/>
    <w:rsid w:val="00276B5D"/>
    <w:rsid w:val="00276E61"/>
    <w:rsid w:val="00276E64"/>
    <w:rsid w:val="00277266"/>
    <w:rsid w:val="00277348"/>
    <w:rsid w:val="0027740D"/>
    <w:rsid w:val="00277690"/>
    <w:rsid w:val="00277766"/>
    <w:rsid w:val="0027787F"/>
    <w:rsid w:val="00277A13"/>
    <w:rsid w:val="00277C1E"/>
    <w:rsid w:val="00277E92"/>
    <w:rsid w:val="00277FDD"/>
    <w:rsid w:val="00280156"/>
    <w:rsid w:val="002803C8"/>
    <w:rsid w:val="00280609"/>
    <w:rsid w:val="002809AD"/>
    <w:rsid w:val="00280E33"/>
    <w:rsid w:val="00281011"/>
    <w:rsid w:val="002810B1"/>
    <w:rsid w:val="002814EB"/>
    <w:rsid w:val="00281675"/>
    <w:rsid w:val="002816EB"/>
    <w:rsid w:val="002818B6"/>
    <w:rsid w:val="00281931"/>
    <w:rsid w:val="0028194D"/>
    <w:rsid w:val="00281B14"/>
    <w:rsid w:val="00281C04"/>
    <w:rsid w:val="0028218E"/>
    <w:rsid w:val="0028221E"/>
    <w:rsid w:val="00282783"/>
    <w:rsid w:val="00282829"/>
    <w:rsid w:val="002829BD"/>
    <w:rsid w:val="002829FB"/>
    <w:rsid w:val="00282A4F"/>
    <w:rsid w:val="00282AD0"/>
    <w:rsid w:val="00282D31"/>
    <w:rsid w:val="00282EFF"/>
    <w:rsid w:val="0028307E"/>
    <w:rsid w:val="002832F4"/>
    <w:rsid w:val="00283480"/>
    <w:rsid w:val="00283618"/>
    <w:rsid w:val="0028378A"/>
    <w:rsid w:val="00283C1F"/>
    <w:rsid w:val="00283CD6"/>
    <w:rsid w:val="00283D69"/>
    <w:rsid w:val="00283DB2"/>
    <w:rsid w:val="00283E40"/>
    <w:rsid w:val="00283E8A"/>
    <w:rsid w:val="00283EF0"/>
    <w:rsid w:val="00284170"/>
    <w:rsid w:val="00284375"/>
    <w:rsid w:val="00284406"/>
    <w:rsid w:val="00284557"/>
    <w:rsid w:val="0028467A"/>
    <w:rsid w:val="002849D0"/>
    <w:rsid w:val="00284A1A"/>
    <w:rsid w:val="00284D6C"/>
    <w:rsid w:val="00284F98"/>
    <w:rsid w:val="00285129"/>
    <w:rsid w:val="00285340"/>
    <w:rsid w:val="0028537B"/>
    <w:rsid w:val="0028546C"/>
    <w:rsid w:val="002854D7"/>
    <w:rsid w:val="002856B8"/>
    <w:rsid w:val="0028587C"/>
    <w:rsid w:val="00285A61"/>
    <w:rsid w:val="00285B3C"/>
    <w:rsid w:val="00285E1F"/>
    <w:rsid w:val="00285F7D"/>
    <w:rsid w:val="00285FDC"/>
    <w:rsid w:val="00286043"/>
    <w:rsid w:val="0028607D"/>
    <w:rsid w:val="00286123"/>
    <w:rsid w:val="0028614F"/>
    <w:rsid w:val="002862A0"/>
    <w:rsid w:val="0028632C"/>
    <w:rsid w:val="0028635A"/>
    <w:rsid w:val="002865C5"/>
    <w:rsid w:val="002865C8"/>
    <w:rsid w:val="002868DB"/>
    <w:rsid w:val="0028696E"/>
    <w:rsid w:val="00286A19"/>
    <w:rsid w:val="00286A99"/>
    <w:rsid w:val="00286AFE"/>
    <w:rsid w:val="00286BE0"/>
    <w:rsid w:val="00286DD1"/>
    <w:rsid w:val="002870E6"/>
    <w:rsid w:val="00287190"/>
    <w:rsid w:val="002872B5"/>
    <w:rsid w:val="00287382"/>
    <w:rsid w:val="0028753D"/>
    <w:rsid w:val="002876FB"/>
    <w:rsid w:val="002879BF"/>
    <w:rsid w:val="00287AE7"/>
    <w:rsid w:val="00287B9D"/>
    <w:rsid w:val="00287CEE"/>
    <w:rsid w:val="00287D1F"/>
    <w:rsid w:val="00287DB0"/>
    <w:rsid w:val="00287FB3"/>
    <w:rsid w:val="00287FD7"/>
    <w:rsid w:val="002900A2"/>
    <w:rsid w:val="002901AD"/>
    <w:rsid w:val="0029028A"/>
    <w:rsid w:val="002902F3"/>
    <w:rsid w:val="00290371"/>
    <w:rsid w:val="002903EE"/>
    <w:rsid w:val="0029066C"/>
    <w:rsid w:val="002908B4"/>
    <w:rsid w:val="002908DE"/>
    <w:rsid w:val="002908ED"/>
    <w:rsid w:val="00290962"/>
    <w:rsid w:val="00290CCF"/>
    <w:rsid w:val="00290E4C"/>
    <w:rsid w:val="00290EE0"/>
    <w:rsid w:val="00290EF2"/>
    <w:rsid w:val="00290F93"/>
    <w:rsid w:val="00291090"/>
    <w:rsid w:val="0029132C"/>
    <w:rsid w:val="00291388"/>
    <w:rsid w:val="002914D2"/>
    <w:rsid w:val="00291818"/>
    <w:rsid w:val="00291B3F"/>
    <w:rsid w:val="00291CEB"/>
    <w:rsid w:val="00291D9C"/>
    <w:rsid w:val="00291DD8"/>
    <w:rsid w:val="002925C8"/>
    <w:rsid w:val="002926B6"/>
    <w:rsid w:val="00292708"/>
    <w:rsid w:val="00292816"/>
    <w:rsid w:val="002928C9"/>
    <w:rsid w:val="0029299D"/>
    <w:rsid w:val="00292D0A"/>
    <w:rsid w:val="00292EB9"/>
    <w:rsid w:val="0029318E"/>
    <w:rsid w:val="00293293"/>
    <w:rsid w:val="002932D9"/>
    <w:rsid w:val="0029337E"/>
    <w:rsid w:val="002933B5"/>
    <w:rsid w:val="002935F9"/>
    <w:rsid w:val="00293672"/>
    <w:rsid w:val="00293735"/>
    <w:rsid w:val="00293A2B"/>
    <w:rsid w:val="00293D39"/>
    <w:rsid w:val="00293E26"/>
    <w:rsid w:val="00293E67"/>
    <w:rsid w:val="002940C3"/>
    <w:rsid w:val="0029437D"/>
    <w:rsid w:val="00294480"/>
    <w:rsid w:val="00294492"/>
    <w:rsid w:val="00294721"/>
    <w:rsid w:val="0029480B"/>
    <w:rsid w:val="00294903"/>
    <w:rsid w:val="00294CE7"/>
    <w:rsid w:val="00294F10"/>
    <w:rsid w:val="00295014"/>
    <w:rsid w:val="002953CC"/>
    <w:rsid w:val="0029551B"/>
    <w:rsid w:val="0029561E"/>
    <w:rsid w:val="0029566D"/>
    <w:rsid w:val="002956C4"/>
    <w:rsid w:val="00295A38"/>
    <w:rsid w:val="00295BCF"/>
    <w:rsid w:val="00295D40"/>
    <w:rsid w:val="00296124"/>
    <w:rsid w:val="002962E5"/>
    <w:rsid w:val="0029635D"/>
    <w:rsid w:val="002967F2"/>
    <w:rsid w:val="00296A7B"/>
    <w:rsid w:val="00296BA1"/>
    <w:rsid w:val="00296D0F"/>
    <w:rsid w:val="0029743B"/>
    <w:rsid w:val="00297666"/>
    <w:rsid w:val="00297E4F"/>
    <w:rsid w:val="00297E93"/>
    <w:rsid w:val="002A0098"/>
    <w:rsid w:val="002A00AF"/>
    <w:rsid w:val="002A00EB"/>
    <w:rsid w:val="002A019B"/>
    <w:rsid w:val="002A01EF"/>
    <w:rsid w:val="002A0221"/>
    <w:rsid w:val="002A05DE"/>
    <w:rsid w:val="002A0678"/>
    <w:rsid w:val="002A0810"/>
    <w:rsid w:val="002A087D"/>
    <w:rsid w:val="002A08C1"/>
    <w:rsid w:val="002A0C81"/>
    <w:rsid w:val="002A0CD2"/>
    <w:rsid w:val="002A0DFA"/>
    <w:rsid w:val="002A110F"/>
    <w:rsid w:val="002A1154"/>
    <w:rsid w:val="002A115B"/>
    <w:rsid w:val="002A129E"/>
    <w:rsid w:val="002A12AE"/>
    <w:rsid w:val="002A15A5"/>
    <w:rsid w:val="002A17CB"/>
    <w:rsid w:val="002A1823"/>
    <w:rsid w:val="002A195C"/>
    <w:rsid w:val="002A1997"/>
    <w:rsid w:val="002A1A34"/>
    <w:rsid w:val="002A1AEC"/>
    <w:rsid w:val="002A1B1F"/>
    <w:rsid w:val="002A1B26"/>
    <w:rsid w:val="002A1B48"/>
    <w:rsid w:val="002A2058"/>
    <w:rsid w:val="002A220C"/>
    <w:rsid w:val="002A22F3"/>
    <w:rsid w:val="002A29D7"/>
    <w:rsid w:val="002A2E24"/>
    <w:rsid w:val="002A30F6"/>
    <w:rsid w:val="002A320F"/>
    <w:rsid w:val="002A3517"/>
    <w:rsid w:val="002A35EE"/>
    <w:rsid w:val="002A3662"/>
    <w:rsid w:val="002A3BD8"/>
    <w:rsid w:val="002A3C68"/>
    <w:rsid w:val="002A3F0C"/>
    <w:rsid w:val="002A3F35"/>
    <w:rsid w:val="002A3FD3"/>
    <w:rsid w:val="002A4101"/>
    <w:rsid w:val="002A41BB"/>
    <w:rsid w:val="002A4236"/>
    <w:rsid w:val="002A434D"/>
    <w:rsid w:val="002A4374"/>
    <w:rsid w:val="002A43AF"/>
    <w:rsid w:val="002A440A"/>
    <w:rsid w:val="002A4421"/>
    <w:rsid w:val="002A4423"/>
    <w:rsid w:val="002A4468"/>
    <w:rsid w:val="002A469B"/>
    <w:rsid w:val="002A470B"/>
    <w:rsid w:val="002A48B9"/>
    <w:rsid w:val="002A48C5"/>
    <w:rsid w:val="002A4C05"/>
    <w:rsid w:val="002A4D2A"/>
    <w:rsid w:val="002A4D37"/>
    <w:rsid w:val="002A4E6B"/>
    <w:rsid w:val="002A503E"/>
    <w:rsid w:val="002A5064"/>
    <w:rsid w:val="002A50A1"/>
    <w:rsid w:val="002A520C"/>
    <w:rsid w:val="002A521E"/>
    <w:rsid w:val="002A5354"/>
    <w:rsid w:val="002A552F"/>
    <w:rsid w:val="002A561B"/>
    <w:rsid w:val="002A5BD6"/>
    <w:rsid w:val="002A5CF8"/>
    <w:rsid w:val="002A5E01"/>
    <w:rsid w:val="002A5F4A"/>
    <w:rsid w:val="002A6107"/>
    <w:rsid w:val="002A612A"/>
    <w:rsid w:val="002A6189"/>
    <w:rsid w:val="002A6431"/>
    <w:rsid w:val="002A649F"/>
    <w:rsid w:val="002A64E0"/>
    <w:rsid w:val="002A658F"/>
    <w:rsid w:val="002A696B"/>
    <w:rsid w:val="002A6B16"/>
    <w:rsid w:val="002A6CBB"/>
    <w:rsid w:val="002A6E0B"/>
    <w:rsid w:val="002A6FF2"/>
    <w:rsid w:val="002A70C7"/>
    <w:rsid w:val="002A71FC"/>
    <w:rsid w:val="002A732F"/>
    <w:rsid w:val="002A7373"/>
    <w:rsid w:val="002A7394"/>
    <w:rsid w:val="002A73E9"/>
    <w:rsid w:val="002A7422"/>
    <w:rsid w:val="002A754E"/>
    <w:rsid w:val="002A75BD"/>
    <w:rsid w:val="002A778C"/>
    <w:rsid w:val="002A79BF"/>
    <w:rsid w:val="002A7C1A"/>
    <w:rsid w:val="002A7D34"/>
    <w:rsid w:val="002A7EEC"/>
    <w:rsid w:val="002B002B"/>
    <w:rsid w:val="002B0099"/>
    <w:rsid w:val="002B02FE"/>
    <w:rsid w:val="002B0310"/>
    <w:rsid w:val="002B0380"/>
    <w:rsid w:val="002B0524"/>
    <w:rsid w:val="002B060C"/>
    <w:rsid w:val="002B08AF"/>
    <w:rsid w:val="002B0F29"/>
    <w:rsid w:val="002B0F6F"/>
    <w:rsid w:val="002B0FDE"/>
    <w:rsid w:val="002B1143"/>
    <w:rsid w:val="002B15FD"/>
    <w:rsid w:val="002B1702"/>
    <w:rsid w:val="002B19E7"/>
    <w:rsid w:val="002B1A5B"/>
    <w:rsid w:val="002B1A7A"/>
    <w:rsid w:val="002B1D4B"/>
    <w:rsid w:val="002B1FCA"/>
    <w:rsid w:val="002B2030"/>
    <w:rsid w:val="002B2100"/>
    <w:rsid w:val="002B2263"/>
    <w:rsid w:val="002B25AE"/>
    <w:rsid w:val="002B27FF"/>
    <w:rsid w:val="002B2815"/>
    <w:rsid w:val="002B28AC"/>
    <w:rsid w:val="002B29CC"/>
    <w:rsid w:val="002B29F5"/>
    <w:rsid w:val="002B2A03"/>
    <w:rsid w:val="002B2AFB"/>
    <w:rsid w:val="002B2BD5"/>
    <w:rsid w:val="002B2E73"/>
    <w:rsid w:val="002B2F45"/>
    <w:rsid w:val="002B2F6E"/>
    <w:rsid w:val="002B2FFD"/>
    <w:rsid w:val="002B3581"/>
    <w:rsid w:val="002B3956"/>
    <w:rsid w:val="002B3CCD"/>
    <w:rsid w:val="002B4020"/>
    <w:rsid w:val="002B406A"/>
    <w:rsid w:val="002B409A"/>
    <w:rsid w:val="002B41A7"/>
    <w:rsid w:val="002B4217"/>
    <w:rsid w:val="002B4225"/>
    <w:rsid w:val="002B435C"/>
    <w:rsid w:val="002B4868"/>
    <w:rsid w:val="002B4BFF"/>
    <w:rsid w:val="002B4D23"/>
    <w:rsid w:val="002B4D8D"/>
    <w:rsid w:val="002B4F38"/>
    <w:rsid w:val="002B53D3"/>
    <w:rsid w:val="002B541B"/>
    <w:rsid w:val="002B55AB"/>
    <w:rsid w:val="002B5662"/>
    <w:rsid w:val="002B5673"/>
    <w:rsid w:val="002B578F"/>
    <w:rsid w:val="002B592F"/>
    <w:rsid w:val="002B5B66"/>
    <w:rsid w:val="002B5FD3"/>
    <w:rsid w:val="002B607B"/>
    <w:rsid w:val="002B6127"/>
    <w:rsid w:val="002B6376"/>
    <w:rsid w:val="002B67DC"/>
    <w:rsid w:val="002B68C5"/>
    <w:rsid w:val="002B6B69"/>
    <w:rsid w:val="002B6CFC"/>
    <w:rsid w:val="002B6EB9"/>
    <w:rsid w:val="002B7002"/>
    <w:rsid w:val="002B7051"/>
    <w:rsid w:val="002B7149"/>
    <w:rsid w:val="002B7213"/>
    <w:rsid w:val="002B7584"/>
    <w:rsid w:val="002B7A2B"/>
    <w:rsid w:val="002B7B72"/>
    <w:rsid w:val="002B7E81"/>
    <w:rsid w:val="002B7ED3"/>
    <w:rsid w:val="002C001F"/>
    <w:rsid w:val="002C0136"/>
    <w:rsid w:val="002C01B3"/>
    <w:rsid w:val="002C02FF"/>
    <w:rsid w:val="002C0362"/>
    <w:rsid w:val="002C03E5"/>
    <w:rsid w:val="002C041C"/>
    <w:rsid w:val="002C04FD"/>
    <w:rsid w:val="002C087C"/>
    <w:rsid w:val="002C0BC5"/>
    <w:rsid w:val="002C0C0E"/>
    <w:rsid w:val="002C0E82"/>
    <w:rsid w:val="002C11E2"/>
    <w:rsid w:val="002C1744"/>
    <w:rsid w:val="002C196C"/>
    <w:rsid w:val="002C1A04"/>
    <w:rsid w:val="002C1AE9"/>
    <w:rsid w:val="002C1B41"/>
    <w:rsid w:val="002C1DFC"/>
    <w:rsid w:val="002C2199"/>
    <w:rsid w:val="002C245C"/>
    <w:rsid w:val="002C29C8"/>
    <w:rsid w:val="002C31E2"/>
    <w:rsid w:val="002C3288"/>
    <w:rsid w:val="002C32D9"/>
    <w:rsid w:val="002C3595"/>
    <w:rsid w:val="002C3775"/>
    <w:rsid w:val="002C382C"/>
    <w:rsid w:val="002C3993"/>
    <w:rsid w:val="002C3B43"/>
    <w:rsid w:val="002C3ECE"/>
    <w:rsid w:val="002C3F93"/>
    <w:rsid w:val="002C42B7"/>
    <w:rsid w:val="002C43A0"/>
    <w:rsid w:val="002C43D5"/>
    <w:rsid w:val="002C43F4"/>
    <w:rsid w:val="002C48AD"/>
    <w:rsid w:val="002C4C40"/>
    <w:rsid w:val="002C4C78"/>
    <w:rsid w:val="002C4E30"/>
    <w:rsid w:val="002C4E64"/>
    <w:rsid w:val="002C5072"/>
    <w:rsid w:val="002C5109"/>
    <w:rsid w:val="002C53BF"/>
    <w:rsid w:val="002C546B"/>
    <w:rsid w:val="002C5492"/>
    <w:rsid w:val="002C54D1"/>
    <w:rsid w:val="002C57A5"/>
    <w:rsid w:val="002C585E"/>
    <w:rsid w:val="002C589C"/>
    <w:rsid w:val="002C5A93"/>
    <w:rsid w:val="002C5AA2"/>
    <w:rsid w:val="002C5C01"/>
    <w:rsid w:val="002C5C22"/>
    <w:rsid w:val="002C5C3F"/>
    <w:rsid w:val="002C5CD4"/>
    <w:rsid w:val="002C60CD"/>
    <w:rsid w:val="002C6792"/>
    <w:rsid w:val="002C679C"/>
    <w:rsid w:val="002C696C"/>
    <w:rsid w:val="002C6A42"/>
    <w:rsid w:val="002C6CFC"/>
    <w:rsid w:val="002C6F22"/>
    <w:rsid w:val="002C704F"/>
    <w:rsid w:val="002C70C6"/>
    <w:rsid w:val="002C70EB"/>
    <w:rsid w:val="002C7272"/>
    <w:rsid w:val="002C7378"/>
    <w:rsid w:val="002C77DE"/>
    <w:rsid w:val="002C7A20"/>
    <w:rsid w:val="002C7D77"/>
    <w:rsid w:val="002C7E04"/>
    <w:rsid w:val="002C7E10"/>
    <w:rsid w:val="002D00A6"/>
    <w:rsid w:val="002D0285"/>
    <w:rsid w:val="002D03B4"/>
    <w:rsid w:val="002D03CA"/>
    <w:rsid w:val="002D040A"/>
    <w:rsid w:val="002D0951"/>
    <w:rsid w:val="002D0A30"/>
    <w:rsid w:val="002D0AAB"/>
    <w:rsid w:val="002D0B36"/>
    <w:rsid w:val="002D0EE5"/>
    <w:rsid w:val="002D0FD2"/>
    <w:rsid w:val="002D107E"/>
    <w:rsid w:val="002D10FA"/>
    <w:rsid w:val="002D1174"/>
    <w:rsid w:val="002D11A7"/>
    <w:rsid w:val="002D1257"/>
    <w:rsid w:val="002D13F2"/>
    <w:rsid w:val="002D1477"/>
    <w:rsid w:val="002D183B"/>
    <w:rsid w:val="002D1A54"/>
    <w:rsid w:val="002D1B4A"/>
    <w:rsid w:val="002D1BDD"/>
    <w:rsid w:val="002D1C1D"/>
    <w:rsid w:val="002D1C2F"/>
    <w:rsid w:val="002D1C46"/>
    <w:rsid w:val="002D1E3D"/>
    <w:rsid w:val="002D202A"/>
    <w:rsid w:val="002D214A"/>
    <w:rsid w:val="002D2466"/>
    <w:rsid w:val="002D24AF"/>
    <w:rsid w:val="002D2641"/>
    <w:rsid w:val="002D2B0F"/>
    <w:rsid w:val="002D2BB4"/>
    <w:rsid w:val="002D2C7F"/>
    <w:rsid w:val="002D2E33"/>
    <w:rsid w:val="002D2EC3"/>
    <w:rsid w:val="002D3113"/>
    <w:rsid w:val="002D326E"/>
    <w:rsid w:val="002D3420"/>
    <w:rsid w:val="002D35BC"/>
    <w:rsid w:val="002D368B"/>
    <w:rsid w:val="002D36BA"/>
    <w:rsid w:val="002D375E"/>
    <w:rsid w:val="002D37CD"/>
    <w:rsid w:val="002D37EA"/>
    <w:rsid w:val="002D3874"/>
    <w:rsid w:val="002D394D"/>
    <w:rsid w:val="002D39DE"/>
    <w:rsid w:val="002D3CAB"/>
    <w:rsid w:val="002D3DCF"/>
    <w:rsid w:val="002D3FF4"/>
    <w:rsid w:val="002D4036"/>
    <w:rsid w:val="002D4138"/>
    <w:rsid w:val="002D422B"/>
    <w:rsid w:val="002D4325"/>
    <w:rsid w:val="002D438D"/>
    <w:rsid w:val="002D4487"/>
    <w:rsid w:val="002D46C3"/>
    <w:rsid w:val="002D46C5"/>
    <w:rsid w:val="002D47C5"/>
    <w:rsid w:val="002D49BC"/>
    <w:rsid w:val="002D4A9C"/>
    <w:rsid w:val="002D4C6C"/>
    <w:rsid w:val="002D4F11"/>
    <w:rsid w:val="002D5018"/>
    <w:rsid w:val="002D5206"/>
    <w:rsid w:val="002D5339"/>
    <w:rsid w:val="002D535F"/>
    <w:rsid w:val="002D53AB"/>
    <w:rsid w:val="002D5404"/>
    <w:rsid w:val="002D5546"/>
    <w:rsid w:val="002D5864"/>
    <w:rsid w:val="002D58CA"/>
    <w:rsid w:val="002D5BEB"/>
    <w:rsid w:val="002D5F52"/>
    <w:rsid w:val="002D609E"/>
    <w:rsid w:val="002D63E7"/>
    <w:rsid w:val="002D672A"/>
    <w:rsid w:val="002D68A2"/>
    <w:rsid w:val="002D6B3B"/>
    <w:rsid w:val="002D6CD9"/>
    <w:rsid w:val="002D6F04"/>
    <w:rsid w:val="002D6FFF"/>
    <w:rsid w:val="002D71C9"/>
    <w:rsid w:val="002D72D8"/>
    <w:rsid w:val="002D7314"/>
    <w:rsid w:val="002D731C"/>
    <w:rsid w:val="002D7371"/>
    <w:rsid w:val="002D739F"/>
    <w:rsid w:val="002D7489"/>
    <w:rsid w:val="002D7892"/>
    <w:rsid w:val="002D7909"/>
    <w:rsid w:val="002D7957"/>
    <w:rsid w:val="002D7CC8"/>
    <w:rsid w:val="002D7DE3"/>
    <w:rsid w:val="002D7F4D"/>
    <w:rsid w:val="002E033D"/>
    <w:rsid w:val="002E0410"/>
    <w:rsid w:val="002E0783"/>
    <w:rsid w:val="002E086B"/>
    <w:rsid w:val="002E08F8"/>
    <w:rsid w:val="002E0A55"/>
    <w:rsid w:val="002E0C71"/>
    <w:rsid w:val="002E0CB0"/>
    <w:rsid w:val="002E0D8E"/>
    <w:rsid w:val="002E13CB"/>
    <w:rsid w:val="002E16B3"/>
    <w:rsid w:val="002E177F"/>
    <w:rsid w:val="002E1794"/>
    <w:rsid w:val="002E1873"/>
    <w:rsid w:val="002E1AF3"/>
    <w:rsid w:val="002E1B4A"/>
    <w:rsid w:val="002E1BE4"/>
    <w:rsid w:val="002E1C7D"/>
    <w:rsid w:val="002E1CD3"/>
    <w:rsid w:val="002E2266"/>
    <w:rsid w:val="002E22E1"/>
    <w:rsid w:val="002E22F5"/>
    <w:rsid w:val="002E241D"/>
    <w:rsid w:val="002E2512"/>
    <w:rsid w:val="002E26D5"/>
    <w:rsid w:val="002E2CCB"/>
    <w:rsid w:val="002E2D0C"/>
    <w:rsid w:val="002E2F45"/>
    <w:rsid w:val="002E318C"/>
    <w:rsid w:val="002E3234"/>
    <w:rsid w:val="002E349B"/>
    <w:rsid w:val="002E3630"/>
    <w:rsid w:val="002E36AD"/>
    <w:rsid w:val="002E36C6"/>
    <w:rsid w:val="002E375F"/>
    <w:rsid w:val="002E37BB"/>
    <w:rsid w:val="002E37C3"/>
    <w:rsid w:val="002E3F86"/>
    <w:rsid w:val="002E400C"/>
    <w:rsid w:val="002E409A"/>
    <w:rsid w:val="002E4195"/>
    <w:rsid w:val="002E42AE"/>
    <w:rsid w:val="002E44CB"/>
    <w:rsid w:val="002E4506"/>
    <w:rsid w:val="002E45C8"/>
    <w:rsid w:val="002E465B"/>
    <w:rsid w:val="002E46E8"/>
    <w:rsid w:val="002E4E51"/>
    <w:rsid w:val="002E51C5"/>
    <w:rsid w:val="002E5685"/>
    <w:rsid w:val="002E583C"/>
    <w:rsid w:val="002E590F"/>
    <w:rsid w:val="002E5A78"/>
    <w:rsid w:val="002E5BB4"/>
    <w:rsid w:val="002E5BFB"/>
    <w:rsid w:val="002E5D1B"/>
    <w:rsid w:val="002E5F36"/>
    <w:rsid w:val="002E60B2"/>
    <w:rsid w:val="002E60ED"/>
    <w:rsid w:val="002E62D4"/>
    <w:rsid w:val="002E64A3"/>
    <w:rsid w:val="002E6941"/>
    <w:rsid w:val="002E6985"/>
    <w:rsid w:val="002E6CA7"/>
    <w:rsid w:val="002E6D76"/>
    <w:rsid w:val="002E6F59"/>
    <w:rsid w:val="002E70BC"/>
    <w:rsid w:val="002E75A0"/>
    <w:rsid w:val="002E75A4"/>
    <w:rsid w:val="002E75E0"/>
    <w:rsid w:val="002E75F7"/>
    <w:rsid w:val="002E7718"/>
    <w:rsid w:val="002E78C4"/>
    <w:rsid w:val="002E797F"/>
    <w:rsid w:val="002E7996"/>
    <w:rsid w:val="002E7A10"/>
    <w:rsid w:val="002E7B39"/>
    <w:rsid w:val="002E7C6F"/>
    <w:rsid w:val="002E7D28"/>
    <w:rsid w:val="002E7DDD"/>
    <w:rsid w:val="002E7E9B"/>
    <w:rsid w:val="002E7F05"/>
    <w:rsid w:val="002F0263"/>
    <w:rsid w:val="002F03B9"/>
    <w:rsid w:val="002F04DD"/>
    <w:rsid w:val="002F05AB"/>
    <w:rsid w:val="002F05E1"/>
    <w:rsid w:val="002F07B6"/>
    <w:rsid w:val="002F07CE"/>
    <w:rsid w:val="002F09FA"/>
    <w:rsid w:val="002F0D50"/>
    <w:rsid w:val="002F0D80"/>
    <w:rsid w:val="002F0E9B"/>
    <w:rsid w:val="002F0F72"/>
    <w:rsid w:val="002F0FF8"/>
    <w:rsid w:val="002F1042"/>
    <w:rsid w:val="002F145A"/>
    <w:rsid w:val="002F1493"/>
    <w:rsid w:val="002F14A4"/>
    <w:rsid w:val="002F1653"/>
    <w:rsid w:val="002F16FE"/>
    <w:rsid w:val="002F175B"/>
    <w:rsid w:val="002F19B9"/>
    <w:rsid w:val="002F1C20"/>
    <w:rsid w:val="002F1CA0"/>
    <w:rsid w:val="002F1E02"/>
    <w:rsid w:val="002F1EF5"/>
    <w:rsid w:val="002F1F4D"/>
    <w:rsid w:val="002F2328"/>
    <w:rsid w:val="002F235C"/>
    <w:rsid w:val="002F2490"/>
    <w:rsid w:val="002F2492"/>
    <w:rsid w:val="002F24A6"/>
    <w:rsid w:val="002F2633"/>
    <w:rsid w:val="002F2672"/>
    <w:rsid w:val="002F27E7"/>
    <w:rsid w:val="002F2C9F"/>
    <w:rsid w:val="002F2F6D"/>
    <w:rsid w:val="002F3072"/>
    <w:rsid w:val="002F30D0"/>
    <w:rsid w:val="002F33A4"/>
    <w:rsid w:val="002F36AE"/>
    <w:rsid w:val="002F3FD5"/>
    <w:rsid w:val="002F406F"/>
    <w:rsid w:val="002F4182"/>
    <w:rsid w:val="002F446F"/>
    <w:rsid w:val="002F44DA"/>
    <w:rsid w:val="002F45F4"/>
    <w:rsid w:val="002F4608"/>
    <w:rsid w:val="002F462A"/>
    <w:rsid w:val="002F481C"/>
    <w:rsid w:val="002F4869"/>
    <w:rsid w:val="002F48CC"/>
    <w:rsid w:val="002F4AE5"/>
    <w:rsid w:val="002F4B09"/>
    <w:rsid w:val="002F4C1B"/>
    <w:rsid w:val="002F4E0F"/>
    <w:rsid w:val="002F4FB3"/>
    <w:rsid w:val="002F4FFD"/>
    <w:rsid w:val="002F500C"/>
    <w:rsid w:val="002F509E"/>
    <w:rsid w:val="002F50EE"/>
    <w:rsid w:val="002F513E"/>
    <w:rsid w:val="002F51EE"/>
    <w:rsid w:val="002F5696"/>
    <w:rsid w:val="002F584C"/>
    <w:rsid w:val="002F58E9"/>
    <w:rsid w:val="002F5FC9"/>
    <w:rsid w:val="002F6553"/>
    <w:rsid w:val="002F660D"/>
    <w:rsid w:val="002F6818"/>
    <w:rsid w:val="002F6853"/>
    <w:rsid w:val="002F6884"/>
    <w:rsid w:val="002F6A6F"/>
    <w:rsid w:val="002F6AE5"/>
    <w:rsid w:val="002F6B96"/>
    <w:rsid w:val="002F6CE0"/>
    <w:rsid w:val="002F7074"/>
    <w:rsid w:val="002F70D0"/>
    <w:rsid w:val="002F7174"/>
    <w:rsid w:val="002F71A5"/>
    <w:rsid w:val="002F725E"/>
    <w:rsid w:val="002F76A7"/>
    <w:rsid w:val="002F7761"/>
    <w:rsid w:val="002F7770"/>
    <w:rsid w:val="002F780C"/>
    <w:rsid w:val="002F78BB"/>
    <w:rsid w:val="002F78C4"/>
    <w:rsid w:val="002F7913"/>
    <w:rsid w:val="002F7A34"/>
    <w:rsid w:val="002F7AAC"/>
    <w:rsid w:val="002F7AE6"/>
    <w:rsid w:val="002F7D26"/>
    <w:rsid w:val="002F7FD9"/>
    <w:rsid w:val="00300059"/>
    <w:rsid w:val="00300440"/>
    <w:rsid w:val="003004E8"/>
    <w:rsid w:val="003004EC"/>
    <w:rsid w:val="00300519"/>
    <w:rsid w:val="00300681"/>
    <w:rsid w:val="0030072A"/>
    <w:rsid w:val="00300826"/>
    <w:rsid w:val="00300ADC"/>
    <w:rsid w:val="00300BFD"/>
    <w:rsid w:val="00300CD7"/>
    <w:rsid w:val="00300D54"/>
    <w:rsid w:val="003010C6"/>
    <w:rsid w:val="003014F5"/>
    <w:rsid w:val="003016ED"/>
    <w:rsid w:val="003019D0"/>
    <w:rsid w:val="003019D8"/>
    <w:rsid w:val="00301A15"/>
    <w:rsid w:val="00301A5B"/>
    <w:rsid w:val="00301A6B"/>
    <w:rsid w:val="00301AF9"/>
    <w:rsid w:val="00301C2F"/>
    <w:rsid w:val="00301CE9"/>
    <w:rsid w:val="00301F1B"/>
    <w:rsid w:val="00301F7F"/>
    <w:rsid w:val="0030200A"/>
    <w:rsid w:val="003023B9"/>
    <w:rsid w:val="003025DC"/>
    <w:rsid w:val="003025FC"/>
    <w:rsid w:val="00302645"/>
    <w:rsid w:val="0030299A"/>
    <w:rsid w:val="00302B43"/>
    <w:rsid w:val="00302C24"/>
    <w:rsid w:val="00302CFF"/>
    <w:rsid w:val="00302DA0"/>
    <w:rsid w:val="003030C1"/>
    <w:rsid w:val="0030322A"/>
    <w:rsid w:val="003032F7"/>
    <w:rsid w:val="0030338F"/>
    <w:rsid w:val="003034EA"/>
    <w:rsid w:val="00303792"/>
    <w:rsid w:val="003039D5"/>
    <w:rsid w:val="00303A4D"/>
    <w:rsid w:val="00303AA7"/>
    <w:rsid w:val="00303B7C"/>
    <w:rsid w:val="00303C9E"/>
    <w:rsid w:val="00303D6D"/>
    <w:rsid w:val="00303DEE"/>
    <w:rsid w:val="00303EDF"/>
    <w:rsid w:val="00303F1A"/>
    <w:rsid w:val="00303F73"/>
    <w:rsid w:val="0030410D"/>
    <w:rsid w:val="00304185"/>
    <w:rsid w:val="0030418A"/>
    <w:rsid w:val="0030446E"/>
    <w:rsid w:val="0030454A"/>
    <w:rsid w:val="003045BC"/>
    <w:rsid w:val="003048BB"/>
    <w:rsid w:val="003050E4"/>
    <w:rsid w:val="00305334"/>
    <w:rsid w:val="003053B0"/>
    <w:rsid w:val="003056C7"/>
    <w:rsid w:val="003058A0"/>
    <w:rsid w:val="00305BC7"/>
    <w:rsid w:val="00305EB3"/>
    <w:rsid w:val="00305FCC"/>
    <w:rsid w:val="003060BD"/>
    <w:rsid w:val="00306249"/>
    <w:rsid w:val="00306547"/>
    <w:rsid w:val="00306805"/>
    <w:rsid w:val="00306A85"/>
    <w:rsid w:val="00306C09"/>
    <w:rsid w:val="00306C3C"/>
    <w:rsid w:val="00307016"/>
    <w:rsid w:val="00307078"/>
    <w:rsid w:val="003071CE"/>
    <w:rsid w:val="00307202"/>
    <w:rsid w:val="00307535"/>
    <w:rsid w:val="003078B2"/>
    <w:rsid w:val="00310007"/>
    <w:rsid w:val="003100A3"/>
    <w:rsid w:val="0031026D"/>
    <w:rsid w:val="0031052B"/>
    <w:rsid w:val="003105A7"/>
    <w:rsid w:val="00310720"/>
    <w:rsid w:val="00310BB6"/>
    <w:rsid w:val="00310BD2"/>
    <w:rsid w:val="00310C08"/>
    <w:rsid w:val="00310D01"/>
    <w:rsid w:val="00310DC1"/>
    <w:rsid w:val="00310EB8"/>
    <w:rsid w:val="0031138B"/>
    <w:rsid w:val="0031156C"/>
    <w:rsid w:val="003115D3"/>
    <w:rsid w:val="0031160B"/>
    <w:rsid w:val="003116D1"/>
    <w:rsid w:val="00311854"/>
    <w:rsid w:val="003119BF"/>
    <w:rsid w:val="00311A13"/>
    <w:rsid w:val="00312016"/>
    <w:rsid w:val="003123EE"/>
    <w:rsid w:val="00312520"/>
    <w:rsid w:val="0031254C"/>
    <w:rsid w:val="003129C0"/>
    <w:rsid w:val="00312D3E"/>
    <w:rsid w:val="00312E5C"/>
    <w:rsid w:val="00312EAD"/>
    <w:rsid w:val="00313412"/>
    <w:rsid w:val="00313484"/>
    <w:rsid w:val="00313527"/>
    <w:rsid w:val="00313846"/>
    <w:rsid w:val="003139BA"/>
    <w:rsid w:val="003139E3"/>
    <w:rsid w:val="00313F5F"/>
    <w:rsid w:val="003140A6"/>
    <w:rsid w:val="00314200"/>
    <w:rsid w:val="0031431F"/>
    <w:rsid w:val="00314420"/>
    <w:rsid w:val="00314923"/>
    <w:rsid w:val="00314989"/>
    <w:rsid w:val="00314E60"/>
    <w:rsid w:val="00315023"/>
    <w:rsid w:val="00315148"/>
    <w:rsid w:val="00315209"/>
    <w:rsid w:val="0031542F"/>
    <w:rsid w:val="00315525"/>
    <w:rsid w:val="00315569"/>
    <w:rsid w:val="003155CA"/>
    <w:rsid w:val="00315769"/>
    <w:rsid w:val="00315C74"/>
    <w:rsid w:val="00315CC1"/>
    <w:rsid w:val="00315E25"/>
    <w:rsid w:val="00315E5E"/>
    <w:rsid w:val="00315FCA"/>
    <w:rsid w:val="00316052"/>
    <w:rsid w:val="00316075"/>
    <w:rsid w:val="003162E5"/>
    <w:rsid w:val="00316399"/>
    <w:rsid w:val="00316433"/>
    <w:rsid w:val="00316741"/>
    <w:rsid w:val="00316785"/>
    <w:rsid w:val="00316847"/>
    <w:rsid w:val="00316A12"/>
    <w:rsid w:val="00316A41"/>
    <w:rsid w:val="00316A9E"/>
    <w:rsid w:val="00316ABB"/>
    <w:rsid w:val="00316F00"/>
    <w:rsid w:val="00316F67"/>
    <w:rsid w:val="003170AF"/>
    <w:rsid w:val="00317398"/>
    <w:rsid w:val="0031752F"/>
    <w:rsid w:val="0031758E"/>
    <w:rsid w:val="0031778C"/>
    <w:rsid w:val="003179FC"/>
    <w:rsid w:val="00317D38"/>
    <w:rsid w:val="00317DFF"/>
    <w:rsid w:val="00317F64"/>
    <w:rsid w:val="0032000D"/>
    <w:rsid w:val="0032001A"/>
    <w:rsid w:val="003200C3"/>
    <w:rsid w:val="0032082F"/>
    <w:rsid w:val="00320A43"/>
    <w:rsid w:val="00320B17"/>
    <w:rsid w:val="00320C25"/>
    <w:rsid w:val="00320D63"/>
    <w:rsid w:val="00320F5A"/>
    <w:rsid w:val="00320FD8"/>
    <w:rsid w:val="00321017"/>
    <w:rsid w:val="00321114"/>
    <w:rsid w:val="0032124B"/>
    <w:rsid w:val="003212EC"/>
    <w:rsid w:val="003213B0"/>
    <w:rsid w:val="00321963"/>
    <w:rsid w:val="003219AD"/>
    <w:rsid w:val="00321C55"/>
    <w:rsid w:val="00321F2B"/>
    <w:rsid w:val="00322141"/>
    <w:rsid w:val="00322533"/>
    <w:rsid w:val="00322721"/>
    <w:rsid w:val="0032287D"/>
    <w:rsid w:val="00322AA7"/>
    <w:rsid w:val="00322BF4"/>
    <w:rsid w:val="003230FD"/>
    <w:rsid w:val="003233D4"/>
    <w:rsid w:val="003233EC"/>
    <w:rsid w:val="00323622"/>
    <w:rsid w:val="00323641"/>
    <w:rsid w:val="00323884"/>
    <w:rsid w:val="00323901"/>
    <w:rsid w:val="00323A75"/>
    <w:rsid w:val="00323C8C"/>
    <w:rsid w:val="00323EEA"/>
    <w:rsid w:val="00323FA8"/>
    <w:rsid w:val="003240FC"/>
    <w:rsid w:val="003242C4"/>
    <w:rsid w:val="003242C8"/>
    <w:rsid w:val="003244E9"/>
    <w:rsid w:val="003246BB"/>
    <w:rsid w:val="003246D9"/>
    <w:rsid w:val="003248E9"/>
    <w:rsid w:val="0032494E"/>
    <w:rsid w:val="00324A41"/>
    <w:rsid w:val="00324B48"/>
    <w:rsid w:val="00324B4D"/>
    <w:rsid w:val="00324C1B"/>
    <w:rsid w:val="0032523E"/>
    <w:rsid w:val="003252DC"/>
    <w:rsid w:val="00325367"/>
    <w:rsid w:val="00325394"/>
    <w:rsid w:val="00325578"/>
    <w:rsid w:val="00325803"/>
    <w:rsid w:val="00325E41"/>
    <w:rsid w:val="00325F65"/>
    <w:rsid w:val="00326023"/>
    <w:rsid w:val="0032631F"/>
    <w:rsid w:val="003267AC"/>
    <w:rsid w:val="0032698A"/>
    <w:rsid w:val="003269D0"/>
    <w:rsid w:val="00326A45"/>
    <w:rsid w:val="00326A70"/>
    <w:rsid w:val="00326CD8"/>
    <w:rsid w:val="00326D8B"/>
    <w:rsid w:val="00327167"/>
    <w:rsid w:val="00327170"/>
    <w:rsid w:val="00327242"/>
    <w:rsid w:val="0032733E"/>
    <w:rsid w:val="00327911"/>
    <w:rsid w:val="00327A24"/>
    <w:rsid w:val="00327B6F"/>
    <w:rsid w:val="00327CD3"/>
    <w:rsid w:val="00327F0B"/>
    <w:rsid w:val="0033018D"/>
    <w:rsid w:val="00330213"/>
    <w:rsid w:val="00330285"/>
    <w:rsid w:val="003302F3"/>
    <w:rsid w:val="003304D7"/>
    <w:rsid w:val="00330619"/>
    <w:rsid w:val="003307A0"/>
    <w:rsid w:val="003308CA"/>
    <w:rsid w:val="00330919"/>
    <w:rsid w:val="00330AE6"/>
    <w:rsid w:val="00330EC1"/>
    <w:rsid w:val="00330FDB"/>
    <w:rsid w:val="0033120B"/>
    <w:rsid w:val="003312A4"/>
    <w:rsid w:val="00331427"/>
    <w:rsid w:val="00331429"/>
    <w:rsid w:val="00331585"/>
    <w:rsid w:val="003315BB"/>
    <w:rsid w:val="00331630"/>
    <w:rsid w:val="00331B5A"/>
    <w:rsid w:val="00331B72"/>
    <w:rsid w:val="00331B78"/>
    <w:rsid w:val="00331E37"/>
    <w:rsid w:val="00331F6F"/>
    <w:rsid w:val="00331FF1"/>
    <w:rsid w:val="00332035"/>
    <w:rsid w:val="00332049"/>
    <w:rsid w:val="00332104"/>
    <w:rsid w:val="0033217F"/>
    <w:rsid w:val="0033229E"/>
    <w:rsid w:val="003322A8"/>
    <w:rsid w:val="003322E3"/>
    <w:rsid w:val="003324F9"/>
    <w:rsid w:val="00332813"/>
    <w:rsid w:val="00332FEC"/>
    <w:rsid w:val="00333323"/>
    <w:rsid w:val="0033360D"/>
    <w:rsid w:val="00333656"/>
    <w:rsid w:val="00333691"/>
    <w:rsid w:val="003338B1"/>
    <w:rsid w:val="003338C3"/>
    <w:rsid w:val="00333A33"/>
    <w:rsid w:val="00333BAA"/>
    <w:rsid w:val="00333CA9"/>
    <w:rsid w:val="00333FED"/>
    <w:rsid w:val="0033423D"/>
    <w:rsid w:val="00334284"/>
    <w:rsid w:val="00334486"/>
    <w:rsid w:val="0033456E"/>
    <w:rsid w:val="00334683"/>
    <w:rsid w:val="00334782"/>
    <w:rsid w:val="003347E4"/>
    <w:rsid w:val="003349EB"/>
    <w:rsid w:val="00334A51"/>
    <w:rsid w:val="00334D17"/>
    <w:rsid w:val="00334E15"/>
    <w:rsid w:val="00334E76"/>
    <w:rsid w:val="00334EF1"/>
    <w:rsid w:val="00334F4B"/>
    <w:rsid w:val="00334F5C"/>
    <w:rsid w:val="00334F97"/>
    <w:rsid w:val="003351AC"/>
    <w:rsid w:val="0033526C"/>
    <w:rsid w:val="00335426"/>
    <w:rsid w:val="0033548D"/>
    <w:rsid w:val="003354BD"/>
    <w:rsid w:val="0033564B"/>
    <w:rsid w:val="003356C7"/>
    <w:rsid w:val="00335764"/>
    <w:rsid w:val="003359E5"/>
    <w:rsid w:val="00335AEA"/>
    <w:rsid w:val="00335C19"/>
    <w:rsid w:val="00335EC6"/>
    <w:rsid w:val="00336197"/>
    <w:rsid w:val="003362E0"/>
    <w:rsid w:val="003362FF"/>
    <w:rsid w:val="00336760"/>
    <w:rsid w:val="003368F7"/>
    <w:rsid w:val="0033696C"/>
    <w:rsid w:val="00336A2D"/>
    <w:rsid w:val="00336B34"/>
    <w:rsid w:val="00336BC0"/>
    <w:rsid w:val="00336DAA"/>
    <w:rsid w:val="00336E70"/>
    <w:rsid w:val="00336EB8"/>
    <w:rsid w:val="00336F17"/>
    <w:rsid w:val="0033728F"/>
    <w:rsid w:val="003373BA"/>
    <w:rsid w:val="00337441"/>
    <w:rsid w:val="003375CC"/>
    <w:rsid w:val="003375FE"/>
    <w:rsid w:val="003377D3"/>
    <w:rsid w:val="00337A21"/>
    <w:rsid w:val="00337F33"/>
    <w:rsid w:val="00337F35"/>
    <w:rsid w:val="00337F55"/>
    <w:rsid w:val="00340065"/>
    <w:rsid w:val="003400BA"/>
    <w:rsid w:val="003401C6"/>
    <w:rsid w:val="003406E1"/>
    <w:rsid w:val="00340805"/>
    <w:rsid w:val="00340AA3"/>
    <w:rsid w:val="00340B4A"/>
    <w:rsid w:val="00340BB2"/>
    <w:rsid w:val="00340EC7"/>
    <w:rsid w:val="00341074"/>
    <w:rsid w:val="0034130C"/>
    <w:rsid w:val="00341449"/>
    <w:rsid w:val="003415FB"/>
    <w:rsid w:val="003417A2"/>
    <w:rsid w:val="00341832"/>
    <w:rsid w:val="00341922"/>
    <w:rsid w:val="00341A09"/>
    <w:rsid w:val="00341CA9"/>
    <w:rsid w:val="003420AE"/>
    <w:rsid w:val="003421BB"/>
    <w:rsid w:val="003422AD"/>
    <w:rsid w:val="003422C2"/>
    <w:rsid w:val="0034287D"/>
    <w:rsid w:val="003428D1"/>
    <w:rsid w:val="003429F2"/>
    <w:rsid w:val="00342A8C"/>
    <w:rsid w:val="00342BF3"/>
    <w:rsid w:val="00342C8B"/>
    <w:rsid w:val="0034301C"/>
    <w:rsid w:val="003430F1"/>
    <w:rsid w:val="0034321E"/>
    <w:rsid w:val="0034336D"/>
    <w:rsid w:val="003439BD"/>
    <w:rsid w:val="00343A28"/>
    <w:rsid w:val="00343A35"/>
    <w:rsid w:val="00343A7B"/>
    <w:rsid w:val="00343B8C"/>
    <w:rsid w:val="00343DE8"/>
    <w:rsid w:val="00343EAD"/>
    <w:rsid w:val="003441EA"/>
    <w:rsid w:val="00344565"/>
    <w:rsid w:val="003445B0"/>
    <w:rsid w:val="003446F5"/>
    <w:rsid w:val="00344934"/>
    <w:rsid w:val="00344A01"/>
    <w:rsid w:val="00344B39"/>
    <w:rsid w:val="00344CE9"/>
    <w:rsid w:val="00344D83"/>
    <w:rsid w:val="0034505C"/>
    <w:rsid w:val="00345191"/>
    <w:rsid w:val="0034519D"/>
    <w:rsid w:val="003452B7"/>
    <w:rsid w:val="00345575"/>
    <w:rsid w:val="00345663"/>
    <w:rsid w:val="0034587D"/>
    <w:rsid w:val="00345AF8"/>
    <w:rsid w:val="00345B7C"/>
    <w:rsid w:val="00345F77"/>
    <w:rsid w:val="00345FCB"/>
    <w:rsid w:val="0034613C"/>
    <w:rsid w:val="00346523"/>
    <w:rsid w:val="00346678"/>
    <w:rsid w:val="0034689C"/>
    <w:rsid w:val="00346A12"/>
    <w:rsid w:val="00346A87"/>
    <w:rsid w:val="00346C2A"/>
    <w:rsid w:val="00346C2B"/>
    <w:rsid w:val="00346C9F"/>
    <w:rsid w:val="00346D75"/>
    <w:rsid w:val="00346F5D"/>
    <w:rsid w:val="003471F1"/>
    <w:rsid w:val="00347762"/>
    <w:rsid w:val="003478DC"/>
    <w:rsid w:val="003479FE"/>
    <w:rsid w:val="00347A64"/>
    <w:rsid w:val="00347B3E"/>
    <w:rsid w:val="00347C55"/>
    <w:rsid w:val="00347CA2"/>
    <w:rsid w:val="00347D22"/>
    <w:rsid w:val="00347DC9"/>
    <w:rsid w:val="00347E16"/>
    <w:rsid w:val="00350107"/>
    <w:rsid w:val="00350385"/>
    <w:rsid w:val="003504CD"/>
    <w:rsid w:val="00350713"/>
    <w:rsid w:val="00350A65"/>
    <w:rsid w:val="00350A88"/>
    <w:rsid w:val="00350A8D"/>
    <w:rsid w:val="00350E1D"/>
    <w:rsid w:val="00350FFE"/>
    <w:rsid w:val="00351008"/>
    <w:rsid w:val="0035130A"/>
    <w:rsid w:val="00351316"/>
    <w:rsid w:val="0035147F"/>
    <w:rsid w:val="00351565"/>
    <w:rsid w:val="003515FB"/>
    <w:rsid w:val="0035179F"/>
    <w:rsid w:val="003518FE"/>
    <w:rsid w:val="00351996"/>
    <w:rsid w:val="00351B13"/>
    <w:rsid w:val="00351C0B"/>
    <w:rsid w:val="00351C6D"/>
    <w:rsid w:val="00351D79"/>
    <w:rsid w:val="00351D8D"/>
    <w:rsid w:val="003524AC"/>
    <w:rsid w:val="00352AF4"/>
    <w:rsid w:val="00352E30"/>
    <w:rsid w:val="00352ECA"/>
    <w:rsid w:val="00353063"/>
    <w:rsid w:val="003530A4"/>
    <w:rsid w:val="00353362"/>
    <w:rsid w:val="0035386B"/>
    <w:rsid w:val="00353882"/>
    <w:rsid w:val="00353B98"/>
    <w:rsid w:val="00353C06"/>
    <w:rsid w:val="00353CA5"/>
    <w:rsid w:val="00353DB0"/>
    <w:rsid w:val="00353E92"/>
    <w:rsid w:val="00353ED5"/>
    <w:rsid w:val="00353F48"/>
    <w:rsid w:val="003541A2"/>
    <w:rsid w:val="00354600"/>
    <w:rsid w:val="00354676"/>
    <w:rsid w:val="00354789"/>
    <w:rsid w:val="00355229"/>
    <w:rsid w:val="0035539F"/>
    <w:rsid w:val="003556AA"/>
    <w:rsid w:val="003558B2"/>
    <w:rsid w:val="00355908"/>
    <w:rsid w:val="00355A5B"/>
    <w:rsid w:val="00355A8A"/>
    <w:rsid w:val="00355AA9"/>
    <w:rsid w:val="00355B1B"/>
    <w:rsid w:val="00355C20"/>
    <w:rsid w:val="00355D14"/>
    <w:rsid w:val="00355D6F"/>
    <w:rsid w:val="00355EB2"/>
    <w:rsid w:val="0035629D"/>
    <w:rsid w:val="00356516"/>
    <w:rsid w:val="003565D7"/>
    <w:rsid w:val="00356636"/>
    <w:rsid w:val="0035681D"/>
    <w:rsid w:val="00356839"/>
    <w:rsid w:val="00356A15"/>
    <w:rsid w:val="00356A8B"/>
    <w:rsid w:val="00356AC2"/>
    <w:rsid w:val="00356B90"/>
    <w:rsid w:val="00356CD5"/>
    <w:rsid w:val="00356DC5"/>
    <w:rsid w:val="00356E02"/>
    <w:rsid w:val="00356E9B"/>
    <w:rsid w:val="003574AC"/>
    <w:rsid w:val="003575DF"/>
    <w:rsid w:val="0035769D"/>
    <w:rsid w:val="0035774A"/>
    <w:rsid w:val="003577EB"/>
    <w:rsid w:val="003578F3"/>
    <w:rsid w:val="00357A75"/>
    <w:rsid w:val="00357A95"/>
    <w:rsid w:val="00357C19"/>
    <w:rsid w:val="00357DCE"/>
    <w:rsid w:val="00357E7F"/>
    <w:rsid w:val="00357E90"/>
    <w:rsid w:val="003601E6"/>
    <w:rsid w:val="00360461"/>
    <w:rsid w:val="003605AD"/>
    <w:rsid w:val="003605E4"/>
    <w:rsid w:val="00360777"/>
    <w:rsid w:val="00360794"/>
    <w:rsid w:val="0036097A"/>
    <w:rsid w:val="00360A2B"/>
    <w:rsid w:val="00360AA9"/>
    <w:rsid w:val="00360ADB"/>
    <w:rsid w:val="00360C9D"/>
    <w:rsid w:val="00360D12"/>
    <w:rsid w:val="00360D32"/>
    <w:rsid w:val="00360D52"/>
    <w:rsid w:val="00360EFA"/>
    <w:rsid w:val="00361214"/>
    <w:rsid w:val="003614F0"/>
    <w:rsid w:val="0036162B"/>
    <w:rsid w:val="00361898"/>
    <w:rsid w:val="0036189F"/>
    <w:rsid w:val="003618A0"/>
    <w:rsid w:val="003619EF"/>
    <w:rsid w:val="003619F4"/>
    <w:rsid w:val="00361AE9"/>
    <w:rsid w:val="00361D5C"/>
    <w:rsid w:val="00361EC1"/>
    <w:rsid w:val="00361EF5"/>
    <w:rsid w:val="00362688"/>
    <w:rsid w:val="003626CE"/>
    <w:rsid w:val="0036286F"/>
    <w:rsid w:val="0036290C"/>
    <w:rsid w:val="00362948"/>
    <w:rsid w:val="00362F06"/>
    <w:rsid w:val="003631FB"/>
    <w:rsid w:val="00363312"/>
    <w:rsid w:val="00363394"/>
    <w:rsid w:val="00363395"/>
    <w:rsid w:val="0036341C"/>
    <w:rsid w:val="00363506"/>
    <w:rsid w:val="003635C4"/>
    <w:rsid w:val="00363619"/>
    <w:rsid w:val="003636B3"/>
    <w:rsid w:val="003636E0"/>
    <w:rsid w:val="0036373C"/>
    <w:rsid w:val="003638DF"/>
    <w:rsid w:val="00363C44"/>
    <w:rsid w:val="00363D41"/>
    <w:rsid w:val="00363EB8"/>
    <w:rsid w:val="0036402F"/>
    <w:rsid w:val="0036404A"/>
    <w:rsid w:val="003640B7"/>
    <w:rsid w:val="003645AB"/>
    <w:rsid w:val="00364A1A"/>
    <w:rsid w:val="00364A62"/>
    <w:rsid w:val="00364BA1"/>
    <w:rsid w:val="00364F1F"/>
    <w:rsid w:val="0036503B"/>
    <w:rsid w:val="0036532A"/>
    <w:rsid w:val="003654A8"/>
    <w:rsid w:val="003654AF"/>
    <w:rsid w:val="003654FA"/>
    <w:rsid w:val="00365716"/>
    <w:rsid w:val="003657F7"/>
    <w:rsid w:val="003658A2"/>
    <w:rsid w:val="003659C6"/>
    <w:rsid w:val="00365CA6"/>
    <w:rsid w:val="00365F6F"/>
    <w:rsid w:val="0036642B"/>
    <w:rsid w:val="00366572"/>
    <w:rsid w:val="003666E4"/>
    <w:rsid w:val="00366804"/>
    <w:rsid w:val="0036689C"/>
    <w:rsid w:val="00366CB9"/>
    <w:rsid w:val="00366EC6"/>
    <w:rsid w:val="003670C8"/>
    <w:rsid w:val="00367201"/>
    <w:rsid w:val="003672D7"/>
    <w:rsid w:val="003675F4"/>
    <w:rsid w:val="00367723"/>
    <w:rsid w:val="003677C3"/>
    <w:rsid w:val="00367B16"/>
    <w:rsid w:val="00367B48"/>
    <w:rsid w:val="00367C33"/>
    <w:rsid w:val="0037034D"/>
    <w:rsid w:val="003703DD"/>
    <w:rsid w:val="00370937"/>
    <w:rsid w:val="00370C2C"/>
    <w:rsid w:val="00370C4C"/>
    <w:rsid w:val="00370CC3"/>
    <w:rsid w:val="00370F24"/>
    <w:rsid w:val="0037101E"/>
    <w:rsid w:val="003710D7"/>
    <w:rsid w:val="00371198"/>
    <w:rsid w:val="00371537"/>
    <w:rsid w:val="0037162E"/>
    <w:rsid w:val="0037166D"/>
    <w:rsid w:val="00371794"/>
    <w:rsid w:val="00371902"/>
    <w:rsid w:val="00371BED"/>
    <w:rsid w:val="00371C23"/>
    <w:rsid w:val="00371D7A"/>
    <w:rsid w:val="00371E02"/>
    <w:rsid w:val="00371EC0"/>
    <w:rsid w:val="00372008"/>
    <w:rsid w:val="003720AE"/>
    <w:rsid w:val="00372298"/>
    <w:rsid w:val="00372501"/>
    <w:rsid w:val="00372514"/>
    <w:rsid w:val="00372618"/>
    <w:rsid w:val="003726D2"/>
    <w:rsid w:val="0037293E"/>
    <w:rsid w:val="0037298F"/>
    <w:rsid w:val="00372A01"/>
    <w:rsid w:val="00372AD2"/>
    <w:rsid w:val="00372CED"/>
    <w:rsid w:val="003730B1"/>
    <w:rsid w:val="003732F8"/>
    <w:rsid w:val="00373536"/>
    <w:rsid w:val="003736F0"/>
    <w:rsid w:val="00373901"/>
    <w:rsid w:val="00373E62"/>
    <w:rsid w:val="00373E84"/>
    <w:rsid w:val="00373EC8"/>
    <w:rsid w:val="00374279"/>
    <w:rsid w:val="003743FB"/>
    <w:rsid w:val="00374736"/>
    <w:rsid w:val="00374C35"/>
    <w:rsid w:val="00374D09"/>
    <w:rsid w:val="00374EC1"/>
    <w:rsid w:val="00375053"/>
    <w:rsid w:val="003752DA"/>
    <w:rsid w:val="0037530E"/>
    <w:rsid w:val="00375344"/>
    <w:rsid w:val="003754D1"/>
    <w:rsid w:val="003755D1"/>
    <w:rsid w:val="00375655"/>
    <w:rsid w:val="00375677"/>
    <w:rsid w:val="003756D4"/>
    <w:rsid w:val="0037584D"/>
    <w:rsid w:val="00375931"/>
    <w:rsid w:val="00375A12"/>
    <w:rsid w:val="00375A9A"/>
    <w:rsid w:val="00375ACC"/>
    <w:rsid w:val="00375C7F"/>
    <w:rsid w:val="00375CB4"/>
    <w:rsid w:val="00375E98"/>
    <w:rsid w:val="00375E9C"/>
    <w:rsid w:val="0037601D"/>
    <w:rsid w:val="003762C4"/>
    <w:rsid w:val="00376454"/>
    <w:rsid w:val="00376459"/>
    <w:rsid w:val="0037655E"/>
    <w:rsid w:val="00376636"/>
    <w:rsid w:val="003769C5"/>
    <w:rsid w:val="00376A81"/>
    <w:rsid w:val="00376C03"/>
    <w:rsid w:val="00376C67"/>
    <w:rsid w:val="00376D97"/>
    <w:rsid w:val="0037719B"/>
    <w:rsid w:val="00377624"/>
    <w:rsid w:val="0037799F"/>
    <w:rsid w:val="00377DB5"/>
    <w:rsid w:val="00380112"/>
    <w:rsid w:val="003802E1"/>
    <w:rsid w:val="00380481"/>
    <w:rsid w:val="003804C2"/>
    <w:rsid w:val="00380631"/>
    <w:rsid w:val="00380734"/>
    <w:rsid w:val="003809D4"/>
    <w:rsid w:val="00380C37"/>
    <w:rsid w:val="00380C91"/>
    <w:rsid w:val="00380D23"/>
    <w:rsid w:val="00380F6F"/>
    <w:rsid w:val="0038113D"/>
    <w:rsid w:val="00381230"/>
    <w:rsid w:val="003813FE"/>
    <w:rsid w:val="00381566"/>
    <w:rsid w:val="00381717"/>
    <w:rsid w:val="00381ACC"/>
    <w:rsid w:val="00381E73"/>
    <w:rsid w:val="0038206F"/>
    <w:rsid w:val="00382076"/>
    <w:rsid w:val="00382133"/>
    <w:rsid w:val="00382283"/>
    <w:rsid w:val="00382AB4"/>
    <w:rsid w:val="00382D01"/>
    <w:rsid w:val="00382FC8"/>
    <w:rsid w:val="00383242"/>
    <w:rsid w:val="00383313"/>
    <w:rsid w:val="0038354E"/>
    <w:rsid w:val="00383953"/>
    <w:rsid w:val="00383A45"/>
    <w:rsid w:val="00383AD0"/>
    <w:rsid w:val="00383B8F"/>
    <w:rsid w:val="00383E09"/>
    <w:rsid w:val="00383E0C"/>
    <w:rsid w:val="00383ED5"/>
    <w:rsid w:val="00383FEF"/>
    <w:rsid w:val="003840BC"/>
    <w:rsid w:val="003842C7"/>
    <w:rsid w:val="0038430B"/>
    <w:rsid w:val="003844B9"/>
    <w:rsid w:val="0038471C"/>
    <w:rsid w:val="00384761"/>
    <w:rsid w:val="003849A5"/>
    <w:rsid w:val="003849E7"/>
    <w:rsid w:val="00384BF8"/>
    <w:rsid w:val="00384C7E"/>
    <w:rsid w:val="00384D19"/>
    <w:rsid w:val="0038541E"/>
    <w:rsid w:val="0038559F"/>
    <w:rsid w:val="00385787"/>
    <w:rsid w:val="00385B14"/>
    <w:rsid w:val="00385B71"/>
    <w:rsid w:val="00385B8F"/>
    <w:rsid w:val="00385BD3"/>
    <w:rsid w:val="00385FDD"/>
    <w:rsid w:val="00386076"/>
    <w:rsid w:val="00386156"/>
    <w:rsid w:val="003863E8"/>
    <w:rsid w:val="00386607"/>
    <w:rsid w:val="003866DD"/>
    <w:rsid w:val="003867A9"/>
    <w:rsid w:val="003868B3"/>
    <w:rsid w:val="0038699B"/>
    <w:rsid w:val="00386BCA"/>
    <w:rsid w:val="00386E65"/>
    <w:rsid w:val="00386E9D"/>
    <w:rsid w:val="003871BA"/>
    <w:rsid w:val="00387562"/>
    <w:rsid w:val="00387CCD"/>
    <w:rsid w:val="00387FC3"/>
    <w:rsid w:val="00390098"/>
    <w:rsid w:val="00390193"/>
    <w:rsid w:val="00390298"/>
    <w:rsid w:val="003902B7"/>
    <w:rsid w:val="00390358"/>
    <w:rsid w:val="00390536"/>
    <w:rsid w:val="003905E0"/>
    <w:rsid w:val="003907B2"/>
    <w:rsid w:val="0039097B"/>
    <w:rsid w:val="00390A67"/>
    <w:rsid w:val="00390B2B"/>
    <w:rsid w:val="00390B96"/>
    <w:rsid w:val="00390BE7"/>
    <w:rsid w:val="00390C7A"/>
    <w:rsid w:val="0039115F"/>
    <w:rsid w:val="00391228"/>
    <w:rsid w:val="003912B7"/>
    <w:rsid w:val="00391356"/>
    <w:rsid w:val="003915BE"/>
    <w:rsid w:val="00391898"/>
    <w:rsid w:val="003919D4"/>
    <w:rsid w:val="00391E79"/>
    <w:rsid w:val="00391FD0"/>
    <w:rsid w:val="0039211D"/>
    <w:rsid w:val="003923B1"/>
    <w:rsid w:val="0039249C"/>
    <w:rsid w:val="003925B1"/>
    <w:rsid w:val="0039267E"/>
    <w:rsid w:val="0039284D"/>
    <w:rsid w:val="003928AA"/>
    <w:rsid w:val="00392973"/>
    <w:rsid w:val="00392BFE"/>
    <w:rsid w:val="00392D02"/>
    <w:rsid w:val="003930AF"/>
    <w:rsid w:val="00393865"/>
    <w:rsid w:val="00393F7F"/>
    <w:rsid w:val="00393FDB"/>
    <w:rsid w:val="00394179"/>
    <w:rsid w:val="003943A4"/>
    <w:rsid w:val="00394446"/>
    <w:rsid w:val="00394590"/>
    <w:rsid w:val="00394752"/>
    <w:rsid w:val="003947A3"/>
    <w:rsid w:val="00394823"/>
    <w:rsid w:val="00394AF9"/>
    <w:rsid w:val="00394B99"/>
    <w:rsid w:val="00394C26"/>
    <w:rsid w:val="00394CBD"/>
    <w:rsid w:val="0039508B"/>
    <w:rsid w:val="003950C4"/>
    <w:rsid w:val="00395239"/>
    <w:rsid w:val="00395450"/>
    <w:rsid w:val="003958C4"/>
    <w:rsid w:val="003959D1"/>
    <w:rsid w:val="00395A3B"/>
    <w:rsid w:val="00395A91"/>
    <w:rsid w:val="00395D6C"/>
    <w:rsid w:val="003960D2"/>
    <w:rsid w:val="003963DC"/>
    <w:rsid w:val="00396AA9"/>
    <w:rsid w:val="00396C9A"/>
    <w:rsid w:val="00396F34"/>
    <w:rsid w:val="00396F70"/>
    <w:rsid w:val="00397150"/>
    <w:rsid w:val="00397217"/>
    <w:rsid w:val="0039740B"/>
    <w:rsid w:val="003975FC"/>
    <w:rsid w:val="003978DD"/>
    <w:rsid w:val="00397AD2"/>
    <w:rsid w:val="00397B27"/>
    <w:rsid w:val="00397BD2"/>
    <w:rsid w:val="00397E1F"/>
    <w:rsid w:val="00397E9D"/>
    <w:rsid w:val="003A0016"/>
    <w:rsid w:val="003A022F"/>
    <w:rsid w:val="003A0234"/>
    <w:rsid w:val="003A026B"/>
    <w:rsid w:val="003A0385"/>
    <w:rsid w:val="003A045F"/>
    <w:rsid w:val="003A0489"/>
    <w:rsid w:val="003A052B"/>
    <w:rsid w:val="003A06A3"/>
    <w:rsid w:val="003A0866"/>
    <w:rsid w:val="003A08CF"/>
    <w:rsid w:val="003A08EC"/>
    <w:rsid w:val="003A0B06"/>
    <w:rsid w:val="003A0CD8"/>
    <w:rsid w:val="003A10D6"/>
    <w:rsid w:val="003A1332"/>
    <w:rsid w:val="003A17B5"/>
    <w:rsid w:val="003A1801"/>
    <w:rsid w:val="003A1937"/>
    <w:rsid w:val="003A205F"/>
    <w:rsid w:val="003A23F9"/>
    <w:rsid w:val="003A2422"/>
    <w:rsid w:val="003A25CD"/>
    <w:rsid w:val="003A2923"/>
    <w:rsid w:val="003A29B9"/>
    <w:rsid w:val="003A2D77"/>
    <w:rsid w:val="003A2E64"/>
    <w:rsid w:val="003A2EBF"/>
    <w:rsid w:val="003A2F5A"/>
    <w:rsid w:val="003A3014"/>
    <w:rsid w:val="003A31DA"/>
    <w:rsid w:val="003A33C4"/>
    <w:rsid w:val="003A33CB"/>
    <w:rsid w:val="003A33F5"/>
    <w:rsid w:val="003A3472"/>
    <w:rsid w:val="003A3586"/>
    <w:rsid w:val="003A3596"/>
    <w:rsid w:val="003A3689"/>
    <w:rsid w:val="003A36D7"/>
    <w:rsid w:val="003A36E1"/>
    <w:rsid w:val="003A379B"/>
    <w:rsid w:val="003A3839"/>
    <w:rsid w:val="003A3980"/>
    <w:rsid w:val="003A3B6B"/>
    <w:rsid w:val="003A3C7A"/>
    <w:rsid w:val="003A3E67"/>
    <w:rsid w:val="003A3EF2"/>
    <w:rsid w:val="003A3FA4"/>
    <w:rsid w:val="003A41F3"/>
    <w:rsid w:val="003A450A"/>
    <w:rsid w:val="003A4763"/>
    <w:rsid w:val="003A47FB"/>
    <w:rsid w:val="003A4801"/>
    <w:rsid w:val="003A4A4B"/>
    <w:rsid w:val="003A4AEF"/>
    <w:rsid w:val="003A4B3E"/>
    <w:rsid w:val="003A4B92"/>
    <w:rsid w:val="003A4CA5"/>
    <w:rsid w:val="003A4F0F"/>
    <w:rsid w:val="003A5193"/>
    <w:rsid w:val="003A51E2"/>
    <w:rsid w:val="003A52AC"/>
    <w:rsid w:val="003A55B3"/>
    <w:rsid w:val="003A57A9"/>
    <w:rsid w:val="003A59EA"/>
    <w:rsid w:val="003A5A18"/>
    <w:rsid w:val="003A5A22"/>
    <w:rsid w:val="003A5AE9"/>
    <w:rsid w:val="003A6230"/>
    <w:rsid w:val="003A6269"/>
    <w:rsid w:val="003A62E9"/>
    <w:rsid w:val="003A6449"/>
    <w:rsid w:val="003A65CC"/>
    <w:rsid w:val="003A67D2"/>
    <w:rsid w:val="003A68B5"/>
    <w:rsid w:val="003A6939"/>
    <w:rsid w:val="003A6A83"/>
    <w:rsid w:val="003A6C9D"/>
    <w:rsid w:val="003A70CD"/>
    <w:rsid w:val="003A7127"/>
    <w:rsid w:val="003A72D5"/>
    <w:rsid w:val="003A73D7"/>
    <w:rsid w:val="003A7817"/>
    <w:rsid w:val="003A790C"/>
    <w:rsid w:val="003A7931"/>
    <w:rsid w:val="003A7AC8"/>
    <w:rsid w:val="003A7B6B"/>
    <w:rsid w:val="003A7CDC"/>
    <w:rsid w:val="003B00FB"/>
    <w:rsid w:val="003B01C3"/>
    <w:rsid w:val="003B0245"/>
    <w:rsid w:val="003B02C1"/>
    <w:rsid w:val="003B03F7"/>
    <w:rsid w:val="003B069B"/>
    <w:rsid w:val="003B06A9"/>
    <w:rsid w:val="003B0735"/>
    <w:rsid w:val="003B0736"/>
    <w:rsid w:val="003B0782"/>
    <w:rsid w:val="003B0831"/>
    <w:rsid w:val="003B09CB"/>
    <w:rsid w:val="003B0B24"/>
    <w:rsid w:val="003B0D1C"/>
    <w:rsid w:val="003B1065"/>
    <w:rsid w:val="003B10F8"/>
    <w:rsid w:val="003B14A4"/>
    <w:rsid w:val="003B1520"/>
    <w:rsid w:val="003B1832"/>
    <w:rsid w:val="003B18C6"/>
    <w:rsid w:val="003B1A39"/>
    <w:rsid w:val="003B1B4B"/>
    <w:rsid w:val="003B1B96"/>
    <w:rsid w:val="003B1D18"/>
    <w:rsid w:val="003B1F34"/>
    <w:rsid w:val="003B1F81"/>
    <w:rsid w:val="003B2059"/>
    <w:rsid w:val="003B209A"/>
    <w:rsid w:val="003B248E"/>
    <w:rsid w:val="003B24E1"/>
    <w:rsid w:val="003B28C1"/>
    <w:rsid w:val="003B2B4B"/>
    <w:rsid w:val="003B2B6C"/>
    <w:rsid w:val="003B2B8C"/>
    <w:rsid w:val="003B2BCE"/>
    <w:rsid w:val="003B2CA8"/>
    <w:rsid w:val="003B2E4B"/>
    <w:rsid w:val="003B2E8C"/>
    <w:rsid w:val="003B2F8B"/>
    <w:rsid w:val="003B33B6"/>
    <w:rsid w:val="003B37A7"/>
    <w:rsid w:val="003B38DA"/>
    <w:rsid w:val="003B3994"/>
    <w:rsid w:val="003B3F6B"/>
    <w:rsid w:val="003B4236"/>
    <w:rsid w:val="003B4697"/>
    <w:rsid w:val="003B46B2"/>
    <w:rsid w:val="003B4771"/>
    <w:rsid w:val="003B4A53"/>
    <w:rsid w:val="003B4ABD"/>
    <w:rsid w:val="003B4B8B"/>
    <w:rsid w:val="003B4C7C"/>
    <w:rsid w:val="003B4D53"/>
    <w:rsid w:val="003B4DFE"/>
    <w:rsid w:val="003B4E8C"/>
    <w:rsid w:val="003B4FD7"/>
    <w:rsid w:val="003B51A6"/>
    <w:rsid w:val="003B531B"/>
    <w:rsid w:val="003B538A"/>
    <w:rsid w:val="003B543E"/>
    <w:rsid w:val="003B5B8B"/>
    <w:rsid w:val="003B5BAE"/>
    <w:rsid w:val="003B5BDD"/>
    <w:rsid w:val="003B5D48"/>
    <w:rsid w:val="003B6428"/>
    <w:rsid w:val="003B67BB"/>
    <w:rsid w:val="003B67EB"/>
    <w:rsid w:val="003B687A"/>
    <w:rsid w:val="003B68FD"/>
    <w:rsid w:val="003B6B51"/>
    <w:rsid w:val="003B6C4F"/>
    <w:rsid w:val="003B6D1C"/>
    <w:rsid w:val="003B6DAB"/>
    <w:rsid w:val="003B6F81"/>
    <w:rsid w:val="003B6FC6"/>
    <w:rsid w:val="003B7050"/>
    <w:rsid w:val="003B7335"/>
    <w:rsid w:val="003B7460"/>
    <w:rsid w:val="003B77B6"/>
    <w:rsid w:val="003B77D4"/>
    <w:rsid w:val="003B7873"/>
    <w:rsid w:val="003B789B"/>
    <w:rsid w:val="003B7D85"/>
    <w:rsid w:val="003B7DB3"/>
    <w:rsid w:val="003B7F8F"/>
    <w:rsid w:val="003B7FD0"/>
    <w:rsid w:val="003C017C"/>
    <w:rsid w:val="003C01D3"/>
    <w:rsid w:val="003C020F"/>
    <w:rsid w:val="003C0237"/>
    <w:rsid w:val="003C035C"/>
    <w:rsid w:val="003C0365"/>
    <w:rsid w:val="003C05F8"/>
    <w:rsid w:val="003C06D7"/>
    <w:rsid w:val="003C077C"/>
    <w:rsid w:val="003C0809"/>
    <w:rsid w:val="003C0902"/>
    <w:rsid w:val="003C0924"/>
    <w:rsid w:val="003C09A8"/>
    <w:rsid w:val="003C09B7"/>
    <w:rsid w:val="003C0A5C"/>
    <w:rsid w:val="003C0A72"/>
    <w:rsid w:val="003C0B7F"/>
    <w:rsid w:val="003C0EF9"/>
    <w:rsid w:val="003C11B4"/>
    <w:rsid w:val="003C12BF"/>
    <w:rsid w:val="003C1485"/>
    <w:rsid w:val="003C1562"/>
    <w:rsid w:val="003C1717"/>
    <w:rsid w:val="003C18CD"/>
    <w:rsid w:val="003C1933"/>
    <w:rsid w:val="003C1A4B"/>
    <w:rsid w:val="003C1A52"/>
    <w:rsid w:val="003C1F0A"/>
    <w:rsid w:val="003C20BB"/>
    <w:rsid w:val="003C21F1"/>
    <w:rsid w:val="003C21F7"/>
    <w:rsid w:val="003C22C3"/>
    <w:rsid w:val="003C264C"/>
    <w:rsid w:val="003C2883"/>
    <w:rsid w:val="003C290A"/>
    <w:rsid w:val="003C2ACB"/>
    <w:rsid w:val="003C2D63"/>
    <w:rsid w:val="003C2DDF"/>
    <w:rsid w:val="003C2E1B"/>
    <w:rsid w:val="003C30B3"/>
    <w:rsid w:val="003C3232"/>
    <w:rsid w:val="003C33F4"/>
    <w:rsid w:val="003C346F"/>
    <w:rsid w:val="003C3574"/>
    <w:rsid w:val="003C36FD"/>
    <w:rsid w:val="003C38A3"/>
    <w:rsid w:val="003C3A91"/>
    <w:rsid w:val="003C3CEE"/>
    <w:rsid w:val="003C3D4F"/>
    <w:rsid w:val="003C3E76"/>
    <w:rsid w:val="003C4207"/>
    <w:rsid w:val="003C4225"/>
    <w:rsid w:val="003C49B3"/>
    <w:rsid w:val="003C4A5E"/>
    <w:rsid w:val="003C4B34"/>
    <w:rsid w:val="003C4D68"/>
    <w:rsid w:val="003C4ED0"/>
    <w:rsid w:val="003C4F83"/>
    <w:rsid w:val="003C50C9"/>
    <w:rsid w:val="003C51A7"/>
    <w:rsid w:val="003C53CA"/>
    <w:rsid w:val="003C5489"/>
    <w:rsid w:val="003C5527"/>
    <w:rsid w:val="003C5695"/>
    <w:rsid w:val="003C57B6"/>
    <w:rsid w:val="003C5975"/>
    <w:rsid w:val="003C5A14"/>
    <w:rsid w:val="003C5EB0"/>
    <w:rsid w:val="003C6119"/>
    <w:rsid w:val="003C613F"/>
    <w:rsid w:val="003C6336"/>
    <w:rsid w:val="003C64F8"/>
    <w:rsid w:val="003C671C"/>
    <w:rsid w:val="003C6A59"/>
    <w:rsid w:val="003C6F58"/>
    <w:rsid w:val="003C7230"/>
    <w:rsid w:val="003C77EA"/>
    <w:rsid w:val="003C785D"/>
    <w:rsid w:val="003C78C7"/>
    <w:rsid w:val="003C7C86"/>
    <w:rsid w:val="003C7DE1"/>
    <w:rsid w:val="003C7EA6"/>
    <w:rsid w:val="003D0200"/>
    <w:rsid w:val="003D0352"/>
    <w:rsid w:val="003D04E8"/>
    <w:rsid w:val="003D08E5"/>
    <w:rsid w:val="003D09C7"/>
    <w:rsid w:val="003D09FF"/>
    <w:rsid w:val="003D0A7C"/>
    <w:rsid w:val="003D0BAD"/>
    <w:rsid w:val="003D0D82"/>
    <w:rsid w:val="003D0DCC"/>
    <w:rsid w:val="003D0FA8"/>
    <w:rsid w:val="003D10B9"/>
    <w:rsid w:val="003D117B"/>
    <w:rsid w:val="003D129F"/>
    <w:rsid w:val="003D130A"/>
    <w:rsid w:val="003D155F"/>
    <w:rsid w:val="003D1592"/>
    <w:rsid w:val="003D169A"/>
    <w:rsid w:val="003D169C"/>
    <w:rsid w:val="003D1738"/>
    <w:rsid w:val="003D17F6"/>
    <w:rsid w:val="003D1B07"/>
    <w:rsid w:val="003D1B43"/>
    <w:rsid w:val="003D1BA1"/>
    <w:rsid w:val="003D1D5D"/>
    <w:rsid w:val="003D1D64"/>
    <w:rsid w:val="003D1E41"/>
    <w:rsid w:val="003D1E88"/>
    <w:rsid w:val="003D1FA6"/>
    <w:rsid w:val="003D1FF1"/>
    <w:rsid w:val="003D2008"/>
    <w:rsid w:val="003D26F5"/>
    <w:rsid w:val="003D26FE"/>
    <w:rsid w:val="003D2746"/>
    <w:rsid w:val="003D2869"/>
    <w:rsid w:val="003D2918"/>
    <w:rsid w:val="003D2AA4"/>
    <w:rsid w:val="003D2C97"/>
    <w:rsid w:val="003D2EE4"/>
    <w:rsid w:val="003D3061"/>
    <w:rsid w:val="003D30A1"/>
    <w:rsid w:val="003D3177"/>
    <w:rsid w:val="003D336B"/>
    <w:rsid w:val="003D3452"/>
    <w:rsid w:val="003D34B6"/>
    <w:rsid w:val="003D353D"/>
    <w:rsid w:val="003D37D2"/>
    <w:rsid w:val="003D38AE"/>
    <w:rsid w:val="003D38BB"/>
    <w:rsid w:val="003D3EF3"/>
    <w:rsid w:val="003D3F8B"/>
    <w:rsid w:val="003D3FBC"/>
    <w:rsid w:val="003D3FFB"/>
    <w:rsid w:val="003D4031"/>
    <w:rsid w:val="003D41B9"/>
    <w:rsid w:val="003D423F"/>
    <w:rsid w:val="003D4452"/>
    <w:rsid w:val="003D451C"/>
    <w:rsid w:val="003D4562"/>
    <w:rsid w:val="003D4A07"/>
    <w:rsid w:val="003D4AA3"/>
    <w:rsid w:val="003D4C44"/>
    <w:rsid w:val="003D4D99"/>
    <w:rsid w:val="003D501B"/>
    <w:rsid w:val="003D5270"/>
    <w:rsid w:val="003D5508"/>
    <w:rsid w:val="003D5AD4"/>
    <w:rsid w:val="003D5B48"/>
    <w:rsid w:val="003D5DEB"/>
    <w:rsid w:val="003D5EF9"/>
    <w:rsid w:val="003D60A9"/>
    <w:rsid w:val="003D60E9"/>
    <w:rsid w:val="003D647D"/>
    <w:rsid w:val="003D6502"/>
    <w:rsid w:val="003D6652"/>
    <w:rsid w:val="003D6864"/>
    <w:rsid w:val="003D68C0"/>
    <w:rsid w:val="003D6A80"/>
    <w:rsid w:val="003D6BF1"/>
    <w:rsid w:val="003D6CED"/>
    <w:rsid w:val="003D6D65"/>
    <w:rsid w:val="003D7024"/>
    <w:rsid w:val="003D7124"/>
    <w:rsid w:val="003D738A"/>
    <w:rsid w:val="003D77E2"/>
    <w:rsid w:val="003D781B"/>
    <w:rsid w:val="003D7B75"/>
    <w:rsid w:val="003D7EB0"/>
    <w:rsid w:val="003E00B7"/>
    <w:rsid w:val="003E00F3"/>
    <w:rsid w:val="003E03C3"/>
    <w:rsid w:val="003E04C2"/>
    <w:rsid w:val="003E06D6"/>
    <w:rsid w:val="003E0775"/>
    <w:rsid w:val="003E0822"/>
    <w:rsid w:val="003E0832"/>
    <w:rsid w:val="003E0BBA"/>
    <w:rsid w:val="003E0DB7"/>
    <w:rsid w:val="003E0DE8"/>
    <w:rsid w:val="003E0F1E"/>
    <w:rsid w:val="003E0FC5"/>
    <w:rsid w:val="003E0FCE"/>
    <w:rsid w:val="003E125A"/>
    <w:rsid w:val="003E128A"/>
    <w:rsid w:val="003E12B8"/>
    <w:rsid w:val="003E1476"/>
    <w:rsid w:val="003E1497"/>
    <w:rsid w:val="003E1733"/>
    <w:rsid w:val="003E1821"/>
    <w:rsid w:val="003E1903"/>
    <w:rsid w:val="003E1A49"/>
    <w:rsid w:val="003E1C00"/>
    <w:rsid w:val="003E1C56"/>
    <w:rsid w:val="003E1F1F"/>
    <w:rsid w:val="003E1FE4"/>
    <w:rsid w:val="003E2026"/>
    <w:rsid w:val="003E21AA"/>
    <w:rsid w:val="003E23D0"/>
    <w:rsid w:val="003E246A"/>
    <w:rsid w:val="003E2478"/>
    <w:rsid w:val="003E24F5"/>
    <w:rsid w:val="003E2583"/>
    <w:rsid w:val="003E27E0"/>
    <w:rsid w:val="003E280F"/>
    <w:rsid w:val="003E2ACE"/>
    <w:rsid w:val="003E2C70"/>
    <w:rsid w:val="003E3245"/>
    <w:rsid w:val="003E3391"/>
    <w:rsid w:val="003E34B7"/>
    <w:rsid w:val="003E397F"/>
    <w:rsid w:val="003E3A1E"/>
    <w:rsid w:val="003E3C46"/>
    <w:rsid w:val="003E3C64"/>
    <w:rsid w:val="003E3E26"/>
    <w:rsid w:val="003E3EA1"/>
    <w:rsid w:val="003E3F57"/>
    <w:rsid w:val="003E40BA"/>
    <w:rsid w:val="003E4270"/>
    <w:rsid w:val="003E42B6"/>
    <w:rsid w:val="003E458E"/>
    <w:rsid w:val="003E4887"/>
    <w:rsid w:val="003E48E7"/>
    <w:rsid w:val="003E496F"/>
    <w:rsid w:val="003E498B"/>
    <w:rsid w:val="003E499B"/>
    <w:rsid w:val="003E4EB4"/>
    <w:rsid w:val="003E4FCB"/>
    <w:rsid w:val="003E54E0"/>
    <w:rsid w:val="003E5794"/>
    <w:rsid w:val="003E591A"/>
    <w:rsid w:val="003E5A7B"/>
    <w:rsid w:val="003E5DAB"/>
    <w:rsid w:val="003E5FCD"/>
    <w:rsid w:val="003E6085"/>
    <w:rsid w:val="003E61CD"/>
    <w:rsid w:val="003E6299"/>
    <w:rsid w:val="003E6327"/>
    <w:rsid w:val="003E6591"/>
    <w:rsid w:val="003E68FE"/>
    <w:rsid w:val="003E6B6D"/>
    <w:rsid w:val="003E6CC7"/>
    <w:rsid w:val="003E6E31"/>
    <w:rsid w:val="003E6EB0"/>
    <w:rsid w:val="003E7271"/>
    <w:rsid w:val="003E747A"/>
    <w:rsid w:val="003E7540"/>
    <w:rsid w:val="003E7647"/>
    <w:rsid w:val="003E77E8"/>
    <w:rsid w:val="003E7971"/>
    <w:rsid w:val="003F01F7"/>
    <w:rsid w:val="003F046D"/>
    <w:rsid w:val="003F0491"/>
    <w:rsid w:val="003F05F8"/>
    <w:rsid w:val="003F06AB"/>
    <w:rsid w:val="003F08C9"/>
    <w:rsid w:val="003F0908"/>
    <w:rsid w:val="003F0A38"/>
    <w:rsid w:val="003F0B4C"/>
    <w:rsid w:val="003F0C22"/>
    <w:rsid w:val="003F0C9D"/>
    <w:rsid w:val="003F0D13"/>
    <w:rsid w:val="003F0E19"/>
    <w:rsid w:val="003F0E4A"/>
    <w:rsid w:val="003F0EC0"/>
    <w:rsid w:val="003F0F60"/>
    <w:rsid w:val="003F102F"/>
    <w:rsid w:val="003F1061"/>
    <w:rsid w:val="003F146D"/>
    <w:rsid w:val="003F14AE"/>
    <w:rsid w:val="003F16FF"/>
    <w:rsid w:val="003F1B53"/>
    <w:rsid w:val="003F1FA2"/>
    <w:rsid w:val="003F2170"/>
    <w:rsid w:val="003F2187"/>
    <w:rsid w:val="003F221D"/>
    <w:rsid w:val="003F2258"/>
    <w:rsid w:val="003F248B"/>
    <w:rsid w:val="003F25A3"/>
    <w:rsid w:val="003F276A"/>
    <w:rsid w:val="003F2824"/>
    <w:rsid w:val="003F2849"/>
    <w:rsid w:val="003F287D"/>
    <w:rsid w:val="003F2880"/>
    <w:rsid w:val="003F28CA"/>
    <w:rsid w:val="003F29DB"/>
    <w:rsid w:val="003F2CD0"/>
    <w:rsid w:val="003F3097"/>
    <w:rsid w:val="003F313B"/>
    <w:rsid w:val="003F3208"/>
    <w:rsid w:val="003F33B1"/>
    <w:rsid w:val="003F37C1"/>
    <w:rsid w:val="003F3823"/>
    <w:rsid w:val="003F383E"/>
    <w:rsid w:val="003F3852"/>
    <w:rsid w:val="003F3AFA"/>
    <w:rsid w:val="003F3D26"/>
    <w:rsid w:val="003F4240"/>
    <w:rsid w:val="003F486D"/>
    <w:rsid w:val="003F48E3"/>
    <w:rsid w:val="003F4CC9"/>
    <w:rsid w:val="003F4D37"/>
    <w:rsid w:val="003F4F16"/>
    <w:rsid w:val="003F51CD"/>
    <w:rsid w:val="003F5274"/>
    <w:rsid w:val="003F52E1"/>
    <w:rsid w:val="003F5626"/>
    <w:rsid w:val="003F5803"/>
    <w:rsid w:val="003F5864"/>
    <w:rsid w:val="003F5BA6"/>
    <w:rsid w:val="003F5DE5"/>
    <w:rsid w:val="003F5EA6"/>
    <w:rsid w:val="003F6265"/>
    <w:rsid w:val="003F66B3"/>
    <w:rsid w:val="003F69C3"/>
    <w:rsid w:val="003F6F28"/>
    <w:rsid w:val="003F72D4"/>
    <w:rsid w:val="003F73A9"/>
    <w:rsid w:val="003F7571"/>
    <w:rsid w:val="003F7594"/>
    <w:rsid w:val="003F759B"/>
    <w:rsid w:val="003F769A"/>
    <w:rsid w:val="003F797C"/>
    <w:rsid w:val="003F79A4"/>
    <w:rsid w:val="003F7B06"/>
    <w:rsid w:val="003F7D55"/>
    <w:rsid w:val="004001B0"/>
    <w:rsid w:val="0040048C"/>
    <w:rsid w:val="004004D1"/>
    <w:rsid w:val="004005F1"/>
    <w:rsid w:val="004006B0"/>
    <w:rsid w:val="00400922"/>
    <w:rsid w:val="004009BE"/>
    <w:rsid w:val="00400BCC"/>
    <w:rsid w:val="00400F25"/>
    <w:rsid w:val="00401334"/>
    <w:rsid w:val="00401630"/>
    <w:rsid w:val="004016FB"/>
    <w:rsid w:val="00401950"/>
    <w:rsid w:val="00401C0E"/>
    <w:rsid w:val="004020DF"/>
    <w:rsid w:val="004020FC"/>
    <w:rsid w:val="00402234"/>
    <w:rsid w:val="00402267"/>
    <w:rsid w:val="0040242E"/>
    <w:rsid w:val="004024BD"/>
    <w:rsid w:val="00402537"/>
    <w:rsid w:val="00402605"/>
    <w:rsid w:val="00402774"/>
    <w:rsid w:val="00402A11"/>
    <w:rsid w:val="00402A91"/>
    <w:rsid w:val="00402ADC"/>
    <w:rsid w:val="00402F65"/>
    <w:rsid w:val="004030EA"/>
    <w:rsid w:val="0040334F"/>
    <w:rsid w:val="004035E0"/>
    <w:rsid w:val="0040360E"/>
    <w:rsid w:val="0040383D"/>
    <w:rsid w:val="00403964"/>
    <w:rsid w:val="004039BA"/>
    <w:rsid w:val="00403A7A"/>
    <w:rsid w:val="00403B53"/>
    <w:rsid w:val="00403C0F"/>
    <w:rsid w:val="00403D1F"/>
    <w:rsid w:val="00403D40"/>
    <w:rsid w:val="00403D52"/>
    <w:rsid w:val="004040AA"/>
    <w:rsid w:val="00404254"/>
    <w:rsid w:val="004042C2"/>
    <w:rsid w:val="004043EB"/>
    <w:rsid w:val="00404572"/>
    <w:rsid w:val="004049BD"/>
    <w:rsid w:val="00404A16"/>
    <w:rsid w:val="00404AB2"/>
    <w:rsid w:val="00404EE9"/>
    <w:rsid w:val="00404F40"/>
    <w:rsid w:val="004052D5"/>
    <w:rsid w:val="004053B8"/>
    <w:rsid w:val="0040550D"/>
    <w:rsid w:val="00405510"/>
    <w:rsid w:val="0040577D"/>
    <w:rsid w:val="00405F44"/>
    <w:rsid w:val="004060B9"/>
    <w:rsid w:val="004060D7"/>
    <w:rsid w:val="00406606"/>
    <w:rsid w:val="0040671E"/>
    <w:rsid w:val="004067F6"/>
    <w:rsid w:val="00406A1E"/>
    <w:rsid w:val="00406B90"/>
    <w:rsid w:val="00406C8D"/>
    <w:rsid w:val="00406DB5"/>
    <w:rsid w:val="00406ECA"/>
    <w:rsid w:val="00406FB2"/>
    <w:rsid w:val="004073B4"/>
    <w:rsid w:val="0040749C"/>
    <w:rsid w:val="004075CC"/>
    <w:rsid w:val="00407B73"/>
    <w:rsid w:val="00407D78"/>
    <w:rsid w:val="00407E74"/>
    <w:rsid w:val="00407E82"/>
    <w:rsid w:val="0041029D"/>
    <w:rsid w:val="004103D1"/>
    <w:rsid w:val="00410442"/>
    <w:rsid w:val="004104B2"/>
    <w:rsid w:val="00410889"/>
    <w:rsid w:val="004108A7"/>
    <w:rsid w:val="00410D60"/>
    <w:rsid w:val="00410E3E"/>
    <w:rsid w:val="00411077"/>
    <w:rsid w:val="00411103"/>
    <w:rsid w:val="00411200"/>
    <w:rsid w:val="00411336"/>
    <w:rsid w:val="004113BF"/>
    <w:rsid w:val="004113C8"/>
    <w:rsid w:val="00411646"/>
    <w:rsid w:val="004117D4"/>
    <w:rsid w:val="00411B87"/>
    <w:rsid w:val="00411F5D"/>
    <w:rsid w:val="004120FC"/>
    <w:rsid w:val="0041216D"/>
    <w:rsid w:val="0041235C"/>
    <w:rsid w:val="00412475"/>
    <w:rsid w:val="00412658"/>
    <w:rsid w:val="00412676"/>
    <w:rsid w:val="00412697"/>
    <w:rsid w:val="004126A1"/>
    <w:rsid w:val="004126AB"/>
    <w:rsid w:val="0041270B"/>
    <w:rsid w:val="00412F24"/>
    <w:rsid w:val="00412F52"/>
    <w:rsid w:val="004137E8"/>
    <w:rsid w:val="004139AB"/>
    <w:rsid w:val="00413AC2"/>
    <w:rsid w:val="00413C0D"/>
    <w:rsid w:val="00413C1A"/>
    <w:rsid w:val="00414076"/>
    <w:rsid w:val="004141BB"/>
    <w:rsid w:val="00414217"/>
    <w:rsid w:val="004144AE"/>
    <w:rsid w:val="0041451A"/>
    <w:rsid w:val="0041462E"/>
    <w:rsid w:val="00414746"/>
    <w:rsid w:val="00414A0F"/>
    <w:rsid w:val="00414F2B"/>
    <w:rsid w:val="004150AB"/>
    <w:rsid w:val="004150FE"/>
    <w:rsid w:val="0041519F"/>
    <w:rsid w:val="00415269"/>
    <w:rsid w:val="004155F4"/>
    <w:rsid w:val="00415AB6"/>
    <w:rsid w:val="00415F12"/>
    <w:rsid w:val="00415F90"/>
    <w:rsid w:val="00416005"/>
    <w:rsid w:val="0041610A"/>
    <w:rsid w:val="00416395"/>
    <w:rsid w:val="00416441"/>
    <w:rsid w:val="0041651E"/>
    <w:rsid w:val="00416702"/>
    <w:rsid w:val="00416764"/>
    <w:rsid w:val="0041676F"/>
    <w:rsid w:val="00416797"/>
    <w:rsid w:val="004169CF"/>
    <w:rsid w:val="00416F75"/>
    <w:rsid w:val="004170B3"/>
    <w:rsid w:val="00417143"/>
    <w:rsid w:val="004171BF"/>
    <w:rsid w:val="004172F7"/>
    <w:rsid w:val="004177C0"/>
    <w:rsid w:val="004178F3"/>
    <w:rsid w:val="0041794B"/>
    <w:rsid w:val="00417976"/>
    <w:rsid w:val="00417B8C"/>
    <w:rsid w:val="00417D26"/>
    <w:rsid w:val="00417E4F"/>
    <w:rsid w:val="004200D0"/>
    <w:rsid w:val="00420171"/>
    <w:rsid w:val="0042025B"/>
    <w:rsid w:val="0042027E"/>
    <w:rsid w:val="00420457"/>
    <w:rsid w:val="00420562"/>
    <w:rsid w:val="0042057D"/>
    <w:rsid w:val="0042065F"/>
    <w:rsid w:val="00420D0B"/>
    <w:rsid w:val="00420DC3"/>
    <w:rsid w:val="00420E13"/>
    <w:rsid w:val="0042134F"/>
    <w:rsid w:val="004215E7"/>
    <w:rsid w:val="004216BB"/>
    <w:rsid w:val="00421A69"/>
    <w:rsid w:val="00421B1A"/>
    <w:rsid w:val="00421B8E"/>
    <w:rsid w:val="00421C7B"/>
    <w:rsid w:val="00421CFA"/>
    <w:rsid w:val="00421F88"/>
    <w:rsid w:val="00422033"/>
    <w:rsid w:val="00422377"/>
    <w:rsid w:val="0042239C"/>
    <w:rsid w:val="00422411"/>
    <w:rsid w:val="0042266D"/>
    <w:rsid w:val="00422B5F"/>
    <w:rsid w:val="00422CC1"/>
    <w:rsid w:val="00422CFF"/>
    <w:rsid w:val="00422F2D"/>
    <w:rsid w:val="00423267"/>
    <w:rsid w:val="004233F2"/>
    <w:rsid w:val="004234B4"/>
    <w:rsid w:val="004234C9"/>
    <w:rsid w:val="0042370D"/>
    <w:rsid w:val="00423BA2"/>
    <w:rsid w:val="00423C11"/>
    <w:rsid w:val="00423DB8"/>
    <w:rsid w:val="004244B4"/>
    <w:rsid w:val="00424622"/>
    <w:rsid w:val="00424658"/>
    <w:rsid w:val="004247A1"/>
    <w:rsid w:val="00424814"/>
    <w:rsid w:val="00424D08"/>
    <w:rsid w:val="00424D16"/>
    <w:rsid w:val="00424DD3"/>
    <w:rsid w:val="00424DF0"/>
    <w:rsid w:val="00424EA2"/>
    <w:rsid w:val="00425145"/>
    <w:rsid w:val="00425261"/>
    <w:rsid w:val="00425443"/>
    <w:rsid w:val="004254F4"/>
    <w:rsid w:val="00425766"/>
    <w:rsid w:val="00425E39"/>
    <w:rsid w:val="004261C8"/>
    <w:rsid w:val="004261D6"/>
    <w:rsid w:val="00426316"/>
    <w:rsid w:val="00426361"/>
    <w:rsid w:val="0042645B"/>
    <w:rsid w:val="00426578"/>
    <w:rsid w:val="0042698A"/>
    <w:rsid w:val="00426A2E"/>
    <w:rsid w:val="00426BFE"/>
    <w:rsid w:val="00426E69"/>
    <w:rsid w:val="004272FD"/>
    <w:rsid w:val="00427349"/>
    <w:rsid w:val="004278FC"/>
    <w:rsid w:val="0042798D"/>
    <w:rsid w:val="00427B49"/>
    <w:rsid w:val="00427D0E"/>
    <w:rsid w:val="00427D85"/>
    <w:rsid w:val="00427F40"/>
    <w:rsid w:val="00427FA6"/>
    <w:rsid w:val="00427FF1"/>
    <w:rsid w:val="00430190"/>
    <w:rsid w:val="0043033F"/>
    <w:rsid w:val="0043039E"/>
    <w:rsid w:val="00430621"/>
    <w:rsid w:val="0043065C"/>
    <w:rsid w:val="0043086C"/>
    <w:rsid w:val="0043096F"/>
    <w:rsid w:val="00430A02"/>
    <w:rsid w:val="00430A2A"/>
    <w:rsid w:val="00430BF8"/>
    <w:rsid w:val="00430C1D"/>
    <w:rsid w:val="00430E5A"/>
    <w:rsid w:val="00431053"/>
    <w:rsid w:val="00431854"/>
    <w:rsid w:val="00431B14"/>
    <w:rsid w:val="00431B77"/>
    <w:rsid w:val="00431C60"/>
    <w:rsid w:val="00431D03"/>
    <w:rsid w:val="00431D24"/>
    <w:rsid w:val="00431D51"/>
    <w:rsid w:val="00431DEC"/>
    <w:rsid w:val="00431F43"/>
    <w:rsid w:val="004320E7"/>
    <w:rsid w:val="004323C2"/>
    <w:rsid w:val="0043255D"/>
    <w:rsid w:val="004327CC"/>
    <w:rsid w:val="004327E7"/>
    <w:rsid w:val="00432865"/>
    <w:rsid w:val="00432873"/>
    <w:rsid w:val="00432897"/>
    <w:rsid w:val="004329B6"/>
    <w:rsid w:val="00432C4E"/>
    <w:rsid w:val="00432D5D"/>
    <w:rsid w:val="00432EE6"/>
    <w:rsid w:val="00432FFF"/>
    <w:rsid w:val="00433115"/>
    <w:rsid w:val="00433174"/>
    <w:rsid w:val="0043337C"/>
    <w:rsid w:val="00433515"/>
    <w:rsid w:val="0043365B"/>
    <w:rsid w:val="00433ACC"/>
    <w:rsid w:val="00433C20"/>
    <w:rsid w:val="00433C33"/>
    <w:rsid w:val="00433D46"/>
    <w:rsid w:val="00434253"/>
    <w:rsid w:val="00434355"/>
    <w:rsid w:val="00434384"/>
    <w:rsid w:val="004343FF"/>
    <w:rsid w:val="00434828"/>
    <w:rsid w:val="00434886"/>
    <w:rsid w:val="00434ACA"/>
    <w:rsid w:val="00434C7A"/>
    <w:rsid w:val="00434D6D"/>
    <w:rsid w:val="0043509F"/>
    <w:rsid w:val="0043511F"/>
    <w:rsid w:val="00435148"/>
    <w:rsid w:val="00435234"/>
    <w:rsid w:val="00435290"/>
    <w:rsid w:val="004353FB"/>
    <w:rsid w:val="00435624"/>
    <w:rsid w:val="004356CA"/>
    <w:rsid w:val="00435981"/>
    <w:rsid w:val="00435DD4"/>
    <w:rsid w:val="00435E25"/>
    <w:rsid w:val="00435E37"/>
    <w:rsid w:val="00436093"/>
    <w:rsid w:val="00436372"/>
    <w:rsid w:val="00436397"/>
    <w:rsid w:val="0043643A"/>
    <w:rsid w:val="0043647A"/>
    <w:rsid w:val="004364FE"/>
    <w:rsid w:val="00436620"/>
    <w:rsid w:val="00436E5F"/>
    <w:rsid w:val="00437492"/>
    <w:rsid w:val="00437523"/>
    <w:rsid w:val="0043753E"/>
    <w:rsid w:val="004375B6"/>
    <w:rsid w:val="0043784E"/>
    <w:rsid w:val="00437D0C"/>
    <w:rsid w:val="00437EDF"/>
    <w:rsid w:val="00437F8D"/>
    <w:rsid w:val="004404FE"/>
    <w:rsid w:val="0044050C"/>
    <w:rsid w:val="004406DC"/>
    <w:rsid w:val="004406FD"/>
    <w:rsid w:val="00440924"/>
    <w:rsid w:val="0044096A"/>
    <w:rsid w:val="004409CA"/>
    <w:rsid w:val="00440D5B"/>
    <w:rsid w:val="00440D7A"/>
    <w:rsid w:val="00440E75"/>
    <w:rsid w:val="004414D2"/>
    <w:rsid w:val="004415BC"/>
    <w:rsid w:val="00441600"/>
    <w:rsid w:val="00441691"/>
    <w:rsid w:val="00441730"/>
    <w:rsid w:val="00441971"/>
    <w:rsid w:val="00441AC0"/>
    <w:rsid w:val="00441C70"/>
    <w:rsid w:val="00441E36"/>
    <w:rsid w:val="004420D9"/>
    <w:rsid w:val="00442261"/>
    <w:rsid w:val="004426B0"/>
    <w:rsid w:val="00442736"/>
    <w:rsid w:val="004428AE"/>
    <w:rsid w:val="00442937"/>
    <w:rsid w:val="00442AE1"/>
    <w:rsid w:val="00442B86"/>
    <w:rsid w:val="00442F45"/>
    <w:rsid w:val="00442FB6"/>
    <w:rsid w:val="00442FD4"/>
    <w:rsid w:val="00442FD7"/>
    <w:rsid w:val="00443046"/>
    <w:rsid w:val="00443137"/>
    <w:rsid w:val="00443538"/>
    <w:rsid w:val="00443719"/>
    <w:rsid w:val="00443723"/>
    <w:rsid w:val="00443D69"/>
    <w:rsid w:val="00443E23"/>
    <w:rsid w:val="00444514"/>
    <w:rsid w:val="004445AE"/>
    <w:rsid w:val="004445B0"/>
    <w:rsid w:val="004446EF"/>
    <w:rsid w:val="00444741"/>
    <w:rsid w:val="00444781"/>
    <w:rsid w:val="00444AD2"/>
    <w:rsid w:val="00444B1F"/>
    <w:rsid w:val="00444D31"/>
    <w:rsid w:val="00444F74"/>
    <w:rsid w:val="00444F7A"/>
    <w:rsid w:val="00445117"/>
    <w:rsid w:val="00445240"/>
    <w:rsid w:val="004453C9"/>
    <w:rsid w:val="00445444"/>
    <w:rsid w:val="004454FD"/>
    <w:rsid w:val="0044553D"/>
    <w:rsid w:val="004456AF"/>
    <w:rsid w:val="004456D2"/>
    <w:rsid w:val="00445971"/>
    <w:rsid w:val="00445B7C"/>
    <w:rsid w:val="00445D93"/>
    <w:rsid w:val="00445DA0"/>
    <w:rsid w:val="004460DB"/>
    <w:rsid w:val="00446207"/>
    <w:rsid w:val="00446467"/>
    <w:rsid w:val="0044672D"/>
    <w:rsid w:val="00446930"/>
    <w:rsid w:val="00446B21"/>
    <w:rsid w:val="00446B43"/>
    <w:rsid w:val="00446B45"/>
    <w:rsid w:val="00446C24"/>
    <w:rsid w:val="00446C51"/>
    <w:rsid w:val="00446CBE"/>
    <w:rsid w:val="00446CD4"/>
    <w:rsid w:val="00446DC6"/>
    <w:rsid w:val="00446FC0"/>
    <w:rsid w:val="00447175"/>
    <w:rsid w:val="004472C2"/>
    <w:rsid w:val="004472D1"/>
    <w:rsid w:val="00447639"/>
    <w:rsid w:val="0044778D"/>
    <w:rsid w:val="00447855"/>
    <w:rsid w:val="00447876"/>
    <w:rsid w:val="00447A60"/>
    <w:rsid w:val="00447B39"/>
    <w:rsid w:val="00447BD2"/>
    <w:rsid w:val="00447CA8"/>
    <w:rsid w:val="00447CD4"/>
    <w:rsid w:val="00447D6A"/>
    <w:rsid w:val="00450225"/>
    <w:rsid w:val="0045024D"/>
    <w:rsid w:val="004502A4"/>
    <w:rsid w:val="004502DE"/>
    <w:rsid w:val="004502FA"/>
    <w:rsid w:val="004504D5"/>
    <w:rsid w:val="00450513"/>
    <w:rsid w:val="0045092F"/>
    <w:rsid w:val="004509B9"/>
    <w:rsid w:val="00450AC8"/>
    <w:rsid w:val="00450C1F"/>
    <w:rsid w:val="00450D44"/>
    <w:rsid w:val="00450E17"/>
    <w:rsid w:val="00450E3F"/>
    <w:rsid w:val="00450E5D"/>
    <w:rsid w:val="00450FA0"/>
    <w:rsid w:val="00451215"/>
    <w:rsid w:val="00451354"/>
    <w:rsid w:val="004515BA"/>
    <w:rsid w:val="00451672"/>
    <w:rsid w:val="00451699"/>
    <w:rsid w:val="0045170F"/>
    <w:rsid w:val="00451976"/>
    <w:rsid w:val="00451C00"/>
    <w:rsid w:val="00451C3E"/>
    <w:rsid w:val="00451DC8"/>
    <w:rsid w:val="00451E18"/>
    <w:rsid w:val="00451E52"/>
    <w:rsid w:val="0045207B"/>
    <w:rsid w:val="0045211A"/>
    <w:rsid w:val="004521EA"/>
    <w:rsid w:val="00452877"/>
    <w:rsid w:val="004528E6"/>
    <w:rsid w:val="004529EF"/>
    <w:rsid w:val="00452A81"/>
    <w:rsid w:val="00452AA6"/>
    <w:rsid w:val="00452AD3"/>
    <w:rsid w:val="00452D2F"/>
    <w:rsid w:val="00452E22"/>
    <w:rsid w:val="00452EE7"/>
    <w:rsid w:val="00452F10"/>
    <w:rsid w:val="0045306B"/>
    <w:rsid w:val="004531EE"/>
    <w:rsid w:val="00453229"/>
    <w:rsid w:val="0045330D"/>
    <w:rsid w:val="00453420"/>
    <w:rsid w:val="0045349B"/>
    <w:rsid w:val="0045358E"/>
    <w:rsid w:val="004535E2"/>
    <w:rsid w:val="004536E3"/>
    <w:rsid w:val="004537E0"/>
    <w:rsid w:val="00453862"/>
    <w:rsid w:val="004538C9"/>
    <w:rsid w:val="00453E9B"/>
    <w:rsid w:val="00454164"/>
    <w:rsid w:val="00454255"/>
    <w:rsid w:val="004547B5"/>
    <w:rsid w:val="00454888"/>
    <w:rsid w:val="00454B42"/>
    <w:rsid w:val="00454BDF"/>
    <w:rsid w:val="00454E41"/>
    <w:rsid w:val="00454F04"/>
    <w:rsid w:val="00454F4F"/>
    <w:rsid w:val="00454FA0"/>
    <w:rsid w:val="00455285"/>
    <w:rsid w:val="00455419"/>
    <w:rsid w:val="0045553F"/>
    <w:rsid w:val="00455582"/>
    <w:rsid w:val="004555D7"/>
    <w:rsid w:val="00455750"/>
    <w:rsid w:val="00455792"/>
    <w:rsid w:val="00455A4F"/>
    <w:rsid w:val="004565CD"/>
    <w:rsid w:val="00456625"/>
    <w:rsid w:val="00456B02"/>
    <w:rsid w:val="00456BD2"/>
    <w:rsid w:val="00456D10"/>
    <w:rsid w:val="00456F56"/>
    <w:rsid w:val="004570B6"/>
    <w:rsid w:val="00457284"/>
    <w:rsid w:val="004572D0"/>
    <w:rsid w:val="004573A3"/>
    <w:rsid w:val="00457521"/>
    <w:rsid w:val="004575A6"/>
    <w:rsid w:val="00457792"/>
    <w:rsid w:val="004577B6"/>
    <w:rsid w:val="004577DD"/>
    <w:rsid w:val="00457898"/>
    <w:rsid w:val="00457984"/>
    <w:rsid w:val="00457CEE"/>
    <w:rsid w:val="00460264"/>
    <w:rsid w:val="0046040B"/>
    <w:rsid w:val="00460678"/>
    <w:rsid w:val="00460735"/>
    <w:rsid w:val="00460F1B"/>
    <w:rsid w:val="004611D9"/>
    <w:rsid w:val="0046132D"/>
    <w:rsid w:val="00461491"/>
    <w:rsid w:val="004614BB"/>
    <w:rsid w:val="0046198A"/>
    <w:rsid w:val="00461CCE"/>
    <w:rsid w:val="00461D5C"/>
    <w:rsid w:val="00461D80"/>
    <w:rsid w:val="00461E36"/>
    <w:rsid w:val="004621ED"/>
    <w:rsid w:val="0046223F"/>
    <w:rsid w:val="0046229E"/>
    <w:rsid w:val="004623E2"/>
    <w:rsid w:val="00462875"/>
    <w:rsid w:val="00462A8D"/>
    <w:rsid w:val="00462B2F"/>
    <w:rsid w:val="00462B44"/>
    <w:rsid w:val="00462BBB"/>
    <w:rsid w:val="00462C86"/>
    <w:rsid w:val="00462D59"/>
    <w:rsid w:val="00462DEF"/>
    <w:rsid w:val="0046313B"/>
    <w:rsid w:val="00463162"/>
    <w:rsid w:val="00463184"/>
    <w:rsid w:val="004631A8"/>
    <w:rsid w:val="00463270"/>
    <w:rsid w:val="0046341F"/>
    <w:rsid w:val="00463699"/>
    <w:rsid w:val="004636B6"/>
    <w:rsid w:val="00463851"/>
    <w:rsid w:val="00463A44"/>
    <w:rsid w:val="00463A6C"/>
    <w:rsid w:val="00463C18"/>
    <w:rsid w:val="00463CDF"/>
    <w:rsid w:val="00463D59"/>
    <w:rsid w:val="00463DAD"/>
    <w:rsid w:val="00463F2D"/>
    <w:rsid w:val="00463F40"/>
    <w:rsid w:val="0046419C"/>
    <w:rsid w:val="004641E9"/>
    <w:rsid w:val="0046429A"/>
    <w:rsid w:val="00464403"/>
    <w:rsid w:val="00464598"/>
    <w:rsid w:val="004645F8"/>
    <w:rsid w:val="00464677"/>
    <w:rsid w:val="004646A7"/>
    <w:rsid w:val="0046475F"/>
    <w:rsid w:val="00464A23"/>
    <w:rsid w:val="00464B19"/>
    <w:rsid w:val="00464EBC"/>
    <w:rsid w:val="00464F14"/>
    <w:rsid w:val="00465075"/>
    <w:rsid w:val="004650BF"/>
    <w:rsid w:val="0046534E"/>
    <w:rsid w:val="004654C2"/>
    <w:rsid w:val="0046594E"/>
    <w:rsid w:val="00465A2F"/>
    <w:rsid w:val="00465A38"/>
    <w:rsid w:val="00465ADC"/>
    <w:rsid w:val="00465B5A"/>
    <w:rsid w:val="00465C91"/>
    <w:rsid w:val="00465CEC"/>
    <w:rsid w:val="00465D55"/>
    <w:rsid w:val="00465E93"/>
    <w:rsid w:val="0046613D"/>
    <w:rsid w:val="00466381"/>
    <w:rsid w:val="0046642E"/>
    <w:rsid w:val="004664AF"/>
    <w:rsid w:val="004664DB"/>
    <w:rsid w:val="004664DE"/>
    <w:rsid w:val="004667B9"/>
    <w:rsid w:val="00466853"/>
    <w:rsid w:val="0046690F"/>
    <w:rsid w:val="00466A23"/>
    <w:rsid w:val="00466AF6"/>
    <w:rsid w:val="00466C10"/>
    <w:rsid w:val="00466C68"/>
    <w:rsid w:val="00466DD6"/>
    <w:rsid w:val="00467084"/>
    <w:rsid w:val="004671A1"/>
    <w:rsid w:val="0046720E"/>
    <w:rsid w:val="004672DF"/>
    <w:rsid w:val="0046739D"/>
    <w:rsid w:val="004673B7"/>
    <w:rsid w:val="00467405"/>
    <w:rsid w:val="0046764C"/>
    <w:rsid w:val="0046773F"/>
    <w:rsid w:val="00467755"/>
    <w:rsid w:val="004678EE"/>
    <w:rsid w:val="00467986"/>
    <w:rsid w:val="00467D8F"/>
    <w:rsid w:val="00467E39"/>
    <w:rsid w:val="00467F3B"/>
    <w:rsid w:val="00470015"/>
    <w:rsid w:val="004700B6"/>
    <w:rsid w:val="00470339"/>
    <w:rsid w:val="004705D3"/>
    <w:rsid w:val="004705FE"/>
    <w:rsid w:val="00470820"/>
    <w:rsid w:val="004709AC"/>
    <w:rsid w:val="004710B6"/>
    <w:rsid w:val="004711BA"/>
    <w:rsid w:val="004714C7"/>
    <w:rsid w:val="00471692"/>
    <w:rsid w:val="00471801"/>
    <w:rsid w:val="004719AD"/>
    <w:rsid w:val="004719BE"/>
    <w:rsid w:val="00471B72"/>
    <w:rsid w:val="00471C11"/>
    <w:rsid w:val="00471C15"/>
    <w:rsid w:val="00471CBE"/>
    <w:rsid w:val="00471CE6"/>
    <w:rsid w:val="00471DDB"/>
    <w:rsid w:val="00471E63"/>
    <w:rsid w:val="00472382"/>
    <w:rsid w:val="004723B6"/>
    <w:rsid w:val="0047241F"/>
    <w:rsid w:val="00472699"/>
    <w:rsid w:val="004727A7"/>
    <w:rsid w:val="004727D8"/>
    <w:rsid w:val="0047284A"/>
    <w:rsid w:val="00472924"/>
    <w:rsid w:val="004729AD"/>
    <w:rsid w:val="00472BCC"/>
    <w:rsid w:val="00472DDF"/>
    <w:rsid w:val="00472F77"/>
    <w:rsid w:val="00472FF5"/>
    <w:rsid w:val="004730A9"/>
    <w:rsid w:val="00473268"/>
    <w:rsid w:val="00473633"/>
    <w:rsid w:val="004736AF"/>
    <w:rsid w:val="004738EA"/>
    <w:rsid w:val="00473B16"/>
    <w:rsid w:val="00473B8B"/>
    <w:rsid w:val="00473C45"/>
    <w:rsid w:val="00473F71"/>
    <w:rsid w:val="00473FE2"/>
    <w:rsid w:val="004740AD"/>
    <w:rsid w:val="004740CB"/>
    <w:rsid w:val="004743D7"/>
    <w:rsid w:val="0047451D"/>
    <w:rsid w:val="0047527E"/>
    <w:rsid w:val="00475408"/>
    <w:rsid w:val="00475456"/>
    <w:rsid w:val="004759BA"/>
    <w:rsid w:val="00475A76"/>
    <w:rsid w:val="00475F50"/>
    <w:rsid w:val="00475FA7"/>
    <w:rsid w:val="00476164"/>
    <w:rsid w:val="0047630D"/>
    <w:rsid w:val="00476609"/>
    <w:rsid w:val="004766D0"/>
    <w:rsid w:val="0047674B"/>
    <w:rsid w:val="004768B2"/>
    <w:rsid w:val="00476962"/>
    <w:rsid w:val="00476AF3"/>
    <w:rsid w:val="00476B37"/>
    <w:rsid w:val="00476D25"/>
    <w:rsid w:val="00476F40"/>
    <w:rsid w:val="00476FD6"/>
    <w:rsid w:val="0047704D"/>
    <w:rsid w:val="0047739F"/>
    <w:rsid w:val="0047744D"/>
    <w:rsid w:val="0047749E"/>
    <w:rsid w:val="00477B99"/>
    <w:rsid w:val="00480117"/>
    <w:rsid w:val="00480238"/>
    <w:rsid w:val="004802D4"/>
    <w:rsid w:val="004803C3"/>
    <w:rsid w:val="004804F5"/>
    <w:rsid w:val="00480528"/>
    <w:rsid w:val="00480686"/>
    <w:rsid w:val="004806D4"/>
    <w:rsid w:val="0048078B"/>
    <w:rsid w:val="0048089A"/>
    <w:rsid w:val="00480B3D"/>
    <w:rsid w:val="00480C47"/>
    <w:rsid w:val="0048108E"/>
    <w:rsid w:val="0048116C"/>
    <w:rsid w:val="00481223"/>
    <w:rsid w:val="004814CC"/>
    <w:rsid w:val="004819AA"/>
    <w:rsid w:val="00481C09"/>
    <w:rsid w:val="00481C42"/>
    <w:rsid w:val="00481C84"/>
    <w:rsid w:val="00481CAA"/>
    <w:rsid w:val="00481DC7"/>
    <w:rsid w:val="00481F99"/>
    <w:rsid w:val="00482633"/>
    <w:rsid w:val="00482666"/>
    <w:rsid w:val="004827D3"/>
    <w:rsid w:val="004829F4"/>
    <w:rsid w:val="00482DEF"/>
    <w:rsid w:val="00482ED9"/>
    <w:rsid w:val="00482FA6"/>
    <w:rsid w:val="004831B8"/>
    <w:rsid w:val="00483256"/>
    <w:rsid w:val="004832D3"/>
    <w:rsid w:val="0048331B"/>
    <w:rsid w:val="00483554"/>
    <w:rsid w:val="004835BE"/>
    <w:rsid w:val="00483604"/>
    <w:rsid w:val="004836B4"/>
    <w:rsid w:val="004836EE"/>
    <w:rsid w:val="00483776"/>
    <w:rsid w:val="00483CA1"/>
    <w:rsid w:val="00483CCD"/>
    <w:rsid w:val="00483EDC"/>
    <w:rsid w:val="00483F21"/>
    <w:rsid w:val="00483F67"/>
    <w:rsid w:val="004840B4"/>
    <w:rsid w:val="0048411B"/>
    <w:rsid w:val="004842A4"/>
    <w:rsid w:val="00484371"/>
    <w:rsid w:val="004843B7"/>
    <w:rsid w:val="004849EE"/>
    <w:rsid w:val="00484AAD"/>
    <w:rsid w:val="00484F65"/>
    <w:rsid w:val="00485038"/>
    <w:rsid w:val="004850FC"/>
    <w:rsid w:val="00485105"/>
    <w:rsid w:val="004852FA"/>
    <w:rsid w:val="00485328"/>
    <w:rsid w:val="00485348"/>
    <w:rsid w:val="004855F6"/>
    <w:rsid w:val="004855FB"/>
    <w:rsid w:val="00485628"/>
    <w:rsid w:val="00485A55"/>
    <w:rsid w:val="00485A7E"/>
    <w:rsid w:val="00485B6F"/>
    <w:rsid w:val="00485B78"/>
    <w:rsid w:val="00485DDA"/>
    <w:rsid w:val="00485FFE"/>
    <w:rsid w:val="00486032"/>
    <w:rsid w:val="00486053"/>
    <w:rsid w:val="004860B5"/>
    <w:rsid w:val="004864B8"/>
    <w:rsid w:val="0048657A"/>
    <w:rsid w:val="004865FE"/>
    <w:rsid w:val="00486693"/>
    <w:rsid w:val="0048675F"/>
    <w:rsid w:val="004868C3"/>
    <w:rsid w:val="0048692F"/>
    <w:rsid w:val="004869C5"/>
    <w:rsid w:val="004869E6"/>
    <w:rsid w:val="00486C0C"/>
    <w:rsid w:val="00486D59"/>
    <w:rsid w:val="00486E0C"/>
    <w:rsid w:val="0048712E"/>
    <w:rsid w:val="00487262"/>
    <w:rsid w:val="004873C0"/>
    <w:rsid w:val="00487434"/>
    <w:rsid w:val="00487459"/>
    <w:rsid w:val="004876EA"/>
    <w:rsid w:val="00487769"/>
    <w:rsid w:val="00487930"/>
    <w:rsid w:val="00487A0F"/>
    <w:rsid w:val="00487AA2"/>
    <w:rsid w:val="00487D82"/>
    <w:rsid w:val="00487F68"/>
    <w:rsid w:val="0049003A"/>
    <w:rsid w:val="00490065"/>
    <w:rsid w:val="0049015F"/>
    <w:rsid w:val="00490260"/>
    <w:rsid w:val="00490337"/>
    <w:rsid w:val="004903C2"/>
    <w:rsid w:val="00490572"/>
    <w:rsid w:val="0049067D"/>
    <w:rsid w:val="004906D3"/>
    <w:rsid w:val="00490944"/>
    <w:rsid w:val="00490AE9"/>
    <w:rsid w:val="00490FB0"/>
    <w:rsid w:val="0049104C"/>
    <w:rsid w:val="00491075"/>
    <w:rsid w:val="00491342"/>
    <w:rsid w:val="0049134F"/>
    <w:rsid w:val="004916C3"/>
    <w:rsid w:val="00491EB4"/>
    <w:rsid w:val="0049205C"/>
    <w:rsid w:val="00492245"/>
    <w:rsid w:val="004922CC"/>
    <w:rsid w:val="00492389"/>
    <w:rsid w:val="00492552"/>
    <w:rsid w:val="004925EC"/>
    <w:rsid w:val="004925F7"/>
    <w:rsid w:val="0049273E"/>
    <w:rsid w:val="0049275B"/>
    <w:rsid w:val="00492A38"/>
    <w:rsid w:val="00492E02"/>
    <w:rsid w:val="00492E0D"/>
    <w:rsid w:val="00493118"/>
    <w:rsid w:val="00493202"/>
    <w:rsid w:val="004932BB"/>
    <w:rsid w:val="0049330D"/>
    <w:rsid w:val="0049331E"/>
    <w:rsid w:val="00493524"/>
    <w:rsid w:val="00493655"/>
    <w:rsid w:val="0049379A"/>
    <w:rsid w:val="00493916"/>
    <w:rsid w:val="004939DA"/>
    <w:rsid w:val="00493ADF"/>
    <w:rsid w:val="00493F3E"/>
    <w:rsid w:val="00493FE5"/>
    <w:rsid w:val="004943B8"/>
    <w:rsid w:val="004946B7"/>
    <w:rsid w:val="00494738"/>
    <w:rsid w:val="00494A43"/>
    <w:rsid w:val="00494A67"/>
    <w:rsid w:val="00494B79"/>
    <w:rsid w:val="00494DDF"/>
    <w:rsid w:val="00495214"/>
    <w:rsid w:val="0049553E"/>
    <w:rsid w:val="00495735"/>
    <w:rsid w:val="004958DB"/>
    <w:rsid w:val="00495999"/>
    <w:rsid w:val="00495A65"/>
    <w:rsid w:val="00495A86"/>
    <w:rsid w:val="00495CC5"/>
    <w:rsid w:val="00495D47"/>
    <w:rsid w:val="0049606D"/>
    <w:rsid w:val="004960CC"/>
    <w:rsid w:val="00496270"/>
    <w:rsid w:val="00496420"/>
    <w:rsid w:val="00496569"/>
    <w:rsid w:val="00496714"/>
    <w:rsid w:val="00496725"/>
    <w:rsid w:val="00496DBF"/>
    <w:rsid w:val="00496EB3"/>
    <w:rsid w:val="00497111"/>
    <w:rsid w:val="0049727C"/>
    <w:rsid w:val="00497421"/>
    <w:rsid w:val="004975DC"/>
    <w:rsid w:val="004976CD"/>
    <w:rsid w:val="004977A6"/>
    <w:rsid w:val="00497C8B"/>
    <w:rsid w:val="00497D66"/>
    <w:rsid w:val="00497EA7"/>
    <w:rsid w:val="004A0132"/>
    <w:rsid w:val="004A016D"/>
    <w:rsid w:val="004A0269"/>
    <w:rsid w:val="004A049F"/>
    <w:rsid w:val="004A053A"/>
    <w:rsid w:val="004A089E"/>
    <w:rsid w:val="004A08BC"/>
    <w:rsid w:val="004A0A69"/>
    <w:rsid w:val="004A0ADA"/>
    <w:rsid w:val="004A0B7A"/>
    <w:rsid w:val="004A0B82"/>
    <w:rsid w:val="004A0B88"/>
    <w:rsid w:val="004A0ECA"/>
    <w:rsid w:val="004A122F"/>
    <w:rsid w:val="004A12EA"/>
    <w:rsid w:val="004A14AE"/>
    <w:rsid w:val="004A1509"/>
    <w:rsid w:val="004A16D1"/>
    <w:rsid w:val="004A173C"/>
    <w:rsid w:val="004A19D0"/>
    <w:rsid w:val="004A1C98"/>
    <w:rsid w:val="004A1CA6"/>
    <w:rsid w:val="004A1DEB"/>
    <w:rsid w:val="004A1E00"/>
    <w:rsid w:val="004A2083"/>
    <w:rsid w:val="004A20EB"/>
    <w:rsid w:val="004A2151"/>
    <w:rsid w:val="004A2318"/>
    <w:rsid w:val="004A23C8"/>
    <w:rsid w:val="004A24D1"/>
    <w:rsid w:val="004A2763"/>
    <w:rsid w:val="004A27A5"/>
    <w:rsid w:val="004A2838"/>
    <w:rsid w:val="004A2AC9"/>
    <w:rsid w:val="004A32BC"/>
    <w:rsid w:val="004A32F0"/>
    <w:rsid w:val="004A3482"/>
    <w:rsid w:val="004A35BA"/>
    <w:rsid w:val="004A3660"/>
    <w:rsid w:val="004A374A"/>
    <w:rsid w:val="004A3CBC"/>
    <w:rsid w:val="004A3DB4"/>
    <w:rsid w:val="004A3F99"/>
    <w:rsid w:val="004A4225"/>
    <w:rsid w:val="004A423D"/>
    <w:rsid w:val="004A433A"/>
    <w:rsid w:val="004A46DE"/>
    <w:rsid w:val="004A4781"/>
    <w:rsid w:val="004A49F3"/>
    <w:rsid w:val="004A4CBA"/>
    <w:rsid w:val="004A4F02"/>
    <w:rsid w:val="004A4FD5"/>
    <w:rsid w:val="004A521D"/>
    <w:rsid w:val="004A52DC"/>
    <w:rsid w:val="004A541E"/>
    <w:rsid w:val="004A555C"/>
    <w:rsid w:val="004A5590"/>
    <w:rsid w:val="004A55A3"/>
    <w:rsid w:val="004A56BB"/>
    <w:rsid w:val="004A5739"/>
    <w:rsid w:val="004A57C3"/>
    <w:rsid w:val="004A5A6A"/>
    <w:rsid w:val="004A6123"/>
    <w:rsid w:val="004A626B"/>
    <w:rsid w:val="004A63BF"/>
    <w:rsid w:val="004A654D"/>
    <w:rsid w:val="004A6607"/>
    <w:rsid w:val="004A6BEA"/>
    <w:rsid w:val="004A6E4A"/>
    <w:rsid w:val="004A6E58"/>
    <w:rsid w:val="004A6F56"/>
    <w:rsid w:val="004A71AA"/>
    <w:rsid w:val="004A730F"/>
    <w:rsid w:val="004A74CD"/>
    <w:rsid w:val="004A778C"/>
    <w:rsid w:val="004A7CBC"/>
    <w:rsid w:val="004A7F10"/>
    <w:rsid w:val="004B015A"/>
    <w:rsid w:val="004B026B"/>
    <w:rsid w:val="004B040A"/>
    <w:rsid w:val="004B0429"/>
    <w:rsid w:val="004B0444"/>
    <w:rsid w:val="004B04DC"/>
    <w:rsid w:val="004B04E8"/>
    <w:rsid w:val="004B0547"/>
    <w:rsid w:val="004B05BC"/>
    <w:rsid w:val="004B05C0"/>
    <w:rsid w:val="004B079A"/>
    <w:rsid w:val="004B0962"/>
    <w:rsid w:val="004B0DB3"/>
    <w:rsid w:val="004B0E2F"/>
    <w:rsid w:val="004B0F88"/>
    <w:rsid w:val="004B101C"/>
    <w:rsid w:val="004B10EF"/>
    <w:rsid w:val="004B136A"/>
    <w:rsid w:val="004B13FE"/>
    <w:rsid w:val="004B1913"/>
    <w:rsid w:val="004B1AD8"/>
    <w:rsid w:val="004B1B1A"/>
    <w:rsid w:val="004B1BB3"/>
    <w:rsid w:val="004B1C90"/>
    <w:rsid w:val="004B1E29"/>
    <w:rsid w:val="004B2025"/>
    <w:rsid w:val="004B209D"/>
    <w:rsid w:val="004B251D"/>
    <w:rsid w:val="004B2757"/>
    <w:rsid w:val="004B2968"/>
    <w:rsid w:val="004B297A"/>
    <w:rsid w:val="004B2A1A"/>
    <w:rsid w:val="004B2A30"/>
    <w:rsid w:val="004B2B49"/>
    <w:rsid w:val="004B2B93"/>
    <w:rsid w:val="004B336A"/>
    <w:rsid w:val="004B37FF"/>
    <w:rsid w:val="004B3819"/>
    <w:rsid w:val="004B39C6"/>
    <w:rsid w:val="004B3A5A"/>
    <w:rsid w:val="004B3AF1"/>
    <w:rsid w:val="004B3B29"/>
    <w:rsid w:val="004B3B5B"/>
    <w:rsid w:val="004B3BC1"/>
    <w:rsid w:val="004B3BEA"/>
    <w:rsid w:val="004B3E97"/>
    <w:rsid w:val="004B3F29"/>
    <w:rsid w:val="004B43D6"/>
    <w:rsid w:val="004B43E6"/>
    <w:rsid w:val="004B44F2"/>
    <w:rsid w:val="004B45B7"/>
    <w:rsid w:val="004B4622"/>
    <w:rsid w:val="004B47C7"/>
    <w:rsid w:val="004B48F1"/>
    <w:rsid w:val="004B4A09"/>
    <w:rsid w:val="004B4C14"/>
    <w:rsid w:val="004B4CA2"/>
    <w:rsid w:val="004B519C"/>
    <w:rsid w:val="004B5652"/>
    <w:rsid w:val="004B5A53"/>
    <w:rsid w:val="004B5A8B"/>
    <w:rsid w:val="004B5DD6"/>
    <w:rsid w:val="004B5E78"/>
    <w:rsid w:val="004B5F8F"/>
    <w:rsid w:val="004B61E1"/>
    <w:rsid w:val="004B62EE"/>
    <w:rsid w:val="004B62FF"/>
    <w:rsid w:val="004B64BE"/>
    <w:rsid w:val="004B65DF"/>
    <w:rsid w:val="004B6614"/>
    <w:rsid w:val="004B668A"/>
    <w:rsid w:val="004B6796"/>
    <w:rsid w:val="004B6E6C"/>
    <w:rsid w:val="004B6FA5"/>
    <w:rsid w:val="004B6FEE"/>
    <w:rsid w:val="004B72F6"/>
    <w:rsid w:val="004B739F"/>
    <w:rsid w:val="004B73DD"/>
    <w:rsid w:val="004B742D"/>
    <w:rsid w:val="004B7445"/>
    <w:rsid w:val="004B74A6"/>
    <w:rsid w:val="004B7556"/>
    <w:rsid w:val="004B760F"/>
    <w:rsid w:val="004B785C"/>
    <w:rsid w:val="004B79A5"/>
    <w:rsid w:val="004B7CF9"/>
    <w:rsid w:val="004B7F67"/>
    <w:rsid w:val="004B7FC4"/>
    <w:rsid w:val="004C0015"/>
    <w:rsid w:val="004C0041"/>
    <w:rsid w:val="004C00BB"/>
    <w:rsid w:val="004C027D"/>
    <w:rsid w:val="004C0326"/>
    <w:rsid w:val="004C0363"/>
    <w:rsid w:val="004C06C1"/>
    <w:rsid w:val="004C06DE"/>
    <w:rsid w:val="004C0754"/>
    <w:rsid w:val="004C0915"/>
    <w:rsid w:val="004C0A56"/>
    <w:rsid w:val="004C0C90"/>
    <w:rsid w:val="004C0E8B"/>
    <w:rsid w:val="004C0EE0"/>
    <w:rsid w:val="004C1075"/>
    <w:rsid w:val="004C12F6"/>
    <w:rsid w:val="004C1375"/>
    <w:rsid w:val="004C158F"/>
    <w:rsid w:val="004C18A4"/>
    <w:rsid w:val="004C18E3"/>
    <w:rsid w:val="004C1BD3"/>
    <w:rsid w:val="004C1CF4"/>
    <w:rsid w:val="004C1E6B"/>
    <w:rsid w:val="004C203F"/>
    <w:rsid w:val="004C21B2"/>
    <w:rsid w:val="004C220F"/>
    <w:rsid w:val="004C2244"/>
    <w:rsid w:val="004C2292"/>
    <w:rsid w:val="004C2400"/>
    <w:rsid w:val="004C242F"/>
    <w:rsid w:val="004C26A5"/>
    <w:rsid w:val="004C2988"/>
    <w:rsid w:val="004C2AFC"/>
    <w:rsid w:val="004C2B77"/>
    <w:rsid w:val="004C2BE7"/>
    <w:rsid w:val="004C2E30"/>
    <w:rsid w:val="004C3170"/>
    <w:rsid w:val="004C374D"/>
    <w:rsid w:val="004C3A25"/>
    <w:rsid w:val="004C3B4D"/>
    <w:rsid w:val="004C3BB3"/>
    <w:rsid w:val="004C3D35"/>
    <w:rsid w:val="004C3D98"/>
    <w:rsid w:val="004C3E1A"/>
    <w:rsid w:val="004C3FE2"/>
    <w:rsid w:val="004C406B"/>
    <w:rsid w:val="004C48FD"/>
    <w:rsid w:val="004C4ACC"/>
    <w:rsid w:val="004C4B13"/>
    <w:rsid w:val="004C4CCA"/>
    <w:rsid w:val="004C4E2B"/>
    <w:rsid w:val="004C4F4A"/>
    <w:rsid w:val="004C5159"/>
    <w:rsid w:val="004C54C1"/>
    <w:rsid w:val="004C54F5"/>
    <w:rsid w:val="004C54F7"/>
    <w:rsid w:val="004C5617"/>
    <w:rsid w:val="004C5813"/>
    <w:rsid w:val="004C5CD9"/>
    <w:rsid w:val="004C5D1D"/>
    <w:rsid w:val="004C5F07"/>
    <w:rsid w:val="004C602E"/>
    <w:rsid w:val="004C60D2"/>
    <w:rsid w:val="004C612C"/>
    <w:rsid w:val="004C624D"/>
    <w:rsid w:val="004C6407"/>
    <w:rsid w:val="004C648F"/>
    <w:rsid w:val="004C6722"/>
    <w:rsid w:val="004C6B5D"/>
    <w:rsid w:val="004C6C21"/>
    <w:rsid w:val="004C6C57"/>
    <w:rsid w:val="004C6F3F"/>
    <w:rsid w:val="004C7461"/>
    <w:rsid w:val="004C765D"/>
    <w:rsid w:val="004C767E"/>
    <w:rsid w:val="004C775C"/>
    <w:rsid w:val="004C7794"/>
    <w:rsid w:val="004C779D"/>
    <w:rsid w:val="004C77EC"/>
    <w:rsid w:val="004C78B1"/>
    <w:rsid w:val="004C7C22"/>
    <w:rsid w:val="004D0091"/>
    <w:rsid w:val="004D027F"/>
    <w:rsid w:val="004D039F"/>
    <w:rsid w:val="004D058C"/>
    <w:rsid w:val="004D06C6"/>
    <w:rsid w:val="004D0765"/>
    <w:rsid w:val="004D0778"/>
    <w:rsid w:val="004D0860"/>
    <w:rsid w:val="004D0885"/>
    <w:rsid w:val="004D0A57"/>
    <w:rsid w:val="004D0BBA"/>
    <w:rsid w:val="004D0D3E"/>
    <w:rsid w:val="004D0F89"/>
    <w:rsid w:val="004D104C"/>
    <w:rsid w:val="004D12B7"/>
    <w:rsid w:val="004D15AD"/>
    <w:rsid w:val="004D19BC"/>
    <w:rsid w:val="004D1B62"/>
    <w:rsid w:val="004D1D19"/>
    <w:rsid w:val="004D1DDA"/>
    <w:rsid w:val="004D1EE5"/>
    <w:rsid w:val="004D2116"/>
    <w:rsid w:val="004D24A1"/>
    <w:rsid w:val="004D257B"/>
    <w:rsid w:val="004D25AF"/>
    <w:rsid w:val="004D26B4"/>
    <w:rsid w:val="004D2895"/>
    <w:rsid w:val="004D28F9"/>
    <w:rsid w:val="004D2CFD"/>
    <w:rsid w:val="004D2D4C"/>
    <w:rsid w:val="004D2D7F"/>
    <w:rsid w:val="004D2E63"/>
    <w:rsid w:val="004D302C"/>
    <w:rsid w:val="004D3181"/>
    <w:rsid w:val="004D3249"/>
    <w:rsid w:val="004D324F"/>
    <w:rsid w:val="004D33AD"/>
    <w:rsid w:val="004D345D"/>
    <w:rsid w:val="004D3582"/>
    <w:rsid w:val="004D35AF"/>
    <w:rsid w:val="004D3678"/>
    <w:rsid w:val="004D367A"/>
    <w:rsid w:val="004D3735"/>
    <w:rsid w:val="004D382C"/>
    <w:rsid w:val="004D3A89"/>
    <w:rsid w:val="004D3E12"/>
    <w:rsid w:val="004D3E3B"/>
    <w:rsid w:val="004D3FC1"/>
    <w:rsid w:val="004D40B5"/>
    <w:rsid w:val="004D40BF"/>
    <w:rsid w:val="004D4123"/>
    <w:rsid w:val="004D4305"/>
    <w:rsid w:val="004D438F"/>
    <w:rsid w:val="004D446C"/>
    <w:rsid w:val="004D45E7"/>
    <w:rsid w:val="004D467B"/>
    <w:rsid w:val="004D48C7"/>
    <w:rsid w:val="004D4B64"/>
    <w:rsid w:val="004D4E33"/>
    <w:rsid w:val="004D4EF5"/>
    <w:rsid w:val="004D4FCC"/>
    <w:rsid w:val="004D5049"/>
    <w:rsid w:val="004D50D1"/>
    <w:rsid w:val="004D50F3"/>
    <w:rsid w:val="004D549A"/>
    <w:rsid w:val="004D56D1"/>
    <w:rsid w:val="004D586D"/>
    <w:rsid w:val="004D58A1"/>
    <w:rsid w:val="004D5987"/>
    <w:rsid w:val="004D5A16"/>
    <w:rsid w:val="004D5A24"/>
    <w:rsid w:val="004D5CFE"/>
    <w:rsid w:val="004D5EA4"/>
    <w:rsid w:val="004D6309"/>
    <w:rsid w:val="004D6368"/>
    <w:rsid w:val="004D6998"/>
    <w:rsid w:val="004D6A8F"/>
    <w:rsid w:val="004D6FCC"/>
    <w:rsid w:val="004D7069"/>
    <w:rsid w:val="004D7554"/>
    <w:rsid w:val="004D7592"/>
    <w:rsid w:val="004D77DC"/>
    <w:rsid w:val="004D77E8"/>
    <w:rsid w:val="004E00E6"/>
    <w:rsid w:val="004E00F3"/>
    <w:rsid w:val="004E0107"/>
    <w:rsid w:val="004E0391"/>
    <w:rsid w:val="004E080E"/>
    <w:rsid w:val="004E093A"/>
    <w:rsid w:val="004E09DA"/>
    <w:rsid w:val="004E0A2C"/>
    <w:rsid w:val="004E0DAB"/>
    <w:rsid w:val="004E100C"/>
    <w:rsid w:val="004E1199"/>
    <w:rsid w:val="004E14D5"/>
    <w:rsid w:val="004E1775"/>
    <w:rsid w:val="004E1C27"/>
    <w:rsid w:val="004E1EAC"/>
    <w:rsid w:val="004E1F6E"/>
    <w:rsid w:val="004E1F9A"/>
    <w:rsid w:val="004E212E"/>
    <w:rsid w:val="004E2586"/>
    <w:rsid w:val="004E261C"/>
    <w:rsid w:val="004E272F"/>
    <w:rsid w:val="004E2AED"/>
    <w:rsid w:val="004E2B9B"/>
    <w:rsid w:val="004E2F7D"/>
    <w:rsid w:val="004E3260"/>
    <w:rsid w:val="004E3384"/>
    <w:rsid w:val="004E347E"/>
    <w:rsid w:val="004E3530"/>
    <w:rsid w:val="004E3762"/>
    <w:rsid w:val="004E3826"/>
    <w:rsid w:val="004E3945"/>
    <w:rsid w:val="004E3BD5"/>
    <w:rsid w:val="004E3E3C"/>
    <w:rsid w:val="004E3EC7"/>
    <w:rsid w:val="004E3EFD"/>
    <w:rsid w:val="004E4163"/>
    <w:rsid w:val="004E42AF"/>
    <w:rsid w:val="004E42B9"/>
    <w:rsid w:val="004E42E2"/>
    <w:rsid w:val="004E43C4"/>
    <w:rsid w:val="004E43C9"/>
    <w:rsid w:val="004E46BC"/>
    <w:rsid w:val="004E4C90"/>
    <w:rsid w:val="004E4E52"/>
    <w:rsid w:val="004E529C"/>
    <w:rsid w:val="004E534D"/>
    <w:rsid w:val="004E5640"/>
    <w:rsid w:val="004E594B"/>
    <w:rsid w:val="004E5997"/>
    <w:rsid w:val="004E5B14"/>
    <w:rsid w:val="004E5B53"/>
    <w:rsid w:val="004E5C07"/>
    <w:rsid w:val="004E5C13"/>
    <w:rsid w:val="004E5D3A"/>
    <w:rsid w:val="004E5E43"/>
    <w:rsid w:val="004E5FB0"/>
    <w:rsid w:val="004E6073"/>
    <w:rsid w:val="004E614A"/>
    <w:rsid w:val="004E6201"/>
    <w:rsid w:val="004E636D"/>
    <w:rsid w:val="004E657B"/>
    <w:rsid w:val="004E6634"/>
    <w:rsid w:val="004E6690"/>
    <w:rsid w:val="004E6CCE"/>
    <w:rsid w:val="004E6E7F"/>
    <w:rsid w:val="004E6F47"/>
    <w:rsid w:val="004E7000"/>
    <w:rsid w:val="004E709C"/>
    <w:rsid w:val="004E70CD"/>
    <w:rsid w:val="004E713E"/>
    <w:rsid w:val="004E71B8"/>
    <w:rsid w:val="004E7282"/>
    <w:rsid w:val="004E736B"/>
    <w:rsid w:val="004E74B8"/>
    <w:rsid w:val="004E7546"/>
    <w:rsid w:val="004E7567"/>
    <w:rsid w:val="004E75A6"/>
    <w:rsid w:val="004E77E7"/>
    <w:rsid w:val="004E7865"/>
    <w:rsid w:val="004E788B"/>
    <w:rsid w:val="004E78A8"/>
    <w:rsid w:val="004E78F1"/>
    <w:rsid w:val="004E7DAF"/>
    <w:rsid w:val="004E7DF9"/>
    <w:rsid w:val="004E7E08"/>
    <w:rsid w:val="004F020B"/>
    <w:rsid w:val="004F058A"/>
    <w:rsid w:val="004F083F"/>
    <w:rsid w:val="004F0882"/>
    <w:rsid w:val="004F0A47"/>
    <w:rsid w:val="004F0A7D"/>
    <w:rsid w:val="004F0B1C"/>
    <w:rsid w:val="004F0B32"/>
    <w:rsid w:val="004F0D56"/>
    <w:rsid w:val="004F0EAE"/>
    <w:rsid w:val="004F0ED4"/>
    <w:rsid w:val="004F0F88"/>
    <w:rsid w:val="004F1749"/>
    <w:rsid w:val="004F1757"/>
    <w:rsid w:val="004F17BB"/>
    <w:rsid w:val="004F19BB"/>
    <w:rsid w:val="004F1ABF"/>
    <w:rsid w:val="004F1DBB"/>
    <w:rsid w:val="004F1E26"/>
    <w:rsid w:val="004F1E95"/>
    <w:rsid w:val="004F1EF3"/>
    <w:rsid w:val="004F20BA"/>
    <w:rsid w:val="004F22F1"/>
    <w:rsid w:val="004F22F2"/>
    <w:rsid w:val="004F27E3"/>
    <w:rsid w:val="004F294D"/>
    <w:rsid w:val="004F2A23"/>
    <w:rsid w:val="004F2A26"/>
    <w:rsid w:val="004F2BDE"/>
    <w:rsid w:val="004F2D1F"/>
    <w:rsid w:val="004F2D58"/>
    <w:rsid w:val="004F2E1A"/>
    <w:rsid w:val="004F315E"/>
    <w:rsid w:val="004F32DE"/>
    <w:rsid w:val="004F3329"/>
    <w:rsid w:val="004F348F"/>
    <w:rsid w:val="004F35B1"/>
    <w:rsid w:val="004F4292"/>
    <w:rsid w:val="004F442E"/>
    <w:rsid w:val="004F446E"/>
    <w:rsid w:val="004F475B"/>
    <w:rsid w:val="004F4954"/>
    <w:rsid w:val="004F4C11"/>
    <w:rsid w:val="004F4D02"/>
    <w:rsid w:val="004F4E54"/>
    <w:rsid w:val="004F52D0"/>
    <w:rsid w:val="004F5681"/>
    <w:rsid w:val="004F5B49"/>
    <w:rsid w:val="004F5E31"/>
    <w:rsid w:val="004F6267"/>
    <w:rsid w:val="004F633A"/>
    <w:rsid w:val="004F64D5"/>
    <w:rsid w:val="004F65E7"/>
    <w:rsid w:val="004F67B5"/>
    <w:rsid w:val="004F6842"/>
    <w:rsid w:val="004F685D"/>
    <w:rsid w:val="004F68CD"/>
    <w:rsid w:val="004F6ED9"/>
    <w:rsid w:val="004F72B5"/>
    <w:rsid w:val="004F7427"/>
    <w:rsid w:val="004F75CC"/>
    <w:rsid w:val="004F75DA"/>
    <w:rsid w:val="004F761B"/>
    <w:rsid w:val="004F7630"/>
    <w:rsid w:val="004F7DEB"/>
    <w:rsid w:val="004F7E80"/>
    <w:rsid w:val="004F7F58"/>
    <w:rsid w:val="004F7FBE"/>
    <w:rsid w:val="00500013"/>
    <w:rsid w:val="005001C6"/>
    <w:rsid w:val="005001E5"/>
    <w:rsid w:val="005004D7"/>
    <w:rsid w:val="00500BE1"/>
    <w:rsid w:val="00500D73"/>
    <w:rsid w:val="00500E59"/>
    <w:rsid w:val="005012D4"/>
    <w:rsid w:val="0050135D"/>
    <w:rsid w:val="00501653"/>
    <w:rsid w:val="00501763"/>
    <w:rsid w:val="0050183D"/>
    <w:rsid w:val="00501889"/>
    <w:rsid w:val="00501A64"/>
    <w:rsid w:val="00501AEE"/>
    <w:rsid w:val="00501BAE"/>
    <w:rsid w:val="00501C61"/>
    <w:rsid w:val="00501CEB"/>
    <w:rsid w:val="00501D72"/>
    <w:rsid w:val="005023A1"/>
    <w:rsid w:val="0050288A"/>
    <w:rsid w:val="00502B5E"/>
    <w:rsid w:val="00502E61"/>
    <w:rsid w:val="00502F9B"/>
    <w:rsid w:val="00503157"/>
    <w:rsid w:val="0050346C"/>
    <w:rsid w:val="0050365A"/>
    <w:rsid w:val="00503696"/>
    <w:rsid w:val="00503A37"/>
    <w:rsid w:val="00503B41"/>
    <w:rsid w:val="00503BC1"/>
    <w:rsid w:val="00503CB7"/>
    <w:rsid w:val="00503CE8"/>
    <w:rsid w:val="00503D5E"/>
    <w:rsid w:val="00503DA0"/>
    <w:rsid w:val="00503E0B"/>
    <w:rsid w:val="00504308"/>
    <w:rsid w:val="00504355"/>
    <w:rsid w:val="00504680"/>
    <w:rsid w:val="0050470A"/>
    <w:rsid w:val="00504740"/>
    <w:rsid w:val="005047B6"/>
    <w:rsid w:val="005048FA"/>
    <w:rsid w:val="00504A0F"/>
    <w:rsid w:val="00504A95"/>
    <w:rsid w:val="00504BFB"/>
    <w:rsid w:val="00504E62"/>
    <w:rsid w:val="00504F09"/>
    <w:rsid w:val="0050501C"/>
    <w:rsid w:val="005054A2"/>
    <w:rsid w:val="005057FF"/>
    <w:rsid w:val="00505BED"/>
    <w:rsid w:val="00505E2E"/>
    <w:rsid w:val="00506329"/>
    <w:rsid w:val="00506397"/>
    <w:rsid w:val="00506428"/>
    <w:rsid w:val="00506555"/>
    <w:rsid w:val="00506A7C"/>
    <w:rsid w:val="00506AF3"/>
    <w:rsid w:val="00506B09"/>
    <w:rsid w:val="00506D88"/>
    <w:rsid w:val="00506E6C"/>
    <w:rsid w:val="00507186"/>
    <w:rsid w:val="005072E7"/>
    <w:rsid w:val="005078FC"/>
    <w:rsid w:val="00507C39"/>
    <w:rsid w:val="00507CA0"/>
    <w:rsid w:val="00507E04"/>
    <w:rsid w:val="005100C8"/>
    <w:rsid w:val="00510372"/>
    <w:rsid w:val="005103C1"/>
    <w:rsid w:val="00510470"/>
    <w:rsid w:val="00510869"/>
    <w:rsid w:val="00510960"/>
    <w:rsid w:val="00510B55"/>
    <w:rsid w:val="00510CAA"/>
    <w:rsid w:val="00510D77"/>
    <w:rsid w:val="00510D8A"/>
    <w:rsid w:val="00510DE1"/>
    <w:rsid w:val="00510DE7"/>
    <w:rsid w:val="00510E28"/>
    <w:rsid w:val="00510F1C"/>
    <w:rsid w:val="00511078"/>
    <w:rsid w:val="005111E3"/>
    <w:rsid w:val="005114D3"/>
    <w:rsid w:val="005114DF"/>
    <w:rsid w:val="0051158F"/>
    <w:rsid w:val="005115A3"/>
    <w:rsid w:val="005117DE"/>
    <w:rsid w:val="0051198A"/>
    <w:rsid w:val="00511A17"/>
    <w:rsid w:val="00511C5A"/>
    <w:rsid w:val="00511FA2"/>
    <w:rsid w:val="00511FA9"/>
    <w:rsid w:val="00511FB6"/>
    <w:rsid w:val="00512323"/>
    <w:rsid w:val="00512578"/>
    <w:rsid w:val="00512826"/>
    <w:rsid w:val="0051290E"/>
    <w:rsid w:val="00512A7E"/>
    <w:rsid w:val="00512AE0"/>
    <w:rsid w:val="00512D0C"/>
    <w:rsid w:val="00513182"/>
    <w:rsid w:val="005131B6"/>
    <w:rsid w:val="005131EA"/>
    <w:rsid w:val="005132C3"/>
    <w:rsid w:val="005133F0"/>
    <w:rsid w:val="0051347E"/>
    <w:rsid w:val="00513502"/>
    <w:rsid w:val="00513BB8"/>
    <w:rsid w:val="00513C55"/>
    <w:rsid w:val="00513EE2"/>
    <w:rsid w:val="00513FD5"/>
    <w:rsid w:val="00514190"/>
    <w:rsid w:val="005141F4"/>
    <w:rsid w:val="0051422E"/>
    <w:rsid w:val="00514297"/>
    <w:rsid w:val="0051460E"/>
    <w:rsid w:val="005148DB"/>
    <w:rsid w:val="0051499E"/>
    <w:rsid w:val="00514AFC"/>
    <w:rsid w:val="00514C0C"/>
    <w:rsid w:val="00514C3C"/>
    <w:rsid w:val="00514DD3"/>
    <w:rsid w:val="00514DF1"/>
    <w:rsid w:val="00514ED8"/>
    <w:rsid w:val="00514F1D"/>
    <w:rsid w:val="00514F51"/>
    <w:rsid w:val="00514F88"/>
    <w:rsid w:val="0051597F"/>
    <w:rsid w:val="00515C26"/>
    <w:rsid w:val="00515C58"/>
    <w:rsid w:val="00515EB6"/>
    <w:rsid w:val="00515F6E"/>
    <w:rsid w:val="00516270"/>
    <w:rsid w:val="005162E0"/>
    <w:rsid w:val="00516762"/>
    <w:rsid w:val="00516797"/>
    <w:rsid w:val="00516AD6"/>
    <w:rsid w:val="00516B28"/>
    <w:rsid w:val="00516BDE"/>
    <w:rsid w:val="00516D75"/>
    <w:rsid w:val="00516E12"/>
    <w:rsid w:val="00516ED1"/>
    <w:rsid w:val="00516EE7"/>
    <w:rsid w:val="0051746F"/>
    <w:rsid w:val="0051758B"/>
    <w:rsid w:val="005175F5"/>
    <w:rsid w:val="00517CF1"/>
    <w:rsid w:val="00517EA8"/>
    <w:rsid w:val="005202F0"/>
    <w:rsid w:val="00520446"/>
    <w:rsid w:val="00520A40"/>
    <w:rsid w:val="00520B86"/>
    <w:rsid w:val="00520BFF"/>
    <w:rsid w:val="00520EF4"/>
    <w:rsid w:val="00520F77"/>
    <w:rsid w:val="00521074"/>
    <w:rsid w:val="0052113C"/>
    <w:rsid w:val="005212D2"/>
    <w:rsid w:val="00521618"/>
    <w:rsid w:val="0052161C"/>
    <w:rsid w:val="00521745"/>
    <w:rsid w:val="005217E6"/>
    <w:rsid w:val="00521807"/>
    <w:rsid w:val="0052195A"/>
    <w:rsid w:val="00521F6D"/>
    <w:rsid w:val="005220A0"/>
    <w:rsid w:val="00522487"/>
    <w:rsid w:val="005225BC"/>
    <w:rsid w:val="0052269B"/>
    <w:rsid w:val="00522878"/>
    <w:rsid w:val="00522929"/>
    <w:rsid w:val="005229C9"/>
    <w:rsid w:val="00522ACF"/>
    <w:rsid w:val="00522CB9"/>
    <w:rsid w:val="00522D20"/>
    <w:rsid w:val="00522D37"/>
    <w:rsid w:val="00522D70"/>
    <w:rsid w:val="00522D7B"/>
    <w:rsid w:val="00523513"/>
    <w:rsid w:val="00523545"/>
    <w:rsid w:val="0052360F"/>
    <w:rsid w:val="0052364E"/>
    <w:rsid w:val="005236EF"/>
    <w:rsid w:val="005237C1"/>
    <w:rsid w:val="005238EF"/>
    <w:rsid w:val="00523970"/>
    <w:rsid w:val="005239D7"/>
    <w:rsid w:val="00523A00"/>
    <w:rsid w:val="00523EBC"/>
    <w:rsid w:val="005241F5"/>
    <w:rsid w:val="00524201"/>
    <w:rsid w:val="00524308"/>
    <w:rsid w:val="005243B3"/>
    <w:rsid w:val="00524405"/>
    <w:rsid w:val="005244C6"/>
    <w:rsid w:val="00524656"/>
    <w:rsid w:val="0052468D"/>
    <w:rsid w:val="005246E1"/>
    <w:rsid w:val="00524A7D"/>
    <w:rsid w:val="00524E0B"/>
    <w:rsid w:val="00524FC3"/>
    <w:rsid w:val="005250D7"/>
    <w:rsid w:val="005253D9"/>
    <w:rsid w:val="005253F6"/>
    <w:rsid w:val="005256AC"/>
    <w:rsid w:val="005256E2"/>
    <w:rsid w:val="00525723"/>
    <w:rsid w:val="00525AEE"/>
    <w:rsid w:val="00525B67"/>
    <w:rsid w:val="0052613B"/>
    <w:rsid w:val="0052616F"/>
    <w:rsid w:val="005261F4"/>
    <w:rsid w:val="0052623C"/>
    <w:rsid w:val="00526277"/>
    <w:rsid w:val="00526453"/>
    <w:rsid w:val="00526735"/>
    <w:rsid w:val="005267CF"/>
    <w:rsid w:val="00526D66"/>
    <w:rsid w:val="00526D7C"/>
    <w:rsid w:val="00526FD7"/>
    <w:rsid w:val="00527161"/>
    <w:rsid w:val="005272D3"/>
    <w:rsid w:val="0052733C"/>
    <w:rsid w:val="0052788D"/>
    <w:rsid w:val="00527942"/>
    <w:rsid w:val="005279B1"/>
    <w:rsid w:val="00527C62"/>
    <w:rsid w:val="00527CD9"/>
    <w:rsid w:val="00527D79"/>
    <w:rsid w:val="00527EF8"/>
    <w:rsid w:val="005301A5"/>
    <w:rsid w:val="0053031C"/>
    <w:rsid w:val="00530368"/>
    <w:rsid w:val="00530442"/>
    <w:rsid w:val="00530651"/>
    <w:rsid w:val="005307C7"/>
    <w:rsid w:val="0053099D"/>
    <w:rsid w:val="00530A33"/>
    <w:rsid w:val="00530B6F"/>
    <w:rsid w:val="00530B70"/>
    <w:rsid w:val="00530D8E"/>
    <w:rsid w:val="00530EAC"/>
    <w:rsid w:val="00530EB5"/>
    <w:rsid w:val="00530F73"/>
    <w:rsid w:val="005311CA"/>
    <w:rsid w:val="00531309"/>
    <w:rsid w:val="0053135F"/>
    <w:rsid w:val="005313BE"/>
    <w:rsid w:val="005314C0"/>
    <w:rsid w:val="00531534"/>
    <w:rsid w:val="00531613"/>
    <w:rsid w:val="00531754"/>
    <w:rsid w:val="00531875"/>
    <w:rsid w:val="005318C7"/>
    <w:rsid w:val="00531DA3"/>
    <w:rsid w:val="00531E7B"/>
    <w:rsid w:val="00532113"/>
    <w:rsid w:val="0053241E"/>
    <w:rsid w:val="00532452"/>
    <w:rsid w:val="005324E7"/>
    <w:rsid w:val="00532633"/>
    <w:rsid w:val="00532893"/>
    <w:rsid w:val="005328FD"/>
    <w:rsid w:val="00532946"/>
    <w:rsid w:val="00532977"/>
    <w:rsid w:val="005329AF"/>
    <w:rsid w:val="005329D9"/>
    <w:rsid w:val="00532AA1"/>
    <w:rsid w:val="00532AA7"/>
    <w:rsid w:val="00532CE0"/>
    <w:rsid w:val="00532EDF"/>
    <w:rsid w:val="00532FF0"/>
    <w:rsid w:val="0053313E"/>
    <w:rsid w:val="005331FA"/>
    <w:rsid w:val="00533497"/>
    <w:rsid w:val="00533823"/>
    <w:rsid w:val="00533C09"/>
    <w:rsid w:val="00533DE6"/>
    <w:rsid w:val="00533EA1"/>
    <w:rsid w:val="00533EF3"/>
    <w:rsid w:val="0053407D"/>
    <w:rsid w:val="00534907"/>
    <w:rsid w:val="00534C8F"/>
    <w:rsid w:val="00534CD5"/>
    <w:rsid w:val="00534CDD"/>
    <w:rsid w:val="00534D64"/>
    <w:rsid w:val="00534DE5"/>
    <w:rsid w:val="00534F2D"/>
    <w:rsid w:val="00534F34"/>
    <w:rsid w:val="0053519F"/>
    <w:rsid w:val="0053531A"/>
    <w:rsid w:val="005356B2"/>
    <w:rsid w:val="005356C9"/>
    <w:rsid w:val="0053572E"/>
    <w:rsid w:val="005359A2"/>
    <w:rsid w:val="00535B80"/>
    <w:rsid w:val="00535DF4"/>
    <w:rsid w:val="00535EC4"/>
    <w:rsid w:val="00536646"/>
    <w:rsid w:val="005366B7"/>
    <w:rsid w:val="00536934"/>
    <w:rsid w:val="00536AAD"/>
    <w:rsid w:val="00536C05"/>
    <w:rsid w:val="005371B5"/>
    <w:rsid w:val="00537681"/>
    <w:rsid w:val="005377FC"/>
    <w:rsid w:val="0053784B"/>
    <w:rsid w:val="00537AD3"/>
    <w:rsid w:val="00537FC2"/>
    <w:rsid w:val="00540085"/>
    <w:rsid w:val="0054012B"/>
    <w:rsid w:val="00540707"/>
    <w:rsid w:val="00540B80"/>
    <w:rsid w:val="00540C17"/>
    <w:rsid w:val="00540D06"/>
    <w:rsid w:val="00540ED1"/>
    <w:rsid w:val="00541098"/>
    <w:rsid w:val="005410FD"/>
    <w:rsid w:val="00541309"/>
    <w:rsid w:val="00541407"/>
    <w:rsid w:val="00541A8C"/>
    <w:rsid w:val="00541ADC"/>
    <w:rsid w:val="00541C05"/>
    <w:rsid w:val="00541D28"/>
    <w:rsid w:val="00541F0E"/>
    <w:rsid w:val="0054206E"/>
    <w:rsid w:val="00542074"/>
    <w:rsid w:val="005421F7"/>
    <w:rsid w:val="00542367"/>
    <w:rsid w:val="005425E3"/>
    <w:rsid w:val="005427DF"/>
    <w:rsid w:val="00542831"/>
    <w:rsid w:val="00542887"/>
    <w:rsid w:val="0054292B"/>
    <w:rsid w:val="00542C23"/>
    <w:rsid w:val="00542C53"/>
    <w:rsid w:val="00542E00"/>
    <w:rsid w:val="00542EEA"/>
    <w:rsid w:val="00542FB4"/>
    <w:rsid w:val="00543377"/>
    <w:rsid w:val="00543576"/>
    <w:rsid w:val="0054365A"/>
    <w:rsid w:val="005436E0"/>
    <w:rsid w:val="00543881"/>
    <w:rsid w:val="00543DAE"/>
    <w:rsid w:val="00543F0E"/>
    <w:rsid w:val="00543FB5"/>
    <w:rsid w:val="00543FC3"/>
    <w:rsid w:val="00544085"/>
    <w:rsid w:val="0054409E"/>
    <w:rsid w:val="00544315"/>
    <w:rsid w:val="005443F7"/>
    <w:rsid w:val="0054455D"/>
    <w:rsid w:val="005447BF"/>
    <w:rsid w:val="005448AC"/>
    <w:rsid w:val="00544AA8"/>
    <w:rsid w:val="00544DD9"/>
    <w:rsid w:val="0054520E"/>
    <w:rsid w:val="0054525B"/>
    <w:rsid w:val="00545317"/>
    <w:rsid w:val="00545515"/>
    <w:rsid w:val="00545700"/>
    <w:rsid w:val="00545912"/>
    <w:rsid w:val="00545AE1"/>
    <w:rsid w:val="00545F54"/>
    <w:rsid w:val="0054601F"/>
    <w:rsid w:val="0054603D"/>
    <w:rsid w:val="005461F2"/>
    <w:rsid w:val="005462C3"/>
    <w:rsid w:val="005464E1"/>
    <w:rsid w:val="005465FC"/>
    <w:rsid w:val="00546642"/>
    <w:rsid w:val="005466F0"/>
    <w:rsid w:val="00546755"/>
    <w:rsid w:val="00546777"/>
    <w:rsid w:val="005467F1"/>
    <w:rsid w:val="005469C5"/>
    <w:rsid w:val="00546A28"/>
    <w:rsid w:val="00546A53"/>
    <w:rsid w:val="00546C08"/>
    <w:rsid w:val="00546CB0"/>
    <w:rsid w:val="00546D35"/>
    <w:rsid w:val="00546DB4"/>
    <w:rsid w:val="00546E46"/>
    <w:rsid w:val="00546E6D"/>
    <w:rsid w:val="00546EE0"/>
    <w:rsid w:val="005472F2"/>
    <w:rsid w:val="00547368"/>
    <w:rsid w:val="00547490"/>
    <w:rsid w:val="00547674"/>
    <w:rsid w:val="00547819"/>
    <w:rsid w:val="005478E3"/>
    <w:rsid w:val="00547B3B"/>
    <w:rsid w:val="00547C05"/>
    <w:rsid w:val="0055001D"/>
    <w:rsid w:val="00550072"/>
    <w:rsid w:val="005504E5"/>
    <w:rsid w:val="00550534"/>
    <w:rsid w:val="00550844"/>
    <w:rsid w:val="00550857"/>
    <w:rsid w:val="00550BAB"/>
    <w:rsid w:val="00550D2B"/>
    <w:rsid w:val="00550DE6"/>
    <w:rsid w:val="00550FE3"/>
    <w:rsid w:val="005510EF"/>
    <w:rsid w:val="005513B3"/>
    <w:rsid w:val="00551414"/>
    <w:rsid w:val="0055171B"/>
    <w:rsid w:val="00551766"/>
    <w:rsid w:val="00551B03"/>
    <w:rsid w:val="00551BBA"/>
    <w:rsid w:val="00551BE0"/>
    <w:rsid w:val="00551DBB"/>
    <w:rsid w:val="00552016"/>
    <w:rsid w:val="00552123"/>
    <w:rsid w:val="00552140"/>
    <w:rsid w:val="005524B7"/>
    <w:rsid w:val="005527A9"/>
    <w:rsid w:val="005527DF"/>
    <w:rsid w:val="00552836"/>
    <w:rsid w:val="00552870"/>
    <w:rsid w:val="00552933"/>
    <w:rsid w:val="00552A05"/>
    <w:rsid w:val="00552C55"/>
    <w:rsid w:val="00552C9C"/>
    <w:rsid w:val="00552DA4"/>
    <w:rsid w:val="00552F29"/>
    <w:rsid w:val="0055315E"/>
    <w:rsid w:val="0055334C"/>
    <w:rsid w:val="005533F9"/>
    <w:rsid w:val="0055347F"/>
    <w:rsid w:val="00553514"/>
    <w:rsid w:val="0055359B"/>
    <w:rsid w:val="005535BA"/>
    <w:rsid w:val="005537DE"/>
    <w:rsid w:val="005538F3"/>
    <w:rsid w:val="005539A3"/>
    <w:rsid w:val="00553A70"/>
    <w:rsid w:val="00553C0C"/>
    <w:rsid w:val="00553D02"/>
    <w:rsid w:val="00553D0B"/>
    <w:rsid w:val="00553D91"/>
    <w:rsid w:val="00554003"/>
    <w:rsid w:val="0055424C"/>
    <w:rsid w:val="0055426C"/>
    <w:rsid w:val="005542C6"/>
    <w:rsid w:val="00554518"/>
    <w:rsid w:val="00554839"/>
    <w:rsid w:val="00554C90"/>
    <w:rsid w:val="00554E6C"/>
    <w:rsid w:val="00555134"/>
    <w:rsid w:val="00555262"/>
    <w:rsid w:val="0055530C"/>
    <w:rsid w:val="005554E3"/>
    <w:rsid w:val="005555FA"/>
    <w:rsid w:val="00555747"/>
    <w:rsid w:val="0055589A"/>
    <w:rsid w:val="005559BC"/>
    <w:rsid w:val="005559CA"/>
    <w:rsid w:val="00555C33"/>
    <w:rsid w:val="00555CB4"/>
    <w:rsid w:val="005562A3"/>
    <w:rsid w:val="00556369"/>
    <w:rsid w:val="00556431"/>
    <w:rsid w:val="005565DA"/>
    <w:rsid w:val="00556858"/>
    <w:rsid w:val="00556863"/>
    <w:rsid w:val="005568FF"/>
    <w:rsid w:val="00556D33"/>
    <w:rsid w:val="00556DAE"/>
    <w:rsid w:val="00556EEC"/>
    <w:rsid w:val="00556F6F"/>
    <w:rsid w:val="00557238"/>
    <w:rsid w:val="0055736F"/>
    <w:rsid w:val="00557619"/>
    <w:rsid w:val="0055783F"/>
    <w:rsid w:val="0055784C"/>
    <w:rsid w:val="00557A6C"/>
    <w:rsid w:val="0056052F"/>
    <w:rsid w:val="005606DB"/>
    <w:rsid w:val="005607C1"/>
    <w:rsid w:val="005607E8"/>
    <w:rsid w:val="00560897"/>
    <w:rsid w:val="005608C6"/>
    <w:rsid w:val="0056099A"/>
    <w:rsid w:val="00560A54"/>
    <w:rsid w:val="00560C0E"/>
    <w:rsid w:val="00560C64"/>
    <w:rsid w:val="00560F14"/>
    <w:rsid w:val="00561039"/>
    <w:rsid w:val="00561117"/>
    <w:rsid w:val="0056113F"/>
    <w:rsid w:val="005611F7"/>
    <w:rsid w:val="00561339"/>
    <w:rsid w:val="00561403"/>
    <w:rsid w:val="0056142D"/>
    <w:rsid w:val="005615A5"/>
    <w:rsid w:val="005615EC"/>
    <w:rsid w:val="00561AAB"/>
    <w:rsid w:val="00561C49"/>
    <w:rsid w:val="00561CB6"/>
    <w:rsid w:val="00561CCB"/>
    <w:rsid w:val="00561F1C"/>
    <w:rsid w:val="00562374"/>
    <w:rsid w:val="0056241B"/>
    <w:rsid w:val="005624E2"/>
    <w:rsid w:val="00562527"/>
    <w:rsid w:val="00562721"/>
    <w:rsid w:val="0056289A"/>
    <w:rsid w:val="00562A84"/>
    <w:rsid w:val="00562B8E"/>
    <w:rsid w:val="00562D37"/>
    <w:rsid w:val="00562D93"/>
    <w:rsid w:val="00562F4F"/>
    <w:rsid w:val="0056309E"/>
    <w:rsid w:val="00563127"/>
    <w:rsid w:val="00563151"/>
    <w:rsid w:val="00563190"/>
    <w:rsid w:val="005634F8"/>
    <w:rsid w:val="00563503"/>
    <w:rsid w:val="00563AC4"/>
    <w:rsid w:val="00563C88"/>
    <w:rsid w:val="00564108"/>
    <w:rsid w:val="0056440F"/>
    <w:rsid w:val="005646EA"/>
    <w:rsid w:val="00564A53"/>
    <w:rsid w:val="00564D0C"/>
    <w:rsid w:val="00564D21"/>
    <w:rsid w:val="00564E79"/>
    <w:rsid w:val="00564F56"/>
    <w:rsid w:val="00565000"/>
    <w:rsid w:val="00565009"/>
    <w:rsid w:val="00565370"/>
    <w:rsid w:val="005653A3"/>
    <w:rsid w:val="005655A1"/>
    <w:rsid w:val="0056577F"/>
    <w:rsid w:val="00565B13"/>
    <w:rsid w:val="00565B8B"/>
    <w:rsid w:val="00565C80"/>
    <w:rsid w:val="00565DB6"/>
    <w:rsid w:val="0056600D"/>
    <w:rsid w:val="0056609B"/>
    <w:rsid w:val="005663E2"/>
    <w:rsid w:val="00566466"/>
    <w:rsid w:val="0056649B"/>
    <w:rsid w:val="00566590"/>
    <w:rsid w:val="0056663A"/>
    <w:rsid w:val="005669F2"/>
    <w:rsid w:val="00566A99"/>
    <w:rsid w:val="00566BB9"/>
    <w:rsid w:val="00566E0E"/>
    <w:rsid w:val="00566FE4"/>
    <w:rsid w:val="00567359"/>
    <w:rsid w:val="0056744F"/>
    <w:rsid w:val="00567635"/>
    <w:rsid w:val="0056767F"/>
    <w:rsid w:val="0056768D"/>
    <w:rsid w:val="00567884"/>
    <w:rsid w:val="00567B7F"/>
    <w:rsid w:val="00567BF8"/>
    <w:rsid w:val="00567D95"/>
    <w:rsid w:val="00567EF6"/>
    <w:rsid w:val="0057007A"/>
    <w:rsid w:val="005701D9"/>
    <w:rsid w:val="00570440"/>
    <w:rsid w:val="005706AF"/>
    <w:rsid w:val="00570981"/>
    <w:rsid w:val="005709E4"/>
    <w:rsid w:val="00570A87"/>
    <w:rsid w:val="00570C99"/>
    <w:rsid w:val="00570D22"/>
    <w:rsid w:val="00570F9F"/>
    <w:rsid w:val="00570FA6"/>
    <w:rsid w:val="00571316"/>
    <w:rsid w:val="0057198B"/>
    <w:rsid w:val="00571ACA"/>
    <w:rsid w:val="00571BA2"/>
    <w:rsid w:val="00571C82"/>
    <w:rsid w:val="00571C9F"/>
    <w:rsid w:val="00571ECF"/>
    <w:rsid w:val="00571F0F"/>
    <w:rsid w:val="00572304"/>
    <w:rsid w:val="0057246A"/>
    <w:rsid w:val="0057274D"/>
    <w:rsid w:val="00572830"/>
    <w:rsid w:val="005728FB"/>
    <w:rsid w:val="00572950"/>
    <w:rsid w:val="00572DCE"/>
    <w:rsid w:val="00572E42"/>
    <w:rsid w:val="00572FC9"/>
    <w:rsid w:val="00573054"/>
    <w:rsid w:val="005730E7"/>
    <w:rsid w:val="00573339"/>
    <w:rsid w:val="005733D0"/>
    <w:rsid w:val="00573439"/>
    <w:rsid w:val="0057358B"/>
    <w:rsid w:val="005735BB"/>
    <w:rsid w:val="0057368F"/>
    <w:rsid w:val="005736C0"/>
    <w:rsid w:val="005738C6"/>
    <w:rsid w:val="005738DD"/>
    <w:rsid w:val="00573D16"/>
    <w:rsid w:val="00573E36"/>
    <w:rsid w:val="00573E5D"/>
    <w:rsid w:val="00573F26"/>
    <w:rsid w:val="00573FC5"/>
    <w:rsid w:val="00574285"/>
    <w:rsid w:val="005742C7"/>
    <w:rsid w:val="00574493"/>
    <w:rsid w:val="00574668"/>
    <w:rsid w:val="005746DB"/>
    <w:rsid w:val="00574822"/>
    <w:rsid w:val="0057484A"/>
    <w:rsid w:val="005749D9"/>
    <w:rsid w:val="00574BE2"/>
    <w:rsid w:val="00574C39"/>
    <w:rsid w:val="00574D8F"/>
    <w:rsid w:val="00574E4E"/>
    <w:rsid w:val="00574EF7"/>
    <w:rsid w:val="005751CA"/>
    <w:rsid w:val="005755B3"/>
    <w:rsid w:val="00575679"/>
    <w:rsid w:val="005756F6"/>
    <w:rsid w:val="00575749"/>
    <w:rsid w:val="005758A3"/>
    <w:rsid w:val="00575961"/>
    <w:rsid w:val="00575A1E"/>
    <w:rsid w:val="00575BE1"/>
    <w:rsid w:val="00575ED5"/>
    <w:rsid w:val="005762D6"/>
    <w:rsid w:val="005765EF"/>
    <w:rsid w:val="00576619"/>
    <w:rsid w:val="00576673"/>
    <w:rsid w:val="005766BD"/>
    <w:rsid w:val="00576830"/>
    <w:rsid w:val="00576B9B"/>
    <w:rsid w:val="00576DF6"/>
    <w:rsid w:val="00576F4B"/>
    <w:rsid w:val="00576F7D"/>
    <w:rsid w:val="005770F2"/>
    <w:rsid w:val="00577117"/>
    <w:rsid w:val="0057721C"/>
    <w:rsid w:val="00577269"/>
    <w:rsid w:val="005773D7"/>
    <w:rsid w:val="00577620"/>
    <w:rsid w:val="005776FA"/>
    <w:rsid w:val="00577A40"/>
    <w:rsid w:val="00577B16"/>
    <w:rsid w:val="00577E30"/>
    <w:rsid w:val="00577F8B"/>
    <w:rsid w:val="00577FB9"/>
    <w:rsid w:val="00577FC3"/>
    <w:rsid w:val="00577FC7"/>
    <w:rsid w:val="0058023E"/>
    <w:rsid w:val="00580388"/>
    <w:rsid w:val="00580422"/>
    <w:rsid w:val="00580469"/>
    <w:rsid w:val="005805C3"/>
    <w:rsid w:val="00580A5D"/>
    <w:rsid w:val="00580B6B"/>
    <w:rsid w:val="00580CB2"/>
    <w:rsid w:val="00580F4B"/>
    <w:rsid w:val="0058116F"/>
    <w:rsid w:val="005811C5"/>
    <w:rsid w:val="0058133D"/>
    <w:rsid w:val="00581468"/>
    <w:rsid w:val="005816C9"/>
    <w:rsid w:val="00581719"/>
    <w:rsid w:val="0058175A"/>
    <w:rsid w:val="005817DE"/>
    <w:rsid w:val="005817EF"/>
    <w:rsid w:val="00581841"/>
    <w:rsid w:val="00581930"/>
    <w:rsid w:val="0058195D"/>
    <w:rsid w:val="00581A4A"/>
    <w:rsid w:val="00581B8B"/>
    <w:rsid w:val="00581BDD"/>
    <w:rsid w:val="00581BE0"/>
    <w:rsid w:val="00581C07"/>
    <w:rsid w:val="00581C39"/>
    <w:rsid w:val="00581DD4"/>
    <w:rsid w:val="00581E1E"/>
    <w:rsid w:val="00581E46"/>
    <w:rsid w:val="00581F38"/>
    <w:rsid w:val="00582376"/>
    <w:rsid w:val="00582559"/>
    <w:rsid w:val="005828C6"/>
    <w:rsid w:val="005828EC"/>
    <w:rsid w:val="005828F1"/>
    <w:rsid w:val="00582977"/>
    <w:rsid w:val="00582ABF"/>
    <w:rsid w:val="00582BFA"/>
    <w:rsid w:val="00582DE6"/>
    <w:rsid w:val="00582E39"/>
    <w:rsid w:val="00582F89"/>
    <w:rsid w:val="0058309C"/>
    <w:rsid w:val="00583153"/>
    <w:rsid w:val="00583294"/>
    <w:rsid w:val="005832FA"/>
    <w:rsid w:val="00583329"/>
    <w:rsid w:val="005838A4"/>
    <w:rsid w:val="005838DF"/>
    <w:rsid w:val="00583BC5"/>
    <w:rsid w:val="00583D37"/>
    <w:rsid w:val="00583F9C"/>
    <w:rsid w:val="005841F1"/>
    <w:rsid w:val="005843AE"/>
    <w:rsid w:val="00584578"/>
    <w:rsid w:val="005849A7"/>
    <w:rsid w:val="00584A0F"/>
    <w:rsid w:val="00584B6E"/>
    <w:rsid w:val="00584CC5"/>
    <w:rsid w:val="00584E03"/>
    <w:rsid w:val="0058505E"/>
    <w:rsid w:val="0058507E"/>
    <w:rsid w:val="0058523A"/>
    <w:rsid w:val="0058539C"/>
    <w:rsid w:val="005853E6"/>
    <w:rsid w:val="0058570C"/>
    <w:rsid w:val="0058571E"/>
    <w:rsid w:val="005858D8"/>
    <w:rsid w:val="00585B04"/>
    <w:rsid w:val="00585B3C"/>
    <w:rsid w:val="00585C8C"/>
    <w:rsid w:val="00585CE4"/>
    <w:rsid w:val="00585DF3"/>
    <w:rsid w:val="00585E18"/>
    <w:rsid w:val="005861AE"/>
    <w:rsid w:val="0058629B"/>
    <w:rsid w:val="005863F9"/>
    <w:rsid w:val="005869C6"/>
    <w:rsid w:val="00586ABF"/>
    <w:rsid w:val="00586D91"/>
    <w:rsid w:val="00586DC3"/>
    <w:rsid w:val="00586F74"/>
    <w:rsid w:val="00586FBE"/>
    <w:rsid w:val="00587026"/>
    <w:rsid w:val="00587431"/>
    <w:rsid w:val="00587497"/>
    <w:rsid w:val="00587558"/>
    <w:rsid w:val="005877B2"/>
    <w:rsid w:val="005877F5"/>
    <w:rsid w:val="00587929"/>
    <w:rsid w:val="005879F3"/>
    <w:rsid w:val="00587A5D"/>
    <w:rsid w:val="00587CF2"/>
    <w:rsid w:val="00587E2F"/>
    <w:rsid w:val="005900E0"/>
    <w:rsid w:val="005902E5"/>
    <w:rsid w:val="005903B1"/>
    <w:rsid w:val="005904FE"/>
    <w:rsid w:val="00590668"/>
    <w:rsid w:val="00590BB6"/>
    <w:rsid w:val="00590D75"/>
    <w:rsid w:val="00590FEC"/>
    <w:rsid w:val="005910EC"/>
    <w:rsid w:val="005910F4"/>
    <w:rsid w:val="005911C7"/>
    <w:rsid w:val="005912C7"/>
    <w:rsid w:val="0059149A"/>
    <w:rsid w:val="005914A6"/>
    <w:rsid w:val="0059151E"/>
    <w:rsid w:val="005916A3"/>
    <w:rsid w:val="00591737"/>
    <w:rsid w:val="00591807"/>
    <w:rsid w:val="00591BE4"/>
    <w:rsid w:val="005921C3"/>
    <w:rsid w:val="005922E3"/>
    <w:rsid w:val="00592402"/>
    <w:rsid w:val="00592572"/>
    <w:rsid w:val="0059264E"/>
    <w:rsid w:val="005926DF"/>
    <w:rsid w:val="005927B4"/>
    <w:rsid w:val="00592927"/>
    <w:rsid w:val="00592B9F"/>
    <w:rsid w:val="00592BB1"/>
    <w:rsid w:val="00592E07"/>
    <w:rsid w:val="00592E17"/>
    <w:rsid w:val="00592F44"/>
    <w:rsid w:val="00593391"/>
    <w:rsid w:val="00593561"/>
    <w:rsid w:val="00593648"/>
    <w:rsid w:val="0059372D"/>
    <w:rsid w:val="005937D5"/>
    <w:rsid w:val="005937EA"/>
    <w:rsid w:val="005938F9"/>
    <w:rsid w:val="00593CC0"/>
    <w:rsid w:val="00593FB7"/>
    <w:rsid w:val="00594642"/>
    <w:rsid w:val="00594651"/>
    <w:rsid w:val="005949E8"/>
    <w:rsid w:val="00594AEB"/>
    <w:rsid w:val="00594C0D"/>
    <w:rsid w:val="00594DE7"/>
    <w:rsid w:val="00594F17"/>
    <w:rsid w:val="00595055"/>
    <w:rsid w:val="00595224"/>
    <w:rsid w:val="00595244"/>
    <w:rsid w:val="00595279"/>
    <w:rsid w:val="0059541E"/>
    <w:rsid w:val="0059549F"/>
    <w:rsid w:val="0059564E"/>
    <w:rsid w:val="005956BD"/>
    <w:rsid w:val="00595780"/>
    <w:rsid w:val="005957B4"/>
    <w:rsid w:val="00595A43"/>
    <w:rsid w:val="00595E23"/>
    <w:rsid w:val="0059615D"/>
    <w:rsid w:val="00596384"/>
    <w:rsid w:val="005968A3"/>
    <w:rsid w:val="00596916"/>
    <w:rsid w:val="00596B3C"/>
    <w:rsid w:val="00596B6B"/>
    <w:rsid w:val="00596BE5"/>
    <w:rsid w:val="00596C9F"/>
    <w:rsid w:val="00597389"/>
    <w:rsid w:val="005973DF"/>
    <w:rsid w:val="0059764A"/>
    <w:rsid w:val="00597731"/>
    <w:rsid w:val="00597B0E"/>
    <w:rsid w:val="00597B7D"/>
    <w:rsid w:val="00597ED4"/>
    <w:rsid w:val="00597F46"/>
    <w:rsid w:val="00597FB8"/>
    <w:rsid w:val="005A0018"/>
    <w:rsid w:val="005A00DE"/>
    <w:rsid w:val="005A0376"/>
    <w:rsid w:val="005A0388"/>
    <w:rsid w:val="005A0651"/>
    <w:rsid w:val="005A07B8"/>
    <w:rsid w:val="005A0CA8"/>
    <w:rsid w:val="005A1006"/>
    <w:rsid w:val="005A12F7"/>
    <w:rsid w:val="005A15CE"/>
    <w:rsid w:val="005A183E"/>
    <w:rsid w:val="005A1C8F"/>
    <w:rsid w:val="005A1ECB"/>
    <w:rsid w:val="005A1EE6"/>
    <w:rsid w:val="005A2324"/>
    <w:rsid w:val="005A24E2"/>
    <w:rsid w:val="005A2539"/>
    <w:rsid w:val="005A2641"/>
    <w:rsid w:val="005A2679"/>
    <w:rsid w:val="005A28C6"/>
    <w:rsid w:val="005A2916"/>
    <w:rsid w:val="005A2A3B"/>
    <w:rsid w:val="005A2DCC"/>
    <w:rsid w:val="005A3112"/>
    <w:rsid w:val="005A3178"/>
    <w:rsid w:val="005A3879"/>
    <w:rsid w:val="005A3AC4"/>
    <w:rsid w:val="005A3BE9"/>
    <w:rsid w:val="005A3D3B"/>
    <w:rsid w:val="005A43F2"/>
    <w:rsid w:val="005A443B"/>
    <w:rsid w:val="005A4497"/>
    <w:rsid w:val="005A4715"/>
    <w:rsid w:val="005A48D4"/>
    <w:rsid w:val="005A49A1"/>
    <w:rsid w:val="005A49A3"/>
    <w:rsid w:val="005A4A2E"/>
    <w:rsid w:val="005A4A9F"/>
    <w:rsid w:val="005A4AB4"/>
    <w:rsid w:val="005A4B73"/>
    <w:rsid w:val="005A4B7C"/>
    <w:rsid w:val="005A4C0C"/>
    <w:rsid w:val="005A4C15"/>
    <w:rsid w:val="005A4CC3"/>
    <w:rsid w:val="005A50ED"/>
    <w:rsid w:val="005A53EB"/>
    <w:rsid w:val="005A564C"/>
    <w:rsid w:val="005A5842"/>
    <w:rsid w:val="005A58D0"/>
    <w:rsid w:val="005A5A10"/>
    <w:rsid w:val="005A5C28"/>
    <w:rsid w:val="005A5E16"/>
    <w:rsid w:val="005A5ED4"/>
    <w:rsid w:val="005A6043"/>
    <w:rsid w:val="005A610B"/>
    <w:rsid w:val="005A6146"/>
    <w:rsid w:val="005A6875"/>
    <w:rsid w:val="005A6A18"/>
    <w:rsid w:val="005A6F52"/>
    <w:rsid w:val="005A70E9"/>
    <w:rsid w:val="005A7493"/>
    <w:rsid w:val="005A7685"/>
    <w:rsid w:val="005A7B7F"/>
    <w:rsid w:val="005A7C79"/>
    <w:rsid w:val="005A7DBF"/>
    <w:rsid w:val="005A7E4C"/>
    <w:rsid w:val="005A7ED9"/>
    <w:rsid w:val="005A7F90"/>
    <w:rsid w:val="005B02FD"/>
    <w:rsid w:val="005B0344"/>
    <w:rsid w:val="005B039E"/>
    <w:rsid w:val="005B03CB"/>
    <w:rsid w:val="005B0437"/>
    <w:rsid w:val="005B04B4"/>
    <w:rsid w:val="005B0769"/>
    <w:rsid w:val="005B0948"/>
    <w:rsid w:val="005B0B4D"/>
    <w:rsid w:val="005B0B6D"/>
    <w:rsid w:val="005B0C03"/>
    <w:rsid w:val="005B0DF6"/>
    <w:rsid w:val="005B0E76"/>
    <w:rsid w:val="005B0EED"/>
    <w:rsid w:val="005B1143"/>
    <w:rsid w:val="005B154F"/>
    <w:rsid w:val="005B1629"/>
    <w:rsid w:val="005B167C"/>
    <w:rsid w:val="005B1804"/>
    <w:rsid w:val="005B1863"/>
    <w:rsid w:val="005B1A1C"/>
    <w:rsid w:val="005B1A62"/>
    <w:rsid w:val="005B1D34"/>
    <w:rsid w:val="005B1F2C"/>
    <w:rsid w:val="005B22D4"/>
    <w:rsid w:val="005B259A"/>
    <w:rsid w:val="005B25D7"/>
    <w:rsid w:val="005B275C"/>
    <w:rsid w:val="005B28E0"/>
    <w:rsid w:val="005B2994"/>
    <w:rsid w:val="005B29BA"/>
    <w:rsid w:val="005B2B29"/>
    <w:rsid w:val="005B2E04"/>
    <w:rsid w:val="005B2E8C"/>
    <w:rsid w:val="005B33FA"/>
    <w:rsid w:val="005B38A9"/>
    <w:rsid w:val="005B3B17"/>
    <w:rsid w:val="005B3C60"/>
    <w:rsid w:val="005B3F1A"/>
    <w:rsid w:val="005B42B5"/>
    <w:rsid w:val="005B4359"/>
    <w:rsid w:val="005B438D"/>
    <w:rsid w:val="005B4581"/>
    <w:rsid w:val="005B4632"/>
    <w:rsid w:val="005B468F"/>
    <w:rsid w:val="005B46CB"/>
    <w:rsid w:val="005B4774"/>
    <w:rsid w:val="005B4A8E"/>
    <w:rsid w:val="005B4BB3"/>
    <w:rsid w:val="005B4C59"/>
    <w:rsid w:val="005B4DD5"/>
    <w:rsid w:val="005B4E06"/>
    <w:rsid w:val="005B4FFE"/>
    <w:rsid w:val="005B5036"/>
    <w:rsid w:val="005B52CA"/>
    <w:rsid w:val="005B5589"/>
    <w:rsid w:val="005B570F"/>
    <w:rsid w:val="005B5893"/>
    <w:rsid w:val="005B5C3E"/>
    <w:rsid w:val="005B5FBF"/>
    <w:rsid w:val="005B612E"/>
    <w:rsid w:val="005B6156"/>
    <w:rsid w:val="005B6822"/>
    <w:rsid w:val="005B6967"/>
    <w:rsid w:val="005B6DEC"/>
    <w:rsid w:val="005B76C8"/>
    <w:rsid w:val="005B777B"/>
    <w:rsid w:val="005B78E3"/>
    <w:rsid w:val="005B7C34"/>
    <w:rsid w:val="005B7C44"/>
    <w:rsid w:val="005B7D8E"/>
    <w:rsid w:val="005B7DE0"/>
    <w:rsid w:val="005C018E"/>
    <w:rsid w:val="005C01E5"/>
    <w:rsid w:val="005C0322"/>
    <w:rsid w:val="005C05E2"/>
    <w:rsid w:val="005C0997"/>
    <w:rsid w:val="005C0B03"/>
    <w:rsid w:val="005C0BD7"/>
    <w:rsid w:val="005C0BF2"/>
    <w:rsid w:val="005C0D49"/>
    <w:rsid w:val="005C0F16"/>
    <w:rsid w:val="005C123F"/>
    <w:rsid w:val="005C1350"/>
    <w:rsid w:val="005C16AE"/>
    <w:rsid w:val="005C1935"/>
    <w:rsid w:val="005C1A9C"/>
    <w:rsid w:val="005C1AE9"/>
    <w:rsid w:val="005C1B47"/>
    <w:rsid w:val="005C1BEC"/>
    <w:rsid w:val="005C1D61"/>
    <w:rsid w:val="005C1D6E"/>
    <w:rsid w:val="005C1DD9"/>
    <w:rsid w:val="005C1E0F"/>
    <w:rsid w:val="005C1E49"/>
    <w:rsid w:val="005C1FDE"/>
    <w:rsid w:val="005C227F"/>
    <w:rsid w:val="005C2697"/>
    <w:rsid w:val="005C290F"/>
    <w:rsid w:val="005C29A1"/>
    <w:rsid w:val="005C2A02"/>
    <w:rsid w:val="005C2ADD"/>
    <w:rsid w:val="005C2B95"/>
    <w:rsid w:val="005C2C86"/>
    <w:rsid w:val="005C2D14"/>
    <w:rsid w:val="005C2D46"/>
    <w:rsid w:val="005C2D64"/>
    <w:rsid w:val="005C3046"/>
    <w:rsid w:val="005C30A0"/>
    <w:rsid w:val="005C30E9"/>
    <w:rsid w:val="005C3106"/>
    <w:rsid w:val="005C330D"/>
    <w:rsid w:val="005C33AE"/>
    <w:rsid w:val="005C344F"/>
    <w:rsid w:val="005C3690"/>
    <w:rsid w:val="005C3727"/>
    <w:rsid w:val="005C3759"/>
    <w:rsid w:val="005C3C94"/>
    <w:rsid w:val="005C3D12"/>
    <w:rsid w:val="005C3E21"/>
    <w:rsid w:val="005C3F8F"/>
    <w:rsid w:val="005C43AC"/>
    <w:rsid w:val="005C46DD"/>
    <w:rsid w:val="005C47C7"/>
    <w:rsid w:val="005C4A53"/>
    <w:rsid w:val="005C4C7D"/>
    <w:rsid w:val="005C4E91"/>
    <w:rsid w:val="005C4ECF"/>
    <w:rsid w:val="005C5254"/>
    <w:rsid w:val="005C52E6"/>
    <w:rsid w:val="005C5379"/>
    <w:rsid w:val="005C5479"/>
    <w:rsid w:val="005C5A97"/>
    <w:rsid w:val="005C5B07"/>
    <w:rsid w:val="005C5BE4"/>
    <w:rsid w:val="005C5E12"/>
    <w:rsid w:val="005C6234"/>
    <w:rsid w:val="005C642B"/>
    <w:rsid w:val="005C6489"/>
    <w:rsid w:val="005C672A"/>
    <w:rsid w:val="005C6B79"/>
    <w:rsid w:val="005C6C95"/>
    <w:rsid w:val="005C6E22"/>
    <w:rsid w:val="005C6F23"/>
    <w:rsid w:val="005C6F4B"/>
    <w:rsid w:val="005C6FF0"/>
    <w:rsid w:val="005C702D"/>
    <w:rsid w:val="005C756A"/>
    <w:rsid w:val="005C757B"/>
    <w:rsid w:val="005C75D8"/>
    <w:rsid w:val="005C7609"/>
    <w:rsid w:val="005C7648"/>
    <w:rsid w:val="005C7870"/>
    <w:rsid w:val="005C793E"/>
    <w:rsid w:val="005C7997"/>
    <w:rsid w:val="005D0046"/>
    <w:rsid w:val="005D0382"/>
    <w:rsid w:val="005D0436"/>
    <w:rsid w:val="005D05EA"/>
    <w:rsid w:val="005D0771"/>
    <w:rsid w:val="005D07F9"/>
    <w:rsid w:val="005D0AB6"/>
    <w:rsid w:val="005D0B36"/>
    <w:rsid w:val="005D0B73"/>
    <w:rsid w:val="005D0CA0"/>
    <w:rsid w:val="005D0E69"/>
    <w:rsid w:val="005D11F4"/>
    <w:rsid w:val="005D1228"/>
    <w:rsid w:val="005D14AC"/>
    <w:rsid w:val="005D14B4"/>
    <w:rsid w:val="005D1903"/>
    <w:rsid w:val="005D1A61"/>
    <w:rsid w:val="005D1AC8"/>
    <w:rsid w:val="005D1C0E"/>
    <w:rsid w:val="005D1D34"/>
    <w:rsid w:val="005D1DC6"/>
    <w:rsid w:val="005D1F59"/>
    <w:rsid w:val="005D1FEB"/>
    <w:rsid w:val="005D207B"/>
    <w:rsid w:val="005D2087"/>
    <w:rsid w:val="005D214D"/>
    <w:rsid w:val="005D234B"/>
    <w:rsid w:val="005D2383"/>
    <w:rsid w:val="005D268D"/>
    <w:rsid w:val="005D271B"/>
    <w:rsid w:val="005D27F5"/>
    <w:rsid w:val="005D2836"/>
    <w:rsid w:val="005D29F6"/>
    <w:rsid w:val="005D2A95"/>
    <w:rsid w:val="005D2AE5"/>
    <w:rsid w:val="005D2B96"/>
    <w:rsid w:val="005D2D6C"/>
    <w:rsid w:val="005D2F71"/>
    <w:rsid w:val="005D32DD"/>
    <w:rsid w:val="005D3419"/>
    <w:rsid w:val="005D3686"/>
    <w:rsid w:val="005D3791"/>
    <w:rsid w:val="005D3819"/>
    <w:rsid w:val="005D39F7"/>
    <w:rsid w:val="005D3A80"/>
    <w:rsid w:val="005D3AA2"/>
    <w:rsid w:val="005D3FF3"/>
    <w:rsid w:val="005D3FF9"/>
    <w:rsid w:val="005D4204"/>
    <w:rsid w:val="005D4562"/>
    <w:rsid w:val="005D4877"/>
    <w:rsid w:val="005D4A5B"/>
    <w:rsid w:val="005D4A8C"/>
    <w:rsid w:val="005D4D49"/>
    <w:rsid w:val="005D51E1"/>
    <w:rsid w:val="005D53B5"/>
    <w:rsid w:val="005D55CD"/>
    <w:rsid w:val="005D55F7"/>
    <w:rsid w:val="005D5756"/>
    <w:rsid w:val="005D5AEC"/>
    <w:rsid w:val="005D5B04"/>
    <w:rsid w:val="005D5B18"/>
    <w:rsid w:val="005D5CC3"/>
    <w:rsid w:val="005D5D23"/>
    <w:rsid w:val="005D5E3C"/>
    <w:rsid w:val="005D5F40"/>
    <w:rsid w:val="005D5FC4"/>
    <w:rsid w:val="005D60FA"/>
    <w:rsid w:val="005D62B8"/>
    <w:rsid w:val="005D6427"/>
    <w:rsid w:val="005D6452"/>
    <w:rsid w:val="005D6465"/>
    <w:rsid w:val="005D698F"/>
    <w:rsid w:val="005D6A2E"/>
    <w:rsid w:val="005D6CD7"/>
    <w:rsid w:val="005D6D21"/>
    <w:rsid w:val="005D6E63"/>
    <w:rsid w:val="005D7050"/>
    <w:rsid w:val="005D70F1"/>
    <w:rsid w:val="005D71E5"/>
    <w:rsid w:val="005D732A"/>
    <w:rsid w:val="005D7461"/>
    <w:rsid w:val="005D76EC"/>
    <w:rsid w:val="005D7740"/>
    <w:rsid w:val="005D7872"/>
    <w:rsid w:val="005D7970"/>
    <w:rsid w:val="005D7B9F"/>
    <w:rsid w:val="005D7D39"/>
    <w:rsid w:val="005D7D83"/>
    <w:rsid w:val="005D7D84"/>
    <w:rsid w:val="005D7F8D"/>
    <w:rsid w:val="005E0038"/>
    <w:rsid w:val="005E023F"/>
    <w:rsid w:val="005E02FF"/>
    <w:rsid w:val="005E0306"/>
    <w:rsid w:val="005E0521"/>
    <w:rsid w:val="005E0A79"/>
    <w:rsid w:val="005E0B0E"/>
    <w:rsid w:val="005E0BD6"/>
    <w:rsid w:val="005E0E78"/>
    <w:rsid w:val="005E0EC8"/>
    <w:rsid w:val="005E105C"/>
    <w:rsid w:val="005E10BA"/>
    <w:rsid w:val="005E13EE"/>
    <w:rsid w:val="005E141C"/>
    <w:rsid w:val="005E14B8"/>
    <w:rsid w:val="005E14FC"/>
    <w:rsid w:val="005E1804"/>
    <w:rsid w:val="005E196B"/>
    <w:rsid w:val="005E19A0"/>
    <w:rsid w:val="005E1A23"/>
    <w:rsid w:val="005E1BC2"/>
    <w:rsid w:val="005E1F6C"/>
    <w:rsid w:val="005E2360"/>
    <w:rsid w:val="005E27B2"/>
    <w:rsid w:val="005E27DD"/>
    <w:rsid w:val="005E27F7"/>
    <w:rsid w:val="005E2AB6"/>
    <w:rsid w:val="005E2ACE"/>
    <w:rsid w:val="005E2E82"/>
    <w:rsid w:val="005E30B3"/>
    <w:rsid w:val="005E3232"/>
    <w:rsid w:val="005E3335"/>
    <w:rsid w:val="005E334C"/>
    <w:rsid w:val="005E34B1"/>
    <w:rsid w:val="005E34C3"/>
    <w:rsid w:val="005E3594"/>
    <w:rsid w:val="005E37DC"/>
    <w:rsid w:val="005E37F6"/>
    <w:rsid w:val="005E389A"/>
    <w:rsid w:val="005E39F3"/>
    <w:rsid w:val="005E3C6F"/>
    <w:rsid w:val="005E3CB8"/>
    <w:rsid w:val="005E3F1F"/>
    <w:rsid w:val="005E3F2E"/>
    <w:rsid w:val="005E3F5F"/>
    <w:rsid w:val="005E471B"/>
    <w:rsid w:val="005E490B"/>
    <w:rsid w:val="005E4970"/>
    <w:rsid w:val="005E4A9C"/>
    <w:rsid w:val="005E4CDB"/>
    <w:rsid w:val="005E50A6"/>
    <w:rsid w:val="005E5230"/>
    <w:rsid w:val="005E53AB"/>
    <w:rsid w:val="005E557D"/>
    <w:rsid w:val="005E566F"/>
    <w:rsid w:val="005E5746"/>
    <w:rsid w:val="005E58FD"/>
    <w:rsid w:val="005E62BE"/>
    <w:rsid w:val="005E6486"/>
    <w:rsid w:val="005E655D"/>
    <w:rsid w:val="005E699F"/>
    <w:rsid w:val="005E6A05"/>
    <w:rsid w:val="005E6AA2"/>
    <w:rsid w:val="005E6E2C"/>
    <w:rsid w:val="005E7627"/>
    <w:rsid w:val="005E7840"/>
    <w:rsid w:val="005E7AEC"/>
    <w:rsid w:val="005E7B52"/>
    <w:rsid w:val="005E7C51"/>
    <w:rsid w:val="005E7E15"/>
    <w:rsid w:val="005E7EF1"/>
    <w:rsid w:val="005E7F7F"/>
    <w:rsid w:val="005E7FBC"/>
    <w:rsid w:val="005F0048"/>
    <w:rsid w:val="005F0063"/>
    <w:rsid w:val="005F0188"/>
    <w:rsid w:val="005F0225"/>
    <w:rsid w:val="005F0293"/>
    <w:rsid w:val="005F02D6"/>
    <w:rsid w:val="005F04BA"/>
    <w:rsid w:val="005F04E9"/>
    <w:rsid w:val="005F05FB"/>
    <w:rsid w:val="005F07E1"/>
    <w:rsid w:val="005F0C6E"/>
    <w:rsid w:val="005F0D5A"/>
    <w:rsid w:val="005F0F4C"/>
    <w:rsid w:val="005F1304"/>
    <w:rsid w:val="005F16BD"/>
    <w:rsid w:val="005F1826"/>
    <w:rsid w:val="005F19D1"/>
    <w:rsid w:val="005F1A49"/>
    <w:rsid w:val="005F1B21"/>
    <w:rsid w:val="005F1B4D"/>
    <w:rsid w:val="005F1BEE"/>
    <w:rsid w:val="005F1C3B"/>
    <w:rsid w:val="005F1C5D"/>
    <w:rsid w:val="005F2417"/>
    <w:rsid w:val="005F27B2"/>
    <w:rsid w:val="005F28D7"/>
    <w:rsid w:val="005F2903"/>
    <w:rsid w:val="005F2919"/>
    <w:rsid w:val="005F2A7E"/>
    <w:rsid w:val="005F2AFF"/>
    <w:rsid w:val="005F2B7D"/>
    <w:rsid w:val="005F2BE0"/>
    <w:rsid w:val="005F2CDA"/>
    <w:rsid w:val="005F2D8B"/>
    <w:rsid w:val="005F3113"/>
    <w:rsid w:val="005F31B7"/>
    <w:rsid w:val="005F31FB"/>
    <w:rsid w:val="005F38C7"/>
    <w:rsid w:val="005F3BED"/>
    <w:rsid w:val="005F3E2A"/>
    <w:rsid w:val="005F3F95"/>
    <w:rsid w:val="005F412E"/>
    <w:rsid w:val="005F4430"/>
    <w:rsid w:val="005F495F"/>
    <w:rsid w:val="005F4C43"/>
    <w:rsid w:val="005F4CEA"/>
    <w:rsid w:val="005F4E3B"/>
    <w:rsid w:val="005F4E4C"/>
    <w:rsid w:val="005F4EDB"/>
    <w:rsid w:val="005F4EE5"/>
    <w:rsid w:val="005F500E"/>
    <w:rsid w:val="005F505D"/>
    <w:rsid w:val="005F5075"/>
    <w:rsid w:val="005F51A9"/>
    <w:rsid w:val="005F534C"/>
    <w:rsid w:val="005F580A"/>
    <w:rsid w:val="005F589A"/>
    <w:rsid w:val="005F5933"/>
    <w:rsid w:val="005F597E"/>
    <w:rsid w:val="005F5A1F"/>
    <w:rsid w:val="005F5B22"/>
    <w:rsid w:val="005F5CEF"/>
    <w:rsid w:val="005F5E74"/>
    <w:rsid w:val="005F6075"/>
    <w:rsid w:val="005F62FE"/>
    <w:rsid w:val="005F630B"/>
    <w:rsid w:val="005F63BF"/>
    <w:rsid w:val="005F6651"/>
    <w:rsid w:val="005F667D"/>
    <w:rsid w:val="005F67AC"/>
    <w:rsid w:val="005F6997"/>
    <w:rsid w:val="005F6CF5"/>
    <w:rsid w:val="005F6D69"/>
    <w:rsid w:val="005F6E27"/>
    <w:rsid w:val="005F6E99"/>
    <w:rsid w:val="005F6F7A"/>
    <w:rsid w:val="005F726C"/>
    <w:rsid w:val="005F7305"/>
    <w:rsid w:val="005F7652"/>
    <w:rsid w:val="005F7848"/>
    <w:rsid w:val="005F7908"/>
    <w:rsid w:val="005F7A1A"/>
    <w:rsid w:val="005F7B4B"/>
    <w:rsid w:val="005F7BA7"/>
    <w:rsid w:val="005F7C1A"/>
    <w:rsid w:val="005F7C77"/>
    <w:rsid w:val="005F7E04"/>
    <w:rsid w:val="0060047D"/>
    <w:rsid w:val="006007A3"/>
    <w:rsid w:val="006007D5"/>
    <w:rsid w:val="00600919"/>
    <w:rsid w:val="00600D0D"/>
    <w:rsid w:val="00600D5B"/>
    <w:rsid w:val="0060116B"/>
    <w:rsid w:val="00601330"/>
    <w:rsid w:val="00601715"/>
    <w:rsid w:val="00601719"/>
    <w:rsid w:val="00601834"/>
    <w:rsid w:val="00601855"/>
    <w:rsid w:val="00601893"/>
    <w:rsid w:val="006018B4"/>
    <w:rsid w:val="00601B1D"/>
    <w:rsid w:val="00601C38"/>
    <w:rsid w:val="00601D26"/>
    <w:rsid w:val="00601E93"/>
    <w:rsid w:val="00602291"/>
    <w:rsid w:val="0060241C"/>
    <w:rsid w:val="006025D1"/>
    <w:rsid w:val="00602703"/>
    <w:rsid w:val="00602808"/>
    <w:rsid w:val="00602CDA"/>
    <w:rsid w:val="006030C4"/>
    <w:rsid w:val="006033D5"/>
    <w:rsid w:val="00603749"/>
    <w:rsid w:val="00603893"/>
    <w:rsid w:val="00604173"/>
    <w:rsid w:val="006044FF"/>
    <w:rsid w:val="006045F0"/>
    <w:rsid w:val="00604AFF"/>
    <w:rsid w:val="00604B28"/>
    <w:rsid w:val="00604CE0"/>
    <w:rsid w:val="00604FB1"/>
    <w:rsid w:val="00604FB4"/>
    <w:rsid w:val="00605043"/>
    <w:rsid w:val="00605083"/>
    <w:rsid w:val="00605561"/>
    <w:rsid w:val="006056B2"/>
    <w:rsid w:val="006058F5"/>
    <w:rsid w:val="00605A09"/>
    <w:rsid w:val="00605B6D"/>
    <w:rsid w:val="00605EE4"/>
    <w:rsid w:val="006061DD"/>
    <w:rsid w:val="00606495"/>
    <w:rsid w:val="00606599"/>
    <w:rsid w:val="00606643"/>
    <w:rsid w:val="0060666D"/>
    <w:rsid w:val="0060686C"/>
    <w:rsid w:val="00606BB0"/>
    <w:rsid w:val="00606BB6"/>
    <w:rsid w:val="00606BC4"/>
    <w:rsid w:val="00606D3E"/>
    <w:rsid w:val="00606D93"/>
    <w:rsid w:val="00606E01"/>
    <w:rsid w:val="00606E8B"/>
    <w:rsid w:val="00606FA3"/>
    <w:rsid w:val="0060701F"/>
    <w:rsid w:val="00607553"/>
    <w:rsid w:val="00607632"/>
    <w:rsid w:val="006077DE"/>
    <w:rsid w:val="0060787C"/>
    <w:rsid w:val="00607A89"/>
    <w:rsid w:val="00607ABD"/>
    <w:rsid w:val="00607ABE"/>
    <w:rsid w:val="00607F24"/>
    <w:rsid w:val="00607FB1"/>
    <w:rsid w:val="00607FBD"/>
    <w:rsid w:val="0061023D"/>
    <w:rsid w:val="00610432"/>
    <w:rsid w:val="006105D7"/>
    <w:rsid w:val="0061098B"/>
    <w:rsid w:val="0061098E"/>
    <w:rsid w:val="00610C65"/>
    <w:rsid w:val="00610CCC"/>
    <w:rsid w:val="006111B4"/>
    <w:rsid w:val="00611283"/>
    <w:rsid w:val="006113A1"/>
    <w:rsid w:val="0061153E"/>
    <w:rsid w:val="0061185C"/>
    <w:rsid w:val="00611B78"/>
    <w:rsid w:val="00611C6C"/>
    <w:rsid w:val="00611E88"/>
    <w:rsid w:val="00611EB9"/>
    <w:rsid w:val="0061239F"/>
    <w:rsid w:val="00612741"/>
    <w:rsid w:val="00612989"/>
    <w:rsid w:val="00612AA5"/>
    <w:rsid w:val="006130B7"/>
    <w:rsid w:val="00613295"/>
    <w:rsid w:val="006133CC"/>
    <w:rsid w:val="0061361E"/>
    <w:rsid w:val="00613888"/>
    <w:rsid w:val="00613A26"/>
    <w:rsid w:val="00613A8E"/>
    <w:rsid w:val="00613B25"/>
    <w:rsid w:val="00613BE9"/>
    <w:rsid w:val="00613DA5"/>
    <w:rsid w:val="00613E10"/>
    <w:rsid w:val="00613E42"/>
    <w:rsid w:val="00613EC4"/>
    <w:rsid w:val="00613EFE"/>
    <w:rsid w:val="00613F4A"/>
    <w:rsid w:val="00613FB7"/>
    <w:rsid w:val="00613FCA"/>
    <w:rsid w:val="00614266"/>
    <w:rsid w:val="006142F0"/>
    <w:rsid w:val="0061437E"/>
    <w:rsid w:val="00614677"/>
    <w:rsid w:val="00614760"/>
    <w:rsid w:val="00614844"/>
    <w:rsid w:val="00614A5A"/>
    <w:rsid w:val="00614B9B"/>
    <w:rsid w:val="00614D59"/>
    <w:rsid w:val="00615094"/>
    <w:rsid w:val="006150E3"/>
    <w:rsid w:val="006152C6"/>
    <w:rsid w:val="0061535F"/>
    <w:rsid w:val="0061572D"/>
    <w:rsid w:val="00615865"/>
    <w:rsid w:val="00615B46"/>
    <w:rsid w:val="00615BB8"/>
    <w:rsid w:val="00616160"/>
    <w:rsid w:val="0061620A"/>
    <w:rsid w:val="00616529"/>
    <w:rsid w:val="006165B6"/>
    <w:rsid w:val="006165F3"/>
    <w:rsid w:val="006168FC"/>
    <w:rsid w:val="0061699A"/>
    <w:rsid w:val="00616C09"/>
    <w:rsid w:val="00616FBE"/>
    <w:rsid w:val="0061768A"/>
    <w:rsid w:val="00617A8E"/>
    <w:rsid w:val="00617D90"/>
    <w:rsid w:val="00617E8B"/>
    <w:rsid w:val="00620518"/>
    <w:rsid w:val="006205F4"/>
    <w:rsid w:val="0062067E"/>
    <w:rsid w:val="00620AA5"/>
    <w:rsid w:val="00620B11"/>
    <w:rsid w:val="00620B66"/>
    <w:rsid w:val="00620D41"/>
    <w:rsid w:val="00620D78"/>
    <w:rsid w:val="006210B2"/>
    <w:rsid w:val="00621408"/>
    <w:rsid w:val="00621460"/>
    <w:rsid w:val="006215A1"/>
    <w:rsid w:val="00621A80"/>
    <w:rsid w:val="00621AC8"/>
    <w:rsid w:val="00621D29"/>
    <w:rsid w:val="00621E5D"/>
    <w:rsid w:val="00621E85"/>
    <w:rsid w:val="006224EE"/>
    <w:rsid w:val="006226C5"/>
    <w:rsid w:val="00622749"/>
    <w:rsid w:val="006227CB"/>
    <w:rsid w:val="00622A00"/>
    <w:rsid w:val="00622AE3"/>
    <w:rsid w:val="00622BFD"/>
    <w:rsid w:val="00622DDE"/>
    <w:rsid w:val="00622F8D"/>
    <w:rsid w:val="0062320C"/>
    <w:rsid w:val="00623363"/>
    <w:rsid w:val="0062363C"/>
    <w:rsid w:val="006236D8"/>
    <w:rsid w:val="006236EB"/>
    <w:rsid w:val="00623730"/>
    <w:rsid w:val="006237B9"/>
    <w:rsid w:val="00623800"/>
    <w:rsid w:val="00623868"/>
    <w:rsid w:val="00623B28"/>
    <w:rsid w:val="00623BDF"/>
    <w:rsid w:val="00623CFF"/>
    <w:rsid w:val="00623E48"/>
    <w:rsid w:val="0062401D"/>
    <w:rsid w:val="006240B9"/>
    <w:rsid w:val="006241B5"/>
    <w:rsid w:val="006242A5"/>
    <w:rsid w:val="00624449"/>
    <w:rsid w:val="00624481"/>
    <w:rsid w:val="00624687"/>
    <w:rsid w:val="00624718"/>
    <w:rsid w:val="006248D3"/>
    <w:rsid w:val="00624BF1"/>
    <w:rsid w:val="00624D03"/>
    <w:rsid w:val="00624F7C"/>
    <w:rsid w:val="006250FD"/>
    <w:rsid w:val="0062510A"/>
    <w:rsid w:val="006252F8"/>
    <w:rsid w:val="0062545F"/>
    <w:rsid w:val="00625640"/>
    <w:rsid w:val="00625ACA"/>
    <w:rsid w:val="00625B09"/>
    <w:rsid w:val="00625B5C"/>
    <w:rsid w:val="00625B71"/>
    <w:rsid w:val="00625B8C"/>
    <w:rsid w:val="00625BC7"/>
    <w:rsid w:val="00625BD4"/>
    <w:rsid w:val="00625D32"/>
    <w:rsid w:val="006260CA"/>
    <w:rsid w:val="00626119"/>
    <w:rsid w:val="006261D1"/>
    <w:rsid w:val="006262E9"/>
    <w:rsid w:val="00626327"/>
    <w:rsid w:val="00626512"/>
    <w:rsid w:val="0062652B"/>
    <w:rsid w:val="00626599"/>
    <w:rsid w:val="006265B3"/>
    <w:rsid w:val="00626676"/>
    <w:rsid w:val="00626A1C"/>
    <w:rsid w:val="00626AB5"/>
    <w:rsid w:val="00626B09"/>
    <w:rsid w:val="00626D04"/>
    <w:rsid w:val="00626DB1"/>
    <w:rsid w:val="00626E55"/>
    <w:rsid w:val="00626EAB"/>
    <w:rsid w:val="00626F6A"/>
    <w:rsid w:val="00627409"/>
    <w:rsid w:val="006274B9"/>
    <w:rsid w:val="006275FA"/>
    <w:rsid w:val="0062764E"/>
    <w:rsid w:val="006276E5"/>
    <w:rsid w:val="00627793"/>
    <w:rsid w:val="0062790D"/>
    <w:rsid w:val="00627962"/>
    <w:rsid w:val="00627A8F"/>
    <w:rsid w:val="00627C14"/>
    <w:rsid w:val="00627C43"/>
    <w:rsid w:val="00627F2C"/>
    <w:rsid w:val="00627F55"/>
    <w:rsid w:val="006305BF"/>
    <w:rsid w:val="006307BF"/>
    <w:rsid w:val="006309DF"/>
    <w:rsid w:val="00630AF9"/>
    <w:rsid w:val="00630C69"/>
    <w:rsid w:val="00630EEB"/>
    <w:rsid w:val="00630FE5"/>
    <w:rsid w:val="00631081"/>
    <w:rsid w:val="006311FE"/>
    <w:rsid w:val="006313F2"/>
    <w:rsid w:val="00631471"/>
    <w:rsid w:val="00631612"/>
    <w:rsid w:val="00631761"/>
    <w:rsid w:val="00631C04"/>
    <w:rsid w:val="00631C18"/>
    <w:rsid w:val="00631DCF"/>
    <w:rsid w:val="00631F65"/>
    <w:rsid w:val="00631FDA"/>
    <w:rsid w:val="006323FE"/>
    <w:rsid w:val="00632B64"/>
    <w:rsid w:val="00632BE1"/>
    <w:rsid w:val="00632E93"/>
    <w:rsid w:val="00632EBA"/>
    <w:rsid w:val="00632FE7"/>
    <w:rsid w:val="006332B8"/>
    <w:rsid w:val="006332BE"/>
    <w:rsid w:val="00633606"/>
    <w:rsid w:val="00633670"/>
    <w:rsid w:val="00633849"/>
    <w:rsid w:val="00633936"/>
    <w:rsid w:val="00633A03"/>
    <w:rsid w:val="00633C4D"/>
    <w:rsid w:val="00633CC2"/>
    <w:rsid w:val="00633D43"/>
    <w:rsid w:val="00633E5C"/>
    <w:rsid w:val="006340CA"/>
    <w:rsid w:val="006340DD"/>
    <w:rsid w:val="006340FE"/>
    <w:rsid w:val="006341DC"/>
    <w:rsid w:val="00634416"/>
    <w:rsid w:val="006344E5"/>
    <w:rsid w:val="006346C8"/>
    <w:rsid w:val="006346CF"/>
    <w:rsid w:val="006346EE"/>
    <w:rsid w:val="006346FC"/>
    <w:rsid w:val="00634746"/>
    <w:rsid w:val="00634BDC"/>
    <w:rsid w:val="00634CEA"/>
    <w:rsid w:val="00634FDE"/>
    <w:rsid w:val="006353CA"/>
    <w:rsid w:val="006355C5"/>
    <w:rsid w:val="0063574A"/>
    <w:rsid w:val="00635C25"/>
    <w:rsid w:val="00635CE8"/>
    <w:rsid w:val="0063612E"/>
    <w:rsid w:val="00636657"/>
    <w:rsid w:val="00636739"/>
    <w:rsid w:val="006368F5"/>
    <w:rsid w:val="00636958"/>
    <w:rsid w:val="00636968"/>
    <w:rsid w:val="00636C64"/>
    <w:rsid w:val="00636EFC"/>
    <w:rsid w:val="006373D5"/>
    <w:rsid w:val="006374A3"/>
    <w:rsid w:val="00637508"/>
    <w:rsid w:val="006377C6"/>
    <w:rsid w:val="00637A13"/>
    <w:rsid w:val="00637A4D"/>
    <w:rsid w:val="00637B2A"/>
    <w:rsid w:val="00640011"/>
    <w:rsid w:val="0064002D"/>
    <w:rsid w:val="0064029B"/>
    <w:rsid w:val="006403DF"/>
    <w:rsid w:val="00640492"/>
    <w:rsid w:val="006404D9"/>
    <w:rsid w:val="00640668"/>
    <w:rsid w:val="00640B0C"/>
    <w:rsid w:val="00640B6B"/>
    <w:rsid w:val="00640DB3"/>
    <w:rsid w:val="00641003"/>
    <w:rsid w:val="00641039"/>
    <w:rsid w:val="006410B1"/>
    <w:rsid w:val="006411FB"/>
    <w:rsid w:val="006413A5"/>
    <w:rsid w:val="0064156C"/>
    <w:rsid w:val="006416AA"/>
    <w:rsid w:val="006417C0"/>
    <w:rsid w:val="00641CFD"/>
    <w:rsid w:val="006425CE"/>
    <w:rsid w:val="006426E0"/>
    <w:rsid w:val="0064295F"/>
    <w:rsid w:val="00642ADB"/>
    <w:rsid w:val="00642B18"/>
    <w:rsid w:val="00642B50"/>
    <w:rsid w:val="00642CAC"/>
    <w:rsid w:val="00642FFA"/>
    <w:rsid w:val="00643016"/>
    <w:rsid w:val="006430AB"/>
    <w:rsid w:val="0064318A"/>
    <w:rsid w:val="00643519"/>
    <w:rsid w:val="006435AE"/>
    <w:rsid w:val="00643899"/>
    <w:rsid w:val="00643C0F"/>
    <w:rsid w:val="00643C5B"/>
    <w:rsid w:val="00643CC0"/>
    <w:rsid w:val="00643F94"/>
    <w:rsid w:val="00644069"/>
    <w:rsid w:val="0064433C"/>
    <w:rsid w:val="00644476"/>
    <w:rsid w:val="00644AD8"/>
    <w:rsid w:val="00644FC1"/>
    <w:rsid w:val="00645009"/>
    <w:rsid w:val="00645065"/>
    <w:rsid w:val="006450F6"/>
    <w:rsid w:val="00645183"/>
    <w:rsid w:val="006453CC"/>
    <w:rsid w:val="006454D6"/>
    <w:rsid w:val="00645A0D"/>
    <w:rsid w:val="00645C1E"/>
    <w:rsid w:val="00645C64"/>
    <w:rsid w:val="00645CD2"/>
    <w:rsid w:val="00645D0F"/>
    <w:rsid w:val="00645D39"/>
    <w:rsid w:val="00645F41"/>
    <w:rsid w:val="0064610D"/>
    <w:rsid w:val="006461AC"/>
    <w:rsid w:val="00646281"/>
    <w:rsid w:val="006462C1"/>
    <w:rsid w:val="006465F6"/>
    <w:rsid w:val="00646668"/>
    <w:rsid w:val="00646C97"/>
    <w:rsid w:val="00646E48"/>
    <w:rsid w:val="00646EEE"/>
    <w:rsid w:val="0064738F"/>
    <w:rsid w:val="006473DF"/>
    <w:rsid w:val="006473EE"/>
    <w:rsid w:val="006473FD"/>
    <w:rsid w:val="006479E3"/>
    <w:rsid w:val="00647B0E"/>
    <w:rsid w:val="00647DC8"/>
    <w:rsid w:val="00650048"/>
    <w:rsid w:val="006502F6"/>
    <w:rsid w:val="0065050B"/>
    <w:rsid w:val="00650550"/>
    <w:rsid w:val="0065069A"/>
    <w:rsid w:val="00650946"/>
    <w:rsid w:val="00650959"/>
    <w:rsid w:val="00650EF7"/>
    <w:rsid w:val="00651133"/>
    <w:rsid w:val="00651149"/>
    <w:rsid w:val="006512C7"/>
    <w:rsid w:val="006513C0"/>
    <w:rsid w:val="00651427"/>
    <w:rsid w:val="00651AAF"/>
    <w:rsid w:val="00651C18"/>
    <w:rsid w:val="00651C9F"/>
    <w:rsid w:val="00651E7D"/>
    <w:rsid w:val="006520C3"/>
    <w:rsid w:val="00652335"/>
    <w:rsid w:val="00652381"/>
    <w:rsid w:val="006526C9"/>
    <w:rsid w:val="00652A10"/>
    <w:rsid w:val="00653090"/>
    <w:rsid w:val="006530AD"/>
    <w:rsid w:val="00653102"/>
    <w:rsid w:val="00653110"/>
    <w:rsid w:val="00653173"/>
    <w:rsid w:val="0065341A"/>
    <w:rsid w:val="00653431"/>
    <w:rsid w:val="006535C4"/>
    <w:rsid w:val="0065398A"/>
    <w:rsid w:val="00653B35"/>
    <w:rsid w:val="00653DDE"/>
    <w:rsid w:val="00653EE2"/>
    <w:rsid w:val="00654002"/>
    <w:rsid w:val="00654038"/>
    <w:rsid w:val="006540BF"/>
    <w:rsid w:val="006540E4"/>
    <w:rsid w:val="00654298"/>
    <w:rsid w:val="00654381"/>
    <w:rsid w:val="006544C0"/>
    <w:rsid w:val="00654621"/>
    <w:rsid w:val="00654796"/>
    <w:rsid w:val="006548C9"/>
    <w:rsid w:val="00654B75"/>
    <w:rsid w:val="00654D38"/>
    <w:rsid w:val="00654F31"/>
    <w:rsid w:val="006550D7"/>
    <w:rsid w:val="006552C5"/>
    <w:rsid w:val="006553A3"/>
    <w:rsid w:val="00655522"/>
    <w:rsid w:val="00655572"/>
    <w:rsid w:val="00655755"/>
    <w:rsid w:val="00655782"/>
    <w:rsid w:val="00655CBD"/>
    <w:rsid w:val="00655D55"/>
    <w:rsid w:val="00655D5F"/>
    <w:rsid w:val="00655EE4"/>
    <w:rsid w:val="00655FB3"/>
    <w:rsid w:val="006561F5"/>
    <w:rsid w:val="0065631A"/>
    <w:rsid w:val="0065651F"/>
    <w:rsid w:val="00656699"/>
    <w:rsid w:val="00656A6D"/>
    <w:rsid w:val="00656A79"/>
    <w:rsid w:val="0065706F"/>
    <w:rsid w:val="006570FB"/>
    <w:rsid w:val="006572AA"/>
    <w:rsid w:val="00657337"/>
    <w:rsid w:val="0065785E"/>
    <w:rsid w:val="00657A21"/>
    <w:rsid w:val="00657D3E"/>
    <w:rsid w:val="00657D94"/>
    <w:rsid w:val="00657F1B"/>
    <w:rsid w:val="0066002A"/>
    <w:rsid w:val="0066021B"/>
    <w:rsid w:val="0066053E"/>
    <w:rsid w:val="006605E3"/>
    <w:rsid w:val="00660617"/>
    <w:rsid w:val="00660A84"/>
    <w:rsid w:val="00660DB2"/>
    <w:rsid w:val="00660EDD"/>
    <w:rsid w:val="00660FA5"/>
    <w:rsid w:val="0066106E"/>
    <w:rsid w:val="006613FB"/>
    <w:rsid w:val="006614E1"/>
    <w:rsid w:val="00661685"/>
    <w:rsid w:val="006617E2"/>
    <w:rsid w:val="006618A9"/>
    <w:rsid w:val="0066195F"/>
    <w:rsid w:val="00661B4D"/>
    <w:rsid w:val="00661D6A"/>
    <w:rsid w:val="00662039"/>
    <w:rsid w:val="00662275"/>
    <w:rsid w:val="00662277"/>
    <w:rsid w:val="00662313"/>
    <w:rsid w:val="006623C5"/>
    <w:rsid w:val="00662488"/>
    <w:rsid w:val="00662686"/>
    <w:rsid w:val="0066279B"/>
    <w:rsid w:val="006629AB"/>
    <w:rsid w:val="006629EC"/>
    <w:rsid w:val="00662A57"/>
    <w:rsid w:val="00662C91"/>
    <w:rsid w:val="00662E08"/>
    <w:rsid w:val="0066301F"/>
    <w:rsid w:val="0066303E"/>
    <w:rsid w:val="00663367"/>
    <w:rsid w:val="00663555"/>
    <w:rsid w:val="0066380E"/>
    <w:rsid w:val="00663842"/>
    <w:rsid w:val="0066385E"/>
    <w:rsid w:val="00663874"/>
    <w:rsid w:val="006638F8"/>
    <w:rsid w:val="006639D4"/>
    <w:rsid w:val="00663AF9"/>
    <w:rsid w:val="00663CFC"/>
    <w:rsid w:val="0066403E"/>
    <w:rsid w:val="00664104"/>
    <w:rsid w:val="006641E5"/>
    <w:rsid w:val="00664350"/>
    <w:rsid w:val="00664541"/>
    <w:rsid w:val="006649F8"/>
    <w:rsid w:val="00664A66"/>
    <w:rsid w:val="00664F71"/>
    <w:rsid w:val="00665068"/>
    <w:rsid w:val="006652A4"/>
    <w:rsid w:val="006652EF"/>
    <w:rsid w:val="006653EE"/>
    <w:rsid w:val="00665A7A"/>
    <w:rsid w:val="00665AD9"/>
    <w:rsid w:val="0066640E"/>
    <w:rsid w:val="0066676F"/>
    <w:rsid w:val="0066683E"/>
    <w:rsid w:val="00666BA6"/>
    <w:rsid w:val="00666DC8"/>
    <w:rsid w:val="00666EB3"/>
    <w:rsid w:val="00666F35"/>
    <w:rsid w:val="00667129"/>
    <w:rsid w:val="0066742D"/>
    <w:rsid w:val="00667466"/>
    <w:rsid w:val="006674AE"/>
    <w:rsid w:val="00667955"/>
    <w:rsid w:val="006679A2"/>
    <w:rsid w:val="00667A1A"/>
    <w:rsid w:val="00667E6A"/>
    <w:rsid w:val="00667EAA"/>
    <w:rsid w:val="00667EB5"/>
    <w:rsid w:val="00670241"/>
    <w:rsid w:val="006703E5"/>
    <w:rsid w:val="006706B0"/>
    <w:rsid w:val="00670954"/>
    <w:rsid w:val="0067099B"/>
    <w:rsid w:val="00670B34"/>
    <w:rsid w:val="00670B8B"/>
    <w:rsid w:val="00670BE6"/>
    <w:rsid w:val="00671192"/>
    <w:rsid w:val="00671463"/>
    <w:rsid w:val="006715CA"/>
    <w:rsid w:val="00671B41"/>
    <w:rsid w:val="00671CB3"/>
    <w:rsid w:val="00671E2D"/>
    <w:rsid w:val="00671E91"/>
    <w:rsid w:val="00671FC3"/>
    <w:rsid w:val="00672058"/>
    <w:rsid w:val="006721BD"/>
    <w:rsid w:val="006721DD"/>
    <w:rsid w:val="006723A1"/>
    <w:rsid w:val="006724C4"/>
    <w:rsid w:val="006724D8"/>
    <w:rsid w:val="0067262F"/>
    <w:rsid w:val="00672654"/>
    <w:rsid w:val="00672717"/>
    <w:rsid w:val="00672954"/>
    <w:rsid w:val="00672979"/>
    <w:rsid w:val="00672A84"/>
    <w:rsid w:val="006730AE"/>
    <w:rsid w:val="00673109"/>
    <w:rsid w:val="00673158"/>
    <w:rsid w:val="006732A9"/>
    <w:rsid w:val="006733C6"/>
    <w:rsid w:val="0067380D"/>
    <w:rsid w:val="00673CF7"/>
    <w:rsid w:val="00674038"/>
    <w:rsid w:val="00674134"/>
    <w:rsid w:val="006742A7"/>
    <w:rsid w:val="00674328"/>
    <w:rsid w:val="00674554"/>
    <w:rsid w:val="0067460E"/>
    <w:rsid w:val="00674873"/>
    <w:rsid w:val="0067487C"/>
    <w:rsid w:val="0067488F"/>
    <w:rsid w:val="00674B90"/>
    <w:rsid w:val="00675195"/>
    <w:rsid w:val="00675282"/>
    <w:rsid w:val="00675639"/>
    <w:rsid w:val="006757FA"/>
    <w:rsid w:val="00675849"/>
    <w:rsid w:val="0067587E"/>
    <w:rsid w:val="00675D68"/>
    <w:rsid w:val="00675F77"/>
    <w:rsid w:val="0067604C"/>
    <w:rsid w:val="006760E3"/>
    <w:rsid w:val="0067612E"/>
    <w:rsid w:val="006762D5"/>
    <w:rsid w:val="006763AF"/>
    <w:rsid w:val="00676576"/>
    <w:rsid w:val="00676638"/>
    <w:rsid w:val="00676820"/>
    <w:rsid w:val="0067697D"/>
    <w:rsid w:val="00676A26"/>
    <w:rsid w:val="00676AD6"/>
    <w:rsid w:val="00676BF6"/>
    <w:rsid w:val="00676C2D"/>
    <w:rsid w:val="00676C5C"/>
    <w:rsid w:val="00676D71"/>
    <w:rsid w:val="00676E8F"/>
    <w:rsid w:val="006771BE"/>
    <w:rsid w:val="00677533"/>
    <w:rsid w:val="0067773A"/>
    <w:rsid w:val="0067778E"/>
    <w:rsid w:val="006778D2"/>
    <w:rsid w:val="00677D83"/>
    <w:rsid w:val="006800CF"/>
    <w:rsid w:val="006800D7"/>
    <w:rsid w:val="006800DC"/>
    <w:rsid w:val="00680148"/>
    <w:rsid w:val="006802C8"/>
    <w:rsid w:val="006803B7"/>
    <w:rsid w:val="006806ED"/>
    <w:rsid w:val="0068088C"/>
    <w:rsid w:val="00680910"/>
    <w:rsid w:val="00680C62"/>
    <w:rsid w:val="00680D13"/>
    <w:rsid w:val="006810BE"/>
    <w:rsid w:val="00681348"/>
    <w:rsid w:val="00681489"/>
    <w:rsid w:val="006819B8"/>
    <w:rsid w:val="00681A72"/>
    <w:rsid w:val="00681C60"/>
    <w:rsid w:val="00681C8D"/>
    <w:rsid w:val="00681E0B"/>
    <w:rsid w:val="00682099"/>
    <w:rsid w:val="006822D9"/>
    <w:rsid w:val="00682363"/>
    <w:rsid w:val="006823F8"/>
    <w:rsid w:val="006824D3"/>
    <w:rsid w:val="006826B9"/>
    <w:rsid w:val="00682808"/>
    <w:rsid w:val="00682919"/>
    <w:rsid w:val="00682A34"/>
    <w:rsid w:val="00682A4D"/>
    <w:rsid w:val="00682A89"/>
    <w:rsid w:val="00682AFA"/>
    <w:rsid w:val="00682CF1"/>
    <w:rsid w:val="00682D04"/>
    <w:rsid w:val="00682DDA"/>
    <w:rsid w:val="00682E07"/>
    <w:rsid w:val="00682E52"/>
    <w:rsid w:val="00683161"/>
    <w:rsid w:val="00683211"/>
    <w:rsid w:val="0068328F"/>
    <w:rsid w:val="006832D4"/>
    <w:rsid w:val="0068333A"/>
    <w:rsid w:val="006834F9"/>
    <w:rsid w:val="0068350B"/>
    <w:rsid w:val="0068350E"/>
    <w:rsid w:val="006838A2"/>
    <w:rsid w:val="0068396E"/>
    <w:rsid w:val="00683AE2"/>
    <w:rsid w:val="00683C61"/>
    <w:rsid w:val="00683E26"/>
    <w:rsid w:val="00683E5B"/>
    <w:rsid w:val="00684486"/>
    <w:rsid w:val="006844E8"/>
    <w:rsid w:val="0068461F"/>
    <w:rsid w:val="006849D1"/>
    <w:rsid w:val="006849E5"/>
    <w:rsid w:val="00684ABB"/>
    <w:rsid w:val="00684C0A"/>
    <w:rsid w:val="00684E81"/>
    <w:rsid w:val="00684E92"/>
    <w:rsid w:val="00684F93"/>
    <w:rsid w:val="006852EC"/>
    <w:rsid w:val="00685660"/>
    <w:rsid w:val="00685668"/>
    <w:rsid w:val="00685734"/>
    <w:rsid w:val="006859D7"/>
    <w:rsid w:val="00685B31"/>
    <w:rsid w:val="00685B87"/>
    <w:rsid w:val="00685E55"/>
    <w:rsid w:val="00685EC0"/>
    <w:rsid w:val="00685EEB"/>
    <w:rsid w:val="006860AF"/>
    <w:rsid w:val="006863A2"/>
    <w:rsid w:val="006865B9"/>
    <w:rsid w:val="00686687"/>
    <w:rsid w:val="006867A2"/>
    <w:rsid w:val="00686A03"/>
    <w:rsid w:val="00686AFF"/>
    <w:rsid w:val="00686D7A"/>
    <w:rsid w:val="00686E53"/>
    <w:rsid w:val="00686F25"/>
    <w:rsid w:val="00686FDD"/>
    <w:rsid w:val="0068702C"/>
    <w:rsid w:val="006873C4"/>
    <w:rsid w:val="00687709"/>
    <w:rsid w:val="0068773A"/>
    <w:rsid w:val="00687B48"/>
    <w:rsid w:val="00687C67"/>
    <w:rsid w:val="00687CD0"/>
    <w:rsid w:val="006901CB"/>
    <w:rsid w:val="00690278"/>
    <w:rsid w:val="00690515"/>
    <w:rsid w:val="0069060E"/>
    <w:rsid w:val="00690971"/>
    <w:rsid w:val="00690B33"/>
    <w:rsid w:val="00690B46"/>
    <w:rsid w:val="00690CC2"/>
    <w:rsid w:val="00690FF1"/>
    <w:rsid w:val="00691235"/>
    <w:rsid w:val="006912F7"/>
    <w:rsid w:val="00691554"/>
    <w:rsid w:val="00691727"/>
    <w:rsid w:val="00691772"/>
    <w:rsid w:val="006918FC"/>
    <w:rsid w:val="00691928"/>
    <w:rsid w:val="00691AFE"/>
    <w:rsid w:val="00691B09"/>
    <w:rsid w:val="00691C56"/>
    <w:rsid w:val="00691F4E"/>
    <w:rsid w:val="00692168"/>
    <w:rsid w:val="0069226D"/>
    <w:rsid w:val="006929AB"/>
    <w:rsid w:val="006929F2"/>
    <w:rsid w:val="00692A12"/>
    <w:rsid w:val="00692A1A"/>
    <w:rsid w:val="00692E81"/>
    <w:rsid w:val="00692FAB"/>
    <w:rsid w:val="0069302B"/>
    <w:rsid w:val="006931B2"/>
    <w:rsid w:val="00693384"/>
    <w:rsid w:val="00693578"/>
    <w:rsid w:val="00693590"/>
    <w:rsid w:val="00693784"/>
    <w:rsid w:val="006938A7"/>
    <w:rsid w:val="00693E28"/>
    <w:rsid w:val="00693F5E"/>
    <w:rsid w:val="00694487"/>
    <w:rsid w:val="006945C1"/>
    <w:rsid w:val="0069460C"/>
    <w:rsid w:val="0069463F"/>
    <w:rsid w:val="00694767"/>
    <w:rsid w:val="006948D2"/>
    <w:rsid w:val="00694A0D"/>
    <w:rsid w:val="00694A5E"/>
    <w:rsid w:val="00694B0A"/>
    <w:rsid w:val="00694C88"/>
    <w:rsid w:val="00695258"/>
    <w:rsid w:val="0069547C"/>
    <w:rsid w:val="006954F4"/>
    <w:rsid w:val="006955FD"/>
    <w:rsid w:val="006956D5"/>
    <w:rsid w:val="00695986"/>
    <w:rsid w:val="00695C98"/>
    <w:rsid w:val="0069603A"/>
    <w:rsid w:val="0069609C"/>
    <w:rsid w:val="006961D9"/>
    <w:rsid w:val="00696369"/>
    <w:rsid w:val="0069653D"/>
    <w:rsid w:val="006965E9"/>
    <w:rsid w:val="006966F3"/>
    <w:rsid w:val="006968B3"/>
    <w:rsid w:val="00696987"/>
    <w:rsid w:val="0069699C"/>
    <w:rsid w:val="00696C4B"/>
    <w:rsid w:val="00696D23"/>
    <w:rsid w:val="00696D89"/>
    <w:rsid w:val="00697130"/>
    <w:rsid w:val="00697157"/>
    <w:rsid w:val="0069717D"/>
    <w:rsid w:val="006975EA"/>
    <w:rsid w:val="006977C3"/>
    <w:rsid w:val="006979E7"/>
    <w:rsid w:val="00697B96"/>
    <w:rsid w:val="00697DE4"/>
    <w:rsid w:val="00697F35"/>
    <w:rsid w:val="00697F7E"/>
    <w:rsid w:val="006A01CD"/>
    <w:rsid w:val="006A035D"/>
    <w:rsid w:val="006A0450"/>
    <w:rsid w:val="006A04C1"/>
    <w:rsid w:val="006A0598"/>
    <w:rsid w:val="006A0837"/>
    <w:rsid w:val="006A0A9F"/>
    <w:rsid w:val="006A0DFC"/>
    <w:rsid w:val="006A0E08"/>
    <w:rsid w:val="006A10D6"/>
    <w:rsid w:val="006A12D9"/>
    <w:rsid w:val="006A171E"/>
    <w:rsid w:val="006A1D35"/>
    <w:rsid w:val="006A1D9B"/>
    <w:rsid w:val="006A1E67"/>
    <w:rsid w:val="006A1FE8"/>
    <w:rsid w:val="006A20B2"/>
    <w:rsid w:val="006A20CC"/>
    <w:rsid w:val="006A216D"/>
    <w:rsid w:val="006A2289"/>
    <w:rsid w:val="006A22A8"/>
    <w:rsid w:val="006A23DA"/>
    <w:rsid w:val="006A255D"/>
    <w:rsid w:val="006A2597"/>
    <w:rsid w:val="006A26E4"/>
    <w:rsid w:val="006A2919"/>
    <w:rsid w:val="006A2CD6"/>
    <w:rsid w:val="006A2CE2"/>
    <w:rsid w:val="006A2E80"/>
    <w:rsid w:val="006A2FBC"/>
    <w:rsid w:val="006A3197"/>
    <w:rsid w:val="006A359A"/>
    <w:rsid w:val="006A3838"/>
    <w:rsid w:val="006A38CE"/>
    <w:rsid w:val="006A3AFD"/>
    <w:rsid w:val="006A3B34"/>
    <w:rsid w:val="006A3DD6"/>
    <w:rsid w:val="006A4023"/>
    <w:rsid w:val="006A40CC"/>
    <w:rsid w:val="006A4187"/>
    <w:rsid w:val="006A41D5"/>
    <w:rsid w:val="006A454D"/>
    <w:rsid w:val="006A4771"/>
    <w:rsid w:val="006A487D"/>
    <w:rsid w:val="006A4BD3"/>
    <w:rsid w:val="006A4CD8"/>
    <w:rsid w:val="006A4D1D"/>
    <w:rsid w:val="006A4ED1"/>
    <w:rsid w:val="006A4ED2"/>
    <w:rsid w:val="006A4F20"/>
    <w:rsid w:val="006A4FBA"/>
    <w:rsid w:val="006A5120"/>
    <w:rsid w:val="006A5133"/>
    <w:rsid w:val="006A52C3"/>
    <w:rsid w:val="006A52D3"/>
    <w:rsid w:val="006A567C"/>
    <w:rsid w:val="006A5956"/>
    <w:rsid w:val="006A59B6"/>
    <w:rsid w:val="006A5A87"/>
    <w:rsid w:val="006A5AFA"/>
    <w:rsid w:val="006A5C70"/>
    <w:rsid w:val="006A5D84"/>
    <w:rsid w:val="006A5E0E"/>
    <w:rsid w:val="006A601F"/>
    <w:rsid w:val="006A62DD"/>
    <w:rsid w:val="006A635A"/>
    <w:rsid w:val="006A635F"/>
    <w:rsid w:val="006A650C"/>
    <w:rsid w:val="006A6656"/>
    <w:rsid w:val="006A6690"/>
    <w:rsid w:val="006A680F"/>
    <w:rsid w:val="006A689F"/>
    <w:rsid w:val="006A6E43"/>
    <w:rsid w:val="006A74A6"/>
    <w:rsid w:val="006A76A0"/>
    <w:rsid w:val="006A772D"/>
    <w:rsid w:val="006A7731"/>
    <w:rsid w:val="006A77FC"/>
    <w:rsid w:val="006A7A12"/>
    <w:rsid w:val="006A7A45"/>
    <w:rsid w:val="006A7B94"/>
    <w:rsid w:val="006B00D3"/>
    <w:rsid w:val="006B026E"/>
    <w:rsid w:val="006B0393"/>
    <w:rsid w:val="006B0549"/>
    <w:rsid w:val="006B063E"/>
    <w:rsid w:val="006B0672"/>
    <w:rsid w:val="006B0A3B"/>
    <w:rsid w:val="006B0CE5"/>
    <w:rsid w:val="006B0DB4"/>
    <w:rsid w:val="006B0E12"/>
    <w:rsid w:val="006B12EB"/>
    <w:rsid w:val="006B155F"/>
    <w:rsid w:val="006B18CA"/>
    <w:rsid w:val="006B1C7C"/>
    <w:rsid w:val="006B1CB5"/>
    <w:rsid w:val="006B1CB6"/>
    <w:rsid w:val="006B1D69"/>
    <w:rsid w:val="006B1EDF"/>
    <w:rsid w:val="006B1F51"/>
    <w:rsid w:val="006B1FC2"/>
    <w:rsid w:val="006B2137"/>
    <w:rsid w:val="006B2241"/>
    <w:rsid w:val="006B22AE"/>
    <w:rsid w:val="006B26E0"/>
    <w:rsid w:val="006B29C5"/>
    <w:rsid w:val="006B2A17"/>
    <w:rsid w:val="006B2B96"/>
    <w:rsid w:val="006B2EA9"/>
    <w:rsid w:val="006B2FE6"/>
    <w:rsid w:val="006B31BD"/>
    <w:rsid w:val="006B372F"/>
    <w:rsid w:val="006B39A5"/>
    <w:rsid w:val="006B3A8E"/>
    <w:rsid w:val="006B3B93"/>
    <w:rsid w:val="006B3BA1"/>
    <w:rsid w:val="006B3F40"/>
    <w:rsid w:val="006B4160"/>
    <w:rsid w:val="006B43AD"/>
    <w:rsid w:val="006B47ED"/>
    <w:rsid w:val="006B489A"/>
    <w:rsid w:val="006B4962"/>
    <w:rsid w:val="006B4BCD"/>
    <w:rsid w:val="006B4D04"/>
    <w:rsid w:val="006B5034"/>
    <w:rsid w:val="006B51E0"/>
    <w:rsid w:val="006B532F"/>
    <w:rsid w:val="006B53B1"/>
    <w:rsid w:val="006B54A6"/>
    <w:rsid w:val="006B55AE"/>
    <w:rsid w:val="006B560C"/>
    <w:rsid w:val="006B5768"/>
    <w:rsid w:val="006B5907"/>
    <w:rsid w:val="006B59B0"/>
    <w:rsid w:val="006B5AB2"/>
    <w:rsid w:val="006B5B6D"/>
    <w:rsid w:val="006B60B3"/>
    <w:rsid w:val="006B61CA"/>
    <w:rsid w:val="006B62BF"/>
    <w:rsid w:val="006B63E1"/>
    <w:rsid w:val="006B659A"/>
    <w:rsid w:val="006B6A2D"/>
    <w:rsid w:val="006B6BA0"/>
    <w:rsid w:val="006B6C17"/>
    <w:rsid w:val="006B6CBE"/>
    <w:rsid w:val="006B6D01"/>
    <w:rsid w:val="006B6DF4"/>
    <w:rsid w:val="006B71C5"/>
    <w:rsid w:val="006B7237"/>
    <w:rsid w:val="006B72B2"/>
    <w:rsid w:val="006B77A1"/>
    <w:rsid w:val="006B7C07"/>
    <w:rsid w:val="006B7C83"/>
    <w:rsid w:val="006B7E59"/>
    <w:rsid w:val="006B7E93"/>
    <w:rsid w:val="006B7FEF"/>
    <w:rsid w:val="006C0020"/>
    <w:rsid w:val="006C0170"/>
    <w:rsid w:val="006C020A"/>
    <w:rsid w:val="006C0363"/>
    <w:rsid w:val="006C0432"/>
    <w:rsid w:val="006C04D3"/>
    <w:rsid w:val="006C0683"/>
    <w:rsid w:val="006C083F"/>
    <w:rsid w:val="006C08BE"/>
    <w:rsid w:val="006C0B09"/>
    <w:rsid w:val="006C0B58"/>
    <w:rsid w:val="006C1227"/>
    <w:rsid w:val="006C1E37"/>
    <w:rsid w:val="006C1EC7"/>
    <w:rsid w:val="006C2335"/>
    <w:rsid w:val="006C2396"/>
    <w:rsid w:val="006C25BA"/>
    <w:rsid w:val="006C2728"/>
    <w:rsid w:val="006C2B08"/>
    <w:rsid w:val="006C2BED"/>
    <w:rsid w:val="006C2C99"/>
    <w:rsid w:val="006C2E78"/>
    <w:rsid w:val="006C2EC0"/>
    <w:rsid w:val="006C2EF1"/>
    <w:rsid w:val="006C312F"/>
    <w:rsid w:val="006C329E"/>
    <w:rsid w:val="006C32FF"/>
    <w:rsid w:val="006C33EB"/>
    <w:rsid w:val="006C3616"/>
    <w:rsid w:val="006C370D"/>
    <w:rsid w:val="006C37EA"/>
    <w:rsid w:val="006C39A8"/>
    <w:rsid w:val="006C39D6"/>
    <w:rsid w:val="006C3BD4"/>
    <w:rsid w:val="006C3FC9"/>
    <w:rsid w:val="006C4309"/>
    <w:rsid w:val="006C4363"/>
    <w:rsid w:val="006C43AD"/>
    <w:rsid w:val="006C44AB"/>
    <w:rsid w:val="006C4630"/>
    <w:rsid w:val="006C46E6"/>
    <w:rsid w:val="006C4716"/>
    <w:rsid w:val="006C4959"/>
    <w:rsid w:val="006C4A2B"/>
    <w:rsid w:val="006C4D1B"/>
    <w:rsid w:val="006C4DFA"/>
    <w:rsid w:val="006C4EE8"/>
    <w:rsid w:val="006C4F14"/>
    <w:rsid w:val="006C55E9"/>
    <w:rsid w:val="006C5647"/>
    <w:rsid w:val="006C5732"/>
    <w:rsid w:val="006C57D5"/>
    <w:rsid w:val="006C57FD"/>
    <w:rsid w:val="006C5801"/>
    <w:rsid w:val="006C584B"/>
    <w:rsid w:val="006C587D"/>
    <w:rsid w:val="006C59C8"/>
    <w:rsid w:val="006C5EF8"/>
    <w:rsid w:val="006C6119"/>
    <w:rsid w:val="006C64D0"/>
    <w:rsid w:val="006C6536"/>
    <w:rsid w:val="006C657A"/>
    <w:rsid w:val="006C65C6"/>
    <w:rsid w:val="006C66DA"/>
    <w:rsid w:val="006C6770"/>
    <w:rsid w:val="006C67DA"/>
    <w:rsid w:val="006C6B1E"/>
    <w:rsid w:val="006C6FC1"/>
    <w:rsid w:val="006C7121"/>
    <w:rsid w:val="006C717B"/>
    <w:rsid w:val="006C71E7"/>
    <w:rsid w:val="006C73A2"/>
    <w:rsid w:val="006C7502"/>
    <w:rsid w:val="006C7593"/>
    <w:rsid w:val="006C76EA"/>
    <w:rsid w:val="006C77CC"/>
    <w:rsid w:val="006C7804"/>
    <w:rsid w:val="006C78CE"/>
    <w:rsid w:val="006C79F1"/>
    <w:rsid w:val="006C7DB1"/>
    <w:rsid w:val="006C7E32"/>
    <w:rsid w:val="006C7E4E"/>
    <w:rsid w:val="006C7F38"/>
    <w:rsid w:val="006D0389"/>
    <w:rsid w:val="006D055A"/>
    <w:rsid w:val="006D062A"/>
    <w:rsid w:val="006D0698"/>
    <w:rsid w:val="006D0966"/>
    <w:rsid w:val="006D0B86"/>
    <w:rsid w:val="006D0CA3"/>
    <w:rsid w:val="006D0E88"/>
    <w:rsid w:val="006D0F3A"/>
    <w:rsid w:val="006D1021"/>
    <w:rsid w:val="006D1058"/>
    <w:rsid w:val="006D11BA"/>
    <w:rsid w:val="006D133D"/>
    <w:rsid w:val="006D14C0"/>
    <w:rsid w:val="006D1689"/>
    <w:rsid w:val="006D16DD"/>
    <w:rsid w:val="006D198A"/>
    <w:rsid w:val="006D1A1E"/>
    <w:rsid w:val="006D1A62"/>
    <w:rsid w:val="006D1B8E"/>
    <w:rsid w:val="006D1D1A"/>
    <w:rsid w:val="006D21AB"/>
    <w:rsid w:val="006D237D"/>
    <w:rsid w:val="006D25F4"/>
    <w:rsid w:val="006D2682"/>
    <w:rsid w:val="006D26F6"/>
    <w:rsid w:val="006D270F"/>
    <w:rsid w:val="006D27BA"/>
    <w:rsid w:val="006D28E9"/>
    <w:rsid w:val="006D2C0F"/>
    <w:rsid w:val="006D2CC3"/>
    <w:rsid w:val="006D2F0E"/>
    <w:rsid w:val="006D3433"/>
    <w:rsid w:val="006D3683"/>
    <w:rsid w:val="006D3716"/>
    <w:rsid w:val="006D371D"/>
    <w:rsid w:val="006D3A5A"/>
    <w:rsid w:val="006D3B43"/>
    <w:rsid w:val="006D40CE"/>
    <w:rsid w:val="006D41A3"/>
    <w:rsid w:val="006D4208"/>
    <w:rsid w:val="006D429E"/>
    <w:rsid w:val="006D4409"/>
    <w:rsid w:val="006D4573"/>
    <w:rsid w:val="006D4624"/>
    <w:rsid w:val="006D4687"/>
    <w:rsid w:val="006D4768"/>
    <w:rsid w:val="006D4882"/>
    <w:rsid w:val="006D4921"/>
    <w:rsid w:val="006D494B"/>
    <w:rsid w:val="006D4ADB"/>
    <w:rsid w:val="006D4DCB"/>
    <w:rsid w:val="006D4E5A"/>
    <w:rsid w:val="006D5226"/>
    <w:rsid w:val="006D554D"/>
    <w:rsid w:val="006D559A"/>
    <w:rsid w:val="006D55C2"/>
    <w:rsid w:val="006D56C6"/>
    <w:rsid w:val="006D5731"/>
    <w:rsid w:val="006D5863"/>
    <w:rsid w:val="006D5AE0"/>
    <w:rsid w:val="006D5B1A"/>
    <w:rsid w:val="006D5B38"/>
    <w:rsid w:val="006D5F2F"/>
    <w:rsid w:val="006D60ED"/>
    <w:rsid w:val="006D6223"/>
    <w:rsid w:val="006D6399"/>
    <w:rsid w:val="006D646D"/>
    <w:rsid w:val="006D64E9"/>
    <w:rsid w:val="006D6967"/>
    <w:rsid w:val="006D6C41"/>
    <w:rsid w:val="006D6C8A"/>
    <w:rsid w:val="006D6E14"/>
    <w:rsid w:val="006D6E46"/>
    <w:rsid w:val="006D6EAC"/>
    <w:rsid w:val="006D7006"/>
    <w:rsid w:val="006D73C4"/>
    <w:rsid w:val="006D7596"/>
    <w:rsid w:val="006D7960"/>
    <w:rsid w:val="006D7B4A"/>
    <w:rsid w:val="006D7EC4"/>
    <w:rsid w:val="006E001D"/>
    <w:rsid w:val="006E0200"/>
    <w:rsid w:val="006E02F6"/>
    <w:rsid w:val="006E0435"/>
    <w:rsid w:val="006E0478"/>
    <w:rsid w:val="006E0491"/>
    <w:rsid w:val="006E06AC"/>
    <w:rsid w:val="006E0D43"/>
    <w:rsid w:val="006E0E36"/>
    <w:rsid w:val="006E0E40"/>
    <w:rsid w:val="006E0E87"/>
    <w:rsid w:val="006E0FD5"/>
    <w:rsid w:val="006E10D8"/>
    <w:rsid w:val="006E1160"/>
    <w:rsid w:val="006E1185"/>
    <w:rsid w:val="006E1286"/>
    <w:rsid w:val="006E1380"/>
    <w:rsid w:val="006E13AA"/>
    <w:rsid w:val="006E1436"/>
    <w:rsid w:val="006E1535"/>
    <w:rsid w:val="006E1555"/>
    <w:rsid w:val="006E19EE"/>
    <w:rsid w:val="006E1E2E"/>
    <w:rsid w:val="006E2204"/>
    <w:rsid w:val="006E22F4"/>
    <w:rsid w:val="006E2AF3"/>
    <w:rsid w:val="006E2B10"/>
    <w:rsid w:val="006E2BAE"/>
    <w:rsid w:val="006E2C9D"/>
    <w:rsid w:val="006E2F42"/>
    <w:rsid w:val="006E2F84"/>
    <w:rsid w:val="006E3051"/>
    <w:rsid w:val="006E343C"/>
    <w:rsid w:val="006E3514"/>
    <w:rsid w:val="006E3A43"/>
    <w:rsid w:val="006E3B81"/>
    <w:rsid w:val="006E3F40"/>
    <w:rsid w:val="006E41F6"/>
    <w:rsid w:val="006E4417"/>
    <w:rsid w:val="006E4605"/>
    <w:rsid w:val="006E478A"/>
    <w:rsid w:val="006E4959"/>
    <w:rsid w:val="006E4D9F"/>
    <w:rsid w:val="006E4DD2"/>
    <w:rsid w:val="006E4E3A"/>
    <w:rsid w:val="006E54D5"/>
    <w:rsid w:val="006E55F1"/>
    <w:rsid w:val="006E5699"/>
    <w:rsid w:val="006E573A"/>
    <w:rsid w:val="006E584E"/>
    <w:rsid w:val="006E58BB"/>
    <w:rsid w:val="006E58DC"/>
    <w:rsid w:val="006E59C5"/>
    <w:rsid w:val="006E59EA"/>
    <w:rsid w:val="006E5B66"/>
    <w:rsid w:val="006E5BA0"/>
    <w:rsid w:val="006E5DA1"/>
    <w:rsid w:val="006E5EEA"/>
    <w:rsid w:val="006E6061"/>
    <w:rsid w:val="006E6071"/>
    <w:rsid w:val="006E6081"/>
    <w:rsid w:val="006E62C3"/>
    <w:rsid w:val="006E643C"/>
    <w:rsid w:val="006E653D"/>
    <w:rsid w:val="006E6548"/>
    <w:rsid w:val="006E672F"/>
    <w:rsid w:val="006E673D"/>
    <w:rsid w:val="006E6B2A"/>
    <w:rsid w:val="006E6BA2"/>
    <w:rsid w:val="006E6CD8"/>
    <w:rsid w:val="006E7057"/>
    <w:rsid w:val="006E749F"/>
    <w:rsid w:val="006E7683"/>
    <w:rsid w:val="006E784A"/>
    <w:rsid w:val="006E78FC"/>
    <w:rsid w:val="006E7F10"/>
    <w:rsid w:val="006F002A"/>
    <w:rsid w:val="006F0146"/>
    <w:rsid w:val="006F0332"/>
    <w:rsid w:val="006F0498"/>
    <w:rsid w:val="006F05CB"/>
    <w:rsid w:val="006F067B"/>
    <w:rsid w:val="006F068F"/>
    <w:rsid w:val="006F0A64"/>
    <w:rsid w:val="006F0D15"/>
    <w:rsid w:val="006F102C"/>
    <w:rsid w:val="006F115C"/>
    <w:rsid w:val="006F126D"/>
    <w:rsid w:val="006F16B2"/>
    <w:rsid w:val="006F17D8"/>
    <w:rsid w:val="006F197C"/>
    <w:rsid w:val="006F1A04"/>
    <w:rsid w:val="006F1A9D"/>
    <w:rsid w:val="006F1BAB"/>
    <w:rsid w:val="006F1CEE"/>
    <w:rsid w:val="006F1EC7"/>
    <w:rsid w:val="006F20FC"/>
    <w:rsid w:val="006F22D7"/>
    <w:rsid w:val="006F22F5"/>
    <w:rsid w:val="006F2363"/>
    <w:rsid w:val="006F252F"/>
    <w:rsid w:val="006F2897"/>
    <w:rsid w:val="006F28B2"/>
    <w:rsid w:val="006F28EF"/>
    <w:rsid w:val="006F2A2B"/>
    <w:rsid w:val="006F2A4B"/>
    <w:rsid w:val="006F2E8D"/>
    <w:rsid w:val="006F2EB9"/>
    <w:rsid w:val="006F312E"/>
    <w:rsid w:val="006F3171"/>
    <w:rsid w:val="006F337A"/>
    <w:rsid w:val="006F33D9"/>
    <w:rsid w:val="006F3498"/>
    <w:rsid w:val="006F350F"/>
    <w:rsid w:val="006F3554"/>
    <w:rsid w:val="006F3784"/>
    <w:rsid w:val="006F3943"/>
    <w:rsid w:val="006F398C"/>
    <w:rsid w:val="006F3A9A"/>
    <w:rsid w:val="006F3E6D"/>
    <w:rsid w:val="006F4218"/>
    <w:rsid w:val="006F44B1"/>
    <w:rsid w:val="006F44E0"/>
    <w:rsid w:val="006F469D"/>
    <w:rsid w:val="006F47AB"/>
    <w:rsid w:val="006F4A54"/>
    <w:rsid w:val="006F4A68"/>
    <w:rsid w:val="006F4AFB"/>
    <w:rsid w:val="006F4BCD"/>
    <w:rsid w:val="006F4C33"/>
    <w:rsid w:val="006F4CB2"/>
    <w:rsid w:val="006F4CB9"/>
    <w:rsid w:val="006F4D65"/>
    <w:rsid w:val="006F4FAC"/>
    <w:rsid w:val="006F51C2"/>
    <w:rsid w:val="006F53E9"/>
    <w:rsid w:val="006F543F"/>
    <w:rsid w:val="006F54C1"/>
    <w:rsid w:val="006F5566"/>
    <w:rsid w:val="006F5AA1"/>
    <w:rsid w:val="006F5AFB"/>
    <w:rsid w:val="006F5C62"/>
    <w:rsid w:val="006F5DE1"/>
    <w:rsid w:val="006F62B8"/>
    <w:rsid w:val="006F631E"/>
    <w:rsid w:val="006F64D9"/>
    <w:rsid w:val="006F6518"/>
    <w:rsid w:val="006F65E6"/>
    <w:rsid w:val="006F68D3"/>
    <w:rsid w:val="006F6AF3"/>
    <w:rsid w:val="006F6D02"/>
    <w:rsid w:val="006F6E4D"/>
    <w:rsid w:val="006F6EF9"/>
    <w:rsid w:val="006F701C"/>
    <w:rsid w:val="006F7220"/>
    <w:rsid w:val="006F72F9"/>
    <w:rsid w:val="006F7347"/>
    <w:rsid w:val="006F740E"/>
    <w:rsid w:val="006F7476"/>
    <w:rsid w:val="006F7692"/>
    <w:rsid w:val="006F77B2"/>
    <w:rsid w:val="006F78CE"/>
    <w:rsid w:val="006F7AAE"/>
    <w:rsid w:val="006F7F1C"/>
    <w:rsid w:val="00700113"/>
    <w:rsid w:val="007002DF"/>
    <w:rsid w:val="00700419"/>
    <w:rsid w:val="00700693"/>
    <w:rsid w:val="007008B6"/>
    <w:rsid w:val="00700A7E"/>
    <w:rsid w:val="00700F1D"/>
    <w:rsid w:val="00700FAD"/>
    <w:rsid w:val="00701159"/>
    <w:rsid w:val="007012ED"/>
    <w:rsid w:val="0070133A"/>
    <w:rsid w:val="0070147F"/>
    <w:rsid w:val="0070151C"/>
    <w:rsid w:val="00701942"/>
    <w:rsid w:val="007019B6"/>
    <w:rsid w:val="00701BD7"/>
    <w:rsid w:val="00701C7E"/>
    <w:rsid w:val="00702179"/>
    <w:rsid w:val="0070226E"/>
    <w:rsid w:val="007026FA"/>
    <w:rsid w:val="00702792"/>
    <w:rsid w:val="0070286D"/>
    <w:rsid w:val="00702A77"/>
    <w:rsid w:val="00702AB6"/>
    <w:rsid w:val="00702AF9"/>
    <w:rsid w:val="00702B3E"/>
    <w:rsid w:val="00702BF0"/>
    <w:rsid w:val="00702C2F"/>
    <w:rsid w:val="00702C61"/>
    <w:rsid w:val="00702D8C"/>
    <w:rsid w:val="00702EE2"/>
    <w:rsid w:val="00703125"/>
    <w:rsid w:val="007032BA"/>
    <w:rsid w:val="00703312"/>
    <w:rsid w:val="007037D7"/>
    <w:rsid w:val="00703919"/>
    <w:rsid w:val="00703B36"/>
    <w:rsid w:val="00703E85"/>
    <w:rsid w:val="00703EAA"/>
    <w:rsid w:val="00703EF9"/>
    <w:rsid w:val="00703FCD"/>
    <w:rsid w:val="0070409B"/>
    <w:rsid w:val="00704199"/>
    <w:rsid w:val="007043D6"/>
    <w:rsid w:val="007044CA"/>
    <w:rsid w:val="007045AE"/>
    <w:rsid w:val="00704656"/>
    <w:rsid w:val="0070486B"/>
    <w:rsid w:val="0070489E"/>
    <w:rsid w:val="0070490F"/>
    <w:rsid w:val="0070493D"/>
    <w:rsid w:val="00704A92"/>
    <w:rsid w:val="00704B5B"/>
    <w:rsid w:val="00704E39"/>
    <w:rsid w:val="00704E94"/>
    <w:rsid w:val="007050F3"/>
    <w:rsid w:val="0070514A"/>
    <w:rsid w:val="0070536C"/>
    <w:rsid w:val="0070545E"/>
    <w:rsid w:val="00705596"/>
    <w:rsid w:val="00705B15"/>
    <w:rsid w:val="00705C6B"/>
    <w:rsid w:val="00705CF4"/>
    <w:rsid w:val="00705D8C"/>
    <w:rsid w:val="00705DE8"/>
    <w:rsid w:val="00705F7C"/>
    <w:rsid w:val="00706006"/>
    <w:rsid w:val="00706645"/>
    <w:rsid w:val="0070670B"/>
    <w:rsid w:val="0070670C"/>
    <w:rsid w:val="00706786"/>
    <w:rsid w:val="00706ADA"/>
    <w:rsid w:val="00706C9E"/>
    <w:rsid w:val="00706F8E"/>
    <w:rsid w:val="00706FA0"/>
    <w:rsid w:val="007071F8"/>
    <w:rsid w:val="00707396"/>
    <w:rsid w:val="00707447"/>
    <w:rsid w:val="00707510"/>
    <w:rsid w:val="007075D1"/>
    <w:rsid w:val="007078A0"/>
    <w:rsid w:val="00707DEB"/>
    <w:rsid w:val="00707E3B"/>
    <w:rsid w:val="00707E3C"/>
    <w:rsid w:val="00707E91"/>
    <w:rsid w:val="00707EBF"/>
    <w:rsid w:val="00707F7B"/>
    <w:rsid w:val="007100A1"/>
    <w:rsid w:val="007100B1"/>
    <w:rsid w:val="00710242"/>
    <w:rsid w:val="0071059A"/>
    <w:rsid w:val="007105BF"/>
    <w:rsid w:val="00710818"/>
    <w:rsid w:val="00710B7E"/>
    <w:rsid w:val="00710BC1"/>
    <w:rsid w:val="00710E88"/>
    <w:rsid w:val="00710EB9"/>
    <w:rsid w:val="0071145C"/>
    <w:rsid w:val="007115AE"/>
    <w:rsid w:val="0071194A"/>
    <w:rsid w:val="00711BD4"/>
    <w:rsid w:val="00711E11"/>
    <w:rsid w:val="00712079"/>
    <w:rsid w:val="00712397"/>
    <w:rsid w:val="007123B9"/>
    <w:rsid w:val="007125C9"/>
    <w:rsid w:val="00712782"/>
    <w:rsid w:val="00712908"/>
    <w:rsid w:val="00712929"/>
    <w:rsid w:val="007129EC"/>
    <w:rsid w:val="00712A13"/>
    <w:rsid w:val="00712A41"/>
    <w:rsid w:val="007130FC"/>
    <w:rsid w:val="00713284"/>
    <w:rsid w:val="0071360B"/>
    <w:rsid w:val="007138E6"/>
    <w:rsid w:val="00713B77"/>
    <w:rsid w:val="00713FD2"/>
    <w:rsid w:val="0071447B"/>
    <w:rsid w:val="0071453E"/>
    <w:rsid w:val="007148AF"/>
    <w:rsid w:val="0071490C"/>
    <w:rsid w:val="00714920"/>
    <w:rsid w:val="00714A4E"/>
    <w:rsid w:val="00714A8E"/>
    <w:rsid w:val="00714C7A"/>
    <w:rsid w:val="007150A7"/>
    <w:rsid w:val="007151E7"/>
    <w:rsid w:val="007152C9"/>
    <w:rsid w:val="00715316"/>
    <w:rsid w:val="0071571E"/>
    <w:rsid w:val="00715765"/>
    <w:rsid w:val="0071582A"/>
    <w:rsid w:val="00715A1C"/>
    <w:rsid w:val="00715B50"/>
    <w:rsid w:val="00715BE4"/>
    <w:rsid w:val="00715C89"/>
    <w:rsid w:val="00716440"/>
    <w:rsid w:val="0071650D"/>
    <w:rsid w:val="00716610"/>
    <w:rsid w:val="007166C1"/>
    <w:rsid w:val="00716762"/>
    <w:rsid w:val="007167A3"/>
    <w:rsid w:val="0071691F"/>
    <w:rsid w:val="0071696A"/>
    <w:rsid w:val="00716974"/>
    <w:rsid w:val="00716D4A"/>
    <w:rsid w:val="00717172"/>
    <w:rsid w:val="007171F0"/>
    <w:rsid w:val="00717246"/>
    <w:rsid w:val="007174EA"/>
    <w:rsid w:val="00717617"/>
    <w:rsid w:val="007176C4"/>
    <w:rsid w:val="007178E8"/>
    <w:rsid w:val="0071791F"/>
    <w:rsid w:val="00717A8E"/>
    <w:rsid w:val="00717E4E"/>
    <w:rsid w:val="00720234"/>
    <w:rsid w:val="007203DF"/>
    <w:rsid w:val="007205F4"/>
    <w:rsid w:val="0072061C"/>
    <w:rsid w:val="0072085A"/>
    <w:rsid w:val="007208FB"/>
    <w:rsid w:val="00720BEA"/>
    <w:rsid w:val="00720CC1"/>
    <w:rsid w:val="00720D0D"/>
    <w:rsid w:val="00720E3B"/>
    <w:rsid w:val="00720E48"/>
    <w:rsid w:val="00720F70"/>
    <w:rsid w:val="00721129"/>
    <w:rsid w:val="0072124D"/>
    <w:rsid w:val="007213B9"/>
    <w:rsid w:val="0072146F"/>
    <w:rsid w:val="00721548"/>
    <w:rsid w:val="0072159F"/>
    <w:rsid w:val="007216A3"/>
    <w:rsid w:val="0072199F"/>
    <w:rsid w:val="00721CF9"/>
    <w:rsid w:val="00721D16"/>
    <w:rsid w:val="0072254A"/>
    <w:rsid w:val="007228E1"/>
    <w:rsid w:val="00722916"/>
    <w:rsid w:val="007229A1"/>
    <w:rsid w:val="00722A7E"/>
    <w:rsid w:val="00722C0D"/>
    <w:rsid w:val="00722D17"/>
    <w:rsid w:val="00722D65"/>
    <w:rsid w:val="00722EA3"/>
    <w:rsid w:val="00722F8B"/>
    <w:rsid w:val="00723099"/>
    <w:rsid w:val="00723326"/>
    <w:rsid w:val="0072352D"/>
    <w:rsid w:val="00723740"/>
    <w:rsid w:val="00723838"/>
    <w:rsid w:val="00723C26"/>
    <w:rsid w:val="00723C85"/>
    <w:rsid w:val="00723C96"/>
    <w:rsid w:val="007243F7"/>
    <w:rsid w:val="007246E0"/>
    <w:rsid w:val="0072484C"/>
    <w:rsid w:val="0072488B"/>
    <w:rsid w:val="007248B0"/>
    <w:rsid w:val="00724D5E"/>
    <w:rsid w:val="00724F69"/>
    <w:rsid w:val="007252CD"/>
    <w:rsid w:val="00725404"/>
    <w:rsid w:val="00725451"/>
    <w:rsid w:val="007255B0"/>
    <w:rsid w:val="007256C3"/>
    <w:rsid w:val="007257EC"/>
    <w:rsid w:val="00725998"/>
    <w:rsid w:val="0072599B"/>
    <w:rsid w:val="00725A66"/>
    <w:rsid w:val="00725B09"/>
    <w:rsid w:val="00725CF1"/>
    <w:rsid w:val="00726109"/>
    <w:rsid w:val="00726570"/>
    <w:rsid w:val="007266CB"/>
    <w:rsid w:val="007267A6"/>
    <w:rsid w:val="00726ACD"/>
    <w:rsid w:val="00726CC5"/>
    <w:rsid w:val="00726CC8"/>
    <w:rsid w:val="00726D2F"/>
    <w:rsid w:val="0072704E"/>
    <w:rsid w:val="007272D7"/>
    <w:rsid w:val="00727971"/>
    <w:rsid w:val="00727BD5"/>
    <w:rsid w:val="00727F5C"/>
    <w:rsid w:val="00727F7B"/>
    <w:rsid w:val="00730067"/>
    <w:rsid w:val="007300E5"/>
    <w:rsid w:val="0073018F"/>
    <w:rsid w:val="00730242"/>
    <w:rsid w:val="007302EC"/>
    <w:rsid w:val="007304C1"/>
    <w:rsid w:val="00730590"/>
    <w:rsid w:val="00730A3F"/>
    <w:rsid w:val="00730B8E"/>
    <w:rsid w:val="00730C5A"/>
    <w:rsid w:val="00730ECA"/>
    <w:rsid w:val="00731211"/>
    <w:rsid w:val="007313F4"/>
    <w:rsid w:val="007314A8"/>
    <w:rsid w:val="007319E6"/>
    <w:rsid w:val="00731B12"/>
    <w:rsid w:val="00731BD9"/>
    <w:rsid w:val="00731CEE"/>
    <w:rsid w:val="00731EAB"/>
    <w:rsid w:val="007322DC"/>
    <w:rsid w:val="0073238E"/>
    <w:rsid w:val="00732479"/>
    <w:rsid w:val="0073248B"/>
    <w:rsid w:val="007324C2"/>
    <w:rsid w:val="0073275A"/>
    <w:rsid w:val="00732814"/>
    <w:rsid w:val="00732A74"/>
    <w:rsid w:val="00732A8C"/>
    <w:rsid w:val="00732C26"/>
    <w:rsid w:val="00732C94"/>
    <w:rsid w:val="00732CD1"/>
    <w:rsid w:val="00732D90"/>
    <w:rsid w:val="00732F82"/>
    <w:rsid w:val="0073305B"/>
    <w:rsid w:val="0073327A"/>
    <w:rsid w:val="007337B7"/>
    <w:rsid w:val="00733842"/>
    <w:rsid w:val="007338DF"/>
    <w:rsid w:val="0073391B"/>
    <w:rsid w:val="00733ACF"/>
    <w:rsid w:val="00733C5D"/>
    <w:rsid w:val="00733E63"/>
    <w:rsid w:val="00733E8D"/>
    <w:rsid w:val="00734026"/>
    <w:rsid w:val="0073417C"/>
    <w:rsid w:val="0073438E"/>
    <w:rsid w:val="007345AE"/>
    <w:rsid w:val="007348AF"/>
    <w:rsid w:val="00734BBC"/>
    <w:rsid w:val="00734CB9"/>
    <w:rsid w:val="00734DB1"/>
    <w:rsid w:val="007355D6"/>
    <w:rsid w:val="00735622"/>
    <w:rsid w:val="00735725"/>
    <w:rsid w:val="00735851"/>
    <w:rsid w:val="00735A8C"/>
    <w:rsid w:val="00735AB9"/>
    <w:rsid w:val="00735D5C"/>
    <w:rsid w:val="0073607E"/>
    <w:rsid w:val="007362A6"/>
    <w:rsid w:val="007362C4"/>
    <w:rsid w:val="0073635D"/>
    <w:rsid w:val="00736559"/>
    <w:rsid w:val="00736A27"/>
    <w:rsid w:val="00736BB2"/>
    <w:rsid w:val="00736BB6"/>
    <w:rsid w:val="00736E23"/>
    <w:rsid w:val="00736EBE"/>
    <w:rsid w:val="00737199"/>
    <w:rsid w:val="0073744E"/>
    <w:rsid w:val="007374E6"/>
    <w:rsid w:val="00737643"/>
    <w:rsid w:val="00737696"/>
    <w:rsid w:val="007378F9"/>
    <w:rsid w:val="00737939"/>
    <w:rsid w:val="00737AB3"/>
    <w:rsid w:val="00737B60"/>
    <w:rsid w:val="00737CBA"/>
    <w:rsid w:val="0074004D"/>
    <w:rsid w:val="00740524"/>
    <w:rsid w:val="00740845"/>
    <w:rsid w:val="0074093C"/>
    <w:rsid w:val="00740B2A"/>
    <w:rsid w:val="00740BA7"/>
    <w:rsid w:val="00740C43"/>
    <w:rsid w:val="0074101B"/>
    <w:rsid w:val="00741031"/>
    <w:rsid w:val="00741044"/>
    <w:rsid w:val="0074104E"/>
    <w:rsid w:val="0074105E"/>
    <w:rsid w:val="0074168E"/>
    <w:rsid w:val="007417C3"/>
    <w:rsid w:val="007417C5"/>
    <w:rsid w:val="0074186A"/>
    <w:rsid w:val="00741BDE"/>
    <w:rsid w:val="00741C24"/>
    <w:rsid w:val="00741CC9"/>
    <w:rsid w:val="00741EEB"/>
    <w:rsid w:val="00742329"/>
    <w:rsid w:val="00742954"/>
    <w:rsid w:val="00742AAD"/>
    <w:rsid w:val="00742B14"/>
    <w:rsid w:val="00742C63"/>
    <w:rsid w:val="00742DEA"/>
    <w:rsid w:val="00742F11"/>
    <w:rsid w:val="00742F33"/>
    <w:rsid w:val="00742FAD"/>
    <w:rsid w:val="00743030"/>
    <w:rsid w:val="007431DA"/>
    <w:rsid w:val="007433B9"/>
    <w:rsid w:val="0074362A"/>
    <w:rsid w:val="007437D8"/>
    <w:rsid w:val="00743869"/>
    <w:rsid w:val="00743B8D"/>
    <w:rsid w:val="00743BB8"/>
    <w:rsid w:val="00743BEF"/>
    <w:rsid w:val="00743C1D"/>
    <w:rsid w:val="00743EB0"/>
    <w:rsid w:val="00744307"/>
    <w:rsid w:val="007443A6"/>
    <w:rsid w:val="00744471"/>
    <w:rsid w:val="0074491E"/>
    <w:rsid w:val="00744940"/>
    <w:rsid w:val="00744AA5"/>
    <w:rsid w:val="00744F72"/>
    <w:rsid w:val="00745130"/>
    <w:rsid w:val="007451DC"/>
    <w:rsid w:val="00745398"/>
    <w:rsid w:val="0074544C"/>
    <w:rsid w:val="007454ED"/>
    <w:rsid w:val="0074552B"/>
    <w:rsid w:val="007455B3"/>
    <w:rsid w:val="00745D2F"/>
    <w:rsid w:val="00745D4A"/>
    <w:rsid w:val="00745D91"/>
    <w:rsid w:val="00745DA8"/>
    <w:rsid w:val="00745F87"/>
    <w:rsid w:val="00746527"/>
    <w:rsid w:val="00746544"/>
    <w:rsid w:val="00746596"/>
    <w:rsid w:val="007467E2"/>
    <w:rsid w:val="007469A8"/>
    <w:rsid w:val="00746A0A"/>
    <w:rsid w:val="00746B1A"/>
    <w:rsid w:val="00746B37"/>
    <w:rsid w:val="00746BD4"/>
    <w:rsid w:val="00746D38"/>
    <w:rsid w:val="00746EDA"/>
    <w:rsid w:val="00747149"/>
    <w:rsid w:val="007473B7"/>
    <w:rsid w:val="0074763D"/>
    <w:rsid w:val="007477C1"/>
    <w:rsid w:val="00747C69"/>
    <w:rsid w:val="00747D56"/>
    <w:rsid w:val="00747F22"/>
    <w:rsid w:val="00750051"/>
    <w:rsid w:val="007500A7"/>
    <w:rsid w:val="007500C9"/>
    <w:rsid w:val="00750405"/>
    <w:rsid w:val="00750445"/>
    <w:rsid w:val="0075050C"/>
    <w:rsid w:val="007506B5"/>
    <w:rsid w:val="00750820"/>
    <w:rsid w:val="00750991"/>
    <w:rsid w:val="00750A34"/>
    <w:rsid w:val="00750A80"/>
    <w:rsid w:val="00750B7C"/>
    <w:rsid w:val="00750B86"/>
    <w:rsid w:val="00750B89"/>
    <w:rsid w:val="00750CDE"/>
    <w:rsid w:val="00750E16"/>
    <w:rsid w:val="00750F5C"/>
    <w:rsid w:val="007512B7"/>
    <w:rsid w:val="00751354"/>
    <w:rsid w:val="00751475"/>
    <w:rsid w:val="007516AB"/>
    <w:rsid w:val="00751929"/>
    <w:rsid w:val="007519FA"/>
    <w:rsid w:val="00751BD1"/>
    <w:rsid w:val="007528C1"/>
    <w:rsid w:val="007529BF"/>
    <w:rsid w:val="007529ED"/>
    <w:rsid w:val="00752B10"/>
    <w:rsid w:val="00752B6C"/>
    <w:rsid w:val="00752D29"/>
    <w:rsid w:val="00752D40"/>
    <w:rsid w:val="00752E2D"/>
    <w:rsid w:val="00752F9B"/>
    <w:rsid w:val="0075323F"/>
    <w:rsid w:val="00753400"/>
    <w:rsid w:val="0075347F"/>
    <w:rsid w:val="00753513"/>
    <w:rsid w:val="00754088"/>
    <w:rsid w:val="00754094"/>
    <w:rsid w:val="007540CF"/>
    <w:rsid w:val="0075410A"/>
    <w:rsid w:val="00754DDE"/>
    <w:rsid w:val="00754DEE"/>
    <w:rsid w:val="00754FC9"/>
    <w:rsid w:val="007551E0"/>
    <w:rsid w:val="00755228"/>
    <w:rsid w:val="007552C0"/>
    <w:rsid w:val="0075535A"/>
    <w:rsid w:val="00755407"/>
    <w:rsid w:val="007554E7"/>
    <w:rsid w:val="007558F5"/>
    <w:rsid w:val="00755973"/>
    <w:rsid w:val="00755D61"/>
    <w:rsid w:val="00755D96"/>
    <w:rsid w:val="00755DE4"/>
    <w:rsid w:val="00755ECA"/>
    <w:rsid w:val="00755FB3"/>
    <w:rsid w:val="007560D0"/>
    <w:rsid w:val="007561B8"/>
    <w:rsid w:val="0075642B"/>
    <w:rsid w:val="00756454"/>
    <w:rsid w:val="007565A4"/>
    <w:rsid w:val="007568E8"/>
    <w:rsid w:val="00756A84"/>
    <w:rsid w:val="00756F6E"/>
    <w:rsid w:val="00756FD3"/>
    <w:rsid w:val="00757100"/>
    <w:rsid w:val="00757338"/>
    <w:rsid w:val="0075745F"/>
    <w:rsid w:val="0075765E"/>
    <w:rsid w:val="007576F7"/>
    <w:rsid w:val="0075789E"/>
    <w:rsid w:val="00757D19"/>
    <w:rsid w:val="00757DA1"/>
    <w:rsid w:val="00757FB0"/>
    <w:rsid w:val="00760096"/>
    <w:rsid w:val="007600CC"/>
    <w:rsid w:val="007601C3"/>
    <w:rsid w:val="007601C8"/>
    <w:rsid w:val="007602E6"/>
    <w:rsid w:val="00760496"/>
    <w:rsid w:val="00760783"/>
    <w:rsid w:val="00760A1C"/>
    <w:rsid w:val="00760A4B"/>
    <w:rsid w:val="00760C89"/>
    <w:rsid w:val="00760E17"/>
    <w:rsid w:val="00760F64"/>
    <w:rsid w:val="00761901"/>
    <w:rsid w:val="00761A0F"/>
    <w:rsid w:val="00761B40"/>
    <w:rsid w:val="00762405"/>
    <w:rsid w:val="007624E3"/>
    <w:rsid w:val="007624E6"/>
    <w:rsid w:val="00762545"/>
    <w:rsid w:val="00762667"/>
    <w:rsid w:val="007626E9"/>
    <w:rsid w:val="0076275B"/>
    <w:rsid w:val="0076275F"/>
    <w:rsid w:val="007627A2"/>
    <w:rsid w:val="007627BC"/>
    <w:rsid w:val="007628B0"/>
    <w:rsid w:val="00762AF2"/>
    <w:rsid w:val="00762BDD"/>
    <w:rsid w:val="00762C37"/>
    <w:rsid w:val="00762F83"/>
    <w:rsid w:val="007630C2"/>
    <w:rsid w:val="007633D7"/>
    <w:rsid w:val="00763404"/>
    <w:rsid w:val="00763561"/>
    <w:rsid w:val="007635C5"/>
    <w:rsid w:val="00763729"/>
    <w:rsid w:val="007638F9"/>
    <w:rsid w:val="00763A53"/>
    <w:rsid w:val="00764299"/>
    <w:rsid w:val="00764368"/>
    <w:rsid w:val="00764720"/>
    <w:rsid w:val="007647FF"/>
    <w:rsid w:val="00764A06"/>
    <w:rsid w:val="00764B0B"/>
    <w:rsid w:val="00764B4E"/>
    <w:rsid w:val="00764D9B"/>
    <w:rsid w:val="00764E0C"/>
    <w:rsid w:val="00765472"/>
    <w:rsid w:val="00765484"/>
    <w:rsid w:val="0076552F"/>
    <w:rsid w:val="00765567"/>
    <w:rsid w:val="00765588"/>
    <w:rsid w:val="0076558A"/>
    <w:rsid w:val="00765787"/>
    <w:rsid w:val="00765799"/>
    <w:rsid w:val="00765B71"/>
    <w:rsid w:val="00765BD0"/>
    <w:rsid w:val="00765CC8"/>
    <w:rsid w:val="00765CE7"/>
    <w:rsid w:val="00765D0B"/>
    <w:rsid w:val="00765DF1"/>
    <w:rsid w:val="00765FCE"/>
    <w:rsid w:val="00766088"/>
    <w:rsid w:val="007660E3"/>
    <w:rsid w:val="0076630D"/>
    <w:rsid w:val="0076666D"/>
    <w:rsid w:val="007666EB"/>
    <w:rsid w:val="007667FE"/>
    <w:rsid w:val="00766ACD"/>
    <w:rsid w:val="00766B06"/>
    <w:rsid w:val="00766B1B"/>
    <w:rsid w:val="00766B49"/>
    <w:rsid w:val="00766BCE"/>
    <w:rsid w:val="00766BFC"/>
    <w:rsid w:val="00766CE8"/>
    <w:rsid w:val="00766D66"/>
    <w:rsid w:val="00766DBF"/>
    <w:rsid w:val="00766DC5"/>
    <w:rsid w:val="00766E94"/>
    <w:rsid w:val="00767158"/>
    <w:rsid w:val="0076723E"/>
    <w:rsid w:val="00767256"/>
    <w:rsid w:val="00767296"/>
    <w:rsid w:val="00767346"/>
    <w:rsid w:val="007678FF"/>
    <w:rsid w:val="007679B2"/>
    <w:rsid w:val="00767A04"/>
    <w:rsid w:val="00767B9C"/>
    <w:rsid w:val="00767D10"/>
    <w:rsid w:val="0077016B"/>
    <w:rsid w:val="0077057F"/>
    <w:rsid w:val="007705FF"/>
    <w:rsid w:val="007706A4"/>
    <w:rsid w:val="007708C7"/>
    <w:rsid w:val="00770ADE"/>
    <w:rsid w:val="00770D62"/>
    <w:rsid w:val="00770E1D"/>
    <w:rsid w:val="00770F5F"/>
    <w:rsid w:val="00771035"/>
    <w:rsid w:val="00771073"/>
    <w:rsid w:val="00771323"/>
    <w:rsid w:val="00771568"/>
    <w:rsid w:val="0077167F"/>
    <w:rsid w:val="00771836"/>
    <w:rsid w:val="00771881"/>
    <w:rsid w:val="007719BE"/>
    <w:rsid w:val="00771A5A"/>
    <w:rsid w:val="00771B43"/>
    <w:rsid w:val="00771B57"/>
    <w:rsid w:val="00771E22"/>
    <w:rsid w:val="0077200C"/>
    <w:rsid w:val="00772151"/>
    <w:rsid w:val="0077244B"/>
    <w:rsid w:val="00772650"/>
    <w:rsid w:val="0077282B"/>
    <w:rsid w:val="007728D1"/>
    <w:rsid w:val="007728F3"/>
    <w:rsid w:val="00772FF2"/>
    <w:rsid w:val="00773044"/>
    <w:rsid w:val="00773596"/>
    <w:rsid w:val="007736D7"/>
    <w:rsid w:val="007737D6"/>
    <w:rsid w:val="00773A04"/>
    <w:rsid w:val="00773C89"/>
    <w:rsid w:val="00773EFB"/>
    <w:rsid w:val="00773F1E"/>
    <w:rsid w:val="00774584"/>
    <w:rsid w:val="007745EC"/>
    <w:rsid w:val="007746C4"/>
    <w:rsid w:val="00774753"/>
    <w:rsid w:val="00774845"/>
    <w:rsid w:val="007748D8"/>
    <w:rsid w:val="00774EC1"/>
    <w:rsid w:val="00774ED6"/>
    <w:rsid w:val="00775260"/>
    <w:rsid w:val="007752E1"/>
    <w:rsid w:val="007753D7"/>
    <w:rsid w:val="007755BE"/>
    <w:rsid w:val="007756DA"/>
    <w:rsid w:val="0077582B"/>
    <w:rsid w:val="00775CE5"/>
    <w:rsid w:val="00775E25"/>
    <w:rsid w:val="00776136"/>
    <w:rsid w:val="007761ED"/>
    <w:rsid w:val="007762A3"/>
    <w:rsid w:val="007762AB"/>
    <w:rsid w:val="007764D2"/>
    <w:rsid w:val="00776602"/>
    <w:rsid w:val="00776799"/>
    <w:rsid w:val="00776934"/>
    <w:rsid w:val="007769F2"/>
    <w:rsid w:val="00776C69"/>
    <w:rsid w:val="00776DE7"/>
    <w:rsid w:val="00776EC6"/>
    <w:rsid w:val="00776FD0"/>
    <w:rsid w:val="00777246"/>
    <w:rsid w:val="007772CF"/>
    <w:rsid w:val="007773D5"/>
    <w:rsid w:val="00777733"/>
    <w:rsid w:val="00777860"/>
    <w:rsid w:val="00777975"/>
    <w:rsid w:val="00777B7E"/>
    <w:rsid w:val="00777BC4"/>
    <w:rsid w:val="00777C20"/>
    <w:rsid w:val="00780089"/>
    <w:rsid w:val="007801A8"/>
    <w:rsid w:val="00780201"/>
    <w:rsid w:val="007804AE"/>
    <w:rsid w:val="007804E3"/>
    <w:rsid w:val="00780620"/>
    <w:rsid w:val="00780716"/>
    <w:rsid w:val="00780ED3"/>
    <w:rsid w:val="00780F87"/>
    <w:rsid w:val="00781093"/>
    <w:rsid w:val="00781525"/>
    <w:rsid w:val="0078163D"/>
    <w:rsid w:val="00781658"/>
    <w:rsid w:val="007816B4"/>
    <w:rsid w:val="0078177E"/>
    <w:rsid w:val="00781881"/>
    <w:rsid w:val="007819AF"/>
    <w:rsid w:val="00781A35"/>
    <w:rsid w:val="00781B20"/>
    <w:rsid w:val="00781DD1"/>
    <w:rsid w:val="00781E9F"/>
    <w:rsid w:val="00781F31"/>
    <w:rsid w:val="00782085"/>
    <w:rsid w:val="007820BD"/>
    <w:rsid w:val="007820E1"/>
    <w:rsid w:val="007820EB"/>
    <w:rsid w:val="0078225D"/>
    <w:rsid w:val="0078269B"/>
    <w:rsid w:val="00782867"/>
    <w:rsid w:val="0078286F"/>
    <w:rsid w:val="0078297C"/>
    <w:rsid w:val="007829EA"/>
    <w:rsid w:val="00782AD3"/>
    <w:rsid w:val="00782BE2"/>
    <w:rsid w:val="00782C1C"/>
    <w:rsid w:val="00782C66"/>
    <w:rsid w:val="00782CA2"/>
    <w:rsid w:val="00782F22"/>
    <w:rsid w:val="00783028"/>
    <w:rsid w:val="007830D9"/>
    <w:rsid w:val="00783145"/>
    <w:rsid w:val="0078329D"/>
    <w:rsid w:val="00783590"/>
    <w:rsid w:val="00783805"/>
    <w:rsid w:val="00783903"/>
    <w:rsid w:val="00783B7A"/>
    <w:rsid w:val="00783CAD"/>
    <w:rsid w:val="00783D55"/>
    <w:rsid w:val="00783D78"/>
    <w:rsid w:val="00783F66"/>
    <w:rsid w:val="00783FA8"/>
    <w:rsid w:val="00783FCD"/>
    <w:rsid w:val="0078421F"/>
    <w:rsid w:val="00784369"/>
    <w:rsid w:val="00784480"/>
    <w:rsid w:val="00784660"/>
    <w:rsid w:val="00784864"/>
    <w:rsid w:val="00784C0D"/>
    <w:rsid w:val="0078514D"/>
    <w:rsid w:val="00785193"/>
    <w:rsid w:val="007852F0"/>
    <w:rsid w:val="0078541C"/>
    <w:rsid w:val="007855E6"/>
    <w:rsid w:val="0078573E"/>
    <w:rsid w:val="00785821"/>
    <w:rsid w:val="00785BC3"/>
    <w:rsid w:val="00785BD9"/>
    <w:rsid w:val="00785E4C"/>
    <w:rsid w:val="00786019"/>
    <w:rsid w:val="00786084"/>
    <w:rsid w:val="0078615D"/>
    <w:rsid w:val="007864BC"/>
    <w:rsid w:val="00786538"/>
    <w:rsid w:val="007865BD"/>
    <w:rsid w:val="007865DE"/>
    <w:rsid w:val="00786616"/>
    <w:rsid w:val="00786635"/>
    <w:rsid w:val="0078666F"/>
    <w:rsid w:val="0078673D"/>
    <w:rsid w:val="00786877"/>
    <w:rsid w:val="007868BE"/>
    <w:rsid w:val="00786B67"/>
    <w:rsid w:val="00786B71"/>
    <w:rsid w:val="00786BE0"/>
    <w:rsid w:val="00786DFD"/>
    <w:rsid w:val="00786E04"/>
    <w:rsid w:val="0078701E"/>
    <w:rsid w:val="007872DC"/>
    <w:rsid w:val="00787492"/>
    <w:rsid w:val="00787588"/>
    <w:rsid w:val="007878CF"/>
    <w:rsid w:val="00787927"/>
    <w:rsid w:val="0078798B"/>
    <w:rsid w:val="007901B0"/>
    <w:rsid w:val="0079022E"/>
    <w:rsid w:val="00790441"/>
    <w:rsid w:val="00790487"/>
    <w:rsid w:val="007905F2"/>
    <w:rsid w:val="0079074F"/>
    <w:rsid w:val="007907A3"/>
    <w:rsid w:val="0079082D"/>
    <w:rsid w:val="0079099B"/>
    <w:rsid w:val="00790A08"/>
    <w:rsid w:val="00790D9E"/>
    <w:rsid w:val="00790E0B"/>
    <w:rsid w:val="00790E57"/>
    <w:rsid w:val="007910D4"/>
    <w:rsid w:val="00791218"/>
    <w:rsid w:val="00791256"/>
    <w:rsid w:val="007912C7"/>
    <w:rsid w:val="00791462"/>
    <w:rsid w:val="007915DA"/>
    <w:rsid w:val="007917CA"/>
    <w:rsid w:val="00791803"/>
    <w:rsid w:val="00791A86"/>
    <w:rsid w:val="00791BF7"/>
    <w:rsid w:val="00791E5D"/>
    <w:rsid w:val="00791E71"/>
    <w:rsid w:val="00791EA7"/>
    <w:rsid w:val="007920C0"/>
    <w:rsid w:val="007928A0"/>
    <w:rsid w:val="0079294E"/>
    <w:rsid w:val="00792CCF"/>
    <w:rsid w:val="00792DA1"/>
    <w:rsid w:val="0079316F"/>
    <w:rsid w:val="007931DF"/>
    <w:rsid w:val="0079344C"/>
    <w:rsid w:val="007934A4"/>
    <w:rsid w:val="007938D0"/>
    <w:rsid w:val="0079399C"/>
    <w:rsid w:val="00793EC1"/>
    <w:rsid w:val="00793F64"/>
    <w:rsid w:val="00794099"/>
    <w:rsid w:val="00794127"/>
    <w:rsid w:val="007944DF"/>
    <w:rsid w:val="0079469B"/>
    <w:rsid w:val="00794720"/>
    <w:rsid w:val="007947B7"/>
    <w:rsid w:val="00794944"/>
    <w:rsid w:val="00794A05"/>
    <w:rsid w:val="00794A3D"/>
    <w:rsid w:val="00794AF3"/>
    <w:rsid w:val="00794BAB"/>
    <w:rsid w:val="00794C18"/>
    <w:rsid w:val="00794C52"/>
    <w:rsid w:val="00794CB0"/>
    <w:rsid w:val="00794D1A"/>
    <w:rsid w:val="00794E8B"/>
    <w:rsid w:val="00795109"/>
    <w:rsid w:val="00795282"/>
    <w:rsid w:val="007954DA"/>
    <w:rsid w:val="00795672"/>
    <w:rsid w:val="00795734"/>
    <w:rsid w:val="0079573F"/>
    <w:rsid w:val="0079582F"/>
    <w:rsid w:val="00795957"/>
    <w:rsid w:val="00795B00"/>
    <w:rsid w:val="00795C13"/>
    <w:rsid w:val="00795CD4"/>
    <w:rsid w:val="00795CF2"/>
    <w:rsid w:val="00795D5D"/>
    <w:rsid w:val="00795D88"/>
    <w:rsid w:val="00796233"/>
    <w:rsid w:val="00796319"/>
    <w:rsid w:val="00796352"/>
    <w:rsid w:val="007963D1"/>
    <w:rsid w:val="007964B7"/>
    <w:rsid w:val="00796577"/>
    <w:rsid w:val="00796636"/>
    <w:rsid w:val="0079674C"/>
    <w:rsid w:val="00796792"/>
    <w:rsid w:val="0079679A"/>
    <w:rsid w:val="0079686D"/>
    <w:rsid w:val="007968AF"/>
    <w:rsid w:val="00796AB5"/>
    <w:rsid w:val="00796C67"/>
    <w:rsid w:val="00796D67"/>
    <w:rsid w:val="00796F63"/>
    <w:rsid w:val="007970E8"/>
    <w:rsid w:val="0079768F"/>
    <w:rsid w:val="007976D1"/>
    <w:rsid w:val="00797920"/>
    <w:rsid w:val="00797930"/>
    <w:rsid w:val="00797AD1"/>
    <w:rsid w:val="00797B0D"/>
    <w:rsid w:val="00797B76"/>
    <w:rsid w:val="00797B94"/>
    <w:rsid w:val="00797BFF"/>
    <w:rsid w:val="00797E47"/>
    <w:rsid w:val="00797EC1"/>
    <w:rsid w:val="007A001D"/>
    <w:rsid w:val="007A03BF"/>
    <w:rsid w:val="007A05F1"/>
    <w:rsid w:val="007A080C"/>
    <w:rsid w:val="007A083D"/>
    <w:rsid w:val="007A0938"/>
    <w:rsid w:val="007A0C3C"/>
    <w:rsid w:val="007A0CA0"/>
    <w:rsid w:val="007A0D37"/>
    <w:rsid w:val="007A0F56"/>
    <w:rsid w:val="007A13D7"/>
    <w:rsid w:val="007A1532"/>
    <w:rsid w:val="007A199D"/>
    <w:rsid w:val="007A1A99"/>
    <w:rsid w:val="007A1ADD"/>
    <w:rsid w:val="007A1C06"/>
    <w:rsid w:val="007A1DAF"/>
    <w:rsid w:val="007A1FBC"/>
    <w:rsid w:val="007A21EA"/>
    <w:rsid w:val="007A2515"/>
    <w:rsid w:val="007A2645"/>
    <w:rsid w:val="007A26AD"/>
    <w:rsid w:val="007A27C0"/>
    <w:rsid w:val="007A28C5"/>
    <w:rsid w:val="007A297F"/>
    <w:rsid w:val="007A3006"/>
    <w:rsid w:val="007A30CD"/>
    <w:rsid w:val="007A32F5"/>
    <w:rsid w:val="007A33B1"/>
    <w:rsid w:val="007A3463"/>
    <w:rsid w:val="007A3534"/>
    <w:rsid w:val="007A360F"/>
    <w:rsid w:val="007A3922"/>
    <w:rsid w:val="007A39C6"/>
    <w:rsid w:val="007A3A4D"/>
    <w:rsid w:val="007A3E8D"/>
    <w:rsid w:val="007A3EE3"/>
    <w:rsid w:val="007A3F52"/>
    <w:rsid w:val="007A4101"/>
    <w:rsid w:val="007A42BE"/>
    <w:rsid w:val="007A43A4"/>
    <w:rsid w:val="007A456A"/>
    <w:rsid w:val="007A45D8"/>
    <w:rsid w:val="007A46B8"/>
    <w:rsid w:val="007A46E5"/>
    <w:rsid w:val="007A47A0"/>
    <w:rsid w:val="007A47FB"/>
    <w:rsid w:val="007A4E6C"/>
    <w:rsid w:val="007A4F5E"/>
    <w:rsid w:val="007A51D6"/>
    <w:rsid w:val="007A5227"/>
    <w:rsid w:val="007A5269"/>
    <w:rsid w:val="007A52E4"/>
    <w:rsid w:val="007A5563"/>
    <w:rsid w:val="007A5591"/>
    <w:rsid w:val="007A5595"/>
    <w:rsid w:val="007A5746"/>
    <w:rsid w:val="007A57FD"/>
    <w:rsid w:val="007A594F"/>
    <w:rsid w:val="007A5B38"/>
    <w:rsid w:val="007A5C70"/>
    <w:rsid w:val="007A5CAB"/>
    <w:rsid w:val="007A5D0C"/>
    <w:rsid w:val="007A5EAE"/>
    <w:rsid w:val="007A60D7"/>
    <w:rsid w:val="007A6517"/>
    <w:rsid w:val="007A6545"/>
    <w:rsid w:val="007A697A"/>
    <w:rsid w:val="007A6D97"/>
    <w:rsid w:val="007A6F15"/>
    <w:rsid w:val="007A70B9"/>
    <w:rsid w:val="007A7248"/>
    <w:rsid w:val="007A72C5"/>
    <w:rsid w:val="007A7318"/>
    <w:rsid w:val="007A73F6"/>
    <w:rsid w:val="007A7467"/>
    <w:rsid w:val="007A7AF4"/>
    <w:rsid w:val="007A7C25"/>
    <w:rsid w:val="007A7C50"/>
    <w:rsid w:val="007A7D7E"/>
    <w:rsid w:val="007A7E6E"/>
    <w:rsid w:val="007B0267"/>
    <w:rsid w:val="007B0269"/>
    <w:rsid w:val="007B0286"/>
    <w:rsid w:val="007B0487"/>
    <w:rsid w:val="007B06C8"/>
    <w:rsid w:val="007B06E7"/>
    <w:rsid w:val="007B07E8"/>
    <w:rsid w:val="007B0C49"/>
    <w:rsid w:val="007B0CE8"/>
    <w:rsid w:val="007B0D6D"/>
    <w:rsid w:val="007B0E8F"/>
    <w:rsid w:val="007B103A"/>
    <w:rsid w:val="007B13AD"/>
    <w:rsid w:val="007B1614"/>
    <w:rsid w:val="007B16CF"/>
    <w:rsid w:val="007B17FE"/>
    <w:rsid w:val="007B1841"/>
    <w:rsid w:val="007B1904"/>
    <w:rsid w:val="007B199D"/>
    <w:rsid w:val="007B1AA8"/>
    <w:rsid w:val="007B1BA4"/>
    <w:rsid w:val="007B1D5C"/>
    <w:rsid w:val="007B1D5E"/>
    <w:rsid w:val="007B1DE9"/>
    <w:rsid w:val="007B1E09"/>
    <w:rsid w:val="007B1FFB"/>
    <w:rsid w:val="007B2035"/>
    <w:rsid w:val="007B2144"/>
    <w:rsid w:val="007B21CC"/>
    <w:rsid w:val="007B21F4"/>
    <w:rsid w:val="007B28B2"/>
    <w:rsid w:val="007B2985"/>
    <w:rsid w:val="007B2A2C"/>
    <w:rsid w:val="007B2A79"/>
    <w:rsid w:val="007B2BB0"/>
    <w:rsid w:val="007B3266"/>
    <w:rsid w:val="007B33CD"/>
    <w:rsid w:val="007B3592"/>
    <w:rsid w:val="007B370E"/>
    <w:rsid w:val="007B37B0"/>
    <w:rsid w:val="007B3899"/>
    <w:rsid w:val="007B3A75"/>
    <w:rsid w:val="007B3D4C"/>
    <w:rsid w:val="007B3DAA"/>
    <w:rsid w:val="007B3E16"/>
    <w:rsid w:val="007B3E2B"/>
    <w:rsid w:val="007B3E8E"/>
    <w:rsid w:val="007B3FE4"/>
    <w:rsid w:val="007B3FFD"/>
    <w:rsid w:val="007B40F0"/>
    <w:rsid w:val="007B42DB"/>
    <w:rsid w:val="007B42F2"/>
    <w:rsid w:val="007B4567"/>
    <w:rsid w:val="007B476A"/>
    <w:rsid w:val="007B49C4"/>
    <w:rsid w:val="007B4A93"/>
    <w:rsid w:val="007B4C98"/>
    <w:rsid w:val="007B4CB1"/>
    <w:rsid w:val="007B4DB6"/>
    <w:rsid w:val="007B5585"/>
    <w:rsid w:val="007B55FF"/>
    <w:rsid w:val="007B56B0"/>
    <w:rsid w:val="007B5772"/>
    <w:rsid w:val="007B5777"/>
    <w:rsid w:val="007B57FC"/>
    <w:rsid w:val="007B58D8"/>
    <w:rsid w:val="007B5995"/>
    <w:rsid w:val="007B59B7"/>
    <w:rsid w:val="007B5C7D"/>
    <w:rsid w:val="007B5C98"/>
    <w:rsid w:val="007B5CFE"/>
    <w:rsid w:val="007B5E7C"/>
    <w:rsid w:val="007B5F5B"/>
    <w:rsid w:val="007B614B"/>
    <w:rsid w:val="007B65F9"/>
    <w:rsid w:val="007B6687"/>
    <w:rsid w:val="007B6823"/>
    <w:rsid w:val="007B68F6"/>
    <w:rsid w:val="007B698B"/>
    <w:rsid w:val="007B6CAC"/>
    <w:rsid w:val="007B6DB4"/>
    <w:rsid w:val="007B6DDA"/>
    <w:rsid w:val="007B6DE2"/>
    <w:rsid w:val="007B70B9"/>
    <w:rsid w:val="007B7158"/>
    <w:rsid w:val="007B71C3"/>
    <w:rsid w:val="007B7392"/>
    <w:rsid w:val="007B743B"/>
    <w:rsid w:val="007B75A7"/>
    <w:rsid w:val="007B7735"/>
    <w:rsid w:val="007B79FB"/>
    <w:rsid w:val="007B7EBB"/>
    <w:rsid w:val="007C003F"/>
    <w:rsid w:val="007C021F"/>
    <w:rsid w:val="007C0383"/>
    <w:rsid w:val="007C03A6"/>
    <w:rsid w:val="007C0428"/>
    <w:rsid w:val="007C04BE"/>
    <w:rsid w:val="007C04DC"/>
    <w:rsid w:val="007C0977"/>
    <w:rsid w:val="007C0ABD"/>
    <w:rsid w:val="007C0C20"/>
    <w:rsid w:val="007C0CE6"/>
    <w:rsid w:val="007C0D10"/>
    <w:rsid w:val="007C0FDC"/>
    <w:rsid w:val="007C142C"/>
    <w:rsid w:val="007C153A"/>
    <w:rsid w:val="007C1577"/>
    <w:rsid w:val="007C15D6"/>
    <w:rsid w:val="007C1837"/>
    <w:rsid w:val="007C198B"/>
    <w:rsid w:val="007C1A0F"/>
    <w:rsid w:val="007C1B2E"/>
    <w:rsid w:val="007C1BF5"/>
    <w:rsid w:val="007C1D2A"/>
    <w:rsid w:val="007C1D4D"/>
    <w:rsid w:val="007C1E95"/>
    <w:rsid w:val="007C1FC2"/>
    <w:rsid w:val="007C2458"/>
    <w:rsid w:val="007C2D63"/>
    <w:rsid w:val="007C2D64"/>
    <w:rsid w:val="007C2DDA"/>
    <w:rsid w:val="007C2F26"/>
    <w:rsid w:val="007C2F41"/>
    <w:rsid w:val="007C2F8D"/>
    <w:rsid w:val="007C30D2"/>
    <w:rsid w:val="007C3113"/>
    <w:rsid w:val="007C3156"/>
    <w:rsid w:val="007C3446"/>
    <w:rsid w:val="007C3677"/>
    <w:rsid w:val="007C3694"/>
    <w:rsid w:val="007C37D7"/>
    <w:rsid w:val="007C390D"/>
    <w:rsid w:val="007C3BED"/>
    <w:rsid w:val="007C3C0E"/>
    <w:rsid w:val="007C3CF0"/>
    <w:rsid w:val="007C3DF7"/>
    <w:rsid w:val="007C3F0C"/>
    <w:rsid w:val="007C4274"/>
    <w:rsid w:val="007C42F8"/>
    <w:rsid w:val="007C4417"/>
    <w:rsid w:val="007C4522"/>
    <w:rsid w:val="007C495B"/>
    <w:rsid w:val="007C4985"/>
    <w:rsid w:val="007C4A50"/>
    <w:rsid w:val="007C4BC9"/>
    <w:rsid w:val="007C4DBA"/>
    <w:rsid w:val="007C4E5D"/>
    <w:rsid w:val="007C4E6C"/>
    <w:rsid w:val="007C512B"/>
    <w:rsid w:val="007C514C"/>
    <w:rsid w:val="007C52CC"/>
    <w:rsid w:val="007C53FF"/>
    <w:rsid w:val="007C55BD"/>
    <w:rsid w:val="007C563A"/>
    <w:rsid w:val="007C5655"/>
    <w:rsid w:val="007C5686"/>
    <w:rsid w:val="007C5EC4"/>
    <w:rsid w:val="007C6267"/>
    <w:rsid w:val="007C62FC"/>
    <w:rsid w:val="007C63FF"/>
    <w:rsid w:val="007C65CC"/>
    <w:rsid w:val="007C679C"/>
    <w:rsid w:val="007C6911"/>
    <w:rsid w:val="007C699C"/>
    <w:rsid w:val="007C6B66"/>
    <w:rsid w:val="007C6CE9"/>
    <w:rsid w:val="007C7156"/>
    <w:rsid w:val="007C71B4"/>
    <w:rsid w:val="007C721B"/>
    <w:rsid w:val="007C7314"/>
    <w:rsid w:val="007C7457"/>
    <w:rsid w:val="007C751D"/>
    <w:rsid w:val="007C75E5"/>
    <w:rsid w:val="007C76B6"/>
    <w:rsid w:val="007C7B24"/>
    <w:rsid w:val="007C7B71"/>
    <w:rsid w:val="007C7CB4"/>
    <w:rsid w:val="007C7E35"/>
    <w:rsid w:val="007C7F28"/>
    <w:rsid w:val="007C7F57"/>
    <w:rsid w:val="007D0164"/>
    <w:rsid w:val="007D01B1"/>
    <w:rsid w:val="007D01E1"/>
    <w:rsid w:val="007D0600"/>
    <w:rsid w:val="007D0940"/>
    <w:rsid w:val="007D0961"/>
    <w:rsid w:val="007D09CB"/>
    <w:rsid w:val="007D0AF9"/>
    <w:rsid w:val="007D0C02"/>
    <w:rsid w:val="007D0D99"/>
    <w:rsid w:val="007D0EBD"/>
    <w:rsid w:val="007D0ECF"/>
    <w:rsid w:val="007D0F24"/>
    <w:rsid w:val="007D113D"/>
    <w:rsid w:val="007D13EE"/>
    <w:rsid w:val="007D1499"/>
    <w:rsid w:val="007D177F"/>
    <w:rsid w:val="007D189C"/>
    <w:rsid w:val="007D18C8"/>
    <w:rsid w:val="007D1969"/>
    <w:rsid w:val="007D1B8B"/>
    <w:rsid w:val="007D1BDE"/>
    <w:rsid w:val="007D1D33"/>
    <w:rsid w:val="007D1E7F"/>
    <w:rsid w:val="007D1FCE"/>
    <w:rsid w:val="007D20D9"/>
    <w:rsid w:val="007D25EA"/>
    <w:rsid w:val="007D27F1"/>
    <w:rsid w:val="007D2AFE"/>
    <w:rsid w:val="007D2B02"/>
    <w:rsid w:val="007D2C99"/>
    <w:rsid w:val="007D2ED1"/>
    <w:rsid w:val="007D356F"/>
    <w:rsid w:val="007D37BD"/>
    <w:rsid w:val="007D37ED"/>
    <w:rsid w:val="007D39BE"/>
    <w:rsid w:val="007D3AC5"/>
    <w:rsid w:val="007D3C7B"/>
    <w:rsid w:val="007D3CCD"/>
    <w:rsid w:val="007D3EDE"/>
    <w:rsid w:val="007D3F42"/>
    <w:rsid w:val="007D400D"/>
    <w:rsid w:val="007D4185"/>
    <w:rsid w:val="007D4233"/>
    <w:rsid w:val="007D441C"/>
    <w:rsid w:val="007D4546"/>
    <w:rsid w:val="007D47EA"/>
    <w:rsid w:val="007D492F"/>
    <w:rsid w:val="007D4C00"/>
    <w:rsid w:val="007D4C05"/>
    <w:rsid w:val="007D4F27"/>
    <w:rsid w:val="007D4F37"/>
    <w:rsid w:val="007D515A"/>
    <w:rsid w:val="007D55AB"/>
    <w:rsid w:val="007D55AF"/>
    <w:rsid w:val="007D5600"/>
    <w:rsid w:val="007D5673"/>
    <w:rsid w:val="007D5683"/>
    <w:rsid w:val="007D5831"/>
    <w:rsid w:val="007D585B"/>
    <w:rsid w:val="007D5935"/>
    <w:rsid w:val="007D59AC"/>
    <w:rsid w:val="007D5BDE"/>
    <w:rsid w:val="007D62E7"/>
    <w:rsid w:val="007D6317"/>
    <w:rsid w:val="007D669F"/>
    <w:rsid w:val="007D6762"/>
    <w:rsid w:val="007D6809"/>
    <w:rsid w:val="007D6872"/>
    <w:rsid w:val="007D688C"/>
    <w:rsid w:val="007D69B2"/>
    <w:rsid w:val="007D6BE3"/>
    <w:rsid w:val="007D6D92"/>
    <w:rsid w:val="007D6EB6"/>
    <w:rsid w:val="007D7174"/>
    <w:rsid w:val="007D71D1"/>
    <w:rsid w:val="007D7457"/>
    <w:rsid w:val="007D7611"/>
    <w:rsid w:val="007D7637"/>
    <w:rsid w:val="007D7A6C"/>
    <w:rsid w:val="007D7D4D"/>
    <w:rsid w:val="007E00CA"/>
    <w:rsid w:val="007E019F"/>
    <w:rsid w:val="007E0357"/>
    <w:rsid w:val="007E03FB"/>
    <w:rsid w:val="007E066C"/>
    <w:rsid w:val="007E06F6"/>
    <w:rsid w:val="007E075D"/>
    <w:rsid w:val="007E080A"/>
    <w:rsid w:val="007E094A"/>
    <w:rsid w:val="007E0984"/>
    <w:rsid w:val="007E0AD2"/>
    <w:rsid w:val="007E0DEA"/>
    <w:rsid w:val="007E0F27"/>
    <w:rsid w:val="007E0FFF"/>
    <w:rsid w:val="007E11B1"/>
    <w:rsid w:val="007E12E8"/>
    <w:rsid w:val="007E1590"/>
    <w:rsid w:val="007E161E"/>
    <w:rsid w:val="007E1657"/>
    <w:rsid w:val="007E1796"/>
    <w:rsid w:val="007E17DC"/>
    <w:rsid w:val="007E18DA"/>
    <w:rsid w:val="007E1B29"/>
    <w:rsid w:val="007E1C2A"/>
    <w:rsid w:val="007E1D22"/>
    <w:rsid w:val="007E1E4D"/>
    <w:rsid w:val="007E1E97"/>
    <w:rsid w:val="007E257A"/>
    <w:rsid w:val="007E2B3C"/>
    <w:rsid w:val="007E2EEB"/>
    <w:rsid w:val="007E2F05"/>
    <w:rsid w:val="007E2F27"/>
    <w:rsid w:val="007E3256"/>
    <w:rsid w:val="007E35E4"/>
    <w:rsid w:val="007E37EC"/>
    <w:rsid w:val="007E381B"/>
    <w:rsid w:val="007E3970"/>
    <w:rsid w:val="007E3AAA"/>
    <w:rsid w:val="007E3F16"/>
    <w:rsid w:val="007E3F21"/>
    <w:rsid w:val="007E4052"/>
    <w:rsid w:val="007E4851"/>
    <w:rsid w:val="007E49B9"/>
    <w:rsid w:val="007E4B4C"/>
    <w:rsid w:val="007E4CEC"/>
    <w:rsid w:val="007E4D1D"/>
    <w:rsid w:val="007E4E92"/>
    <w:rsid w:val="007E4F97"/>
    <w:rsid w:val="007E4FA9"/>
    <w:rsid w:val="007E5002"/>
    <w:rsid w:val="007E522C"/>
    <w:rsid w:val="007E5515"/>
    <w:rsid w:val="007E5773"/>
    <w:rsid w:val="007E597B"/>
    <w:rsid w:val="007E59E8"/>
    <w:rsid w:val="007E5B70"/>
    <w:rsid w:val="007E5C6C"/>
    <w:rsid w:val="007E5FDC"/>
    <w:rsid w:val="007E60CD"/>
    <w:rsid w:val="007E62F5"/>
    <w:rsid w:val="007E6451"/>
    <w:rsid w:val="007E66D5"/>
    <w:rsid w:val="007E6894"/>
    <w:rsid w:val="007E6AC9"/>
    <w:rsid w:val="007E6BFF"/>
    <w:rsid w:val="007E6C8B"/>
    <w:rsid w:val="007E6CE2"/>
    <w:rsid w:val="007E74B3"/>
    <w:rsid w:val="007E7696"/>
    <w:rsid w:val="007E7757"/>
    <w:rsid w:val="007E77DE"/>
    <w:rsid w:val="007E79D4"/>
    <w:rsid w:val="007E7BB1"/>
    <w:rsid w:val="007E7EC9"/>
    <w:rsid w:val="007F0254"/>
    <w:rsid w:val="007F0386"/>
    <w:rsid w:val="007F0434"/>
    <w:rsid w:val="007F0618"/>
    <w:rsid w:val="007F0643"/>
    <w:rsid w:val="007F0759"/>
    <w:rsid w:val="007F07F5"/>
    <w:rsid w:val="007F0BD5"/>
    <w:rsid w:val="007F0CEE"/>
    <w:rsid w:val="007F0DF6"/>
    <w:rsid w:val="007F101D"/>
    <w:rsid w:val="007F1101"/>
    <w:rsid w:val="007F14D7"/>
    <w:rsid w:val="007F14F4"/>
    <w:rsid w:val="007F14FB"/>
    <w:rsid w:val="007F1532"/>
    <w:rsid w:val="007F1602"/>
    <w:rsid w:val="007F19C8"/>
    <w:rsid w:val="007F1A4D"/>
    <w:rsid w:val="007F1B2E"/>
    <w:rsid w:val="007F1BF1"/>
    <w:rsid w:val="007F1CEE"/>
    <w:rsid w:val="007F1E90"/>
    <w:rsid w:val="007F1F38"/>
    <w:rsid w:val="007F1F86"/>
    <w:rsid w:val="007F212F"/>
    <w:rsid w:val="007F216E"/>
    <w:rsid w:val="007F2349"/>
    <w:rsid w:val="007F2373"/>
    <w:rsid w:val="007F23B0"/>
    <w:rsid w:val="007F24A7"/>
    <w:rsid w:val="007F251E"/>
    <w:rsid w:val="007F2605"/>
    <w:rsid w:val="007F26CF"/>
    <w:rsid w:val="007F2890"/>
    <w:rsid w:val="007F2C11"/>
    <w:rsid w:val="007F2C5F"/>
    <w:rsid w:val="007F2E67"/>
    <w:rsid w:val="007F3281"/>
    <w:rsid w:val="007F3485"/>
    <w:rsid w:val="007F34A8"/>
    <w:rsid w:val="007F36CB"/>
    <w:rsid w:val="007F39EA"/>
    <w:rsid w:val="007F3A81"/>
    <w:rsid w:val="007F3ABA"/>
    <w:rsid w:val="007F412D"/>
    <w:rsid w:val="007F41A6"/>
    <w:rsid w:val="007F4350"/>
    <w:rsid w:val="007F45AA"/>
    <w:rsid w:val="007F46CA"/>
    <w:rsid w:val="007F46E5"/>
    <w:rsid w:val="007F4A32"/>
    <w:rsid w:val="007F4A3B"/>
    <w:rsid w:val="007F4B2D"/>
    <w:rsid w:val="007F4D07"/>
    <w:rsid w:val="007F4E91"/>
    <w:rsid w:val="007F4F78"/>
    <w:rsid w:val="007F4F84"/>
    <w:rsid w:val="007F5062"/>
    <w:rsid w:val="007F54FC"/>
    <w:rsid w:val="007F588C"/>
    <w:rsid w:val="007F5A37"/>
    <w:rsid w:val="007F5AC6"/>
    <w:rsid w:val="007F5B1C"/>
    <w:rsid w:val="007F5C38"/>
    <w:rsid w:val="007F5FD4"/>
    <w:rsid w:val="007F6080"/>
    <w:rsid w:val="007F65C8"/>
    <w:rsid w:val="007F66D2"/>
    <w:rsid w:val="007F673E"/>
    <w:rsid w:val="007F692F"/>
    <w:rsid w:val="007F6A2D"/>
    <w:rsid w:val="007F6B49"/>
    <w:rsid w:val="007F6C83"/>
    <w:rsid w:val="007F6D8D"/>
    <w:rsid w:val="007F6DCF"/>
    <w:rsid w:val="007F6E11"/>
    <w:rsid w:val="007F6FC8"/>
    <w:rsid w:val="007F70B4"/>
    <w:rsid w:val="007F70DC"/>
    <w:rsid w:val="007F7176"/>
    <w:rsid w:val="007F71D0"/>
    <w:rsid w:val="007F7260"/>
    <w:rsid w:val="007F7712"/>
    <w:rsid w:val="007F78EA"/>
    <w:rsid w:val="007F7A05"/>
    <w:rsid w:val="007F7AC1"/>
    <w:rsid w:val="007F7B3E"/>
    <w:rsid w:val="007F7E39"/>
    <w:rsid w:val="007F7EE5"/>
    <w:rsid w:val="007F7FD0"/>
    <w:rsid w:val="008001C1"/>
    <w:rsid w:val="00800E16"/>
    <w:rsid w:val="00800ECE"/>
    <w:rsid w:val="00800F92"/>
    <w:rsid w:val="00801091"/>
    <w:rsid w:val="0080127D"/>
    <w:rsid w:val="00801294"/>
    <w:rsid w:val="008013C0"/>
    <w:rsid w:val="0080146B"/>
    <w:rsid w:val="008015AE"/>
    <w:rsid w:val="00801655"/>
    <w:rsid w:val="008016D9"/>
    <w:rsid w:val="008017AD"/>
    <w:rsid w:val="00801BD6"/>
    <w:rsid w:val="00801C3C"/>
    <w:rsid w:val="00801CA9"/>
    <w:rsid w:val="00801D4E"/>
    <w:rsid w:val="00801F89"/>
    <w:rsid w:val="00801F9B"/>
    <w:rsid w:val="0080204D"/>
    <w:rsid w:val="008022BD"/>
    <w:rsid w:val="008027C9"/>
    <w:rsid w:val="0080286F"/>
    <w:rsid w:val="00802AF2"/>
    <w:rsid w:val="00802B01"/>
    <w:rsid w:val="00802B17"/>
    <w:rsid w:val="00802BA0"/>
    <w:rsid w:val="00802BF7"/>
    <w:rsid w:val="00802C7B"/>
    <w:rsid w:val="00802CC6"/>
    <w:rsid w:val="00802D04"/>
    <w:rsid w:val="00802D97"/>
    <w:rsid w:val="00802DB1"/>
    <w:rsid w:val="00802E51"/>
    <w:rsid w:val="00802E77"/>
    <w:rsid w:val="00802F19"/>
    <w:rsid w:val="00802F48"/>
    <w:rsid w:val="00802FE2"/>
    <w:rsid w:val="0080307C"/>
    <w:rsid w:val="008031F2"/>
    <w:rsid w:val="00803201"/>
    <w:rsid w:val="00803225"/>
    <w:rsid w:val="00803499"/>
    <w:rsid w:val="0080376C"/>
    <w:rsid w:val="00803783"/>
    <w:rsid w:val="008039DA"/>
    <w:rsid w:val="00803C2E"/>
    <w:rsid w:val="00803C97"/>
    <w:rsid w:val="00803D7E"/>
    <w:rsid w:val="00803D85"/>
    <w:rsid w:val="00803F2E"/>
    <w:rsid w:val="008042F3"/>
    <w:rsid w:val="00804345"/>
    <w:rsid w:val="00804378"/>
    <w:rsid w:val="008043E3"/>
    <w:rsid w:val="00804483"/>
    <w:rsid w:val="0080455B"/>
    <w:rsid w:val="00804596"/>
    <w:rsid w:val="0080474D"/>
    <w:rsid w:val="008048FF"/>
    <w:rsid w:val="00804944"/>
    <w:rsid w:val="00804988"/>
    <w:rsid w:val="00804A55"/>
    <w:rsid w:val="00804D20"/>
    <w:rsid w:val="00805092"/>
    <w:rsid w:val="00805157"/>
    <w:rsid w:val="00805280"/>
    <w:rsid w:val="008054A3"/>
    <w:rsid w:val="008054A7"/>
    <w:rsid w:val="00805557"/>
    <w:rsid w:val="008055DD"/>
    <w:rsid w:val="0080597D"/>
    <w:rsid w:val="008059A7"/>
    <w:rsid w:val="008059CD"/>
    <w:rsid w:val="008059F7"/>
    <w:rsid w:val="00805F93"/>
    <w:rsid w:val="008060EB"/>
    <w:rsid w:val="00806191"/>
    <w:rsid w:val="008063D0"/>
    <w:rsid w:val="008064A1"/>
    <w:rsid w:val="008064F2"/>
    <w:rsid w:val="008069D2"/>
    <w:rsid w:val="00806A65"/>
    <w:rsid w:val="00806AC3"/>
    <w:rsid w:val="00806C33"/>
    <w:rsid w:val="00806D19"/>
    <w:rsid w:val="00807142"/>
    <w:rsid w:val="0080714E"/>
    <w:rsid w:val="008071A0"/>
    <w:rsid w:val="008071DD"/>
    <w:rsid w:val="008073A1"/>
    <w:rsid w:val="008073D7"/>
    <w:rsid w:val="00807566"/>
    <w:rsid w:val="008076FB"/>
    <w:rsid w:val="00807726"/>
    <w:rsid w:val="0080785B"/>
    <w:rsid w:val="008078C2"/>
    <w:rsid w:val="00807B88"/>
    <w:rsid w:val="00807DFB"/>
    <w:rsid w:val="0081011D"/>
    <w:rsid w:val="00810288"/>
    <w:rsid w:val="008103F3"/>
    <w:rsid w:val="008104EC"/>
    <w:rsid w:val="00810961"/>
    <w:rsid w:val="00810B02"/>
    <w:rsid w:val="00810D6D"/>
    <w:rsid w:val="00810F36"/>
    <w:rsid w:val="008111FC"/>
    <w:rsid w:val="00811492"/>
    <w:rsid w:val="008115AD"/>
    <w:rsid w:val="00811705"/>
    <w:rsid w:val="008117F3"/>
    <w:rsid w:val="00811883"/>
    <w:rsid w:val="00811A93"/>
    <w:rsid w:val="00811F0B"/>
    <w:rsid w:val="00812173"/>
    <w:rsid w:val="00812230"/>
    <w:rsid w:val="00812618"/>
    <w:rsid w:val="0081275A"/>
    <w:rsid w:val="00812912"/>
    <w:rsid w:val="00812C33"/>
    <w:rsid w:val="00812D76"/>
    <w:rsid w:val="00812D86"/>
    <w:rsid w:val="00812D94"/>
    <w:rsid w:val="00812F28"/>
    <w:rsid w:val="00812FA1"/>
    <w:rsid w:val="00813203"/>
    <w:rsid w:val="008132BA"/>
    <w:rsid w:val="0081338E"/>
    <w:rsid w:val="00813411"/>
    <w:rsid w:val="0081350E"/>
    <w:rsid w:val="008135CE"/>
    <w:rsid w:val="008135D8"/>
    <w:rsid w:val="008137B0"/>
    <w:rsid w:val="00813EED"/>
    <w:rsid w:val="00813FDD"/>
    <w:rsid w:val="008140F1"/>
    <w:rsid w:val="00814CF2"/>
    <w:rsid w:val="00814E8D"/>
    <w:rsid w:val="00814ECC"/>
    <w:rsid w:val="0081516E"/>
    <w:rsid w:val="008153DB"/>
    <w:rsid w:val="008155B7"/>
    <w:rsid w:val="00815720"/>
    <w:rsid w:val="008157FA"/>
    <w:rsid w:val="00815B39"/>
    <w:rsid w:val="00815BEF"/>
    <w:rsid w:val="00815C9A"/>
    <w:rsid w:val="00815D4C"/>
    <w:rsid w:val="00815E80"/>
    <w:rsid w:val="00815EFE"/>
    <w:rsid w:val="00816090"/>
    <w:rsid w:val="008160C6"/>
    <w:rsid w:val="0081625E"/>
    <w:rsid w:val="0081665C"/>
    <w:rsid w:val="008166B3"/>
    <w:rsid w:val="008168D2"/>
    <w:rsid w:val="0081694F"/>
    <w:rsid w:val="00816D48"/>
    <w:rsid w:val="00816EAA"/>
    <w:rsid w:val="00817072"/>
    <w:rsid w:val="00817154"/>
    <w:rsid w:val="008171EB"/>
    <w:rsid w:val="00817299"/>
    <w:rsid w:val="008172CC"/>
    <w:rsid w:val="008172DD"/>
    <w:rsid w:val="00817754"/>
    <w:rsid w:val="008177F0"/>
    <w:rsid w:val="008177FB"/>
    <w:rsid w:val="00817954"/>
    <w:rsid w:val="00817AA6"/>
    <w:rsid w:val="00817E54"/>
    <w:rsid w:val="00817FF8"/>
    <w:rsid w:val="0082004F"/>
    <w:rsid w:val="00820435"/>
    <w:rsid w:val="00820517"/>
    <w:rsid w:val="00820743"/>
    <w:rsid w:val="0082104B"/>
    <w:rsid w:val="008210FF"/>
    <w:rsid w:val="00821132"/>
    <w:rsid w:val="00821221"/>
    <w:rsid w:val="008218E3"/>
    <w:rsid w:val="0082191F"/>
    <w:rsid w:val="00821985"/>
    <w:rsid w:val="00821A58"/>
    <w:rsid w:val="00821AB5"/>
    <w:rsid w:val="00821C07"/>
    <w:rsid w:val="00821C5E"/>
    <w:rsid w:val="00821DC9"/>
    <w:rsid w:val="00821EAE"/>
    <w:rsid w:val="008222F9"/>
    <w:rsid w:val="00822307"/>
    <w:rsid w:val="00822412"/>
    <w:rsid w:val="00822476"/>
    <w:rsid w:val="0082251B"/>
    <w:rsid w:val="00822551"/>
    <w:rsid w:val="0082271F"/>
    <w:rsid w:val="00822999"/>
    <w:rsid w:val="00822A0E"/>
    <w:rsid w:val="00822A76"/>
    <w:rsid w:val="0082311A"/>
    <w:rsid w:val="0082312B"/>
    <w:rsid w:val="0082353C"/>
    <w:rsid w:val="00823609"/>
    <w:rsid w:val="0082370C"/>
    <w:rsid w:val="00823B52"/>
    <w:rsid w:val="00823B8F"/>
    <w:rsid w:val="00823C7D"/>
    <w:rsid w:val="00823CD3"/>
    <w:rsid w:val="00823EF3"/>
    <w:rsid w:val="00823F8F"/>
    <w:rsid w:val="00823FC2"/>
    <w:rsid w:val="00824770"/>
    <w:rsid w:val="00824A4D"/>
    <w:rsid w:val="00824CD7"/>
    <w:rsid w:val="00824D41"/>
    <w:rsid w:val="00824FAE"/>
    <w:rsid w:val="008251F4"/>
    <w:rsid w:val="008252F0"/>
    <w:rsid w:val="00825444"/>
    <w:rsid w:val="00825470"/>
    <w:rsid w:val="0082548A"/>
    <w:rsid w:val="008255B8"/>
    <w:rsid w:val="00825652"/>
    <w:rsid w:val="008257F5"/>
    <w:rsid w:val="008259CB"/>
    <w:rsid w:val="008259DC"/>
    <w:rsid w:val="00825A17"/>
    <w:rsid w:val="00825C0D"/>
    <w:rsid w:val="00825C4F"/>
    <w:rsid w:val="00825E38"/>
    <w:rsid w:val="00825E64"/>
    <w:rsid w:val="00826066"/>
    <w:rsid w:val="00826146"/>
    <w:rsid w:val="008261D1"/>
    <w:rsid w:val="008261E8"/>
    <w:rsid w:val="00826275"/>
    <w:rsid w:val="00826448"/>
    <w:rsid w:val="0082659D"/>
    <w:rsid w:val="00826757"/>
    <w:rsid w:val="00826765"/>
    <w:rsid w:val="00826954"/>
    <w:rsid w:val="00826981"/>
    <w:rsid w:val="008269A5"/>
    <w:rsid w:val="00826B79"/>
    <w:rsid w:val="00826D02"/>
    <w:rsid w:val="00826E99"/>
    <w:rsid w:val="00826FFD"/>
    <w:rsid w:val="008270A2"/>
    <w:rsid w:val="008275D5"/>
    <w:rsid w:val="00827B74"/>
    <w:rsid w:val="00830026"/>
    <w:rsid w:val="008300C0"/>
    <w:rsid w:val="00830103"/>
    <w:rsid w:val="00830224"/>
    <w:rsid w:val="008303C8"/>
    <w:rsid w:val="0083041A"/>
    <w:rsid w:val="008304BE"/>
    <w:rsid w:val="00830668"/>
    <w:rsid w:val="008308F8"/>
    <w:rsid w:val="00830947"/>
    <w:rsid w:val="008309B7"/>
    <w:rsid w:val="00830E88"/>
    <w:rsid w:val="00830ECC"/>
    <w:rsid w:val="0083102E"/>
    <w:rsid w:val="00831211"/>
    <w:rsid w:val="008312AD"/>
    <w:rsid w:val="008313D9"/>
    <w:rsid w:val="008313F2"/>
    <w:rsid w:val="0083156F"/>
    <w:rsid w:val="0083157A"/>
    <w:rsid w:val="00831693"/>
    <w:rsid w:val="008316CE"/>
    <w:rsid w:val="00831723"/>
    <w:rsid w:val="0083179E"/>
    <w:rsid w:val="008319B6"/>
    <w:rsid w:val="00832082"/>
    <w:rsid w:val="008322FE"/>
    <w:rsid w:val="00832365"/>
    <w:rsid w:val="008324FC"/>
    <w:rsid w:val="008325C7"/>
    <w:rsid w:val="0083260B"/>
    <w:rsid w:val="0083261D"/>
    <w:rsid w:val="00832B70"/>
    <w:rsid w:val="00832C90"/>
    <w:rsid w:val="00832CAC"/>
    <w:rsid w:val="00832EE5"/>
    <w:rsid w:val="00833066"/>
    <w:rsid w:val="00833118"/>
    <w:rsid w:val="008335B4"/>
    <w:rsid w:val="00833624"/>
    <w:rsid w:val="00833B0B"/>
    <w:rsid w:val="00833EDF"/>
    <w:rsid w:val="00834199"/>
    <w:rsid w:val="00834287"/>
    <w:rsid w:val="00834381"/>
    <w:rsid w:val="0083452B"/>
    <w:rsid w:val="00834581"/>
    <w:rsid w:val="0083466D"/>
    <w:rsid w:val="00834C84"/>
    <w:rsid w:val="00834C92"/>
    <w:rsid w:val="00834CAC"/>
    <w:rsid w:val="00834CB8"/>
    <w:rsid w:val="00834E3B"/>
    <w:rsid w:val="00834E59"/>
    <w:rsid w:val="00834E6F"/>
    <w:rsid w:val="00834EDE"/>
    <w:rsid w:val="0083573D"/>
    <w:rsid w:val="0083578A"/>
    <w:rsid w:val="008358AB"/>
    <w:rsid w:val="00835944"/>
    <w:rsid w:val="00835BA5"/>
    <w:rsid w:val="00835E1C"/>
    <w:rsid w:val="00836077"/>
    <w:rsid w:val="0083612C"/>
    <w:rsid w:val="0083637E"/>
    <w:rsid w:val="008364A3"/>
    <w:rsid w:val="00836605"/>
    <w:rsid w:val="0083662A"/>
    <w:rsid w:val="0083688B"/>
    <w:rsid w:val="00836A5E"/>
    <w:rsid w:val="00836D27"/>
    <w:rsid w:val="00836D99"/>
    <w:rsid w:val="00836F67"/>
    <w:rsid w:val="008375A2"/>
    <w:rsid w:val="008375AD"/>
    <w:rsid w:val="00837607"/>
    <w:rsid w:val="0083770F"/>
    <w:rsid w:val="008377D6"/>
    <w:rsid w:val="00837AAC"/>
    <w:rsid w:val="00837AEE"/>
    <w:rsid w:val="00837CAE"/>
    <w:rsid w:val="00837CFF"/>
    <w:rsid w:val="00837D52"/>
    <w:rsid w:val="00837DEE"/>
    <w:rsid w:val="00837F28"/>
    <w:rsid w:val="0084008A"/>
    <w:rsid w:val="00840145"/>
    <w:rsid w:val="00840293"/>
    <w:rsid w:val="008403E5"/>
    <w:rsid w:val="008405C2"/>
    <w:rsid w:val="00840643"/>
    <w:rsid w:val="00840889"/>
    <w:rsid w:val="00840C81"/>
    <w:rsid w:val="008410B6"/>
    <w:rsid w:val="008413D2"/>
    <w:rsid w:val="008413FA"/>
    <w:rsid w:val="00841511"/>
    <w:rsid w:val="0084154E"/>
    <w:rsid w:val="00841DCC"/>
    <w:rsid w:val="00841DE6"/>
    <w:rsid w:val="00841E6C"/>
    <w:rsid w:val="008420CE"/>
    <w:rsid w:val="00842300"/>
    <w:rsid w:val="0084237C"/>
    <w:rsid w:val="008425D7"/>
    <w:rsid w:val="00842994"/>
    <w:rsid w:val="00842A18"/>
    <w:rsid w:val="00842B04"/>
    <w:rsid w:val="00842C58"/>
    <w:rsid w:val="00843141"/>
    <w:rsid w:val="008434CF"/>
    <w:rsid w:val="0084354D"/>
    <w:rsid w:val="00843564"/>
    <w:rsid w:val="0084375C"/>
    <w:rsid w:val="0084382D"/>
    <w:rsid w:val="00843AE1"/>
    <w:rsid w:val="00843C1E"/>
    <w:rsid w:val="00843D3E"/>
    <w:rsid w:val="00843DAB"/>
    <w:rsid w:val="00843E64"/>
    <w:rsid w:val="00843F4C"/>
    <w:rsid w:val="00843F7D"/>
    <w:rsid w:val="00843F96"/>
    <w:rsid w:val="0084411B"/>
    <w:rsid w:val="008444FB"/>
    <w:rsid w:val="008447B2"/>
    <w:rsid w:val="00844826"/>
    <w:rsid w:val="00844960"/>
    <w:rsid w:val="00844E1A"/>
    <w:rsid w:val="008451C5"/>
    <w:rsid w:val="00845358"/>
    <w:rsid w:val="008454F3"/>
    <w:rsid w:val="00845501"/>
    <w:rsid w:val="00845568"/>
    <w:rsid w:val="0084579B"/>
    <w:rsid w:val="00845BD2"/>
    <w:rsid w:val="00845C04"/>
    <w:rsid w:val="00845D74"/>
    <w:rsid w:val="00845E45"/>
    <w:rsid w:val="00845E5F"/>
    <w:rsid w:val="008460F5"/>
    <w:rsid w:val="008463D3"/>
    <w:rsid w:val="00846467"/>
    <w:rsid w:val="0084649F"/>
    <w:rsid w:val="00846570"/>
    <w:rsid w:val="0084679B"/>
    <w:rsid w:val="0084684E"/>
    <w:rsid w:val="00846904"/>
    <w:rsid w:val="00846925"/>
    <w:rsid w:val="00846A5B"/>
    <w:rsid w:val="00846B22"/>
    <w:rsid w:val="00846FF1"/>
    <w:rsid w:val="0084708D"/>
    <w:rsid w:val="008471C5"/>
    <w:rsid w:val="0084733C"/>
    <w:rsid w:val="00847422"/>
    <w:rsid w:val="00847468"/>
    <w:rsid w:val="008476A0"/>
    <w:rsid w:val="008477DF"/>
    <w:rsid w:val="00847905"/>
    <w:rsid w:val="00847A7D"/>
    <w:rsid w:val="00847C7B"/>
    <w:rsid w:val="00847D26"/>
    <w:rsid w:val="00847EFC"/>
    <w:rsid w:val="00847F6A"/>
    <w:rsid w:val="00847F71"/>
    <w:rsid w:val="00850087"/>
    <w:rsid w:val="0085030C"/>
    <w:rsid w:val="00850503"/>
    <w:rsid w:val="008506A0"/>
    <w:rsid w:val="00850A9E"/>
    <w:rsid w:val="00850B3E"/>
    <w:rsid w:val="00850C5E"/>
    <w:rsid w:val="00850FC5"/>
    <w:rsid w:val="00850FFA"/>
    <w:rsid w:val="008514FF"/>
    <w:rsid w:val="008516A3"/>
    <w:rsid w:val="008519E2"/>
    <w:rsid w:val="00851B9E"/>
    <w:rsid w:val="00851D71"/>
    <w:rsid w:val="00851EEE"/>
    <w:rsid w:val="00851EF4"/>
    <w:rsid w:val="00851F41"/>
    <w:rsid w:val="00852289"/>
    <w:rsid w:val="008523FC"/>
    <w:rsid w:val="008524E1"/>
    <w:rsid w:val="008528A8"/>
    <w:rsid w:val="00852FCD"/>
    <w:rsid w:val="008530ED"/>
    <w:rsid w:val="00853123"/>
    <w:rsid w:val="00853231"/>
    <w:rsid w:val="00853389"/>
    <w:rsid w:val="00853400"/>
    <w:rsid w:val="0085351F"/>
    <w:rsid w:val="008535D5"/>
    <w:rsid w:val="008535E5"/>
    <w:rsid w:val="008538F5"/>
    <w:rsid w:val="00853A21"/>
    <w:rsid w:val="00853B44"/>
    <w:rsid w:val="00853BCE"/>
    <w:rsid w:val="00854251"/>
    <w:rsid w:val="008543FD"/>
    <w:rsid w:val="008544EC"/>
    <w:rsid w:val="00854562"/>
    <w:rsid w:val="008545C7"/>
    <w:rsid w:val="008546BE"/>
    <w:rsid w:val="00854C6A"/>
    <w:rsid w:val="00854CFE"/>
    <w:rsid w:val="00854D31"/>
    <w:rsid w:val="00854D56"/>
    <w:rsid w:val="00855011"/>
    <w:rsid w:val="00855190"/>
    <w:rsid w:val="008551AC"/>
    <w:rsid w:val="008551C7"/>
    <w:rsid w:val="00855632"/>
    <w:rsid w:val="00855653"/>
    <w:rsid w:val="0085570F"/>
    <w:rsid w:val="00855734"/>
    <w:rsid w:val="00855848"/>
    <w:rsid w:val="00855A7C"/>
    <w:rsid w:val="00855B0E"/>
    <w:rsid w:val="00855B85"/>
    <w:rsid w:val="00855BD2"/>
    <w:rsid w:val="00855C0B"/>
    <w:rsid w:val="00855C87"/>
    <w:rsid w:val="00855CAA"/>
    <w:rsid w:val="00855CF9"/>
    <w:rsid w:val="00855D4B"/>
    <w:rsid w:val="00855E53"/>
    <w:rsid w:val="00855ED9"/>
    <w:rsid w:val="00855EE6"/>
    <w:rsid w:val="00855F77"/>
    <w:rsid w:val="0085605C"/>
    <w:rsid w:val="008563FC"/>
    <w:rsid w:val="00856557"/>
    <w:rsid w:val="00856567"/>
    <w:rsid w:val="00856881"/>
    <w:rsid w:val="00856902"/>
    <w:rsid w:val="0085695C"/>
    <w:rsid w:val="008569BD"/>
    <w:rsid w:val="00856A7B"/>
    <w:rsid w:val="00856AE5"/>
    <w:rsid w:val="00856B45"/>
    <w:rsid w:val="00856BAA"/>
    <w:rsid w:val="00856DE4"/>
    <w:rsid w:val="0085705B"/>
    <w:rsid w:val="008575C5"/>
    <w:rsid w:val="008575EB"/>
    <w:rsid w:val="008576AC"/>
    <w:rsid w:val="0085796E"/>
    <w:rsid w:val="00857994"/>
    <w:rsid w:val="00857A60"/>
    <w:rsid w:val="00857EDA"/>
    <w:rsid w:val="0086006E"/>
    <w:rsid w:val="008600B1"/>
    <w:rsid w:val="0086042C"/>
    <w:rsid w:val="0086068B"/>
    <w:rsid w:val="00860998"/>
    <w:rsid w:val="00861123"/>
    <w:rsid w:val="008613FA"/>
    <w:rsid w:val="0086146C"/>
    <w:rsid w:val="008615C1"/>
    <w:rsid w:val="008615EA"/>
    <w:rsid w:val="00861622"/>
    <w:rsid w:val="0086190E"/>
    <w:rsid w:val="00861FEA"/>
    <w:rsid w:val="008620DA"/>
    <w:rsid w:val="0086215C"/>
    <w:rsid w:val="0086229E"/>
    <w:rsid w:val="0086236D"/>
    <w:rsid w:val="0086248B"/>
    <w:rsid w:val="00862733"/>
    <w:rsid w:val="00862853"/>
    <w:rsid w:val="0086286B"/>
    <w:rsid w:val="008628A0"/>
    <w:rsid w:val="00862A94"/>
    <w:rsid w:val="00862B7F"/>
    <w:rsid w:val="00862CE8"/>
    <w:rsid w:val="0086301B"/>
    <w:rsid w:val="008631AE"/>
    <w:rsid w:val="008631F6"/>
    <w:rsid w:val="00863249"/>
    <w:rsid w:val="008632E3"/>
    <w:rsid w:val="008634F5"/>
    <w:rsid w:val="00863620"/>
    <w:rsid w:val="0086362A"/>
    <w:rsid w:val="00863682"/>
    <w:rsid w:val="00863706"/>
    <w:rsid w:val="00863A2B"/>
    <w:rsid w:val="00863B97"/>
    <w:rsid w:val="00863D61"/>
    <w:rsid w:val="00863EF0"/>
    <w:rsid w:val="0086406F"/>
    <w:rsid w:val="008640D4"/>
    <w:rsid w:val="00864118"/>
    <w:rsid w:val="00864289"/>
    <w:rsid w:val="00864354"/>
    <w:rsid w:val="0086438C"/>
    <w:rsid w:val="00864526"/>
    <w:rsid w:val="0086479C"/>
    <w:rsid w:val="00864812"/>
    <w:rsid w:val="00864ACF"/>
    <w:rsid w:val="00864E33"/>
    <w:rsid w:val="00864EAC"/>
    <w:rsid w:val="0086535B"/>
    <w:rsid w:val="008656DE"/>
    <w:rsid w:val="00865807"/>
    <w:rsid w:val="00865968"/>
    <w:rsid w:val="00865A45"/>
    <w:rsid w:val="00865BA2"/>
    <w:rsid w:val="00865D92"/>
    <w:rsid w:val="00865FF4"/>
    <w:rsid w:val="008660A4"/>
    <w:rsid w:val="0086617D"/>
    <w:rsid w:val="0086636F"/>
    <w:rsid w:val="0086644F"/>
    <w:rsid w:val="00866493"/>
    <w:rsid w:val="00866A4C"/>
    <w:rsid w:val="00866C67"/>
    <w:rsid w:val="00866C6C"/>
    <w:rsid w:val="008672E3"/>
    <w:rsid w:val="008676D6"/>
    <w:rsid w:val="008676F6"/>
    <w:rsid w:val="0086771B"/>
    <w:rsid w:val="00867788"/>
    <w:rsid w:val="00867878"/>
    <w:rsid w:val="00867996"/>
    <w:rsid w:val="00867C4E"/>
    <w:rsid w:val="00867DDC"/>
    <w:rsid w:val="00867E88"/>
    <w:rsid w:val="00870199"/>
    <w:rsid w:val="00870259"/>
    <w:rsid w:val="008703EB"/>
    <w:rsid w:val="00870A79"/>
    <w:rsid w:val="00870FA5"/>
    <w:rsid w:val="0087111A"/>
    <w:rsid w:val="00871371"/>
    <w:rsid w:val="00871A3B"/>
    <w:rsid w:val="00871ABF"/>
    <w:rsid w:val="00871C8B"/>
    <w:rsid w:val="00872138"/>
    <w:rsid w:val="00872213"/>
    <w:rsid w:val="00872291"/>
    <w:rsid w:val="00872908"/>
    <w:rsid w:val="008729AB"/>
    <w:rsid w:val="00872D0F"/>
    <w:rsid w:val="0087301F"/>
    <w:rsid w:val="00873054"/>
    <w:rsid w:val="008730CA"/>
    <w:rsid w:val="00873168"/>
    <w:rsid w:val="00873628"/>
    <w:rsid w:val="00873665"/>
    <w:rsid w:val="008736DA"/>
    <w:rsid w:val="00873843"/>
    <w:rsid w:val="00873A58"/>
    <w:rsid w:val="00873C55"/>
    <w:rsid w:val="00873D48"/>
    <w:rsid w:val="00873DF4"/>
    <w:rsid w:val="00873F03"/>
    <w:rsid w:val="00874140"/>
    <w:rsid w:val="00874281"/>
    <w:rsid w:val="00874658"/>
    <w:rsid w:val="008748B5"/>
    <w:rsid w:val="008748F9"/>
    <w:rsid w:val="00874947"/>
    <w:rsid w:val="008749B3"/>
    <w:rsid w:val="00874DAF"/>
    <w:rsid w:val="008750BA"/>
    <w:rsid w:val="00875285"/>
    <w:rsid w:val="008753CC"/>
    <w:rsid w:val="0087552D"/>
    <w:rsid w:val="00875570"/>
    <w:rsid w:val="00875580"/>
    <w:rsid w:val="008756FA"/>
    <w:rsid w:val="00875777"/>
    <w:rsid w:val="008758DB"/>
    <w:rsid w:val="008759F5"/>
    <w:rsid w:val="00875B8C"/>
    <w:rsid w:val="00875D7C"/>
    <w:rsid w:val="00875EE3"/>
    <w:rsid w:val="008764F1"/>
    <w:rsid w:val="00876602"/>
    <w:rsid w:val="008767B7"/>
    <w:rsid w:val="00876830"/>
    <w:rsid w:val="0087692A"/>
    <w:rsid w:val="00876932"/>
    <w:rsid w:val="00876C29"/>
    <w:rsid w:val="00876C3F"/>
    <w:rsid w:val="00876DE6"/>
    <w:rsid w:val="00877040"/>
    <w:rsid w:val="0087733D"/>
    <w:rsid w:val="008774A0"/>
    <w:rsid w:val="008774E6"/>
    <w:rsid w:val="00877533"/>
    <w:rsid w:val="008777B5"/>
    <w:rsid w:val="00877835"/>
    <w:rsid w:val="008778A0"/>
    <w:rsid w:val="008778FC"/>
    <w:rsid w:val="0087797F"/>
    <w:rsid w:val="00877AD4"/>
    <w:rsid w:val="00877C24"/>
    <w:rsid w:val="00877DC5"/>
    <w:rsid w:val="00877E8E"/>
    <w:rsid w:val="00877FD4"/>
    <w:rsid w:val="008801AA"/>
    <w:rsid w:val="00880265"/>
    <w:rsid w:val="008807BB"/>
    <w:rsid w:val="008807C1"/>
    <w:rsid w:val="0088080F"/>
    <w:rsid w:val="008808EB"/>
    <w:rsid w:val="008809CF"/>
    <w:rsid w:val="008809F1"/>
    <w:rsid w:val="00880A42"/>
    <w:rsid w:val="00880A6C"/>
    <w:rsid w:val="00880C3A"/>
    <w:rsid w:val="00880D13"/>
    <w:rsid w:val="00880D5B"/>
    <w:rsid w:val="00880D72"/>
    <w:rsid w:val="00880D8B"/>
    <w:rsid w:val="00880E2D"/>
    <w:rsid w:val="00880F15"/>
    <w:rsid w:val="008810A7"/>
    <w:rsid w:val="00881187"/>
    <w:rsid w:val="008813C1"/>
    <w:rsid w:val="00881443"/>
    <w:rsid w:val="0088149A"/>
    <w:rsid w:val="0088184C"/>
    <w:rsid w:val="00881913"/>
    <w:rsid w:val="00881BD0"/>
    <w:rsid w:val="00881BF4"/>
    <w:rsid w:val="00881D62"/>
    <w:rsid w:val="00881EF1"/>
    <w:rsid w:val="0088213D"/>
    <w:rsid w:val="008821B5"/>
    <w:rsid w:val="008823BD"/>
    <w:rsid w:val="00882ABF"/>
    <w:rsid w:val="00882EB9"/>
    <w:rsid w:val="00883051"/>
    <w:rsid w:val="0088306D"/>
    <w:rsid w:val="00883128"/>
    <w:rsid w:val="008832A5"/>
    <w:rsid w:val="008837EB"/>
    <w:rsid w:val="008839D9"/>
    <w:rsid w:val="00883C33"/>
    <w:rsid w:val="00883D71"/>
    <w:rsid w:val="00883DD4"/>
    <w:rsid w:val="00883E72"/>
    <w:rsid w:val="00884040"/>
    <w:rsid w:val="00884102"/>
    <w:rsid w:val="008842FF"/>
    <w:rsid w:val="008843DE"/>
    <w:rsid w:val="008844E7"/>
    <w:rsid w:val="00884722"/>
    <w:rsid w:val="008847F3"/>
    <w:rsid w:val="00884801"/>
    <w:rsid w:val="00884A9B"/>
    <w:rsid w:val="00885A7D"/>
    <w:rsid w:val="00885E7B"/>
    <w:rsid w:val="00885F25"/>
    <w:rsid w:val="00886075"/>
    <w:rsid w:val="00886186"/>
    <w:rsid w:val="00886264"/>
    <w:rsid w:val="00886380"/>
    <w:rsid w:val="008864FC"/>
    <w:rsid w:val="00886686"/>
    <w:rsid w:val="00886951"/>
    <w:rsid w:val="00886B00"/>
    <w:rsid w:val="00886FFE"/>
    <w:rsid w:val="00887002"/>
    <w:rsid w:val="00887025"/>
    <w:rsid w:val="008871F3"/>
    <w:rsid w:val="00887382"/>
    <w:rsid w:val="00887383"/>
    <w:rsid w:val="008873CE"/>
    <w:rsid w:val="00887596"/>
    <w:rsid w:val="00887A21"/>
    <w:rsid w:val="00887AF8"/>
    <w:rsid w:val="00890004"/>
    <w:rsid w:val="0089006F"/>
    <w:rsid w:val="00890753"/>
    <w:rsid w:val="0089093E"/>
    <w:rsid w:val="008909A3"/>
    <w:rsid w:val="00890BF5"/>
    <w:rsid w:val="00890DA7"/>
    <w:rsid w:val="00890EE6"/>
    <w:rsid w:val="00890EFE"/>
    <w:rsid w:val="008911DF"/>
    <w:rsid w:val="0089166E"/>
    <w:rsid w:val="00891810"/>
    <w:rsid w:val="00891903"/>
    <w:rsid w:val="00891B28"/>
    <w:rsid w:val="00891D27"/>
    <w:rsid w:val="00891DC5"/>
    <w:rsid w:val="00891DDF"/>
    <w:rsid w:val="00891E25"/>
    <w:rsid w:val="00891E2B"/>
    <w:rsid w:val="00892041"/>
    <w:rsid w:val="00892360"/>
    <w:rsid w:val="00892571"/>
    <w:rsid w:val="0089269E"/>
    <w:rsid w:val="008926A1"/>
    <w:rsid w:val="008926EF"/>
    <w:rsid w:val="0089296D"/>
    <w:rsid w:val="00893055"/>
    <w:rsid w:val="00893488"/>
    <w:rsid w:val="008938D5"/>
    <w:rsid w:val="00893E82"/>
    <w:rsid w:val="00893E94"/>
    <w:rsid w:val="00893ED9"/>
    <w:rsid w:val="00893FB6"/>
    <w:rsid w:val="00894073"/>
    <w:rsid w:val="00894331"/>
    <w:rsid w:val="008945CC"/>
    <w:rsid w:val="008946C5"/>
    <w:rsid w:val="00894988"/>
    <w:rsid w:val="008949A2"/>
    <w:rsid w:val="00894AF7"/>
    <w:rsid w:val="00894FF7"/>
    <w:rsid w:val="008951B3"/>
    <w:rsid w:val="00895466"/>
    <w:rsid w:val="00895617"/>
    <w:rsid w:val="0089561D"/>
    <w:rsid w:val="00895976"/>
    <w:rsid w:val="00895C37"/>
    <w:rsid w:val="00895E7F"/>
    <w:rsid w:val="00895EE6"/>
    <w:rsid w:val="00896047"/>
    <w:rsid w:val="0089623F"/>
    <w:rsid w:val="0089640F"/>
    <w:rsid w:val="0089657A"/>
    <w:rsid w:val="008965A7"/>
    <w:rsid w:val="00896603"/>
    <w:rsid w:val="0089668E"/>
    <w:rsid w:val="008967A6"/>
    <w:rsid w:val="00896BCA"/>
    <w:rsid w:val="00896BEB"/>
    <w:rsid w:val="00896C07"/>
    <w:rsid w:val="00896C10"/>
    <w:rsid w:val="00896C43"/>
    <w:rsid w:val="00896D3D"/>
    <w:rsid w:val="00896DFA"/>
    <w:rsid w:val="00896EBE"/>
    <w:rsid w:val="0089713D"/>
    <w:rsid w:val="00897268"/>
    <w:rsid w:val="00897351"/>
    <w:rsid w:val="008973C0"/>
    <w:rsid w:val="00897505"/>
    <w:rsid w:val="00897709"/>
    <w:rsid w:val="008979B1"/>
    <w:rsid w:val="00897BB1"/>
    <w:rsid w:val="00897CD3"/>
    <w:rsid w:val="00897CEA"/>
    <w:rsid w:val="008A0039"/>
    <w:rsid w:val="008A008E"/>
    <w:rsid w:val="008A0591"/>
    <w:rsid w:val="008A0820"/>
    <w:rsid w:val="008A0851"/>
    <w:rsid w:val="008A0A01"/>
    <w:rsid w:val="008A0CD2"/>
    <w:rsid w:val="008A0FA8"/>
    <w:rsid w:val="008A1068"/>
    <w:rsid w:val="008A10FA"/>
    <w:rsid w:val="008A155C"/>
    <w:rsid w:val="008A1604"/>
    <w:rsid w:val="008A167A"/>
    <w:rsid w:val="008A1EF6"/>
    <w:rsid w:val="008A20B6"/>
    <w:rsid w:val="008A2182"/>
    <w:rsid w:val="008A22D9"/>
    <w:rsid w:val="008A24D7"/>
    <w:rsid w:val="008A29DE"/>
    <w:rsid w:val="008A29F6"/>
    <w:rsid w:val="008A2BEC"/>
    <w:rsid w:val="008A2C15"/>
    <w:rsid w:val="008A2D3A"/>
    <w:rsid w:val="008A2E45"/>
    <w:rsid w:val="008A30CE"/>
    <w:rsid w:val="008A30D4"/>
    <w:rsid w:val="008A3177"/>
    <w:rsid w:val="008A339A"/>
    <w:rsid w:val="008A33B9"/>
    <w:rsid w:val="008A3606"/>
    <w:rsid w:val="008A3B69"/>
    <w:rsid w:val="008A3EEC"/>
    <w:rsid w:val="008A3FAB"/>
    <w:rsid w:val="008A4164"/>
    <w:rsid w:val="008A41DC"/>
    <w:rsid w:val="008A4361"/>
    <w:rsid w:val="008A4460"/>
    <w:rsid w:val="008A4530"/>
    <w:rsid w:val="008A487C"/>
    <w:rsid w:val="008A4A18"/>
    <w:rsid w:val="008A4B32"/>
    <w:rsid w:val="008A4B65"/>
    <w:rsid w:val="008A4C80"/>
    <w:rsid w:val="008A4F39"/>
    <w:rsid w:val="008A4F45"/>
    <w:rsid w:val="008A4FB6"/>
    <w:rsid w:val="008A5012"/>
    <w:rsid w:val="008A5166"/>
    <w:rsid w:val="008A52BD"/>
    <w:rsid w:val="008A536A"/>
    <w:rsid w:val="008A5398"/>
    <w:rsid w:val="008A555E"/>
    <w:rsid w:val="008A55E6"/>
    <w:rsid w:val="008A5744"/>
    <w:rsid w:val="008A582C"/>
    <w:rsid w:val="008A5837"/>
    <w:rsid w:val="008A59A0"/>
    <w:rsid w:val="008A59A2"/>
    <w:rsid w:val="008A5A3D"/>
    <w:rsid w:val="008A5C0E"/>
    <w:rsid w:val="008A5DB6"/>
    <w:rsid w:val="008A60F3"/>
    <w:rsid w:val="008A6265"/>
    <w:rsid w:val="008A63BE"/>
    <w:rsid w:val="008A63FC"/>
    <w:rsid w:val="008A6574"/>
    <w:rsid w:val="008A65AD"/>
    <w:rsid w:val="008A6629"/>
    <w:rsid w:val="008A665A"/>
    <w:rsid w:val="008A6897"/>
    <w:rsid w:val="008A69FC"/>
    <w:rsid w:val="008A6A0A"/>
    <w:rsid w:val="008A6AE1"/>
    <w:rsid w:val="008A6B45"/>
    <w:rsid w:val="008A6B7B"/>
    <w:rsid w:val="008A6B7D"/>
    <w:rsid w:val="008A6D4A"/>
    <w:rsid w:val="008A70C8"/>
    <w:rsid w:val="008A7535"/>
    <w:rsid w:val="008A7574"/>
    <w:rsid w:val="008A761E"/>
    <w:rsid w:val="008A7715"/>
    <w:rsid w:val="008A7919"/>
    <w:rsid w:val="008A7931"/>
    <w:rsid w:val="008A7BF9"/>
    <w:rsid w:val="008A7EB2"/>
    <w:rsid w:val="008B0050"/>
    <w:rsid w:val="008B021E"/>
    <w:rsid w:val="008B035F"/>
    <w:rsid w:val="008B0540"/>
    <w:rsid w:val="008B0580"/>
    <w:rsid w:val="008B05D5"/>
    <w:rsid w:val="008B0697"/>
    <w:rsid w:val="008B070A"/>
    <w:rsid w:val="008B078D"/>
    <w:rsid w:val="008B0A21"/>
    <w:rsid w:val="008B0CED"/>
    <w:rsid w:val="008B0D10"/>
    <w:rsid w:val="008B0D94"/>
    <w:rsid w:val="008B0F94"/>
    <w:rsid w:val="008B0FD5"/>
    <w:rsid w:val="008B110E"/>
    <w:rsid w:val="008B12A7"/>
    <w:rsid w:val="008B1397"/>
    <w:rsid w:val="008B1474"/>
    <w:rsid w:val="008B1687"/>
    <w:rsid w:val="008B1823"/>
    <w:rsid w:val="008B184C"/>
    <w:rsid w:val="008B198D"/>
    <w:rsid w:val="008B1EB8"/>
    <w:rsid w:val="008B1F6E"/>
    <w:rsid w:val="008B1FB7"/>
    <w:rsid w:val="008B200E"/>
    <w:rsid w:val="008B202B"/>
    <w:rsid w:val="008B20B4"/>
    <w:rsid w:val="008B21F0"/>
    <w:rsid w:val="008B2551"/>
    <w:rsid w:val="008B257D"/>
    <w:rsid w:val="008B28A6"/>
    <w:rsid w:val="008B2949"/>
    <w:rsid w:val="008B2B77"/>
    <w:rsid w:val="008B2B91"/>
    <w:rsid w:val="008B2C07"/>
    <w:rsid w:val="008B2CA2"/>
    <w:rsid w:val="008B2F89"/>
    <w:rsid w:val="008B31D1"/>
    <w:rsid w:val="008B32CD"/>
    <w:rsid w:val="008B365C"/>
    <w:rsid w:val="008B369F"/>
    <w:rsid w:val="008B36E9"/>
    <w:rsid w:val="008B3834"/>
    <w:rsid w:val="008B3A41"/>
    <w:rsid w:val="008B3C12"/>
    <w:rsid w:val="008B3C22"/>
    <w:rsid w:val="008B42E5"/>
    <w:rsid w:val="008B4482"/>
    <w:rsid w:val="008B4496"/>
    <w:rsid w:val="008B4517"/>
    <w:rsid w:val="008B4572"/>
    <w:rsid w:val="008B457B"/>
    <w:rsid w:val="008B46DC"/>
    <w:rsid w:val="008B4A85"/>
    <w:rsid w:val="008B4BEF"/>
    <w:rsid w:val="008B4CCB"/>
    <w:rsid w:val="008B4EF4"/>
    <w:rsid w:val="008B4FF9"/>
    <w:rsid w:val="008B5140"/>
    <w:rsid w:val="008B5549"/>
    <w:rsid w:val="008B556E"/>
    <w:rsid w:val="008B55A3"/>
    <w:rsid w:val="008B5B13"/>
    <w:rsid w:val="008B5D17"/>
    <w:rsid w:val="008B5E55"/>
    <w:rsid w:val="008B5F40"/>
    <w:rsid w:val="008B6331"/>
    <w:rsid w:val="008B6373"/>
    <w:rsid w:val="008B6609"/>
    <w:rsid w:val="008B6669"/>
    <w:rsid w:val="008B683A"/>
    <w:rsid w:val="008B6ABD"/>
    <w:rsid w:val="008B6B39"/>
    <w:rsid w:val="008B6C90"/>
    <w:rsid w:val="008B6DDD"/>
    <w:rsid w:val="008B6ECB"/>
    <w:rsid w:val="008B6FF5"/>
    <w:rsid w:val="008B701D"/>
    <w:rsid w:val="008B73A6"/>
    <w:rsid w:val="008B73A8"/>
    <w:rsid w:val="008B73E8"/>
    <w:rsid w:val="008B793D"/>
    <w:rsid w:val="008B7B74"/>
    <w:rsid w:val="008B7C05"/>
    <w:rsid w:val="008B7D7D"/>
    <w:rsid w:val="008B7F69"/>
    <w:rsid w:val="008C0231"/>
    <w:rsid w:val="008C03DC"/>
    <w:rsid w:val="008C0484"/>
    <w:rsid w:val="008C0546"/>
    <w:rsid w:val="008C0791"/>
    <w:rsid w:val="008C07CC"/>
    <w:rsid w:val="008C0BB1"/>
    <w:rsid w:val="008C0C45"/>
    <w:rsid w:val="008C0EB5"/>
    <w:rsid w:val="008C1310"/>
    <w:rsid w:val="008C1422"/>
    <w:rsid w:val="008C1526"/>
    <w:rsid w:val="008C1561"/>
    <w:rsid w:val="008C175F"/>
    <w:rsid w:val="008C1764"/>
    <w:rsid w:val="008C18C1"/>
    <w:rsid w:val="008C1901"/>
    <w:rsid w:val="008C19AB"/>
    <w:rsid w:val="008C19F4"/>
    <w:rsid w:val="008C1C17"/>
    <w:rsid w:val="008C204A"/>
    <w:rsid w:val="008C2157"/>
    <w:rsid w:val="008C2273"/>
    <w:rsid w:val="008C255C"/>
    <w:rsid w:val="008C2682"/>
    <w:rsid w:val="008C2B8E"/>
    <w:rsid w:val="008C2BA2"/>
    <w:rsid w:val="008C2CA8"/>
    <w:rsid w:val="008C2DCD"/>
    <w:rsid w:val="008C2E08"/>
    <w:rsid w:val="008C2E8A"/>
    <w:rsid w:val="008C31CF"/>
    <w:rsid w:val="008C3445"/>
    <w:rsid w:val="008C37FE"/>
    <w:rsid w:val="008C390B"/>
    <w:rsid w:val="008C3A81"/>
    <w:rsid w:val="008C42E2"/>
    <w:rsid w:val="008C4808"/>
    <w:rsid w:val="008C4A15"/>
    <w:rsid w:val="008C4B63"/>
    <w:rsid w:val="008C4E33"/>
    <w:rsid w:val="008C502E"/>
    <w:rsid w:val="008C520E"/>
    <w:rsid w:val="008C5400"/>
    <w:rsid w:val="008C56CA"/>
    <w:rsid w:val="008C5746"/>
    <w:rsid w:val="008C5864"/>
    <w:rsid w:val="008C5AAD"/>
    <w:rsid w:val="008C5BE0"/>
    <w:rsid w:val="008C5CCF"/>
    <w:rsid w:val="008C5D0E"/>
    <w:rsid w:val="008C5D92"/>
    <w:rsid w:val="008C5DEE"/>
    <w:rsid w:val="008C5EBF"/>
    <w:rsid w:val="008C612B"/>
    <w:rsid w:val="008C6150"/>
    <w:rsid w:val="008C6183"/>
    <w:rsid w:val="008C654B"/>
    <w:rsid w:val="008C66AD"/>
    <w:rsid w:val="008C67F6"/>
    <w:rsid w:val="008C68C8"/>
    <w:rsid w:val="008C6914"/>
    <w:rsid w:val="008C6A50"/>
    <w:rsid w:val="008C6EEA"/>
    <w:rsid w:val="008C6EF1"/>
    <w:rsid w:val="008C70B9"/>
    <w:rsid w:val="008C70F6"/>
    <w:rsid w:val="008C74A9"/>
    <w:rsid w:val="008C7528"/>
    <w:rsid w:val="008C75EF"/>
    <w:rsid w:val="008C76C1"/>
    <w:rsid w:val="008C7898"/>
    <w:rsid w:val="008C7952"/>
    <w:rsid w:val="008C799B"/>
    <w:rsid w:val="008C7ACC"/>
    <w:rsid w:val="008C7B57"/>
    <w:rsid w:val="008C7C19"/>
    <w:rsid w:val="008D01F9"/>
    <w:rsid w:val="008D05F5"/>
    <w:rsid w:val="008D083E"/>
    <w:rsid w:val="008D098E"/>
    <w:rsid w:val="008D0D18"/>
    <w:rsid w:val="008D0E2A"/>
    <w:rsid w:val="008D131A"/>
    <w:rsid w:val="008D1350"/>
    <w:rsid w:val="008D1879"/>
    <w:rsid w:val="008D19A5"/>
    <w:rsid w:val="008D1B17"/>
    <w:rsid w:val="008D1C68"/>
    <w:rsid w:val="008D1D16"/>
    <w:rsid w:val="008D1FFF"/>
    <w:rsid w:val="008D2144"/>
    <w:rsid w:val="008D214D"/>
    <w:rsid w:val="008D22E7"/>
    <w:rsid w:val="008D254D"/>
    <w:rsid w:val="008D2566"/>
    <w:rsid w:val="008D2630"/>
    <w:rsid w:val="008D2985"/>
    <w:rsid w:val="008D2AAD"/>
    <w:rsid w:val="008D2D9A"/>
    <w:rsid w:val="008D2EB5"/>
    <w:rsid w:val="008D31A4"/>
    <w:rsid w:val="008D31E1"/>
    <w:rsid w:val="008D3289"/>
    <w:rsid w:val="008D3653"/>
    <w:rsid w:val="008D374E"/>
    <w:rsid w:val="008D37CD"/>
    <w:rsid w:val="008D3808"/>
    <w:rsid w:val="008D3891"/>
    <w:rsid w:val="008D39E2"/>
    <w:rsid w:val="008D39EF"/>
    <w:rsid w:val="008D3A0E"/>
    <w:rsid w:val="008D3AAB"/>
    <w:rsid w:val="008D3E2E"/>
    <w:rsid w:val="008D3EFB"/>
    <w:rsid w:val="008D4082"/>
    <w:rsid w:val="008D40C8"/>
    <w:rsid w:val="008D41DD"/>
    <w:rsid w:val="008D4371"/>
    <w:rsid w:val="008D43C8"/>
    <w:rsid w:val="008D4426"/>
    <w:rsid w:val="008D451C"/>
    <w:rsid w:val="008D4874"/>
    <w:rsid w:val="008D4B18"/>
    <w:rsid w:val="008D4E25"/>
    <w:rsid w:val="008D4E9F"/>
    <w:rsid w:val="008D4F0B"/>
    <w:rsid w:val="008D50B1"/>
    <w:rsid w:val="008D5533"/>
    <w:rsid w:val="008D5634"/>
    <w:rsid w:val="008D58D4"/>
    <w:rsid w:val="008D5B68"/>
    <w:rsid w:val="008D5B77"/>
    <w:rsid w:val="008D5C13"/>
    <w:rsid w:val="008D5C77"/>
    <w:rsid w:val="008D5D99"/>
    <w:rsid w:val="008D5E12"/>
    <w:rsid w:val="008D5E15"/>
    <w:rsid w:val="008D5E97"/>
    <w:rsid w:val="008D63DA"/>
    <w:rsid w:val="008D64C5"/>
    <w:rsid w:val="008D652E"/>
    <w:rsid w:val="008D6655"/>
    <w:rsid w:val="008D67F3"/>
    <w:rsid w:val="008D685F"/>
    <w:rsid w:val="008D6925"/>
    <w:rsid w:val="008D69A2"/>
    <w:rsid w:val="008D6B12"/>
    <w:rsid w:val="008D6B63"/>
    <w:rsid w:val="008D6CAC"/>
    <w:rsid w:val="008D6D8A"/>
    <w:rsid w:val="008D7157"/>
    <w:rsid w:val="008D723E"/>
    <w:rsid w:val="008D735B"/>
    <w:rsid w:val="008D748B"/>
    <w:rsid w:val="008D782A"/>
    <w:rsid w:val="008D7964"/>
    <w:rsid w:val="008D7A55"/>
    <w:rsid w:val="008D7EB9"/>
    <w:rsid w:val="008D7EC0"/>
    <w:rsid w:val="008E0087"/>
    <w:rsid w:val="008E0098"/>
    <w:rsid w:val="008E0241"/>
    <w:rsid w:val="008E04BD"/>
    <w:rsid w:val="008E0544"/>
    <w:rsid w:val="008E0592"/>
    <w:rsid w:val="008E060D"/>
    <w:rsid w:val="008E0A40"/>
    <w:rsid w:val="008E0C01"/>
    <w:rsid w:val="008E1476"/>
    <w:rsid w:val="008E14ED"/>
    <w:rsid w:val="008E15B4"/>
    <w:rsid w:val="008E15CC"/>
    <w:rsid w:val="008E17ED"/>
    <w:rsid w:val="008E1847"/>
    <w:rsid w:val="008E1951"/>
    <w:rsid w:val="008E1AD4"/>
    <w:rsid w:val="008E1AE5"/>
    <w:rsid w:val="008E1E39"/>
    <w:rsid w:val="008E2100"/>
    <w:rsid w:val="008E2102"/>
    <w:rsid w:val="008E23D9"/>
    <w:rsid w:val="008E2463"/>
    <w:rsid w:val="008E27F6"/>
    <w:rsid w:val="008E2867"/>
    <w:rsid w:val="008E2C78"/>
    <w:rsid w:val="008E2D95"/>
    <w:rsid w:val="008E2DA1"/>
    <w:rsid w:val="008E2E6E"/>
    <w:rsid w:val="008E2EF4"/>
    <w:rsid w:val="008E310F"/>
    <w:rsid w:val="008E3540"/>
    <w:rsid w:val="008E37E1"/>
    <w:rsid w:val="008E382D"/>
    <w:rsid w:val="008E3984"/>
    <w:rsid w:val="008E415F"/>
    <w:rsid w:val="008E4265"/>
    <w:rsid w:val="008E4392"/>
    <w:rsid w:val="008E4501"/>
    <w:rsid w:val="008E45EB"/>
    <w:rsid w:val="008E46B4"/>
    <w:rsid w:val="008E479A"/>
    <w:rsid w:val="008E48E6"/>
    <w:rsid w:val="008E4982"/>
    <w:rsid w:val="008E4C3E"/>
    <w:rsid w:val="008E4C85"/>
    <w:rsid w:val="008E4F6B"/>
    <w:rsid w:val="008E4FB5"/>
    <w:rsid w:val="008E5253"/>
    <w:rsid w:val="008E529C"/>
    <w:rsid w:val="008E5489"/>
    <w:rsid w:val="008E58F9"/>
    <w:rsid w:val="008E594D"/>
    <w:rsid w:val="008E5F36"/>
    <w:rsid w:val="008E608D"/>
    <w:rsid w:val="008E62FE"/>
    <w:rsid w:val="008E637E"/>
    <w:rsid w:val="008E64DB"/>
    <w:rsid w:val="008E64DD"/>
    <w:rsid w:val="008E6A17"/>
    <w:rsid w:val="008E6F39"/>
    <w:rsid w:val="008E7231"/>
    <w:rsid w:val="008E7393"/>
    <w:rsid w:val="008E741A"/>
    <w:rsid w:val="008E7453"/>
    <w:rsid w:val="008E7B57"/>
    <w:rsid w:val="008E7DB5"/>
    <w:rsid w:val="008E7E51"/>
    <w:rsid w:val="008E7F38"/>
    <w:rsid w:val="008E7F42"/>
    <w:rsid w:val="008E7F5A"/>
    <w:rsid w:val="008F013E"/>
    <w:rsid w:val="008F0187"/>
    <w:rsid w:val="008F0317"/>
    <w:rsid w:val="008F0376"/>
    <w:rsid w:val="008F0438"/>
    <w:rsid w:val="008F0460"/>
    <w:rsid w:val="008F0531"/>
    <w:rsid w:val="008F06C9"/>
    <w:rsid w:val="008F0956"/>
    <w:rsid w:val="008F0BC9"/>
    <w:rsid w:val="008F0C49"/>
    <w:rsid w:val="008F0D34"/>
    <w:rsid w:val="008F0DBC"/>
    <w:rsid w:val="008F0E44"/>
    <w:rsid w:val="008F0E5B"/>
    <w:rsid w:val="008F0F6E"/>
    <w:rsid w:val="008F13AD"/>
    <w:rsid w:val="008F13FA"/>
    <w:rsid w:val="008F1518"/>
    <w:rsid w:val="008F15F5"/>
    <w:rsid w:val="008F162F"/>
    <w:rsid w:val="008F1843"/>
    <w:rsid w:val="008F189E"/>
    <w:rsid w:val="008F1B69"/>
    <w:rsid w:val="008F1E11"/>
    <w:rsid w:val="008F1EE1"/>
    <w:rsid w:val="008F1EFE"/>
    <w:rsid w:val="008F1F85"/>
    <w:rsid w:val="008F205B"/>
    <w:rsid w:val="008F2111"/>
    <w:rsid w:val="008F24A8"/>
    <w:rsid w:val="008F264E"/>
    <w:rsid w:val="008F267A"/>
    <w:rsid w:val="008F274D"/>
    <w:rsid w:val="008F2D97"/>
    <w:rsid w:val="008F35E0"/>
    <w:rsid w:val="008F366B"/>
    <w:rsid w:val="008F378B"/>
    <w:rsid w:val="008F3809"/>
    <w:rsid w:val="008F3855"/>
    <w:rsid w:val="008F38E6"/>
    <w:rsid w:val="008F3ACB"/>
    <w:rsid w:val="008F3DD2"/>
    <w:rsid w:val="008F3DE9"/>
    <w:rsid w:val="008F3EC6"/>
    <w:rsid w:val="008F4291"/>
    <w:rsid w:val="008F4333"/>
    <w:rsid w:val="008F4415"/>
    <w:rsid w:val="008F466F"/>
    <w:rsid w:val="008F4828"/>
    <w:rsid w:val="008F4836"/>
    <w:rsid w:val="008F4B81"/>
    <w:rsid w:val="008F4D06"/>
    <w:rsid w:val="008F4DBF"/>
    <w:rsid w:val="008F51F3"/>
    <w:rsid w:val="008F520E"/>
    <w:rsid w:val="008F539B"/>
    <w:rsid w:val="008F541D"/>
    <w:rsid w:val="008F548D"/>
    <w:rsid w:val="008F5770"/>
    <w:rsid w:val="008F57F8"/>
    <w:rsid w:val="008F5894"/>
    <w:rsid w:val="008F5BC9"/>
    <w:rsid w:val="008F5C4C"/>
    <w:rsid w:val="008F5CFC"/>
    <w:rsid w:val="008F5E3C"/>
    <w:rsid w:val="008F5E88"/>
    <w:rsid w:val="008F5F4B"/>
    <w:rsid w:val="008F5FCA"/>
    <w:rsid w:val="008F6128"/>
    <w:rsid w:val="008F624D"/>
    <w:rsid w:val="008F6373"/>
    <w:rsid w:val="008F6577"/>
    <w:rsid w:val="008F671E"/>
    <w:rsid w:val="008F691C"/>
    <w:rsid w:val="008F69B5"/>
    <w:rsid w:val="008F6D02"/>
    <w:rsid w:val="008F6EC0"/>
    <w:rsid w:val="008F6F59"/>
    <w:rsid w:val="008F70E5"/>
    <w:rsid w:val="008F7189"/>
    <w:rsid w:val="008F75B8"/>
    <w:rsid w:val="008F7623"/>
    <w:rsid w:val="008F7723"/>
    <w:rsid w:val="008F7766"/>
    <w:rsid w:val="008F7B17"/>
    <w:rsid w:val="008F7BEF"/>
    <w:rsid w:val="008F7CC7"/>
    <w:rsid w:val="008F7F23"/>
    <w:rsid w:val="009000C3"/>
    <w:rsid w:val="009001F4"/>
    <w:rsid w:val="00900266"/>
    <w:rsid w:val="0090030C"/>
    <w:rsid w:val="009003D7"/>
    <w:rsid w:val="009003E1"/>
    <w:rsid w:val="00900415"/>
    <w:rsid w:val="009005EA"/>
    <w:rsid w:val="00900638"/>
    <w:rsid w:val="00900AE5"/>
    <w:rsid w:val="00900DB1"/>
    <w:rsid w:val="00900EA0"/>
    <w:rsid w:val="00900EDA"/>
    <w:rsid w:val="00900F3B"/>
    <w:rsid w:val="00900FF0"/>
    <w:rsid w:val="0090109B"/>
    <w:rsid w:val="009012A8"/>
    <w:rsid w:val="00901534"/>
    <w:rsid w:val="00901537"/>
    <w:rsid w:val="00901546"/>
    <w:rsid w:val="0090180D"/>
    <w:rsid w:val="00901898"/>
    <w:rsid w:val="009018E5"/>
    <w:rsid w:val="0090190F"/>
    <w:rsid w:val="00901921"/>
    <w:rsid w:val="00901CEB"/>
    <w:rsid w:val="00902017"/>
    <w:rsid w:val="0090229D"/>
    <w:rsid w:val="009022C3"/>
    <w:rsid w:val="00902365"/>
    <w:rsid w:val="009023F0"/>
    <w:rsid w:val="009026B6"/>
    <w:rsid w:val="0090271D"/>
    <w:rsid w:val="0090284E"/>
    <w:rsid w:val="009028A5"/>
    <w:rsid w:val="00902AF8"/>
    <w:rsid w:val="00902F67"/>
    <w:rsid w:val="00903196"/>
    <w:rsid w:val="009031D1"/>
    <w:rsid w:val="00903509"/>
    <w:rsid w:val="009038A7"/>
    <w:rsid w:val="00903A6D"/>
    <w:rsid w:val="00903AA4"/>
    <w:rsid w:val="00903BD9"/>
    <w:rsid w:val="00903C51"/>
    <w:rsid w:val="00903D9C"/>
    <w:rsid w:val="00903FAF"/>
    <w:rsid w:val="00903FF8"/>
    <w:rsid w:val="0090415C"/>
    <w:rsid w:val="00904276"/>
    <w:rsid w:val="009049E7"/>
    <w:rsid w:val="00904A83"/>
    <w:rsid w:val="00904AC7"/>
    <w:rsid w:val="00904C1D"/>
    <w:rsid w:val="00904D4C"/>
    <w:rsid w:val="009050B6"/>
    <w:rsid w:val="0090521E"/>
    <w:rsid w:val="0090542E"/>
    <w:rsid w:val="0090558F"/>
    <w:rsid w:val="00905668"/>
    <w:rsid w:val="009056D7"/>
    <w:rsid w:val="009058CF"/>
    <w:rsid w:val="00905E6A"/>
    <w:rsid w:val="00905F2D"/>
    <w:rsid w:val="00905F6F"/>
    <w:rsid w:val="009060FD"/>
    <w:rsid w:val="0090615C"/>
    <w:rsid w:val="009064E0"/>
    <w:rsid w:val="0090676D"/>
    <w:rsid w:val="00906774"/>
    <w:rsid w:val="00906B37"/>
    <w:rsid w:val="00906CC4"/>
    <w:rsid w:val="00906D18"/>
    <w:rsid w:val="00906D7E"/>
    <w:rsid w:val="00907044"/>
    <w:rsid w:val="00907257"/>
    <w:rsid w:val="00907370"/>
    <w:rsid w:val="009073B9"/>
    <w:rsid w:val="00907478"/>
    <w:rsid w:val="0090755E"/>
    <w:rsid w:val="009075C7"/>
    <w:rsid w:val="009079AB"/>
    <w:rsid w:val="009079BB"/>
    <w:rsid w:val="00907B67"/>
    <w:rsid w:val="00907CC8"/>
    <w:rsid w:val="00907D08"/>
    <w:rsid w:val="00907E27"/>
    <w:rsid w:val="00907FC1"/>
    <w:rsid w:val="0090A601"/>
    <w:rsid w:val="009102C2"/>
    <w:rsid w:val="0091068C"/>
    <w:rsid w:val="00910920"/>
    <w:rsid w:val="009109C7"/>
    <w:rsid w:val="00910A85"/>
    <w:rsid w:val="00910A90"/>
    <w:rsid w:val="00910AB6"/>
    <w:rsid w:val="0091111F"/>
    <w:rsid w:val="009111A6"/>
    <w:rsid w:val="009113EE"/>
    <w:rsid w:val="00911554"/>
    <w:rsid w:val="0091166F"/>
    <w:rsid w:val="00911738"/>
    <w:rsid w:val="009117D9"/>
    <w:rsid w:val="009119E7"/>
    <w:rsid w:val="00911A2B"/>
    <w:rsid w:val="00911C9C"/>
    <w:rsid w:val="00911CC2"/>
    <w:rsid w:val="00911D4B"/>
    <w:rsid w:val="00911F13"/>
    <w:rsid w:val="00912065"/>
    <w:rsid w:val="009120B2"/>
    <w:rsid w:val="0091215A"/>
    <w:rsid w:val="00912374"/>
    <w:rsid w:val="0091253C"/>
    <w:rsid w:val="009125B4"/>
    <w:rsid w:val="00912685"/>
    <w:rsid w:val="0091288B"/>
    <w:rsid w:val="00912A10"/>
    <w:rsid w:val="00912B7A"/>
    <w:rsid w:val="00912BAC"/>
    <w:rsid w:val="00912F28"/>
    <w:rsid w:val="00912F46"/>
    <w:rsid w:val="00912F4D"/>
    <w:rsid w:val="00912FA3"/>
    <w:rsid w:val="009130B4"/>
    <w:rsid w:val="009131E5"/>
    <w:rsid w:val="009131EB"/>
    <w:rsid w:val="0091331C"/>
    <w:rsid w:val="00913571"/>
    <w:rsid w:val="00913618"/>
    <w:rsid w:val="00913645"/>
    <w:rsid w:val="00913725"/>
    <w:rsid w:val="00913DE6"/>
    <w:rsid w:val="00913E71"/>
    <w:rsid w:val="00913FF6"/>
    <w:rsid w:val="00914462"/>
    <w:rsid w:val="009145D8"/>
    <w:rsid w:val="0091485F"/>
    <w:rsid w:val="00914A5D"/>
    <w:rsid w:val="00914ED9"/>
    <w:rsid w:val="009150B9"/>
    <w:rsid w:val="00915130"/>
    <w:rsid w:val="00915181"/>
    <w:rsid w:val="00915257"/>
    <w:rsid w:val="0091531F"/>
    <w:rsid w:val="00915636"/>
    <w:rsid w:val="009157DE"/>
    <w:rsid w:val="00915832"/>
    <w:rsid w:val="00915A9E"/>
    <w:rsid w:val="00915B5E"/>
    <w:rsid w:val="00915C24"/>
    <w:rsid w:val="00915C9A"/>
    <w:rsid w:val="00915CB1"/>
    <w:rsid w:val="00915DB8"/>
    <w:rsid w:val="00915EC4"/>
    <w:rsid w:val="00915FEF"/>
    <w:rsid w:val="009161DB"/>
    <w:rsid w:val="009161F0"/>
    <w:rsid w:val="0091655C"/>
    <w:rsid w:val="00916576"/>
    <w:rsid w:val="009166D0"/>
    <w:rsid w:val="00916960"/>
    <w:rsid w:val="00916A33"/>
    <w:rsid w:val="00916C1B"/>
    <w:rsid w:val="00917039"/>
    <w:rsid w:val="0091728C"/>
    <w:rsid w:val="00917391"/>
    <w:rsid w:val="00917428"/>
    <w:rsid w:val="0091758B"/>
    <w:rsid w:val="009176F9"/>
    <w:rsid w:val="00917807"/>
    <w:rsid w:val="00917825"/>
    <w:rsid w:val="00917829"/>
    <w:rsid w:val="00917B5D"/>
    <w:rsid w:val="00917F21"/>
    <w:rsid w:val="00920139"/>
    <w:rsid w:val="0092023B"/>
    <w:rsid w:val="0092040A"/>
    <w:rsid w:val="00920692"/>
    <w:rsid w:val="009206F1"/>
    <w:rsid w:val="0092077A"/>
    <w:rsid w:val="0092095B"/>
    <w:rsid w:val="009209A9"/>
    <w:rsid w:val="00920ADB"/>
    <w:rsid w:val="009211B3"/>
    <w:rsid w:val="00921550"/>
    <w:rsid w:val="00921757"/>
    <w:rsid w:val="0092179E"/>
    <w:rsid w:val="00921A74"/>
    <w:rsid w:val="00921AAC"/>
    <w:rsid w:val="00921C24"/>
    <w:rsid w:val="0092213E"/>
    <w:rsid w:val="00922579"/>
    <w:rsid w:val="009225E9"/>
    <w:rsid w:val="009227E4"/>
    <w:rsid w:val="00922911"/>
    <w:rsid w:val="009229ED"/>
    <w:rsid w:val="00922EA4"/>
    <w:rsid w:val="009235E2"/>
    <w:rsid w:val="009236A2"/>
    <w:rsid w:val="009238AA"/>
    <w:rsid w:val="009239AF"/>
    <w:rsid w:val="009239E5"/>
    <w:rsid w:val="00923AF4"/>
    <w:rsid w:val="00923AFD"/>
    <w:rsid w:val="00924671"/>
    <w:rsid w:val="00924701"/>
    <w:rsid w:val="00924859"/>
    <w:rsid w:val="009248DB"/>
    <w:rsid w:val="00924980"/>
    <w:rsid w:val="00924990"/>
    <w:rsid w:val="00924C5A"/>
    <w:rsid w:val="00924FDD"/>
    <w:rsid w:val="009252B4"/>
    <w:rsid w:val="009254A3"/>
    <w:rsid w:val="00925577"/>
    <w:rsid w:val="00925733"/>
    <w:rsid w:val="00925786"/>
    <w:rsid w:val="009258EC"/>
    <w:rsid w:val="00925CDC"/>
    <w:rsid w:val="00926060"/>
    <w:rsid w:val="00926467"/>
    <w:rsid w:val="009266BB"/>
    <w:rsid w:val="00926778"/>
    <w:rsid w:val="009267EE"/>
    <w:rsid w:val="009268A8"/>
    <w:rsid w:val="009268F9"/>
    <w:rsid w:val="0092695C"/>
    <w:rsid w:val="00926A0E"/>
    <w:rsid w:val="00926A14"/>
    <w:rsid w:val="00926A26"/>
    <w:rsid w:val="00926B36"/>
    <w:rsid w:val="00926CF5"/>
    <w:rsid w:val="00926D5E"/>
    <w:rsid w:val="00926EDF"/>
    <w:rsid w:val="00926F76"/>
    <w:rsid w:val="0092750A"/>
    <w:rsid w:val="0092770E"/>
    <w:rsid w:val="00927932"/>
    <w:rsid w:val="00927A52"/>
    <w:rsid w:val="00927C68"/>
    <w:rsid w:val="00927C73"/>
    <w:rsid w:val="009301AC"/>
    <w:rsid w:val="0093027D"/>
    <w:rsid w:val="0093042D"/>
    <w:rsid w:val="0093057F"/>
    <w:rsid w:val="00930669"/>
    <w:rsid w:val="009307FA"/>
    <w:rsid w:val="009308A2"/>
    <w:rsid w:val="00930BC5"/>
    <w:rsid w:val="00930D57"/>
    <w:rsid w:val="0093107E"/>
    <w:rsid w:val="00931459"/>
    <w:rsid w:val="00931540"/>
    <w:rsid w:val="009316D4"/>
    <w:rsid w:val="00931A3F"/>
    <w:rsid w:val="00931CFE"/>
    <w:rsid w:val="00931DE2"/>
    <w:rsid w:val="00931F9A"/>
    <w:rsid w:val="00932041"/>
    <w:rsid w:val="009321CE"/>
    <w:rsid w:val="00932337"/>
    <w:rsid w:val="00932636"/>
    <w:rsid w:val="00932A9D"/>
    <w:rsid w:val="00932D98"/>
    <w:rsid w:val="00932DDE"/>
    <w:rsid w:val="00932EBF"/>
    <w:rsid w:val="00932F84"/>
    <w:rsid w:val="00932FBB"/>
    <w:rsid w:val="00933540"/>
    <w:rsid w:val="00933605"/>
    <w:rsid w:val="00933BA0"/>
    <w:rsid w:val="00934128"/>
    <w:rsid w:val="00934306"/>
    <w:rsid w:val="00934752"/>
    <w:rsid w:val="00934BA4"/>
    <w:rsid w:val="00934F5A"/>
    <w:rsid w:val="00935028"/>
    <w:rsid w:val="0093531C"/>
    <w:rsid w:val="009353F4"/>
    <w:rsid w:val="00935550"/>
    <w:rsid w:val="009355E0"/>
    <w:rsid w:val="0093571B"/>
    <w:rsid w:val="0093575E"/>
    <w:rsid w:val="009358A7"/>
    <w:rsid w:val="00935B5D"/>
    <w:rsid w:val="00935BF8"/>
    <w:rsid w:val="00935C4E"/>
    <w:rsid w:val="00935E21"/>
    <w:rsid w:val="00935E44"/>
    <w:rsid w:val="0093626C"/>
    <w:rsid w:val="009364A3"/>
    <w:rsid w:val="00936C5C"/>
    <w:rsid w:val="00936D0F"/>
    <w:rsid w:val="00936EDC"/>
    <w:rsid w:val="0093712F"/>
    <w:rsid w:val="0093718B"/>
    <w:rsid w:val="009371CD"/>
    <w:rsid w:val="0093726E"/>
    <w:rsid w:val="009372BA"/>
    <w:rsid w:val="00937371"/>
    <w:rsid w:val="00937630"/>
    <w:rsid w:val="00937881"/>
    <w:rsid w:val="0093792B"/>
    <w:rsid w:val="00937FCC"/>
    <w:rsid w:val="0094005C"/>
    <w:rsid w:val="009401D3"/>
    <w:rsid w:val="00940396"/>
    <w:rsid w:val="00940571"/>
    <w:rsid w:val="009406A4"/>
    <w:rsid w:val="00940891"/>
    <w:rsid w:val="009408B3"/>
    <w:rsid w:val="00940967"/>
    <w:rsid w:val="00940992"/>
    <w:rsid w:val="00940A4C"/>
    <w:rsid w:val="00940CC5"/>
    <w:rsid w:val="00940CF9"/>
    <w:rsid w:val="00940DCE"/>
    <w:rsid w:val="00940DE3"/>
    <w:rsid w:val="00940F0E"/>
    <w:rsid w:val="009410A9"/>
    <w:rsid w:val="00941143"/>
    <w:rsid w:val="00941380"/>
    <w:rsid w:val="0094160A"/>
    <w:rsid w:val="00941645"/>
    <w:rsid w:val="00941646"/>
    <w:rsid w:val="00941683"/>
    <w:rsid w:val="009418B2"/>
    <w:rsid w:val="00941B2E"/>
    <w:rsid w:val="00941DB2"/>
    <w:rsid w:val="00941F18"/>
    <w:rsid w:val="00941F56"/>
    <w:rsid w:val="0094214D"/>
    <w:rsid w:val="009422AD"/>
    <w:rsid w:val="00942443"/>
    <w:rsid w:val="00942A0C"/>
    <w:rsid w:val="00942AB2"/>
    <w:rsid w:val="00942B03"/>
    <w:rsid w:val="00942CE0"/>
    <w:rsid w:val="009430D7"/>
    <w:rsid w:val="009431DA"/>
    <w:rsid w:val="00943359"/>
    <w:rsid w:val="009437AA"/>
    <w:rsid w:val="00943875"/>
    <w:rsid w:val="00943B6B"/>
    <w:rsid w:val="00943C8A"/>
    <w:rsid w:val="00943C8B"/>
    <w:rsid w:val="00943CA7"/>
    <w:rsid w:val="00943CAA"/>
    <w:rsid w:val="00943DF5"/>
    <w:rsid w:val="00943E14"/>
    <w:rsid w:val="00944016"/>
    <w:rsid w:val="009440CB"/>
    <w:rsid w:val="00944136"/>
    <w:rsid w:val="0094461B"/>
    <w:rsid w:val="009447B4"/>
    <w:rsid w:val="00944DD0"/>
    <w:rsid w:val="00944E51"/>
    <w:rsid w:val="00944FF0"/>
    <w:rsid w:val="00945006"/>
    <w:rsid w:val="00945030"/>
    <w:rsid w:val="00945089"/>
    <w:rsid w:val="009450D3"/>
    <w:rsid w:val="00945101"/>
    <w:rsid w:val="009453C7"/>
    <w:rsid w:val="0094557B"/>
    <w:rsid w:val="0094560B"/>
    <w:rsid w:val="0094567C"/>
    <w:rsid w:val="009456B8"/>
    <w:rsid w:val="00945909"/>
    <w:rsid w:val="009459EB"/>
    <w:rsid w:val="00945BBA"/>
    <w:rsid w:val="00945FF7"/>
    <w:rsid w:val="00946022"/>
    <w:rsid w:val="00946088"/>
    <w:rsid w:val="00946465"/>
    <w:rsid w:val="00946535"/>
    <w:rsid w:val="009467ED"/>
    <w:rsid w:val="00946D60"/>
    <w:rsid w:val="00946FBB"/>
    <w:rsid w:val="009476C3"/>
    <w:rsid w:val="00947741"/>
    <w:rsid w:val="0094777E"/>
    <w:rsid w:val="00947985"/>
    <w:rsid w:val="00947CF0"/>
    <w:rsid w:val="00947D9C"/>
    <w:rsid w:val="00947E5D"/>
    <w:rsid w:val="00950009"/>
    <w:rsid w:val="009500B1"/>
    <w:rsid w:val="009503AB"/>
    <w:rsid w:val="00950405"/>
    <w:rsid w:val="009505E4"/>
    <w:rsid w:val="009505F9"/>
    <w:rsid w:val="0095065D"/>
    <w:rsid w:val="009506BF"/>
    <w:rsid w:val="00950859"/>
    <w:rsid w:val="0095094C"/>
    <w:rsid w:val="00950DBE"/>
    <w:rsid w:val="00950E32"/>
    <w:rsid w:val="00950EC0"/>
    <w:rsid w:val="00950FA9"/>
    <w:rsid w:val="0095101A"/>
    <w:rsid w:val="009510E4"/>
    <w:rsid w:val="009511DD"/>
    <w:rsid w:val="0095132A"/>
    <w:rsid w:val="00951365"/>
    <w:rsid w:val="0095150E"/>
    <w:rsid w:val="00951517"/>
    <w:rsid w:val="0095194A"/>
    <w:rsid w:val="00951998"/>
    <w:rsid w:val="00951CBA"/>
    <w:rsid w:val="00951D0E"/>
    <w:rsid w:val="00951F80"/>
    <w:rsid w:val="009520CE"/>
    <w:rsid w:val="00952145"/>
    <w:rsid w:val="00952211"/>
    <w:rsid w:val="009522CE"/>
    <w:rsid w:val="00952429"/>
    <w:rsid w:val="00952448"/>
    <w:rsid w:val="009525DF"/>
    <w:rsid w:val="00952A8B"/>
    <w:rsid w:val="00952A8E"/>
    <w:rsid w:val="00952AD3"/>
    <w:rsid w:val="00952CBA"/>
    <w:rsid w:val="009530A3"/>
    <w:rsid w:val="00953421"/>
    <w:rsid w:val="009535D1"/>
    <w:rsid w:val="0095394D"/>
    <w:rsid w:val="00953968"/>
    <w:rsid w:val="00953A21"/>
    <w:rsid w:val="00953AEF"/>
    <w:rsid w:val="00953B30"/>
    <w:rsid w:val="00953B66"/>
    <w:rsid w:val="00953FC5"/>
    <w:rsid w:val="009541BF"/>
    <w:rsid w:val="009545BA"/>
    <w:rsid w:val="0095494A"/>
    <w:rsid w:val="0095497F"/>
    <w:rsid w:val="00954C29"/>
    <w:rsid w:val="00955029"/>
    <w:rsid w:val="00955091"/>
    <w:rsid w:val="0095557E"/>
    <w:rsid w:val="00955806"/>
    <w:rsid w:val="00955985"/>
    <w:rsid w:val="009559B7"/>
    <w:rsid w:val="00955ABC"/>
    <w:rsid w:val="00955D85"/>
    <w:rsid w:val="00955E2F"/>
    <w:rsid w:val="00955EB1"/>
    <w:rsid w:val="0095600E"/>
    <w:rsid w:val="009564D4"/>
    <w:rsid w:val="009566B8"/>
    <w:rsid w:val="00956705"/>
    <w:rsid w:val="00956AA9"/>
    <w:rsid w:val="00956B8F"/>
    <w:rsid w:val="00956C72"/>
    <w:rsid w:val="00957188"/>
    <w:rsid w:val="00957230"/>
    <w:rsid w:val="00957233"/>
    <w:rsid w:val="00957497"/>
    <w:rsid w:val="00957712"/>
    <w:rsid w:val="00957724"/>
    <w:rsid w:val="0095786B"/>
    <w:rsid w:val="00957959"/>
    <w:rsid w:val="00957A13"/>
    <w:rsid w:val="00957C76"/>
    <w:rsid w:val="00957D3D"/>
    <w:rsid w:val="00957DE0"/>
    <w:rsid w:val="0096002D"/>
    <w:rsid w:val="009603D6"/>
    <w:rsid w:val="00960423"/>
    <w:rsid w:val="009605D7"/>
    <w:rsid w:val="00960620"/>
    <w:rsid w:val="0096083C"/>
    <w:rsid w:val="009608FE"/>
    <w:rsid w:val="00960985"/>
    <w:rsid w:val="00960A58"/>
    <w:rsid w:val="00960C11"/>
    <w:rsid w:val="00960C91"/>
    <w:rsid w:val="00960CD2"/>
    <w:rsid w:val="00960E2C"/>
    <w:rsid w:val="0096100B"/>
    <w:rsid w:val="00961048"/>
    <w:rsid w:val="0096107B"/>
    <w:rsid w:val="00961328"/>
    <w:rsid w:val="00961509"/>
    <w:rsid w:val="009616F8"/>
    <w:rsid w:val="0096180C"/>
    <w:rsid w:val="0096194E"/>
    <w:rsid w:val="009619E6"/>
    <w:rsid w:val="00961C85"/>
    <w:rsid w:val="009624FF"/>
    <w:rsid w:val="0096263D"/>
    <w:rsid w:val="009626CC"/>
    <w:rsid w:val="00962A0B"/>
    <w:rsid w:val="00962E22"/>
    <w:rsid w:val="00962EA7"/>
    <w:rsid w:val="009631CD"/>
    <w:rsid w:val="009633BB"/>
    <w:rsid w:val="00963426"/>
    <w:rsid w:val="009634C2"/>
    <w:rsid w:val="00963550"/>
    <w:rsid w:val="0096383C"/>
    <w:rsid w:val="00963B55"/>
    <w:rsid w:val="00963BF8"/>
    <w:rsid w:val="00963CD6"/>
    <w:rsid w:val="0096405A"/>
    <w:rsid w:val="009641D1"/>
    <w:rsid w:val="009642CA"/>
    <w:rsid w:val="009643CD"/>
    <w:rsid w:val="0096453E"/>
    <w:rsid w:val="00964660"/>
    <w:rsid w:val="00964678"/>
    <w:rsid w:val="0096481D"/>
    <w:rsid w:val="0096491B"/>
    <w:rsid w:val="0096497B"/>
    <w:rsid w:val="00964B42"/>
    <w:rsid w:val="00964D59"/>
    <w:rsid w:val="00964EFE"/>
    <w:rsid w:val="00964F77"/>
    <w:rsid w:val="00965259"/>
    <w:rsid w:val="0096552A"/>
    <w:rsid w:val="009658EE"/>
    <w:rsid w:val="0096591E"/>
    <w:rsid w:val="00965A3E"/>
    <w:rsid w:val="00965AC5"/>
    <w:rsid w:val="00965ACA"/>
    <w:rsid w:val="00965E3D"/>
    <w:rsid w:val="00965EFF"/>
    <w:rsid w:val="00965F1C"/>
    <w:rsid w:val="00965FD9"/>
    <w:rsid w:val="00966067"/>
    <w:rsid w:val="00966465"/>
    <w:rsid w:val="00966506"/>
    <w:rsid w:val="0096678C"/>
    <w:rsid w:val="00966A0E"/>
    <w:rsid w:val="00966A40"/>
    <w:rsid w:val="00966C67"/>
    <w:rsid w:val="00966D3F"/>
    <w:rsid w:val="009672A2"/>
    <w:rsid w:val="00967333"/>
    <w:rsid w:val="009673DD"/>
    <w:rsid w:val="00967523"/>
    <w:rsid w:val="00967B51"/>
    <w:rsid w:val="00967DF9"/>
    <w:rsid w:val="00967ED2"/>
    <w:rsid w:val="009701D2"/>
    <w:rsid w:val="00970876"/>
    <w:rsid w:val="00970A81"/>
    <w:rsid w:val="00971262"/>
    <w:rsid w:val="009712E5"/>
    <w:rsid w:val="0097133A"/>
    <w:rsid w:val="00971691"/>
    <w:rsid w:val="009718FD"/>
    <w:rsid w:val="00971990"/>
    <w:rsid w:val="00971A98"/>
    <w:rsid w:val="00971B4B"/>
    <w:rsid w:val="00971BAE"/>
    <w:rsid w:val="00971D8B"/>
    <w:rsid w:val="00971FDE"/>
    <w:rsid w:val="009721DA"/>
    <w:rsid w:val="00972926"/>
    <w:rsid w:val="00972F7B"/>
    <w:rsid w:val="009730EA"/>
    <w:rsid w:val="009731DC"/>
    <w:rsid w:val="00973300"/>
    <w:rsid w:val="0097341A"/>
    <w:rsid w:val="00973473"/>
    <w:rsid w:val="009734D1"/>
    <w:rsid w:val="009738EF"/>
    <w:rsid w:val="009739DB"/>
    <w:rsid w:val="00973C69"/>
    <w:rsid w:val="00973CCA"/>
    <w:rsid w:val="00973D95"/>
    <w:rsid w:val="00974038"/>
    <w:rsid w:val="00974074"/>
    <w:rsid w:val="009741FA"/>
    <w:rsid w:val="009742C5"/>
    <w:rsid w:val="00974380"/>
    <w:rsid w:val="0097446F"/>
    <w:rsid w:val="009746EA"/>
    <w:rsid w:val="009747A9"/>
    <w:rsid w:val="009748A0"/>
    <w:rsid w:val="00974C1C"/>
    <w:rsid w:val="00974CD5"/>
    <w:rsid w:val="00974EA6"/>
    <w:rsid w:val="009753D0"/>
    <w:rsid w:val="00975906"/>
    <w:rsid w:val="00975CEC"/>
    <w:rsid w:val="00975DCB"/>
    <w:rsid w:val="00976056"/>
    <w:rsid w:val="0097625F"/>
    <w:rsid w:val="0097630C"/>
    <w:rsid w:val="00976B7C"/>
    <w:rsid w:val="00976B98"/>
    <w:rsid w:val="00976C64"/>
    <w:rsid w:val="00976F69"/>
    <w:rsid w:val="00976FBE"/>
    <w:rsid w:val="009770B6"/>
    <w:rsid w:val="0097716A"/>
    <w:rsid w:val="009771DC"/>
    <w:rsid w:val="009772CF"/>
    <w:rsid w:val="00977824"/>
    <w:rsid w:val="00977BD3"/>
    <w:rsid w:val="00977D04"/>
    <w:rsid w:val="00977D2E"/>
    <w:rsid w:val="00977DCC"/>
    <w:rsid w:val="00977ED1"/>
    <w:rsid w:val="0098012B"/>
    <w:rsid w:val="009803F6"/>
    <w:rsid w:val="009806D7"/>
    <w:rsid w:val="00980959"/>
    <w:rsid w:val="00980A99"/>
    <w:rsid w:val="00980C8A"/>
    <w:rsid w:val="00980DF0"/>
    <w:rsid w:val="00981143"/>
    <w:rsid w:val="009811B1"/>
    <w:rsid w:val="0098132D"/>
    <w:rsid w:val="009817EA"/>
    <w:rsid w:val="00981A06"/>
    <w:rsid w:val="00981CAA"/>
    <w:rsid w:val="00981E35"/>
    <w:rsid w:val="00982273"/>
    <w:rsid w:val="00982349"/>
    <w:rsid w:val="00982396"/>
    <w:rsid w:val="009824A3"/>
    <w:rsid w:val="009825A7"/>
    <w:rsid w:val="00982609"/>
    <w:rsid w:val="009827CF"/>
    <w:rsid w:val="0098284A"/>
    <w:rsid w:val="00982A56"/>
    <w:rsid w:val="00982BCC"/>
    <w:rsid w:val="00982E6E"/>
    <w:rsid w:val="00982F76"/>
    <w:rsid w:val="009831DA"/>
    <w:rsid w:val="009832E4"/>
    <w:rsid w:val="00983335"/>
    <w:rsid w:val="00983388"/>
    <w:rsid w:val="009833A6"/>
    <w:rsid w:val="009836B2"/>
    <w:rsid w:val="009836E7"/>
    <w:rsid w:val="00983A82"/>
    <w:rsid w:val="00983B21"/>
    <w:rsid w:val="00983B94"/>
    <w:rsid w:val="00983D87"/>
    <w:rsid w:val="00983EEF"/>
    <w:rsid w:val="00984007"/>
    <w:rsid w:val="0098413A"/>
    <w:rsid w:val="009843D1"/>
    <w:rsid w:val="009845B5"/>
    <w:rsid w:val="0098463F"/>
    <w:rsid w:val="009846A3"/>
    <w:rsid w:val="009846C1"/>
    <w:rsid w:val="00984715"/>
    <w:rsid w:val="00984DCB"/>
    <w:rsid w:val="00984DF6"/>
    <w:rsid w:val="00984F09"/>
    <w:rsid w:val="00985038"/>
    <w:rsid w:val="00985470"/>
    <w:rsid w:val="00985485"/>
    <w:rsid w:val="0098579D"/>
    <w:rsid w:val="00985A07"/>
    <w:rsid w:val="00985BA3"/>
    <w:rsid w:val="00985BE6"/>
    <w:rsid w:val="00985DD6"/>
    <w:rsid w:val="00985E50"/>
    <w:rsid w:val="00985F27"/>
    <w:rsid w:val="00986003"/>
    <w:rsid w:val="00986096"/>
    <w:rsid w:val="009861E8"/>
    <w:rsid w:val="0098624E"/>
    <w:rsid w:val="009862FD"/>
    <w:rsid w:val="0098639C"/>
    <w:rsid w:val="00986434"/>
    <w:rsid w:val="00986648"/>
    <w:rsid w:val="0098677D"/>
    <w:rsid w:val="00986879"/>
    <w:rsid w:val="00986E01"/>
    <w:rsid w:val="009870B8"/>
    <w:rsid w:val="009871E2"/>
    <w:rsid w:val="00987293"/>
    <w:rsid w:val="009872D5"/>
    <w:rsid w:val="00987306"/>
    <w:rsid w:val="00987315"/>
    <w:rsid w:val="0098749C"/>
    <w:rsid w:val="00987811"/>
    <w:rsid w:val="0098793E"/>
    <w:rsid w:val="009879A0"/>
    <w:rsid w:val="00987DC6"/>
    <w:rsid w:val="00987E76"/>
    <w:rsid w:val="0099017C"/>
    <w:rsid w:val="009901DD"/>
    <w:rsid w:val="00990D15"/>
    <w:rsid w:val="00990D26"/>
    <w:rsid w:val="00990D5D"/>
    <w:rsid w:val="00990EDC"/>
    <w:rsid w:val="00990F51"/>
    <w:rsid w:val="00990FE5"/>
    <w:rsid w:val="009912EA"/>
    <w:rsid w:val="0099138E"/>
    <w:rsid w:val="00991A26"/>
    <w:rsid w:val="00991A39"/>
    <w:rsid w:val="00991B91"/>
    <w:rsid w:val="00991CB4"/>
    <w:rsid w:val="00991D7F"/>
    <w:rsid w:val="00991DDC"/>
    <w:rsid w:val="00991E08"/>
    <w:rsid w:val="00991FB8"/>
    <w:rsid w:val="0099208D"/>
    <w:rsid w:val="009921CF"/>
    <w:rsid w:val="009927CD"/>
    <w:rsid w:val="0099283B"/>
    <w:rsid w:val="00992855"/>
    <w:rsid w:val="0099294C"/>
    <w:rsid w:val="00992E4B"/>
    <w:rsid w:val="0099305E"/>
    <w:rsid w:val="009931FB"/>
    <w:rsid w:val="009932B8"/>
    <w:rsid w:val="009933AD"/>
    <w:rsid w:val="009935F8"/>
    <w:rsid w:val="009936CE"/>
    <w:rsid w:val="0099375C"/>
    <w:rsid w:val="00993914"/>
    <w:rsid w:val="00993AF2"/>
    <w:rsid w:val="00993B8B"/>
    <w:rsid w:val="00993C1B"/>
    <w:rsid w:val="00993CC9"/>
    <w:rsid w:val="00993FBC"/>
    <w:rsid w:val="00994172"/>
    <w:rsid w:val="0099454C"/>
    <w:rsid w:val="00994597"/>
    <w:rsid w:val="0099484A"/>
    <w:rsid w:val="00994907"/>
    <w:rsid w:val="00994B24"/>
    <w:rsid w:val="00994CB5"/>
    <w:rsid w:val="00994D4F"/>
    <w:rsid w:val="00994DB0"/>
    <w:rsid w:val="009951C5"/>
    <w:rsid w:val="0099532C"/>
    <w:rsid w:val="0099555F"/>
    <w:rsid w:val="009955E2"/>
    <w:rsid w:val="00995DA6"/>
    <w:rsid w:val="0099603E"/>
    <w:rsid w:val="0099612F"/>
    <w:rsid w:val="00996483"/>
    <w:rsid w:val="00996539"/>
    <w:rsid w:val="00996665"/>
    <w:rsid w:val="00996699"/>
    <w:rsid w:val="0099677D"/>
    <w:rsid w:val="0099680B"/>
    <w:rsid w:val="0099683C"/>
    <w:rsid w:val="009969AD"/>
    <w:rsid w:val="00996A4D"/>
    <w:rsid w:val="00996BDC"/>
    <w:rsid w:val="00996C11"/>
    <w:rsid w:val="00996C25"/>
    <w:rsid w:val="00997128"/>
    <w:rsid w:val="00997179"/>
    <w:rsid w:val="0099745E"/>
    <w:rsid w:val="009974E6"/>
    <w:rsid w:val="00997AF3"/>
    <w:rsid w:val="00997E76"/>
    <w:rsid w:val="00997ECE"/>
    <w:rsid w:val="009A00EB"/>
    <w:rsid w:val="009A0119"/>
    <w:rsid w:val="009A0227"/>
    <w:rsid w:val="009A02C6"/>
    <w:rsid w:val="009A030E"/>
    <w:rsid w:val="009A0310"/>
    <w:rsid w:val="009A0322"/>
    <w:rsid w:val="009A0484"/>
    <w:rsid w:val="009A066B"/>
    <w:rsid w:val="009A074C"/>
    <w:rsid w:val="009A090F"/>
    <w:rsid w:val="009A0A7A"/>
    <w:rsid w:val="009A0A93"/>
    <w:rsid w:val="009A0EE3"/>
    <w:rsid w:val="009A0FFE"/>
    <w:rsid w:val="009A1028"/>
    <w:rsid w:val="009A1042"/>
    <w:rsid w:val="009A11EF"/>
    <w:rsid w:val="009A1235"/>
    <w:rsid w:val="009A12E6"/>
    <w:rsid w:val="009A1691"/>
    <w:rsid w:val="009A17D0"/>
    <w:rsid w:val="009A1A0B"/>
    <w:rsid w:val="009A1C81"/>
    <w:rsid w:val="009A1CB0"/>
    <w:rsid w:val="009A1E79"/>
    <w:rsid w:val="009A2066"/>
    <w:rsid w:val="009A20BA"/>
    <w:rsid w:val="009A214A"/>
    <w:rsid w:val="009A2213"/>
    <w:rsid w:val="009A2316"/>
    <w:rsid w:val="009A23C3"/>
    <w:rsid w:val="009A242F"/>
    <w:rsid w:val="009A2470"/>
    <w:rsid w:val="009A267D"/>
    <w:rsid w:val="009A2808"/>
    <w:rsid w:val="009A2821"/>
    <w:rsid w:val="009A2A3A"/>
    <w:rsid w:val="009A2C32"/>
    <w:rsid w:val="009A2E1A"/>
    <w:rsid w:val="009A30C5"/>
    <w:rsid w:val="009A3549"/>
    <w:rsid w:val="009A3BCA"/>
    <w:rsid w:val="009A3C75"/>
    <w:rsid w:val="009A3C95"/>
    <w:rsid w:val="009A3D27"/>
    <w:rsid w:val="009A3E1E"/>
    <w:rsid w:val="009A3EA7"/>
    <w:rsid w:val="009A3F31"/>
    <w:rsid w:val="009A3F46"/>
    <w:rsid w:val="009A3FB6"/>
    <w:rsid w:val="009A426A"/>
    <w:rsid w:val="009A4564"/>
    <w:rsid w:val="009A4643"/>
    <w:rsid w:val="009A473E"/>
    <w:rsid w:val="009A48F4"/>
    <w:rsid w:val="009A4921"/>
    <w:rsid w:val="009A4CA1"/>
    <w:rsid w:val="009A4DE4"/>
    <w:rsid w:val="009A5091"/>
    <w:rsid w:val="009A509D"/>
    <w:rsid w:val="009A5284"/>
    <w:rsid w:val="009A55E8"/>
    <w:rsid w:val="009A57A3"/>
    <w:rsid w:val="009A595A"/>
    <w:rsid w:val="009A5AB1"/>
    <w:rsid w:val="009A5BDA"/>
    <w:rsid w:val="009A5C6D"/>
    <w:rsid w:val="009A5DE7"/>
    <w:rsid w:val="009A5E7A"/>
    <w:rsid w:val="009A5EC9"/>
    <w:rsid w:val="009A5FA3"/>
    <w:rsid w:val="009A61D1"/>
    <w:rsid w:val="009A62A4"/>
    <w:rsid w:val="009A6407"/>
    <w:rsid w:val="009A64D7"/>
    <w:rsid w:val="009A65E3"/>
    <w:rsid w:val="009A66C9"/>
    <w:rsid w:val="009A679A"/>
    <w:rsid w:val="009A6847"/>
    <w:rsid w:val="009A6916"/>
    <w:rsid w:val="009A69D8"/>
    <w:rsid w:val="009A6A3D"/>
    <w:rsid w:val="009A723E"/>
    <w:rsid w:val="009A72AA"/>
    <w:rsid w:val="009A730F"/>
    <w:rsid w:val="009A7577"/>
    <w:rsid w:val="009A7658"/>
    <w:rsid w:val="009A77CB"/>
    <w:rsid w:val="009A7938"/>
    <w:rsid w:val="009A7950"/>
    <w:rsid w:val="009B010F"/>
    <w:rsid w:val="009B0150"/>
    <w:rsid w:val="009B02E3"/>
    <w:rsid w:val="009B07BD"/>
    <w:rsid w:val="009B09A3"/>
    <w:rsid w:val="009B0B5A"/>
    <w:rsid w:val="009B0CAF"/>
    <w:rsid w:val="009B0CB7"/>
    <w:rsid w:val="009B0E27"/>
    <w:rsid w:val="009B0E8B"/>
    <w:rsid w:val="009B14E4"/>
    <w:rsid w:val="009B163F"/>
    <w:rsid w:val="009B173F"/>
    <w:rsid w:val="009B17A3"/>
    <w:rsid w:val="009B186F"/>
    <w:rsid w:val="009B193F"/>
    <w:rsid w:val="009B1980"/>
    <w:rsid w:val="009B1C3C"/>
    <w:rsid w:val="009B1D07"/>
    <w:rsid w:val="009B1DFA"/>
    <w:rsid w:val="009B209E"/>
    <w:rsid w:val="009B244A"/>
    <w:rsid w:val="009B2458"/>
    <w:rsid w:val="009B2478"/>
    <w:rsid w:val="009B2567"/>
    <w:rsid w:val="009B25B8"/>
    <w:rsid w:val="009B2A8A"/>
    <w:rsid w:val="009B2CA9"/>
    <w:rsid w:val="009B2FC4"/>
    <w:rsid w:val="009B2FE7"/>
    <w:rsid w:val="009B307C"/>
    <w:rsid w:val="009B312A"/>
    <w:rsid w:val="009B322D"/>
    <w:rsid w:val="009B323F"/>
    <w:rsid w:val="009B34E0"/>
    <w:rsid w:val="009B35D7"/>
    <w:rsid w:val="009B37D7"/>
    <w:rsid w:val="009B3ABC"/>
    <w:rsid w:val="009B3EE1"/>
    <w:rsid w:val="009B3FCE"/>
    <w:rsid w:val="009B4288"/>
    <w:rsid w:val="009B43AE"/>
    <w:rsid w:val="009B468D"/>
    <w:rsid w:val="009B46F0"/>
    <w:rsid w:val="009B4978"/>
    <w:rsid w:val="009B4990"/>
    <w:rsid w:val="009B4A07"/>
    <w:rsid w:val="009B4AD6"/>
    <w:rsid w:val="009B4D56"/>
    <w:rsid w:val="009B4DEC"/>
    <w:rsid w:val="009B4F50"/>
    <w:rsid w:val="009B5310"/>
    <w:rsid w:val="009B5376"/>
    <w:rsid w:val="009B53AB"/>
    <w:rsid w:val="009B53D7"/>
    <w:rsid w:val="009B555A"/>
    <w:rsid w:val="009B57D9"/>
    <w:rsid w:val="009B58CC"/>
    <w:rsid w:val="009B5993"/>
    <w:rsid w:val="009B5BC8"/>
    <w:rsid w:val="009B647E"/>
    <w:rsid w:val="009B6818"/>
    <w:rsid w:val="009B694C"/>
    <w:rsid w:val="009B6A82"/>
    <w:rsid w:val="009B6A9D"/>
    <w:rsid w:val="009B6E58"/>
    <w:rsid w:val="009B6E6F"/>
    <w:rsid w:val="009B6ECC"/>
    <w:rsid w:val="009B6F2C"/>
    <w:rsid w:val="009B6F39"/>
    <w:rsid w:val="009B6FAF"/>
    <w:rsid w:val="009B6FB8"/>
    <w:rsid w:val="009B7161"/>
    <w:rsid w:val="009B71AD"/>
    <w:rsid w:val="009B73D5"/>
    <w:rsid w:val="009B7794"/>
    <w:rsid w:val="009B7B38"/>
    <w:rsid w:val="009B7C1F"/>
    <w:rsid w:val="009B7D9C"/>
    <w:rsid w:val="009B7F1A"/>
    <w:rsid w:val="009C02D4"/>
    <w:rsid w:val="009C04C7"/>
    <w:rsid w:val="009C082A"/>
    <w:rsid w:val="009C09E2"/>
    <w:rsid w:val="009C0F33"/>
    <w:rsid w:val="009C0F7F"/>
    <w:rsid w:val="009C113F"/>
    <w:rsid w:val="009C118E"/>
    <w:rsid w:val="009C1332"/>
    <w:rsid w:val="009C1348"/>
    <w:rsid w:val="009C1385"/>
    <w:rsid w:val="009C1444"/>
    <w:rsid w:val="009C15D1"/>
    <w:rsid w:val="009C16BF"/>
    <w:rsid w:val="009C1778"/>
    <w:rsid w:val="009C1909"/>
    <w:rsid w:val="009C1B24"/>
    <w:rsid w:val="009C1F56"/>
    <w:rsid w:val="009C21D5"/>
    <w:rsid w:val="009C227B"/>
    <w:rsid w:val="009C25E2"/>
    <w:rsid w:val="009C2BDF"/>
    <w:rsid w:val="009C2C85"/>
    <w:rsid w:val="009C2DCF"/>
    <w:rsid w:val="009C3047"/>
    <w:rsid w:val="009C30DE"/>
    <w:rsid w:val="009C311E"/>
    <w:rsid w:val="009C33D6"/>
    <w:rsid w:val="009C3715"/>
    <w:rsid w:val="009C3790"/>
    <w:rsid w:val="009C3AE7"/>
    <w:rsid w:val="009C3BC0"/>
    <w:rsid w:val="009C3E69"/>
    <w:rsid w:val="009C3F76"/>
    <w:rsid w:val="009C4294"/>
    <w:rsid w:val="009C4339"/>
    <w:rsid w:val="009C45E4"/>
    <w:rsid w:val="009C46EC"/>
    <w:rsid w:val="009C4DEB"/>
    <w:rsid w:val="009C4F20"/>
    <w:rsid w:val="009C5145"/>
    <w:rsid w:val="009C5151"/>
    <w:rsid w:val="009C51D5"/>
    <w:rsid w:val="009C5256"/>
    <w:rsid w:val="009C5303"/>
    <w:rsid w:val="009C53F6"/>
    <w:rsid w:val="009C55A1"/>
    <w:rsid w:val="009C5617"/>
    <w:rsid w:val="009C5619"/>
    <w:rsid w:val="009C569C"/>
    <w:rsid w:val="009C570B"/>
    <w:rsid w:val="009C5BB3"/>
    <w:rsid w:val="009C5CD6"/>
    <w:rsid w:val="009C5ED4"/>
    <w:rsid w:val="009C6183"/>
    <w:rsid w:val="009C622B"/>
    <w:rsid w:val="009C6298"/>
    <w:rsid w:val="009C63CD"/>
    <w:rsid w:val="009C63DF"/>
    <w:rsid w:val="009C640E"/>
    <w:rsid w:val="009C65B6"/>
    <w:rsid w:val="009C66B2"/>
    <w:rsid w:val="009C674D"/>
    <w:rsid w:val="009C6861"/>
    <w:rsid w:val="009C69ED"/>
    <w:rsid w:val="009C6B46"/>
    <w:rsid w:val="009C6FA4"/>
    <w:rsid w:val="009C709F"/>
    <w:rsid w:val="009C71E1"/>
    <w:rsid w:val="009C7239"/>
    <w:rsid w:val="009C72E5"/>
    <w:rsid w:val="009C7626"/>
    <w:rsid w:val="009C7721"/>
    <w:rsid w:val="009C773D"/>
    <w:rsid w:val="009C7894"/>
    <w:rsid w:val="009C7A02"/>
    <w:rsid w:val="009C7A20"/>
    <w:rsid w:val="009C7A39"/>
    <w:rsid w:val="009C7B97"/>
    <w:rsid w:val="009C7BAE"/>
    <w:rsid w:val="009C7BED"/>
    <w:rsid w:val="009C7D87"/>
    <w:rsid w:val="009C7ED6"/>
    <w:rsid w:val="009D0085"/>
    <w:rsid w:val="009D012C"/>
    <w:rsid w:val="009D01FD"/>
    <w:rsid w:val="009D02EE"/>
    <w:rsid w:val="009D0693"/>
    <w:rsid w:val="009D07BE"/>
    <w:rsid w:val="009D0803"/>
    <w:rsid w:val="009D090D"/>
    <w:rsid w:val="009D0A80"/>
    <w:rsid w:val="009D0C98"/>
    <w:rsid w:val="009D0D51"/>
    <w:rsid w:val="009D1160"/>
    <w:rsid w:val="009D1630"/>
    <w:rsid w:val="009D16D1"/>
    <w:rsid w:val="009D1AAC"/>
    <w:rsid w:val="009D1D1B"/>
    <w:rsid w:val="009D2175"/>
    <w:rsid w:val="009D2190"/>
    <w:rsid w:val="009D219A"/>
    <w:rsid w:val="009D229F"/>
    <w:rsid w:val="009D24AA"/>
    <w:rsid w:val="009D2530"/>
    <w:rsid w:val="009D260D"/>
    <w:rsid w:val="009D264A"/>
    <w:rsid w:val="009D26AB"/>
    <w:rsid w:val="009D2866"/>
    <w:rsid w:val="009D2E0D"/>
    <w:rsid w:val="009D305E"/>
    <w:rsid w:val="009D311E"/>
    <w:rsid w:val="009D313C"/>
    <w:rsid w:val="009D3476"/>
    <w:rsid w:val="009D3BAA"/>
    <w:rsid w:val="009D3D61"/>
    <w:rsid w:val="009D3F79"/>
    <w:rsid w:val="009D4173"/>
    <w:rsid w:val="009D44EC"/>
    <w:rsid w:val="009D45C0"/>
    <w:rsid w:val="009D4C3D"/>
    <w:rsid w:val="009D4D4D"/>
    <w:rsid w:val="009D50D7"/>
    <w:rsid w:val="009D5BA4"/>
    <w:rsid w:val="009D5C45"/>
    <w:rsid w:val="009D5D51"/>
    <w:rsid w:val="009D5D9A"/>
    <w:rsid w:val="009D61DE"/>
    <w:rsid w:val="009D65E6"/>
    <w:rsid w:val="009D6653"/>
    <w:rsid w:val="009D6689"/>
    <w:rsid w:val="009D68B7"/>
    <w:rsid w:val="009D69C0"/>
    <w:rsid w:val="009D6CFE"/>
    <w:rsid w:val="009D727C"/>
    <w:rsid w:val="009D73DE"/>
    <w:rsid w:val="009D7457"/>
    <w:rsid w:val="009D76AF"/>
    <w:rsid w:val="009D7B1F"/>
    <w:rsid w:val="009D7B97"/>
    <w:rsid w:val="009D7CF2"/>
    <w:rsid w:val="009D7FAC"/>
    <w:rsid w:val="009E0352"/>
    <w:rsid w:val="009E0567"/>
    <w:rsid w:val="009E0582"/>
    <w:rsid w:val="009E05DE"/>
    <w:rsid w:val="009E088C"/>
    <w:rsid w:val="009E08EC"/>
    <w:rsid w:val="009E13B8"/>
    <w:rsid w:val="009E1486"/>
    <w:rsid w:val="009E148C"/>
    <w:rsid w:val="009E15E2"/>
    <w:rsid w:val="009E1664"/>
    <w:rsid w:val="009E1696"/>
    <w:rsid w:val="009E1AA3"/>
    <w:rsid w:val="009E1AE9"/>
    <w:rsid w:val="009E1B65"/>
    <w:rsid w:val="009E1DAD"/>
    <w:rsid w:val="009E1E8C"/>
    <w:rsid w:val="009E1EEB"/>
    <w:rsid w:val="009E1F73"/>
    <w:rsid w:val="009E2103"/>
    <w:rsid w:val="009E269C"/>
    <w:rsid w:val="009E275A"/>
    <w:rsid w:val="009E2799"/>
    <w:rsid w:val="009E29C8"/>
    <w:rsid w:val="009E2C24"/>
    <w:rsid w:val="009E2C93"/>
    <w:rsid w:val="009E2D09"/>
    <w:rsid w:val="009E2F47"/>
    <w:rsid w:val="009E31A6"/>
    <w:rsid w:val="009E31F7"/>
    <w:rsid w:val="009E338A"/>
    <w:rsid w:val="009E3416"/>
    <w:rsid w:val="009E34AD"/>
    <w:rsid w:val="009E37A1"/>
    <w:rsid w:val="009E37F9"/>
    <w:rsid w:val="009E396F"/>
    <w:rsid w:val="009E3C2A"/>
    <w:rsid w:val="009E3C2C"/>
    <w:rsid w:val="009E3CC3"/>
    <w:rsid w:val="009E41F4"/>
    <w:rsid w:val="009E4402"/>
    <w:rsid w:val="009E47B5"/>
    <w:rsid w:val="009E48C8"/>
    <w:rsid w:val="009E4CC6"/>
    <w:rsid w:val="009E4E33"/>
    <w:rsid w:val="009E50EA"/>
    <w:rsid w:val="009E51F7"/>
    <w:rsid w:val="009E547F"/>
    <w:rsid w:val="009E55B0"/>
    <w:rsid w:val="009E5696"/>
    <w:rsid w:val="009E57A1"/>
    <w:rsid w:val="009E583D"/>
    <w:rsid w:val="009E58FF"/>
    <w:rsid w:val="009E5C6F"/>
    <w:rsid w:val="009E5CB8"/>
    <w:rsid w:val="009E5CC1"/>
    <w:rsid w:val="009E5D7A"/>
    <w:rsid w:val="009E5DEE"/>
    <w:rsid w:val="009E5E07"/>
    <w:rsid w:val="009E62CB"/>
    <w:rsid w:val="009E643C"/>
    <w:rsid w:val="009E673D"/>
    <w:rsid w:val="009E676F"/>
    <w:rsid w:val="009E6903"/>
    <w:rsid w:val="009E69CF"/>
    <w:rsid w:val="009E6A3E"/>
    <w:rsid w:val="009E6D68"/>
    <w:rsid w:val="009E7372"/>
    <w:rsid w:val="009E7552"/>
    <w:rsid w:val="009E762C"/>
    <w:rsid w:val="009E7679"/>
    <w:rsid w:val="009E770C"/>
    <w:rsid w:val="009E77D2"/>
    <w:rsid w:val="009E77D7"/>
    <w:rsid w:val="009E7ABC"/>
    <w:rsid w:val="009E7C8A"/>
    <w:rsid w:val="009E7DE4"/>
    <w:rsid w:val="009F0002"/>
    <w:rsid w:val="009F0724"/>
    <w:rsid w:val="009F0842"/>
    <w:rsid w:val="009F0B98"/>
    <w:rsid w:val="009F0C9D"/>
    <w:rsid w:val="009F0D8E"/>
    <w:rsid w:val="009F1065"/>
    <w:rsid w:val="009F10F4"/>
    <w:rsid w:val="009F1279"/>
    <w:rsid w:val="009F1364"/>
    <w:rsid w:val="009F13C4"/>
    <w:rsid w:val="009F1428"/>
    <w:rsid w:val="009F14C4"/>
    <w:rsid w:val="009F1730"/>
    <w:rsid w:val="009F17F4"/>
    <w:rsid w:val="009F1805"/>
    <w:rsid w:val="009F18C7"/>
    <w:rsid w:val="009F18D5"/>
    <w:rsid w:val="009F1BB7"/>
    <w:rsid w:val="009F1DD6"/>
    <w:rsid w:val="009F1F25"/>
    <w:rsid w:val="009F202A"/>
    <w:rsid w:val="009F20E2"/>
    <w:rsid w:val="009F213C"/>
    <w:rsid w:val="009F21C1"/>
    <w:rsid w:val="009F2409"/>
    <w:rsid w:val="009F2537"/>
    <w:rsid w:val="009F2580"/>
    <w:rsid w:val="009F26A6"/>
    <w:rsid w:val="009F2928"/>
    <w:rsid w:val="009F2CEB"/>
    <w:rsid w:val="009F2E62"/>
    <w:rsid w:val="009F30C4"/>
    <w:rsid w:val="009F3203"/>
    <w:rsid w:val="009F3234"/>
    <w:rsid w:val="009F3296"/>
    <w:rsid w:val="009F3599"/>
    <w:rsid w:val="009F368A"/>
    <w:rsid w:val="009F3775"/>
    <w:rsid w:val="009F37EA"/>
    <w:rsid w:val="009F389C"/>
    <w:rsid w:val="009F38F2"/>
    <w:rsid w:val="009F3A6B"/>
    <w:rsid w:val="009F3B3E"/>
    <w:rsid w:val="009F3CFF"/>
    <w:rsid w:val="009F3E52"/>
    <w:rsid w:val="009F3E61"/>
    <w:rsid w:val="009F4050"/>
    <w:rsid w:val="009F4208"/>
    <w:rsid w:val="009F4261"/>
    <w:rsid w:val="009F4273"/>
    <w:rsid w:val="009F429C"/>
    <w:rsid w:val="009F450F"/>
    <w:rsid w:val="009F4526"/>
    <w:rsid w:val="009F45C9"/>
    <w:rsid w:val="009F4760"/>
    <w:rsid w:val="009F4C27"/>
    <w:rsid w:val="009F4EB0"/>
    <w:rsid w:val="009F5206"/>
    <w:rsid w:val="009F5493"/>
    <w:rsid w:val="009F5617"/>
    <w:rsid w:val="009F56A6"/>
    <w:rsid w:val="009F575D"/>
    <w:rsid w:val="009F5801"/>
    <w:rsid w:val="009F5B57"/>
    <w:rsid w:val="009F5B9D"/>
    <w:rsid w:val="009F5DD3"/>
    <w:rsid w:val="009F5F6C"/>
    <w:rsid w:val="009F5FA4"/>
    <w:rsid w:val="009F5FFE"/>
    <w:rsid w:val="009F606C"/>
    <w:rsid w:val="009F61A6"/>
    <w:rsid w:val="009F63BC"/>
    <w:rsid w:val="009F64DE"/>
    <w:rsid w:val="009F6719"/>
    <w:rsid w:val="009F6981"/>
    <w:rsid w:val="009F698C"/>
    <w:rsid w:val="009F6BF4"/>
    <w:rsid w:val="009F6D34"/>
    <w:rsid w:val="009F6D9F"/>
    <w:rsid w:val="009F6E13"/>
    <w:rsid w:val="009F7126"/>
    <w:rsid w:val="009F7157"/>
    <w:rsid w:val="009F71F3"/>
    <w:rsid w:val="009F726A"/>
    <w:rsid w:val="009F7667"/>
    <w:rsid w:val="009F7BDE"/>
    <w:rsid w:val="009F7BFB"/>
    <w:rsid w:val="009F7DE1"/>
    <w:rsid w:val="009F7E29"/>
    <w:rsid w:val="00A0008F"/>
    <w:rsid w:val="00A0009A"/>
    <w:rsid w:val="00A003C9"/>
    <w:rsid w:val="00A00622"/>
    <w:rsid w:val="00A006BC"/>
    <w:rsid w:val="00A009B2"/>
    <w:rsid w:val="00A00CB9"/>
    <w:rsid w:val="00A010D0"/>
    <w:rsid w:val="00A01141"/>
    <w:rsid w:val="00A01726"/>
    <w:rsid w:val="00A01733"/>
    <w:rsid w:val="00A0175B"/>
    <w:rsid w:val="00A01E90"/>
    <w:rsid w:val="00A01FE4"/>
    <w:rsid w:val="00A020A9"/>
    <w:rsid w:val="00A0265C"/>
    <w:rsid w:val="00A026D8"/>
    <w:rsid w:val="00A028AD"/>
    <w:rsid w:val="00A029FB"/>
    <w:rsid w:val="00A02A03"/>
    <w:rsid w:val="00A02A42"/>
    <w:rsid w:val="00A02A8E"/>
    <w:rsid w:val="00A02D11"/>
    <w:rsid w:val="00A02EA4"/>
    <w:rsid w:val="00A02FC8"/>
    <w:rsid w:val="00A02FDC"/>
    <w:rsid w:val="00A03328"/>
    <w:rsid w:val="00A03368"/>
    <w:rsid w:val="00A033A5"/>
    <w:rsid w:val="00A037BD"/>
    <w:rsid w:val="00A03BB1"/>
    <w:rsid w:val="00A04116"/>
    <w:rsid w:val="00A0415E"/>
    <w:rsid w:val="00A0423E"/>
    <w:rsid w:val="00A042C5"/>
    <w:rsid w:val="00A044C7"/>
    <w:rsid w:val="00A04636"/>
    <w:rsid w:val="00A047DC"/>
    <w:rsid w:val="00A04838"/>
    <w:rsid w:val="00A04B5E"/>
    <w:rsid w:val="00A04B5F"/>
    <w:rsid w:val="00A04B8E"/>
    <w:rsid w:val="00A04F59"/>
    <w:rsid w:val="00A05173"/>
    <w:rsid w:val="00A05227"/>
    <w:rsid w:val="00A0536D"/>
    <w:rsid w:val="00A05623"/>
    <w:rsid w:val="00A056EA"/>
    <w:rsid w:val="00A05812"/>
    <w:rsid w:val="00A05875"/>
    <w:rsid w:val="00A05D3B"/>
    <w:rsid w:val="00A05D58"/>
    <w:rsid w:val="00A06219"/>
    <w:rsid w:val="00A06B63"/>
    <w:rsid w:val="00A06B7F"/>
    <w:rsid w:val="00A06C7B"/>
    <w:rsid w:val="00A06E13"/>
    <w:rsid w:val="00A06EDA"/>
    <w:rsid w:val="00A06F5C"/>
    <w:rsid w:val="00A07055"/>
    <w:rsid w:val="00A071A6"/>
    <w:rsid w:val="00A07BAB"/>
    <w:rsid w:val="00A07E6D"/>
    <w:rsid w:val="00A07F7F"/>
    <w:rsid w:val="00A07FB5"/>
    <w:rsid w:val="00A1009C"/>
    <w:rsid w:val="00A101D0"/>
    <w:rsid w:val="00A103FF"/>
    <w:rsid w:val="00A105BD"/>
    <w:rsid w:val="00A10744"/>
    <w:rsid w:val="00A108A8"/>
    <w:rsid w:val="00A109EA"/>
    <w:rsid w:val="00A109F9"/>
    <w:rsid w:val="00A10BE0"/>
    <w:rsid w:val="00A1157C"/>
    <w:rsid w:val="00A1163C"/>
    <w:rsid w:val="00A1183C"/>
    <w:rsid w:val="00A11B6A"/>
    <w:rsid w:val="00A121D3"/>
    <w:rsid w:val="00A122B8"/>
    <w:rsid w:val="00A125D7"/>
    <w:rsid w:val="00A1275E"/>
    <w:rsid w:val="00A128F5"/>
    <w:rsid w:val="00A12B8F"/>
    <w:rsid w:val="00A12CD2"/>
    <w:rsid w:val="00A13049"/>
    <w:rsid w:val="00A13376"/>
    <w:rsid w:val="00A133A4"/>
    <w:rsid w:val="00A133F6"/>
    <w:rsid w:val="00A13546"/>
    <w:rsid w:val="00A135A4"/>
    <w:rsid w:val="00A1364C"/>
    <w:rsid w:val="00A13673"/>
    <w:rsid w:val="00A138FD"/>
    <w:rsid w:val="00A1397D"/>
    <w:rsid w:val="00A13E64"/>
    <w:rsid w:val="00A14001"/>
    <w:rsid w:val="00A14390"/>
    <w:rsid w:val="00A145B6"/>
    <w:rsid w:val="00A14722"/>
    <w:rsid w:val="00A147C9"/>
    <w:rsid w:val="00A1484D"/>
    <w:rsid w:val="00A1487E"/>
    <w:rsid w:val="00A14C06"/>
    <w:rsid w:val="00A14DB2"/>
    <w:rsid w:val="00A14E30"/>
    <w:rsid w:val="00A15025"/>
    <w:rsid w:val="00A15073"/>
    <w:rsid w:val="00A1511B"/>
    <w:rsid w:val="00A15431"/>
    <w:rsid w:val="00A1553A"/>
    <w:rsid w:val="00A156E3"/>
    <w:rsid w:val="00A156F7"/>
    <w:rsid w:val="00A158E2"/>
    <w:rsid w:val="00A1591F"/>
    <w:rsid w:val="00A159AF"/>
    <w:rsid w:val="00A15B81"/>
    <w:rsid w:val="00A15C3C"/>
    <w:rsid w:val="00A15DFF"/>
    <w:rsid w:val="00A15EE5"/>
    <w:rsid w:val="00A15F48"/>
    <w:rsid w:val="00A160E9"/>
    <w:rsid w:val="00A16304"/>
    <w:rsid w:val="00A16386"/>
    <w:rsid w:val="00A164D3"/>
    <w:rsid w:val="00A1658E"/>
    <w:rsid w:val="00A16736"/>
    <w:rsid w:val="00A1677F"/>
    <w:rsid w:val="00A169EF"/>
    <w:rsid w:val="00A16A61"/>
    <w:rsid w:val="00A16E86"/>
    <w:rsid w:val="00A16EC3"/>
    <w:rsid w:val="00A17169"/>
    <w:rsid w:val="00A177B2"/>
    <w:rsid w:val="00A178FD"/>
    <w:rsid w:val="00A17ACC"/>
    <w:rsid w:val="00A17AF7"/>
    <w:rsid w:val="00A17D12"/>
    <w:rsid w:val="00A20211"/>
    <w:rsid w:val="00A20298"/>
    <w:rsid w:val="00A20389"/>
    <w:rsid w:val="00A2044D"/>
    <w:rsid w:val="00A20500"/>
    <w:rsid w:val="00A208DD"/>
    <w:rsid w:val="00A20C36"/>
    <w:rsid w:val="00A20DAC"/>
    <w:rsid w:val="00A20DF7"/>
    <w:rsid w:val="00A20E1A"/>
    <w:rsid w:val="00A20FD2"/>
    <w:rsid w:val="00A21027"/>
    <w:rsid w:val="00A21044"/>
    <w:rsid w:val="00A2108C"/>
    <w:rsid w:val="00A210A7"/>
    <w:rsid w:val="00A21462"/>
    <w:rsid w:val="00A21573"/>
    <w:rsid w:val="00A215F0"/>
    <w:rsid w:val="00A21701"/>
    <w:rsid w:val="00A21A2F"/>
    <w:rsid w:val="00A21C76"/>
    <w:rsid w:val="00A220B4"/>
    <w:rsid w:val="00A22180"/>
    <w:rsid w:val="00A221AB"/>
    <w:rsid w:val="00A223AA"/>
    <w:rsid w:val="00A22585"/>
    <w:rsid w:val="00A22708"/>
    <w:rsid w:val="00A227C9"/>
    <w:rsid w:val="00A229B9"/>
    <w:rsid w:val="00A22AE4"/>
    <w:rsid w:val="00A22B21"/>
    <w:rsid w:val="00A22DAB"/>
    <w:rsid w:val="00A22F79"/>
    <w:rsid w:val="00A2313B"/>
    <w:rsid w:val="00A23391"/>
    <w:rsid w:val="00A233D7"/>
    <w:rsid w:val="00A2344C"/>
    <w:rsid w:val="00A2357B"/>
    <w:rsid w:val="00A23657"/>
    <w:rsid w:val="00A23716"/>
    <w:rsid w:val="00A237BD"/>
    <w:rsid w:val="00A23847"/>
    <w:rsid w:val="00A23E07"/>
    <w:rsid w:val="00A23E5D"/>
    <w:rsid w:val="00A240D3"/>
    <w:rsid w:val="00A24161"/>
    <w:rsid w:val="00A2434A"/>
    <w:rsid w:val="00A243BB"/>
    <w:rsid w:val="00A243FB"/>
    <w:rsid w:val="00A24438"/>
    <w:rsid w:val="00A2461A"/>
    <w:rsid w:val="00A24705"/>
    <w:rsid w:val="00A24CE8"/>
    <w:rsid w:val="00A24DB3"/>
    <w:rsid w:val="00A24E5C"/>
    <w:rsid w:val="00A24FB0"/>
    <w:rsid w:val="00A24FB5"/>
    <w:rsid w:val="00A251D1"/>
    <w:rsid w:val="00A25384"/>
    <w:rsid w:val="00A25502"/>
    <w:rsid w:val="00A257E3"/>
    <w:rsid w:val="00A25801"/>
    <w:rsid w:val="00A25818"/>
    <w:rsid w:val="00A2589E"/>
    <w:rsid w:val="00A25980"/>
    <w:rsid w:val="00A25B08"/>
    <w:rsid w:val="00A25C7C"/>
    <w:rsid w:val="00A25EAD"/>
    <w:rsid w:val="00A26080"/>
    <w:rsid w:val="00A26134"/>
    <w:rsid w:val="00A262B7"/>
    <w:rsid w:val="00A26374"/>
    <w:rsid w:val="00A264FA"/>
    <w:rsid w:val="00A2650B"/>
    <w:rsid w:val="00A2656A"/>
    <w:rsid w:val="00A26858"/>
    <w:rsid w:val="00A26AD1"/>
    <w:rsid w:val="00A26B2F"/>
    <w:rsid w:val="00A26DFC"/>
    <w:rsid w:val="00A27067"/>
    <w:rsid w:val="00A273D3"/>
    <w:rsid w:val="00A27529"/>
    <w:rsid w:val="00A275E4"/>
    <w:rsid w:val="00A2765B"/>
    <w:rsid w:val="00A2765F"/>
    <w:rsid w:val="00A277C7"/>
    <w:rsid w:val="00A2782E"/>
    <w:rsid w:val="00A27842"/>
    <w:rsid w:val="00A27A23"/>
    <w:rsid w:val="00A27A4E"/>
    <w:rsid w:val="00A27C71"/>
    <w:rsid w:val="00A27CAF"/>
    <w:rsid w:val="00A27E4A"/>
    <w:rsid w:val="00A27FEA"/>
    <w:rsid w:val="00A300A2"/>
    <w:rsid w:val="00A3028B"/>
    <w:rsid w:val="00A302B5"/>
    <w:rsid w:val="00A3046E"/>
    <w:rsid w:val="00A305A0"/>
    <w:rsid w:val="00A30757"/>
    <w:rsid w:val="00A307FF"/>
    <w:rsid w:val="00A30828"/>
    <w:rsid w:val="00A308E1"/>
    <w:rsid w:val="00A30AFC"/>
    <w:rsid w:val="00A30D03"/>
    <w:rsid w:val="00A31349"/>
    <w:rsid w:val="00A314D9"/>
    <w:rsid w:val="00A3151B"/>
    <w:rsid w:val="00A3175B"/>
    <w:rsid w:val="00A31768"/>
    <w:rsid w:val="00A318A9"/>
    <w:rsid w:val="00A31DE3"/>
    <w:rsid w:val="00A3221A"/>
    <w:rsid w:val="00A32257"/>
    <w:rsid w:val="00A322A2"/>
    <w:rsid w:val="00A322D3"/>
    <w:rsid w:val="00A32342"/>
    <w:rsid w:val="00A323CD"/>
    <w:rsid w:val="00A324BD"/>
    <w:rsid w:val="00A327EF"/>
    <w:rsid w:val="00A32A92"/>
    <w:rsid w:val="00A32AAD"/>
    <w:rsid w:val="00A32C40"/>
    <w:rsid w:val="00A32EBE"/>
    <w:rsid w:val="00A3324A"/>
    <w:rsid w:val="00A3324F"/>
    <w:rsid w:val="00A333F4"/>
    <w:rsid w:val="00A33438"/>
    <w:rsid w:val="00A3370D"/>
    <w:rsid w:val="00A33734"/>
    <w:rsid w:val="00A33BF2"/>
    <w:rsid w:val="00A340C4"/>
    <w:rsid w:val="00A342AB"/>
    <w:rsid w:val="00A343D7"/>
    <w:rsid w:val="00A3459C"/>
    <w:rsid w:val="00A345B7"/>
    <w:rsid w:val="00A347B6"/>
    <w:rsid w:val="00A347C1"/>
    <w:rsid w:val="00A3480A"/>
    <w:rsid w:val="00A3494D"/>
    <w:rsid w:val="00A34A83"/>
    <w:rsid w:val="00A34CFD"/>
    <w:rsid w:val="00A35081"/>
    <w:rsid w:val="00A35085"/>
    <w:rsid w:val="00A3522E"/>
    <w:rsid w:val="00A353B3"/>
    <w:rsid w:val="00A35560"/>
    <w:rsid w:val="00A35593"/>
    <w:rsid w:val="00A3573E"/>
    <w:rsid w:val="00A3597B"/>
    <w:rsid w:val="00A359ED"/>
    <w:rsid w:val="00A36236"/>
    <w:rsid w:val="00A36252"/>
    <w:rsid w:val="00A36264"/>
    <w:rsid w:val="00A36362"/>
    <w:rsid w:val="00A363C7"/>
    <w:rsid w:val="00A363D5"/>
    <w:rsid w:val="00A364F0"/>
    <w:rsid w:val="00A36606"/>
    <w:rsid w:val="00A3667B"/>
    <w:rsid w:val="00A366D6"/>
    <w:rsid w:val="00A36817"/>
    <w:rsid w:val="00A3693B"/>
    <w:rsid w:val="00A36BAE"/>
    <w:rsid w:val="00A37508"/>
    <w:rsid w:val="00A37528"/>
    <w:rsid w:val="00A37558"/>
    <w:rsid w:val="00A378A6"/>
    <w:rsid w:val="00A37B54"/>
    <w:rsid w:val="00A37DC2"/>
    <w:rsid w:val="00A4009B"/>
    <w:rsid w:val="00A401E9"/>
    <w:rsid w:val="00A40405"/>
    <w:rsid w:val="00A407A7"/>
    <w:rsid w:val="00A40927"/>
    <w:rsid w:val="00A409E6"/>
    <w:rsid w:val="00A40B34"/>
    <w:rsid w:val="00A4102D"/>
    <w:rsid w:val="00A410B8"/>
    <w:rsid w:val="00A41101"/>
    <w:rsid w:val="00A41142"/>
    <w:rsid w:val="00A41226"/>
    <w:rsid w:val="00A412BB"/>
    <w:rsid w:val="00A41495"/>
    <w:rsid w:val="00A415BF"/>
    <w:rsid w:val="00A416DD"/>
    <w:rsid w:val="00A41B1C"/>
    <w:rsid w:val="00A41C2E"/>
    <w:rsid w:val="00A41F5B"/>
    <w:rsid w:val="00A42127"/>
    <w:rsid w:val="00A42467"/>
    <w:rsid w:val="00A4246D"/>
    <w:rsid w:val="00A428D8"/>
    <w:rsid w:val="00A42B21"/>
    <w:rsid w:val="00A42E2C"/>
    <w:rsid w:val="00A43107"/>
    <w:rsid w:val="00A432C5"/>
    <w:rsid w:val="00A4342E"/>
    <w:rsid w:val="00A4353A"/>
    <w:rsid w:val="00A43A7C"/>
    <w:rsid w:val="00A43D6C"/>
    <w:rsid w:val="00A44142"/>
    <w:rsid w:val="00A4422A"/>
    <w:rsid w:val="00A44326"/>
    <w:rsid w:val="00A44438"/>
    <w:rsid w:val="00A444F1"/>
    <w:rsid w:val="00A4450B"/>
    <w:rsid w:val="00A44530"/>
    <w:rsid w:val="00A445BB"/>
    <w:rsid w:val="00A44690"/>
    <w:rsid w:val="00A447AE"/>
    <w:rsid w:val="00A44964"/>
    <w:rsid w:val="00A44A8D"/>
    <w:rsid w:val="00A44D9E"/>
    <w:rsid w:val="00A44DAA"/>
    <w:rsid w:val="00A44DD3"/>
    <w:rsid w:val="00A4516F"/>
    <w:rsid w:val="00A45248"/>
    <w:rsid w:val="00A45434"/>
    <w:rsid w:val="00A45485"/>
    <w:rsid w:val="00A454C7"/>
    <w:rsid w:val="00A45882"/>
    <w:rsid w:val="00A45DD7"/>
    <w:rsid w:val="00A45EA5"/>
    <w:rsid w:val="00A45EA9"/>
    <w:rsid w:val="00A46262"/>
    <w:rsid w:val="00A46531"/>
    <w:rsid w:val="00A46584"/>
    <w:rsid w:val="00A465A9"/>
    <w:rsid w:val="00A465EF"/>
    <w:rsid w:val="00A46836"/>
    <w:rsid w:val="00A46D65"/>
    <w:rsid w:val="00A46DE6"/>
    <w:rsid w:val="00A46E82"/>
    <w:rsid w:val="00A471D5"/>
    <w:rsid w:val="00A475B2"/>
    <w:rsid w:val="00A4760A"/>
    <w:rsid w:val="00A47662"/>
    <w:rsid w:val="00A47706"/>
    <w:rsid w:val="00A4772A"/>
    <w:rsid w:val="00A479B6"/>
    <w:rsid w:val="00A47B96"/>
    <w:rsid w:val="00A47E3A"/>
    <w:rsid w:val="00A47EE4"/>
    <w:rsid w:val="00A500B0"/>
    <w:rsid w:val="00A50474"/>
    <w:rsid w:val="00A5061B"/>
    <w:rsid w:val="00A508B9"/>
    <w:rsid w:val="00A50BE9"/>
    <w:rsid w:val="00A50E5D"/>
    <w:rsid w:val="00A50E63"/>
    <w:rsid w:val="00A50E72"/>
    <w:rsid w:val="00A51036"/>
    <w:rsid w:val="00A5105F"/>
    <w:rsid w:val="00A5117A"/>
    <w:rsid w:val="00A5119A"/>
    <w:rsid w:val="00A5166F"/>
    <w:rsid w:val="00A5174D"/>
    <w:rsid w:val="00A51F59"/>
    <w:rsid w:val="00A52055"/>
    <w:rsid w:val="00A522CC"/>
    <w:rsid w:val="00A52411"/>
    <w:rsid w:val="00A5243B"/>
    <w:rsid w:val="00A5267D"/>
    <w:rsid w:val="00A52738"/>
    <w:rsid w:val="00A5274B"/>
    <w:rsid w:val="00A52782"/>
    <w:rsid w:val="00A52AAB"/>
    <w:rsid w:val="00A52BC8"/>
    <w:rsid w:val="00A52DC9"/>
    <w:rsid w:val="00A53084"/>
    <w:rsid w:val="00A53446"/>
    <w:rsid w:val="00A53A81"/>
    <w:rsid w:val="00A53DFD"/>
    <w:rsid w:val="00A53FA2"/>
    <w:rsid w:val="00A540C8"/>
    <w:rsid w:val="00A54111"/>
    <w:rsid w:val="00A54760"/>
    <w:rsid w:val="00A54903"/>
    <w:rsid w:val="00A5495F"/>
    <w:rsid w:val="00A549FE"/>
    <w:rsid w:val="00A54CBE"/>
    <w:rsid w:val="00A54F63"/>
    <w:rsid w:val="00A54FE9"/>
    <w:rsid w:val="00A55172"/>
    <w:rsid w:val="00A552F3"/>
    <w:rsid w:val="00A55A58"/>
    <w:rsid w:val="00A55BA2"/>
    <w:rsid w:val="00A55C20"/>
    <w:rsid w:val="00A55C9D"/>
    <w:rsid w:val="00A55DDA"/>
    <w:rsid w:val="00A55F56"/>
    <w:rsid w:val="00A56258"/>
    <w:rsid w:val="00A56457"/>
    <w:rsid w:val="00A56490"/>
    <w:rsid w:val="00A565EE"/>
    <w:rsid w:val="00A56608"/>
    <w:rsid w:val="00A569F3"/>
    <w:rsid w:val="00A56B7E"/>
    <w:rsid w:val="00A56C03"/>
    <w:rsid w:val="00A56D37"/>
    <w:rsid w:val="00A56D71"/>
    <w:rsid w:val="00A56E17"/>
    <w:rsid w:val="00A571E4"/>
    <w:rsid w:val="00A573A9"/>
    <w:rsid w:val="00A5766C"/>
    <w:rsid w:val="00A576DC"/>
    <w:rsid w:val="00A57B00"/>
    <w:rsid w:val="00A57B9A"/>
    <w:rsid w:val="00A57DA7"/>
    <w:rsid w:val="00A57DFA"/>
    <w:rsid w:val="00A57F83"/>
    <w:rsid w:val="00A6002D"/>
    <w:rsid w:val="00A6007B"/>
    <w:rsid w:val="00A600E3"/>
    <w:rsid w:val="00A60296"/>
    <w:rsid w:val="00A6034A"/>
    <w:rsid w:val="00A60498"/>
    <w:rsid w:val="00A6054A"/>
    <w:rsid w:val="00A607E0"/>
    <w:rsid w:val="00A60877"/>
    <w:rsid w:val="00A608D9"/>
    <w:rsid w:val="00A609EA"/>
    <w:rsid w:val="00A60C6B"/>
    <w:rsid w:val="00A60D2E"/>
    <w:rsid w:val="00A60DDE"/>
    <w:rsid w:val="00A60F43"/>
    <w:rsid w:val="00A61307"/>
    <w:rsid w:val="00A617C2"/>
    <w:rsid w:val="00A61888"/>
    <w:rsid w:val="00A61896"/>
    <w:rsid w:val="00A618E3"/>
    <w:rsid w:val="00A61C27"/>
    <w:rsid w:val="00A61E4A"/>
    <w:rsid w:val="00A6204E"/>
    <w:rsid w:val="00A62063"/>
    <w:rsid w:val="00A62134"/>
    <w:rsid w:val="00A623FF"/>
    <w:rsid w:val="00A62411"/>
    <w:rsid w:val="00A6261D"/>
    <w:rsid w:val="00A6270E"/>
    <w:rsid w:val="00A62804"/>
    <w:rsid w:val="00A62871"/>
    <w:rsid w:val="00A6290B"/>
    <w:rsid w:val="00A6291A"/>
    <w:rsid w:val="00A629C9"/>
    <w:rsid w:val="00A62BA9"/>
    <w:rsid w:val="00A62D2E"/>
    <w:rsid w:val="00A62E1D"/>
    <w:rsid w:val="00A62E59"/>
    <w:rsid w:val="00A630A7"/>
    <w:rsid w:val="00A630B0"/>
    <w:rsid w:val="00A63129"/>
    <w:rsid w:val="00A6316B"/>
    <w:rsid w:val="00A63183"/>
    <w:rsid w:val="00A631C4"/>
    <w:rsid w:val="00A63249"/>
    <w:rsid w:val="00A6324E"/>
    <w:rsid w:val="00A6351A"/>
    <w:rsid w:val="00A63A1F"/>
    <w:rsid w:val="00A63B0B"/>
    <w:rsid w:val="00A63B71"/>
    <w:rsid w:val="00A63DD1"/>
    <w:rsid w:val="00A63EEE"/>
    <w:rsid w:val="00A64416"/>
    <w:rsid w:val="00A644EC"/>
    <w:rsid w:val="00A6477B"/>
    <w:rsid w:val="00A648DE"/>
    <w:rsid w:val="00A650A4"/>
    <w:rsid w:val="00A6516C"/>
    <w:rsid w:val="00A65369"/>
    <w:rsid w:val="00A65470"/>
    <w:rsid w:val="00A658CB"/>
    <w:rsid w:val="00A65AE9"/>
    <w:rsid w:val="00A65AFC"/>
    <w:rsid w:val="00A65C79"/>
    <w:rsid w:val="00A65D93"/>
    <w:rsid w:val="00A65F56"/>
    <w:rsid w:val="00A663B3"/>
    <w:rsid w:val="00A66ED1"/>
    <w:rsid w:val="00A66F3F"/>
    <w:rsid w:val="00A66F6E"/>
    <w:rsid w:val="00A670D6"/>
    <w:rsid w:val="00A67238"/>
    <w:rsid w:val="00A67470"/>
    <w:rsid w:val="00A67508"/>
    <w:rsid w:val="00A67692"/>
    <w:rsid w:val="00A676DF"/>
    <w:rsid w:val="00A67917"/>
    <w:rsid w:val="00A67A32"/>
    <w:rsid w:val="00A67C71"/>
    <w:rsid w:val="00A67CDF"/>
    <w:rsid w:val="00A67DC3"/>
    <w:rsid w:val="00A67E61"/>
    <w:rsid w:val="00A67F9B"/>
    <w:rsid w:val="00A7012D"/>
    <w:rsid w:val="00A701FC"/>
    <w:rsid w:val="00A7020D"/>
    <w:rsid w:val="00A70674"/>
    <w:rsid w:val="00A70678"/>
    <w:rsid w:val="00A70768"/>
    <w:rsid w:val="00A70866"/>
    <w:rsid w:val="00A7091C"/>
    <w:rsid w:val="00A7094B"/>
    <w:rsid w:val="00A70AC4"/>
    <w:rsid w:val="00A70C0E"/>
    <w:rsid w:val="00A70D15"/>
    <w:rsid w:val="00A70ECA"/>
    <w:rsid w:val="00A70F47"/>
    <w:rsid w:val="00A7109D"/>
    <w:rsid w:val="00A7118E"/>
    <w:rsid w:val="00A71280"/>
    <w:rsid w:val="00A71306"/>
    <w:rsid w:val="00A71489"/>
    <w:rsid w:val="00A7150D"/>
    <w:rsid w:val="00A715FC"/>
    <w:rsid w:val="00A71772"/>
    <w:rsid w:val="00A7195E"/>
    <w:rsid w:val="00A71A0E"/>
    <w:rsid w:val="00A71B09"/>
    <w:rsid w:val="00A71D7F"/>
    <w:rsid w:val="00A71E93"/>
    <w:rsid w:val="00A71F27"/>
    <w:rsid w:val="00A7204A"/>
    <w:rsid w:val="00A72159"/>
    <w:rsid w:val="00A722D9"/>
    <w:rsid w:val="00A722EE"/>
    <w:rsid w:val="00A722F2"/>
    <w:rsid w:val="00A7256E"/>
    <w:rsid w:val="00A7262C"/>
    <w:rsid w:val="00A72646"/>
    <w:rsid w:val="00A72732"/>
    <w:rsid w:val="00A72989"/>
    <w:rsid w:val="00A72B46"/>
    <w:rsid w:val="00A72BB1"/>
    <w:rsid w:val="00A72E0A"/>
    <w:rsid w:val="00A73019"/>
    <w:rsid w:val="00A730FE"/>
    <w:rsid w:val="00A7313E"/>
    <w:rsid w:val="00A73201"/>
    <w:rsid w:val="00A732A3"/>
    <w:rsid w:val="00A7337E"/>
    <w:rsid w:val="00A73627"/>
    <w:rsid w:val="00A73AB7"/>
    <w:rsid w:val="00A73ABF"/>
    <w:rsid w:val="00A73C95"/>
    <w:rsid w:val="00A73D7D"/>
    <w:rsid w:val="00A73EB0"/>
    <w:rsid w:val="00A73F12"/>
    <w:rsid w:val="00A73F24"/>
    <w:rsid w:val="00A73FA3"/>
    <w:rsid w:val="00A73FAD"/>
    <w:rsid w:val="00A7404A"/>
    <w:rsid w:val="00A740DF"/>
    <w:rsid w:val="00A740F6"/>
    <w:rsid w:val="00A741D4"/>
    <w:rsid w:val="00A7465B"/>
    <w:rsid w:val="00A74851"/>
    <w:rsid w:val="00A74875"/>
    <w:rsid w:val="00A748BD"/>
    <w:rsid w:val="00A74967"/>
    <w:rsid w:val="00A7496B"/>
    <w:rsid w:val="00A74A11"/>
    <w:rsid w:val="00A74C25"/>
    <w:rsid w:val="00A74D4A"/>
    <w:rsid w:val="00A74F35"/>
    <w:rsid w:val="00A74F4C"/>
    <w:rsid w:val="00A751DB"/>
    <w:rsid w:val="00A753FA"/>
    <w:rsid w:val="00A75452"/>
    <w:rsid w:val="00A75AC3"/>
    <w:rsid w:val="00A75DA8"/>
    <w:rsid w:val="00A75DFA"/>
    <w:rsid w:val="00A75FF9"/>
    <w:rsid w:val="00A7606F"/>
    <w:rsid w:val="00A760E8"/>
    <w:rsid w:val="00A7626C"/>
    <w:rsid w:val="00A762E2"/>
    <w:rsid w:val="00A764E7"/>
    <w:rsid w:val="00A76529"/>
    <w:rsid w:val="00A76AB0"/>
    <w:rsid w:val="00A76D63"/>
    <w:rsid w:val="00A76E36"/>
    <w:rsid w:val="00A76F04"/>
    <w:rsid w:val="00A77055"/>
    <w:rsid w:val="00A77112"/>
    <w:rsid w:val="00A77203"/>
    <w:rsid w:val="00A77427"/>
    <w:rsid w:val="00A77765"/>
    <w:rsid w:val="00A7783D"/>
    <w:rsid w:val="00A7791F"/>
    <w:rsid w:val="00A77B2A"/>
    <w:rsid w:val="00A77B93"/>
    <w:rsid w:val="00A77DE9"/>
    <w:rsid w:val="00A77EB2"/>
    <w:rsid w:val="00A77FB5"/>
    <w:rsid w:val="00A80159"/>
    <w:rsid w:val="00A803D6"/>
    <w:rsid w:val="00A80401"/>
    <w:rsid w:val="00A80438"/>
    <w:rsid w:val="00A805BD"/>
    <w:rsid w:val="00A806E8"/>
    <w:rsid w:val="00A80797"/>
    <w:rsid w:val="00A807D3"/>
    <w:rsid w:val="00A808AE"/>
    <w:rsid w:val="00A808C5"/>
    <w:rsid w:val="00A80A44"/>
    <w:rsid w:val="00A80B78"/>
    <w:rsid w:val="00A80B88"/>
    <w:rsid w:val="00A80CCE"/>
    <w:rsid w:val="00A80E39"/>
    <w:rsid w:val="00A81046"/>
    <w:rsid w:val="00A811AB"/>
    <w:rsid w:val="00A81234"/>
    <w:rsid w:val="00A812FE"/>
    <w:rsid w:val="00A8142D"/>
    <w:rsid w:val="00A81459"/>
    <w:rsid w:val="00A8159C"/>
    <w:rsid w:val="00A816D7"/>
    <w:rsid w:val="00A81BAE"/>
    <w:rsid w:val="00A81C83"/>
    <w:rsid w:val="00A81CB4"/>
    <w:rsid w:val="00A81CC6"/>
    <w:rsid w:val="00A81DEA"/>
    <w:rsid w:val="00A81EC4"/>
    <w:rsid w:val="00A81F4A"/>
    <w:rsid w:val="00A82053"/>
    <w:rsid w:val="00A820A3"/>
    <w:rsid w:val="00A8225B"/>
    <w:rsid w:val="00A82542"/>
    <w:rsid w:val="00A82694"/>
    <w:rsid w:val="00A82B4F"/>
    <w:rsid w:val="00A82C2D"/>
    <w:rsid w:val="00A82CFA"/>
    <w:rsid w:val="00A82F93"/>
    <w:rsid w:val="00A83002"/>
    <w:rsid w:val="00A83004"/>
    <w:rsid w:val="00A83055"/>
    <w:rsid w:val="00A83133"/>
    <w:rsid w:val="00A834F5"/>
    <w:rsid w:val="00A8367C"/>
    <w:rsid w:val="00A836FA"/>
    <w:rsid w:val="00A8378B"/>
    <w:rsid w:val="00A83D07"/>
    <w:rsid w:val="00A83D84"/>
    <w:rsid w:val="00A83EF6"/>
    <w:rsid w:val="00A8402E"/>
    <w:rsid w:val="00A840ED"/>
    <w:rsid w:val="00A8419D"/>
    <w:rsid w:val="00A84341"/>
    <w:rsid w:val="00A84411"/>
    <w:rsid w:val="00A844A6"/>
    <w:rsid w:val="00A84733"/>
    <w:rsid w:val="00A84905"/>
    <w:rsid w:val="00A84C8B"/>
    <w:rsid w:val="00A84DBA"/>
    <w:rsid w:val="00A84F52"/>
    <w:rsid w:val="00A85015"/>
    <w:rsid w:val="00A85105"/>
    <w:rsid w:val="00A85426"/>
    <w:rsid w:val="00A85474"/>
    <w:rsid w:val="00A85A37"/>
    <w:rsid w:val="00A85AFB"/>
    <w:rsid w:val="00A85B7A"/>
    <w:rsid w:val="00A85B9C"/>
    <w:rsid w:val="00A85BD1"/>
    <w:rsid w:val="00A85D41"/>
    <w:rsid w:val="00A85E9D"/>
    <w:rsid w:val="00A861DD"/>
    <w:rsid w:val="00A86374"/>
    <w:rsid w:val="00A86382"/>
    <w:rsid w:val="00A864EB"/>
    <w:rsid w:val="00A86B12"/>
    <w:rsid w:val="00A872C8"/>
    <w:rsid w:val="00A87486"/>
    <w:rsid w:val="00A875BE"/>
    <w:rsid w:val="00A8769D"/>
    <w:rsid w:val="00A876D2"/>
    <w:rsid w:val="00A877DA"/>
    <w:rsid w:val="00A8792E"/>
    <w:rsid w:val="00A87A49"/>
    <w:rsid w:val="00A9013E"/>
    <w:rsid w:val="00A90211"/>
    <w:rsid w:val="00A906B3"/>
    <w:rsid w:val="00A90A33"/>
    <w:rsid w:val="00A90A77"/>
    <w:rsid w:val="00A90A98"/>
    <w:rsid w:val="00A90C20"/>
    <w:rsid w:val="00A90C5B"/>
    <w:rsid w:val="00A90F6D"/>
    <w:rsid w:val="00A91153"/>
    <w:rsid w:val="00A912FF"/>
    <w:rsid w:val="00A913A4"/>
    <w:rsid w:val="00A914F6"/>
    <w:rsid w:val="00A91518"/>
    <w:rsid w:val="00A91768"/>
    <w:rsid w:val="00A9178E"/>
    <w:rsid w:val="00A91D82"/>
    <w:rsid w:val="00A91E8A"/>
    <w:rsid w:val="00A92104"/>
    <w:rsid w:val="00A9233F"/>
    <w:rsid w:val="00A92403"/>
    <w:rsid w:val="00A9244F"/>
    <w:rsid w:val="00A925B4"/>
    <w:rsid w:val="00A929AE"/>
    <w:rsid w:val="00A92CDB"/>
    <w:rsid w:val="00A92EE5"/>
    <w:rsid w:val="00A92F31"/>
    <w:rsid w:val="00A931FF"/>
    <w:rsid w:val="00A932A9"/>
    <w:rsid w:val="00A93604"/>
    <w:rsid w:val="00A9370E"/>
    <w:rsid w:val="00A93882"/>
    <w:rsid w:val="00A938BE"/>
    <w:rsid w:val="00A938D4"/>
    <w:rsid w:val="00A93EDB"/>
    <w:rsid w:val="00A93F97"/>
    <w:rsid w:val="00A946FD"/>
    <w:rsid w:val="00A9498D"/>
    <w:rsid w:val="00A94A65"/>
    <w:rsid w:val="00A94BCE"/>
    <w:rsid w:val="00A950A4"/>
    <w:rsid w:val="00A9528E"/>
    <w:rsid w:val="00A952A0"/>
    <w:rsid w:val="00A952C6"/>
    <w:rsid w:val="00A95524"/>
    <w:rsid w:val="00A955F8"/>
    <w:rsid w:val="00A95A66"/>
    <w:rsid w:val="00A95A68"/>
    <w:rsid w:val="00A95CCE"/>
    <w:rsid w:val="00A95D61"/>
    <w:rsid w:val="00A95D68"/>
    <w:rsid w:val="00A95EFC"/>
    <w:rsid w:val="00A9622C"/>
    <w:rsid w:val="00A9630E"/>
    <w:rsid w:val="00A96FDE"/>
    <w:rsid w:val="00A970C3"/>
    <w:rsid w:val="00A973F7"/>
    <w:rsid w:val="00A97498"/>
    <w:rsid w:val="00A974ED"/>
    <w:rsid w:val="00A9780D"/>
    <w:rsid w:val="00A97A26"/>
    <w:rsid w:val="00A97AE1"/>
    <w:rsid w:val="00A97BD1"/>
    <w:rsid w:val="00A97C9E"/>
    <w:rsid w:val="00AA00C9"/>
    <w:rsid w:val="00AA0167"/>
    <w:rsid w:val="00AA054D"/>
    <w:rsid w:val="00AA05C2"/>
    <w:rsid w:val="00AA09D1"/>
    <w:rsid w:val="00AA0BF7"/>
    <w:rsid w:val="00AA0E76"/>
    <w:rsid w:val="00AA0F39"/>
    <w:rsid w:val="00AA113D"/>
    <w:rsid w:val="00AA115A"/>
    <w:rsid w:val="00AA1A10"/>
    <w:rsid w:val="00AA1AC0"/>
    <w:rsid w:val="00AA1BD1"/>
    <w:rsid w:val="00AA1F93"/>
    <w:rsid w:val="00AA2105"/>
    <w:rsid w:val="00AA24DF"/>
    <w:rsid w:val="00AA2518"/>
    <w:rsid w:val="00AA2533"/>
    <w:rsid w:val="00AA2646"/>
    <w:rsid w:val="00AA279E"/>
    <w:rsid w:val="00AA2A3C"/>
    <w:rsid w:val="00AA2AEE"/>
    <w:rsid w:val="00AA2F33"/>
    <w:rsid w:val="00AA37B2"/>
    <w:rsid w:val="00AA388F"/>
    <w:rsid w:val="00AA3BD1"/>
    <w:rsid w:val="00AA3C2B"/>
    <w:rsid w:val="00AA3CB8"/>
    <w:rsid w:val="00AA3F7B"/>
    <w:rsid w:val="00AA409D"/>
    <w:rsid w:val="00AA4123"/>
    <w:rsid w:val="00AA427D"/>
    <w:rsid w:val="00AA4286"/>
    <w:rsid w:val="00AA44F7"/>
    <w:rsid w:val="00AA468A"/>
    <w:rsid w:val="00AA470D"/>
    <w:rsid w:val="00AA47D2"/>
    <w:rsid w:val="00AA486C"/>
    <w:rsid w:val="00AA48DD"/>
    <w:rsid w:val="00AA4B8F"/>
    <w:rsid w:val="00AA4DAD"/>
    <w:rsid w:val="00AA4E66"/>
    <w:rsid w:val="00AA5495"/>
    <w:rsid w:val="00AA55A0"/>
    <w:rsid w:val="00AA58D8"/>
    <w:rsid w:val="00AA5933"/>
    <w:rsid w:val="00AA5A5E"/>
    <w:rsid w:val="00AA5B1C"/>
    <w:rsid w:val="00AA5E2F"/>
    <w:rsid w:val="00AA5F7F"/>
    <w:rsid w:val="00AA640C"/>
    <w:rsid w:val="00AA6567"/>
    <w:rsid w:val="00AA65C6"/>
    <w:rsid w:val="00AA66BF"/>
    <w:rsid w:val="00AA6A4E"/>
    <w:rsid w:val="00AA6A6A"/>
    <w:rsid w:val="00AA6A78"/>
    <w:rsid w:val="00AA6B15"/>
    <w:rsid w:val="00AA6DFE"/>
    <w:rsid w:val="00AA6F7B"/>
    <w:rsid w:val="00AA710B"/>
    <w:rsid w:val="00AA725C"/>
    <w:rsid w:val="00AA72E6"/>
    <w:rsid w:val="00AA764B"/>
    <w:rsid w:val="00AA766A"/>
    <w:rsid w:val="00AA7687"/>
    <w:rsid w:val="00AA7839"/>
    <w:rsid w:val="00AA783A"/>
    <w:rsid w:val="00AA787F"/>
    <w:rsid w:val="00AA78BA"/>
    <w:rsid w:val="00AA78CD"/>
    <w:rsid w:val="00AA7A49"/>
    <w:rsid w:val="00AA7B41"/>
    <w:rsid w:val="00AA7B45"/>
    <w:rsid w:val="00AA7B8F"/>
    <w:rsid w:val="00AA7DD4"/>
    <w:rsid w:val="00AA7EA5"/>
    <w:rsid w:val="00AB00A0"/>
    <w:rsid w:val="00AB04D6"/>
    <w:rsid w:val="00AB055F"/>
    <w:rsid w:val="00AB0593"/>
    <w:rsid w:val="00AB0597"/>
    <w:rsid w:val="00AB05A5"/>
    <w:rsid w:val="00AB0690"/>
    <w:rsid w:val="00AB0751"/>
    <w:rsid w:val="00AB08EE"/>
    <w:rsid w:val="00AB0CE1"/>
    <w:rsid w:val="00AB0D31"/>
    <w:rsid w:val="00AB0DA4"/>
    <w:rsid w:val="00AB1043"/>
    <w:rsid w:val="00AB1075"/>
    <w:rsid w:val="00AB129D"/>
    <w:rsid w:val="00AB1376"/>
    <w:rsid w:val="00AB154D"/>
    <w:rsid w:val="00AB15FF"/>
    <w:rsid w:val="00AB173A"/>
    <w:rsid w:val="00AB1829"/>
    <w:rsid w:val="00AB188C"/>
    <w:rsid w:val="00AB193D"/>
    <w:rsid w:val="00AB20B5"/>
    <w:rsid w:val="00AB220D"/>
    <w:rsid w:val="00AB221D"/>
    <w:rsid w:val="00AB22E0"/>
    <w:rsid w:val="00AB2518"/>
    <w:rsid w:val="00AB26C5"/>
    <w:rsid w:val="00AB2721"/>
    <w:rsid w:val="00AB286E"/>
    <w:rsid w:val="00AB2AFB"/>
    <w:rsid w:val="00AB2B3F"/>
    <w:rsid w:val="00AB2D01"/>
    <w:rsid w:val="00AB2DD7"/>
    <w:rsid w:val="00AB3277"/>
    <w:rsid w:val="00AB3309"/>
    <w:rsid w:val="00AB347F"/>
    <w:rsid w:val="00AB3967"/>
    <w:rsid w:val="00AB3987"/>
    <w:rsid w:val="00AB3B10"/>
    <w:rsid w:val="00AB3CFA"/>
    <w:rsid w:val="00AB3D0E"/>
    <w:rsid w:val="00AB3D3A"/>
    <w:rsid w:val="00AB3DA8"/>
    <w:rsid w:val="00AB41CB"/>
    <w:rsid w:val="00AB433D"/>
    <w:rsid w:val="00AB4365"/>
    <w:rsid w:val="00AB44F2"/>
    <w:rsid w:val="00AB45AF"/>
    <w:rsid w:val="00AB493E"/>
    <w:rsid w:val="00AB4964"/>
    <w:rsid w:val="00AB4BC0"/>
    <w:rsid w:val="00AB4DAD"/>
    <w:rsid w:val="00AB522E"/>
    <w:rsid w:val="00AB533C"/>
    <w:rsid w:val="00AB5499"/>
    <w:rsid w:val="00AB55DE"/>
    <w:rsid w:val="00AB56CA"/>
    <w:rsid w:val="00AB5779"/>
    <w:rsid w:val="00AB580A"/>
    <w:rsid w:val="00AB588A"/>
    <w:rsid w:val="00AB58D4"/>
    <w:rsid w:val="00AB5C75"/>
    <w:rsid w:val="00AB65BF"/>
    <w:rsid w:val="00AB67FE"/>
    <w:rsid w:val="00AB69B2"/>
    <w:rsid w:val="00AB6A52"/>
    <w:rsid w:val="00AB6B85"/>
    <w:rsid w:val="00AB6FB9"/>
    <w:rsid w:val="00AB71B6"/>
    <w:rsid w:val="00AB731F"/>
    <w:rsid w:val="00AB7446"/>
    <w:rsid w:val="00AB7484"/>
    <w:rsid w:val="00AB750A"/>
    <w:rsid w:val="00AB76C5"/>
    <w:rsid w:val="00AB76DC"/>
    <w:rsid w:val="00AB79E9"/>
    <w:rsid w:val="00AB7C08"/>
    <w:rsid w:val="00AB7C46"/>
    <w:rsid w:val="00AB7EEE"/>
    <w:rsid w:val="00AC00E9"/>
    <w:rsid w:val="00AC00F1"/>
    <w:rsid w:val="00AC01EB"/>
    <w:rsid w:val="00AC025F"/>
    <w:rsid w:val="00AC0410"/>
    <w:rsid w:val="00AC04A4"/>
    <w:rsid w:val="00AC0AE7"/>
    <w:rsid w:val="00AC0E8B"/>
    <w:rsid w:val="00AC0FD5"/>
    <w:rsid w:val="00AC103A"/>
    <w:rsid w:val="00AC1098"/>
    <w:rsid w:val="00AC12A1"/>
    <w:rsid w:val="00AC163E"/>
    <w:rsid w:val="00AC1B57"/>
    <w:rsid w:val="00AC1BC8"/>
    <w:rsid w:val="00AC1CA8"/>
    <w:rsid w:val="00AC1CDA"/>
    <w:rsid w:val="00AC1D8F"/>
    <w:rsid w:val="00AC1E14"/>
    <w:rsid w:val="00AC256F"/>
    <w:rsid w:val="00AC2987"/>
    <w:rsid w:val="00AC2A1B"/>
    <w:rsid w:val="00AC2AF9"/>
    <w:rsid w:val="00AC2B46"/>
    <w:rsid w:val="00AC2B61"/>
    <w:rsid w:val="00AC2BE9"/>
    <w:rsid w:val="00AC33B0"/>
    <w:rsid w:val="00AC3524"/>
    <w:rsid w:val="00AC35D6"/>
    <w:rsid w:val="00AC37BC"/>
    <w:rsid w:val="00AC3950"/>
    <w:rsid w:val="00AC398A"/>
    <w:rsid w:val="00AC3C1F"/>
    <w:rsid w:val="00AC3CF6"/>
    <w:rsid w:val="00AC3EC2"/>
    <w:rsid w:val="00AC4154"/>
    <w:rsid w:val="00AC42C6"/>
    <w:rsid w:val="00AC42DF"/>
    <w:rsid w:val="00AC43FC"/>
    <w:rsid w:val="00AC4469"/>
    <w:rsid w:val="00AC49D6"/>
    <w:rsid w:val="00AC4B3B"/>
    <w:rsid w:val="00AC4B65"/>
    <w:rsid w:val="00AC4BC1"/>
    <w:rsid w:val="00AC4C90"/>
    <w:rsid w:val="00AC4CF0"/>
    <w:rsid w:val="00AC4FD2"/>
    <w:rsid w:val="00AC5047"/>
    <w:rsid w:val="00AC5521"/>
    <w:rsid w:val="00AC557A"/>
    <w:rsid w:val="00AC58C2"/>
    <w:rsid w:val="00AC5C0E"/>
    <w:rsid w:val="00AC5EBB"/>
    <w:rsid w:val="00AC5F95"/>
    <w:rsid w:val="00AC60C1"/>
    <w:rsid w:val="00AC61A5"/>
    <w:rsid w:val="00AC61D5"/>
    <w:rsid w:val="00AC620D"/>
    <w:rsid w:val="00AC62FF"/>
    <w:rsid w:val="00AC63DE"/>
    <w:rsid w:val="00AC64EC"/>
    <w:rsid w:val="00AC658A"/>
    <w:rsid w:val="00AC66EB"/>
    <w:rsid w:val="00AC677E"/>
    <w:rsid w:val="00AC6885"/>
    <w:rsid w:val="00AC6B9F"/>
    <w:rsid w:val="00AC6CEE"/>
    <w:rsid w:val="00AC6E34"/>
    <w:rsid w:val="00AC70F0"/>
    <w:rsid w:val="00AC7216"/>
    <w:rsid w:val="00AC72BD"/>
    <w:rsid w:val="00AC7601"/>
    <w:rsid w:val="00AC7683"/>
    <w:rsid w:val="00AC775B"/>
    <w:rsid w:val="00AC779E"/>
    <w:rsid w:val="00AC7D1D"/>
    <w:rsid w:val="00AC7D60"/>
    <w:rsid w:val="00AC7DFC"/>
    <w:rsid w:val="00AC7F60"/>
    <w:rsid w:val="00AC7FF2"/>
    <w:rsid w:val="00AD0087"/>
    <w:rsid w:val="00AD0140"/>
    <w:rsid w:val="00AD0240"/>
    <w:rsid w:val="00AD0593"/>
    <w:rsid w:val="00AD0671"/>
    <w:rsid w:val="00AD095D"/>
    <w:rsid w:val="00AD0B57"/>
    <w:rsid w:val="00AD0DEA"/>
    <w:rsid w:val="00AD0E71"/>
    <w:rsid w:val="00AD0F0A"/>
    <w:rsid w:val="00AD103F"/>
    <w:rsid w:val="00AD1074"/>
    <w:rsid w:val="00AD17D4"/>
    <w:rsid w:val="00AD19FD"/>
    <w:rsid w:val="00AD1AED"/>
    <w:rsid w:val="00AD1C7E"/>
    <w:rsid w:val="00AD1DA8"/>
    <w:rsid w:val="00AD20B1"/>
    <w:rsid w:val="00AD253B"/>
    <w:rsid w:val="00AD2719"/>
    <w:rsid w:val="00AD2808"/>
    <w:rsid w:val="00AD28C5"/>
    <w:rsid w:val="00AD290E"/>
    <w:rsid w:val="00AD2A45"/>
    <w:rsid w:val="00AD2B12"/>
    <w:rsid w:val="00AD2C98"/>
    <w:rsid w:val="00AD2D7C"/>
    <w:rsid w:val="00AD2DF6"/>
    <w:rsid w:val="00AD3432"/>
    <w:rsid w:val="00AD344D"/>
    <w:rsid w:val="00AD3764"/>
    <w:rsid w:val="00AD37AC"/>
    <w:rsid w:val="00AD37CA"/>
    <w:rsid w:val="00AD3D35"/>
    <w:rsid w:val="00AD3FB3"/>
    <w:rsid w:val="00AD40A5"/>
    <w:rsid w:val="00AD43C4"/>
    <w:rsid w:val="00AD46C0"/>
    <w:rsid w:val="00AD4821"/>
    <w:rsid w:val="00AD4B2A"/>
    <w:rsid w:val="00AD4B9A"/>
    <w:rsid w:val="00AD4BE8"/>
    <w:rsid w:val="00AD4DAB"/>
    <w:rsid w:val="00AD4DED"/>
    <w:rsid w:val="00AD4F8C"/>
    <w:rsid w:val="00AD5175"/>
    <w:rsid w:val="00AD5244"/>
    <w:rsid w:val="00AD56C3"/>
    <w:rsid w:val="00AD5819"/>
    <w:rsid w:val="00AD594D"/>
    <w:rsid w:val="00AD5C3C"/>
    <w:rsid w:val="00AD5C61"/>
    <w:rsid w:val="00AD6165"/>
    <w:rsid w:val="00AD61CF"/>
    <w:rsid w:val="00AD6385"/>
    <w:rsid w:val="00AD6F7D"/>
    <w:rsid w:val="00AD74D7"/>
    <w:rsid w:val="00AD75B9"/>
    <w:rsid w:val="00AD7603"/>
    <w:rsid w:val="00AD763A"/>
    <w:rsid w:val="00AD7681"/>
    <w:rsid w:val="00AD7C1F"/>
    <w:rsid w:val="00AD7CAE"/>
    <w:rsid w:val="00AD7E2D"/>
    <w:rsid w:val="00AD7E7F"/>
    <w:rsid w:val="00AD7FB8"/>
    <w:rsid w:val="00AE017E"/>
    <w:rsid w:val="00AE040A"/>
    <w:rsid w:val="00AE04B0"/>
    <w:rsid w:val="00AE0502"/>
    <w:rsid w:val="00AE0610"/>
    <w:rsid w:val="00AE0697"/>
    <w:rsid w:val="00AE0806"/>
    <w:rsid w:val="00AE099C"/>
    <w:rsid w:val="00AE09C7"/>
    <w:rsid w:val="00AE09E2"/>
    <w:rsid w:val="00AE0C52"/>
    <w:rsid w:val="00AE12E6"/>
    <w:rsid w:val="00AE14AB"/>
    <w:rsid w:val="00AE15C8"/>
    <w:rsid w:val="00AE1759"/>
    <w:rsid w:val="00AE1825"/>
    <w:rsid w:val="00AE18B6"/>
    <w:rsid w:val="00AE1965"/>
    <w:rsid w:val="00AE1B71"/>
    <w:rsid w:val="00AE2018"/>
    <w:rsid w:val="00AE20CD"/>
    <w:rsid w:val="00AE2369"/>
    <w:rsid w:val="00AE23AF"/>
    <w:rsid w:val="00AE2485"/>
    <w:rsid w:val="00AE263F"/>
    <w:rsid w:val="00AE2930"/>
    <w:rsid w:val="00AE2B0A"/>
    <w:rsid w:val="00AE2B6D"/>
    <w:rsid w:val="00AE2BFD"/>
    <w:rsid w:val="00AE2C0C"/>
    <w:rsid w:val="00AE2EA7"/>
    <w:rsid w:val="00AE3115"/>
    <w:rsid w:val="00AE3264"/>
    <w:rsid w:val="00AE33A9"/>
    <w:rsid w:val="00AE3567"/>
    <w:rsid w:val="00AE389F"/>
    <w:rsid w:val="00AE392F"/>
    <w:rsid w:val="00AE3A1F"/>
    <w:rsid w:val="00AE3B9D"/>
    <w:rsid w:val="00AE3BC6"/>
    <w:rsid w:val="00AE3F01"/>
    <w:rsid w:val="00AE4171"/>
    <w:rsid w:val="00AE418F"/>
    <w:rsid w:val="00AE4264"/>
    <w:rsid w:val="00AE4359"/>
    <w:rsid w:val="00AE4509"/>
    <w:rsid w:val="00AE45B4"/>
    <w:rsid w:val="00AE4A3C"/>
    <w:rsid w:val="00AE4C46"/>
    <w:rsid w:val="00AE51AC"/>
    <w:rsid w:val="00AE5223"/>
    <w:rsid w:val="00AE54C2"/>
    <w:rsid w:val="00AE5A2E"/>
    <w:rsid w:val="00AE5B14"/>
    <w:rsid w:val="00AE5CAE"/>
    <w:rsid w:val="00AE5F8A"/>
    <w:rsid w:val="00AE6003"/>
    <w:rsid w:val="00AE60CC"/>
    <w:rsid w:val="00AE60F3"/>
    <w:rsid w:val="00AE6125"/>
    <w:rsid w:val="00AE6345"/>
    <w:rsid w:val="00AE63AB"/>
    <w:rsid w:val="00AE6423"/>
    <w:rsid w:val="00AE645D"/>
    <w:rsid w:val="00AE6A5A"/>
    <w:rsid w:val="00AE6B1B"/>
    <w:rsid w:val="00AE6BD3"/>
    <w:rsid w:val="00AE6D00"/>
    <w:rsid w:val="00AE7226"/>
    <w:rsid w:val="00AE7256"/>
    <w:rsid w:val="00AE7318"/>
    <w:rsid w:val="00AE74C7"/>
    <w:rsid w:val="00AE7822"/>
    <w:rsid w:val="00AE7849"/>
    <w:rsid w:val="00AE7EF4"/>
    <w:rsid w:val="00AF0048"/>
    <w:rsid w:val="00AF022A"/>
    <w:rsid w:val="00AF0379"/>
    <w:rsid w:val="00AF0532"/>
    <w:rsid w:val="00AF05D9"/>
    <w:rsid w:val="00AF0650"/>
    <w:rsid w:val="00AF0862"/>
    <w:rsid w:val="00AF0C75"/>
    <w:rsid w:val="00AF0C97"/>
    <w:rsid w:val="00AF0D1E"/>
    <w:rsid w:val="00AF0DA5"/>
    <w:rsid w:val="00AF0EC7"/>
    <w:rsid w:val="00AF1380"/>
    <w:rsid w:val="00AF14F7"/>
    <w:rsid w:val="00AF19E4"/>
    <w:rsid w:val="00AF1D63"/>
    <w:rsid w:val="00AF1F71"/>
    <w:rsid w:val="00AF2001"/>
    <w:rsid w:val="00AF2005"/>
    <w:rsid w:val="00AF20DF"/>
    <w:rsid w:val="00AF23C1"/>
    <w:rsid w:val="00AF240B"/>
    <w:rsid w:val="00AF27AA"/>
    <w:rsid w:val="00AF27BF"/>
    <w:rsid w:val="00AF27EE"/>
    <w:rsid w:val="00AF287B"/>
    <w:rsid w:val="00AF2A0B"/>
    <w:rsid w:val="00AF2AD1"/>
    <w:rsid w:val="00AF2D82"/>
    <w:rsid w:val="00AF2FF4"/>
    <w:rsid w:val="00AF3026"/>
    <w:rsid w:val="00AF30A2"/>
    <w:rsid w:val="00AF35DB"/>
    <w:rsid w:val="00AF38C3"/>
    <w:rsid w:val="00AF392A"/>
    <w:rsid w:val="00AF3B6D"/>
    <w:rsid w:val="00AF3BD4"/>
    <w:rsid w:val="00AF3CF4"/>
    <w:rsid w:val="00AF3EC4"/>
    <w:rsid w:val="00AF3F84"/>
    <w:rsid w:val="00AF4031"/>
    <w:rsid w:val="00AF429A"/>
    <w:rsid w:val="00AF44E1"/>
    <w:rsid w:val="00AF45D9"/>
    <w:rsid w:val="00AF481F"/>
    <w:rsid w:val="00AF48E2"/>
    <w:rsid w:val="00AF4A1B"/>
    <w:rsid w:val="00AF4AB0"/>
    <w:rsid w:val="00AF4B72"/>
    <w:rsid w:val="00AF4C66"/>
    <w:rsid w:val="00AF4D36"/>
    <w:rsid w:val="00AF4E61"/>
    <w:rsid w:val="00AF51A2"/>
    <w:rsid w:val="00AF53DA"/>
    <w:rsid w:val="00AF5719"/>
    <w:rsid w:val="00AF5767"/>
    <w:rsid w:val="00AF576D"/>
    <w:rsid w:val="00AF5832"/>
    <w:rsid w:val="00AF585A"/>
    <w:rsid w:val="00AF5ABE"/>
    <w:rsid w:val="00AF5B88"/>
    <w:rsid w:val="00AF5C81"/>
    <w:rsid w:val="00AF5F7A"/>
    <w:rsid w:val="00AF63CA"/>
    <w:rsid w:val="00AF6420"/>
    <w:rsid w:val="00AF65D0"/>
    <w:rsid w:val="00AF672A"/>
    <w:rsid w:val="00AF677E"/>
    <w:rsid w:val="00AF68E6"/>
    <w:rsid w:val="00AF6A6A"/>
    <w:rsid w:val="00AF6E34"/>
    <w:rsid w:val="00AF6E5C"/>
    <w:rsid w:val="00AF6ED3"/>
    <w:rsid w:val="00AF6ED6"/>
    <w:rsid w:val="00AF70CB"/>
    <w:rsid w:val="00AF70DE"/>
    <w:rsid w:val="00AF7478"/>
    <w:rsid w:val="00AF7606"/>
    <w:rsid w:val="00AF7767"/>
    <w:rsid w:val="00AF7867"/>
    <w:rsid w:val="00AF78B9"/>
    <w:rsid w:val="00AF78CB"/>
    <w:rsid w:val="00AF7AAF"/>
    <w:rsid w:val="00AF7BFF"/>
    <w:rsid w:val="00AF7E29"/>
    <w:rsid w:val="00B003B8"/>
    <w:rsid w:val="00B004A7"/>
    <w:rsid w:val="00B0075E"/>
    <w:rsid w:val="00B008AF"/>
    <w:rsid w:val="00B00A68"/>
    <w:rsid w:val="00B00AF0"/>
    <w:rsid w:val="00B010DB"/>
    <w:rsid w:val="00B012DF"/>
    <w:rsid w:val="00B013AE"/>
    <w:rsid w:val="00B01408"/>
    <w:rsid w:val="00B0144A"/>
    <w:rsid w:val="00B01508"/>
    <w:rsid w:val="00B0162D"/>
    <w:rsid w:val="00B01659"/>
    <w:rsid w:val="00B016E1"/>
    <w:rsid w:val="00B0175A"/>
    <w:rsid w:val="00B01CB9"/>
    <w:rsid w:val="00B02177"/>
    <w:rsid w:val="00B021A3"/>
    <w:rsid w:val="00B021CD"/>
    <w:rsid w:val="00B02399"/>
    <w:rsid w:val="00B02582"/>
    <w:rsid w:val="00B027D7"/>
    <w:rsid w:val="00B028D8"/>
    <w:rsid w:val="00B028FB"/>
    <w:rsid w:val="00B029A1"/>
    <w:rsid w:val="00B02BA8"/>
    <w:rsid w:val="00B02CE1"/>
    <w:rsid w:val="00B02D19"/>
    <w:rsid w:val="00B02E12"/>
    <w:rsid w:val="00B032E5"/>
    <w:rsid w:val="00B03333"/>
    <w:rsid w:val="00B036AE"/>
    <w:rsid w:val="00B03748"/>
    <w:rsid w:val="00B038E5"/>
    <w:rsid w:val="00B03E89"/>
    <w:rsid w:val="00B03F1E"/>
    <w:rsid w:val="00B03FD8"/>
    <w:rsid w:val="00B04093"/>
    <w:rsid w:val="00B04278"/>
    <w:rsid w:val="00B04B5E"/>
    <w:rsid w:val="00B04BF2"/>
    <w:rsid w:val="00B0503D"/>
    <w:rsid w:val="00B05073"/>
    <w:rsid w:val="00B051B1"/>
    <w:rsid w:val="00B0526E"/>
    <w:rsid w:val="00B05377"/>
    <w:rsid w:val="00B05813"/>
    <w:rsid w:val="00B059AA"/>
    <w:rsid w:val="00B05C90"/>
    <w:rsid w:val="00B05E0A"/>
    <w:rsid w:val="00B05E75"/>
    <w:rsid w:val="00B05F24"/>
    <w:rsid w:val="00B05FC2"/>
    <w:rsid w:val="00B06072"/>
    <w:rsid w:val="00B060EA"/>
    <w:rsid w:val="00B0660A"/>
    <w:rsid w:val="00B066C7"/>
    <w:rsid w:val="00B069AA"/>
    <w:rsid w:val="00B06C1A"/>
    <w:rsid w:val="00B06C43"/>
    <w:rsid w:val="00B06E53"/>
    <w:rsid w:val="00B06F09"/>
    <w:rsid w:val="00B071AB"/>
    <w:rsid w:val="00B07327"/>
    <w:rsid w:val="00B07341"/>
    <w:rsid w:val="00B0775B"/>
    <w:rsid w:val="00B078D3"/>
    <w:rsid w:val="00B07A4A"/>
    <w:rsid w:val="00B07A9C"/>
    <w:rsid w:val="00B07B39"/>
    <w:rsid w:val="00B07D9B"/>
    <w:rsid w:val="00B07EAA"/>
    <w:rsid w:val="00B10031"/>
    <w:rsid w:val="00B100D8"/>
    <w:rsid w:val="00B1011A"/>
    <w:rsid w:val="00B105A6"/>
    <w:rsid w:val="00B10755"/>
    <w:rsid w:val="00B107DE"/>
    <w:rsid w:val="00B10A32"/>
    <w:rsid w:val="00B10C0F"/>
    <w:rsid w:val="00B10C87"/>
    <w:rsid w:val="00B10E43"/>
    <w:rsid w:val="00B111CF"/>
    <w:rsid w:val="00B11348"/>
    <w:rsid w:val="00B113BB"/>
    <w:rsid w:val="00B115D9"/>
    <w:rsid w:val="00B11617"/>
    <w:rsid w:val="00B11774"/>
    <w:rsid w:val="00B117E6"/>
    <w:rsid w:val="00B11B15"/>
    <w:rsid w:val="00B11C68"/>
    <w:rsid w:val="00B11FE9"/>
    <w:rsid w:val="00B12157"/>
    <w:rsid w:val="00B121A7"/>
    <w:rsid w:val="00B121B4"/>
    <w:rsid w:val="00B12288"/>
    <w:rsid w:val="00B122B6"/>
    <w:rsid w:val="00B12945"/>
    <w:rsid w:val="00B129B3"/>
    <w:rsid w:val="00B12A40"/>
    <w:rsid w:val="00B12BED"/>
    <w:rsid w:val="00B1345D"/>
    <w:rsid w:val="00B138E1"/>
    <w:rsid w:val="00B13A2D"/>
    <w:rsid w:val="00B13B2C"/>
    <w:rsid w:val="00B13B94"/>
    <w:rsid w:val="00B13BAA"/>
    <w:rsid w:val="00B13CC0"/>
    <w:rsid w:val="00B13D7B"/>
    <w:rsid w:val="00B13F36"/>
    <w:rsid w:val="00B13FFB"/>
    <w:rsid w:val="00B14391"/>
    <w:rsid w:val="00B143CA"/>
    <w:rsid w:val="00B14444"/>
    <w:rsid w:val="00B1451C"/>
    <w:rsid w:val="00B14526"/>
    <w:rsid w:val="00B145D0"/>
    <w:rsid w:val="00B14753"/>
    <w:rsid w:val="00B14845"/>
    <w:rsid w:val="00B14924"/>
    <w:rsid w:val="00B14AF8"/>
    <w:rsid w:val="00B14C74"/>
    <w:rsid w:val="00B14EB1"/>
    <w:rsid w:val="00B1540F"/>
    <w:rsid w:val="00B154DD"/>
    <w:rsid w:val="00B15757"/>
    <w:rsid w:val="00B1599B"/>
    <w:rsid w:val="00B15A85"/>
    <w:rsid w:val="00B15B13"/>
    <w:rsid w:val="00B15CAB"/>
    <w:rsid w:val="00B15F5C"/>
    <w:rsid w:val="00B15FA7"/>
    <w:rsid w:val="00B16057"/>
    <w:rsid w:val="00B1609B"/>
    <w:rsid w:val="00B1615B"/>
    <w:rsid w:val="00B1629D"/>
    <w:rsid w:val="00B1640B"/>
    <w:rsid w:val="00B16486"/>
    <w:rsid w:val="00B164A7"/>
    <w:rsid w:val="00B16808"/>
    <w:rsid w:val="00B1693E"/>
    <w:rsid w:val="00B16A74"/>
    <w:rsid w:val="00B16AF3"/>
    <w:rsid w:val="00B16B9B"/>
    <w:rsid w:val="00B16BE5"/>
    <w:rsid w:val="00B16D65"/>
    <w:rsid w:val="00B17404"/>
    <w:rsid w:val="00B178AC"/>
    <w:rsid w:val="00B178E2"/>
    <w:rsid w:val="00B17B24"/>
    <w:rsid w:val="00B17DB5"/>
    <w:rsid w:val="00B17E2E"/>
    <w:rsid w:val="00B17F2D"/>
    <w:rsid w:val="00B17F66"/>
    <w:rsid w:val="00B17FBF"/>
    <w:rsid w:val="00B201E0"/>
    <w:rsid w:val="00B202FC"/>
    <w:rsid w:val="00B206F4"/>
    <w:rsid w:val="00B20A99"/>
    <w:rsid w:val="00B20CFC"/>
    <w:rsid w:val="00B20DED"/>
    <w:rsid w:val="00B212E8"/>
    <w:rsid w:val="00B21335"/>
    <w:rsid w:val="00B21357"/>
    <w:rsid w:val="00B213A2"/>
    <w:rsid w:val="00B21431"/>
    <w:rsid w:val="00B21581"/>
    <w:rsid w:val="00B2176C"/>
    <w:rsid w:val="00B217D9"/>
    <w:rsid w:val="00B2185F"/>
    <w:rsid w:val="00B21EE6"/>
    <w:rsid w:val="00B2216D"/>
    <w:rsid w:val="00B22225"/>
    <w:rsid w:val="00B2234F"/>
    <w:rsid w:val="00B22416"/>
    <w:rsid w:val="00B224EB"/>
    <w:rsid w:val="00B2255E"/>
    <w:rsid w:val="00B22704"/>
    <w:rsid w:val="00B22839"/>
    <w:rsid w:val="00B22A4D"/>
    <w:rsid w:val="00B22B4C"/>
    <w:rsid w:val="00B22BC9"/>
    <w:rsid w:val="00B22D29"/>
    <w:rsid w:val="00B22D5F"/>
    <w:rsid w:val="00B22E98"/>
    <w:rsid w:val="00B23048"/>
    <w:rsid w:val="00B23100"/>
    <w:rsid w:val="00B23139"/>
    <w:rsid w:val="00B232B9"/>
    <w:rsid w:val="00B2340F"/>
    <w:rsid w:val="00B23592"/>
    <w:rsid w:val="00B2360F"/>
    <w:rsid w:val="00B236D5"/>
    <w:rsid w:val="00B23742"/>
    <w:rsid w:val="00B23982"/>
    <w:rsid w:val="00B2398C"/>
    <w:rsid w:val="00B239C3"/>
    <w:rsid w:val="00B23EBF"/>
    <w:rsid w:val="00B240E1"/>
    <w:rsid w:val="00B243CF"/>
    <w:rsid w:val="00B2468F"/>
    <w:rsid w:val="00B246B7"/>
    <w:rsid w:val="00B247DB"/>
    <w:rsid w:val="00B2483D"/>
    <w:rsid w:val="00B249B8"/>
    <w:rsid w:val="00B24AA3"/>
    <w:rsid w:val="00B24B72"/>
    <w:rsid w:val="00B24C92"/>
    <w:rsid w:val="00B24FC1"/>
    <w:rsid w:val="00B25106"/>
    <w:rsid w:val="00B25360"/>
    <w:rsid w:val="00B253FF"/>
    <w:rsid w:val="00B2546B"/>
    <w:rsid w:val="00B2558F"/>
    <w:rsid w:val="00B255BD"/>
    <w:rsid w:val="00B256D7"/>
    <w:rsid w:val="00B25A25"/>
    <w:rsid w:val="00B25AF8"/>
    <w:rsid w:val="00B25B0E"/>
    <w:rsid w:val="00B25C58"/>
    <w:rsid w:val="00B25F3E"/>
    <w:rsid w:val="00B2606F"/>
    <w:rsid w:val="00B261C1"/>
    <w:rsid w:val="00B262E1"/>
    <w:rsid w:val="00B26373"/>
    <w:rsid w:val="00B26410"/>
    <w:rsid w:val="00B267AC"/>
    <w:rsid w:val="00B2688D"/>
    <w:rsid w:val="00B26958"/>
    <w:rsid w:val="00B2697C"/>
    <w:rsid w:val="00B26AA1"/>
    <w:rsid w:val="00B26BD9"/>
    <w:rsid w:val="00B26C2E"/>
    <w:rsid w:val="00B26D06"/>
    <w:rsid w:val="00B26EC7"/>
    <w:rsid w:val="00B26F26"/>
    <w:rsid w:val="00B27C12"/>
    <w:rsid w:val="00B27CC5"/>
    <w:rsid w:val="00B27FC9"/>
    <w:rsid w:val="00B30002"/>
    <w:rsid w:val="00B30026"/>
    <w:rsid w:val="00B30239"/>
    <w:rsid w:val="00B303D2"/>
    <w:rsid w:val="00B30556"/>
    <w:rsid w:val="00B306CF"/>
    <w:rsid w:val="00B30802"/>
    <w:rsid w:val="00B3080D"/>
    <w:rsid w:val="00B30B36"/>
    <w:rsid w:val="00B30B3C"/>
    <w:rsid w:val="00B30C9E"/>
    <w:rsid w:val="00B30CD3"/>
    <w:rsid w:val="00B311C5"/>
    <w:rsid w:val="00B3135F"/>
    <w:rsid w:val="00B313B5"/>
    <w:rsid w:val="00B31444"/>
    <w:rsid w:val="00B31683"/>
    <w:rsid w:val="00B31AA3"/>
    <w:rsid w:val="00B31F24"/>
    <w:rsid w:val="00B322AF"/>
    <w:rsid w:val="00B32717"/>
    <w:rsid w:val="00B328F1"/>
    <w:rsid w:val="00B32C66"/>
    <w:rsid w:val="00B32CCC"/>
    <w:rsid w:val="00B32F77"/>
    <w:rsid w:val="00B32FB3"/>
    <w:rsid w:val="00B3300A"/>
    <w:rsid w:val="00B33023"/>
    <w:rsid w:val="00B3315A"/>
    <w:rsid w:val="00B332F9"/>
    <w:rsid w:val="00B335A0"/>
    <w:rsid w:val="00B337DB"/>
    <w:rsid w:val="00B338A4"/>
    <w:rsid w:val="00B338C2"/>
    <w:rsid w:val="00B33C71"/>
    <w:rsid w:val="00B34117"/>
    <w:rsid w:val="00B34193"/>
    <w:rsid w:val="00B341AE"/>
    <w:rsid w:val="00B343BD"/>
    <w:rsid w:val="00B34922"/>
    <w:rsid w:val="00B34A7C"/>
    <w:rsid w:val="00B34C98"/>
    <w:rsid w:val="00B34D82"/>
    <w:rsid w:val="00B34D89"/>
    <w:rsid w:val="00B34DE5"/>
    <w:rsid w:val="00B34DF9"/>
    <w:rsid w:val="00B34E2F"/>
    <w:rsid w:val="00B34E95"/>
    <w:rsid w:val="00B34EB5"/>
    <w:rsid w:val="00B34EC7"/>
    <w:rsid w:val="00B34F34"/>
    <w:rsid w:val="00B3522F"/>
    <w:rsid w:val="00B3537F"/>
    <w:rsid w:val="00B3538D"/>
    <w:rsid w:val="00B35570"/>
    <w:rsid w:val="00B355A0"/>
    <w:rsid w:val="00B35746"/>
    <w:rsid w:val="00B357DD"/>
    <w:rsid w:val="00B357EA"/>
    <w:rsid w:val="00B35A71"/>
    <w:rsid w:val="00B35D7A"/>
    <w:rsid w:val="00B35D95"/>
    <w:rsid w:val="00B35ED3"/>
    <w:rsid w:val="00B35FEA"/>
    <w:rsid w:val="00B360D1"/>
    <w:rsid w:val="00B361FA"/>
    <w:rsid w:val="00B3621D"/>
    <w:rsid w:val="00B36276"/>
    <w:rsid w:val="00B36408"/>
    <w:rsid w:val="00B3688A"/>
    <w:rsid w:val="00B369A6"/>
    <w:rsid w:val="00B36A49"/>
    <w:rsid w:val="00B36D24"/>
    <w:rsid w:val="00B36F33"/>
    <w:rsid w:val="00B3719C"/>
    <w:rsid w:val="00B371D2"/>
    <w:rsid w:val="00B377BC"/>
    <w:rsid w:val="00B377C7"/>
    <w:rsid w:val="00B378DF"/>
    <w:rsid w:val="00B37990"/>
    <w:rsid w:val="00B37A3F"/>
    <w:rsid w:val="00B37A64"/>
    <w:rsid w:val="00B37A8D"/>
    <w:rsid w:val="00B37ABB"/>
    <w:rsid w:val="00B37B13"/>
    <w:rsid w:val="00B37C31"/>
    <w:rsid w:val="00B37CA3"/>
    <w:rsid w:val="00B37CE8"/>
    <w:rsid w:val="00B37D5D"/>
    <w:rsid w:val="00B4005D"/>
    <w:rsid w:val="00B400ED"/>
    <w:rsid w:val="00B401E2"/>
    <w:rsid w:val="00B402BD"/>
    <w:rsid w:val="00B405C3"/>
    <w:rsid w:val="00B40B79"/>
    <w:rsid w:val="00B40E12"/>
    <w:rsid w:val="00B41064"/>
    <w:rsid w:val="00B41371"/>
    <w:rsid w:val="00B41436"/>
    <w:rsid w:val="00B41478"/>
    <w:rsid w:val="00B41588"/>
    <w:rsid w:val="00B41793"/>
    <w:rsid w:val="00B41A80"/>
    <w:rsid w:val="00B41CB1"/>
    <w:rsid w:val="00B41E0F"/>
    <w:rsid w:val="00B420B1"/>
    <w:rsid w:val="00B421AE"/>
    <w:rsid w:val="00B422F3"/>
    <w:rsid w:val="00B4235B"/>
    <w:rsid w:val="00B42594"/>
    <w:rsid w:val="00B4285F"/>
    <w:rsid w:val="00B42930"/>
    <w:rsid w:val="00B43184"/>
    <w:rsid w:val="00B432A2"/>
    <w:rsid w:val="00B43426"/>
    <w:rsid w:val="00B43627"/>
    <w:rsid w:val="00B436A9"/>
    <w:rsid w:val="00B436CB"/>
    <w:rsid w:val="00B43708"/>
    <w:rsid w:val="00B43AEC"/>
    <w:rsid w:val="00B43B6B"/>
    <w:rsid w:val="00B43BC1"/>
    <w:rsid w:val="00B43C82"/>
    <w:rsid w:val="00B43E46"/>
    <w:rsid w:val="00B43E60"/>
    <w:rsid w:val="00B4411D"/>
    <w:rsid w:val="00B4459E"/>
    <w:rsid w:val="00B4482A"/>
    <w:rsid w:val="00B448B5"/>
    <w:rsid w:val="00B44AF6"/>
    <w:rsid w:val="00B44C19"/>
    <w:rsid w:val="00B44D1C"/>
    <w:rsid w:val="00B4519A"/>
    <w:rsid w:val="00B45427"/>
    <w:rsid w:val="00B4543C"/>
    <w:rsid w:val="00B45B54"/>
    <w:rsid w:val="00B45B60"/>
    <w:rsid w:val="00B45C20"/>
    <w:rsid w:val="00B45CB8"/>
    <w:rsid w:val="00B45CCC"/>
    <w:rsid w:val="00B45DB5"/>
    <w:rsid w:val="00B45E2A"/>
    <w:rsid w:val="00B4617C"/>
    <w:rsid w:val="00B46195"/>
    <w:rsid w:val="00B465C2"/>
    <w:rsid w:val="00B46648"/>
    <w:rsid w:val="00B46733"/>
    <w:rsid w:val="00B4687F"/>
    <w:rsid w:val="00B46904"/>
    <w:rsid w:val="00B46CCC"/>
    <w:rsid w:val="00B47139"/>
    <w:rsid w:val="00B4721B"/>
    <w:rsid w:val="00B47B37"/>
    <w:rsid w:val="00B47D79"/>
    <w:rsid w:val="00B47EB0"/>
    <w:rsid w:val="00B50161"/>
    <w:rsid w:val="00B5017A"/>
    <w:rsid w:val="00B506DA"/>
    <w:rsid w:val="00B507D1"/>
    <w:rsid w:val="00B508A0"/>
    <w:rsid w:val="00B50DB5"/>
    <w:rsid w:val="00B50F2A"/>
    <w:rsid w:val="00B510BD"/>
    <w:rsid w:val="00B510EE"/>
    <w:rsid w:val="00B5130E"/>
    <w:rsid w:val="00B5142D"/>
    <w:rsid w:val="00B514CB"/>
    <w:rsid w:val="00B51610"/>
    <w:rsid w:val="00B51713"/>
    <w:rsid w:val="00B5171E"/>
    <w:rsid w:val="00B5188D"/>
    <w:rsid w:val="00B51990"/>
    <w:rsid w:val="00B51AC1"/>
    <w:rsid w:val="00B51C70"/>
    <w:rsid w:val="00B51CA8"/>
    <w:rsid w:val="00B51F8E"/>
    <w:rsid w:val="00B52448"/>
    <w:rsid w:val="00B52455"/>
    <w:rsid w:val="00B5284B"/>
    <w:rsid w:val="00B52A00"/>
    <w:rsid w:val="00B530B2"/>
    <w:rsid w:val="00B5314C"/>
    <w:rsid w:val="00B5326C"/>
    <w:rsid w:val="00B53414"/>
    <w:rsid w:val="00B53504"/>
    <w:rsid w:val="00B53605"/>
    <w:rsid w:val="00B538B2"/>
    <w:rsid w:val="00B53B1A"/>
    <w:rsid w:val="00B53BB1"/>
    <w:rsid w:val="00B53CCD"/>
    <w:rsid w:val="00B53D16"/>
    <w:rsid w:val="00B53D94"/>
    <w:rsid w:val="00B53E2D"/>
    <w:rsid w:val="00B5416C"/>
    <w:rsid w:val="00B544DE"/>
    <w:rsid w:val="00B547FD"/>
    <w:rsid w:val="00B5482F"/>
    <w:rsid w:val="00B54A50"/>
    <w:rsid w:val="00B55154"/>
    <w:rsid w:val="00B55171"/>
    <w:rsid w:val="00B55189"/>
    <w:rsid w:val="00B551C4"/>
    <w:rsid w:val="00B55358"/>
    <w:rsid w:val="00B55664"/>
    <w:rsid w:val="00B5598C"/>
    <w:rsid w:val="00B55A82"/>
    <w:rsid w:val="00B55B82"/>
    <w:rsid w:val="00B55DD0"/>
    <w:rsid w:val="00B55F1F"/>
    <w:rsid w:val="00B5600E"/>
    <w:rsid w:val="00B564C9"/>
    <w:rsid w:val="00B5653C"/>
    <w:rsid w:val="00B566A2"/>
    <w:rsid w:val="00B56769"/>
    <w:rsid w:val="00B567FE"/>
    <w:rsid w:val="00B56813"/>
    <w:rsid w:val="00B56962"/>
    <w:rsid w:val="00B56AEC"/>
    <w:rsid w:val="00B56CFC"/>
    <w:rsid w:val="00B56D9C"/>
    <w:rsid w:val="00B56DBA"/>
    <w:rsid w:val="00B56DEE"/>
    <w:rsid w:val="00B5713D"/>
    <w:rsid w:val="00B5745D"/>
    <w:rsid w:val="00B577FE"/>
    <w:rsid w:val="00B577FF"/>
    <w:rsid w:val="00B57A9D"/>
    <w:rsid w:val="00B57E31"/>
    <w:rsid w:val="00B57F86"/>
    <w:rsid w:val="00B57FBD"/>
    <w:rsid w:val="00B601DB"/>
    <w:rsid w:val="00B60610"/>
    <w:rsid w:val="00B607A7"/>
    <w:rsid w:val="00B60B01"/>
    <w:rsid w:val="00B60BD2"/>
    <w:rsid w:val="00B60C3F"/>
    <w:rsid w:val="00B60D04"/>
    <w:rsid w:val="00B60EE5"/>
    <w:rsid w:val="00B60F7D"/>
    <w:rsid w:val="00B6143F"/>
    <w:rsid w:val="00B6152F"/>
    <w:rsid w:val="00B61787"/>
    <w:rsid w:val="00B617AE"/>
    <w:rsid w:val="00B619E5"/>
    <w:rsid w:val="00B61C7F"/>
    <w:rsid w:val="00B61D48"/>
    <w:rsid w:val="00B61E13"/>
    <w:rsid w:val="00B61F85"/>
    <w:rsid w:val="00B6217C"/>
    <w:rsid w:val="00B6219D"/>
    <w:rsid w:val="00B622C2"/>
    <w:rsid w:val="00B622E5"/>
    <w:rsid w:val="00B6240E"/>
    <w:rsid w:val="00B62463"/>
    <w:rsid w:val="00B62824"/>
    <w:rsid w:val="00B6286F"/>
    <w:rsid w:val="00B628CB"/>
    <w:rsid w:val="00B62B6E"/>
    <w:rsid w:val="00B62DAF"/>
    <w:rsid w:val="00B62DC5"/>
    <w:rsid w:val="00B62EF6"/>
    <w:rsid w:val="00B63096"/>
    <w:rsid w:val="00B630BC"/>
    <w:rsid w:val="00B6327E"/>
    <w:rsid w:val="00B632A0"/>
    <w:rsid w:val="00B632EC"/>
    <w:rsid w:val="00B6338E"/>
    <w:rsid w:val="00B633BC"/>
    <w:rsid w:val="00B63526"/>
    <w:rsid w:val="00B635AB"/>
    <w:rsid w:val="00B635D1"/>
    <w:rsid w:val="00B6364B"/>
    <w:rsid w:val="00B63A1D"/>
    <w:rsid w:val="00B63B35"/>
    <w:rsid w:val="00B63BA2"/>
    <w:rsid w:val="00B63CBA"/>
    <w:rsid w:val="00B63DA9"/>
    <w:rsid w:val="00B63DF4"/>
    <w:rsid w:val="00B64036"/>
    <w:rsid w:val="00B64511"/>
    <w:rsid w:val="00B645E7"/>
    <w:rsid w:val="00B6496F"/>
    <w:rsid w:val="00B64AF2"/>
    <w:rsid w:val="00B64E2F"/>
    <w:rsid w:val="00B6503B"/>
    <w:rsid w:val="00B6530D"/>
    <w:rsid w:val="00B654ED"/>
    <w:rsid w:val="00B65573"/>
    <w:rsid w:val="00B6568E"/>
    <w:rsid w:val="00B6588D"/>
    <w:rsid w:val="00B658BE"/>
    <w:rsid w:val="00B6599E"/>
    <w:rsid w:val="00B65D14"/>
    <w:rsid w:val="00B65E1E"/>
    <w:rsid w:val="00B65FF4"/>
    <w:rsid w:val="00B66213"/>
    <w:rsid w:val="00B662B8"/>
    <w:rsid w:val="00B663DD"/>
    <w:rsid w:val="00B665FA"/>
    <w:rsid w:val="00B668CB"/>
    <w:rsid w:val="00B66BF0"/>
    <w:rsid w:val="00B66D03"/>
    <w:rsid w:val="00B66D06"/>
    <w:rsid w:val="00B66E4C"/>
    <w:rsid w:val="00B67376"/>
    <w:rsid w:val="00B67653"/>
    <w:rsid w:val="00B67922"/>
    <w:rsid w:val="00B67A9A"/>
    <w:rsid w:val="00B67EBD"/>
    <w:rsid w:val="00B67EFA"/>
    <w:rsid w:val="00B70059"/>
    <w:rsid w:val="00B70153"/>
    <w:rsid w:val="00B701A3"/>
    <w:rsid w:val="00B701BB"/>
    <w:rsid w:val="00B70387"/>
    <w:rsid w:val="00B705E1"/>
    <w:rsid w:val="00B7091D"/>
    <w:rsid w:val="00B70936"/>
    <w:rsid w:val="00B70C58"/>
    <w:rsid w:val="00B70E8D"/>
    <w:rsid w:val="00B70FF0"/>
    <w:rsid w:val="00B71003"/>
    <w:rsid w:val="00B710B1"/>
    <w:rsid w:val="00B7157B"/>
    <w:rsid w:val="00B71666"/>
    <w:rsid w:val="00B716BA"/>
    <w:rsid w:val="00B71789"/>
    <w:rsid w:val="00B71876"/>
    <w:rsid w:val="00B71C05"/>
    <w:rsid w:val="00B71D26"/>
    <w:rsid w:val="00B71E33"/>
    <w:rsid w:val="00B71F47"/>
    <w:rsid w:val="00B71F9B"/>
    <w:rsid w:val="00B721C0"/>
    <w:rsid w:val="00B721ED"/>
    <w:rsid w:val="00B7250E"/>
    <w:rsid w:val="00B72510"/>
    <w:rsid w:val="00B725B0"/>
    <w:rsid w:val="00B72C3B"/>
    <w:rsid w:val="00B72CE4"/>
    <w:rsid w:val="00B72FAD"/>
    <w:rsid w:val="00B7310D"/>
    <w:rsid w:val="00B73424"/>
    <w:rsid w:val="00B73432"/>
    <w:rsid w:val="00B734B1"/>
    <w:rsid w:val="00B73635"/>
    <w:rsid w:val="00B737C0"/>
    <w:rsid w:val="00B738AC"/>
    <w:rsid w:val="00B73D15"/>
    <w:rsid w:val="00B73F1C"/>
    <w:rsid w:val="00B73F2B"/>
    <w:rsid w:val="00B73F9D"/>
    <w:rsid w:val="00B7417C"/>
    <w:rsid w:val="00B741FA"/>
    <w:rsid w:val="00B74247"/>
    <w:rsid w:val="00B742DA"/>
    <w:rsid w:val="00B74302"/>
    <w:rsid w:val="00B7435D"/>
    <w:rsid w:val="00B743B5"/>
    <w:rsid w:val="00B74473"/>
    <w:rsid w:val="00B744EF"/>
    <w:rsid w:val="00B74502"/>
    <w:rsid w:val="00B74503"/>
    <w:rsid w:val="00B7469B"/>
    <w:rsid w:val="00B746A3"/>
    <w:rsid w:val="00B746AC"/>
    <w:rsid w:val="00B749E1"/>
    <w:rsid w:val="00B74AEC"/>
    <w:rsid w:val="00B74B0E"/>
    <w:rsid w:val="00B74D44"/>
    <w:rsid w:val="00B74FA9"/>
    <w:rsid w:val="00B75442"/>
    <w:rsid w:val="00B75763"/>
    <w:rsid w:val="00B75E59"/>
    <w:rsid w:val="00B75EE4"/>
    <w:rsid w:val="00B760DF"/>
    <w:rsid w:val="00B7613C"/>
    <w:rsid w:val="00B767CB"/>
    <w:rsid w:val="00B7683A"/>
    <w:rsid w:val="00B76F73"/>
    <w:rsid w:val="00B7701C"/>
    <w:rsid w:val="00B770F8"/>
    <w:rsid w:val="00B77410"/>
    <w:rsid w:val="00B7755E"/>
    <w:rsid w:val="00B77594"/>
    <w:rsid w:val="00B777A1"/>
    <w:rsid w:val="00B778DB"/>
    <w:rsid w:val="00B778FB"/>
    <w:rsid w:val="00B77D3B"/>
    <w:rsid w:val="00B77D72"/>
    <w:rsid w:val="00B77DAB"/>
    <w:rsid w:val="00B77DBB"/>
    <w:rsid w:val="00B77DDB"/>
    <w:rsid w:val="00B77E03"/>
    <w:rsid w:val="00B77F3B"/>
    <w:rsid w:val="00B8005C"/>
    <w:rsid w:val="00B80155"/>
    <w:rsid w:val="00B8021F"/>
    <w:rsid w:val="00B8093A"/>
    <w:rsid w:val="00B80B03"/>
    <w:rsid w:val="00B80B24"/>
    <w:rsid w:val="00B80C9F"/>
    <w:rsid w:val="00B80D7C"/>
    <w:rsid w:val="00B80E22"/>
    <w:rsid w:val="00B80F55"/>
    <w:rsid w:val="00B814FB"/>
    <w:rsid w:val="00B815FA"/>
    <w:rsid w:val="00B81C83"/>
    <w:rsid w:val="00B81CBC"/>
    <w:rsid w:val="00B81DAB"/>
    <w:rsid w:val="00B81F76"/>
    <w:rsid w:val="00B82111"/>
    <w:rsid w:val="00B8213D"/>
    <w:rsid w:val="00B821E6"/>
    <w:rsid w:val="00B823A2"/>
    <w:rsid w:val="00B826A4"/>
    <w:rsid w:val="00B827D9"/>
    <w:rsid w:val="00B8286E"/>
    <w:rsid w:val="00B82901"/>
    <w:rsid w:val="00B82A3D"/>
    <w:rsid w:val="00B82A74"/>
    <w:rsid w:val="00B82E0F"/>
    <w:rsid w:val="00B83055"/>
    <w:rsid w:val="00B830B1"/>
    <w:rsid w:val="00B832FC"/>
    <w:rsid w:val="00B83402"/>
    <w:rsid w:val="00B83413"/>
    <w:rsid w:val="00B834B0"/>
    <w:rsid w:val="00B83735"/>
    <w:rsid w:val="00B83774"/>
    <w:rsid w:val="00B83835"/>
    <w:rsid w:val="00B838A1"/>
    <w:rsid w:val="00B83959"/>
    <w:rsid w:val="00B83AA0"/>
    <w:rsid w:val="00B83B16"/>
    <w:rsid w:val="00B83B8D"/>
    <w:rsid w:val="00B83C65"/>
    <w:rsid w:val="00B83CCF"/>
    <w:rsid w:val="00B83E28"/>
    <w:rsid w:val="00B83F05"/>
    <w:rsid w:val="00B83F32"/>
    <w:rsid w:val="00B8424F"/>
    <w:rsid w:val="00B842F2"/>
    <w:rsid w:val="00B843E9"/>
    <w:rsid w:val="00B845D9"/>
    <w:rsid w:val="00B8491D"/>
    <w:rsid w:val="00B84A82"/>
    <w:rsid w:val="00B84AD2"/>
    <w:rsid w:val="00B84C03"/>
    <w:rsid w:val="00B84CEF"/>
    <w:rsid w:val="00B84F94"/>
    <w:rsid w:val="00B84F9F"/>
    <w:rsid w:val="00B85281"/>
    <w:rsid w:val="00B8545B"/>
    <w:rsid w:val="00B85526"/>
    <w:rsid w:val="00B855BA"/>
    <w:rsid w:val="00B859F3"/>
    <w:rsid w:val="00B85C12"/>
    <w:rsid w:val="00B85CA1"/>
    <w:rsid w:val="00B85CC2"/>
    <w:rsid w:val="00B85F1A"/>
    <w:rsid w:val="00B85F3F"/>
    <w:rsid w:val="00B860AD"/>
    <w:rsid w:val="00B86316"/>
    <w:rsid w:val="00B864ED"/>
    <w:rsid w:val="00B86602"/>
    <w:rsid w:val="00B86656"/>
    <w:rsid w:val="00B8681D"/>
    <w:rsid w:val="00B86890"/>
    <w:rsid w:val="00B868B3"/>
    <w:rsid w:val="00B86A15"/>
    <w:rsid w:val="00B86B3B"/>
    <w:rsid w:val="00B86E7C"/>
    <w:rsid w:val="00B86E83"/>
    <w:rsid w:val="00B870EA"/>
    <w:rsid w:val="00B87184"/>
    <w:rsid w:val="00B871D6"/>
    <w:rsid w:val="00B87322"/>
    <w:rsid w:val="00B87575"/>
    <w:rsid w:val="00B877DE"/>
    <w:rsid w:val="00B8782F"/>
    <w:rsid w:val="00B878FB"/>
    <w:rsid w:val="00B87A50"/>
    <w:rsid w:val="00B87D8D"/>
    <w:rsid w:val="00B900F5"/>
    <w:rsid w:val="00B908AD"/>
    <w:rsid w:val="00B908D4"/>
    <w:rsid w:val="00B909EE"/>
    <w:rsid w:val="00B90B65"/>
    <w:rsid w:val="00B90BB5"/>
    <w:rsid w:val="00B90C54"/>
    <w:rsid w:val="00B90D19"/>
    <w:rsid w:val="00B90D2C"/>
    <w:rsid w:val="00B9118A"/>
    <w:rsid w:val="00B913AB"/>
    <w:rsid w:val="00B91600"/>
    <w:rsid w:val="00B917EE"/>
    <w:rsid w:val="00B91CF6"/>
    <w:rsid w:val="00B91F67"/>
    <w:rsid w:val="00B9204C"/>
    <w:rsid w:val="00B920F4"/>
    <w:rsid w:val="00B922EA"/>
    <w:rsid w:val="00B92448"/>
    <w:rsid w:val="00B9248F"/>
    <w:rsid w:val="00B92BB3"/>
    <w:rsid w:val="00B92CDE"/>
    <w:rsid w:val="00B92CF8"/>
    <w:rsid w:val="00B92DE4"/>
    <w:rsid w:val="00B92F7A"/>
    <w:rsid w:val="00B92F8E"/>
    <w:rsid w:val="00B9318E"/>
    <w:rsid w:val="00B933A8"/>
    <w:rsid w:val="00B93523"/>
    <w:rsid w:val="00B93561"/>
    <w:rsid w:val="00B9375B"/>
    <w:rsid w:val="00B93793"/>
    <w:rsid w:val="00B93876"/>
    <w:rsid w:val="00B93946"/>
    <w:rsid w:val="00B93A37"/>
    <w:rsid w:val="00B93A41"/>
    <w:rsid w:val="00B93CE8"/>
    <w:rsid w:val="00B93F0E"/>
    <w:rsid w:val="00B94144"/>
    <w:rsid w:val="00B94379"/>
    <w:rsid w:val="00B94760"/>
    <w:rsid w:val="00B9492C"/>
    <w:rsid w:val="00B94CA2"/>
    <w:rsid w:val="00B94D69"/>
    <w:rsid w:val="00B94FAB"/>
    <w:rsid w:val="00B9503E"/>
    <w:rsid w:val="00B9547F"/>
    <w:rsid w:val="00B95551"/>
    <w:rsid w:val="00B9556E"/>
    <w:rsid w:val="00B955A8"/>
    <w:rsid w:val="00B9569B"/>
    <w:rsid w:val="00B9574B"/>
    <w:rsid w:val="00B95784"/>
    <w:rsid w:val="00B95885"/>
    <w:rsid w:val="00B95890"/>
    <w:rsid w:val="00B95A15"/>
    <w:rsid w:val="00B95BEF"/>
    <w:rsid w:val="00B95BF8"/>
    <w:rsid w:val="00B95D75"/>
    <w:rsid w:val="00B95D7E"/>
    <w:rsid w:val="00B95FA8"/>
    <w:rsid w:val="00B9604C"/>
    <w:rsid w:val="00B96064"/>
    <w:rsid w:val="00B96069"/>
    <w:rsid w:val="00B961E5"/>
    <w:rsid w:val="00B96209"/>
    <w:rsid w:val="00B96229"/>
    <w:rsid w:val="00B96305"/>
    <w:rsid w:val="00B9662C"/>
    <w:rsid w:val="00B9669D"/>
    <w:rsid w:val="00B966A9"/>
    <w:rsid w:val="00B96AD3"/>
    <w:rsid w:val="00B96B14"/>
    <w:rsid w:val="00B96C2A"/>
    <w:rsid w:val="00B96D8C"/>
    <w:rsid w:val="00B96F52"/>
    <w:rsid w:val="00B96FC5"/>
    <w:rsid w:val="00B97098"/>
    <w:rsid w:val="00B97153"/>
    <w:rsid w:val="00B97176"/>
    <w:rsid w:val="00B9740E"/>
    <w:rsid w:val="00B9773A"/>
    <w:rsid w:val="00B978E8"/>
    <w:rsid w:val="00B97917"/>
    <w:rsid w:val="00B97AAA"/>
    <w:rsid w:val="00B97D61"/>
    <w:rsid w:val="00B97D9B"/>
    <w:rsid w:val="00B97F92"/>
    <w:rsid w:val="00BA011D"/>
    <w:rsid w:val="00BA01E3"/>
    <w:rsid w:val="00BA02A9"/>
    <w:rsid w:val="00BA0443"/>
    <w:rsid w:val="00BA08DF"/>
    <w:rsid w:val="00BA0B9B"/>
    <w:rsid w:val="00BA0CE1"/>
    <w:rsid w:val="00BA0CEB"/>
    <w:rsid w:val="00BA0D06"/>
    <w:rsid w:val="00BA0E09"/>
    <w:rsid w:val="00BA0E93"/>
    <w:rsid w:val="00BA14EA"/>
    <w:rsid w:val="00BA1582"/>
    <w:rsid w:val="00BA17F2"/>
    <w:rsid w:val="00BA18AC"/>
    <w:rsid w:val="00BA19B9"/>
    <w:rsid w:val="00BA1BC2"/>
    <w:rsid w:val="00BA1CE3"/>
    <w:rsid w:val="00BA1DDC"/>
    <w:rsid w:val="00BA2016"/>
    <w:rsid w:val="00BA2145"/>
    <w:rsid w:val="00BA22E4"/>
    <w:rsid w:val="00BA24FF"/>
    <w:rsid w:val="00BA263F"/>
    <w:rsid w:val="00BA2699"/>
    <w:rsid w:val="00BA26C4"/>
    <w:rsid w:val="00BA27CA"/>
    <w:rsid w:val="00BA2AD5"/>
    <w:rsid w:val="00BA2CFA"/>
    <w:rsid w:val="00BA2EE2"/>
    <w:rsid w:val="00BA329D"/>
    <w:rsid w:val="00BA3406"/>
    <w:rsid w:val="00BA3559"/>
    <w:rsid w:val="00BA36DE"/>
    <w:rsid w:val="00BA3B9D"/>
    <w:rsid w:val="00BA3BE2"/>
    <w:rsid w:val="00BA3DBF"/>
    <w:rsid w:val="00BA3E46"/>
    <w:rsid w:val="00BA3EE7"/>
    <w:rsid w:val="00BA401D"/>
    <w:rsid w:val="00BA40A1"/>
    <w:rsid w:val="00BA42C5"/>
    <w:rsid w:val="00BA4566"/>
    <w:rsid w:val="00BA4578"/>
    <w:rsid w:val="00BA45EC"/>
    <w:rsid w:val="00BA48F8"/>
    <w:rsid w:val="00BA4CD7"/>
    <w:rsid w:val="00BA4D61"/>
    <w:rsid w:val="00BA4FD5"/>
    <w:rsid w:val="00BA55BA"/>
    <w:rsid w:val="00BA562B"/>
    <w:rsid w:val="00BA5782"/>
    <w:rsid w:val="00BA5856"/>
    <w:rsid w:val="00BA5B6D"/>
    <w:rsid w:val="00BA5BA9"/>
    <w:rsid w:val="00BA5C61"/>
    <w:rsid w:val="00BA5CE1"/>
    <w:rsid w:val="00BA5E0D"/>
    <w:rsid w:val="00BA5E78"/>
    <w:rsid w:val="00BA60BA"/>
    <w:rsid w:val="00BA6260"/>
    <w:rsid w:val="00BA62A2"/>
    <w:rsid w:val="00BA64CE"/>
    <w:rsid w:val="00BA64F8"/>
    <w:rsid w:val="00BA66A4"/>
    <w:rsid w:val="00BA68B3"/>
    <w:rsid w:val="00BA6995"/>
    <w:rsid w:val="00BA6DAC"/>
    <w:rsid w:val="00BA6DD7"/>
    <w:rsid w:val="00BA6EFA"/>
    <w:rsid w:val="00BA6F89"/>
    <w:rsid w:val="00BA71C2"/>
    <w:rsid w:val="00BA727E"/>
    <w:rsid w:val="00BA7281"/>
    <w:rsid w:val="00BA72B1"/>
    <w:rsid w:val="00BA72E4"/>
    <w:rsid w:val="00BA74A0"/>
    <w:rsid w:val="00BA7E57"/>
    <w:rsid w:val="00BA7F69"/>
    <w:rsid w:val="00BB07F4"/>
    <w:rsid w:val="00BB0993"/>
    <w:rsid w:val="00BB09CF"/>
    <w:rsid w:val="00BB0A6C"/>
    <w:rsid w:val="00BB0A93"/>
    <w:rsid w:val="00BB0D2E"/>
    <w:rsid w:val="00BB0DA9"/>
    <w:rsid w:val="00BB155F"/>
    <w:rsid w:val="00BB169C"/>
    <w:rsid w:val="00BB17A3"/>
    <w:rsid w:val="00BB18FB"/>
    <w:rsid w:val="00BB1A24"/>
    <w:rsid w:val="00BB1A2B"/>
    <w:rsid w:val="00BB1C46"/>
    <w:rsid w:val="00BB1D24"/>
    <w:rsid w:val="00BB1E47"/>
    <w:rsid w:val="00BB1F73"/>
    <w:rsid w:val="00BB1FC5"/>
    <w:rsid w:val="00BB1FE9"/>
    <w:rsid w:val="00BB2354"/>
    <w:rsid w:val="00BB2374"/>
    <w:rsid w:val="00BB2791"/>
    <w:rsid w:val="00BB2802"/>
    <w:rsid w:val="00BB2BB4"/>
    <w:rsid w:val="00BB2D89"/>
    <w:rsid w:val="00BB30FD"/>
    <w:rsid w:val="00BB31C5"/>
    <w:rsid w:val="00BB31CE"/>
    <w:rsid w:val="00BB31D2"/>
    <w:rsid w:val="00BB32FD"/>
    <w:rsid w:val="00BB335A"/>
    <w:rsid w:val="00BB3B38"/>
    <w:rsid w:val="00BB3D25"/>
    <w:rsid w:val="00BB3D5B"/>
    <w:rsid w:val="00BB3F70"/>
    <w:rsid w:val="00BB4050"/>
    <w:rsid w:val="00BB469E"/>
    <w:rsid w:val="00BB483D"/>
    <w:rsid w:val="00BB4895"/>
    <w:rsid w:val="00BB4CFF"/>
    <w:rsid w:val="00BB4F30"/>
    <w:rsid w:val="00BB5258"/>
    <w:rsid w:val="00BB53C9"/>
    <w:rsid w:val="00BB5532"/>
    <w:rsid w:val="00BB562D"/>
    <w:rsid w:val="00BB572B"/>
    <w:rsid w:val="00BB5881"/>
    <w:rsid w:val="00BB5D52"/>
    <w:rsid w:val="00BB5F95"/>
    <w:rsid w:val="00BB6079"/>
    <w:rsid w:val="00BB63BD"/>
    <w:rsid w:val="00BB64CC"/>
    <w:rsid w:val="00BB659E"/>
    <w:rsid w:val="00BB66E3"/>
    <w:rsid w:val="00BB6720"/>
    <w:rsid w:val="00BB67C9"/>
    <w:rsid w:val="00BB68AA"/>
    <w:rsid w:val="00BB68E6"/>
    <w:rsid w:val="00BB6AD0"/>
    <w:rsid w:val="00BB6B5A"/>
    <w:rsid w:val="00BB6C7F"/>
    <w:rsid w:val="00BB6CE2"/>
    <w:rsid w:val="00BB6D4F"/>
    <w:rsid w:val="00BB6FCF"/>
    <w:rsid w:val="00BB7039"/>
    <w:rsid w:val="00BB7171"/>
    <w:rsid w:val="00BB75DD"/>
    <w:rsid w:val="00BB760D"/>
    <w:rsid w:val="00BB7865"/>
    <w:rsid w:val="00BB7983"/>
    <w:rsid w:val="00BB7A86"/>
    <w:rsid w:val="00BB7C09"/>
    <w:rsid w:val="00BB7C2C"/>
    <w:rsid w:val="00BB7C3E"/>
    <w:rsid w:val="00BB7F63"/>
    <w:rsid w:val="00BC00F6"/>
    <w:rsid w:val="00BC014C"/>
    <w:rsid w:val="00BC037F"/>
    <w:rsid w:val="00BC063D"/>
    <w:rsid w:val="00BC0665"/>
    <w:rsid w:val="00BC0759"/>
    <w:rsid w:val="00BC07D3"/>
    <w:rsid w:val="00BC09B8"/>
    <w:rsid w:val="00BC0A7D"/>
    <w:rsid w:val="00BC0AE6"/>
    <w:rsid w:val="00BC0E1F"/>
    <w:rsid w:val="00BC1166"/>
    <w:rsid w:val="00BC1312"/>
    <w:rsid w:val="00BC1364"/>
    <w:rsid w:val="00BC13A5"/>
    <w:rsid w:val="00BC1448"/>
    <w:rsid w:val="00BC16A9"/>
    <w:rsid w:val="00BC1717"/>
    <w:rsid w:val="00BC1BB6"/>
    <w:rsid w:val="00BC1F8C"/>
    <w:rsid w:val="00BC2000"/>
    <w:rsid w:val="00BC213E"/>
    <w:rsid w:val="00BC227D"/>
    <w:rsid w:val="00BC267F"/>
    <w:rsid w:val="00BC288A"/>
    <w:rsid w:val="00BC2BCF"/>
    <w:rsid w:val="00BC2C83"/>
    <w:rsid w:val="00BC2E49"/>
    <w:rsid w:val="00BC3074"/>
    <w:rsid w:val="00BC31CF"/>
    <w:rsid w:val="00BC325D"/>
    <w:rsid w:val="00BC32B9"/>
    <w:rsid w:val="00BC3657"/>
    <w:rsid w:val="00BC36D0"/>
    <w:rsid w:val="00BC39AE"/>
    <w:rsid w:val="00BC3AEE"/>
    <w:rsid w:val="00BC3B9C"/>
    <w:rsid w:val="00BC3CD9"/>
    <w:rsid w:val="00BC3EAA"/>
    <w:rsid w:val="00BC3F04"/>
    <w:rsid w:val="00BC4104"/>
    <w:rsid w:val="00BC423D"/>
    <w:rsid w:val="00BC4432"/>
    <w:rsid w:val="00BC460A"/>
    <w:rsid w:val="00BC4612"/>
    <w:rsid w:val="00BC46B3"/>
    <w:rsid w:val="00BC4761"/>
    <w:rsid w:val="00BC498C"/>
    <w:rsid w:val="00BC4F0C"/>
    <w:rsid w:val="00BC4FC8"/>
    <w:rsid w:val="00BC50E7"/>
    <w:rsid w:val="00BC517B"/>
    <w:rsid w:val="00BC53DD"/>
    <w:rsid w:val="00BC5450"/>
    <w:rsid w:val="00BC545C"/>
    <w:rsid w:val="00BC54A6"/>
    <w:rsid w:val="00BC56DE"/>
    <w:rsid w:val="00BC56F4"/>
    <w:rsid w:val="00BC5754"/>
    <w:rsid w:val="00BC583D"/>
    <w:rsid w:val="00BC584A"/>
    <w:rsid w:val="00BC5869"/>
    <w:rsid w:val="00BC5A21"/>
    <w:rsid w:val="00BC5B90"/>
    <w:rsid w:val="00BC5C5C"/>
    <w:rsid w:val="00BC5C89"/>
    <w:rsid w:val="00BC5D83"/>
    <w:rsid w:val="00BC60D0"/>
    <w:rsid w:val="00BC6297"/>
    <w:rsid w:val="00BC6374"/>
    <w:rsid w:val="00BC64F5"/>
    <w:rsid w:val="00BC68CE"/>
    <w:rsid w:val="00BC6B24"/>
    <w:rsid w:val="00BC6C44"/>
    <w:rsid w:val="00BC6CB0"/>
    <w:rsid w:val="00BC6D08"/>
    <w:rsid w:val="00BC6DCE"/>
    <w:rsid w:val="00BC6EB1"/>
    <w:rsid w:val="00BC6F3B"/>
    <w:rsid w:val="00BC7266"/>
    <w:rsid w:val="00BC75DC"/>
    <w:rsid w:val="00BC75EE"/>
    <w:rsid w:val="00BC77C2"/>
    <w:rsid w:val="00BC78B8"/>
    <w:rsid w:val="00BC7C49"/>
    <w:rsid w:val="00BC7D0B"/>
    <w:rsid w:val="00BC7D28"/>
    <w:rsid w:val="00BC7F52"/>
    <w:rsid w:val="00BD014A"/>
    <w:rsid w:val="00BD02E3"/>
    <w:rsid w:val="00BD0396"/>
    <w:rsid w:val="00BD0552"/>
    <w:rsid w:val="00BD0636"/>
    <w:rsid w:val="00BD06FF"/>
    <w:rsid w:val="00BD0B46"/>
    <w:rsid w:val="00BD0C2A"/>
    <w:rsid w:val="00BD0D58"/>
    <w:rsid w:val="00BD126F"/>
    <w:rsid w:val="00BD16DF"/>
    <w:rsid w:val="00BD1B18"/>
    <w:rsid w:val="00BD1B6F"/>
    <w:rsid w:val="00BD216F"/>
    <w:rsid w:val="00BD23C8"/>
    <w:rsid w:val="00BD2466"/>
    <w:rsid w:val="00BD26C5"/>
    <w:rsid w:val="00BD27BC"/>
    <w:rsid w:val="00BD2B89"/>
    <w:rsid w:val="00BD2E06"/>
    <w:rsid w:val="00BD37E2"/>
    <w:rsid w:val="00BD3B77"/>
    <w:rsid w:val="00BD3BA0"/>
    <w:rsid w:val="00BD3C1C"/>
    <w:rsid w:val="00BD3C71"/>
    <w:rsid w:val="00BD3C84"/>
    <w:rsid w:val="00BD3DF9"/>
    <w:rsid w:val="00BD3F92"/>
    <w:rsid w:val="00BD402C"/>
    <w:rsid w:val="00BD431E"/>
    <w:rsid w:val="00BD43E7"/>
    <w:rsid w:val="00BD44B8"/>
    <w:rsid w:val="00BD4607"/>
    <w:rsid w:val="00BD4658"/>
    <w:rsid w:val="00BD4AA7"/>
    <w:rsid w:val="00BD4D07"/>
    <w:rsid w:val="00BD4DEA"/>
    <w:rsid w:val="00BD4E97"/>
    <w:rsid w:val="00BD4F81"/>
    <w:rsid w:val="00BD5031"/>
    <w:rsid w:val="00BD5081"/>
    <w:rsid w:val="00BD52DD"/>
    <w:rsid w:val="00BD53BC"/>
    <w:rsid w:val="00BD552E"/>
    <w:rsid w:val="00BD5604"/>
    <w:rsid w:val="00BD56A5"/>
    <w:rsid w:val="00BD5870"/>
    <w:rsid w:val="00BD5ACD"/>
    <w:rsid w:val="00BD5B8C"/>
    <w:rsid w:val="00BD5CAA"/>
    <w:rsid w:val="00BD5E01"/>
    <w:rsid w:val="00BD5EA9"/>
    <w:rsid w:val="00BD5F21"/>
    <w:rsid w:val="00BD60FC"/>
    <w:rsid w:val="00BD6107"/>
    <w:rsid w:val="00BD61BE"/>
    <w:rsid w:val="00BD6232"/>
    <w:rsid w:val="00BD634B"/>
    <w:rsid w:val="00BD6521"/>
    <w:rsid w:val="00BD65A3"/>
    <w:rsid w:val="00BD6699"/>
    <w:rsid w:val="00BD6836"/>
    <w:rsid w:val="00BD689C"/>
    <w:rsid w:val="00BD69E1"/>
    <w:rsid w:val="00BD6D83"/>
    <w:rsid w:val="00BD7005"/>
    <w:rsid w:val="00BD7199"/>
    <w:rsid w:val="00BD72EE"/>
    <w:rsid w:val="00BD7305"/>
    <w:rsid w:val="00BD733F"/>
    <w:rsid w:val="00BD736F"/>
    <w:rsid w:val="00BD73D3"/>
    <w:rsid w:val="00BD7441"/>
    <w:rsid w:val="00BD7584"/>
    <w:rsid w:val="00BD7655"/>
    <w:rsid w:val="00BD7752"/>
    <w:rsid w:val="00BD7ABF"/>
    <w:rsid w:val="00BD7BAC"/>
    <w:rsid w:val="00BD7E45"/>
    <w:rsid w:val="00BE023C"/>
    <w:rsid w:val="00BE0412"/>
    <w:rsid w:val="00BE047D"/>
    <w:rsid w:val="00BE0A96"/>
    <w:rsid w:val="00BE13AA"/>
    <w:rsid w:val="00BE13CE"/>
    <w:rsid w:val="00BE1442"/>
    <w:rsid w:val="00BE1553"/>
    <w:rsid w:val="00BE1662"/>
    <w:rsid w:val="00BE17E4"/>
    <w:rsid w:val="00BE18E0"/>
    <w:rsid w:val="00BE1951"/>
    <w:rsid w:val="00BE1B1F"/>
    <w:rsid w:val="00BE1D08"/>
    <w:rsid w:val="00BE1E33"/>
    <w:rsid w:val="00BE228E"/>
    <w:rsid w:val="00BE2542"/>
    <w:rsid w:val="00BE2694"/>
    <w:rsid w:val="00BE26B1"/>
    <w:rsid w:val="00BE2C1A"/>
    <w:rsid w:val="00BE2C62"/>
    <w:rsid w:val="00BE2FFA"/>
    <w:rsid w:val="00BE3024"/>
    <w:rsid w:val="00BE3086"/>
    <w:rsid w:val="00BE30A9"/>
    <w:rsid w:val="00BE36E0"/>
    <w:rsid w:val="00BE39CE"/>
    <w:rsid w:val="00BE3FFB"/>
    <w:rsid w:val="00BE4131"/>
    <w:rsid w:val="00BE430F"/>
    <w:rsid w:val="00BE4AFB"/>
    <w:rsid w:val="00BE4CB7"/>
    <w:rsid w:val="00BE4D7F"/>
    <w:rsid w:val="00BE4DB0"/>
    <w:rsid w:val="00BE4FC4"/>
    <w:rsid w:val="00BE503F"/>
    <w:rsid w:val="00BE54B4"/>
    <w:rsid w:val="00BE54CF"/>
    <w:rsid w:val="00BE55F8"/>
    <w:rsid w:val="00BE581A"/>
    <w:rsid w:val="00BE5FA4"/>
    <w:rsid w:val="00BE612D"/>
    <w:rsid w:val="00BE6363"/>
    <w:rsid w:val="00BE6644"/>
    <w:rsid w:val="00BE672A"/>
    <w:rsid w:val="00BE6901"/>
    <w:rsid w:val="00BE6C64"/>
    <w:rsid w:val="00BE6C74"/>
    <w:rsid w:val="00BE6CA8"/>
    <w:rsid w:val="00BE6E0D"/>
    <w:rsid w:val="00BE6F05"/>
    <w:rsid w:val="00BE6F22"/>
    <w:rsid w:val="00BE6F3C"/>
    <w:rsid w:val="00BE72D0"/>
    <w:rsid w:val="00BE7728"/>
    <w:rsid w:val="00BE775A"/>
    <w:rsid w:val="00BE79EB"/>
    <w:rsid w:val="00BE7A3A"/>
    <w:rsid w:val="00BE7A9A"/>
    <w:rsid w:val="00BE7D2D"/>
    <w:rsid w:val="00BE7E74"/>
    <w:rsid w:val="00BF01A8"/>
    <w:rsid w:val="00BF086B"/>
    <w:rsid w:val="00BF0FBB"/>
    <w:rsid w:val="00BF1086"/>
    <w:rsid w:val="00BF10C7"/>
    <w:rsid w:val="00BF11CF"/>
    <w:rsid w:val="00BF11DD"/>
    <w:rsid w:val="00BF126D"/>
    <w:rsid w:val="00BF12A0"/>
    <w:rsid w:val="00BF12AA"/>
    <w:rsid w:val="00BF1692"/>
    <w:rsid w:val="00BF1806"/>
    <w:rsid w:val="00BF1948"/>
    <w:rsid w:val="00BF1969"/>
    <w:rsid w:val="00BF1CF1"/>
    <w:rsid w:val="00BF1D28"/>
    <w:rsid w:val="00BF1E50"/>
    <w:rsid w:val="00BF1E97"/>
    <w:rsid w:val="00BF1F37"/>
    <w:rsid w:val="00BF2223"/>
    <w:rsid w:val="00BF222C"/>
    <w:rsid w:val="00BF2265"/>
    <w:rsid w:val="00BF2705"/>
    <w:rsid w:val="00BF276E"/>
    <w:rsid w:val="00BF28F3"/>
    <w:rsid w:val="00BF2BCF"/>
    <w:rsid w:val="00BF2D90"/>
    <w:rsid w:val="00BF2E4F"/>
    <w:rsid w:val="00BF3039"/>
    <w:rsid w:val="00BF30F9"/>
    <w:rsid w:val="00BF3171"/>
    <w:rsid w:val="00BF326E"/>
    <w:rsid w:val="00BF3343"/>
    <w:rsid w:val="00BF3527"/>
    <w:rsid w:val="00BF384A"/>
    <w:rsid w:val="00BF3A45"/>
    <w:rsid w:val="00BF3AD7"/>
    <w:rsid w:val="00BF3E8C"/>
    <w:rsid w:val="00BF4099"/>
    <w:rsid w:val="00BF40B6"/>
    <w:rsid w:val="00BF46CA"/>
    <w:rsid w:val="00BF4806"/>
    <w:rsid w:val="00BF4898"/>
    <w:rsid w:val="00BF4B10"/>
    <w:rsid w:val="00BF4D1A"/>
    <w:rsid w:val="00BF4D5B"/>
    <w:rsid w:val="00BF4D66"/>
    <w:rsid w:val="00BF5048"/>
    <w:rsid w:val="00BF5054"/>
    <w:rsid w:val="00BF5069"/>
    <w:rsid w:val="00BF50BC"/>
    <w:rsid w:val="00BF519A"/>
    <w:rsid w:val="00BF52D8"/>
    <w:rsid w:val="00BF55FD"/>
    <w:rsid w:val="00BF566A"/>
    <w:rsid w:val="00BF578D"/>
    <w:rsid w:val="00BF57BC"/>
    <w:rsid w:val="00BF5832"/>
    <w:rsid w:val="00BF59EA"/>
    <w:rsid w:val="00BF5E14"/>
    <w:rsid w:val="00BF6081"/>
    <w:rsid w:val="00BF60DA"/>
    <w:rsid w:val="00BF61E6"/>
    <w:rsid w:val="00BF62B7"/>
    <w:rsid w:val="00BF6640"/>
    <w:rsid w:val="00BF6A8E"/>
    <w:rsid w:val="00BF6E8A"/>
    <w:rsid w:val="00BF6F29"/>
    <w:rsid w:val="00BF71F7"/>
    <w:rsid w:val="00BF75FA"/>
    <w:rsid w:val="00BF75FB"/>
    <w:rsid w:val="00BF7A3D"/>
    <w:rsid w:val="00C00020"/>
    <w:rsid w:val="00C00107"/>
    <w:rsid w:val="00C0042B"/>
    <w:rsid w:val="00C004AA"/>
    <w:rsid w:val="00C006C2"/>
    <w:rsid w:val="00C00813"/>
    <w:rsid w:val="00C008EF"/>
    <w:rsid w:val="00C00976"/>
    <w:rsid w:val="00C009F7"/>
    <w:rsid w:val="00C00AAD"/>
    <w:rsid w:val="00C00D81"/>
    <w:rsid w:val="00C00FFC"/>
    <w:rsid w:val="00C0108A"/>
    <w:rsid w:val="00C01168"/>
    <w:rsid w:val="00C014D2"/>
    <w:rsid w:val="00C014F3"/>
    <w:rsid w:val="00C01516"/>
    <w:rsid w:val="00C01573"/>
    <w:rsid w:val="00C015EC"/>
    <w:rsid w:val="00C016B3"/>
    <w:rsid w:val="00C01705"/>
    <w:rsid w:val="00C01710"/>
    <w:rsid w:val="00C01785"/>
    <w:rsid w:val="00C0179A"/>
    <w:rsid w:val="00C01A9B"/>
    <w:rsid w:val="00C01DBC"/>
    <w:rsid w:val="00C01E3A"/>
    <w:rsid w:val="00C02057"/>
    <w:rsid w:val="00C020E7"/>
    <w:rsid w:val="00C02132"/>
    <w:rsid w:val="00C0223D"/>
    <w:rsid w:val="00C0247E"/>
    <w:rsid w:val="00C025AA"/>
    <w:rsid w:val="00C0261E"/>
    <w:rsid w:val="00C02624"/>
    <w:rsid w:val="00C026C4"/>
    <w:rsid w:val="00C028F0"/>
    <w:rsid w:val="00C02B33"/>
    <w:rsid w:val="00C02BDE"/>
    <w:rsid w:val="00C02E2D"/>
    <w:rsid w:val="00C02FE2"/>
    <w:rsid w:val="00C0300C"/>
    <w:rsid w:val="00C030FE"/>
    <w:rsid w:val="00C03110"/>
    <w:rsid w:val="00C032AE"/>
    <w:rsid w:val="00C0350F"/>
    <w:rsid w:val="00C035A6"/>
    <w:rsid w:val="00C03950"/>
    <w:rsid w:val="00C03DCA"/>
    <w:rsid w:val="00C03FB0"/>
    <w:rsid w:val="00C03FD1"/>
    <w:rsid w:val="00C03FF7"/>
    <w:rsid w:val="00C0417C"/>
    <w:rsid w:val="00C04591"/>
    <w:rsid w:val="00C045BC"/>
    <w:rsid w:val="00C046DA"/>
    <w:rsid w:val="00C0477D"/>
    <w:rsid w:val="00C0482F"/>
    <w:rsid w:val="00C04948"/>
    <w:rsid w:val="00C04991"/>
    <w:rsid w:val="00C04A95"/>
    <w:rsid w:val="00C04AC5"/>
    <w:rsid w:val="00C04B59"/>
    <w:rsid w:val="00C04F67"/>
    <w:rsid w:val="00C04F98"/>
    <w:rsid w:val="00C0554C"/>
    <w:rsid w:val="00C055C0"/>
    <w:rsid w:val="00C05A2E"/>
    <w:rsid w:val="00C05C0F"/>
    <w:rsid w:val="00C0615A"/>
    <w:rsid w:val="00C06174"/>
    <w:rsid w:val="00C06185"/>
    <w:rsid w:val="00C06190"/>
    <w:rsid w:val="00C0634E"/>
    <w:rsid w:val="00C063A0"/>
    <w:rsid w:val="00C0642A"/>
    <w:rsid w:val="00C066B7"/>
    <w:rsid w:val="00C067B0"/>
    <w:rsid w:val="00C067BF"/>
    <w:rsid w:val="00C06984"/>
    <w:rsid w:val="00C06B2E"/>
    <w:rsid w:val="00C07193"/>
    <w:rsid w:val="00C07735"/>
    <w:rsid w:val="00C078F8"/>
    <w:rsid w:val="00C079DA"/>
    <w:rsid w:val="00C07C0B"/>
    <w:rsid w:val="00C07C43"/>
    <w:rsid w:val="00C07F39"/>
    <w:rsid w:val="00C101F6"/>
    <w:rsid w:val="00C102EB"/>
    <w:rsid w:val="00C1076E"/>
    <w:rsid w:val="00C108DF"/>
    <w:rsid w:val="00C108EF"/>
    <w:rsid w:val="00C10D4D"/>
    <w:rsid w:val="00C10E5E"/>
    <w:rsid w:val="00C10F51"/>
    <w:rsid w:val="00C1156D"/>
    <w:rsid w:val="00C11578"/>
    <w:rsid w:val="00C11C86"/>
    <w:rsid w:val="00C11D9C"/>
    <w:rsid w:val="00C11EDD"/>
    <w:rsid w:val="00C11EF0"/>
    <w:rsid w:val="00C12167"/>
    <w:rsid w:val="00C122D3"/>
    <w:rsid w:val="00C12338"/>
    <w:rsid w:val="00C126B2"/>
    <w:rsid w:val="00C1277D"/>
    <w:rsid w:val="00C1296C"/>
    <w:rsid w:val="00C12B2A"/>
    <w:rsid w:val="00C12D93"/>
    <w:rsid w:val="00C12DDA"/>
    <w:rsid w:val="00C13427"/>
    <w:rsid w:val="00C13870"/>
    <w:rsid w:val="00C13C04"/>
    <w:rsid w:val="00C13EA2"/>
    <w:rsid w:val="00C13F89"/>
    <w:rsid w:val="00C13FB3"/>
    <w:rsid w:val="00C13FDB"/>
    <w:rsid w:val="00C14240"/>
    <w:rsid w:val="00C14260"/>
    <w:rsid w:val="00C1429A"/>
    <w:rsid w:val="00C142C1"/>
    <w:rsid w:val="00C14300"/>
    <w:rsid w:val="00C145D1"/>
    <w:rsid w:val="00C146C6"/>
    <w:rsid w:val="00C1489E"/>
    <w:rsid w:val="00C14A54"/>
    <w:rsid w:val="00C14AE9"/>
    <w:rsid w:val="00C14B96"/>
    <w:rsid w:val="00C14D2A"/>
    <w:rsid w:val="00C14E76"/>
    <w:rsid w:val="00C14F75"/>
    <w:rsid w:val="00C1522B"/>
    <w:rsid w:val="00C15237"/>
    <w:rsid w:val="00C153BB"/>
    <w:rsid w:val="00C15530"/>
    <w:rsid w:val="00C15651"/>
    <w:rsid w:val="00C15747"/>
    <w:rsid w:val="00C157D7"/>
    <w:rsid w:val="00C1594C"/>
    <w:rsid w:val="00C15C75"/>
    <w:rsid w:val="00C15E4E"/>
    <w:rsid w:val="00C15E70"/>
    <w:rsid w:val="00C15E8B"/>
    <w:rsid w:val="00C15EE2"/>
    <w:rsid w:val="00C15EF8"/>
    <w:rsid w:val="00C15F53"/>
    <w:rsid w:val="00C165F2"/>
    <w:rsid w:val="00C166AC"/>
    <w:rsid w:val="00C16F76"/>
    <w:rsid w:val="00C1709C"/>
    <w:rsid w:val="00C170BA"/>
    <w:rsid w:val="00C17117"/>
    <w:rsid w:val="00C174A9"/>
    <w:rsid w:val="00C17578"/>
    <w:rsid w:val="00C17654"/>
    <w:rsid w:val="00C17A4A"/>
    <w:rsid w:val="00C17EF9"/>
    <w:rsid w:val="00C2038E"/>
    <w:rsid w:val="00C2038F"/>
    <w:rsid w:val="00C2047D"/>
    <w:rsid w:val="00C20507"/>
    <w:rsid w:val="00C207FD"/>
    <w:rsid w:val="00C208A8"/>
    <w:rsid w:val="00C209A7"/>
    <w:rsid w:val="00C20A27"/>
    <w:rsid w:val="00C20BD6"/>
    <w:rsid w:val="00C20C24"/>
    <w:rsid w:val="00C20C60"/>
    <w:rsid w:val="00C20C73"/>
    <w:rsid w:val="00C212AB"/>
    <w:rsid w:val="00C21832"/>
    <w:rsid w:val="00C21AA8"/>
    <w:rsid w:val="00C21CF3"/>
    <w:rsid w:val="00C21DDE"/>
    <w:rsid w:val="00C21F80"/>
    <w:rsid w:val="00C22065"/>
    <w:rsid w:val="00C220F0"/>
    <w:rsid w:val="00C22209"/>
    <w:rsid w:val="00C22268"/>
    <w:rsid w:val="00C222A1"/>
    <w:rsid w:val="00C2236D"/>
    <w:rsid w:val="00C223A9"/>
    <w:rsid w:val="00C2260C"/>
    <w:rsid w:val="00C22671"/>
    <w:rsid w:val="00C2293E"/>
    <w:rsid w:val="00C23084"/>
    <w:rsid w:val="00C23166"/>
    <w:rsid w:val="00C231A1"/>
    <w:rsid w:val="00C23356"/>
    <w:rsid w:val="00C23407"/>
    <w:rsid w:val="00C23529"/>
    <w:rsid w:val="00C2385D"/>
    <w:rsid w:val="00C23921"/>
    <w:rsid w:val="00C23AD5"/>
    <w:rsid w:val="00C23CA2"/>
    <w:rsid w:val="00C23CAC"/>
    <w:rsid w:val="00C24283"/>
    <w:rsid w:val="00C24686"/>
    <w:rsid w:val="00C24883"/>
    <w:rsid w:val="00C24AC1"/>
    <w:rsid w:val="00C24BAF"/>
    <w:rsid w:val="00C24DEF"/>
    <w:rsid w:val="00C24E26"/>
    <w:rsid w:val="00C251AF"/>
    <w:rsid w:val="00C25296"/>
    <w:rsid w:val="00C25385"/>
    <w:rsid w:val="00C254EE"/>
    <w:rsid w:val="00C25901"/>
    <w:rsid w:val="00C25B85"/>
    <w:rsid w:val="00C25BC0"/>
    <w:rsid w:val="00C25C5D"/>
    <w:rsid w:val="00C268AB"/>
    <w:rsid w:val="00C2696D"/>
    <w:rsid w:val="00C26AE3"/>
    <w:rsid w:val="00C26DF0"/>
    <w:rsid w:val="00C26E3B"/>
    <w:rsid w:val="00C272B9"/>
    <w:rsid w:val="00C274F7"/>
    <w:rsid w:val="00C27555"/>
    <w:rsid w:val="00C27722"/>
    <w:rsid w:val="00C278F0"/>
    <w:rsid w:val="00C2792A"/>
    <w:rsid w:val="00C27B18"/>
    <w:rsid w:val="00C27BCF"/>
    <w:rsid w:val="00C27C68"/>
    <w:rsid w:val="00C27F09"/>
    <w:rsid w:val="00C30072"/>
    <w:rsid w:val="00C300AA"/>
    <w:rsid w:val="00C30260"/>
    <w:rsid w:val="00C30362"/>
    <w:rsid w:val="00C30548"/>
    <w:rsid w:val="00C308D3"/>
    <w:rsid w:val="00C308F5"/>
    <w:rsid w:val="00C30A5B"/>
    <w:rsid w:val="00C30AA8"/>
    <w:rsid w:val="00C30CF9"/>
    <w:rsid w:val="00C30D62"/>
    <w:rsid w:val="00C30E60"/>
    <w:rsid w:val="00C30EA2"/>
    <w:rsid w:val="00C30EB6"/>
    <w:rsid w:val="00C310DD"/>
    <w:rsid w:val="00C3129E"/>
    <w:rsid w:val="00C3156D"/>
    <w:rsid w:val="00C3161B"/>
    <w:rsid w:val="00C31979"/>
    <w:rsid w:val="00C31A76"/>
    <w:rsid w:val="00C31B3A"/>
    <w:rsid w:val="00C31E08"/>
    <w:rsid w:val="00C31E75"/>
    <w:rsid w:val="00C31ECA"/>
    <w:rsid w:val="00C32244"/>
    <w:rsid w:val="00C3224F"/>
    <w:rsid w:val="00C3231E"/>
    <w:rsid w:val="00C3261E"/>
    <w:rsid w:val="00C32671"/>
    <w:rsid w:val="00C32AAC"/>
    <w:rsid w:val="00C32BA6"/>
    <w:rsid w:val="00C32DA4"/>
    <w:rsid w:val="00C32E69"/>
    <w:rsid w:val="00C32E8A"/>
    <w:rsid w:val="00C32F5D"/>
    <w:rsid w:val="00C33023"/>
    <w:rsid w:val="00C330A4"/>
    <w:rsid w:val="00C3335E"/>
    <w:rsid w:val="00C33A66"/>
    <w:rsid w:val="00C33BB1"/>
    <w:rsid w:val="00C33CB4"/>
    <w:rsid w:val="00C33D2C"/>
    <w:rsid w:val="00C33E05"/>
    <w:rsid w:val="00C3429E"/>
    <w:rsid w:val="00C34370"/>
    <w:rsid w:val="00C344CB"/>
    <w:rsid w:val="00C345A2"/>
    <w:rsid w:val="00C3471A"/>
    <w:rsid w:val="00C34898"/>
    <w:rsid w:val="00C34965"/>
    <w:rsid w:val="00C34A9B"/>
    <w:rsid w:val="00C34CBA"/>
    <w:rsid w:val="00C34F76"/>
    <w:rsid w:val="00C350D6"/>
    <w:rsid w:val="00C351F1"/>
    <w:rsid w:val="00C35456"/>
    <w:rsid w:val="00C354B1"/>
    <w:rsid w:val="00C3551C"/>
    <w:rsid w:val="00C3591B"/>
    <w:rsid w:val="00C35B6B"/>
    <w:rsid w:val="00C35CA9"/>
    <w:rsid w:val="00C35D9E"/>
    <w:rsid w:val="00C362C2"/>
    <w:rsid w:val="00C36400"/>
    <w:rsid w:val="00C366D8"/>
    <w:rsid w:val="00C3691B"/>
    <w:rsid w:val="00C36A6F"/>
    <w:rsid w:val="00C36B1C"/>
    <w:rsid w:val="00C36B7F"/>
    <w:rsid w:val="00C36BDB"/>
    <w:rsid w:val="00C3725C"/>
    <w:rsid w:val="00C37351"/>
    <w:rsid w:val="00C373CC"/>
    <w:rsid w:val="00C37625"/>
    <w:rsid w:val="00C376EE"/>
    <w:rsid w:val="00C378F5"/>
    <w:rsid w:val="00C37B1F"/>
    <w:rsid w:val="00C37C82"/>
    <w:rsid w:val="00C39F1B"/>
    <w:rsid w:val="00C400D0"/>
    <w:rsid w:val="00C4039F"/>
    <w:rsid w:val="00C404FC"/>
    <w:rsid w:val="00C405E8"/>
    <w:rsid w:val="00C40AFD"/>
    <w:rsid w:val="00C40B6B"/>
    <w:rsid w:val="00C40C27"/>
    <w:rsid w:val="00C40C6B"/>
    <w:rsid w:val="00C4101B"/>
    <w:rsid w:val="00C4107B"/>
    <w:rsid w:val="00C4114B"/>
    <w:rsid w:val="00C412A8"/>
    <w:rsid w:val="00C41519"/>
    <w:rsid w:val="00C416FD"/>
    <w:rsid w:val="00C41869"/>
    <w:rsid w:val="00C418A1"/>
    <w:rsid w:val="00C41C0B"/>
    <w:rsid w:val="00C41CA2"/>
    <w:rsid w:val="00C41DF4"/>
    <w:rsid w:val="00C41FA7"/>
    <w:rsid w:val="00C41FED"/>
    <w:rsid w:val="00C4204E"/>
    <w:rsid w:val="00C42593"/>
    <w:rsid w:val="00C4267D"/>
    <w:rsid w:val="00C42B0D"/>
    <w:rsid w:val="00C42C72"/>
    <w:rsid w:val="00C42DEC"/>
    <w:rsid w:val="00C42F45"/>
    <w:rsid w:val="00C42F97"/>
    <w:rsid w:val="00C43205"/>
    <w:rsid w:val="00C43478"/>
    <w:rsid w:val="00C4370F"/>
    <w:rsid w:val="00C4381F"/>
    <w:rsid w:val="00C4382E"/>
    <w:rsid w:val="00C4385F"/>
    <w:rsid w:val="00C4389F"/>
    <w:rsid w:val="00C4393E"/>
    <w:rsid w:val="00C43CAA"/>
    <w:rsid w:val="00C43DB2"/>
    <w:rsid w:val="00C43EB6"/>
    <w:rsid w:val="00C43FCD"/>
    <w:rsid w:val="00C43FF1"/>
    <w:rsid w:val="00C440F0"/>
    <w:rsid w:val="00C44966"/>
    <w:rsid w:val="00C44C20"/>
    <w:rsid w:val="00C44DA4"/>
    <w:rsid w:val="00C44E96"/>
    <w:rsid w:val="00C44F97"/>
    <w:rsid w:val="00C44FFE"/>
    <w:rsid w:val="00C45176"/>
    <w:rsid w:val="00C451BC"/>
    <w:rsid w:val="00C4527B"/>
    <w:rsid w:val="00C4566B"/>
    <w:rsid w:val="00C457C0"/>
    <w:rsid w:val="00C45900"/>
    <w:rsid w:val="00C45A11"/>
    <w:rsid w:val="00C45BAF"/>
    <w:rsid w:val="00C45DF5"/>
    <w:rsid w:val="00C45FA7"/>
    <w:rsid w:val="00C46063"/>
    <w:rsid w:val="00C4608A"/>
    <w:rsid w:val="00C461FB"/>
    <w:rsid w:val="00C462CD"/>
    <w:rsid w:val="00C4646A"/>
    <w:rsid w:val="00C46BF5"/>
    <w:rsid w:val="00C47054"/>
    <w:rsid w:val="00C47221"/>
    <w:rsid w:val="00C47280"/>
    <w:rsid w:val="00C472F7"/>
    <w:rsid w:val="00C4736D"/>
    <w:rsid w:val="00C473D7"/>
    <w:rsid w:val="00C474B7"/>
    <w:rsid w:val="00C47604"/>
    <w:rsid w:val="00C47649"/>
    <w:rsid w:val="00C47712"/>
    <w:rsid w:val="00C4771D"/>
    <w:rsid w:val="00C47949"/>
    <w:rsid w:val="00C47BDB"/>
    <w:rsid w:val="00C5011A"/>
    <w:rsid w:val="00C5065B"/>
    <w:rsid w:val="00C50737"/>
    <w:rsid w:val="00C507FC"/>
    <w:rsid w:val="00C50DF5"/>
    <w:rsid w:val="00C51018"/>
    <w:rsid w:val="00C51058"/>
    <w:rsid w:val="00C511EF"/>
    <w:rsid w:val="00C51850"/>
    <w:rsid w:val="00C51913"/>
    <w:rsid w:val="00C51B8E"/>
    <w:rsid w:val="00C51D6A"/>
    <w:rsid w:val="00C52063"/>
    <w:rsid w:val="00C520D9"/>
    <w:rsid w:val="00C5221B"/>
    <w:rsid w:val="00C522E8"/>
    <w:rsid w:val="00C523F5"/>
    <w:rsid w:val="00C5245B"/>
    <w:rsid w:val="00C52908"/>
    <w:rsid w:val="00C52BB9"/>
    <w:rsid w:val="00C52C9F"/>
    <w:rsid w:val="00C52E70"/>
    <w:rsid w:val="00C5344B"/>
    <w:rsid w:val="00C53484"/>
    <w:rsid w:val="00C536C4"/>
    <w:rsid w:val="00C537A3"/>
    <w:rsid w:val="00C5386B"/>
    <w:rsid w:val="00C53916"/>
    <w:rsid w:val="00C539C7"/>
    <w:rsid w:val="00C53B2E"/>
    <w:rsid w:val="00C53C87"/>
    <w:rsid w:val="00C53E76"/>
    <w:rsid w:val="00C53ECF"/>
    <w:rsid w:val="00C54132"/>
    <w:rsid w:val="00C54166"/>
    <w:rsid w:val="00C546B4"/>
    <w:rsid w:val="00C546BF"/>
    <w:rsid w:val="00C546F1"/>
    <w:rsid w:val="00C54A0B"/>
    <w:rsid w:val="00C54BE9"/>
    <w:rsid w:val="00C54C1A"/>
    <w:rsid w:val="00C54E3F"/>
    <w:rsid w:val="00C54E78"/>
    <w:rsid w:val="00C5509C"/>
    <w:rsid w:val="00C550EB"/>
    <w:rsid w:val="00C555AE"/>
    <w:rsid w:val="00C555D9"/>
    <w:rsid w:val="00C55A52"/>
    <w:rsid w:val="00C55AD6"/>
    <w:rsid w:val="00C55AF4"/>
    <w:rsid w:val="00C55B88"/>
    <w:rsid w:val="00C55E1C"/>
    <w:rsid w:val="00C55EA2"/>
    <w:rsid w:val="00C5613E"/>
    <w:rsid w:val="00C562EA"/>
    <w:rsid w:val="00C563EE"/>
    <w:rsid w:val="00C569BE"/>
    <w:rsid w:val="00C56B18"/>
    <w:rsid w:val="00C56C8B"/>
    <w:rsid w:val="00C56DC6"/>
    <w:rsid w:val="00C5705A"/>
    <w:rsid w:val="00C570D9"/>
    <w:rsid w:val="00C57136"/>
    <w:rsid w:val="00C57173"/>
    <w:rsid w:val="00C57466"/>
    <w:rsid w:val="00C574E2"/>
    <w:rsid w:val="00C57647"/>
    <w:rsid w:val="00C576DF"/>
    <w:rsid w:val="00C57969"/>
    <w:rsid w:val="00C57A1A"/>
    <w:rsid w:val="00C57A9F"/>
    <w:rsid w:val="00C57AD9"/>
    <w:rsid w:val="00C57BC5"/>
    <w:rsid w:val="00C57C0D"/>
    <w:rsid w:val="00C57C6F"/>
    <w:rsid w:val="00C57E71"/>
    <w:rsid w:val="00C600DE"/>
    <w:rsid w:val="00C60140"/>
    <w:rsid w:val="00C6018E"/>
    <w:rsid w:val="00C601A7"/>
    <w:rsid w:val="00C602E7"/>
    <w:rsid w:val="00C60576"/>
    <w:rsid w:val="00C60608"/>
    <w:rsid w:val="00C606AC"/>
    <w:rsid w:val="00C607C6"/>
    <w:rsid w:val="00C6099E"/>
    <w:rsid w:val="00C609B6"/>
    <w:rsid w:val="00C60B0F"/>
    <w:rsid w:val="00C60EF2"/>
    <w:rsid w:val="00C60F3E"/>
    <w:rsid w:val="00C6108C"/>
    <w:rsid w:val="00C611AE"/>
    <w:rsid w:val="00C6139D"/>
    <w:rsid w:val="00C6161C"/>
    <w:rsid w:val="00C61A25"/>
    <w:rsid w:val="00C61B01"/>
    <w:rsid w:val="00C61B87"/>
    <w:rsid w:val="00C61BE0"/>
    <w:rsid w:val="00C61E8A"/>
    <w:rsid w:val="00C6234D"/>
    <w:rsid w:val="00C6238F"/>
    <w:rsid w:val="00C626FD"/>
    <w:rsid w:val="00C6274B"/>
    <w:rsid w:val="00C62C21"/>
    <w:rsid w:val="00C62F4D"/>
    <w:rsid w:val="00C62F8A"/>
    <w:rsid w:val="00C63125"/>
    <w:rsid w:val="00C632C5"/>
    <w:rsid w:val="00C6364D"/>
    <w:rsid w:val="00C636B8"/>
    <w:rsid w:val="00C63C0E"/>
    <w:rsid w:val="00C6469E"/>
    <w:rsid w:val="00C64799"/>
    <w:rsid w:val="00C64ACA"/>
    <w:rsid w:val="00C64CBF"/>
    <w:rsid w:val="00C64CD6"/>
    <w:rsid w:val="00C64DC6"/>
    <w:rsid w:val="00C650D3"/>
    <w:rsid w:val="00C652DF"/>
    <w:rsid w:val="00C6542D"/>
    <w:rsid w:val="00C654E2"/>
    <w:rsid w:val="00C654F8"/>
    <w:rsid w:val="00C65624"/>
    <w:rsid w:val="00C6567B"/>
    <w:rsid w:val="00C659CF"/>
    <w:rsid w:val="00C65B54"/>
    <w:rsid w:val="00C65BAC"/>
    <w:rsid w:val="00C65C4F"/>
    <w:rsid w:val="00C65C8D"/>
    <w:rsid w:val="00C65DD0"/>
    <w:rsid w:val="00C65E78"/>
    <w:rsid w:val="00C65FB6"/>
    <w:rsid w:val="00C66077"/>
    <w:rsid w:val="00C66132"/>
    <w:rsid w:val="00C662CC"/>
    <w:rsid w:val="00C66360"/>
    <w:rsid w:val="00C669B7"/>
    <w:rsid w:val="00C669C9"/>
    <w:rsid w:val="00C669DF"/>
    <w:rsid w:val="00C66A30"/>
    <w:rsid w:val="00C66B0E"/>
    <w:rsid w:val="00C66DBF"/>
    <w:rsid w:val="00C66E03"/>
    <w:rsid w:val="00C66E75"/>
    <w:rsid w:val="00C670F6"/>
    <w:rsid w:val="00C67356"/>
    <w:rsid w:val="00C67409"/>
    <w:rsid w:val="00C674A9"/>
    <w:rsid w:val="00C6750E"/>
    <w:rsid w:val="00C67729"/>
    <w:rsid w:val="00C67777"/>
    <w:rsid w:val="00C67912"/>
    <w:rsid w:val="00C67A3D"/>
    <w:rsid w:val="00C67A83"/>
    <w:rsid w:val="00C67B3A"/>
    <w:rsid w:val="00C67D54"/>
    <w:rsid w:val="00C67E1C"/>
    <w:rsid w:val="00C67E61"/>
    <w:rsid w:val="00C67EFD"/>
    <w:rsid w:val="00C70028"/>
    <w:rsid w:val="00C7005B"/>
    <w:rsid w:val="00C70301"/>
    <w:rsid w:val="00C7033F"/>
    <w:rsid w:val="00C70397"/>
    <w:rsid w:val="00C70577"/>
    <w:rsid w:val="00C7066F"/>
    <w:rsid w:val="00C7088F"/>
    <w:rsid w:val="00C70902"/>
    <w:rsid w:val="00C70927"/>
    <w:rsid w:val="00C70CEF"/>
    <w:rsid w:val="00C70FFF"/>
    <w:rsid w:val="00C7110D"/>
    <w:rsid w:val="00C711C6"/>
    <w:rsid w:val="00C71228"/>
    <w:rsid w:val="00C713B1"/>
    <w:rsid w:val="00C713D8"/>
    <w:rsid w:val="00C71494"/>
    <w:rsid w:val="00C714AE"/>
    <w:rsid w:val="00C715E6"/>
    <w:rsid w:val="00C716E1"/>
    <w:rsid w:val="00C716E7"/>
    <w:rsid w:val="00C71778"/>
    <w:rsid w:val="00C719C4"/>
    <w:rsid w:val="00C71ADB"/>
    <w:rsid w:val="00C71B32"/>
    <w:rsid w:val="00C71BFC"/>
    <w:rsid w:val="00C71C6C"/>
    <w:rsid w:val="00C71D17"/>
    <w:rsid w:val="00C71EBA"/>
    <w:rsid w:val="00C72149"/>
    <w:rsid w:val="00C72283"/>
    <w:rsid w:val="00C72375"/>
    <w:rsid w:val="00C72B0B"/>
    <w:rsid w:val="00C72C75"/>
    <w:rsid w:val="00C72F0C"/>
    <w:rsid w:val="00C72F20"/>
    <w:rsid w:val="00C73334"/>
    <w:rsid w:val="00C73456"/>
    <w:rsid w:val="00C735AD"/>
    <w:rsid w:val="00C737D3"/>
    <w:rsid w:val="00C73A4D"/>
    <w:rsid w:val="00C73AA6"/>
    <w:rsid w:val="00C73C14"/>
    <w:rsid w:val="00C73D8D"/>
    <w:rsid w:val="00C73DEC"/>
    <w:rsid w:val="00C73E1E"/>
    <w:rsid w:val="00C73F9C"/>
    <w:rsid w:val="00C73FEC"/>
    <w:rsid w:val="00C74065"/>
    <w:rsid w:val="00C7421D"/>
    <w:rsid w:val="00C74279"/>
    <w:rsid w:val="00C7428C"/>
    <w:rsid w:val="00C742F1"/>
    <w:rsid w:val="00C74384"/>
    <w:rsid w:val="00C74447"/>
    <w:rsid w:val="00C745DE"/>
    <w:rsid w:val="00C747C5"/>
    <w:rsid w:val="00C748DA"/>
    <w:rsid w:val="00C74B0B"/>
    <w:rsid w:val="00C74B34"/>
    <w:rsid w:val="00C74B3F"/>
    <w:rsid w:val="00C74C65"/>
    <w:rsid w:val="00C74D91"/>
    <w:rsid w:val="00C74ED0"/>
    <w:rsid w:val="00C751ED"/>
    <w:rsid w:val="00C753DE"/>
    <w:rsid w:val="00C75467"/>
    <w:rsid w:val="00C7564B"/>
    <w:rsid w:val="00C75682"/>
    <w:rsid w:val="00C75849"/>
    <w:rsid w:val="00C758C7"/>
    <w:rsid w:val="00C75B59"/>
    <w:rsid w:val="00C75C99"/>
    <w:rsid w:val="00C75D6E"/>
    <w:rsid w:val="00C75D9E"/>
    <w:rsid w:val="00C75DCF"/>
    <w:rsid w:val="00C76191"/>
    <w:rsid w:val="00C761D8"/>
    <w:rsid w:val="00C764DC"/>
    <w:rsid w:val="00C7652D"/>
    <w:rsid w:val="00C7653A"/>
    <w:rsid w:val="00C76580"/>
    <w:rsid w:val="00C765C2"/>
    <w:rsid w:val="00C76771"/>
    <w:rsid w:val="00C76889"/>
    <w:rsid w:val="00C76A6D"/>
    <w:rsid w:val="00C76B01"/>
    <w:rsid w:val="00C76BDC"/>
    <w:rsid w:val="00C76CFA"/>
    <w:rsid w:val="00C76FB4"/>
    <w:rsid w:val="00C76FBB"/>
    <w:rsid w:val="00C770D8"/>
    <w:rsid w:val="00C77593"/>
    <w:rsid w:val="00C77BC4"/>
    <w:rsid w:val="00C77E80"/>
    <w:rsid w:val="00C80212"/>
    <w:rsid w:val="00C8046D"/>
    <w:rsid w:val="00C8098B"/>
    <w:rsid w:val="00C809AB"/>
    <w:rsid w:val="00C80AF1"/>
    <w:rsid w:val="00C80B10"/>
    <w:rsid w:val="00C80D2C"/>
    <w:rsid w:val="00C80DC4"/>
    <w:rsid w:val="00C80EB5"/>
    <w:rsid w:val="00C80F44"/>
    <w:rsid w:val="00C81099"/>
    <w:rsid w:val="00C8164B"/>
    <w:rsid w:val="00C8170A"/>
    <w:rsid w:val="00C81762"/>
    <w:rsid w:val="00C81862"/>
    <w:rsid w:val="00C81A17"/>
    <w:rsid w:val="00C81B49"/>
    <w:rsid w:val="00C81C5A"/>
    <w:rsid w:val="00C81CA0"/>
    <w:rsid w:val="00C822DE"/>
    <w:rsid w:val="00C82346"/>
    <w:rsid w:val="00C82407"/>
    <w:rsid w:val="00C82441"/>
    <w:rsid w:val="00C824C5"/>
    <w:rsid w:val="00C829BF"/>
    <w:rsid w:val="00C82CEC"/>
    <w:rsid w:val="00C82E31"/>
    <w:rsid w:val="00C82F41"/>
    <w:rsid w:val="00C83232"/>
    <w:rsid w:val="00C83337"/>
    <w:rsid w:val="00C8338C"/>
    <w:rsid w:val="00C83498"/>
    <w:rsid w:val="00C835E2"/>
    <w:rsid w:val="00C836D2"/>
    <w:rsid w:val="00C836DE"/>
    <w:rsid w:val="00C83CC7"/>
    <w:rsid w:val="00C83DFC"/>
    <w:rsid w:val="00C83E11"/>
    <w:rsid w:val="00C840DD"/>
    <w:rsid w:val="00C84113"/>
    <w:rsid w:val="00C845BF"/>
    <w:rsid w:val="00C845CA"/>
    <w:rsid w:val="00C8482C"/>
    <w:rsid w:val="00C848EB"/>
    <w:rsid w:val="00C850DD"/>
    <w:rsid w:val="00C8534B"/>
    <w:rsid w:val="00C8547A"/>
    <w:rsid w:val="00C854EB"/>
    <w:rsid w:val="00C85598"/>
    <w:rsid w:val="00C85672"/>
    <w:rsid w:val="00C858D6"/>
    <w:rsid w:val="00C85C52"/>
    <w:rsid w:val="00C85C89"/>
    <w:rsid w:val="00C85D98"/>
    <w:rsid w:val="00C85E9A"/>
    <w:rsid w:val="00C85EC6"/>
    <w:rsid w:val="00C86458"/>
    <w:rsid w:val="00C86630"/>
    <w:rsid w:val="00C868AC"/>
    <w:rsid w:val="00C86958"/>
    <w:rsid w:val="00C86ADD"/>
    <w:rsid w:val="00C86B37"/>
    <w:rsid w:val="00C86C23"/>
    <w:rsid w:val="00C86D24"/>
    <w:rsid w:val="00C86FEE"/>
    <w:rsid w:val="00C8717F"/>
    <w:rsid w:val="00C8729C"/>
    <w:rsid w:val="00C87302"/>
    <w:rsid w:val="00C87436"/>
    <w:rsid w:val="00C87728"/>
    <w:rsid w:val="00C87963"/>
    <w:rsid w:val="00C87B74"/>
    <w:rsid w:val="00C87B75"/>
    <w:rsid w:val="00C87D63"/>
    <w:rsid w:val="00C87DC7"/>
    <w:rsid w:val="00C87EB6"/>
    <w:rsid w:val="00C87FC3"/>
    <w:rsid w:val="00C904DD"/>
    <w:rsid w:val="00C9061A"/>
    <w:rsid w:val="00C90681"/>
    <w:rsid w:val="00C906F6"/>
    <w:rsid w:val="00C9081D"/>
    <w:rsid w:val="00C90CCA"/>
    <w:rsid w:val="00C90CF9"/>
    <w:rsid w:val="00C90F06"/>
    <w:rsid w:val="00C9106F"/>
    <w:rsid w:val="00C913D5"/>
    <w:rsid w:val="00C914BB"/>
    <w:rsid w:val="00C914E6"/>
    <w:rsid w:val="00C918F8"/>
    <w:rsid w:val="00C91A6F"/>
    <w:rsid w:val="00C91BAF"/>
    <w:rsid w:val="00C91ECF"/>
    <w:rsid w:val="00C91F41"/>
    <w:rsid w:val="00C91F9A"/>
    <w:rsid w:val="00C91FD5"/>
    <w:rsid w:val="00C9215C"/>
    <w:rsid w:val="00C92192"/>
    <w:rsid w:val="00C92281"/>
    <w:rsid w:val="00C92519"/>
    <w:rsid w:val="00C9255A"/>
    <w:rsid w:val="00C9271E"/>
    <w:rsid w:val="00C92A3F"/>
    <w:rsid w:val="00C92D22"/>
    <w:rsid w:val="00C92DB6"/>
    <w:rsid w:val="00C92E09"/>
    <w:rsid w:val="00C92EA7"/>
    <w:rsid w:val="00C92F69"/>
    <w:rsid w:val="00C93025"/>
    <w:rsid w:val="00C930C6"/>
    <w:rsid w:val="00C930D3"/>
    <w:rsid w:val="00C93832"/>
    <w:rsid w:val="00C93982"/>
    <w:rsid w:val="00C93CE6"/>
    <w:rsid w:val="00C93E0B"/>
    <w:rsid w:val="00C93F81"/>
    <w:rsid w:val="00C94024"/>
    <w:rsid w:val="00C941ED"/>
    <w:rsid w:val="00C943E7"/>
    <w:rsid w:val="00C94517"/>
    <w:rsid w:val="00C9465F"/>
    <w:rsid w:val="00C94895"/>
    <w:rsid w:val="00C94B2E"/>
    <w:rsid w:val="00C94B6C"/>
    <w:rsid w:val="00C94FD4"/>
    <w:rsid w:val="00C9501A"/>
    <w:rsid w:val="00C954F4"/>
    <w:rsid w:val="00C956B9"/>
    <w:rsid w:val="00C9576A"/>
    <w:rsid w:val="00C95A69"/>
    <w:rsid w:val="00C95A6A"/>
    <w:rsid w:val="00C960AF"/>
    <w:rsid w:val="00C96153"/>
    <w:rsid w:val="00C964EF"/>
    <w:rsid w:val="00C9650C"/>
    <w:rsid w:val="00C966E3"/>
    <w:rsid w:val="00C96739"/>
    <w:rsid w:val="00C96A32"/>
    <w:rsid w:val="00C96AF2"/>
    <w:rsid w:val="00C96C34"/>
    <w:rsid w:val="00C96C6B"/>
    <w:rsid w:val="00C973C5"/>
    <w:rsid w:val="00C974C2"/>
    <w:rsid w:val="00C97612"/>
    <w:rsid w:val="00C97A80"/>
    <w:rsid w:val="00C97B37"/>
    <w:rsid w:val="00C97D9C"/>
    <w:rsid w:val="00CA00CC"/>
    <w:rsid w:val="00CA043E"/>
    <w:rsid w:val="00CA05E6"/>
    <w:rsid w:val="00CA05FB"/>
    <w:rsid w:val="00CA0707"/>
    <w:rsid w:val="00CA07B3"/>
    <w:rsid w:val="00CA0921"/>
    <w:rsid w:val="00CA093E"/>
    <w:rsid w:val="00CA09BD"/>
    <w:rsid w:val="00CA0A24"/>
    <w:rsid w:val="00CA0BE5"/>
    <w:rsid w:val="00CA0D53"/>
    <w:rsid w:val="00CA0F47"/>
    <w:rsid w:val="00CA1178"/>
    <w:rsid w:val="00CA118F"/>
    <w:rsid w:val="00CA1250"/>
    <w:rsid w:val="00CA167F"/>
    <w:rsid w:val="00CA1908"/>
    <w:rsid w:val="00CA1A2C"/>
    <w:rsid w:val="00CA1C5C"/>
    <w:rsid w:val="00CA206A"/>
    <w:rsid w:val="00CA217C"/>
    <w:rsid w:val="00CA2196"/>
    <w:rsid w:val="00CA2303"/>
    <w:rsid w:val="00CA24C3"/>
    <w:rsid w:val="00CA2608"/>
    <w:rsid w:val="00CA26CD"/>
    <w:rsid w:val="00CA2745"/>
    <w:rsid w:val="00CA2900"/>
    <w:rsid w:val="00CA2AA9"/>
    <w:rsid w:val="00CA2ACF"/>
    <w:rsid w:val="00CA2DF5"/>
    <w:rsid w:val="00CA2E0A"/>
    <w:rsid w:val="00CA2F13"/>
    <w:rsid w:val="00CA3130"/>
    <w:rsid w:val="00CA316B"/>
    <w:rsid w:val="00CA35BE"/>
    <w:rsid w:val="00CA35C8"/>
    <w:rsid w:val="00CA36CD"/>
    <w:rsid w:val="00CA3928"/>
    <w:rsid w:val="00CA3C29"/>
    <w:rsid w:val="00CA3C57"/>
    <w:rsid w:val="00CA3D8C"/>
    <w:rsid w:val="00CA3DC8"/>
    <w:rsid w:val="00CA3E47"/>
    <w:rsid w:val="00CA3E61"/>
    <w:rsid w:val="00CA4058"/>
    <w:rsid w:val="00CA420E"/>
    <w:rsid w:val="00CA4331"/>
    <w:rsid w:val="00CA438B"/>
    <w:rsid w:val="00CA468A"/>
    <w:rsid w:val="00CA473A"/>
    <w:rsid w:val="00CA4904"/>
    <w:rsid w:val="00CA49A4"/>
    <w:rsid w:val="00CA4A96"/>
    <w:rsid w:val="00CA4C80"/>
    <w:rsid w:val="00CA4C9D"/>
    <w:rsid w:val="00CA4CFC"/>
    <w:rsid w:val="00CA4D88"/>
    <w:rsid w:val="00CA520C"/>
    <w:rsid w:val="00CA5269"/>
    <w:rsid w:val="00CA52FE"/>
    <w:rsid w:val="00CA59B0"/>
    <w:rsid w:val="00CA5B0A"/>
    <w:rsid w:val="00CA5C39"/>
    <w:rsid w:val="00CA5C90"/>
    <w:rsid w:val="00CA5E30"/>
    <w:rsid w:val="00CA6070"/>
    <w:rsid w:val="00CA609E"/>
    <w:rsid w:val="00CA6100"/>
    <w:rsid w:val="00CA6171"/>
    <w:rsid w:val="00CA61A3"/>
    <w:rsid w:val="00CA624E"/>
    <w:rsid w:val="00CA628A"/>
    <w:rsid w:val="00CA6567"/>
    <w:rsid w:val="00CA65FB"/>
    <w:rsid w:val="00CA6647"/>
    <w:rsid w:val="00CA66B6"/>
    <w:rsid w:val="00CA66D3"/>
    <w:rsid w:val="00CA69B9"/>
    <w:rsid w:val="00CA6C54"/>
    <w:rsid w:val="00CA6E2F"/>
    <w:rsid w:val="00CA6F22"/>
    <w:rsid w:val="00CA6F85"/>
    <w:rsid w:val="00CA70CB"/>
    <w:rsid w:val="00CA70F1"/>
    <w:rsid w:val="00CA72AA"/>
    <w:rsid w:val="00CA76CE"/>
    <w:rsid w:val="00CA7999"/>
    <w:rsid w:val="00CA7EE0"/>
    <w:rsid w:val="00CA7F14"/>
    <w:rsid w:val="00CA7FA5"/>
    <w:rsid w:val="00CB021B"/>
    <w:rsid w:val="00CB037D"/>
    <w:rsid w:val="00CB03BF"/>
    <w:rsid w:val="00CB053C"/>
    <w:rsid w:val="00CB0558"/>
    <w:rsid w:val="00CB05B5"/>
    <w:rsid w:val="00CB05F5"/>
    <w:rsid w:val="00CB07CF"/>
    <w:rsid w:val="00CB084A"/>
    <w:rsid w:val="00CB09A0"/>
    <w:rsid w:val="00CB09BA"/>
    <w:rsid w:val="00CB0B18"/>
    <w:rsid w:val="00CB0C84"/>
    <w:rsid w:val="00CB0C89"/>
    <w:rsid w:val="00CB0F7A"/>
    <w:rsid w:val="00CB1020"/>
    <w:rsid w:val="00CB1105"/>
    <w:rsid w:val="00CB12FD"/>
    <w:rsid w:val="00CB1685"/>
    <w:rsid w:val="00CB1943"/>
    <w:rsid w:val="00CB1B9C"/>
    <w:rsid w:val="00CB1BB7"/>
    <w:rsid w:val="00CB1C40"/>
    <w:rsid w:val="00CB1C7E"/>
    <w:rsid w:val="00CB1E39"/>
    <w:rsid w:val="00CB1E70"/>
    <w:rsid w:val="00CB21C9"/>
    <w:rsid w:val="00CB2277"/>
    <w:rsid w:val="00CB242F"/>
    <w:rsid w:val="00CB243A"/>
    <w:rsid w:val="00CB24FC"/>
    <w:rsid w:val="00CB25E1"/>
    <w:rsid w:val="00CB2935"/>
    <w:rsid w:val="00CB29B3"/>
    <w:rsid w:val="00CB29E0"/>
    <w:rsid w:val="00CB2A90"/>
    <w:rsid w:val="00CB2CA0"/>
    <w:rsid w:val="00CB30C2"/>
    <w:rsid w:val="00CB32BF"/>
    <w:rsid w:val="00CB3447"/>
    <w:rsid w:val="00CB34ED"/>
    <w:rsid w:val="00CB3559"/>
    <w:rsid w:val="00CB388A"/>
    <w:rsid w:val="00CB39C2"/>
    <w:rsid w:val="00CB3A31"/>
    <w:rsid w:val="00CB3A76"/>
    <w:rsid w:val="00CB3B05"/>
    <w:rsid w:val="00CB3B4A"/>
    <w:rsid w:val="00CB3C9A"/>
    <w:rsid w:val="00CB3EE4"/>
    <w:rsid w:val="00CB40D1"/>
    <w:rsid w:val="00CB4144"/>
    <w:rsid w:val="00CB43A2"/>
    <w:rsid w:val="00CB450F"/>
    <w:rsid w:val="00CB45E0"/>
    <w:rsid w:val="00CB4855"/>
    <w:rsid w:val="00CB487F"/>
    <w:rsid w:val="00CB4AF4"/>
    <w:rsid w:val="00CB5239"/>
    <w:rsid w:val="00CB52D8"/>
    <w:rsid w:val="00CB53E4"/>
    <w:rsid w:val="00CB5566"/>
    <w:rsid w:val="00CB5677"/>
    <w:rsid w:val="00CB5934"/>
    <w:rsid w:val="00CB5A7E"/>
    <w:rsid w:val="00CB5B1B"/>
    <w:rsid w:val="00CB5B91"/>
    <w:rsid w:val="00CB5D89"/>
    <w:rsid w:val="00CB5FD7"/>
    <w:rsid w:val="00CB659F"/>
    <w:rsid w:val="00CB67D4"/>
    <w:rsid w:val="00CB6800"/>
    <w:rsid w:val="00CB6A9F"/>
    <w:rsid w:val="00CB6B11"/>
    <w:rsid w:val="00CB6DC1"/>
    <w:rsid w:val="00CB6F91"/>
    <w:rsid w:val="00CB6F97"/>
    <w:rsid w:val="00CB73CA"/>
    <w:rsid w:val="00CB74DE"/>
    <w:rsid w:val="00CB7564"/>
    <w:rsid w:val="00CB770F"/>
    <w:rsid w:val="00CB7748"/>
    <w:rsid w:val="00CB7999"/>
    <w:rsid w:val="00CB7A08"/>
    <w:rsid w:val="00CB7A1F"/>
    <w:rsid w:val="00CB7AA1"/>
    <w:rsid w:val="00CB7ACB"/>
    <w:rsid w:val="00CB7E00"/>
    <w:rsid w:val="00CB7E61"/>
    <w:rsid w:val="00CB7F2C"/>
    <w:rsid w:val="00CB7F59"/>
    <w:rsid w:val="00CC006F"/>
    <w:rsid w:val="00CC008B"/>
    <w:rsid w:val="00CC0292"/>
    <w:rsid w:val="00CC03C4"/>
    <w:rsid w:val="00CC053D"/>
    <w:rsid w:val="00CC0875"/>
    <w:rsid w:val="00CC0D61"/>
    <w:rsid w:val="00CC1604"/>
    <w:rsid w:val="00CC172D"/>
    <w:rsid w:val="00CC1A25"/>
    <w:rsid w:val="00CC1A37"/>
    <w:rsid w:val="00CC1B49"/>
    <w:rsid w:val="00CC1B76"/>
    <w:rsid w:val="00CC1E09"/>
    <w:rsid w:val="00CC2001"/>
    <w:rsid w:val="00CC20EF"/>
    <w:rsid w:val="00CC23DA"/>
    <w:rsid w:val="00CC24A5"/>
    <w:rsid w:val="00CC2597"/>
    <w:rsid w:val="00CC260F"/>
    <w:rsid w:val="00CC268B"/>
    <w:rsid w:val="00CC26FC"/>
    <w:rsid w:val="00CC286C"/>
    <w:rsid w:val="00CC2A72"/>
    <w:rsid w:val="00CC2A77"/>
    <w:rsid w:val="00CC2B8F"/>
    <w:rsid w:val="00CC2BAE"/>
    <w:rsid w:val="00CC2C43"/>
    <w:rsid w:val="00CC2C7F"/>
    <w:rsid w:val="00CC2D99"/>
    <w:rsid w:val="00CC2DBF"/>
    <w:rsid w:val="00CC2DF9"/>
    <w:rsid w:val="00CC30BF"/>
    <w:rsid w:val="00CC3101"/>
    <w:rsid w:val="00CC318D"/>
    <w:rsid w:val="00CC322F"/>
    <w:rsid w:val="00CC38B0"/>
    <w:rsid w:val="00CC39E0"/>
    <w:rsid w:val="00CC3AD3"/>
    <w:rsid w:val="00CC3B73"/>
    <w:rsid w:val="00CC3B94"/>
    <w:rsid w:val="00CC3D06"/>
    <w:rsid w:val="00CC3F36"/>
    <w:rsid w:val="00CC4110"/>
    <w:rsid w:val="00CC4133"/>
    <w:rsid w:val="00CC4199"/>
    <w:rsid w:val="00CC41C9"/>
    <w:rsid w:val="00CC4B6D"/>
    <w:rsid w:val="00CC4D27"/>
    <w:rsid w:val="00CC4DCD"/>
    <w:rsid w:val="00CC52CB"/>
    <w:rsid w:val="00CC5486"/>
    <w:rsid w:val="00CC561B"/>
    <w:rsid w:val="00CC563C"/>
    <w:rsid w:val="00CC56BC"/>
    <w:rsid w:val="00CC5856"/>
    <w:rsid w:val="00CC5DDC"/>
    <w:rsid w:val="00CC616D"/>
    <w:rsid w:val="00CC62B5"/>
    <w:rsid w:val="00CC62C4"/>
    <w:rsid w:val="00CC677B"/>
    <w:rsid w:val="00CC6914"/>
    <w:rsid w:val="00CC6958"/>
    <w:rsid w:val="00CC6BF6"/>
    <w:rsid w:val="00CC6BFD"/>
    <w:rsid w:val="00CC6CE0"/>
    <w:rsid w:val="00CC6E6D"/>
    <w:rsid w:val="00CC72B7"/>
    <w:rsid w:val="00CC73B5"/>
    <w:rsid w:val="00CC78BA"/>
    <w:rsid w:val="00CC798B"/>
    <w:rsid w:val="00CC7B3C"/>
    <w:rsid w:val="00CC7C88"/>
    <w:rsid w:val="00CC7D05"/>
    <w:rsid w:val="00CC7D56"/>
    <w:rsid w:val="00CC7DBE"/>
    <w:rsid w:val="00CC7F7D"/>
    <w:rsid w:val="00CD028D"/>
    <w:rsid w:val="00CD02F7"/>
    <w:rsid w:val="00CD0411"/>
    <w:rsid w:val="00CD06D4"/>
    <w:rsid w:val="00CD0DF1"/>
    <w:rsid w:val="00CD0E53"/>
    <w:rsid w:val="00CD1091"/>
    <w:rsid w:val="00CD10FF"/>
    <w:rsid w:val="00CD12ED"/>
    <w:rsid w:val="00CD148E"/>
    <w:rsid w:val="00CD1547"/>
    <w:rsid w:val="00CD1655"/>
    <w:rsid w:val="00CD16C3"/>
    <w:rsid w:val="00CD1B7F"/>
    <w:rsid w:val="00CD1DE4"/>
    <w:rsid w:val="00CD1F3B"/>
    <w:rsid w:val="00CD227E"/>
    <w:rsid w:val="00CD2537"/>
    <w:rsid w:val="00CD256C"/>
    <w:rsid w:val="00CD28EC"/>
    <w:rsid w:val="00CD2ABB"/>
    <w:rsid w:val="00CD2B4A"/>
    <w:rsid w:val="00CD2B4B"/>
    <w:rsid w:val="00CD2EF0"/>
    <w:rsid w:val="00CD30FE"/>
    <w:rsid w:val="00CD3272"/>
    <w:rsid w:val="00CD338E"/>
    <w:rsid w:val="00CD344E"/>
    <w:rsid w:val="00CD3453"/>
    <w:rsid w:val="00CD3507"/>
    <w:rsid w:val="00CD39A7"/>
    <w:rsid w:val="00CD39F4"/>
    <w:rsid w:val="00CD3B85"/>
    <w:rsid w:val="00CD3C96"/>
    <w:rsid w:val="00CD3CB4"/>
    <w:rsid w:val="00CD3D40"/>
    <w:rsid w:val="00CD402C"/>
    <w:rsid w:val="00CD4306"/>
    <w:rsid w:val="00CD4646"/>
    <w:rsid w:val="00CD4682"/>
    <w:rsid w:val="00CD4728"/>
    <w:rsid w:val="00CD47C4"/>
    <w:rsid w:val="00CD47DC"/>
    <w:rsid w:val="00CD4A4A"/>
    <w:rsid w:val="00CD4ADE"/>
    <w:rsid w:val="00CD4B8E"/>
    <w:rsid w:val="00CD4B9F"/>
    <w:rsid w:val="00CD4C34"/>
    <w:rsid w:val="00CD4F5F"/>
    <w:rsid w:val="00CD518E"/>
    <w:rsid w:val="00CD5228"/>
    <w:rsid w:val="00CD52AF"/>
    <w:rsid w:val="00CD5431"/>
    <w:rsid w:val="00CD5497"/>
    <w:rsid w:val="00CD5633"/>
    <w:rsid w:val="00CD570F"/>
    <w:rsid w:val="00CD572F"/>
    <w:rsid w:val="00CD5760"/>
    <w:rsid w:val="00CD5C5B"/>
    <w:rsid w:val="00CD5C89"/>
    <w:rsid w:val="00CD5DDC"/>
    <w:rsid w:val="00CD6094"/>
    <w:rsid w:val="00CD6436"/>
    <w:rsid w:val="00CD6934"/>
    <w:rsid w:val="00CD6C71"/>
    <w:rsid w:val="00CD6D53"/>
    <w:rsid w:val="00CD6E30"/>
    <w:rsid w:val="00CD6FFC"/>
    <w:rsid w:val="00CD70AC"/>
    <w:rsid w:val="00CD7124"/>
    <w:rsid w:val="00CD72CD"/>
    <w:rsid w:val="00CD750A"/>
    <w:rsid w:val="00CD75AB"/>
    <w:rsid w:val="00CD789E"/>
    <w:rsid w:val="00CD7FA5"/>
    <w:rsid w:val="00CD7FD8"/>
    <w:rsid w:val="00CE00DB"/>
    <w:rsid w:val="00CE0173"/>
    <w:rsid w:val="00CE028A"/>
    <w:rsid w:val="00CE0643"/>
    <w:rsid w:val="00CE084B"/>
    <w:rsid w:val="00CE0973"/>
    <w:rsid w:val="00CE0A74"/>
    <w:rsid w:val="00CE0AAF"/>
    <w:rsid w:val="00CE0B36"/>
    <w:rsid w:val="00CE0B4E"/>
    <w:rsid w:val="00CE0B88"/>
    <w:rsid w:val="00CE0BB8"/>
    <w:rsid w:val="00CE1199"/>
    <w:rsid w:val="00CE1553"/>
    <w:rsid w:val="00CE16D9"/>
    <w:rsid w:val="00CE1A10"/>
    <w:rsid w:val="00CE1B0A"/>
    <w:rsid w:val="00CE1B4B"/>
    <w:rsid w:val="00CE1CF4"/>
    <w:rsid w:val="00CE1EF6"/>
    <w:rsid w:val="00CE210A"/>
    <w:rsid w:val="00CE227A"/>
    <w:rsid w:val="00CE2580"/>
    <w:rsid w:val="00CE2697"/>
    <w:rsid w:val="00CE2865"/>
    <w:rsid w:val="00CE28C1"/>
    <w:rsid w:val="00CE2C1F"/>
    <w:rsid w:val="00CE2C31"/>
    <w:rsid w:val="00CE2C61"/>
    <w:rsid w:val="00CE2D83"/>
    <w:rsid w:val="00CE2E77"/>
    <w:rsid w:val="00CE30AB"/>
    <w:rsid w:val="00CE34D1"/>
    <w:rsid w:val="00CE3ADB"/>
    <w:rsid w:val="00CE3B34"/>
    <w:rsid w:val="00CE3B89"/>
    <w:rsid w:val="00CE3D16"/>
    <w:rsid w:val="00CE40CB"/>
    <w:rsid w:val="00CE42D2"/>
    <w:rsid w:val="00CE4317"/>
    <w:rsid w:val="00CE44F6"/>
    <w:rsid w:val="00CE4633"/>
    <w:rsid w:val="00CE47AF"/>
    <w:rsid w:val="00CE4967"/>
    <w:rsid w:val="00CE4A73"/>
    <w:rsid w:val="00CE4BAA"/>
    <w:rsid w:val="00CE4E19"/>
    <w:rsid w:val="00CE5062"/>
    <w:rsid w:val="00CE51BD"/>
    <w:rsid w:val="00CE5223"/>
    <w:rsid w:val="00CE5304"/>
    <w:rsid w:val="00CE5481"/>
    <w:rsid w:val="00CE5601"/>
    <w:rsid w:val="00CE58DE"/>
    <w:rsid w:val="00CE59A5"/>
    <w:rsid w:val="00CE5A79"/>
    <w:rsid w:val="00CE5B68"/>
    <w:rsid w:val="00CE5CBA"/>
    <w:rsid w:val="00CE5FC1"/>
    <w:rsid w:val="00CE6075"/>
    <w:rsid w:val="00CE6191"/>
    <w:rsid w:val="00CE61A3"/>
    <w:rsid w:val="00CE6550"/>
    <w:rsid w:val="00CE6759"/>
    <w:rsid w:val="00CE69BC"/>
    <w:rsid w:val="00CE6A59"/>
    <w:rsid w:val="00CE6B26"/>
    <w:rsid w:val="00CE6DD1"/>
    <w:rsid w:val="00CE6DDB"/>
    <w:rsid w:val="00CE7046"/>
    <w:rsid w:val="00CE704B"/>
    <w:rsid w:val="00CE70C5"/>
    <w:rsid w:val="00CE70E5"/>
    <w:rsid w:val="00CE71D2"/>
    <w:rsid w:val="00CE73A7"/>
    <w:rsid w:val="00CE7451"/>
    <w:rsid w:val="00CE7467"/>
    <w:rsid w:val="00CE7695"/>
    <w:rsid w:val="00CE7807"/>
    <w:rsid w:val="00CE78F1"/>
    <w:rsid w:val="00CE7ACE"/>
    <w:rsid w:val="00CE7B1B"/>
    <w:rsid w:val="00CE7D84"/>
    <w:rsid w:val="00CE7E0D"/>
    <w:rsid w:val="00CE7E23"/>
    <w:rsid w:val="00CE7FF1"/>
    <w:rsid w:val="00CF009B"/>
    <w:rsid w:val="00CF0128"/>
    <w:rsid w:val="00CF017A"/>
    <w:rsid w:val="00CF0193"/>
    <w:rsid w:val="00CF01F3"/>
    <w:rsid w:val="00CF02C9"/>
    <w:rsid w:val="00CF03A5"/>
    <w:rsid w:val="00CF06DA"/>
    <w:rsid w:val="00CF07F0"/>
    <w:rsid w:val="00CF08F3"/>
    <w:rsid w:val="00CF094F"/>
    <w:rsid w:val="00CF0D75"/>
    <w:rsid w:val="00CF0E9A"/>
    <w:rsid w:val="00CF0F63"/>
    <w:rsid w:val="00CF12ED"/>
    <w:rsid w:val="00CF176B"/>
    <w:rsid w:val="00CF1849"/>
    <w:rsid w:val="00CF1ACA"/>
    <w:rsid w:val="00CF1AE2"/>
    <w:rsid w:val="00CF1C5B"/>
    <w:rsid w:val="00CF20A8"/>
    <w:rsid w:val="00CF21D3"/>
    <w:rsid w:val="00CF23A0"/>
    <w:rsid w:val="00CF248C"/>
    <w:rsid w:val="00CF28D4"/>
    <w:rsid w:val="00CF2928"/>
    <w:rsid w:val="00CF2965"/>
    <w:rsid w:val="00CF2A19"/>
    <w:rsid w:val="00CF2C46"/>
    <w:rsid w:val="00CF2ED1"/>
    <w:rsid w:val="00CF3205"/>
    <w:rsid w:val="00CF33E2"/>
    <w:rsid w:val="00CF347B"/>
    <w:rsid w:val="00CF34E3"/>
    <w:rsid w:val="00CF35C3"/>
    <w:rsid w:val="00CF3690"/>
    <w:rsid w:val="00CF383C"/>
    <w:rsid w:val="00CF39FF"/>
    <w:rsid w:val="00CF3B5A"/>
    <w:rsid w:val="00CF3BBD"/>
    <w:rsid w:val="00CF4158"/>
    <w:rsid w:val="00CF421E"/>
    <w:rsid w:val="00CF42F4"/>
    <w:rsid w:val="00CF45BB"/>
    <w:rsid w:val="00CF4792"/>
    <w:rsid w:val="00CF49EE"/>
    <w:rsid w:val="00CF4C74"/>
    <w:rsid w:val="00CF5594"/>
    <w:rsid w:val="00CF5627"/>
    <w:rsid w:val="00CF568F"/>
    <w:rsid w:val="00CF57CA"/>
    <w:rsid w:val="00CF580E"/>
    <w:rsid w:val="00CF5AD2"/>
    <w:rsid w:val="00CF5C50"/>
    <w:rsid w:val="00CF5D40"/>
    <w:rsid w:val="00CF5DC4"/>
    <w:rsid w:val="00CF5FA0"/>
    <w:rsid w:val="00CF5FAB"/>
    <w:rsid w:val="00CF611D"/>
    <w:rsid w:val="00CF6122"/>
    <w:rsid w:val="00CF62F0"/>
    <w:rsid w:val="00CF6383"/>
    <w:rsid w:val="00CF653D"/>
    <w:rsid w:val="00CF6606"/>
    <w:rsid w:val="00CF6651"/>
    <w:rsid w:val="00CF676E"/>
    <w:rsid w:val="00CF68A5"/>
    <w:rsid w:val="00CF6B27"/>
    <w:rsid w:val="00CF6B4A"/>
    <w:rsid w:val="00CF6CD7"/>
    <w:rsid w:val="00CF6D64"/>
    <w:rsid w:val="00CF6DE2"/>
    <w:rsid w:val="00CF7036"/>
    <w:rsid w:val="00CF7038"/>
    <w:rsid w:val="00CF7342"/>
    <w:rsid w:val="00CF739A"/>
    <w:rsid w:val="00CF766F"/>
    <w:rsid w:val="00CF7806"/>
    <w:rsid w:val="00CF78B2"/>
    <w:rsid w:val="00CF78CF"/>
    <w:rsid w:val="00CF7B25"/>
    <w:rsid w:val="00CF7C16"/>
    <w:rsid w:val="00CF7F82"/>
    <w:rsid w:val="00D00222"/>
    <w:rsid w:val="00D00346"/>
    <w:rsid w:val="00D0039F"/>
    <w:rsid w:val="00D00480"/>
    <w:rsid w:val="00D009FF"/>
    <w:rsid w:val="00D00C6F"/>
    <w:rsid w:val="00D00D04"/>
    <w:rsid w:val="00D00DF7"/>
    <w:rsid w:val="00D00E97"/>
    <w:rsid w:val="00D00EC0"/>
    <w:rsid w:val="00D00F1D"/>
    <w:rsid w:val="00D00F6C"/>
    <w:rsid w:val="00D013F8"/>
    <w:rsid w:val="00D0186D"/>
    <w:rsid w:val="00D01950"/>
    <w:rsid w:val="00D01C42"/>
    <w:rsid w:val="00D01E3E"/>
    <w:rsid w:val="00D01F26"/>
    <w:rsid w:val="00D01FEB"/>
    <w:rsid w:val="00D022AD"/>
    <w:rsid w:val="00D0243F"/>
    <w:rsid w:val="00D02745"/>
    <w:rsid w:val="00D02A59"/>
    <w:rsid w:val="00D02AB0"/>
    <w:rsid w:val="00D02B88"/>
    <w:rsid w:val="00D02BBF"/>
    <w:rsid w:val="00D02C43"/>
    <w:rsid w:val="00D02DCC"/>
    <w:rsid w:val="00D02FB3"/>
    <w:rsid w:val="00D03004"/>
    <w:rsid w:val="00D03027"/>
    <w:rsid w:val="00D03030"/>
    <w:rsid w:val="00D03184"/>
    <w:rsid w:val="00D03442"/>
    <w:rsid w:val="00D036BC"/>
    <w:rsid w:val="00D037AC"/>
    <w:rsid w:val="00D037D9"/>
    <w:rsid w:val="00D037E7"/>
    <w:rsid w:val="00D0382B"/>
    <w:rsid w:val="00D03D93"/>
    <w:rsid w:val="00D0456B"/>
    <w:rsid w:val="00D046F0"/>
    <w:rsid w:val="00D047F7"/>
    <w:rsid w:val="00D04854"/>
    <w:rsid w:val="00D049CA"/>
    <w:rsid w:val="00D04AF1"/>
    <w:rsid w:val="00D04DE7"/>
    <w:rsid w:val="00D05001"/>
    <w:rsid w:val="00D05197"/>
    <w:rsid w:val="00D05259"/>
    <w:rsid w:val="00D05372"/>
    <w:rsid w:val="00D054A1"/>
    <w:rsid w:val="00D055BD"/>
    <w:rsid w:val="00D05703"/>
    <w:rsid w:val="00D0574B"/>
    <w:rsid w:val="00D05B5B"/>
    <w:rsid w:val="00D05CBC"/>
    <w:rsid w:val="00D05D2C"/>
    <w:rsid w:val="00D05D3B"/>
    <w:rsid w:val="00D05E71"/>
    <w:rsid w:val="00D05FF9"/>
    <w:rsid w:val="00D061D0"/>
    <w:rsid w:val="00D0630B"/>
    <w:rsid w:val="00D06318"/>
    <w:rsid w:val="00D06737"/>
    <w:rsid w:val="00D06C6C"/>
    <w:rsid w:val="00D06D50"/>
    <w:rsid w:val="00D072A0"/>
    <w:rsid w:val="00D072BE"/>
    <w:rsid w:val="00D07AC4"/>
    <w:rsid w:val="00D07D4D"/>
    <w:rsid w:val="00D10050"/>
    <w:rsid w:val="00D104A3"/>
    <w:rsid w:val="00D10540"/>
    <w:rsid w:val="00D10679"/>
    <w:rsid w:val="00D1077F"/>
    <w:rsid w:val="00D108DB"/>
    <w:rsid w:val="00D109E5"/>
    <w:rsid w:val="00D109EF"/>
    <w:rsid w:val="00D10D70"/>
    <w:rsid w:val="00D110E2"/>
    <w:rsid w:val="00D11286"/>
    <w:rsid w:val="00D1143F"/>
    <w:rsid w:val="00D1145E"/>
    <w:rsid w:val="00D114D9"/>
    <w:rsid w:val="00D116CD"/>
    <w:rsid w:val="00D11AE8"/>
    <w:rsid w:val="00D11BF1"/>
    <w:rsid w:val="00D11C49"/>
    <w:rsid w:val="00D11DE8"/>
    <w:rsid w:val="00D120CF"/>
    <w:rsid w:val="00D12405"/>
    <w:rsid w:val="00D127B3"/>
    <w:rsid w:val="00D1291D"/>
    <w:rsid w:val="00D12E0D"/>
    <w:rsid w:val="00D131A0"/>
    <w:rsid w:val="00D13250"/>
    <w:rsid w:val="00D133C0"/>
    <w:rsid w:val="00D1341C"/>
    <w:rsid w:val="00D13454"/>
    <w:rsid w:val="00D135DA"/>
    <w:rsid w:val="00D13600"/>
    <w:rsid w:val="00D13A8D"/>
    <w:rsid w:val="00D13B32"/>
    <w:rsid w:val="00D13FC4"/>
    <w:rsid w:val="00D13FF6"/>
    <w:rsid w:val="00D1421F"/>
    <w:rsid w:val="00D14220"/>
    <w:rsid w:val="00D1435E"/>
    <w:rsid w:val="00D15108"/>
    <w:rsid w:val="00D1512F"/>
    <w:rsid w:val="00D152BD"/>
    <w:rsid w:val="00D153C2"/>
    <w:rsid w:val="00D15638"/>
    <w:rsid w:val="00D1564C"/>
    <w:rsid w:val="00D15742"/>
    <w:rsid w:val="00D1597B"/>
    <w:rsid w:val="00D15994"/>
    <w:rsid w:val="00D15C07"/>
    <w:rsid w:val="00D15CA2"/>
    <w:rsid w:val="00D15D85"/>
    <w:rsid w:val="00D1603F"/>
    <w:rsid w:val="00D160B2"/>
    <w:rsid w:val="00D1627E"/>
    <w:rsid w:val="00D16283"/>
    <w:rsid w:val="00D16346"/>
    <w:rsid w:val="00D16499"/>
    <w:rsid w:val="00D16519"/>
    <w:rsid w:val="00D16546"/>
    <w:rsid w:val="00D1669F"/>
    <w:rsid w:val="00D1673F"/>
    <w:rsid w:val="00D16C35"/>
    <w:rsid w:val="00D16E8F"/>
    <w:rsid w:val="00D16EE9"/>
    <w:rsid w:val="00D171A4"/>
    <w:rsid w:val="00D171F0"/>
    <w:rsid w:val="00D1724E"/>
    <w:rsid w:val="00D1727B"/>
    <w:rsid w:val="00D1736A"/>
    <w:rsid w:val="00D173A0"/>
    <w:rsid w:val="00D17534"/>
    <w:rsid w:val="00D17657"/>
    <w:rsid w:val="00D177C7"/>
    <w:rsid w:val="00D17831"/>
    <w:rsid w:val="00D17BC8"/>
    <w:rsid w:val="00D17F28"/>
    <w:rsid w:val="00D17F8C"/>
    <w:rsid w:val="00D20055"/>
    <w:rsid w:val="00D201AD"/>
    <w:rsid w:val="00D20345"/>
    <w:rsid w:val="00D2061E"/>
    <w:rsid w:val="00D20950"/>
    <w:rsid w:val="00D20E2A"/>
    <w:rsid w:val="00D20F96"/>
    <w:rsid w:val="00D212A8"/>
    <w:rsid w:val="00D21385"/>
    <w:rsid w:val="00D21423"/>
    <w:rsid w:val="00D21512"/>
    <w:rsid w:val="00D21601"/>
    <w:rsid w:val="00D218E0"/>
    <w:rsid w:val="00D2192E"/>
    <w:rsid w:val="00D21C43"/>
    <w:rsid w:val="00D21C82"/>
    <w:rsid w:val="00D22009"/>
    <w:rsid w:val="00D22289"/>
    <w:rsid w:val="00D2240F"/>
    <w:rsid w:val="00D22424"/>
    <w:rsid w:val="00D2254A"/>
    <w:rsid w:val="00D225EF"/>
    <w:rsid w:val="00D2281D"/>
    <w:rsid w:val="00D228FB"/>
    <w:rsid w:val="00D22BC5"/>
    <w:rsid w:val="00D22CDD"/>
    <w:rsid w:val="00D22CED"/>
    <w:rsid w:val="00D22D95"/>
    <w:rsid w:val="00D22DFB"/>
    <w:rsid w:val="00D22EAC"/>
    <w:rsid w:val="00D22F28"/>
    <w:rsid w:val="00D230D9"/>
    <w:rsid w:val="00D23179"/>
    <w:rsid w:val="00D23228"/>
    <w:rsid w:val="00D23270"/>
    <w:rsid w:val="00D234FF"/>
    <w:rsid w:val="00D23538"/>
    <w:rsid w:val="00D235CD"/>
    <w:rsid w:val="00D2379F"/>
    <w:rsid w:val="00D238E1"/>
    <w:rsid w:val="00D23915"/>
    <w:rsid w:val="00D23941"/>
    <w:rsid w:val="00D23A68"/>
    <w:rsid w:val="00D23CAB"/>
    <w:rsid w:val="00D23CFB"/>
    <w:rsid w:val="00D23CFD"/>
    <w:rsid w:val="00D23D3C"/>
    <w:rsid w:val="00D23DBF"/>
    <w:rsid w:val="00D23EAC"/>
    <w:rsid w:val="00D24522"/>
    <w:rsid w:val="00D24710"/>
    <w:rsid w:val="00D247D1"/>
    <w:rsid w:val="00D2494E"/>
    <w:rsid w:val="00D249E2"/>
    <w:rsid w:val="00D24A5B"/>
    <w:rsid w:val="00D24D76"/>
    <w:rsid w:val="00D24D87"/>
    <w:rsid w:val="00D24D9B"/>
    <w:rsid w:val="00D25095"/>
    <w:rsid w:val="00D25270"/>
    <w:rsid w:val="00D2530A"/>
    <w:rsid w:val="00D2532E"/>
    <w:rsid w:val="00D25703"/>
    <w:rsid w:val="00D25960"/>
    <w:rsid w:val="00D259CA"/>
    <w:rsid w:val="00D25A0D"/>
    <w:rsid w:val="00D25B67"/>
    <w:rsid w:val="00D25DE0"/>
    <w:rsid w:val="00D26033"/>
    <w:rsid w:val="00D261ED"/>
    <w:rsid w:val="00D2636D"/>
    <w:rsid w:val="00D265B7"/>
    <w:rsid w:val="00D266F6"/>
    <w:rsid w:val="00D2677C"/>
    <w:rsid w:val="00D268D4"/>
    <w:rsid w:val="00D269F3"/>
    <w:rsid w:val="00D26AB5"/>
    <w:rsid w:val="00D26CDB"/>
    <w:rsid w:val="00D26DEA"/>
    <w:rsid w:val="00D26F5C"/>
    <w:rsid w:val="00D27286"/>
    <w:rsid w:val="00D273BF"/>
    <w:rsid w:val="00D273D6"/>
    <w:rsid w:val="00D2753C"/>
    <w:rsid w:val="00D27992"/>
    <w:rsid w:val="00D27C32"/>
    <w:rsid w:val="00D27F1B"/>
    <w:rsid w:val="00D30011"/>
    <w:rsid w:val="00D300AF"/>
    <w:rsid w:val="00D302F8"/>
    <w:rsid w:val="00D30361"/>
    <w:rsid w:val="00D30650"/>
    <w:rsid w:val="00D30787"/>
    <w:rsid w:val="00D309A8"/>
    <w:rsid w:val="00D309F6"/>
    <w:rsid w:val="00D30A3C"/>
    <w:rsid w:val="00D30ACB"/>
    <w:rsid w:val="00D30C7B"/>
    <w:rsid w:val="00D30C8D"/>
    <w:rsid w:val="00D30D84"/>
    <w:rsid w:val="00D3109F"/>
    <w:rsid w:val="00D310A6"/>
    <w:rsid w:val="00D314F6"/>
    <w:rsid w:val="00D31553"/>
    <w:rsid w:val="00D315F8"/>
    <w:rsid w:val="00D31856"/>
    <w:rsid w:val="00D3186D"/>
    <w:rsid w:val="00D318D1"/>
    <w:rsid w:val="00D318EF"/>
    <w:rsid w:val="00D318FC"/>
    <w:rsid w:val="00D31A9D"/>
    <w:rsid w:val="00D31C84"/>
    <w:rsid w:val="00D31DCB"/>
    <w:rsid w:val="00D31E75"/>
    <w:rsid w:val="00D31EA8"/>
    <w:rsid w:val="00D320A6"/>
    <w:rsid w:val="00D32484"/>
    <w:rsid w:val="00D32518"/>
    <w:rsid w:val="00D32520"/>
    <w:rsid w:val="00D32526"/>
    <w:rsid w:val="00D325DE"/>
    <w:rsid w:val="00D326FD"/>
    <w:rsid w:val="00D32710"/>
    <w:rsid w:val="00D3272A"/>
    <w:rsid w:val="00D3275C"/>
    <w:rsid w:val="00D32967"/>
    <w:rsid w:val="00D32CF5"/>
    <w:rsid w:val="00D32F47"/>
    <w:rsid w:val="00D33316"/>
    <w:rsid w:val="00D33329"/>
    <w:rsid w:val="00D3338D"/>
    <w:rsid w:val="00D33548"/>
    <w:rsid w:val="00D33777"/>
    <w:rsid w:val="00D337B7"/>
    <w:rsid w:val="00D337F5"/>
    <w:rsid w:val="00D3388F"/>
    <w:rsid w:val="00D33AB1"/>
    <w:rsid w:val="00D33BE3"/>
    <w:rsid w:val="00D33D4B"/>
    <w:rsid w:val="00D33DFC"/>
    <w:rsid w:val="00D34203"/>
    <w:rsid w:val="00D34365"/>
    <w:rsid w:val="00D344A5"/>
    <w:rsid w:val="00D345AD"/>
    <w:rsid w:val="00D345F1"/>
    <w:rsid w:val="00D3474B"/>
    <w:rsid w:val="00D34750"/>
    <w:rsid w:val="00D34858"/>
    <w:rsid w:val="00D34941"/>
    <w:rsid w:val="00D34A10"/>
    <w:rsid w:val="00D34C1E"/>
    <w:rsid w:val="00D34CE6"/>
    <w:rsid w:val="00D34D89"/>
    <w:rsid w:val="00D34FD3"/>
    <w:rsid w:val="00D35096"/>
    <w:rsid w:val="00D351CC"/>
    <w:rsid w:val="00D354DA"/>
    <w:rsid w:val="00D35585"/>
    <w:rsid w:val="00D3564F"/>
    <w:rsid w:val="00D3573A"/>
    <w:rsid w:val="00D357A4"/>
    <w:rsid w:val="00D35833"/>
    <w:rsid w:val="00D358A4"/>
    <w:rsid w:val="00D3598E"/>
    <w:rsid w:val="00D36190"/>
    <w:rsid w:val="00D361EC"/>
    <w:rsid w:val="00D36500"/>
    <w:rsid w:val="00D3673A"/>
    <w:rsid w:val="00D3677E"/>
    <w:rsid w:val="00D367EB"/>
    <w:rsid w:val="00D369D2"/>
    <w:rsid w:val="00D36A16"/>
    <w:rsid w:val="00D36A22"/>
    <w:rsid w:val="00D36AC0"/>
    <w:rsid w:val="00D36AE0"/>
    <w:rsid w:val="00D36D81"/>
    <w:rsid w:val="00D36DBD"/>
    <w:rsid w:val="00D36F17"/>
    <w:rsid w:val="00D37831"/>
    <w:rsid w:val="00D378D2"/>
    <w:rsid w:val="00D37C10"/>
    <w:rsid w:val="00D37F70"/>
    <w:rsid w:val="00D40091"/>
    <w:rsid w:val="00D4055E"/>
    <w:rsid w:val="00D4059F"/>
    <w:rsid w:val="00D40728"/>
    <w:rsid w:val="00D40831"/>
    <w:rsid w:val="00D408FD"/>
    <w:rsid w:val="00D409AD"/>
    <w:rsid w:val="00D40C34"/>
    <w:rsid w:val="00D40C5C"/>
    <w:rsid w:val="00D40CE3"/>
    <w:rsid w:val="00D40EC3"/>
    <w:rsid w:val="00D414F7"/>
    <w:rsid w:val="00D417AB"/>
    <w:rsid w:val="00D41C2D"/>
    <w:rsid w:val="00D41C47"/>
    <w:rsid w:val="00D41E8E"/>
    <w:rsid w:val="00D41EF5"/>
    <w:rsid w:val="00D420A7"/>
    <w:rsid w:val="00D4213D"/>
    <w:rsid w:val="00D4216D"/>
    <w:rsid w:val="00D42676"/>
    <w:rsid w:val="00D4267C"/>
    <w:rsid w:val="00D42B94"/>
    <w:rsid w:val="00D42C69"/>
    <w:rsid w:val="00D430E2"/>
    <w:rsid w:val="00D4323A"/>
    <w:rsid w:val="00D43550"/>
    <w:rsid w:val="00D437AA"/>
    <w:rsid w:val="00D43832"/>
    <w:rsid w:val="00D4392F"/>
    <w:rsid w:val="00D43A33"/>
    <w:rsid w:val="00D43DFB"/>
    <w:rsid w:val="00D43E84"/>
    <w:rsid w:val="00D4422B"/>
    <w:rsid w:val="00D4460F"/>
    <w:rsid w:val="00D447D0"/>
    <w:rsid w:val="00D44D06"/>
    <w:rsid w:val="00D44D4F"/>
    <w:rsid w:val="00D45062"/>
    <w:rsid w:val="00D450F3"/>
    <w:rsid w:val="00D4537A"/>
    <w:rsid w:val="00D4560F"/>
    <w:rsid w:val="00D456C2"/>
    <w:rsid w:val="00D45987"/>
    <w:rsid w:val="00D4615D"/>
    <w:rsid w:val="00D461D5"/>
    <w:rsid w:val="00D462F5"/>
    <w:rsid w:val="00D4634A"/>
    <w:rsid w:val="00D46431"/>
    <w:rsid w:val="00D46589"/>
    <w:rsid w:val="00D4671D"/>
    <w:rsid w:val="00D46DB9"/>
    <w:rsid w:val="00D46DD6"/>
    <w:rsid w:val="00D46EBA"/>
    <w:rsid w:val="00D46FC2"/>
    <w:rsid w:val="00D4702D"/>
    <w:rsid w:val="00D47291"/>
    <w:rsid w:val="00D473AD"/>
    <w:rsid w:val="00D47441"/>
    <w:rsid w:val="00D474D5"/>
    <w:rsid w:val="00D47591"/>
    <w:rsid w:val="00D47606"/>
    <w:rsid w:val="00D476EA"/>
    <w:rsid w:val="00D47918"/>
    <w:rsid w:val="00D479A1"/>
    <w:rsid w:val="00D47A53"/>
    <w:rsid w:val="00D47BCF"/>
    <w:rsid w:val="00D47C40"/>
    <w:rsid w:val="00D47DB0"/>
    <w:rsid w:val="00D47F43"/>
    <w:rsid w:val="00D50314"/>
    <w:rsid w:val="00D5051E"/>
    <w:rsid w:val="00D507F5"/>
    <w:rsid w:val="00D5080C"/>
    <w:rsid w:val="00D50BA3"/>
    <w:rsid w:val="00D50D6E"/>
    <w:rsid w:val="00D50E16"/>
    <w:rsid w:val="00D50E2A"/>
    <w:rsid w:val="00D50E98"/>
    <w:rsid w:val="00D50EDE"/>
    <w:rsid w:val="00D510BF"/>
    <w:rsid w:val="00D5139F"/>
    <w:rsid w:val="00D51AFC"/>
    <w:rsid w:val="00D51BF1"/>
    <w:rsid w:val="00D51D0C"/>
    <w:rsid w:val="00D51E26"/>
    <w:rsid w:val="00D5201D"/>
    <w:rsid w:val="00D521D0"/>
    <w:rsid w:val="00D522F0"/>
    <w:rsid w:val="00D52571"/>
    <w:rsid w:val="00D525B2"/>
    <w:rsid w:val="00D52884"/>
    <w:rsid w:val="00D5295D"/>
    <w:rsid w:val="00D529EF"/>
    <w:rsid w:val="00D52B9F"/>
    <w:rsid w:val="00D52CC1"/>
    <w:rsid w:val="00D52CC9"/>
    <w:rsid w:val="00D52D2A"/>
    <w:rsid w:val="00D52FD0"/>
    <w:rsid w:val="00D5300E"/>
    <w:rsid w:val="00D530E5"/>
    <w:rsid w:val="00D53367"/>
    <w:rsid w:val="00D534C6"/>
    <w:rsid w:val="00D5375D"/>
    <w:rsid w:val="00D537D0"/>
    <w:rsid w:val="00D540EC"/>
    <w:rsid w:val="00D54221"/>
    <w:rsid w:val="00D543FA"/>
    <w:rsid w:val="00D5463E"/>
    <w:rsid w:val="00D54ED4"/>
    <w:rsid w:val="00D54F1C"/>
    <w:rsid w:val="00D54F9E"/>
    <w:rsid w:val="00D54FE9"/>
    <w:rsid w:val="00D5532C"/>
    <w:rsid w:val="00D553FC"/>
    <w:rsid w:val="00D5545F"/>
    <w:rsid w:val="00D55637"/>
    <w:rsid w:val="00D5599A"/>
    <w:rsid w:val="00D559C7"/>
    <w:rsid w:val="00D561F1"/>
    <w:rsid w:val="00D5623A"/>
    <w:rsid w:val="00D56353"/>
    <w:rsid w:val="00D567FF"/>
    <w:rsid w:val="00D568DF"/>
    <w:rsid w:val="00D569D1"/>
    <w:rsid w:val="00D56B7A"/>
    <w:rsid w:val="00D56BA2"/>
    <w:rsid w:val="00D56F22"/>
    <w:rsid w:val="00D56F8F"/>
    <w:rsid w:val="00D57021"/>
    <w:rsid w:val="00D5738B"/>
    <w:rsid w:val="00D573F3"/>
    <w:rsid w:val="00D5748B"/>
    <w:rsid w:val="00D577DE"/>
    <w:rsid w:val="00D57AAB"/>
    <w:rsid w:val="00D57B73"/>
    <w:rsid w:val="00D57C99"/>
    <w:rsid w:val="00D57CE2"/>
    <w:rsid w:val="00D57E0D"/>
    <w:rsid w:val="00D600AD"/>
    <w:rsid w:val="00D600D4"/>
    <w:rsid w:val="00D601F5"/>
    <w:rsid w:val="00D6059F"/>
    <w:rsid w:val="00D6076A"/>
    <w:rsid w:val="00D60C38"/>
    <w:rsid w:val="00D60C52"/>
    <w:rsid w:val="00D60D58"/>
    <w:rsid w:val="00D61018"/>
    <w:rsid w:val="00D61042"/>
    <w:rsid w:val="00D61428"/>
    <w:rsid w:val="00D614EB"/>
    <w:rsid w:val="00D61675"/>
    <w:rsid w:val="00D61F05"/>
    <w:rsid w:val="00D622D4"/>
    <w:rsid w:val="00D62618"/>
    <w:rsid w:val="00D62E5A"/>
    <w:rsid w:val="00D62E77"/>
    <w:rsid w:val="00D62ECA"/>
    <w:rsid w:val="00D62F13"/>
    <w:rsid w:val="00D62F58"/>
    <w:rsid w:val="00D631F8"/>
    <w:rsid w:val="00D632AB"/>
    <w:rsid w:val="00D63372"/>
    <w:rsid w:val="00D63A7E"/>
    <w:rsid w:val="00D63B86"/>
    <w:rsid w:val="00D63CC7"/>
    <w:rsid w:val="00D644C1"/>
    <w:rsid w:val="00D6453D"/>
    <w:rsid w:val="00D6457E"/>
    <w:rsid w:val="00D64A07"/>
    <w:rsid w:val="00D650E3"/>
    <w:rsid w:val="00D650E6"/>
    <w:rsid w:val="00D65247"/>
    <w:rsid w:val="00D65330"/>
    <w:rsid w:val="00D654F2"/>
    <w:rsid w:val="00D65941"/>
    <w:rsid w:val="00D65B0F"/>
    <w:rsid w:val="00D65B79"/>
    <w:rsid w:val="00D65CFB"/>
    <w:rsid w:val="00D66757"/>
    <w:rsid w:val="00D66798"/>
    <w:rsid w:val="00D6681F"/>
    <w:rsid w:val="00D669D6"/>
    <w:rsid w:val="00D66A41"/>
    <w:rsid w:val="00D66C01"/>
    <w:rsid w:val="00D66D4F"/>
    <w:rsid w:val="00D66F0C"/>
    <w:rsid w:val="00D66F66"/>
    <w:rsid w:val="00D67239"/>
    <w:rsid w:val="00D67341"/>
    <w:rsid w:val="00D6734E"/>
    <w:rsid w:val="00D6750E"/>
    <w:rsid w:val="00D67547"/>
    <w:rsid w:val="00D67569"/>
    <w:rsid w:val="00D67854"/>
    <w:rsid w:val="00D67C6A"/>
    <w:rsid w:val="00D67DD4"/>
    <w:rsid w:val="00D7033D"/>
    <w:rsid w:val="00D70731"/>
    <w:rsid w:val="00D70AC2"/>
    <w:rsid w:val="00D70C45"/>
    <w:rsid w:val="00D70DDC"/>
    <w:rsid w:val="00D7106B"/>
    <w:rsid w:val="00D711CE"/>
    <w:rsid w:val="00D7120B"/>
    <w:rsid w:val="00D71275"/>
    <w:rsid w:val="00D713DB"/>
    <w:rsid w:val="00D71660"/>
    <w:rsid w:val="00D7188C"/>
    <w:rsid w:val="00D71898"/>
    <w:rsid w:val="00D719E9"/>
    <w:rsid w:val="00D71AEA"/>
    <w:rsid w:val="00D71C90"/>
    <w:rsid w:val="00D71D50"/>
    <w:rsid w:val="00D71D8F"/>
    <w:rsid w:val="00D722A3"/>
    <w:rsid w:val="00D72535"/>
    <w:rsid w:val="00D728DB"/>
    <w:rsid w:val="00D72C97"/>
    <w:rsid w:val="00D72D29"/>
    <w:rsid w:val="00D72DAD"/>
    <w:rsid w:val="00D72E63"/>
    <w:rsid w:val="00D7308C"/>
    <w:rsid w:val="00D7332C"/>
    <w:rsid w:val="00D7337C"/>
    <w:rsid w:val="00D733EB"/>
    <w:rsid w:val="00D734A4"/>
    <w:rsid w:val="00D73733"/>
    <w:rsid w:val="00D73792"/>
    <w:rsid w:val="00D737F5"/>
    <w:rsid w:val="00D73915"/>
    <w:rsid w:val="00D7395F"/>
    <w:rsid w:val="00D73A3E"/>
    <w:rsid w:val="00D73A76"/>
    <w:rsid w:val="00D73B6F"/>
    <w:rsid w:val="00D73BF6"/>
    <w:rsid w:val="00D73D5D"/>
    <w:rsid w:val="00D73E14"/>
    <w:rsid w:val="00D73FFB"/>
    <w:rsid w:val="00D742B0"/>
    <w:rsid w:val="00D742F2"/>
    <w:rsid w:val="00D74389"/>
    <w:rsid w:val="00D743B3"/>
    <w:rsid w:val="00D743E0"/>
    <w:rsid w:val="00D745D2"/>
    <w:rsid w:val="00D74785"/>
    <w:rsid w:val="00D74893"/>
    <w:rsid w:val="00D748F1"/>
    <w:rsid w:val="00D74B8A"/>
    <w:rsid w:val="00D74E31"/>
    <w:rsid w:val="00D74EF1"/>
    <w:rsid w:val="00D750D1"/>
    <w:rsid w:val="00D75216"/>
    <w:rsid w:val="00D753F7"/>
    <w:rsid w:val="00D755A1"/>
    <w:rsid w:val="00D756C1"/>
    <w:rsid w:val="00D75A14"/>
    <w:rsid w:val="00D75C6B"/>
    <w:rsid w:val="00D75D61"/>
    <w:rsid w:val="00D75DAA"/>
    <w:rsid w:val="00D75DC8"/>
    <w:rsid w:val="00D75F9F"/>
    <w:rsid w:val="00D7623E"/>
    <w:rsid w:val="00D762EF"/>
    <w:rsid w:val="00D76307"/>
    <w:rsid w:val="00D763E8"/>
    <w:rsid w:val="00D7644E"/>
    <w:rsid w:val="00D76966"/>
    <w:rsid w:val="00D76D07"/>
    <w:rsid w:val="00D76DA5"/>
    <w:rsid w:val="00D76E37"/>
    <w:rsid w:val="00D771DD"/>
    <w:rsid w:val="00D77259"/>
    <w:rsid w:val="00D77294"/>
    <w:rsid w:val="00D77387"/>
    <w:rsid w:val="00D777D8"/>
    <w:rsid w:val="00D778F9"/>
    <w:rsid w:val="00D77918"/>
    <w:rsid w:val="00D77997"/>
    <w:rsid w:val="00D77B45"/>
    <w:rsid w:val="00D77B5B"/>
    <w:rsid w:val="00D77C1F"/>
    <w:rsid w:val="00D77D59"/>
    <w:rsid w:val="00D8011E"/>
    <w:rsid w:val="00D80185"/>
    <w:rsid w:val="00D803EF"/>
    <w:rsid w:val="00D8053C"/>
    <w:rsid w:val="00D80584"/>
    <w:rsid w:val="00D80808"/>
    <w:rsid w:val="00D8092F"/>
    <w:rsid w:val="00D80A12"/>
    <w:rsid w:val="00D80ABB"/>
    <w:rsid w:val="00D80CF3"/>
    <w:rsid w:val="00D80D17"/>
    <w:rsid w:val="00D81192"/>
    <w:rsid w:val="00D812C8"/>
    <w:rsid w:val="00D814F7"/>
    <w:rsid w:val="00D817A1"/>
    <w:rsid w:val="00D81DA5"/>
    <w:rsid w:val="00D81E1E"/>
    <w:rsid w:val="00D8200C"/>
    <w:rsid w:val="00D820B0"/>
    <w:rsid w:val="00D821A0"/>
    <w:rsid w:val="00D8252C"/>
    <w:rsid w:val="00D825A9"/>
    <w:rsid w:val="00D825C1"/>
    <w:rsid w:val="00D828FF"/>
    <w:rsid w:val="00D82936"/>
    <w:rsid w:val="00D82D99"/>
    <w:rsid w:val="00D8342F"/>
    <w:rsid w:val="00D83492"/>
    <w:rsid w:val="00D8383C"/>
    <w:rsid w:val="00D83874"/>
    <w:rsid w:val="00D83A49"/>
    <w:rsid w:val="00D83AF8"/>
    <w:rsid w:val="00D83B22"/>
    <w:rsid w:val="00D83BAD"/>
    <w:rsid w:val="00D83F91"/>
    <w:rsid w:val="00D83FE2"/>
    <w:rsid w:val="00D842F8"/>
    <w:rsid w:val="00D84364"/>
    <w:rsid w:val="00D845A9"/>
    <w:rsid w:val="00D8466F"/>
    <w:rsid w:val="00D846FE"/>
    <w:rsid w:val="00D84853"/>
    <w:rsid w:val="00D8488C"/>
    <w:rsid w:val="00D84969"/>
    <w:rsid w:val="00D84A97"/>
    <w:rsid w:val="00D84F08"/>
    <w:rsid w:val="00D84F2A"/>
    <w:rsid w:val="00D84F52"/>
    <w:rsid w:val="00D85281"/>
    <w:rsid w:val="00D8540E"/>
    <w:rsid w:val="00D85450"/>
    <w:rsid w:val="00D85643"/>
    <w:rsid w:val="00D856A5"/>
    <w:rsid w:val="00D856CF"/>
    <w:rsid w:val="00D857F6"/>
    <w:rsid w:val="00D85967"/>
    <w:rsid w:val="00D85AE5"/>
    <w:rsid w:val="00D85CD4"/>
    <w:rsid w:val="00D85E2A"/>
    <w:rsid w:val="00D85E67"/>
    <w:rsid w:val="00D86073"/>
    <w:rsid w:val="00D86593"/>
    <w:rsid w:val="00D86735"/>
    <w:rsid w:val="00D8685A"/>
    <w:rsid w:val="00D86957"/>
    <w:rsid w:val="00D86A46"/>
    <w:rsid w:val="00D86CD3"/>
    <w:rsid w:val="00D86DC4"/>
    <w:rsid w:val="00D86DFD"/>
    <w:rsid w:val="00D86E63"/>
    <w:rsid w:val="00D86F5D"/>
    <w:rsid w:val="00D86F72"/>
    <w:rsid w:val="00D870C1"/>
    <w:rsid w:val="00D874C7"/>
    <w:rsid w:val="00D874F4"/>
    <w:rsid w:val="00D874F5"/>
    <w:rsid w:val="00D87797"/>
    <w:rsid w:val="00D87804"/>
    <w:rsid w:val="00D8787F"/>
    <w:rsid w:val="00D879FC"/>
    <w:rsid w:val="00D87A07"/>
    <w:rsid w:val="00D87B5D"/>
    <w:rsid w:val="00D87BB1"/>
    <w:rsid w:val="00D87DD2"/>
    <w:rsid w:val="00D87DE0"/>
    <w:rsid w:val="00D902DE"/>
    <w:rsid w:val="00D90354"/>
    <w:rsid w:val="00D90379"/>
    <w:rsid w:val="00D904D4"/>
    <w:rsid w:val="00D9059A"/>
    <w:rsid w:val="00D90AB1"/>
    <w:rsid w:val="00D90DC3"/>
    <w:rsid w:val="00D90DCF"/>
    <w:rsid w:val="00D91225"/>
    <w:rsid w:val="00D91229"/>
    <w:rsid w:val="00D913D5"/>
    <w:rsid w:val="00D914BC"/>
    <w:rsid w:val="00D9165A"/>
    <w:rsid w:val="00D91677"/>
    <w:rsid w:val="00D916AA"/>
    <w:rsid w:val="00D916F9"/>
    <w:rsid w:val="00D91759"/>
    <w:rsid w:val="00D9177E"/>
    <w:rsid w:val="00D917C8"/>
    <w:rsid w:val="00D9196A"/>
    <w:rsid w:val="00D91C3B"/>
    <w:rsid w:val="00D91F1E"/>
    <w:rsid w:val="00D91F71"/>
    <w:rsid w:val="00D920D1"/>
    <w:rsid w:val="00D921FC"/>
    <w:rsid w:val="00D9247D"/>
    <w:rsid w:val="00D924D6"/>
    <w:rsid w:val="00D924E6"/>
    <w:rsid w:val="00D92665"/>
    <w:rsid w:val="00D92672"/>
    <w:rsid w:val="00D929AC"/>
    <w:rsid w:val="00D92E7F"/>
    <w:rsid w:val="00D92E9B"/>
    <w:rsid w:val="00D92FA4"/>
    <w:rsid w:val="00D9325A"/>
    <w:rsid w:val="00D9325E"/>
    <w:rsid w:val="00D9343A"/>
    <w:rsid w:val="00D934B1"/>
    <w:rsid w:val="00D93553"/>
    <w:rsid w:val="00D93617"/>
    <w:rsid w:val="00D9370E"/>
    <w:rsid w:val="00D93984"/>
    <w:rsid w:val="00D93A49"/>
    <w:rsid w:val="00D93AF1"/>
    <w:rsid w:val="00D93B9C"/>
    <w:rsid w:val="00D94146"/>
    <w:rsid w:val="00D94156"/>
    <w:rsid w:val="00D94267"/>
    <w:rsid w:val="00D94631"/>
    <w:rsid w:val="00D947D1"/>
    <w:rsid w:val="00D94A70"/>
    <w:rsid w:val="00D94BED"/>
    <w:rsid w:val="00D94C40"/>
    <w:rsid w:val="00D94CA0"/>
    <w:rsid w:val="00D94CE0"/>
    <w:rsid w:val="00D94DFE"/>
    <w:rsid w:val="00D94F0D"/>
    <w:rsid w:val="00D94F37"/>
    <w:rsid w:val="00D94FE0"/>
    <w:rsid w:val="00D94FE2"/>
    <w:rsid w:val="00D95737"/>
    <w:rsid w:val="00D958AC"/>
    <w:rsid w:val="00D958F7"/>
    <w:rsid w:val="00D95A68"/>
    <w:rsid w:val="00D95B5B"/>
    <w:rsid w:val="00D9606A"/>
    <w:rsid w:val="00D96132"/>
    <w:rsid w:val="00D96315"/>
    <w:rsid w:val="00D964E0"/>
    <w:rsid w:val="00D96816"/>
    <w:rsid w:val="00D96CD3"/>
    <w:rsid w:val="00D96E45"/>
    <w:rsid w:val="00D970B9"/>
    <w:rsid w:val="00D97162"/>
    <w:rsid w:val="00D971CB"/>
    <w:rsid w:val="00D97549"/>
    <w:rsid w:val="00D976CB"/>
    <w:rsid w:val="00D9770F"/>
    <w:rsid w:val="00D9783D"/>
    <w:rsid w:val="00D97DDC"/>
    <w:rsid w:val="00DA0030"/>
    <w:rsid w:val="00DA00A4"/>
    <w:rsid w:val="00DA0177"/>
    <w:rsid w:val="00DA042B"/>
    <w:rsid w:val="00DA04F2"/>
    <w:rsid w:val="00DA05F8"/>
    <w:rsid w:val="00DA07B3"/>
    <w:rsid w:val="00DA095C"/>
    <w:rsid w:val="00DA0A67"/>
    <w:rsid w:val="00DA0B1B"/>
    <w:rsid w:val="00DA0BB9"/>
    <w:rsid w:val="00DA0C6E"/>
    <w:rsid w:val="00DA0D38"/>
    <w:rsid w:val="00DA0DC6"/>
    <w:rsid w:val="00DA0E33"/>
    <w:rsid w:val="00DA0EE0"/>
    <w:rsid w:val="00DA13E3"/>
    <w:rsid w:val="00DA1735"/>
    <w:rsid w:val="00DA17A8"/>
    <w:rsid w:val="00DA19FD"/>
    <w:rsid w:val="00DA1A16"/>
    <w:rsid w:val="00DA1B75"/>
    <w:rsid w:val="00DA1C01"/>
    <w:rsid w:val="00DA1CB1"/>
    <w:rsid w:val="00DA1D5D"/>
    <w:rsid w:val="00DA24B6"/>
    <w:rsid w:val="00DA24D6"/>
    <w:rsid w:val="00DA2729"/>
    <w:rsid w:val="00DA281A"/>
    <w:rsid w:val="00DA2AA9"/>
    <w:rsid w:val="00DA2BB6"/>
    <w:rsid w:val="00DA2BB7"/>
    <w:rsid w:val="00DA3182"/>
    <w:rsid w:val="00DA3354"/>
    <w:rsid w:val="00DA379C"/>
    <w:rsid w:val="00DA3A99"/>
    <w:rsid w:val="00DA3AAC"/>
    <w:rsid w:val="00DA3BFD"/>
    <w:rsid w:val="00DA3CF6"/>
    <w:rsid w:val="00DA3E38"/>
    <w:rsid w:val="00DA40E6"/>
    <w:rsid w:val="00DA424C"/>
    <w:rsid w:val="00DA448D"/>
    <w:rsid w:val="00DA4492"/>
    <w:rsid w:val="00DA45CB"/>
    <w:rsid w:val="00DA47A3"/>
    <w:rsid w:val="00DA4E2A"/>
    <w:rsid w:val="00DA4EB2"/>
    <w:rsid w:val="00DA50FE"/>
    <w:rsid w:val="00DA514D"/>
    <w:rsid w:val="00DA532F"/>
    <w:rsid w:val="00DA53AA"/>
    <w:rsid w:val="00DA53C1"/>
    <w:rsid w:val="00DA55D6"/>
    <w:rsid w:val="00DA5699"/>
    <w:rsid w:val="00DA5746"/>
    <w:rsid w:val="00DA59DB"/>
    <w:rsid w:val="00DA5EAC"/>
    <w:rsid w:val="00DA5F18"/>
    <w:rsid w:val="00DA5F88"/>
    <w:rsid w:val="00DA5FAE"/>
    <w:rsid w:val="00DA6230"/>
    <w:rsid w:val="00DA624F"/>
    <w:rsid w:val="00DA6923"/>
    <w:rsid w:val="00DA6E05"/>
    <w:rsid w:val="00DA6F11"/>
    <w:rsid w:val="00DA6F78"/>
    <w:rsid w:val="00DA7046"/>
    <w:rsid w:val="00DA7149"/>
    <w:rsid w:val="00DA7181"/>
    <w:rsid w:val="00DA73CA"/>
    <w:rsid w:val="00DA74E2"/>
    <w:rsid w:val="00DA787C"/>
    <w:rsid w:val="00DA7B24"/>
    <w:rsid w:val="00DA7B44"/>
    <w:rsid w:val="00DA7C0F"/>
    <w:rsid w:val="00DA7C74"/>
    <w:rsid w:val="00DB0013"/>
    <w:rsid w:val="00DB0219"/>
    <w:rsid w:val="00DB02E5"/>
    <w:rsid w:val="00DB0492"/>
    <w:rsid w:val="00DB07CB"/>
    <w:rsid w:val="00DB0910"/>
    <w:rsid w:val="00DB1023"/>
    <w:rsid w:val="00DB11F6"/>
    <w:rsid w:val="00DB11FD"/>
    <w:rsid w:val="00DB1210"/>
    <w:rsid w:val="00DB128D"/>
    <w:rsid w:val="00DB1380"/>
    <w:rsid w:val="00DB1500"/>
    <w:rsid w:val="00DB1B57"/>
    <w:rsid w:val="00DB1CF3"/>
    <w:rsid w:val="00DB1DEB"/>
    <w:rsid w:val="00DB1E2B"/>
    <w:rsid w:val="00DB2034"/>
    <w:rsid w:val="00DB22A8"/>
    <w:rsid w:val="00DB22D2"/>
    <w:rsid w:val="00DB2338"/>
    <w:rsid w:val="00DB2434"/>
    <w:rsid w:val="00DB2534"/>
    <w:rsid w:val="00DB25BC"/>
    <w:rsid w:val="00DB26ED"/>
    <w:rsid w:val="00DB2A2A"/>
    <w:rsid w:val="00DB2DB7"/>
    <w:rsid w:val="00DB2E03"/>
    <w:rsid w:val="00DB2E72"/>
    <w:rsid w:val="00DB3224"/>
    <w:rsid w:val="00DB348F"/>
    <w:rsid w:val="00DB34E7"/>
    <w:rsid w:val="00DB3559"/>
    <w:rsid w:val="00DB365E"/>
    <w:rsid w:val="00DB3694"/>
    <w:rsid w:val="00DB36DD"/>
    <w:rsid w:val="00DB3917"/>
    <w:rsid w:val="00DB3EC1"/>
    <w:rsid w:val="00DB3EDF"/>
    <w:rsid w:val="00DB4014"/>
    <w:rsid w:val="00DB40BF"/>
    <w:rsid w:val="00DB4148"/>
    <w:rsid w:val="00DB47C0"/>
    <w:rsid w:val="00DB492C"/>
    <w:rsid w:val="00DB49D8"/>
    <w:rsid w:val="00DB4B7A"/>
    <w:rsid w:val="00DB4BBC"/>
    <w:rsid w:val="00DB5117"/>
    <w:rsid w:val="00DB5142"/>
    <w:rsid w:val="00DB514A"/>
    <w:rsid w:val="00DB53E1"/>
    <w:rsid w:val="00DB5A00"/>
    <w:rsid w:val="00DB5B42"/>
    <w:rsid w:val="00DB5D4B"/>
    <w:rsid w:val="00DB5E96"/>
    <w:rsid w:val="00DB5FE1"/>
    <w:rsid w:val="00DB61C6"/>
    <w:rsid w:val="00DB62B6"/>
    <w:rsid w:val="00DB62E6"/>
    <w:rsid w:val="00DB6328"/>
    <w:rsid w:val="00DB63E6"/>
    <w:rsid w:val="00DB6564"/>
    <w:rsid w:val="00DB6A6D"/>
    <w:rsid w:val="00DB6AC4"/>
    <w:rsid w:val="00DB6AED"/>
    <w:rsid w:val="00DB6C84"/>
    <w:rsid w:val="00DB6CB3"/>
    <w:rsid w:val="00DB6CF7"/>
    <w:rsid w:val="00DB6F48"/>
    <w:rsid w:val="00DB6F64"/>
    <w:rsid w:val="00DB6F76"/>
    <w:rsid w:val="00DB708C"/>
    <w:rsid w:val="00DB70AD"/>
    <w:rsid w:val="00DB717D"/>
    <w:rsid w:val="00DB7A45"/>
    <w:rsid w:val="00DB7AE8"/>
    <w:rsid w:val="00DB7B13"/>
    <w:rsid w:val="00DB7C35"/>
    <w:rsid w:val="00DB7D74"/>
    <w:rsid w:val="00DB7FBD"/>
    <w:rsid w:val="00DC01A4"/>
    <w:rsid w:val="00DC01C5"/>
    <w:rsid w:val="00DC0612"/>
    <w:rsid w:val="00DC07E4"/>
    <w:rsid w:val="00DC097B"/>
    <w:rsid w:val="00DC0B94"/>
    <w:rsid w:val="00DC0CBF"/>
    <w:rsid w:val="00DC0DE7"/>
    <w:rsid w:val="00DC0E30"/>
    <w:rsid w:val="00DC1074"/>
    <w:rsid w:val="00DC18BB"/>
    <w:rsid w:val="00DC18D4"/>
    <w:rsid w:val="00DC18E2"/>
    <w:rsid w:val="00DC1A5D"/>
    <w:rsid w:val="00DC1CB4"/>
    <w:rsid w:val="00DC1D2E"/>
    <w:rsid w:val="00DC289A"/>
    <w:rsid w:val="00DC296E"/>
    <w:rsid w:val="00DC2A28"/>
    <w:rsid w:val="00DC2F22"/>
    <w:rsid w:val="00DC2FC3"/>
    <w:rsid w:val="00DC3048"/>
    <w:rsid w:val="00DC33BD"/>
    <w:rsid w:val="00DC33DD"/>
    <w:rsid w:val="00DC37DB"/>
    <w:rsid w:val="00DC383E"/>
    <w:rsid w:val="00DC3850"/>
    <w:rsid w:val="00DC3C86"/>
    <w:rsid w:val="00DC3D5F"/>
    <w:rsid w:val="00DC3E46"/>
    <w:rsid w:val="00DC3E7B"/>
    <w:rsid w:val="00DC4173"/>
    <w:rsid w:val="00DC435F"/>
    <w:rsid w:val="00DC4439"/>
    <w:rsid w:val="00DC4466"/>
    <w:rsid w:val="00DC456B"/>
    <w:rsid w:val="00DC47C9"/>
    <w:rsid w:val="00DC47EC"/>
    <w:rsid w:val="00DC483C"/>
    <w:rsid w:val="00DC4BF4"/>
    <w:rsid w:val="00DC4D4D"/>
    <w:rsid w:val="00DC4E91"/>
    <w:rsid w:val="00DC525B"/>
    <w:rsid w:val="00DC566C"/>
    <w:rsid w:val="00DC5800"/>
    <w:rsid w:val="00DC5933"/>
    <w:rsid w:val="00DC5B78"/>
    <w:rsid w:val="00DC5C7F"/>
    <w:rsid w:val="00DC5D0B"/>
    <w:rsid w:val="00DC5D9A"/>
    <w:rsid w:val="00DC5EFE"/>
    <w:rsid w:val="00DC6340"/>
    <w:rsid w:val="00DC65CB"/>
    <w:rsid w:val="00DC67F1"/>
    <w:rsid w:val="00DC6906"/>
    <w:rsid w:val="00DC6AD3"/>
    <w:rsid w:val="00DC6BFB"/>
    <w:rsid w:val="00DC706E"/>
    <w:rsid w:val="00DC7142"/>
    <w:rsid w:val="00DC71CF"/>
    <w:rsid w:val="00DC7305"/>
    <w:rsid w:val="00DC76E7"/>
    <w:rsid w:val="00DC7707"/>
    <w:rsid w:val="00DC786D"/>
    <w:rsid w:val="00DC7983"/>
    <w:rsid w:val="00DC7D43"/>
    <w:rsid w:val="00DC7E87"/>
    <w:rsid w:val="00DC7E8F"/>
    <w:rsid w:val="00DC7F2C"/>
    <w:rsid w:val="00DC7F7C"/>
    <w:rsid w:val="00DD01B7"/>
    <w:rsid w:val="00DD0484"/>
    <w:rsid w:val="00DD06B9"/>
    <w:rsid w:val="00DD087F"/>
    <w:rsid w:val="00DD096F"/>
    <w:rsid w:val="00DD0B1D"/>
    <w:rsid w:val="00DD0B4F"/>
    <w:rsid w:val="00DD0C30"/>
    <w:rsid w:val="00DD0DE4"/>
    <w:rsid w:val="00DD0FBD"/>
    <w:rsid w:val="00DD1163"/>
    <w:rsid w:val="00DD1241"/>
    <w:rsid w:val="00DD184C"/>
    <w:rsid w:val="00DD184E"/>
    <w:rsid w:val="00DD1907"/>
    <w:rsid w:val="00DD1A02"/>
    <w:rsid w:val="00DD1A6F"/>
    <w:rsid w:val="00DD1BD4"/>
    <w:rsid w:val="00DD1CD8"/>
    <w:rsid w:val="00DD1D9A"/>
    <w:rsid w:val="00DD2013"/>
    <w:rsid w:val="00DD21F5"/>
    <w:rsid w:val="00DD24D6"/>
    <w:rsid w:val="00DD2552"/>
    <w:rsid w:val="00DD268C"/>
    <w:rsid w:val="00DD28AD"/>
    <w:rsid w:val="00DD2A7F"/>
    <w:rsid w:val="00DD2AA5"/>
    <w:rsid w:val="00DD2B3C"/>
    <w:rsid w:val="00DD2B7F"/>
    <w:rsid w:val="00DD2E4E"/>
    <w:rsid w:val="00DD30BF"/>
    <w:rsid w:val="00DD3213"/>
    <w:rsid w:val="00DD359C"/>
    <w:rsid w:val="00DD37E0"/>
    <w:rsid w:val="00DD3B19"/>
    <w:rsid w:val="00DD3BE2"/>
    <w:rsid w:val="00DD3DAF"/>
    <w:rsid w:val="00DD3E82"/>
    <w:rsid w:val="00DD3EEE"/>
    <w:rsid w:val="00DD4085"/>
    <w:rsid w:val="00DD41C1"/>
    <w:rsid w:val="00DD42C0"/>
    <w:rsid w:val="00DD44C4"/>
    <w:rsid w:val="00DD44DC"/>
    <w:rsid w:val="00DD46F4"/>
    <w:rsid w:val="00DD48A2"/>
    <w:rsid w:val="00DD48E4"/>
    <w:rsid w:val="00DD49EF"/>
    <w:rsid w:val="00DD4A1F"/>
    <w:rsid w:val="00DD4A82"/>
    <w:rsid w:val="00DD4CAD"/>
    <w:rsid w:val="00DD4E1F"/>
    <w:rsid w:val="00DD4E36"/>
    <w:rsid w:val="00DD5014"/>
    <w:rsid w:val="00DD552C"/>
    <w:rsid w:val="00DD5559"/>
    <w:rsid w:val="00DD573C"/>
    <w:rsid w:val="00DD58E1"/>
    <w:rsid w:val="00DD59F6"/>
    <w:rsid w:val="00DD5BA8"/>
    <w:rsid w:val="00DD5C7E"/>
    <w:rsid w:val="00DD5FA2"/>
    <w:rsid w:val="00DD6417"/>
    <w:rsid w:val="00DD64D1"/>
    <w:rsid w:val="00DD6555"/>
    <w:rsid w:val="00DD6583"/>
    <w:rsid w:val="00DD665E"/>
    <w:rsid w:val="00DD670C"/>
    <w:rsid w:val="00DD6AC8"/>
    <w:rsid w:val="00DD6B2F"/>
    <w:rsid w:val="00DD6E35"/>
    <w:rsid w:val="00DD6F2B"/>
    <w:rsid w:val="00DD7078"/>
    <w:rsid w:val="00DD7092"/>
    <w:rsid w:val="00DD7094"/>
    <w:rsid w:val="00DD7204"/>
    <w:rsid w:val="00DD72A5"/>
    <w:rsid w:val="00DD748F"/>
    <w:rsid w:val="00DD768E"/>
    <w:rsid w:val="00DD7B4C"/>
    <w:rsid w:val="00DE0059"/>
    <w:rsid w:val="00DE02DA"/>
    <w:rsid w:val="00DE0375"/>
    <w:rsid w:val="00DE0623"/>
    <w:rsid w:val="00DE0C2B"/>
    <w:rsid w:val="00DE0D0E"/>
    <w:rsid w:val="00DE0E11"/>
    <w:rsid w:val="00DE0F25"/>
    <w:rsid w:val="00DE0F66"/>
    <w:rsid w:val="00DE0FD8"/>
    <w:rsid w:val="00DE11A8"/>
    <w:rsid w:val="00DE12AF"/>
    <w:rsid w:val="00DE1800"/>
    <w:rsid w:val="00DE18BD"/>
    <w:rsid w:val="00DE1BE6"/>
    <w:rsid w:val="00DE1C37"/>
    <w:rsid w:val="00DE1D92"/>
    <w:rsid w:val="00DE1E2B"/>
    <w:rsid w:val="00DE212B"/>
    <w:rsid w:val="00DE2597"/>
    <w:rsid w:val="00DE27D6"/>
    <w:rsid w:val="00DE2A2F"/>
    <w:rsid w:val="00DE2C43"/>
    <w:rsid w:val="00DE2CB8"/>
    <w:rsid w:val="00DE2F77"/>
    <w:rsid w:val="00DE301D"/>
    <w:rsid w:val="00DE310A"/>
    <w:rsid w:val="00DE32B3"/>
    <w:rsid w:val="00DE3359"/>
    <w:rsid w:val="00DE339A"/>
    <w:rsid w:val="00DE343A"/>
    <w:rsid w:val="00DE357D"/>
    <w:rsid w:val="00DE35FA"/>
    <w:rsid w:val="00DE3740"/>
    <w:rsid w:val="00DE375B"/>
    <w:rsid w:val="00DE3861"/>
    <w:rsid w:val="00DE3BCB"/>
    <w:rsid w:val="00DE3EA9"/>
    <w:rsid w:val="00DE3FB2"/>
    <w:rsid w:val="00DE3FEB"/>
    <w:rsid w:val="00DE4298"/>
    <w:rsid w:val="00DE43AC"/>
    <w:rsid w:val="00DE45D9"/>
    <w:rsid w:val="00DE4655"/>
    <w:rsid w:val="00DE4691"/>
    <w:rsid w:val="00DE4836"/>
    <w:rsid w:val="00DE4890"/>
    <w:rsid w:val="00DE4919"/>
    <w:rsid w:val="00DE4BCF"/>
    <w:rsid w:val="00DE4F37"/>
    <w:rsid w:val="00DE5266"/>
    <w:rsid w:val="00DE5668"/>
    <w:rsid w:val="00DE590B"/>
    <w:rsid w:val="00DE595B"/>
    <w:rsid w:val="00DE5ABE"/>
    <w:rsid w:val="00DE5D0B"/>
    <w:rsid w:val="00DE5D80"/>
    <w:rsid w:val="00DE5F38"/>
    <w:rsid w:val="00DE5FE1"/>
    <w:rsid w:val="00DE6410"/>
    <w:rsid w:val="00DE64A5"/>
    <w:rsid w:val="00DE6675"/>
    <w:rsid w:val="00DE6833"/>
    <w:rsid w:val="00DE68E9"/>
    <w:rsid w:val="00DE6A04"/>
    <w:rsid w:val="00DE6B3C"/>
    <w:rsid w:val="00DE6ECB"/>
    <w:rsid w:val="00DE6F0C"/>
    <w:rsid w:val="00DE6F5F"/>
    <w:rsid w:val="00DE6FBF"/>
    <w:rsid w:val="00DE7050"/>
    <w:rsid w:val="00DE70C4"/>
    <w:rsid w:val="00DE7122"/>
    <w:rsid w:val="00DE71DF"/>
    <w:rsid w:val="00DE7256"/>
    <w:rsid w:val="00DE7415"/>
    <w:rsid w:val="00DE7588"/>
    <w:rsid w:val="00DE75F5"/>
    <w:rsid w:val="00DE7668"/>
    <w:rsid w:val="00DE7A77"/>
    <w:rsid w:val="00DE7A96"/>
    <w:rsid w:val="00DE7BC0"/>
    <w:rsid w:val="00DE7D88"/>
    <w:rsid w:val="00DE7EE9"/>
    <w:rsid w:val="00DE7FD1"/>
    <w:rsid w:val="00DF0586"/>
    <w:rsid w:val="00DF0795"/>
    <w:rsid w:val="00DF0915"/>
    <w:rsid w:val="00DF0ABD"/>
    <w:rsid w:val="00DF0CEE"/>
    <w:rsid w:val="00DF0E86"/>
    <w:rsid w:val="00DF0ECB"/>
    <w:rsid w:val="00DF1411"/>
    <w:rsid w:val="00DF1452"/>
    <w:rsid w:val="00DF18AE"/>
    <w:rsid w:val="00DF197A"/>
    <w:rsid w:val="00DF1A8B"/>
    <w:rsid w:val="00DF1E15"/>
    <w:rsid w:val="00DF202B"/>
    <w:rsid w:val="00DF21F8"/>
    <w:rsid w:val="00DF23C3"/>
    <w:rsid w:val="00DF2509"/>
    <w:rsid w:val="00DF2650"/>
    <w:rsid w:val="00DF26D3"/>
    <w:rsid w:val="00DF2BE8"/>
    <w:rsid w:val="00DF2E33"/>
    <w:rsid w:val="00DF2E76"/>
    <w:rsid w:val="00DF329A"/>
    <w:rsid w:val="00DF33D2"/>
    <w:rsid w:val="00DF3456"/>
    <w:rsid w:val="00DF36DF"/>
    <w:rsid w:val="00DF37B9"/>
    <w:rsid w:val="00DF3BCA"/>
    <w:rsid w:val="00DF3D6B"/>
    <w:rsid w:val="00DF4071"/>
    <w:rsid w:val="00DF40E9"/>
    <w:rsid w:val="00DF4272"/>
    <w:rsid w:val="00DF427E"/>
    <w:rsid w:val="00DF4551"/>
    <w:rsid w:val="00DF47DC"/>
    <w:rsid w:val="00DF4851"/>
    <w:rsid w:val="00DF49A0"/>
    <w:rsid w:val="00DF4B65"/>
    <w:rsid w:val="00DF4BD5"/>
    <w:rsid w:val="00DF4BF3"/>
    <w:rsid w:val="00DF4BFB"/>
    <w:rsid w:val="00DF4C50"/>
    <w:rsid w:val="00DF4C7D"/>
    <w:rsid w:val="00DF4D1D"/>
    <w:rsid w:val="00DF4EC6"/>
    <w:rsid w:val="00DF502D"/>
    <w:rsid w:val="00DF5256"/>
    <w:rsid w:val="00DF5262"/>
    <w:rsid w:val="00DF5481"/>
    <w:rsid w:val="00DF55C8"/>
    <w:rsid w:val="00DF55F4"/>
    <w:rsid w:val="00DF55F6"/>
    <w:rsid w:val="00DF598A"/>
    <w:rsid w:val="00DF5B1C"/>
    <w:rsid w:val="00DF5BD2"/>
    <w:rsid w:val="00DF5C15"/>
    <w:rsid w:val="00DF5E50"/>
    <w:rsid w:val="00DF5FC4"/>
    <w:rsid w:val="00DF616E"/>
    <w:rsid w:val="00DF61D6"/>
    <w:rsid w:val="00DF62AE"/>
    <w:rsid w:val="00DF63CA"/>
    <w:rsid w:val="00DF6DA3"/>
    <w:rsid w:val="00DF6EAB"/>
    <w:rsid w:val="00DF6EF5"/>
    <w:rsid w:val="00DF6F0C"/>
    <w:rsid w:val="00DF702C"/>
    <w:rsid w:val="00DF71A1"/>
    <w:rsid w:val="00DF756E"/>
    <w:rsid w:val="00DF771A"/>
    <w:rsid w:val="00DF776D"/>
    <w:rsid w:val="00DF7B8B"/>
    <w:rsid w:val="00DF7E18"/>
    <w:rsid w:val="00DF7F5C"/>
    <w:rsid w:val="00E00022"/>
    <w:rsid w:val="00E000BB"/>
    <w:rsid w:val="00E00214"/>
    <w:rsid w:val="00E00291"/>
    <w:rsid w:val="00E00645"/>
    <w:rsid w:val="00E0064E"/>
    <w:rsid w:val="00E0064F"/>
    <w:rsid w:val="00E0095C"/>
    <w:rsid w:val="00E00A12"/>
    <w:rsid w:val="00E00ABA"/>
    <w:rsid w:val="00E00F12"/>
    <w:rsid w:val="00E01126"/>
    <w:rsid w:val="00E011B1"/>
    <w:rsid w:val="00E0123B"/>
    <w:rsid w:val="00E012DA"/>
    <w:rsid w:val="00E01637"/>
    <w:rsid w:val="00E01B55"/>
    <w:rsid w:val="00E01C9E"/>
    <w:rsid w:val="00E01CC0"/>
    <w:rsid w:val="00E02164"/>
    <w:rsid w:val="00E02326"/>
    <w:rsid w:val="00E0238C"/>
    <w:rsid w:val="00E0243D"/>
    <w:rsid w:val="00E024A3"/>
    <w:rsid w:val="00E0269A"/>
    <w:rsid w:val="00E0270B"/>
    <w:rsid w:val="00E02724"/>
    <w:rsid w:val="00E0277D"/>
    <w:rsid w:val="00E02B6D"/>
    <w:rsid w:val="00E02E56"/>
    <w:rsid w:val="00E02FE1"/>
    <w:rsid w:val="00E030D6"/>
    <w:rsid w:val="00E0312E"/>
    <w:rsid w:val="00E032BE"/>
    <w:rsid w:val="00E032E4"/>
    <w:rsid w:val="00E0346B"/>
    <w:rsid w:val="00E034C7"/>
    <w:rsid w:val="00E03500"/>
    <w:rsid w:val="00E035D7"/>
    <w:rsid w:val="00E036F6"/>
    <w:rsid w:val="00E03709"/>
    <w:rsid w:val="00E03854"/>
    <w:rsid w:val="00E039DE"/>
    <w:rsid w:val="00E03D5B"/>
    <w:rsid w:val="00E040EF"/>
    <w:rsid w:val="00E041AF"/>
    <w:rsid w:val="00E04238"/>
    <w:rsid w:val="00E0435F"/>
    <w:rsid w:val="00E043DD"/>
    <w:rsid w:val="00E044C3"/>
    <w:rsid w:val="00E045A3"/>
    <w:rsid w:val="00E0474F"/>
    <w:rsid w:val="00E047C4"/>
    <w:rsid w:val="00E05000"/>
    <w:rsid w:val="00E0502C"/>
    <w:rsid w:val="00E05647"/>
    <w:rsid w:val="00E057B2"/>
    <w:rsid w:val="00E06618"/>
    <w:rsid w:val="00E06666"/>
    <w:rsid w:val="00E066AF"/>
    <w:rsid w:val="00E066DC"/>
    <w:rsid w:val="00E06716"/>
    <w:rsid w:val="00E0676B"/>
    <w:rsid w:val="00E06AF7"/>
    <w:rsid w:val="00E06B02"/>
    <w:rsid w:val="00E06C32"/>
    <w:rsid w:val="00E06D00"/>
    <w:rsid w:val="00E06D80"/>
    <w:rsid w:val="00E073A2"/>
    <w:rsid w:val="00E07487"/>
    <w:rsid w:val="00E079F9"/>
    <w:rsid w:val="00E07B56"/>
    <w:rsid w:val="00E07C35"/>
    <w:rsid w:val="00E07C61"/>
    <w:rsid w:val="00E07C87"/>
    <w:rsid w:val="00E07CDD"/>
    <w:rsid w:val="00E07DB9"/>
    <w:rsid w:val="00E07F16"/>
    <w:rsid w:val="00E10087"/>
    <w:rsid w:val="00E1015C"/>
    <w:rsid w:val="00E10161"/>
    <w:rsid w:val="00E103DB"/>
    <w:rsid w:val="00E106B7"/>
    <w:rsid w:val="00E108E0"/>
    <w:rsid w:val="00E1097C"/>
    <w:rsid w:val="00E1099F"/>
    <w:rsid w:val="00E10A34"/>
    <w:rsid w:val="00E10AEC"/>
    <w:rsid w:val="00E10B0D"/>
    <w:rsid w:val="00E10E84"/>
    <w:rsid w:val="00E111FE"/>
    <w:rsid w:val="00E112D9"/>
    <w:rsid w:val="00E113FC"/>
    <w:rsid w:val="00E11712"/>
    <w:rsid w:val="00E1178B"/>
    <w:rsid w:val="00E11915"/>
    <w:rsid w:val="00E11942"/>
    <w:rsid w:val="00E11B22"/>
    <w:rsid w:val="00E11CA5"/>
    <w:rsid w:val="00E11E1A"/>
    <w:rsid w:val="00E12061"/>
    <w:rsid w:val="00E12195"/>
    <w:rsid w:val="00E12346"/>
    <w:rsid w:val="00E1258C"/>
    <w:rsid w:val="00E125D1"/>
    <w:rsid w:val="00E125D2"/>
    <w:rsid w:val="00E128BE"/>
    <w:rsid w:val="00E12912"/>
    <w:rsid w:val="00E12926"/>
    <w:rsid w:val="00E1298A"/>
    <w:rsid w:val="00E129A7"/>
    <w:rsid w:val="00E129BF"/>
    <w:rsid w:val="00E12E06"/>
    <w:rsid w:val="00E13290"/>
    <w:rsid w:val="00E13431"/>
    <w:rsid w:val="00E13645"/>
    <w:rsid w:val="00E137F1"/>
    <w:rsid w:val="00E13897"/>
    <w:rsid w:val="00E138A8"/>
    <w:rsid w:val="00E13E62"/>
    <w:rsid w:val="00E13E9C"/>
    <w:rsid w:val="00E1414F"/>
    <w:rsid w:val="00E14194"/>
    <w:rsid w:val="00E14247"/>
    <w:rsid w:val="00E14589"/>
    <w:rsid w:val="00E14E0B"/>
    <w:rsid w:val="00E14EF8"/>
    <w:rsid w:val="00E14FFF"/>
    <w:rsid w:val="00E1507B"/>
    <w:rsid w:val="00E1513B"/>
    <w:rsid w:val="00E15242"/>
    <w:rsid w:val="00E1536F"/>
    <w:rsid w:val="00E154A0"/>
    <w:rsid w:val="00E154A8"/>
    <w:rsid w:val="00E155EA"/>
    <w:rsid w:val="00E1588E"/>
    <w:rsid w:val="00E15904"/>
    <w:rsid w:val="00E159F4"/>
    <w:rsid w:val="00E15A68"/>
    <w:rsid w:val="00E15F73"/>
    <w:rsid w:val="00E16248"/>
    <w:rsid w:val="00E162B8"/>
    <w:rsid w:val="00E164A7"/>
    <w:rsid w:val="00E164FF"/>
    <w:rsid w:val="00E166E0"/>
    <w:rsid w:val="00E167B0"/>
    <w:rsid w:val="00E168E9"/>
    <w:rsid w:val="00E168F0"/>
    <w:rsid w:val="00E16A45"/>
    <w:rsid w:val="00E16B8A"/>
    <w:rsid w:val="00E17A13"/>
    <w:rsid w:val="00E17AE5"/>
    <w:rsid w:val="00E17B6C"/>
    <w:rsid w:val="00E17C16"/>
    <w:rsid w:val="00E17E23"/>
    <w:rsid w:val="00E17F97"/>
    <w:rsid w:val="00E17FAE"/>
    <w:rsid w:val="00E204ED"/>
    <w:rsid w:val="00E2075A"/>
    <w:rsid w:val="00E20932"/>
    <w:rsid w:val="00E2099A"/>
    <w:rsid w:val="00E20A51"/>
    <w:rsid w:val="00E20CEC"/>
    <w:rsid w:val="00E20E4C"/>
    <w:rsid w:val="00E20E7E"/>
    <w:rsid w:val="00E21179"/>
    <w:rsid w:val="00E2129B"/>
    <w:rsid w:val="00E21301"/>
    <w:rsid w:val="00E214CD"/>
    <w:rsid w:val="00E217D6"/>
    <w:rsid w:val="00E21937"/>
    <w:rsid w:val="00E21973"/>
    <w:rsid w:val="00E21AA5"/>
    <w:rsid w:val="00E21EF7"/>
    <w:rsid w:val="00E21F1D"/>
    <w:rsid w:val="00E21F38"/>
    <w:rsid w:val="00E21F4F"/>
    <w:rsid w:val="00E22128"/>
    <w:rsid w:val="00E221B1"/>
    <w:rsid w:val="00E221D4"/>
    <w:rsid w:val="00E22618"/>
    <w:rsid w:val="00E22A49"/>
    <w:rsid w:val="00E22A7E"/>
    <w:rsid w:val="00E22C7D"/>
    <w:rsid w:val="00E22D15"/>
    <w:rsid w:val="00E23456"/>
    <w:rsid w:val="00E235EF"/>
    <w:rsid w:val="00E23634"/>
    <w:rsid w:val="00E2376F"/>
    <w:rsid w:val="00E23773"/>
    <w:rsid w:val="00E23873"/>
    <w:rsid w:val="00E2391C"/>
    <w:rsid w:val="00E239FE"/>
    <w:rsid w:val="00E23B54"/>
    <w:rsid w:val="00E23C68"/>
    <w:rsid w:val="00E23E3F"/>
    <w:rsid w:val="00E23E6E"/>
    <w:rsid w:val="00E23E95"/>
    <w:rsid w:val="00E23E9C"/>
    <w:rsid w:val="00E23EBD"/>
    <w:rsid w:val="00E24124"/>
    <w:rsid w:val="00E241B7"/>
    <w:rsid w:val="00E242D1"/>
    <w:rsid w:val="00E24358"/>
    <w:rsid w:val="00E243C4"/>
    <w:rsid w:val="00E246AB"/>
    <w:rsid w:val="00E2474A"/>
    <w:rsid w:val="00E247C2"/>
    <w:rsid w:val="00E2484E"/>
    <w:rsid w:val="00E249D7"/>
    <w:rsid w:val="00E249FE"/>
    <w:rsid w:val="00E24A08"/>
    <w:rsid w:val="00E24B3A"/>
    <w:rsid w:val="00E24B90"/>
    <w:rsid w:val="00E24E18"/>
    <w:rsid w:val="00E24E73"/>
    <w:rsid w:val="00E2500A"/>
    <w:rsid w:val="00E25306"/>
    <w:rsid w:val="00E2571D"/>
    <w:rsid w:val="00E25765"/>
    <w:rsid w:val="00E2578C"/>
    <w:rsid w:val="00E25796"/>
    <w:rsid w:val="00E257AB"/>
    <w:rsid w:val="00E25E0A"/>
    <w:rsid w:val="00E25E67"/>
    <w:rsid w:val="00E25F50"/>
    <w:rsid w:val="00E262B8"/>
    <w:rsid w:val="00E26712"/>
    <w:rsid w:val="00E2685F"/>
    <w:rsid w:val="00E26916"/>
    <w:rsid w:val="00E269EC"/>
    <w:rsid w:val="00E26AFE"/>
    <w:rsid w:val="00E26BAD"/>
    <w:rsid w:val="00E26CE1"/>
    <w:rsid w:val="00E26E7C"/>
    <w:rsid w:val="00E26F4D"/>
    <w:rsid w:val="00E27049"/>
    <w:rsid w:val="00E272D5"/>
    <w:rsid w:val="00E27637"/>
    <w:rsid w:val="00E27957"/>
    <w:rsid w:val="00E27F38"/>
    <w:rsid w:val="00E3011B"/>
    <w:rsid w:val="00E30164"/>
    <w:rsid w:val="00E30497"/>
    <w:rsid w:val="00E307D6"/>
    <w:rsid w:val="00E308E7"/>
    <w:rsid w:val="00E30968"/>
    <w:rsid w:val="00E30A3F"/>
    <w:rsid w:val="00E30AFF"/>
    <w:rsid w:val="00E30C8C"/>
    <w:rsid w:val="00E30D98"/>
    <w:rsid w:val="00E30DE4"/>
    <w:rsid w:val="00E30E1D"/>
    <w:rsid w:val="00E30F1B"/>
    <w:rsid w:val="00E30F57"/>
    <w:rsid w:val="00E30FCB"/>
    <w:rsid w:val="00E310D1"/>
    <w:rsid w:val="00E311F4"/>
    <w:rsid w:val="00E313A3"/>
    <w:rsid w:val="00E313C1"/>
    <w:rsid w:val="00E3142B"/>
    <w:rsid w:val="00E314A5"/>
    <w:rsid w:val="00E317F8"/>
    <w:rsid w:val="00E31B24"/>
    <w:rsid w:val="00E31B4C"/>
    <w:rsid w:val="00E31C62"/>
    <w:rsid w:val="00E31F94"/>
    <w:rsid w:val="00E31FBB"/>
    <w:rsid w:val="00E32655"/>
    <w:rsid w:val="00E326A0"/>
    <w:rsid w:val="00E329EF"/>
    <w:rsid w:val="00E32A7A"/>
    <w:rsid w:val="00E32D32"/>
    <w:rsid w:val="00E32D43"/>
    <w:rsid w:val="00E32DB1"/>
    <w:rsid w:val="00E32FDD"/>
    <w:rsid w:val="00E33047"/>
    <w:rsid w:val="00E3333B"/>
    <w:rsid w:val="00E334FD"/>
    <w:rsid w:val="00E336DE"/>
    <w:rsid w:val="00E33795"/>
    <w:rsid w:val="00E338BC"/>
    <w:rsid w:val="00E338C5"/>
    <w:rsid w:val="00E33A33"/>
    <w:rsid w:val="00E33F9E"/>
    <w:rsid w:val="00E33FBC"/>
    <w:rsid w:val="00E3425B"/>
    <w:rsid w:val="00E343E0"/>
    <w:rsid w:val="00E34664"/>
    <w:rsid w:val="00E34788"/>
    <w:rsid w:val="00E3478D"/>
    <w:rsid w:val="00E347ED"/>
    <w:rsid w:val="00E3489B"/>
    <w:rsid w:val="00E34B6D"/>
    <w:rsid w:val="00E34CC5"/>
    <w:rsid w:val="00E34D57"/>
    <w:rsid w:val="00E34F68"/>
    <w:rsid w:val="00E35049"/>
    <w:rsid w:val="00E351C5"/>
    <w:rsid w:val="00E356DF"/>
    <w:rsid w:val="00E35A3C"/>
    <w:rsid w:val="00E35A7A"/>
    <w:rsid w:val="00E35BA5"/>
    <w:rsid w:val="00E35CEE"/>
    <w:rsid w:val="00E35D93"/>
    <w:rsid w:val="00E35DE3"/>
    <w:rsid w:val="00E3614C"/>
    <w:rsid w:val="00E3623F"/>
    <w:rsid w:val="00E3638F"/>
    <w:rsid w:val="00E36429"/>
    <w:rsid w:val="00E364F4"/>
    <w:rsid w:val="00E36523"/>
    <w:rsid w:val="00E3688F"/>
    <w:rsid w:val="00E36898"/>
    <w:rsid w:val="00E368D1"/>
    <w:rsid w:val="00E36DD1"/>
    <w:rsid w:val="00E37032"/>
    <w:rsid w:val="00E37088"/>
    <w:rsid w:val="00E372F5"/>
    <w:rsid w:val="00E373D8"/>
    <w:rsid w:val="00E37436"/>
    <w:rsid w:val="00E3757A"/>
    <w:rsid w:val="00E3762E"/>
    <w:rsid w:val="00E37673"/>
    <w:rsid w:val="00E37CBC"/>
    <w:rsid w:val="00E37DC6"/>
    <w:rsid w:val="00E37E14"/>
    <w:rsid w:val="00E403EA"/>
    <w:rsid w:val="00E4056D"/>
    <w:rsid w:val="00E40626"/>
    <w:rsid w:val="00E40640"/>
    <w:rsid w:val="00E407AD"/>
    <w:rsid w:val="00E408B8"/>
    <w:rsid w:val="00E4096C"/>
    <w:rsid w:val="00E412E3"/>
    <w:rsid w:val="00E414E5"/>
    <w:rsid w:val="00E4160C"/>
    <w:rsid w:val="00E41C02"/>
    <w:rsid w:val="00E41DAB"/>
    <w:rsid w:val="00E41ED1"/>
    <w:rsid w:val="00E41F59"/>
    <w:rsid w:val="00E4209D"/>
    <w:rsid w:val="00E423B7"/>
    <w:rsid w:val="00E425F9"/>
    <w:rsid w:val="00E4275E"/>
    <w:rsid w:val="00E4286B"/>
    <w:rsid w:val="00E429D0"/>
    <w:rsid w:val="00E429F8"/>
    <w:rsid w:val="00E42AF4"/>
    <w:rsid w:val="00E42C9D"/>
    <w:rsid w:val="00E42D20"/>
    <w:rsid w:val="00E42DC9"/>
    <w:rsid w:val="00E42DF6"/>
    <w:rsid w:val="00E42E98"/>
    <w:rsid w:val="00E42ED9"/>
    <w:rsid w:val="00E430AA"/>
    <w:rsid w:val="00E4323A"/>
    <w:rsid w:val="00E43259"/>
    <w:rsid w:val="00E4350D"/>
    <w:rsid w:val="00E43A2E"/>
    <w:rsid w:val="00E43AE6"/>
    <w:rsid w:val="00E43B5B"/>
    <w:rsid w:val="00E43E2E"/>
    <w:rsid w:val="00E43EBC"/>
    <w:rsid w:val="00E43FB1"/>
    <w:rsid w:val="00E4459C"/>
    <w:rsid w:val="00E44770"/>
    <w:rsid w:val="00E4483B"/>
    <w:rsid w:val="00E44BDB"/>
    <w:rsid w:val="00E44FD8"/>
    <w:rsid w:val="00E450FC"/>
    <w:rsid w:val="00E453F6"/>
    <w:rsid w:val="00E45526"/>
    <w:rsid w:val="00E455EA"/>
    <w:rsid w:val="00E45620"/>
    <w:rsid w:val="00E45653"/>
    <w:rsid w:val="00E4579F"/>
    <w:rsid w:val="00E458B0"/>
    <w:rsid w:val="00E458DF"/>
    <w:rsid w:val="00E4599E"/>
    <w:rsid w:val="00E45A8C"/>
    <w:rsid w:val="00E45AA7"/>
    <w:rsid w:val="00E45AE4"/>
    <w:rsid w:val="00E45C26"/>
    <w:rsid w:val="00E46391"/>
    <w:rsid w:val="00E46569"/>
    <w:rsid w:val="00E4659E"/>
    <w:rsid w:val="00E46606"/>
    <w:rsid w:val="00E4665F"/>
    <w:rsid w:val="00E46789"/>
    <w:rsid w:val="00E468C9"/>
    <w:rsid w:val="00E46A97"/>
    <w:rsid w:val="00E46B00"/>
    <w:rsid w:val="00E46EB5"/>
    <w:rsid w:val="00E4718D"/>
    <w:rsid w:val="00E471F3"/>
    <w:rsid w:val="00E4729F"/>
    <w:rsid w:val="00E47593"/>
    <w:rsid w:val="00E477B6"/>
    <w:rsid w:val="00E47887"/>
    <w:rsid w:val="00E47889"/>
    <w:rsid w:val="00E47B1E"/>
    <w:rsid w:val="00E47C13"/>
    <w:rsid w:val="00E47CAE"/>
    <w:rsid w:val="00E47D08"/>
    <w:rsid w:val="00E47DEE"/>
    <w:rsid w:val="00E50224"/>
    <w:rsid w:val="00E50514"/>
    <w:rsid w:val="00E505F7"/>
    <w:rsid w:val="00E506E3"/>
    <w:rsid w:val="00E50854"/>
    <w:rsid w:val="00E508FD"/>
    <w:rsid w:val="00E50AE3"/>
    <w:rsid w:val="00E50C3E"/>
    <w:rsid w:val="00E5100F"/>
    <w:rsid w:val="00E5135A"/>
    <w:rsid w:val="00E513D4"/>
    <w:rsid w:val="00E5142A"/>
    <w:rsid w:val="00E51BFC"/>
    <w:rsid w:val="00E51D99"/>
    <w:rsid w:val="00E51F0E"/>
    <w:rsid w:val="00E51F39"/>
    <w:rsid w:val="00E51F96"/>
    <w:rsid w:val="00E52144"/>
    <w:rsid w:val="00E52440"/>
    <w:rsid w:val="00E528E6"/>
    <w:rsid w:val="00E52A1A"/>
    <w:rsid w:val="00E52BB9"/>
    <w:rsid w:val="00E52F37"/>
    <w:rsid w:val="00E53022"/>
    <w:rsid w:val="00E535C3"/>
    <w:rsid w:val="00E5368B"/>
    <w:rsid w:val="00E538EF"/>
    <w:rsid w:val="00E53D1B"/>
    <w:rsid w:val="00E53D7D"/>
    <w:rsid w:val="00E53DCE"/>
    <w:rsid w:val="00E53E91"/>
    <w:rsid w:val="00E53F1C"/>
    <w:rsid w:val="00E543C1"/>
    <w:rsid w:val="00E54677"/>
    <w:rsid w:val="00E549F9"/>
    <w:rsid w:val="00E54A71"/>
    <w:rsid w:val="00E54B95"/>
    <w:rsid w:val="00E54D1D"/>
    <w:rsid w:val="00E54D21"/>
    <w:rsid w:val="00E54F3B"/>
    <w:rsid w:val="00E54F3D"/>
    <w:rsid w:val="00E54FA4"/>
    <w:rsid w:val="00E5501A"/>
    <w:rsid w:val="00E551FD"/>
    <w:rsid w:val="00E553F8"/>
    <w:rsid w:val="00E5565A"/>
    <w:rsid w:val="00E55B0F"/>
    <w:rsid w:val="00E55C03"/>
    <w:rsid w:val="00E55FC9"/>
    <w:rsid w:val="00E56267"/>
    <w:rsid w:val="00E562B1"/>
    <w:rsid w:val="00E5655C"/>
    <w:rsid w:val="00E56596"/>
    <w:rsid w:val="00E565EE"/>
    <w:rsid w:val="00E566EF"/>
    <w:rsid w:val="00E567AB"/>
    <w:rsid w:val="00E5698C"/>
    <w:rsid w:val="00E56A0A"/>
    <w:rsid w:val="00E56C0C"/>
    <w:rsid w:val="00E56DD1"/>
    <w:rsid w:val="00E57089"/>
    <w:rsid w:val="00E57208"/>
    <w:rsid w:val="00E57248"/>
    <w:rsid w:val="00E572C3"/>
    <w:rsid w:val="00E5734A"/>
    <w:rsid w:val="00E573A7"/>
    <w:rsid w:val="00E5750A"/>
    <w:rsid w:val="00E575D1"/>
    <w:rsid w:val="00E5764F"/>
    <w:rsid w:val="00E576BF"/>
    <w:rsid w:val="00E576E1"/>
    <w:rsid w:val="00E5783D"/>
    <w:rsid w:val="00E57884"/>
    <w:rsid w:val="00E5788A"/>
    <w:rsid w:val="00E57C45"/>
    <w:rsid w:val="00E60210"/>
    <w:rsid w:val="00E602AE"/>
    <w:rsid w:val="00E604DE"/>
    <w:rsid w:val="00E6054E"/>
    <w:rsid w:val="00E6061C"/>
    <w:rsid w:val="00E606C0"/>
    <w:rsid w:val="00E607C9"/>
    <w:rsid w:val="00E6083D"/>
    <w:rsid w:val="00E60A08"/>
    <w:rsid w:val="00E60A59"/>
    <w:rsid w:val="00E60BB3"/>
    <w:rsid w:val="00E60C74"/>
    <w:rsid w:val="00E6126E"/>
    <w:rsid w:val="00E615FE"/>
    <w:rsid w:val="00E6160D"/>
    <w:rsid w:val="00E6185B"/>
    <w:rsid w:val="00E61860"/>
    <w:rsid w:val="00E618E9"/>
    <w:rsid w:val="00E61A59"/>
    <w:rsid w:val="00E61A63"/>
    <w:rsid w:val="00E61AFC"/>
    <w:rsid w:val="00E61C37"/>
    <w:rsid w:val="00E61DCC"/>
    <w:rsid w:val="00E61DCF"/>
    <w:rsid w:val="00E62230"/>
    <w:rsid w:val="00E6229C"/>
    <w:rsid w:val="00E62898"/>
    <w:rsid w:val="00E62C74"/>
    <w:rsid w:val="00E62D2B"/>
    <w:rsid w:val="00E62DCB"/>
    <w:rsid w:val="00E62EB7"/>
    <w:rsid w:val="00E63135"/>
    <w:rsid w:val="00E632BC"/>
    <w:rsid w:val="00E63558"/>
    <w:rsid w:val="00E63764"/>
    <w:rsid w:val="00E638EE"/>
    <w:rsid w:val="00E638F5"/>
    <w:rsid w:val="00E63A20"/>
    <w:rsid w:val="00E63AA1"/>
    <w:rsid w:val="00E63BC7"/>
    <w:rsid w:val="00E63DA5"/>
    <w:rsid w:val="00E63DE2"/>
    <w:rsid w:val="00E63F80"/>
    <w:rsid w:val="00E63FA2"/>
    <w:rsid w:val="00E6467A"/>
    <w:rsid w:val="00E649BB"/>
    <w:rsid w:val="00E64A66"/>
    <w:rsid w:val="00E64C5E"/>
    <w:rsid w:val="00E64C75"/>
    <w:rsid w:val="00E64C81"/>
    <w:rsid w:val="00E64D1A"/>
    <w:rsid w:val="00E64D9E"/>
    <w:rsid w:val="00E64F59"/>
    <w:rsid w:val="00E65018"/>
    <w:rsid w:val="00E6515F"/>
    <w:rsid w:val="00E652AF"/>
    <w:rsid w:val="00E65325"/>
    <w:rsid w:val="00E65607"/>
    <w:rsid w:val="00E65875"/>
    <w:rsid w:val="00E658EE"/>
    <w:rsid w:val="00E659FB"/>
    <w:rsid w:val="00E65AC1"/>
    <w:rsid w:val="00E65AD1"/>
    <w:rsid w:val="00E65AEE"/>
    <w:rsid w:val="00E65C29"/>
    <w:rsid w:val="00E65C91"/>
    <w:rsid w:val="00E66042"/>
    <w:rsid w:val="00E66122"/>
    <w:rsid w:val="00E6623E"/>
    <w:rsid w:val="00E664FC"/>
    <w:rsid w:val="00E6675A"/>
    <w:rsid w:val="00E66BA1"/>
    <w:rsid w:val="00E66C98"/>
    <w:rsid w:val="00E66CC7"/>
    <w:rsid w:val="00E66ED2"/>
    <w:rsid w:val="00E6713E"/>
    <w:rsid w:val="00E671B2"/>
    <w:rsid w:val="00E677E0"/>
    <w:rsid w:val="00E67894"/>
    <w:rsid w:val="00E678FB"/>
    <w:rsid w:val="00E67919"/>
    <w:rsid w:val="00E6798E"/>
    <w:rsid w:val="00E67C53"/>
    <w:rsid w:val="00E67DCA"/>
    <w:rsid w:val="00E67DCB"/>
    <w:rsid w:val="00E67FBF"/>
    <w:rsid w:val="00E7013A"/>
    <w:rsid w:val="00E70411"/>
    <w:rsid w:val="00E704E2"/>
    <w:rsid w:val="00E7058D"/>
    <w:rsid w:val="00E7080F"/>
    <w:rsid w:val="00E70A18"/>
    <w:rsid w:val="00E70A73"/>
    <w:rsid w:val="00E70C1D"/>
    <w:rsid w:val="00E70CA0"/>
    <w:rsid w:val="00E70E27"/>
    <w:rsid w:val="00E71083"/>
    <w:rsid w:val="00E711D8"/>
    <w:rsid w:val="00E71246"/>
    <w:rsid w:val="00E71300"/>
    <w:rsid w:val="00E71534"/>
    <w:rsid w:val="00E71544"/>
    <w:rsid w:val="00E717E0"/>
    <w:rsid w:val="00E718F3"/>
    <w:rsid w:val="00E7197E"/>
    <w:rsid w:val="00E71E35"/>
    <w:rsid w:val="00E71F0B"/>
    <w:rsid w:val="00E720FD"/>
    <w:rsid w:val="00E724D2"/>
    <w:rsid w:val="00E72506"/>
    <w:rsid w:val="00E72626"/>
    <w:rsid w:val="00E726BA"/>
    <w:rsid w:val="00E726C8"/>
    <w:rsid w:val="00E72749"/>
    <w:rsid w:val="00E7278B"/>
    <w:rsid w:val="00E727B6"/>
    <w:rsid w:val="00E729AD"/>
    <w:rsid w:val="00E72CCB"/>
    <w:rsid w:val="00E73099"/>
    <w:rsid w:val="00E73232"/>
    <w:rsid w:val="00E7344B"/>
    <w:rsid w:val="00E736EE"/>
    <w:rsid w:val="00E73844"/>
    <w:rsid w:val="00E73B72"/>
    <w:rsid w:val="00E73CB0"/>
    <w:rsid w:val="00E73E48"/>
    <w:rsid w:val="00E73F2B"/>
    <w:rsid w:val="00E74365"/>
    <w:rsid w:val="00E744E7"/>
    <w:rsid w:val="00E74586"/>
    <w:rsid w:val="00E7471C"/>
    <w:rsid w:val="00E74C04"/>
    <w:rsid w:val="00E74CA4"/>
    <w:rsid w:val="00E74D30"/>
    <w:rsid w:val="00E74E39"/>
    <w:rsid w:val="00E74EAB"/>
    <w:rsid w:val="00E7526D"/>
    <w:rsid w:val="00E752D0"/>
    <w:rsid w:val="00E7530F"/>
    <w:rsid w:val="00E75334"/>
    <w:rsid w:val="00E7543E"/>
    <w:rsid w:val="00E75533"/>
    <w:rsid w:val="00E75656"/>
    <w:rsid w:val="00E756DD"/>
    <w:rsid w:val="00E75768"/>
    <w:rsid w:val="00E75BB4"/>
    <w:rsid w:val="00E75C2C"/>
    <w:rsid w:val="00E75ECD"/>
    <w:rsid w:val="00E761D6"/>
    <w:rsid w:val="00E76203"/>
    <w:rsid w:val="00E7642A"/>
    <w:rsid w:val="00E76A10"/>
    <w:rsid w:val="00E76AF1"/>
    <w:rsid w:val="00E76B22"/>
    <w:rsid w:val="00E76CAC"/>
    <w:rsid w:val="00E76D78"/>
    <w:rsid w:val="00E76D96"/>
    <w:rsid w:val="00E76FA9"/>
    <w:rsid w:val="00E771E9"/>
    <w:rsid w:val="00E77C5A"/>
    <w:rsid w:val="00E77E30"/>
    <w:rsid w:val="00E801E2"/>
    <w:rsid w:val="00E8025B"/>
    <w:rsid w:val="00E80408"/>
    <w:rsid w:val="00E80444"/>
    <w:rsid w:val="00E8056E"/>
    <w:rsid w:val="00E805F5"/>
    <w:rsid w:val="00E80C59"/>
    <w:rsid w:val="00E80C6C"/>
    <w:rsid w:val="00E80CA1"/>
    <w:rsid w:val="00E810C5"/>
    <w:rsid w:val="00E81135"/>
    <w:rsid w:val="00E812E4"/>
    <w:rsid w:val="00E812F3"/>
    <w:rsid w:val="00E81396"/>
    <w:rsid w:val="00E81741"/>
    <w:rsid w:val="00E81A00"/>
    <w:rsid w:val="00E81F0A"/>
    <w:rsid w:val="00E81FEA"/>
    <w:rsid w:val="00E81FEB"/>
    <w:rsid w:val="00E820C9"/>
    <w:rsid w:val="00E82136"/>
    <w:rsid w:val="00E82239"/>
    <w:rsid w:val="00E823A9"/>
    <w:rsid w:val="00E82513"/>
    <w:rsid w:val="00E82722"/>
    <w:rsid w:val="00E827EC"/>
    <w:rsid w:val="00E828A8"/>
    <w:rsid w:val="00E82AD5"/>
    <w:rsid w:val="00E83060"/>
    <w:rsid w:val="00E8321F"/>
    <w:rsid w:val="00E83304"/>
    <w:rsid w:val="00E8337B"/>
    <w:rsid w:val="00E83569"/>
    <w:rsid w:val="00E8360F"/>
    <w:rsid w:val="00E83672"/>
    <w:rsid w:val="00E83696"/>
    <w:rsid w:val="00E837B1"/>
    <w:rsid w:val="00E838C6"/>
    <w:rsid w:val="00E83A36"/>
    <w:rsid w:val="00E83E1E"/>
    <w:rsid w:val="00E83E6F"/>
    <w:rsid w:val="00E83EE4"/>
    <w:rsid w:val="00E83F68"/>
    <w:rsid w:val="00E84019"/>
    <w:rsid w:val="00E84030"/>
    <w:rsid w:val="00E841D8"/>
    <w:rsid w:val="00E84238"/>
    <w:rsid w:val="00E8452B"/>
    <w:rsid w:val="00E845A4"/>
    <w:rsid w:val="00E848AF"/>
    <w:rsid w:val="00E84A06"/>
    <w:rsid w:val="00E84ADB"/>
    <w:rsid w:val="00E84CB4"/>
    <w:rsid w:val="00E84E3E"/>
    <w:rsid w:val="00E850B7"/>
    <w:rsid w:val="00E850F8"/>
    <w:rsid w:val="00E8510E"/>
    <w:rsid w:val="00E851AF"/>
    <w:rsid w:val="00E8526C"/>
    <w:rsid w:val="00E8540E"/>
    <w:rsid w:val="00E855DD"/>
    <w:rsid w:val="00E85744"/>
    <w:rsid w:val="00E857B6"/>
    <w:rsid w:val="00E8591B"/>
    <w:rsid w:val="00E859B1"/>
    <w:rsid w:val="00E85B42"/>
    <w:rsid w:val="00E85BA2"/>
    <w:rsid w:val="00E85EBD"/>
    <w:rsid w:val="00E85F64"/>
    <w:rsid w:val="00E85FDB"/>
    <w:rsid w:val="00E86183"/>
    <w:rsid w:val="00E86259"/>
    <w:rsid w:val="00E86525"/>
    <w:rsid w:val="00E866D2"/>
    <w:rsid w:val="00E8673B"/>
    <w:rsid w:val="00E867DA"/>
    <w:rsid w:val="00E86923"/>
    <w:rsid w:val="00E86BDF"/>
    <w:rsid w:val="00E86F68"/>
    <w:rsid w:val="00E870CB"/>
    <w:rsid w:val="00E871BD"/>
    <w:rsid w:val="00E871C9"/>
    <w:rsid w:val="00E873A3"/>
    <w:rsid w:val="00E87882"/>
    <w:rsid w:val="00E878C3"/>
    <w:rsid w:val="00E87921"/>
    <w:rsid w:val="00E87962"/>
    <w:rsid w:val="00E879D7"/>
    <w:rsid w:val="00E87B86"/>
    <w:rsid w:val="00E87BB6"/>
    <w:rsid w:val="00E87C91"/>
    <w:rsid w:val="00E87EB3"/>
    <w:rsid w:val="00E87FB5"/>
    <w:rsid w:val="00E87FDB"/>
    <w:rsid w:val="00E90008"/>
    <w:rsid w:val="00E90059"/>
    <w:rsid w:val="00E90304"/>
    <w:rsid w:val="00E90440"/>
    <w:rsid w:val="00E905E9"/>
    <w:rsid w:val="00E9060E"/>
    <w:rsid w:val="00E90724"/>
    <w:rsid w:val="00E90972"/>
    <w:rsid w:val="00E909F0"/>
    <w:rsid w:val="00E90AD4"/>
    <w:rsid w:val="00E90AF4"/>
    <w:rsid w:val="00E90BEF"/>
    <w:rsid w:val="00E90D1D"/>
    <w:rsid w:val="00E90D6A"/>
    <w:rsid w:val="00E90F62"/>
    <w:rsid w:val="00E911AA"/>
    <w:rsid w:val="00E91563"/>
    <w:rsid w:val="00E91834"/>
    <w:rsid w:val="00E91BE4"/>
    <w:rsid w:val="00E91D0C"/>
    <w:rsid w:val="00E91D6D"/>
    <w:rsid w:val="00E91D7B"/>
    <w:rsid w:val="00E9210F"/>
    <w:rsid w:val="00E923D0"/>
    <w:rsid w:val="00E927E4"/>
    <w:rsid w:val="00E92979"/>
    <w:rsid w:val="00E92E00"/>
    <w:rsid w:val="00E92EE6"/>
    <w:rsid w:val="00E9309B"/>
    <w:rsid w:val="00E930BB"/>
    <w:rsid w:val="00E9355E"/>
    <w:rsid w:val="00E93ABB"/>
    <w:rsid w:val="00E93C40"/>
    <w:rsid w:val="00E93EC3"/>
    <w:rsid w:val="00E9418C"/>
    <w:rsid w:val="00E942D2"/>
    <w:rsid w:val="00E94344"/>
    <w:rsid w:val="00E943E2"/>
    <w:rsid w:val="00E9441C"/>
    <w:rsid w:val="00E94B5D"/>
    <w:rsid w:val="00E94C44"/>
    <w:rsid w:val="00E94C63"/>
    <w:rsid w:val="00E94CF6"/>
    <w:rsid w:val="00E94D66"/>
    <w:rsid w:val="00E94E0F"/>
    <w:rsid w:val="00E94F5F"/>
    <w:rsid w:val="00E9525B"/>
    <w:rsid w:val="00E9536A"/>
    <w:rsid w:val="00E95422"/>
    <w:rsid w:val="00E95595"/>
    <w:rsid w:val="00E95753"/>
    <w:rsid w:val="00E958A1"/>
    <w:rsid w:val="00E95927"/>
    <w:rsid w:val="00E9599D"/>
    <w:rsid w:val="00E96156"/>
    <w:rsid w:val="00E963A6"/>
    <w:rsid w:val="00E9640E"/>
    <w:rsid w:val="00E964B1"/>
    <w:rsid w:val="00E9671C"/>
    <w:rsid w:val="00E96898"/>
    <w:rsid w:val="00E96A40"/>
    <w:rsid w:val="00E96B24"/>
    <w:rsid w:val="00E96D78"/>
    <w:rsid w:val="00E96F88"/>
    <w:rsid w:val="00E96FCE"/>
    <w:rsid w:val="00E97437"/>
    <w:rsid w:val="00E9764C"/>
    <w:rsid w:val="00E976A5"/>
    <w:rsid w:val="00E976F7"/>
    <w:rsid w:val="00E97B7A"/>
    <w:rsid w:val="00E97CFD"/>
    <w:rsid w:val="00E97DFC"/>
    <w:rsid w:val="00E97EBC"/>
    <w:rsid w:val="00EA0155"/>
    <w:rsid w:val="00EA015B"/>
    <w:rsid w:val="00EA019B"/>
    <w:rsid w:val="00EA0270"/>
    <w:rsid w:val="00EA07B8"/>
    <w:rsid w:val="00EA0DFA"/>
    <w:rsid w:val="00EA0F75"/>
    <w:rsid w:val="00EA0FAB"/>
    <w:rsid w:val="00EA11A7"/>
    <w:rsid w:val="00EA16B4"/>
    <w:rsid w:val="00EA16DF"/>
    <w:rsid w:val="00EA16F4"/>
    <w:rsid w:val="00EA17E8"/>
    <w:rsid w:val="00EA1ADE"/>
    <w:rsid w:val="00EA1CF3"/>
    <w:rsid w:val="00EA1D72"/>
    <w:rsid w:val="00EA1F6A"/>
    <w:rsid w:val="00EA1F80"/>
    <w:rsid w:val="00EA208D"/>
    <w:rsid w:val="00EA2129"/>
    <w:rsid w:val="00EA2186"/>
    <w:rsid w:val="00EA2488"/>
    <w:rsid w:val="00EA24D4"/>
    <w:rsid w:val="00EA24F7"/>
    <w:rsid w:val="00EA27FB"/>
    <w:rsid w:val="00EA28E9"/>
    <w:rsid w:val="00EA29EA"/>
    <w:rsid w:val="00EA2BBB"/>
    <w:rsid w:val="00EA2BEC"/>
    <w:rsid w:val="00EA2D1D"/>
    <w:rsid w:val="00EA2D96"/>
    <w:rsid w:val="00EA2EB4"/>
    <w:rsid w:val="00EA319E"/>
    <w:rsid w:val="00EA31D3"/>
    <w:rsid w:val="00EA328B"/>
    <w:rsid w:val="00EA336D"/>
    <w:rsid w:val="00EA34A7"/>
    <w:rsid w:val="00EA3847"/>
    <w:rsid w:val="00EA38C8"/>
    <w:rsid w:val="00EA3B5B"/>
    <w:rsid w:val="00EA3C4E"/>
    <w:rsid w:val="00EA3CFF"/>
    <w:rsid w:val="00EA3FF8"/>
    <w:rsid w:val="00EA4120"/>
    <w:rsid w:val="00EA41E2"/>
    <w:rsid w:val="00EA4523"/>
    <w:rsid w:val="00EA4641"/>
    <w:rsid w:val="00EA46F5"/>
    <w:rsid w:val="00EA4F05"/>
    <w:rsid w:val="00EA5071"/>
    <w:rsid w:val="00EA521A"/>
    <w:rsid w:val="00EA53AE"/>
    <w:rsid w:val="00EA55A9"/>
    <w:rsid w:val="00EA5747"/>
    <w:rsid w:val="00EA577C"/>
    <w:rsid w:val="00EA5A67"/>
    <w:rsid w:val="00EA5BDC"/>
    <w:rsid w:val="00EA5C92"/>
    <w:rsid w:val="00EA5CEA"/>
    <w:rsid w:val="00EA5FC3"/>
    <w:rsid w:val="00EA6564"/>
    <w:rsid w:val="00EA65E8"/>
    <w:rsid w:val="00EA66A6"/>
    <w:rsid w:val="00EA6D90"/>
    <w:rsid w:val="00EA7177"/>
    <w:rsid w:val="00EA7248"/>
    <w:rsid w:val="00EA73FC"/>
    <w:rsid w:val="00EA751D"/>
    <w:rsid w:val="00EA760B"/>
    <w:rsid w:val="00EA78EC"/>
    <w:rsid w:val="00EA7B1A"/>
    <w:rsid w:val="00EA7C1D"/>
    <w:rsid w:val="00EB0155"/>
    <w:rsid w:val="00EB0317"/>
    <w:rsid w:val="00EB04D1"/>
    <w:rsid w:val="00EB0513"/>
    <w:rsid w:val="00EB0B73"/>
    <w:rsid w:val="00EB0C8F"/>
    <w:rsid w:val="00EB0EFD"/>
    <w:rsid w:val="00EB0F09"/>
    <w:rsid w:val="00EB115B"/>
    <w:rsid w:val="00EB125A"/>
    <w:rsid w:val="00EB12A3"/>
    <w:rsid w:val="00EB1512"/>
    <w:rsid w:val="00EB163A"/>
    <w:rsid w:val="00EB1713"/>
    <w:rsid w:val="00EB195D"/>
    <w:rsid w:val="00EB1D0C"/>
    <w:rsid w:val="00EB1E28"/>
    <w:rsid w:val="00EB1FFB"/>
    <w:rsid w:val="00EB216A"/>
    <w:rsid w:val="00EB227D"/>
    <w:rsid w:val="00EB236C"/>
    <w:rsid w:val="00EB2813"/>
    <w:rsid w:val="00EB2976"/>
    <w:rsid w:val="00EB29FE"/>
    <w:rsid w:val="00EB2A56"/>
    <w:rsid w:val="00EB2A62"/>
    <w:rsid w:val="00EB2B8C"/>
    <w:rsid w:val="00EB2BB2"/>
    <w:rsid w:val="00EB2C8D"/>
    <w:rsid w:val="00EB2F4B"/>
    <w:rsid w:val="00EB3175"/>
    <w:rsid w:val="00EB35ED"/>
    <w:rsid w:val="00EB3602"/>
    <w:rsid w:val="00EB3895"/>
    <w:rsid w:val="00EB3917"/>
    <w:rsid w:val="00EB3AAA"/>
    <w:rsid w:val="00EB3B18"/>
    <w:rsid w:val="00EB3C01"/>
    <w:rsid w:val="00EB3EAB"/>
    <w:rsid w:val="00EB4259"/>
    <w:rsid w:val="00EB4488"/>
    <w:rsid w:val="00EB4652"/>
    <w:rsid w:val="00EB46A4"/>
    <w:rsid w:val="00EB470F"/>
    <w:rsid w:val="00EB489C"/>
    <w:rsid w:val="00EB498E"/>
    <w:rsid w:val="00EB4D31"/>
    <w:rsid w:val="00EB4F55"/>
    <w:rsid w:val="00EB502E"/>
    <w:rsid w:val="00EB50AF"/>
    <w:rsid w:val="00EB50C9"/>
    <w:rsid w:val="00EB5472"/>
    <w:rsid w:val="00EB57A9"/>
    <w:rsid w:val="00EB5848"/>
    <w:rsid w:val="00EB5958"/>
    <w:rsid w:val="00EB5A58"/>
    <w:rsid w:val="00EB5CBF"/>
    <w:rsid w:val="00EB5E68"/>
    <w:rsid w:val="00EB5FF8"/>
    <w:rsid w:val="00EB608D"/>
    <w:rsid w:val="00EB62A1"/>
    <w:rsid w:val="00EB63B6"/>
    <w:rsid w:val="00EB651E"/>
    <w:rsid w:val="00EB65A5"/>
    <w:rsid w:val="00EB6962"/>
    <w:rsid w:val="00EB69C9"/>
    <w:rsid w:val="00EB6AE9"/>
    <w:rsid w:val="00EB6B31"/>
    <w:rsid w:val="00EB6B78"/>
    <w:rsid w:val="00EB6DDD"/>
    <w:rsid w:val="00EB6FD9"/>
    <w:rsid w:val="00EB71FF"/>
    <w:rsid w:val="00EB75BB"/>
    <w:rsid w:val="00EB7897"/>
    <w:rsid w:val="00EB7A68"/>
    <w:rsid w:val="00EB7A87"/>
    <w:rsid w:val="00EB7B2D"/>
    <w:rsid w:val="00EB7D9C"/>
    <w:rsid w:val="00EB7FC0"/>
    <w:rsid w:val="00EC0066"/>
    <w:rsid w:val="00EC0241"/>
    <w:rsid w:val="00EC0338"/>
    <w:rsid w:val="00EC0436"/>
    <w:rsid w:val="00EC0A1E"/>
    <w:rsid w:val="00EC0FBF"/>
    <w:rsid w:val="00EC11BB"/>
    <w:rsid w:val="00EC11C0"/>
    <w:rsid w:val="00EC11D7"/>
    <w:rsid w:val="00EC1327"/>
    <w:rsid w:val="00EC13CB"/>
    <w:rsid w:val="00EC1830"/>
    <w:rsid w:val="00EC1C47"/>
    <w:rsid w:val="00EC1E50"/>
    <w:rsid w:val="00EC1F8F"/>
    <w:rsid w:val="00EC1FF7"/>
    <w:rsid w:val="00EC2015"/>
    <w:rsid w:val="00EC206D"/>
    <w:rsid w:val="00EC2107"/>
    <w:rsid w:val="00EC2284"/>
    <w:rsid w:val="00EC22F5"/>
    <w:rsid w:val="00EC2445"/>
    <w:rsid w:val="00EC27D1"/>
    <w:rsid w:val="00EC2966"/>
    <w:rsid w:val="00EC2A3D"/>
    <w:rsid w:val="00EC2A8C"/>
    <w:rsid w:val="00EC2A98"/>
    <w:rsid w:val="00EC2B10"/>
    <w:rsid w:val="00EC2C3F"/>
    <w:rsid w:val="00EC2DF3"/>
    <w:rsid w:val="00EC3181"/>
    <w:rsid w:val="00EC31FD"/>
    <w:rsid w:val="00EC36B6"/>
    <w:rsid w:val="00EC37B1"/>
    <w:rsid w:val="00EC37BF"/>
    <w:rsid w:val="00EC3C4F"/>
    <w:rsid w:val="00EC3CFC"/>
    <w:rsid w:val="00EC3F0E"/>
    <w:rsid w:val="00EC4179"/>
    <w:rsid w:val="00EC42A3"/>
    <w:rsid w:val="00EC4305"/>
    <w:rsid w:val="00EC435E"/>
    <w:rsid w:val="00EC4461"/>
    <w:rsid w:val="00EC45DC"/>
    <w:rsid w:val="00EC4828"/>
    <w:rsid w:val="00EC4988"/>
    <w:rsid w:val="00EC4C2E"/>
    <w:rsid w:val="00EC4D3A"/>
    <w:rsid w:val="00EC4D88"/>
    <w:rsid w:val="00EC4FAA"/>
    <w:rsid w:val="00EC519E"/>
    <w:rsid w:val="00EC5272"/>
    <w:rsid w:val="00EC52C9"/>
    <w:rsid w:val="00EC5366"/>
    <w:rsid w:val="00EC54C9"/>
    <w:rsid w:val="00EC5714"/>
    <w:rsid w:val="00EC5847"/>
    <w:rsid w:val="00EC5DAE"/>
    <w:rsid w:val="00EC5E56"/>
    <w:rsid w:val="00EC5E64"/>
    <w:rsid w:val="00EC5E9A"/>
    <w:rsid w:val="00EC5FA7"/>
    <w:rsid w:val="00EC6192"/>
    <w:rsid w:val="00EC626D"/>
    <w:rsid w:val="00EC6631"/>
    <w:rsid w:val="00EC6821"/>
    <w:rsid w:val="00EC689E"/>
    <w:rsid w:val="00EC693B"/>
    <w:rsid w:val="00EC6A59"/>
    <w:rsid w:val="00EC6A9A"/>
    <w:rsid w:val="00EC6BE3"/>
    <w:rsid w:val="00EC7152"/>
    <w:rsid w:val="00EC75DA"/>
    <w:rsid w:val="00EC760C"/>
    <w:rsid w:val="00EC78FF"/>
    <w:rsid w:val="00EC7922"/>
    <w:rsid w:val="00EC7A24"/>
    <w:rsid w:val="00EC7C3C"/>
    <w:rsid w:val="00EC7C4D"/>
    <w:rsid w:val="00EC7EE1"/>
    <w:rsid w:val="00ED00E9"/>
    <w:rsid w:val="00ED054C"/>
    <w:rsid w:val="00ED0557"/>
    <w:rsid w:val="00ED06A1"/>
    <w:rsid w:val="00ED0819"/>
    <w:rsid w:val="00ED09A5"/>
    <w:rsid w:val="00ED0C3D"/>
    <w:rsid w:val="00ED0DCA"/>
    <w:rsid w:val="00ED0F5F"/>
    <w:rsid w:val="00ED0FA9"/>
    <w:rsid w:val="00ED0FAE"/>
    <w:rsid w:val="00ED11AA"/>
    <w:rsid w:val="00ED1226"/>
    <w:rsid w:val="00ED12D7"/>
    <w:rsid w:val="00ED1571"/>
    <w:rsid w:val="00ED15D3"/>
    <w:rsid w:val="00ED16EE"/>
    <w:rsid w:val="00ED1907"/>
    <w:rsid w:val="00ED1A50"/>
    <w:rsid w:val="00ED1B38"/>
    <w:rsid w:val="00ED1BD4"/>
    <w:rsid w:val="00ED209B"/>
    <w:rsid w:val="00ED21B8"/>
    <w:rsid w:val="00ED2395"/>
    <w:rsid w:val="00ED2B1D"/>
    <w:rsid w:val="00ED2BA3"/>
    <w:rsid w:val="00ED2C66"/>
    <w:rsid w:val="00ED2C99"/>
    <w:rsid w:val="00ED2CD4"/>
    <w:rsid w:val="00ED2DB2"/>
    <w:rsid w:val="00ED3363"/>
    <w:rsid w:val="00ED33F7"/>
    <w:rsid w:val="00ED3475"/>
    <w:rsid w:val="00ED35AF"/>
    <w:rsid w:val="00ED367D"/>
    <w:rsid w:val="00ED3A93"/>
    <w:rsid w:val="00ED3B7C"/>
    <w:rsid w:val="00ED3C4D"/>
    <w:rsid w:val="00ED3CA0"/>
    <w:rsid w:val="00ED3D11"/>
    <w:rsid w:val="00ED3DAE"/>
    <w:rsid w:val="00ED3FB0"/>
    <w:rsid w:val="00ED404F"/>
    <w:rsid w:val="00ED40A7"/>
    <w:rsid w:val="00ED42DF"/>
    <w:rsid w:val="00ED4350"/>
    <w:rsid w:val="00ED4519"/>
    <w:rsid w:val="00ED4885"/>
    <w:rsid w:val="00ED49F2"/>
    <w:rsid w:val="00ED49FA"/>
    <w:rsid w:val="00ED4C07"/>
    <w:rsid w:val="00ED4CF0"/>
    <w:rsid w:val="00ED4D65"/>
    <w:rsid w:val="00ED4D6E"/>
    <w:rsid w:val="00ED5037"/>
    <w:rsid w:val="00ED505F"/>
    <w:rsid w:val="00ED5233"/>
    <w:rsid w:val="00ED555B"/>
    <w:rsid w:val="00ED585C"/>
    <w:rsid w:val="00ED58BD"/>
    <w:rsid w:val="00ED5B4D"/>
    <w:rsid w:val="00ED5DC6"/>
    <w:rsid w:val="00ED5F6C"/>
    <w:rsid w:val="00ED6268"/>
    <w:rsid w:val="00ED62B5"/>
    <w:rsid w:val="00ED6822"/>
    <w:rsid w:val="00ED6BF7"/>
    <w:rsid w:val="00ED6C0A"/>
    <w:rsid w:val="00ED6ED3"/>
    <w:rsid w:val="00ED716C"/>
    <w:rsid w:val="00ED7290"/>
    <w:rsid w:val="00ED7588"/>
    <w:rsid w:val="00ED775D"/>
    <w:rsid w:val="00ED77FA"/>
    <w:rsid w:val="00ED7952"/>
    <w:rsid w:val="00ED7A75"/>
    <w:rsid w:val="00ED7E05"/>
    <w:rsid w:val="00ED7EB4"/>
    <w:rsid w:val="00ED7ED1"/>
    <w:rsid w:val="00ED7EF5"/>
    <w:rsid w:val="00EE021D"/>
    <w:rsid w:val="00EE02A7"/>
    <w:rsid w:val="00EE03B1"/>
    <w:rsid w:val="00EE044C"/>
    <w:rsid w:val="00EE05D4"/>
    <w:rsid w:val="00EE0620"/>
    <w:rsid w:val="00EE099E"/>
    <w:rsid w:val="00EE0C70"/>
    <w:rsid w:val="00EE0F67"/>
    <w:rsid w:val="00EE1048"/>
    <w:rsid w:val="00EE11D9"/>
    <w:rsid w:val="00EE1321"/>
    <w:rsid w:val="00EE1416"/>
    <w:rsid w:val="00EE14C5"/>
    <w:rsid w:val="00EE160D"/>
    <w:rsid w:val="00EE18EB"/>
    <w:rsid w:val="00EE1900"/>
    <w:rsid w:val="00EE1A3F"/>
    <w:rsid w:val="00EE1B95"/>
    <w:rsid w:val="00EE1F85"/>
    <w:rsid w:val="00EE2017"/>
    <w:rsid w:val="00EE2159"/>
    <w:rsid w:val="00EE2210"/>
    <w:rsid w:val="00EE2469"/>
    <w:rsid w:val="00EE24C3"/>
    <w:rsid w:val="00EE272D"/>
    <w:rsid w:val="00EE277A"/>
    <w:rsid w:val="00EE284B"/>
    <w:rsid w:val="00EE28E7"/>
    <w:rsid w:val="00EE294F"/>
    <w:rsid w:val="00EE2994"/>
    <w:rsid w:val="00EE2E65"/>
    <w:rsid w:val="00EE2EA6"/>
    <w:rsid w:val="00EE2FBD"/>
    <w:rsid w:val="00EE33B4"/>
    <w:rsid w:val="00EE37CA"/>
    <w:rsid w:val="00EE382D"/>
    <w:rsid w:val="00EE3A3B"/>
    <w:rsid w:val="00EE3D4E"/>
    <w:rsid w:val="00EE3F0B"/>
    <w:rsid w:val="00EE3FFA"/>
    <w:rsid w:val="00EE400C"/>
    <w:rsid w:val="00EE415A"/>
    <w:rsid w:val="00EE43ED"/>
    <w:rsid w:val="00EE45D4"/>
    <w:rsid w:val="00EE4677"/>
    <w:rsid w:val="00EE4692"/>
    <w:rsid w:val="00EE47C2"/>
    <w:rsid w:val="00EE47C9"/>
    <w:rsid w:val="00EE48F7"/>
    <w:rsid w:val="00EE4AC8"/>
    <w:rsid w:val="00EE4B4A"/>
    <w:rsid w:val="00EE4B91"/>
    <w:rsid w:val="00EE4C61"/>
    <w:rsid w:val="00EE4C88"/>
    <w:rsid w:val="00EE4C8D"/>
    <w:rsid w:val="00EE4D72"/>
    <w:rsid w:val="00EE540F"/>
    <w:rsid w:val="00EE5945"/>
    <w:rsid w:val="00EE5BC7"/>
    <w:rsid w:val="00EE62C0"/>
    <w:rsid w:val="00EE62FF"/>
    <w:rsid w:val="00EE6665"/>
    <w:rsid w:val="00EE66A9"/>
    <w:rsid w:val="00EE6857"/>
    <w:rsid w:val="00EE6976"/>
    <w:rsid w:val="00EE6981"/>
    <w:rsid w:val="00EE6ADE"/>
    <w:rsid w:val="00EE6BC6"/>
    <w:rsid w:val="00EE6F9B"/>
    <w:rsid w:val="00EE70B5"/>
    <w:rsid w:val="00EE7229"/>
    <w:rsid w:val="00EE75A3"/>
    <w:rsid w:val="00EE767F"/>
    <w:rsid w:val="00EE7B3C"/>
    <w:rsid w:val="00EE7E6B"/>
    <w:rsid w:val="00EF00CA"/>
    <w:rsid w:val="00EF03A1"/>
    <w:rsid w:val="00EF0540"/>
    <w:rsid w:val="00EF056F"/>
    <w:rsid w:val="00EF05EF"/>
    <w:rsid w:val="00EF07B5"/>
    <w:rsid w:val="00EF0999"/>
    <w:rsid w:val="00EF09F4"/>
    <w:rsid w:val="00EF0D79"/>
    <w:rsid w:val="00EF1224"/>
    <w:rsid w:val="00EF1359"/>
    <w:rsid w:val="00EF153C"/>
    <w:rsid w:val="00EF1A7C"/>
    <w:rsid w:val="00EF1AB3"/>
    <w:rsid w:val="00EF1E1F"/>
    <w:rsid w:val="00EF1E8B"/>
    <w:rsid w:val="00EF2261"/>
    <w:rsid w:val="00EF23DD"/>
    <w:rsid w:val="00EF299C"/>
    <w:rsid w:val="00EF2A3D"/>
    <w:rsid w:val="00EF2B95"/>
    <w:rsid w:val="00EF2C2D"/>
    <w:rsid w:val="00EF2DAF"/>
    <w:rsid w:val="00EF3212"/>
    <w:rsid w:val="00EF3692"/>
    <w:rsid w:val="00EF36FE"/>
    <w:rsid w:val="00EF38AF"/>
    <w:rsid w:val="00EF38E1"/>
    <w:rsid w:val="00EF3996"/>
    <w:rsid w:val="00EF3C54"/>
    <w:rsid w:val="00EF3D92"/>
    <w:rsid w:val="00EF3F56"/>
    <w:rsid w:val="00EF4083"/>
    <w:rsid w:val="00EF4151"/>
    <w:rsid w:val="00EF4409"/>
    <w:rsid w:val="00EF4543"/>
    <w:rsid w:val="00EF459D"/>
    <w:rsid w:val="00EF46EC"/>
    <w:rsid w:val="00EF4855"/>
    <w:rsid w:val="00EF48D7"/>
    <w:rsid w:val="00EF4EA8"/>
    <w:rsid w:val="00EF4F0A"/>
    <w:rsid w:val="00EF4F22"/>
    <w:rsid w:val="00EF5008"/>
    <w:rsid w:val="00EF52B9"/>
    <w:rsid w:val="00EF5599"/>
    <w:rsid w:val="00EF5767"/>
    <w:rsid w:val="00EF58C4"/>
    <w:rsid w:val="00EF59D8"/>
    <w:rsid w:val="00EF5A84"/>
    <w:rsid w:val="00EF5BA4"/>
    <w:rsid w:val="00EF5C07"/>
    <w:rsid w:val="00EF5CEB"/>
    <w:rsid w:val="00EF5F2D"/>
    <w:rsid w:val="00EF606C"/>
    <w:rsid w:val="00EF64AF"/>
    <w:rsid w:val="00EF658F"/>
    <w:rsid w:val="00EF662B"/>
    <w:rsid w:val="00EF66D9"/>
    <w:rsid w:val="00EF68D2"/>
    <w:rsid w:val="00EF6A5E"/>
    <w:rsid w:val="00EF6A69"/>
    <w:rsid w:val="00EF6A76"/>
    <w:rsid w:val="00EF6B25"/>
    <w:rsid w:val="00EF6C53"/>
    <w:rsid w:val="00EF6D7B"/>
    <w:rsid w:val="00EF6F33"/>
    <w:rsid w:val="00EF71D8"/>
    <w:rsid w:val="00EF7392"/>
    <w:rsid w:val="00EF7599"/>
    <w:rsid w:val="00EF75AC"/>
    <w:rsid w:val="00EF75E4"/>
    <w:rsid w:val="00EF772E"/>
    <w:rsid w:val="00EF77CC"/>
    <w:rsid w:val="00EF7B6F"/>
    <w:rsid w:val="00EF7C65"/>
    <w:rsid w:val="00EF7CE4"/>
    <w:rsid w:val="00EF7E61"/>
    <w:rsid w:val="00EF7F0C"/>
    <w:rsid w:val="00F0014E"/>
    <w:rsid w:val="00F00293"/>
    <w:rsid w:val="00F00560"/>
    <w:rsid w:val="00F005D0"/>
    <w:rsid w:val="00F006CA"/>
    <w:rsid w:val="00F00706"/>
    <w:rsid w:val="00F00817"/>
    <w:rsid w:val="00F0087A"/>
    <w:rsid w:val="00F00892"/>
    <w:rsid w:val="00F008FB"/>
    <w:rsid w:val="00F00A01"/>
    <w:rsid w:val="00F00AC2"/>
    <w:rsid w:val="00F00D34"/>
    <w:rsid w:val="00F0101F"/>
    <w:rsid w:val="00F0116D"/>
    <w:rsid w:val="00F0120A"/>
    <w:rsid w:val="00F0177D"/>
    <w:rsid w:val="00F01959"/>
    <w:rsid w:val="00F01C4D"/>
    <w:rsid w:val="00F01C5A"/>
    <w:rsid w:val="00F01CB5"/>
    <w:rsid w:val="00F01CC1"/>
    <w:rsid w:val="00F01F3F"/>
    <w:rsid w:val="00F0200B"/>
    <w:rsid w:val="00F0222A"/>
    <w:rsid w:val="00F025FA"/>
    <w:rsid w:val="00F0265D"/>
    <w:rsid w:val="00F02740"/>
    <w:rsid w:val="00F028C5"/>
    <w:rsid w:val="00F02AB9"/>
    <w:rsid w:val="00F02BAB"/>
    <w:rsid w:val="00F02D3E"/>
    <w:rsid w:val="00F02D73"/>
    <w:rsid w:val="00F02E19"/>
    <w:rsid w:val="00F02E32"/>
    <w:rsid w:val="00F02F1E"/>
    <w:rsid w:val="00F0344D"/>
    <w:rsid w:val="00F0349B"/>
    <w:rsid w:val="00F03624"/>
    <w:rsid w:val="00F036D9"/>
    <w:rsid w:val="00F036DA"/>
    <w:rsid w:val="00F038B0"/>
    <w:rsid w:val="00F03C1B"/>
    <w:rsid w:val="00F03E70"/>
    <w:rsid w:val="00F03EDC"/>
    <w:rsid w:val="00F04328"/>
    <w:rsid w:val="00F04381"/>
    <w:rsid w:val="00F044CF"/>
    <w:rsid w:val="00F048DD"/>
    <w:rsid w:val="00F04925"/>
    <w:rsid w:val="00F04B4E"/>
    <w:rsid w:val="00F04D70"/>
    <w:rsid w:val="00F04EE9"/>
    <w:rsid w:val="00F04F63"/>
    <w:rsid w:val="00F050C9"/>
    <w:rsid w:val="00F0534D"/>
    <w:rsid w:val="00F054F3"/>
    <w:rsid w:val="00F056F6"/>
    <w:rsid w:val="00F05815"/>
    <w:rsid w:val="00F05816"/>
    <w:rsid w:val="00F05E3C"/>
    <w:rsid w:val="00F05ED6"/>
    <w:rsid w:val="00F06407"/>
    <w:rsid w:val="00F065B3"/>
    <w:rsid w:val="00F065DD"/>
    <w:rsid w:val="00F068FC"/>
    <w:rsid w:val="00F06A32"/>
    <w:rsid w:val="00F06F5A"/>
    <w:rsid w:val="00F0700E"/>
    <w:rsid w:val="00F0714F"/>
    <w:rsid w:val="00F071F7"/>
    <w:rsid w:val="00F072F5"/>
    <w:rsid w:val="00F0751D"/>
    <w:rsid w:val="00F07A66"/>
    <w:rsid w:val="00F07C40"/>
    <w:rsid w:val="00F07D44"/>
    <w:rsid w:val="00F07FCE"/>
    <w:rsid w:val="00F102AD"/>
    <w:rsid w:val="00F1039A"/>
    <w:rsid w:val="00F1062D"/>
    <w:rsid w:val="00F1068F"/>
    <w:rsid w:val="00F107A4"/>
    <w:rsid w:val="00F10D2A"/>
    <w:rsid w:val="00F10D52"/>
    <w:rsid w:val="00F10DDC"/>
    <w:rsid w:val="00F10E22"/>
    <w:rsid w:val="00F10E25"/>
    <w:rsid w:val="00F10EC8"/>
    <w:rsid w:val="00F10F9A"/>
    <w:rsid w:val="00F11019"/>
    <w:rsid w:val="00F11B47"/>
    <w:rsid w:val="00F11B5A"/>
    <w:rsid w:val="00F11D9E"/>
    <w:rsid w:val="00F1205F"/>
    <w:rsid w:val="00F121C7"/>
    <w:rsid w:val="00F126E6"/>
    <w:rsid w:val="00F12A87"/>
    <w:rsid w:val="00F12A97"/>
    <w:rsid w:val="00F12B89"/>
    <w:rsid w:val="00F12F3D"/>
    <w:rsid w:val="00F13092"/>
    <w:rsid w:val="00F130A0"/>
    <w:rsid w:val="00F130FF"/>
    <w:rsid w:val="00F1348C"/>
    <w:rsid w:val="00F13610"/>
    <w:rsid w:val="00F13811"/>
    <w:rsid w:val="00F13988"/>
    <w:rsid w:val="00F139BF"/>
    <w:rsid w:val="00F139E2"/>
    <w:rsid w:val="00F13A28"/>
    <w:rsid w:val="00F13DC6"/>
    <w:rsid w:val="00F13F08"/>
    <w:rsid w:val="00F1402B"/>
    <w:rsid w:val="00F140C3"/>
    <w:rsid w:val="00F1415E"/>
    <w:rsid w:val="00F14268"/>
    <w:rsid w:val="00F1442C"/>
    <w:rsid w:val="00F144BF"/>
    <w:rsid w:val="00F146B1"/>
    <w:rsid w:val="00F14854"/>
    <w:rsid w:val="00F14A28"/>
    <w:rsid w:val="00F14B7D"/>
    <w:rsid w:val="00F14C23"/>
    <w:rsid w:val="00F14ED3"/>
    <w:rsid w:val="00F150AF"/>
    <w:rsid w:val="00F150BD"/>
    <w:rsid w:val="00F156C6"/>
    <w:rsid w:val="00F15789"/>
    <w:rsid w:val="00F157E4"/>
    <w:rsid w:val="00F15AF1"/>
    <w:rsid w:val="00F16010"/>
    <w:rsid w:val="00F1619D"/>
    <w:rsid w:val="00F16245"/>
    <w:rsid w:val="00F16300"/>
    <w:rsid w:val="00F16357"/>
    <w:rsid w:val="00F16528"/>
    <w:rsid w:val="00F16835"/>
    <w:rsid w:val="00F16AF8"/>
    <w:rsid w:val="00F16FB0"/>
    <w:rsid w:val="00F17072"/>
    <w:rsid w:val="00F17157"/>
    <w:rsid w:val="00F1716B"/>
    <w:rsid w:val="00F17347"/>
    <w:rsid w:val="00F1747A"/>
    <w:rsid w:val="00F174B4"/>
    <w:rsid w:val="00F175BE"/>
    <w:rsid w:val="00F175EC"/>
    <w:rsid w:val="00F17964"/>
    <w:rsid w:val="00F179F2"/>
    <w:rsid w:val="00F17AFD"/>
    <w:rsid w:val="00F17B83"/>
    <w:rsid w:val="00F17BD7"/>
    <w:rsid w:val="00F17E7D"/>
    <w:rsid w:val="00F17F0A"/>
    <w:rsid w:val="00F202F9"/>
    <w:rsid w:val="00F205CF"/>
    <w:rsid w:val="00F20603"/>
    <w:rsid w:val="00F20728"/>
    <w:rsid w:val="00F2086A"/>
    <w:rsid w:val="00F2090B"/>
    <w:rsid w:val="00F20E4E"/>
    <w:rsid w:val="00F20EEB"/>
    <w:rsid w:val="00F210C2"/>
    <w:rsid w:val="00F21361"/>
    <w:rsid w:val="00F213C9"/>
    <w:rsid w:val="00F21425"/>
    <w:rsid w:val="00F214B4"/>
    <w:rsid w:val="00F21597"/>
    <w:rsid w:val="00F21885"/>
    <w:rsid w:val="00F21ABC"/>
    <w:rsid w:val="00F21B70"/>
    <w:rsid w:val="00F21C41"/>
    <w:rsid w:val="00F21C43"/>
    <w:rsid w:val="00F21C89"/>
    <w:rsid w:val="00F21D97"/>
    <w:rsid w:val="00F21DC2"/>
    <w:rsid w:val="00F21DE2"/>
    <w:rsid w:val="00F22130"/>
    <w:rsid w:val="00F221BE"/>
    <w:rsid w:val="00F22317"/>
    <w:rsid w:val="00F22431"/>
    <w:rsid w:val="00F2244A"/>
    <w:rsid w:val="00F22516"/>
    <w:rsid w:val="00F228A7"/>
    <w:rsid w:val="00F22B3F"/>
    <w:rsid w:val="00F22BC6"/>
    <w:rsid w:val="00F2326F"/>
    <w:rsid w:val="00F232D6"/>
    <w:rsid w:val="00F235A6"/>
    <w:rsid w:val="00F23749"/>
    <w:rsid w:val="00F23904"/>
    <w:rsid w:val="00F23B1D"/>
    <w:rsid w:val="00F23CFE"/>
    <w:rsid w:val="00F23DB3"/>
    <w:rsid w:val="00F24058"/>
    <w:rsid w:val="00F24113"/>
    <w:rsid w:val="00F2430B"/>
    <w:rsid w:val="00F245FD"/>
    <w:rsid w:val="00F24683"/>
    <w:rsid w:val="00F247CE"/>
    <w:rsid w:val="00F248A4"/>
    <w:rsid w:val="00F248EC"/>
    <w:rsid w:val="00F24B09"/>
    <w:rsid w:val="00F24BA9"/>
    <w:rsid w:val="00F24EC0"/>
    <w:rsid w:val="00F2511F"/>
    <w:rsid w:val="00F252C7"/>
    <w:rsid w:val="00F25450"/>
    <w:rsid w:val="00F257B6"/>
    <w:rsid w:val="00F258D6"/>
    <w:rsid w:val="00F25995"/>
    <w:rsid w:val="00F25B5B"/>
    <w:rsid w:val="00F25BE9"/>
    <w:rsid w:val="00F25CC9"/>
    <w:rsid w:val="00F26216"/>
    <w:rsid w:val="00F2632C"/>
    <w:rsid w:val="00F263ED"/>
    <w:rsid w:val="00F26423"/>
    <w:rsid w:val="00F264CB"/>
    <w:rsid w:val="00F268F8"/>
    <w:rsid w:val="00F26CFF"/>
    <w:rsid w:val="00F26D1E"/>
    <w:rsid w:val="00F26E00"/>
    <w:rsid w:val="00F2728B"/>
    <w:rsid w:val="00F276B3"/>
    <w:rsid w:val="00F27D5E"/>
    <w:rsid w:val="00F27DDD"/>
    <w:rsid w:val="00F301EE"/>
    <w:rsid w:val="00F30346"/>
    <w:rsid w:val="00F305EB"/>
    <w:rsid w:val="00F307E6"/>
    <w:rsid w:val="00F30827"/>
    <w:rsid w:val="00F309AB"/>
    <w:rsid w:val="00F30E6B"/>
    <w:rsid w:val="00F31531"/>
    <w:rsid w:val="00F3155F"/>
    <w:rsid w:val="00F317EA"/>
    <w:rsid w:val="00F31825"/>
    <w:rsid w:val="00F31B98"/>
    <w:rsid w:val="00F31E8C"/>
    <w:rsid w:val="00F31F16"/>
    <w:rsid w:val="00F31F9A"/>
    <w:rsid w:val="00F32109"/>
    <w:rsid w:val="00F3228A"/>
    <w:rsid w:val="00F3228F"/>
    <w:rsid w:val="00F322D9"/>
    <w:rsid w:val="00F3279A"/>
    <w:rsid w:val="00F32871"/>
    <w:rsid w:val="00F330CE"/>
    <w:rsid w:val="00F333E9"/>
    <w:rsid w:val="00F333F3"/>
    <w:rsid w:val="00F336C0"/>
    <w:rsid w:val="00F33908"/>
    <w:rsid w:val="00F33937"/>
    <w:rsid w:val="00F33969"/>
    <w:rsid w:val="00F33FF9"/>
    <w:rsid w:val="00F3401D"/>
    <w:rsid w:val="00F34371"/>
    <w:rsid w:val="00F34498"/>
    <w:rsid w:val="00F34639"/>
    <w:rsid w:val="00F34F12"/>
    <w:rsid w:val="00F35135"/>
    <w:rsid w:val="00F35192"/>
    <w:rsid w:val="00F35571"/>
    <w:rsid w:val="00F35904"/>
    <w:rsid w:val="00F35D0B"/>
    <w:rsid w:val="00F35D19"/>
    <w:rsid w:val="00F35DAC"/>
    <w:rsid w:val="00F35DB5"/>
    <w:rsid w:val="00F35DDE"/>
    <w:rsid w:val="00F35E45"/>
    <w:rsid w:val="00F35F2C"/>
    <w:rsid w:val="00F35F4D"/>
    <w:rsid w:val="00F36158"/>
    <w:rsid w:val="00F36318"/>
    <w:rsid w:val="00F36424"/>
    <w:rsid w:val="00F367AB"/>
    <w:rsid w:val="00F368EA"/>
    <w:rsid w:val="00F36AB5"/>
    <w:rsid w:val="00F36B0F"/>
    <w:rsid w:val="00F36E50"/>
    <w:rsid w:val="00F36F95"/>
    <w:rsid w:val="00F371BD"/>
    <w:rsid w:val="00F3754B"/>
    <w:rsid w:val="00F3757E"/>
    <w:rsid w:val="00F37662"/>
    <w:rsid w:val="00F378AF"/>
    <w:rsid w:val="00F378CB"/>
    <w:rsid w:val="00F37B56"/>
    <w:rsid w:val="00F37CE4"/>
    <w:rsid w:val="00F37CF1"/>
    <w:rsid w:val="00F37D34"/>
    <w:rsid w:val="00F37F16"/>
    <w:rsid w:val="00F37F5A"/>
    <w:rsid w:val="00F401BE"/>
    <w:rsid w:val="00F401CA"/>
    <w:rsid w:val="00F402E1"/>
    <w:rsid w:val="00F402F4"/>
    <w:rsid w:val="00F40434"/>
    <w:rsid w:val="00F40859"/>
    <w:rsid w:val="00F408BA"/>
    <w:rsid w:val="00F40984"/>
    <w:rsid w:val="00F4108E"/>
    <w:rsid w:val="00F4119B"/>
    <w:rsid w:val="00F411FE"/>
    <w:rsid w:val="00F41420"/>
    <w:rsid w:val="00F41861"/>
    <w:rsid w:val="00F41971"/>
    <w:rsid w:val="00F41CC1"/>
    <w:rsid w:val="00F41D17"/>
    <w:rsid w:val="00F42044"/>
    <w:rsid w:val="00F420A7"/>
    <w:rsid w:val="00F420CF"/>
    <w:rsid w:val="00F424B7"/>
    <w:rsid w:val="00F42664"/>
    <w:rsid w:val="00F427E3"/>
    <w:rsid w:val="00F4298A"/>
    <w:rsid w:val="00F42A30"/>
    <w:rsid w:val="00F42A9E"/>
    <w:rsid w:val="00F42ABA"/>
    <w:rsid w:val="00F42CD6"/>
    <w:rsid w:val="00F42D06"/>
    <w:rsid w:val="00F42E0F"/>
    <w:rsid w:val="00F42F1A"/>
    <w:rsid w:val="00F432A3"/>
    <w:rsid w:val="00F432B1"/>
    <w:rsid w:val="00F435E5"/>
    <w:rsid w:val="00F43631"/>
    <w:rsid w:val="00F43680"/>
    <w:rsid w:val="00F43C35"/>
    <w:rsid w:val="00F43DC4"/>
    <w:rsid w:val="00F43E7A"/>
    <w:rsid w:val="00F43F02"/>
    <w:rsid w:val="00F4469C"/>
    <w:rsid w:val="00F4470E"/>
    <w:rsid w:val="00F45047"/>
    <w:rsid w:val="00F450D0"/>
    <w:rsid w:val="00F45135"/>
    <w:rsid w:val="00F454DD"/>
    <w:rsid w:val="00F4563D"/>
    <w:rsid w:val="00F4584E"/>
    <w:rsid w:val="00F4598E"/>
    <w:rsid w:val="00F45C18"/>
    <w:rsid w:val="00F45DD0"/>
    <w:rsid w:val="00F45E18"/>
    <w:rsid w:val="00F45E9F"/>
    <w:rsid w:val="00F46318"/>
    <w:rsid w:val="00F46730"/>
    <w:rsid w:val="00F469BF"/>
    <w:rsid w:val="00F46C35"/>
    <w:rsid w:val="00F46E66"/>
    <w:rsid w:val="00F46ED8"/>
    <w:rsid w:val="00F471BF"/>
    <w:rsid w:val="00F47206"/>
    <w:rsid w:val="00F47266"/>
    <w:rsid w:val="00F47701"/>
    <w:rsid w:val="00F47802"/>
    <w:rsid w:val="00F47873"/>
    <w:rsid w:val="00F47989"/>
    <w:rsid w:val="00F47C00"/>
    <w:rsid w:val="00F47D70"/>
    <w:rsid w:val="00F5000E"/>
    <w:rsid w:val="00F5016D"/>
    <w:rsid w:val="00F50386"/>
    <w:rsid w:val="00F50511"/>
    <w:rsid w:val="00F5056E"/>
    <w:rsid w:val="00F50670"/>
    <w:rsid w:val="00F5090C"/>
    <w:rsid w:val="00F50BCE"/>
    <w:rsid w:val="00F50F7D"/>
    <w:rsid w:val="00F50FEB"/>
    <w:rsid w:val="00F510BF"/>
    <w:rsid w:val="00F511B7"/>
    <w:rsid w:val="00F51418"/>
    <w:rsid w:val="00F51552"/>
    <w:rsid w:val="00F516A6"/>
    <w:rsid w:val="00F516B8"/>
    <w:rsid w:val="00F516F4"/>
    <w:rsid w:val="00F51B84"/>
    <w:rsid w:val="00F51BC6"/>
    <w:rsid w:val="00F51D15"/>
    <w:rsid w:val="00F51D80"/>
    <w:rsid w:val="00F51E03"/>
    <w:rsid w:val="00F51F1E"/>
    <w:rsid w:val="00F51FD8"/>
    <w:rsid w:val="00F52087"/>
    <w:rsid w:val="00F520A0"/>
    <w:rsid w:val="00F520AD"/>
    <w:rsid w:val="00F5227A"/>
    <w:rsid w:val="00F522C1"/>
    <w:rsid w:val="00F52346"/>
    <w:rsid w:val="00F52459"/>
    <w:rsid w:val="00F52565"/>
    <w:rsid w:val="00F5260D"/>
    <w:rsid w:val="00F5267C"/>
    <w:rsid w:val="00F52A35"/>
    <w:rsid w:val="00F52E36"/>
    <w:rsid w:val="00F53015"/>
    <w:rsid w:val="00F5305D"/>
    <w:rsid w:val="00F5315D"/>
    <w:rsid w:val="00F53323"/>
    <w:rsid w:val="00F53415"/>
    <w:rsid w:val="00F534E0"/>
    <w:rsid w:val="00F5358B"/>
    <w:rsid w:val="00F53591"/>
    <w:rsid w:val="00F53967"/>
    <w:rsid w:val="00F539AB"/>
    <w:rsid w:val="00F53AFD"/>
    <w:rsid w:val="00F53E4E"/>
    <w:rsid w:val="00F53E70"/>
    <w:rsid w:val="00F53F44"/>
    <w:rsid w:val="00F53FA5"/>
    <w:rsid w:val="00F53FFA"/>
    <w:rsid w:val="00F54061"/>
    <w:rsid w:val="00F54129"/>
    <w:rsid w:val="00F54329"/>
    <w:rsid w:val="00F54687"/>
    <w:rsid w:val="00F54D1E"/>
    <w:rsid w:val="00F54E94"/>
    <w:rsid w:val="00F55013"/>
    <w:rsid w:val="00F5518E"/>
    <w:rsid w:val="00F557A3"/>
    <w:rsid w:val="00F55884"/>
    <w:rsid w:val="00F55AA4"/>
    <w:rsid w:val="00F55AB1"/>
    <w:rsid w:val="00F55C99"/>
    <w:rsid w:val="00F55D79"/>
    <w:rsid w:val="00F55F19"/>
    <w:rsid w:val="00F560D7"/>
    <w:rsid w:val="00F56123"/>
    <w:rsid w:val="00F564AC"/>
    <w:rsid w:val="00F564D0"/>
    <w:rsid w:val="00F56866"/>
    <w:rsid w:val="00F56ECF"/>
    <w:rsid w:val="00F56EF0"/>
    <w:rsid w:val="00F57008"/>
    <w:rsid w:val="00F57271"/>
    <w:rsid w:val="00F57C58"/>
    <w:rsid w:val="00F57CAA"/>
    <w:rsid w:val="00F57CF1"/>
    <w:rsid w:val="00F57D6F"/>
    <w:rsid w:val="00F57EDD"/>
    <w:rsid w:val="00F57FFC"/>
    <w:rsid w:val="00F602ED"/>
    <w:rsid w:val="00F6035E"/>
    <w:rsid w:val="00F603D0"/>
    <w:rsid w:val="00F60420"/>
    <w:rsid w:val="00F605B0"/>
    <w:rsid w:val="00F6067F"/>
    <w:rsid w:val="00F60803"/>
    <w:rsid w:val="00F60BC6"/>
    <w:rsid w:val="00F60C0D"/>
    <w:rsid w:val="00F60D11"/>
    <w:rsid w:val="00F61038"/>
    <w:rsid w:val="00F616F0"/>
    <w:rsid w:val="00F617C1"/>
    <w:rsid w:val="00F61BCD"/>
    <w:rsid w:val="00F61C1A"/>
    <w:rsid w:val="00F61C43"/>
    <w:rsid w:val="00F61FC5"/>
    <w:rsid w:val="00F6216F"/>
    <w:rsid w:val="00F621FA"/>
    <w:rsid w:val="00F621FB"/>
    <w:rsid w:val="00F6273F"/>
    <w:rsid w:val="00F6278E"/>
    <w:rsid w:val="00F627FF"/>
    <w:rsid w:val="00F6284D"/>
    <w:rsid w:val="00F62940"/>
    <w:rsid w:val="00F62A6D"/>
    <w:rsid w:val="00F62CBD"/>
    <w:rsid w:val="00F62D33"/>
    <w:rsid w:val="00F62D73"/>
    <w:rsid w:val="00F62DCD"/>
    <w:rsid w:val="00F6323A"/>
    <w:rsid w:val="00F63412"/>
    <w:rsid w:val="00F63519"/>
    <w:rsid w:val="00F635C3"/>
    <w:rsid w:val="00F6363E"/>
    <w:rsid w:val="00F6374B"/>
    <w:rsid w:val="00F639D2"/>
    <w:rsid w:val="00F63ACC"/>
    <w:rsid w:val="00F63D0A"/>
    <w:rsid w:val="00F63D8E"/>
    <w:rsid w:val="00F64529"/>
    <w:rsid w:val="00F645D6"/>
    <w:rsid w:val="00F6464A"/>
    <w:rsid w:val="00F64771"/>
    <w:rsid w:val="00F64C3B"/>
    <w:rsid w:val="00F64CAA"/>
    <w:rsid w:val="00F65218"/>
    <w:rsid w:val="00F6524A"/>
    <w:rsid w:val="00F6529C"/>
    <w:rsid w:val="00F652C7"/>
    <w:rsid w:val="00F65305"/>
    <w:rsid w:val="00F6538F"/>
    <w:rsid w:val="00F6539B"/>
    <w:rsid w:val="00F654DC"/>
    <w:rsid w:val="00F658C3"/>
    <w:rsid w:val="00F65B5E"/>
    <w:rsid w:val="00F65CF7"/>
    <w:rsid w:val="00F65EAE"/>
    <w:rsid w:val="00F66188"/>
    <w:rsid w:val="00F6634E"/>
    <w:rsid w:val="00F6642A"/>
    <w:rsid w:val="00F66620"/>
    <w:rsid w:val="00F668DD"/>
    <w:rsid w:val="00F6695F"/>
    <w:rsid w:val="00F66994"/>
    <w:rsid w:val="00F669B8"/>
    <w:rsid w:val="00F66A87"/>
    <w:rsid w:val="00F66AC0"/>
    <w:rsid w:val="00F66E56"/>
    <w:rsid w:val="00F66E5E"/>
    <w:rsid w:val="00F671EA"/>
    <w:rsid w:val="00F67248"/>
    <w:rsid w:val="00F676AD"/>
    <w:rsid w:val="00F676C0"/>
    <w:rsid w:val="00F67857"/>
    <w:rsid w:val="00F678FE"/>
    <w:rsid w:val="00F67929"/>
    <w:rsid w:val="00F67B1C"/>
    <w:rsid w:val="00F67C01"/>
    <w:rsid w:val="00F67EE1"/>
    <w:rsid w:val="00F7000C"/>
    <w:rsid w:val="00F70388"/>
    <w:rsid w:val="00F7048A"/>
    <w:rsid w:val="00F704CD"/>
    <w:rsid w:val="00F7061E"/>
    <w:rsid w:val="00F70933"/>
    <w:rsid w:val="00F70B4F"/>
    <w:rsid w:val="00F70C0A"/>
    <w:rsid w:val="00F70D66"/>
    <w:rsid w:val="00F71040"/>
    <w:rsid w:val="00F712AE"/>
    <w:rsid w:val="00F7143A"/>
    <w:rsid w:val="00F7157D"/>
    <w:rsid w:val="00F7158B"/>
    <w:rsid w:val="00F7171C"/>
    <w:rsid w:val="00F717CC"/>
    <w:rsid w:val="00F7196C"/>
    <w:rsid w:val="00F71A22"/>
    <w:rsid w:val="00F71A50"/>
    <w:rsid w:val="00F71A9C"/>
    <w:rsid w:val="00F71DF5"/>
    <w:rsid w:val="00F7220E"/>
    <w:rsid w:val="00F72230"/>
    <w:rsid w:val="00F72638"/>
    <w:rsid w:val="00F7275A"/>
    <w:rsid w:val="00F72849"/>
    <w:rsid w:val="00F72A0A"/>
    <w:rsid w:val="00F72A51"/>
    <w:rsid w:val="00F72B73"/>
    <w:rsid w:val="00F72BDB"/>
    <w:rsid w:val="00F72BF7"/>
    <w:rsid w:val="00F72C68"/>
    <w:rsid w:val="00F72CD0"/>
    <w:rsid w:val="00F72D42"/>
    <w:rsid w:val="00F72E26"/>
    <w:rsid w:val="00F733B9"/>
    <w:rsid w:val="00F733DD"/>
    <w:rsid w:val="00F73524"/>
    <w:rsid w:val="00F7369B"/>
    <w:rsid w:val="00F7388F"/>
    <w:rsid w:val="00F7393B"/>
    <w:rsid w:val="00F73A38"/>
    <w:rsid w:val="00F73AD7"/>
    <w:rsid w:val="00F73C89"/>
    <w:rsid w:val="00F74159"/>
    <w:rsid w:val="00F744E4"/>
    <w:rsid w:val="00F74513"/>
    <w:rsid w:val="00F74528"/>
    <w:rsid w:val="00F747DA"/>
    <w:rsid w:val="00F748E8"/>
    <w:rsid w:val="00F74908"/>
    <w:rsid w:val="00F74918"/>
    <w:rsid w:val="00F749B4"/>
    <w:rsid w:val="00F74BFD"/>
    <w:rsid w:val="00F74D52"/>
    <w:rsid w:val="00F74D5D"/>
    <w:rsid w:val="00F74F9E"/>
    <w:rsid w:val="00F7519B"/>
    <w:rsid w:val="00F7534E"/>
    <w:rsid w:val="00F755E1"/>
    <w:rsid w:val="00F7566D"/>
    <w:rsid w:val="00F7568F"/>
    <w:rsid w:val="00F757AC"/>
    <w:rsid w:val="00F757AF"/>
    <w:rsid w:val="00F757E9"/>
    <w:rsid w:val="00F75830"/>
    <w:rsid w:val="00F75870"/>
    <w:rsid w:val="00F75B14"/>
    <w:rsid w:val="00F761C5"/>
    <w:rsid w:val="00F7620B"/>
    <w:rsid w:val="00F76347"/>
    <w:rsid w:val="00F763D1"/>
    <w:rsid w:val="00F76427"/>
    <w:rsid w:val="00F76598"/>
    <w:rsid w:val="00F765FD"/>
    <w:rsid w:val="00F768C5"/>
    <w:rsid w:val="00F768F5"/>
    <w:rsid w:val="00F769EB"/>
    <w:rsid w:val="00F76AE8"/>
    <w:rsid w:val="00F76C11"/>
    <w:rsid w:val="00F76CC2"/>
    <w:rsid w:val="00F770C6"/>
    <w:rsid w:val="00F7716F"/>
    <w:rsid w:val="00F772D5"/>
    <w:rsid w:val="00F774DA"/>
    <w:rsid w:val="00F776A1"/>
    <w:rsid w:val="00F77C0B"/>
    <w:rsid w:val="00F77E6D"/>
    <w:rsid w:val="00F77EEF"/>
    <w:rsid w:val="00F8014D"/>
    <w:rsid w:val="00F80320"/>
    <w:rsid w:val="00F80332"/>
    <w:rsid w:val="00F804A4"/>
    <w:rsid w:val="00F805F0"/>
    <w:rsid w:val="00F806B9"/>
    <w:rsid w:val="00F807F6"/>
    <w:rsid w:val="00F80AEA"/>
    <w:rsid w:val="00F80B72"/>
    <w:rsid w:val="00F80D7E"/>
    <w:rsid w:val="00F81553"/>
    <w:rsid w:val="00F81986"/>
    <w:rsid w:val="00F81C1A"/>
    <w:rsid w:val="00F81C29"/>
    <w:rsid w:val="00F81EE5"/>
    <w:rsid w:val="00F8216D"/>
    <w:rsid w:val="00F822BC"/>
    <w:rsid w:val="00F823CD"/>
    <w:rsid w:val="00F8255C"/>
    <w:rsid w:val="00F82838"/>
    <w:rsid w:val="00F82845"/>
    <w:rsid w:val="00F8298F"/>
    <w:rsid w:val="00F82A37"/>
    <w:rsid w:val="00F82A58"/>
    <w:rsid w:val="00F82AC3"/>
    <w:rsid w:val="00F82B24"/>
    <w:rsid w:val="00F82C91"/>
    <w:rsid w:val="00F82EAC"/>
    <w:rsid w:val="00F83149"/>
    <w:rsid w:val="00F83291"/>
    <w:rsid w:val="00F8339D"/>
    <w:rsid w:val="00F83472"/>
    <w:rsid w:val="00F836F1"/>
    <w:rsid w:val="00F837C3"/>
    <w:rsid w:val="00F837D3"/>
    <w:rsid w:val="00F83800"/>
    <w:rsid w:val="00F83864"/>
    <w:rsid w:val="00F83BA3"/>
    <w:rsid w:val="00F84136"/>
    <w:rsid w:val="00F8418E"/>
    <w:rsid w:val="00F8433E"/>
    <w:rsid w:val="00F84491"/>
    <w:rsid w:val="00F8449B"/>
    <w:rsid w:val="00F84689"/>
    <w:rsid w:val="00F84774"/>
    <w:rsid w:val="00F8491C"/>
    <w:rsid w:val="00F84AC9"/>
    <w:rsid w:val="00F84B97"/>
    <w:rsid w:val="00F84D4E"/>
    <w:rsid w:val="00F85380"/>
    <w:rsid w:val="00F85519"/>
    <w:rsid w:val="00F855F2"/>
    <w:rsid w:val="00F85915"/>
    <w:rsid w:val="00F85994"/>
    <w:rsid w:val="00F85A93"/>
    <w:rsid w:val="00F860A6"/>
    <w:rsid w:val="00F860AA"/>
    <w:rsid w:val="00F860FA"/>
    <w:rsid w:val="00F86300"/>
    <w:rsid w:val="00F8634D"/>
    <w:rsid w:val="00F86502"/>
    <w:rsid w:val="00F865A6"/>
    <w:rsid w:val="00F866A2"/>
    <w:rsid w:val="00F86D02"/>
    <w:rsid w:val="00F86D05"/>
    <w:rsid w:val="00F86F64"/>
    <w:rsid w:val="00F86F77"/>
    <w:rsid w:val="00F86FB1"/>
    <w:rsid w:val="00F87241"/>
    <w:rsid w:val="00F87243"/>
    <w:rsid w:val="00F87366"/>
    <w:rsid w:val="00F874C2"/>
    <w:rsid w:val="00F875B7"/>
    <w:rsid w:val="00F87746"/>
    <w:rsid w:val="00F87779"/>
    <w:rsid w:val="00F87807"/>
    <w:rsid w:val="00F87AC0"/>
    <w:rsid w:val="00F87AEA"/>
    <w:rsid w:val="00F87B60"/>
    <w:rsid w:val="00F87B6C"/>
    <w:rsid w:val="00F87C0E"/>
    <w:rsid w:val="00F87EFA"/>
    <w:rsid w:val="00F9018D"/>
    <w:rsid w:val="00F902E5"/>
    <w:rsid w:val="00F90300"/>
    <w:rsid w:val="00F90575"/>
    <w:rsid w:val="00F908FC"/>
    <w:rsid w:val="00F90B09"/>
    <w:rsid w:val="00F90B1C"/>
    <w:rsid w:val="00F90DCE"/>
    <w:rsid w:val="00F9120B"/>
    <w:rsid w:val="00F912E6"/>
    <w:rsid w:val="00F91324"/>
    <w:rsid w:val="00F9143C"/>
    <w:rsid w:val="00F9150D"/>
    <w:rsid w:val="00F91834"/>
    <w:rsid w:val="00F918BD"/>
    <w:rsid w:val="00F918C0"/>
    <w:rsid w:val="00F919E5"/>
    <w:rsid w:val="00F91FB8"/>
    <w:rsid w:val="00F92399"/>
    <w:rsid w:val="00F923A7"/>
    <w:rsid w:val="00F925F5"/>
    <w:rsid w:val="00F926FB"/>
    <w:rsid w:val="00F927D4"/>
    <w:rsid w:val="00F927E0"/>
    <w:rsid w:val="00F928C2"/>
    <w:rsid w:val="00F92BC2"/>
    <w:rsid w:val="00F92CB4"/>
    <w:rsid w:val="00F92D95"/>
    <w:rsid w:val="00F92DE2"/>
    <w:rsid w:val="00F92F46"/>
    <w:rsid w:val="00F9326F"/>
    <w:rsid w:val="00F9343D"/>
    <w:rsid w:val="00F93591"/>
    <w:rsid w:val="00F935EB"/>
    <w:rsid w:val="00F93617"/>
    <w:rsid w:val="00F93698"/>
    <w:rsid w:val="00F939A0"/>
    <w:rsid w:val="00F939AD"/>
    <w:rsid w:val="00F93BB6"/>
    <w:rsid w:val="00F93CB0"/>
    <w:rsid w:val="00F93DFA"/>
    <w:rsid w:val="00F93F7B"/>
    <w:rsid w:val="00F940ED"/>
    <w:rsid w:val="00F941C2"/>
    <w:rsid w:val="00F942BE"/>
    <w:rsid w:val="00F9437A"/>
    <w:rsid w:val="00F94399"/>
    <w:rsid w:val="00F943F9"/>
    <w:rsid w:val="00F945EB"/>
    <w:rsid w:val="00F946BD"/>
    <w:rsid w:val="00F94772"/>
    <w:rsid w:val="00F947B2"/>
    <w:rsid w:val="00F94A39"/>
    <w:rsid w:val="00F94D36"/>
    <w:rsid w:val="00F94DA3"/>
    <w:rsid w:val="00F94F09"/>
    <w:rsid w:val="00F94F86"/>
    <w:rsid w:val="00F95104"/>
    <w:rsid w:val="00F952CB"/>
    <w:rsid w:val="00F954B8"/>
    <w:rsid w:val="00F956F9"/>
    <w:rsid w:val="00F95725"/>
    <w:rsid w:val="00F9596D"/>
    <w:rsid w:val="00F95C69"/>
    <w:rsid w:val="00F95CCA"/>
    <w:rsid w:val="00F95D71"/>
    <w:rsid w:val="00F95E03"/>
    <w:rsid w:val="00F95FA4"/>
    <w:rsid w:val="00F963D0"/>
    <w:rsid w:val="00F96480"/>
    <w:rsid w:val="00F964F4"/>
    <w:rsid w:val="00F96560"/>
    <w:rsid w:val="00F9681B"/>
    <w:rsid w:val="00F96937"/>
    <w:rsid w:val="00F96F8B"/>
    <w:rsid w:val="00F97133"/>
    <w:rsid w:val="00F975CF"/>
    <w:rsid w:val="00F97710"/>
    <w:rsid w:val="00F97767"/>
    <w:rsid w:val="00F9777D"/>
    <w:rsid w:val="00F97C5E"/>
    <w:rsid w:val="00F97D6F"/>
    <w:rsid w:val="00F97FE9"/>
    <w:rsid w:val="00FA05C3"/>
    <w:rsid w:val="00FA0602"/>
    <w:rsid w:val="00FA065C"/>
    <w:rsid w:val="00FA079C"/>
    <w:rsid w:val="00FA0898"/>
    <w:rsid w:val="00FA09F6"/>
    <w:rsid w:val="00FA0AA7"/>
    <w:rsid w:val="00FA0C45"/>
    <w:rsid w:val="00FA0C4C"/>
    <w:rsid w:val="00FA0C52"/>
    <w:rsid w:val="00FA0C92"/>
    <w:rsid w:val="00FA0D43"/>
    <w:rsid w:val="00FA11C5"/>
    <w:rsid w:val="00FA11FD"/>
    <w:rsid w:val="00FA1296"/>
    <w:rsid w:val="00FA1330"/>
    <w:rsid w:val="00FA1718"/>
    <w:rsid w:val="00FA1B84"/>
    <w:rsid w:val="00FA1D9D"/>
    <w:rsid w:val="00FA1FF7"/>
    <w:rsid w:val="00FA2189"/>
    <w:rsid w:val="00FA2321"/>
    <w:rsid w:val="00FA281E"/>
    <w:rsid w:val="00FA2C30"/>
    <w:rsid w:val="00FA2C6C"/>
    <w:rsid w:val="00FA335C"/>
    <w:rsid w:val="00FA3397"/>
    <w:rsid w:val="00FA341D"/>
    <w:rsid w:val="00FA3514"/>
    <w:rsid w:val="00FA3591"/>
    <w:rsid w:val="00FA3627"/>
    <w:rsid w:val="00FA3A3F"/>
    <w:rsid w:val="00FA3A49"/>
    <w:rsid w:val="00FA3C59"/>
    <w:rsid w:val="00FA3F71"/>
    <w:rsid w:val="00FA443A"/>
    <w:rsid w:val="00FA450D"/>
    <w:rsid w:val="00FA48CB"/>
    <w:rsid w:val="00FA48EA"/>
    <w:rsid w:val="00FA4A7F"/>
    <w:rsid w:val="00FA4B5B"/>
    <w:rsid w:val="00FA4E13"/>
    <w:rsid w:val="00FA4E6E"/>
    <w:rsid w:val="00FA5398"/>
    <w:rsid w:val="00FA5468"/>
    <w:rsid w:val="00FA5535"/>
    <w:rsid w:val="00FA55B2"/>
    <w:rsid w:val="00FA5969"/>
    <w:rsid w:val="00FA5A1D"/>
    <w:rsid w:val="00FA5B92"/>
    <w:rsid w:val="00FA5D05"/>
    <w:rsid w:val="00FA5D92"/>
    <w:rsid w:val="00FA5DAD"/>
    <w:rsid w:val="00FA6078"/>
    <w:rsid w:val="00FA60F9"/>
    <w:rsid w:val="00FA63D4"/>
    <w:rsid w:val="00FA63DD"/>
    <w:rsid w:val="00FA66F7"/>
    <w:rsid w:val="00FA678B"/>
    <w:rsid w:val="00FA6A78"/>
    <w:rsid w:val="00FA6C33"/>
    <w:rsid w:val="00FA6CEF"/>
    <w:rsid w:val="00FA6D6A"/>
    <w:rsid w:val="00FA6F3C"/>
    <w:rsid w:val="00FA6F9F"/>
    <w:rsid w:val="00FA729E"/>
    <w:rsid w:val="00FA7323"/>
    <w:rsid w:val="00FA7608"/>
    <w:rsid w:val="00FA7DF8"/>
    <w:rsid w:val="00FA7E90"/>
    <w:rsid w:val="00FA7EA0"/>
    <w:rsid w:val="00FA7F0A"/>
    <w:rsid w:val="00FB007C"/>
    <w:rsid w:val="00FB0267"/>
    <w:rsid w:val="00FB038F"/>
    <w:rsid w:val="00FB03AC"/>
    <w:rsid w:val="00FB03EB"/>
    <w:rsid w:val="00FB0803"/>
    <w:rsid w:val="00FB0875"/>
    <w:rsid w:val="00FB0B8B"/>
    <w:rsid w:val="00FB0C1F"/>
    <w:rsid w:val="00FB0CA7"/>
    <w:rsid w:val="00FB149C"/>
    <w:rsid w:val="00FB1544"/>
    <w:rsid w:val="00FB179C"/>
    <w:rsid w:val="00FB17A6"/>
    <w:rsid w:val="00FB18A0"/>
    <w:rsid w:val="00FB1A1E"/>
    <w:rsid w:val="00FB1FBC"/>
    <w:rsid w:val="00FB1FD4"/>
    <w:rsid w:val="00FB2118"/>
    <w:rsid w:val="00FB221A"/>
    <w:rsid w:val="00FB223F"/>
    <w:rsid w:val="00FB23A3"/>
    <w:rsid w:val="00FB24D3"/>
    <w:rsid w:val="00FB2554"/>
    <w:rsid w:val="00FB291E"/>
    <w:rsid w:val="00FB2974"/>
    <w:rsid w:val="00FB29F6"/>
    <w:rsid w:val="00FB2B09"/>
    <w:rsid w:val="00FB2BB1"/>
    <w:rsid w:val="00FB2C19"/>
    <w:rsid w:val="00FB2DA2"/>
    <w:rsid w:val="00FB2E58"/>
    <w:rsid w:val="00FB2F78"/>
    <w:rsid w:val="00FB3316"/>
    <w:rsid w:val="00FB34C5"/>
    <w:rsid w:val="00FB37D7"/>
    <w:rsid w:val="00FB3AFA"/>
    <w:rsid w:val="00FB3B29"/>
    <w:rsid w:val="00FB3E70"/>
    <w:rsid w:val="00FB3FC7"/>
    <w:rsid w:val="00FB436D"/>
    <w:rsid w:val="00FB4741"/>
    <w:rsid w:val="00FB48A2"/>
    <w:rsid w:val="00FB48B6"/>
    <w:rsid w:val="00FB4A02"/>
    <w:rsid w:val="00FB4B3E"/>
    <w:rsid w:val="00FB4B96"/>
    <w:rsid w:val="00FB4E3E"/>
    <w:rsid w:val="00FB4E56"/>
    <w:rsid w:val="00FB4EDE"/>
    <w:rsid w:val="00FB4F13"/>
    <w:rsid w:val="00FB5185"/>
    <w:rsid w:val="00FB5209"/>
    <w:rsid w:val="00FB5298"/>
    <w:rsid w:val="00FB5754"/>
    <w:rsid w:val="00FB57F7"/>
    <w:rsid w:val="00FB5901"/>
    <w:rsid w:val="00FB5B1C"/>
    <w:rsid w:val="00FB5B2C"/>
    <w:rsid w:val="00FB60D3"/>
    <w:rsid w:val="00FB61D6"/>
    <w:rsid w:val="00FB64AA"/>
    <w:rsid w:val="00FB650A"/>
    <w:rsid w:val="00FB67F2"/>
    <w:rsid w:val="00FB6A10"/>
    <w:rsid w:val="00FB6A99"/>
    <w:rsid w:val="00FB6AA4"/>
    <w:rsid w:val="00FB6B92"/>
    <w:rsid w:val="00FB6C59"/>
    <w:rsid w:val="00FB6CAA"/>
    <w:rsid w:val="00FB6CEC"/>
    <w:rsid w:val="00FB6D18"/>
    <w:rsid w:val="00FB6E0E"/>
    <w:rsid w:val="00FB7212"/>
    <w:rsid w:val="00FB72CD"/>
    <w:rsid w:val="00FB72DE"/>
    <w:rsid w:val="00FB731D"/>
    <w:rsid w:val="00FB75CC"/>
    <w:rsid w:val="00FB78D0"/>
    <w:rsid w:val="00FB7A54"/>
    <w:rsid w:val="00FB7CBD"/>
    <w:rsid w:val="00FB7ED6"/>
    <w:rsid w:val="00FC0154"/>
    <w:rsid w:val="00FC03D9"/>
    <w:rsid w:val="00FC046A"/>
    <w:rsid w:val="00FC06E1"/>
    <w:rsid w:val="00FC0895"/>
    <w:rsid w:val="00FC08A2"/>
    <w:rsid w:val="00FC08AF"/>
    <w:rsid w:val="00FC09E6"/>
    <w:rsid w:val="00FC0A6F"/>
    <w:rsid w:val="00FC0B8C"/>
    <w:rsid w:val="00FC0BCF"/>
    <w:rsid w:val="00FC0C79"/>
    <w:rsid w:val="00FC0CD5"/>
    <w:rsid w:val="00FC0F4B"/>
    <w:rsid w:val="00FC0F81"/>
    <w:rsid w:val="00FC0FF0"/>
    <w:rsid w:val="00FC1120"/>
    <w:rsid w:val="00FC1174"/>
    <w:rsid w:val="00FC13E1"/>
    <w:rsid w:val="00FC1490"/>
    <w:rsid w:val="00FC1536"/>
    <w:rsid w:val="00FC198E"/>
    <w:rsid w:val="00FC1F6E"/>
    <w:rsid w:val="00FC219B"/>
    <w:rsid w:val="00FC22D2"/>
    <w:rsid w:val="00FC2370"/>
    <w:rsid w:val="00FC241A"/>
    <w:rsid w:val="00FC241E"/>
    <w:rsid w:val="00FC251E"/>
    <w:rsid w:val="00FC2527"/>
    <w:rsid w:val="00FC2532"/>
    <w:rsid w:val="00FC283A"/>
    <w:rsid w:val="00FC335E"/>
    <w:rsid w:val="00FC338A"/>
    <w:rsid w:val="00FC3489"/>
    <w:rsid w:val="00FC3720"/>
    <w:rsid w:val="00FC3779"/>
    <w:rsid w:val="00FC3ADE"/>
    <w:rsid w:val="00FC3C35"/>
    <w:rsid w:val="00FC431C"/>
    <w:rsid w:val="00FC4420"/>
    <w:rsid w:val="00FC443A"/>
    <w:rsid w:val="00FC44D5"/>
    <w:rsid w:val="00FC450F"/>
    <w:rsid w:val="00FC45F9"/>
    <w:rsid w:val="00FC487E"/>
    <w:rsid w:val="00FC4ED2"/>
    <w:rsid w:val="00FC53CB"/>
    <w:rsid w:val="00FC54DF"/>
    <w:rsid w:val="00FC5523"/>
    <w:rsid w:val="00FC5650"/>
    <w:rsid w:val="00FC5688"/>
    <w:rsid w:val="00FC5822"/>
    <w:rsid w:val="00FC5858"/>
    <w:rsid w:val="00FC5893"/>
    <w:rsid w:val="00FC590F"/>
    <w:rsid w:val="00FC5A84"/>
    <w:rsid w:val="00FC5BFB"/>
    <w:rsid w:val="00FC5C9E"/>
    <w:rsid w:val="00FC5D30"/>
    <w:rsid w:val="00FC5DE4"/>
    <w:rsid w:val="00FC5FC5"/>
    <w:rsid w:val="00FC6029"/>
    <w:rsid w:val="00FC6418"/>
    <w:rsid w:val="00FC645C"/>
    <w:rsid w:val="00FC65A7"/>
    <w:rsid w:val="00FC67DE"/>
    <w:rsid w:val="00FC67F2"/>
    <w:rsid w:val="00FC6BBA"/>
    <w:rsid w:val="00FC72E1"/>
    <w:rsid w:val="00FC73A6"/>
    <w:rsid w:val="00FC76A3"/>
    <w:rsid w:val="00FC7715"/>
    <w:rsid w:val="00FC79E0"/>
    <w:rsid w:val="00FC7CAE"/>
    <w:rsid w:val="00FC7D9E"/>
    <w:rsid w:val="00FC7FAC"/>
    <w:rsid w:val="00FD018D"/>
    <w:rsid w:val="00FD02F7"/>
    <w:rsid w:val="00FD0315"/>
    <w:rsid w:val="00FD04EA"/>
    <w:rsid w:val="00FD0540"/>
    <w:rsid w:val="00FD0841"/>
    <w:rsid w:val="00FD0981"/>
    <w:rsid w:val="00FD098D"/>
    <w:rsid w:val="00FD0E34"/>
    <w:rsid w:val="00FD0FB8"/>
    <w:rsid w:val="00FD0FD8"/>
    <w:rsid w:val="00FD0FF3"/>
    <w:rsid w:val="00FD132E"/>
    <w:rsid w:val="00FD134E"/>
    <w:rsid w:val="00FD13DB"/>
    <w:rsid w:val="00FD1B21"/>
    <w:rsid w:val="00FD1CB3"/>
    <w:rsid w:val="00FD1D93"/>
    <w:rsid w:val="00FD1E33"/>
    <w:rsid w:val="00FD1F4D"/>
    <w:rsid w:val="00FD21B4"/>
    <w:rsid w:val="00FD229B"/>
    <w:rsid w:val="00FD22BD"/>
    <w:rsid w:val="00FD248D"/>
    <w:rsid w:val="00FD25CF"/>
    <w:rsid w:val="00FD2702"/>
    <w:rsid w:val="00FD27E4"/>
    <w:rsid w:val="00FD2912"/>
    <w:rsid w:val="00FD29D3"/>
    <w:rsid w:val="00FD2DC7"/>
    <w:rsid w:val="00FD2E5E"/>
    <w:rsid w:val="00FD314F"/>
    <w:rsid w:val="00FD31B2"/>
    <w:rsid w:val="00FD3254"/>
    <w:rsid w:val="00FD3482"/>
    <w:rsid w:val="00FD3741"/>
    <w:rsid w:val="00FD3904"/>
    <w:rsid w:val="00FD39C5"/>
    <w:rsid w:val="00FD3BF0"/>
    <w:rsid w:val="00FD3D41"/>
    <w:rsid w:val="00FD3D46"/>
    <w:rsid w:val="00FD3FFE"/>
    <w:rsid w:val="00FD404A"/>
    <w:rsid w:val="00FD409C"/>
    <w:rsid w:val="00FD411C"/>
    <w:rsid w:val="00FD4182"/>
    <w:rsid w:val="00FD44AF"/>
    <w:rsid w:val="00FD44CE"/>
    <w:rsid w:val="00FD4649"/>
    <w:rsid w:val="00FD4670"/>
    <w:rsid w:val="00FD4B9B"/>
    <w:rsid w:val="00FD4E4C"/>
    <w:rsid w:val="00FD5172"/>
    <w:rsid w:val="00FD53A4"/>
    <w:rsid w:val="00FD54B8"/>
    <w:rsid w:val="00FD55F5"/>
    <w:rsid w:val="00FD5892"/>
    <w:rsid w:val="00FD58C5"/>
    <w:rsid w:val="00FD5970"/>
    <w:rsid w:val="00FD59D1"/>
    <w:rsid w:val="00FD5BE5"/>
    <w:rsid w:val="00FD5D02"/>
    <w:rsid w:val="00FD5E33"/>
    <w:rsid w:val="00FD5FA9"/>
    <w:rsid w:val="00FD635D"/>
    <w:rsid w:val="00FD64A7"/>
    <w:rsid w:val="00FD6649"/>
    <w:rsid w:val="00FD6667"/>
    <w:rsid w:val="00FD6821"/>
    <w:rsid w:val="00FD6D15"/>
    <w:rsid w:val="00FD6EA1"/>
    <w:rsid w:val="00FD7146"/>
    <w:rsid w:val="00FD71D0"/>
    <w:rsid w:val="00FD725D"/>
    <w:rsid w:val="00FD7648"/>
    <w:rsid w:val="00FD797E"/>
    <w:rsid w:val="00FD7A80"/>
    <w:rsid w:val="00FD7C4C"/>
    <w:rsid w:val="00FD7ECE"/>
    <w:rsid w:val="00FE0206"/>
    <w:rsid w:val="00FE023E"/>
    <w:rsid w:val="00FE036A"/>
    <w:rsid w:val="00FE04B4"/>
    <w:rsid w:val="00FE05D4"/>
    <w:rsid w:val="00FE092E"/>
    <w:rsid w:val="00FE09F7"/>
    <w:rsid w:val="00FE0A09"/>
    <w:rsid w:val="00FE0C65"/>
    <w:rsid w:val="00FE0F48"/>
    <w:rsid w:val="00FE1073"/>
    <w:rsid w:val="00FE1100"/>
    <w:rsid w:val="00FE178C"/>
    <w:rsid w:val="00FE18D8"/>
    <w:rsid w:val="00FE1A38"/>
    <w:rsid w:val="00FE1B2F"/>
    <w:rsid w:val="00FE1BCB"/>
    <w:rsid w:val="00FE1F2F"/>
    <w:rsid w:val="00FE20DC"/>
    <w:rsid w:val="00FE22BE"/>
    <w:rsid w:val="00FE22EF"/>
    <w:rsid w:val="00FE2349"/>
    <w:rsid w:val="00FE2457"/>
    <w:rsid w:val="00FE27B7"/>
    <w:rsid w:val="00FE286D"/>
    <w:rsid w:val="00FE2958"/>
    <w:rsid w:val="00FE2CBE"/>
    <w:rsid w:val="00FE2CC1"/>
    <w:rsid w:val="00FE2D65"/>
    <w:rsid w:val="00FE2E36"/>
    <w:rsid w:val="00FE2F45"/>
    <w:rsid w:val="00FE3057"/>
    <w:rsid w:val="00FE32D3"/>
    <w:rsid w:val="00FE3310"/>
    <w:rsid w:val="00FE3322"/>
    <w:rsid w:val="00FE3413"/>
    <w:rsid w:val="00FE3440"/>
    <w:rsid w:val="00FE36B2"/>
    <w:rsid w:val="00FE38C4"/>
    <w:rsid w:val="00FE3B16"/>
    <w:rsid w:val="00FE3B4A"/>
    <w:rsid w:val="00FE3B7D"/>
    <w:rsid w:val="00FE3C32"/>
    <w:rsid w:val="00FE3E16"/>
    <w:rsid w:val="00FE3F70"/>
    <w:rsid w:val="00FE4171"/>
    <w:rsid w:val="00FE439D"/>
    <w:rsid w:val="00FE44F0"/>
    <w:rsid w:val="00FE4861"/>
    <w:rsid w:val="00FE4C86"/>
    <w:rsid w:val="00FE4D6A"/>
    <w:rsid w:val="00FE4ECB"/>
    <w:rsid w:val="00FE4F41"/>
    <w:rsid w:val="00FE5033"/>
    <w:rsid w:val="00FE5046"/>
    <w:rsid w:val="00FE5201"/>
    <w:rsid w:val="00FE5308"/>
    <w:rsid w:val="00FE53EB"/>
    <w:rsid w:val="00FE55A6"/>
    <w:rsid w:val="00FE55B2"/>
    <w:rsid w:val="00FE591B"/>
    <w:rsid w:val="00FE5A88"/>
    <w:rsid w:val="00FE5B4B"/>
    <w:rsid w:val="00FE5B69"/>
    <w:rsid w:val="00FE5B94"/>
    <w:rsid w:val="00FE5DCB"/>
    <w:rsid w:val="00FE5DFE"/>
    <w:rsid w:val="00FE5F3E"/>
    <w:rsid w:val="00FE5FCE"/>
    <w:rsid w:val="00FE612E"/>
    <w:rsid w:val="00FE665D"/>
    <w:rsid w:val="00FE6946"/>
    <w:rsid w:val="00FE6C2E"/>
    <w:rsid w:val="00FE6CD7"/>
    <w:rsid w:val="00FE6E3A"/>
    <w:rsid w:val="00FE6F06"/>
    <w:rsid w:val="00FE6FE0"/>
    <w:rsid w:val="00FE71FB"/>
    <w:rsid w:val="00FE72A8"/>
    <w:rsid w:val="00FE7732"/>
    <w:rsid w:val="00FE779B"/>
    <w:rsid w:val="00FE792B"/>
    <w:rsid w:val="00FE7DB2"/>
    <w:rsid w:val="00FE7EAF"/>
    <w:rsid w:val="00FF0263"/>
    <w:rsid w:val="00FF0289"/>
    <w:rsid w:val="00FF0559"/>
    <w:rsid w:val="00FF0730"/>
    <w:rsid w:val="00FF0880"/>
    <w:rsid w:val="00FF0AB1"/>
    <w:rsid w:val="00FF0B78"/>
    <w:rsid w:val="00FF11D6"/>
    <w:rsid w:val="00FF12E5"/>
    <w:rsid w:val="00FF1333"/>
    <w:rsid w:val="00FF1372"/>
    <w:rsid w:val="00FF153C"/>
    <w:rsid w:val="00FF1909"/>
    <w:rsid w:val="00FF1F2D"/>
    <w:rsid w:val="00FF1FDE"/>
    <w:rsid w:val="00FF201B"/>
    <w:rsid w:val="00FF21EB"/>
    <w:rsid w:val="00FF2469"/>
    <w:rsid w:val="00FF276D"/>
    <w:rsid w:val="00FF2DF4"/>
    <w:rsid w:val="00FF30D3"/>
    <w:rsid w:val="00FF32E2"/>
    <w:rsid w:val="00FF357F"/>
    <w:rsid w:val="00FF38D6"/>
    <w:rsid w:val="00FF3A6B"/>
    <w:rsid w:val="00FF3C27"/>
    <w:rsid w:val="00FF4075"/>
    <w:rsid w:val="00FF4637"/>
    <w:rsid w:val="00FF4878"/>
    <w:rsid w:val="00FF4A4B"/>
    <w:rsid w:val="00FF4B78"/>
    <w:rsid w:val="00FF4BDC"/>
    <w:rsid w:val="00FF4EA5"/>
    <w:rsid w:val="00FF50A5"/>
    <w:rsid w:val="00FF52BB"/>
    <w:rsid w:val="00FF5552"/>
    <w:rsid w:val="00FF583E"/>
    <w:rsid w:val="00FF60D7"/>
    <w:rsid w:val="00FF61FC"/>
    <w:rsid w:val="00FF6283"/>
    <w:rsid w:val="00FF6389"/>
    <w:rsid w:val="00FF6469"/>
    <w:rsid w:val="00FF64F1"/>
    <w:rsid w:val="00FF6701"/>
    <w:rsid w:val="00FF6735"/>
    <w:rsid w:val="00FF6959"/>
    <w:rsid w:val="00FF69CC"/>
    <w:rsid w:val="00FF6ACE"/>
    <w:rsid w:val="00FF6C47"/>
    <w:rsid w:val="00FF6C9B"/>
    <w:rsid w:val="00FF6CF4"/>
    <w:rsid w:val="00FF6D8B"/>
    <w:rsid w:val="00FF6F94"/>
    <w:rsid w:val="00FF7364"/>
    <w:rsid w:val="00FF75DA"/>
    <w:rsid w:val="00FF780B"/>
    <w:rsid w:val="00FF7A1D"/>
    <w:rsid w:val="00FF7A90"/>
    <w:rsid w:val="00FF7E99"/>
    <w:rsid w:val="00FF7EFB"/>
    <w:rsid w:val="0112E842"/>
    <w:rsid w:val="01302109"/>
    <w:rsid w:val="014C55C8"/>
    <w:rsid w:val="0150B183"/>
    <w:rsid w:val="01D75BD6"/>
    <w:rsid w:val="02185FFC"/>
    <w:rsid w:val="0228AB80"/>
    <w:rsid w:val="02784B89"/>
    <w:rsid w:val="02833B6E"/>
    <w:rsid w:val="028AFCD6"/>
    <w:rsid w:val="0298556E"/>
    <w:rsid w:val="037F4536"/>
    <w:rsid w:val="0422E820"/>
    <w:rsid w:val="04327767"/>
    <w:rsid w:val="045BBAD7"/>
    <w:rsid w:val="04DBB76E"/>
    <w:rsid w:val="05119A48"/>
    <w:rsid w:val="05C7F2B5"/>
    <w:rsid w:val="060F7A5F"/>
    <w:rsid w:val="0642FD6B"/>
    <w:rsid w:val="06C9BA05"/>
    <w:rsid w:val="06EE85E4"/>
    <w:rsid w:val="06F7F2E5"/>
    <w:rsid w:val="07ACA1A1"/>
    <w:rsid w:val="07C92228"/>
    <w:rsid w:val="0806100D"/>
    <w:rsid w:val="08E857F3"/>
    <w:rsid w:val="0955F913"/>
    <w:rsid w:val="09E9A2DD"/>
    <w:rsid w:val="09EC91D8"/>
    <w:rsid w:val="0A16A353"/>
    <w:rsid w:val="0A1892A7"/>
    <w:rsid w:val="0A25B295"/>
    <w:rsid w:val="0AEB839B"/>
    <w:rsid w:val="0B49F649"/>
    <w:rsid w:val="0B5FFFF2"/>
    <w:rsid w:val="0C59B5C4"/>
    <w:rsid w:val="0CB2AA5D"/>
    <w:rsid w:val="0D4A52E2"/>
    <w:rsid w:val="0D802C89"/>
    <w:rsid w:val="0DA3EC8E"/>
    <w:rsid w:val="0DDC8A6A"/>
    <w:rsid w:val="0DEEFD79"/>
    <w:rsid w:val="0E8A0289"/>
    <w:rsid w:val="0E8C117B"/>
    <w:rsid w:val="0E8E2F1D"/>
    <w:rsid w:val="0E9E4B7F"/>
    <w:rsid w:val="0EAA0EB1"/>
    <w:rsid w:val="0EDD2E12"/>
    <w:rsid w:val="0EE204E2"/>
    <w:rsid w:val="0F77527F"/>
    <w:rsid w:val="102F2BB3"/>
    <w:rsid w:val="104A1B98"/>
    <w:rsid w:val="109832BE"/>
    <w:rsid w:val="116A180A"/>
    <w:rsid w:val="118E1421"/>
    <w:rsid w:val="11B275F9"/>
    <w:rsid w:val="11D22A54"/>
    <w:rsid w:val="1229D9BA"/>
    <w:rsid w:val="125E0124"/>
    <w:rsid w:val="12617E1A"/>
    <w:rsid w:val="12D517A6"/>
    <w:rsid w:val="13FA3603"/>
    <w:rsid w:val="146219AA"/>
    <w:rsid w:val="14C5F3CF"/>
    <w:rsid w:val="14CD8712"/>
    <w:rsid w:val="1505DCCB"/>
    <w:rsid w:val="150866D7"/>
    <w:rsid w:val="152E03DD"/>
    <w:rsid w:val="15310E05"/>
    <w:rsid w:val="157DAC12"/>
    <w:rsid w:val="15EB6BE3"/>
    <w:rsid w:val="160CDB6E"/>
    <w:rsid w:val="16370EB3"/>
    <w:rsid w:val="16592B00"/>
    <w:rsid w:val="1678E583"/>
    <w:rsid w:val="16AB5AC9"/>
    <w:rsid w:val="16B8C1BF"/>
    <w:rsid w:val="172516E5"/>
    <w:rsid w:val="17326FF7"/>
    <w:rsid w:val="17B68CA7"/>
    <w:rsid w:val="18318737"/>
    <w:rsid w:val="1981ECFE"/>
    <w:rsid w:val="19AC0884"/>
    <w:rsid w:val="19ED6E91"/>
    <w:rsid w:val="1A051974"/>
    <w:rsid w:val="1A501930"/>
    <w:rsid w:val="1ACDDBF3"/>
    <w:rsid w:val="1B088DFF"/>
    <w:rsid w:val="1B72BE17"/>
    <w:rsid w:val="1B8DB882"/>
    <w:rsid w:val="1C0278A1"/>
    <w:rsid w:val="1C8368BF"/>
    <w:rsid w:val="1C8B421C"/>
    <w:rsid w:val="1C8FE91A"/>
    <w:rsid w:val="1CDE8506"/>
    <w:rsid w:val="1D00C04A"/>
    <w:rsid w:val="1D4989AC"/>
    <w:rsid w:val="1D586D34"/>
    <w:rsid w:val="1E2C8CC1"/>
    <w:rsid w:val="1E341B15"/>
    <w:rsid w:val="1EB614FD"/>
    <w:rsid w:val="1EDAA9FF"/>
    <w:rsid w:val="1F2942EB"/>
    <w:rsid w:val="1F4408FC"/>
    <w:rsid w:val="1FD9D8D9"/>
    <w:rsid w:val="202AB481"/>
    <w:rsid w:val="20CC347F"/>
    <w:rsid w:val="20D2AF1C"/>
    <w:rsid w:val="219770D5"/>
    <w:rsid w:val="224237EA"/>
    <w:rsid w:val="22659E9D"/>
    <w:rsid w:val="22F0F282"/>
    <w:rsid w:val="231A7DEE"/>
    <w:rsid w:val="237472C8"/>
    <w:rsid w:val="2418B823"/>
    <w:rsid w:val="24281E60"/>
    <w:rsid w:val="2428D657"/>
    <w:rsid w:val="247E6CBD"/>
    <w:rsid w:val="2486C24D"/>
    <w:rsid w:val="248B4061"/>
    <w:rsid w:val="2517B3BD"/>
    <w:rsid w:val="251A80E1"/>
    <w:rsid w:val="252DDF40"/>
    <w:rsid w:val="253065A4"/>
    <w:rsid w:val="257E30B6"/>
    <w:rsid w:val="2637F726"/>
    <w:rsid w:val="264EAF3B"/>
    <w:rsid w:val="26A9E7A1"/>
    <w:rsid w:val="2715B823"/>
    <w:rsid w:val="272E33CB"/>
    <w:rsid w:val="274A97ED"/>
    <w:rsid w:val="27DC25DB"/>
    <w:rsid w:val="293EDEA1"/>
    <w:rsid w:val="294F325F"/>
    <w:rsid w:val="2953CA2D"/>
    <w:rsid w:val="2A188F97"/>
    <w:rsid w:val="2A54CCB1"/>
    <w:rsid w:val="2A927308"/>
    <w:rsid w:val="2ACD2B8B"/>
    <w:rsid w:val="2B50C781"/>
    <w:rsid w:val="2B50D339"/>
    <w:rsid w:val="2B75E476"/>
    <w:rsid w:val="2BA024D1"/>
    <w:rsid w:val="2BD24171"/>
    <w:rsid w:val="2BDF62A7"/>
    <w:rsid w:val="2C0FBA35"/>
    <w:rsid w:val="2C20017A"/>
    <w:rsid w:val="2CD24260"/>
    <w:rsid w:val="2CE98162"/>
    <w:rsid w:val="2CED0609"/>
    <w:rsid w:val="2DD8112D"/>
    <w:rsid w:val="2E129F39"/>
    <w:rsid w:val="2EB3DB58"/>
    <w:rsid w:val="2EEDB864"/>
    <w:rsid w:val="2F321E2F"/>
    <w:rsid w:val="2F36479B"/>
    <w:rsid w:val="2F93E49C"/>
    <w:rsid w:val="2FCB38FE"/>
    <w:rsid w:val="2FE8C8A3"/>
    <w:rsid w:val="30650349"/>
    <w:rsid w:val="30997D85"/>
    <w:rsid w:val="30C6E9B8"/>
    <w:rsid w:val="30CEEFF1"/>
    <w:rsid w:val="30F9D416"/>
    <w:rsid w:val="310DC4A5"/>
    <w:rsid w:val="311A39C6"/>
    <w:rsid w:val="31912E27"/>
    <w:rsid w:val="31BC5671"/>
    <w:rsid w:val="31F07E97"/>
    <w:rsid w:val="3222FADC"/>
    <w:rsid w:val="32540D50"/>
    <w:rsid w:val="32B3554B"/>
    <w:rsid w:val="32BF02DD"/>
    <w:rsid w:val="330379F8"/>
    <w:rsid w:val="3322EF09"/>
    <w:rsid w:val="33846B96"/>
    <w:rsid w:val="33BCA80E"/>
    <w:rsid w:val="33C877E1"/>
    <w:rsid w:val="33D77983"/>
    <w:rsid w:val="33FFD9C1"/>
    <w:rsid w:val="34980873"/>
    <w:rsid w:val="34D9D538"/>
    <w:rsid w:val="355C5F60"/>
    <w:rsid w:val="356920FD"/>
    <w:rsid w:val="356A2866"/>
    <w:rsid w:val="35B1EEAB"/>
    <w:rsid w:val="365F47D2"/>
    <w:rsid w:val="366AEBB0"/>
    <w:rsid w:val="3696C6BA"/>
    <w:rsid w:val="36E9CD2C"/>
    <w:rsid w:val="374CD29B"/>
    <w:rsid w:val="37685F29"/>
    <w:rsid w:val="376F5A89"/>
    <w:rsid w:val="37A98481"/>
    <w:rsid w:val="37B62987"/>
    <w:rsid w:val="37C664C5"/>
    <w:rsid w:val="38A271B3"/>
    <w:rsid w:val="38CC3754"/>
    <w:rsid w:val="39067208"/>
    <w:rsid w:val="3916EB92"/>
    <w:rsid w:val="391D4744"/>
    <w:rsid w:val="399B01A9"/>
    <w:rsid w:val="39D1FABE"/>
    <w:rsid w:val="39DB827D"/>
    <w:rsid w:val="3A772CEC"/>
    <w:rsid w:val="3A9A1E3B"/>
    <w:rsid w:val="3B44108F"/>
    <w:rsid w:val="3B71E4F4"/>
    <w:rsid w:val="3BC82D84"/>
    <w:rsid w:val="3BCFABAD"/>
    <w:rsid w:val="3BD0BC7B"/>
    <w:rsid w:val="3BEC8838"/>
    <w:rsid w:val="3C3AF544"/>
    <w:rsid w:val="3C5F23BA"/>
    <w:rsid w:val="3CB566DB"/>
    <w:rsid w:val="3D5BE9C0"/>
    <w:rsid w:val="3E2C4DF9"/>
    <w:rsid w:val="3E51A615"/>
    <w:rsid w:val="3E9B811E"/>
    <w:rsid w:val="3F4BB550"/>
    <w:rsid w:val="3F6DFAAC"/>
    <w:rsid w:val="3FB75754"/>
    <w:rsid w:val="40106E0B"/>
    <w:rsid w:val="403D51A9"/>
    <w:rsid w:val="40E6F22C"/>
    <w:rsid w:val="42021510"/>
    <w:rsid w:val="424AFCD3"/>
    <w:rsid w:val="42915593"/>
    <w:rsid w:val="42B06DD1"/>
    <w:rsid w:val="4326DF9E"/>
    <w:rsid w:val="435EDB23"/>
    <w:rsid w:val="437A0B25"/>
    <w:rsid w:val="43BA001A"/>
    <w:rsid w:val="43E94609"/>
    <w:rsid w:val="453C18ED"/>
    <w:rsid w:val="4540D99D"/>
    <w:rsid w:val="454890BB"/>
    <w:rsid w:val="45BEC47D"/>
    <w:rsid w:val="45C7983D"/>
    <w:rsid w:val="45F89FCD"/>
    <w:rsid w:val="463AC3E7"/>
    <w:rsid w:val="46560873"/>
    <w:rsid w:val="471BB5B9"/>
    <w:rsid w:val="47230A86"/>
    <w:rsid w:val="4784C3F2"/>
    <w:rsid w:val="47964F8F"/>
    <w:rsid w:val="47ED3BC0"/>
    <w:rsid w:val="48DF1BEF"/>
    <w:rsid w:val="4B2B8E5A"/>
    <w:rsid w:val="4B7332D1"/>
    <w:rsid w:val="4BB5C99C"/>
    <w:rsid w:val="4BFC4738"/>
    <w:rsid w:val="4D6DFB51"/>
    <w:rsid w:val="4DCD05E1"/>
    <w:rsid w:val="4E2FD464"/>
    <w:rsid w:val="4E89D188"/>
    <w:rsid w:val="4ED138C6"/>
    <w:rsid w:val="4FBFE2F6"/>
    <w:rsid w:val="501B129F"/>
    <w:rsid w:val="501F8DC3"/>
    <w:rsid w:val="50EDE601"/>
    <w:rsid w:val="50F891E7"/>
    <w:rsid w:val="50FDAB1E"/>
    <w:rsid w:val="510A3515"/>
    <w:rsid w:val="51FC5329"/>
    <w:rsid w:val="52495786"/>
    <w:rsid w:val="52A2FAA8"/>
    <w:rsid w:val="53CEFE7C"/>
    <w:rsid w:val="53E02103"/>
    <w:rsid w:val="53EFA1AF"/>
    <w:rsid w:val="541DC15B"/>
    <w:rsid w:val="5421D49F"/>
    <w:rsid w:val="54515A0E"/>
    <w:rsid w:val="54CA4EC3"/>
    <w:rsid w:val="54DADFA4"/>
    <w:rsid w:val="54F83E26"/>
    <w:rsid w:val="552E717F"/>
    <w:rsid w:val="55450377"/>
    <w:rsid w:val="557B23A8"/>
    <w:rsid w:val="559A481F"/>
    <w:rsid w:val="55D9DE46"/>
    <w:rsid w:val="56081879"/>
    <w:rsid w:val="56CCE098"/>
    <w:rsid w:val="5789FCF2"/>
    <w:rsid w:val="591AB4F9"/>
    <w:rsid w:val="59A1EB86"/>
    <w:rsid w:val="59D811BF"/>
    <w:rsid w:val="5A0ABF37"/>
    <w:rsid w:val="5A106FA0"/>
    <w:rsid w:val="5A39A9AF"/>
    <w:rsid w:val="5A8499EA"/>
    <w:rsid w:val="5B1DF298"/>
    <w:rsid w:val="5B729368"/>
    <w:rsid w:val="5BCF5CC4"/>
    <w:rsid w:val="5D88A392"/>
    <w:rsid w:val="5D94774B"/>
    <w:rsid w:val="5DD07215"/>
    <w:rsid w:val="5DE439C8"/>
    <w:rsid w:val="5EBF6C49"/>
    <w:rsid w:val="5F137322"/>
    <w:rsid w:val="5F2563B4"/>
    <w:rsid w:val="5F301378"/>
    <w:rsid w:val="5F312566"/>
    <w:rsid w:val="5FDF6460"/>
    <w:rsid w:val="60752D19"/>
    <w:rsid w:val="60E2A8C5"/>
    <w:rsid w:val="61117305"/>
    <w:rsid w:val="6112B7B2"/>
    <w:rsid w:val="6135D37F"/>
    <w:rsid w:val="61D6B8EE"/>
    <w:rsid w:val="624F9072"/>
    <w:rsid w:val="636439C0"/>
    <w:rsid w:val="63C16A5A"/>
    <w:rsid w:val="640BC0FD"/>
    <w:rsid w:val="641D58BB"/>
    <w:rsid w:val="643CDC7D"/>
    <w:rsid w:val="6500397C"/>
    <w:rsid w:val="65BABEA6"/>
    <w:rsid w:val="6604C6E3"/>
    <w:rsid w:val="664BFF78"/>
    <w:rsid w:val="67F80957"/>
    <w:rsid w:val="680D449D"/>
    <w:rsid w:val="682209B6"/>
    <w:rsid w:val="682E3046"/>
    <w:rsid w:val="684C3143"/>
    <w:rsid w:val="6856F773"/>
    <w:rsid w:val="68AB3B42"/>
    <w:rsid w:val="6926DAD0"/>
    <w:rsid w:val="69583221"/>
    <w:rsid w:val="697FE344"/>
    <w:rsid w:val="69932A13"/>
    <w:rsid w:val="699F11C0"/>
    <w:rsid w:val="69A914FE"/>
    <w:rsid w:val="69B7A58F"/>
    <w:rsid w:val="69EEDDCD"/>
    <w:rsid w:val="6A82320F"/>
    <w:rsid w:val="6A9FA69F"/>
    <w:rsid w:val="6AA468F5"/>
    <w:rsid w:val="6AB22B37"/>
    <w:rsid w:val="6AC0AFA2"/>
    <w:rsid w:val="6AC57A3F"/>
    <w:rsid w:val="6AE49D8E"/>
    <w:rsid w:val="6C0CAA6F"/>
    <w:rsid w:val="6C4DFB98"/>
    <w:rsid w:val="6C75CC39"/>
    <w:rsid w:val="6C798B21"/>
    <w:rsid w:val="6D62B227"/>
    <w:rsid w:val="6DA0F93A"/>
    <w:rsid w:val="6DAA8159"/>
    <w:rsid w:val="6E161959"/>
    <w:rsid w:val="6E1FE2ED"/>
    <w:rsid w:val="6EBA965F"/>
    <w:rsid w:val="6F66E48C"/>
    <w:rsid w:val="6F6BC00C"/>
    <w:rsid w:val="6FB1EFBF"/>
    <w:rsid w:val="7006AEBE"/>
    <w:rsid w:val="703F7D0C"/>
    <w:rsid w:val="70835C32"/>
    <w:rsid w:val="70CD0851"/>
    <w:rsid w:val="71A83F94"/>
    <w:rsid w:val="71F5F700"/>
    <w:rsid w:val="7238E373"/>
    <w:rsid w:val="7285F1A5"/>
    <w:rsid w:val="72BAC566"/>
    <w:rsid w:val="73779E3C"/>
    <w:rsid w:val="73CF8C7D"/>
    <w:rsid w:val="741E3A32"/>
    <w:rsid w:val="7439B5F4"/>
    <w:rsid w:val="7483809D"/>
    <w:rsid w:val="74B344B1"/>
    <w:rsid w:val="74B5802F"/>
    <w:rsid w:val="74C89DA9"/>
    <w:rsid w:val="753AE350"/>
    <w:rsid w:val="757FDA3F"/>
    <w:rsid w:val="75971659"/>
    <w:rsid w:val="75AC00E1"/>
    <w:rsid w:val="75B7222C"/>
    <w:rsid w:val="75C2B143"/>
    <w:rsid w:val="75F34994"/>
    <w:rsid w:val="760B6BBC"/>
    <w:rsid w:val="76C0829F"/>
    <w:rsid w:val="76E8DC6B"/>
    <w:rsid w:val="77AB9A13"/>
    <w:rsid w:val="77E7E2CE"/>
    <w:rsid w:val="795C2904"/>
    <w:rsid w:val="79C0CA25"/>
    <w:rsid w:val="79D45A38"/>
    <w:rsid w:val="7A036355"/>
    <w:rsid w:val="7A10DE3A"/>
    <w:rsid w:val="7AD9DFA8"/>
    <w:rsid w:val="7AE40425"/>
    <w:rsid w:val="7AF99638"/>
    <w:rsid w:val="7B4C2BEC"/>
    <w:rsid w:val="7B60B188"/>
    <w:rsid w:val="7BE6CE3F"/>
    <w:rsid w:val="7C1EBD67"/>
    <w:rsid w:val="7C3FA660"/>
    <w:rsid w:val="7CD1D330"/>
    <w:rsid w:val="7D102218"/>
    <w:rsid w:val="7D3E5D63"/>
    <w:rsid w:val="7D781616"/>
    <w:rsid w:val="7D87CBE7"/>
    <w:rsid w:val="7D9CA92D"/>
    <w:rsid w:val="7DE3B273"/>
    <w:rsid w:val="7DEFBC2D"/>
    <w:rsid w:val="7F54BC26"/>
    <w:rsid w:val="7FA419D8"/>
    <w:rsid w:val="7FFC9CB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46BDBDB7"/>
  <w15:chartTrackingRefBased/>
  <w15:docId w15:val="{B0E8F759-E26F-49C2-9F06-DAE40AFD1C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caption" w:qFormat="1"/>
    <w:lsdException w:name="table of figures" w:qFormat="1"/>
    <w:lsdException w:name="annotation reference" w:uiPriority="99"/>
    <w:lsdException w:name="List Bullet" w:uiPriority="1" w:qFormat="1"/>
    <w:lsdException w:name="List Number" w:uiPriority="1" w:qFormat="1"/>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HTML Variable" w:semiHidden="1" w:unhideWhenUsed="1"/>
    <w:lsdException w:name="Normal Table" w:semiHidden="1" w:unhideWhenUsed="1"/>
    <w:lsdException w:name="annotation subject" w:uiPriority="99"/>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67996"/>
    <w:rPr>
      <w:lang w:eastAsia="en-US"/>
    </w:rPr>
  </w:style>
  <w:style w:type="paragraph" w:styleId="Heading1">
    <w:name w:val="heading 1"/>
    <w:basedOn w:val="Normal"/>
    <w:next w:val="BodyText"/>
    <w:link w:val="Heading1Char"/>
    <w:qFormat/>
    <w:rsid w:val="008B7D7D"/>
    <w:pPr>
      <w:keepNext/>
      <w:tabs>
        <w:tab w:val="left" w:pos="284"/>
      </w:tabs>
      <w:spacing w:before="400"/>
      <w:outlineLvl w:val="0"/>
    </w:pPr>
    <w:rPr>
      <w:rFonts w:ascii="Calibri" w:hAnsi="Calibri"/>
      <w:color w:val="00426F"/>
      <w:kern w:val="28"/>
      <w:sz w:val="40"/>
      <w:szCs w:val="36"/>
      <w:lang w:val="en-AU"/>
    </w:rPr>
  </w:style>
  <w:style w:type="paragraph" w:styleId="Heading2">
    <w:name w:val="heading 2"/>
    <w:basedOn w:val="Normal"/>
    <w:next w:val="BodyText"/>
    <w:link w:val="Heading2Char"/>
    <w:qFormat/>
    <w:rsid w:val="003659C6"/>
    <w:pPr>
      <w:keepNext/>
      <w:widowControl w:val="0"/>
      <w:numPr>
        <w:numId w:val="4"/>
      </w:numPr>
      <w:pBdr>
        <w:bottom w:val="single" w:sz="4" w:space="2" w:color="008EBA"/>
      </w:pBdr>
      <w:spacing w:before="240" w:after="100" w:line="240" w:lineRule="atLeast"/>
      <w:outlineLvl w:val="1"/>
    </w:pPr>
    <w:rPr>
      <w:rFonts w:ascii="Arial" w:hAnsi="Arial"/>
      <w:b/>
      <w:color w:val="008EBA"/>
      <w:kern w:val="28"/>
      <w:sz w:val="28"/>
      <w:szCs w:val="36"/>
      <w:lang w:val="en-AU"/>
    </w:rPr>
  </w:style>
  <w:style w:type="paragraph" w:styleId="Heading3">
    <w:name w:val="heading 3"/>
    <w:basedOn w:val="Heading2"/>
    <w:next w:val="BodyText"/>
    <w:link w:val="Heading3Char"/>
    <w:qFormat/>
    <w:rsid w:val="00356E02"/>
    <w:pPr>
      <w:numPr>
        <w:numId w:val="0"/>
      </w:numPr>
      <w:pBdr>
        <w:bottom w:val="none" w:sz="0" w:space="0" w:color="auto"/>
      </w:pBdr>
      <w:outlineLvl w:val="2"/>
    </w:pPr>
    <w:rPr>
      <w:color w:val="auto"/>
    </w:rPr>
  </w:style>
  <w:style w:type="paragraph" w:styleId="Heading4">
    <w:name w:val="heading 4"/>
    <w:basedOn w:val="Heading3"/>
    <w:next w:val="Normal"/>
    <w:link w:val="Heading4Char"/>
    <w:qFormat/>
    <w:rsid w:val="00356E02"/>
    <w:pPr>
      <w:outlineLvl w:val="3"/>
    </w:pPr>
    <w:rPr>
      <w:sz w:val="20"/>
    </w:rPr>
  </w:style>
  <w:style w:type="paragraph" w:styleId="Heading5">
    <w:name w:val="heading 5"/>
    <w:basedOn w:val="Heading4"/>
    <w:next w:val="BodyText"/>
    <w:link w:val="Heading5Char"/>
    <w:qFormat/>
    <w:rsid w:val="00356E02"/>
    <w:pPr>
      <w:spacing w:after="60"/>
      <w:outlineLvl w:val="4"/>
    </w:pPr>
    <w:rPr>
      <w:b w:val="0"/>
      <w:i/>
    </w:rPr>
  </w:style>
  <w:style w:type="paragraph" w:styleId="Heading6">
    <w:name w:val="heading 6"/>
    <w:basedOn w:val="Heading1"/>
    <w:next w:val="Normal"/>
    <w:link w:val="Heading6Char"/>
    <w:qFormat/>
    <w:rsid w:val="00356E02"/>
    <w:pPr>
      <w:spacing w:before="120"/>
      <w:outlineLvl w:val="5"/>
    </w:pPr>
    <w:rPr>
      <w:rFonts w:ascii="Times New Roman" w:hAnsi="Times New Roman"/>
      <w:b/>
      <w:i/>
      <w:caps/>
      <w:kern w:val="0"/>
      <w:sz w:val="24"/>
    </w:rPr>
  </w:style>
  <w:style w:type="paragraph" w:styleId="Heading7">
    <w:name w:val="heading 7"/>
    <w:basedOn w:val="Heading5"/>
    <w:next w:val="Normal"/>
    <w:link w:val="Heading7Char"/>
    <w:qFormat/>
    <w:rsid w:val="00356E02"/>
    <w:pPr>
      <w:spacing w:before="120"/>
      <w:ind w:left="425"/>
      <w:jc w:val="both"/>
      <w:outlineLvl w:val="6"/>
    </w:pPr>
    <w:rPr>
      <w:i w:val="0"/>
      <w:sz w:val="23"/>
    </w:rPr>
  </w:style>
  <w:style w:type="paragraph" w:styleId="Heading8">
    <w:name w:val="heading 8"/>
    <w:basedOn w:val="Heading7"/>
    <w:next w:val="Normal"/>
    <w:link w:val="Heading8Char"/>
    <w:qFormat/>
    <w:rsid w:val="00356E02"/>
    <w:pPr>
      <w:outlineLvl w:val="7"/>
    </w:pPr>
    <w:rPr>
      <w:i/>
    </w:rPr>
  </w:style>
  <w:style w:type="paragraph" w:styleId="Heading9">
    <w:name w:val="heading 9"/>
    <w:basedOn w:val="Heading8"/>
    <w:next w:val="Normal"/>
    <w:link w:val="Heading9Char"/>
    <w:qFormat/>
    <w:rsid w:val="00356E02"/>
    <w:pPr>
      <w:ind w:left="851"/>
      <w:outlineLvl w:val="8"/>
    </w:pPr>
    <w:rPr>
      <w:i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356E02"/>
    <w:rPr>
      <w:rFonts w:ascii="Arial Bold" w:hAnsi="Arial Bold" w:cs="Arial Bold"/>
      <w:sz w:val="16"/>
      <w:szCs w:val="16"/>
    </w:rPr>
  </w:style>
  <w:style w:type="character" w:customStyle="1" w:styleId="BalloonTextChar">
    <w:name w:val="Balloon Text Char"/>
    <w:link w:val="BalloonText"/>
    <w:rsid w:val="00356E02"/>
    <w:rPr>
      <w:rFonts w:ascii="Arial Bold" w:hAnsi="Arial Bold" w:cs="Arial Bold"/>
      <w:sz w:val="16"/>
      <w:szCs w:val="16"/>
      <w:lang w:eastAsia="en-US"/>
    </w:rPr>
  </w:style>
  <w:style w:type="character" w:customStyle="1" w:styleId="Heading1Char">
    <w:name w:val="Heading 1 Char"/>
    <w:link w:val="Heading1"/>
    <w:rsid w:val="008C6150"/>
    <w:rPr>
      <w:rFonts w:ascii="Calibri" w:hAnsi="Calibri"/>
      <w:color w:val="00426F"/>
      <w:kern w:val="28"/>
      <w:sz w:val="40"/>
      <w:szCs w:val="36"/>
      <w:lang w:val="en-AU" w:eastAsia="en-US"/>
    </w:rPr>
  </w:style>
  <w:style w:type="character" w:customStyle="1" w:styleId="Heading2Char">
    <w:name w:val="Heading 2 Char"/>
    <w:link w:val="Heading2"/>
    <w:rsid w:val="00A76E36"/>
    <w:rPr>
      <w:rFonts w:ascii="Arial" w:hAnsi="Arial"/>
      <w:b/>
      <w:color w:val="008EBA"/>
      <w:kern w:val="28"/>
      <w:sz w:val="28"/>
      <w:szCs w:val="36"/>
      <w:lang w:val="en-AU" w:eastAsia="en-US"/>
    </w:rPr>
  </w:style>
  <w:style w:type="character" w:customStyle="1" w:styleId="Heading3Char">
    <w:name w:val="Heading 3 Char"/>
    <w:link w:val="Heading3"/>
    <w:rsid w:val="00356E02"/>
    <w:rPr>
      <w:rFonts w:ascii="Arial" w:hAnsi="Arial"/>
      <w:b/>
      <w:kern w:val="28"/>
      <w:sz w:val="24"/>
      <w:szCs w:val="36"/>
      <w:lang w:eastAsia="en-US"/>
    </w:rPr>
  </w:style>
  <w:style w:type="character" w:customStyle="1" w:styleId="Heading4Char">
    <w:name w:val="Heading 4 Char"/>
    <w:link w:val="Heading4"/>
    <w:rsid w:val="008C6150"/>
    <w:rPr>
      <w:rFonts w:ascii="Arial" w:hAnsi="Arial"/>
      <w:b/>
      <w:kern w:val="28"/>
      <w:szCs w:val="36"/>
      <w:lang w:eastAsia="en-US"/>
    </w:rPr>
  </w:style>
  <w:style w:type="character" w:customStyle="1" w:styleId="Heading5Char">
    <w:name w:val="Heading 5 Char"/>
    <w:link w:val="Heading5"/>
    <w:rsid w:val="008C6150"/>
    <w:rPr>
      <w:rFonts w:ascii="Arial" w:hAnsi="Arial"/>
      <w:i/>
      <w:kern w:val="28"/>
      <w:szCs w:val="36"/>
      <w:lang w:eastAsia="en-US"/>
    </w:rPr>
  </w:style>
  <w:style w:type="character" w:customStyle="1" w:styleId="Heading6Char">
    <w:name w:val="Heading 6 Char"/>
    <w:link w:val="Heading6"/>
    <w:rsid w:val="008C6150"/>
    <w:rPr>
      <w:b/>
      <w:i/>
      <w:caps/>
      <w:color w:val="1D3278"/>
      <w:sz w:val="24"/>
      <w:szCs w:val="36"/>
      <w:lang w:eastAsia="en-US"/>
    </w:rPr>
  </w:style>
  <w:style w:type="character" w:customStyle="1" w:styleId="Heading7Char">
    <w:name w:val="Heading 7 Char"/>
    <w:link w:val="Heading7"/>
    <w:rsid w:val="008C6150"/>
    <w:rPr>
      <w:rFonts w:ascii="Arial" w:hAnsi="Arial"/>
      <w:kern w:val="28"/>
      <w:sz w:val="23"/>
      <w:szCs w:val="36"/>
      <w:lang w:eastAsia="en-US"/>
    </w:rPr>
  </w:style>
  <w:style w:type="character" w:customStyle="1" w:styleId="Heading8Char">
    <w:name w:val="Heading 8 Char"/>
    <w:link w:val="Heading8"/>
    <w:rsid w:val="008C6150"/>
    <w:rPr>
      <w:rFonts w:ascii="Arial" w:hAnsi="Arial"/>
      <w:i/>
      <w:kern w:val="28"/>
      <w:sz w:val="23"/>
      <w:szCs w:val="36"/>
      <w:lang w:eastAsia="en-US"/>
    </w:rPr>
  </w:style>
  <w:style w:type="character" w:customStyle="1" w:styleId="Heading9Char">
    <w:name w:val="Heading 9 Char"/>
    <w:link w:val="Heading9"/>
    <w:rsid w:val="008C6150"/>
    <w:rPr>
      <w:rFonts w:ascii="Arial" w:hAnsi="Arial"/>
      <w:kern w:val="28"/>
      <w:sz w:val="23"/>
      <w:szCs w:val="36"/>
      <w:lang w:eastAsia="en-US"/>
    </w:rPr>
  </w:style>
  <w:style w:type="paragraph" w:styleId="BodyText">
    <w:name w:val="Body Text"/>
    <w:link w:val="BodyTextChar"/>
    <w:autoRedefine/>
    <w:rsid w:val="00C23084"/>
    <w:pPr>
      <w:tabs>
        <w:tab w:val="left" w:pos="1276"/>
      </w:tabs>
      <w:spacing w:before="160" w:after="100" w:line="240" w:lineRule="atLeast"/>
    </w:pPr>
    <w:rPr>
      <w:rFonts w:ascii="Arial" w:eastAsiaTheme="minorHAnsi" w:hAnsi="Arial" w:cs="Arial"/>
      <w:iCs/>
      <w:sz w:val="23"/>
      <w:szCs w:val="22"/>
      <w:lang w:val="en-AU" w:eastAsia="en-US"/>
    </w:rPr>
  </w:style>
  <w:style w:type="character" w:customStyle="1" w:styleId="BodyTextChar">
    <w:name w:val="Body Text Char"/>
    <w:basedOn w:val="DefaultParagraphFont"/>
    <w:link w:val="BodyText"/>
    <w:rsid w:val="00C23084"/>
    <w:rPr>
      <w:rFonts w:ascii="Arial" w:eastAsiaTheme="minorHAnsi" w:hAnsi="Arial" w:cs="Arial"/>
      <w:iCs/>
      <w:sz w:val="23"/>
      <w:szCs w:val="22"/>
      <w:lang w:val="en-AU" w:eastAsia="en-US"/>
    </w:rPr>
  </w:style>
  <w:style w:type="paragraph" w:customStyle="1" w:styleId="BodyText-Box">
    <w:name w:val="Body Text - Box"/>
    <w:basedOn w:val="BodyText"/>
    <w:autoRedefine/>
    <w:rsid w:val="00356E02"/>
    <w:pPr>
      <w:tabs>
        <w:tab w:val="left" w:pos="567"/>
      </w:tabs>
      <w:spacing w:before="120" w:after="120" w:line="240" w:lineRule="auto"/>
      <w:ind w:right="-143"/>
    </w:pPr>
    <w:rPr>
      <w:rFonts w:ascii="Times New Roman" w:hAnsi="Times New Roman"/>
      <w:color w:val="000000"/>
      <w:sz w:val="21"/>
      <w:szCs w:val="21"/>
      <w:lang w:eastAsia="en-AU"/>
    </w:rPr>
  </w:style>
  <w:style w:type="paragraph" w:customStyle="1" w:styleId="BodyTextBox">
    <w:name w:val="Body Text Box"/>
    <w:basedOn w:val="Normal"/>
    <w:link w:val="BodyTextBoxChar"/>
    <w:autoRedefine/>
    <w:rsid w:val="00EC0241"/>
    <w:pPr>
      <w:framePr w:hSpace="180" w:wrap="around" w:vAnchor="text" w:hAnchor="text" w:y="18"/>
      <w:spacing w:before="120" w:after="80" w:line="240" w:lineRule="atLeast"/>
    </w:pPr>
    <w:rPr>
      <w:rFonts w:ascii="Arial" w:hAnsi="Arial" w:cs="Arial"/>
      <w:color w:val="008EBA"/>
      <w:sz w:val="23"/>
      <w:szCs w:val="18"/>
      <w:lang w:val="en-AU"/>
    </w:rPr>
  </w:style>
  <w:style w:type="paragraph" w:customStyle="1" w:styleId="ObjectHeading">
    <w:name w:val="Object Heading"/>
    <w:basedOn w:val="Heading3"/>
    <w:next w:val="Normal"/>
    <w:rsid w:val="00356E02"/>
    <w:pPr>
      <w:tabs>
        <w:tab w:val="left" w:pos="1418"/>
      </w:tabs>
      <w:ind w:left="1418" w:hanging="1418"/>
    </w:pPr>
    <w:rPr>
      <w:kern w:val="0"/>
    </w:rPr>
  </w:style>
  <w:style w:type="paragraph" w:customStyle="1" w:styleId="BoxHeading">
    <w:name w:val="Box Heading"/>
    <w:basedOn w:val="ObjectHeading"/>
    <w:autoRedefine/>
    <w:rsid w:val="00225FB1"/>
    <w:pPr>
      <w:framePr w:hSpace="180" w:wrap="around" w:vAnchor="text" w:hAnchor="margin" w:y="97"/>
      <w:tabs>
        <w:tab w:val="clear" w:pos="1418"/>
      </w:tabs>
      <w:spacing w:before="80" w:after="60" w:line="240" w:lineRule="auto"/>
      <w:ind w:left="0" w:firstLine="0"/>
    </w:pPr>
    <w:rPr>
      <w:rFonts w:cs="Arial"/>
      <w:color w:val="0A7CB9"/>
      <w:sz w:val="23"/>
      <w:szCs w:val="19"/>
      <w:lang w:val="en-US"/>
    </w:rPr>
  </w:style>
  <w:style w:type="paragraph" w:customStyle="1" w:styleId="Bullet1">
    <w:name w:val="Bullet 1"/>
    <w:basedOn w:val="BodyText"/>
    <w:link w:val="Bullet1Char"/>
    <w:autoRedefine/>
    <w:rsid w:val="00090EF0"/>
    <w:pPr>
      <w:numPr>
        <w:numId w:val="144"/>
      </w:numPr>
      <w:spacing w:before="120" w:after="80"/>
      <w:ind w:left="357" w:hanging="357"/>
    </w:pPr>
    <w:rPr>
      <w:rFonts w:eastAsia="Times New Roman"/>
    </w:rPr>
  </w:style>
  <w:style w:type="character" w:customStyle="1" w:styleId="Bullet1Char">
    <w:name w:val="Bullet 1 Char"/>
    <w:link w:val="Bullet1"/>
    <w:rsid w:val="00090EF0"/>
    <w:rPr>
      <w:rFonts w:ascii="Arial" w:hAnsi="Arial" w:cs="Arial"/>
      <w:iCs/>
      <w:sz w:val="22"/>
      <w:szCs w:val="22"/>
      <w:lang w:val="en-AU" w:eastAsia="en-US"/>
    </w:rPr>
  </w:style>
  <w:style w:type="paragraph" w:customStyle="1" w:styleId="Bullet1inabox">
    <w:name w:val="Bullet 1 in a box"/>
    <w:basedOn w:val="Bullet1"/>
    <w:autoRedefine/>
    <w:rsid w:val="00FB2118"/>
    <w:pPr>
      <w:numPr>
        <w:numId w:val="145"/>
      </w:numPr>
      <w:spacing w:before="100" w:after="60"/>
    </w:pPr>
    <w:rPr>
      <w:rFonts w:cs="Times New Roman"/>
      <w:color w:val="008EBA"/>
    </w:rPr>
  </w:style>
  <w:style w:type="paragraph" w:customStyle="1" w:styleId="Bullet1Paragraph">
    <w:name w:val="Bullet 1 Paragraph"/>
    <w:basedOn w:val="Normal"/>
    <w:rsid w:val="00356E02"/>
    <w:pPr>
      <w:ind w:left="425"/>
    </w:pPr>
  </w:style>
  <w:style w:type="paragraph" w:customStyle="1" w:styleId="Bullet2">
    <w:name w:val="Bullet 2"/>
    <w:basedOn w:val="Bullet1"/>
    <w:rsid w:val="00FB2118"/>
    <w:pPr>
      <w:numPr>
        <w:numId w:val="146"/>
      </w:numPr>
      <w:tabs>
        <w:tab w:val="left" w:pos="851"/>
      </w:tabs>
      <w:spacing w:before="80" w:after="40"/>
    </w:pPr>
  </w:style>
  <w:style w:type="paragraph" w:customStyle="1" w:styleId="Bullet2innumberedlist">
    <w:name w:val="Bullet 2 in numbered list"/>
    <w:basedOn w:val="Bullet2"/>
    <w:rsid w:val="00356E02"/>
    <w:pPr>
      <w:numPr>
        <w:numId w:val="98"/>
      </w:numPr>
      <w:tabs>
        <w:tab w:val="num" w:pos="851"/>
        <w:tab w:val="num" w:pos="2151"/>
      </w:tabs>
      <w:spacing w:after="0"/>
      <w:ind w:hanging="426"/>
    </w:pPr>
  </w:style>
  <w:style w:type="paragraph" w:customStyle="1" w:styleId="Bullet2Paragraph">
    <w:name w:val="Bullet 2 Paragraph"/>
    <w:basedOn w:val="Bullet1Paragraph"/>
    <w:rsid w:val="00356E02"/>
    <w:pPr>
      <w:ind w:left="851"/>
    </w:pPr>
  </w:style>
  <w:style w:type="paragraph" w:customStyle="1" w:styleId="Bullet3">
    <w:name w:val="Bullet 3"/>
    <w:basedOn w:val="Bullet2"/>
    <w:rsid w:val="00356E02"/>
    <w:pPr>
      <w:numPr>
        <w:numId w:val="7"/>
      </w:numPr>
    </w:pPr>
  </w:style>
  <w:style w:type="paragraph" w:customStyle="1" w:styleId="Bullet3Paragraph">
    <w:name w:val="Bullet 3 Paragraph"/>
    <w:basedOn w:val="Bullet2Paragraph"/>
    <w:rsid w:val="00356E02"/>
    <w:pPr>
      <w:ind w:left="1276"/>
    </w:pPr>
  </w:style>
  <w:style w:type="paragraph" w:customStyle="1" w:styleId="Bullet4">
    <w:name w:val="Bullet 4"/>
    <w:basedOn w:val="Bullet3"/>
    <w:rsid w:val="00356E02"/>
    <w:pPr>
      <w:numPr>
        <w:numId w:val="8"/>
      </w:numPr>
    </w:pPr>
  </w:style>
  <w:style w:type="paragraph" w:customStyle="1" w:styleId="Bullet4Paragraph">
    <w:name w:val="Bullet 4 Paragraph"/>
    <w:basedOn w:val="Bullet3Paragraph"/>
    <w:rsid w:val="00356E02"/>
    <w:pPr>
      <w:ind w:left="1701"/>
    </w:pPr>
  </w:style>
  <w:style w:type="paragraph" w:customStyle="1" w:styleId="ChapterHeadingStyle">
    <w:name w:val="Chapter Heading Style"/>
    <w:basedOn w:val="Normal"/>
    <w:rsid w:val="00356E02"/>
    <w:pPr>
      <w:keepNext/>
      <w:keepLines/>
      <w:pBdr>
        <w:bottom w:val="threeDEmboss" w:sz="24" w:space="1" w:color="000000"/>
      </w:pBdr>
      <w:tabs>
        <w:tab w:val="left" w:pos="1134"/>
        <w:tab w:val="left" w:pos="2268"/>
      </w:tabs>
      <w:spacing w:after="120"/>
      <w:ind w:left="2268" w:hanging="2268"/>
      <w:outlineLvl w:val="0"/>
    </w:pPr>
    <w:rPr>
      <w:rFonts w:ascii="Arial Bold" w:hAnsi="Arial Bold"/>
      <w:b/>
      <w:caps/>
      <w:color w:val="000000"/>
      <w:kern w:val="28"/>
      <w:sz w:val="32"/>
      <w:lang w:val="en-AU"/>
    </w:rPr>
  </w:style>
  <w:style w:type="paragraph" w:customStyle="1" w:styleId="Chart1X">
    <w:name w:val="Chart 1.X"/>
    <w:basedOn w:val="Normal"/>
    <w:next w:val="Normal"/>
    <w:rsid w:val="00794C52"/>
    <w:pPr>
      <w:keepLines/>
      <w:numPr>
        <w:numId w:val="9"/>
      </w:numPr>
      <w:spacing w:before="240" w:after="240"/>
      <w:ind w:left="1304" w:hanging="1304"/>
    </w:pPr>
    <w:rPr>
      <w:rFonts w:ascii="Arial" w:hAnsi="Arial"/>
      <w:i/>
      <w:color w:val="4F4F4F"/>
      <w:sz w:val="22"/>
    </w:rPr>
  </w:style>
  <w:style w:type="paragraph" w:customStyle="1" w:styleId="ChartHeading">
    <w:name w:val="Chart Heading"/>
    <w:basedOn w:val="Normal"/>
    <w:autoRedefine/>
    <w:rsid w:val="00356E02"/>
    <w:pPr>
      <w:keepNext/>
      <w:widowControl w:val="0"/>
      <w:spacing w:before="240" w:after="120"/>
    </w:pPr>
    <w:rPr>
      <w:rFonts w:ascii="Calibri" w:hAnsi="Calibri"/>
      <w:b/>
      <w:sz w:val="24"/>
    </w:rPr>
  </w:style>
  <w:style w:type="character" w:styleId="EndnoteReference">
    <w:name w:val="endnote reference"/>
    <w:rsid w:val="00356E02"/>
    <w:rPr>
      <w:i/>
      <w:sz w:val="16"/>
      <w:vertAlign w:val="superscript"/>
    </w:rPr>
  </w:style>
  <w:style w:type="paragraph" w:styleId="Footer">
    <w:name w:val="footer"/>
    <w:basedOn w:val="Normal"/>
    <w:link w:val="FooterChar"/>
    <w:rsid w:val="00356E02"/>
    <w:pPr>
      <w:pBdr>
        <w:top w:val="single" w:sz="4" w:space="1" w:color="auto"/>
      </w:pBdr>
      <w:tabs>
        <w:tab w:val="right" w:pos="7655"/>
      </w:tabs>
    </w:pPr>
    <w:rPr>
      <w:rFonts w:ascii="Calibri" w:hAnsi="Calibri"/>
      <w:sz w:val="18"/>
    </w:rPr>
  </w:style>
  <w:style w:type="character" w:customStyle="1" w:styleId="FooterChar">
    <w:name w:val="Footer Char"/>
    <w:link w:val="Footer"/>
    <w:rsid w:val="00356E02"/>
    <w:rPr>
      <w:rFonts w:ascii="Calibri" w:hAnsi="Calibri"/>
      <w:sz w:val="18"/>
      <w:lang w:eastAsia="en-US"/>
    </w:rPr>
  </w:style>
  <w:style w:type="character" w:styleId="FootnoteReference">
    <w:name w:val="footnote reference"/>
    <w:rsid w:val="00803D7E"/>
    <w:rPr>
      <w:rFonts w:ascii="Arial" w:hAnsi="Arial"/>
      <w:sz w:val="17"/>
      <w:vertAlign w:val="superscript"/>
    </w:rPr>
  </w:style>
  <w:style w:type="paragraph" w:styleId="FootnoteText">
    <w:name w:val="footnote text"/>
    <w:basedOn w:val="Normal"/>
    <w:link w:val="FootnoteTextChar"/>
    <w:rsid w:val="00356E02"/>
    <w:pPr>
      <w:numPr>
        <w:numId w:val="136"/>
      </w:numPr>
      <w:spacing w:before="80" w:after="80"/>
    </w:pPr>
    <w:rPr>
      <w:i/>
      <w:sz w:val="16"/>
    </w:rPr>
  </w:style>
  <w:style w:type="character" w:customStyle="1" w:styleId="FootnoteTextChar">
    <w:name w:val="Footnote Text Char"/>
    <w:link w:val="FootnoteText"/>
    <w:rsid w:val="00356E02"/>
    <w:rPr>
      <w:i/>
      <w:sz w:val="16"/>
      <w:lang w:val="en-US" w:eastAsia="en-US"/>
    </w:rPr>
  </w:style>
  <w:style w:type="paragraph" w:styleId="Header">
    <w:name w:val="header"/>
    <w:basedOn w:val="Normal"/>
    <w:link w:val="HeaderChar"/>
    <w:uiPriority w:val="99"/>
    <w:rsid w:val="00356E02"/>
    <w:pPr>
      <w:tabs>
        <w:tab w:val="center" w:pos="4153"/>
        <w:tab w:val="right" w:pos="8306"/>
      </w:tabs>
    </w:pPr>
  </w:style>
  <w:style w:type="character" w:customStyle="1" w:styleId="HeaderChar">
    <w:name w:val="Header Char"/>
    <w:link w:val="Header"/>
    <w:uiPriority w:val="99"/>
    <w:rsid w:val="00356E02"/>
    <w:rPr>
      <w:lang w:val="en-US" w:eastAsia="en-US"/>
    </w:rPr>
  </w:style>
  <w:style w:type="paragraph" w:customStyle="1" w:styleId="Heading1BP2">
    <w:name w:val="Heading 1 BP2"/>
    <w:rsid w:val="00356E02"/>
    <w:pPr>
      <w:keepNext/>
      <w:tabs>
        <w:tab w:val="left" w:pos="284"/>
      </w:tabs>
      <w:spacing w:before="400" w:after="240"/>
    </w:pPr>
    <w:rPr>
      <w:rFonts w:ascii="Lucida Sans" w:hAnsi="Lucida Sans"/>
      <w:kern w:val="28"/>
      <w:sz w:val="36"/>
      <w:szCs w:val="36"/>
      <w:lang w:val="en-AU" w:eastAsia="en-US"/>
    </w:rPr>
  </w:style>
  <w:style w:type="paragraph" w:customStyle="1" w:styleId="ListBullet1">
    <w:name w:val="List Bullet1"/>
    <w:basedOn w:val="Normal"/>
    <w:autoRedefine/>
    <w:rsid w:val="00356E02"/>
    <w:pPr>
      <w:numPr>
        <w:numId w:val="10"/>
      </w:numPr>
      <w:spacing w:line="360" w:lineRule="auto"/>
    </w:pPr>
    <w:rPr>
      <w:rFonts w:ascii="Calibri" w:hAnsi="Calibri"/>
      <w:sz w:val="28"/>
      <w:lang w:val="en-AU"/>
    </w:rPr>
  </w:style>
  <w:style w:type="paragraph" w:styleId="NoSpacing">
    <w:name w:val="No Spacing"/>
    <w:basedOn w:val="Normal"/>
    <w:link w:val="NoSpacingChar"/>
    <w:qFormat/>
    <w:rsid w:val="00356E02"/>
  </w:style>
  <w:style w:type="character" w:customStyle="1" w:styleId="NoSpacingChar">
    <w:name w:val="No Spacing Char"/>
    <w:link w:val="NoSpacing"/>
    <w:rsid w:val="00356E02"/>
    <w:rPr>
      <w:lang w:val="en-US" w:eastAsia="en-US"/>
    </w:rPr>
  </w:style>
  <w:style w:type="paragraph" w:customStyle="1" w:styleId="Object">
    <w:name w:val="Object"/>
    <w:basedOn w:val="Normal"/>
    <w:next w:val="Normal"/>
    <w:rsid w:val="00356E02"/>
    <w:pPr>
      <w:jc w:val="center"/>
    </w:pPr>
  </w:style>
  <w:style w:type="paragraph" w:customStyle="1" w:styleId="ObjectFootnote">
    <w:name w:val="Object Footnote"/>
    <w:basedOn w:val="Object"/>
    <w:next w:val="Normal"/>
    <w:rsid w:val="00356E02"/>
    <w:pPr>
      <w:spacing w:after="60"/>
    </w:pPr>
    <w:rPr>
      <w:i/>
      <w:sz w:val="14"/>
    </w:rPr>
  </w:style>
  <w:style w:type="paragraph" w:customStyle="1" w:styleId="ObjectFootnotelettered">
    <w:name w:val="Object Footnote lettered"/>
    <w:basedOn w:val="ObjectFootnote"/>
    <w:rsid w:val="00356E02"/>
    <w:pPr>
      <w:tabs>
        <w:tab w:val="left" w:pos="709"/>
      </w:tabs>
      <w:ind w:left="426"/>
      <w:jc w:val="left"/>
    </w:pPr>
  </w:style>
  <w:style w:type="paragraph" w:customStyle="1" w:styleId="ObjectFootnoteleft">
    <w:name w:val="Object Footnote left"/>
    <w:basedOn w:val="ObjectFootnotelettered"/>
    <w:rsid w:val="00356E02"/>
    <w:pPr>
      <w:ind w:left="709" w:hanging="283"/>
    </w:pPr>
  </w:style>
  <w:style w:type="character" w:styleId="PageNumber">
    <w:name w:val="page number"/>
    <w:rsid w:val="00356E02"/>
  </w:style>
  <w:style w:type="paragraph" w:customStyle="1" w:styleId="Style211HeadingBold">
    <w:name w:val="Style 2.1.1 Heading + Bold"/>
    <w:basedOn w:val="Normal"/>
    <w:rsid w:val="00356E02"/>
    <w:rPr>
      <w:b/>
      <w:bCs/>
      <w:i/>
      <w:iCs/>
    </w:rPr>
  </w:style>
  <w:style w:type="paragraph" w:customStyle="1" w:styleId="StyleBoxHeadingLeft0Firstline0">
    <w:name w:val="Style Box Heading + Left:  0&quot; First line:  0&quot;"/>
    <w:basedOn w:val="BoxHeading"/>
    <w:autoRedefine/>
    <w:rsid w:val="00356E02"/>
    <w:pPr>
      <w:keepLines/>
      <w:framePr w:wrap="around"/>
      <w:widowControl/>
      <w:tabs>
        <w:tab w:val="left" w:pos="567"/>
        <w:tab w:val="num" w:pos="1276"/>
      </w:tabs>
      <w:spacing w:before="120" w:after="120"/>
      <w:outlineLvl w:val="9"/>
    </w:pPr>
    <w:rPr>
      <w:bCs/>
      <w:color w:val="000000"/>
      <w:lang w:val="en-AU" w:eastAsia="en-AU"/>
    </w:rPr>
  </w:style>
  <w:style w:type="paragraph" w:customStyle="1" w:styleId="StyleName">
    <w:name w:val="Style Name"/>
    <w:basedOn w:val="Normal"/>
    <w:rsid w:val="00356E02"/>
    <w:pPr>
      <w:ind w:left="851" w:hanging="851"/>
      <w:jc w:val="center"/>
    </w:pPr>
    <w:rPr>
      <w:rFonts w:ascii="Calibri" w:hAnsi="Calibri"/>
      <w:b/>
      <w:i/>
      <w:color w:val="000000"/>
      <w:sz w:val="24"/>
      <w:lang w:val="en-GB" w:eastAsia="en-AU"/>
    </w:rPr>
  </w:style>
  <w:style w:type="paragraph" w:customStyle="1" w:styleId="TableHeading">
    <w:name w:val="Table Heading"/>
    <w:basedOn w:val="Normal"/>
    <w:autoRedefine/>
    <w:rsid w:val="00356E02"/>
    <w:pPr>
      <w:keepNext/>
      <w:keepLines/>
      <w:numPr>
        <w:numId w:val="13"/>
      </w:numPr>
      <w:spacing w:before="120" w:after="120"/>
    </w:pPr>
    <w:rPr>
      <w:rFonts w:ascii="Calibri" w:hAnsi="Calibri"/>
      <w:b/>
      <w:sz w:val="24"/>
    </w:rPr>
  </w:style>
  <w:style w:type="paragraph" w:customStyle="1" w:styleId="Table1X">
    <w:name w:val="Table 1.X"/>
    <w:basedOn w:val="TableHeading"/>
    <w:rsid w:val="00794C52"/>
    <w:pPr>
      <w:keepNext w:val="0"/>
      <w:keepLines w:val="0"/>
      <w:widowControl w:val="0"/>
      <w:numPr>
        <w:numId w:val="11"/>
      </w:numPr>
      <w:spacing w:before="240"/>
      <w:ind w:left="1304" w:hanging="1304"/>
    </w:pPr>
    <w:rPr>
      <w:rFonts w:ascii="Arial" w:hAnsi="Arial"/>
      <w:b w:val="0"/>
      <w:bCs/>
      <w:i/>
      <w:color w:val="4F4F4F"/>
      <w:kern w:val="28"/>
      <w:sz w:val="22"/>
      <w:szCs w:val="22"/>
    </w:rPr>
  </w:style>
  <w:style w:type="paragraph" w:customStyle="1" w:styleId="Table2X">
    <w:name w:val="Table 2.X"/>
    <w:basedOn w:val="Table1X"/>
    <w:qFormat/>
    <w:rsid w:val="00356E02"/>
    <w:pPr>
      <w:numPr>
        <w:numId w:val="12"/>
      </w:numPr>
    </w:pPr>
  </w:style>
  <w:style w:type="paragraph" w:customStyle="1" w:styleId="TableFootnote">
    <w:name w:val="Table Footnote"/>
    <w:basedOn w:val="Normal"/>
    <w:rsid w:val="00356E02"/>
    <w:pPr>
      <w:spacing w:before="60" w:after="60"/>
      <w:ind w:left="284"/>
    </w:pPr>
    <w:rPr>
      <w:rFonts w:ascii="Calibri" w:hAnsi="Calibri"/>
      <w:i/>
      <w:sz w:val="14"/>
    </w:rPr>
  </w:style>
  <w:style w:type="table" w:styleId="TableGrid">
    <w:name w:val="Table Grid"/>
    <w:basedOn w:val="TableNormal"/>
    <w:uiPriority w:val="39"/>
    <w:rsid w:val="00356E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867DA"/>
    <w:rPr>
      <w:lang w:eastAsia="en-US"/>
    </w:rPr>
  </w:style>
  <w:style w:type="paragraph" w:customStyle="1" w:styleId="TableHeadingCont">
    <w:name w:val="Table Heading Cont'"/>
    <w:basedOn w:val="TableHeading"/>
    <w:rsid w:val="00356E02"/>
    <w:pPr>
      <w:tabs>
        <w:tab w:val="clear" w:pos="1440"/>
        <w:tab w:val="left" w:pos="1418"/>
      </w:tabs>
    </w:pPr>
  </w:style>
  <w:style w:type="paragraph" w:styleId="NormalWeb">
    <w:name w:val="Normal (Web)"/>
    <w:basedOn w:val="Normal"/>
    <w:uiPriority w:val="99"/>
    <w:unhideWhenUsed/>
    <w:rsid w:val="001319F4"/>
    <w:pPr>
      <w:spacing w:before="100" w:beforeAutospacing="1" w:after="100" w:afterAutospacing="1"/>
    </w:pPr>
    <w:rPr>
      <w:sz w:val="24"/>
      <w:szCs w:val="24"/>
      <w:lang w:val="en-AU" w:eastAsia="en-AU"/>
    </w:rPr>
  </w:style>
  <w:style w:type="character" w:styleId="CommentReference">
    <w:name w:val="annotation reference"/>
    <w:uiPriority w:val="99"/>
    <w:rsid w:val="006341DC"/>
    <w:rPr>
      <w:sz w:val="16"/>
      <w:szCs w:val="16"/>
    </w:rPr>
  </w:style>
  <w:style w:type="paragraph" w:styleId="CommentText">
    <w:name w:val="annotation text"/>
    <w:basedOn w:val="Normal"/>
    <w:link w:val="CommentTextChar"/>
    <w:uiPriority w:val="99"/>
    <w:rsid w:val="006341DC"/>
  </w:style>
  <w:style w:type="character" w:customStyle="1" w:styleId="CommentTextChar">
    <w:name w:val="Comment Text Char"/>
    <w:link w:val="CommentText"/>
    <w:uiPriority w:val="99"/>
    <w:rsid w:val="006341DC"/>
    <w:rPr>
      <w:lang w:val="en-US" w:eastAsia="en-US"/>
    </w:rPr>
  </w:style>
  <w:style w:type="paragraph" w:styleId="CommentSubject">
    <w:name w:val="annotation subject"/>
    <w:basedOn w:val="CommentText"/>
    <w:next w:val="CommentText"/>
    <w:link w:val="CommentSubjectChar"/>
    <w:uiPriority w:val="99"/>
    <w:rsid w:val="006341DC"/>
    <w:rPr>
      <w:b/>
      <w:bCs/>
    </w:rPr>
  </w:style>
  <w:style w:type="character" w:customStyle="1" w:styleId="CommentSubjectChar">
    <w:name w:val="Comment Subject Char"/>
    <w:link w:val="CommentSubject"/>
    <w:uiPriority w:val="99"/>
    <w:rsid w:val="006341DC"/>
    <w:rPr>
      <w:b/>
      <w:bCs/>
      <w:lang w:val="en-US" w:eastAsia="en-US"/>
    </w:rPr>
  </w:style>
  <w:style w:type="paragraph" w:customStyle="1" w:styleId="Coremessagetext">
    <w:name w:val="Core message text"/>
    <w:basedOn w:val="BodyText"/>
    <w:qFormat/>
    <w:rsid w:val="00FA0C52"/>
    <w:pPr>
      <w:spacing w:before="80" w:after="80" w:line="280" w:lineRule="exact"/>
    </w:pPr>
    <w:rPr>
      <w:rFonts w:cs="Times New Roman"/>
      <w:lang w:eastAsia="en-AU"/>
    </w:rPr>
  </w:style>
  <w:style w:type="character" w:styleId="Hyperlink">
    <w:name w:val="Hyperlink"/>
    <w:uiPriority w:val="99"/>
    <w:rsid w:val="00652A10"/>
    <w:rPr>
      <w:color w:val="0563C1"/>
      <w:u w:val="single"/>
    </w:rPr>
  </w:style>
  <w:style w:type="character" w:customStyle="1" w:styleId="BodyTextBoxChar">
    <w:name w:val="Body Text Box Char"/>
    <w:link w:val="BodyTextBox"/>
    <w:rsid w:val="00EC0241"/>
    <w:rPr>
      <w:rFonts w:ascii="Arial" w:hAnsi="Arial" w:cs="Arial"/>
      <w:color w:val="008EBA"/>
      <w:sz w:val="23"/>
      <w:szCs w:val="18"/>
      <w:lang w:val="en-AU" w:eastAsia="en-US"/>
    </w:rPr>
  </w:style>
  <w:style w:type="paragraph" w:customStyle="1" w:styleId="Default">
    <w:name w:val="Default"/>
    <w:rsid w:val="00652A10"/>
    <w:pPr>
      <w:autoSpaceDE w:val="0"/>
      <w:autoSpaceDN w:val="0"/>
      <w:adjustRightInd w:val="0"/>
    </w:pPr>
    <w:rPr>
      <w:rFonts w:ascii="Calibri" w:eastAsia="Arial Bold" w:hAnsi="Calibri" w:cs="Calibri"/>
      <w:color w:val="000000"/>
      <w:sz w:val="24"/>
      <w:szCs w:val="24"/>
      <w:lang w:val="en-AU" w:eastAsia="en-US"/>
    </w:rPr>
  </w:style>
  <w:style w:type="paragraph" w:customStyle="1" w:styleId="Box11BoxHeading">
    <w:name w:val="Box 1.1: Box Heading"/>
    <w:basedOn w:val="Normal"/>
    <w:qFormat/>
    <w:rsid w:val="009C2C85"/>
    <w:pPr>
      <w:numPr>
        <w:numId w:val="14"/>
      </w:numPr>
      <w:spacing w:before="80" w:after="60"/>
      <w:ind w:left="1134" w:hanging="1134"/>
    </w:pPr>
    <w:rPr>
      <w:rFonts w:ascii="Arial" w:hAnsi="Arial"/>
      <w:b/>
      <w:sz w:val="23"/>
      <w:lang w:val="en-AU"/>
    </w:rPr>
  </w:style>
  <w:style w:type="paragraph" w:customStyle="1" w:styleId="11Heading2">
    <w:name w:val="1.1 Heading 2"/>
    <w:basedOn w:val="Normal"/>
    <w:qFormat/>
    <w:rsid w:val="007C0428"/>
    <w:pPr>
      <w:numPr>
        <w:numId w:val="15"/>
      </w:numPr>
      <w:pBdr>
        <w:bottom w:val="single" w:sz="4" w:space="4" w:color="00ABE6"/>
      </w:pBdr>
      <w:spacing w:before="240" w:after="100"/>
    </w:pPr>
    <w:rPr>
      <w:rFonts w:ascii="Calibri" w:hAnsi="Calibri"/>
      <w:b/>
      <w:color w:val="00ABE6"/>
      <w:sz w:val="28"/>
      <w:lang w:val="en-AU"/>
    </w:rPr>
  </w:style>
  <w:style w:type="paragraph" w:styleId="EndnoteText">
    <w:name w:val="endnote text"/>
    <w:basedOn w:val="Normal"/>
    <w:link w:val="EndnoteTextChar"/>
    <w:rsid w:val="00ED7588"/>
  </w:style>
  <w:style w:type="character" w:customStyle="1" w:styleId="EndnoteTextChar">
    <w:name w:val="Endnote Text Char"/>
    <w:basedOn w:val="DefaultParagraphFont"/>
    <w:link w:val="EndnoteText"/>
    <w:rsid w:val="00ED7588"/>
    <w:rPr>
      <w:lang w:eastAsia="en-US"/>
    </w:rPr>
  </w:style>
  <w:style w:type="paragraph" w:styleId="ListParagraph">
    <w:name w:val="List Paragraph"/>
    <w:basedOn w:val="Normal"/>
    <w:uiPriority w:val="34"/>
    <w:qFormat/>
    <w:rsid w:val="00BA329D"/>
    <w:pPr>
      <w:spacing w:after="160" w:line="259" w:lineRule="auto"/>
      <w:ind w:left="720"/>
      <w:contextualSpacing/>
    </w:pPr>
    <w:rPr>
      <w:rFonts w:asciiTheme="minorHAnsi" w:eastAsiaTheme="minorHAnsi" w:hAnsiTheme="minorHAnsi" w:cstheme="minorBidi"/>
      <w:sz w:val="22"/>
      <w:szCs w:val="22"/>
      <w:lang w:val="en-AU"/>
    </w:rPr>
  </w:style>
  <w:style w:type="paragraph" w:customStyle="1" w:styleId="paragraph">
    <w:name w:val="paragraph"/>
    <w:basedOn w:val="Normal"/>
    <w:rsid w:val="00A61307"/>
    <w:pPr>
      <w:spacing w:before="100" w:beforeAutospacing="1" w:after="100" w:afterAutospacing="1"/>
    </w:pPr>
    <w:rPr>
      <w:sz w:val="24"/>
      <w:szCs w:val="24"/>
      <w:lang w:val="en-AU" w:eastAsia="en-AU"/>
    </w:rPr>
  </w:style>
  <w:style w:type="character" w:customStyle="1" w:styleId="normaltextrun">
    <w:name w:val="normaltextrun"/>
    <w:basedOn w:val="DefaultParagraphFont"/>
    <w:rsid w:val="00A61307"/>
  </w:style>
  <w:style w:type="character" w:customStyle="1" w:styleId="eop">
    <w:name w:val="eop"/>
    <w:basedOn w:val="DefaultParagraphFont"/>
    <w:rsid w:val="00A61307"/>
  </w:style>
  <w:style w:type="paragraph" w:customStyle="1" w:styleId="xmsonormal">
    <w:name w:val="x_msonormal"/>
    <w:basedOn w:val="Normal"/>
    <w:rsid w:val="000460C6"/>
    <w:rPr>
      <w:rFonts w:ascii="Arial Bold" w:eastAsiaTheme="minorHAnsi" w:hAnsi="Arial Bold" w:cs="Arial Bold"/>
      <w:sz w:val="22"/>
      <w:szCs w:val="22"/>
      <w:lang w:val="en-AU" w:eastAsia="en-AU"/>
    </w:rPr>
  </w:style>
  <w:style w:type="character" w:styleId="UnresolvedMention">
    <w:name w:val="Unresolved Mention"/>
    <w:basedOn w:val="DefaultParagraphFont"/>
    <w:uiPriority w:val="99"/>
    <w:semiHidden/>
    <w:unhideWhenUsed/>
    <w:rsid w:val="000460C6"/>
    <w:rPr>
      <w:color w:val="605E5C"/>
      <w:shd w:val="clear" w:color="auto" w:fill="E1DFDD"/>
    </w:rPr>
  </w:style>
  <w:style w:type="character" w:styleId="FollowedHyperlink">
    <w:name w:val="FollowedHyperlink"/>
    <w:basedOn w:val="DefaultParagraphFont"/>
    <w:rsid w:val="000460C6"/>
    <w:rPr>
      <w:color w:val="954F72" w:themeColor="followedHyperlink"/>
      <w:u w:val="single"/>
    </w:rPr>
  </w:style>
  <w:style w:type="paragraph" w:customStyle="1" w:styleId="Bullet2inabox">
    <w:name w:val="Bullet 2 in a box"/>
    <w:basedOn w:val="Normal"/>
    <w:qFormat/>
    <w:rsid w:val="00FB2118"/>
    <w:pPr>
      <w:numPr>
        <w:numId w:val="147"/>
      </w:numPr>
      <w:spacing w:before="100" w:after="60" w:line="240" w:lineRule="atLeast"/>
    </w:pPr>
    <w:rPr>
      <w:rFonts w:ascii="Arial" w:hAnsi="Arial"/>
      <w:color w:val="008EBA"/>
      <w:sz w:val="23"/>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91266">
      <w:bodyDiv w:val="1"/>
      <w:marLeft w:val="0"/>
      <w:marRight w:val="0"/>
      <w:marTop w:val="0"/>
      <w:marBottom w:val="0"/>
      <w:divBdr>
        <w:top w:val="none" w:sz="0" w:space="0" w:color="auto"/>
        <w:left w:val="none" w:sz="0" w:space="0" w:color="auto"/>
        <w:bottom w:val="none" w:sz="0" w:space="0" w:color="auto"/>
        <w:right w:val="none" w:sz="0" w:space="0" w:color="auto"/>
      </w:divBdr>
    </w:div>
    <w:div w:id="12264684">
      <w:bodyDiv w:val="1"/>
      <w:marLeft w:val="0"/>
      <w:marRight w:val="0"/>
      <w:marTop w:val="0"/>
      <w:marBottom w:val="0"/>
      <w:divBdr>
        <w:top w:val="none" w:sz="0" w:space="0" w:color="auto"/>
        <w:left w:val="none" w:sz="0" w:space="0" w:color="auto"/>
        <w:bottom w:val="none" w:sz="0" w:space="0" w:color="auto"/>
        <w:right w:val="none" w:sz="0" w:space="0" w:color="auto"/>
      </w:divBdr>
    </w:div>
    <w:div w:id="14894221">
      <w:bodyDiv w:val="1"/>
      <w:marLeft w:val="0"/>
      <w:marRight w:val="0"/>
      <w:marTop w:val="0"/>
      <w:marBottom w:val="0"/>
      <w:divBdr>
        <w:top w:val="none" w:sz="0" w:space="0" w:color="auto"/>
        <w:left w:val="none" w:sz="0" w:space="0" w:color="auto"/>
        <w:bottom w:val="none" w:sz="0" w:space="0" w:color="auto"/>
        <w:right w:val="none" w:sz="0" w:space="0" w:color="auto"/>
      </w:divBdr>
    </w:div>
    <w:div w:id="30541545">
      <w:bodyDiv w:val="1"/>
      <w:marLeft w:val="0"/>
      <w:marRight w:val="0"/>
      <w:marTop w:val="0"/>
      <w:marBottom w:val="0"/>
      <w:divBdr>
        <w:top w:val="none" w:sz="0" w:space="0" w:color="auto"/>
        <w:left w:val="none" w:sz="0" w:space="0" w:color="auto"/>
        <w:bottom w:val="none" w:sz="0" w:space="0" w:color="auto"/>
        <w:right w:val="none" w:sz="0" w:space="0" w:color="auto"/>
      </w:divBdr>
    </w:div>
    <w:div w:id="48766162">
      <w:bodyDiv w:val="1"/>
      <w:marLeft w:val="0"/>
      <w:marRight w:val="0"/>
      <w:marTop w:val="0"/>
      <w:marBottom w:val="0"/>
      <w:divBdr>
        <w:top w:val="none" w:sz="0" w:space="0" w:color="auto"/>
        <w:left w:val="none" w:sz="0" w:space="0" w:color="auto"/>
        <w:bottom w:val="none" w:sz="0" w:space="0" w:color="auto"/>
        <w:right w:val="none" w:sz="0" w:space="0" w:color="auto"/>
      </w:divBdr>
    </w:div>
    <w:div w:id="63383978">
      <w:bodyDiv w:val="1"/>
      <w:marLeft w:val="0"/>
      <w:marRight w:val="0"/>
      <w:marTop w:val="0"/>
      <w:marBottom w:val="0"/>
      <w:divBdr>
        <w:top w:val="none" w:sz="0" w:space="0" w:color="auto"/>
        <w:left w:val="none" w:sz="0" w:space="0" w:color="auto"/>
        <w:bottom w:val="none" w:sz="0" w:space="0" w:color="auto"/>
        <w:right w:val="none" w:sz="0" w:space="0" w:color="auto"/>
      </w:divBdr>
    </w:div>
    <w:div w:id="81415237">
      <w:bodyDiv w:val="1"/>
      <w:marLeft w:val="0"/>
      <w:marRight w:val="0"/>
      <w:marTop w:val="0"/>
      <w:marBottom w:val="0"/>
      <w:divBdr>
        <w:top w:val="none" w:sz="0" w:space="0" w:color="auto"/>
        <w:left w:val="none" w:sz="0" w:space="0" w:color="auto"/>
        <w:bottom w:val="none" w:sz="0" w:space="0" w:color="auto"/>
        <w:right w:val="none" w:sz="0" w:space="0" w:color="auto"/>
      </w:divBdr>
    </w:div>
    <w:div w:id="132842911">
      <w:bodyDiv w:val="1"/>
      <w:marLeft w:val="0"/>
      <w:marRight w:val="0"/>
      <w:marTop w:val="0"/>
      <w:marBottom w:val="0"/>
      <w:divBdr>
        <w:top w:val="none" w:sz="0" w:space="0" w:color="auto"/>
        <w:left w:val="none" w:sz="0" w:space="0" w:color="auto"/>
        <w:bottom w:val="none" w:sz="0" w:space="0" w:color="auto"/>
        <w:right w:val="single" w:sz="6" w:space="6" w:color="FFFFFF"/>
      </w:divBdr>
      <w:divsChild>
        <w:div w:id="1915235705">
          <w:marLeft w:val="0"/>
          <w:marRight w:val="0"/>
          <w:marTop w:val="0"/>
          <w:marBottom w:val="0"/>
          <w:divBdr>
            <w:top w:val="none" w:sz="0" w:space="0" w:color="auto"/>
            <w:left w:val="none" w:sz="0" w:space="0" w:color="auto"/>
            <w:bottom w:val="none" w:sz="0" w:space="0" w:color="auto"/>
            <w:right w:val="none" w:sz="0" w:space="0" w:color="auto"/>
          </w:divBdr>
          <w:divsChild>
            <w:div w:id="975987822">
              <w:marLeft w:val="0"/>
              <w:marRight w:val="0"/>
              <w:marTop w:val="0"/>
              <w:marBottom w:val="0"/>
              <w:divBdr>
                <w:top w:val="none" w:sz="0" w:space="0" w:color="auto"/>
                <w:left w:val="none" w:sz="0" w:space="0" w:color="auto"/>
                <w:bottom w:val="none" w:sz="0" w:space="0" w:color="auto"/>
                <w:right w:val="none" w:sz="0" w:space="0" w:color="auto"/>
              </w:divBdr>
              <w:divsChild>
                <w:div w:id="210182615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73239149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568998724">
                          <w:blockQuote w:val="1"/>
                          <w:marLeft w:val="340"/>
                          <w:marRight w:val="0"/>
                          <w:marTop w:val="160"/>
                          <w:marBottom w:val="200"/>
                          <w:divBdr>
                            <w:top w:val="none" w:sz="0" w:space="0" w:color="auto"/>
                            <w:left w:val="none" w:sz="0" w:space="0" w:color="auto"/>
                            <w:bottom w:val="none" w:sz="0" w:space="0" w:color="auto"/>
                            <w:right w:val="none" w:sz="0" w:space="0" w:color="auto"/>
                          </w:divBdr>
                        </w:div>
                        <w:div w:id="2090082367">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188064454">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40195272">
      <w:bodyDiv w:val="1"/>
      <w:marLeft w:val="0"/>
      <w:marRight w:val="0"/>
      <w:marTop w:val="0"/>
      <w:marBottom w:val="0"/>
      <w:divBdr>
        <w:top w:val="none" w:sz="0" w:space="0" w:color="auto"/>
        <w:left w:val="none" w:sz="0" w:space="0" w:color="auto"/>
        <w:bottom w:val="none" w:sz="0" w:space="0" w:color="auto"/>
        <w:right w:val="none" w:sz="0" w:space="0" w:color="auto"/>
      </w:divBdr>
    </w:div>
    <w:div w:id="148638180">
      <w:bodyDiv w:val="1"/>
      <w:marLeft w:val="0"/>
      <w:marRight w:val="0"/>
      <w:marTop w:val="0"/>
      <w:marBottom w:val="0"/>
      <w:divBdr>
        <w:top w:val="none" w:sz="0" w:space="0" w:color="auto"/>
        <w:left w:val="none" w:sz="0" w:space="0" w:color="auto"/>
        <w:bottom w:val="none" w:sz="0" w:space="0" w:color="auto"/>
        <w:right w:val="none" w:sz="0" w:space="0" w:color="auto"/>
      </w:divBdr>
    </w:div>
    <w:div w:id="188108832">
      <w:bodyDiv w:val="1"/>
      <w:marLeft w:val="0"/>
      <w:marRight w:val="0"/>
      <w:marTop w:val="0"/>
      <w:marBottom w:val="0"/>
      <w:divBdr>
        <w:top w:val="none" w:sz="0" w:space="0" w:color="auto"/>
        <w:left w:val="none" w:sz="0" w:space="0" w:color="auto"/>
        <w:bottom w:val="none" w:sz="0" w:space="0" w:color="auto"/>
        <w:right w:val="none" w:sz="0" w:space="0" w:color="auto"/>
      </w:divBdr>
    </w:div>
    <w:div w:id="194314279">
      <w:bodyDiv w:val="1"/>
      <w:marLeft w:val="0"/>
      <w:marRight w:val="0"/>
      <w:marTop w:val="0"/>
      <w:marBottom w:val="0"/>
      <w:divBdr>
        <w:top w:val="none" w:sz="0" w:space="0" w:color="auto"/>
        <w:left w:val="none" w:sz="0" w:space="0" w:color="auto"/>
        <w:bottom w:val="none" w:sz="0" w:space="0" w:color="auto"/>
        <w:right w:val="none" w:sz="0" w:space="0" w:color="auto"/>
      </w:divBdr>
    </w:div>
    <w:div w:id="225409735">
      <w:bodyDiv w:val="1"/>
      <w:marLeft w:val="0"/>
      <w:marRight w:val="0"/>
      <w:marTop w:val="0"/>
      <w:marBottom w:val="0"/>
      <w:divBdr>
        <w:top w:val="none" w:sz="0" w:space="0" w:color="auto"/>
        <w:left w:val="none" w:sz="0" w:space="0" w:color="auto"/>
        <w:bottom w:val="none" w:sz="0" w:space="0" w:color="auto"/>
        <w:right w:val="none" w:sz="0" w:space="0" w:color="auto"/>
      </w:divBdr>
    </w:div>
    <w:div w:id="235480124">
      <w:bodyDiv w:val="1"/>
      <w:marLeft w:val="0"/>
      <w:marRight w:val="0"/>
      <w:marTop w:val="0"/>
      <w:marBottom w:val="0"/>
      <w:divBdr>
        <w:top w:val="none" w:sz="0" w:space="0" w:color="auto"/>
        <w:left w:val="none" w:sz="0" w:space="0" w:color="auto"/>
        <w:bottom w:val="none" w:sz="0" w:space="0" w:color="auto"/>
        <w:right w:val="none" w:sz="0" w:space="0" w:color="auto"/>
      </w:divBdr>
    </w:div>
    <w:div w:id="238834706">
      <w:bodyDiv w:val="1"/>
      <w:marLeft w:val="0"/>
      <w:marRight w:val="0"/>
      <w:marTop w:val="0"/>
      <w:marBottom w:val="0"/>
      <w:divBdr>
        <w:top w:val="none" w:sz="0" w:space="0" w:color="auto"/>
        <w:left w:val="none" w:sz="0" w:space="0" w:color="auto"/>
        <w:bottom w:val="none" w:sz="0" w:space="0" w:color="auto"/>
        <w:right w:val="none" w:sz="0" w:space="0" w:color="auto"/>
      </w:divBdr>
    </w:div>
    <w:div w:id="272829811">
      <w:bodyDiv w:val="1"/>
      <w:marLeft w:val="0"/>
      <w:marRight w:val="0"/>
      <w:marTop w:val="0"/>
      <w:marBottom w:val="0"/>
      <w:divBdr>
        <w:top w:val="none" w:sz="0" w:space="0" w:color="auto"/>
        <w:left w:val="none" w:sz="0" w:space="0" w:color="auto"/>
        <w:bottom w:val="none" w:sz="0" w:space="0" w:color="auto"/>
        <w:right w:val="none" w:sz="0" w:space="0" w:color="auto"/>
      </w:divBdr>
      <w:divsChild>
        <w:div w:id="718941848">
          <w:marLeft w:val="0"/>
          <w:marRight w:val="0"/>
          <w:marTop w:val="0"/>
          <w:marBottom w:val="0"/>
          <w:divBdr>
            <w:top w:val="none" w:sz="0" w:space="0" w:color="auto"/>
            <w:left w:val="none" w:sz="0" w:space="0" w:color="auto"/>
            <w:bottom w:val="none" w:sz="0" w:space="0" w:color="auto"/>
            <w:right w:val="none" w:sz="0" w:space="0" w:color="auto"/>
          </w:divBdr>
        </w:div>
      </w:divsChild>
    </w:div>
    <w:div w:id="294411500">
      <w:bodyDiv w:val="1"/>
      <w:marLeft w:val="0"/>
      <w:marRight w:val="0"/>
      <w:marTop w:val="0"/>
      <w:marBottom w:val="0"/>
      <w:divBdr>
        <w:top w:val="none" w:sz="0" w:space="0" w:color="auto"/>
        <w:left w:val="none" w:sz="0" w:space="0" w:color="auto"/>
        <w:bottom w:val="none" w:sz="0" w:space="0" w:color="auto"/>
        <w:right w:val="none" w:sz="0" w:space="0" w:color="auto"/>
      </w:divBdr>
    </w:div>
    <w:div w:id="309600284">
      <w:bodyDiv w:val="1"/>
      <w:marLeft w:val="0"/>
      <w:marRight w:val="0"/>
      <w:marTop w:val="0"/>
      <w:marBottom w:val="0"/>
      <w:divBdr>
        <w:top w:val="none" w:sz="0" w:space="0" w:color="auto"/>
        <w:left w:val="none" w:sz="0" w:space="0" w:color="auto"/>
        <w:bottom w:val="none" w:sz="0" w:space="0" w:color="auto"/>
        <w:right w:val="none" w:sz="0" w:space="0" w:color="auto"/>
      </w:divBdr>
    </w:div>
    <w:div w:id="328826878">
      <w:bodyDiv w:val="1"/>
      <w:marLeft w:val="0"/>
      <w:marRight w:val="0"/>
      <w:marTop w:val="0"/>
      <w:marBottom w:val="0"/>
      <w:divBdr>
        <w:top w:val="none" w:sz="0" w:space="0" w:color="auto"/>
        <w:left w:val="none" w:sz="0" w:space="0" w:color="auto"/>
        <w:bottom w:val="none" w:sz="0" w:space="0" w:color="auto"/>
        <w:right w:val="none" w:sz="0" w:space="0" w:color="auto"/>
      </w:divBdr>
    </w:div>
    <w:div w:id="341516190">
      <w:bodyDiv w:val="1"/>
      <w:marLeft w:val="0"/>
      <w:marRight w:val="0"/>
      <w:marTop w:val="0"/>
      <w:marBottom w:val="0"/>
      <w:divBdr>
        <w:top w:val="none" w:sz="0" w:space="0" w:color="auto"/>
        <w:left w:val="none" w:sz="0" w:space="0" w:color="auto"/>
        <w:bottom w:val="none" w:sz="0" w:space="0" w:color="auto"/>
        <w:right w:val="none" w:sz="0" w:space="0" w:color="auto"/>
      </w:divBdr>
    </w:div>
    <w:div w:id="342050601">
      <w:bodyDiv w:val="1"/>
      <w:marLeft w:val="0"/>
      <w:marRight w:val="0"/>
      <w:marTop w:val="0"/>
      <w:marBottom w:val="0"/>
      <w:divBdr>
        <w:top w:val="none" w:sz="0" w:space="0" w:color="auto"/>
        <w:left w:val="none" w:sz="0" w:space="0" w:color="auto"/>
        <w:bottom w:val="none" w:sz="0" w:space="0" w:color="auto"/>
        <w:right w:val="none" w:sz="0" w:space="0" w:color="auto"/>
      </w:divBdr>
    </w:div>
    <w:div w:id="344020769">
      <w:bodyDiv w:val="1"/>
      <w:marLeft w:val="0"/>
      <w:marRight w:val="0"/>
      <w:marTop w:val="0"/>
      <w:marBottom w:val="0"/>
      <w:divBdr>
        <w:top w:val="none" w:sz="0" w:space="0" w:color="auto"/>
        <w:left w:val="none" w:sz="0" w:space="0" w:color="auto"/>
        <w:bottom w:val="none" w:sz="0" w:space="0" w:color="auto"/>
        <w:right w:val="none" w:sz="0" w:space="0" w:color="auto"/>
      </w:divBdr>
    </w:div>
    <w:div w:id="346833748">
      <w:bodyDiv w:val="1"/>
      <w:marLeft w:val="0"/>
      <w:marRight w:val="0"/>
      <w:marTop w:val="0"/>
      <w:marBottom w:val="0"/>
      <w:divBdr>
        <w:top w:val="none" w:sz="0" w:space="0" w:color="auto"/>
        <w:left w:val="none" w:sz="0" w:space="0" w:color="auto"/>
        <w:bottom w:val="none" w:sz="0" w:space="0" w:color="auto"/>
        <w:right w:val="none" w:sz="0" w:space="0" w:color="auto"/>
      </w:divBdr>
    </w:div>
    <w:div w:id="381832039">
      <w:bodyDiv w:val="1"/>
      <w:marLeft w:val="0"/>
      <w:marRight w:val="0"/>
      <w:marTop w:val="0"/>
      <w:marBottom w:val="0"/>
      <w:divBdr>
        <w:top w:val="none" w:sz="0" w:space="0" w:color="auto"/>
        <w:left w:val="none" w:sz="0" w:space="0" w:color="auto"/>
        <w:bottom w:val="none" w:sz="0" w:space="0" w:color="auto"/>
        <w:right w:val="none" w:sz="0" w:space="0" w:color="auto"/>
      </w:divBdr>
    </w:div>
    <w:div w:id="382871853">
      <w:bodyDiv w:val="1"/>
      <w:marLeft w:val="0"/>
      <w:marRight w:val="0"/>
      <w:marTop w:val="0"/>
      <w:marBottom w:val="0"/>
      <w:divBdr>
        <w:top w:val="none" w:sz="0" w:space="0" w:color="auto"/>
        <w:left w:val="none" w:sz="0" w:space="0" w:color="auto"/>
        <w:bottom w:val="none" w:sz="0" w:space="0" w:color="auto"/>
        <w:right w:val="none" w:sz="0" w:space="0" w:color="auto"/>
      </w:divBdr>
    </w:div>
    <w:div w:id="395663303">
      <w:bodyDiv w:val="1"/>
      <w:marLeft w:val="0"/>
      <w:marRight w:val="0"/>
      <w:marTop w:val="0"/>
      <w:marBottom w:val="0"/>
      <w:divBdr>
        <w:top w:val="none" w:sz="0" w:space="0" w:color="auto"/>
        <w:left w:val="none" w:sz="0" w:space="0" w:color="auto"/>
        <w:bottom w:val="none" w:sz="0" w:space="0" w:color="auto"/>
        <w:right w:val="none" w:sz="0" w:space="0" w:color="auto"/>
      </w:divBdr>
    </w:div>
    <w:div w:id="403843203">
      <w:bodyDiv w:val="1"/>
      <w:marLeft w:val="0"/>
      <w:marRight w:val="0"/>
      <w:marTop w:val="0"/>
      <w:marBottom w:val="0"/>
      <w:divBdr>
        <w:top w:val="none" w:sz="0" w:space="0" w:color="auto"/>
        <w:left w:val="none" w:sz="0" w:space="0" w:color="auto"/>
        <w:bottom w:val="none" w:sz="0" w:space="0" w:color="auto"/>
        <w:right w:val="none" w:sz="0" w:space="0" w:color="auto"/>
      </w:divBdr>
    </w:div>
    <w:div w:id="440539412">
      <w:bodyDiv w:val="1"/>
      <w:marLeft w:val="0"/>
      <w:marRight w:val="0"/>
      <w:marTop w:val="0"/>
      <w:marBottom w:val="0"/>
      <w:divBdr>
        <w:top w:val="none" w:sz="0" w:space="0" w:color="auto"/>
        <w:left w:val="none" w:sz="0" w:space="0" w:color="auto"/>
        <w:bottom w:val="none" w:sz="0" w:space="0" w:color="auto"/>
        <w:right w:val="none" w:sz="0" w:space="0" w:color="auto"/>
      </w:divBdr>
    </w:div>
    <w:div w:id="443885332">
      <w:bodyDiv w:val="1"/>
      <w:marLeft w:val="0"/>
      <w:marRight w:val="0"/>
      <w:marTop w:val="0"/>
      <w:marBottom w:val="0"/>
      <w:divBdr>
        <w:top w:val="none" w:sz="0" w:space="0" w:color="auto"/>
        <w:left w:val="none" w:sz="0" w:space="0" w:color="auto"/>
        <w:bottom w:val="none" w:sz="0" w:space="0" w:color="auto"/>
        <w:right w:val="none" w:sz="0" w:space="0" w:color="auto"/>
      </w:divBdr>
    </w:div>
    <w:div w:id="474762116">
      <w:bodyDiv w:val="1"/>
      <w:marLeft w:val="0"/>
      <w:marRight w:val="0"/>
      <w:marTop w:val="0"/>
      <w:marBottom w:val="0"/>
      <w:divBdr>
        <w:top w:val="none" w:sz="0" w:space="0" w:color="auto"/>
        <w:left w:val="none" w:sz="0" w:space="0" w:color="auto"/>
        <w:bottom w:val="none" w:sz="0" w:space="0" w:color="auto"/>
        <w:right w:val="none" w:sz="0" w:space="0" w:color="auto"/>
      </w:divBdr>
    </w:div>
    <w:div w:id="500587664">
      <w:bodyDiv w:val="1"/>
      <w:marLeft w:val="60"/>
      <w:marRight w:val="60"/>
      <w:marTop w:val="60"/>
      <w:marBottom w:val="15"/>
      <w:divBdr>
        <w:top w:val="none" w:sz="0" w:space="0" w:color="auto"/>
        <w:left w:val="none" w:sz="0" w:space="0" w:color="auto"/>
        <w:bottom w:val="none" w:sz="0" w:space="0" w:color="auto"/>
        <w:right w:val="none" w:sz="0" w:space="0" w:color="auto"/>
      </w:divBdr>
      <w:divsChild>
        <w:div w:id="188491397">
          <w:marLeft w:val="0"/>
          <w:marRight w:val="0"/>
          <w:marTop w:val="0"/>
          <w:marBottom w:val="0"/>
          <w:divBdr>
            <w:top w:val="none" w:sz="0" w:space="0" w:color="auto"/>
            <w:left w:val="none" w:sz="0" w:space="0" w:color="auto"/>
            <w:bottom w:val="none" w:sz="0" w:space="0" w:color="auto"/>
            <w:right w:val="none" w:sz="0" w:space="0" w:color="auto"/>
          </w:divBdr>
        </w:div>
        <w:div w:id="1558323123">
          <w:marLeft w:val="0"/>
          <w:marRight w:val="0"/>
          <w:marTop w:val="0"/>
          <w:marBottom w:val="0"/>
          <w:divBdr>
            <w:top w:val="none" w:sz="0" w:space="0" w:color="auto"/>
            <w:left w:val="none" w:sz="0" w:space="0" w:color="auto"/>
            <w:bottom w:val="none" w:sz="0" w:space="0" w:color="auto"/>
            <w:right w:val="none" w:sz="0" w:space="0" w:color="auto"/>
          </w:divBdr>
        </w:div>
      </w:divsChild>
    </w:div>
    <w:div w:id="503515352">
      <w:bodyDiv w:val="1"/>
      <w:marLeft w:val="0"/>
      <w:marRight w:val="0"/>
      <w:marTop w:val="0"/>
      <w:marBottom w:val="0"/>
      <w:divBdr>
        <w:top w:val="none" w:sz="0" w:space="0" w:color="auto"/>
        <w:left w:val="none" w:sz="0" w:space="0" w:color="auto"/>
        <w:bottom w:val="none" w:sz="0" w:space="0" w:color="auto"/>
        <w:right w:val="none" w:sz="0" w:space="0" w:color="auto"/>
      </w:divBdr>
    </w:div>
    <w:div w:id="504170112">
      <w:bodyDiv w:val="1"/>
      <w:marLeft w:val="0"/>
      <w:marRight w:val="0"/>
      <w:marTop w:val="0"/>
      <w:marBottom w:val="0"/>
      <w:divBdr>
        <w:top w:val="none" w:sz="0" w:space="0" w:color="auto"/>
        <w:left w:val="none" w:sz="0" w:space="0" w:color="auto"/>
        <w:bottom w:val="none" w:sz="0" w:space="0" w:color="auto"/>
        <w:right w:val="none" w:sz="0" w:space="0" w:color="auto"/>
      </w:divBdr>
    </w:div>
    <w:div w:id="542596999">
      <w:bodyDiv w:val="1"/>
      <w:marLeft w:val="0"/>
      <w:marRight w:val="0"/>
      <w:marTop w:val="0"/>
      <w:marBottom w:val="0"/>
      <w:divBdr>
        <w:top w:val="none" w:sz="0" w:space="0" w:color="auto"/>
        <w:left w:val="none" w:sz="0" w:space="0" w:color="auto"/>
        <w:bottom w:val="none" w:sz="0" w:space="0" w:color="auto"/>
        <w:right w:val="none" w:sz="0" w:space="0" w:color="auto"/>
      </w:divBdr>
    </w:div>
    <w:div w:id="548959726">
      <w:bodyDiv w:val="1"/>
      <w:marLeft w:val="0"/>
      <w:marRight w:val="0"/>
      <w:marTop w:val="0"/>
      <w:marBottom w:val="0"/>
      <w:divBdr>
        <w:top w:val="none" w:sz="0" w:space="0" w:color="auto"/>
        <w:left w:val="none" w:sz="0" w:space="0" w:color="auto"/>
        <w:bottom w:val="none" w:sz="0" w:space="0" w:color="auto"/>
        <w:right w:val="none" w:sz="0" w:space="0" w:color="auto"/>
      </w:divBdr>
    </w:div>
    <w:div w:id="563031208">
      <w:bodyDiv w:val="1"/>
      <w:marLeft w:val="0"/>
      <w:marRight w:val="0"/>
      <w:marTop w:val="0"/>
      <w:marBottom w:val="0"/>
      <w:divBdr>
        <w:top w:val="none" w:sz="0" w:space="0" w:color="auto"/>
        <w:left w:val="none" w:sz="0" w:space="0" w:color="auto"/>
        <w:bottom w:val="none" w:sz="0" w:space="0" w:color="auto"/>
        <w:right w:val="none" w:sz="0" w:space="0" w:color="auto"/>
      </w:divBdr>
    </w:div>
    <w:div w:id="565184607">
      <w:bodyDiv w:val="1"/>
      <w:marLeft w:val="0"/>
      <w:marRight w:val="0"/>
      <w:marTop w:val="0"/>
      <w:marBottom w:val="0"/>
      <w:divBdr>
        <w:top w:val="none" w:sz="0" w:space="0" w:color="auto"/>
        <w:left w:val="none" w:sz="0" w:space="0" w:color="auto"/>
        <w:bottom w:val="none" w:sz="0" w:space="0" w:color="auto"/>
        <w:right w:val="none" w:sz="0" w:space="0" w:color="auto"/>
      </w:divBdr>
    </w:div>
    <w:div w:id="579607566">
      <w:bodyDiv w:val="1"/>
      <w:marLeft w:val="0"/>
      <w:marRight w:val="0"/>
      <w:marTop w:val="0"/>
      <w:marBottom w:val="0"/>
      <w:divBdr>
        <w:top w:val="none" w:sz="0" w:space="0" w:color="auto"/>
        <w:left w:val="none" w:sz="0" w:space="0" w:color="auto"/>
        <w:bottom w:val="none" w:sz="0" w:space="0" w:color="auto"/>
        <w:right w:val="none" w:sz="0" w:space="0" w:color="auto"/>
      </w:divBdr>
    </w:div>
    <w:div w:id="630985155">
      <w:bodyDiv w:val="1"/>
      <w:marLeft w:val="0"/>
      <w:marRight w:val="0"/>
      <w:marTop w:val="0"/>
      <w:marBottom w:val="0"/>
      <w:divBdr>
        <w:top w:val="none" w:sz="0" w:space="0" w:color="auto"/>
        <w:left w:val="none" w:sz="0" w:space="0" w:color="auto"/>
        <w:bottom w:val="none" w:sz="0" w:space="0" w:color="auto"/>
        <w:right w:val="none" w:sz="0" w:space="0" w:color="auto"/>
      </w:divBdr>
    </w:div>
    <w:div w:id="636840487">
      <w:bodyDiv w:val="1"/>
      <w:marLeft w:val="0"/>
      <w:marRight w:val="0"/>
      <w:marTop w:val="0"/>
      <w:marBottom w:val="0"/>
      <w:divBdr>
        <w:top w:val="none" w:sz="0" w:space="0" w:color="auto"/>
        <w:left w:val="none" w:sz="0" w:space="0" w:color="auto"/>
        <w:bottom w:val="none" w:sz="0" w:space="0" w:color="auto"/>
        <w:right w:val="none" w:sz="0" w:space="0" w:color="auto"/>
      </w:divBdr>
    </w:div>
    <w:div w:id="649602623">
      <w:bodyDiv w:val="1"/>
      <w:marLeft w:val="0"/>
      <w:marRight w:val="0"/>
      <w:marTop w:val="0"/>
      <w:marBottom w:val="0"/>
      <w:divBdr>
        <w:top w:val="none" w:sz="0" w:space="0" w:color="auto"/>
        <w:left w:val="none" w:sz="0" w:space="0" w:color="auto"/>
        <w:bottom w:val="none" w:sz="0" w:space="0" w:color="auto"/>
        <w:right w:val="none" w:sz="0" w:space="0" w:color="auto"/>
      </w:divBdr>
    </w:div>
    <w:div w:id="649946007">
      <w:bodyDiv w:val="1"/>
      <w:marLeft w:val="0"/>
      <w:marRight w:val="0"/>
      <w:marTop w:val="0"/>
      <w:marBottom w:val="0"/>
      <w:divBdr>
        <w:top w:val="none" w:sz="0" w:space="0" w:color="auto"/>
        <w:left w:val="none" w:sz="0" w:space="0" w:color="auto"/>
        <w:bottom w:val="none" w:sz="0" w:space="0" w:color="auto"/>
        <w:right w:val="none" w:sz="0" w:space="0" w:color="auto"/>
      </w:divBdr>
    </w:div>
    <w:div w:id="652565818">
      <w:bodyDiv w:val="1"/>
      <w:marLeft w:val="0"/>
      <w:marRight w:val="0"/>
      <w:marTop w:val="0"/>
      <w:marBottom w:val="0"/>
      <w:divBdr>
        <w:top w:val="none" w:sz="0" w:space="0" w:color="auto"/>
        <w:left w:val="none" w:sz="0" w:space="0" w:color="auto"/>
        <w:bottom w:val="none" w:sz="0" w:space="0" w:color="auto"/>
        <w:right w:val="none" w:sz="0" w:space="0" w:color="auto"/>
      </w:divBdr>
    </w:div>
    <w:div w:id="668171036">
      <w:bodyDiv w:val="1"/>
      <w:marLeft w:val="0"/>
      <w:marRight w:val="0"/>
      <w:marTop w:val="0"/>
      <w:marBottom w:val="0"/>
      <w:divBdr>
        <w:top w:val="none" w:sz="0" w:space="0" w:color="auto"/>
        <w:left w:val="none" w:sz="0" w:space="0" w:color="auto"/>
        <w:bottom w:val="none" w:sz="0" w:space="0" w:color="auto"/>
        <w:right w:val="none" w:sz="0" w:space="0" w:color="auto"/>
      </w:divBdr>
    </w:div>
    <w:div w:id="669868577">
      <w:bodyDiv w:val="1"/>
      <w:marLeft w:val="0"/>
      <w:marRight w:val="0"/>
      <w:marTop w:val="0"/>
      <w:marBottom w:val="0"/>
      <w:divBdr>
        <w:top w:val="none" w:sz="0" w:space="0" w:color="auto"/>
        <w:left w:val="none" w:sz="0" w:space="0" w:color="auto"/>
        <w:bottom w:val="none" w:sz="0" w:space="0" w:color="auto"/>
        <w:right w:val="none" w:sz="0" w:space="0" w:color="auto"/>
      </w:divBdr>
    </w:div>
    <w:div w:id="710227249">
      <w:bodyDiv w:val="1"/>
      <w:marLeft w:val="0"/>
      <w:marRight w:val="0"/>
      <w:marTop w:val="0"/>
      <w:marBottom w:val="0"/>
      <w:divBdr>
        <w:top w:val="none" w:sz="0" w:space="0" w:color="auto"/>
        <w:left w:val="none" w:sz="0" w:space="0" w:color="auto"/>
        <w:bottom w:val="none" w:sz="0" w:space="0" w:color="auto"/>
        <w:right w:val="none" w:sz="0" w:space="0" w:color="auto"/>
      </w:divBdr>
    </w:div>
    <w:div w:id="714430494">
      <w:bodyDiv w:val="1"/>
      <w:marLeft w:val="0"/>
      <w:marRight w:val="0"/>
      <w:marTop w:val="0"/>
      <w:marBottom w:val="0"/>
      <w:divBdr>
        <w:top w:val="none" w:sz="0" w:space="0" w:color="auto"/>
        <w:left w:val="none" w:sz="0" w:space="0" w:color="auto"/>
        <w:bottom w:val="none" w:sz="0" w:space="0" w:color="auto"/>
        <w:right w:val="none" w:sz="0" w:space="0" w:color="auto"/>
      </w:divBdr>
    </w:div>
    <w:div w:id="763383714">
      <w:bodyDiv w:val="1"/>
      <w:marLeft w:val="0"/>
      <w:marRight w:val="0"/>
      <w:marTop w:val="0"/>
      <w:marBottom w:val="0"/>
      <w:divBdr>
        <w:top w:val="none" w:sz="0" w:space="0" w:color="auto"/>
        <w:left w:val="none" w:sz="0" w:space="0" w:color="auto"/>
        <w:bottom w:val="none" w:sz="0" w:space="0" w:color="auto"/>
        <w:right w:val="none" w:sz="0" w:space="0" w:color="auto"/>
      </w:divBdr>
    </w:div>
    <w:div w:id="778332253">
      <w:bodyDiv w:val="1"/>
      <w:marLeft w:val="0"/>
      <w:marRight w:val="0"/>
      <w:marTop w:val="0"/>
      <w:marBottom w:val="0"/>
      <w:divBdr>
        <w:top w:val="none" w:sz="0" w:space="0" w:color="auto"/>
        <w:left w:val="none" w:sz="0" w:space="0" w:color="auto"/>
        <w:bottom w:val="none" w:sz="0" w:space="0" w:color="auto"/>
        <w:right w:val="none" w:sz="0" w:space="0" w:color="auto"/>
      </w:divBdr>
    </w:div>
    <w:div w:id="796875918">
      <w:bodyDiv w:val="1"/>
      <w:marLeft w:val="0"/>
      <w:marRight w:val="0"/>
      <w:marTop w:val="0"/>
      <w:marBottom w:val="0"/>
      <w:divBdr>
        <w:top w:val="none" w:sz="0" w:space="0" w:color="auto"/>
        <w:left w:val="none" w:sz="0" w:space="0" w:color="auto"/>
        <w:bottom w:val="none" w:sz="0" w:space="0" w:color="auto"/>
        <w:right w:val="none" w:sz="0" w:space="0" w:color="auto"/>
      </w:divBdr>
    </w:div>
    <w:div w:id="840319291">
      <w:bodyDiv w:val="1"/>
      <w:marLeft w:val="0"/>
      <w:marRight w:val="0"/>
      <w:marTop w:val="0"/>
      <w:marBottom w:val="0"/>
      <w:divBdr>
        <w:top w:val="none" w:sz="0" w:space="0" w:color="auto"/>
        <w:left w:val="none" w:sz="0" w:space="0" w:color="auto"/>
        <w:bottom w:val="none" w:sz="0" w:space="0" w:color="auto"/>
        <w:right w:val="none" w:sz="0" w:space="0" w:color="auto"/>
      </w:divBdr>
    </w:div>
    <w:div w:id="850530938">
      <w:bodyDiv w:val="1"/>
      <w:marLeft w:val="0"/>
      <w:marRight w:val="0"/>
      <w:marTop w:val="0"/>
      <w:marBottom w:val="0"/>
      <w:divBdr>
        <w:top w:val="none" w:sz="0" w:space="0" w:color="auto"/>
        <w:left w:val="none" w:sz="0" w:space="0" w:color="auto"/>
        <w:bottom w:val="none" w:sz="0" w:space="0" w:color="auto"/>
        <w:right w:val="none" w:sz="0" w:space="0" w:color="auto"/>
      </w:divBdr>
    </w:div>
    <w:div w:id="877930531">
      <w:bodyDiv w:val="1"/>
      <w:marLeft w:val="0"/>
      <w:marRight w:val="0"/>
      <w:marTop w:val="0"/>
      <w:marBottom w:val="0"/>
      <w:divBdr>
        <w:top w:val="none" w:sz="0" w:space="0" w:color="auto"/>
        <w:left w:val="none" w:sz="0" w:space="0" w:color="auto"/>
        <w:bottom w:val="none" w:sz="0" w:space="0" w:color="auto"/>
        <w:right w:val="none" w:sz="0" w:space="0" w:color="auto"/>
      </w:divBdr>
    </w:div>
    <w:div w:id="882015520">
      <w:bodyDiv w:val="1"/>
      <w:marLeft w:val="0"/>
      <w:marRight w:val="0"/>
      <w:marTop w:val="0"/>
      <w:marBottom w:val="0"/>
      <w:divBdr>
        <w:top w:val="none" w:sz="0" w:space="0" w:color="auto"/>
        <w:left w:val="none" w:sz="0" w:space="0" w:color="auto"/>
        <w:bottom w:val="none" w:sz="0" w:space="0" w:color="auto"/>
        <w:right w:val="none" w:sz="0" w:space="0" w:color="auto"/>
      </w:divBdr>
    </w:div>
    <w:div w:id="900942610">
      <w:bodyDiv w:val="1"/>
      <w:marLeft w:val="0"/>
      <w:marRight w:val="0"/>
      <w:marTop w:val="0"/>
      <w:marBottom w:val="0"/>
      <w:divBdr>
        <w:top w:val="none" w:sz="0" w:space="0" w:color="auto"/>
        <w:left w:val="none" w:sz="0" w:space="0" w:color="auto"/>
        <w:bottom w:val="none" w:sz="0" w:space="0" w:color="auto"/>
        <w:right w:val="none" w:sz="0" w:space="0" w:color="auto"/>
      </w:divBdr>
    </w:div>
    <w:div w:id="909582827">
      <w:bodyDiv w:val="1"/>
      <w:marLeft w:val="0"/>
      <w:marRight w:val="0"/>
      <w:marTop w:val="0"/>
      <w:marBottom w:val="0"/>
      <w:divBdr>
        <w:top w:val="none" w:sz="0" w:space="0" w:color="auto"/>
        <w:left w:val="none" w:sz="0" w:space="0" w:color="auto"/>
        <w:bottom w:val="none" w:sz="0" w:space="0" w:color="auto"/>
        <w:right w:val="none" w:sz="0" w:space="0" w:color="auto"/>
      </w:divBdr>
      <w:divsChild>
        <w:div w:id="1199927859">
          <w:marLeft w:val="0"/>
          <w:marRight w:val="0"/>
          <w:marTop w:val="0"/>
          <w:marBottom w:val="0"/>
          <w:divBdr>
            <w:top w:val="none" w:sz="0" w:space="0" w:color="auto"/>
            <w:left w:val="none" w:sz="0" w:space="0" w:color="auto"/>
            <w:bottom w:val="none" w:sz="0" w:space="0" w:color="auto"/>
            <w:right w:val="none" w:sz="0" w:space="0" w:color="auto"/>
          </w:divBdr>
        </w:div>
      </w:divsChild>
    </w:div>
    <w:div w:id="933828873">
      <w:bodyDiv w:val="1"/>
      <w:marLeft w:val="60"/>
      <w:marRight w:val="60"/>
      <w:marTop w:val="60"/>
      <w:marBottom w:val="15"/>
      <w:divBdr>
        <w:top w:val="none" w:sz="0" w:space="0" w:color="auto"/>
        <w:left w:val="none" w:sz="0" w:space="0" w:color="auto"/>
        <w:bottom w:val="none" w:sz="0" w:space="0" w:color="auto"/>
        <w:right w:val="none" w:sz="0" w:space="0" w:color="auto"/>
      </w:divBdr>
      <w:divsChild>
        <w:div w:id="1925331593">
          <w:marLeft w:val="0"/>
          <w:marRight w:val="0"/>
          <w:marTop w:val="0"/>
          <w:marBottom w:val="0"/>
          <w:divBdr>
            <w:top w:val="none" w:sz="0" w:space="0" w:color="auto"/>
            <w:left w:val="none" w:sz="0" w:space="0" w:color="auto"/>
            <w:bottom w:val="none" w:sz="0" w:space="0" w:color="auto"/>
            <w:right w:val="none" w:sz="0" w:space="0" w:color="auto"/>
          </w:divBdr>
        </w:div>
      </w:divsChild>
    </w:div>
    <w:div w:id="943269157">
      <w:bodyDiv w:val="1"/>
      <w:marLeft w:val="0"/>
      <w:marRight w:val="0"/>
      <w:marTop w:val="0"/>
      <w:marBottom w:val="0"/>
      <w:divBdr>
        <w:top w:val="none" w:sz="0" w:space="0" w:color="auto"/>
        <w:left w:val="none" w:sz="0" w:space="0" w:color="auto"/>
        <w:bottom w:val="none" w:sz="0" w:space="0" w:color="auto"/>
        <w:right w:val="none" w:sz="0" w:space="0" w:color="auto"/>
      </w:divBdr>
    </w:div>
    <w:div w:id="946624801">
      <w:bodyDiv w:val="1"/>
      <w:marLeft w:val="0"/>
      <w:marRight w:val="0"/>
      <w:marTop w:val="0"/>
      <w:marBottom w:val="0"/>
      <w:divBdr>
        <w:top w:val="none" w:sz="0" w:space="0" w:color="auto"/>
        <w:left w:val="none" w:sz="0" w:space="0" w:color="auto"/>
        <w:bottom w:val="none" w:sz="0" w:space="0" w:color="auto"/>
        <w:right w:val="none" w:sz="0" w:space="0" w:color="auto"/>
      </w:divBdr>
    </w:div>
    <w:div w:id="1014310623">
      <w:bodyDiv w:val="1"/>
      <w:marLeft w:val="0"/>
      <w:marRight w:val="0"/>
      <w:marTop w:val="0"/>
      <w:marBottom w:val="0"/>
      <w:divBdr>
        <w:top w:val="none" w:sz="0" w:space="0" w:color="auto"/>
        <w:left w:val="none" w:sz="0" w:space="0" w:color="auto"/>
        <w:bottom w:val="none" w:sz="0" w:space="0" w:color="auto"/>
        <w:right w:val="none" w:sz="0" w:space="0" w:color="auto"/>
      </w:divBdr>
    </w:div>
    <w:div w:id="1023478318">
      <w:bodyDiv w:val="1"/>
      <w:marLeft w:val="0"/>
      <w:marRight w:val="0"/>
      <w:marTop w:val="0"/>
      <w:marBottom w:val="0"/>
      <w:divBdr>
        <w:top w:val="none" w:sz="0" w:space="0" w:color="auto"/>
        <w:left w:val="none" w:sz="0" w:space="0" w:color="auto"/>
        <w:bottom w:val="none" w:sz="0" w:space="0" w:color="auto"/>
        <w:right w:val="none" w:sz="0" w:space="0" w:color="auto"/>
      </w:divBdr>
      <w:divsChild>
        <w:div w:id="159584257">
          <w:marLeft w:val="0"/>
          <w:marRight w:val="0"/>
          <w:marTop w:val="0"/>
          <w:marBottom w:val="0"/>
          <w:divBdr>
            <w:top w:val="none" w:sz="0" w:space="0" w:color="auto"/>
            <w:left w:val="none" w:sz="0" w:space="0" w:color="auto"/>
            <w:bottom w:val="none" w:sz="0" w:space="0" w:color="auto"/>
            <w:right w:val="none" w:sz="0" w:space="0" w:color="auto"/>
          </w:divBdr>
        </w:div>
        <w:div w:id="171333847">
          <w:marLeft w:val="0"/>
          <w:marRight w:val="0"/>
          <w:marTop w:val="0"/>
          <w:marBottom w:val="0"/>
          <w:divBdr>
            <w:top w:val="none" w:sz="0" w:space="0" w:color="auto"/>
            <w:left w:val="none" w:sz="0" w:space="0" w:color="auto"/>
            <w:bottom w:val="none" w:sz="0" w:space="0" w:color="auto"/>
            <w:right w:val="none" w:sz="0" w:space="0" w:color="auto"/>
          </w:divBdr>
        </w:div>
        <w:div w:id="240214877">
          <w:marLeft w:val="0"/>
          <w:marRight w:val="0"/>
          <w:marTop w:val="0"/>
          <w:marBottom w:val="0"/>
          <w:divBdr>
            <w:top w:val="none" w:sz="0" w:space="0" w:color="auto"/>
            <w:left w:val="none" w:sz="0" w:space="0" w:color="auto"/>
            <w:bottom w:val="none" w:sz="0" w:space="0" w:color="auto"/>
            <w:right w:val="none" w:sz="0" w:space="0" w:color="auto"/>
          </w:divBdr>
        </w:div>
        <w:div w:id="263346360">
          <w:marLeft w:val="0"/>
          <w:marRight w:val="0"/>
          <w:marTop w:val="0"/>
          <w:marBottom w:val="0"/>
          <w:divBdr>
            <w:top w:val="none" w:sz="0" w:space="0" w:color="auto"/>
            <w:left w:val="none" w:sz="0" w:space="0" w:color="auto"/>
            <w:bottom w:val="none" w:sz="0" w:space="0" w:color="auto"/>
            <w:right w:val="none" w:sz="0" w:space="0" w:color="auto"/>
          </w:divBdr>
        </w:div>
        <w:div w:id="377899807">
          <w:marLeft w:val="0"/>
          <w:marRight w:val="0"/>
          <w:marTop w:val="0"/>
          <w:marBottom w:val="0"/>
          <w:divBdr>
            <w:top w:val="none" w:sz="0" w:space="0" w:color="auto"/>
            <w:left w:val="none" w:sz="0" w:space="0" w:color="auto"/>
            <w:bottom w:val="none" w:sz="0" w:space="0" w:color="auto"/>
            <w:right w:val="none" w:sz="0" w:space="0" w:color="auto"/>
          </w:divBdr>
        </w:div>
        <w:div w:id="395665832">
          <w:marLeft w:val="0"/>
          <w:marRight w:val="0"/>
          <w:marTop w:val="0"/>
          <w:marBottom w:val="0"/>
          <w:divBdr>
            <w:top w:val="none" w:sz="0" w:space="0" w:color="auto"/>
            <w:left w:val="none" w:sz="0" w:space="0" w:color="auto"/>
            <w:bottom w:val="none" w:sz="0" w:space="0" w:color="auto"/>
            <w:right w:val="none" w:sz="0" w:space="0" w:color="auto"/>
          </w:divBdr>
        </w:div>
        <w:div w:id="988091083">
          <w:marLeft w:val="0"/>
          <w:marRight w:val="0"/>
          <w:marTop w:val="0"/>
          <w:marBottom w:val="0"/>
          <w:divBdr>
            <w:top w:val="none" w:sz="0" w:space="0" w:color="auto"/>
            <w:left w:val="none" w:sz="0" w:space="0" w:color="auto"/>
            <w:bottom w:val="none" w:sz="0" w:space="0" w:color="auto"/>
            <w:right w:val="none" w:sz="0" w:space="0" w:color="auto"/>
          </w:divBdr>
        </w:div>
        <w:div w:id="1517118308">
          <w:marLeft w:val="0"/>
          <w:marRight w:val="0"/>
          <w:marTop w:val="0"/>
          <w:marBottom w:val="0"/>
          <w:divBdr>
            <w:top w:val="none" w:sz="0" w:space="0" w:color="auto"/>
            <w:left w:val="none" w:sz="0" w:space="0" w:color="auto"/>
            <w:bottom w:val="none" w:sz="0" w:space="0" w:color="auto"/>
            <w:right w:val="none" w:sz="0" w:space="0" w:color="auto"/>
          </w:divBdr>
        </w:div>
        <w:div w:id="1869638045">
          <w:marLeft w:val="0"/>
          <w:marRight w:val="0"/>
          <w:marTop w:val="0"/>
          <w:marBottom w:val="0"/>
          <w:divBdr>
            <w:top w:val="none" w:sz="0" w:space="0" w:color="auto"/>
            <w:left w:val="none" w:sz="0" w:space="0" w:color="auto"/>
            <w:bottom w:val="none" w:sz="0" w:space="0" w:color="auto"/>
            <w:right w:val="none" w:sz="0" w:space="0" w:color="auto"/>
          </w:divBdr>
        </w:div>
        <w:div w:id="2044330188">
          <w:marLeft w:val="0"/>
          <w:marRight w:val="0"/>
          <w:marTop w:val="0"/>
          <w:marBottom w:val="0"/>
          <w:divBdr>
            <w:top w:val="none" w:sz="0" w:space="0" w:color="auto"/>
            <w:left w:val="none" w:sz="0" w:space="0" w:color="auto"/>
            <w:bottom w:val="none" w:sz="0" w:space="0" w:color="auto"/>
            <w:right w:val="none" w:sz="0" w:space="0" w:color="auto"/>
          </w:divBdr>
        </w:div>
      </w:divsChild>
    </w:div>
    <w:div w:id="1026295847">
      <w:bodyDiv w:val="1"/>
      <w:marLeft w:val="0"/>
      <w:marRight w:val="0"/>
      <w:marTop w:val="0"/>
      <w:marBottom w:val="0"/>
      <w:divBdr>
        <w:top w:val="none" w:sz="0" w:space="0" w:color="auto"/>
        <w:left w:val="none" w:sz="0" w:space="0" w:color="auto"/>
        <w:bottom w:val="none" w:sz="0" w:space="0" w:color="auto"/>
        <w:right w:val="none" w:sz="0" w:space="0" w:color="auto"/>
      </w:divBdr>
    </w:div>
    <w:div w:id="1034308130">
      <w:bodyDiv w:val="1"/>
      <w:marLeft w:val="0"/>
      <w:marRight w:val="0"/>
      <w:marTop w:val="0"/>
      <w:marBottom w:val="0"/>
      <w:divBdr>
        <w:top w:val="none" w:sz="0" w:space="0" w:color="auto"/>
        <w:left w:val="none" w:sz="0" w:space="0" w:color="auto"/>
        <w:bottom w:val="none" w:sz="0" w:space="0" w:color="auto"/>
        <w:right w:val="none" w:sz="0" w:space="0" w:color="auto"/>
      </w:divBdr>
    </w:div>
    <w:div w:id="1035080835">
      <w:bodyDiv w:val="1"/>
      <w:marLeft w:val="0"/>
      <w:marRight w:val="0"/>
      <w:marTop w:val="0"/>
      <w:marBottom w:val="0"/>
      <w:divBdr>
        <w:top w:val="none" w:sz="0" w:space="0" w:color="auto"/>
        <w:left w:val="none" w:sz="0" w:space="0" w:color="auto"/>
        <w:bottom w:val="none" w:sz="0" w:space="0" w:color="auto"/>
        <w:right w:val="none" w:sz="0" w:space="0" w:color="auto"/>
      </w:divBdr>
    </w:div>
    <w:div w:id="1048531717">
      <w:bodyDiv w:val="1"/>
      <w:marLeft w:val="0"/>
      <w:marRight w:val="0"/>
      <w:marTop w:val="0"/>
      <w:marBottom w:val="0"/>
      <w:divBdr>
        <w:top w:val="none" w:sz="0" w:space="0" w:color="auto"/>
        <w:left w:val="none" w:sz="0" w:space="0" w:color="auto"/>
        <w:bottom w:val="none" w:sz="0" w:space="0" w:color="auto"/>
        <w:right w:val="none" w:sz="0" w:space="0" w:color="auto"/>
      </w:divBdr>
    </w:div>
    <w:div w:id="1051198330">
      <w:bodyDiv w:val="1"/>
      <w:marLeft w:val="0"/>
      <w:marRight w:val="0"/>
      <w:marTop w:val="0"/>
      <w:marBottom w:val="0"/>
      <w:divBdr>
        <w:top w:val="none" w:sz="0" w:space="0" w:color="auto"/>
        <w:left w:val="none" w:sz="0" w:space="0" w:color="auto"/>
        <w:bottom w:val="none" w:sz="0" w:space="0" w:color="auto"/>
        <w:right w:val="none" w:sz="0" w:space="0" w:color="auto"/>
      </w:divBdr>
    </w:div>
    <w:div w:id="1082683204">
      <w:bodyDiv w:val="1"/>
      <w:marLeft w:val="0"/>
      <w:marRight w:val="0"/>
      <w:marTop w:val="0"/>
      <w:marBottom w:val="0"/>
      <w:divBdr>
        <w:top w:val="none" w:sz="0" w:space="0" w:color="auto"/>
        <w:left w:val="none" w:sz="0" w:space="0" w:color="auto"/>
        <w:bottom w:val="none" w:sz="0" w:space="0" w:color="auto"/>
        <w:right w:val="none" w:sz="0" w:space="0" w:color="auto"/>
      </w:divBdr>
    </w:div>
    <w:div w:id="1119956783">
      <w:bodyDiv w:val="1"/>
      <w:marLeft w:val="0"/>
      <w:marRight w:val="0"/>
      <w:marTop w:val="0"/>
      <w:marBottom w:val="0"/>
      <w:divBdr>
        <w:top w:val="none" w:sz="0" w:space="0" w:color="auto"/>
        <w:left w:val="none" w:sz="0" w:space="0" w:color="auto"/>
        <w:bottom w:val="none" w:sz="0" w:space="0" w:color="auto"/>
        <w:right w:val="none" w:sz="0" w:space="0" w:color="auto"/>
      </w:divBdr>
    </w:div>
    <w:div w:id="1131049219">
      <w:bodyDiv w:val="1"/>
      <w:marLeft w:val="0"/>
      <w:marRight w:val="0"/>
      <w:marTop w:val="0"/>
      <w:marBottom w:val="0"/>
      <w:divBdr>
        <w:top w:val="none" w:sz="0" w:space="0" w:color="auto"/>
        <w:left w:val="none" w:sz="0" w:space="0" w:color="auto"/>
        <w:bottom w:val="none" w:sz="0" w:space="0" w:color="auto"/>
        <w:right w:val="none" w:sz="0" w:space="0" w:color="auto"/>
      </w:divBdr>
    </w:div>
    <w:div w:id="1135870573">
      <w:bodyDiv w:val="1"/>
      <w:marLeft w:val="0"/>
      <w:marRight w:val="0"/>
      <w:marTop w:val="0"/>
      <w:marBottom w:val="0"/>
      <w:divBdr>
        <w:top w:val="none" w:sz="0" w:space="0" w:color="auto"/>
        <w:left w:val="none" w:sz="0" w:space="0" w:color="auto"/>
        <w:bottom w:val="none" w:sz="0" w:space="0" w:color="auto"/>
        <w:right w:val="none" w:sz="0" w:space="0" w:color="auto"/>
      </w:divBdr>
    </w:div>
    <w:div w:id="1169060187">
      <w:bodyDiv w:val="1"/>
      <w:marLeft w:val="0"/>
      <w:marRight w:val="0"/>
      <w:marTop w:val="0"/>
      <w:marBottom w:val="0"/>
      <w:divBdr>
        <w:top w:val="none" w:sz="0" w:space="0" w:color="auto"/>
        <w:left w:val="none" w:sz="0" w:space="0" w:color="auto"/>
        <w:bottom w:val="none" w:sz="0" w:space="0" w:color="auto"/>
        <w:right w:val="none" w:sz="0" w:space="0" w:color="auto"/>
      </w:divBdr>
    </w:div>
    <w:div w:id="1197691331">
      <w:bodyDiv w:val="1"/>
      <w:marLeft w:val="0"/>
      <w:marRight w:val="0"/>
      <w:marTop w:val="0"/>
      <w:marBottom w:val="0"/>
      <w:divBdr>
        <w:top w:val="none" w:sz="0" w:space="0" w:color="auto"/>
        <w:left w:val="none" w:sz="0" w:space="0" w:color="auto"/>
        <w:bottom w:val="none" w:sz="0" w:space="0" w:color="auto"/>
        <w:right w:val="none" w:sz="0" w:space="0" w:color="auto"/>
      </w:divBdr>
    </w:div>
    <w:div w:id="1252618404">
      <w:bodyDiv w:val="1"/>
      <w:marLeft w:val="0"/>
      <w:marRight w:val="0"/>
      <w:marTop w:val="0"/>
      <w:marBottom w:val="0"/>
      <w:divBdr>
        <w:top w:val="none" w:sz="0" w:space="0" w:color="auto"/>
        <w:left w:val="none" w:sz="0" w:space="0" w:color="auto"/>
        <w:bottom w:val="none" w:sz="0" w:space="0" w:color="auto"/>
        <w:right w:val="none" w:sz="0" w:space="0" w:color="auto"/>
      </w:divBdr>
    </w:div>
    <w:div w:id="1265385193">
      <w:bodyDiv w:val="1"/>
      <w:marLeft w:val="0"/>
      <w:marRight w:val="0"/>
      <w:marTop w:val="0"/>
      <w:marBottom w:val="0"/>
      <w:divBdr>
        <w:top w:val="none" w:sz="0" w:space="0" w:color="auto"/>
        <w:left w:val="none" w:sz="0" w:space="0" w:color="auto"/>
        <w:bottom w:val="none" w:sz="0" w:space="0" w:color="auto"/>
        <w:right w:val="none" w:sz="0" w:space="0" w:color="auto"/>
      </w:divBdr>
    </w:div>
    <w:div w:id="1334993685">
      <w:bodyDiv w:val="1"/>
      <w:marLeft w:val="0"/>
      <w:marRight w:val="0"/>
      <w:marTop w:val="0"/>
      <w:marBottom w:val="0"/>
      <w:divBdr>
        <w:top w:val="none" w:sz="0" w:space="0" w:color="auto"/>
        <w:left w:val="none" w:sz="0" w:space="0" w:color="auto"/>
        <w:bottom w:val="none" w:sz="0" w:space="0" w:color="auto"/>
        <w:right w:val="none" w:sz="0" w:space="0" w:color="auto"/>
      </w:divBdr>
    </w:div>
    <w:div w:id="1337725939">
      <w:bodyDiv w:val="1"/>
      <w:marLeft w:val="0"/>
      <w:marRight w:val="0"/>
      <w:marTop w:val="0"/>
      <w:marBottom w:val="0"/>
      <w:divBdr>
        <w:top w:val="none" w:sz="0" w:space="0" w:color="auto"/>
        <w:left w:val="none" w:sz="0" w:space="0" w:color="auto"/>
        <w:bottom w:val="none" w:sz="0" w:space="0" w:color="auto"/>
        <w:right w:val="none" w:sz="0" w:space="0" w:color="auto"/>
      </w:divBdr>
    </w:div>
    <w:div w:id="1369798843">
      <w:bodyDiv w:val="1"/>
      <w:marLeft w:val="0"/>
      <w:marRight w:val="0"/>
      <w:marTop w:val="0"/>
      <w:marBottom w:val="0"/>
      <w:divBdr>
        <w:top w:val="none" w:sz="0" w:space="0" w:color="auto"/>
        <w:left w:val="none" w:sz="0" w:space="0" w:color="auto"/>
        <w:bottom w:val="none" w:sz="0" w:space="0" w:color="auto"/>
        <w:right w:val="none" w:sz="0" w:space="0" w:color="auto"/>
      </w:divBdr>
    </w:div>
    <w:div w:id="1387608762">
      <w:bodyDiv w:val="1"/>
      <w:marLeft w:val="0"/>
      <w:marRight w:val="0"/>
      <w:marTop w:val="0"/>
      <w:marBottom w:val="0"/>
      <w:divBdr>
        <w:top w:val="none" w:sz="0" w:space="0" w:color="auto"/>
        <w:left w:val="none" w:sz="0" w:space="0" w:color="auto"/>
        <w:bottom w:val="none" w:sz="0" w:space="0" w:color="auto"/>
        <w:right w:val="none" w:sz="0" w:space="0" w:color="auto"/>
      </w:divBdr>
    </w:div>
    <w:div w:id="1394541636">
      <w:bodyDiv w:val="1"/>
      <w:marLeft w:val="0"/>
      <w:marRight w:val="0"/>
      <w:marTop w:val="0"/>
      <w:marBottom w:val="0"/>
      <w:divBdr>
        <w:top w:val="none" w:sz="0" w:space="0" w:color="auto"/>
        <w:left w:val="none" w:sz="0" w:space="0" w:color="auto"/>
        <w:bottom w:val="none" w:sz="0" w:space="0" w:color="auto"/>
        <w:right w:val="none" w:sz="0" w:space="0" w:color="auto"/>
      </w:divBdr>
      <w:divsChild>
        <w:div w:id="1902250691">
          <w:marLeft w:val="0"/>
          <w:marRight w:val="0"/>
          <w:marTop w:val="0"/>
          <w:marBottom w:val="0"/>
          <w:divBdr>
            <w:top w:val="none" w:sz="0" w:space="0" w:color="auto"/>
            <w:left w:val="none" w:sz="0" w:space="0" w:color="auto"/>
            <w:bottom w:val="none" w:sz="0" w:space="0" w:color="auto"/>
            <w:right w:val="none" w:sz="0" w:space="0" w:color="auto"/>
          </w:divBdr>
        </w:div>
      </w:divsChild>
    </w:div>
    <w:div w:id="1396198337">
      <w:bodyDiv w:val="1"/>
      <w:marLeft w:val="0"/>
      <w:marRight w:val="0"/>
      <w:marTop w:val="0"/>
      <w:marBottom w:val="0"/>
      <w:divBdr>
        <w:top w:val="none" w:sz="0" w:space="0" w:color="auto"/>
        <w:left w:val="none" w:sz="0" w:space="0" w:color="auto"/>
        <w:bottom w:val="none" w:sz="0" w:space="0" w:color="auto"/>
        <w:right w:val="none" w:sz="0" w:space="0" w:color="auto"/>
      </w:divBdr>
    </w:div>
    <w:div w:id="1399670874">
      <w:bodyDiv w:val="1"/>
      <w:marLeft w:val="0"/>
      <w:marRight w:val="0"/>
      <w:marTop w:val="0"/>
      <w:marBottom w:val="0"/>
      <w:divBdr>
        <w:top w:val="none" w:sz="0" w:space="0" w:color="auto"/>
        <w:left w:val="none" w:sz="0" w:space="0" w:color="auto"/>
        <w:bottom w:val="none" w:sz="0" w:space="0" w:color="auto"/>
        <w:right w:val="none" w:sz="0" w:space="0" w:color="auto"/>
      </w:divBdr>
    </w:div>
    <w:div w:id="1412703211">
      <w:bodyDiv w:val="1"/>
      <w:marLeft w:val="0"/>
      <w:marRight w:val="0"/>
      <w:marTop w:val="0"/>
      <w:marBottom w:val="0"/>
      <w:divBdr>
        <w:top w:val="none" w:sz="0" w:space="0" w:color="auto"/>
        <w:left w:val="none" w:sz="0" w:space="0" w:color="auto"/>
        <w:bottom w:val="none" w:sz="0" w:space="0" w:color="auto"/>
        <w:right w:val="none" w:sz="0" w:space="0" w:color="auto"/>
      </w:divBdr>
      <w:divsChild>
        <w:div w:id="980580199">
          <w:marLeft w:val="0"/>
          <w:marRight w:val="0"/>
          <w:marTop w:val="0"/>
          <w:marBottom w:val="0"/>
          <w:divBdr>
            <w:top w:val="none" w:sz="0" w:space="0" w:color="auto"/>
            <w:left w:val="none" w:sz="0" w:space="0" w:color="auto"/>
            <w:bottom w:val="none" w:sz="0" w:space="0" w:color="auto"/>
            <w:right w:val="none" w:sz="0" w:space="0" w:color="auto"/>
          </w:divBdr>
        </w:div>
      </w:divsChild>
    </w:div>
    <w:div w:id="1421876254">
      <w:bodyDiv w:val="1"/>
      <w:marLeft w:val="0"/>
      <w:marRight w:val="0"/>
      <w:marTop w:val="0"/>
      <w:marBottom w:val="0"/>
      <w:divBdr>
        <w:top w:val="none" w:sz="0" w:space="0" w:color="auto"/>
        <w:left w:val="none" w:sz="0" w:space="0" w:color="auto"/>
        <w:bottom w:val="none" w:sz="0" w:space="0" w:color="auto"/>
        <w:right w:val="none" w:sz="0" w:space="0" w:color="auto"/>
      </w:divBdr>
    </w:div>
    <w:div w:id="1428388216">
      <w:bodyDiv w:val="1"/>
      <w:marLeft w:val="0"/>
      <w:marRight w:val="0"/>
      <w:marTop w:val="0"/>
      <w:marBottom w:val="0"/>
      <w:divBdr>
        <w:top w:val="none" w:sz="0" w:space="0" w:color="auto"/>
        <w:left w:val="none" w:sz="0" w:space="0" w:color="auto"/>
        <w:bottom w:val="none" w:sz="0" w:space="0" w:color="auto"/>
        <w:right w:val="none" w:sz="0" w:space="0" w:color="auto"/>
      </w:divBdr>
    </w:div>
    <w:div w:id="1429037403">
      <w:bodyDiv w:val="1"/>
      <w:marLeft w:val="0"/>
      <w:marRight w:val="0"/>
      <w:marTop w:val="0"/>
      <w:marBottom w:val="0"/>
      <w:divBdr>
        <w:top w:val="none" w:sz="0" w:space="0" w:color="auto"/>
        <w:left w:val="none" w:sz="0" w:space="0" w:color="auto"/>
        <w:bottom w:val="none" w:sz="0" w:space="0" w:color="auto"/>
        <w:right w:val="none" w:sz="0" w:space="0" w:color="auto"/>
      </w:divBdr>
    </w:div>
    <w:div w:id="1454981524">
      <w:bodyDiv w:val="1"/>
      <w:marLeft w:val="0"/>
      <w:marRight w:val="0"/>
      <w:marTop w:val="0"/>
      <w:marBottom w:val="0"/>
      <w:divBdr>
        <w:top w:val="none" w:sz="0" w:space="0" w:color="auto"/>
        <w:left w:val="none" w:sz="0" w:space="0" w:color="auto"/>
        <w:bottom w:val="none" w:sz="0" w:space="0" w:color="auto"/>
        <w:right w:val="none" w:sz="0" w:space="0" w:color="auto"/>
      </w:divBdr>
    </w:div>
    <w:div w:id="1463302514">
      <w:bodyDiv w:val="1"/>
      <w:marLeft w:val="0"/>
      <w:marRight w:val="0"/>
      <w:marTop w:val="0"/>
      <w:marBottom w:val="0"/>
      <w:divBdr>
        <w:top w:val="none" w:sz="0" w:space="0" w:color="auto"/>
        <w:left w:val="none" w:sz="0" w:space="0" w:color="auto"/>
        <w:bottom w:val="none" w:sz="0" w:space="0" w:color="auto"/>
        <w:right w:val="none" w:sz="0" w:space="0" w:color="auto"/>
      </w:divBdr>
      <w:divsChild>
        <w:div w:id="879559792">
          <w:marLeft w:val="0"/>
          <w:marRight w:val="0"/>
          <w:marTop w:val="0"/>
          <w:marBottom w:val="0"/>
          <w:divBdr>
            <w:top w:val="none" w:sz="0" w:space="0" w:color="auto"/>
            <w:left w:val="none" w:sz="0" w:space="0" w:color="auto"/>
            <w:bottom w:val="none" w:sz="0" w:space="0" w:color="auto"/>
            <w:right w:val="none" w:sz="0" w:space="0" w:color="auto"/>
          </w:divBdr>
        </w:div>
      </w:divsChild>
    </w:div>
    <w:div w:id="1509325404">
      <w:bodyDiv w:val="1"/>
      <w:marLeft w:val="0"/>
      <w:marRight w:val="0"/>
      <w:marTop w:val="0"/>
      <w:marBottom w:val="0"/>
      <w:divBdr>
        <w:top w:val="none" w:sz="0" w:space="0" w:color="auto"/>
        <w:left w:val="none" w:sz="0" w:space="0" w:color="auto"/>
        <w:bottom w:val="none" w:sz="0" w:space="0" w:color="auto"/>
        <w:right w:val="none" w:sz="0" w:space="0" w:color="auto"/>
      </w:divBdr>
    </w:div>
    <w:div w:id="1509441327">
      <w:bodyDiv w:val="1"/>
      <w:marLeft w:val="0"/>
      <w:marRight w:val="0"/>
      <w:marTop w:val="0"/>
      <w:marBottom w:val="0"/>
      <w:divBdr>
        <w:top w:val="none" w:sz="0" w:space="0" w:color="auto"/>
        <w:left w:val="none" w:sz="0" w:space="0" w:color="auto"/>
        <w:bottom w:val="none" w:sz="0" w:space="0" w:color="auto"/>
        <w:right w:val="none" w:sz="0" w:space="0" w:color="auto"/>
      </w:divBdr>
    </w:div>
    <w:div w:id="1513035978">
      <w:bodyDiv w:val="1"/>
      <w:marLeft w:val="0"/>
      <w:marRight w:val="0"/>
      <w:marTop w:val="0"/>
      <w:marBottom w:val="0"/>
      <w:divBdr>
        <w:top w:val="none" w:sz="0" w:space="0" w:color="auto"/>
        <w:left w:val="none" w:sz="0" w:space="0" w:color="auto"/>
        <w:bottom w:val="none" w:sz="0" w:space="0" w:color="auto"/>
        <w:right w:val="none" w:sz="0" w:space="0" w:color="auto"/>
      </w:divBdr>
    </w:div>
    <w:div w:id="1548713400">
      <w:bodyDiv w:val="1"/>
      <w:marLeft w:val="0"/>
      <w:marRight w:val="0"/>
      <w:marTop w:val="0"/>
      <w:marBottom w:val="0"/>
      <w:divBdr>
        <w:top w:val="none" w:sz="0" w:space="0" w:color="auto"/>
        <w:left w:val="none" w:sz="0" w:space="0" w:color="auto"/>
        <w:bottom w:val="none" w:sz="0" w:space="0" w:color="auto"/>
        <w:right w:val="none" w:sz="0" w:space="0" w:color="auto"/>
      </w:divBdr>
    </w:div>
    <w:div w:id="1551914988">
      <w:bodyDiv w:val="1"/>
      <w:marLeft w:val="0"/>
      <w:marRight w:val="0"/>
      <w:marTop w:val="0"/>
      <w:marBottom w:val="0"/>
      <w:divBdr>
        <w:top w:val="none" w:sz="0" w:space="0" w:color="auto"/>
        <w:left w:val="none" w:sz="0" w:space="0" w:color="auto"/>
        <w:bottom w:val="none" w:sz="0" w:space="0" w:color="auto"/>
        <w:right w:val="none" w:sz="0" w:space="0" w:color="auto"/>
      </w:divBdr>
    </w:div>
    <w:div w:id="1557857383">
      <w:bodyDiv w:val="1"/>
      <w:marLeft w:val="0"/>
      <w:marRight w:val="0"/>
      <w:marTop w:val="0"/>
      <w:marBottom w:val="0"/>
      <w:divBdr>
        <w:top w:val="none" w:sz="0" w:space="0" w:color="auto"/>
        <w:left w:val="none" w:sz="0" w:space="0" w:color="auto"/>
        <w:bottom w:val="none" w:sz="0" w:space="0" w:color="auto"/>
        <w:right w:val="none" w:sz="0" w:space="0" w:color="auto"/>
      </w:divBdr>
    </w:div>
    <w:div w:id="1568419487">
      <w:bodyDiv w:val="1"/>
      <w:marLeft w:val="0"/>
      <w:marRight w:val="0"/>
      <w:marTop w:val="0"/>
      <w:marBottom w:val="0"/>
      <w:divBdr>
        <w:top w:val="none" w:sz="0" w:space="0" w:color="auto"/>
        <w:left w:val="none" w:sz="0" w:space="0" w:color="auto"/>
        <w:bottom w:val="none" w:sz="0" w:space="0" w:color="auto"/>
        <w:right w:val="none" w:sz="0" w:space="0" w:color="auto"/>
      </w:divBdr>
    </w:div>
    <w:div w:id="1577788567">
      <w:bodyDiv w:val="1"/>
      <w:marLeft w:val="0"/>
      <w:marRight w:val="0"/>
      <w:marTop w:val="0"/>
      <w:marBottom w:val="0"/>
      <w:divBdr>
        <w:top w:val="none" w:sz="0" w:space="0" w:color="auto"/>
        <w:left w:val="none" w:sz="0" w:space="0" w:color="auto"/>
        <w:bottom w:val="none" w:sz="0" w:space="0" w:color="auto"/>
        <w:right w:val="none" w:sz="0" w:space="0" w:color="auto"/>
      </w:divBdr>
    </w:div>
    <w:div w:id="1583106469">
      <w:bodyDiv w:val="1"/>
      <w:marLeft w:val="0"/>
      <w:marRight w:val="0"/>
      <w:marTop w:val="0"/>
      <w:marBottom w:val="0"/>
      <w:divBdr>
        <w:top w:val="none" w:sz="0" w:space="0" w:color="auto"/>
        <w:left w:val="none" w:sz="0" w:space="0" w:color="auto"/>
        <w:bottom w:val="none" w:sz="0" w:space="0" w:color="auto"/>
        <w:right w:val="none" w:sz="0" w:space="0" w:color="auto"/>
      </w:divBdr>
    </w:div>
    <w:div w:id="1608123463">
      <w:bodyDiv w:val="1"/>
      <w:marLeft w:val="0"/>
      <w:marRight w:val="0"/>
      <w:marTop w:val="0"/>
      <w:marBottom w:val="0"/>
      <w:divBdr>
        <w:top w:val="none" w:sz="0" w:space="0" w:color="auto"/>
        <w:left w:val="none" w:sz="0" w:space="0" w:color="auto"/>
        <w:bottom w:val="none" w:sz="0" w:space="0" w:color="auto"/>
        <w:right w:val="none" w:sz="0" w:space="0" w:color="auto"/>
      </w:divBdr>
    </w:div>
    <w:div w:id="1621258557">
      <w:bodyDiv w:val="1"/>
      <w:marLeft w:val="0"/>
      <w:marRight w:val="0"/>
      <w:marTop w:val="0"/>
      <w:marBottom w:val="0"/>
      <w:divBdr>
        <w:top w:val="none" w:sz="0" w:space="0" w:color="auto"/>
        <w:left w:val="none" w:sz="0" w:space="0" w:color="auto"/>
        <w:bottom w:val="none" w:sz="0" w:space="0" w:color="auto"/>
        <w:right w:val="none" w:sz="0" w:space="0" w:color="auto"/>
      </w:divBdr>
    </w:div>
    <w:div w:id="1635284699">
      <w:bodyDiv w:val="1"/>
      <w:marLeft w:val="0"/>
      <w:marRight w:val="0"/>
      <w:marTop w:val="0"/>
      <w:marBottom w:val="0"/>
      <w:divBdr>
        <w:top w:val="none" w:sz="0" w:space="0" w:color="auto"/>
        <w:left w:val="none" w:sz="0" w:space="0" w:color="auto"/>
        <w:bottom w:val="none" w:sz="0" w:space="0" w:color="auto"/>
        <w:right w:val="none" w:sz="0" w:space="0" w:color="auto"/>
      </w:divBdr>
    </w:div>
    <w:div w:id="1655910107">
      <w:bodyDiv w:val="1"/>
      <w:marLeft w:val="0"/>
      <w:marRight w:val="0"/>
      <w:marTop w:val="0"/>
      <w:marBottom w:val="0"/>
      <w:divBdr>
        <w:top w:val="none" w:sz="0" w:space="0" w:color="auto"/>
        <w:left w:val="none" w:sz="0" w:space="0" w:color="auto"/>
        <w:bottom w:val="none" w:sz="0" w:space="0" w:color="auto"/>
        <w:right w:val="none" w:sz="0" w:space="0" w:color="auto"/>
      </w:divBdr>
    </w:div>
    <w:div w:id="1750497933">
      <w:bodyDiv w:val="1"/>
      <w:marLeft w:val="0"/>
      <w:marRight w:val="0"/>
      <w:marTop w:val="0"/>
      <w:marBottom w:val="0"/>
      <w:divBdr>
        <w:top w:val="none" w:sz="0" w:space="0" w:color="auto"/>
        <w:left w:val="none" w:sz="0" w:space="0" w:color="auto"/>
        <w:bottom w:val="none" w:sz="0" w:space="0" w:color="auto"/>
        <w:right w:val="none" w:sz="0" w:space="0" w:color="auto"/>
      </w:divBdr>
    </w:div>
    <w:div w:id="1761559190">
      <w:bodyDiv w:val="1"/>
      <w:marLeft w:val="0"/>
      <w:marRight w:val="0"/>
      <w:marTop w:val="0"/>
      <w:marBottom w:val="0"/>
      <w:divBdr>
        <w:top w:val="none" w:sz="0" w:space="0" w:color="auto"/>
        <w:left w:val="none" w:sz="0" w:space="0" w:color="auto"/>
        <w:bottom w:val="none" w:sz="0" w:space="0" w:color="auto"/>
        <w:right w:val="none" w:sz="0" w:space="0" w:color="auto"/>
      </w:divBdr>
    </w:div>
    <w:div w:id="1772626172">
      <w:bodyDiv w:val="1"/>
      <w:marLeft w:val="0"/>
      <w:marRight w:val="0"/>
      <w:marTop w:val="0"/>
      <w:marBottom w:val="0"/>
      <w:divBdr>
        <w:top w:val="none" w:sz="0" w:space="0" w:color="auto"/>
        <w:left w:val="none" w:sz="0" w:space="0" w:color="auto"/>
        <w:bottom w:val="none" w:sz="0" w:space="0" w:color="auto"/>
        <w:right w:val="none" w:sz="0" w:space="0" w:color="auto"/>
      </w:divBdr>
    </w:div>
    <w:div w:id="1801532622">
      <w:bodyDiv w:val="1"/>
      <w:marLeft w:val="0"/>
      <w:marRight w:val="0"/>
      <w:marTop w:val="0"/>
      <w:marBottom w:val="0"/>
      <w:divBdr>
        <w:top w:val="none" w:sz="0" w:space="0" w:color="auto"/>
        <w:left w:val="none" w:sz="0" w:space="0" w:color="auto"/>
        <w:bottom w:val="none" w:sz="0" w:space="0" w:color="auto"/>
        <w:right w:val="none" w:sz="0" w:space="0" w:color="auto"/>
      </w:divBdr>
    </w:div>
    <w:div w:id="1802840696">
      <w:bodyDiv w:val="1"/>
      <w:marLeft w:val="0"/>
      <w:marRight w:val="0"/>
      <w:marTop w:val="0"/>
      <w:marBottom w:val="0"/>
      <w:divBdr>
        <w:top w:val="none" w:sz="0" w:space="0" w:color="auto"/>
        <w:left w:val="none" w:sz="0" w:space="0" w:color="auto"/>
        <w:bottom w:val="none" w:sz="0" w:space="0" w:color="auto"/>
        <w:right w:val="none" w:sz="0" w:space="0" w:color="auto"/>
      </w:divBdr>
    </w:div>
    <w:div w:id="1807089873">
      <w:bodyDiv w:val="1"/>
      <w:marLeft w:val="0"/>
      <w:marRight w:val="0"/>
      <w:marTop w:val="0"/>
      <w:marBottom w:val="0"/>
      <w:divBdr>
        <w:top w:val="none" w:sz="0" w:space="0" w:color="auto"/>
        <w:left w:val="none" w:sz="0" w:space="0" w:color="auto"/>
        <w:bottom w:val="none" w:sz="0" w:space="0" w:color="auto"/>
        <w:right w:val="none" w:sz="0" w:space="0" w:color="auto"/>
      </w:divBdr>
    </w:div>
    <w:div w:id="1832990647">
      <w:bodyDiv w:val="1"/>
      <w:marLeft w:val="0"/>
      <w:marRight w:val="0"/>
      <w:marTop w:val="0"/>
      <w:marBottom w:val="0"/>
      <w:divBdr>
        <w:top w:val="none" w:sz="0" w:space="0" w:color="auto"/>
        <w:left w:val="none" w:sz="0" w:space="0" w:color="auto"/>
        <w:bottom w:val="none" w:sz="0" w:space="0" w:color="auto"/>
        <w:right w:val="none" w:sz="0" w:space="0" w:color="auto"/>
      </w:divBdr>
    </w:div>
    <w:div w:id="1876624830">
      <w:bodyDiv w:val="1"/>
      <w:marLeft w:val="0"/>
      <w:marRight w:val="0"/>
      <w:marTop w:val="0"/>
      <w:marBottom w:val="0"/>
      <w:divBdr>
        <w:top w:val="none" w:sz="0" w:space="0" w:color="auto"/>
        <w:left w:val="none" w:sz="0" w:space="0" w:color="auto"/>
        <w:bottom w:val="none" w:sz="0" w:space="0" w:color="auto"/>
        <w:right w:val="none" w:sz="0" w:space="0" w:color="auto"/>
      </w:divBdr>
    </w:div>
    <w:div w:id="1879589772">
      <w:bodyDiv w:val="1"/>
      <w:marLeft w:val="0"/>
      <w:marRight w:val="0"/>
      <w:marTop w:val="0"/>
      <w:marBottom w:val="0"/>
      <w:divBdr>
        <w:top w:val="none" w:sz="0" w:space="0" w:color="auto"/>
        <w:left w:val="none" w:sz="0" w:space="0" w:color="auto"/>
        <w:bottom w:val="none" w:sz="0" w:space="0" w:color="auto"/>
        <w:right w:val="none" w:sz="0" w:space="0" w:color="auto"/>
      </w:divBdr>
    </w:div>
    <w:div w:id="1901747066">
      <w:bodyDiv w:val="1"/>
      <w:marLeft w:val="0"/>
      <w:marRight w:val="0"/>
      <w:marTop w:val="0"/>
      <w:marBottom w:val="0"/>
      <w:divBdr>
        <w:top w:val="none" w:sz="0" w:space="0" w:color="auto"/>
        <w:left w:val="none" w:sz="0" w:space="0" w:color="auto"/>
        <w:bottom w:val="none" w:sz="0" w:space="0" w:color="auto"/>
        <w:right w:val="none" w:sz="0" w:space="0" w:color="auto"/>
      </w:divBdr>
    </w:div>
    <w:div w:id="1912616127">
      <w:bodyDiv w:val="1"/>
      <w:marLeft w:val="0"/>
      <w:marRight w:val="0"/>
      <w:marTop w:val="0"/>
      <w:marBottom w:val="0"/>
      <w:divBdr>
        <w:top w:val="none" w:sz="0" w:space="0" w:color="auto"/>
        <w:left w:val="none" w:sz="0" w:space="0" w:color="auto"/>
        <w:bottom w:val="none" w:sz="0" w:space="0" w:color="auto"/>
        <w:right w:val="none" w:sz="0" w:space="0" w:color="auto"/>
      </w:divBdr>
    </w:div>
    <w:div w:id="1926260959">
      <w:bodyDiv w:val="1"/>
      <w:marLeft w:val="0"/>
      <w:marRight w:val="0"/>
      <w:marTop w:val="0"/>
      <w:marBottom w:val="0"/>
      <w:divBdr>
        <w:top w:val="none" w:sz="0" w:space="0" w:color="auto"/>
        <w:left w:val="none" w:sz="0" w:space="0" w:color="auto"/>
        <w:bottom w:val="none" w:sz="0" w:space="0" w:color="auto"/>
        <w:right w:val="none" w:sz="0" w:space="0" w:color="auto"/>
      </w:divBdr>
    </w:div>
    <w:div w:id="1939678238">
      <w:bodyDiv w:val="1"/>
      <w:marLeft w:val="0"/>
      <w:marRight w:val="0"/>
      <w:marTop w:val="0"/>
      <w:marBottom w:val="0"/>
      <w:divBdr>
        <w:top w:val="none" w:sz="0" w:space="0" w:color="auto"/>
        <w:left w:val="none" w:sz="0" w:space="0" w:color="auto"/>
        <w:bottom w:val="none" w:sz="0" w:space="0" w:color="auto"/>
        <w:right w:val="none" w:sz="0" w:space="0" w:color="auto"/>
      </w:divBdr>
    </w:div>
    <w:div w:id="1941521859">
      <w:bodyDiv w:val="1"/>
      <w:marLeft w:val="0"/>
      <w:marRight w:val="0"/>
      <w:marTop w:val="0"/>
      <w:marBottom w:val="0"/>
      <w:divBdr>
        <w:top w:val="none" w:sz="0" w:space="0" w:color="auto"/>
        <w:left w:val="none" w:sz="0" w:space="0" w:color="auto"/>
        <w:bottom w:val="none" w:sz="0" w:space="0" w:color="auto"/>
        <w:right w:val="none" w:sz="0" w:space="0" w:color="auto"/>
      </w:divBdr>
    </w:div>
    <w:div w:id="1943342170">
      <w:bodyDiv w:val="1"/>
      <w:marLeft w:val="0"/>
      <w:marRight w:val="0"/>
      <w:marTop w:val="0"/>
      <w:marBottom w:val="0"/>
      <w:divBdr>
        <w:top w:val="none" w:sz="0" w:space="0" w:color="auto"/>
        <w:left w:val="none" w:sz="0" w:space="0" w:color="auto"/>
        <w:bottom w:val="none" w:sz="0" w:space="0" w:color="auto"/>
        <w:right w:val="none" w:sz="0" w:space="0" w:color="auto"/>
      </w:divBdr>
    </w:div>
    <w:div w:id="1978684117">
      <w:bodyDiv w:val="1"/>
      <w:marLeft w:val="0"/>
      <w:marRight w:val="0"/>
      <w:marTop w:val="0"/>
      <w:marBottom w:val="0"/>
      <w:divBdr>
        <w:top w:val="none" w:sz="0" w:space="0" w:color="auto"/>
        <w:left w:val="none" w:sz="0" w:space="0" w:color="auto"/>
        <w:bottom w:val="none" w:sz="0" w:space="0" w:color="auto"/>
        <w:right w:val="none" w:sz="0" w:space="0" w:color="auto"/>
      </w:divBdr>
    </w:div>
    <w:div w:id="1999532685">
      <w:bodyDiv w:val="1"/>
      <w:marLeft w:val="0"/>
      <w:marRight w:val="0"/>
      <w:marTop w:val="0"/>
      <w:marBottom w:val="0"/>
      <w:divBdr>
        <w:top w:val="none" w:sz="0" w:space="0" w:color="auto"/>
        <w:left w:val="none" w:sz="0" w:space="0" w:color="auto"/>
        <w:bottom w:val="none" w:sz="0" w:space="0" w:color="auto"/>
        <w:right w:val="none" w:sz="0" w:space="0" w:color="auto"/>
      </w:divBdr>
    </w:div>
    <w:div w:id="2001273910">
      <w:bodyDiv w:val="1"/>
      <w:marLeft w:val="0"/>
      <w:marRight w:val="0"/>
      <w:marTop w:val="0"/>
      <w:marBottom w:val="0"/>
      <w:divBdr>
        <w:top w:val="none" w:sz="0" w:space="0" w:color="auto"/>
        <w:left w:val="none" w:sz="0" w:space="0" w:color="auto"/>
        <w:bottom w:val="none" w:sz="0" w:space="0" w:color="auto"/>
        <w:right w:val="none" w:sz="0" w:space="0" w:color="auto"/>
      </w:divBdr>
    </w:div>
    <w:div w:id="2004894057">
      <w:bodyDiv w:val="1"/>
      <w:marLeft w:val="0"/>
      <w:marRight w:val="0"/>
      <w:marTop w:val="0"/>
      <w:marBottom w:val="0"/>
      <w:divBdr>
        <w:top w:val="none" w:sz="0" w:space="0" w:color="auto"/>
        <w:left w:val="none" w:sz="0" w:space="0" w:color="auto"/>
        <w:bottom w:val="none" w:sz="0" w:space="0" w:color="auto"/>
        <w:right w:val="none" w:sz="0" w:space="0" w:color="auto"/>
      </w:divBdr>
    </w:div>
    <w:div w:id="2015569444">
      <w:bodyDiv w:val="1"/>
      <w:marLeft w:val="0"/>
      <w:marRight w:val="0"/>
      <w:marTop w:val="0"/>
      <w:marBottom w:val="0"/>
      <w:divBdr>
        <w:top w:val="none" w:sz="0" w:space="0" w:color="auto"/>
        <w:left w:val="none" w:sz="0" w:space="0" w:color="auto"/>
        <w:bottom w:val="none" w:sz="0" w:space="0" w:color="auto"/>
        <w:right w:val="none" w:sz="0" w:space="0" w:color="auto"/>
      </w:divBdr>
    </w:div>
    <w:div w:id="2019774175">
      <w:bodyDiv w:val="1"/>
      <w:marLeft w:val="0"/>
      <w:marRight w:val="0"/>
      <w:marTop w:val="0"/>
      <w:marBottom w:val="0"/>
      <w:divBdr>
        <w:top w:val="none" w:sz="0" w:space="0" w:color="auto"/>
        <w:left w:val="none" w:sz="0" w:space="0" w:color="auto"/>
        <w:bottom w:val="none" w:sz="0" w:space="0" w:color="auto"/>
        <w:right w:val="none" w:sz="0" w:space="0" w:color="auto"/>
      </w:divBdr>
    </w:div>
    <w:div w:id="2033066668">
      <w:bodyDiv w:val="1"/>
      <w:marLeft w:val="0"/>
      <w:marRight w:val="0"/>
      <w:marTop w:val="0"/>
      <w:marBottom w:val="0"/>
      <w:divBdr>
        <w:top w:val="none" w:sz="0" w:space="0" w:color="auto"/>
        <w:left w:val="none" w:sz="0" w:space="0" w:color="auto"/>
        <w:bottom w:val="none" w:sz="0" w:space="0" w:color="auto"/>
        <w:right w:val="none" w:sz="0" w:space="0" w:color="auto"/>
      </w:divBdr>
      <w:divsChild>
        <w:div w:id="1587808510">
          <w:marLeft w:val="0"/>
          <w:marRight w:val="0"/>
          <w:marTop w:val="0"/>
          <w:marBottom w:val="0"/>
          <w:divBdr>
            <w:top w:val="none" w:sz="0" w:space="0" w:color="auto"/>
            <w:left w:val="none" w:sz="0" w:space="0" w:color="auto"/>
            <w:bottom w:val="none" w:sz="0" w:space="0" w:color="auto"/>
            <w:right w:val="none" w:sz="0" w:space="0" w:color="auto"/>
          </w:divBdr>
        </w:div>
      </w:divsChild>
    </w:div>
    <w:div w:id="2046170554">
      <w:bodyDiv w:val="1"/>
      <w:marLeft w:val="0"/>
      <w:marRight w:val="0"/>
      <w:marTop w:val="0"/>
      <w:marBottom w:val="0"/>
      <w:divBdr>
        <w:top w:val="none" w:sz="0" w:space="0" w:color="auto"/>
        <w:left w:val="none" w:sz="0" w:space="0" w:color="auto"/>
        <w:bottom w:val="none" w:sz="0" w:space="0" w:color="auto"/>
        <w:right w:val="none" w:sz="0" w:space="0" w:color="auto"/>
      </w:divBdr>
    </w:div>
    <w:div w:id="2052534173">
      <w:bodyDiv w:val="1"/>
      <w:marLeft w:val="0"/>
      <w:marRight w:val="0"/>
      <w:marTop w:val="0"/>
      <w:marBottom w:val="0"/>
      <w:divBdr>
        <w:top w:val="none" w:sz="0" w:space="0" w:color="auto"/>
        <w:left w:val="none" w:sz="0" w:space="0" w:color="auto"/>
        <w:bottom w:val="none" w:sz="0" w:space="0" w:color="auto"/>
        <w:right w:val="none" w:sz="0" w:space="0" w:color="auto"/>
      </w:divBdr>
    </w:div>
    <w:div w:id="2083794608">
      <w:bodyDiv w:val="1"/>
      <w:marLeft w:val="0"/>
      <w:marRight w:val="0"/>
      <w:marTop w:val="0"/>
      <w:marBottom w:val="0"/>
      <w:divBdr>
        <w:top w:val="none" w:sz="0" w:space="0" w:color="auto"/>
        <w:left w:val="none" w:sz="0" w:space="0" w:color="auto"/>
        <w:bottom w:val="none" w:sz="0" w:space="0" w:color="auto"/>
        <w:right w:val="none" w:sz="0" w:space="0" w:color="auto"/>
      </w:divBdr>
    </w:div>
    <w:div w:id="2110273440">
      <w:bodyDiv w:val="1"/>
      <w:marLeft w:val="0"/>
      <w:marRight w:val="0"/>
      <w:marTop w:val="0"/>
      <w:marBottom w:val="0"/>
      <w:divBdr>
        <w:top w:val="none" w:sz="0" w:space="0" w:color="auto"/>
        <w:left w:val="none" w:sz="0" w:space="0" w:color="auto"/>
        <w:bottom w:val="none" w:sz="0" w:space="0" w:color="auto"/>
        <w:right w:val="none" w:sz="0" w:space="0" w:color="auto"/>
      </w:divBdr>
    </w:div>
    <w:div w:id="2112969018">
      <w:bodyDiv w:val="1"/>
      <w:marLeft w:val="0"/>
      <w:marRight w:val="0"/>
      <w:marTop w:val="0"/>
      <w:marBottom w:val="0"/>
      <w:divBdr>
        <w:top w:val="none" w:sz="0" w:space="0" w:color="auto"/>
        <w:left w:val="none" w:sz="0" w:space="0" w:color="auto"/>
        <w:bottom w:val="none" w:sz="0" w:space="0" w:color="auto"/>
        <w:right w:val="none" w:sz="0" w:space="0" w:color="auto"/>
      </w:divBdr>
      <w:divsChild>
        <w:div w:id="45951797">
          <w:marLeft w:val="0"/>
          <w:marRight w:val="0"/>
          <w:marTop w:val="0"/>
          <w:marBottom w:val="0"/>
          <w:divBdr>
            <w:top w:val="none" w:sz="0" w:space="0" w:color="auto"/>
            <w:left w:val="none" w:sz="0" w:space="0" w:color="auto"/>
            <w:bottom w:val="none" w:sz="0" w:space="0" w:color="auto"/>
            <w:right w:val="none" w:sz="0" w:space="0" w:color="auto"/>
          </w:divBdr>
        </w:div>
        <w:div w:id="262035722">
          <w:marLeft w:val="0"/>
          <w:marRight w:val="0"/>
          <w:marTop w:val="0"/>
          <w:marBottom w:val="0"/>
          <w:divBdr>
            <w:top w:val="none" w:sz="0" w:space="0" w:color="auto"/>
            <w:left w:val="none" w:sz="0" w:space="0" w:color="auto"/>
            <w:bottom w:val="none" w:sz="0" w:space="0" w:color="auto"/>
            <w:right w:val="none" w:sz="0" w:space="0" w:color="auto"/>
          </w:divBdr>
        </w:div>
        <w:div w:id="312609411">
          <w:marLeft w:val="0"/>
          <w:marRight w:val="0"/>
          <w:marTop w:val="0"/>
          <w:marBottom w:val="0"/>
          <w:divBdr>
            <w:top w:val="none" w:sz="0" w:space="0" w:color="auto"/>
            <w:left w:val="none" w:sz="0" w:space="0" w:color="auto"/>
            <w:bottom w:val="none" w:sz="0" w:space="0" w:color="auto"/>
            <w:right w:val="none" w:sz="0" w:space="0" w:color="auto"/>
          </w:divBdr>
        </w:div>
        <w:div w:id="351036397">
          <w:marLeft w:val="0"/>
          <w:marRight w:val="0"/>
          <w:marTop w:val="0"/>
          <w:marBottom w:val="0"/>
          <w:divBdr>
            <w:top w:val="none" w:sz="0" w:space="0" w:color="auto"/>
            <w:left w:val="none" w:sz="0" w:space="0" w:color="auto"/>
            <w:bottom w:val="none" w:sz="0" w:space="0" w:color="auto"/>
            <w:right w:val="none" w:sz="0" w:space="0" w:color="auto"/>
          </w:divBdr>
        </w:div>
        <w:div w:id="356809150">
          <w:marLeft w:val="0"/>
          <w:marRight w:val="0"/>
          <w:marTop w:val="0"/>
          <w:marBottom w:val="0"/>
          <w:divBdr>
            <w:top w:val="none" w:sz="0" w:space="0" w:color="auto"/>
            <w:left w:val="none" w:sz="0" w:space="0" w:color="auto"/>
            <w:bottom w:val="none" w:sz="0" w:space="0" w:color="auto"/>
            <w:right w:val="none" w:sz="0" w:space="0" w:color="auto"/>
          </w:divBdr>
        </w:div>
        <w:div w:id="961377031">
          <w:marLeft w:val="0"/>
          <w:marRight w:val="0"/>
          <w:marTop w:val="0"/>
          <w:marBottom w:val="0"/>
          <w:divBdr>
            <w:top w:val="none" w:sz="0" w:space="0" w:color="auto"/>
            <w:left w:val="none" w:sz="0" w:space="0" w:color="auto"/>
            <w:bottom w:val="none" w:sz="0" w:space="0" w:color="auto"/>
            <w:right w:val="none" w:sz="0" w:space="0" w:color="auto"/>
          </w:divBdr>
        </w:div>
        <w:div w:id="1021470994">
          <w:marLeft w:val="0"/>
          <w:marRight w:val="0"/>
          <w:marTop w:val="0"/>
          <w:marBottom w:val="0"/>
          <w:divBdr>
            <w:top w:val="none" w:sz="0" w:space="0" w:color="auto"/>
            <w:left w:val="none" w:sz="0" w:space="0" w:color="auto"/>
            <w:bottom w:val="none" w:sz="0" w:space="0" w:color="auto"/>
            <w:right w:val="none" w:sz="0" w:space="0" w:color="auto"/>
          </w:divBdr>
        </w:div>
        <w:div w:id="1431049407">
          <w:marLeft w:val="0"/>
          <w:marRight w:val="0"/>
          <w:marTop w:val="0"/>
          <w:marBottom w:val="0"/>
          <w:divBdr>
            <w:top w:val="none" w:sz="0" w:space="0" w:color="auto"/>
            <w:left w:val="none" w:sz="0" w:space="0" w:color="auto"/>
            <w:bottom w:val="none" w:sz="0" w:space="0" w:color="auto"/>
            <w:right w:val="none" w:sz="0" w:space="0" w:color="auto"/>
          </w:divBdr>
        </w:div>
        <w:div w:id="1489707134">
          <w:marLeft w:val="0"/>
          <w:marRight w:val="0"/>
          <w:marTop w:val="0"/>
          <w:marBottom w:val="0"/>
          <w:divBdr>
            <w:top w:val="none" w:sz="0" w:space="0" w:color="auto"/>
            <w:left w:val="none" w:sz="0" w:space="0" w:color="auto"/>
            <w:bottom w:val="none" w:sz="0" w:space="0" w:color="auto"/>
            <w:right w:val="none" w:sz="0" w:space="0" w:color="auto"/>
          </w:divBdr>
        </w:div>
        <w:div w:id="19154368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oter" Target="footer1.xml"/><Relationship Id="rId26"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chart" Target="charts/chart4.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eader" Target="header2.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3.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chart" Target="charts/chart2.xml"/><Relationship Id="rId28" Type="http://schemas.openxmlformats.org/officeDocument/2006/relationships/footer" Target="footer5.xm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chart" Target="charts/chart1.xml"/><Relationship Id="rId27" Type="http://schemas.openxmlformats.org/officeDocument/2006/relationships/footer" Target="footer4.xml"/><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https://nswgov.sharepoint.com/sites/TSY2019-20Budget/Shared%20Documents/General/2021-22%20Budget/03.%20Budget%20Paper%20No%203%20(Infrastructure%20Statement)/Ch1%20-%20Investment%20Program/Budget%20Model_21-22%20-%20Tom%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nswgov.sharepoint.com/sites/TSY2019-20Budget/Shared%20Documents/General/2021-22%20Budget/03.%20Budget%20Paper%20No%203%20(Infrastructure%20Statement)/Ch1%20-%20Investment%20Program/Copy%20of%20Budget%20Model_21-22%20-%20Cleaned.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2" Type="http://schemas.openxmlformats.org/officeDocument/2006/relationships/oleObject" Target="https://nswgov-my.sharepoint.com/personal/josh_milner_treasury_nsw_gov_au/Documents/Desktop/Budget%20Model_21-22%20-%20Tom%201.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177005773200868E-2"/>
          <c:y val="4.9346259523877507E-2"/>
          <c:w val="0.89701506937801001"/>
          <c:h val="0.71858407731789731"/>
        </c:manualLayout>
      </c:layout>
      <c:barChart>
        <c:barDir val="col"/>
        <c:grouping val="stacked"/>
        <c:varyColors val="0"/>
        <c:ser>
          <c:idx val="0"/>
          <c:order val="0"/>
          <c:tx>
            <c:strRef>
              <c:f>'Chart 1.1 GG-PNFC chart'!$B$43</c:f>
              <c:strCache>
                <c:ptCount val="1"/>
                <c:pt idx="0">
                  <c:v>General Government Sector</c:v>
                </c:pt>
              </c:strCache>
            </c:strRef>
          </c:tx>
          <c:spPr>
            <a:solidFill>
              <a:srgbClr val="008EBA"/>
            </a:solidFill>
            <a:ln>
              <a:noFill/>
            </a:ln>
          </c:spPr>
          <c:invertIfNegative val="0"/>
          <c:cat>
            <c:multiLvlStrRef>
              <c:f>'Chart 1.1 GG-PNFC chart'!$M$41:$X$42</c:f>
              <c:multiLvlStrCache>
                <c:ptCount val="12"/>
                <c:lvl>
                  <c:pt idx="0">
                    <c:v>Actual</c:v>
                  </c:pt>
                  <c:pt idx="1">
                    <c:v>Actual</c:v>
                  </c:pt>
                  <c:pt idx="2">
                    <c:v>Actual</c:v>
                  </c:pt>
                  <c:pt idx="3">
                    <c:v>Actual</c:v>
                  </c:pt>
                  <c:pt idx="4">
                    <c:v>Actual</c:v>
                  </c:pt>
                  <c:pt idx="5">
                    <c:v>Actual</c:v>
                  </c:pt>
                  <c:pt idx="6">
                    <c:v>Actual</c:v>
                  </c:pt>
                  <c:pt idx="7">
                    <c:v>Revised</c:v>
                  </c:pt>
                  <c:pt idx="8">
                    <c:v>Budget</c:v>
                  </c:pt>
                  <c:pt idx="9">
                    <c:v>Estimate</c:v>
                  </c:pt>
                  <c:pt idx="10">
                    <c:v>Estimate</c:v>
                  </c:pt>
                  <c:pt idx="11">
                    <c:v>Estimate</c:v>
                  </c:pt>
                </c:lvl>
                <c:lvl>
                  <c:pt idx="0">
                    <c:v> 2013-14</c:v>
                  </c:pt>
                  <c:pt idx="1">
                    <c:v>2014-15</c:v>
                  </c:pt>
                  <c:pt idx="2">
                    <c:v>2015-16</c:v>
                  </c:pt>
                  <c:pt idx="3">
                    <c:v>2016-17</c:v>
                  </c:pt>
                  <c:pt idx="4">
                    <c:v>2017-18</c:v>
                  </c:pt>
                  <c:pt idx="5">
                    <c:v>2018-19</c:v>
                  </c:pt>
                  <c:pt idx="6">
                    <c:v>2019-20</c:v>
                  </c:pt>
                  <c:pt idx="7">
                    <c:v>2020-21</c:v>
                  </c:pt>
                  <c:pt idx="8">
                    <c:v>2021-22</c:v>
                  </c:pt>
                  <c:pt idx="9">
                    <c:v>2022-23</c:v>
                  </c:pt>
                  <c:pt idx="10">
                    <c:v>2023-24</c:v>
                  </c:pt>
                  <c:pt idx="11">
                    <c:v>2024-25</c:v>
                  </c:pt>
                </c:lvl>
              </c:multiLvlStrCache>
            </c:multiLvlStrRef>
          </c:cat>
          <c:val>
            <c:numRef>
              <c:f>'Chart 1.1 GG-PNFC chart'!$M$43:$X$43</c:f>
              <c:numCache>
                <c:formatCode>_-* #,##0_-;\-* #,##0_-;_-* "-"??_-;_-@_-</c:formatCode>
                <c:ptCount val="12"/>
                <c:pt idx="0">
                  <c:v>8545.9950000000008</c:v>
                </c:pt>
                <c:pt idx="1">
                  <c:v>9483.5220000000008</c:v>
                </c:pt>
                <c:pt idx="2">
                  <c:v>9351.3639987299994</c:v>
                </c:pt>
                <c:pt idx="3">
                  <c:v>10546.352999999999</c:v>
                </c:pt>
                <c:pt idx="4">
                  <c:v>12121.065581140007</c:v>
                </c:pt>
                <c:pt idx="5">
                  <c:v>16622.816443531603</c:v>
                </c:pt>
                <c:pt idx="6">
                  <c:v>20985.111912620625</c:v>
                </c:pt>
                <c:pt idx="7">
                  <c:v>20168.963904530487</c:v>
                </c:pt>
                <c:pt idx="8">
                  <c:v>23227.538168756295</c:v>
                </c:pt>
                <c:pt idx="9">
                  <c:v>22972.317373306498</c:v>
                </c:pt>
                <c:pt idx="10">
                  <c:v>20569.860570288703</c:v>
                </c:pt>
                <c:pt idx="11">
                  <c:v>18856.754434339095</c:v>
                </c:pt>
              </c:numCache>
            </c:numRef>
          </c:val>
          <c:extLst>
            <c:ext xmlns:c16="http://schemas.microsoft.com/office/drawing/2014/chart" uri="{C3380CC4-5D6E-409C-BE32-E72D297353CC}">
              <c16:uniqueId val="{00000000-B449-47A0-A16D-EF8680E12C69}"/>
            </c:ext>
          </c:extLst>
        </c:ser>
        <c:ser>
          <c:idx val="2"/>
          <c:order val="4"/>
          <c:tx>
            <c:strRef>
              <c:f>'Chart 1.1 GG-PNFC chart'!$B$44</c:f>
              <c:strCache>
                <c:ptCount val="1"/>
                <c:pt idx="0">
                  <c:v>PNFC Sector</c:v>
                </c:pt>
              </c:strCache>
            </c:strRef>
          </c:tx>
          <c:spPr>
            <a:solidFill>
              <a:srgbClr val="00426F"/>
            </a:solidFill>
          </c:spPr>
          <c:invertIfNegative val="0"/>
          <c:cat>
            <c:multiLvlStrRef>
              <c:f>'Chart 1.1 GG-PNFC chart'!$M$41:$X$42</c:f>
              <c:multiLvlStrCache>
                <c:ptCount val="12"/>
                <c:lvl>
                  <c:pt idx="0">
                    <c:v>Actual</c:v>
                  </c:pt>
                  <c:pt idx="1">
                    <c:v>Actual</c:v>
                  </c:pt>
                  <c:pt idx="2">
                    <c:v>Actual</c:v>
                  </c:pt>
                  <c:pt idx="3">
                    <c:v>Actual</c:v>
                  </c:pt>
                  <c:pt idx="4">
                    <c:v>Actual</c:v>
                  </c:pt>
                  <c:pt idx="5">
                    <c:v>Actual</c:v>
                  </c:pt>
                  <c:pt idx="6">
                    <c:v>Actual</c:v>
                  </c:pt>
                  <c:pt idx="7">
                    <c:v>Revised</c:v>
                  </c:pt>
                  <c:pt idx="8">
                    <c:v>Budget</c:v>
                  </c:pt>
                  <c:pt idx="9">
                    <c:v>Estimate</c:v>
                  </c:pt>
                  <c:pt idx="10">
                    <c:v>Estimate</c:v>
                  </c:pt>
                  <c:pt idx="11">
                    <c:v>Estimate</c:v>
                  </c:pt>
                </c:lvl>
                <c:lvl>
                  <c:pt idx="0">
                    <c:v> 2013-14</c:v>
                  </c:pt>
                  <c:pt idx="1">
                    <c:v>2014-15</c:v>
                  </c:pt>
                  <c:pt idx="2">
                    <c:v>2015-16</c:v>
                  </c:pt>
                  <c:pt idx="3">
                    <c:v>2016-17</c:v>
                  </c:pt>
                  <c:pt idx="4">
                    <c:v>2017-18</c:v>
                  </c:pt>
                  <c:pt idx="5">
                    <c:v>2018-19</c:v>
                  </c:pt>
                  <c:pt idx="6">
                    <c:v>2019-20</c:v>
                  </c:pt>
                  <c:pt idx="7">
                    <c:v>2020-21</c:v>
                  </c:pt>
                  <c:pt idx="8">
                    <c:v>2021-22</c:v>
                  </c:pt>
                  <c:pt idx="9">
                    <c:v>2022-23</c:v>
                  </c:pt>
                  <c:pt idx="10">
                    <c:v>2023-24</c:v>
                  </c:pt>
                  <c:pt idx="11">
                    <c:v>2024-25</c:v>
                  </c:pt>
                </c:lvl>
              </c:multiLvlStrCache>
            </c:multiLvlStrRef>
          </c:cat>
          <c:val>
            <c:numRef>
              <c:f>'Chart 1.1 GG-PNFC chart'!$M$44:$X$44</c:f>
              <c:numCache>
                <c:formatCode>#,##0</c:formatCode>
                <c:ptCount val="12"/>
                <c:pt idx="0">
                  <c:v>5331.5860000000002</c:v>
                </c:pt>
                <c:pt idx="1">
                  <c:v>3928.1379999999999</c:v>
                </c:pt>
                <c:pt idx="2">
                  <c:v>6823.3591207399995</c:v>
                </c:pt>
                <c:pt idx="3">
                  <c:v>7650.8899999999985</c:v>
                </c:pt>
                <c:pt idx="4">
                  <c:v>5762.5146773699998</c:v>
                </c:pt>
                <c:pt idx="5">
                  <c:v>5202.48123442</c:v>
                </c:pt>
                <c:pt idx="6">
                  <c:v>4279.6342177799997</c:v>
                </c:pt>
                <c:pt idx="7">
                  <c:v>5303.5210769713822</c:v>
                </c:pt>
                <c:pt idx="8">
                  <c:v>7121.7115591800002</c:v>
                </c:pt>
                <c:pt idx="9">
                  <c:v>6463.2390504200002</c:v>
                </c:pt>
                <c:pt idx="10">
                  <c:v>5448.2602545</c:v>
                </c:pt>
                <c:pt idx="11">
                  <c:v>3871.62159539</c:v>
                </c:pt>
              </c:numCache>
            </c:numRef>
          </c:val>
          <c:extLst>
            <c:ext xmlns:c16="http://schemas.microsoft.com/office/drawing/2014/chart" uri="{C3380CC4-5D6E-409C-BE32-E72D297353CC}">
              <c16:uniqueId val="{00000001-B449-47A0-A16D-EF8680E12C69}"/>
            </c:ext>
          </c:extLst>
        </c:ser>
        <c:dLbls>
          <c:showLegendKey val="0"/>
          <c:showVal val="0"/>
          <c:showCatName val="0"/>
          <c:showSerName val="0"/>
          <c:showPercent val="0"/>
          <c:showBubbleSize val="0"/>
        </c:dLbls>
        <c:gapWidth val="150"/>
        <c:overlap val="100"/>
        <c:axId val="693073408"/>
        <c:axId val="693074944"/>
      </c:barChart>
      <c:lineChart>
        <c:grouping val="standard"/>
        <c:varyColors val="0"/>
        <c:ser>
          <c:idx val="4"/>
          <c:order val="1"/>
          <c:tx>
            <c:strRef>
              <c:f>'Chart 1.1 GG-PNFC chart'!$AA$41:$AB$41</c:f>
              <c:strCache>
                <c:ptCount val="2"/>
                <c:pt idx="0">
                  <c:v>over 4 years to 2016-17</c:v>
                </c:pt>
              </c:strCache>
            </c:strRef>
          </c:tx>
          <c:spPr>
            <a:ln w="31750">
              <a:solidFill>
                <a:schemeClr val="tx1"/>
              </a:solidFill>
              <a:prstDash val="sysDash"/>
            </a:ln>
          </c:spPr>
          <c:marker>
            <c:symbol val="none"/>
          </c:marker>
          <c:cat>
            <c:multiLvlStrRef>
              <c:f>'Chart 1.1 GG-PNFC chart'!$S$41:$W$42</c:f>
              <c:multiLvlStrCache>
                <c:ptCount val="5"/>
                <c:lvl>
                  <c:pt idx="0">
                    <c:v>Actual</c:v>
                  </c:pt>
                  <c:pt idx="1">
                    <c:v>Revised</c:v>
                  </c:pt>
                  <c:pt idx="2">
                    <c:v>Budget</c:v>
                  </c:pt>
                  <c:pt idx="3">
                    <c:v>Estimate</c:v>
                  </c:pt>
                  <c:pt idx="4">
                    <c:v>Estimate</c:v>
                  </c:pt>
                </c:lvl>
                <c:lvl>
                  <c:pt idx="0">
                    <c:v>2019-20</c:v>
                  </c:pt>
                  <c:pt idx="1">
                    <c:v>2020-21</c:v>
                  </c:pt>
                  <c:pt idx="2">
                    <c:v>2021-22</c:v>
                  </c:pt>
                  <c:pt idx="3">
                    <c:v>2022-23</c:v>
                  </c:pt>
                  <c:pt idx="4">
                    <c:v>2023-24</c:v>
                  </c:pt>
                </c:lvl>
              </c:multiLvlStrCache>
            </c:multiLvlStrRef>
          </c:cat>
          <c:val>
            <c:numRef>
              <c:f>'Chart 1.1 GG-PNFC chart'!$M$51:$P$51</c:f>
              <c:numCache>
                <c:formatCode>_-* #,##0_-;\-* #,##0_-;_-* "-"??_-;_-@_-</c:formatCode>
                <c:ptCount val="4"/>
                <c:pt idx="0">
                  <c:v>15415.301779867499</c:v>
                </c:pt>
                <c:pt idx="1">
                  <c:v>15415.301779867499</c:v>
                </c:pt>
                <c:pt idx="2">
                  <c:v>15415.301779867499</c:v>
                </c:pt>
                <c:pt idx="3">
                  <c:v>15415.301779867499</c:v>
                </c:pt>
              </c:numCache>
            </c:numRef>
          </c:val>
          <c:smooth val="0"/>
          <c:extLst>
            <c:ext xmlns:c16="http://schemas.microsoft.com/office/drawing/2014/chart" uri="{C3380CC4-5D6E-409C-BE32-E72D297353CC}">
              <c16:uniqueId val="{00000002-B449-47A0-A16D-EF8680E12C69}"/>
            </c:ext>
          </c:extLst>
        </c:ser>
        <c:ser>
          <c:idx val="5"/>
          <c:order val="2"/>
          <c:tx>
            <c:strRef>
              <c:f>'Chart 1.1 GG-PNFC chart'!$AC$41:$AD$41</c:f>
              <c:strCache>
                <c:ptCount val="2"/>
                <c:pt idx="0">
                  <c:v>over 4 years to 2020-21</c:v>
                </c:pt>
              </c:strCache>
            </c:strRef>
          </c:tx>
          <c:spPr>
            <a:ln w="31750">
              <a:solidFill>
                <a:schemeClr val="tx1"/>
              </a:solidFill>
              <a:prstDash val="sysDash"/>
            </a:ln>
          </c:spPr>
          <c:marker>
            <c:symbol val="none"/>
          </c:marker>
          <c:cat>
            <c:multiLvlStrRef>
              <c:f>'Chart 1.1 GG-PNFC chart'!$S$41:$W$42</c:f>
              <c:multiLvlStrCache>
                <c:ptCount val="5"/>
                <c:lvl>
                  <c:pt idx="0">
                    <c:v>Actual</c:v>
                  </c:pt>
                  <c:pt idx="1">
                    <c:v>Revised</c:v>
                  </c:pt>
                  <c:pt idx="2">
                    <c:v>Budget</c:v>
                  </c:pt>
                  <c:pt idx="3">
                    <c:v>Estimate</c:v>
                  </c:pt>
                  <c:pt idx="4">
                    <c:v>Estimate</c:v>
                  </c:pt>
                </c:lvl>
                <c:lvl>
                  <c:pt idx="0">
                    <c:v>2019-20</c:v>
                  </c:pt>
                  <c:pt idx="1">
                    <c:v>2020-21</c:v>
                  </c:pt>
                  <c:pt idx="2">
                    <c:v>2021-22</c:v>
                  </c:pt>
                  <c:pt idx="3">
                    <c:v>2022-23</c:v>
                  </c:pt>
                  <c:pt idx="4">
                    <c:v>2023-24</c:v>
                  </c:pt>
                </c:lvl>
              </c:multiLvlStrCache>
            </c:multiLvlStrRef>
          </c:cat>
          <c:val>
            <c:numRef>
              <c:f>'Chart 1.1 GG-PNFC chart'!$M$52:$X$52</c:f>
              <c:numCache>
                <c:formatCode>General</c:formatCode>
                <c:ptCount val="12"/>
                <c:pt idx="4" formatCode="_-* #,##0_-;\-* #,##0_-;_-* &quot;-&quot;??_-;_-@_-">
                  <c:v>22611.527262091025</c:v>
                </c:pt>
                <c:pt idx="5" formatCode="_-* #,##0_-;\-* #,##0_-;_-* &quot;-&quot;??_-;_-@_-">
                  <c:v>22611.527262091025</c:v>
                </c:pt>
                <c:pt idx="6" formatCode="_-* #,##0_-;\-* #,##0_-;_-* &quot;-&quot;??_-;_-@_-">
                  <c:v>22611.527262091025</c:v>
                </c:pt>
                <c:pt idx="7" formatCode="_-* #,##0_-;\-* #,##0_-;_-* &quot;-&quot;??_-;_-@_-">
                  <c:v>22611.527262091025</c:v>
                </c:pt>
              </c:numCache>
            </c:numRef>
          </c:val>
          <c:smooth val="0"/>
          <c:extLst>
            <c:ext xmlns:c16="http://schemas.microsoft.com/office/drawing/2014/chart" uri="{C3380CC4-5D6E-409C-BE32-E72D297353CC}">
              <c16:uniqueId val="{00000003-B449-47A0-A16D-EF8680E12C69}"/>
            </c:ext>
          </c:extLst>
        </c:ser>
        <c:ser>
          <c:idx val="1"/>
          <c:order val="3"/>
          <c:tx>
            <c:strRef>
              <c:f>'Chart 1.1 GG-PNFC chart'!$AE$41:$AF$41</c:f>
              <c:strCache>
                <c:ptCount val="2"/>
                <c:pt idx="0">
                  <c:v>over 4 years to 2024-25</c:v>
                </c:pt>
              </c:strCache>
            </c:strRef>
          </c:tx>
          <c:spPr>
            <a:ln w="31750">
              <a:solidFill>
                <a:schemeClr val="tx1"/>
              </a:solidFill>
              <a:prstDash val="sysDash"/>
            </a:ln>
          </c:spPr>
          <c:marker>
            <c:symbol val="none"/>
          </c:marker>
          <c:cat>
            <c:multiLvlStrRef>
              <c:f>'Chart 1.1 GG-PNFC chart'!$S$41:$W$42</c:f>
              <c:multiLvlStrCache>
                <c:ptCount val="5"/>
                <c:lvl>
                  <c:pt idx="0">
                    <c:v>Actual</c:v>
                  </c:pt>
                  <c:pt idx="1">
                    <c:v>Revised</c:v>
                  </c:pt>
                  <c:pt idx="2">
                    <c:v>Budget</c:v>
                  </c:pt>
                  <c:pt idx="3">
                    <c:v>Estimate</c:v>
                  </c:pt>
                  <c:pt idx="4">
                    <c:v>Estimate</c:v>
                  </c:pt>
                </c:lvl>
                <c:lvl>
                  <c:pt idx="0">
                    <c:v>2019-20</c:v>
                  </c:pt>
                  <c:pt idx="1">
                    <c:v>2020-21</c:v>
                  </c:pt>
                  <c:pt idx="2">
                    <c:v>2021-22</c:v>
                  </c:pt>
                  <c:pt idx="3">
                    <c:v>2022-23</c:v>
                  </c:pt>
                  <c:pt idx="4">
                    <c:v>2023-24</c:v>
                  </c:pt>
                </c:lvl>
              </c:multiLvlStrCache>
            </c:multiLvlStrRef>
          </c:cat>
          <c:val>
            <c:numRef>
              <c:f>'Chart 1.1 GG-PNFC chart'!$M$53:$X$53</c:f>
              <c:numCache>
                <c:formatCode>General</c:formatCode>
                <c:ptCount val="12"/>
                <c:pt idx="8" formatCode="_-* #,##0_-;\-* #,##0_-;_-* &quot;-&quot;??_-;_-@_-">
                  <c:v>27132.825751545148</c:v>
                </c:pt>
                <c:pt idx="9" formatCode="_-* #,##0_-;\-* #,##0_-;_-* &quot;-&quot;??_-;_-@_-">
                  <c:v>27132.825751545148</c:v>
                </c:pt>
                <c:pt idx="10" formatCode="_-* #,##0_-;\-* #,##0_-;_-* &quot;-&quot;??_-;_-@_-">
                  <c:v>27132.825751545148</c:v>
                </c:pt>
                <c:pt idx="11" formatCode="_-* #,##0_-;\-* #,##0_-;_-* &quot;-&quot;??_-;_-@_-">
                  <c:v>27132.825751545148</c:v>
                </c:pt>
              </c:numCache>
            </c:numRef>
          </c:val>
          <c:smooth val="0"/>
          <c:extLst>
            <c:ext xmlns:c16="http://schemas.microsoft.com/office/drawing/2014/chart" uri="{C3380CC4-5D6E-409C-BE32-E72D297353CC}">
              <c16:uniqueId val="{00000004-B449-47A0-A16D-EF8680E12C69}"/>
            </c:ext>
          </c:extLst>
        </c:ser>
        <c:dLbls>
          <c:showLegendKey val="0"/>
          <c:showVal val="0"/>
          <c:showCatName val="0"/>
          <c:showSerName val="0"/>
          <c:showPercent val="0"/>
          <c:showBubbleSize val="0"/>
        </c:dLbls>
        <c:marker val="1"/>
        <c:smooth val="0"/>
        <c:axId val="693073408"/>
        <c:axId val="693074944"/>
      </c:lineChart>
      <c:catAx>
        <c:axId val="693073408"/>
        <c:scaling>
          <c:orientation val="minMax"/>
        </c:scaling>
        <c:delete val="0"/>
        <c:axPos val="b"/>
        <c:numFmt formatCode="General" sourceLinked="0"/>
        <c:majorTickMark val="out"/>
        <c:minorTickMark val="none"/>
        <c:tickLblPos val="nextTo"/>
        <c:spPr>
          <a:ln w="3175">
            <a:noFill/>
          </a:ln>
        </c:spPr>
        <c:txPr>
          <a:bodyPr rot="0" vert="horz"/>
          <a:lstStyle/>
          <a:p>
            <a:pPr>
              <a:defRPr sz="700">
                <a:solidFill>
                  <a:srgbClr val="57514D"/>
                </a:solidFill>
              </a:defRPr>
            </a:pPr>
            <a:endParaRPr lang="en-US"/>
          </a:p>
        </c:txPr>
        <c:crossAx val="693074944"/>
        <c:crosses val="autoZero"/>
        <c:auto val="1"/>
        <c:lblAlgn val="ctr"/>
        <c:lblOffset val="100"/>
        <c:noMultiLvlLbl val="1"/>
      </c:catAx>
      <c:valAx>
        <c:axId val="693074944"/>
        <c:scaling>
          <c:orientation val="minMax"/>
          <c:max val="30000"/>
        </c:scaling>
        <c:delete val="0"/>
        <c:axPos val="l"/>
        <c:majorGridlines>
          <c:spPr>
            <a:ln w="3175">
              <a:solidFill>
                <a:srgbClr val="DFDCDA"/>
              </a:solidFill>
              <a:prstDash val="solid"/>
            </a:ln>
          </c:spPr>
        </c:majorGridlines>
        <c:title>
          <c:tx>
            <c:rich>
              <a:bodyPr rot="-5400000" vert="horz"/>
              <a:lstStyle/>
              <a:p>
                <a:pPr>
                  <a:defRPr sz="700" b="0"/>
                </a:pPr>
                <a:r>
                  <a:rPr lang="en-US" sz="700" b="0"/>
                  <a:t>$ millions</a:t>
                </a:r>
              </a:p>
            </c:rich>
          </c:tx>
          <c:layout>
            <c:manualLayout>
              <c:xMode val="edge"/>
              <c:yMode val="edge"/>
              <c:x val="9.3287871726314611E-3"/>
              <c:y val="0.36239032421655193"/>
            </c:manualLayout>
          </c:layout>
          <c:overlay val="0"/>
        </c:title>
        <c:numFmt formatCode="#,##0" sourceLinked="0"/>
        <c:majorTickMark val="out"/>
        <c:minorTickMark val="none"/>
        <c:tickLblPos val="nextTo"/>
        <c:spPr>
          <a:ln w="3175">
            <a:noFill/>
          </a:ln>
        </c:spPr>
        <c:txPr>
          <a:bodyPr/>
          <a:lstStyle/>
          <a:p>
            <a:pPr>
              <a:defRPr sz="700"/>
            </a:pPr>
            <a:endParaRPr lang="en-US"/>
          </a:p>
        </c:txPr>
        <c:crossAx val="693073408"/>
        <c:crossesAt val="1"/>
        <c:crossBetween val="between"/>
        <c:majorUnit val="3000"/>
      </c:valAx>
    </c:plotArea>
    <c:legend>
      <c:legendPos val="b"/>
      <c:legendEntry>
        <c:idx val="0"/>
        <c:txPr>
          <a:bodyPr/>
          <a:lstStyle/>
          <a:p>
            <a:pPr>
              <a:defRPr sz="700"/>
            </a:pPr>
            <a:endParaRPr lang="en-US"/>
          </a:p>
        </c:txPr>
      </c:legendEntry>
      <c:legendEntry>
        <c:idx val="1"/>
        <c:txPr>
          <a:bodyPr/>
          <a:lstStyle/>
          <a:p>
            <a:pPr>
              <a:defRPr sz="700"/>
            </a:pPr>
            <a:endParaRPr lang="en-US"/>
          </a:p>
        </c:txPr>
      </c:legendEntry>
      <c:layout>
        <c:manualLayout>
          <c:xMode val="edge"/>
          <c:yMode val="edge"/>
          <c:x val="0.20992751828763845"/>
          <c:y val="0.91885403786050168"/>
          <c:w val="0.67988532035155358"/>
          <c:h val="6.8074447126419108E-2"/>
        </c:manualLayout>
      </c:layout>
      <c:overlay val="0"/>
    </c:legend>
    <c:plotVisOnly val="1"/>
    <c:dispBlanksAs val="gap"/>
    <c:showDLblsOverMax val="0"/>
  </c:chart>
  <c:spPr>
    <a:noFill/>
    <a:ln>
      <a:noFill/>
    </a:ln>
  </c:spPr>
  <c:txPr>
    <a:bodyPr/>
    <a:lstStyle/>
    <a:p>
      <a:pPr>
        <a:defRPr sz="650">
          <a:solidFill>
            <a:srgbClr val="57514D"/>
          </a:solidFill>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586054605648638E-2"/>
          <c:y val="4.7408490462289898E-2"/>
          <c:w val="0.88812494347040982"/>
          <c:h val="0.88003915711907987"/>
        </c:manualLayout>
      </c:layout>
      <c:barChart>
        <c:barDir val="col"/>
        <c:grouping val="stacked"/>
        <c:varyColors val="0"/>
        <c:ser>
          <c:idx val="0"/>
          <c:order val="0"/>
          <c:tx>
            <c:strRef>
              <c:f>'Funding Source Adjustments'!$A$47</c:f>
              <c:strCache>
                <c:ptCount val="1"/>
                <c:pt idx="0">
                  <c:v>General Government</c:v>
                </c:pt>
              </c:strCache>
            </c:strRef>
          </c:tx>
          <c:spPr>
            <a:solidFill>
              <a:srgbClr val="008EBA"/>
            </a:solidFill>
            <a:ln>
              <a:noFill/>
            </a:ln>
          </c:spPr>
          <c:invertIfNegative val="0"/>
          <c:dPt>
            <c:idx val="0"/>
            <c:invertIfNegative val="0"/>
            <c:bubble3D val="0"/>
            <c:spPr>
              <a:solidFill>
                <a:srgbClr val="008EBA"/>
              </a:solidFill>
              <a:ln w="25400" cap="flat" cmpd="sng" algn="ctr">
                <a:noFill/>
                <a:prstDash val="solid"/>
              </a:ln>
              <a:effectLst/>
            </c:spPr>
            <c:extLst>
              <c:ext xmlns:c16="http://schemas.microsoft.com/office/drawing/2014/chart" uri="{C3380CC4-5D6E-409C-BE32-E72D297353CC}">
                <c16:uniqueId val="{00000001-1039-42BD-A7D7-180FAE5548BB}"/>
              </c:ext>
            </c:extLst>
          </c:dPt>
          <c:dLbls>
            <c:dLbl>
              <c:idx val="0"/>
              <c:tx>
                <c:strRef>
                  <c:f>'Funding Source Adjustments'!$R$29</c:f>
                  <c:strCache>
                    <c:ptCount val="1"/>
                    <c:pt idx="0">
                      <c:v>General Government: $85.6 billion</c:v>
                    </c:pt>
                  </c:strCache>
                </c:strRef>
              </c:tx>
              <c:numFmt formatCode="#,##0.0_ ;[Red]\-#,##0.0\ " sourceLinked="0"/>
              <c:spPr/>
              <c:txPr>
                <a:bodyPr/>
                <a:lstStyle/>
                <a:p>
                  <a:pPr>
                    <a:defRPr sz="650">
                      <a:solidFill>
                        <a:schemeClr val="bg1"/>
                      </a:solidFill>
                    </a:defRPr>
                  </a:pPr>
                  <a:endParaRPr lang="en-US"/>
                </a:p>
              </c:txPr>
              <c:dLblPos val="ctr"/>
              <c:showLegendKey val="0"/>
              <c:showVal val="0"/>
              <c:showCatName val="0"/>
              <c:showSerName val="1"/>
              <c:showPercent val="0"/>
              <c:showBubbleSize val="0"/>
              <c:separator>
</c:separator>
              <c:extLst>
                <c:ext xmlns:c15="http://schemas.microsoft.com/office/drawing/2012/chart" uri="{CE6537A1-D6FC-4f65-9D91-7224C49458BB}">
                  <c15:layout>
                    <c:manualLayout>
                      <c:w val="0.12559245592455925"/>
                      <c:h val="0.12481645943203694"/>
                    </c:manualLayout>
                  </c15:layout>
                  <c15:dlblFieldTable>
                    <c15:dlblFTEntry>
                      <c15:txfldGUID>{E576630F-9A52-47AE-81E6-71C78CE6A721}</c15:txfldGUID>
                      <c15:f>'Funding Source Adjustments'!$R$29</c15:f>
                      <c15:dlblFieldTableCache>
                        <c:ptCount val="1"/>
                        <c:pt idx="0">
                          <c:v>General Government: $85.6 billion</c:v>
                        </c:pt>
                      </c15:dlblFieldTableCache>
                    </c15:dlblFTEntry>
                  </c15:dlblFieldTable>
                  <c15:showDataLabelsRange val="0"/>
                </c:ext>
                <c:ext xmlns:c16="http://schemas.microsoft.com/office/drawing/2014/chart" uri="{C3380CC4-5D6E-409C-BE32-E72D297353CC}">
                  <c16:uniqueId val="{00000001-1039-42BD-A7D7-180FAE5548BB}"/>
                </c:ext>
              </c:extLst>
            </c:dLbl>
            <c:dLbl>
              <c:idx val="1"/>
              <c:tx>
                <c:rich>
                  <a:bodyPr/>
                  <a:lstStyle/>
                  <a:p>
                    <a:endParaRPr lang="en-AU"/>
                  </a:p>
                </c:rich>
              </c:tx>
              <c:dLblPos val="ctr"/>
              <c:showLegendKey val="0"/>
              <c:showVal val="0"/>
              <c:showCatName val="0"/>
              <c:showSerName val="1"/>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039-42BD-A7D7-180FAE5548BB}"/>
                </c:ext>
              </c:extLst>
            </c:dLbl>
            <c:numFmt formatCode="#,##0.0" sourceLinked="0"/>
            <c:spPr>
              <a:noFill/>
              <a:ln>
                <a:noFill/>
              </a:ln>
              <a:effectLst/>
            </c:spPr>
            <c:txPr>
              <a:bodyPr/>
              <a:lstStyle/>
              <a:p>
                <a:pPr>
                  <a:defRPr sz="650">
                    <a:solidFill>
                      <a:schemeClr val="bg1"/>
                    </a:solidFill>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DataLabelsRange val="1"/>
                <c15:showLeaderLines val="0"/>
              </c:ext>
            </c:extLst>
          </c:dLbls>
          <c:cat>
            <c:numRef>
              <c:f>'Funding Source Adjustments'!$P$28:$Q$28</c:f>
              <c:numCache>
                <c:formatCode>General</c:formatCode>
                <c:ptCount val="2"/>
              </c:numCache>
            </c:numRef>
          </c:cat>
          <c:val>
            <c:numRef>
              <c:f>'Funding Source Adjustments'!$P$47:$Q$47</c:f>
              <c:numCache>
                <c:formatCode>General</c:formatCode>
                <c:ptCount val="2"/>
                <c:pt idx="0" formatCode="_(* #,##0.00_);_(* \(#,##0.00\);_(* &quot;-&quot;??_);_(@_)">
                  <c:v>85626.470546690587</c:v>
                </c:pt>
              </c:numCache>
            </c:numRef>
          </c:val>
          <c:extLst>
            <c:ext xmlns:c16="http://schemas.microsoft.com/office/drawing/2014/chart" uri="{C3380CC4-5D6E-409C-BE32-E72D297353CC}">
              <c16:uniqueId val="{00000003-1039-42BD-A7D7-180FAE5548BB}"/>
            </c:ext>
          </c:extLst>
        </c:ser>
        <c:ser>
          <c:idx val="1"/>
          <c:order val="1"/>
          <c:tx>
            <c:strRef>
              <c:f>'Funding Source Adjustments'!$A$48</c:f>
              <c:strCache>
                <c:ptCount val="1"/>
                <c:pt idx="0">
                  <c:v>PNFC</c:v>
                </c:pt>
              </c:strCache>
            </c:strRef>
          </c:tx>
          <c:spPr>
            <a:solidFill>
              <a:srgbClr val="00426F"/>
            </a:solidFill>
            <a:ln w="25400" cap="flat" cmpd="sng" algn="ctr">
              <a:noFill/>
              <a:prstDash val="solid"/>
            </a:ln>
            <a:effectLst/>
          </c:spPr>
          <c:invertIfNegative val="0"/>
          <c:dLbls>
            <c:dLbl>
              <c:idx val="0"/>
              <c:tx>
                <c:strRef>
                  <c:f>'Funding Source Adjustments'!$R$30</c:f>
                  <c:strCache>
                    <c:ptCount val="1"/>
                    <c:pt idx="0">
                      <c:v>Public Non-Financial Corporations: $22.9 billion</c:v>
                    </c:pt>
                  </c:strCache>
                </c:strRef>
              </c:tx>
              <c:spPr>
                <a:noFill/>
                <a:ln>
                  <a:noFill/>
                </a:ln>
                <a:effectLst/>
              </c:spPr>
              <c:txPr>
                <a:bodyPr wrap="square" lIns="38100" tIns="19050" rIns="38100" bIns="19050" anchor="ctr">
                  <a:noAutofit/>
                </a:bodyPr>
                <a:lstStyle/>
                <a:p>
                  <a:pPr>
                    <a:defRPr sz="650">
                      <a:solidFill>
                        <a:schemeClr val="bg1"/>
                      </a:solidFill>
                    </a:defRPr>
                  </a:pPr>
                  <a:endParaRPr lang="en-US"/>
                </a:p>
              </c:txPr>
              <c:dLblPos val="ct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2658473041423327"/>
                      <c:h val="0.14257716805487503"/>
                    </c:manualLayout>
                  </c15:layout>
                  <c15:dlblFieldTable>
                    <c15:dlblFTEntry>
                      <c15:txfldGUID>{3A35E05F-C685-41CF-9F4D-CD17110485AE}</c15:txfldGUID>
                      <c15:f>'Funding Source Adjustments'!$R$30</c15:f>
                      <c15:dlblFieldTableCache>
                        <c:ptCount val="1"/>
                        <c:pt idx="0">
                          <c:v>Public Non-Financial Corporations: $22.9 billion</c:v>
                        </c:pt>
                      </c15:dlblFieldTableCache>
                    </c15:dlblFTEntry>
                  </c15:dlblFieldTable>
                  <c15:showDataLabelsRange val="1"/>
                </c:ext>
                <c:ext xmlns:c16="http://schemas.microsoft.com/office/drawing/2014/chart" uri="{C3380CC4-5D6E-409C-BE32-E72D297353CC}">
                  <c16:uniqueId val="{00000004-1039-42BD-A7D7-180FAE5548BB}"/>
                </c:ext>
              </c:extLst>
            </c:dLbl>
            <c:dLbl>
              <c:idx val="1"/>
              <c:tx>
                <c:rich>
                  <a:bodyPr/>
                  <a:lstStyle/>
                  <a:p>
                    <a:endParaRPr lang="en-US"/>
                  </a:p>
                </c:rich>
              </c:tx>
              <c:dLblPos val="ctr"/>
              <c:showLegendKey val="0"/>
              <c:showVal val="0"/>
              <c:showCatName val="0"/>
              <c:showSerName val="1"/>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1039-42BD-A7D7-180FAE5548BB}"/>
                </c:ext>
              </c:extLst>
            </c:dLbl>
            <c:spPr>
              <a:noFill/>
              <a:ln>
                <a:noFill/>
              </a:ln>
              <a:effectLst/>
            </c:spPr>
            <c:txPr>
              <a:bodyPr wrap="square" lIns="38100" tIns="19050" rIns="38100" bIns="19050" anchor="ctr">
                <a:spAutoFit/>
              </a:bodyPr>
              <a:lstStyle/>
              <a:p>
                <a:pPr>
                  <a:defRPr sz="650"/>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DataLabelsRange val="1"/>
                <c15:showLeaderLines val="0"/>
              </c:ext>
            </c:extLst>
          </c:dLbls>
          <c:cat>
            <c:numRef>
              <c:f>'Funding Source Adjustments'!$P$28:$Q$28</c:f>
              <c:numCache>
                <c:formatCode>General</c:formatCode>
                <c:ptCount val="2"/>
              </c:numCache>
            </c:numRef>
          </c:cat>
          <c:val>
            <c:numRef>
              <c:f>'Funding Source Adjustments'!$P$48:$Q$48</c:f>
              <c:numCache>
                <c:formatCode>General</c:formatCode>
                <c:ptCount val="2"/>
                <c:pt idx="0" formatCode="_(* #,##0.00_);_(* \(#,##0.00\);_(* &quot;-&quot;??_);_(@_)">
                  <c:v>22904.83245949</c:v>
                </c:pt>
              </c:numCache>
            </c:numRef>
          </c:val>
          <c:extLst>
            <c:ext xmlns:c15="http://schemas.microsoft.com/office/drawing/2012/chart" uri="{02D57815-91ED-43cb-92C2-25804820EDAC}">
              <c15:datalabelsRange>
                <c15:f>'Funding Source Adjustments'!$A$30</c15:f>
                <c15:dlblRangeCache>
                  <c:ptCount val="1"/>
                  <c:pt idx="0">
                    <c:v>Public Non-Financial Corporations 22.9
</c:v>
                  </c:pt>
                </c15:dlblRangeCache>
              </c15:datalabelsRange>
            </c:ext>
            <c:ext xmlns:c16="http://schemas.microsoft.com/office/drawing/2014/chart" uri="{C3380CC4-5D6E-409C-BE32-E72D297353CC}">
              <c16:uniqueId val="{00000006-1039-42BD-A7D7-180FAE5548BB}"/>
            </c:ext>
          </c:extLst>
        </c:ser>
        <c:ser>
          <c:idx val="5"/>
          <c:order val="2"/>
          <c:tx>
            <c:strRef>
              <c:f>'Funding Source Adjustments'!$A$52</c:f>
              <c:strCache>
                <c:ptCount val="1"/>
                <c:pt idx="0">
                  <c:v>State sources </c:v>
                </c:pt>
              </c:strCache>
            </c:strRef>
          </c:tx>
          <c:spPr>
            <a:solidFill>
              <a:srgbClr val="008EBA"/>
            </a:solidFill>
            <a:ln w="25400" cap="flat" cmpd="sng" algn="ctr">
              <a:noFill/>
              <a:prstDash val="solid"/>
            </a:ln>
            <a:effectLst/>
          </c:spPr>
          <c:invertIfNegative val="0"/>
          <c:dLbls>
            <c:dLbl>
              <c:idx val="0"/>
              <c:tx>
                <c:rich>
                  <a:bodyPr/>
                  <a:lstStyle/>
                  <a:p>
                    <a:endParaRPr lang="en-US"/>
                  </a:p>
                </c:rich>
              </c:tx>
              <c:dLblPos val="ct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1039-42BD-A7D7-180FAE5548BB}"/>
                </c:ext>
              </c:extLst>
            </c:dLbl>
            <c:dLbl>
              <c:idx val="1"/>
              <c:layout>
                <c:manualLayout>
                  <c:x val="6.4567574809606362E-8"/>
                  <c:y val="5.8794708476237141E-2"/>
                </c:manualLayout>
              </c:layout>
              <c:tx>
                <c:rich>
                  <a:bodyPr wrap="square" lIns="38100" tIns="19050" rIns="38100" bIns="19050" anchor="ctr">
                    <a:noAutofit/>
                  </a:bodyPr>
                  <a:lstStyle/>
                  <a:p>
                    <a:pPr>
                      <a:defRPr baseline="0">
                        <a:solidFill>
                          <a:schemeClr val="bg1"/>
                        </a:solidFill>
                      </a:defRPr>
                    </a:pPr>
                    <a:r>
                      <a:rPr lang="en-US"/>
                      <a:t>State</a:t>
                    </a:r>
                    <a:r>
                      <a:rPr lang="en-US" baseline="0"/>
                      <a:t> sources: $77.3 billion</a:t>
                    </a:r>
                    <a:endParaRPr lang="en-US"/>
                  </a:p>
                </c:rich>
              </c:tx>
              <c:spPr>
                <a:noFill/>
                <a:ln>
                  <a:noFill/>
                </a:ln>
                <a:effectLst/>
              </c:spPr>
              <c:dLblPos val="ctr"/>
              <c:showLegendKey val="0"/>
              <c:showVal val="0"/>
              <c:showCatName val="0"/>
              <c:showSerName val="1"/>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182041174742456"/>
                      <c:h val="0.12273395394414503"/>
                    </c:manualLayout>
                  </c15:layout>
                  <c15:showDataLabelsRange val="1"/>
                </c:ext>
                <c:ext xmlns:c16="http://schemas.microsoft.com/office/drawing/2014/chart" uri="{C3380CC4-5D6E-409C-BE32-E72D297353CC}">
                  <c16:uniqueId val="{00000008-1039-42BD-A7D7-180FAE5548BB}"/>
                </c:ext>
              </c:extLst>
            </c:dLbl>
            <c:spPr>
              <a:noFill/>
              <a:ln>
                <a:noFill/>
              </a:ln>
              <a:effectLst/>
            </c:sp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ext>
            </c:extLst>
          </c:dLbls>
          <c:cat>
            <c:numRef>
              <c:f>'Funding Source Adjustments'!$P$28:$Q$28</c:f>
              <c:numCache>
                <c:formatCode>General</c:formatCode>
                <c:ptCount val="2"/>
              </c:numCache>
            </c:numRef>
          </c:cat>
          <c:val>
            <c:numRef>
              <c:f>'Funding Source Adjustments'!$P$52:$Q$52</c:f>
              <c:numCache>
                <c:formatCode>_-* #,##0_-;\-* #,##0_-;_-* "-"??_-;_-@_-</c:formatCode>
                <c:ptCount val="2"/>
                <c:pt idx="1">
                  <c:v>77266</c:v>
                </c:pt>
              </c:numCache>
            </c:numRef>
          </c:val>
          <c:extLst>
            <c:ext xmlns:c15="http://schemas.microsoft.com/office/drawing/2012/chart" uri="{02D57815-91ED-43cb-92C2-25804820EDAC}">
              <c15:datalabelsRange>
                <c15:f>'Funding Source Adjustments'!$A$34</c15:f>
                <c15:dlblRangeCache>
                  <c:ptCount val="1"/>
                  <c:pt idx="0">
                    <c:v>State sources
86.8</c:v>
                  </c:pt>
                </c15:dlblRangeCache>
              </c15:datalabelsRange>
            </c:ext>
            <c:ext xmlns:c16="http://schemas.microsoft.com/office/drawing/2014/chart" uri="{C3380CC4-5D6E-409C-BE32-E72D297353CC}">
              <c16:uniqueId val="{00000009-1039-42BD-A7D7-180FAE5548BB}"/>
            </c:ext>
          </c:extLst>
        </c:ser>
        <c:ser>
          <c:idx val="3"/>
          <c:order val="3"/>
          <c:tx>
            <c:strRef>
              <c:f>'Funding Source Adjustments'!$A$50</c:f>
              <c:strCache>
                <c:ptCount val="1"/>
                <c:pt idx="0">
                  <c:v>Restart NSW </c:v>
                </c:pt>
              </c:strCache>
            </c:strRef>
          </c:tx>
          <c:spPr>
            <a:solidFill>
              <a:schemeClr val="lt1"/>
            </a:solidFill>
            <a:ln w="3175" cap="flat" cmpd="sng" algn="ctr">
              <a:solidFill>
                <a:schemeClr val="bg1">
                  <a:lumMod val="85000"/>
                </a:schemeClr>
              </a:solidFill>
              <a:prstDash val="solid"/>
            </a:ln>
            <a:effectLst/>
          </c:spPr>
          <c:invertIfNegative val="0"/>
          <c:dPt>
            <c:idx val="1"/>
            <c:invertIfNegative val="0"/>
            <c:bubble3D val="0"/>
            <c:extLst>
              <c:ext xmlns:c16="http://schemas.microsoft.com/office/drawing/2014/chart" uri="{C3380CC4-5D6E-409C-BE32-E72D297353CC}">
                <c16:uniqueId val="{0000000A-1039-42BD-A7D7-180FAE5548BB}"/>
              </c:ext>
            </c:extLst>
          </c:dPt>
          <c:dLbls>
            <c:dLbl>
              <c:idx val="0"/>
              <c:tx>
                <c:rich>
                  <a:bodyPr/>
                  <a:lstStyle/>
                  <a:p>
                    <a:endParaRPr lang="en-US"/>
                  </a:p>
                </c:rich>
              </c:tx>
              <c:dLblPos val="ctr"/>
              <c:showLegendKey val="0"/>
              <c:showVal val="0"/>
              <c:showCatName val="0"/>
              <c:showSerName val="1"/>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B-1039-42BD-A7D7-180FAE5548BB}"/>
                </c:ext>
              </c:extLst>
            </c:dLbl>
            <c:dLbl>
              <c:idx val="1"/>
              <c:layout>
                <c:manualLayout>
                  <c:x val="1.0448498012982721E-3"/>
                  <c:y val="1.9793566859860993E-3"/>
                </c:manualLayout>
              </c:layout>
              <c:tx>
                <c:strRef>
                  <c:f>'Funding Source Adjustments'!$R$32</c:f>
                  <c:strCache>
                    <c:ptCount val="1"/>
                    <c:pt idx="0">
                      <c:v>Restart NSW: $5.3 billion</c:v>
                    </c:pt>
                  </c:strCache>
                </c:strRef>
              </c:tx>
              <c:numFmt formatCode="#,##0.0" sourceLinked="0"/>
              <c:spPr>
                <a:noFill/>
                <a:ln w="25400" cap="flat" cmpd="sng" algn="ctr">
                  <a:noFill/>
                  <a:prstDash val="solid"/>
                </a:ln>
                <a:effectLst/>
              </c:spPr>
              <c:txPr>
                <a:bodyPr wrap="square" lIns="38100" tIns="19050" rIns="38100" bIns="19050" anchor="ctr">
                  <a:noAutofit/>
                </a:bodyPr>
                <a:lstStyle/>
                <a:p>
                  <a:pPr>
                    <a:defRPr sz="600"/>
                  </a:pPr>
                  <a:endParaRPr lang="en-US"/>
                </a:p>
              </c:txPr>
              <c:showLegendKey val="0"/>
              <c:showVal val="0"/>
              <c:showCatName val="0"/>
              <c:showSerName val="1"/>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7301968915327587"/>
                      <c:h val="9.0519623463489352E-2"/>
                    </c:manualLayout>
                  </c15:layout>
                  <c15:dlblFieldTable>
                    <c15:dlblFTEntry>
                      <c15:txfldGUID>{4447B555-0EB3-4360-BD33-170501A24728}</c15:txfldGUID>
                      <c15:f>'Funding Source Adjustments'!$R$32</c15:f>
                      <c15:dlblFieldTableCache>
                        <c:ptCount val="1"/>
                        <c:pt idx="0">
                          <c:v>Restart NSW: $5.3 billion</c:v>
                        </c:pt>
                      </c15:dlblFieldTableCache>
                    </c15:dlblFTEntry>
                  </c15:dlblFieldTable>
                  <c15:showDataLabelsRange val="1"/>
                </c:ext>
                <c:ext xmlns:c16="http://schemas.microsoft.com/office/drawing/2014/chart" uri="{C3380CC4-5D6E-409C-BE32-E72D297353CC}">
                  <c16:uniqueId val="{0000000A-1039-42BD-A7D7-180FAE5548BB}"/>
                </c:ext>
              </c:extLst>
            </c:dLbl>
            <c:numFmt formatCode="#,##0.0" sourceLinked="0"/>
            <c:spPr>
              <a:noFill/>
              <a:ln w="25400" cap="flat" cmpd="sng" algn="ctr">
                <a:noFill/>
                <a:prstDash val="solid"/>
              </a:ln>
              <a:effectLst/>
            </c:spPr>
            <c:txPr>
              <a:bodyPr wrap="square" lIns="38100" tIns="19050" rIns="38100" bIns="19050" anchor="ctr">
                <a:spAutoFit/>
              </a:bodyPr>
              <a:lstStyle/>
              <a:p>
                <a:pPr>
                  <a:defRPr sz="650"/>
                </a:pPr>
                <a:endParaRPr lang="en-US"/>
              </a:p>
            </c:txPr>
            <c:dLblPos val="ctr"/>
            <c:showLegendKey val="0"/>
            <c:showVal val="0"/>
            <c:showCatName val="0"/>
            <c:showSerName val="1"/>
            <c:showPercent val="0"/>
            <c:showBubbleSize val="0"/>
            <c:separator> </c:separator>
            <c:showLeaderLines val="0"/>
            <c:extLst>
              <c:ext xmlns:c15="http://schemas.microsoft.com/office/drawing/2012/chart" uri="{CE6537A1-D6FC-4f65-9D91-7224C49458BB}">
                <c15:showDataLabelsRange val="1"/>
                <c15:showLeaderLines val="0"/>
              </c:ext>
            </c:extLst>
          </c:dLbls>
          <c:cat>
            <c:numRef>
              <c:f>'Funding Source Adjustments'!$P$28:$Q$28</c:f>
              <c:numCache>
                <c:formatCode>General</c:formatCode>
                <c:ptCount val="2"/>
              </c:numCache>
            </c:numRef>
          </c:cat>
          <c:val>
            <c:numRef>
              <c:f>'Funding Source Adjustments'!$P$50:$Q$50</c:f>
              <c:numCache>
                <c:formatCode>_-* #,##0_-;\-* #,##0_-;_-* "-"??_-;_-@_-</c:formatCode>
                <c:ptCount val="2"/>
                <c:pt idx="1">
                  <c:v>5328.4459999999999</c:v>
                </c:pt>
              </c:numCache>
            </c:numRef>
          </c:val>
          <c:extLst>
            <c:ext xmlns:c15="http://schemas.microsoft.com/office/drawing/2012/chart" uri="{02D57815-91ED-43cb-92C2-25804820EDAC}">
              <c15:datalabelsRange>
                <c15:f>'Funding Source Adjustments'!$A$32</c15:f>
                <c15:dlblRangeCache>
                  <c:ptCount val="1"/>
                  <c:pt idx="0">
                    <c:v>Restart NSW
 5.3</c:v>
                  </c:pt>
                </c15:dlblRangeCache>
              </c15:datalabelsRange>
            </c:ext>
            <c:ext xmlns:c16="http://schemas.microsoft.com/office/drawing/2014/chart" uri="{C3380CC4-5D6E-409C-BE32-E72D297353CC}">
              <c16:uniqueId val="{0000000C-1039-42BD-A7D7-180FAE5548BB}"/>
            </c:ext>
          </c:extLst>
        </c:ser>
        <c:ser>
          <c:idx val="4"/>
          <c:order val="4"/>
          <c:tx>
            <c:strRef>
              <c:f>'Funding Source Adjustments'!$A$51</c:f>
              <c:strCache>
                <c:ptCount val="1"/>
                <c:pt idx="0">
                  <c:v>Commonwealth </c:v>
                </c:pt>
              </c:strCache>
            </c:strRef>
          </c:tx>
          <c:spPr>
            <a:solidFill>
              <a:srgbClr val="00426F"/>
            </a:solidFill>
            <a:effectLst/>
          </c:spPr>
          <c:invertIfNegative val="0"/>
          <c:dLbls>
            <c:dLbl>
              <c:idx val="0"/>
              <c:tx>
                <c:rich>
                  <a:bodyPr/>
                  <a:lstStyle/>
                  <a:p>
                    <a:endParaRPr lang="en-US"/>
                  </a:p>
                </c:rich>
              </c:tx>
              <c:dLblPos val="ctr"/>
              <c:showLegendKey val="0"/>
              <c:showVal val="0"/>
              <c:showCatName val="0"/>
              <c:showSerName val="1"/>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D-1039-42BD-A7D7-180FAE5548BB}"/>
                </c:ext>
              </c:extLst>
            </c:dLbl>
            <c:dLbl>
              <c:idx val="1"/>
              <c:layout>
                <c:manualLayout>
                  <c:x val="1.476079327722411E-3"/>
                  <c:y val="-2.4806428838727347E-4"/>
                </c:manualLayout>
              </c:layout>
              <c:tx>
                <c:strRef>
                  <c:f>'Funding Source Adjustments'!$R$33</c:f>
                  <c:strCache>
                    <c:ptCount val="1"/>
                    <c:pt idx="0">
                      <c:v>Commonwealth: $11.7 billion</c:v>
                    </c:pt>
                  </c:strCache>
                </c:strRef>
              </c:tx>
              <c:dLblPos val="ctr"/>
              <c:showLegendKey val="0"/>
              <c:showVal val="0"/>
              <c:showCatName val="0"/>
              <c:showSerName val="1"/>
              <c:showPercent val="0"/>
              <c:showBubbleSize val="0"/>
              <c:separator>
</c:separator>
              <c:extLst>
                <c:ext xmlns:c15="http://schemas.microsoft.com/office/drawing/2012/chart" uri="{CE6537A1-D6FC-4f65-9D91-7224C49458BB}">
                  <c15:layout>
                    <c:manualLayout>
                      <c:w val="0.14659267222593483"/>
                      <c:h val="7.8115945942817899E-2"/>
                    </c:manualLayout>
                  </c15:layout>
                  <c15:dlblFieldTable>
                    <c15:dlblFTEntry>
                      <c15:txfldGUID>{779B3256-68C7-4D2E-AF46-3335DCAAE3CB}</c15:txfldGUID>
                      <c15:f>'Funding Source Adjustments'!$R$33</c15:f>
                      <c15:dlblFieldTableCache>
                        <c:ptCount val="1"/>
                        <c:pt idx="0">
                          <c:v>Commonwealth: $11.7 billion</c:v>
                        </c:pt>
                      </c15:dlblFieldTableCache>
                    </c15:dlblFTEntry>
                  </c15:dlblFieldTable>
                  <c15:showDataLabelsRange val="0"/>
                </c:ext>
                <c:ext xmlns:c16="http://schemas.microsoft.com/office/drawing/2014/chart" uri="{C3380CC4-5D6E-409C-BE32-E72D297353CC}">
                  <c16:uniqueId val="{0000000E-1039-42BD-A7D7-180FAE5548BB}"/>
                </c:ext>
              </c:extLst>
            </c:dLbl>
            <c:numFmt formatCode="#,##0.0" sourceLinked="0"/>
            <c:spPr>
              <a:noFill/>
              <a:ln>
                <a:noFill/>
              </a:ln>
            </c:spPr>
            <c:txPr>
              <a:bodyPr/>
              <a:lstStyle/>
              <a:p>
                <a:pPr>
                  <a:defRPr sz="650">
                    <a:solidFill>
                      <a:schemeClr val="bg1"/>
                    </a:solidFill>
                  </a:defRPr>
                </a:pPr>
                <a:endParaRPr lang="en-US"/>
              </a:p>
            </c:txPr>
            <c:dLblPos val="ctr"/>
            <c:showLegendKey val="0"/>
            <c:showVal val="0"/>
            <c:showCatName val="0"/>
            <c:showSerName val="1"/>
            <c:showPercent val="0"/>
            <c:showBubbleSize val="0"/>
            <c:separator>
</c:separator>
            <c:showLeaderLines val="0"/>
            <c:extLst>
              <c:ext xmlns:c15="http://schemas.microsoft.com/office/drawing/2012/chart" uri="{CE6537A1-D6FC-4f65-9D91-7224C49458BB}">
                <c15:showDataLabelsRange val="1"/>
                <c15:showLeaderLines val="0"/>
              </c:ext>
            </c:extLst>
          </c:dLbls>
          <c:cat>
            <c:numRef>
              <c:f>'Funding Source Adjustments'!$P$28:$Q$28</c:f>
              <c:numCache>
                <c:formatCode>General</c:formatCode>
                <c:ptCount val="2"/>
              </c:numCache>
            </c:numRef>
          </c:cat>
          <c:val>
            <c:numRef>
              <c:f>'Funding Source Adjustments'!$P$51:$Q$51</c:f>
              <c:numCache>
                <c:formatCode>_-* #,##0_-;\-* #,##0_-;_-* "-"??_-;_-@_-</c:formatCode>
                <c:ptCount val="2"/>
                <c:pt idx="1">
                  <c:v>11707.091999999999</c:v>
                </c:pt>
              </c:numCache>
            </c:numRef>
          </c:val>
          <c:extLst>
            <c:ext xmlns:c16="http://schemas.microsoft.com/office/drawing/2014/chart" uri="{C3380CC4-5D6E-409C-BE32-E72D297353CC}">
              <c16:uniqueId val="{0000000F-1039-42BD-A7D7-180FAE5548BB}"/>
            </c:ext>
          </c:extLst>
        </c:ser>
        <c:ser>
          <c:idx val="2"/>
          <c:order val="5"/>
          <c:tx>
            <c:strRef>
              <c:f>'Funding Source Adjustments'!$A$49</c:f>
              <c:strCache>
                <c:ptCount val="1"/>
                <c:pt idx="0">
                  <c:v>PNFC own-sources </c:v>
                </c:pt>
              </c:strCache>
            </c:strRef>
          </c:tx>
          <c:spPr>
            <a:solidFill>
              <a:srgbClr val="95C11F"/>
            </a:solidFill>
          </c:spPr>
          <c:invertIfNegative val="0"/>
          <c:dPt>
            <c:idx val="1"/>
            <c:invertIfNegative val="0"/>
            <c:bubble3D val="0"/>
            <c:spPr>
              <a:solidFill>
                <a:srgbClr val="53C8E9"/>
              </a:solidFill>
              <a:effectLst/>
            </c:spPr>
            <c:extLst>
              <c:ext xmlns:c16="http://schemas.microsoft.com/office/drawing/2014/chart" uri="{C3380CC4-5D6E-409C-BE32-E72D297353CC}">
                <c16:uniqueId val="{00000011-1039-42BD-A7D7-180FAE5548BB}"/>
              </c:ext>
            </c:extLst>
          </c:dPt>
          <c:dLbls>
            <c:dLbl>
              <c:idx val="0"/>
              <c:tx>
                <c:rich>
                  <a:bodyPr/>
                  <a:lstStyle/>
                  <a:p>
                    <a:endParaRPr lang="en-US"/>
                  </a:p>
                </c:rich>
              </c:tx>
              <c:dLblPos val="ctr"/>
              <c:showLegendKey val="0"/>
              <c:showVal val="0"/>
              <c:showCatName val="0"/>
              <c:showSerName val="1"/>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1039-42BD-A7D7-180FAE5548BB}"/>
                </c:ext>
              </c:extLst>
            </c:dLbl>
            <c:dLbl>
              <c:idx val="1"/>
              <c:layout>
                <c:manualLayout>
                  <c:x val="-2.5267609573889296E-4"/>
                  <c:y val="1.2119672724193932E-3"/>
                </c:manualLayout>
              </c:layout>
              <c:tx>
                <c:strRef>
                  <c:f>'Funding Source Adjustments'!$R$31</c:f>
                  <c:strCache>
                    <c:ptCount val="1"/>
                    <c:pt idx="0">
                      <c:v>PNFC own-sources: $14.2 billion</c:v>
                    </c:pt>
                  </c:strCache>
                </c:strRef>
              </c:tx>
              <c:numFmt formatCode="#,##0.0" sourceLinked="0"/>
              <c:spPr>
                <a:noFill/>
                <a:ln>
                  <a:noFill/>
                </a:ln>
              </c:spPr>
              <c:txPr>
                <a:bodyPr anchorCtr="0"/>
                <a:lstStyle/>
                <a:p>
                  <a:pPr algn="ctr">
                    <a:defRPr sz="650" b="0" baseline="0">
                      <a:solidFill>
                        <a:schemeClr val="bg1"/>
                      </a:solidFill>
                    </a:defRPr>
                  </a:pPr>
                  <a:endParaRPr lang="en-US"/>
                </a:p>
              </c:txPr>
              <c:dLblPos val="ctr"/>
              <c:showLegendKey val="0"/>
              <c:showVal val="0"/>
              <c:showCatName val="0"/>
              <c:showSerName val="1"/>
              <c:showPercent val="0"/>
              <c:showBubbleSize val="0"/>
              <c:separator>
</c:separator>
              <c:extLst>
                <c:ext xmlns:c15="http://schemas.microsoft.com/office/drawing/2012/chart" uri="{CE6537A1-D6FC-4f65-9D91-7224C49458BB}">
                  <c15:layout>
                    <c:manualLayout>
                      <c:w val="0.14215713810681413"/>
                      <c:h val="0.11322996678330444"/>
                    </c:manualLayout>
                  </c15:layout>
                  <c15:dlblFieldTable>
                    <c15:dlblFTEntry>
                      <c15:txfldGUID>{59B63C2A-D124-43F6-8465-C5453EC054A8}</c15:txfldGUID>
                      <c15:f>'Funding Source Adjustments'!$R$31</c15:f>
                      <c15:dlblFieldTableCache>
                        <c:ptCount val="1"/>
                        <c:pt idx="0">
                          <c:v>PNFC own-sources: $14.2 billion</c:v>
                        </c:pt>
                      </c15:dlblFieldTableCache>
                    </c15:dlblFTEntry>
                  </c15:dlblFieldTable>
                  <c15:showDataLabelsRange val="1"/>
                </c:ext>
                <c:ext xmlns:c16="http://schemas.microsoft.com/office/drawing/2014/chart" uri="{C3380CC4-5D6E-409C-BE32-E72D297353CC}">
                  <c16:uniqueId val="{00000011-1039-42BD-A7D7-180FAE5548BB}"/>
                </c:ext>
              </c:extLst>
            </c:dLbl>
            <c:spPr>
              <a:solidFill>
                <a:sysClr val="window" lastClr="FFFFFF"/>
              </a:solidFill>
              <a:ln>
                <a:noFill/>
              </a:ln>
              <a:effectLst/>
            </c:spPr>
            <c:txPr>
              <a:bodyPr wrap="square" lIns="38100" tIns="19050" rIns="38100" bIns="19050" anchor="ctr">
                <a:spAutoFit/>
              </a:bodyPr>
              <a:lstStyle/>
              <a:p>
                <a:pPr>
                  <a:defRPr sz="650" b="0" baseline="0">
                    <a:solidFill>
                      <a:schemeClr val="bg1"/>
                    </a:solidFill>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DataLabelsRange val="1"/>
                <c15:showLeaderLines val="0"/>
              </c:ext>
            </c:extLst>
          </c:dLbls>
          <c:cat>
            <c:numRef>
              <c:f>'Funding Source Adjustments'!$P$28:$Q$28</c:f>
              <c:numCache>
                <c:formatCode>General</c:formatCode>
                <c:ptCount val="2"/>
              </c:numCache>
            </c:numRef>
          </c:cat>
          <c:val>
            <c:numRef>
              <c:f>'Funding Source Adjustments'!$P$49:$Q$49</c:f>
              <c:numCache>
                <c:formatCode>_-* #,##0_-;\-* #,##0_-;_-* "-"??_-;_-@_-</c:formatCode>
                <c:ptCount val="2"/>
                <c:pt idx="1">
                  <c:v>14245.804</c:v>
                </c:pt>
              </c:numCache>
            </c:numRef>
          </c:val>
          <c:extLst>
            <c:ext xmlns:c15="http://schemas.microsoft.com/office/drawing/2012/chart" uri="{02D57815-91ED-43cb-92C2-25804820EDAC}">
              <c15:datalabelsRange>
                <c15:f>'Funding Source Adjustments'!$A$31</c15:f>
                <c15:dlblRangeCache>
                  <c:ptCount val="1"/>
                  <c:pt idx="0">
                    <c:v>PNFC own-sources 14.2</c:v>
                  </c:pt>
                </c15:dlblRangeCache>
              </c15:datalabelsRange>
            </c:ext>
            <c:ext xmlns:c16="http://schemas.microsoft.com/office/drawing/2014/chart" uri="{C3380CC4-5D6E-409C-BE32-E72D297353CC}">
              <c16:uniqueId val="{00000013-1039-42BD-A7D7-180FAE5548BB}"/>
            </c:ext>
          </c:extLst>
        </c:ser>
        <c:dLbls>
          <c:showLegendKey val="0"/>
          <c:showVal val="0"/>
          <c:showCatName val="0"/>
          <c:showSerName val="0"/>
          <c:showPercent val="0"/>
          <c:showBubbleSize val="0"/>
        </c:dLbls>
        <c:gapWidth val="200"/>
        <c:overlap val="100"/>
        <c:axId val="590079104"/>
        <c:axId val="590080640"/>
        <c:extLst>
          <c:ext xmlns:c15="http://schemas.microsoft.com/office/drawing/2012/chart" uri="{02D57815-91ED-43cb-92C2-25804820EDAC}">
            <c15:filteredBarSeries>
              <c15:ser>
                <c:idx val="6"/>
                <c:order val="6"/>
                <c:tx>
                  <c:strRef>
                    <c:extLst>
                      <c:ext uri="{02D57815-91ED-43cb-92C2-25804820EDAC}">
                        <c15:formulaRef>
                          <c15:sqref>'Chart 1.2 - updated w differenc'!#REF!</c15:sqref>
                        </c15:formulaRef>
                      </c:ext>
                    </c:extLst>
                    <c:strCache>
                      <c:ptCount val="1"/>
                      <c:pt idx="0">
                        <c:v>#REF!</c:v>
                      </c:pt>
                    </c:strCache>
                  </c:strRef>
                </c:tx>
                <c:invertIfNegative val="0"/>
                <c:dLbls>
                  <c:dLbl>
                    <c:idx val="0"/>
                    <c:delete val="1"/>
                    <c:extLst>
                      <c:ext uri="{CE6537A1-D6FC-4f65-9D91-7224C49458BB}"/>
                      <c:ext xmlns:c16="http://schemas.microsoft.com/office/drawing/2014/chart" uri="{C3380CC4-5D6E-409C-BE32-E72D297353CC}">
                        <c16:uniqueId val="{00000014-1039-42BD-A7D7-180FAE5548BB}"/>
                      </c:ext>
                    </c:extLst>
                  </c:dLbl>
                  <c:dLbl>
                    <c:idx val="1"/>
                    <c:tx>
                      <c:rich>
                        <a:bodyPr/>
                        <a:lstStyle/>
                        <a:p>
                          <a:r>
                            <a:rPr lang="en-US"/>
                            <a:t>Borrowing 12.6</a:t>
                          </a:r>
                        </a:p>
                      </c:rich>
                    </c:tx>
                    <c:dLblPos val="ctr"/>
                    <c:showLegendKey val="0"/>
                    <c:showVal val="1"/>
                    <c:showCatName val="0"/>
                    <c:showSerName val="0"/>
                    <c:showPercent val="0"/>
                    <c:showBubbleSize val="0"/>
                    <c:extLst>
                      <c:ext uri="{CE6537A1-D6FC-4f65-9D91-7224C49458BB}">
                        <c15:showDataLabelsRange val="0"/>
                      </c:ext>
                      <c:ext xmlns:c16="http://schemas.microsoft.com/office/drawing/2014/chart" uri="{C3380CC4-5D6E-409C-BE32-E72D297353CC}">
                        <c16:uniqueId val="{00000015-1039-42BD-A7D7-180FAE5548BB}"/>
                      </c:ext>
                    </c:extLst>
                  </c:dLbl>
                  <c:spPr>
                    <a:noFill/>
                    <a:ln>
                      <a:noFill/>
                    </a:ln>
                    <a:effectLst/>
                  </c:spPr>
                  <c:dLblPos val="ctr"/>
                  <c:showLegendKey val="0"/>
                  <c:showVal val="1"/>
                  <c:showCatName val="0"/>
                  <c:showSerName val="0"/>
                  <c:showPercent val="0"/>
                  <c:showBubbleSize val="0"/>
                  <c:showLeaderLines val="0"/>
                  <c:extLst>
                    <c:ext uri="{CE6537A1-D6FC-4f65-9D91-7224C49458BB}">
                      <c15:showLeaderLines val="1"/>
                    </c:ext>
                  </c:extLst>
                </c:dLbls>
                <c:cat>
                  <c:numRef>
                    <c:extLst>
                      <c:ext uri="{02D57815-91ED-43cb-92C2-25804820EDAC}">
                        <c15:formulaRef>
                          <c15:sqref>'Funding Source Adjustments'!$P$28:$Q$28</c15:sqref>
                        </c15:formulaRef>
                      </c:ext>
                    </c:extLst>
                    <c:numCache>
                      <c:formatCode>General</c:formatCode>
                      <c:ptCount val="2"/>
                    </c:numCache>
                  </c:numRef>
                </c:cat>
                <c:val>
                  <c:numRef>
                    <c:extLst>
                      <c:ext uri="{02D57815-91ED-43cb-92C2-25804820EDAC}">
                        <c15:formulaRef>
                          <c15:sqref>'Chart 1.2 - updated w differenc'!#REF!</c15:sqref>
                        </c15:formulaRef>
                      </c:ext>
                    </c:extLst>
                    <c:numCache>
                      <c:formatCode>General</c:formatCode>
                      <c:ptCount val="1"/>
                      <c:pt idx="0">
                        <c:v>1</c:v>
                      </c:pt>
                    </c:numCache>
                  </c:numRef>
                </c:val>
                <c:extLst>
                  <c:ext xmlns:c16="http://schemas.microsoft.com/office/drawing/2014/chart" uri="{C3380CC4-5D6E-409C-BE32-E72D297353CC}">
                    <c16:uniqueId val="{00000016-1039-42BD-A7D7-180FAE5548BB}"/>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'Chart 1.2 - updated w differenc'!#REF!</c15:sqref>
                        </c15:formulaRef>
                      </c:ext>
                    </c:extLst>
                    <c:strCache>
                      <c:ptCount val="1"/>
                      <c:pt idx="0">
                        <c:v>#REF!</c:v>
                      </c:pt>
                    </c:strCache>
                  </c:strRef>
                </c:tx>
                <c:invertIfNegative val="0"/>
                <c:cat>
                  <c:numRef>
                    <c:extLst xmlns:c15="http://schemas.microsoft.com/office/drawing/2012/chart">
                      <c:ext xmlns:c15="http://schemas.microsoft.com/office/drawing/2012/chart" uri="{02D57815-91ED-43cb-92C2-25804820EDAC}">
                        <c15:formulaRef>
                          <c15:sqref>'Funding Source Adjustments'!$P$28:$Q$28</c15:sqref>
                        </c15:formulaRef>
                      </c:ext>
                    </c:extLst>
                    <c:numCache>
                      <c:formatCode>General</c:formatCode>
                      <c:ptCount val="2"/>
                    </c:numCache>
                  </c:numRef>
                </c:cat>
                <c:val>
                  <c:numRef>
                    <c:extLst xmlns:c15="http://schemas.microsoft.com/office/drawing/2012/chart">
                      <c:ext xmlns:c15="http://schemas.microsoft.com/office/drawing/2012/chart" uri="{02D57815-91ED-43cb-92C2-25804820EDAC}">
                        <c15:formulaRef>
                          <c15:sqref>'Chart 1.2 - updated w differenc'!#REF!</c15:sqref>
                        </c15:formulaRef>
                      </c:ext>
                    </c:extLst>
                    <c:numCache>
                      <c:formatCode>General</c:formatCode>
                      <c:ptCount val="1"/>
                      <c:pt idx="0">
                        <c:v>1</c:v>
                      </c:pt>
                    </c:numCache>
                  </c:numRef>
                </c:val>
                <c:extLst xmlns:c15="http://schemas.microsoft.com/office/drawing/2012/chart">
                  <c:ext xmlns:c16="http://schemas.microsoft.com/office/drawing/2014/chart" uri="{C3380CC4-5D6E-409C-BE32-E72D297353CC}">
                    <c16:uniqueId val="{00000017-1039-42BD-A7D7-180FAE5548BB}"/>
                  </c:ext>
                </c:extLst>
              </c15:ser>
            </c15:filteredBarSeries>
          </c:ext>
        </c:extLst>
      </c:barChart>
      <c:catAx>
        <c:axId val="590079104"/>
        <c:scaling>
          <c:orientation val="minMax"/>
        </c:scaling>
        <c:delete val="0"/>
        <c:axPos val="b"/>
        <c:numFmt formatCode="General" sourceLinked="0"/>
        <c:majorTickMark val="out"/>
        <c:minorTickMark val="none"/>
        <c:tickLblPos val="nextTo"/>
        <c:spPr>
          <a:ln>
            <a:noFill/>
          </a:ln>
        </c:spPr>
        <c:crossAx val="590080640"/>
        <c:crosses val="autoZero"/>
        <c:auto val="1"/>
        <c:lblAlgn val="ctr"/>
        <c:lblOffset val="100"/>
        <c:noMultiLvlLbl val="0"/>
      </c:catAx>
      <c:valAx>
        <c:axId val="590080640"/>
        <c:scaling>
          <c:orientation val="minMax"/>
        </c:scaling>
        <c:delete val="0"/>
        <c:axPos val="l"/>
        <c:majorGridlines>
          <c:spPr>
            <a:ln w="3175" cap="flat">
              <a:solidFill>
                <a:srgbClr val="DFDCDA"/>
              </a:solidFill>
              <a:prstDash val="solid"/>
            </a:ln>
          </c:spPr>
        </c:majorGridlines>
        <c:numFmt formatCode="#,##0" sourceLinked="0"/>
        <c:majorTickMark val="out"/>
        <c:minorTickMark val="none"/>
        <c:tickLblPos val="nextTo"/>
        <c:spPr>
          <a:ln cmpd="dbl">
            <a:noFill/>
            <a:prstDash val="solid"/>
          </a:ln>
        </c:spPr>
        <c:crossAx val="590079104"/>
        <c:crosses val="autoZero"/>
        <c:crossBetween val="between"/>
        <c:dispUnits>
          <c:builtInUnit val="thousands"/>
          <c:dispUnitsLbl>
            <c:layout>
              <c:manualLayout>
                <c:xMode val="edge"/>
                <c:yMode val="edge"/>
                <c:x val="1.0508319739481438E-2"/>
                <c:y val="0.37667131439029822"/>
              </c:manualLayout>
            </c:layout>
            <c:tx>
              <c:rich>
                <a:bodyPr/>
                <a:lstStyle/>
                <a:p>
                  <a:pPr>
                    <a:defRPr b="0"/>
                  </a:pPr>
                  <a:r>
                    <a:rPr lang="en-US" b="0"/>
                    <a:t>$</a:t>
                  </a:r>
                  <a:r>
                    <a:rPr lang="en-US" b="0" baseline="0"/>
                    <a:t> billions</a:t>
                  </a:r>
                  <a:endParaRPr lang="en-US" b="0"/>
                </a:p>
              </c:rich>
            </c:tx>
          </c:dispUnitsLbl>
        </c:dispUnits>
      </c:valAx>
      <c:spPr>
        <a:noFill/>
        <a:ln>
          <a:prstDash val="solid"/>
        </a:ln>
      </c:spPr>
    </c:plotArea>
    <c:plotVisOnly val="1"/>
    <c:dispBlanksAs val="gap"/>
    <c:showDLblsOverMax val="0"/>
  </c:chart>
  <c:spPr>
    <a:ln>
      <a:noFill/>
    </a:ln>
  </c:spPr>
  <c:txPr>
    <a:bodyPr/>
    <a:lstStyle/>
    <a:p>
      <a:pPr>
        <a:defRPr sz="700">
          <a:solidFill>
            <a:srgbClr val="57514D"/>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67847769028873"/>
          <c:y val="9.4432132963988932E-2"/>
          <c:w val="0.84732152230971125"/>
          <c:h val="0.66518899818963073"/>
        </c:manualLayout>
      </c:layout>
      <c:barChart>
        <c:barDir val="col"/>
        <c:grouping val="stacked"/>
        <c:varyColors val="0"/>
        <c:ser>
          <c:idx val="1"/>
          <c:order val="0"/>
          <c:tx>
            <c:strRef>
              <c:f>'New CH 1.3 -Cth &amp; State-funded '!$A$39</c:f>
              <c:strCache>
                <c:ptCount val="1"/>
                <c:pt idx="0">
                  <c:v>State funded and other sources</c:v>
                </c:pt>
              </c:strCache>
            </c:strRef>
          </c:tx>
          <c:spPr>
            <a:solidFill>
              <a:srgbClr val="008EBA"/>
            </a:solidFill>
            <a:ln>
              <a:noFill/>
            </a:ln>
            <a:effectLst/>
          </c:spPr>
          <c:invertIfNegative val="0"/>
          <c:cat>
            <c:multiLvlStrRef>
              <c:f>'New CH 1.3 -Cth &amp; State-funded '!$L$36:$W$37</c:f>
              <c:multiLvlStrCache>
                <c:ptCount val="12"/>
                <c:lvl>
                  <c:pt idx="0">
                    <c:v>Actual</c:v>
                  </c:pt>
                  <c:pt idx="1">
                    <c:v>Actual</c:v>
                  </c:pt>
                  <c:pt idx="2">
                    <c:v>Actual</c:v>
                  </c:pt>
                  <c:pt idx="3">
                    <c:v>Actual</c:v>
                  </c:pt>
                  <c:pt idx="4">
                    <c:v>Actual</c:v>
                  </c:pt>
                  <c:pt idx="5">
                    <c:v>Actual</c:v>
                  </c:pt>
                  <c:pt idx="6">
                    <c:v>Actual</c:v>
                  </c:pt>
                  <c:pt idx="7">
                    <c:v>Revised</c:v>
                  </c:pt>
                  <c:pt idx="8">
                    <c:v>Budget</c:v>
                  </c:pt>
                  <c:pt idx="9">
                    <c:v>Estimate</c:v>
                  </c:pt>
                  <c:pt idx="10">
                    <c:v>Estimate</c:v>
                  </c:pt>
                  <c:pt idx="11">
                    <c:v>Estimate</c:v>
                  </c:pt>
                </c:lvl>
                <c:lvl>
                  <c:pt idx="0">
                    <c:v> 2013-14</c:v>
                  </c:pt>
                  <c:pt idx="1">
                    <c:v>2014-15</c:v>
                  </c:pt>
                  <c:pt idx="2">
                    <c:v>2015-16</c:v>
                  </c:pt>
                  <c:pt idx="3">
                    <c:v>2016-17</c:v>
                  </c:pt>
                  <c:pt idx="4">
                    <c:v>2017-18</c:v>
                  </c:pt>
                  <c:pt idx="5">
                    <c:v>2018-19</c:v>
                  </c:pt>
                  <c:pt idx="6">
                    <c:v>2019-20</c:v>
                  </c:pt>
                  <c:pt idx="7">
                    <c:v>2020-21</c:v>
                  </c:pt>
                  <c:pt idx="8">
                    <c:v>2021-22</c:v>
                  </c:pt>
                  <c:pt idx="9">
                    <c:v>2022-23</c:v>
                  </c:pt>
                  <c:pt idx="10">
                    <c:v>2023-24</c:v>
                  </c:pt>
                  <c:pt idx="11">
                    <c:v>2024-25</c:v>
                  </c:pt>
                </c:lvl>
              </c:multiLvlStrCache>
            </c:multiLvlStrRef>
          </c:cat>
          <c:val>
            <c:numRef>
              <c:f>'New CH 1.3 -Cth &amp; State-funded '!$L$39:$W$39</c:f>
              <c:numCache>
                <c:formatCode>#,##0</c:formatCode>
                <c:ptCount val="12"/>
                <c:pt idx="0">
                  <c:v>12293.946000000002</c:v>
                </c:pt>
                <c:pt idx="1">
                  <c:v>11502.698</c:v>
                </c:pt>
                <c:pt idx="2">
                  <c:v>14094.883150309999</c:v>
                </c:pt>
                <c:pt idx="3">
                  <c:v>14848.513733999998</c:v>
                </c:pt>
                <c:pt idx="4">
                  <c:v>14480.216091850005</c:v>
                </c:pt>
                <c:pt idx="5">
                  <c:v>20324.297677951603</c:v>
                </c:pt>
                <c:pt idx="6">
                  <c:v>24632.167130400623</c:v>
                </c:pt>
                <c:pt idx="7">
                  <c:v>23476.345981501869</c:v>
                </c:pt>
                <c:pt idx="8">
                  <c:v>29099.939727936293</c:v>
                </c:pt>
                <c:pt idx="9">
                  <c:v>26136.333423726501</c:v>
                </c:pt>
                <c:pt idx="10">
                  <c:v>22475.085824788704</c:v>
                </c:pt>
                <c:pt idx="11">
                  <c:v>19113.852029729092</c:v>
                </c:pt>
              </c:numCache>
            </c:numRef>
          </c:val>
          <c:extLst>
            <c:ext xmlns:c16="http://schemas.microsoft.com/office/drawing/2014/chart" uri="{C3380CC4-5D6E-409C-BE32-E72D297353CC}">
              <c16:uniqueId val="{00000000-32D8-4B9E-9E5F-86C5D2384D6D}"/>
            </c:ext>
          </c:extLst>
        </c:ser>
        <c:ser>
          <c:idx val="0"/>
          <c:order val="1"/>
          <c:tx>
            <c:strRef>
              <c:f>'New CH 1.3 -Cth &amp; State-funded '!$A$38</c:f>
              <c:strCache>
                <c:ptCount val="1"/>
                <c:pt idx="0">
                  <c:v>Commonwealth Funding</c:v>
                </c:pt>
              </c:strCache>
            </c:strRef>
          </c:tx>
          <c:spPr>
            <a:solidFill>
              <a:srgbClr val="00426F"/>
            </a:solidFill>
            <a:ln>
              <a:noFill/>
            </a:ln>
            <a:effectLst/>
          </c:spPr>
          <c:invertIfNegative val="0"/>
          <c:cat>
            <c:multiLvlStrRef>
              <c:f>'New CH 1.3 -Cth &amp; State-funded '!$L$36:$W$37</c:f>
              <c:multiLvlStrCache>
                <c:ptCount val="12"/>
                <c:lvl>
                  <c:pt idx="0">
                    <c:v>Actual</c:v>
                  </c:pt>
                  <c:pt idx="1">
                    <c:v>Actual</c:v>
                  </c:pt>
                  <c:pt idx="2">
                    <c:v>Actual</c:v>
                  </c:pt>
                  <c:pt idx="3">
                    <c:v>Actual</c:v>
                  </c:pt>
                  <c:pt idx="4">
                    <c:v>Actual</c:v>
                  </c:pt>
                  <c:pt idx="5">
                    <c:v>Actual</c:v>
                  </c:pt>
                  <c:pt idx="6">
                    <c:v>Actual</c:v>
                  </c:pt>
                  <c:pt idx="7">
                    <c:v>Revised</c:v>
                  </c:pt>
                  <c:pt idx="8">
                    <c:v>Budget</c:v>
                  </c:pt>
                  <c:pt idx="9">
                    <c:v>Estimate</c:v>
                  </c:pt>
                  <c:pt idx="10">
                    <c:v>Estimate</c:v>
                  </c:pt>
                  <c:pt idx="11">
                    <c:v>Estimate</c:v>
                  </c:pt>
                </c:lvl>
                <c:lvl>
                  <c:pt idx="0">
                    <c:v> 2013-14</c:v>
                  </c:pt>
                  <c:pt idx="1">
                    <c:v>2014-15</c:v>
                  </c:pt>
                  <c:pt idx="2">
                    <c:v>2015-16</c:v>
                  </c:pt>
                  <c:pt idx="3">
                    <c:v>2016-17</c:v>
                  </c:pt>
                  <c:pt idx="4">
                    <c:v>2017-18</c:v>
                  </c:pt>
                  <c:pt idx="5">
                    <c:v>2018-19</c:v>
                  </c:pt>
                  <c:pt idx="6">
                    <c:v>2019-20</c:v>
                  </c:pt>
                  <c:pt idx="7">
                    <c:v>2020-21</c:v>
                  </c:pt>
                  <c:pt idx="8">
                    <c:v>2021-22</c:v>
                  </c:pt>
                  <c:pt idx="9">
                    <c:v>2022-23</c:v>
                  </c:pt>
                  <c:pt idx="10">
                    <c:v>2023-24</c:v>
                  </c:pt>
                  <c:pt idx="11">
                    <c:v>2024-25</c:v>
                  </c:pt>
                </c:lvl>
              </c:multiLvlStrCache>
            </c:multiLvlStrRef>
          </c:cat>
          <c:val>
            <c:numRef>
              <c:f>'New CH 1.3 -Cth &amp; State-funded '!$L$38:$W$38</c:f>
              <c:numCache>
                <c:formatCode>_-* #,##0_-;\-* #,##0_-;_-* "-"??_-;_-@_-</c:formatCode>
                <c:ptCount val="12"/>
                <c:pt idx="0">
                  <c:v>1583.635</c:v>
                </c:pt>
                <c:pt idx="1">
                  <c:v>1908.962</c:v>
                </c:pt>
                <c:pt idx="2" formatCode="#,##0">
                  <c:v>2079.8399691600002</c:v>
                </c:pt>
                <c:pt idx="3" formatCode="#,##0">
                  <c:v>3348.7292659999998</c:v>
                </c:pt>
                <c:pt idx="4" formatCode="#,##0">
                  <c:v>3403.3641666600006</c:v>
                </c:pt>
                <c:pt idx="5" formatCode="#,##0">
                  <c:v>1501</c:v>
                </c:pt>
                <c:pt idx="6" formatCode="#,##0">
                  <c:v>632.57899999999995</c:v>
                </c:pt>
                <c:pt idx="7" formatCode="#,##0">
                  <c:v>1996.1389999999999</c:v>
                </c:pt>
                <c:pt idx="8" formatCode="#,##0">
                  <c:v>1250.31</c:v>
                </c:pt>
                <c:pt idx="9" formatCode="#,##0">
                  <c:v>3299.223</c:v>
                </c:pt>
                <c:pt idx="10" formatCode="#,##0">
                  <c:v>3543.0349999999999</c:v>
                </c:pt>
                <c:pt idx="11" formatCode="#,##0">
                  <c:v>3614.5239999999999</c:v>
                </c:pt>
              </c:numCache>
            </c:numRef>
          </c:val>
          <c:extLst>
            <c:ext xmlns:c16="http://schemas.microsoft.com/office/drawing/2014/chart" uri="{C3380CC4-5D6E-409C-BE32-E72D297353CC}">
              <c16:uniqueId val="{00000001-32D8-4B9E-9E5F-86C5D2384D6D}"/>
            </c:ext>
          </c:extLst>
        </c:ser>
        <c:dLbls>
          <c:showLegendKey val="0"/>
          <c:showVal val="0"/>
          <c:showCatName val="0"/>
          <c:showSerName val="0"/>
          <c:showPercent val="0"/>
          <c:showBubbleSize val="0"/>
        </c:dLbls>
        <c:gapWidth val="219"/>
        <c:overlap val="100"/>
        <c:axId val="1045396175"/>
        <c:axId val="1029637727"/>
      </c:barChart>
      <c:catAx>
        <c:axId val="1045396175"/>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lang="en-US" sz="700" b="0" i="0" u="none" strike="noStrike" kern="1200" baseline="0">
                <a:solidFill>
                  <a:srgbClr val="57514D"/>
                </a:solidFill>
                <a:latin typeface="Arial" panose="020B0604020202020204" pitchFamily="34" charset="0"/>
                <a:ea typeface="+mn-ea"/>
                <a:cs typeface="Arial" panose="020B0604020202020204" pitchFamily="34" charset="0"/>
              </a:defRPr>
            </a:pPr>
            <a:endParaRPr lang="en-US"/>
          </a:p>
        </c:txPr>
        <c:crossAx val="1029637727"/>
        <c:crosses val="autoZero"/>
        <c:auto val="1"/>
        <c:lblAlgn val="ctr"/>
        <c:lblOffset val="100"/>
        <c:noMultiLvlLbl val="0"/>
      </c:catAx>
      <c:valAx>
        <c:axId val="10296377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700" b="0" i="0" u="none" strike="noStrike" kern="1200" baseline="0">
                    <a:solidFill>
                      <a:srgbClr val="57514D"/>
                    </a:solidFill>
                    <a:latin typeface="Arial" panose="020B0604020202020204" pitchFamily="34" charset="0"/>
                    <a:ea typeface="+mn-ea"/>
                    <a:cs typeface="Arial" panose="020B0604020202020204" pitchFamily="34" charset="0"/>
                  </a:defRPr>
                </a:pPr>
                <a:r>
                  <a:rPr lang="en-AU"/>
                  <a:t>$ millions</a:t>
                </a:r>
              </a:p>
            </c:rich>
          </c:tx>
          <c:layout>
            <c:manualLayout>
              <c:xMode val="edge"/>
              <c:yMode val="edge"/>
              <c:x val="3.4324630989753732E-2"/>
              <c:y val="0.33803052002764772"/>
            </c:manualLayout>
          </c:layout>
          <c:overlay val="0"/>
          <c:spPr>
            <a:noFill/>
            <a:ln>
              <a:noFill/>
            </a:ln>
            <a:effectLst/>
          </c:spPr>
          <c:txPr>
            <a:bodyPr rot="-5400000" spcFirstLastPara="1" vertOverflow="ellipsis" vert="horz" wrap="square" anchor="ctr" anchorCtr="1"/>
            <a:lstStyle/>
            <a:p>
              <a:pPr>
                <a:defRPr lang="en-US" sz="700" b="0" i="0" u="none" strike="noStrike" kern="1200" baseline="0">
                  <a:solidFill>
                    <a:srgbClr val="57514D"/>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700" b="0" i="0" u="none" strike="noStrike" kern="1200" baseline="0">
                <a:solidFill>
                  <a:srgbClr val="57514D"/>
                </a:solidFill>
                <a:latin typeface="Arial" panose="020B0604020202020204" pitchFamily="34" charset="0"/>
                <a:ea typeface="+mn-ea"/>
                <a:cs typeface="Arial" panose="020B0604020202020204" pitchFamily="34" charset="0"/>
              </a:defRPr>
            </a:pPr>
            <a:endParaRPr lang="en-US"/>
          </a:p>
        </c:txPr>
        <c:crossAx val="1045396175"/>
        <c:crosses val="autoZero"/>
        <c:crossBetween val="between"/>
      </c:valAx>
      <c:spPr>
        <a:noFill/>
        <a:ln>
          <a:noFill/>
        </a:ln>
        <a:effectLst/>
      </c:spPr>
    </c:plotArea>
    <c:legend>
      <c:legendPos val="b"/>
      <c:layout>
        <c:manualLayout>
          <c:xMode val="edge"/>
          <c:yMode val="edge"/>
          <c:x val="0.23315353554661872"/>
          <c:y val="0.90011732343221829"/>
          <c:w val="0.6208387350274025"/>
          <c:h val="6.9525985447113831E-2"/>
        </c:manualLayout>
      </c:layout>
      <c:overlay val="0"/>
      <c:spPr>
        <a:noFill/>
        <a:ln>
          <a:noFill/>
        </a:ln>
        <a:effectLst/>
      </c:spPr>
      <c:txPr>
        <a:bodyPr rot="0" spcFirstLastPara="1" vertOverflow="ellipsis" vert="horz" wrap="square" anchor="ctr" anchorCtr="1"/>
        <a:lstStyle/>
        <a:p>
          <a:pPr>
            <a:defRPr lang="en-US" sz="700" b="0" i="0" u="none" strike="noStrike" kern="1200" baseline="0">
              <a:solidFill>
                <a:srgbClr val="57514D"/>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lgn="ctr">
        <a:defRPr lang="en-US" sz="700" b="0" i="0" u="none" strike="noStrike" kern="1200" baseline="0">
          <a:solidFill>
            <a:srgbClr val="57514D"/>
          </a:solidFill>
          <a:latin typeface="Arial" panose="020B0604020202020204" pitchFamily="34" charset="0"/>
          <a:ea typeface="+mn-ea"/>
          <a:cs typeface="Arial" panose="020B0604020202020204"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rgbClr val="008EBA"/>
              </a:solidFill>
              <a:ln>
                <a:solidFill>
                  <a:srgbClr val="0579B9"/>
                </a:solidFill>
              </a:ln>
            </c:spPr>
            <c:extLst>
              <c:ext xmlns:c16="http://schemas.microsoft.com/office/drawing/2014/chart" uri="{C3380CC4-5D6E-409C-BE32-E72D297353CC}">
                <c16:uniqueId val="{00000001-BF71-48F6-84D2-3A532BC4D259}"/>
              </c:ext>
            </c:extLst>
          </c:dPt>
          <c:dPt>
            <c:idx val="1"/>
            <c:bubble3D val="0"/>
            <c:spPr>
              <a:solidFill>
                <a:srgbClr val="53C8E9"/>
              </a:solidFill>
            </c:spPr>
            <c:extLst>
              <c:ext xmlns:c16="http://schemas.microsoft.com/office/drawing/2014/chart" uri="{C3380CC4-5D6E-409C-BE32-E72D297353CC}">
                <c16:uniqueId val="{00000003-BF71-48F6-84D2-3A532BC4D259}"/>
              </c:ext>
            </c:extLst>
          </c:dPt>
          <c:dPt>
            <c:idx val="2"/>
            <c:bubble3D val="0"/>
            <c:spPr>
              <a:solidFill>
                <a:srgbClr val="9ACA3C"/>
              </a:solidFill>
            </c:spPr>
            <c:extLst>
              <c:ext xmlns:c16="http://schemas.microsoft.com/office/drawing/2014/chart" uri="{C3380CC4-5D6E-409C-BE32-E72D297353CC}">
                <c16:uniqueId val="{00000005-BF71-48F6-84D2-3A532BC4D259}"/>
              </c:ext>
            </c:extLst>
          </c:dPt>
          <c:dPt>
            <c:idx val="3"/>
            <c:bubble3D val="0"/>
            <c:spPr>
              <a:solidFill>
                <a:srgbClr val="00426F"/>
              </a:solidFill>
            </c:spPr>
            <c:extLst>
              <c:ext xmlns:c16="http://schemas.microsoft.com/office/drawing/2014/chart" uri="{C3380CC4-5D6E-409C-BE32-E72D297353CC}">
                <c16:uniqueId val="{00000007-BF71-48F6-84D2-3A532BC4D259}"/>
              </c:ext>
            </c:extLst>
          </c:dPt>
          <c:dPt>
            <c:idx val="4"/>
            <c:bubble3D val="0"/>
            <c:spPr>
              <a:solidFill>
                <a:srgbClr val="A50776"/>
              </a:solidFill>
            </c:spPr>
            <c:extLst>
              <c:ext xmlns:c16="http://schemas.microsoft.com/office/drawing/2014/chart" uri="{C3380CC4-5D6E-409C-BE32-E72D297353CC}">
                <c16:uniqueId val="{00000009-BF71-48F6-84D2-3A532BC4D259}"/>
              </c:ext>
            </c:extLst>
          </c:dPt>
          <c:dPt>
            <c:idx val="5"/>
            <c:bubble3D val="0"/>
            <c:spPr>
              <a:solidFill>
                <a:srgbClr val="57514D">
                  <a:alpha val="50000"/>
                </a:srgbClr>
              </a:solidFill>
            </c:spPr>
            <c:extLst>
              <c:ext xmlns:c16="http://schemas.microsoft.com/office/drawing/2014/chart" uri="{C3380CC4-5D6E-409C-BE32-E72D297353CC}">
                <c16:uniqueId val="{0000000B-BF71-48F6-84D2-3A532BC4D259}"/>
              </c:ext>
            </c:extLst>
          </c:dPt>
          <c:dPt>
            <c:idx val="6"/>
            <c:bubble3D val="0"/>
            <c:spPr>
              <a:solidFill>
                <a:srgbClr val="0579B9">
                  <a:alpha val="50000"/>
                </a:srgbClr>
              </a:solidFill>
            </c:spPr>
            <c:extLst>
              <c:ext xmlns:c16="http://schemas.microsoft.com/office/drawing/2014/chart" uri="{C3380CC4-5D6E-409C-BE32-E72D297353CC}">
                <c16:uniqueId val="{0000000D-BF71-48F6-84D2-3A532BC4D259}"/>
              </c:ext>
            </c:extLst>
          </c:dPt>
          <c:dPt>
            <c:idx val="7"/>
            <c:bubble3D val="0"/>
            <c:spPr>
              <a:solidFill>
                <a:srgbClr val="95C11F">
                  <a:alpha val="50000"/>
                </a:srgbClr>
              </a:solidFill>
            </c:spPr>
            <c:extLst>
              <c:ext xmlns:c16="http://schemas.microsoft.com/office/drawing/2014/chart" uri="{C3380CC4-5D6E-409C-BE32-E72D297353CC}">
                <c16:uniqueId val="{0000000F-BF71-48F6-84D2-3A532BC4D259}"/>
              </c:ext>
            </c:extLst>
          </c:dPt>
          <c:dPt>
            <c:idx val="8"/>
            <c:bubble3D val="0"/>
            <c:spPr>
              <a:solidFill>
                <a:srgbClr val="0579B9"/>
              </a:solidFill>
            </c:spPr>
            <c:extLst>
              <c:ext xmlns:c16="http://schemas.microsoft.com/office/drawing/2014/chart" uri="{C3380CC4-5D6E-409C-BE32-E72D297353CC}">
                <c16:uniqueId val="{00000011-BF71-48F6-84D2-3A532BC4D259}"/>
              </c:ext>
            </c:extLst>
          </c:dPt>
          <c:dPt>
            <c:idx val="9"/>
            <c:bubble3D val="0"/>
            <c:spPr>
              <a:solidFill>
                <a:srgbClr val="202D61"/>
              </a:solidFill>
            </c:spPr>
            <c:extLst>
              <c:ext xmlns:c16="http://schemas.microsoft.com/office/drawing/2014/chart" uri="{C3380CC4-5D6E-409C-BE32-E72D297353CC}">
                <c16:uniqueId val="{00000013-BF71-48F6-84D2-3A532BC4D259}"/>
              </c:ext>
            </c:extLst>
          </c:dPt>
          <c:dPt>
            <c:idx val="10"/>
            <c:bubble3D val="0"/>
            <c:spPr>
              <a:solidFill>
                <a:srgbClr val="00A1DE"/>
              </a:solidFill>
            </c:spPr>
            <c:extLst>
              <c:ext xmlns:c16="http://schemas.microsoft.com/office/drawing/2014/chart" uri="{C3380CC4-5D6E-409C-BE32-E72D297353CC}">
                <c16:uniqueId val="{00000015-BF71-48F6-84D2-3A532BC4D259}"/>
              </c:ext>
            </c:extLst>
          </c:dPt>
          <c:dLbls>
            <c:dLbl>
              <c:idx val="0"/>
              <c:layout>
                <c:manualLayout>
                  <c:x val="2.2386302589369311E-2"/>
                  <c:y val="0.1407229993542003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F71-48F6-84D2-3A532BC4D259}"/>
                </c:ext>
              </c:extLst>
            </c:dLbl>
            <c:dLbl>
              <c:idx val="1"/>
              <c:layout>
                <c:manualLayout>
                  <c:x val="-7.4050434510167421E-2"/>
                  <c:y val="-0.1176989447461232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F71-48F6-84D2-3A532BC4D259}"/>
                </c:ext>
              </c:extLst>
            </c:dLbl>
            <c:dLbl>
              <c:idx val="2"/>
              <c:layout>
                <c:manualLayout>
                  <c:x val="-5.8823118601402893E-2"/>
                  <c:y val="-0.1234453410592299"/>
                </c:manualLayout>
              </c:layout>
              <c:showLegendKey val="0"/>
              <c:showVal val="0"/>
              <c:showCatName val="1"/>
              <c:showSerName val="0"/>
              <c:showPercent val="1"/>
              <c:showBubbleSize val="0"/>
              <c:extLst>
                <c:ext xmlns:c15="http://schemas.microsoft.com/office/drawing/2012/chart" uri="{CE6537A1-D6FC-4f65-9D91-7224C49458BB}">
                  <c15:layout>
                    <c:manualLayout>
                      <c:w val="0.1172503454941965"/>
                      <c:h val="0.12056182112843249"/>
                    </c:manualLayout>
                  </c15:layout>
                </c:ext>
                <c:ext xmlns:c16="http://schemas.microsoft.com/office/drawing/2014/chart" uri="{C3380CC4-5D6E-409C-BE32-E72D297353CC}">
                  <c16:uniqueId val="{00000005-BF71-48F6-84D2-3A532BC4D259}"/>
                </c:ext>
              </c:extLst>
            </c:dLbl>
            <c:dLbl>
              <c:idx val="3"/>
              <c:layout>
                <c:manualLayout>
                  <c:x val="9.962916916087243E-2"/>
                  <c:y val="-4.727668070836518E-2"/>
                </c:manualLayout>
              </c:layout>
              <c:tx>
                <c:rich>
                  <a:bodyPr/>
                  <a:lstStyle/>
                  <a:p>
                    <a:fld id="{2FF80DBB-A247-4A48-A7AF-B4A9021368F0}" type="CATEGORYNAME">
                      <a:rPr lang="en-US"/>
                      <a:pPr/>
                      <a:t>[CATEGORY NAME]</a:t>
                    </a:fld>
                    <a:r>
                      <a:rPr lang="en-US" baseline="30000"/>
                      <a:t>(a)</a:t>
                    </a:r>
                    <a:r>
                      <a:rPr lang="en-US" baseline="0"/>
                      <a:t>
</a:t>
                    </a:r>
                    <a:fld id="{99D5D2D0-3C95-4757-82B0-635219D6A1A4}"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BF71-48F6-84D2-3A532BC4D259}"/>
                </c:ext>
              </c:extLst>
            </c:dLbl>
            <c:dLbl>
              <c:idx val="4"/>
              <c:layout>
                <c:manualLayout>
                  <c:x val="0.10084511365903816"/>
                  <c:y val="0.1110123649893650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F71-48F6-84D2-3A532BC4D259}"/>
                </c:ext>
              </c:extLst>
            </c:dLbl>
            <c:dLbl>
              <c:idx val="5"/>
              <c:layout>
                <c:manualLayout>
                  <c:x val="1.21097382267341E-2"/>
                  <c:y val="3.821622615644382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BF71-48F6-84D2-3A532BC4D259}"/>
                </c:ext>
              </c:extLst>
            </c:dLbl>
            <c:dLbl>
              <c:idx val="6"/>
              <c:layout>
                <c:manualLayout>
                  <c:x val="9.814885114477331E-3"/>
                  <c:y val="1.954661718240633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BF71-48F6-84D2-3A532BC4D259}"/>
                </c:ext>
              </c:extLst>
            </c:dLbl>
            <c:dLbl>
              <c:idx val="7"/>
              <c:layout>
                <c:manualLayout>
                  <c:x val="1.0368066355624676E-2"/>
                  <c:y val="6.8077636792216257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BF71-48F6-84D2-3A532BC4D259}"/>
                </c:ext>
              </c:extLst>
            </c:dLbl>
            <c:dLbl>
              <c:idx val="8"/>
              <c:layout>
                <c:manualLayout>
                  <c:x val="3.9259867011180371E-3"/>
                  <c:y val="2.010833040774361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BF71-48F6-84D2-3A532BC4D259}"/>
                </c:ext>
              </c:extLst>
            </c:dLbl>
            <c:dLbl>
              <c:idx val="9"/>
              <c:layout>
                <c:manualLayout>
                  <c:x val="7.409330443336885E-3"/>
                  <c:y val="5.039370078740157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BF71-48F6-84D2-3A532BC4D259}"/>
                </c:ext>
              </c:extLst>
            </c:dLbl>
            <c:dLbl>
              <c:idx val="10"/>
              <c:layout>
                <c:manualLayout>
                  <c:x val="1.3105546776482664E-2"/>
                  <c:y val="0"/>
                </c:manualLayout>
              </c:layout>
              <c:tx>
                <c:rich>
                  <a:bodyPr/>
                  <a:lstStyle/>
                  <a:p>
                    <a:r>
                      <a:t>Add text</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15-BF71-48F6-84D2-3A532BC4D259}"/>
                </c:ext>
              </c:extLst>
            </c:dLbl>
            <c:numFmt formatCode="0.0%" sourceLinked="0"/>
            <c:spPr>
              <a:noFill/>
              <a:ln>
                <a:noFill/>
              </a:ln>
            </c:spPr>
            <c:showLegendKey val="0"/>
            <c:showVal val="0"/>
            <c:showCatName val="1"/>
            <c:showSerName val="0"/>
            <c:showPercent val="1"/>
            <c:showBubbleSize val="0"/>
            <c:showLeaderLines val="0"/>
            <c:extLst>
              <c:ext xmlns:c15="http://schemas.microsoft.com/office/drawing/2012/chart" uri="{CE6537A1-D6FC-4f65-9D91-7224C49458BB}"/>
            </c:extLst>
          </c:dLbls>
          <c:cat>
            <c:strRef>
              <c:f>'Chart 1.4 Physical Assets '!$D$26:$H$26</c:f>
              <c:strCache>
                <c:ptCount val="5"/>
                <c:pt idx="0">
                  <c:v>Land</c:v>
                </c:pt>
                <c:pt idx="1">
                  <c:v>Buildings</c:v>
                </c:pt>
                <c:pt idx="2">
                  <c:v>Plant and 
Equipment</c:v>
                </c:pt>
                <c:pt idx="3">
                  <c:v>Infrastructure
Systems</c:v>
                </c:pt>
                <c:pt idx="4">
                  <c:v>Investment Properties</c:v>
                </c:pt>
              </c:strCache>
            </c:strRef>
          </c:cat>
          <c:val>
            <c:numRef>
              <c:f>'Chart 1.4 Physical Assets '!$D$29:$H$29</c:f>
              <c:numCache>
                <c:formatCode>#,##0\ \ ;\(#,##0\)\ \ ;...\ \ \ </c:formatCode>
                <c:ptCount val="5"/>
                <c:pt idx="0">
                  <c:v>74578.813030469973</c:v>
                </c:pt>
                <c:pt idx="1">
                  <c:v>93911.464741029995</c:v>
                </c:pt>
                <c:pt idx="2">
                  <c:v>16644.181034773017</c:v>
                </c:pt>
                <c:pt idx="3">
                  <c:v>180197.43069733356</c:v>
                </c:pt>
                <c:pt idx="4">
                  <c:v>676.43673113</c:v>
                </c:pt>
              </c:numCache>
            </c:numRef>
          </c:val>
          <c:extLst>
            <c:ext xmlns:c16="http://schemas.microsoft.com/office/drawing/2014/chart" uri="{C3380CC4-5D6E-409C-BE32-E72D297353CC}">
              <c16:uniqueId val="{00000016-BF71-48F6-84D2-3A532BC4D259}"/>
            </c:ext>
          </c:extLst>
        </c:ser>
        <c:dLbls>
          <c:showLegendKey val="0"/>
          <c:showVal val="1"/>
          <c:showCatName val="0"/>
          <c:showSerName val="0"/>
          <c:showPercent val="0"/>
          <c:showBubbleSize val="0"/>
          <c:showLeaderLines val="0"/>
        </c:dLbls>
        <c:firstSliceAng val="150"/>
        <c:holeSize val="60"/>
      </c:doughnutChart>
      <c:spPr>
        <a:noFill/>
        <a:ln>
          <a:noFill/>
        </a:ln>
      </c:spPr>
    </c:plotArea>
    <c:plotVisOnly val="1"/>
    <c:dispBlanksAs val="gap"/>
    <c:showDLblsOverMax val="0"/>
  </c:chart>
  <c:spPr>
    <a:noFill/>
    <a:ln>
      <a:noFill/>
    </a:ln>
  </c:spPr>
  <c:txPr>
    <a:bodyPr/>
    <a:lstStyle/>
    <a:p>
      <a:pPr>
        <a:defRPr sz="700">
          <a:solidFill>
            <a:srgbClr val="57514D"/>
          </a:solidFill>
          <a:latin typeface="Arial" panose="020B0604020202020204" pitchFamily="34" charset="0"/>
          <a:cs typeface="Arial" panose="020B0604020202020204" pitchFamily="34" charset="0"/>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0.71712</cdr:x>
      <cdr:y>0</cdr:y>
    </cdr:from>
    <cdr:to>
      <cdr:x>0.96034</cdr:x>
      <cdr:y>0.0704</cdr:y>
    </cdr:to>
    <cdr:sp macro="" textlink="">
      <cdr:nvSpPr>
        <cdr:cNvPr id="3" name="TextBox 3"/>
        <cdr:cNvSpPr txBox="1"/>
      </cdr:nvSpPr>
      <cdr:spPr>
        <a:xfrm xmlns:a="http://schemas.openxmlformats.org/drawingml/2006/main">
          <a:off x="4389778" y="0"/>
          <a:ext cx="1488847" cy="192544"/>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fld id="{639AC509-FABC-4598-B828-720C419032A4}" type="TxLink">
            <a:rPr lang="en-US" sz="700" b="1" i="0" u="none" strike="noStrike">
              <a:solidFill>
                <a:srgbClr val="57514D"/>
              </a:solidFill>
              <a:latin typeface="Arial" panose="020B0604020202020204" pitchFamily="34" charset="0"/>
              <a:cs typeface="Arial" panose="020B0604020202020204" pitchFamily="34" charset="0"/>
            </a:rPr>
            <a:pPr algn="ctr"/>
            <a:t>Average: $27.1 billion</a:t>
          </a:fld>
          <a:endParaRPr lang="en-AU" sz="700" b="1">
            <a:solidFill>
              <a:srgbClr val="57514D"/>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0.42346</cdr:x>
      <cdr:y>0.11251</cdr:y>
    </cdr:from>
    <cdr:to>
      <cdr:x>0.65788</cdr:x>
      <cdr:y>0.16865</cdr:y>
    </cdr:to>
    <cdr:sp macro="" textlink="">
      <cdr:nvSpPr>
        <cdr:cNvPr id="4" name="TextBox 3"/>
        <cdr:cNvSpPr txBox="1"/>
      </cdr:nvSpPr>
      <cdr:spPr>
        <a:xfrm xmlns:a="http://schemas.openxmlformats.org/drawingml/2006/main">
          <a:off x="2591899" y="305358"/>
          <a:ext cx="1434830" cy="152363"/>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fld id="{D1D38BC2-8567-427A-818F-AF9D08EB6949}" type="TxLink">
            <a:rPr lang="en-US" sz="700" b="1" i="0" u="none" strike="noStrike">
              <a:solidFill>
                <a:srgbClr val="57514D"/>
              </a:solidFill>
              <a:latin typeface="Arial" panose="020B0604020202020204" pitchFamily="34" charset="0"/>
              <a:cs typeface="Arial" panose="020B0604020202020204" pitchFamily="34" charset="0"/>
            </a:rPr>
            <a:pPr algn="ctr"/>
            <a:t>Average: $22.6 billion</a:t>
          </a:fld>
          <a:endParaRPr lang="en-AU" sz="700" b="1">
            <a:solidFill>
              <a:srgbClr val="57514D"/>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0.15293</cdr:x>
      <cdr:y>0.31442</cdr:y>
    </cdr:from>
    <cdr:to>
      <cdr:x>0.3345</cdr:x>
      <cdr:y>0.37325</cdr:y>
    </cdr:to>
    <cdr:sp macro="" textlink="">
      <cdr:nvSpPr>
        <cdr:cNvPr id="6" name="TextBox 5"/>
        <cdr:cNvSpPr txBox="1"/>
      </cdr:nvSpPr>
      <cdr:spPr>
        <a:xfrm xmlns:a="http://schemas.openxmlformats.org/drawingml/2006/main">
          <a:off x="946328" y="858949"/>
          <a:ext cx="1123569" cy="1607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fld id="{B05BE7C0-69C0-4F3D-8642-2C14A3FE3E7E}" type="TxLink">
            <a:rPr lang="en-US" sz="700" b="1" i="0" u="none" strike="noStrike">
              <a:solidFill>
                <a:srgbClr val="57514D"/>
              </a:solidFill>
              <a:latin typeface="Arial" panose="020B0604020202020204" pitchFamily="34" charset="0"/>
              <a:cs typeface="Arial" panose="020B0604020202020204" pitchFamily="34" charset="0"/>
            </a:rPr>
            <a:pPr/>
            <a:t>Average: $15.4 billion</a:t>
          </a:fld>
          <a:endParaRPr lang="en-AU" sz="700" b="1">
            <a:solidFill>
              <a:srgbClr val="57514D"/>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0.25966</cdr:x>
      <cdr:y>0.94993</cdr:y>
    </cdr:from>
    <cdr:to>
      <cdr:x>0.84161</cdr:x>
      <cdr:y>1</cdr:y>
    </cdr:to>
    <cdr:sp macro="" textlink="">
      <cdr:nvSpPr>
        <cdr:cNvPr id="2" name="Rectangle 1"/>
        <cdr:cNvSpPr/>
      </cdr:nvSpPr>
      <cdr:spPr>
        <a:xfrm xmlns:a="http://schemas.openxmlformats.org/drawingml/2006/main">
          <a:off x="1589318" y="2578100"/>
          <a:ext cx="3561979" cy="135890"/>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Budget">
    <a:dk1>
      <a:srgbClr val="57514D"/>
    </a:dk1>
    <a:lt1>
      <a:srgbClr val="FFFFFF"/>
    </a:lt1>
    <a:dk2>
      <a:srgbClr val="1D3278"/>
    </a:dk2>
    <a:lt2>
      <a:srgbClr val="DD0332"/>
    </a:lt2>
    <a:accent1>
      <a:srgbClr val="0579B9"/>
    </a:accent1>
    <a:accent2>
      <a:srgbClr val="EB8C00"/>
    </a:accent2>
    <a:accent3>
      <a:srgbClr val="951C7D"/>
    </a:accent3>
    <a:accent4>
      <a:srgbClr val="95C11F"/>
    </a:accent4>
    <a:accent5>
      <a:srgbClr val="13421F"/>
    </a:accent5>
    <a:accent6>
      <a:srgbClr val="25A9E1"/>
    </a:accent6>
    <a:hlink>
      <a:srgbClr val="000000"/>
    </a:hlink>
    <a:folHlink>
      <a:srgbClr val="000000"/>
    </a:folHlink>
  </a:clrScheme>
  <a:fontScheme name="Budge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801a5968-9419-4033-b9de-7ffe8168468e">
      <UserInfo>
        <DisplayName>Danielle Burgess</DisplayName>
        <AccountId>27</AccountId>
        <AccountType/>
      </UserInfo>
      <UserInfo>
        <DisplayName>Cassandra Wilkinson</DisplayName>
        <AccountId>159</AccountId>
        <AccountType/>
      </UserInfo>
      <UserInfo>
        <DisplayName>Sajiv De Silva</DisplayName>
        <AccountId>15</AccountId>
        <AccountType/>
      </UserInfo>
      <UserInfo>
        <DisplayName>Emma Finnerty</DisplayName>
        <AccountId>507</AccountId>
        <AccountType/>
      </UserInfo>
      <UserInfo>
        <DisplayName>Shazmeen Chunara</DisplayName>
        <AccountId>709</AccountId>
        <AccountType/>
      </UserInfo>
      <UserInfo>
        <DisplayName>Alex Petrillo</DisplayName>
        <AccountId>713</AccountId>
        <AccountType/>
      </UserInfo>
      <UserInfo>
        <DisplayName>Anthony Luu</DisplayName>
        <AccountId>1342</AccountId>
        <AccountType/>
      </UserInfo>
      <UserInfo>
        <DisplayName>Kim Garvey</DisplayName>
        <AccountId>1347</AccountId>
        <AccountType/>
      </UserInfo>
      <UserInfo>
        <DisplayName>Giuseppe Madaffari</DisplayName>
        <AccountId>14</AccountId>
        <AccountType/>
      </UserInfo>
      <UserInfo>
        <DisplayName>Nayeem Haque</DisplayName>
        <AccountId>1327</AccountId>
        <AccountType/>
      </UserInfo>
      <UserInfo>
        <DisplayName>Sean O'Shannassy</DisplayName>
        <AccountId>125</AccountId>
        <AccountType/>
      </UserInfo>
      <UserInfo>
        <DisplayName>Jason Lau</DisplayName>
        <AccountId>734</AccountId>
        <AccountType/>
      </UserInfo>
      <UserInfo>
        <DisplayName>Mohammad Iqbal</DisplayName>
        <AccountId>115</AccountId>
        <AccountType/>
      </UserInfo>
      <UserInfo>
        <DisplayName>Jimmy Lam</DisplayName>
        <AccountId>716</AccountId>
        <AccountType/>
      </UserInfo>
      <UserInfo>
        <DisplayName>Jun Wen</DisplayName>
        <AccountId>84</AccountId>
        <AccountType/>
      </UserInfo>
      <UserInfo>
        <DisplayName>Gareth Wymond</DisplayName>
        <AccountId>13</AccountId>
        <AccountType/>
      </UserInfo>
      <UserInfo>
        <DisplayName>Juliet Toohey</DisplayName>
        <AccountId>193</AccountId>
        <AccountType/>
      </UserInfo>
      <UserInfo>
        <DisplayName>Calvin Cheng (Treasury)</DisplayName>
        <AccountId>163</AccountId>
        <AccountType/>
      </UserInfo>
    </SharedWithUsers>
    <_Flow_SignoffStatus xmlns="1c478e85-8130-4c67-8ee4-8bdf1c0e6049"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F02F16F1AFBDE54EBD2685E90FE1922F" ma:contentTypeVersion="13" ma:contentTypeDescription="Create a new document." ma:contentTypeScope="" ma:versionID="aa9454f501cc4f443e6d2a358128cbdb">
  <xsd:schema xmlns:xsd="http://www.w3.org/2001/XMLSchema" xmlns:xs="http://www.w3.org/2001/XMLSchema" xmlns:p="http://schemas.microsoft.com/office/2006/metadata/properties" xmlns:ns2="801a5968-9419-4033-b9de-7ffe8168468e" xmlns:ns3="1c478e85-8130-4c67-8ee4-8bdf1c0e6049" targetNamespace="http://schemas.microsoft.com/office/2006/metadata/properties" ma:root="true" ma:fieldsID="c4ef26c785574217d699266b2fdd00a6" ns2:_="" ns3:_="">
    <xsd:import namespace="801a5968-9419-4033-b9de-7ffe8168468e"/>
    <xsd:import namespace="1c478e85-8130-4c67-8ee4-8bdf1c0e604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_Flow_SignoffStatu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a5968-9419-4033-b9de-7ffe8168468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478e85-8130-4c67-8ee4-8bdf1c0e604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4256981-04AC-4029-A4D1-CECB1D71233F}">
  <ds:schemaRefs>
    <ds:schemaRef ds:uri="http://schemas.microsoft.com/office/2006/metadata/properties"/>
    <ds:schemaRef ds:uri="http://schemas.microsoft.com/office/infopath/2007/PartnerControls"/>
    <ds:schemaRef ds:uri="801a5968-9419-4033-b9de-7ffe8168468e"/>
    <ds:schemaRef ds:uri="1c478e85-8130-4c67-8ee4-8bdf1c0e6049"/>
  </ds:schemaRefs>
</ds:datastoreItem>
</file>

<file path=customXml/itemProps2.xml><?xml version="1.0" encoding="utf-8"?>
<ds:datastoreItem xmlns:ds="http://schemas.openxmlformats.org/officeDocument/2006/customXml" ds:itemID="{F77BC0C8-FFF5-4F91-8EC4-CDD458D666BB}">
  <ds:schemaRefs>
    <ds:schemaRef ds:uri="http://schemas.openxmlformats.org/officeDocument/2006/bibliography"/>
  </ds:schemaRefs>
</ds:datastoreItem>
</file>

<file path=customXml/itemProps3.xml><?xml version="1.0" encoding="utf-8"?>
<ds:datastoreItem xmlns:ds="http://schemas.openxmlformats.org/officeDocument/2006/customXml" ds:itemID="{4BB847D2-BE2E-4FF6-993E-3A3FB776AB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1a5968-9419-4033-b9de-7ffe8168468e"/>
    <ds:schemaRef ds:uri="1c478e85-8130-4c67-8ee4-8bdf1c0e60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A522357-6383-4B88-808C-FAFCB94D862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3536</TotalTime>
  <Pages>17</Pages>
  <Words>5355</Words>
  <Characters>31649</Characters>
  <Application>Microsoft Office Word</Application>
  <DocSecurity>0</DocSecurity>
  <Lines>263</Lines>
  <Paragraphs>73</Paragraphs>
  <ScaleCrop>false</ScaleCrop>
  <HeadingPairs>
    <vt:vector size="2" baseType="variant">
      <vt:variant>
        <vt:lpstr>Title</vt:lpstr>
      </vt:variant>
      <vt:variant>
        <vt:i4>1</vt:i4>
      </vt:variant>
    </vt:vector>
  </HeadingPairs>
  <TitlesOfParts>
    <vt:vector size="1" baseType="lpstr">
      <vt:lpstr>2021-22 Budget Paper No. 3 - Infrastructure Statement - Chapter 1: Infrastructure Program Overview</vt:lpstr>
    </vt:vector>
  </TitlesOfParts>
  <Company>NSW Treasury</Company>
  <LinksUpToDate>false</LinksUpToDate>
  <CharactersWithSpaces>36931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2021-22 Budget Paper No. 3 - Infrastructure Statement - Chapter 1: Infrastructure Program - Overview</dc:title>
  <dc:subject/>
  <dc:creator>The Treasury</dc:creator>
  <cp:keywords/>
  <dc:description/>
  <cp:lastModifiedBy>Francess Lavorato</cp:lastModifiedBy>
  <cp:revision>5852</cp:revision>
  <cp:lastPrinted>2021-06-18T01:55:00Z</cp:lastPrinted>
  <dcterms:created xsi:type="dcterms:W3CDTF">2019-05-19T11:34:00Z</dcterms:created>
  <dcterms:modified xsi:type="dcterms:W3CDTF">2021-06-19T00:12:00Z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0x010100F02F16F1AFBDE54EBD2685E90FE1922F</vt:lpwstr>
  </property>
</Properties>
</file>