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EB5E" w14:textId="31E79AD4" w:rsidR="00A63D1D" w:rsidRPr="0011239F" w:rsidRDefault="005C4FBC" w:rsidP="00F70177">
      <w:pPr>
        <w:pStyle w:val="Heading1"/>
        <w:spacing w:before="480" w:after="480"/>
        <w:ind w:left="709" w:hanging="709"/>
        <w:rPr>
          <w:rFonts w:cs="Arial"/>
        </w:rPr>
      </w:pPr>
      <w:r>
        <w:rPr>
          <w:rFonts w:cs="Arial"/>
        </w:rPr>
        <w:t>4</w:t>
      </w:r>
      <w:r w:rsidR="004D606F" w:rsidRPr="0011239F">
        <w:rPr>
          <w:rFonts w:cs="Arial"/>
        </w:rPr>
        <w:t xml:space="preserve">. </w:t>
      </w:r>
      <w:r w:rsidR="00FA09EC" w:rsidRPr="0011239F">
        <w:rPr>
          <w:rFonts w:cs="Arial"/>
        </w:rPr>
        <w:tab/>
      </w:r>
      <w:r>
        <w:t>PLANNING, INDUSTRY AND ENVIRONMENT</w:t>
      </w:r>
      <w:r w:rsidRPr="705D6A5A">
        <w:rPr>
          <w:rFonts w:cs="Arial"/>
        </w:rPr>
        <w:t xml:space="preserve"> CLUSTER</w:t>
      </w:r>
    </w:p>
    <w:p w14:paraId="74043476" w14:textId="0A6949DE" w:rsidR="00A63D1D" w:rsidRPr="0011239F" w:rsidRDefault="00A63D1D" w:rsidP="005C4FBC">
      <w:pPr>
        <w:pStyle w:val="Heading2"/>
      </w:pPr>
      <w:bookmarkStart w:id="0" w:name="_Toc511769333"/>
      <w:r w:rsidRPr="0011239F">
        <w:t>Introduction</w:t>
      </w:r>
      <w:bookmarkEnd w:id="0"/>
    </w:p>
    <w:tbl>
      <w:tblPr>
        <w:tblpPr w:leftFromText="180" w:rightFromText="180" w:vertAnchor="text" w:horzAnchor="margin" w:tblpXSpec="right" w:tblpY="23"/>
        <w:tblW w:w="1692" w:type="pct"/>
        <w:shd w:val="clear" w:color="auto" w:fill="F2F2F2" w:themeFill="background1" w:themeFillShade="F2"/>
        <w:tblCellMar>
          <w:left w:w="115" w:type="dxa"/>
          <w:right w:w="115" w:type="dxa"/>
        </w:tblCellMar>
        <w:tblLook w:val="04A0" w:firstRow="1" w:lastRow="0" w:firstColumn="1" w:lastColumn="0" w:noHBand="0" w:noVBand="1"/>
        <w:tblCaption w:val="PLANNING, INDUSTRY AND ENVIRONMENT CLUSTER"/>
        <w:tblDescription w:val="PLANNING, INDUSTRY AND ENVIRONMENT CLUSTER"/>
      </w:tblPr>
      <w:tblGrid>
        <w:gridCol w:w="1086"/>
        <w:gridCol w:w="968"/>
        <w:gridCol w:w="1208"/>
      </w:tblGrid>
      <w:tr w:rsidR="00877575" w:rsidRPr="0011239F" w14:paraId="3EEE1C17" w14:textId="77777777" w:rsidTr="117ADC50">
        <w:trPr>
          <w:cantSplit/>
          <w:trHeight w:val="1010"/>
        </w:trPr>
        <w:tc>
          <w:tcPr>
            <w:tcW w:w="1665" w:type="pct"/>
            <w:shd w:val="clear" w:color="auto" w:fill="F2F2F2" w:themeFill="background1" w:themeFillShade="F2"/>
            <w:vAlign w:val="center"/>
          </w:tcPr>
          <w:p w14:paraId="605D7F5D" w14:textId="52D5E69D" w:rsidR="00877575" w:rsidRPr="0011239F" w:rsidRDefault="00877575" w:rsidP="00877575">
            <w:pPr>
              <w:spacing w:before="120" w:after="120"/>
              <w:rPr>
                <w:rFonts w:ascii="Arial" w:hAnsi="Arial" w:cs="Arial"/>
              </w:rPr>
            </w:pPr>
            <w:bookmarkStart w:id="1" w:name="_Hlk514514902"/>
            <w:r>
              <w:rPr>
                <w:rFonts w:ascii="Arial" w:hAnsi="Arial" w:cs="Arial"/>
                <w:noProof/>
              </w:rPr>
              <w:drawing>
                <wp:inline distT="0" distB="0" distL="0" distR="0" wp14:anchorId="72FD038D" wp14:editId="6F7E355A">
                  <wp:extent cx="518160" cy="5184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84" w:type="pct"/>
            <w:shd w:val="clear" w:color="auto" w:fill="F2F2F2" w:themeFill="background1" w:themeFillShade="F2"/>
            <w:vAlign w:val="center"/>
          </w:tcPr>
          <w:p w14:paraId="7DEBED38" w14:textId="15CFB562" w:rsidR="00877575" w:rsidRPr="0011239F" w:rsidRDefault="005C4FBC" w:rsidP="00877575">
            <w:pPr>
              <w:spacing w:before="120" w:after="120"/>
              <w:jc w:val="center"/>
              <w:rPr>
                <w:rFonts w:ascii="Arial" w:hAnsi="Arial" w:cs="Arial"/>
                <w:color w:val="00ABE6"/>
                <w:sz w:val="18"/>
                <w:szCs w:val="18"/>
              </w:rPr>
            </w:pPr>
            <w:r w:rsidRPr="00870A50">
              <w:rPr>
                <w:rFonts w:ascii="Arial" w:hAnsi="Arial" w:cs="Arial"/>
                <w:color w:val="008EBA"/>
                <w:sz w:val="18"/>
                <w:szCs w:val="18"/>
              </w:rPr>
              <w:t>$6.1 billion</w:t>
            </w:r>
            <w:r w:rsidRPr="00BF4D60">
              <w:rPr>
                <w:rFonts w:ascii="Arial" w:hAnsi="Arial" w:cs="Arial"/>
                <w:color w:val="008EBA"/>
                <w:sz w:val="18"/>
                <w:szCs w:val="18"/>
              </w:rPr>
              <w:t xml:space="preserve"> </w:t>
            </w:r>
            <w:r w:rsidR="00877575" w:rsidRPr="00BF4D60">
              <w:rPr>
                <w:rFonts w:ascii="Arial" w:hAnsi="Arial" w:cs="Arial"/>
                <w:color w:val="008EBA"/>
                <w:sz w:val="18"/>
                <w:szCs w:val="18"/>
              </w:rPr>
              <w:t xml:space="preserve"> </w:t>
            </w:r>
          </w:p>
        </w:tc>
        <w:tc>
          <w:tcPr>
            <w:tcW w:w="1852" w:type="pct"/>
            <w:shd w:val="clear" w:color="auto" w:fill="F2F2F2" w:themeFill="background1" w:themeFillShade="F2"/>
            <w:vAlign w:val="center"/>
          </w:tcPr>
          <w:p w14:paraId="7F56C5C5" w14:textId="5050C6DA" w:rsidR="00877575" w:rsidRPr="0011239F" w:rsidRDefault="00877575" w:rsidP="00877575">
            <w:pPr>
              <w:rPr>
                <w:rFonts w:ascii="Arial" w:hAnsi="Arial" w:cs="Arial"/>
                <w:color w:val="00ABE6"/>
                <w:sz w:val="18"/>
                <w:szCs w:val="18"/>
              </w:rPr>
            </w:pPr>
            <w:r w:rsidRPr="00BF4D60">
              <w:rPr>
                <w:rFonts w:ascii="Arial" w:hAnsi="Arial" w:cs="Arial"/>
                <w:color w:val="008EBA"/>
                <w:sz w:val="18"/>
                <w:szCs w:val="18"/>
              </w:rPr>
              <w:t>Recurrent</w:t>
            </w:r>
            <w:r w:rsidRPr="00BF4D60">
              <w:rPr>
                <w:rFonts w:ascii="Arial" w:hAnsi="Arial" w:cs="Arial"/>
                <w:color w:val="008EBA"/>
                <w:sz w:val="18"/>
                <w:szCs w:val="18"/>
              </w:rPr>
              <w:br/>
              <w:t xml:space="preserve">Expenses </w:t>
            </w:r>
            <w:r w:rsidRPr="00BF4D60">
              <w:rPr>
                <w:rFonts w:ascii="Arial" w:hAnsi="Arial" w:cs="Arial"/>
                <w:color w:val="008EBA"/>
                <w:sz w:val="18"/>
                <w:szCs w:val="18"/>
              </w:rPr>
              <w:br/>
              <w:t>2021-22</w:t>
            </w:r>
          </w:p>
        </w:tc>
      </w:tr>
      <w:tr w:rsidR="005C4FBC" w:rsidRPr="0011239F" w14:paraId="5C328435" w14:textId="77777777" w:rsidTr="117ADC50">
        <w:trPr>
          <w:cantSplit/>
          <w:trHeight w:val="1010"/>
        </w:trPr>
        <w:tc>
          <w:tcPr>
            <w:tcW w:w="1665" w:type="pct"/>
            <w:shd w:val="clear" w:color="auto" w:fill="F2F2F2" w:themeFill="background1" w:themeFillShade="F2"/>
            <w:vAlign w:val="center"/>
          </w:tcPr>
          <w:p w14:paraId="4FB86C35" w14:textId="2ABAB1BE" w:rsidR="005C4FBC" w:rsidRPr="0011239F" w:rsidRDefault="005C4FBC" w:rsidP="005C4FBC">
            <w:pPr>
              <w:spacing w:before="120" w:after="120"/>
              <w:rPr>
                <w:rFonts w:ascii="Arial" w:hAnsi="Arial" w:cs="Arial"/>
                <w:noProof/>
                <w:lang w:eastAsia="en-AU"/>
              </w:rPr>
            </w:pPr>
            <w:r>
              <w:rPr>
                <w:rFonts w:ascii="Arial" w:hAnsi="Arial" w:cs="Arial"/>
                <w:noProof/>
                <w:lang w:eastAsia="en-AU"/>
              </w:rPr>
              <w:drawing>
                <wp:inline distT="0" distB="0" distL="0" distR="0" wp14:anchorId="574182B7" wp14:editId="07408545">
                  <wp:extent cx="518160" cy="5184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84" w:type="pct"/>
            <w:shd w:val="clear" w:color="auto" w:fill="F2F2F2" w:themeFill="background1" w:themeFillShade="F2"/>
            <w:vAlign w:val="center"/>
          </w:tcPr>
          <w:p w14:paraId="711BFC86" w14:textId="7CEEF586" w:rsidR="005C4FBC" w:rsidRPr="00285B9B" w:rsidRDefault="005C4FBC" w:rsidP="005C4FBC">
            <w:pPr>
              <w:spacing w:before="120" w:after="120"/>
              <w:jc w:val="center"/>
              <w:rPr>
                <w:rFonts w:ascii="Arial" w:hAnsi="Arial" w:cs="Arial"/>
                <w:color w:val="008EBA"/>
                <w:sz w:val="18"/>
                <w:szCs w:val="18"/>
              </w:rPr>
            </w:pPr>
            <w:r w:rsidRPr="00870A50">
              <w:rPr>
                <w:rFonts w:ascii="Arial" w:hAnsi="Arial" w:cs="Arial"/>
                <w:color w:val="008EBA"/>
                <w:sz w:val="18"/>
                <w:szCs w:val="18"/>
              </w:rPr>
              <w:t>$</w:t>
            </w:r>
            <w:r w:rsidR="00ED0436">
              <w:rPr>
                <w:rFonts w:ascii="Arial" w:hAnsi="Arial" w:cs="Arial"/>
                <w:color w:val="008EBA"/>
                <w:sz w:val="18"/>
                <w:szCs w:val="18"/>
              </w:rPr>
              <w:t>995.0</w:t>
            </w:r>
            <w:r w:rsidRPr="00870A50">
              <w:rPr>
                <w:rFonts w:ascii="Arial" w:hAnsi="Arial" w:cs="Arial"/>
                <w:color w:val="008EBA"/>
                <w:sz w:val="18"/>
                <w:szCs w:val="18"/>
              </w:rPr>
              <w:t xml:space="preserve"> </w:t>
            </w:r>
            <w:r w:rsidR="0026405C">
              <w:rPr>
                <w:rFonts w:ascii="Arial" w:hAnsi="Arial" w:cs="Arial"/>
                <w:color w:val="008EBA"/>
                <w:sz w:val="18"/>
                <w:szCs w:val="18"/>
              </w:rPr>
              <w:t>m</w:t>
            </w:r>
            <w:r w:rsidRPr="00870A50">
              <w:rPr>
                <w:rFonts w:ascii="Arial" w:hAnsi="Arial" w:cs="Arial"/>
                <w:color w:val="008EBA"/>
                <w:sz w:val="18"/>
                <w:szCs w:val="18"/>
              </w:rPr>
              <w:t>illion</w:t>
            </w:r>
          </w:p>
        </w:tc>
        <w:tc>
          <w:tcPr>
            <w:tcW w:w="1852" w:type="pct"/>
            <w:shd w:val="clear" w:color="auto" w:fill="F2F2F2" w:themeFill="background1" w:themeFillShade="F2"/>
            <w:vAlign w:val="center"/>
          </w:tcPr>
          <w:p w14:paraId="59B3A7A0" w14:textId="18559626" w:rsidR="005C4FBC" w:rsidRPr="0011239F" w:rsidRDefault="005C4FBC" w:rsidP="005C4FBC">
            <w:pPr>
              <w:rPr>
                <w:rFonts w:ascii="Arial" w:hAnsi="Arial" w:cs="Arial"/>
                <w:color w:val="00ABE6"/>
                <w:sz w:val="18"/>
                <w:szCs w:val="18"/>
              </w:rPr>
            </w:pPr>
            <w:r w:rsidRPr="00BF4D60">
              <w:rPr>
                <w:rFonts w:ascii="Arial" w:hAnsi="Arial" w:cs="Arial"/>
                <w:color w:val="008EBA"/>
                <w:sz w:val="18"/>
                <w:szCs w:val="18"/>
              </w:rPr>
              <w:t>Capital</w:t>
            </w:r>
            <w:r w:rsidRPr="00BF4D60">
              <w:rPr>
                <w:rFonts w:ascii="Arial" w:hAnsi="Arial" w:cs="Arial"/>
                <w:color w:val="008EBA"/>
                <w:sz w:val="18"/>
                <w:szCs w:val="18"/>
              </w:rPr>
              <w:br/>
              <w:t>Expenditure</w:t>
            </w:r>
            <w:r w:rsidRPr="00BF4D60">
              <w:rPr>
                <w:rFonts w:ascii="Arial" w:hAnsi="Arial" w:cs="Arial"/>
                <w:color w:val="008EBA"/>
                <w:sz w:val="18"/>
                <w:szCs w:val="18"/>
              </w:rPr>
              <w:br/>
              <w:t>2021-22</w:t>
            </w:r>
          </w:p>
        </w:tc>
      </w:tr>
    </w:tbl>
    <w:p w14:paraId="70298999" w14:textId="1C0F7ADB" w:rsidR="005C4FBC" w:rsidRDefault="005C4FBC" w:rsidP="00FB0DBF">
      <w:pPr>
        <w:pStyle w:val="BodyText"/>
      </w:pPr>
      <w:bookmarkStart w:id="2" w:name="_Hlk515375251"/>
      <w:bookmarkEnd w:id="1"/>
      <w:r>
        <w:t>The Planning, Industry and Environment Cluster is responsible for the stewardship of the NSW Government’s natural and built assets. The Cluster’s key areas of focus include</w:t>
      </w:r>
      <w:r w:rsidR="009E4736">
        <w:t>:</w:t>
      </w:r>
      <w:r>
        <w:t xml:space="preserve"> planning and enabl</w:t>
      </w:r>
      <w:r w:rsidR="008B70CA">
        <w:t>ing</w:t>
      </w:r>
      <w:r>
        <w:t xml:space="preserve"> development and </w:t>
      </w:r>
      <w:r w:rsidR="008B70CA">
        <w:t>the delivery of</w:t>
      </w:r>
      <w:r w:rsidR="005A4450">
        <w:t xml:space="preserve"> </w:t>
      </w:r>
      <w:r>
        <w:t>infrastructure to drive economic activity</w:t>
      </w:r>
      <w:r w:rsidR="000A1D53">
        <w:t>,</w:t>
      </w:r>
      <w:r w:rsidR="007C501A" w:rsidRPr="002A3DA9">
        <w:t xml:space="preserve"> </w:t>
      </w:r>
      <w:r w:rsidRPr="002A3DA9">
        <w:t>protecting our native flora and fauna, setting the future direction</w:t>
      </w:r>
      <w:r w:rsidR="00396EA3" w:rsidRPr="002A3DA9">
        <w:t xml:space="preserve"> of</w:t>
      </w:r>
      <w:r w:rsidRPr="002A3DA9">
        <w:t xml:space="preserve"> waste</w:t>
      </w:r>
      <w:r w:rsidR="008249B1">
        <w:t xml:space="preserve">, sustainable materials and the </w:t>
      </w:r>
      <w:r w:rsidR="00556C22">
        <w:t>circular economy</w:t>
      </w:r>
      <w:r w:rsidR="00D00785">
        <w:t>,</w:t>
      </w:r>
      <w:r w:rsidR="00D82FEB" w:rsidRPr="002A3DA9">
        <w:t xml:space="preserve"> </w:t>
      </w:r>
      <w:r w:rsidR="00C60B54">
        <w:t xml:space="preserve">and </w:t>
      </w:r>
      <w:r w:rsidRPr="002A3DA9">
        <w:t>ensuring</w:t>
      </w:r>
      <w:r w:rsidR="00C7595E">
        <w:t xml:space="preserve"> an affordable, reliable and sustainable</w:t>
      </w:r>
      <w:r w:rsidRPr="002A3DA9">
        <w:t xml:space="preserve"> energy </w:t>
      </w:r>
      <w:r w:rsidR="00C7595E">
        <w:t>future</w:t>
      </w:r>
      <w:r w:rsidR="005E6E2A">
        <w:t>.</w:t>
      </w:r>
      <w:r w:rsidRPr="002A3DA9">
        <w:t xml:space="preserve"> </w:t>
      </w:r>
      <w:r w:rsidR="001B3402">
        <w:t>T</w:t>
      </w:r>
      <w:r w:rsidR="005E6E2A">
        <w:t xml:space="preserve">he </w:t>
      </w:r>
      <w:r w:rsidR="001B3402">
        <w:t>C</w:t>
      </w:r>
      <w:r w:rsidR="005E6E2A">
        <w:t>luster is also responsible</w:t>
      </w:r>
      <w:r w:rsidR="00141A7F">
        <w:t xml:space="preserve"> for </w:t>
      </w:r>
      <w:r w:rsidRPr="002A3DA9">
        <w:t>c</w:t>
      </w:r>
      <w:r>
        <w:t>reati</w:t>
      </w:r>
      <w:r w:rsidR="00141A7F">
        <w:t xml:space="preserve">ng </w:t>
      </w:r>
      <w:r>
        <w:t>better public and open spaces, improving the use and management of government-owned land and property, securing and improving the State’s water supply, increasing housing affordability and supply</w:t>
      </w:r>
      <w:r w:rsidR="00176340">
        <w:t>,</w:t>
      </w:r>
      <w:r>
        <w:t xml:space="preserve"> and improving outcomes for Aboriginal people across the State</w:t>
      </w:r>
      <w:r w:rsidR="00141A7F">
        <w:t>, with a focus on land and housing</w:t>
      </w:r>
      <w:r>
        <w:t>.</w:t>
      </w:r>
    </w:p>
    <w:p w14:paraId="40A4E79A" w14:textId="1B21BE39" w:rsidR="00B97865" w:rsidRDefault="00001D87" w:rsidP="00E27C10">
      <w:pPr>
        <w:pStyle w:val="Heading3"/>
        <w:rPr>
          <w:rFonts w:cs="Arial"/>
        </w:rPr>
      </w:pPr>
      <w:r w:rsidRPr="0011239F">
        <w:rPr>
          <w:rFonts w:cs="Arial"/>
        </w:rPr>
        <w:t xml:space="preserve">State Outcomes </w:t>
      </w:r>
      <w:r w:rsidR="00636FAE" w:rsidRPr="0011239F">
        <w:rPr>
          <w:rFonts w:cs="Arial"/>
        </w:rPr>
        <w:t xml:space="preserve">to be </w:t>
      </w:r>
      <w:r w:rsidRPr="0011239F">
        <w:rPr>
          <w:rFonts w:cs="Arial"/>
        </w:rPr>
        <w:t xml:space="preserve">delivered by the </w:t>
      </w:r>
      <w:r w:rsidR="005C4FBC" w:rsidRPr="66C42250">
        <w:rPr>
          <w:rFonts w:cs="Arial"/>
        </w:rPr>
        <w:t>Planning, Industry and Environment</w:t>
      </w:r>
      <w:r w:rsidRPr="0011239F">
        <w:rPr>
          <w:rFonts w:cs="Arial"/>
        </w:rPr>
        <w:t xml:space="preserve"> </w:t>
      </w:r>
      <w:r w:rsidR="00F8666D">
        <w:rPr>
          <w:rFonts w:cs="Arial"/>
        </w:rPr>
        <w:t>C</w:t>
      </w:r>
      <w:r w:rsidRPr="0011239F">
        <w:rPr>
          <w:rFonts w:cs="Arial"/>
        </w:rPr>
        <w:t>luster</w:t>
      </w:r>
      <w:bookmarkEnd w:id="2"/>
    </w:p>
    <w:tbl>
      <w:tblPr>
        <w:tblW w:w="9873" w:type="dxa"/>
        <w:tblLook w:val="04A0" w:firstRow="1" w:lastRow="0" w:firstColumn="1" w:lastColumn="0" w:noHBand="0" w:noVBand="1"/>
        <w:tblCaption w:val="State Outcomes to be delivered by the Planning, Industry and Environment Cluster"/>
        <w:tblDescription w:val="State Outcomes to be delivered by the Planning, Industry and Environment Cluster"/>
      </w:tblPr>
      <w:tblGrid>
        <w:gridCol w:w="5102"/>
        <w:gridCol w:w="236"/>
        <w:gridCol w:w="4535"/>
      </w:tblGrid>
      <w:tr w:rsidR="00272B4A" w:rsidRPr="0011239F" w14:paraId="4EB62FEC" w14:textId="77777777" w:rsidTr="003A1FF3">
        <w:trPr>
          <w:trHeight w:val="408"/>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93461F">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93461F">
            <w:pPr>
              <w:jc w:val="center"/>
              <w:rPr>
                <w:color w:val="FFFFFF"/>
                <w:sz w:val="6"/>
                <w:szCs w:val="6"/>
              </w:rPr>
            </w:pPr>
            <w:r w:rsidRPr="00A95062">
              <w:rPr>
                <w:rFonts w:cs="Arial"/>
                <w:color w:val="FFFFFF"/>
                <w:sz w:val="6"/>
                <w:szCs w:val="6"/>
                <w:lang w:eastAsia="en-AU"/>
              </w:rPr>
              <w:t> </w:t>
            </w:r>
          </w:p>
        </w:tc>
        <w:tc>
          <w:tcPr>
            <w:tcW w:w="4535"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93461F">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003A1FF3">
        <w:trPr>
          <w:trHeight w:val="408"/>
          <w:tblHeader/>
        </w:trPr>
        <w:tc>
          <w:tcPr>
            <w:tcW w:w="5102" w:type="dxa"/>
            <w:vMerge/>
            <w:vAlign w:val="center"/>
            <w:hideMark/>
          </w:tcPr>
          <w:p w14:paraId="3E59487A" w14:textId="77777777" w:rsidR="00272B4A" w:rsidRPr="00FC4E65" w:rsidRDefault="00272B4A" w:rsidP="0093461F">
            <w:pPr>
              <w:rPr>
                <w:b/>
                <w:color w:val="FFFFFF"/>
                <w:sz w:val="22"/>
              </w:rPr>
            </w:pPr>
          </w:p>
        </w:tc>
        <w:tc>
          <w:tcPr>
            <w:tcW w:w="236" w:type="dxa"/>
            <w:vMerge/>
            <w:vAlign w:val="center"/>
            <w:hideMark/>
          </w:tcPr>
          <w:p w14:paraId="023E3EB3" w14:textId="77777777" w:rsidR="00272B4A" w:rsidRPr="00A95062" w:rsidRDefault="00272B4A" w:rsidP="0093461F">
            <w:pPr>
              <w:rPr>
                <w:color w:val="FFFFFF"/>
                <w:sz w:val="6"/>
                <w:szCs w:val="6"/>
              </w:rPr>
            </w:pPr>
          </w:p>
        </w:tc>
        <w:tc>
          <w:tcPr>
            <w:tcW w:w="4535" w:type="dxa"/>
            <w:vMerge/>
            <w:vAlign w:val="center"/>
            <w:hideMark/>
          </w:tcPr>
          <w:p w14:paraId="28F80C5B" w14:textId="77777777" w:rsidR="00272B4A" w:rsidRPr="00FC4E65" w:rsidRDefault="00272B4A" w:rsidP="0093461F">
            <w:pPr>
              <w:rPr>
                <w:b/>
                <w:color w:val="FFFFFF"/>
                <w:sz w:val="22"/>
              </w:rPr>
            </w:pPr>
          </w:p>
        </w:tc>
      </w:tr>
      <w:bookmarkEnd w:id="3"/>
      <w:tr w:rsidR="00272B4A" w:rsidRPr="00D92897" w14:paraId="1893ECDF" w14:textId="77777777" w:rsidTr="003A1FF3">
        <w:trPr>
          <w:trHeight w:val="108"/>
          <w:tblHeader/>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93461F">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93461F">
            <w:pPr>
              <w:jc w:val="center"/>
              <w:rPr>
                <w:rFonts w:cs="Arial"/>
                <w:sz w:val="6"/>
                <w:szCs w:val="6"/>
                <w:lang w:eastAsia="en-AU"/>
              </w:rPr>
            </w:pPr>
            <w:r w:rsidRPr="00A95062">
              <w:rPr>
                <w:rFonts w:cs="Arial"/>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93461F">
            <w:pPr>
              <w:jc w:val="center"/>
              <w:rPr>
                <w:rFonts w:cs="Arial"/>
                <w:color w:val="FF0000"/>
                <w:sz w:val="4"/>
                <w:szCs w:val="4"/>
                <w:lang w:eastAsia="en-AU"/>
              </w:rPr>
            </w:pPr>
            <w:r w:rsidRPr="00D92897">
              <w:rPr>
                <w:rFonts w:cs="Arial"/>
                <w:color w:val="FF0000"/>
                <w:sz w:val="4"/>
                <w:szCs w:val="4"/>
                <w:lang w:eastAsia="en-AU"/>
              </w:rPr>
              <w:t> </w:t>
            </w:r>
          </w:p>
        </w:tc>
      </w:tr>
      <w:tr w:rsidR="00272B4A" w:rsidRPr="0011239F" w14:paraId="61A4C62A" w14:textId="77777777" w:rsidTr="0013128B">
        <w:trPr>
          <w:trHeight w:val="992"/>
        </w:trPr>
        <w:tc>
          <w:tcPr>
            <w:tcW w:w="5102" w:type="dxa"/>
            <w:tcBorders>
              <w:top w:val="nil"/>
              <w:left w:val="nil"/>
              <w:bottom w:val="nil"/>
              <w:right w:val="nil"/>
            </w:tcBorders>
            <w:shd w:val="clear" w:color="auto" w:fill="BAE4FC"/>
            <w:hideMark/>
          </w:tcPr>
          <w:p w14:paraId="6AE2B772" w14:textId="77777777" w:rsidR="005C4FBC" w:rsidRPr="00FD2965" w:rsidRDefault="005C4FBC" w:rsidP="005C4FBC">
            <w:pPr>
              <w:pStyle w:val="ListParagraph"/>
              <w:numPr>
                <w:ilvl w:val="0"/>
                <w:numId w:val="35"/>
              </w:numPr>
              <w:spacing w:before="8" w:after="80"/>
              <w:ind w:left="357" w:hanging="357"/>
              <w:rPr>
                <w:rFonts w:cs="Arial"/>
                <w:color w:val="000000" w:themeColor="text1"/>
                <w:lang w:eastAsia="en-AU"/>
              </w:rPr>
            </w:pPr>
            <w:r w:rsidRPr="00A579AA">
              <w:rPr>
                <w:rFonts w:eastAsia="Arial" w:cs="Arial"/>
                <w:b/>
                <w:lang w:eastAsia="en-AU"/>
              </w:rPr>
              <w:t>Connecting communities to resilient and sustainable energy and local environments</w:t>
            </w:r>
            <w:r w:rsidRPr="12DBB992">
              <w:rPr>
                <w:rFonts w:cs="Arial"/>
                <w:lang w:eastAsia="en-AU"/>
              </w:rPr>
              <w:t> </w:t>
            </w:r>
          </w:p>
          <w:p w14:paraId="16A492B8" w14:textId="77777777" w:rsidR="005C4FBC" w:rsidRPr="00FD2965" w:rsidRDefault="005C4FBC" w:rsidP="005C4FBC">
            <w:pPr>
              <w:rPr>
                <w:rFonts w:ascii="Arial" w:hAnsi="Arial" w:cs="Arial"/>
                <w:color w:val="808080" w:themeColor="background1" w:themeShade="80"/>
                <w:lang w:eastAsia="en-AU"/>
              </w:rPr>
            </w:pPr>
            <w:r w:rsidRPr="00FD2965">
              <w:rPr>
                <w:rFonts w:ascii="Arial" w:hAnsi="Arial" w:cs="Arial"/>
                <w:lang w:eastAsia="en-AU"/>
              </w:rPr>
              <w:t>Protecting and preserving the quality of our environment via active stewardship to support a healthy New South Wales while securing an affordable, reliable and sustainable energy future. </w:t>
            </w:r>
          </w:p>
          <w:p w14:paraId="429D4B86" w14:textId="77777777" w:rsidR="005C4FBC" w:rsidRPr="00FD2965" w:rsidRDefault="005C4FBC" w:rsidP="005C4FBC">
            <w:pPr>
              <w:rPr>
                <w:rFonts w:ascii="Arial" w:hAnsi="Arial" w:cs="Arial"/>
                <w:color w:val="808080" w:themeColor="background1" w:themeShade="80"/>
                <w:sz w:val="12"/>
                <w:szCs w:val="12"/>
                <w:lang w:eastAsia="en-AU"/>
              </w:rPr>
            </w:pPr>
          </w:p>
          <w:p w14:paraId="595ADE0D" w14:textId="0398A1CA" w:rsidR="00272B4A" w:rsidRPr="00251A46" w:rsidRDefault="005C4FBC" w:rsidP="005C4FBC">
            <w:pPr>
              <w:rPr>
                <w:rFonts w:ascii="Arial" w:eastAsia="Arial" w:hAnsi="Arial" w:cs="Arial"/>
                <w:i/>
                <w:color w:val="000000" w:themeColor="text1"/>
              </w:rPr>
            </w:pPr>
            <w:r w:rsidRPr="002C3613">
              <w:rPr>
                <w:rFonts w:ascii="Arial" w:hAnsi="Arial" w:cs="Arial"/>
                <w:i/>
                <w:iCs/>
              </w:rPr>
              <w:t xml:space="preserve">2021-22 investment: </w:t>
            </w:r>
            <w:r w:rsidRPr="003D599D">
              <w:rPr>
                <w:rFonts w:ascii="Arial" w:hAnsi="Arial" w:cs="Arial"/>
                <w:i/>
              </w:rPr>
              <w:t>$2.4 billion</w:t>
            </w:r>
            <w:r>
              <w:rPr>
                <w:rFonts w:ascii="Arial" w:hAnsi="Arial" w:cs="Arial"/>
                <w:i/>
                <w:iCs/>
              </w:rPr>
              <w:t xml:space="preserve"> in</w:t>
            </w:r>
            <w:r w:rsidRPr="002C3613">
              <w:rPr>
                <w:rFonts w:ascii="Arial" w:hAnsi="Arial" w:cs="Arial"/>
                <w:i/>
                <w:iCs/>
              </w:rPr>
              <w:t xml:space="preserve"> recurrent expenses &amp; </w:t>
            </w:r>
            <w:r w:rsidRPr="003D599D">
              <w:rPr>
                <w:rFonts w:ascii="Arial" w:hAnsi="Arial" w:cs="Arial"/>
                <w:i/>
              </w:rPr>
              <w:t>$</w:t>
            </w:r>
            <w:r w:rsidRPr="003D599D">
              <w:rPr>
                <w:rFonts w:ascii="Arial" w:hAnsi="Arial" w:cs="Arial"/>
                <w:i/>
                <w:iCs/>
              </w:rPr>
              <w:t>3</w:t>
            </w:r>
            <w:r w:rsidR="0026405C">
              <w:rPr>
                <w:rFonts w:ascii="Arial" w:hAnsi="Arial" w:cs="Arial"/>
                <w:i/>
                <w:iCs/>
              </w:rPr>
              <w:t>51.2</w:t>
            </w:r>
            <w:r w:rsidRPr="003D599D">
              <w:rPr>
                <w:rFonts w:ascii="Arial" w:hAnsi="Arial" w:cs="Arial"/>
                <w:i/>
              </w:rPr>
              <w:t xml:space="preserve"> million</w:t>
            </w:r>
            <w:r>
              <w:rPr>
                <w:rFonts w:ascii="Arial" w:hAnsi="Arial" w:cs="Arial"/>
                <w:i/>
                <w:iCs/>
              </w:rPr>
              <w:t xml:space="preserve"> in</w:t>
            </w:r>
            <w:r w:rsidRPr="002C3613">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0E056BD2" w14:textId="77777777" w:rsidR="00272B4A" w:rsidRPr="00251A46" w:rsidRDefault="00272B4A" w:rsidP="0093461F">
            <w:pPr>
              <w:rPr>
                <w:sz w:val="6"/>
                <w:szCs w:val="6"/>
              </w:rPr>
            </w:pPr>
            <w:r w:rsidRPr="00251A46">
              <w:rPr>
                <w:rFonts w:cs="Arial"/>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94507" w14:textId="50166A51" w:rsidR="005C4FBC" w:rsidRPr="001D27F3" w:rsidRDefault="005C4FBC" w:rsidP="005C4FBC">
            <w:pPr>
              <w:pStyle w:val="ListParagraph"/>
              <w:numPr>
                <w:ilvl w:val="0"/>
                <w:numId w:val="14"/>
              </w:numPr>
            </w:pPr>
            <w:r w:rsidRPr="001D27F3">
              <w:t xml:space="preserve">Conservation, preservation and improved </w:t>
            </w:r>
            <w:r w:rsidR="000F593B">
              <w:t>community enjoyment</w:t>
            </w:r>
            <w:r w:rsidRPr="001D27F3">
              <w:t xml:space="preserve"> of national parks </w:t>
            </w:r>
          </w:p>
          <w:p w14:paraId="7669F4E8" w14:textId="77777777" w:rsidR="005C4FBC" w:rsidRPr="001D27F3" w:rsidRDefault="005C4FBC" w:rsidP="005C4FBC">
            <w:pPr>
              <w:pStyle w:val="ListParagraph"/>
              <w:numPr>
                <w:ilvl w:val="0"/>
                <w:numId w:val="14"/>
              </w:numPr>
            </w:pPr>
            <w:r w:rsidRPr="001D27F3">
              <w:t xml:space="preserve">Ensuring a secure and sustainable energy future </w:t>
            </w:r>
          </w:p>
          <w:p w14:paraId="59E5608A" w14:textId="01D3D93A" w:rsidR="005C4FBC" w:rsidRPr="001D27F3" w:rsidRDefault="004D11F8" w:rsidP="005C4FBC">
            <w:pPr>
              <w:pStyle w:val="ListParagraph"/>
              <w:numPr>
                <w:ilvl w:val="0"/>
                <w:numId w:val="14"/>
              </w:numPr>
            </w:pPr>
            <w:r>
              <w:t>Reducing carbon emissions while s</w:t>
            </w:r>
            <w:r w:rsidR="005C4FBC" w:rsidRPr="001D27F3">
              <w:t>upporting a sustainable, climate-resilient New South Wales</w:t>
            </w:r>
          </w:p>
          <w:p w14:paraId="625E95C6" w14:textId="4FB57C80" w:rsidR="00272B4A" w:rsidRPr="00251A46" w:rsidRDefault="005C4FBC" w:rsidP="005C4FBC">
            <w:pPr>
              <w:pStyle w:val="ListParagraph"/>
              <w:numPr>
                <w:ilvl w:val="0"/>
                <w:numId w:val="14"/>
              </w:numPr>
            </w:pPr>
            <w:r w:rsidRPr="001D27F3">
              <w:t>Encouraging a circular economy to turn waste into a resource</w:t>
            </w:r>
          </w:p>
        </w:tc>
      </w:tr>
      <w:tr w:rsidR="00272B4A" w:rsidRPr="0011239F" w14:paraId="1BD6272A" w14:textId="77777777" w:rsidTr="00D76E15">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251A46" w:rsidRDefault="00272B4A" w:rsidP="0093461F">
            <w:pPr>
              <w:rPr>
                <w:sz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42D0AF3"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FFFFFF" w:themeFill="background1"/>
            <w:hideMark/>
          </w:tcPr>
          <w:p w14:paraId="5F09F3AD" w14:textId="77777777" w:rsidR="00272B4A" w:rsidRPr="00251A46" w:rsidRDefault="00272B4A" w:rsidP="0093461F">
            <w:pPr>
              <w:rPr>
                <w:sz w:val="4"/>
              </w:rPr>
            </w:pPr>
            <w:r w:rsidRPr="00251A46">
              <w:rPr>
                <w:rFonts w:cs="Arial"/>
                <w:sz w:val="4"/>
                <w:szCs w:val="4"/>
                <w:lang w:eastAsia="en-AU"/>
              </w:rPr>
              <w:t> </w:t>
            </w:r>
          </w:p>
        </w:tc>
      </w:tr>
      <w:tr w:rsidR="00272B4A" w:rsidRPr="0011239F" w14:paraId="29E9E5B9" w14:textId="77777777" w:rsidTr="00664AAF">
        <w:trPr>
          <w:trHeight w:val="1345"/>
        </w:trPr>
        <w:tc>
          <w:tcPr>
            <w:tcW w:w="5102" w:type="dxa"/>
            <w:tcBorders>
              <w:top w:val="nil"/>
              <w:left w:val="nil"/>
              <w:bottom w:val="nil"/>
              <w:right w:val="nil"/>
            </w:tcBorders>
            <w:shd w:val="clear" w:color="auto" w:fill="BAE4FC"/>
          </w:tcPr>
          <w:p w14:paraId="486977A4" w14:textId="77777777" w:rsidR="005C4FBC" w:rsidRPr="00FD2965" w:rsidRDefault="005C4FBC" w:rsidP="005C4FBC">
            <w:pPr>
              <w:pStyle w:val="ListParagraph"/>
              <w:numPr>
                <w:ilvl w:val="0"/>
                <w:numId w:val="35"/>
              </w:numPr>
              <w:spacing w:before="8" w:after="80"/>
              <w:ind w:left="357" w:hanging="357"/>
              <w:rPr>
                <w:rFonts w:eastAsia="Arial" w:cs="Arial"/>
                <w:color w:val="000000" w:themeColor="text1"/>
                <w:lang w:eastAsia="en-AU"/>
              </w:rPr>
            </w:pPr>
            <w:r w:rsidRPr="12DBB992">
              <w:rPr>
                <w:rFonts w:eastAsia="Arial" w:cs="Arial"/>
                <w:b/>
                <w:lang w:eastAsia="en-AU"/>
              </w:rPr>
              <w:t>Create a strong and liveable NSW</w:t>
            </w:r>
            <w:r w:rsidRPr="12DBB992">
              <w:rPr>
                <w:rFonts w:eastAsia="Arial" w:cs="Arial"/>
                <w:lang w:eastAsia="en-AU"/>
              </w:rPr>
              <w:t> </w:t>
            </w:r>
          </w:p>
          <w:p w14:paraId="111FA0A1" w14:textId="77777777" w:rsidR="005C4FBC" w:rsidRPr="00FD2965" w:rsidRDefault="005C4FBC" w:rsidP="005C4FBC">
            <w:pPr>
              <w:rPr>
                <w:rFonts w:ascii="Arial" w:hAnsi="Arial" w:cs="Arial"/>
                <w:color w:val="808080" w:themeColor="background1" w:themeShade="80"/>
                <w:lang w:eastAsia="en-AU"/>
              </w:rPr>
            </w:pPr>
            <w:r w:rsidRPr="35E8D8AA">
              <w:rPr>
                <w:rFonts w:ascii="Arial" w:hAnsi="Arial" w:cs="Arial"/>
                <w:lang w:eastAsia="en-AU"/>
              </w:rPr>
              <w:t>Planning for great places that create the conditions for prosperity, economic development, innovation and jobs. The delivery of infrastructure and a diverse housing mix that responds to the needs of communities, and securing environmental sustainability, good design, greener places and safe and inclusive public spaces that bring communities together.</w:t>
            </w:r>
          </w:p>
          <w:p w14:paraId="0561EFFF" w14:textId="77777777" w:rsidR="005C4FBC" w:rsidRPr="00FD2965" w:rsidRDefault="005C4FBC" w:rsidP="005C4FBC">
            <w:pPr>
              <w:rPr>
                <w:rFonts w:ascii="Arial" w:hAnsi="Arial" w:cs="Arial"/>
                <w:color w:val="808080" w:themeColor="background1" w:themeShade="80"/>
                <w:sz w:val="12"/>
                <w:szCs w:val="12"/>
                <w:lang w:eastAsia="en-AU"/>
              </w:rPr>
            </w:pPr>
          </w:p>
          <w:p w14:paraId="5535604F" w14:textId="59A9F8CD" w:rsidR="00272B4A" w:rsidRPr="00251A46" w:rsidRDefault="005C4FBC" w:rsidP="005C4FBC">
            <w:pPr>
              <w:rPr>
                <w:rFonts w:ascii="Arial" w:hAnsi="Arial" w:cs="Arial"/>
                <w:i/>
                <w:highlight w:val="lightGray"/>
              </w:rPr>
            </w:pPr>
            <w:r w:rsidRPr="002C3613">
              <w:rPr>
                <w:rFonts w:ascii="Arial" w:hAnsi="Arial" w:cs="Arial"/>
                <w:i/>
                <w:iCs/>
              </w:rPr>
              <w:t xml:space="preserve">2021-22 investment: </w:t>
            </w:r>
            <w:r w:rsidRPr="004767FC">
              <w:rPr>
                <w:rFonts w:ascii="Arial" w:hAnsi="Arial" w:cs="Arial"/>
                <w:i/>
              </w:rPr>
              <w:t>$1.</w:t>
            </w:r>
            <w:r w:rsidR="003D599D" w:rsidRPr="004767FC">
              <w:rPr>
                <w:rFonts w:ascii="Arial" w:hAnsi="Arial" w:cs="Arial"/>
                <w:i/>
                <w:iCs/>
              </w:rPr>
              <w:t>1</w:t>
            </w:r>
            <w:r w:rsidRPr="004767FC">
              <w:rPr>
                <w:rFonts w:ascii="Arial" w:hAnsi="Arial" w:cs="Arial"/>
                <w:i/>
              </w:rPr>
              <w:t xml:space="preserve"> billion</w:t>
            </w:r>
            <w:r w:rsidRPr="002C3613">
              <w:rPr>
                <w:rFonts w:ascii="Arial" w:hAnsi="Arial" w:cs="Arial"/>
                <w:i/>
                <w:iCs/>
              </w:rPr>
              <w:t xml:space="preserve"> </w:t>
            </w:r>
            <w:r>
              <w:rPr>
                <w:rFonts w:ascii="Arial" w:hAnsi="Arial" w:cs="Arial"/>
                <w:i/>
                <w:iCs/>
              </w:rPr>
              <w:t xml:space="preserve">in </w:t>
            </w:r>
            <w:r w:rsidRPr="002C3613">
              <w:rPr>
                <w:rFonts w:ascii="Arial" w:hAnsi="Arial" w:cs="Arial"/>
                <w:i/>
                <w:iCs/>
              </w:rPr>
              <w:t xml:space="preserve">recurrent expenses &amp; </w:t>
            </w:r>
            <w:r w:rsidRPr="004767FC">
              <w:rPr>
                <w:rFonts w:ascii="Arial" w:hAnsi="Arial" w:cs="Arial"/>
                <w:i/>
              </w:rPr>
              <w:t>$</w:t>
            </w:r>
            <w:r w:rsidR="00574E18">
              <w:rPr>
                <w:rFonts w:ascii="Arial" w:hAnsi="Arial" w:cs="Arial"/>
                <w:i/>
              </w:rPr>
              <w:t>33.4</w:t>
            </w:r>
            <w:r w:rsidRPr="004767FC">
              <w:rPr>
                <w:rFonts w:ascii="Arial" w:hAnsi="Arial" w:cs="Arial"/>
                <w:i/>
              </w:rPr>
              <w:t xml:space="preserve"> million</w:t>
            </w:r>
            <w:r w:rsidRPr="002C3613">
              <w:rPr>
                <w:rFonts w:ascii="Arial" w:hAnsi="Arial" w:cs="Arial"/>
                <w:i/>
                <w:iCs/>
              </w:rPr>
              <w:t xml:space="preserve"> </w:t>
            </w:r>
            <w:r>
              <w:rPr>
                <w:rFonts w:ascii="Arial" w:hAnsi="Arial" w:cs="Arial"/>
                <w:i/>
                <w:iCs/>
              </w:rPr>
              <w:t>in</w:t>
            </w:r>
            <w:r w:rsidRPr="002C3613">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tcPr>
          <w:p w14:paraId="7BBC8958" w14:textId="63B5D70D" w:rsidR="00272B4A" w:rsidRPr="00251A46" w:rsidRDefault="00272B4A" w:rsidP="0093461F">
            <w:pPr>
              <w:jc w:val="center"/>
              <w:rPr>
                <w:sz w:val="6"/>
                <w:szCs w:val="6"/>
              </w:rPr>
            </w:pP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4F614" w14:textId="77777777" w:rsidR="005C4FBC" w:rsidRPr="001D27F3" w:rsidRDefault="005C4FBC" w:rsidP="005C4FBC">
            <w:pPr>
              <w:pStyle w:val="ListParagraph"/>
              <w:numPr>
                <w:ilvl w:val="0"/>
                <w:numId w:val="16"/>
              </w:numPr>
              <w:ind w:left="360"/>
            </w:pPr>
            <w:r w:rsidRPr="001D27F3">
              <w:t>Coordinating and enabling the place and infrastructure outcomes of regional plans</w:t>
            </w:r>
          </w:p>
          <w:p w14:paraId="51012F89" w14:textId="77777777" w:rsidR="005C4FBC" w:rsidRPr="001D27F3" w:rsidRDefault="005C4FBC" w:rsidP="005C4FBC">
            <w:pPr>
              <w:pStyle w:val="ListParagraph"/>
              <w:numPr>
                <w:ilvl w:val="0"/>
                <w:numId w:val="16"/>
              </w:numPr>
              <w:ind w:left="360"/>
            </w:pPr>
            <w:r w:rsidRPr="001D27F3">
              <w:t>Delivering better outcomes for place, design, public spaces and green infrastructure</w:t>
            </w:r>
          </w:p>
          <w:p w14:paraId="6EED8A92" w14:textId="3589858B" w:rsidR="00272B4A" w:rsidRPr="00251A46" w:rsidRDefault="005C4FBC" w:rsidP="005C4FBC">
            <w:pPr>
              <w:pStyle w:val="ListParagraph"/>
              <w:numPr>
                <w:ilvl w:val="0"/>
                <w:numId w:val="16"/>
              </w:numPr>
              <w:spacing w:after="0"/>
              <w:ind w:left="360"/>
            </w:pPr>
            <w:r w:rsidRPr="001D27F3">
              <w:t>Make strong, fair and quick planning assessments driving balanced outcomes</w:t>
            </w:r>
          </w:p>
        </w:tc>
      </w:tr>
      <w:tr w:rsidR="00272B4A" w:rsidRPr="0011239F" w14:paraId="262FBF36" w14:textId="77777777" w:rsidTr="00D76E15">
        <w:trPr>
          <w:trHeight w:val="105"/>
        </w:trPr>
        <w:tc>
          <w:tcPr>
            <w:tcW w:w="5102" w:type="dxa"/>
            <w:tcBorders>
              <w:top w:val="nil"/>
              <w:left w:val="nil"/>
              <w:bottom w:val="nil"/>
              <w:right w:val="nil"/>
            </w:tcBorders>
            <w:shd w:val="clear" w:color="auto" w:fill="FFFFFF" w:themeFill="background1"/>
            <w:hideMark/>
          </w:tcPr>
          <w:p w14:paraId="0D1EA63A" w14:textId="5C7DFC97" w:rsidR="00272B4A" w:rsidRPr="00251A46" w:rsidRDefault="00272B4A" w:rsidP="00D76E15">
            <w:pPr>
              <w:rPr>
                <w:sz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FFFFFF" w:themeFill="background1"/>
            <w:hideMark/>
          </w:tcPr>
          <w:p w14:paraId="6934B5CF" w14:textId="77777777" w:rsidR="00272B4A" w:rsidRPr="00251A46" w:rsidRDefault="00272B4A" w:rsidP="0093461F">
            <w:pPr>
              <w:rPr>
                <w:sz w:val="4"/>
              </w:rPr>
            </w:pPr>
            <w:r w:rsidRPr="00251A46">
              <w:rPr>
                <w:rFonts w:cs="Arial"/>
                <w:sz w:val="4"/>
                <w:szCs w:val="4"/>
                <w:lang w:eastAsia="en-AU"/>
              </w:rPr>
              <w:t> </w:t>
            </w:r>
          </w:p>
        </w:tc>
      </w:tr>
      <w:tr w:rsidR="00272B4A" w:rsidRPr="0011239F" w14:paraId="017FAF55" w14:textId="77777777" w:rsidTr="005C4FBC">
        <w:trPr>
          <w:trHeight w:val="794"/>
        </w:trPr>
        <w:tc>
          <w:tcPr>
            <w:tcW w:w="5102" w:type="dxa"/>
            <w:tcBorders>
              <w:top w:val="nil"/>
              <w:left w:val="nil"/>
              <w:bottom w:val="nil"/>
              <w:right w:val="nil"/>
            </w:tcBorders>
            <w:shd w:val="clear" w:color="auto" w:fill="BAE4FC"/>
          </w:tcPr>
          <w:p w14:paraId="3487658B" w14:textId="77777777" w:rsidR="005C4FBC" w:rsidRPr="00FD2965" w:rsidRDefault="005C4FBC" w:rsidP="00796C7D">
            <w:pPr>
              <w:pStyle w:val="ListParagraph"/>
              <w:keepNext/>
              <w:numPr>
                <w:ilvl w:val="0"/>
                <w:numId w:val="35"/>
              </w:numPr>
              <w:spacing w:before="8" w:after="80"/>
              <w:ind w:left="357" w:hanging="357"/>
              <w:rPr>
                <w:rFonts w:eastAsia="Arial" w:cs="Arial"/>
                <w:b/>
                <w:bCs/>
                <w:color w:val="000000" w:themeColor="text1"/>
                <w:lang w:eastAsia="en-AU"/>
              </w:rPr>
            </w:pPr>
            <w:r w:rsidRPr="12DBB992">
              <w:rPr>
                <w:rFonts w:eastAsia="Arial" w:cs="Arial"/>
                <w:b/>
                <w:lang w:eastAsia="en-AU"/>
              </w:rPr>
              <w:lastRenderedPageBreak/>
              <w:t>Maximise community benefit from government land and property</w:t>
            </w:r>
          </w:p>
          <w:p w14:paraId="494F657B" w14:textId="77777777" w:rsidR="005C4FBC" w:rsidRPr="00FD2965" w:rsidRDefault="005C4FBC" w:rsidP="005C4FBC">
            <w:pPr>
              <w:rPr>
                <w:rFonts w:ascii="Arial" w:hAnsi="Arial" w:cs="Arial"/>
                <w:color w:val="808080" w:themeColor="background1" w:themeShade="80"/>
                <w:lang w:eastAsia="en-AU"/>
              </w:rPr>
            </w:pPr>
            <w:r w:rsidRPr="00FD2965">
              <w:rPr>
                <w:rFonts w:ascii="Arial" w:hAnsi="Arial" w:cs="Arial"/>
                <w:lang w:eastAsia="en-AU"/>
              </w:rPr>
              <w:t>Delivering a coordinated, strategic approach to the use of government-owned property to maximise community benefits by delivering quality public spaces and diverse housing outcomes. </w:t>
            </w:r>
          </w:p>
          <w:p w14:paraId="05F4ED50" w14:textId="77777777" w:rsidR="005C4FBC" w:rsidRPr="00FD2965" w:rsidRDefault="005C4FBC" w:rsidP="005C4FBC">
            <w:pPr>
              <w:rPr>
                <w:rFonts w:ascii="Arial" w:hAnsi="Arial" w:cs="Arial"/>
                <w:color w:val="808080" w:themeColor="background1" w:themeShade="80"/>
                <w:sz w:val="12"/>
                <w:szCs w:val="12"/>
                <w:lang w:eastAsia="en-AU"/>
              </w:rPr>
            </w:pPr>
          </w:p>
          <w:p w14:paraId="3237F65E" w14:textId="5908BD5C" w:rsidR="00272B4A" w:rsidRPr="00251A46" w:rsidRDefault="005C4FBC" w:rsidP="005C4FBC">
            <w:pPr>
              <w:rPr>
                <w:rFonts w:ascii="Arial" w:eastAsia="Arial" w:hAnsi="Arial" w:cs="Arial"/>
                <w:i/>
                <w:color w:val="000000" w:themeColor="text1"/>
              </w:rPr>
            </w:pPr>
            <w:r w:rsidRPr="002C3613">
              <w:rPr>
                <w:rFonts w:ascii="Arial" w:hAnsi="Arial" w:cs="Arial"/>
                <w:i/>
                <w:iCs/>
              </w:rPr>
              <w:t xml:space="preserve">2021-22 investment: </w:t>
            </w:r>
            <w:r w:rsidRPr="00D047CD">
              <w:rPr>
                <w:rFonts w:ascii="Arial" w:hAnsi="Arial" w:cs="Arial"/>
                <w:i/>
              </w:rPr>
              <w:t>$1.7 billion</w:t>
            </w:r>
            <w:r w:rsidRPr="002C3613">
              <w:rPr>
                <w:rFonts w:ascii="Arial" w:hAnsi="Arial" w:cs="Arial"/>
                <w:i/>
                <w:iCs/>
              </w:rPr>
              <w:t xml:space="preserve"> </w:t>
            </w:r>
            <w:r>
              <w:rPr>
                <w:rFonts w:ascii="Arial" w:hAnsi="Arial" w:cs="Arial"/>
                <w:i/>
                <w:iCs/>
              </w:rPr>
              <w:t>in</w:t>
            </w:r>
            <w:r w:rsidRPr="002C3613">
              <w:rPr>
                <w:rFonts w:ascii="Arial" w:hAnsi="Arial" w:cs="Arial"/>
                <w:i/>
                <w:iCs/>
              </w:rPr>
              <w:t xml:space="preserve"> recurrent expenses &amp; </w:t>
            </w:r>
            <w:r w:rsidRPr="00D047CD">
              <w:rPr>
                <w:rFonts w:ascii="Arial" w:hAnsi="Arial" w:cs="Arial"/>
                <w:i/>
              </w:rPr>
              <w:t>$</w:t>
            </w:r>
            <w:r w:rsidRPr="00D047CD">
              <w:rPr>
                <w:rFonts w:ascii="Arial" w:hAnsi="Arial" w:cs="Arial"/>
                <w:i/>
                <w:iCs/>
              </w:rPr>
              <w:t>5</w:t>
            </w:r>
            <w:r w:rsidR="00574E18">
              <w:rPr>
                <w:rFonts w:ascii="Arial" w:hAnsi="Arial" w:cs="Arial"/>
                <w:i/>
                <w:iCs/>
              </w:rPr>
              <w:t>64.2</w:t>
            </w:r>
            <w:r w:rsidRPr="00D047CD">
              <w:rPr>
                <w:rFonts w:ascii="Arial" w:hAnsi="Arial" w:cs="Arial"/>
                <w:i/>
              </w:rPr>
              <w:t xml:space="preserve"> million</w:t>
            </w:r>
            <w:r w:rsidRPr="002C3613">
              <w:rPr>
                <w:rFonts w:ascii="Arial" w:hAnsi="Arial" w:cs="Arial"/>
                <w:i/>
                <w:iCs/>
              </w:rPr>
              <w:t xml:space="preserve"> </w:t>
            </w:r>
            <w:r>
              <w:rPr>
                <w:rFonts w:ascii="Arial" w:hAnsi="Arial" w:cs="Arial"/>
                <w:i/>
                <w:iCs/>
              </w:rPr>
              <w:t xml:space="preserve">in </w:t>
            </w:r>
            <w:r w:rsidRPr="002C3613">
              <w:rPr>
                <w:rFonts w:ascii="Arial" w:hAnsi="Arial" w:cs="Arial"/>
                <w:i/>
                <w:iCs/>
              </w:rPr>
              <w:t>capital expenditure</w:t>
            </w:r>
          </w:p>
        </w:tc>
        <w:tc>
          <w:tcPr>
            <w:tcW w:w="236" w:type="dxa"/>
            <w:tcBorders>
              <w:top w:val="nil"/>
              <w:left w:val="nil"/>
              <w:bottom w:val="nil"/>
              <w:right w:val="nil"/>
            </w:tcBorders>
            <w:shd w:val="clear" w:color="auto" w:fill="FFFFFF" w:themeFill="background1"/>
            <w:vAlign w:val="center"/>
          </w:tcPr>
          <w:p w14:paraId="27F32F58" w14:textId="18B21E4B" w:rsidR="00272B4A" w:rsidRPr="00251A46" w:rsidRDefault="00272B4A" w:rsidP="0093461F">
            <w:pPr>
              <w:jc w:val="center"/>
              <w:rPr>
                <w:sz w:val="6"/>
                <w:szCs w:val="6"/>
              </w:rPr>
            </w:pP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94A7F" w14:textId="77777777" w:rsidR="005C4FBC" w:rsidRPr="001D27F3" w:rsidRDefault="005C4FBC" w:rsidP="005C4FBC">
            <w:pPr>
              <w:pStyle w:val="ListParagraph"/>
              <w:numPr>
                <w:ilvl w:val="0"/>
                <w:numId w:val="17"/>
              </w:numPr>
            </w:pPr>
            <w:r w:rsidRPr="001D27F3">
              <w:t>Better use of government</w:t>
            </w:r>
            <w:r>
              <w:t>-</w:t>
            </w:r>
            <w:r w:rsidRPr="001D27F3">
              <w:t>owned land and property</w:t>
            </w:r>
          </w:p>
          <w:p w14:paraId="718BF44D" w14:textId="77777777" w:rsidR="005C4FBC" w:rsidRPr="001D27F3" w:rsidRDefault="005C4FBC" w:rsidP="005C4FBC">
            <w:pPr>
              <w:pStyle w:val="ListParagraph"/>
              <w:numPr>
                <w:ilvl w:val="0"/>
                <w:numId w:val="17"/>
              </w:numPr>
            </w:pPr>
            <w:r w:rsidRPr="001D27F3">
              <w:t>Empowering Aboriginal communities for independent social and economic futures</w:t>
            </w:r>
          </w:p>
          <w:p w14:paraId="21282C14" w14:textId="77777777" w:rsidR="005C4FBC" w:rsidRPr="001D27F3" w:rsidRDefault="005C4FBC" w:rsidP="005C4FBC">
            <w:pPr>
              <w:pStyle w:val="ListParagraph"/>
              <w:numPr>
                <w:ilvl w:val="0"/>
                <w:numId w:val="17"/>
              </w:numPr>
            </w:pPr>
            <w:r w:rsidRPr="001D27F3">
              <w:t xml:space="preserve">Better place creation </w:t>
            </w:r>
          </w:p>
          <w:p w14:paraId="1176469D" w14:textId="63B1B398" w:rsidR="00272B4A" w:rsidRPr="005C4FBC" w:rsidRDefault="005C4FBC" w:rsidP="005C4FBC">
            <w:pPr>
              <w:pStyle w:val="ListParagraph"/>
              <w:numPr>
                <w:ilvl w:val="0"/>
                <w:numId w:val="17"/>
              </w:numPr>
            </w:pPr>
            <w:r w:rsidRPr="001D27F3">
              <w:t>Optimise benefits of Crown land</w:t>
            </w:r>
          </w:p>
        </w:tc>
      </w:tr>
      <w:tr w:rsidR="00272B4A" w:rsidRPr="008E2377" w14:paraId="2D1F616A" w14:textId="77777777" w:rsidTr="00D76E15">
        <w:trPr>
          <w:trHeight w:val="108"/>
        </w:trPr>
        <w:tc>
          <w:tcPr>
            <w:tcW w:w="5102" w:type="dxa"/>
            <w:tcBorders>
              <w:top w:val="nil"/>
              <w:left w:val="nil"/>
              <w:bottom w:val="nil"/>
              <w:right w:val="nil"/>
            </w:tcBorders>
            <w:shd w:val="clear" w:color="auto" w:fill="FFFFFF" w:themeFill="background1"/>
            <w:hideMark/>
          </w:tcPr>
          <w:p w14:paraId="1A760F7F" w14:textId="77777777" w:rsidR="00272B4A" w:rsidRPr="00251A46" w:rsidRDefault="00272B4A" w:rsidP="00D76E15">
            <w:pPr>
              <w:rPr>
                <w:sz w:val="4"/>
                <w:szCs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3E3D36C8"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FFFFFF" w:themeFill="background1"/>
            <w:hideMark/>
          </w:tcPr>
          <w:p w14:paraId="4D6B6C1D" w14:textId="77777777" w:rsidR="00272B4A" w:rsidRPr="00251A46" w:rsidRDefault="00272B4A" w:rsidP="0093461F">
            <w:pPr>
              <w:rPr>
                <w:sz w:val="4"/>
                <w:szCs w:val="4"/>
              </w:rPr>
            </w:pPr>
            <w:r w:rsidRPr="00251A46">
              <w:rPr>
                <w:rFonts w:cs="Arial"/>
                <w:sz w:val="4"/>
                <w:szCs w:val="4"/>
                <w:lang w:eastAsia="en-AU"/>
              </w:rPr>
              <w:t> </w:t>
            </w:r>
          </w:p>
        </w:tc>
      </w:tr>
      <w:tr w:rsidR="00272B4A" w:rsidRPr="0011239F" w14:paraId="5F998A26" w14:textId="77777777" w:rsidTr="00C91381">
        <w:trPr>
          <w:trHeight w:val="414"/>
        </w:trPr>
        <w:tc>
          <w:tcPr>
            <w:tcW w:w="5102" w:type="dxa"/>
            <w:tcBorders>
              <w:top w:val="nil"/>
              <w:left w:val="nil"/>
              <w:bottom w:val="nil"/>
              <w:right w:val="nil"/>
            </w:tcBorders>
            <w:shd w:val="clear" w:color="auto" w:fill="BAE4FC"/>
          </w:tcPr>
          <w:p w14:paraId="1E0EFD5C" w14:textId="77777777" w:rsidR="005C4FBC" w:rsidRPr="00FD2965" w:rsidRDefault="005C4FBC" w:rsidP="005C4FBC">
            <w:pPr>
              <w:pStyle w:val="ListParagraph"/>
              <w:numPr>
                <w:ilvl w:val="0"/>
                <w:numId w:val="35"/>
              </w:numPr>
              <w:spacing w:before="8" w:after="80"/>
              <w:ind w:left="357" w:hanging="357"/>
              <w:rPr>
                <w:rFonts w:eastAsia="Arial" w:cs="Arial"/>
                <w:b/>
                <w:bCs/>
                <w:color w:val="000000" w:themeColor="text1"/>
                <w:lang w:eastAsia="en-AU"/>
              </w:rPr>
            </w:pPr>
            <w:r w:rsidRPr="12DBB992">
              <w:rPr>
                <w:rFonts w:eastAsia="Arial" w:cs="Arial"/>
                <w:b/>
                <w:lang w:eastAsia="en-AU"/>
              </w:rPr>
              <w:t>Sustainable, secure and healthy water resources and services</w:t>
            </w:r>
          </w:p>
          <w:p w14:paraId="401A82F9" w14:textId="77777777" w:rsidR="005C4FBC" w:rsidRPr="00FD2965" w:rsidRDefault="005C4FBC" w:rsidP="005C4FBC">
            <w:pPr>
              <w:rPr>
                <w:rFonts w:ascii="Arial" w:hAnsi="Arial" w:cs="Arial"/>
                <w:color w:val="808080" w:themeColor="background1" w:themeShade="80"/>
                <w:lang w:eastAsia="en-AU"/>
              </w:rPr>
            </w:pPr>
            <w:r w:rsidRPr="00FD2965">
              <w:rPr>
                <w:rFonts w:ascii="Arial" w:hAnsi="Arial" w:cs="Arial"/>
                <w:lang w:eastAsia="en-AU"/>
              </w:rPr>
              <w:t>Providing confidence to communities and stakeholders through the transparent stewardship of water resources, provision of services and reforms that support sustainable and healthy environments, economies and societies across New South Wales.</w:t>
            </w:r>
          </w:p>
          <w:p w14:paraId="541F538C" w14:textId="77777777" w:rsidR="005C4FBC" w:rsidRPr="00FD2965" w:rsidRDefault="005C4FBC" w:rsidP="005C4FBC">
            <w:pPr>
              <w:rPr>
                <w:rFonts w:ascii="Arial" w:hAnsi="Arial" w:cs="Arial"/>
                <w:color w:val="808080" w:themeColor="background1" w:themeShade="80"/>
                <w:sz w:val="12"/>
                <w:szCs w:val="12"/>
                <w:lang w:eastAsia="en-AU"/>
              </w:rPr>
            </w:pPr>
          </w:p>
          <w:p w14:paraId="1DB4803D" w14:textId="4760265F" w:rsidR="00272B4A" w:rsidRPr="00251A46" w:rsidRDefault="005C4FBC" w:rsidP="005C4FBC">
            <w:pPr>
              <w:rPr>
                <w:rFonts w:ascii="Arial" w:eastAsia="Arial" w:hAnsi="Arial" w:cs="Arial"/>
                <w:i/>
                <w:color w:val="000000" w:themeColor="text1"/>
              </w:rPr>
            </w:pPr>
            <w:r w:rsidRPr="00B05801">
              <w:rPr>
                <w:rFonts w:ascii="Arial" w:hAnsi="Arial" w:cs="Arial"/>
                <w:i/>
                <w:iCs/>
              </w:rPr>
              <w:t xml:space="preserve">2021-22 investment: </w:t>
            </w:r>
            <w:r w:rsidRPr="008E2E36">
              <w:rPr>
                <w:rFonts w:ascii="Arial" w:hAnsi="Arial" w:cs="Arial"/>
                <w:i/>
              </w:rPr>
              <w:t>$</w:t>
            </w:r>
            <w:r w:rsidR="00D047CD" w:rsidRPr="008E2E36">
              <w:rPr>
                <w:rFonts w:ascii="Arial" w:hAnsi="Arial" w:cs="Arial"/>
                <w:i/>
                <w:iCs/>
              </w:rPr>
              <w:t>815.9</w:t>
            </w:r>
            <w:r w:rsidRPr="008E2E36">
              <w:rPr>
                <w:rFonts w:ascii="Arial" w:hAnsi="Arial" w:cs="Arial"/>
                <w:i/>
              </w:rPr>
              <w:t xml:space="preserve"> million</w:t>
            </w:r>
            <w:r w:rsidRPr="00B05801">
              <w:rPr>
                <w:rFonts w:ascii="Arial" w:hAnsi="Arial" w:cs="Arial"/>
                <w:i/>
                <w:iCs/>
              </w:rPr>
              <w:t xml:space="preserve"> </w:t>
            </w:r>
            <w:r>
              <w:rPr>
                <w:rFonts w:ascii="Arial" w:hAnsi="Arial" w:cs="Arial"/>
                <w:i/>
                <w:iCs/>
              </w:rPr>
              <w:t>in</w:t>
            </w:r>
            <w:r w:rsidRPr="00B05801">
              <w:rPr>
                <w:rFonts w:ascii="Arial" w:hAnsi="Arial" w:cs="Arial"/>
                <w:i/>
                <w:iCs/>
              </w:rPr>
              <w:t xml:space="preserve"> recurrent expenses &amp; </w:t>
            </w:r>
            <w:r w:rsidRPr="008E2E36">
              <w:rPr>
                <w:rFonts w:ascii="Arial" w:hAnsi="Arial" w:cs="Arial"/>
                <w:i/>
              </w:rPr>
              <w:t>$</w:t>
            </w:r>
            <w:r w:rsidR="001757C7">
              <w:rPr>
                <w:rFonts w:ascii="Arial" w:hAnsi="Arial" w:cs="Arial"/>
                <w:i/>
              </w:rPr>
              <w:t>46.2</w:t>
            </w:r>
            <w:r w:rsidRPr="008E2E36">
              <w:rPr>
                <w:rFonts w:ascii="Arial" w:hAnsi="Arial" w:cs="Arial"/>
                <w:i/>
              </w:rPr>
              <w:t xml:space="preserve"> million</w:t>
            </w:r>
            <w:r w:rsidRPr="00B05801">
              <w:rPr>
                <w:rFonts w:ascii="Arial" w:hAnsi="Arial" w:cs="Arial"/>
                <w:i/>
                <w:iCs/>
              </w:rPr>
              <w:t xml:space="preserve"> </w:t>
            </w:r>
            <w:r>
              <w:rPr>
                <w:rFonts w:ascii="Arial" w:hAnsi="Arial" w:cs="Arial"/>
                <w:i/>
                <w:iCs/>
              </w:rPr>
              <w:t xml:space="preserve">in </w:t>
            </w:r>
            <w:r w:rsidRPr="00B05801">
              <w:rPr>
                <w:rFonts w:ascii="Arial" w:hAnsi="Arial" w:cs="Arial"/>
                <w:i/>
                <w:iCs/>
              </w:rPr>
              <w:t>capital expenditure</w:t>
            </w:r>
          </w:p>
        </w:tc>
        <w:tc>
          <w:tcPr>
            <w:tcW w:w="236" w:type="dxa"/>
            <w:tcBorders>
              <w:top w:val="nil"/>
              <w:left w:val="nil"/>
              <w:bottom w:val="nil"/>
              <w:right w:val="nil"/>
            </w:tcBorders>
            <w:shd w:val="clear" w:color="auto" w:fill="FFFFFF" w:themeFill="background1"/>
            <w:vAlign w:val="center"/>
          </w:tcPr>
          <w:p w14:paraId="30A86D11" w14:textId="273D13E9" w:rsidR="00272B4A" w:rsidRPr="00251A46" w:rsidRDefault="00272B4A" w:rsidP="0093461F">
            <w:pPr>
              <w:jc w:val="center"/>
              <w:rPr>
                <w:sz w:val="6"/>
                <w:szCs w:val="6"/>
              </w:rPr>
            </w:pP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7110D" w14:textId="77777777" w:rsidR="005C4FBC" w:rsidRPr="001D27F3" w:rsidRDefault="005C4FBC" w:rsidP="005C4FBC">
            <w:pPr>
              <w:pStyle w:val="ListParagraph"/>
              <w:numPr>
                <w:ilvl w:val="0"/>
                <w:numId w:val="15"/>
              </w:numPr>
            </w:pPr>
            <w:r w:rsidRPr="001D27F3">
              <w:t>Improved water sustainability, water access and water health</w:t>
            </w:r>
          </w:p>
          <w:p w14:paraId="0A970B4F" w14:textId="65B5F4EA" w:rsidR="00272B4A" w:rsidRPr="00251A46" w:rsidRDefault="005C4FBC" w:rsidP="005C4FBC">
            <w:pPr>
              <w:pStyle w:val="ListParagraph"/>
              <w:numPr>
                <w:ilvl w:val="0"/>
                <w:numId w:val="15"/>
              </w:numPr>
            </w:pPr>
            <w:r w:rsidRPr="001D27F3">
              <w:t>Improved water regulation</w:t>
            </w:r>
          </w:p>
        </w:tc>
      </w:tr>
      <w:bookmarkEnd w:id="4"/>
    </w:tbl>
    <w:p w14:paraId="51CC5D77" w14:textId="77777777" w:rsidR="0012527E" w:rsidRDefault="0012527E">
      <w:pPr>
        <w:rPr>
          <w:rFonts w:ascii="Arial" w:hAnsi="Arial" w:cs="Arial"/>
          <w:b/>
          <w:color w:val="008EBA"/>
          <w:kern w:val="28"/>
          <w:sz w:val="28"/>
          <w:szCs w:val="36"/>
        </w:rPr>
      </w:pPr>
      <w:r>
        <w:rPr>
          <w:rFonts w:ascii="Arial" w:hAnsi="Arial" w:cs="Arial"/>
        </w:rPr>
        <w:br w:type="page"/>
      </w:r>
    </w:p>
    <w:p w14:paraId="06092868" w14:textId="0472E035" w:rsidR="008D2F4E" w:rsidRDefault="00A44996" w:rsidP="00A75AE2">
      <w:pPr>
        <w:pStyle w:val="Heading2"/>
      </w:pPr>
      <w:r>
        <w:lastRenderedPageBreak/>
        <w:t xml:space="preserve">Overview of Cluster </w:t>
      </w:r>
      <w:r w:rsidRPr="00A75AE2">
        <w:t>expenses</w:t>
      </w:r>
      <w:r>
        <w:t xml:space="preserve"> by State Outcome</w:t>
      </w:r>
    </w:p>
    <w:p w14:paraId="600CC503" w14:textId="78442814" w:rsidR="00542031" w:rsidRDefault="00542031" w:rsidP="00FB0DBF">
      <w:pPr>
        <w:pStyle w:val="BodyText"/>
      </w:pPr>
      <w:r>
        <w:t>A summary of expenses by State Outcome is provided in the charts below.</w:t>
      </w:r>
    </w:p>
    <w:p w14:paraId="0D6F3628" w14:textId="782B928C" w:rsidR="00C42703" w:rsidRDefault="00C42703" w:rsidP="00796C7D">
      <w:pPr>
        <w:pStyle w:val="Chart41"/>
      </w:pPr>
      <w:r w:rsidRPr="00DC7B4D">
        <w:t xml:space="preserve">Recurrent expenses by </w:t>
      </w:r>
      <w:r>
        <w:t>O</w:t>
      </w:r>
      <w:r w:rsidRPr="00DC7B4D">
        <w:t>utcome 202</w:t>
      </w:r>
      <w:r w:rsidR="004B598E">
        <w:t>1</w:t>
      </w:r>
      <w:r w:rsidRPr="00DC7B4D">
        <w:t>-2</w:t>
      </w:r>
      <w:r w:rsidR="004B598E">
        <w:t>2</w:t>
      </w:r>
      <w:r w:rsidRPr="00DC7B4D">
        <w:t xml:space="preserve"> (dollars and %)</w:t>
      </w:r>
    </w:p>
    <w:p w14:paraId="1889CD49" w14:textId="20CA30AE" w:rsidR="0089019B" w:rsidRDefault="0089019B" w:rsidP="00A24586">
      <w:pPr>
        <w:rPr>
          <w:rFonts w:ascii="Arial" w:hAnsi="Arial" w:cs="Arial"/>
          <w:noProof/>
          <w:sz w:val="17"/>
          <w:szCs w:val="17"/>
        </w:rPr>
      </w:pPr>
      <w:r>
        <w:rPr>
          <w:noProof/>
        </w:rPr>
        <w:drawing>
          <wp:inline distT="0" distB="0" distL="0" distR="0" wp14:anchorId="07BA4DFE" wp14:editId="4F3BA1DF">
            <wp:extent cx="6120765" cy="2879725"/>
            <wp:effectExtent l="0" t="0" r="0" b="0"/>
            <wp:docPr id="5" name="Chart 5" descr="Chart 4.1: Recurrent expenses by Outcome 2021-22 (dollars and %)">
              <a:extLst xmlns:a="http://schemas.openxmlformats.org/drawingml/2006/main">
                <a:ext uri="{FF2B5EF4-FFF2-40B4-BE49-F238E27FC236}">
                  <a16:creationId xmlns:a16="http://schemas.microsoft.com/office/drawing/2014/main" id="{A444836D-88D8-40AA-99FF-23F01ACAEE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A4BFC4" w14:textId="3050C01B" w:rsidR="005C4FBC" w:rsidRPr="006E4B0B" w:rsidRDefault="006E4B0B" w:rsidP="00A24586">
      <w:pPr>
        <w:rPr>
          <w:rFonts w:ascii="Arial" w:hAnsi="Arial" w:cs="Arial"/>
          <w:noProof/>
          <w:sz w:val="17"/>
          <w:szCs w:val="17"/>
        </w:rPr>
      </w:pPr>
      <w:r w:rsidRPr="006E4B0B">
        <w:rPr>
          <w:rFonts w:ascii="Arial" w:hAnsi="Arial" w:cs="Arial"/>
          <w:noProof/>
          <w:sz w:val="17"/>
          <w:szCs w:val="17"/>
        </w:rPr>
        <w:t xml:space="preserve">Note: The </w:t>
      </w:r>
      <w:r>
        <w:rPr>
          <w:rFonts w:ascii="Arial" w:hAnsi="Arial" w:cs="Arial"/>
          <w:noProof/>
          <w:sz w:val="17"/>
          <w:szCs w:val="17"/>
        </w:rPr>
        <w:t>sum of percentages does not equal</w:t>
      </w:r>
      <w:r w:rsidR="00757636">
        <w:rPr>
          <w:rFonts w:ascii="Arial" w:hAnsi="Arial" w:cs="Arial"/>
          <w:noProof/>
          <w:sz w:val="17"/>
          <w:szCs w:val="17"/>
        </w:rPr>
        <w:t xml:space="preserve"> </w:t>
      </w:r>
      <w:r>
        <w:rPr>
          <w:rFonts w:ascii="Arial" w:hAnsi="Arial" w:cs="Arial"/>
          <w:noProof/>
          <w:sz w:val="17"/>
          <w:szCs w:val="17"/>
        </w:rPr>
        <w:t>one hundred</w:t>
      </w:r>
      <w:r w:rsidR="00757636">
        <w:rPr>
          <w:rFonts w:ascii="Arial" w:hAnsi="Arial" w:cs="Arial"/>
          <w:noProof/>
          <w:sz w:val="17"/>
          <w:szCs w:val="17"/>
        </w:rPr>
        <w:t xml:space="preserve"> due to rounding</w:t>
      </w:r>
      <w:r>
        <w:rPr>
          <w:rFonts w:ascii="Arial" w:hAnsi="Arial" w:cs="Arial"/>
          <w:noProof/>
          <w:sz w:val="17"/>
          <w:szCs w:val="17"/>
        </w:rPr>
        <w:t>.</w:t>
      </w:r>
    </w:p>
    <w:p w14:paraId="7E7D45D0" w14:textId="59B54276" w:rsidR="00C42703" w:rsidRPr="00DC7B4D" w:rsidRDefault="00C42703" w:rsidP="00796C7D">
      <w:pPr>
        <w:pStyle w:val="Chart41"/>
      </w:pPr>
      <w:r>
        <w:t>Capital expenditure by Outcome 202</w:t>
      </w:r>
      <w:r w:rsidR="004B598E">
        <w:t>1</w:t>
      </w:r>
      <w:r>
        <w:t>-2</w:t>
      </w:r>
      <w:r w:rsidR="004B598E">
        <w:t>2</w:t>
      </w:r>
      <w:r w:rsidRPr="00DC7B4D">
        <w:t xml:space="preserve"> (dollars and %)</w:t>
      </w:r>
    </w:p>
    <w:p w14:paraId="69C29015" w14:textId="60DC7B58" w:rsidR="00894A48" w:rsidRDefault="00F404AF" w:rsidP="001B6352">
      <w:pPr>
        <w:pStyle w:val="BodyText"/>
      </w:pPr>
      <w:r>
        <w:rPr>
          <w:noProof/>
        </w:rPr>
        <w:drawing>
          <wp:inline distT="0" distB="0" distL="0" distR="0" wp14:anchorId="30F5D51D" wp14:editId="61FC1144">
            <wp:extent cx="6120765" cy="2852420"/>
            <wp:effectExtent l="0" t="0" r="0" b="5080"/>
            <wp:docPr id="4" name="Chart 4" descr="Chart 4.2: Capital expenditure by Outcome 2021-22 (dollars and %)">
              <a:extLst xmlns:a="http://schemas.openxmlformats.org/drawingml/2006/main">
                <a:ext uri="{FF2B5EF4-FFF2-40B4-BE49-F238E27FC236}">
                  <a16:creationId xmlns:a16="http://schemas.microsoft.com/office/drawing/2014/main" id="{98A941C4-C323-480E-87FC-544E47BFA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ABF5BF" w14:textId="5B281249" w:rsidR="007C154A" w:rsidRPr="007C154A" w:rsidRDefault="005C4FBC" w:rsidP="007C154A">
      <w:pPr>
        <w:contextualSpacing/>
        <w:rPr>
          <w:rFonts w:ascii="Arial" w:hAnsi="Arial" w:cs="Arial"/>
          <w:color w:val="000000"/>
          <w:sz w:val="16"/>
          <w:szCs w:val="16"/>
          <w:lang w:eastAsia="en-AU"/>
        </w:rPr>
      </w:pPr>
      <w:r w:rsidRPr="007C154A">
        <w:rPr>
          <w:rFonts w:ascii="Arial" w:hAnsi="Arial" w:cs="Arial"/>
          <w:color w:val="000000"/>
          <w:sz w:val="16"/>
          <w:szCs w:val="16"/>
          <w:lang w:eastAsia="en-AU"/>
        </w:rPr>
        <w:t>Note:</w:t>
      </w:r>
      <w:r w:rsidR="007C154A" w:rsidRPr="007C154A">
        <w:rPr>
          <w:rFonts w:ascii="Arial" w:hAnsi="Arial" w:cs="Arial"/>
          <w:color w:val="000000"/>
          <w:sz w:val="16"/>
          <w:szCs w:val="16"/>
          <w:lang w:eastAsia="en-AU"/>
        </w:rPr>
        <w:t xml:space="preserve"> Grouped for presentation purposes, “Other State Outcomes” comprises:</w:t>
      </w:r>
    </w:p>
    <w:p w14:paraId="4CF55542" w14:textId="4035131C" w:rsidR="007C154A" w:rsidRDefault="007C154A" w:rsidP="00CB78B7">
      <w:pPr>
        <w:pStyle w:val="ListParagraph"/>
        <w:numPr>
          <w:ilvl w:val="0"/>
          <w:numId w:val="31"/>
        </w:numPr>
        <w:ind w:left="1086"/>
        <w:rPr>
          <w:rFonts w:cs="Arial"/>
          <w:color w:val="000000"/>
          <w:sz w:val="16"/>
          <w:szCs w:val="16"/>
          <w:lang w:eastAsia="zh-TW"/>
        </w:rPr>
      </w:pPr>
      <w:r w:rsidRPr="00CB78B7">
        <w:rPr>
          <w:rFonts w:cs="Arial"/>
          <w:sz w:val="17"/>
          <w:szCs w:val="17"/>
        </w:rPr>
        <w:t>Create a</w:t>
      </w:r>
      <w:r>
        <w:rPr>
          <w:rFonts w:cs="Arial"/>
          <w:color w:val="000000"/>
          <w:sz w:val="16"/>
          <w:szCs w:val="16"/>
          <w:lang w:eastAsia="zh-TW"/>
        </w:rPr>
        <w:t xml:space="preserve"> strong and liveable NSW</w:t>
      </w:r>
    </w:p>
    <w:p w14:paraId="4F2AE2C0" w14:textId="15AFE115" w:rsidR="007C154A" w:rsidRPr="00E50B5B" w:rsidRDefault="007C154A" w:rsidP="00CB78B7">
      <w:pPr>
        <w:pStyle w:val="ListParagraph"/>
        <w:numPr>
          <w:ilvl w:val="0"/>
          <w:numId w:val="31"/>
        </w:numPr>
        <w:ind w:left="1086"/>
        <w:rPr>
          <w:rFonts w:cs="Arial"/>
          <w:color w:val="000000"/>
          <w:sz w:val="16"/>
          <w:szCs w:val="16"/>
          <w:lang w:eastAsia="zh-TW"/>
        </w:rPr>
      </w:pPr>
      <w:r w:rsidRPr="00CB78B7">
        <w:rPr>
          <w:rFonts w:cs="Arial"/>
          <w:sz w:val="17"/>
          <w:szCs w:val="17"/>
        </w:rPr>
        <w:t>Sustainable, secure and healthy water resources and services.</w:t>
      </w:r>
    </w:p>
    <w:p w14:paraId="645EE959" w14:textId="7AD4AEFF" w:rsidR="005C4FBC" w:rsidRPr="005C4FBC" w:rsidRDefault="005C4FBC" w:rsidP="001B6352">
      <w:pPr>
        <w:pStyle w:val="BodyText"/>
        <w:rPr>
          <w:highlight w:val="yellow"/>
        </w:rPr>
      </w:pPr>
    </w:p>
    <w:p w14:paraId="3E8B20F9" w14:textId="76848B7F" w:rsidR="008D2F4E" w:rsidRPr="0028793A" w:rsidRDefault="008D2F4E" w:rsidP="0093461F">
      <w:pPr>
        <w:pStyle w:val="Heading2"/>
        <w:rPr>
          <w:rFonts w:ascii="Arial" w:hAnsi="Arial" w:cs="Arial"/>
        </w:rPr>
      </w:pPr>
      <w:r w:rsidRPr="0028793A">
        <w:rPr>
          <w:rFonts w:ascii="Arial" w:hAnsi="Arial" w:cs="Arial"/>
        </w:rPr>
        <w:br w:type="page"/>
      </w:r>
    </w:p>
    <w:p w14:paraId="4D0B1693" w14:textId="4D410AE3" w:rsidR="000D308F" w:rsidRDefault="00DA6630" w:rsidP="00936748">
      <w:pPr>
        <w:pStyle w:val="Heading2"/>
        <w:numPr>
          <w:ilvl w:val="0"/>
          <w:numId w:val="18"/>
        </w:numPr>
        <w:ind w:left="709" w:hanging="709"/>
      </w:pPr>
      <w:r>
        <w:lastRenderedPageBreak/>
        <w:t xml:space="preserve">Outcome 1: </w:t>
      </w:r>
      <w:r w:rsidR="005C4FBC" w:rsidRPr="705D6A5A">
        <w:t xml:space="preserve">Connecting communities to resilient and sustainable energy and </w:t>
      </w:r>
      <w:r w:rsidR="005C4FBC" w:rsidRPr="00936748">
        <w:t>local</w:t>
      </w:r>
      <w:r w:rsidR="005C4FBC" w:rsidRPr="705D6A5A">
        <w:t xml:space="preserve"> </w:t>
      </w:r>
      <w:r w:rsidR="005C4FBC" w:rsidRPr="001D27F3">
        <w:t>environments</w:t>
      </w:r>
    </w:p>
    <w:tbl>
      <w:tblPr>
        <w:tblpPr w:leftFromText="180" w:rightFromText="180" w:vertAnchor="text" w:horzAnchor="margin" w:tblpXSpec="right" w:tblpY="643"/>
        <w:tblW w:w="1716" w:type="pct"/>
        <w:shd w:val="clear" w:color="auto" w:fill="F2F2F2" w:themeFill="background1" w:themeFillShade="F2"/>
        <w:tblCellMar>
          <w:left w:w="115" w:type="dxa"/>
          <w:right w:w="115" w:type="dxa"/>
        </w:tblCellMar>
        <w:tblLook w:val="04A0" w:firstRow="1" w:lastRow="0" w:firstColumn="1" w:lastColumn="0" w:noHBand="0" w:noVBand="1"/>
        <w:tblCaption w:val="4.3 Outcome 1: Connecting communities to resilient and sustainable energy and local environments"/>
        <w:tblDescription w:val="4.3 Outcome 1: Connecting communities to resilient and sustainable energy and local environments"/>
      </w:tblPr>
      <w:tblGrid>
        <w:gridCol w:w="1144"/>
        <w:gridCol w:w="967"/>
        <w:gridCol w:w="1197"/>
      </w:tblGrid>
      <w:tr w:rsidR="005C4FBC" w:rsidRPr="00F8244B" w14:paraId="273BD38F" w14:textId="77777777" w:rsidTr="117ADC50">
        <w:trPr>
          <w:cantSplit/>
          <w:trHeight w:val="784"/>
        </w:trPr>
        <w:tc>
          <w:tcPr>
            <w:tcW w:w="1729" w:type="pct"/>
            <w:shd w:val="clear" w:color="auto" w:fill="F2F2F2" w:themeFill="background1" w:themeFillShade="F2"/>
            <w:vAlign w:val="center"/>
          </w:tcPr>
          <w:p w14:paraId="69A703E9" w14:textId="77777777" w:rsidR="005C4FBC" w:rsidRPr="00F8244B" w:rsidRDefault="005C4FBC" w:rsidP="007B52F1">
            <w:pPr>
              <w:spacing w:before="120" w:after="120"/>
              <w:rPr>
                <w:rFonts w:ascii="Arial" w:hAnsi="Arial" w:cs="Arial"/>
                <w:sz w:val="23"/>
                <w:szCs w:val="23"/>
              </w:rPr>
            </w:pPr>
            <w:r>
              <w:rPr>
                <w:rFonts w:ascii="Arial" w:hAnsi="Arial" w:cs="Arial"/>
                <w:noProof/>
              </w:rPr>
              <w:drawing>
                <wp:inline distT="0" distB="0" distL="0" distR="0" wp14:anchorId="22F03EA3" wp14:editId="759FBAEB">
                  <wp:extent cx="518160" cy="5184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474DF290" w14:textId="77777777" w:rsidR="005C4FBC" w:rsidRPr="00F8244B" w:rsidRDefault="005C4FBC" w:rsidP="007B52F1">
            <w:pPr>
              <w:spacing w:before="120" w:after="120"/>
              <w:jc w:val="center"/>
              <w:rPr>
                <w:rFonts w:ascii="Arial" w:hAnsi="Arial" w:cs="Arial"/>
                <w:color w:val="00ABE6"/>
                <w:sz w:val="18"/>
                <w:szCs w:val="18"/>
              </w:rPr>
            </w:pPr>
            <w:r w:rsidRPr="00C94EA6">
              <w:rPr>
                <w:rFonts w:ascii="Arial" w:hAnsi="Arial" w:cs="Arial"/>
                <w:color w:val="008EBA"/>
                <w:sz w:val="18"/>
                <w:szCs w:val="18"/>
              </w:rPr>
              <w:t>$2.4 billion</w:t>
            </w:r>
          </w:p>
        </w:tc>
        <w:tc>
          <w:tcPr>
            <w:tcW w:w="1809" w:type="pct"/>
            <w:shd w:val="clear" w:color="auto" w:fill="F2F2F2" w:themeFill="background1" w:themeFillShade="F2"/>
            <w:vAlign w:val="center"/>
          </w:tcPr>
          <w:p w14:paraId="145F4DE4" w14:textId="77777777" w:rsidR="005C4FBC" w:rsidRPr="00F8244B" w:rsidRDefault="005C4FBC" w:rsidP="007B52F1">
            <w:pPr>
              <w:rPr>
                <w:rFonts w:ascii="Arial" w:hAnsi="Arial" w:cs="Arial"/>
                <w:color w:val="00ABE6"/>
                <w:sz w:val="18"/>
                <w:szCs w:val="18"/>
              </w:rPr>
            </w:pPr>
            <w:r w:rsidRPr="00BF4D60">
              <w:rPr>
                <w:rFonts w:ascii="Arial" w:hAnsi="Arial" w:cs="Arial"/>
                <w:color w:val="008EBA"/>
                <w:sz w:val="18"/>
                <w:szCs w:val="18"/>
              </w:rPr>
              <w:t>Recurrent</w:t>
            </w:r>
            <w:r w:rsidRPr="00BF4D60">
              <w:rPr>
                <w:rFonts w:ascii="Arial" w:hAnsi="Arial" w:cs="Arial"/>
                <w:color w:val="008EBA"/>
                <w:sz w:val="18"/>
                <w:szCs w:val="18"/>
              </w:rPr>
              <w:br/>
              <w:t xml:space="preserve">Expenses </w:t>
            </w:r>
            <w:r w:rsidRPr="00BF4D60">
              <w:rPr>
                <w:rFonts w:ascii="Arial" w:hAnsi="Arial" w:cs="Arial"/>
                <w:color w:val="008EBA"/>
                <w:sz w:val="18"/>
                <w:szCs w:val="18"/>
              </w:rPr>
              <w:br/>
              <w:t>2021-22</w:t>
            </w:r>
          </w:p>
        </w:tc>
      </w:tr>
      <w:tr w:rsidR="005C4FBC" w:rsidRPr="00F8244B" w14:paraId="51256714" w14:textId="77777777" w:rsidTr="117ADC50">
        <w:trPr>
          <w:cantSplit/>
          <w:trHeight w:val="784"/>
        </w:trPr>
        <w:tc>
          <w:tcPr>
            <w:tcW w:w="1729" w:type="pct"/>
            <w:shd w:val="clear" w:color="auto" w:fill="F2F2F2" w:themeFill="background1" w:themeFillShade="F2"/>
            <w:vAlign w:val="center"/>
          </w:tcPr>
          <w:p w14:paraId="3D2FE379" w14:textId="77777777" w:rsidR="005C4FBC" w:rsidRPr="00F8244B" w:rsidRDefault="005C4FBC" w:rsidP="007B52F1">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0BD2C30F" wp14:editId="2F91C954">
                  <wp:extent cx="518160" cy="5184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71368095" w14:textId="0D57CFB8" w:rsidR="005C4FBC" w:rsidRPr="00F8244B" w:rsidRDefault="005C4FBC" w:rsidP="007B52F1">
            <w:pPr>
              <w:spacing w:before="120" w:after="120"/>
              <w:jc w:val="center"/>
              <w:rPr>
                <w:rFonts w:ascii="Arial" w:hAnsi="Arial" w:cs="Arial"/>
                <w:color w:val="00ABE6"/>
                <w:sz w:val="18"/>
                <w:szCs w:val="18"/>
              </w:rPr>
            </w:pPr>
            <w:r w:rsidRPr="00C94EA6">
              <w:rPr>
                <w:rFonts w:ascii="Arial" w:hAnsi="Arial" w:cs="Arial"/>
                <w:color w:val="008EBA"/>
                <w:sz w:val="18"/>
                <w:szCs w:val="18"/>
              </w:rPr>
              <w:t>$3</w:t>
            </w:r>
            <w:r w:rsidR="001B0644">
              <w:rPr>
                <w:rFonts w:ascii="Arial" w:hAnsi="Arial" w:cs="Arial"/>
                <w:color w:val="008EBA"/>
                <w:sz w:val="18"/>
                <w:szCs w:val="18"/>
              </w:rPr>
              <w:t>51.2</w:t>
            </w:r>
            <w:r w:rsidRPr="00C94EA6">
              <w:rPr>
                <w:rFonts w:ascii="Arial" w:hAnsi="Arial" w:cs="Arial"/>
                <w:color w:val="008EBA"/>
                <w:sz w:val="18"/>
                <w:szCs w:val="18"/>
              </w:rPr>
              <w:t xml:space="preserve"> million</w:t>
            </w:r>
          </w:p>
        </w:tc>
        <w:tc>
          <w:tcPr>
            <w:tcW w:w="1809" w:type="pct"/>
            <w:shd w:val="clear" w:color="auto" w:fill="F2F2F2" w:themeFill="background1" w:themeFillShade="F2"/>
            <w:vAlign w:val="center"/>
          </w:tcPr>
          <w:p w14:paraId="52EFB5FC" w14:textId="77777777" w:rsidR="005C4FBC" w:rsidRPr="00F8244B" w:rsidRDefault="005C4FBC" w:rsidP="007B52F1">
            <w:pPr>
              <w:rPr>
                <w:rFonts w:ascii="Arial" w:hAnsi="Arial" w:cs="Arial"/>
                <w:color w:val="00ABE6"/>
                <w:sz w:val="18"/>
                <w:szCs w:val="18"/>
              </w:rPr>
            </w:pPr>
            <w:r w:rsidRPr="00BF4D60">
              <w:rPr>
                <w:rFonts w:ascii="Arial" w:hAnsi="Arial" w:cs="Arial"/>
                <w:color w:val="008EBA"/>
                <w:sz w:val="18"/>
                <w:szCs w:val="18"/>
              </w:rPr>
              <w:t>Capital</w:t>
            </w:r>
            <w:r w:rsidRPr="00BF4D60">
              <w:rPr>
                <w:rFonts w:ascii="Arial" w:hAnsi="Arial" w:cs="Arial"/>
                <w:color w:val="008EBA"/>
                <w:sz w:val="18"/>
                <w:szCs w:val="18"/>
              </w:rPr>
              <w:br/>
              <w:t>Expenditure</w:t>
            </w:r>
            <w:r w:rsidRPr="00BF4D60">
              <w:rPr>
                <w:rFonts w:ascii="Arial" w:hAnsi="Arial" w:cs="Arial"/>
                <w:color w:val="008EBA"/>
                <w:sz w:val="18"/>
                <w:szCs w:val="18"/>
              </w:rPr>
              <w:br/>
              <w:t>2021-22</w:t>
            </w:r>
          </w:p>
        </w:tc>
      </w:tr>
    </w:tbl>
    <w:p w14:paraId="4FADCF9E" w14:textId="77C2377D" w:rsidR="00E633CC" w:rsidRPr="003A0DAC" w:rsidRDefault="00E633CC" w:rsidP="00E633CC">
      <w:pPr>
        <w:pStyle w:val="Heading3"/>
        <w:rPr>
          <w:rFonts w:cs="Arial"/>
        </w:rPr>
      </w:pPr>
      <w:r w:rsidRPr="003A0DAC">
        <w:rPr>
          <w:rFonts w:cs="Arial"/>
        </w:rPr>
        <w:t>State Outcome overview and 202</w:t>
      </w:r>
      <w:r w:rsidR="00877334">
        <w:rPr>
          <w:rFonts w:cs="Arial"/>
        </w:rPr>
        <w:t>1</w:t>
      </w:r>
      <w:r w:rsidRPr="003A0DAC">
        <w:rPr>
          <w:rFonts w:cs="Arial"/>
        </w:rPr>
        <w:t>-2</w:t>
      </w:r>
      <w:r w:rsidR="00877334">
        <w:rPr>
          <w:rFonts w:cs="Arial"/>
        </w:rPr>
        <w:t>2</w:t>
      </w:r>
      <w:r w:rsidRPr="003A0DAC">
        <w:rPr>
          <w:rFonts w:cs="Arial"/>
        </w:rPr>
        <w:t xml:space="preserve"> investment</w:t>
      </w:r>
    </w:p>
    <w:p w14:paraId="3FF8055B" w14:textId="5A5B523A" w:rsidR="005C4FBC" w:rsidRPr="00727D88" w:rsidRDefault="005C4FBC" w:rsidP="001B6352">
      <w:pPr>
        <w:pStyle w:val="BodyText"/>
      </w:pPr>
      <w:r w:rsidRPr="5BD68C84">
        <w:t>Protecting and preserving the quality of our environment through active stewardship to support a healthy New</w:t>
      </w:r>
      <w:r>
        <w:t> </w:t>
      </w:r>
      <w:r w:rsidRPr="5BD68C84">
        <w:t>South</w:t>
      </w:r>
      <w:r>
        <w:t> </w:t>
      </w:r>
      <w:r w:rsidRPr="5BD68C84">
        <w:t>Wales and securing an affordable, reliable and sustainable energy future</w:t>
      </w:r>
      <w:r w:rsidR="007C2245">
        <w:t>.</w:t>
      </w:r>
    </w:p>
    <w:p w14:paraId="28F24D9A" w14:textId="48EDBC0B" w:rsidR="005C4FBC" w:rsidRPr="00727D88" w:rsidRDefault="005C4FBC" w:rsidP="00FE4F54">
      <w:pPr>
        <w:pStyle w:val="BodyText"/>
      </w:pPr>
      <w:r>
        <w:t xml:space="preserve">This State Outcome comprises activity across energy, climate change and </w:t>
      </w:r>
      <w:r w:rsidR="0082205C">
        <w:t xml:space="preserve">resource use and </w:t>
      </w:r>
      <w:r>
        <w:t xml:space="preserve">sustainability; </w:t>
      </w:r>
      <w:r w:rsidR="00D363F6">
        <w:t xml:space="preserve">biodiversity </w:t>
      </w:r>
      <w:r>
        <w:t>protection including habitat conservation, threatened species and aquatic habitats; nature-based experiences in national parks and zoos; and human and environmental health through regulation.</w:t>
      </w:r>
    </w:p>
    <w:p w14:paraId="7297C2BE" w14:textId="77777777" w:rsidR="005C4FBC" w:rsidRPr="00727D88" w:rsidRDefault="005C4FBC" w:rsidP="008E179C">
      <w:pPr>
        <w:pStyle w:val="BodyText"/>
      </w:pPr>
      <w:r w:rsidRPr="5BD68C84">
        <w:t>Delivery is shared by the Department of Planning, Industry and Environment</w:t>
      </w:r>
      <w:r>
        <w:t xml:space="preserve"> (the Department)</w:t>
      </w:r>
      <w:r w:rsidRPr="5BD68C84">
        <w:t>, the NSW</w:t>
      </w:r>
      <w:r>
        <w:t> </w:t>
      </w:r>
      <w:r w:rsidRPr="5BD68C84">
        <w:t>Environment Protection Authority</w:t>
      </w:r>
      <w:r>
        <w:t xml:space="preserve"> (EPA),</w:t>
      </w:r>
      <w:r w:rsidRPr="5BD68C84">
        <w:t xml:space="preserve"> Natural Resources Commission</w:t>
      </w:r>
      <w:r>
        <w:t>,</w:t>
      </w:r>
      <w:r w:rsidRPr="5BD68C84">
        <w:t xml:space="preserve"> the Biodiversity</w:t>
      </w:r>
      <w:r>
        <w:t> </w:t>
      </w:r>
      <w:r w:rsidRPr="5BD68C84">
        <w:t>Conservation Trust, Zoological Parks Board, and the Environmental Trust.</w:t>
      </w:r>
    </w:p>
    <w:p w14:paraId="12ABAA94" w14:textId="1F8CE7F1" w:rsidR="00E633CC" w:rsidRPr="000101AC" w:rsidRDefault="00E633CC" w:rsidP="00E633CC">
      <w:pPr>
        <w:pStyle w:val="Heading3"/>
        <w:rPr>
          <w:rFonts w:cs="Arial"/>
        </w:rPr>
      </w:pPr>
      <w:r w:rsidRPr="000101AC">
        <w:rPr>
          <w:rFonts w:cs="Arial"/>
        </w:rPr>
        <w:t>202</w:t>
      </w:r>
      <w:r w:rsidR="00877334">
        <w:rPr>
          <w:rFonts w:cs="Arial"/>
        </w:rPr>
        <w:t>1</w:t>
      </w:r>
      <w:r w:rsidRPr="000101AC">
        <w:rPr>
          <w:rFonts w:cs="Arial"/>
        </w:rPr>
        <w:t>-2</w:t>
      </w:r>
      <w:r w:rsidR="00877334">
        <w:rPr>
          <w:rFonts w:cs="Arial"/>
        </w:rPr>
        <w:t>2</w:t>
      </w:r>
      <w:r w:rsidRPr="000101AC">
        <w:rPr>
          <w:rFonts w:cs="Arial"/>
        </w:rPr>
        <w:t xml:space="preserve"> </w:t>
      </w:r>
      <w:r w:rsidR="00DA6630">
        <w:rPr>
          <w:rFonts w:cs="Arial"/>
        </w:rPr>
        <w:t xml:space="preserve">State Outcome </w:t>
      </w:r>
      <w:r w:rsidRPr="000101AC">
        <w:rPr>
          <w:rFonts w:cs="Arial"/>
        </w:rPr>
        <w:t xml:space="preserve">Budget </w:t>
      </w:r>
      <w:r w:rsidR="00DA6630">
        <w:rPr>
          <w:rFonts w:cs="Arial"/>
        </w:rPr>
        <w:t>h</w:t>
      </w:r>
      <w:r w:rsidRPr="000101AC">
        <w:rPr>
          <w:rFonts w:cs="Arial"/>
        </w:rPr>
        <w:t xml:space="preserve">ighlights </w:t>
      </w:r>
      <w:bookmarkStart w:id="5" w:name="_Hlk7525578"/>
    </w:p>
    <w:bookmarkEnd w:id="5"/>
    <w:p w14:paraId="5372576C" w14:textId="56646DC2" w:rsidR="005C4FBC" w:rsidRPr="008D3DAB" w:rsidRDefault="005C4FBC" w:rsidP="001B6352">
      <w:pPr>
        <w:pStyle w:val="BodyText"/>
      </w:pPr>
      <w:r w:rsidRPr="5BD68C84">
        <w:t xml:space="preserve">In 2021-22, the Planning, Industry and Environment </w:t>
      </w:r>
      <w:r>
        <w:t>C</w:t>
      </w:r>
      <w:r w:rsidRPr="5BD68C84">
        <w:t xml:space="preserve">luster will invest </w:t>
      </w:r>
      <w:r w:rsidRPr="00C965D3">
        <w:t>$2.</w:t>
      </w:r>
      <w:r w:rsidR="00F1228D">
        <w:t>8</w:t>
      </w:r>
      <w:r w:rsidR="00D446D7" w:rsidRPr="00C965D3">
        <w:t> </w:t>
      </w:r>
      <w:r w:rsidRPr="00C965D3">
        <w:t>billion ($2.</w:t>
      </w:r>
      <w:r w:rsidR="00D446D7" w:rsidRPr="00C965D3">
        <w:t>4 </w:t>
      </w:r>
      <w:r w:rsidRPr="00C965D3">
        <w:t>billion recurrent expenses and $</w:t>
      </w:r>
      <w:r w:rsidR="007B4366" w:rsidRPr="00C94EA6">
        <w:t>3</w:t>
      </w:r>
      <w:r w:rsidR="008446DB">
        <w:t>51.2</w:t>
      </w:r>
      <w:r w:rsidR="00D446D7" w:rsidRPr="00C965D3">
        <w:t> </w:t>
      </w:r>
      <w:r w:rsidRPr="00C965D3">
        <w:t>million capital expenditure) in this Ou</w:t>
      </w:r>
      <w:r>
        <w:t>tcome</w:t>
      </w:r>
      <w:r w:rsidRPr="5BD68C84">
        <w:t>, including</w:t>
      </w:r>
      <w:r>
        <w:t>:</w:t>
      </w:r>
    </w:p>
    <w:p w14:paraId="48C81F41" w14:textId="430F00F5" w:rsidR="00A10D32" w:rsidRPr="00410831" w:rsidRDefault="005C4FBC" w:rsidP="00FE4F54">
      <w:pPr>
        <w:pStyle w:val="Bullet1"/>
        <w:rPr>
          <w:color w:val="000000" w:themeColor="text1"/>
        </w:rPr>
      </w:pPr>
      <w:r w:rsidRPr="00C965D3">
        <w:t>$</w:t>
      </w:r>
      <w:r w:rsidR="00677E2A" w:rsidRPr="00C965D3">
        <w:t>785</w:t>
      </w:r>
      <w:r w:rsidR="002F5837" w:rsidRPr="00C965D3">
        <w:t>.4</w:t>
      </w:r>
      <w:r w:rsidR="00C965D3" w:rsidRPr="00C965D3">
        <w:t> </w:t>
      </w:r>
      <w:r w:rsidRPr="00C965D3">
        <w:t>million ($</w:t>
      </w:r>
      <w:r w:rsidR="002F5837" w:rsidRPr="00C965D3">
        <w:t>1.9</w:t>
      </w:r>
      <w:r w:rsidR="00C965D3" w:rsidRPr="00C965D3">
        <w:t> </w:t>
      </w:r>
      <w:r w:rsidR="002F5837" w:rsidRPr="00C965D3">
        <w:t xml:space="preserve">billion </w:t>
      </w:r>
      <w:r w:rsidRPr="00C965D3">
        <w:t>recurrent expenses and $</w:t>
      </w:r>
      <w:r w:rsidR="002F5837" w:rsidRPr="00C965D3">
        <w:t>495.</w:t>
      </w:r>
      <w:r w:rsidR="008537B8" w:rsidRPr="00C965D3">
        <w:t>8</w:t>
      </w:r>
      <w:r w:rsidR="00C965D3" w:rsidRPr="00C965D3">
        <w:t> </w:t>
      </w:r>
      <w:r w:rsidRPr="00C965D3">
        <w:t>million capital expenditure over four years)</w:t>
      </w:r>
      <w:r w:rsidRPr="00EC3879">
        <w:t xml:space="preserve"> for </w:t>
      </w:r>
      <w:r w:rsidR="00D37DD8">
        <w:t>n</w:t>
      </w:r>
      <w:r w:rsidR="00D37DD8" w:rsidRPr="00EC3879">
        <w:t xml:space="preserve">ational </w:t>
      </w:r>
      <w:r w:rsidR="00D37DD8">
        <w:t>p</w:t>
      </w:r>
      <w:r w:rsidR="00D37DD8" w:rsidRPr="00EC3879">
        <w:t>arks</w:t>
      </w:r>
      <w:r w:rsidRPr="00EC3879">
        <w:t xml:space="preserve">. This </w:t>
      </w:r>
      <w:r w:rsidR="00D21800">
        <w:t xml:space="preserve">includes: </w:t>
      </w:r>
    </w:p>
    <w:p w14:paraId="309FA926" w14:textId="1B4E8EE0" w:rsidR="005C4FBC" w:rsidRPr="006769A8" w:rsidRDefault="005C4FBC" w:rsidP="00FE4F54">
      <w:pPr>
        <w:pStyle w:val="Bullet2"/>
        <w:rPr>
          <w:rFonts w:eastAsia="Arial"/>
        </w:rPr>
      </w:pPr>
      <w:r w:rsidRPr="00147E16">
        <w:t>$21.7 million ($15.7 million recurrent expenses and $49.6 million capital expenditure over four years</w:t>
      </w:r>
      <w:r w:rsidRPr="006769A8">
        <w:t xml:space="preserve">) for grants from the Environmental Trust to the National Parks </w:t>
      </w:r>
      <w:r w:rsidR="0081397A" w:rsidRPr="00852A02">
        <w:t>and</w:t>
      </w:r>
      <w:r w:rsidR="0081397A" w:rsidRPr="00CF349D">
        <w:t xml:space="preserve"> </w:t>
      </w:r>
      <w:r w:rsidRPr="00CF349D">
        <w:t>Wildlife Service</w:t>
      </w:r>
      <w:r w:rsidR="00EB7AA3">
        <w:t>s</w:t>
      </w:r>
      <w:r w:rsidRPr="00CF349D">
        <w:t xml:space="preserve"> to support </w:t>
      </w:r>
      <w:r w:rsidR="001B6352">
        <w:t xml:space="preserve">the </w:t>
      </w:r>
      <w:r w:rsidRPr="00DA2DC0">
        <w:t xml:space="preserve">acquisition of high value conservation land </w:t>
      </w:r>
      <w:r w:rsidR="00676D7E" w:rsidRPr="00147E16">
        <w:t>for</w:t>
      </w:r>
      <w:r w:rsidR="00676D7E" w:rsidRPr="006769A8">
        <w:t xml:space="preserve"> </w:t>
      </w:r>
      <w:r w:rsidR="00676D7E" w:rsidRPr="00147E16">
        <w:t>protection in</w:t>
      </w:r>
      <w:r w:rsidRPr="006769A8">
        <w:t xml:space="preserve"> the NSW </w:t>
      </w:r>
      <w:r w:rsidR="00E71C76" w:rsidRPr="00CF349D">
        <w:t>n</w:t>
      </w:r>
      <w:r w:rsidRPr="00DA2DC0">
        <w:t xml:space="preserve">ational </w:t>
      </w:r>
      <w:r w:rsidR="00E71C76" w:rsidRPr="006769A8">
        <w:t>p</w:t>
      </w:r>
      <w:r w:rsidRPr="006769A8">
        <w:t>arks estate, support the rewilding of threatened fauna</w:t>
      </w:r>
      <w:r w:rsidR="00D91338">
        <w:t>,</w:t>
      </w:r>
      <w:r w:rsidRPr="006769A8">
        <w:t xml:space="preserve"> and </w:t>
      </w:r>
      <w:r w:rsidR="0072298E" w:rsidRPr="00147E16">
        <w:t xml:space="preserve">implement </w:t>
      </w:r>
      <w:r w:rsidR="003F4A9D" w:rsidRPr="00147E16">
        <w:t xml:space="preserve">ecological health monitoring and reporting projects to </w:t>
      </w:r>
      <w:r w:rsidR="00E81413" w:rsidRPr="00147E16">
        <w:t xml:space="preserve">deliver improved conservation outcomes </w:t>
      </w:r>
      <w:r w:rsidR="000927B8" w:rsidRPr="00147E16">
        <w:t>th</w:t>
      </w:r>
      <w:r w:rsidR="001679DA">
        <w:t>r</w:t>
      </w:r>
      <w:r w:rsidR="000927B8" w:rsidRPr="00147E16">
        <w:t>ough</w:t>
      </w:r>
      <w:r w:rsidR="00E81413" w:rsidRPr="00147E16">
        <w:t xml:space="preserve"> evidence-based</w:t>
      </w:r>
      <w:r w:rsidR="003F4A9D" w:rsidRPr="00147E16">
        <w:t xml:space="preserve"> park management</w:t>
      </w:r>
    </w:p>
    <w:p w14:paraId="7828E10E" w14:textId="47790CB5" w:rsidR="005C4FBC" w:rsidRDefault="005C4FBC" w:rsidP="008E179C">
      <w:pPr>
        <w:pStyle w:val="Bullet2"/>
      </w:pPr>
      <w:r w:rsidRPr="00147E16">
        <w:t xml:space="preserve">$10.3 million ($5.4 million </w:t>
      </w:r>
      <w:r w:rsidR="00F55766" w:rsidRPr="00147E16">
        <w:t xml:space="preserve">recurrent </w:t>
      </w:r>
      <w:r w:rsidRPr="00147E16">
        <w:t xml:space="preserve">expenses and $80.4 million capital </w:t>
      </w:r>
      <w:r w:rsidR="00F55766" w:rsidRPr="00147E16">
        <w:t>expenditure</w:t>
      </w:r>
      <w:r w:rsidRPr="00147E16">
        <w:t xml:space="preserve"> over four years</w:t>
      </w:r>
      <w:r w:rsidRPr="006769A8">
        <w:t>) f</w:t>
      </w:r>
      <w:r w:rsidRPr="00EC3879">
        <w:t>or</w:t>
      </w:r>
      <w:r w:rsidR="008D79AB">
        <w:t xml:space="preserve"> </w:t>
      </w:r>
      <w:r w:rsidR="00BC7186">
        <w:t xml:space="preserve">new </w:t>
      </w:r>
      <w:r w:rsidRPr="00EC3879">
        <w:t xml:space="preserve">signature walking </w:t>
      </w:r>
      <w:r w:rsidR="00060EEB">
        <w:t>experiences</w:t>
      </w:r>
      <w:r w:rsidRPr="00EC3879">
        <w:t>, including the Great Southern Walk</w:t>
      </w:r>
      <w:r w:rsidR="005A001F">
        <w:t xml:space="preserve"> in</w:t>
      </w:r>
      <w:r w:rsidRPr="00EC3879">
        <w:t xml:space="preserve"> </w:t>
      </w:r>
      <w:r w:rsidR="00064D8D">
        <w:t xml:space="preserve">the </w:t>
      </w:r>
      <w:r w:rsidRPr="00EC3879">
        <w:t>Illawarra</w:t>
      </w:r>
      <w:r w:rsidR="00854238" w:rsidRPr="00854238">
        <w:t>. The walks will include a range of dedicated accommodation options, making our natural and cultural heritage ass</w:t>
      </w:r>
      <w:r w:rsidR="005F7593">
        <w:t>ets</w:t>
      </w:r>
      <w:r w:rsidR="00854238" w:rsidRPr="00854238">
        <w:t xml:space="preserve"> in our NSW</w:t>
      </w:r>
      <w:r w:rsidR="00935600">
        <w:t> </w:t>
      </w:r>
      <w:r w:rsidR="00854238" w:rsidRPr="00854238">
        <w:t>national parks a must-see destination for local, national and international visitors</w:t>
      </w:r>
    </w:p>
    <w:p w14:paraId="534ED683" w14:textId="6C122AC5" w:rsidR="005C4FBC" w:rsidRPr="006737BA" w:rsidRDefault="005C4FBC">
      <w:pPr>
        <w:pStyle w:val="Bullet1"/>
        <w:numPr>
          <w:ilvl w:val="0"/>
          <w:numId w:val="42"/>
        </w:numPr>
        <w:rPr>
          <w:color w:val="000000" w:themeColor="text1"/>
        </w:rPr>
      </w:pPr>
      <w:r w:rsidRPr="006737BA">
        <w:t>$3</w:t>
      </w:r>
      <w:r w:rsidR="0030303E">
        <w:t>33.2</w:t>
      </w:r>
      <w:r w:rsidR="00A807CB" w:rsidRPr="006737BA">
        <w:t> </w:t>
      </w:r>
      <w:r w:rsidRPr="006737BA">
        <w:t>million ($1</w:t>
      </w:r>
      <w:r w:rsidR="00EE4C05">
        <w:t>.</w:t>
      </w:r>
      <w:r w:rsidRPr="006737BA">
        <w:t>3</w:t>
      </w:r>
      <w:r w:rsidR="00A807CB" w:rsidRPr="006737BA">
        <w:t> </w:t>
      </w:r>
      <w:r w:rsidR="009929D5">
        <w:t>b</w:t>
      </w:r>
      <w:r w:rsidRPr="006737BA">
        <w:t xml:space="preserve">illion recurrent expenses over four years) to enable the provision of energy rebates </w:t>
      </w:r>
      <w:r w:rsidR="008606EF">
        <w:t xml:space="preserve">and emergency vouchers </w:t>
      </w:r>
      <w:r w:rsidRPr="006737BA">
        <w:t xml:space="preserve">to </w:t>
      </w:r>
      <w:r w:rsidR="004955B9">
        <w:t xml:space="preserve">help </w:t>
      </w:r>
      <w:r w:rsidR="002F2C4E">
        <w:t>reduce energy bills and provide the</w:t>
      </w:r>
      <w:r w:rsidRPr="006737BA">
        <w:t xml:space="preserve"> community with </w:t>
      </w:r>
      <w:r w:rsidR="002F2C4E">
        <w:t xml:space="preserve">more </w:t>
      </w:r>
      <w:r w:rsidRPr="006737BA">
        <w:t>affordable energy</w:t>
      </w:r>
    </w:p>
    <w:p w14:paraId="12884652" w14:textId="2A676B73" w:rsidR="005C4FBC" w:rsidRPr="006737BA" w:rsidRDefault="005C4FBC">
      <w:pPr>
        <w:pStyle w:val="Bullet1"/>
        <w:numPr>
          <w:ilvl w:val="0"/>
          <w:numId w:val="42"/>
        </w:numPr>
        <w:rPr>
          <w:color w:val="000000" w:themeColor="text1"/>
        </w:rPr>
      </w:pPr>
      <w:r w:rsidRPr="006737BA">
        <w:t>$</w:t>
      </w:r>
      <w:r w:rsidR="00F9528E" w:rsidRPr="006737BA">
        <w:t>257.</w:t>
      </w:r>
      <w:r w:rsidR="00487EEC" w:rsidRPr="006737BA">
        <w:t>3 </w:t>
      </w:r>
      <w:r w:rsidRPr="006737BA">
        <w:t>million ($</w:t>
      </w:r>
      <w:r w:rsidR="003977FE" w:rsidRPr="006737BA">
        <w:t>959.</w:t>
      </w:r>
      <w:r w:rsidR="00A807CB" w:rsidRPr="006737BA">
        <w:t>1</w:t>
      </w:r>
      <w:r w:rsidR="009C2B4A">
        <w:t xml:space="preserve"> </w:t>
      </w:r>
      <w:r w:rsidR="003977FE" w:rsidRPr="006737BA">
        <w:t xml:space="preserve">million </w:t>
      </w:r>
      <w:r w:rsidRPr="006737BA">
        <w:t>recurrent expense</w:t>
      </w:r>
      <w:r w:rsidR="00885771">
        <w:t>s</w:t>
      </w:r>
      <w:r w:rsidRPr="006737BA">
        <w:t xml:space="preserve"> and $75.</w:t>
      </w:r>
      <w:r w:rsidR="00A807CB" w:rsidRPr="006737BA">
        <w:t>3 </w:t>
      </w:r>
      <w:r w:rsidRPr="006737BA">
        <w:t xml:space="preserve">million capital expenditure over four years) to protect New South Wales’ invaluable biodiversity, including: </w:t>
      </w:r>
    </w:p>
    <w:p w14:paraId="10FE6C64" w14:textId="504B6CDF" w:rsidR="005C4FBC" w:rsidRPr="00EC3879" w:rsidRDefault="005C4FBC">
      <w:pPr>
        <w:pStyle w:val="Bullet2"/>
        <w:rPr>
          <w:color w:val="000000" w:themeColor="text1"/>
        </w:rPr>
      </w:pPr>
      <w:r w:rsidRPr="006737BA">
        <w:t>$</w:t>
      </w:r>
      <w:r w:rsidR="006E3EDD" w:rsidRPr="006737BA">
        <w:t>4</w:t>
      </w:r>
      <w:r w:rsidR="00C42D9A">
        <w:t>6.3</w:t>
      </w:r>
      <w:r w:rsidR="00487EEC" w:rsidRPr="006737BA">
        <w:t> </w:t>
      </w:r>
      <w:r w:rsidRPr="006737BA">
        <w:t>million ($</w:t>
      </w:r>
      <w:r w:rsidR="00004C89" w:rsidRPr="006737BA">
        <w:t>12</w:t>
      </w:r>
      <w:r w:rsidR="00BD2093">
        <w:t>5</w:t>
      </w:r>
      <w:r w:rsidR="00004C89" w:rsidRPr="006737BA">
        <w:t>.</w:t>
      </w:r>
      <w:r w:rsidR="00BD2093">
        <w:t>0</w:t>
      </w:r>
      <w:r w:rsidR="00487EEC" w:rsidRPr="006737BA">
        <w:t> </w:t>
      </w:r>
      <w:r w:rsidRPr="006737BA">
        <w:t>million recurrent expenses and $</w:t>
      </w:r>
      <w:r w:rsidR="00004C89" w:rsidRPr="006737BA">
        <w:t>68.3</w:t>
      </w:r>
      <w:r w:rsidR="00487EEC" w:rsidRPr="006737BA">
        <w:t> </w:t>
      </w:r>
      <w:r w:rsidRPr="006737BA">
        <w:t>million capital expenditure</w:t>
      </w:r>
      <w:r w:rsidRPr="00EC3879">
        <w:t xml:space="preserve"> over </w:t>
      </w:r>
      <w:r w:rsidR="00AF1A0D">
        <w:t xml:space="preserve">five </w:t>
      </w:r>
      <w:r w:rsidRPr="00EC3879">
        <w:t xml:space="preserve">years) to deliver </w:t>
      </w:r>
      <w:r w:rsidR="00B945E2">
        <w:t xml:space="preserve">on </w:t>
      </w:r>
      <w:r w:rsidR="00E50C70">
        <w:t xml:space="preserve">the </w:t>
      </w:r>
      <w:r w:rsidR="00F27573">
        <w:t xml:space="preserve">NSW </w:t>
      </w:r>
      <w:r w:rsidR="00E50C70">
        <w:t>Government’s</w:t>
      </w:r>
      <w:r w:rsidR="00B945E2">
        <w:t xml:space="preserve"> goal to double the number of </w:t>
      </w:r>
      <w:r w:rsidR="00E50C70">
        <w:t>koalas in New South Wales by 20</w:t>
      </w:r>
      <w:r w:rsidR="007429BB">
        <w:t>5</w:t>
      </w:r>
      <w:r w:rsidR="00E50C70">
        <w:t xml:space="preserve">0 </w:t>
      </w:r>
    </w:p>
    <w:p w14:paraId="0B90FF70" w14:textId="0BE24CD1" w:rsidR="005C4FBC" w:rsidRPr="006737BA" w:rsidRDefault="005C4FBC">
      <w:pPr>
        <w:pStyle w:val="Bullet2"/>
        <w:rPr>
          <w:color w:val="000000" w:themeColor="text1"/>
        </w:rPr>
      </w:pPr>
      <w:r w:rsidRPr="006737BA">
        <w:t>$15.0 million ($</w:t>
      </w:r>
      <w:r w:rsidR="00411187" w:rsidRPr="006737BA">
        <w:t>75.0</w:t>
      </w:r>
      <w:r w:rsidR="006F3BA4" w:rsidRPr="006737BA">
        <w:t> </w:t>
      </w:r>
      <w:r w:rsidRPr="006737BA">
        <w:t xml:space="preserve">million recurrent </w:t>
      </w:r>
      <w:r w:rsidR="00F55766" w:rsidRPr="006737BA">
        <w:t xml:space="preserve">expenses </w:t>
      </w:r>
      <w:r w:rsidRPr="006737BA">
        <w:t xml:space="preserve">over </w:t>
      </w:r>
      <w:r w:rsidR="00411187" w:rsidRPr="006737BA">
        <w:t xml:space="preserve">five </w:t>
      </w:r>
      <w:r w:rsidRPr="006737BA">
        <w:t xml:space="preserve">years) to continue the Saving our Species program, New South Wales’ flagship threatened species conservation program, to maximise the number of ecological communities </w:t>
      </w:r>
      <w:r w:rsidR="00BC04E4" w:rsidRPr="006737BA">
        <w:t xml:space="preserve">and threatened species </w:t>
      </w:r>
      <w:r w:rsidRPr="006737BA">
        <w:t xml:space="preserve">that are secure in the wild in New South Wales </w:t>
      </w:r>
    </w:p>
    <w:p w14:paraId="0ABDF87F" w14:textId="77777777" w:rsidR="00936748" w:rsidRDefault="00936748">
      <w:pPr>
        <w:rPr>
          <w:rFonts w:ascii="Arial" w:hAnsi="Arial" w:cs="Arial"/>
          <w:sz w:val="23"/>
          <w:szCs w:val="23"/>
        </w:rPr>
      </w:pPr>
      <w:r>
        <w:br w:type="page"/>
      </w:r>
    </w:p>
    <w:p w14:paraId="54A42DA0" w14:textId="1CAF4385" w:rsidR="005C4FBC" w:rsidRPr="006737BA" w:rsidRDefault="005C4FBC">
      <w:pPr>
        <w:pStyle w:val="Bullet2"/>
        <w:rPr>
          <w:color w:val="000000" w:themeColor="text1"/>
        </w:rPr>
      </w:pPr>
      <w:r w:rsidRPr="006737BA">
        <w:lastRenderedPageBreak/>
        <w:t>$1</w:t>
      </w:r>
      <w:r w:rsidR="00FA0BEE" w:rsidRPr="006737BA">
        <w:t>3.5</w:t>
      </w:r>
      <w:r w:rsidR="006F3BA4" w:rsidRPr="006737BA">
        <w:t> </w:t>
      </w:r>
      <w:r w:rsidRPr="006737BA">
        <w:t>million ($</w:t>
      </w:r>
      <w:r w:rsidR="00A46292" w:rsidRPr="006737BA">
        <w:t>2</w:t>
      </w:r>
      <w:r w:rsidR="00A56DA5">
        <w:t>5</w:t>
      </w:r>
      <w:r w:rsidR="00A46292" w:rsidRPr="006737BA">
        <w:t>.7</w:t>
      </w:r>
      <w:r w:rsidR="006F3BA4" w:rsidRPr="006737BA">
        <w:t> </w:t>
      </w:r>
      <w:r w:rsidRPr="006737BA">
        <w:t xml:space="preserve">million recurrent expenses and $3.8 million capital expenditure over two years) to continue the delivery of the Land Management and Biodiversity Conservation Framework, including regulatory activities, implementation of the Biodiversity Offsets Scheme, </w:t>
      </w:r>
      <w:r w:rsidR="007F7684">
        <w:t xml:space="preserve">and </w:t>
      </w:r>
      <w:r w:rsidRPr="006737BA">
        <w:t>biodiversity mapping, assessment and evaluation</w:t>
      </w:r>
    </w:p>
    <w:p w14:paraId="397726F8" w14:textId="4D8688E1" w:rsidR="005C4FBC" w:rsidRPr="00446088" w:rsidRDefault="005C4FBC">
      <w:pPr>
        <w:pStyle w:val="Bullet1"/>
      </w:pPr>
      <w:r w:rsidRPr="006737BA">
        <w:t>$149.</w:t>
      </w:r>
      <w:r w:rsidR="005450A0" w:rsidRPr="006737BA">
        <w:t>7 </w:t>
      </w:r>
      <w:r w:rsidRPr="006737BA">
        <w:t>million ($698.8 million recurrent expenses and $5.0 million capital expenditure</w:t>
      </w:r>
      <w:r w:rsidRPr="02AF51B0">
        <w:t xml:space="preserve"> over four years)</w:t>
      </w:r>
      <w:r w:rsidR="00ED4288">
        <w:t xml:space="preserve"> to protect the community and environment from waste pollution and support the transition to </w:t>
      </w:r>
      <w:r w:rsidRPr="02AF51B0">
        <w:t>a circular economy</w:t>
      </w:r>
      <w:r w:rsidR="0003448A">
        <w:t xml:space="preserve"> </w:t>
      </w:r>
      <w:r w:rsidR="00ED4288">
        <w:t>where we use materials more sustainably and reduce our carbon emissions. Activities include</w:t>
      </w:r>
      <w:r w:rsidRPr="02AF51B0">
        <w:t xml:space="preserve">: </w:t>
      </w:r>
    </w:p>
    <w:p w14:paraId="2B1EDBC0" w14:textId="4B63F596" w:rsidR="005C4FBC" w:rsidRPr="00AC0040" w:rsidRDefault="009611FD">
      <w:pPr>
        <w:pStyle w:val="Bullet2"/>
      </w:pPr>
      <w:r>
        <w:t>i</w:t>
      </w:r>
      <w:r w:rsidR="007A6D83">
        <w:t>mplementing</w:t>
      </w:r>
      <w:r w:rsidR="00C902F9">
        <w:t xml:space="preserve"> </w:t>
      </w:r>
      <w:r w:rsidR="007A6D83">
        <w:t>the</w:t>
      </w:r>
      <w:r w:rsidR="00C902F9">
        <w:t xml:space="preserve"> </w:t>
      </w:r>
      <w:r w:rsidR="00C902F9" w:rsidRPr="00DD2AD8">
        <w:t xml:space="preserve">NSW Waste and </w:t>
      </w:r>
      <w:r w:rsidR="002C735D">
        <w:t xml:space="preserve">Sustainable </w:t>
      </w:r>
      <w:r w:rsidR="00C902F9" w:rsidRPr="00DD2AD8">
        <w:t>Mater</w:t>
      </w:r>
      <w:r w:rsidR="007A6D83" w:rsidRPr="00DD2AD8">
        <w:t>ial</w:t>
      </w:r>
      <w:r w:rsidR="002C735D">
        <w:t>s</w:t>
      </w:r>
      <w:r w:rsidR="007A6D83" w:rsidRPr="00DD2AD8">
        <w:t xml:space="preserve"> Strategy 2041</w:t>
      </w:r>
      <w:r w:rsidR="007A6D83">
        <w:t xml:space="preserve"> and </w:t>
      </w:r>
      <w:r w:rsidR="007A6D83" w:rsidRPr="009611FD">
        <w:t xml:space="preserve">NSW Plastics Action Plan </w:t>
      </w:r>
    </w:p>
    <w:p w14:paraId="59E11E8E" w14:textId="1D8E1686" w:rsidR="005C4FBC" w:rsidRPr="00AC0040" w:rsidRDefault="007A6D83">
      <w:pPr>
        <w:pStyle w:val="Bullet2"/>
      </w:pPr>
      <w:r>
        <w:t>continuing to keep our community safe and environment clean by targeting illegal dumping, littering and hazardous wastes</w:t>
      </w:r>
    </w:p>
    <w:p w14:paraId="2C5E0434" w14:textId="1BB8C6E4" w:rsidR="005C4FBC" w:rsidRPr="00EC4DF8" w:rsidRDefault="005C4FBC" w:rsidP="005C4FBC">
      <w:pPr>
        <w:pStyle w:val="ListParagraph"/>
        <w:numPr>
          <w:ilvl w:val="0"/>
          <w:numId w:val="40"/>
        </w:numPr>
        <w:spacing w:before="160" w:after="100" w:line="240" w:lineRule="atLeast"/>
        <w:ind w:hanging="357"/>
        <w:rPr>
          <w:rFonts w:cs="Arial"/>
          <w:color w:val="000000" w:themeColor="text1"/>
          <w:sz w:val="23"/>
          <w:szCs w:val="23"/>
        </w:rPr>
      </w:pPr>
      <w:r w:rsidRPr="00EC4DF8">
        <w:rPr>
          <w:rFonts w:cs="Arial"/>
          <w:sz w:val="23"/>
          <w:szCs w:val="23"/>
        </w:rPr>
        <w:t>$147.</w:t>
      </w:r>
      <w:r w:rsidR="005450A0" w:rsidRPr="00EC4DF8">
        <w:rPr>
          <w:rFonts w:cs="Arial"/>
          <w:sz w:val="23"/>
          <w:szCs w:val="23"/>
        </w:rPr>
        <w:t>6 </w:t>
      </w:r>
      <w:r w:rsidRPr="00EC4DF8">
        <w:rPr>
          <w:rFonts w:cs="Arial"/>
          <w:sz w:val="23"/>
          <w:szCs w:val="23"/>
        </w:rPr>
        <w:t>million ($248.5 million recurrent expenses and $164.</w:t>
      </w:r>
      <w:r w:rsidR="005450A0" w:rsidRPr="00EC4DF8">
        <w:rPr>
          <w:rFonts w:cs="Arial"/>
          <w:sz w:val="23"/>
          <w:szCs w:val="23"/>
        </w:rPr>
        <w:t>4 </w:t>
      </w:r>
      <w:r w:rsidRPr="00EC4DF8">
        <w:rPr>
          <w:rFonts w:cs="Arial"/>
          <w:sz w:val="23"/>
          <w:szCs w:val="23"/>
        </w:rPr>
        <w:t xml:space="preserve">million capital expenditure over four years) to implement the </w:t>
      </w:r>
      <w:r w:rsidRPr="00410831">
        <w:rPr>
          <w:rFonts w:cs="Arial"/>
          <w:i/>
          <w:iCs/>
          <w:sz w:val="23"/>
          <w:szCs w:val="23"/>
        </w:rPr>
        <w:t>Electricity Infrastructure Roadmap</w:t>
      </w:r>
      <w:r w:rsidRPr="00EC4DF8">
        <w:rPr>
          <w:rFonts w:cs="Arial"/>
          <w:sz w:val="23"/>
          <w:szCs w:val="23"/>
        </w:rPr>
        <w:t>, the Government’s plan to attract $32.</w:t>
      </w:r>
      <w:r w:rsidR="005450A0" w:rsidRPr="00EC4DF8">
        <w:rPr>
          <w:rFonts w:cs="Arial"/>
          <w:sz w:val="23"/>
          <w:szCs w:val="23"/>
        </w:rPr>
        <w:t>0 </w:t>
      </w:r>
      <w:r w:rsidRPr="00EC4DF8">
        <w:rPr>
          <w:rFonts w:cs="Arial"/>
          <w:sz w:val="23"/>
          <w:szCs w:val="23"/>
        </w:rPr>
        <w:t xml:space="preserve">billion in private investment in new generation, storage, firming and network infrastructure by 2030, including: </w:t>
      </w:r>
    </w:p>
    <w:p w14:paraId="7AC16210" w14:textId="77777777" w:rsidR="005F1052" w:rsidRPr="00EC4DF8" w:rsidRDefault="005F1052" w:rsidP="005F1052">
      <w:pPr>
        <w:pStyle w:val="Bullet2"/>
      </w:pPr>
      <w:r w:rsidRPr="00EC4DF8">
        <w:t xml:space="preserve">$35.1 million ($121.6 million </w:t>
      </w:r>
      <w:r>
        <w:t>recurrent expenses</w:t>
      </w:r>
      <w:r w:rsidRPr="00EC4DF8">
        <w:t xml:space="preserve"> over two years) to establish the administrative entities including the Consumer Trustee, Financial Trustee and the Regulator</w:t>
      </w:r>
    </w:p>
    <w:p w14:paraId="10E51AE1" w14:textId="3373368C" w:rsidR="00C759D6" w:rsidRPr="00EC4DF8" w:rsidRDefault="001D77EF" w:rsidP="00CB78B7">
      <w:pPr>
        <w:pStyle w:val="Bullet2"/>
      </w:pPr>
      <w:r w:rsidRPr="00EC4DF8">
        <w:t>$15.2</w:t>
      </w:r>
      <w:r w:rsidR="005450A0" w:rsidRPr="00EC4DF8">
        <w:t> </w:t>
      </w:r>
      <w:r w:rsidRPr="00EC4DF8">
        <w:t>million (</w:t>
      </w:r>
      <w:r w:rsidR="005C4FBC" w:rsidRPr="00EC4DF8">
        <w:t>$72.4 million recurrent expenses and $2.</w:t>
      </w:r>
      <w:r w:rsidR="005450A0" w:rsidRPr="00EC4DF8">
        <w:t>4 </w:t>
      </w:r>
      <w:r w:rsidR="005C4FBC" w:rsidRPr="00EC4DF8">
        <w:t xml:space="preserve">million capital expenditure over four </w:t>
      </w:r>
      <w:r w:rsidR="005C4FBC" w:rsidRPr="00CB78B7">
        <w:t>years</w:t>
      </w:r>
      <w:r w:rsidR="00812E22" w:rsidRPr="00EC4DF8">
        <w:t>)</w:t>
      </w:r>
      <w:r w:rsidR="005C4FBC" w:rsidRPr="00EC4DF8">
        <w:t xml:space="preserve"> for</w:t>
      </w:r>
      <w:r w:rsidR="00FA6C2E" w:rsidRPr="00EC4DF8">
        <w:t xml:space="preserve"> the</w:t>
      </w:r>
      <w:r w:rsidR="005C4FBC" w:rsidRPr="00EC4DF8">
        <w:t xml:space="preserve"> Energy Corporation </w:t>
      </w:r>
      <w:r w:rsidR="00AC1A5A">
        <w:t xml:space="preserve">of NSW </w:t>
      </w:r>
      <w:r w:rsidR="0055665E">
        <w:t>to enable</w:t>
      </w:r>
      <w:r w:rsidR="005C4FBC" w:rsidRPr="00EC4DF8">
        <w:t xml:space="preserve"> the coordinated </w:t>
      </w:r>
      <w:r w:rsidR="0055665E">
        <w:t>delivery</w:t>
      </w:r>
      <w:r w:rsidR="005C4FBC" w:rsidRPr="00EC4DF8">
        <w:t xml:space="preserve"> of Renewable Energy Zones across New South Wales  </w:t>
      </w:r>
    </w:p>
    <w:p w14:paraId="1AAA59DC" w14:textId="5E644FDA" w:rsidR="0087662E" w:rsidRPr="00982EA8" w:rsidRDefault="0087662E">
      <w:pPr>
        <w:pStyle w:val="Bullet2"/>
        <w:numPr>
          <w:ilvl w:val="0"/>
          <w:numId w:val="49"/>
        </w:numPr>
        <w:rPr>
          <w:color w:val="000000" w:themeColor="text1"/>
        </w:rPr>
      </w:pPr>
      <w:r w:rsidRPr="0026559A">
        <w:t>$140.9</w:t>
      </w:r>
      <w:r w:rsidR="0075317F" w:rsidRPr="0026559A">
        <w:t> </w:t>
      </w:r>
      <w:r w:rsidRPr="0026559A">
        <w:t xml:space="preserve">million recurrent </w:t>
      </w:r>
      <w:r w:rsidR="00F55766">
        <w:t>expenses</w:t>
      </w:r>
      <w:r w:rsidRPr="001C741F">
        <w:t xml:space="preserve"> to manage waste and clean-up relating to bushfires and floods</w:t>
      </w:r>
    </w:p>
    <w:p w14:paraId="796DDFAE" w14:textId="0CCB89FE" w:rsidR="000E77FD" w:rsidRDefault="005C4FBC">
      <w:pPr>
        <w:pStyle w:val="Bullet2"/>
        <w:numPr>
          <w:ilvl w:val="0"/>
          <w:numId w:val="49"/>
        </w:numPr>
      </w:pPr>
      <w:r w:rsidRPr="0026559A">
        <w:t>$</w:t>
      </w:r>
      <w:r w:rsidR="008B737F">
        <w:t>4</w:t>
      </w:r>
      <w:r w:rsidRPr="0026559A">
        <w:t>9.0 million ($</w:t>
      </w:r>
      <w:r w:rsidR="004620DF">
        <w:t>253</w:t>
      </w:r>
      <w:r w:rsidRPr="0026559A">
        <w:t xml:space="preserve">.1 million </w:t>
      </w:r>
      <w:r w:rsidR="00D37DD8">
        <w:t xml:space="preserve">recurrent </w:t>
      </w:r>
      <w:r w:rsidRPr="0026559A">
        <w:t>expenses over four years</w:t>
      </w:r>
      <w:r w:rsidRPr="00EC3879">
        <w:t>) to transition New South Wales to net zero emissions by 2050, create more sustainable businesses and support job creation for the future economy</w:t>
      </w:r>
      <w:r w:rsidR="000E77FD">
        <w:t xml:space="preserve">. </w:t>
      </w:r>
      <w:r w:rsidRPr="00EC3879">
        <w:t xml:space="preserve"> </w:t>
      </w:r>
      <w:r w:rsidR="000E77FD">
        <w:t xml:space="preserve">A key </w:t>
      </w:r>
      <w:r w:rsidR="009C753A">
        <w:t xml:space="preserve">element </w:t>
      </w:r>
      <w:r w:rsidR="000E77FD">
        <w:t>is the Net Zero Industry and Innovation Program, launch</w:t>
      </w:r>
      <w:r w:rsidR="004620DF">
        <w:t>ed</w:t>
      </w:r>
      <w:r w:rsidR="000E77FD">
        <w:t xml:space="preserve"> in March 2021</w:t>
      </w:r>
      <w:r w:rsidR="001D3851">
        <w:t xml:space="preserve"> with</w:t>
      </w:r>
      <w:r w:rsidR="000E77FD">
        <w:t xml:space="preserve"> three focus areas:</w:t>
      </w:r>
    </w:p>
    <w:p w14:paraId="786F38BA" w14:textId="1B659C16" w:rsidR="000E77FD" w:rsidRDefault="000E77FD" w:rsidP="00CB78B7">
      <w:pPr>
        <w:pStyle w:val="Bullet2"/>
      </w:pPr>
      <w:r>
        <w:t xml:space="preserve">supporting existing industry to transition to low emission alternatives and future proof </w:t>
      </w:r>
      <w:r w:rsidRPr="00CB78B7">
        <w:t>their</w:t>
      </w:r>
      <w:r>
        <w:t xml:space="preserve"> businesses</w:t>
      </w:r>
    </w:p>
    <w:p w14:paraId="78A82A66" w14:textId="0323173C" w:rsidR="000E77FD" w:rsidRDefault="00802381" w:rsidP="00CB78B7">
      <w:pPr>
        <w:pStyle w:val="Bullet2"/>
      </w:pPr>
      <w:r>
        <w:t>c</w:t>
      </w:r>
      <w:r w:rsidR="000E77FD">
        <w:t>reating the jobs of the future by setting up low carbon industries such as green hydrogen</w:t>
      </w:r>
    </w:p>
    <w:p w14:paraId="56D61002" w14:textId="7805D019" w:rsidR="005C4FBC" w:rsidRPr="000E77FD" w:rsidRDefault="000E77FD" w:rsidP="00CB78B7">
      <w:pPr>
        <w:pStyle w:val="Bullet2"/>
      </w:pPr>
      <w:r>
        <w:t>bolstering research and development in clean technology to support decarbonising in ways that grow the economy</w:t>
      </w:r>
      <w:r w:rsidR="00B4125F">
        <w:t>.</w:t>
      </w:r>
    </w:p>
    <w:p w14:paraId="4B8FD229" w14:textId="20671039" w:rsidR="006D5A4B" w:rsidRPr="00802381" w:rsidRDefault="00E633CC" w:rsidP="00802381">
      <w:pPr>
        <w:pStyle w:val="Heading3"/>
        <w:rPr>
          <w:rFonts w:cs="Arial"/>
        </w:rPr>
      </w:pPr>
      <w:r w:rsidRPr="00802381">
        <w:rPr>
          <w:rFonts w:cs="Arial"/>
        </w:rPr>
        <w:t xml:space="preserve">Key performance insights </w:t>
      </w:r>
    </w:p>
    <w:p w14:paraId="61939DDA" w14:textId="5A9ED1BA" w:rsidR="006D5A4B" w:rsidRDefault="006D5A4B" w:rsidP="00802381">
      <w:pPr>
        <w:autoSpaceDE w:val="0"/>
        <w:autoSpaceDN w:val="0"/>
        <w:adjustRightInd w:val="0"/>
        <w:rPr>
          <w:rFonts w:ascii="Arial" w:hAnsi="Arial" w:cs="Arial"/>
          <w:color w:val="000000" w:themeColor="text1"/>
          <w:sz w:val="23"/>
          <w:szCs w:val="23"/>
        </w:rPr>
      </w:pPr>
      <w:r w:rsidRPr="000E77FD">
        <w:rPr>
          <w:rFonts w:ascii="Arial" w:hAnsi="Arial" w:cs="Arial"/>
          <w:sz w:val="23"/>
          <w:szCs w:val="23"/>
        </w:rPr>
        <w:t>This section provides analysis and insights on key Outcome Indicators for t</w:t>
      </w:r>
      <w:r w:rsidRPr="00251A46">
        <w:rPr>
          <w:rFonts w:ascii="Arial" w:hAnsi="Arial" w:cs="Arial"/>
          <w:color w:val="000000" w:themeColor="text1"/>
          <w:sz w:val="23"/>
          <w:szCs w:val="23"/>
        </w:rPr>
        <w:t>his State Outcome.</w:t>
      </w:r>
    </w:p>
    <w:p w14:paraId="2CA8853E" w14:textId="77777777" w:rsidR="005C4FBC" w:rsidRPr="00750B13" w:rsidRDefault="005C4FBC" w:rsidP="000E4E94">
      <w:pPr>
        <w:keepNext/>
        <w:widowControl w:val="0"/>
        <w:spacing w:before="320" w:after="120" w:line="320" w:lineRule="exact"/>
        <w:outlineLvl w:val="3"/>
        <w:rPr>
          <w:rFonts w:ascii="Arial Bold" w:eastAsia="Calibri" w:hAnsi="Arial Bold"/>
          <w:b/>
          <w:color w:val="000000" w:themeColor="text1"/>
          <w:kern w:val="28"/>
          <w:sz w:val="25"/>
          <w:szCs w:val="36"/>
          <w:lang w:eastAsia="zh-TW"/>
        </w:rPr>
      </w:pPr>
      <w:bookmarkStart w:id="6" w:name="_Toc516321120"/>
      <w:r w:rsidRPr="00770E82">
        <w:rPr>
          <w:rFonts w:ascii="Arial Bold" w:hAnsi="Arial Bold"/>
          <w:b/>
          <w:color w:val="00426F"/>
          <w:kern w:val="28"/>
          <w:sz w:val="25"/>
          <w:szCs w:val="36"/>
          <w:lang w:eastAsia="zh-TW"/>
        </w:rPr>
        <w:t>Energy as a proportion of the average household cost of living</w:t>
      </w:r>
    </w:p>
    <w:p w14:paraId="4EE2230A" w14:textId="5D46169C" w:rsidR="005C4FBC" w:rsidRDefault="005C4FBC" w:rsidP="000E4E94">
      <w:pPr>
        <w:pStyle w:val="BodyText"/>
        <w:rPr>
          <w:noProof/>
          <w:lang w:eastAsia="x-none"/>
        </w:rPr>
      </w:pPr>
      <w:r w:rsidRPr="18E982C6">
        <w:t xml:space="preserve">This indicator </w:t>
      </w:r>
      <w:r w:rsidR="009556EB">
        <w:t>measur</w:t>
      </w:r>
      <w:r w:rsidRPr="18E982C6">
        <w:t xml:space="preserve">es </w:t>
      </w:r>
      <w:r w:rsidRPr="00CF3A43">
        <w:rPr>
          <w:color w:val="000000" w:themeColor="text1"/>
        </w:rPr>
        <w:t>low and average</w:t>
      </w:r>
      <w:r w:rsidR="007B70FC">
        <w:rPr>
          <w:color w:val="000000" w:themeColor="text1"/>
        </w:rPr>
        <w:t>-</w:t>
      </w:r>
      <w:r w:rsidRPr="00CF3A43">
        <w:rPr>
          <w:color w:val="000000" w:themeColor="text1"/>
        </w:rPr>
        <w:t>income</w:t>
      </w:r>
      <w:r w:rsidRPr="00CF3A43">
        <w:rPr>
          <w:noProof/>
        </w:rPr>
        <w:t xml:space="preserve"> household</w:t>
      </w:r>
      <w:r w:rsidRPr="00CF3A43">
        <w:t xml:space="preserve"> </w:t>
      </w:r>
      <w:r w:rsidRPr="00CF3A43">
        <w:rPr>
          <w:noProof/>
        </w:rPr>
        <w:t>electricity bill</w:t>
      </w:r>
      <w:r w:rsidR="00956BBD" w:rsidRPr="00CF3A43">
        <w:t>s</w:t>
      </w:r>
      <w:r w:rsidRPr="00CF3A43">
        <w:rPr>
          <w:noProof/>
        </w:rPr>
        <w:t xml:space="preserve"> as a proportion of the household’s disposable income. The NSW Government’s energy efficiency programs, energy rebates and </w:t>
      </w:r>
      <w:r w:rsidR="0028682C">
        <w:rPr>
          <w:noProof/>
        </w:rPr>
        <w:t xml:space="preserve">the </w:t>
      </w:r>
      <w:r w:rsidR="00166C68" w:rsidRPr="0007227D">
        <w:rPr>
          <w:i/>
          <w:iCs/>
          <w:noProof/>
        </w:rPr>
        <w:t>E</w:t>
      </w:r>
      <w:r w:rsidR="0028682C" w:rsidRPr="0007227D">
        <w:rPr>
          <w:i/>
          <w:iCs/>
          <w:noProof/>
        </w:rPr>
        <w:t>lectricity</w:t>
      </w:r>
      <w:r w:rsidR="00166C68" w:rsidRPr="0007227D">
        <w:rPr>
          <w:i/>
          <w:iCs/>
          <w:noProof/>
        </w:rPr>
        <w:t xml:space="preserve"> Infrastructure Roadmap</w:t>
      </w:r>
      <w:r w:rsidRPr="00CF3A43">
        <w:rPr>
          <w:noProof/>
        </w:rPr>
        <w:t xml:space="preserve"> </w:t>
      </w:r>
      <w:r w:rsidR="00077BF7" w:rsidRPr="00CF3A43">
        <w:t xml:space="preserve">seek </w:t>
      </w:r>
      <w:r w:rsidRPr="00CF3A43">
        <w:t>to</w:t>
      </w:r>
      <w:r w:rsidRPr="18E982C6">
        <w:rPr>
          <w:noProof/>
        </w:rPr>
        <w:t xml:space="preserve"> reduce energy costs for consumers.</w:t>
      </w:r>
    </w:p>
    <w:p w14:paraId="72505134" w14:textId="3D38A461" w:rsidR="00CB78B7" w:rsidRDefault="005C4FBC" w:rsidP="00D37DD8">
      <w:pPr>
        <w:pStyle w:val="BodyText"/>
      </w:pPr>
      <w:r w:rsidRPr="65DD5D6E">
        <w:t xml:space="preserve">Performance against this </w:t>
      </w:r>
      <w:r w:rsidRPr="002D6D0F">
        <w:rPr>
          <w:noProof/>
        </w:rPr>
        <w:t>indicator has improved in the last three years</w:t>
      </w:r>
      <w:r w:rsidR="00F343AB" w:rsidRPr="002D6D0F">
        <w:rPr>
          <w:noProof/>
        </w:rPr>
        <w:t>,</w:t>
      </w:r>
      <w:r w:rsidRPr="002D6D0F">
        <w:rPr>
          <w:noProof/>
        </w:rPr>
        <w:t xml:space="preserve"> </w:t>
      </w:r>
      <w:r w:rsidR="00F343AB" w:rsidRPr="002D6D0F">
        <w:rPr>
          <w:noProof/>
        </w:rPr>
        <w:t>which means households have more money to spend on other costs of living. This is</w:t>
      </w:r>
      <w:r w:rsidRPr="002D6D0F">
        <w:rPr>
          <w:noProof/>
        </w:rPr>
        <w:t xml:space="preserve"> due to a mix of market and regulatory changes</w:t>
      </w:r>
      <w:r w:rsidR="00353AC2" w:rsidRPr="002D6D0F">
        <w:rPr>
          <w:noProof/>
        </w:rPr>
        <w:t xml:space="preserve">, especially </w:t>
      </w:r>
      <w:r w:rsidRPr="002D6D0F">
        <w:rPr>
          <w:noProof/>
        </w:rPr>
        <w:t>a reduction in the wholesale electricity</w:t>
      </w:r>
      <w:r w:rsidRPr="003C4633">
        <w:rPr>
          <w:noProof/>
        </w:rPr>
        <w:t xml:space="preserve"> cost component of retail electricity prices.</w:t>
      </w:r>
    </w:p>
    <w:p w14:paraId="63061BB2" w14:textId="77777777" w:rsidR="00936748" w:rsidRDefault="00936748">
      <w:pPr>
        <w:rPr>
          <w:rFonts w:ascii="Arial" w:eastAsiaTheme="minorHAnsi" w:hAnsi="Arial" w:cs="Arial"/>
          <w:sz w:val="23"/>
          <w:szCs w:val="23"/>
        </w:rPr>
      </w:pPr>
      <w:r>
        <w:br w:type="page"/>
      </w:r>
    </w:p>
    <w:p w14:paraId="66CAB8D2" w14:textId="34F2D5F0" w:rsidR="0854D68B" w:rsidRPr="00E763B8" w:rsidRDefault="005C4FBC" w:rsidP="008E179C">
      <w:pPr>
        <w:pStyle w:val="BodyText"/>
      </w:pPr>
      <w:r w:rsidRPr="747A2090">
        <w:lastRenderedPageBreak/>
        <w:t xml:space="preserve">Under the NSW Government’s </w:t>
      </w:r>
      <w:r w:rsidRPr="00C27E61">
        <w:rPr>
          <w:i/>
        </w:rPr>
        <w:t>Electricity Infrastructure Roadmap</w:t>
      </w:r>
      <w:r w:rsidRPr="747A2090">
        <w:rPr>
          <w:i/>
          <w:noProof/>
        </w:rPr>
        <w:t xml:space="preserve"> </w:t>
      </w:r>
      <w:r w:rsidRPr="747A2090">
        <w:rPr>
          <w:noProof/>
        </w:rPr>
        <w:t xml:space="preserve">to modernise the electricity </w:t>
      </w:r>
      <w:r w:rsidR="00D37DD8">
        <w:rPr>
          <w:noProof/>
        </w:rPr>
        <w:t>sector</w:t>
      </w:r>
      <w:r w:rsidR="007946BA">
        <w:rPr>
          <w:noProof/>
        </w:rPr>
        <w:t>,</w:t>
      </w:r>
      <w:r w:rsidRPr="747A2090">
        <w:rPr>
          <w:noProof/>
        </w:rPr>
        <w:t xml:space="preserve"> households are expected to save an average </w:t>
      </w:r>
      <w:r w:rsidRPr="747A2090">
        <w:t>of $130 annually on electricity bills</w:t>
      </w:r>
      <w:r w:rsidRPr="747A2090">
        <w:rPr>
          <w:noProof/>
        </w:rPr>
        <w:t xml:space="preserve"> between 2023 to 2040.</w:t>
      </w:r>
      <w:r w:rsidRPr="747A2090">
        <w:t xml:space="preserve"> Energy as a proportion of the average household cost of living is expected to remain stable in 2020-21 and </w:t>
      </w:r>
      <w:r w:rsidRPr="747A2090">
        <w:rPr>
          <w:noProof/>
        </w:rPr>
        <w:t>2021-22</w:t>
      </w:r>
      <w:r w:rsidR="00E21ABC">
        <w:rPr>
          <w:noProof/>
        </w:rPr>
        <w:t>.</w:t>
      </w:r>
    </w:p>
    <w:p w14:paraId="2FBF0708" w14:textId="77777777" w:rsidR="005C4FBC" w:rsidRPr="00B270F5" w:rsidRDefault="005C4FBC" w:rsidP="00CB78B7">
      <w:pPr>
        <w:pStyle w:val="Chart41"/>
      </w:pPr>
      <w:r w:rsidRPr="00034249">
        <w:t>Energy as a proportion of the average household cost of living</w:t>
      </w:r>
    </w:p>
    <w:p w14:paraId="6EC9FC88" w14:textId="5188590D" w:rsidR="005C4FBC" w:rsidRDefault="002406E3" w:rsidP="00D81E73">
      <w:pPr>
        <w:jc w:val="center"/>
        <w:rPr>
          <w:rFonts w:eastAsiaTheme="minorEastAsia"/>
        </w:rPr>
      </w:pPr>
      <w:r>
        <w:rPr>
          <w:rFonts w:eastAsiaTheme="minorEastAsia"/>
          <w:noProof/>
        </w:rPr>
        <w:drawing>
          <wp:inline distT="0" distB="0" distL="0" distR="0" wp14:anchorId="36996508" wp14:editId="7FADBAA9">
            <wp:extent cx="4761230" cy="2176145"/>
            <wp:effectExtent l="0" t="0" r="0" b="0"/>
            <wp:docPr id="6" name="Picture 6" descr="Chart 4.3: Energy as a proportion of the average household cost of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4.3: Energy as a proportion of the average household cost of li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230" cy="2176145"/>
                    </a:xfrm>
                    <a:prstGeom prst="rect">
                      <a:avLst/>
                    </a:prstGeom>
                    <a:noFill/>
                  </pic:spPr>
                </pic:pic>
              </a:graphicData>
            </a:graphic>
          </wp:inline>
        </w:drawing>
      </w:r>
    </w:p>
    <w:p w14:paraId="3EA160B2" w14:textId="77777777" w:rsidR="005C4FBC" w:rsidRPr="009E3C3B" w:rsidRDefault="005C4FBC" w:rsidP="005C4FBC">
      <w:pPr>
        <w:rPr>
          <w:rFonts w:ascii="Arial" w:eastAsiaTheme="minorEastAsia" w:hAnsi="Arial" w:cs="Arial"/>
          <w:sz w:val="17"/>
          <w:szCs w:val="17"/>
        </w:rPr>
      </w:pPr>
      <w:r w:rsidRPr="009E3C3B">
        <w:rPr>
          <w:rFonts w:ascii="Arial" w:eastAsiaTheme="minorEastAsia" w:hAnsi="Arial" w:cs="Arial"/>
          <w:sz w:val="17"/>
          <w:szCs w:val="17"/>
        </w:rPr>
        <w:t>Note</w:t>
      </w:r>
      <w:r w:rsidRPr="009E3C3B">
        <w:rPr>
          <w:rFonts w:ascii="Arial" w:eastAsiaTheme="minorEastAsia" w:hAnsi="Arial" w:cs="Arial"/>
          <w:noProof/>
          <w:sz w:val="17"/>
          <w:szCs w:val="17"/>
        </w:rPr>
        <w:t>:</w:t>
      </w:r>
      <w:r w:rsidRPr="009E3C3B">
        <w:rPr>
          <w:rFonts w:ascii="Arial" w:eastAsiaTheme="minorEastAsia" w:hAnsi="Arial" w:cs="Arial"/>
          <w:sz w:val="17"/>
          <w:szCs w:val="17"/>
        </w:rPr>
        <w:t xml:space="preserve"> 2020-21 </w:t>
      </w:r>
      <w:r w:rsidRPr="009E3C3B">
        <w:rPr>
          <w:rFonts w:ascii="Arial" w:eastAsiaTheme="minorEastAsia" w:hAnsi="Arial" w:cs="Arial"/>
          <w:noProof/>
          <w:sz w:val="17"/>
          <w:szCs w:val="17"/>
        </w:rPr>
        <w:t xml:space="preserve">actual </w:t>
      </w:r>
      <w:r w:rsidRPr="009E3C3B">
        <w:rPr>
          <w:rFonts w:ascii="Arial" w:eastAsiaTheme="minorEastAsia" w:hAnsi="Arial" w:cs="Arial"/>
          <w:sz w:val="17"/>
          <w:szCs w:val="17"/>
        </w:rPr>
        <w:t>data is not yet available, and an estimate for 2020-21 has been provided.</w:t>
      </w:r>
    </w:p>
    <w:p w14:paraId="40FBE7B6" w14:textId="77777777" w:rsidR="005C4FBC" w:rsidRPr="00750B13" w:rsidRDefault="005C4FBC" w:rsidP="005C4FBC">
      <w:pPr>
        <w:keepNext/>
        <w:widowControl w:val="0"/>
        <w:spacing w:before="320" w:after="120" w:line="240" w:lineRule="atLeast"/>
        <w:outlineLvl w:val="2"/>
        <w:rPr>
          <w:rFonts w:ascii="Arial Bold" w:eastAsia="Calibri" w:hAnsi="Arial Bold"/>
          <w:b/>
          <w:kern w:val="28"/>
          <w:sz w:val="25"/>
          <w:szCs w:val="25"/>
          <w:lang w:eastAsia="zh-TW"/>
        </w:rPr>
      </w:pPr>
      <w:bookmarkStart w:id="7" w:name="_Hlk7526001"/>
      <w:r w:rsidRPr="0454019F">
        <w:rPr>
          <w:rFonts w:ascii="Arial Bold" w:hAnsi="Arial Bold"/>
          <w:b/>
          <w:color w:val="00426F"/>
          <w:kern w:val="28"/>
          <w:sz w:val="25"/>
          <w:szCs w:val="25"/>
          <w:lang w:eastAsia="zh-TW"/>
        </w:rPr>
        <w:t>Millions of tonnes of CO</w:t>
      </w:r>
      <w:r w:rsidRPr="0042164D">
        <w:rPr>
          <w:rFonts w:ascii="Arial Bold" w:hAnsi="Arial Bold"/>
          <w:b/>
          <w:color w:val="00426F"/>
          <w:kern w:val="28"/>
          <w:sz w:val="25"/>
          <w:szCs w:val="25"/>
          <w:vertAlign w:val="subscript"/>
          <w:lang w:eastAsia="zh-TW"/>
        </w:rPr>
        <w:t>2</w:t>
      </w:r>
      <w:r w:rsidRPr="0454019F">
        <w:rPr>
          <w:rFonts w:ascii="Arial Bold" w:hAnsi="Arial Bold"/>
          <w:b/>
          <w:color w:val="00426F"/>
          <w:kern w:val="28"/>
          <w:sz w:val="25"/>
          <w:szCs w:val="25"/>
          <w:lang w:eastAsia="zh-TW"/>
        </w:rPr>
        <w:t xml:space="preserve"> equivalent emissions (MtCO</w:t>
      </w:r>
      <w:r w:rsidRPr="0042164D">
        <w:rPr>
          <w:rFonts w:ascii="Arial Bold" w:hAnsi="Arial Bold"/>
          <w:b/>
          <w:color w:val="00426F"/>
          <w:kern w:val="28"/>
          <w:sz w:val="25"/>
          <w:szCs w:val="25"/>
          <w:vertAlign w:val="subscript"/>
          <w:lang w:eastAsia="zh-TW"/>
        </w:rPr>
        <w:t>2</w:t>
      </w:r>
      <w:r w:rsidRPr="0454019F">
        <w:rPr>
          <w:rFonts w:ascii="Arial Bold" w:hAnsi="Arial Bold"/>
          <w:b/>
          <w:color w:val="00426F"/>
          <w:kern w:val="28"/>
          <w:sz w:val="25"/>
          <w:szCs w:val="25"/>
          <w:lang w:eastAsia="zh-TW"/>
        </w:rPr>
        <w:t>-e) emitted annually in New South Wales</w:t>
      </w:r>
    </w:p>
    <w:p w14:paraId="1AF4F5AE" w14:textId="77777777" w:rsidR="005C4FBC" w:rsidRPr="00750B13" w:rsidRDefault="005C4FBC" w:rsidP="001B6352">
      <w:pPr>
        <w:pStyle w:val="BodyText"/>
        <w:rPr>
          <w:rFonts w:eastAsiaTheme="minorEastAsia"/>
          <w:noProof/>
          <w:lang w:eastAsia="x-none"/>
        </w:rPr>
      </w:pPr>
      <w:r w:rsidRPr="747A2090">
        <w:t xml:space="preserve">The NSW Government’s commitment to achieve net zero emissions by 2050 is set out in the </w:t>
      </w:r>
      <w:r w:rsidRPr="00C27E61">
        <w:rPr>
          <w:rFonts w:eastAsiaTheme="minorEastAsia"/>
          <w:i/>
        </w:rPr>
        <w:t>NSW Climate Change Policy Framework</w:t>
      </w:r>
      <w:r w:rsidRPr="747A2090">
        <w:rPr>
          <w:rFonts w:eastAsiaTheme="minorEastAsia"/>
          <w:noProof/>
        </w:rPr>
        <w:t xml:space="preserve"> released in 2016. </w:t>
      </w:r>
    </w:p>
    <w:p w14:paraId="4281CF68" w14:textId="77777777" w:rsidR="005C4FBC" w:rsidRPr="00750B13" w:rsidRDefault="005C4FBC" w:rsidP="00FE4F54">
      <w:pPr>
        <w:pStyle w:val="BodyText"/>
        <w:rPr>
          <w:noProof/>
          <w:lang w:eastAsia="x-none"/>
        </w:rPr>
      </w:pPr>
      <w:r w:rsidRPr="5BD68C84">
        <w:t xml:space="preserve">This indicator </w:t>
      </w:r>
      <w:r>
        <w:rPr>
          <w:noProof/>
        </w:rPr>
        <w:t xml:space="preserve">reports </w:t>
      </w:r>
      <w:r w:rsidRPr="5BD68C84">
        <w:rPr>
          <w:noProof/>
        </w:rPr>
        <w:t xml:space="preserve">greenhouse gas emissions from all sectors of the economy and all other emitting </w:t>
      </w:r>
      <w:r>
        <w:rPr>
          <w:noProof/>
        </w:rPr>
        <w:t xml:space="preserve">and greenhouse gas sequestering </w:t>
      </w:r>
      <w:r w:rsidRPr="5BD68C84">
        <w:rPr>
          <w:noProof/>
        </w:rPr>
        <w:t>activities occurring in New</w:t>
      </w:r>
      <w:r>
        <w:rPr>
          <w:noProof/>
        </w:rPr>
        <w:t> </w:t>
      </w:r>
      <w:r w:rsidRPr="5BD68C84">
        <w:rPr>
          <w:noProof/>
        </w:rPr>
        <w:t>South</w:t>
      </w:r>
      <w:r>
        <w:rPr>
          <w:noProof/>
        </w:rPr>
        <w:t> </w:t>
      </w:r>
      <w:r w:rsidRPr="5BD68C84">
        <w:rPr>
          <w:noProof/>
        </w:rPr>
        <w:t xml:space="preserve">Wales. </w:t>
      </w:r>
    </w:p>
    <w:p w14:paraId="08FE8F4B" w14:textId="04E69F6F" w:rsidR="005C4FBC" w:rsidRPr="00750B13" w:rsidRDefault="005C4FBC" w:rsidP="008E179C">
      <w:pPr>
        <w:pStyle w:val="BodyText"/>
        <w:rPr>
          <w:noProof/>
          <w:lang w:eastAsia="x-none"/>
        </w:rPr>
      </w:pPr>
      <w:r w:rsidRPr="747A2090">
        <w:t xml:space="preserve">Performance against this indicator </w:t>
      </w:r>
      <w:r w:rsidRPr="747A2090">
        <w:rPr>
          <w:noProof/>
        </w:rPr>
        <w:t>continues to remain stable with 2019 emissions</w:t>
      </w:r>
      <w:r w:rsidR="006E38F4">
        <w:rPr>
          <w:noProof/>
        </w:rPr>
        <w:t>,</w:t>
      </w:r>
      <w:r w:rsidRPr="747A2090">
        <w:rPr>
          <w:noProof/>
        </w:rPr>
        <w:t xml:space="preserve"> 17</w:t>
      </w:r>
      <w:r w:rsidR="00CC5553">
        <w:rPr>
          <w:noProof/>
        </w:rPr>
        <w:t> </w:t>
      </w:r>
      <w:r w:rsidRPr="747A2090">
        <w:rPr>
          <w:noProof/>
        </w:rPr>
        <w:t>per</w:t>
      </w:r>
      <w:r w:rsidR="003A4283">
        <w:rPr>
          <w:noProof/>
        </w:rPr>
        <w:t> </w:t>
      </w:r>
      <w:r w:rsidRPr="747A2090">
        <w:rPr>
          <w:noProof/>
        </w:rPr>
        <w:t xml:space="preserve">cent lower than 2005 levels. The </w:t>
      </w:r>
      <w:r w:rsidRPr="00C27E61">
        <w:rPr>
          <w:i/>
        </w:rPr>
        <w:t>Net Zero Plan Stage 1: 2020-2030</w:t>
      </w:r>
      <w:r w:rsidRPr="747A2090">
        <w:rPr>
          <w:noProof/>
        </w:rPr>
        <w:t xml:space="preserve"> sets out the NSW Government’s plan to reduce emissions by 35 per cent by 2030 compared to 2005 levels, and ultimately aims to achieve net zero emissions in ways that grow the economy </w:t>
      </w:r>
      <w:r w:rsidR="00D37DD8">
        <w:rPr>
          <w:noProof/>
        </w:rPr>
        <w:t>and</w:t>
      </w:r>
      <w:r w:rsidR="00D37DD8" w:rsidRPr="747A2090">
        <w:rPr>
          <w:noProof/>
        </w:rPr>
        <w:t xml:space="preserve"> </w:t>
      </w:r>
      <w:r w:rsidRPr="747A2090">
        <w:rPr>
          <w:noProof/>
        </w:rPr>
        <w:t xml:space="preserve">reduce the cost of living and doing business. </w:t>
      </w:r>
    </w:p>
    <w:p w14:paraId="28CBE0CD" w14:textId="77777777" w:rsidR="005C4FBC" w:rsidRDefault="005C4FBC" w:rsidP="008E179C">
      <w:pPr>
        <w:pStyle w:val="BodyText"/>
        <w:rPr>
          <w:noProof/>
        </w:rPr>
      </w:pPr>
      <w:r w:rsidRPr="705D6A5A">
        <w:t xml:space="preserve">The NSW Government has committed </w:t>
      </w:r>
      <w:r w:rsidRPr="008018D0">
        <w:t>$1.2 billion</w:t>
      </w:r>
      <w:r w:rsidRPr="705D6A5A">
        <w:rPr>
          <w:noProof/>
        </w:rPr>
        <w:t xml:space="preserve"> from 2020-21 to 2029-30 to support programs under the </w:t>
      </w:r>
      <w:r w:rsidRPr="00C55C49">
        <w:rPr>
          <w:i/>
        </w:rPr>
        <w:t>Net Zero Plan Stage 1: 2020-2030</w:t>
      </w:r>
      <w:r w:rsidRPr="705D6A5A">
        <w:rPr>
          <w:noProof/>
        </w:rPr>
        <w:t xml:space="preserve">. Further detailed plans will be developed over the next two decades to ensure net zero emissions are achieved by 2050.  </w:t>
      </w:r>
    </w:p>
    <w:p w14:paraId="307BE6ED" w14:textId="4B7291AA" w:rsidR="005C4FBC" w:rsidRPr="003849EF" w:rsidRDefault="005C4FBC" w:rsidP="00D81E73">
      <w:pPr>
        <w:pStyle w:val="Chart41"/>
        <w:spacing w:before="240"/>
      </w:pPr>
      <w:r w:rsidRPr="003849EF">
        <w:t>Millions of tonnes of CO</w:t>
      </w:r>
      <w:r w:rsidRPr="00F80D5B">
        <w:rPr>
          <w:vertAlign w:val="subscript"/>
        </w:rPr>
        <w:t>2</w:t>
      </w:r>
      <w:r w:rsidRPr="003849EF">
        <w:t xml:space="preserve"> equivalent emissions (MtCO</w:t>
      </w:r>
      <w:r w:rsidRPr="00F80D5B">
        <w:rPr>
          <w:vertAlign w:val="subscript"/>
        </w:rPr>
        <w:t>2</w:t>
      </w:r>
      <w:r w:rsidRPr="003849EF">
        <w:t>-e) emitted annually in NSW</w:t>
      </w:r>
    </w:p>
    <w:p w14:paraId="51CD98B9" w14:textId="7DFEEF5B" w:rsidR="005C4FBC" w:rsidRDefault="000069F7" w:rsidP="00D81E73">
      <w:pPr>
        <w:jc w:val="center"/>
        <w:rPr>
          <w:lang w:eastAsia="zh-TW"/>
        </w:rPr>
      </w:pPr>
      <w:r>
        <w:rPr>
          <w:noProof/>
          <w:lang w:eastAsia="zh-TW"/>
        </w:rPr>
        <w:drawing>
          <wp:inline distT="0" distB="0" distL="0" distR="0" wp14:anchorId="304FC339" wp14:editId="43E6D3A3">
            <wp:extent cx="4712335" cy="2341245"/>
            <wp:effectExtent l="0" t="0" r="0" b="0"/>
            <wp:docPr id="9" name="Picture 9" descr="Chart 4.4: Millions of tonnes of CO2 equivalent emissions (MtCO2-e) emitted annually in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4.4: Millions of tonnes of CO2 equivalent emissions (MtCO2-e) emitted annually in NS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79A4B1B0" w14:textId="1B76A1C8" w:rsidR="0007227D" w:rsidRDefault="005C4FBC" w:rsidP="00D81E73">
      <w:pPr>
        <w:spacing w:before="160" w:after="100" w:line="240" w:lineRule="atLeast"/>
        <w:rPr>
          <w:rFonts w:ascii="Arial" w:eastAsiaTheme="minorEastAsia" w:hAnsi="Arial" w:cs="Arial"/>
          <w:sz w:val="17"/>
          <w:szCs w:val="17"/>
        </w:rPr>
      </w:pPr>
      <w:r w:rsidRPr="009209FB">
        <w:rPr>
          <w:rFonts w:ascii="Arial" w:eastAsiaTheme="minorEastAsia" w:hAnsi="Arial" w:cs="Arial"/>
          <w:sz w:val="17"/>
          <w:szCs w:val="17"/>
        </w:rPr>
        <w:t>Note: 2020-21 actual data is not yet available, and an estimate for 2020-21 has been provided.</w:t>
      </w:r>
      <w:r w:rsidR="0007227D">
        <w:rPr>
          <w:rFonts w:ascii="Arial" w:eastAsiaTheme="minorEastAsia" w:hAnsi="Arial" w:cs="Arial"/>
          <w:sz w:val="17"/>
          <w:szCs w:val="17"/>
        </w:rPr>
        <w:br w:type="page"/>
      </w:r>
    </w:p>
    <w:p w14:paraId="2087D858" w14:textId="77777777" w:rsidR="005C4FBC" w:rsidRPr="0019453C" w:rsidRDefault="005C4FBC" w:rsidP="005C4FBC">
      <w:pPr>
        <w:keepNext/>
        <w:widowControl w:val="0"/>
        <w:spacing w:before="320" w:after="120" w:line="240" w:lineRule="atLeast"/>
        <w:outlineLvl w:val="2"/>
        <w:rPr>
          <w:rFonts w:ascii="Arial Bold" w:eastAsia="Calibri" w:hAnsi="Arial Bold"/>
          <w:b/>
          <w:color w:val="00426F"/>
          <w:kern w:val="28"/>
          <w:sz w:val="25"/>
          <w:szCs w:val="25"/>
          <w:lang w:eastAsia="zh-TW"/>
        </w:rPr>
      </w:pPr>
      <w:r w:rsidRPr="0019453C">
        <w:rPr>
          <w:rFonts w:ascii="Arial Bold" w:eastAsia="Calibri" w:hAnsi="Arial Bold"/>
          <w:b/>
          <w:color w:val="00426F"/>
          <w:kern w:val="28"/>
          <w:sz w:val="25"/>
          <w:szCs w:val="25"/>
          <w:lang w:eastAsia="zh-TW"/>
        </w:rPr>
        <w:lastRenderedPageBreak/>
        <w:t>Number of threatened species and ecological communities on track to be secure in the wild</w:t>
      </w:r>
    </w:p>
    <w:p w14:paraId="168371ED" w14:textId="6AA0BC7E" w:rsidR="005C4FBC" w:rsidRPr="00305B57" w:rsidRDefault="005C4FBC" w:rsidP="000E77FD">
      <w:pPr>
        <w:pStyle w:val="BodyText"/>
        <w:rPr>
          <w:rFonts w:eastAsiaTheme="minorEastAsia"/>
          <w:noProof/>
        </w:rPr>
      </w:pPr>
      <w:r w:rsidRPr="00305B57">
        <w:t xml:space="preserve">Saving our Species is the NSW Government’s flagship program for threatened species conservation which aims to secure threatened species in the wild and control key threats facing threatened plants and animals. </w:t>
      </w:r>
    </w:p>
    <w:p w14:paraId="4BB64F4A" w14:textId="32AFFDF4" w:rsidR="005C4FBC" w:rsidRPr="00305B57" w:rsidRDefault="005C4FBC" w:rsidP="009F5B52">
      <w:pPr>
        <w:pStyle w:val="BodyText"/>
        <w:rPr>
          <w:rFonts w:eastAsiaTheme="minorEastAsia"/>
          <w:noProof/>
        </w:rPr>
      </w:pPr>
      <w:r w:rsidRPr="705D6A5A">
        <w:t xml:space="preserve">Through investment of </w:t>
      </w:r>
      <w:r w:rsidRPr="00C27E61">
        <w:t>$100.0 million</w:t>
      </w:r>
      <w:r w:rsidRPr="705D6A5A">
        <w:t xml:space="preserve"> from 2016-17 to 2020-21, the number of threatened species and threatened ecological communities under active management has risen from 94, to over 400 species at </w:t>
      </w:r>
      <w:r w:rsidRPr="705D6A5A">
        <w:rPr>
          <w:noProof/>
        </w:rPr>
        <w:t>1</w:t>
      </w:r>
      <w:r>
        <w:rPr>
          <w:noProof/>
        </w:rPr>
        <w:t>,</w:t>
      </w:r>
      <w:r w:rsidRPr="705D6A5A">
        <w:rPr>
          <w:noProof/>
        </w:rPr>
        <w:t>050</w:t>
      </w:r>
      <w:r w:rsidRPr="705D6A5A">
        <w:t xml:space="preserve"> sites, a 400 per cent increase since the </w:t>
      </w:r>
      <w:r w:rsidRPr="705D6A5A">
        <w:rPr>
          <w:rFonts w:eastAsiaTheme="minorEastAsia"/>
          <w:noProof/>
        </w:rPr>
        <w:t>2015-16 baseline. The program now has over 220 partners working with the NSW Government to co-invest time and resources into species conservation.</w:t>
      </w:r>
      <w:r>
        <w:rPr>
          <w:rFonts w:eastAsiaTheme="minorEastAsia"/>
          <w:noProof/>
        </w:rPr>
        <w:t xml:space="preserve"> </w:t>
      </w:r>
      <w:r w:rsidR="00484277" w:rsidRPr="00816203">
        <w:rPr>
          <w:rFonts w:eastAsiaTheme="minorEastAsia"/>
          <w:noProof/>
        </w:rPr>
        <w:t>T</w:t>
      </w:r>
      <w:r w:rsidRPr="00816203">
        <w:rPr>
          <w:rFonts w:eastAsiaTheme="minorEastAsia"/>
          <w:noProof/>
        </w:rPr>
        <w:t xml:space="preserve">here has been a </w:t>
      </w:r>
      <w:r w:rsidR="00A97638" w:rsidRPr="00816203">
        <w:rPr>
          <w:rFonts w:eastAsiaTheme="minorEastAsia"/>
          <w:noProof/>
        </w:rPr>
        <w:t>decrease</w:t>
      </w:r>
      <w:r w:rsidR="00A97638" w:rsidRPr="705D6A5A">
        <w:rPr>
          <w:rFonts w:eastAsiaTheme="minorEastAsia"/>
          <w:noProof/>
        </w:rPr>
        <w:t xml:space="preserve"> </w:t>
      </w:r>
      <w:r w:rsidRPr="705D6A5A">
        <w:rPr>
          <w:rFonts w:eastAsiaTheme="minorEastAsia"/>
          <w:noProof/>
        </w:rPr>
        <w:t>in threatened species and ecolog</w:t>
      </w:r>
      <w:r>
        <w:rPr>
          <w:rFonts w:eastAsiaTheme="minorEastAsia"/>
          <w:noProof/>
        </w:rPr>
        <w:t>i</w:t>
      </w:r>
      <w:r w:rsidRPr="705D6A5A">
        <w:rPr>
          <w:rFonts w:eastAsiaTheme="minorEastAsia"/>
          <w:noProof/>
        </w:rPr>
        <w:t>cal communities secu</w:t>
      </w:r>
      <w:r>
        <w:rPr>
          <w:rFonts w:eastAsiaTheme="minorEastAsia"/>
          <w:noProof/>
        </w:rPr>
        <w:t xml:space="preserve">rity </w:t>
      </w:r>
      <w:r w:rsidRPr="705D6A5A">
        <w:rPr>
          <w:rFonts w:eastAsiaTheme="minorEastAsia"/>
          <w:noProof/>
        </w:rPr>
        <w:t>as a result of the drought and 2019</w:t>
      </w:r>
      <w:r>
        <w:rPr>
          <w:rFonts w:eastAsiaTheme="minorEastAsia"/>
          <w:noProof/>
        </w:rPr>
        <w:t>-</w:t>
      </w:r>
      <w:r w:rsidRPr="705D6A5A">
        <w:rPr>
          <w:rFonts w:eastAsiaTheme="minorEastAsia"/>
          <w:noProof/>
        </w:rPr>
        <w:t xml:space="preserve">20 bushfires as reflected in the graph below. </w:t>
      </w:r>
    </w:p>
    <w:p w14:paraId="2C0C9A95" w14:textId="30136A6C" w:rsidR="005C4FBC" w:rsidRPr="001F1141" w:rsidRDefault="005C4FBC" w:rsidP="008E179C">
      <w:pPr>
        <w:pStyle w:val="BodyText"/>
      </w:pPr>
      <w:r w:rsidRPr="705D6A5A">
        <w:t xml:space="preserve">There are roughly 270 species on track to be secure in the long term and this will increase as program outcomes continue to turn around the decline of threatened species and communities over time. </w:t>
      </w:r>
    </w:p>
    <w:p w14:paraId="7A9311A7" w14:textId="01705681" w:rsidR="005C4FBC" w:rsidRPr="00F7584A" w:rsidRDefault="005C4FBC" w:rsidP="00CB78B7">
      <w:pPr>
        <w:pStyle w:val="Chart41"/>
      </w:pPr>
      <w:r w:rsidRPr="00951DA3">
        <w:t xml:space="preserve">Number </w:t>
      </w:r>
      <w:r w:rsidR="007D206A">
        <w:t xml:space="preserve">of </w:t>
      </w:r>
      <w:r w:rsidRPr="00951DA3">
        <w:t>threatened species and ecological communities on track to be secure in the wild</w:t>
      </w:r>
    </w:p>
    <w:p w14:paraId="339ED1E8" w14:textId="0F9E6C69" w:rsidR="005C4FBC" w:rsidRDefault="00515504" w:rsidP="005C4FBC">
      <w:pPr>
        <w:jc w:val="center"/>
        <w:rPr>
          <w:rFonts w:cs="Arial"/>
        </w:rPr>
      </w:pPr>
      <w:r>
        <w:rPr>
          <w:rFonts w:cs="Arial"/>
          <w:noProof/>
        </w:rPr>
        <w:drawing>
          <wp:inline distT="0" distB="0" distL="0" distR="0" wp14:anchorId="3E003543" wp14:editId="3BC971BA">
            <wp:extent cx="4712335" cy="2341245"/>
            <wp:effectExtent l="0" t="0" r="0" b="0"/>
            <wp:docPr id="16" name="Picture 16" descr="Chart 4.5: Number threatened species and ecological communities on track to be secure in the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4.5: Number threatened species and ecological communities on track to be secure in the wi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1533CCB1" w14:textId="77777777" w:rsidR="00CB78B7" w:rsidRPr="00CB78B7" w:rsidRDefault="00CB78B7" w:rsidP="005C4FBC">
      <w:pPr>
        <w:rPr>
          <w:rFonts w:ascii="Arial" w:eastAsiaTheme="minorEastAsia" w:hAnsi="Arial" w:cs="Arial"/>
          <w:sz w:val="6"/>
          <w:szCs w:val="6"/>
        </w:rPr>
      </w:pPr>
    </w:p>
    <w:p w14:paraId="1D71BD8E" w14:textId="30786126" w:rsidR="005C4FBC" w:rsidRPr="005C48EF" w:rsidRDefault="005C4FBC" w:rsidP="005C4FBC">
      <w:pPr>
        <w:rPr>
          <w:rFonts w:ascii="Arial" w:eastAsiaTheme="minorEastAsia" w:hAnsi="Arial" w:cs="Arial"/>
          <w:sz w:val="17"/>
          <w:szCs w:val="17"/>
        </w:rPr>
      </w:pPr>
      <w:r w:rsidRPr="005C48EF">
        <w:rPr>
          <w:rFonts w:ascii="Arial" w:eastAsiaTheme="minorEastAsia" w:hAnsi="Arial" w:cs="Arial"/>
          <w:sz w:val="17"/>
          <w:szCs w:val="17"/>
        </w:rPr>
        <w:t>Note</w:t>
      </w:r>
      <w:r w:rsidRPr="005C48EF">
        <w:rPr>
          <w:rFonts w:ascii="Arial" w:eastAsiaTheme="minorEastAsia" w:hAnsi="Arial" w:cs="Arial"/>
          <w:noProof/>
          <w:sz w:val="17"/>
          <w:szCs w:val="17"/>
        </w:rPr>
        <w:t>:</w:t>
      </w:r>
      <w:r w:rsidRPr="005C48EF">
        <w:rPr>
          <w:rFonts w:ascii="Arial" w:eastAsiaTheme="minorEastAsia" w:hAnsi="Arial" w:cs="Arial"/>
          <w:sz w:val="17"/>
          <w:szCs w:val="17"/>
        </w:rPr>
        <w:t xml:space="preserve"> 2020-21 </w:t>
      </w:r>
      <w:r w:rsidRPr="005C48EF">
        <w:rPr>
          <w:rFonts w:ascii="Arial" w:eastAsiaTheme="minorEastAsia" w:hAnsi="Arial" w:cs="Arial"/>
          <w:noProof/>
          <w:sz w:val="17"/>
          <w:szCs w:val="17"/>
        </w:rPr>
        <w:t xml:space="preserve">actual </w:t>
      </w:r>
      <w:r w:rsidRPr="005C48EF">
        <w:rPr>
          <w:rFonts w:ascii="Arial" w:eastAsiaTheme="minorEastAsia" w:hAnsi="Arial" w:cs="Arial"/>
          <w:sz w:val="17"/>
          <w:szCs w:val="17"/>
        </w:rPr>
        <w:t>data is not yet available, and an estimate for 2020-21 has been provided.</w:t>
      </w:r>
    </w:p>
    <w:p w14:paraId="4A8BFEF8" w14:textId="77777777" w:rsidR="0092578A" w:rsidRDefault="0092578A">
      <w:pPr>
        <w:rPr>
          <w:rFonts w:ascii="Arial" w:eastAsiaTheme="majorEastAsia" w:hAnsi="Arial" w:cs="Arial"/>
          <w:b/>
          <w:kern w:val="28"/>
          <w:sz w:val="27"/>
          <w:szCs w:val="36"/>
        </w:rPr>
      </w:pPr>
      <w:r>
        <w:rPr>
          <w:rFonts w:cs="Arial"/>
        </w:rPr>
        <w:br w:type="page"/>
      </w:r>
    </w:p>
    <w:p w14:paraId="6592F7E8" w14:textId="12290405" w:rsidR="00331ACA" w:rsidRPr="00DC4A6C" w:rsidRDefault="00ED0897" w:rsidP="00DD5F97">
      <w:pPr>
        <w:pStyle w:val="Heading3"/>
        <w:rPr>
          <w:rFonts w:cs="Arial"/>
        </w:rPr>
      </w:pPr>
      <w:r>
        <w:rPr>
          <w:rFonts w:cs="Arial"/>
        </w:rPr>
        <w:lastRenderedPageBreak/>
        <w:t>P</w:t>
      </w:r>
      <w:r w:rsidR="00E633CC">
        <w:rPr>
          <w:rFonts w:cs="Arial"/>
        </w:rPr>
        <w:t xml:space="preserve">erformance indicators for this </w:t>
      </w:r>
      <w:r>
        <w:rPr>
          <w:rFonts w:cs="Arial"/>
        </w:rPr>
        <w:t>O</w:t>
      </w:r>
      <w:r w:rsidR="00E633CC">
        <w:rPr>
          <w:rFonts w:cs="Arial"/>
        </w:rPr>
        <w:t>utcome</w:t>
      </w:r>
      <w:bookmarkEnd w:id="6"/>
      <w:bookmarkEnd w:id="7"/>
    </w:p>
    <w:tbl>
      <w:tblPr>
        <w:tblW w:w="9656" w:type="dxa"/>
        <w:tblLook w:val="04A0" w:firstRow="1" w:lastRow="0" w:firstColumn="1" w:lastColumn="0" w:noHBand="0" w:noVBand="1"/>
        <w:tblCaption w:val="Performance indicators for this Outcome"/>
        <w:tblDescription w:val="Performance indicators for this Outcome"/>
      </w:tblPr>
      <w:tblGrid>
        <w:gridCol w:w="6537"/>
        <w:gridCol w:w="737"/>
        <w:gridCol w:w="1191"/>
        <w:gridCol w:w="1191"/>
      </w:tblGrid>
      <w:tr w:rsidR="005C4FBC" w:rsidRPr="00CA093C" w14:paraId="66803A5E" w14:textId="77777777" w:rsidTr="007B52F1">
        <w:trPr>
          <w:trHeight w:val="283"/>
        </w:trPr>
        <w:tc>
          <w:tcPr>
            <w:tcW w:w="6537" w:type="dxa"/>
            <w:vMerge w:val="restart"/>
            <w:tcBorders>
              <w:top w:val="nil"/>
              <w:left w:val="nil"/>
              <w:bottom w:val="nil"/>
              <w:right w:val="nil"/>
            </w:tcBorders>
            <w:shd w:val="clear" w:color="auto" w:fill="008EBA"/>
            <w:noWrap/>
            <w:vAlign w:val="center"/>
            <w:hideMark/>
          </w:tcPr>
          <w:p w14:paraId="72DEBB79" w14:textId="77777777" w:rsidR="005C4FBC" w:rsidRPr="00416D05" w:rsidRDefault="005C4FBC" w:rsidP="00DD5F97">
            <w:pPr>
              <w:keepNext/>
              <w:rPr>
                <w:rFonts w:ascii="Arial" w:hAnsi="Arial"/>
                <w:b/>
                <w:color w:val="FFFFFF" w:themeColor="background1"/>
                <w:sz w:val="18"/>
                <w:szCs w:val="18"/>
                <w:lang w:eastAsia="en-AU"/>
              </w:rPr>
            </w:pPr>
            <w:r w:rsidRPr="00416D05">
              <w:rPr>
                <w:rFonts w:ascii="Arial" w:hAnsi="Arial"/>
                <w:b/>
                <w:color w:val="FFFFFF" w:themeColor="background1"/>
                <w:sz w:val="18"/>
                <w:szCs w:val="18"/>
                <w:lang w:eastAsia="en-AU"/>
              </w:rPr>
              <w:t>Outcome Indicators</w:t>
            </w:r>
          </w:p>
        </w:tc>
        <w:tc>
          <w:tcPr>
            <w:tcW w:w="737" w:type="dxa"/>
            <w:vMerge w:val="restart"/>
            <w:tcBorders>
              <w:top w:val="nil"/>
              <w:left w:val="nil"/>
              <w:bottom w:val="nil"/>
              <w:right w:val="nil"/>
            </w:tcBorders>
            <w:shd w:val="clear" w:color="auto" w:fill="008EBA"/>
            <w:noWrap/>
            <w:vAlign w:val="center"/>
            <w:hideMark/>
          </w:tcPr>
          <w:p w14:paraId="65CB0DDC" w14:textId="77777777" w:rsidR="005C4FBC" w:rsidRPr="00416D05" w:rsidRDefault="005C4FBC" w:rsidP="00721217">
            <w:pPr>
              <w:keepNext/>
              <w:rPr>
                <w:rFonts w:ascii="Arial" w:hAnsi="Arial"/>
                <w:b/>
                <w:color w:val="FFFFFF" w:themeColor="background1"/>
                <w:sz w:val="18"/>
                <w:szCs w:val="18"/>
                <w:lang w:eastAsia="en-AU"/>
              </w:rPr>
            </w:pPr>
            <w:r w:rsidRPr="00416D05">
              <w:rPr>
                <w:rFonts w:ascii="Arial" w:hAnsi="Arial"/>
                <w:b/>
                <w:color w:val="FFFFFF" w:themeColor="background1"/>
                <w:sz w:val="18"/>
                <w:szCs w:val="18"/>
                <w:lang w:eastAsia="en-AU"/>
              </w:rPr>
              <w:t>Units</w:t>
            </w:r>
          </w:p>
        </w:tc>
        <w:tc>
          <w:tcPr>
            <w:tcW w:w="1191" w:type="dxa"/>
            <w:tcBorders>
              <w:top w:val="nil"/>
              <w:left w:val="nil"/>
              <w:bottom w:val="nil"/>
              <w:right w:val="nil"/>
            </w:tcBorders>
            <w:shd w:val="clear" w:color="auto" w:fill="008EBA"/>
            <w:noWrap/>
            <w:vAlign w:val="bottom"/>
            <w:hideMark/>
          </w:tcPr>
          <w:p w14:paraId="39DFA955" w14:textId="77777777" w:rsidR="005C4FBC" w:rsidRPr="00416D05" w:rsidRDefault="005C4FBC" w:rsidP="00FD7EB6">
            <w:pPr>
              <w:keepNext/>
              <w:jc w:val="center"/>
              <w:rPr>
                <w:rFonts w:ascii="Arial" w:hAnsi="Arial"/>
                <w:b/>
                <w:color w:val="FFFFFF" w:themeColor="background1"/>
                <w:sz w:val="18"/>
                <w:szCs w:val="18"/>
                <w:lang w:eastAsia="en-AU"/>
              </w:rPr>
            </w:pPr>
            <w:r w:rsidRPr="00416D05">
              <w:rPr>
                <w:rFonts w:ascii="Arial" w:hAnsi="Arial"/>
                <w:b/>
                <w:color w:val="FFFFFF" w:themeColor="background1"/>
                <w:sz w:val="18"/>
                <w:szCs w:val="18"/>
                <w:lang w:eastAsia="en-AU"/>
              </w:rPr>
              <w:t>2020-21</w:t>
            </w:r>
          </w:p>
        </w:tc>
        <w:tc>
          <w:tcPr>
            <w:tcW w:w="1191" w:type="dxa"/>
            <w:tcBorders>
              <w:top w:val="nil"/>
              <w:left w:val="nil"/>
              <w:bottom w:val="nil"/>
              <w:right w:val="nil"/>
            </w:tcBorders>
            <w:shd w:val="clear" w:color="auto" w:fill="008EBA"/>
            <w:noWrap/>
            <w:vAlign w:val="bottom"/>
            <w:hideMark/>
          </w:tcPr>
          <w:p w14:paraId="546FF7BF" w14:textId="77777777" w:rsidR="005C4FBC" w:rsidRPr="00416D05" w:rsidRDefault="005C4FBC" w:rsidP="00DA2DC0">
            <w:pPr>
              <w:keepNext/>
              <w:jc w:val="center"/>
              <w:rPr>
                <w:rFonts w:ascii="Arial" w:hAnsi="Arial"/>
                <w:b/>
                <w:color w:val="FFFFFF" w:themeColor="background1"/>
                <w:sz w:val="18"/>
                <w:szCs w:val="18"/>
                <w:lang w:eastAsia="en-AU"/>
              </w:rPr>
            </w:pPr>
            <w:r w:rsidRPr="00416D05">
              <w:rPr>
                <w:rFonts w:ascii="Arial" w:hAnsi="Arial"/>
                <w:b/>
                <w:color w:val="FFFFFF" w:themeColor="background1"/>
                <w:sz w:val="18"/>
                <w:szCs w:val="18"/>
                <w:lang w:eastAsia="en-AU"/>
              </w:rPr>
              <w:t>2021-22</w:t>
            </w:r>
          </w:p>
        </w:tc>
      </w:tr>
      <w:tr w:rsidR="005C4FBC" w:rsidRPr="00CA093C" w14:paraId="52945507" w14:textId="77777777" w:rsidTr="217F5E81">
        <w:trPr>
          <w:trHeight w:val="283"/>
        </w:trPr>
        <w:tc>
          <w:tcPr>
            <w:tcW w:w="6537" w:type="dxa"/>
            <w:vMerge/>
            <w:vAlign w:val="center"/>
            <w:hideMark/>
          </w:tcPr>
          <w:p w14:paraId="604C1C23" w14:textId="77777777" w:rsidR="005C4FBC" w:rsidRPr="00416D05" w:rsidRDefault="005C4FBC" w:rsidP="00816203">
            <w:pPr>
              <w:keepNext/>
              <w:rPr>
                <w:rFonts w:ascii="Arial" w:hAnsi="Arial" w:cs="Arial"/>
                <w:b/>
                <w:color w:val="FFFFFF" w:themeColor="background1"/>
                <w:sz w:val="18"/>
                <w:szCs w:val="18"/>
                <w:lang w:eastAsia="en-AU"/>
              </w:rPr>
            </w:pPr>
          </w:p>
        </w:tc>
        <w:tc>
          <w:tcPr>
            <w:tcW w:w="737" w:type="dxa"/>
            <w:vMerge/>
            <w:vAlign w:val="center"/>
            <w:hideMark/>
          </w:tcPr>
          <w:p w14:paraId="62E04B72" w14:textId="77777777" w:rsidR="005C4FBC" w:rsidRPr="00416D05" w:rsidRDefault="005C4FBC" w:rsidP="00816203">
            <w:pPr>
              <w:keepNext/>
              <w:rPr>
                <w:rFonts w:ascii="Arial" w:hAnsi="Arial" w:cs="Arial"/>
                <w:b/>
                <w:color w:val="FFFFFF" w:themeColor="background1"/>
                <w:sz w:val="18"/>
                <w:szCs w:val="18"/>
                <w:lang w:eastAsia="en-AU"/>
              </w:rPr>
            </w:pPr>
          </w:p>
        </w:tc>
        <w:tc>
          <w:tcPr>
            <w:tcW w:w="1191" w:type="dxa"/>
            <w:tcBorders>
              <w:top w:val="nil"/>
              <w:left w:val="nil"/>
              <w:bottom w:val="nil"/>
              <w:right w:val="nil"/>
            </w:tcBorders>
            <w:shd w:val="clear" w:color="auto" w:fill="008EBA"/>
            <w:noWrap/>
            <w:hideMark/>
          </w:tcPr>
          <w:p w14:paraId="51BB415C" w14:textId="77777777" w:rsidR="005C4FBC" w:rsidRPr="00416D05" w:rsidRDefault="005C4FBC" w:rsidP="00816203">
            <w:pPr>
              <w:keepNext/>
              <w:jc w:val="center"/>
              <w:rPr>
                <w:rFonts w:ascii="Arial" w:hAnsi="Arial"/>
                <w:b/>
                <w:color w:val="FFFFFF" w:themeColor="background1"/>
                <w:sz w:val="18"/>
                <w:szCs w:val="18"/>
                <w:lang w:eastAsia="en-AU"/>
              </w:rPr>
            </w:pPr>
            <w:r w:rsidRPr="00416D05">
              <w:rPr>
                <w:rFonts w:ascii="Arial" w:hAnsi="Arial"/>
                <w:b/>
                <w:color w:val="FFFFFF" w:themeColor="background1"/>
                <w:sz w:val="18"/>
                <w:szCs w:val="18"/>
                <w:lang w:eastAsia="en-AU"/>
              </w:rPr>
              <w:t>Actual</w:t>
            </w:r>
          </w:p>
        </w:tc>
        <w:tc>
          <w:tcPr>
            <w:tcW w:w="1191" w:type="dxa"/>
            <w:tcBorders>
              <w:top w:val="nil"/>
              <w:left w:val="nil"/>
              <w:bottom w:val="nil"/>
              <w:right w:val="nil"/>
            </w:tcBorders>
            <w:shd w:val="clear" w:color="auto" w:fill="008EBA"/>
            <w:noWrap/>
            <w:hideMark/>
          </w:tcPr>
          <w:p w14:paraId="17C7444F" w14:textId="77777777" w:rsidR="005C4FBC" w:rsidRPr="00416D05" w:rsidRDefault="005C4FBC" w:rsidP="00816203">
            <w:pPr>
              <w:keepNext/>
              <w:jc w:val="center"/>
              <w:rPr>
                <w:rFonts w:ascii="Arial" w:hAnsi="Arial"/>
                <w:b/>
                <w:color w:val="FFFFFF" w:themeColor="background1"/>
                <w:sz w:val="18"/>
                <w:szCs w:val="18"/>
                <w:lang w:eastAsia="en-AU"/>
              </w:rPr>
            </w:pPr>
            <w:r w:rsidRPr="00416D05">
              <w:rPr>
                <w:rFonts w:ascii="Arial" w:hAnsi="Arial"/>
                <w:b/>
                <w:color w:val="FFFFFF" w:themeColor="background1"/>
                <w:sz w:val="18"/>
                <w:szCs w:val="18"/>
                <w:lang w:eastAsia="en-AU"/>
              </w:rPr>
              <w:t>Forecast</w:t>
            </w:r>
          </w:p>
        </w:tc>
      </w:tr>
      <w:tr w:rsidR="005C4FBC" w:rsidRPr="005C48EF" w14:paraId="1FAE4722" w14:textId="77777777" w:rsidTr="007B52F1">
        <w:trPr>
          <w:trHeight w:val="225"/>
        </w:trPr>
        <w:tc>
          <w:tcPr>
            <w:tcW w:w="6537" w:type="dxa"/>
            <w:tcBorders>
              <w:top w:val="nil"/>
              <w:left w:val="nil"/>
              <w:bottom w:val="nil"/>
              <w:right w:val="nil"/>
            </w:tcBorders>
            <w:shd w:val="clear" w:color="auto" w:fill="auto"/>
            <w:vAlign w:val="bottom"/>
            <w:hideMark/>
          </w:tcPr>
          <w:p w14:paraId="1F8ECE94" w14:textId="77777777" w:rsidR="005C4FBC" w:rsidRPr="005C48EF" w:rsidRDefault="005C4FBC" w:rsidP="00DD5F97">
            <w:pPr>
              <w:keepNext/>
              <w:rPr>
                <w:rFonts w:ascii="Arial" w:hAnsi="Arial" w:cs="Arial"/>
                <w:color w:val="000000"/>
                <w:sz w:val="16"/>
                <w:szCs w:val="16"/>
                <w:lang w:eastAsia="en-AU"/>
              </w:rPr>
            </w:pPr>
            <w:r w:rsidRPr="005C48EF">
              <w:rPr>
                <w:rFonts w:ascii="Arial" w:hAnsi="Arial" w:cs="Arial"/>
                <w:color w:val="000000"/>
                <w:sz w:val="16"/>
                <w:szCs w:val="16"/>
                <w:lang w:eastAsia="en-AU"/>
              </w:rPr>
              <w:t>Proportion of prioritised aquatic habitats receiving environmental water in NSW</w:t>
            </w:r>
          </w:p>
        </w:tc>
        <w:tc>
          <w:tcPr>
            <w:tcW w:w="737" w:type="dxa"/>
            <w:tcBorders>
              <w:top w:val="nil"/>
              <w:left w:val="nil"/>
              <w:bottom w:val="nil"/>
              <w:right w:val="nil"/>
            </w:tcBorders>
            <w:shd w:val="clear" w:color="auto" w:fill="auto"/>
            <w:noWrap/>
            <w:vAlign w:val="bottom"/>
            <w:hideMark/>
          </w:tcPr>
          <w:p w14:paraId="4497BFDC" w14:textId="77777777" w:rsidR="005C4FBC" w:rsidRPr="005C48EF" w:rsidRDefault="005C4FBC" w:rsidP="00DD5F97">
            <w:pPr>
              <w:keepNext/>
              <w:jc w:val="center"/>
              <w:rPr>
                <w:rFonts w:ascii="Arial" w:hAnsi="Arial" w:cs="Arial"/>
                <w:color w:val="000000"/>
                <w:sz w:val="16"/>
                <w:szCs w:val="16"/>
                <w:lang w:eastAsia="en-AU"/>
              </w:rPr>
            </w:pPr>
            <w:r w:rsidRPr="005C48EF">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0CA82854" w14:textId="51A7098E" w:rsidR="005C4FBC" w:rsidRPr="005C48EF" w:rsidRDefault="005C4FBC" w:rsidP="00DD5F97">
            <w:pPr>
              <w:keepNext/>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35.0 </w:t>
            </w:r>
            <w:r w:rsidRPr="005C48EF">
              <w:rPr>
                <w:rFonts w:ascii="Arial" w:hAnsi="Arial" w:cs="Arial"/>
                <w:color w:val="000000"/>
                <w:sz w:val="16"/>
                <w:szCs w:val="16"/>
                <w:vertAlign w:val="superscript"/>
                <w:lang w:eastAsia="en-AU"/>
              </w:rPr>
              <w:t>(a</w:t>
            </w:r>
            <w:r w:rsidR="00846B1C">
              <w:rPr>
                <w:rFonts w:ascii="Arial" w:hAnsi="Arial" w:cs="Arial"/>
                <w:color w:val="000000"/>
                <w:sz w:val="16"/>
                <w:szCs w:val="16"/>
                <w:vertAlign w:val="superscript"/>
                <w:lang w:eastAsia="en-AU"/>
              </w:rPr>
              <w:t>,</w:t>
            </w:r>
            <w:r w:rsidR="007D30D2">
              <w:rPr>
                <w:rFonts w:ascii="Arial" w:hAnsi="Arial" w:cs="Arial"/>
                <w:color w:val="000000"/>
                <w:sz w:val="16"/>
                <w:szCs w:val="16"/>
                <w:vertAlign w:val="superscript"/>
                <w:lang w:eastAsia="en-AU"/>
              </w:rPr>
              <w:t>b</w:t>
            </w:r>
            <w:r w:rsidRPr="005C48EF">
              <w:rPr>
                <w:rFonts w:ascii="Arial" w:hAnsi="Arial" w:cs="Arial"/>
                <w:color w:val="000000"/>
                <w:sz w:val="16"/>
                <w:szCs w:val="16"/>
                <w:vertAlign w:val="superscript"/>
                <w:lang w:eastAsia="en-AU"/>
              </w:rPr>
              <w:t>)</w:t>
            </w:r>
          </w:p>
        </w:tc>
        <w:tc>
          <w:tcPr>
            <w:tcW w:w="1191" w:type="dxa"/>
            <w:tcBorders>
              <w:top w:val="nil"/>
              <w:left w:val="nil"/>
              <w:bottom w:val="nil"/>
              <w:right w:val="nil"/>
            </w:tcBorders>
            <w:shd w:val="clear" w:color="auto" w:fill="auto"/>
            <w:noWrap/>
            <w:vAlign w:val="bottom"/>
          </w:tcPr>
          <w:p w14:paraId="2A1FC3FB" w14:textId="77777777" w:rsidR="005C4FBC" w:rsidRPr="005C48EF" w:rsidRDefault="005C4FBC" w:rsidP="00DD5F97">
            <w:pPr>
              <w:keepNext/>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30.0</w:t>
            </w:r>
          </w:p>
        </w:tc>
      </w:tr>
      <w:tr w:rsidR="005C4FBC" w:rsidRPr="005C48EF" w14:paraId="2AA0F70F" w14:textId="77777777" w:rsidTr="007B52F1">
        <w:trPr>
          <w:trHeight w:val="225"/>
        </w:trPr>
        <w:tc>
          <w:tcPr>
            <w:tcW w:w="6537" w:type="dxa"/>
            <w:tcBorders>
              <w:top w:val="nil"/>
              <w:left w:val="nil"/>
              <w:bottom w:val="nil"/>
              <w:right w:val="nil"/>
            </w:tcBorders>
            <w:shd w:val="clear" w:color="auto" w:fill="auto"/>
            <w:vAlign w:val="bottom"/>
            <w:hideMark/>
          </w:tcPr>
          <w:p w14:paraId="7BEB99BF" w14:textId="77777777"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 xml:space="preserve">Energy as a proportion of the average household cost of living </w:t>
            </w:r>
          </w:p>
        </w:tc>
        <w:tc>
          <w:tcPr>
            <w:tcW w:w="737" w:type="dxa"/>
            <w:tcBorders>
              <w:top w:val="nil"/>
              <w:left w:val="nil"/>
              <w:bottom w:val="nil"/>
              <w:right w:val="nil"/>
            </w:tcBorders>
            <w:shd w:val="clear" w:color="auto" w:fill="auto"/>
            <w:noWrap/>
            <w:vAlign w:val="bottom"/>
            <w:hideMark/>
          </w:tcPr>
          <w:p w14:paraId="18762FA6"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090E9F24" w14:textId="2C15E590" w:rsidR="005C4FBC" w:rsidRPr="005C48EF" w:rsidRDefault="005C4FBC" w:rsidP="007B52F1">
            <w:pPr>
              <w:ind w:right="170"/>
              <w:jc w:val="right"/>
              <w:rPr>
                <w:rFonts w:ascii="Arial" w:hAnsi="Arial" w:cs="Arial"/>
                <w:color w:val="000000"/>
                <w:sz w:val="16"/>
                <w:szCs w:val="16"/>
                <w:lang w:eastAsia="en-AU"/>
              </w:rPr>
            </w:pPr>
            <w:r w:rsidRPr="217F5E81">
              <w:rPr>
                <w:rFonts w:ascii="Arial" w:hAnsi="Arial" w:cs="Arial"/>
                <w:color w:val="000000" w:themeColor="text1"/>
                <w:sz w:val="16"/>
                <w:szCs w:val="16"/>
                <w:lang w:eastAsia="en-AU"/>
              </w:rPr>
              <w:t xml:space="preserve">3.0 </w:t>
            </w:r>
            <w:r w:rsidRPr="217F5E81">
              <w:rPr>
                <w:rFonts w:ascii="Arial" w:hAnsi="Arial" w:cs="Arial"/>
                <w:color w:val="000000" w:themeColor="text1"/>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10FBE586"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3.0</w:t>
            </w:r>
          </w:p>
        </w:tc>
      </w:tr>
      <w:tr w:rsidR="005C4FBC" w:rsidRPr="005C48EF" w14:paraId="0FA3178D" w14:textId="77777777" w:rsidTr="007B52F1">
        <w:trPr>
          <w:trHeight w:val="240"/>
        </w:trPr>
        <w:tc>
          <w:tcPr>
            <w:tcW w:w="6537" w:type="dxa"/>
            <w:tcBorders>
              <w:top w:val="nil"/>
              <w:left w:val="nil"/>
              <w:bottom w:val="nil"/>
              <w:right w:val="nil"/>
            </w:tcBorders>
            <w:shd w:val="clear" w:color="auto" w:fill="auto"/>
            <w:vAlign w:val="bottom"/>
            <w:hideMark/>
          </w:tcPr>
          <w:p w14:paraId="7C32C8D2" w14:textId="77777777"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Number of environmental incidents impacting human health and the environment</w:t>
            </w:r>
          </w:p>
        </w:tc>
        <w:tc>
          <w:tcPr>
            <w:tcW w:w="737" w:type="dxa"/>
            <w:tcBorders>
              <w:top w:val="nil"/>
              <w:left w:val="nil"/>
              <w:bottom w:val="nil"/>
              <w:right w:val="nil"/>
            </w:tcBorders>
            <w:shd w:val="clear" w:color="auto" w:fill="auto"/>
            <w:noWrap/>
            <w:vAlign w:val="bottom"/>
            <w:hideMark/>
          </w:tcPr>
          <w:p w14:paraId="434F2057"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tcPr>
          <w:p w14:paraId="4D9893C7"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8,933 </w:t>
            </w:r>
            <w:r w:rsidRPr="005C48EF">
              <w:rPr>
                <w:rFonts w:ascii="Arial" w:hAnsi="Arial"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716A21E4" w14:textId="10266B13" w:rsidR="005C4FBC" w:rsidRPr="005C48EF" w:rsidRDefault="005C4FBC" w:rsidP="007B52F1">
            <w:pPr>
              <w:ind w:right="170"/>
              <w:jc w:val="right"/>
              <w:rPr>
                <w:rFonts w:ascii="Arial" w:hAnsi="Arial" w:cs="Arial"/>
                <w:color w:val="000000"/>
                <w:sz w:val="16"/>
                <w:szCs w:val="16"/>
                <w:lang w:eastAsia="en-AU"/>
              </w:rPr>
            </w:pPr>
            <w:r w:rsidRPr="217F5E81">
              <w:rPr>
                <w:rFonts w:ascii="Arial" w:hAnsi="Arial" w:cs="Arial"/>
                <w:color w:val="000000" w:themeColor="text1"/>
                <w:sz w:val="16"/>
                <w:szCs w:val="16"/>
                <w:lang w:eastAsia="en-AU"/>
              </w:rPr>
              <w:t xml:space="preserve">8,900 </w:t>
            </w:r>
            <w:r w:rsidRPr="217F5E81">
              <w:rPr>
                <w:rFonts w:ascii="Arial" w:hAnsi="Arial" w:cs="Arial"/>
                <w:color w:val="000000" w:themeColor="text1"/>
                <w:sz w:val="16"/>
                <w:szCs w:val="16"/>
                <w:vertAlign w:val="superscript"/>
                <w:lang w:eastAsia="en-AU"/>
              </w:rPr>
              <w:t>(</w:t>
            </w:r>
            <w:r w:rsidR="28781A61" w:rsidRPr="217F5E81">
              <w:rPr>
                <w:rFonts w:ascii="Arial" w:hAnsi="Arial" w:cs="Arial"/>
                <w:color w:val="000000" w:themeColor="text1"/>
                <w:sz w:val="16"/>
                <w:szCs w:val="16"/>
                <w:vertAlign w:val="superscript"/>
                <w:lang w:eastAsia="en-AU"/>
              </w:rPr>
              <w:t>c</w:t>
            </w:r>
            <w:r w:rsidRPr="217F5E81">
              <w:rPr>
                <w:rFonts w:ascii="Arial" w:hAnsi="Arial" w:cs="Arial"/>
                <w:color w:val="000000" w:themeColor="text1"/>
                <w:sz w:val="16"/>
                <w:szCs w:val="16"/>
                <w:vertAlign w:val="superscript"/>
                <w:lang w:eastAsia="en-AU"/>
              </w:rPr>
              <w:t>)</w:t>
            </w:r>
          </w:p>
        </w:tc>
      </w:tr>
      <w:tr w:rsidR="005C4FBC" w:rsidRPr="005C48EF" w14:paraId="118A1026" w14:textId="77777777" w:rsidTr="007B52F1">
        <w:trPr>
          <w:trHeight w:val="227"/>
        </w:trPr>
        <w:tc>
          <w:tcPr>
            <w:tcW w:w="6537" w:type="dxa"/>
            <w:tcBorders>
              <w:top w:val="nil"/>
              <w:left w:val="nil"/>
              <w:bottom w:val="nil"/>
              <w:right w:val="nil"/>
            </w:tcBorders>
            <w:shd w:val="clear" w:color="auto" w:fill="auto"/>
            <w:vAlign w:val="bottom"/>
            <w:hideMark/>
          </w:tcPr>
          <w:p w14:paraId="7ECB291A" w14:textId="77777777"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Millions of tonnes of CO</w:t>
            </w:r>
            <w:r w:rsidRPr="005C48EF">
              <w:rPr>
                <w:rFonts w:ascii="Arial" w:hAnsi="Arial" w:cs="Arial"/>
                <w:color w:val="000000"/>
                <w:sz w:val="16"/>
                <w:szCs w:val="16"/>
                <w:vertAlign w:val="subscript"/>
                <w:lang w:eastAsia="en-AU"/>
              </w:rPr>
              <w:t>2</w:t>
            </w:r>
            <w:r w:rsidRPr="005C48EF">
              <w:rPr>
                <w:rFonts w:ascii="Arial" w:hAnsi="Arial" w:cs="Arial"/>
                <w:color w:val="000000"/>
                <w:sz w:val="16"/>
                <w:szCs w:val="16"/>
                <w:lang w:eastAsia="en-AU"/>
              </w:rPr>
              <w:t xml:space="preserve"> equivalent emissions (MtCO</w:t>
            </w:r>
            <w:r w:rsidRPr="005C48EF">
              <w:rPr>
                <w:rFonts w:ascii="Arial" w:hAnsi="Arial" w:cs="Arial"/>
                <w:color w:val="000000"/>
                <w:sz w:val="16"/>
                <w:szCs w:val="16"/>
                <w:vertAlign w:val="subscript"/>
                <w:lang w:eastAsia="en-AU"/>
              </w:rPr>
              <w:t>2</w:t>
            </w:r>
            <w:r w:rsidRPr="005C48EF">
              <w:rPr>
                <w:rFonts w:ascii="Arial" w:hAnsi="Arial" w:cs="Arial"/>
                <w:color w:val="000000"/>
                <w:sz w:val="16"/>
                <w:szCs w:val="16"/>
                <w:lang w:eastAsia="en-AU"/>
              </w:rPr>
              <w:t xml:space="preserve">-e) emitted annually in NSW </w:t>
            </w:r>
          </w:p>
        </w:tc>
        <w:tc>
          <w:tcPr>
            <w:tcW w:w="737" w:type="dxa"/>
            <w:tcBorders>
              <w:top w:val="nil"/>
              <w:left w:val="nil"/>
              <w:bottom w:val="nil"/>
              <w:right w:val="nil"/>
            </w:tcBorders>
            <w:shd w:val="clear" w:color="auto" w:fill="auto"/>
            <w:noWrap/>
            <w:vAlign w:val="bottom"/>
            <w:hideMark/>
          </w:tcPr>
          <w:p w14:paraId="52F4C314"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tcPr>
          <w:p w14:paraId="12ECC131"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131.3 </w:t>
            </w:r>
            <w:r w:rsidRPr="005C48EF">
              <w:rPr>
                <w:rFonts w:ascii="Arial" w:hAnsi="Arial"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1FBC2FFF" w14:textId="2CE66D41" w:rsidR="005C4FBC" w:rsidRPr="005C48EF" w:rsidRDefault="005C4FBC" w:rsidP="007B52F1">
            <w:pPr>
              <w:ind w:right="170"/>
              <w:jc w:val="right"/>
              <w:rPr>
                <w:rFonts w:ascii="Arial" w:hAnsi="Arial" w:cs="Arial"/>
                <w:color w:val="000000"/>
                <w:sz w:val="16"/>
                <w:szCs w:val="16"/>
                <w:lang w:eastAsia="en-AU"/>
              </w:rPr>
            </w:pPr>
            <w:r w:rsidRPr="217F5E81">
              <w:rPr>
                <w:rFonts w:ascii="Arial" w:hAnsi="Arial" w:cs="Arial"/>
                <w:color w:val="000000" w:themeColor="text1"/>
                <w:sz w:val="16"/>
                <w:szCs w:val="16"/>
                <w:lang w:eastAsia="en-AU"/>
              </w:rPr>
              <w:t>n.a</w:t>
            </w:r>
            <w:r w:rsidRPr="217F5E81">
              <w:rPr>
                <w:rFonts w:ascii="Arial" w:hAnsi="Arial" w:cs="Arial"/>
                <w:color w:val="000000" w:themeColor="text1"/>
                <w:sz w:val="16"/>
                <w:szCs w:val="16"/>
                <w:vertAlign w:val="superscript"/>
                <w:lang w:eastAsia="en-AU"/>
              </w:rPr>
              <w:t>. (</w:t>
            </w:r>
            <w:r w:rsidR="1DBECFBB" w:rsidRPr="217F5E81">
              <w:rPr>
                <w:rFonts w:ascii="Arial" w:hAnsi="Arial" w:cs="Arial"/>
                <w:color w:val="000000" w:themeColor="text1"/>
                <w:sz w:val="16"/>
                <w:szCs w:val="16"/>
                <w:vertAlign w:val="superscript"/>
                <w:lang w:eastAsia="en-AU"/>
              </w:rPr>
              <w:t>d</w:t>
            </w:r>
            <w:r w:rsidRPr="217F5E81">
              <w:rPr>
                <w:rFonts w:ascii="Arial" w:hAnsi="Arial" w:cs="Arial"/>
                <w:color w:val="000000" w:themeColor="text1"/>
                <w:sz w:val="16"/>
                <w:szCs w:val="16"/>
                <w:vertAlign w:val="superscript"/>
                <w:lang w:eastAsia="en-AU"/>
              </w:rPr>
              <w:t>)</w:t>
            </w:r>
          </w:p>
        </w:tc>
      </w:tr>
      <w:tr w:rsidR="005C4FBC" w:rsidRPr="005C48EF" w14:paraId="1A6F60FB" w14:textId="77777777" w:rsidTr="007B52F1">
        <w:trPr>
          <w:trHeight w:val="225"/>
        </w:trPr>
        <w:tc>
          <w:tcPr>
            <w:tcW w:w="6537" w:type="dxa"/>
            <w:tcBorders>
              <w:top w:val="nil"/>
              <w:left w:val="nil"/>
              <w:bottom w:val="nil"/>
              <w:right w:val="nil"/>
            </w:tcBorders>
            <w:shd w:val="clear" w:color="auto" w:fill="auto"/>
            <w:vAlign w:val="bottom"/>
            <w:hideMark/>
          </w:tcPr>
          <w:p w14:paraId="789A325B" w14:textId="77777777"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NSW Energy Security Target met</w:t>
            </w:r>
          </w:p>
        </w:tc>
        <w:tc>
          <w:tcPr>
            <w:tcW w:w="737" w:type="dxa"/>
            <w:tcBorders>
              <w:top w:val="nil"/>
              <w:left w:val="nil"/>
              <w:bottom w:val="nil"/>
              <w:right w:val="nil"/>
            </w:tcBorders>
            <w:shd w:val="clear" w:color="auto" w:fill="auto"/>
            <w:noWrap/>
            <w:vAlign w:val="bottom"/>
            <w:hideMark/>
          </w:tcPr>
          <w:p w14:paraId="4E8AC1DF" w14:textId="77777777" w:rsidR="005C4FBC" w:rsidRPr="005C48EF" w:rsidRDefault="005C4FBC" w:rsidP="007B52F1">
            <w:pPr>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tcPr>
          <w:p w14:paraId="3C3C68BF" w14:textId="77777777" w:rsidR="005C4FBC" w:rsidRPr="005C48EF" w:rsidRDefault="005C4FBC" w:rsidP="007B52F1">
            <w:pPr>
              <w:ind w:right="170"/>
              <w:jc w:val="right"/>
              <w:rPr>
                <w:rFonts w:ascii="Arial" w:hAnsi="Arial" w:cs="Arial"/>
                <w:sz w:val="16"/>
                <w:szCs w:val="16"/>
                <w:lang w:eastAsia="en-AU"/>
              </w:rPr>
            </w:pPr>
          </w:p>
        </w:tc>
        <w:tc>
          <w:tcPr>
            <w:tcW w:w="1191" w:type="dxa"/>
            <w:tcBorders>
              <w:top w:val="nil"/>
              <w:left w:val="nil"/>
              <w:bottom w:val="nil"/>
              <w:right w:val="nil"/>
            </w:tcBorders>
            <w:shd w:val="clear" w:color="auto" w:fill="auto"/>
            <w:noWrap/>
            <w:vAlign w:val="bottom"/>
          </w:tcPr>
          <w:p w14:paraId="748B2DF7" w14:textId="77777777" w:rsidR="005C4FBC" w:rsidRPr="005C48EF" w:rsidRDefault="005C4FBC" w:rsidP="007B52F1">
            <w:pPr>
              <w:ind w:right="170"/>
              <w:jc w:val="right"/>
              <w:rPr>
                <w:rFonts w:ascii="Arial" w:hAnsi="Arial" w:cs="Arial"/>
                <w:sz w:val="16"/>
                <w:szCs w:val="16"/>
                <w:lang w:eastAsia="en-AU"/>
              </w:rPr>
            </w:pPr>
          </w:p>
        </w:tc>
      </w:tr>
      <w:tr w:rsidR="005C4FBC" w:rsidRPr="005C48EF" w14:paraId="44597695" w14:textId="77777777" w:rsidTr="007B52F1">
        <w:trPr>
          <w:trHeight w:val="225"/>
        </w:trPr>
        <w:tc>
          <w:tcPr>
            <w:tcW w:w="6537" w:type="dxa"/>
            <w:tcBorders>
              <w:top w:val="nil"/>
              <w:left w:val="nil"/>
              <w:bottom w:val="nil"/>
              <w:right w:val="nil"/>
            </w:tcBorders>
            <w:shd w:val="clear" w:color="auto" w:fill="auto"/>
            <w:vAlign w:val="bottom"/>
            <w:hideMark/>
          </w:tcPr>
          <w:p w14:paraId="3DE84796" w14:textId="77777777" w:rsidR="005C4FBC" w:rsidRPr="005C48EF" w:rsidRDefault="005C4FBC" w:rsidP="007B52F1">
            <w:pPr>
              <w:ind w:firstLineChars="300" w:firstLine="480"/>
              <w:rPr>
                <w:rFonts w:ascii="Arial" w:hAnsi="Arial" w:cs="Arial"/>
                <w:color w:val="000000"/>
                <w:sz w:val="16"/>
                <w:szCs w:val="16"/>
                <w:lang w:eastAsia="en-AU"/>
              </w:rPr>
            </w:pPr>
            <w:r w:rsidRPr="005C48EF">
              <w:rPr>
                <w:rFonts w:ascii="Arial" w:hAnsi="Arial" w:cs="Arial"/>
                <w:color w:val="000000"/>
                <w:sz w:val="16"/>
                <w:szCs w:val="16"/>
                <w:lang w:eastAsia="en-AU"/>
              </w:rPr>
              <w:t>Demand</w:t>
            </w:r>
          </w:p>
        </w:tc>
        <w:tc>
          <w:tcPr>
            <w:tcW w:w="737" w:type="dxa"/>
            <w:tcBorders>
              <w:top w:val="nil"/>
              <w:left w:val="nil"/>
              <w:bottom w:val="nil"/>
              <w:right w:val="nil"/>
            </w:tcBorders>
            <w:shd w:val="clear" w:color="auto" w:fill="auto"/>
            <w:noWrap/>
            <w:vAlign w:val="bottom"/>
            <w:hideMark/>
          </w:tcPr>
          <w:p w14:paraId="130F2D7F"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MW</w:t>
            </w:r>
          </w:p>
        </w:tc>
        <w:tc>
          <w:tcPr>
            <w:tcW w:w="1191" w:type="dxa"/>
            <w:tcBorders>
              <w:top w:val="nil"/>
              <w:left w:val="nil"/>
              <w:bottom w:val="nil"/>
              <w:right w:val="nil"/>
            </w:tcBorders>
            <w:shd w:val="clear" w:color="auto" w:fill="auto"/>
            <w:noWrap/>
            <w:vAlign w:val="bottom"/>
          </w:tcPr>
          <w:p w14:paraId="4851191C"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15,633 </w:t>
            </w:r>
            <w:r w:rsidRPr="005C48EF">
              <w:rPr>
                <w:rFonts w:ascii="Arial" w:hAnsi="Arial"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6A3D14F2"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16,063</w:t>
            </w:r>
          </w:p>
        </w:tc>
      </w:tr>
      <w:tr w:rsidR="005C4FBC" w:rsidRPr="005C48EF" w14:paraId="59259869" w14:textId="77777777" w:rsidTr="00816203">
        <w:trPr>
          <w:trHeight w:val="66"/>
        </w:trPr>
        <w:tc>
          <w:tcPr>
            <w:tcW w:w="6537" w:type="dxa"/>
            <w:tcBorders>
              <w:top w:val="nil"/>
              <w:left w:val="nil"/>
              <w:bottom w:val="nil"/>
              <w:right w:val="nil"/>
            </w:tcBorders>
            <w:shd w:val="clear" w:color="auto" w:fill="auto"/>
            <w:vAlign w:val="bottom"/>
            <w:hideMark/>
          </w:tcPr>
          <w:p w14:paraId="372716D5" w14:textId="77777777" w:rsidR="005C4FBC" w:rsidRPr="005C48EF" w:rsidRDefault="005C4FBC" w:rsidP="007B52F1">
            <w:pPr>
              <w:ind w:firstLineChars="300" w:firstLine="480"/>
              <w:rPr>
                <w:rFonts w:ascii="Arial" w:hAnsi="Arial" w:cs="Arial"/>
                <w:color w:val="000000"/>
                <w:sz w:val="16"/>
                <w:szCs w:val="16"/>
                <w:lang w:eastAsia="en-AU"/>
              </w:rPr>
            </w:pPr>
            <w:r w:rsidRPr="005C48EF">
              <w:rPr>
                <w:rFonts w:ascii="Arial" w:hAnsi="Arial" w:cs="Arial"/>
                <w:color w:val="000000"/>
                <w:sz w:val="16"/>
                <w:szCs w:val="16"/>
                <w:lang w:eastAsia="en-AU"/>
              </w:rPr>
              <w:t>Supply</w:t>
            </w:r>
          </w:p>
        </w:tc>
        <w:tc>
          <w:tcPr>
            <w:tcW w:w="737" w:type="dxa"/>
            <w:tcBorders>
              <w:top w:val="nil"/>
              <w:left w:val="nil"/>
              <w:bottom w:val="nil"/>
              <w:right w:val="nil"/>
            </w:tcBorders>
            <w:shd w:val="clear" w:color="auto" w:fill="auto"/>
            <w:noWrap/>
            <w:vAlign w:val="bottom"/>
            <w:hideMark/>
          </w:tcPr>
          <w:p w14:paraId="71A3C803"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MW</w:t>
            </w:r>
          </w:p>
        </w:tc>
        <w:tc>
          <w:tcPr>
            <w:tcW w:w="1191" w:type="dxa"/>
            <w:tcBorders>
              <w:top w:val="nil"/>
              <w:left w:val="nil"/>
              <w:bottom w:val="nil"/>
              <w:right w:val="nil"/>
            </w:tcBorders>
            <w:shd w:val="clear" w:color="auto" w:fill="auto"/>
            <w:noWrap/>
            <w:vAlign w:val="bottom"/>
          </w:tcPr>
          <w:p w14:paraId="333D04BD"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16,256 </w:t>
            </w:r>
            <w:r w:rsidRPr="005C48EF">
              <w:rPr>
                <w:rFonts w:ascii="Arial" w:hAnsi="Arial"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46EBA4FF"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16,458</w:t>
            </w:r>
          </w:p>
        </w:tc>
      </w:tr>
      <w:tr w:rsidR="005C4FBC" w:rsidRPr="005C48EF" w14:paraId="469ABE03" w14:textId="77777777" w:rsidTr="007B52F1">
        <w:trPr>
          <w:trHeight w:val="408"/>
        </w:trPr>
        <w:tc>
          <w:tcPr>
            <w:tcW w:w="6537" w:type="dxa"/>
            <w:tcBorders>
              <w:top w:val="nil"/>
              <w:left w:val="nil"/>
              <w:bottom w:val="nil"/>
              <w:right w:val="nil"/>
            </w:tcBorders>
            <w:shd w:val="clear" w:color="auto" w:fill="auto"/>
            <w:vAlign w:val="bottom"/>
            <w:hideMark/>
          </w:tcPr>
          <w:p w14:paraId="1254E2D1" w14:textId="77777777"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Number of hectares managed for conservation, including national parks and reserves, and private land</w:t>
            </w:r>
          </w:p>
        </w:tc>
        <w:tc>
          <w:tcPr>
            <w:tcW w:w="737" w:type="dxa"/>
            <w:tcBorders>
              <w:top w:val="nil"/>
              <w:left w:val="nil"/>
              <w:bottom w:val="nil"/>
              <w:right w:val="nil"/>
            </w:tcBorders>
            <w:shd w:val="clear" w:color="auto" w:fill="auto"/>
            <w:noWrap/>
            <w:vAlign w:val="bottom"/>
            <w:hideMark/>
          </w:tcPr>
          <w:p w14:paraId="5D8E2A44" w14:textId="77777777" w:rsidR="005C4FBC" w:rsidRPr="005C48EF" w:rsidRDefault="005C4FBC" w:rsidP="007B52F1">
            <w:pPr>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tcPr>
          <w:p w14:paraId="31F85157" w14:textId="77777777" w:rsidR="005C4FBC" w:rsidRPr="005C48EF" w:rsidRDefault="005C4FBC" w:rsidP="007B52F1">
            <w:pPr>
              <w:ind w:right="170"/>
              <w:jc w:val="right"/>
              <w:rPr>
                <w:rFonts w:ascii="Arial" w:hAnsi="Arial" w:cs="Arial"/>
                <w:sz w:val="16"/>
                <w:szCs w:val="16"/>
                <w:lang w:eastAsia="en-AU"/>
              </w:rPr>
            </w:pPr>
          </w:p>
        </w:tc>
        <w:tc>
          <w:tcPr>
            <w:tcW w:w="1191" w:type="dxa"/>
            <w:tcBorders>
              <w:top w:val="nil"/>
              <w:left w:val="nil"/>
              <w:bottom w:val="nil"/>
              <w:right w:val="nil"/>
            </w:tcBorders>
            <w:shd w:val="clear" w:color="auto" w:fill="auto"/>
            <w:noWrap/>
            <w:vAlign w:val="bottom"/>
          </w:tcPr>
          <w:p w14:paraId="1E5539E5" w14:textId="77777777" w:rsidR="005C4FBC" w:rsidRPr="005C48EF" w:rsidRDefault="005C4FBC" w:rsidP="007B52F1">
            <w:pPr>
              <w:ind w:right="170"/>
              <w:jc w:val="right"/>
              <w:rPr>
                <w:rFonts w:ascii="Arial" w:hAnsi="Arial" w:cs="Arial"/>
                <w:sz w:val="16"/>
                <w:szCs w:val="16"/>
                <w:lang w:eastAsia="en-AU"/>
              </w:rPr>
            </w:pPr>
          </w:p>
        </w:tc>
      </w:tr>
      <w:tr w:rsidR="005C4FBC" w:rsidRPr="005C48EF" w14:paraId="5F5894E3" w14:textId="77777777" w:rsidTr="007B52F1">
        <w:trPr>
          <w:trHeight w:val="66"/>
        </w:trPr>
        <w:tc>
          <w:tcPr>
            <w:tcW w:w="6537" w:type="dxa"/>
            <w:tcBorders>
              <w:top w:val="nil"/>
              <w:left w:val="nil"/>
              <w:bottom w:val="nil"/>
              <w:right w:val="nil"/>
            </w:tcBorders>
            <w:shd w:val="clear" w:color="auto" w:fill="auto"/>
            <w:hideMark/>
          </w:tcPr>
          <w:p w14:paraId="39785F4B" w14:textId="77777777" w:rsidR="005C4FBC" w:rsidRPr="005C48EF" w:rsidRDefault="005C4FBC" w:rsidP="007B52F1">
            <w:pPr>
              <w:ind w:firstLineChars="300" w:firstLine="480"/>
              <w:rPr>
                <w:rFonts w:ascii="Arial" w:hAnsi="Arial" w:cs="Arial"/>
                <w:color w:val="000000"/>
                <w:sz w:val="16"/>
                <w:szCs w:val="16"/>
                <w:lang w:eastAsia="en-AU"/>
              </w:rPr>
            </w:pPr>
            <w:r w:rsidRPr="005C48EF">
              <w:rPr>
                <w:rFonts w:ascii="Arial" w:hAnsi="Arial" w:cs="Arial"/>
                <w:color w:val="000000"/>
                <w:sz w:val="16"/>
                <w:szCs w:val="16"/>
                <w:lang w:eastAsia="en-AU"/>
              </w:rPr>
              <w:t xml:space="preserve">Private land  </w:t>
            </w:r>
          </w:p>
        </w:tc>
        <w:tc>
          <w:tcPr>
            <w:tcW w:w="737" w:type="dxa"/>
            <w:tcBorders>
              <w:top w:val="nil"/>
              <w:left w:val="nil"/>
              <w:bottom w:val="nil"/>
              <w:right w:val="nil"/>
            </w:tcBorders>
            <w:shd w:val="clear" w:color="auto" w:fill="auto"/>
            <w:noWrap/>
            <w:vAlign w:val="bottom"/>
            <w:hideMark/>
          </w:tcPr>
          <w:p w14:paraId="59EC90CB"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million Ha</w:t>
            </w:r>
          </w:p>
        </w:tc>
        <w:tc>
          <w:tcPr>
            <w:tcW w:w="1191" w:type="dxa"/>
            <w:tcBorders>
              <w:top w:val="nil"/>
              <w:left w:val="nil"/>
              <w:bottom w:val="nil"/>
              <w:right w:val="nil"/>
            </w:tcBorders>
            <w:shd w:val="clear" w:color="auto" w:fill="auto"/>
            <w:noWrap/>
            <w:vAlign w:val="bottom"/>
          </w:tcPr>
          <w:p w14:paraId="637B9FB3" w14:textId="1EFA16AE" w:rsidR="005C4FBC" w:rsidRPr="005C48EF" w:rsidRDefault="005C4FBC" w:rsidP="007B52F1">
            <w:pPr>
              <w:ind w:right="170"/>
              <w:jc w:val="right"/>
              <w:rPr>
                <w:rFonts w:ascii="Arial" w:hAnsi="Arial" w:cs="Arial"/>
                <w:color w:val="000000"/>
                <w:sz w:val="16"/>
                <w:szCs w:val="16"/>
                <w:lang w:eastAsia="en-AU"/>
              </w:rPr>
            </w:pPr>
            <w:r w:rsidRPr="217F5E81">
              <w:rPr>
                <w:rFonts w:ascii="Arial" w:hAnsi="Arial" w:cs="Arial"/>
                <w:color w:val="000000" w:themeColor="text1"/>
                <w:sz w:val="16"/>
                <w:szCs w:val="16"/>
                <w:lang w:eastAsia="en-AU"/>
              </w:rPr>
              <w:t>n.a.</w:t>
            </w:r>
            <w:r w:rsidRPr="217F5E81">
              <w:rPr>
                <w:rFonts w:ascii="Arial" w:hAnsi="Arial" w:cs="Arial"/>
                <w:color w:val="000000" w:themeColor="text1"/>
                <w:sz w:val="16"/>
                <w:szCs w:val="16"/>
                <w:vertAlign w:val="superscript"/>
                <w:lang w:eastAsia="en-AU"/>
              </w:rPr>
              <w:t>(</w:t>
            </w:r>
            <w:r w:rsidR="29F50501" w:rsidRPr="217F5E81">
              <w:rPr>
                <w:rFonts w:ascii="Arial" w:hAnsi="Arial" w:cs="Arial"/>
                <w:color w:val="000000" w:themeColor="text1"/>
                <w:sz w:val="16"/>
                <w:szCs w:val="16"/>
                <w:vertAlign w:val="superscript"/>
                <w:lang w:eastAsia="en-AU"/>
              </w:rPr>
              <w:t>e</w:t>
            </w:r>
            <w:r w:rsidRPr="217F5E81">
              <w:rPr>
                <w:rFonts w:ascii="Arial" w:hAnsi="Arial" w:cs="Arial"/>
                <w:color w:val="000000" w:themeColor="text1"/>
                <w:sz w:val="16"/>
                <w:szCs w:val="16"/>
                <w:vertAlign w:val="superscript"/>
                <w:lang w:eastAsia="en-AU"/>
              </w:rPr>
              <w:t>)</w:t>
            </w:r>
          </w:p>
        </w:tc>
        <w:tc>
          <w:tcPr>
            <w:tcW w:w="1191" w:type="dxa"/>
            <w:tcBorders>
              <w:top w:val="nil"/>
              <w:left w:val="nil"/>
              <w:bottom w:val="nil"/>
              <w:right w:val="nil"/>
            </w:tcBorders>
            <w:shd w:val="clear" w:color="auto" w:fill="auto"/>
            <w:noWrap/>
            <w:vAlign w:val="bottom"/>
          </w:tcPr>
          <w:p w14:paraId="18AA7BB5" w14:textId="7B44D04C" w:rsidR="005C4FBC" w:rsidRPr="005C48EF" w:rsidRDefault="005C4FBC" w:rsidP="007B52F1">
            <w:pPr>
              <w:ind w:right="170"/>
              <w:jc w:val="right"/>
              <w:rPr>
                <w:rFonts w:ascii="Arial" w:hAnsi="Arial" w:cs="Arial"/>
                <w:color w:val="000000"/>
                <w:sz w:val="16"/>
                <w:szCs w:val="16"/>
                <w:lang w:eastAsia="en-AU"/>
              </w:rPr>
            </w:pPr>
            <w:r w:rsidRPr="217F5E81">
              <w:rPr>
                <w:rFonts w:ascii="Arial" w:hAnsi="Arial" w:cs="Arial"/>
                <w:color w:val="000000" w:themeColor="text1"/>
                <w:sz w:val="16"/>
                <w:szCs w:val="16"/>
                <w:lang w:eastAsia="en-AU"/>
              </w:rPr>
              <w:t xml:space="preserve">n.a. </w:t>
            </w:r>
            <w:r w:rsidRPr="217F5E81">
              <w:rPr>
                <w:rFonts w:ascii="Arial" w:hAnsi="Arial" w:cs="Arial"/>
                <w:color w:val="000000" w:themeColor="text1"/>
                <w:sz w:val="16"/>
                <w:szCs w:val="16"/>
                <w:vertAlign w:val="superscript"/>
                <w:lang w:eastAsia="en-AU"/>
              </w:rPr>
              <w:t>(</w:t>
            </w:r>
            <w:r w:rsidR="723CDD2F" w:rsidRPr="217F5E81">
              <w:rPr>
                <w:rFonts w:ascii="Arial" w:hAnsi="Arial" w:cs="Arial"/>
                <w:color w:val="000000" w:themeColor="text1"/>
                <w:sz w:val="16"/>
                <w:szCs w:val="16"/>
                <w:vertAlign w:val="superscript"/>
                <w:lang w:eastAsia="en-AU"/>
              </w:rPr>
              <w:t>e</w:t>
            </w:r>
            <w:r w:rsidRPr="217F5E81">
              <w:rPr>
                <w:rFonts w:ascii="Arial" w:hAnsi="Arial" w:cs="Arial"/>
                <w:color w:val="000000" w:themeColor="text1"/>
                <w:sz w:val="16"/>
                <w:szCs w:val="16"/>
                <w:vertAlign w:val="superscript"/>
                <w:lang w:eastAsia="en-AU"/>
              </w:rPr>
              <w:t>)</w:t>
            </w:r>
          </w:p>
        </w:tc>
      </w:tr>
      <w:tr w:rsidR="005C4FBC" w:rsidRPr="005C48EF" w14:paraId="0C80ED55" w14:textId="77777777" w:rsidTr="007B52F1">
        <w:trPr>
          <w:trHeight w:val="66"/>
        </w:trPr>
        <w:tc>
          <w:tcPr>
            <w:tcW w:w="6537" w:type="dxa"/>
            <w:tcBorders>
              <w:top w:val="nil"/>
              <w:left w:val="nil"/>
              <w:bottom w:val="nil"/>
              <w:right w:val="nil"/>
            </w:tcBorders>
            <w:shd w:val="clear" w:color="auto" w:fill="auto"/>
            <w:hideMark/>
          </w:tcPr>
          <w:p w14:paraId="6454A2E7" w14:textId="77777777" w:rsidR="005C4FBC" w:rsidRPr="005C48EF" w:rsidRDefault="005C4FBC" w:rsidP="007B52F1">
            <w:pPr>
              <w:ind w:firstLineChars="300" w:firstLine="480"/>
              <w:rPr>
                <w:rFonts w:ascii="Arial" w:hAnsi="Arial" w:cs="Arial"/>
                <w:color w:val="000000"/>
                <w:sz w:val="16"/>
                <w:szCs w:val="16"/>
                <w:lang w:eastAsia="en-AU"/>
              </w:rPr>
            </w:pPr>
            <w:r w:rsidRPr="005C48EF">
              <w:rPr>
                <w:rFonts w:ascii="Arial" w:hAnsi="Arial" w:cs="Arial"/>
                <w:color w:val="000000"/>
                <w:sz w:val="16"/>
                <w:szCs w:val="16"/>
                <w:lang w:eastAsia="en-AU"/>
              </w:rPr>
              <w:t>Public land</w:t>
            </w:r>
          </w:p>
        </w:tc>
        <w:tc>
          <w:tcPr>
            <w:tcW w:w="737" w:type="dxa"/>
            <w:tcBorders>
              <w:top w:val="nil"/>
              <w:left w:val="nil"/>
              <w:bottom w:val="nil"/>
              <w:right w:val="nil"/>
            </w:tcBorders>
            <w:shd w:val="clear" w:color="auto" w:fill="auto"/>
            <w:noWrap/>
            <w:vAlign w:val="bottom"/>
            <w:hideMark/>
          </w:tcPr>
          <w:p w14:paraId="1DFA5AFA"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million Ha</w:t>
            </w:r>
          </w:p>
        </w:tc>
        <w:tc>
          <w:tcPr>
            <w:tcW w:w="1191" w:type="dxa"/>
            <w:tcBorders>
              <w:top w:val="nil"/>
              <w:left w:val="nil"/>
              <w:bottom w:val="nil"/>
              <w:right w:val="nil"/>
            </w:tcBorders>
            <w:shd w:val="clear" w:color="auto" w:fill="auto"/>
            <w:noWrap/>
            <w:vAlign w:val="bottom"/>
          </w:tcPr>
          <w:p w14:paraId="2880E13E" w14:textId="19F7F191" w:rsidR="005C4FBC" w:rsidRPr="005C48EF" w:rsidRDefault="005C4FBC" w:rsidP="007B52F1">
            <w:pPr>
              <w:ind w:right="170"/>
              <w:jc w:val="right"/>
              <w:rPr>
                <w:rFonts w:ascii="Arial" w:hAnsi="Arial" w:cs="Arial"/>
                <w:color w:val="000000"/>
                <w:sz w:val="16"/>
                <w:szCs w:val="16"/>
                <w:lang w:eastAsia="en-AU"/>
              </w:rPr>
            </w:pPr>
            <w:r w:rsidRPr="2EA76B04">
              <w:rPr>
                <w:rFonts w:ascii="Arial" w:hAnsi="Arial" w:cs="Arial"/>
                <w:color w:val="000000" w:themeColor="text1"/>
                <w:sz w:val="16"/>
                <w:szCs w:val="16"/>
                <w:lang w:eastAsia="en-AU"/>
              </w:rPr>
              <w:t xml:space="preserve">7.456 </w:t>
            </w:r>
            <w:r w:rsidRPr="2EA76B04">
              <w:rPr>
                <w:rFonts w:ascii="Arial" w:hAnsi="Arial" w:cs="Arial"/>
                <w:color w:val="000000" w:themeColor="text1"/>
                <w:sz w:val="16"/>
                <w:szCs w:val="16"/>
                <w:vertAlign w:val="superscript"/>
                <w:lang w:eastAsia="en-AU"/>
              </w:rPr>
              <w:t xml:space="preserve">(a, </w:t>
            </w:r>
            <w:r w:rsidR="7C3DDB8C" w:rsidRPr="2EA76B04">
              <w:rPr>
                <w:rFonts w:ascii="Arial" w:hAnsi="Arial" w:cs="Arial"/>
                <w:color w:val="000000" w:themeColor="text1"/>
                <w:sz w:val="16"/>
                <w:szCs w:val="16"/>
                <w:vertAlign w:val="superscript"/>
                <w:lang w:eastAsia="en-AU"/>
              </w:rPr>
              <w:t>f</w:t>
            </w:r>
            <w:r w:rsidRPr="2EA76B04">
              <w:rPr>
                <w:rFonts w:ascii="Arial" w:hAnsi="Arial" w:cs="Arial"/>
                <w:color w:val="000000" w:themeColor="text1"/>
                <w:sz w:val="16"/>
                <w:szCs w:val="16"/>
                <w:vertAlign w:val="superscript"/>
                <w:lang w:eastAsia="en-AU"/>
              </w:rPr>
              <w:t>)</w:t>
            </w:r>
          </w:p>
        </w:tc>
        <w:tc>
          <w:tcPr>
            <w:tcW w:w="1191" w:type="dxa"/>
            <w:tcBorders>
              <w:top w:val="nil"/>
              <w:left w:val="nil"/>
              <w:bottom w:val="nil"/>
              <w:right w:val="nil"/>
            </w:tcBorders>
            <w:shd w:val="clear" w:color="auto" w:fill="auto"/>
            <w:noWrap/>
            <w:vAlign w:val="bottom"/>
          </w:tcPr>
          <w:p w14:paraId="734DD8BE" w14:textId="57FB0830" w:rsidR="005C4FBC" w:rsidRPr="005C48EF" w:rsidRDefault="005C4FBC" w:rsidP="007B52F1">
            <w:pPr>
              <w:ind w:right="170"/>
              <w:jc w:val="right"/>
              <w:rPr>
                <w:rFonts w:ascii="Arial" w:hAnsi="Arial" w:cs="Arial"/>
                <w:color w:val="000000"/>
                <w:sz w:val="16"/>
                <w:szCs w:val="16"/>
                <w:lang w:eastAsia="en-AU"/>
              </w:rPr>
            </w:pPr>
            <w:r w:rsidRPr="2EA76B04">
              <w:rPr>
                <w:rFonts w:ascii="Arial" w:hAnsi="Arial" w:cs="Arial"/>
                <w:color w:val="000000" w:themeColor="text1"/>
                <w:sz w:val="16"/>
                <w:szCs w:val="16"/>
                <w:lang w:eastAsia="en-AU"/>
              </w:rPr>
              <w:t xml:space="preserve">7.556 </w:t>
            </w:r>
            <w:r w:rsidRPr="2EA76B04">
              <w:rPr>
                <w:rFonts w:ascii="Arial" w:hAnsi="Arial" w:cs="Arial"/>
                <w:color w:val="000000" w:themeColor="text1"/>
                <w:sz w:val="16"/>
                <w:szCs w:val="16"/>
                <w:vertAlign w:val="superscript"/>
                <w:lang w:eastAsia="en-AU"/>
              </w:rPr>
              <w:t>(</w:t>
            </w:r>
            <w:r w:rsidR="5C9E701B" w:rsidRPr="3C80A16B">
              <w:rPr>
                <w:rFonts w:ascii="Arial" w:hAnsi="Arial" w:cs="Arial"/>
                <w:color w:val="000000" w:themeColor="text1"/>
                <w:sz w:val="16"/>
                <w:szCs w:val="16"/>
                <w:vertAlign w:val="superscript"/>
                <w:lang w:eastAsia="en-AU"/>
              </w:rPr>
              <w:t>f</w:t>
            </w:r>
            <w:r w:rsidRPr="2EA76B04">
              <w:rPr>
                <w:rFonts w:ascii="Arial" w:hAnsi="Arial" w:cs="Arial"/>
                <w:color w:val="000000" w:themeColor="text1"/>
                <w:sz w:val="16"/>
                <w:szCs w:val="16"/>
                <w:vertAlign w:val="superscript"/>
                <w:lang w:eastAsia="en-AU"/>
              </w:rPr>
              <w:t>)</w:t>
            </w:r>
          </w:p>
        </w:tc>
      </w:tr>
      <w:tr w:rsidR="005C4FBC" w:rsidRPr="005C48EF" w14:paraId="23291FF0" w14:textId="77777777" w:rsidTr="007B52F1">
        <w:trPr>
          <w:trHeight w:val="225"/>
        </w:trPr>
        <w:tc>
          <w:tcPr>
            <w:tcW w:w="6537" w:type="dxa"/>
            <w:tcBorders>
              <w:top w:val="nil"/>
              <w:left w:val="nil"/>
              <w:bottom w:val="nil"/>
              <w:right w:val="nil"/>
            </w:tcBorders>
            <w:shd w:val="clear" w:color="auto" w:fill="auto"/>
            <w:vAlign w:val="bottom"/>
            <w:hideMark/>
          </w:tcPr>
          <w:p w14:paraId="491D968B" w14:textId="77777777"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Number of visitors each year to national parks and zoos</w:t>
            </w:r>
          </w:p>
        </w:tc>
        <w:tc>
          <w:tcPr>
            <w:tcW w:w="737" w:type="dxa"/>
            <w:tcBorders>
              <w:top w:val="nil"/>
              <w:left w:val="nil"/>
              <w:bottom w:val="nil"/>
              <w:right w:val="nil"/>
            </w:tcBorders>
            <w:shd w:val="clear" w:color="auto" w:fill="auto"/>
            <w:noWrap/>
            <w:vAlign w:val="bottom"/>
            <w:hideMark/>
          </w:tcPr>
          <w:p w14:paraId="0F2522F9" w14:textId="77777777" w:rsidR="005C4FBC" w:rsidRPr="005C48EF" w:rsidRDefault="005C4FBC" w:rsidP="007B52F1">
            <w:pPr>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tcPr>
          <w:p w14:paraId="1EBB6115" w14:textId="77777777" w:rsidR="005C4FBC" w:rsidRPr="005C48EF" w:rsidRDefault="005C4FBC" w:rsidP="007B52F1">
            <w:pPr>
              <w:ind w:right="170"/>
              <w:jc w:val="right"/>
              <w:rPr>
                <w:rFonts w:ascii="Arial" w:hAnsi="Arial" w:cs="Arial"/>
                <w:sz w:val="16"/>
                <w:szCs w:val="16"/>
                <w:lang w:eastAsia="en-AU"/>
              </w:rPr>
            </w:pPr>
          </w:p>
        </w:tc>
        <w:tc>
          <w:tcPr>
            <w:tcW w:w="1191" w:type="dxa"/>
            <w:tcBorders>
              <w:top w:val="nil"/>
              <w:left w:val="nil"/>
              <w:bottom w:val="nil"/>
              <w:right w:val="nil"/>
            </w:tcBorders>
            <w:shd w:val="clear" w:color="auto" w:fill="auto"/>
            <w:noWrap/>
            <w:vAlign w:val="bottom"/>
          </w:tcPr>
          <w:p w14:paraId="15882611" w14:textId="77777777" w:rsidR="005C4FBC" w:rsidRPr="005C48EF" w:rsidRDefault="005C4FBC" w:rsidP="007B52F1">
            <w:pPr>
              <w:ind w:right="170"/>
              <w:jc w:val="right"/>
              <w:rPr>
                <w:rFonts w:ascii="Arial" w:hAnsi="Arial" w:cs="Arial"/>
                <w:sz w:val="16"/>
                <w:szCs w:val="16"/>
                <w:lang w:eastAsia="en-AU"/>
              </w:rPr>
            </w:pPr>
          </w:p>
        </w:tc>
      </w:tr>
      <w:tr w:rsidR="005C4FBC" w:rsidRPr="005C48EF" w14:paraId="2EA46BAC" w14:textId="77777777" w:rsidTr="007B52F1">
        <w:trPr>
          <w:trHeight w:val="225"/>
        </w:trPr>
        <w:tc>
          <w:tcPr>
            <w:tcW w:w="6537" w:type="dxa"/>
            <w:tcBorders>
              <w:top w:val="nil"/>
              <w:left w:val="nil"/>
              <w:bottom w:val="nil"/>
              <w:right w:val="nil"/>
            </w:tcBorders>
            <w:shd w:val="clear" w:color="auto" w:fill="auto"/>
            <w:vAlign w:val="bottom"/>
            <w:hideMark/>
          </w:tcPr>
          <w:p w14:paraId="7BBAF1C8" w14:textId="77777777" w:rsidR="005C4FBC" w:rsidRPr="005C48EF" w:rsidRDefault="005C4FBC" w:rsidP="007B52F1">
            <w:pPr>
              <w:ind w:firstLineChars="300" w:firstLine="480"/>
              <w:rPr>
                <w:rFonts w:ascii="Arial" w:hAnsi="Arial" w:cs="Arial"/>
                <w:color w:val="000000"/>
                <w:sz w:val="16"/>
                <w:szCs w:val="16"/>
                <w:lang w:eastAsia="en-AU"/>
              </w:rPr>
            </w:pPr>
            <w:r w:rsidRPr="005C48EF">
              <w:rPr>
                <w:rFonts w:ascii="Arial" w:hAnsi="Arial" w:cs="Arial"/>
                <w:color w:val="000000"/>
                <w:sz w:val="16"/>
                <w:szCs w:val="16"/>
                <w:lang w:eastAsia="en-AU"/>
              </w:rPr>
              <w:t>Number of visitors to parks</w:t>
            </w:r>
          </w:p>
        </w:tc>
        <w:tc>
          <w:tcPr>
            <w:tcW w:w="737" w:type="dxa"/>
            <w:tcBorders>
              <w:top w:val="nil"/>
              <w:left w:val="nil"/>
              <w:bottom w:val="nil"/>
              <w:right w:val="nil"/>
            </w:tcBorders>
            <w:shd w:val="clear" w:color="auto" w:fill="auto"/>
            <w:noWrap/>
            <w:vAlign w:val="bottom"/>
            <w:hideMark/>
          </w:tcPr>
          <w:p w14:paraId="4DDA7D51"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million</w:t>
            </w:r>
          </w:p>
        </w:tc>
        <w:tc>
          <w:tcPr>
            <w:tcW w:w="1191" w:type="dxa"/>
            <w:tcBorders>
              <w:top w:val="nil"/>
              <w:left w:val="nil"/>
              <w:bottom w:val="nil"/>
              <w:right w:val="nil"/>
            </w:tcBorders>
            <w:shd w:val="clear" w:color="auto" w:fill="auto"/>
            <w:noWrap/>
            <w:vAlign w:val="bottom"/>
          </w:tcPr>
          <w:p w14:paraId="52066969" w14:textId="54760256" w:rsidR="005C4FBC" w:rsidRPr="005C48EF" w:rsidRDefault="005C4FBC" w:rsidP="007B52F1">
            <w:pPr>
              <w:ind w:right="170"/>
              <w:jc w:val="right"/>
              <w:rPr>
                <w:rFonts w:ascii="Arial" w:hAnsi="Arial" w:cs="Arial"/>
                <w:color w:val="000000"/>
                <w:sz w:val="16"/>
                <w:szCs w:val="16"/>
                <w:lang w:eastAsia="en-AU"/>
              </w:rPr>
            </w:pPr>
            <w:r w:rsidRPr="3C80A16B">
              <w:rPr>
                <w:rFonts w:ascii="Arial" w:hAnsi="Arial" w:cs="Arial"/>
                <w:color w:val="000000" w:themeColor="text1"/>
                <w:sz w:val="16"/>
                <w:szCs w:val="16"/>
                <w:lang w:eastAsia="en-AU"/>
              </w:rPr>
              <w:t xml:space="preserve">60.2 </w:t>
            </w:r>
            <w:r w:rsidRPr="3C80A16B">
              <w:rPr>
                <w:rFonts w:ascii="Arial" w:hAnsi="Arial" w:cs="Arial"/>
                <w:color w:val="000000" w:themeColor="text1"/>
                <w:sz w:val="16"/>
                <w:szCs w:val="16"/>
                <w:vertAlign w:val="superscript"/>
                <w:lang w:eastAsia="en-AU"/>
              </w:rPr>
              <w:t>(</w:t>
            </w:r>
            <w:r w:rsidR="685C4758" w:rsidRPr="3C80A16B">
              <w:rPr>
                <w:rFonts w:ascii="Arial" w:hAnsi="Arial" w:cs="Arial"/>
                <w:color w:val="000000" w:themeColor="text1"/>
                <w:sz w:val="16"/>
                <w:szCs w:val="16"/>
                <w:vertAlign w:val="superscript"/>
                <w:lang w:eastAsia="en-AU"/>
              </w:rPr>
              <w:t>g</w:t>
            </w:r>
            <w:r w:rsidRPr="3C80A16B">
              <w:rPr>
                <w:rFonts w:ascii="Arial" w:hAnsi="Arial" w:cs="Arial"/>
                <w:color w:val="000000" w:themeColor="text1"/>
                <w:sz w:val="16"/>
                <w:szCs w:val="16"/>
                <w:vertAlign w:val="superscript"/>
                <w:lang w:eastAsia="en-AU"/>
              </w:rPr>
              <w:t>)</w:t>
            </w:r>
          </w:p>
        </w:tc>
        <w:tc>
          <w:tcPr>
            <w:tcW w:w="1191" w:type="dxa"/>
            <w:tcBorders>
              <w:top w:val="nil"/>
              <w:left w:val="nil"/>
              <w:bottom w:val="nil"/>
              <w:right w:val="nil"/>
            </w:tcBorders>
            <w:shd w:val="clear" w:color="auto" w:fill="auto"/>
            <w:noWrap/>
            <w:vAlign w:val="bottom"/>
          </w:tcPr>
          <w:p w14:paraId="5B06CAF1" w14:textId="601E8A96" w:rsidR="005C4FBC" w:rsidRPr="005C48EF" w:rsidRDefault="005C4FBC" w:rsidP="007B52F1">
            <w:pPr>
              <w:ind w:right="170"/>
              <w:jc w:val="right"/>
              <w:rPr>
                <w:rFonts w:ascii="Arial" w:hAnsi="Arial" w:cs="Arial"/>
                <w:color w:val="000000"/>
                <w:sz w:val="16"/>
                <w:szCs w:val="16"/>
                <w:lang w:eastAsia="en-AU"/>
              </w:rPr>
            </w:pPr>
            <w:r w:rsidRPr="3C80A16B">
              <w:rPr>
                <w:rFonts w:ascii="Arial" w:hAnsi="Arial" w:cs="Arial"/>
                <w:color w:val="000000" w:themeColor="text1"/>
                <w:sz w:val="16"/>
                <w:szCs w:val="16"/>
                <w:lang w:eastAsia="en-AU"/>
              </w:rPr>
              <w:t xml:space="preserve">n.a. </w:t>
            </w:r>
            <w:r w:rsidRPr="3C80A16B">
              <w:rPr>
                <w:rFonts w:ascii="Arial" w:hAnsi="Arial" w:cs="Arial"/>
                <w:color w:val="000000" w:themeColor="text1"/>
                <w:sz w:val="16"/>
                <w:szCs w:val="16"/>
                <w:vertAlign w:val="superscript"/>
                <w:lang w:eastAsia="en-AU"/>
              </w:rPr>
              <w:t>(</w:t>
            </w:r>
            <w:r w:rsidR="2C44B1BF" w:rsidRPr="3C80A16B">
              <w:rPr>
                <w:rFonts w:ascii="Arial" w:hAnsi="Arial" w:cs="Arial"/>
                <w:color w:val="000000" w:themeColor="text1"/>
                <w:sz w:val="16"/>
                <w:szCs w:val="16"/>
                <w:vertAlign w:val="superscript"/>
                <w:lang w:eastAsia="en-AU"/>
              </w:rPr>
              <w:t>g</w:t>
            </w:r>
            <w:r w:rsidRPr="3C80A16B">
              <w:rPr>
                <w:rFonts w:ascii="Arial" w:hAnsi="Arial" w:cs="Arial"/>
                <w:color w:val="000000" w:themeColor="text1"/>
                <w:sz w:val="16"/>
                <w:szCs w:val="16"/>
                <w:vertAlign w:val="superscript"/>
                <w:lang w:eastAsia="en-AU"/>
              </w:rPr>
              <w:t>)</w:t>
            </w:r>
          </w:p>
        </w:tc>
      </w:tr>
      <w:tr w:rsidR="005C4FBC" w:rsidRPr="005C48EF" w14:paraId="52DE55A5" w14:textId="77777777" w:rsidTr="007B52F1">
        <w:trPr>
          <w:trHeight w:val="225"/>
        </w:trPr>
        <w:tc>
          <w:tcPr>
            <w:tcW w:w="6537" w:type="dxa"/>
            <w:tcBorders>
              <w:top w:val="nil"/>
              <w:left w:val="nil"/>
              <w:bottom w:val="nil"/>
              <w:right w:val="nil"/>
            </w:tcBorders>
            <w:shd w:val="clear" w:color="auto" w:fill="auto"/>
            <w:vAlign w:val="bottom"/>
            <w:hideMark/>
          </w:tcPr>
          <w:p w14:paraId="74C38371" w14:textId="77777777" w:rsidR="005C4FBC" w:rsidRPr="005C48EF" w:rsidRDefault="005C4FBC" w:rsidP="007B52F1">
            <w:pPr>
              <w:ind w:firstLineChars="300" w:firstLine="480"/>
              <w:rPr>
                <w:rFonts w:ascii="Arial" w:hAnsi="Arial" w:cs="Arial"/>
                <w:color w:val="000000"/>
                <w:sz w:val="16"/>
                <w:szCs w:val="16"/>
                <w:lang w:eastAsia="en-AU"/>
              </w:rPr>
            </w:pPr>
            <w:r w:rsidRPr="005C48EF">
              <w:rPr>
                <w:rFonts w:ascii="Arial" w:hAnsi="Arial" w:cs="Arial"/>
                <w:color w:val="000000"/>
                <w:sz w:val="16"/>
                <w:szCs w:val="16"/>
                <w:lang w:eastAsia="en-AU"/>
              </w:rPr>
              <w:t>Number of visitors to zoos</w:t>
            </w:r>
          </w:p>
        </w:tc>
        <w:tc>
          <w:tcPr>
            <w:tcW w:w="737" w:type="dxa"/>
            <w:tcBorders>
              <w:top w:val="nil"/>
              <w:left w:val="nil"/>
              <w:bottom w:val="nil"/>
              <w:right w:val="nil"/>
            </w:tcBorders>
            <w:shd w:val="clear" w:color="auto" w:fill="auto"/>
            <w:noWrap/>
            <w:vAlign w:val="bottom"/>
            <w:hideMark/>
          </w:tcPr>
          <w:p w14:paraId="0B967DB7"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million</w:t>
            </w:r>
          </w:p>
        </w:tc>
        <w:tc>
          <w:tcPr>
            <w:tcW w:w="1191" w:type="dxa"/>
            <w:tcBorders>
              <w:top w:val="nil"/>
              <w:left w:val="nil"/>
              <w:bottom w:val="nil"/>
              <w:right w:val="nil"/>
            </w:tcBorders>
            <w:shd w:val="clear" w:color="auto" w:fill="auto"/>
            <w:noWrap/>
            <w:vAlign w:val="bottom"/>
          </w:tcPr>
          <w:p w14:paraId="27618C1B" w14:textId="354E1EA5"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1.14 </w:t>
            </w:r>
            <w:r w:rsidRPr="005C48EF">
              <w:rPr>
                <w:rFonts w:ascii="Arial" w:hAnsi="Arial" w:cs="Arial"/>
                <w:color w:val="000000"/>
                <w:sz w:val="16"/>
                <w:szCs w:val="16"/>
                <w:vertAlign w:val="superscript"/>
                <w:lang w:eastAsia="en-AU"/>
              </w:rPr>
              <w:t>(a</w:t>
            </w:r>
            <w:r w:rsidR="00846B1C">
              <w:rPr>
                <w:rFonts w:ascii="Arial" w:hAnsi="Arial" w:cs="Arial"/>
                <w:color w:val="000000"/>
                <w:sz w:val="16"/>
                <w:szCs w:val="16"/>
                <w:vertAlign w:val="superscript"/>
                <w:lang w:eastAsia="en-AU"/>
              </w:rPr>
              <w:t>,</w:t>
            </w:r>
            <w:r w:rsidR="00467B08">
              <w:rPr>
                <w:rFonts w:ascii="Arial" w:hAnsi="Arial" w:cs="Arial"/>
                <w:color w:val="000000"/>
                <w:sz w:val="16"/>
                <w:szCs w:val="16"/>
                <w:vertAlign w:val="superscript"/>
                <w:lang w:eastAsia="en-AU"/>
              </w:rPr>
              <w:t>h</w:t>
            </w:r>
            <w:r w:rsidRPr="005C48EF">
              <w:rPr>
                <w:rFonts w:ascii="Arial" w:hAnsi="Arial" w:cs="Arial"/>
                <w:color w:val="000000"/>
                <w:sz w:val="16"/>
                <w:szCs w:val="16"/>
                <w:vertAlign w:val="superscript"/>
                <w:lang w:eastAsia="en-AU"/>
              </w:rPr>
              <w:t>)</w:t>
            </w:r>
          </w:p>
        </w:tc>
        <w:tc>
          <w:tcPr>
            <w:tcW w:w="1191" w:type="dxa"/>
            <w:tcBorders>
              <w:top w:val="nil"/>
              <w:left w:val="nil"/>
              <w:bottom w:val="nil"/>
              <w:right w:val="nil"/>
            </w:tcBorders>
            <w:shd w:val="clear" w:color="auto" w:fill="auto"/>
            <w:noWrap/>
            <w:vAlign w:val="bottom"/>
          </w:tcPr>
          <w:p w14:paraId="6448AB3E" w14:textId="6EC8D62D"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1.10</w:t>
            </w:r>
            <w:r w:rsidR="00AD12F0">
              <w:rPr>
                <w:rFonts w:ascii="Arial" w:hAnsi="Arial" w:cs="Arial"/>
                <w:color w:val="000000"/>
                <w:sz w:val="16"/>
                <w:szCs w:val="16"/>
                <w:lang w:eastAsia="en-AU"/>
              </w:rPr>
              <w:t xml:space="preserve"> </w:t>
            </w:r>
          </w:p>
        </w:tc>
      </w:tr>
      <w:tr w:rsidR="005C4FBC" w:rsidRPr="005C48EF" w14:paraId="36466346" w14:textId="77777777" w:rsidTr="007B52F1">
        <w:trPr>
          <w:trHeight w:val="408"/>
        </w:trPr>
        <w:tc>
          <w:tcPr>
            <w:tcW w:w="6537" w:type="dxa"/>
            <w:tcBorders>
              <w:top w:val="nil"/>
              <w:left w:val="nil"/>
              <w:bottom w:val="nil"/>
              <w:right w:val="nil"/>
            </w:tcBorders>
            <w:shd w:val="clear" w:color="auto" w:fill="auto"/>
            <w:vAlign w:val="bottom"/>
            <w:hideMark/>
          </w:tcPr>
          <w:p w14:paraId="368878E7" w14:textId="4E778C06" w:rsidR="005C4FBC" w:rsidRPr="005C48EF" w:rsidRDefault="005C4FBC" w:rsidP="007B52F1">
            <w:pPr>
              <w:rPr>
                <w:rFonts w:ascii="Arial" w:hAnsi="Arial" w:cs="Arial"/>
                <w:color w:val="000000"/>
                <w:sz w:val="16"/>
                <w:szCs w:val="16"/>
                <w:lang w:eastAsia="en-AU"/>
              </w:rPr>
            </w:pPr>
            <w:r w:rsidRPr="005C48EF">
              <w:rPr>
                <w:rFonts w:ascii="Arial" w:hAnsi="Arial" w:cs="Arial"/>
                <w:color w:val="000000"/>
                <w:sz w:val="16"/>
                <w:szCs w:val="16"/>
                <w:lang w:eastAsia="en-AU"/>
              </w:rPr>
              <w:t xml:space="preserve">Number </w:t>
            </w:r>
            <w:r w:rsidR="004C52CD">
              <w:rPr>
                <w:rFonts w:ascii="Arial" w:hAnsi="Arial" w:cs="Arial"/>
                <w:color w:val="000000"/>
                <w:sz w:val="16"/>
                <w:szCs w:val="16"/>
                <w:lang w:eastAsia="en-AU"/>
              </w:rPr>
              <w:t xml:space="preserve">of </w:t>
            </w:r>
            <w:r w:rsidRPr="005C48EF">
              <w:rPr>
                <w:rFonts w:ascii="Arial" w:hAnsi="Arial" w:cs="Arial"/>
                <w:color w:val="000000"/>
                <w:sz w:val="16"/>
                <w:szCs w:val="16"/>
                <w:lang w:eastAsia="en-AU"/>
              </w:rPr>
              <w:t xml:space="preserve">threatened, or previously locally extinct, species and ecological communities on track to be secure in the wild </w:t>
            </w:r>
          </w:p>
        </w:tc>
        <w:tc>
          <w:tcPr>
            <w:tcW w:w="737" w:type="dxa"/>
            <w:tcBorders>
              <w:top w:val="nil"/>
              <w:left w:val="nil"/>
              <w:bottom w:val="nil"/>
              <w:right w:val="nil"/>
            </w:tcBorders>
            <w:shd w:val="clear" w:color="auto" w:fill="auto"/>
            <w:noWrap/>
            <w:vAlign w:val="bottom"/>
            <w:hideMark/>
          </w:tcPr>
          <w:p w14:paraId="2C930737" w14:textId="77777777" w:rsidR="005C4FBC" w:rsidRPr="005C48EF" w:rsidRDefault="005C4FBC" w:rsidP="007B52F1">
            <w:pPr>
              <w:jc w:val="center"/>
              <w:rPr>
                <w:rFonts w:ascii="Arial" w:hAnsi="Arial" w:cs="Arial"/>
                <w:color w:val="000000"/>
                <w:sz w:val="16"/>
                <w:szCs w:val="16"/>
                <w:lang w:eastAsia="en-AU"/>
              </w:rPr>
            </w:pPr>
            <w:r w:rsidRPr="005C48EF">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tcPr>
          <w:p w14:paraId="1F88A5E5" w14:textId="77777777" w:rsidR="005C4FBC" w:rsidRPr="005C48EF" w:rsidRDefault="005C4FBC" w:rsidP="007B52F1">
            <w:pPr>
              <w:ind w:right="170"/>
              <w:jc w:val="right"/>
              <w:rPr>
                <w:rFonts w:ascii="Arial" w:hAnsi="Arial" w:cs="Arial"/>
                <w:color w:val="000000"/>
                <w:sz w:val="16"/>
                <w:szCs w:val="16"/>
                <w:lang w:eastAsia="en-AU"/>
              </w:rPr>
            </w:pPr>
            <w:r w:rsidRPr="005C48EF">
              <w:rPr>
                <w:rFonts w:ascii="Arial" w:hAnsi="Arial" w:cs="Arial"/>
                <w:color w:val="000000"/>
                <w:sz w:val="16"/>
                <w:szCs w:val="16"/>
                <w:lang w:eastAsia="en-AU"/>
              </w:rPr>
              <w:t xml:space="preserve">271 </w:t>
            </w:r>
            <w:r w:rsidRPr="005C48EF">
              <w:rPr>
                <w:rFonts w:ascii="Arial" w:hAnsi="Arial"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tcPr>
          <w:p w14:paraId="5850FEA8" w14:textId="77777777" w:rsidR="005C4FBC" w:rsidRPr="005C48EF" w:rsidRDefault="005C4FBC" w:rsidP="007B52F1">
            <w:pPr>
              <w:ind w:right="170"/>
              <w:jc w:val="right"/>
              <w:rPr>
                <w:rFonts w:ascii="Arial" w:hAnsi="Arial" w:cs="Arial"/>
                <w:color w:val="000000"/>
                <w:sz w:val="16"/>
                <w:szCs w:val="16"/>
                <w:vertAlign w:val="superscript"/>
                <w:lang w:eastAsia="en-AU"/>
              </w:rPr>
            </w:pPr>
            <w:r w:rsidRPr="005C48EF">
              <w:rPr>
                <w:rFonts w:ascii="Arial" w:hAnsi="Arial" w:cs="Arial"/>
                <w:color w:val="000000" w:themeColor="text1"/>
                <w:sz w:val="16"/>
                <w:szCs w:val="16"/>
                <w:lang w:eastAsia="en-AU"/>
              </w:rPr>
              <w:t xml:space="preserve">300 </w:t>
            </w:r>
          </w:p>
        </w:tc>
      </w:tr>
    </w:tbl>
    <w:p w14:paraId="01890055" w14:textId="77777777" w:rsidR="005C4FBC" w:rsidRPr="00CB78B7" w:rsidRDefault="005C4FBC" w:rsidP="005C4FBC">
      <w:pPr>
        <w:rPr>
          <w:rFonts w:ascii="Arial" w:eastAsia="Calibri" w:hAnsi="Arial" w:cs="Arial"/>
          <w:sz w:val="6"/>
          <w:szCs w:val="6"/>
          <w:lang w:eastAsia="zh-TW"/>
        </w:rPr>
      </w:pPr>
    </w:p>
    <w:p w14:paraId="7FDE5E71" w14:textId="46AA46AF" w:rsidR="005C4FBC" w:rsidRPr="00CB78B7" w:rsidRDefault="005C4FBC" w:rsidP="005C4FBC">
      <w:pPr>
        <w:autoSpaceDE w:val="0"/>
        <w:autoSpaceDN w:val="0"/>
        <w:adjustRightInd w:val="0"/>
        <w:rPr>
          <w:rFonts w:ascii="Arial" w:eastAsiaTheme="minorEastAsia" w:hAnsi="Arial" w:cs="Arial"/>
          <w:sz w:val="17"/>
          <w:szCs w:val="17"/>
          <w:lang w:eastAsia="en-AU"/>
        </w:rPr>
      </w:pPr>
      <w:r w:rsidRPr="00CB78B7">
        <w:rPr>
          <w:rFonts w:ascii="Arial" w:eastAsiaTheme="minorEastAsia" w:hAnsi="Arial" w:cs="Arial"/>
          <w:sz w:val="17"/>
          <w:szCs w:val="17"/>
          <w:lang w:eastAsia="en-AU"/>
        </w:rPr>
        <w:t>Notes</w:t>
      </w:r>
      <w:r w:rsidR="002D6D0F" w:rsidRPr="00CB78B7">
        <w:rPr>
          <w:rFonts w:ascii="Arial" w:eastAsiaTheme="minorEastAsia" w:hAnsi="Arial" w:cs="Arial"/>
          <w:sz w:val="17"/>
          <w:szCs w:val="17"/>
          <w:lang w:eastAsia="en-AU"/>
        </w:rPr>
        <w:t>:</w:t>
      </w:r>
    </w:p>
    <w:p w14:paraId="10DA23A5" w14:textId="77777777" w:rsidR="005C4FBC" w:rsidRPr="00CB78B7" w:rsidRDefault="005C4FBC"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2020-21 data is not yet available, and an estimate for 2020-21 has been provided.</w:t>
      </w:r>
    </w:p>
    <w:p w14:paraId="644AB588" w14:textId="01778C71" w:rsidR="42C97132" w:rsidRPr="00CB78B7" w:rsidRDefault="00B321D1" w:rsidP="42C97132">
      <w:pPr>
        <w:pStyle w:val="ListParagraph"/>
        <w:numPr>
          <w:ilvl w:val="0"/>
          <w:numId w:val="46"/>
        </w:numPr>
        <w:rPr>
          <w:rFonts w:cs="Arial"/>
          <w:sz w:val="17"/>
          <w:szCs w:val="17"/>
          <w:lang w:eastAsia="en-AU"/>
        </w:rPr>
      </w:pPr>
      <w:r w:rsidRPr="00CB78B7">
        <w:rPr>
          <w:rFonts w:cs="Arial"/>
          <w:sz w:val="17"/>
          <w:szCs w:val="17"/>
          <w:lang w:eastAsia="en-AU"/>
        </w:rPr>
        <w:t>H</w:t>
      </w:r>
      <w:r w:rsidR="003D6060" w:rsidRPr="00CB78B7">
        <w:rPr>
          <w:rFonts w:cs="Arial"/>
          <w:sz w:val="17"/>
          <w:szCs w:val="17"/>
          <w:lang w:eastAsia="en-AU"/>
        </w:rPr>
        <w:t>igh rainfall</w:t>
      </w:r>
      <w:r w:rsidR="0087012E" w:rsidRPr="00CB78B7">
        <w:rPr>
          <w:rFonts w:cs="Arial"/>
          <w:sz w:val="17"/>
          <w:szCs w:val="17"/>
          <w:lang w:eastAsia="en-AU"/>
        </w:rPr>
        <w:t xml:space="preserve"> events</w:t>
      </w:r>
      <w:r w:rsidR="009D7A3D" w:rsidRPr="00CB78B7">
        <w:rPr>
          <w:rFonts w:cs="Arial"/>
          <w:sz w:val="17"/>
          <w:szCs w:val="17"/>
          <w:lang w:eastAsia="en-AU"/>
        </w:rPr>
        <w:t xml:space="preserve"> </w:t>
      </w:r>
      <w:r w:rsidR="007A4EC4" w:rsidRPr="00CB78B7">
        <w:rPr>
          <w:rFonts w:cs="Arial"/>
          <w:sz w:val="17"/>
          <w:szCs w:val="17"/>
          <w:lang w:eastAsia="en-AU"/>
        </w:rPr>
        <w:t>over the State</w:t>
      </w:r>
      <w:r w:rsidR="006129C9" w:rsidRPr="00CB78B7">
        <w:rPr>
          <w:rFonts w:cs="Arial"/>
          <w:sz w:val="17"/>
          <w:szCs w:val="17"/>
          <w:lang w:eastAsia="en-AU"/>
        </w:rPr>
        <w:t xml:space="preserve"> and wetter </w:t>
      </w:r>
      <w:r w:rsidR="006924B9" w:rsidRPr="00CB78B7">
        <w:rPr>
          <w:rFonts w:cs="Arial"/>
          <w:sz w:val="17"/>
          <w:szCs w:val="17"/>
          <w:lang w:eastAsia="en-AU"/>
        </w:rPr>
        <w:t>conditions in</w:t>
      </w:r>
      <w:r w:rsidR="007A4EC4" w:rsidRPr="00CB78B7">
        <w:rPr>
          <w:rFonts w:cs="Arial"/>
          <w:sz w:val="17"/>
          <w:szCs w:val="17"/>
          <w:lang w:eastAsia="en-AU"/>
        </w:rPr>
        <w:t xml:space="preserve"> </w:t>
      </w:r>
      <w:r w:rsidR="001D2C0B">
        <w:rPr>
          <w:rFonts w:cs="Arial"/>
          <w:sz w:val="17"/>
          <w:szCs w:val="17"/>
          <w:lang w:eastAsia="en-AU"/>
        </w:rPr>
        <w:t>third quarter</w:t>
      </w:r>
      <w:r w:rsidRPr="00CB78B7">
        <w:rPr>
          <w:rFonts w:cs="Arial"/>
          <w:sz w:val="17"/>
          <w:szCs w:val="17"/>
          <w:lang w:eastAsia="en-AU"/>
        </w:rPr>
        <w:t xml:space="preserve"> of 2020-21</w:t>
      </w:r>
      <w:r w:rsidR="00CC4A4E" w:rsidRPr="00CB78B7">
        <w:rPr>
          <w:rFonts w:cs="Arial"/>
          <w:sz w:val="17"/>
          <w:szCs w:val="17"/>
          <w:lang w:eastAsia="en-AU"/>
        </w:rPr>
        <w:t xml:space="preserve"> have </w:t>
      </w:r>
      <w:r w:rsidR="00B1407C" w:rsidRPr="00CB78B7">
        <w:rPr>
          <w:rFonts w:cs="Arial"/>
          <w:sz w:val="17"/>
          <w:szCs w:val="17"/>
          <w:lang w:eastAsia="en-AU"/>
        </w:rPr>
        <w:t>positively</w:t>
      </w:r>
      <w:r w:rsidR="00CC4A4E" w:rsidRPr="00CB78B7">
        <w:rPr>
          <w:rFonts w:cs="Arial"/>
          <w:sz w:val="17"/>
          <w:szCs w:val="17"/>
          <w:lang w:eastAsia="en-AU"/>
        </w:rPr>
        <w:t xml:space="preserve"> influenced</w:t>
      </w:r>
      <w:r w:rsidRPr="00CB78B7">
        <w:rPr>
          <w:rFonts w:cs="Arial"/>
          <w:sz w:val="17"/>
          <w:szCs w:val="17"/>
          <w:lang w:eastAsia="en-AU"/>
        </w:rPr>
        <w:t xml:space="preserve"> the year end estimate for 2020-21</w:t>
      </w:r>
      <w:r w:rsidR="00994FBA" w:rsidRPr="00CB78B7">
        <w:rPr>
          <w:rFonts w:cs="Arial"/>
          <w:sz w:val="17"/>
          <w:szCs w:val="17"/>
          <w:lang w:eastAsia="en-AU"/>
        </w:rPr>
        <w:t>.</w:t>
      </w:r>
    </w:p>
    <w:p w14:paraId="1B962312" w14:textId="0E994E9F" w:rsidR="005C4FBC" w:rsidRPr="00CB78B7" w:rsidRDefault="005C4FBC"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While the aspiration is to have fewer environmental incidents overall, reports of incidents have been steady at around 8,900</w:t>
      </w:r>
      <w:r w:rsidR="00CC5553">
        <w:rPr>
          <w:rFonts w:eastAsiaTheme="minorEastAsia" w:cs="Arial"/>
          <w:sz w:val="17"/>
          <w:szCs w:val="17"/>
          <w:lang w:eastAsia="en-AU"/>
        </w:rPr>
        <w:t> </w:t>
      </w:r>
      <w:r w:rsidRPr="00CB78B7">
        <w:rPr>
          <w:rFonts w:eastAsiaTheme="minorEastAsia" w:cs="Arial"/>
          <w:sz w:val="17"/>
          <w:szCs w:val="17"/>
          <w:lang w:eastAsia="en-AU"/>
        </w:rPr>
        <w:t>per year. Reporting of incidents is encouraged through increased public awareness, education campaigns, and during extreme events (such as high rainfall events). EPA regularly seeks to improve access for citizens to report incidents through the EPA Environment Line and to improve reporting and management of incidents across local and state government and emergency services.</w:t>
      </w:r>
      <w:r w:rsidR="00BA4EE7" w:rsidRPr="00CB78B7">
        <w:rPr>
          <w:rFonts w:eastAsiaTheme="minorEastAsia" w:cs="Arial"/>
          <w:sz w:val="17"/>
          <w:szCs w:val="17"/>
          <w:lang w:eastAsia="en-AU"/>
        </w:rPr>
        <w:t xml:space="preserve"> </w:t>
      </w:r>
      <w:r w:rsidR="00FD7B9D" w:rsidRPr="00CB78B7">
        <w:rPr>
          <w:rFonts w:eastAsiaTheme="minorEastAsia" w:cs="Arial"/>
          <w:sz w:val="17"/>
          <w:szCs w:val="17"/>
          <w:lang w:eastAsia="en-AU"/>
        </w:rPr>
        <w:t>T</w:t>
      </w:r>
      <w:r w:rsidR="00BA4EE7" w:rsidRPr="00CB78B7">
        <w:rPr>
          <w:rFonts w:eastAsiaTheme="minorEastAsia" w:cs="Arial"/>
          <w:sz w:val="17"/>
          <w:szCs w:val="17"/>
          <w:lang w:eastAsia="en-AU"/>
        </w:rPr>
        <w:t>hese measures may lead to increases in the number of reported incidents</w:t>
      </w:r>
      <w:r w:rsidR="005D6884" w:rsidRPr="00CB78B7">
        <w:rPr>
          <w:rFonts w:eastAsiaTheme="minorEastAsia" w:cs="Arial"/>
          <w:sz w:val="17"/>
          <w:szCs w:val="17"/>
          <w:lang w:eastAsia="en-AU"/>
        </w:rPr>
        <w:t>.</w:t>
      </w:r>
      <w:r w:rsidRPr="00CB78B7">
        <w:rPr>
          <w:rFonts w:eastAsiaTheme="minorEastAsia" w:cs="Arial"/>
          <w:sz w:val="17"/>
          <w:szCs w:val="17"/>
          <w:lang w:eastAsia="en-AU"/>
        </w:rPr>
        <w:t xml:space="preserve">         </w:t>
      </w:r>
    </w:p>
    <w:p w14:paraId="69CC30DE" w14:textId="77777777" w:rsidR="005C4FBC" w:rsidRPr="00CB78B7" w:rsidRDefault="005C4FBC"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2021-22 forecast data available August 2021.</w:t>
      </w:r>
    </w:p>
    <w:p w14:paraId="597BB1DA" w14:textId="77777777" w:rsidR="005C4FBC" w:rsidRPr="00CB78B7" w:rsidRDefault="005C4FBC"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 xml:space="preserve">Performance will depend on individual outcomes of tenders and fixed price offers, as well as available budget. </w:t>
      </w:r>
    </w:p>
    <w:p w14:paraId="38C27EC3" w14:textId="62537F59" w:rsidR="005C4FBC" w:rsidRPr="00CB78B7" w:rsidRDefault="005C4FBC"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 xml:space="preserve">These figures are reported to </w:t>
      </w:r>
      <w:r w:rsidR="004C52CD">
        <w:rPr>
          <w:rFonts w:eastAsiaTheme="minorEastAsia" w:cs="Arial"/>
          <w:sz w:val="17"/>
          <w:szCs w:val="17"/>
          <w:lang w:eastAsia="en-AU"/>
        </w:rPr>
        <w:t>three</w:t>
      </w:r>
      <w:r w:rsidRPr="00CB78B7">
        <w:rPr>
          <w:rFonts w:eastAsiaTheme="minorEastAsia" w:cs="Arial"/>
          <w:sz w:val="17"/>
          <w:szCs w:val="17"/>
          <w:lang w:eastAsia="en-AU"/>
        </w:rPr>
        <w:t>decimal places, due to the magnitude of the numbers.</w:t>
      </w:r>
    </w:p>
    <w:p w14:paraId="523D6A5A" w14:textId="655CEB79" w:rsidR="00331ACA" w:rsidRPr="00CB78B7" w:rsidRDefault="005C4FBC"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 xml:space="preserve">2017-18 data has been provided, as 2019-20 data will not be available due to impacts of bushfires and COVID-19. </w:t>
      </w:r>
      <w:r w:rsidRPr="00CB78B7">
        <w:rPr>
          <w:rFonts w:cs="Arial"/>
          <w:sz w:val="17"/>
          <w:szCs w:val="17"/>
        </w:rPr>
        <w:br/>
      </w:r>
      <w:r w:rsidRPr="00CB78B7">
        <w:rPr>
          <w:rFonts w:eastAsiaTheme="minorEastAsia" w:cs="Arial"/>
          <w:sz w:val="17"/>
          <w:szCs w:val="17"/>
          <w:lang w:eastAsia="en-AU"/>
        </w:rPr>
        <w:t>New data will be available for 2021-22 (reported every two years).</w:t>
      </w:r>
    </w:p>
    <w:p w14:paraId="41F63B90" w14:textId="32DCA063" w:rsidR="00F070FF" w:rsidRPr="00CB78B7" w:rsidRDefault="00A6147A" w:rsidP="005C4FBC">
      <w:pPr>
        <w:pStyle w:val="ListParagraph"/>
        <w:numPr>
          <w:ilvl w:val="0"/>
          <w:numId w:val="46"/>
        </w:numPr>
        <w:autoSpaceDE w:val="0"/>
        <w:autoSpaceDN w:val="0"/>
        <w:adjustRightInd w:val="0"/>
        <w:rPr>
          <w:rFonts w:eastAsiaTheme="minorEastAsia" w:cs="Arial"/>
          <w:sz w:val="17"/>
          <w:szCs w:val="17"/>
          <w:lang w:eastAsia="en-AU"/>
        </w:rPr>
      </w:pPr>
      <w:r w:rsidRPr="00CB78B7">
        <w:rPr>
          <w:rFonts w:eastAsiaTheme="minorEastAsia" w:cs="Arial"/>
          <w:sz w:val="17"/>
          <w:szCs w:val="17"/>
          <w:lang w:eastAsia="en-AU"/>
        </w:rPr>
        <w:t xml:space="preserve">The Dine &amp; Discover NSW program has contributed to strong </w:t>
      </w:r>
      <w:r w:rsidR="00E65D21" w:rsidRPr="00CB78B7">
        <w:rPr>
          <w:rFonts w:eastAsiaTheme="minorEastAsia" w:cs="Arial"/>
          <w:sz w:val="17"/>
          <w:szCs w:val="17"/>
          <w:lang w:eastAsia="en-AU"/>
        </w:rPr>
        <w:t>performance in the last half of 2020-21</w:t>
      </w:r>
      <w:r w:rsidR="009814A2" w:rsidRPr="00CB78B7">
        <w:rPr>
          <w:rFonts w:eastAsiaTheme="minorEastAsia" w:cs="Arial"/>
          <w:sz w:val="17"/>
          <w:szCs w:val="17"/>
          <w:lang w:eastAsia="en-AU"/>
        </w:rPr>
        <w:t xml:space="preserve">. </w:t>
      </w:r>
      <w:r w:rsidR="00833DDD" w:rsidRPr="00CB78B7">
        <w:rPr>
          <w:rFonts w:eastAsiaTheme="minorEastAsia" w:cs="Arial"/>
          <w:sz w:val="17"/>
          <w:szCs w:val="17"/>
          <w:lang w:eastAsia="en-AU"/>
        </w:rPr>
        <w:t xml:space="preserve">COVID-19 </w:t>
      </w:r>
      <w:r w:rsidR="007C7AEF" w:rsidRPr="00CB78B7">
        <w:rPr>
          <w:rFonts w:eastAsiaTheme="minorEastAsia" w:cs="Arial"/>
          <w:sz w:val="17"/>
          <w:szCs w:val="17"/>
          <w:lang w:eastAsia="en-AU"/>
        </w:rPr>
        <w:t xml:space="preserve">related restrictions </w:t>
      </w:r>
      <w:r w:rsidR="00B2705F" w:rsidRPr="00CB78B7">
        <w:rPr>
          <w:rFonts w:eastAsiaTheme="minorEastAsia" w:cs="Arial"/>
          <w:sz w:val="17"/>
          <w:szCs w:val="17"/>
          <w:lang w:eastAsia="en-AU"/>
        </w:rPr>
        <w:t>(i</w:t>
      </w:r>
      <w:r w:rsidR="00F15F23" w:rsidRPr="00CB78B7">
        <w:rPr>
          <w:rFonts w:eastAsiaTheme="minorEastAsia" w:cs="Arial"/>
          <w:sz w:val="17"/>
          <w:szCs w:val="17"/>
          <w:lang w:eastAsia="en-AU"/>
        </w:rPr>
        <w:t xml:space="preserve">.e. overseas </w:t>
      </w:r>
      <w:r w:rsidR="00475242" w:rsidRPr="00CB78B7">
        <w:rPr>
          <w:rFonts w:eastAsiaTheme="minorEastAsia" w:cs="Arial"/>
          <w:sz w:val="17"/>
          <w:szCs w:val="17"/>
          <w:lang w:eastAsia="en-AU"/>
        </w:rPr>
        <w:t>tourist</w:t>
      </w:r>
      <w:r w:rsidR="00796EA6" w:rsidRPr="00CB78B7">
        <w:rPr>
          <w:rFonts w:eastAsiaTheme="minorEastAsia" w:cs="Arial"/>
          <w:sz w:val="17"/>
          <w:szCs w:val="17"/>
          <w:lang w:eastAsia="en-AU"/>
        </w:rPr>
        <w:t xml:space="preserve"> limits)</w:t>
      </w:r>
      <w:r w:rsidR="007C7AEF" w:rsidRPr="00CB78B7">
        <w:rPr>
          <w:rFonts w:eastAsiaTheme="minorEastAsia" w:cs="Arial"/>
          <w:sz w:val="17"/>
          <w:szCs w:val="17"/>
          <w:lang w:eastAsia="en-AU"/>
        </w:rPr>
        <w:t xml:space="preserve"> </w:t>
      </w:r>
      <w:r w:rsidR="00A006DC" w:rsidRPr="00CB78B7">
        <w:rPr>
          <w:rFonts w:eastAsiaTheme="minorEastAsia" w:cs="Arial"/>
          <w:sz w:val="17"/>
          <w:szCs w:val="17"/>
          <w:lang w:eastAsia="en-AU"/>
        </w:rPr>
        <w:t>will continue to impact visitation in 2021-22</w:t>
      </w:r>
      <w:r w:rsidR="00231882" w:rsidRPr="00CB78B7">
        <w:rPr>
          <w:rFonts w:eastAsiaTheme="minorEastAsia" w:cs="Arial"/>
          <w:sz w:val="17"/>
          <w:szCs w:val="17"/>
          <w:lang w:eastAsia="en-AU"/>
        </w:rPr>
        <w:t xml:space="preserve"> (and </w:t>
      </w:r>
      <w:r w:rsidR="00A85881" w:rsidRPr="00CB78B7">
        <w:rPr>
          <w:rFonts w:eastAsiaTheme="minorEastAsia" w:cs="Arial"/>
          <w:sz w:val="17"/>
          <w:szCs w:val="17"/>
          <w:lang w:eastAsia="en-AU"/>
        </w:rPr>
        <w:t>beyond).</w:t>
      </w:r>
    </w:p>
    <w:p w14:paraId="0DC0DB77" w14:textId="77777777" w:rsidR="00791039" w:rsidRPr="000823D2" w:rsidRDefault="00791039" w:rsidP="00331ACA">
      <w:pPr>
        <w:autoSpaceDE w:val="0"/>
        <w:autoSpaceDN w:val="0"/>
        <w:adjustRightInd w:val="0"/>
        <w:rPr>
          <w:rFonts w:ascii="Arial" w:eastAsiaTheme="minorEastAsia" w:hAnsi="Arial" w:cs="Arial"/>
          <w:sz w:val="23"/>
          <w:szCs w:val="23"/>
          <w:lang w:eastAsia="en-AU"/>
        </w:rPr>
      </w:pPr>
    </w:p>
    <w:p w14:paraId="0FFD72C4" w14:textId="0675B275" w:rsidR="00791039" w:rsidRPr="000823D2" w:rsidRDefault="00791039">
      <w:pPr>
        <w:rPr>
          <w:rFonts w:ascii="Arial" w:eastAsiaTheme="minorEastAsia" w:hAnsi="Arial" w:cs="Arial"/>
          <w:sz w:val="23"/>
          <w:szCs w:val="23"/>
          <w:lang w:eastAsia="en-AU"/>
        </w:rPr>
      </w:pPr>
      <w:r w:rsidRPr="000823D2">
        <w:rPr>
          <w:rFonts w:ascii="Arial" w:eastAsiaTheme="minorEastAsia" w:hAnsi="Arial" w:cs="Arial"/>
          <w:sz w:val="23"/>
          <w:szCs w:val="23"/>
          <w:lang w:eastAsia="en-AU"/>
        </w:rPr>
        <w:br w:type="page"/>
      </w:r>
    </w:p>
    <w:p w14:paraId="6F8F7F87" w14:textId="769C545C" w:rsidR="00E633CC" w:rsidRPr="00E633CC" w:rsidRDefault="00ED0897" w:rsidP="00E633CC">
      <w:pPr>
        <w:pStyle w:val="Heading2"/>
        <w:rPr>
          <w:rFonts w:ascii="Arial" w:hAnsi="Arial" w:cs="Arial"/>
        </w:rPr>
      </w:pPr>
      <w:r>
        <w:rPr>
          <w:rFonts w:ascii="Arial" w:hAnsi="Arial" w:cs="Arial"/>
        </w:rPr>
        <w:lastRenderedPageBreak/>
        <w:t xml:space="preserve">Outcome 2: </w:t>
      </w:r>
      <w:r w:rsidR="005C4FBC" w:rsidRPr="001D27F3">
        <w:t>Create</w:t>
      </w:r>
      <w:r w:rsidR="005C4FBC" w:rsidRPr="705D6A5A">
        <w:t xml:space="preserve"> a strong and liveable NSW</w:t>
      </w:r>
    </w:p>
    <w:p w14:paraId="7B5E9F80" w14:textId="2B67027A" w:rsidR="00011CAE" w:rsidRDefault="00E633CC" w:rsidP="00912506">
      <w:pPr>
        <w:pStyle w:val="Heading3"/>
      </w:pPr>
      <w:r>
        <w:rPr>
          <w:rFonts w:cs="Arial"/>
        </w:rPr>
        <w:t>S</w:t>
      </w:r>
      <w:r w:rsidRPr="003A0DAC">
        <w:rPr>
          <w:rFonts w:cs="Arial"/>
        </w:rPr>
        <w:t>tate Outcome overview and 202</w:t>
      </w:r>
      <w:r w:rsidR="00F74499">
        <w:rPr>
          <w:rFonts w:cs="Arial"/>
        </w:rPr>
        <w:t>1</w:t>
      </w:r>
      <w:r w:rsidRPr="003A0DAC">
        <w:rPr>
          <w:rFonts w:cs="Arial"/>
        </w:rPr>
        <w:t>-2</w:t>
      </w:r>
      <w:r w:rsidR="00F74499">
        <w:rPr>
          <w:rFonts w:cs="Arial"/>
        </w:rPr>
        <w:t>2</w:t>
      </w:r>
      <w:r w:rsidRPr="003A0DAC">
        <w:rPr>
          <w:rFonts w:cs="Arial"/>
        </w:rPr>
        <w:t xml:space="preserve"> investment</w:t>
      </w:r>
    </w:p>
    <w:tbl>
      <w:tblPr>
        <w:tblpPr w:leftFromText="180" w:rightFromText="180" w:vertAnchor="text" w:horzAnchor="margin" w:tblpXSpec="right" w:tblpY="18"/>
        <w:tblW w:w="1716" w:type="pct"/>
        <w:shd w:val="clear" w:color="auto" w:fill="F2F2F2" w:themeFill="background1" w:themeFillShade="F2"/>
        <w:tblCellMar>
          <w:left w:w="115" w:type="dxa"/>
          <w:right w:w="115" w:type="dxa"/>
        </w:tblCellMar>
        <w:tblLook w:val="04A0" w:firstRow="1" w:lastRow="0" w:firstColumn="1" w:lastColumn="0" w:noHBand="0" w:noVBand="1"/>
        <w:tblCaption w:val="4.4 Outcome 2: Create a strong and liveable NSW"/>
        <w:tblDescription w:val="4.4 Outcome 2: Create a strong and liveable NSW"/>
      </w:tblPr>
      <w:tblGrid>
        <w:gridCol w:w="1144"/>
        <w:gridCol w:w="967"/>
        <w:gridCol w:w="1197"/>
      </w:tblGrid>
      <w:tr w:rsidR="00294B1F" w:rsidRPr="00F8244B" w14:paraId="443DE9C7" w14:textId="77777777" w:rsidTr="00294B1F">
        <w:trPr>
          <w:cantSplit/>
          <w:trHeight w:val="784"/>
        </w:trPr>
        <w:tc>
          <w:tcPr>
            <w:tcW w:w="1729" w:type="pct"/>
            <w:shd w:val="clear" w:color="auto" w:fill="F2F2F2" w:themeFill="background1" w:themeFillShade="F2"/>
            <w:vAlign w:val="center"/>
          </w:tcPr>
          <w:p w14:paraId="70B08CB1" w14:textId="77777777" w:rsidR="00294B1F" w:rsidRPr="00F8244B" w:rsidRDefault="00294B1F" w:rsidP="00294B1F">
            <w:pPr>
              <w:spacing w:before="120" w:after="120"/>
              <w:rPr>
                <w:rFonts w:ascii="Arial" w:hAnsi="Arial" w:cs="Arial"/>
                <w:sz w:val="23"/>
                <w:szCs w:val="23"/>
              </w:rPr>
            </w:pPr>
            <w:r>
              <w:rPr>
                <w:rFonts w:ascii="Arial" w:hAnsi="Arial" w:cs="Arial"/>
                <w:noProof/>
              </w:rPr>
              <w:drawing>
                <wp:inline distT="0" distB="0" distL="0" distR="0" wp14:anchorId="3789A72A" wp14:editId="36DED68B">
                  <wp:extent cx="518160" cy="5184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40125C82" w14:textId="77777777" w:rsidR="00294B1F" w:rsidRPr="00F8244B" w:rsidRDefault="00294B1F" w:rsidP="00294B1F">
            <w:pPr>
              <w:spacing w:before="120" w:after="120"/>
              <w:jc w:val="center"/>
              <w:rPr>
                <w:rFonts w:ascii="Arial" w:hAnsi="Arial" w:cs="Arial"/>
                <w:color w:val="00ABE6"/>
                <w:sz w:val="18"/>
                <w:szCs w:val="18"/>
              </w:rPr>
            </w:pPr>
            <w:r w:rsidRPr="008018D0">
              <w:rPr>
                <w:rFonts w:ascii="Arial" w:hAnsi="Arial" w:cs="Arial"/>
                <w:color w:val="008EBA"/>
                <w:sz w:val="18"/>
                <w:szCs w:val="18"/>
              </w:rPr>
              <w:t>$1.1 billion</w:t>
            </w:r>
          </w:p>
        </w:tc>
        <w:tc>
          <w:tcPr>
            <w:tcW w:w="1809" w:type="pct"/>
            <w:shd w:val="clear" w:color="auto" w:fill="F2F2F2" w:themeFill="background1" w:themeFillShade="F2"/>
            <w:vAlign w:val="center"/>
          </w:tcPr>
          <w:p w14:paraId="1B73CAF5" w14:textId="77777777" w:rsidR="00294B1F" w:rsidRPr="00F8244B" w:rsidRDefault="00294B1F" w:rsidP="00294B1F">
            <w:pPr>
              <w:rPr>
                <w:rFonts w:ascii="Arial" w:hAnsi="Arial" w:cs="Arial"/>
                <w:color w:val="00ABE6"/>
                <w:sz w:val="18"/>
                <w:szCs w:val="18"/>
              </w:rPr>
            </w:pPr>
            <w:r w:rsidRPr="00BF4D60">
              <w:rPr>
                <w:rFonts w:ascii="Arial" w:hAnsi="Arial" w:cs="Arial"/>
                <w:color w:val="008EBA"/>
                <w:sz w:val="18"/>
                <w:szCs w:val="18"/>
              </w:rPr>
              <w:t>Recurrent</w:t>
            </w:r>
            <w:r w:rsidRPr="00BF4D60">
              <w:rPr>
                <w:rFonts w:ascii="Arial" w:hAnsi="Arial" w:cs="Arial"/>
                <w:color w:val="008EBA"/>
                <w:sz w:val="18"/>
                <w:szCs w:val="18"/>
              </w:rPr>
              <w:br/>
              <w:t xml:space="preserve">Expenses </w:t>
            </w:r>
            <w:r w:rsidRPr="00BF4D60">
              <w:rPr>
                <w:rFonts w:ascii="Arial" w:hAnsi="Arial" w:cs="Arial"/>
                <w:color w:val="008EBA"/>
                <w:sz w:val="18"/>
                <w:szCs w:val="18"/>
              </w:rPr>
              <w:br/>
              <w:t>2021-22</w:t>
            </w:r>
          </w:p>
        </w:tc>
      </w:tr>
      <w:tr w:rsidR="00294B1F" w:rsidRPr="00F8244B" w14:paraId="2896AD78" w14:textId="77777777" w:rsidTr="00294B1F">
        <w:trPr>
          <w:cantSplit/>
          <w:trHeight w:val="784"/>
        </w:trPr>
        <w:tc>
          <w:tcPr>
            <w:tcW w:w="1729" w:type="pct"/>
            <w:shd w:val="clear" w:color="auto" w:fill="F2F2F2" w:themeFill="background1" w:themeFillShade="F2"/>
            <w:vAlign w:val="center"/>
          </w:tcPr>
          <w:p w14:paraId="163E49CB" w14:textId="77777777" w:rsidR="00294B1F" w:rsidRPr="00F8244B" w:rsidRDefault="00294B1F" w:rsidP="00294B1F">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1DD955A2" wp14:editId="35B6F81A">
                  <wp:extent cx="518160" cy="5184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6EA1A3B2" w14:textId="77777777" w:rsidR="00294B1F" w:rsidRPr="00F8244B" w:rsidRDefault="00294B1F" w:rsidP="00294B1F">
            <w:pPr>
              <w:spacing w:before="120" w:after="120"/>
              <w:jc w:val="center"/>
              <w:rPr>
                <w:rFonts w:ascii="Arial" w:hAnsi="Arial" w:cs="Arial"/>
                <w:color w:val="00ABE6"/>
                <w:sz w:val="18"/>
                <w:szCs w:val="18"/>
              </w:rPr>
            </w:pPr>
            <w:r w:rsidRPr="008018D0">
              <w:rPr>
                <w:rFonts w:ascii="Arial" w:hAnsi="Arial" w:cs="Arial"/>
                <w:color w:val="008EBA"/>
                <w:sz w:val="18"/>
                <w:szCs w:val="18"/>
              </w:rPr>
              <w:t>$</w:t>
            </w:r>
            <w:r>
              <w:rPr>
                <w:rFonts w:ascii="Arial" w:hAnsi="Arial" w:cs="Arial"/>
                <w:color w:val="008EBA"/>
                <w:sz w:val="18"/>
                <w:szCs w:val="18"/>
              </w:rPr>
              <w:t>33.4</w:t>
            </w:r>
            <w:r w:rsidRPr="008018D0">
              <w:rPr>
                <w:rFonts w:ascii="Arial" w:hAnsi="Arial" w:cs="Arial"/>
                <w:color w:val="008EBA"/>
                <w:sz w:val="18"/>
                <w:szCs w:val="18"/>
              </w:rPr>
              <w:t xml:space="preserve"> million</w:t>
            </w:r>
          </w:p>
        </w:tc>
        <w:tc>
          <w:tcPr>
            <w:tcW w:w="1809" w:type="pct"/>
            <w:shd w:val="clear" w:color="auto" w:fill="F2F2F2" w:themeFill="background1" w:themeFillShade="F2"/>
            <w:vAlign w:val="center"/>
          </w:tcPr>
          <w:p w14:paraId="4A11D149" w14:textId="77777777" w:rsidR="00294B1F" w:rsidRPr="00F8244B" w:rsidRDefault="00294B1F" w:rsidP="00294B1F">
            <w:pPr>
              <w:rPr>
                <w:rFonts w:ascii="Arial" w:hAnsi="Arial" w:cs="Arial"/>
                <w:color w:val="00ABE6"/>
                <w:sz w:val="18"/>
                <w:szCs w:val="18"/>
              </w:rPr>
            </w:pPr>
            <w:r w:rsidRPr="00BF4D60">
              <w:rPr>
                <w:rFonts w:ascii="Arial" w:hAnsi="Arial" w:cs="Arial"/>
                <w:color w:val="008EBA"/>
                <w:sz w:val="18"/>
                <w:szCs w:val="18"/>
              </w:rPr>
              <w:t>Capital</w:t>
            </w:r>
            <w:r w:rsidRPr="00BF4D60">
              <w:rPr>
                <w:rFonts w:ascii="Arial" w:hAnsi="Arial" w:cs="Arial"/>
                <w:color w:val="008EBA"/>
                <w:sz w:val="18"/>
                <w:szCs w:val="18"/>
              </w:rPr>
              <w:br/>
              <w:t>Expenditure</w:t>
            </w:r>
            <w:r w:rsidRPr="00BF4D60">
              <w:rPr>
                <w:rFonts w:ascii="Arial" w:hAnsi="Arial" w:cs="Arial"/>
                <w:color w:val="008EBA"/>
                <w:sz w:val="18"/>
                <w:szCs w:val="18"/>
              </w:rPr>
              <w:br/>
              <w:t>2021-22</w:t>
            </w:r>
          </w:p>
        </w:tc>
      </w:tr>
    </w:tbl>
    <w:p w14:paraId="7C24FB81" w14:textId="77777777" w:rsidR="005C4FBC" w:rsidRPr="00727D88" w:rsidRDefault="005C4FBC" w:rsidP="00F14474">
      <w:pPr>
        <w:pStyle w:val="BodyText"/>
      </w:pPr>
      <w:r w:rsidRPr="5BD68C84">
        <w:t>Planning for great places that create the conditions for prosperity, economic development, innovation and jobs, delivering infrastructure and a diverse housing mix that responds to the needs of communities, and securing environmental sustainability, good design, greener places and safe and inclusive public spaces that bring communities together.</w:t>
      </w:r>
    </w:p>
    <w:p w14:paraId="31D1832B" w14:textId="12144AFF" w:rsidR="005C4FBC" w:rsidRPr="002D6D0F" w:rsidRDefault="005C4FBC" w:rsidP="009F5B52">
      <w:pPr>
        <w:pStyle w:val="BodyText"/>
      </w:pPr>
      <w:r w:rsidRPr="5BD68C84">
        <w:t>Th</w:t>
      </w:r>
      <w:r>
        <w:t>is</w:t>
      </w:r>
      <w:r w:rsidRPr="5BD68C84">
        <w:t xml:space="preserve"> State Outcome comprises initiatives aim</w:t>
      </w:r>
      <w:r w:rsidR="00140A7E">
        <w:t>ed</w:t>
      </w:r>
      <w:r w:rsidRPr="5BD68C84">
        <w:t xml:space="preserve"> </w:t>
      </w:r>
      <w:r w:rsidR="008B0113">
        <w:t>at</w:t>
      </w:r>
      <w:r w:rsidRPr="5BD68C84">
        <w:t xml:space="preserve"> improv</w:t>
      </w:r>
      <w:r w:rsidR="00140A7E">
        <w:t>ing</w:t>
      </w:r>
      <w:r w:rsidRPr="5BD68C84">
        <w:t xml:space="preserve"> liveability across New</w:t>
      </w:r>
      <w:r w:rsidR="00454AF3">
        <w:t> </w:t>
      </w:r>
      <w:r w:rsidRPr="5BD68C84">
        <w:t>South</w:t>
      </w:r>
      <w:r w:rsidR="00454AF3">
        <w:t> </w:t>
      </w:r>
      <w:r w:rsidRPr="5BD68C84">
        <w:t>Wales with enhanced open, green and public spaces</w:t>
      </w:r>
      <w:r w:rsidR="00140A7E">
        <w:t>, delivering</w:t>
      </w:r>
      <w:r w:rsidR="00065F08">
        <w:t xml:space="preserve"> </w:t>
      </w:r>
      <w:r w:rsidRPr="5BD68C84">
        <w:t xml:space="preserve">planning efficiencies </w:t>
      </w:r>
      <w:r w:rsidR="00140A7E">
        <w:t>to drive productivity</w:t>
      </w:r>
      <w:r>
        <w:t>,</w:t>
      </w:r>
      <w:r w:rsidRPr="5BD68C84">
        <w:t xml:space="preserve"> increas</w:t>
      </w:r>
      <w:r w:rsidR="00065F08">
        <w:t>ing</w:t>
      </w:r>
      <w:r w:rsidRPr="5BD68C84">
        <w:t xml:space="preserve"> housing supply and </w:t>
      </w:r>
      <w:r w:rsidR="00065F08">
        <w:t xml:space="preserve">enabling </w:t>
      </w:r>
      <w:r w:rsidRPr="5BD68C84">
        <w:t xml:space="preserve">infrastructure </w:t>
      </w:r>
      <w:r w:rsidR="00065F08">
        <w:t xml:space="preserve">delivery </w:t>
      </w:r>
      <w:r w:rsidRPr="5BD68C84">
        <w:t xml:space="preserve">in </w:t>
      </w:r>
      <w:r w:rsidRPr="002D6D0F">
        <w:t xml:space="preserve">growth areas </w:t>
      </w:r>
      <w:r w:rsidR="00065F08">
        <w:t>to create</w:t>
      </w:r>
      <w:r w:rsidRPr="002D6D0F">
        <w:t xml:space="preserve"> healthy, connected and prosperous places.</w:t>
      </w:r>
    </w:p>
    <w:p w14:paraId="2D1161A5" w14:textId="0DBFD423" w:rsidR="00EE0D62" w:rsidRPr="002D6D0F" w:rsidRDefault="00EE0D62" w:rsidP="008E179C">
      <w:pPr>
        <w:pStyle w:val="BodyText"/>
      </w:pPr>
      <w:r w:rsidRPr="002D6D0F">
        <w:t xml:space="preserve">Delivery </w:t>
      </w:r>
      <w:r w:rsidR="00D37DD8">
        <w:t>of</w:t>
      </w:r>
      <w:r w:rsidR="00D37DD8" w:rsidRPr="002D6D0F">
        <w:t xml:space="preserve"> </w:t>
      </w:r>
      <w:r w:rsidRPr="002D6D0F">
        <w:t xml:space="preserve">this </w:t>
      </w:r>
      <w:r w:rsidR="00816203" w:rsidRPr="002D6D0F">
        <w:t>O</w:t>
      </w:r>
      <w:r w:rsidRPr="002D6D0F">
        <w:t xml:space="preserve">utcome is shared between </w:t>
      </w:r>
      <w:r w:rsidR="00774927" w:rsidRPr="002D6D0F">
        <w:t>P</w:t>
      </w:r>
      <w:r w:rsidR="00774927">
        <w:t>lace</w:t>
      </w:r>
      <w:r w:rsidR="00774927" w:rsidRPr="002D6D0F">
        <w:t xml:space="preserve"> </w:t>
      </w:r>
      <w:r w:rsidRPr="002D6D0F">
        <w:t xml:space="preserve">Design and Public Spaces, Planning and Assessment and Housing and Property. </w:t>
      </w:r>
    </w:p>
    <w:p w14:paraId="16897C10" w14:textId="7F736FAB" w:rsidR="006C02FB" w:rsidRPr="002D6D0F" w:rsidRDefault="00E633CC" w:rsidP="001A05EE">
      <w:pPr>
        <w:pStyle w:val="Heading3"/>
        <w:rPr>
          <w:rFonts w:cs="Arial"/>
        </w:rPr>
      </w:pPr>
      <w:r w:rsidRPr="002D6D0F">
        <w:rPr>
          <w:rFonts w:cs="Arial"/>
        </w:rPr>
        <w:t>202</w:t>
      </w:r>
      <w:r w:rsidR="00A7498E" w:rsidRPr="002D6D0F">
        <w:rPr>
          <w:rFonts w:cs="Arial"/>
        </w:rPr>
        <w:t>1</w:t>
      </w:r>
      <w:r w:rsidRPr="002D6D0F">
        <w:rPr>
          <w:rFonts w:cs="Arial"/>
        </w:rPr>
        <w:t>-2</w:t>
      </w:r>
      <w:r w:rsidR="00A7498E" w:rsidRPr="002D6D0F">
        <w:rPr>
          <w:rFonts w:cs="Arial"/>
        </w:rPr>
        <w:t>2</w:t>
      </w:r>
      <w:r w:rsidRPr="002D6D0F">
        <w:rPr>
          <w:rFonts w:cs="Arial"/>
        </w:rPr>
        <w:t xml:space="preserve"> </w:t>
      </w:r>
      <w:r w:rsidR="00ED0897" w:rsidRPr="002D6D0F">
        <w:rPr>
          <w:rFonts w:cs="Arial"/>
        </w:rPr>
        <w:t xml:space="preserve">State Outcome </w:t>
      </w:r>
      <w:r w:rsidRPr="002D6D0F">
        <w:rPr>
          <w:rFonts w:cs="Arial"/>
        </w:rPr>
        <w:t xml:space="preserve">Budget </w:t>
      </w:r>
      <w:r w:rsidR="00ED0897" w:rsidRPr="002D6D0F">
        <w:rPr>
          <w:rFonts w:cs="Arial"/>
        </w:rPr>
        <w:t>h</w:t>
      </w:r>
      <w:r w:rsidRPr="002D6D0F">
        <w:rPr>
          <w:rFonts w:cs="Arial"/>
        </w:rPr>
        <w:t xml:space="preserve">ighlights </w:t>
      </w:r>
    </w:p>
    <w:p w14:paraId="5CF08951" w14:textId="7AC3D5E0" w:rsidR="005C4FBC" w:rsidRPr="002D6D0F" w:rsidRDefault="005C4FBC" w:rsidP="00AD12F0">
      <w:pPr>
        <w:pStyle w:val="BodyText"/>
      </w:pPr>
      <w:r w:rsidRPr="002D6D0F">
        <w:t>In 2021-22, the Planning, Industry and Environment Cluster will invest $1.2 billion ($1.1 billion recurrent expenses and $</w:t>
      </w:r>
      <w:r w:rsidR="00BA5C58">
        <w:t>33.4</w:t>
      </w:r>
      <w:r w:rsidRPr="002D6D0F">
        <w:t> million capital expenditure) in this Outcome, including:</w:t>
      </w:r>
    </w:p>
    <w:p w14:paraId="12D0D7D9" w14:textId="42F588A9" w:rsidR="005C4FBC" w:rsidRPr="00093A5D" w:rsidRDefault="005C4FBC" w:rsidP="009F5B52">
      <w:pPr>
        <w:pStyle w:val="Bullet1"/>
      </w:pPr>
      <w:r w:rsidRPr="002D6D0F">
        <w:t>$</w:t>
      </w:r>
      <w:r w:rsidR="00F97C61" w:rsidRPr="002D6D0F">
        <w:t>179</w:t>
      </w:r>
      <w:r w:rsidR="00B70D93" w:rsidRPr="002D6D0F">
        <w:t xml:space="preserve">.9 </w:t>
      </w:r>
      <w:r w:rsidRPr="002D6D0F">
        <w:t>million ($</w:t>
      </w:r>
      <w:r w:rsidR="00FC2E7B" w:rsidRPr="002D6D0F">
        <w:t>328.</w:t>
      </w:r>
      <w:r w:rsidR="00797196" w:rsidRPr="002D6D0F">
        <w:t>3</w:t>
      </w:r>
      <w:r w:rsidR="00FC2E7B" w:rsidRPr="002D6D0F">
        <w:t xml:space="preserve"> </w:t>
      </w:r>
      <w:r w:rsidRPr="002D6D0F">
        <w:t xml:space="preserve">million recurrent expenses and $36.3 million capital expenditure over four years) to deliver the NSW Planning Reform Action Plan to improve the </w:t>
      </w:r>
      <w:r w:rsidR="00006A0E" w:rsidRPr="002D6D0F">
        <w:t>timeliness, transparency</w:t>
      </w:r>
      <w:r w:rsidR="00006A0E">
        <w:t xml:space="preserve"> and </w:t>
      </w:r>
      <w:r w:rsidR="00BE7827">
        <w:t xml:space="preserve">certainty </w:t>
      </w:r>
      <w:r w:rsidRPr="00EC3879">
        <w:t xml:space="preserve">of the </w:t>
      </w:r>
      <w:r w:rsidR="0014073E">
        <w:t>S</w:t>
      </w:r>
      <w:r w:rsidR="0014073E" w:rsidRPr="00EC3879">
        <w:t xml:space="preserve">tate’s </w:t>
      </w:r>
      <w:r w:rsidRPr="00EC3879">
        <w:t>planning system. This includes $</w:t>
      </w:r>
      <w:r w:rsidRPr="00093A5D">
        <w:t>86.9 million ($173.8</w:t>
      </w:r>
      <w:r w:rsidRPr="009E6F38">
        <w:t> million</w:t>
      </w:r>
      <w:r w:rsidRPr="00EC3879">
        <w:t xml:space="preserve"> recurrent expenses over two years) for the NSW Public Spaces Legacy Program, which will continue to accelerate planning assessments and fund 60 councils to provide new and improved public and open spaces across the State. Other planning reforms include consolidating employment zones and optimising the use of industrial land to generate </w:t>
      </w:r>
      <w:r w:rsidR="00E465A9">
        <w:t>jobs</w:t>
      </w:r>
      <w:r w:rsidRPr="00EC3879">
        <w:t xml:space="preserve"> and</w:t>
      </w:r>
      <w:r w:rsidR="00746B25">
        <w:t xml:space="preserve"> support</w:t>
      </w:r>
      <w:r w:rsidR="00D06746">
        <w:t xml:space="preserve"> economic</w:t>
      </w:r>
      <w:r w:rsidR="00746B25">
        <w:t xml:space="preserve"> growth</w:t>
      </w:r>
    </w:p>
    <w:p w14:paraId="70F55720" w14:textId="6DFF817A" w:rsidR="005C4FBC" w:rsidRDefault="005C4FBC" w:rsidP="008E179C">
      <w:pPr>
        <w:pStyle w:val="Bullet1"/>
      </w:pPr>
      <w:r w:rsidRPr="000113AD">
        <w:t>$139.</w:t>
      </w:r>
      <w:r w:rsidR="0051657F" w:rsidRPr="000113AD">
        <w:t>3</w:t>
      </w:r>
      <w:r w:rsidRPr="000113AD">
        <w:t> million recurrent expenses</w:t>
      </w:r>
      <w:r w:rsidRPr="00E4779C">
        <w:t xml:space="preserve"> </w:t>
      </w:r>
      <w:r w:rsidRPr="000113AD">
        <w:t>to deliver the Accelerated Infrastructure Fund 2</w:t>
      </w:r>
      <w:r w:rsidR="007F1FA8" w:rsidRPr="000113AD">
        <w:t>,</w:t>
      </w:r>
      <w:r w:rsidR="00D06746">
        <w:t xml:space="preserve"> which will</w:t>
      </w:r>
      <w:r w:rsidR="00C363C1" w:rsidRPr="000113AD">
        <w:t xml:space="preserve"> </w:t>
      </w:r>
      <w:r w:rsidR="00146C1E" w:rsidRPr="000113AD">
        <w:t>provid</w:t>
      </w:r>
      <w:r w:rsidR="00D06746">
        <w:t>e</w:t>
      </w:r>
      <w:r w:rsidR="00146C1E">
        <w:t xml:space="preserve"> </w:t>
      </w:r>
      <w:r w:rsidRPr="00EC3879">
        <w:t xml:space="preserve">funding to councils in high growth areas to support construction activity and the release of new homes and employment areas in key greenfield sites. This follows on </w:t>
      </w:r>
      <w:r w:rsidR="00423CEE">
        <w:t xml:space="preserve">from </w:t>
      </w:r>
      <w:r w:rsidRPr="00EC3879">
        <w:t>$70.</w:t>
      </w:r>
      <w:r w:rsidR="000113AD" w:rsidRPr="00EC3879">
        <w:t>0</w:t>
      </w:r>
      <w:r w:rsidR="000113AD">
        <w:t> </w:t>
      </w:r>
      <w:r w:rsidRPr="00EC3879">
        <w:t xml:space="preserve">million invested in the Accelerated Infrastructure Fund in 2020-21, which co-funded councils in </w:t>
      </w:r>
      <w:r w:rsidR="00E77130">
        <w:t>n</w:t>
      </w:r>
      <w:r w:rsidRPr="00EC3879">
        <w:t>orth-</w:t>
      </w:r>
      <w:r w:rsidR="00E77130">
        <w:t>w</w:t>
      </w:r>
      <w:r w:rsidRPr="00EC3879">
        <w:t>est Sydney</w:t>
      </w:r>
      <w:r w:rsidR="00E66042">
        <w:t xml:space="preserve"> to deliver</w:t>
      </w:r>
      <w:r w:rsidRPr="00EC3879">
        <w:t xml:space="preserve"> 14 projects worth $143 million</w:t>
      </w:r>
      <w:r w:rsidR="00764854">
        <w:t>,</w:t>
      </w:r>
      <w:r w:rsidRPr="00EC3879">
        <w:t xml:space="preserve"> unlocking the development of up to 40,000 new homes, 115 h</w:t>
      </w:r>
      <w:r>
        <w:t>ect</w:t>
      </w:r>
      <w:r w:rsidRPr="00EC3879">
        <w:t>a</w:t>
      </w:r>
      <w:r>
        <w:t>res</w:t>
      </w:r>
      <w:r w:rsidRPr="00EC3879">
        <w:t xml:space="preserve"> of employment land and up to 1,000 jobs</w:t>
      </w:r>
    </w:p>
    <w:p w14:paraId="4B32BF4E" w14:textId="5500229A" w:rsidR="00DF6058" w:rsidRDefault="00B21A63">
      <w:pPr>
        <w:pStyle w:val="Bullet1"/>
      </w:pPr>
      <w:r>
        <w:t>$</w:t>
      </w:r>
      <w:r w:rsidR="008961FD">
        <w:t>78.5</w:t>
      </w:r>
      <w:r>
        <w:t xml:space="preserve"> million ($</w:t>
      </w:r>
      <w:r w:rsidR="00F06033">
        <w:t>314.0</w:t>
      </w:r>
      <w:r>
        <w:t xml:space="preserve"> million </w:t>
      </w:r>
      <w:r w:rsidR="00CA708C">
        <w:t xml:space="preserve">recurrent </w:t>
      </w:r>
      <w:r>
        <w:t>expenses over four years) for</w:t>
      </w:r>
      <w:r w:rsidR="008B0856">
        <w:t xml:space="preserve"> </w:t>
      </w:r>
      <w:r w:rsidR="002040CA">
        <w:t xml:space="preserve">existing </w:t>
      </w:r>
      <w:r w:rsidR="00BB6AC5">
        <w:t>p</w:t>
      </w:r>
      <w:r w:rsidR="008B0856">
        <w:t xml:space="preserve">ensioner </w:t>
      </w:r>
      <w:r w:rsidR="00090A0E">
        <w:t xml:space="preserve">council rate </w:t>
      </w:r>
      <w:r w:rsidR="00BB6AC5">
        <w:t xml:space="preserve">concessions </w:t>
      </w:r>
      <w:r w:rsidR="00C9257F">
        <w:t>to assi</w:t>
      </w:r>
      <w:r w:rsidR="00DE0C2A">
        <w:t xml:space="preserve">st councils in easing the </w:t>
      </w:r>
      <w:r w:rsidR="006D4E8E">
        <w:t xml:space="preserve">cost of living </w:t>
      </w:r>
    </w:p>
    <w:p w14:paraId="0F1C68C7" w14:textId="6C5A3F95" w:rsidR="005C4FBC" w:rsidRPr="000113AD" w:rsidRDefault="005C4FBC">
      <w:pPr>
        <w:pStyle w:val="Bullet1"/>
      </w:pPr>
      <w:r w:rsidRPr="000113AD">
        <w:t>$69.3 million ($123.1</w:t>
      </w:r>
      <w:r w:rsidR="000113AD">
        <w:t> </w:t>
      </w:r>
      <w:r w:rsidRPr="000113AD">
        <w:t xml:space="preserve">million capital expenditure over three years) to continue the </w:t>
      </w:r>
      <w:r w:rsidR="000113AD" w:rsidRPr="000113AD">
        <w:t>Strategic</w:t>
      </w:r>
      <w:r w:rsidR="000113AD">
        <w:t> </w:t>
      </w:r>
      <w:r w:rsidR="000113AD" w:rsidRPr="000113AD">
        <w:t>Open</w:t>
      </w:r>
      <w:r w:rsidR="000113AD">
        <w:t> </w:t>
      </w:r>
      <w:r w:rsidR="000113AD" w:rsidRPr="000113AD">
        <w:t>Spaces</w:t>
      </w:r>
      <w:r w:rsidR="000113AD">
        <w:t> </w:t>
      </w:r>
      <w:r w:rsidRPr="000113AD">
        <w:t>Program across Greater Sydney, including new and upgraded parks at Penrith, Ermington, Appin, Leppington, Frenchs Forest, Belrose, Carramar, Beaumont Hills, Hurstville; and funding for Callan Park</w:t>
      </w:r>
    </w:p>
    <w:p w14:paraId="4FEC6166" w14:textId="140FF23E" w:rsidR="005C4FBC" w:rsidRDefault="005C4FBC">
      <w:pPr>
        <w:pStyle w:val="Bullet1"/>
      </w:pPr>
      <w:r w:rsidRPr="000113AD">
        <w:t>$</w:t>
      </w:r>
      <w:r w:rsidR="00DD4F7F" w:rsidRPr="000113AD">
        <w:t>22.</w:t>
      </w:r>
      <w:r w:rsidR="00EA620C" w:rsidRPr="000113AD">
        <w:t>6 </w:t>
      </w:r>
      <w:r w:rsidRPr="000113AD">
        <w:t>million ($</w:t>
      </w:r>
      <w:r w:rsidR="00E15B2B" w:rsidRPr="000113AD">
        <w:t>15.</w:t>
      </w:r>
      <w:r w:rsidR="00EA620C" w:rsidRPr="000113AD">
        <w:t>4 </w:t>
      </w:r>
      <w:r w:rsidRPr="000113AD">
        <w:t>million recurrent expenses and $30.0 million capital expenditure over two years) for</w:t>
      </w:r>
      <w:r>
        <w:t xml:space="preserve"> the Cumberland Plain Conservation Plan to acquire the first stage of the Georges River Koala Reserve, restor</w:t>
      </w:r>
      <w:r w:rsidR="002040CA">
        <w:t>e</w:t>
      </w:r>
      <w:r>
        <w:t xml:space="preserve"> native plants for koala habitat, </w:t>
      </w:r>
      <w:r w:rsidR="002040CA">
        <w:t>deliver</w:t>
      </w:r>
      <w:r>
        <w:t xml:space="preserve"> koala exclusion fencing to protect koalas from urban interfaces and establish biodiversity stewardship agreements </w:t>
      </w:r>
      <w:r w:rsidR="005B73F2">
        <w:t>for</w:t>
      </w:r>
      <w:r>
        <w:t xml:space="preserve"> up to 540 hectares of conservation lands in the Greater Macarthur Growth Area</w:t>
      </w:r>
    </w:p>
    <w:p w14:paraId="339E9BD8" w14:textId="77777777" w:rsidR="00294B1F" w:rsidRDefault="00294B1F">
      <w:pPr>
        <w:rPr>
          <w:rFonts w:ascii="Arial" w:hAnsi="Arial" w:cs="Arial"/>
          <w:sz w:val="23"/>
          <w:szCs w:val="23"/>
        </w:rPr>
      </w:pPr>
      <w:r>
        <w:br w:type="page"/>
      </w:r>
    </w:p>
    <w:p w14:paraId="46D36CE7" w14:textId="4758C587" w:rsidR="005C4FBC" w:rsidRPr="00853B04" w:rsidRDefault="005C4FBC">
      <w:pPr>
        <w:pStyle w:val="Bullet1"/>
      </w:pPr>
      <w:r w:rsidRPr="00853B04">
        <w:lastRenderedPageBreak/>
        <w:t>$4.9 million ($20.0 million recurrent expenses over four years) to continue to deliver</w:t>
      </w:r>
      <w:r w:rsidR="00980349" w:rsidRPr="00853B04">
        <w:t xml:space="preserve"> strategic plans to shape land use rezoning outcomes; deliver the committed 12 State-led rezoning precincts by the end of 2022 and then ongoing additional precincts, support councils through collaboration on council-led precincts and deliver ongoing State-led rezonings</w:t>
      </w:r>
      <w:r w:rsidRPr="00853B04">
        <w:t xml:space="preserve"> </w:t>
      </w:r>
    </w:p>
    <w:p w14:paraId="3805BD93" w14:textId="16297067" w:rsidR="005C4FBC" w:rsidRPr="00EC3879" w:rsidDel="00F0190C" w:rsidRDefault="005C4FBC">
      <w:pPr>
        <w:pStyle w:val="Bullet1"/>
      </w:pPr>
      <w:r w:rsidRPr="00853B04">
        <w:t>$1.</w:t>
      </w:r>
      <w:r w:rsidR="00A05C4B" w:rsidRPr="00853B04">
        <w:t>5 </w:t>
      </w:r>
      <w:r w:rsidRPr="00853B04">
        <w:t>million ($34.</w:t>
      </w:r>
      <w:r w:rsidR="00A05C4B" w:rsidRPr="00853B04">
        <w:t>1 </w:t>
      </w:r>
      <w:r w:rsidRPr="00853B04">
        <w:t xml:space="preserve">million recurrent expenses over three years) to </w:t>
      </w:r>
      <w:r w:rsidR="00666A82">
        <w:t>expand</w:t>
      </w:r>
      <w:r w:rsidRPr="00853B04">
        <w:t xml:space="preserve"> the Roads to Home Program, which will provide planning and infrastructure upgrades to </w:t>
      </w:r>
      <w:r w:rsidR="00B966D3">
        <w:t>up to 10</w:t>
      </w:r>
      <w:r w:rsidR="00B966D3" w:rsidRPr="00853B04">
        <w:t xml:space="preserve"> </w:t>
      </w:r>
      <w:r w:rsidR="00641249" w:rsidRPr="00853B04">
        <w:t xml:space="preserve">additional </w:t>
      </w:r>
      <w:r w:rsidRPr="00853B04">
        <w:t xml:space="preserve">Aboriginal communities. This </w:t>
      </w:r>
      <w:r w:rsidR="00807109">
        <w:t>brings the Government</w:t>
      </w:r>
      <w:r w:rsidR="00BB07AA">
        <w:t xml:space="preserve">’s commitment to the Roads to Home Program to $108.9 million </w:t>
      </w:r>
      <w:r w:rsidR="00674251">
        <w:t xml:space="preserve">since 2019-20 </w:t>
      </w:r>
      <w:r w:rsidR="00BB07AA">
        <w:t>for up to 31 Aboriginal communities</w:t>
      </w:r>
      <w:r>
        <w:t>.</w:t>
      </w:r>
    </w:p>
    <w:p w14:paraId="65605835" w14:textId="49CF393A" w:rsidR="006A63F4" w:rsidRDefault="006A63F4" w:rsidP="006A63F4">
      <w:pPr>
        <w:pStyle w:val="Heading3"/>
        <w:rPr>
          <w:rFonts w:cs="Arial"/>
        </w:rPr>
      </w:pPr>
      <w:bookmarkStart w:id="8" w:name="_Toc473722853"/>
      <w:bookmarkStart w:id="9" w:name="_Toc511769340"/>
      <w:r w:rsidRPr="00DC6435">
        <w:rPr>
          <w:rFonts w:cs="Arial"/>
        </w:rPr>
        <w:t xml:space="preserve">Key performance insights </w:t>
      </w:r>
    </w:p>
    <w:p w14:paraId="64720A9F" w14:textId="755CCCD2" w:rsidR="005C1F15" w:rsidRPr="00A61D93" w:rsidRDefault="006D5A4B" w:rsidP="005C1F15">
      <w:pPr>
        <w:autoSpaceDE w:val="0"/>
        <w:autoSpaceDN w:val="0"/>
        <w:adjustRightInd w:val="0"/>
        <w:rPr>
          <w:rFonts w:ascii="Arial" w:hAnsi="Arial" w:cs="Arial"/>
          <w:color w:val="000000" w:themeColor="text1"/>
          <w:sz w:val="23"/>
          <w:szCs w:val="23"/>
        </w:rPr>
      </w:pPr>
      <w:r w:rsidRPr="00912506">
        <w:rPr>
          <w:rFonts w:ascii="Arial" w:hAnsi="Arial" w:cs="Arial"/>
          <w:color w:val="000000" w:themeColor="text1"/>
          <w:sz w:val="23"/>
          <w:szCs w:val="23"/>
        </w:rPr>
        <w:t>This section provides analysis and insights on key Outcome Indicators for this State Outcome.</w:t>
      </w:r>
    </w:p>
    <w:p w14:paraId="77951E66" w14:textId="1855D1F6" w:rsidR="005C4FBC" w:rsidRDefault="005C4FBC" w:rsidP="005C4FBC">
      <w:pPr>
        <w:pStyle w:val="Heading4"/>
        <w:rPr>
          <w:rFonts w:eastAsia="Calibri"/>
          <w:lang w:eastAsia="zh-TW"/>
        </w:rPr>
      </w:pPr>
      <w:r w:rsidRPr="00B7685B">
        <w:rPr>
          <w:rFonts w:ascii="Arial Bold" w:hAnsi="Arial Bold"/>
          <w:color w:val="00426F"/>
          <w:lang w:eastAsia="zh-TW"/>
        </w:rPr>
        <w:t>Ensure</w:t>
      </w:r>
      <w:r w:rsidR="00C00635">
        <w:rPr>
          <w:rFonts w:ascii="Arial Bold" w:hAnsi="Arial Bold"/>
          <w:color w:val="00426F"/>
          <w:lang w:eastAsia="zh-TW"/>
        </w:rPr>
        <w:t xml:space="preserve"> a</w:t>
      </w:r>
      <w:r w:rsidRPr="00B7685B">
        <w:rPr>
          <w:rFonts w:ascii="Arial Bold" w:hAnsi="Arial Bold"/>
          <w:color w:val="00426F"/>
          <w:lang w:eastAsia="zh-TW"/>
        </w:rPr>
        <w:t xml:space="preserve"> 17 per cent reduction in State significant development assessment times from 120 to 100 days by June 2023</w:t>
      </w:r>
    </w:p>
    <w:p w14:paraId="2EBC39AC" w14:textId="4F0C0F4E" w:rsidR="005C4FBC" w:rsidRDefault="005C4FBC" w:rsidP="00AD12F0">
      <w:pPr>
        <w:pStyle w:val="BodyText"/>
        <w:rPr>
          <w:rFonts w:eastAsia="Arial"/>
        </w:rPr>
      </w:pPr>
      <w:r w:rsidRPr="5BD68C84">
        <w:t xml:space="preserve">During 2021, the Department focused resources on </w:t>
      </w:r>
      <w:r>
        <w:t>closing</w:t>
      </w:r>
      <w:r w:rsidRPr="5BD68C84">
        <w:t xml:space="preserve"> </w:t>
      </w:r>
      <w:r>
        <w:t>long standing legacy applications</w:t>
      </w:r>
      <w:r w:rsidRPr="5BD68C84">
        <w:t xml:space="preserve">, which initially increased timeframes. Following these focused efforts, the overall assessment timeframes are now trending down towards the </w:t>
      </w:r>
      <w:r>
        <w:t>30 June 2021 target</w:t>
      </w:r>
      <w:r w:rsidRPr="5BD68C84">
        <w:t xml:space="preserve"> of 116 days</w:t>
      </w:r>
      <w:r>
        <w:t xml:space="preserve">. </w:t>
      </w:r>
      <w:r w:rsidR="002C4E66">
        <w:t>F</w:t>
      </w:r>
      <w:r w:rsidRPr="001430AA">
        <w:t>orecasting shows performance improving steadily</w:t>
      </w:r>
      <w:r w:rsidRPr="00A11053">
        <w:t xml:space="preserve"> </w:t>
      </w:r>
      <w:r>
        <w:t>to</w:t>
      </w:r>
      <w:r w:rsidRPr="00A11053">
        <w:t xml:space="preserve"> </w:t>
      </w:r>
      <w:r>
        <w:t>reduce</w:t>
      </w:r>
      <w:r w:rsidRPr="00A11053">
        <w:t xml:space="preserve"> assessment timeframes towards the 2021</w:t>
      </w:r>
      <w:r>
        <w:noBreakHyphen/>
      </w:r>
      <w:r w:rsidRPr="00A11053">
        <w:t>22 and 2022</w:t>
      </w:r>
      <w:r>
        <w:noBreakHyphen/>
      </w:r>
      <w:r w:rsidRPr="00A11053">
        <w:rPr>
          <w:rFonts w:eastAsia="Arial"/>
        </w:rPr>
        <w:t>23 targets.</w:t>
      </w:r>
      <w:r w:rsidRPr="00C021A0">
        <w:rPr>
          <w:rFonts w:eastAsia="Arial"/>
        </w:rPr>
        <w:t xml:space="preserve"> </w:t>
      </w:r>
    </w:p>
    <w:p w14:paraId="05FD56D3" w14:textId="23AF4C1F" w:rsidR="005C4FBC" w:rsidRDefault="005C4FBC" w:rsidP="009F5B52">
      <w:pPr>
        <w:pStyle w:val="BodyText"/>
      </w:pPr>
      <w:r w:rsidRPr="705D6A5A">
        <w:t xml:space="preserve">In 2021, the Department introduced several measures to assist with </w:t>
      </w:r>
      <w:r w:rsidR="00393CA2">
        <w:t>reducing</w:t>
      </w:r>
      <w:r w:rsidRPr="705D6A5A">
        <w:t xml:space="preserve"> assessment timeframes</w:t>
      </w:r>
      <w:r w:rsidR="008807F6">
        <w:t xml:space="preserve">. This included introducing more effective </w:t>
      </w:r>
      <w:r w:rsidRPr="705D6A5A">
        <w:t xml:space="preserve">case management, utilising resources to </w:t>
      </w:r>
      <w:r w:rsidR="008807F6">
        <w:t>streamline</w:t>
      </w:r>
      <w:r w:rsidRPr="705D6A5A">
        <w:t xml:space="preserve"> inter-agency and stakeholder issues across portfolios of project</w:t>
      </w:r>
      <w:r>
        <w:t>s</w:t>
      </w:r>
      <w:r w:rsidR="00FE560C">
        <w:t>,</w:t>
      </w:r>
      <w:r>
        <w:t xml:space="preserve"> </w:t>
      </w:r>
      <w:r w:rsidRPr="705D6A5A">
        <w:t>and improv</w:t>
      </w:r>
      <w:r w:rsidR="00484651">
        <w:t>ing</w:t>
      </w:r>
      <w:r w:rsidRPr="705D6A5A">
        <w:t xml:space="preserve"> delegations. </w:t>
      </w:r>
    </w:p>
    <w:p w14:paraId="62F8A03C" w14:textId="77777777" w:rsidR="005C4FBC" w:rsidRPr="00181E12" w:rsidRDefault="005C4FBC" w:rsidP="008E179C">
      <w:pPr>
        <w:pStyle w:val="BodyText"/>
      </w:pPr>
      <w:r w:rsidRPr="705D6A5A">
        <w:t>The Department has also introduced several key reforms including the rapid assessment framework (effective from July 2021), which will help further drive timeframes down towards 100 days. Other initiatives include the standardisation of the Secretary’s Environment Assessment Requirements and improving the quality of assessment and supporting reports.</w:t>
      </w:r>
    </w:p>
    <w:p w14:paraId="772817DA" w14:textId="77777777" w:rsidR="005C4FBC" w:rsidRPr="00312BB4" w:rsidRDefault="005C4FBC" w:rsidP="0092578A">
      <w:pPr>
        <w:pStyle w:val="Chart41"/>
      </w:pPr>
      <w:r w:rsidRPr="00312BB4">
        <w:t>Number of days to complete state significant development assessments</w:t>
      </w:r>
    </w:p>
    <w:p w14:paraId="636E644B" w14:textId="7BFCDD6E" w:rsidR="005C4FBC" w:rsidRDefault="00DD5BE3" w:rsidP="0092578A">
      <w:pPr>
        <w:jc w:val="center"/>
        <w:rPr>
          <w:rFonts w:ascii="Arial Bold" w:hAnsi="Arial Bold"/>
          <w:color w:val="00426F"/>
          <w:lang w:eastAsia="zh-TW"/>
        </w:rPr>
      </w:pPr>
      <w:r>
        <w:rPr>
          <w:rFonts w:ascii="Arial Bold" w:hAnsi="Arial Bold"/>
          <w:noProof/>
          <w:color w:val="00426F"/>
          <w:lang w:eastAsia="zh-TW"/>
        </w:rPr>
        <w:drawing>
          <wp:inline distT="0" distB="0" distL="0" distR="0" wp14:anchorId="46633B15" wp14:editId="0F4FD354">
            <wp:extent cx="4712335" cy="2341245"/>
            <wp:effectExtent l="0" t="0" r="0" b="0"/>
            <wp:docPr id="18" name="Picture 18" descr="Chart 4.6: Number of days to complete state significant development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4.6: Number of days to complete state significant development assessm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383C4263" w14:textId="77777777" w:rsidR="00B7577D" w:rsidRDefault="00B7577D">
      <w:pPr>
        <w:rPr>
          <w:rFonts w:ascii="Arial Bold" w:hAnsi="Arial Bold"/>
          <w:b/>
          <w:color w:val="00426F"/>
          <w:kern w:val="28"/>
          <w:sz w:val="25"/>
          <w:szCs w:val="36"/>
          <w:lang w:eastAsia="zh-TW"/>
        </w:rPr>
      </w:pPr>
      <w:r>
        <w:rPr>
          <w:rFonts w:ascii="Arial Bold" w:hAnsi="Arial Bold"/>
          <w:color w:val="00426F"/>
          <w:lang w:eastAsia="zh-TW"/>
        </w:rPr>
        <w:br w:type="page"/>
      </w:r>
    </w:p>
    <w:p w14:paraId="11EC2FD8" w14:textId="57E99D16" w:rsidR="005C4FBC" w:rsidRPr="00686629" w:rsidRDefault="005C4FBC" w:rsidP="005C4FBC">
      <w:pPr>
        <w:pStyle w:val="Heading4"/>
        <w:rPr>
          <w:rFonts w:eastAsia="Calibri"/>
          <w:lang w:eastAsia="zh-TW"/>
        </w:rPr>
      </w:pPr>
      <w:r w:rsidRPr="00B7685B">
        <w:rPr>
          <w:rFonts w:ascii="Arial Bold" w:hAnsi="Arial Bold"/>
          <w:color w:val="00426F"/>
          <w:lang w:eastAsia="zh-TW"/>
        </w:rPr>
        <w:lastRenderedPageBreak/>
        <w:t>Increase the proportion of homes in urban areas within 10 minutes’ walk of quality green, open and public space by 10 per cent by 2023</w:t>
      </w:r>
    </w:p>
    <w:p w14:paraId="2CF420FA" w14:textId="2571C4C0" w:rsidR="005C4FBC" w:rsidRDefault="005C4FBC" w:rsidP="00D06746">
      <w:pPr>
        <w:pStyle w:val="BodyText"/>
      </w:pPr>
      <w:r w:rsidRPr="705D6A5A">
        <w:t xml:space="preserve">This indicator is on track to achieve its target by June 2023. </w:t>
      </w:r>
      <w:r w:rsidR="00901BF5">
        <w:t>A</w:t>
      </w:r>
      <w:r w:rsidRPr="705D6A5A">
        <w:t>t 30 April 2021, new or improved public space projects ha</w:t>
      </w:r>
      <w:r w:rsidR="0029511E">
        <w:t>d</w:t>
      </w:r>
      <w:r w:rsidRPr="705D6A5A">
        <w:t xml:space="preserve"> increased walkable 10</w:t>
      </w:r>
      <w:r>
        <w:t xml:space="preserve"> </w:t>
      </w:r>
      <w:r w:rsidRPr="705D6A5A">
        <w:t>minute access to quality green, open and public spaces for 118,160 homes within urban areas of New South Wales</w:t>
      </w:r>
      <w:r w:rsidR="0029511E">
        <w:t>.</w:t>
      </w:r>
      <w:r w:rsidRPr="705D6A5A">
        <w:t xml:space="preserve"> </w:t>
      </w:r>
      <w:r w:rsidR="0029511E">
        <w:t>This will be extended to</w:t>
      </w:r>
      <w:r w:rsidR="00DE4D20">
        <w:t xml:space="preserve"> </w:t>
      </w:r>
      <w:r w:rsidRPr="705D6A5A">
        <w:t>an additional 111,840 homes by 30 June 2023.</w:t>
      </w:r>
    </w:p>
    <w:p w14:paraId="2CA1D071" w14:textId="42512E2A" w:rsidR="005C4FBC" w:rsidRDefault="005C4FBC" w:rsidP="009F5B52">
      <w:pPr>
        <w:pStyle w:val="BodyText"/>
      </w:pPr>
      <w:r w:rsidRPr="705D6A5A">
        <w:t xml:space="preserve">The key programs contributing to this achievement include the Everyone Can Play grants, </w:t>
      </w:r>
      <w:r w:rsidR="00DB3A0D">
        <w:t xml:space="preserve">a program </w:t>
      </w:r>
      <w:r w:rsidR="00C33757">
        <w:t xml:space="preserve">to support the </w:t>
      </w:r>
      <w:r w:rsidR="00CA492B">
        <w:t>delivery of</w:t>
      </w:r>
      <w:r w:rsidR="00DB3A0D">
        <w:t xml:space="preserve"> inclusive play spaces </w:t>
      </w:r>
      <w:r w:rsidR="00065BF7">
        <w:t>and</w:t>
      </w:r>
      <w:r w:rsidR="00AD1619">
        <w:t xml:space="preserve"> </w:t>
      </w:r>
      <w:r w:rsidR="00DB3A0D">
        <w:t>ensure people of all ages, abilities, and cultural backgrounds can play;</w:t>
      </w:r>
      <w:r w:rsidR="00DB3A0D" w:rsidRPr="705D6A5A">
        <w:t xml:space="preserve"> </w:t>
      </w:r>
      <w:r w:rsidRPr="705D6A5A">
        <w:t>the Parramatta Road Urban Amenity Improvement Program,</w:t>
      </w:r>
      <w:r w:rsidR="00567160">
        <w:t xml:space="preserve"> the</w:t>
      </w:r>
      <w:r w:rsidRPr="705D6A5A">
        <w:t xml:space="preserve"> Precinct Support Scheme, </w:t>
      </w:r>
      <w:r w:rsidR="00567160">
        <w:t xml:space="preserve">the </w:t>
      </w:r>
      <w:r w:rsidRPr="705D6A5A">
        <w:t xml:space="preserve">Metropolitan Green Space Program, the NSW Public Spaces Legacy Program, </w:t>
      </w:r>
      <w:r w:rsidR="00567160">
        <w:t xml:space="preserve">and the </w:t>
      </w:r>
      <w:r w:rsidRPr="705D6A5A">
        <w:t xml:space="preserve">Your High Street and Streets as Shared Spaces grant funding programs. The Department is also partnering with local communities to design and deliver eight new, high quality public spaces through the Parks for People Strategic Open Space </w:t>
      </w:r>
      <w:r>
        <w:t>P</w:t>
      </w:r>
      <w:r w:rsidRPr="705D6A5A">
        <w:t>rogram.</w:t>
      </w:r>
    </w:p>
    <w:p w14:paraId="56C64CAD" w14:textId="61D4E320" w:rsidR="005C4FBC" w:rsidRDefault="005C4FBC" w:rsidP="008E179C">
      <w:pPr>
        <w:pStyle w:val="BodyText"/>
        <w:rPr>
          <w:rFonts w:eastAsia="Arial"/>
        </w:rPr>
      </w:pPr>
      <w:r w:rsidRPr="5BD68C84">
        <w:t xml:space="preserve">The Department is driving reform to enable more activated public space over the long term including </w:t>
      </w:r>
      <w:r w:rsidR="001C3920">
        <w:t xml:space="preserve">by </w:t>
      </w:r>
      <w:r w:rsidRPr="5BD68C84">
        <w:t xml:space="preserve">developing the </w:t>
      </w:r>
      <w:r w:rsidR="00324AFC">
        <w:t xml:space="preserve">State’s </w:t>
      </w:r>
      <w:r w:rsidRPr="5BD68C84">
        <w:t xml:space="preserve">first NSW Public Spaces Charter, and </w:t>
      </w:r>
      <w:r w:rsidR="00853B04" w:rsidRPr="5BD68C84">
        <w:rPr>
          <w:rFonts w:eastAsia="Arial"/>
        </w:rPr>
        <w:t>Public</w:t>
      </w:r>
      <w:r w:rsidR="00853B04">
        <w:rPr>
          <w:rFonts w:eastAsia="Arial"/>
        </w:rPr>
        <w:t> </w:t>
      </w:r>
      <w:r w:rsidR="00853B04" w:rsidRPr="5BD68C84">
        <w:rPr>
          <w:rFonts w:eastAsia="Arial"/>
        </w:rPr>
        <w:t>Open</w:t>
      </w:r>
      <w:r w:rsidR="00853B04">
        <w:rPr>
          <w:rFonts w:eastAsia="Arial"/>
        </w:rPr>
        <w:t> </w:t>
      </w:r>
      <w:r w:rsidR="00853B04" w:rsidRPr="5BD68C84">
        <w:rPr>
          <w:rFonts w:eastAsia="Arial"/>
        </w:rPr>
        <w:t>Space</w:t>
      </w:r>
      <w:r w:rsidR="00853B04">
        <w:rPr>
          <w:rFonts w:eastAsia="Arial"/>
        </w:rPr>
        <w:t> </w:t>
      </w:r>
      <w:r w:rsidRPr="5BD68C84">
        <w:rPr>
          <w:rFonts w:eastAsia="Arial"/>
        </w:rPr>
        <w:t xml:space="preserve">Strategy, working with </w:t>
      </w:r>
      <w:r w:rsidR="00853B04" w:rsidRPr="5BD68C84">
        <w:rPr>
          <w:rFonts w:eastAsia="Arial"/>
        </w:rPr>
        <w:t>N</w:t>
      </w:r>
      <w:r w:rsidR="00853B04">
        <w:rPr>
          <w:rFonts w:eastAsia="Arial"/>
        </w:rPr>
        <w:t>ew </w:t>
      </w:r>
      <w:r w:rsidR="00853B04" w:rsidRPr="5BD68C84">
        <w:rPr>
          <w:rFonts w:eastAsia="Arial"/>
        </w:rPr>
        <w:t>S</w:t>
      </w:r>
      <w:r w:rsidR="00853B04">
        <w:rPr>
          <w:rFonts w:eastAsia="Arial"/>
        </w:rPr>
        <w:t>outh </w:t>
      </w:r>
      <w:r w:rsidRPr="5BD68C84">
        <w:rPr>
          <w:rFonts w:eastAsia="Arial"/>
        </w:rPr>
        <w:t>W</w:t>
      </w:r>
      <w:r>
        <w:rPr>
          <w:rFonts w:eastAsia="Arial"/>
        </w:rPr>
        <w:t>ales</w:t>
      </w:r>
      <w:r w:rsidRPr="5BD68C84">
        <w:rPr>
          <w:rFonts w:eastAsia="Arial"/>
        </w:rPr>
        <w:t xml:space="preserve"> councils to implement Sydney’s Green Grid and empowering councils to secure new parks through their local planning strategies. </w:t>
      </w:r>
    </w:p>
    <w:p w14:paraId="10786995" w14:textId="77777777" w:rsidR="005C4FBC" w:rsidRPr="00312F2F" w:rsidRDefault="005C4FBC" w:rsidP="0092578A">
      <w:pPr>
        <w:pStyle w:val="Chart41"/>
      </w:pPr>
      <w:r w:rsidRPr="00700949">
        <w:t>Percentage increase of homes in</w:t>
      </w:r>
      <w:r>
        <w:t xml:space="preserve"> urban areas within 10 minutes’ walk of new or improved public space </w:t>
      </w:r>
    </w:p>
    <w:p w14:paraId="4DA8B1EC" w14:textId="49F0B145" w:rsidR="005C4FBC" w:rsidRDefault="00873879" w:rsidP="005C4FBC">
      <w:pPr>
        <w:jc w:val="center"/>
        <w:rPr>
          <w:rFonts w:ascii="Arial" w:eastAsia="Arial" w:hAnsi="Arial" w:cs="Arial"/>
          <w:sz w:val="23"/>
          <w:szCs w:val="23"/>
        </w:rPr>
      </w:pPr>
      <w:r>
        <w:rPr>
          <w:rFonts w:ascii="Arial" w:eastAsia="Arial" w:hAnsi="Arial" w:cs="Arial"/>
          <w:noProof/>
          <w:sz w:val="23"/>
          <w:szCs w:val="23"/>
        </w:rPr>
        <w:drawing>
          <wp:inline distT="0" distB="0" distL="0" distR="0" wp14:anchorId="781CBCE2" wp14:editId="1F6240F6">
            <wp:extent cx="4712335" cy="2341245"/>
            <wp:effectExtent l="0" t="0" r="0" b="0"/>
            <wp:docPr id="20" name="Picture 20" descr="Chart 4.7: Percentage increase of homes in urban areas within 10 minutes’ walk of new or improved public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4.7: Percentage increase of homes in urban areas within 10 minutes’ walk of new or improved public spac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2335" cy="2341245"/>
                    </a:xfrm>
                    <a:prstGeom prst="rect">
                      <a:avLst/>
                    </a:prstGeom>
                    <a:noFill/>
                  </pic:spPr>
                </pic:pic>
              </a:graphicData>
            </a:graphic>
          </wp:inline>
        </w:drawing>
      </w:r>
    </w:p>
    <w:p w14:paraId="57D40700" w14:textId="77777777" w:rsidR="005C4FBC" w:rsidRPr="00686629" w:rsidRDefault="005C4FBC" w:rsidP="005C4FBC">
      <w:pPr>
        <w:pStyle w:val="Heading4"/>
        <w:rPr>
          <w:rFonts w:eastAsia="Calibri"/>
          <w:lang w:eastAsia="zh-TW"/>
        </w:rPr>
      </w:pPr>
      <w:r w:rsidRPr="00B7685B">
        <w:rPr>
          <w:rFonts w:ascii="Arial Bold" w:hAnsi="Arial Bold"/>
          <w:color w:val="00426F"/>
          <w:lang w:eastAsia="zh-TW"/>
        </w:rPr>
        <w:t>Plant one million trees across Greater Sydney by 2022</w:t>
      </w:r>
    </w:p>
    <w:p w14:paraId="7C1D7BC4" w14:textId="2C357F11" w:rsidR="005C4FBC" w:rsidRDefault="005C4FBC" w:rsidP="007E050D">
      <w:pPr>
        <w:pStyle w:val="BodyText"/>
      </w:pPr>
      <w:r>
        <w:t xml:space="preserve">Performance against this Premier’s </w:t>
      </w:r>
      <w:r w:rsidRPr="008A3F2B">
        <w:t xml:space="preserve">Priority is </w:t>
      </w:r>
      <w:r w:rsidR="005B15AB" w:rsidRPr="008A3F2B">
        <w:t xml:space="preserve">on track </w:t>
      </w:r>
      <w:r w:rsidRPr="008A3F2B">
        <w:t xml:space="preserve">to meet </w:t>
      </w:r>
      <w:r w:rsidR="0039471B" w:rsidRPr="008A3F2B">
        <w:t xml:space="preserve">its </w:t>
      </w:r>
      <w:r w:rsidRPr="008A3F2B">
        <w:t>target, with more than 500,000 trees planted and a further 250,000 trees procured to be planted by 2022. This represents more than doubl</w:t>
      </w:r>
      <w:r w:rsidR="00ED1B02">
        <w:t xml:space="preserve">e </w:t>
      </w:r>
      <w:r w:rsidRPr="008A3F2B">
        <w:t>the number of trees planted</w:t>
      </w:r>
      <w:r w:rsidRPr="5BD68C84">
        <w:t xml:space="preserve"> in the 12 months to March</w:t>
      </w:r>
      <w:r>
        <w:t> </w:t>
      </w:r>
      <w:r w:rsidRPr="5BD68C84">
        <w:t xml:space="preserve">2021. </w:t>
      </w:r>
    </w:p>
    <w:p w14:paraId="1221F635" w14:textId="41BFA623" w:rsidR="005C4FBC" w:rsidRDefault="005C4FBC" w:rsidP="009F5B52">
      <w:pPr>
        <w:pStyle w:val="BodyText"/>
        <w:rPr>
          <w:rFonts w:eastAsia="Arial"/>
        </w:rPr>
      </w:pPr>
      <w:r w:rsidRPr="5BD68C84">
        <w:t>To help engage all sectors of the community in this priority, the Department is also pursuing several flagship programs</w:t>
      </w:r>
      <w:r w:rsidR="00270795">
        <w:t>, including</w:t>
      </w:r>
      <w:r>
        <w:rPr>
          <w:rFonts w:eastAsia="Arial"/>
        </w:rPr>
        <w:t>:</w:t>
      </w:r>
    </w:p>
    <w:p w14:paraId="3BEF073A" w14:textId="77777777" w:rsidR="005C4FBC" w:rsidRDefault="005C4FBC" w:rsidP="008E179C">
      <w:pPr>
        <w:pStyle w:val="Bullet1"/>
      </w:pPr>
      <w:r w:rsidRPr="003060DD">
        <w:t>partnerships with peak organisations such as Landcare NSW, Greening Australia and Planet Ark to increase engagement and tree planting on public and private land</w:t>
      </w:r>
    </w:p>
    <w:p w14:paraId="5BF509D8" w14:textId="70556A13" w:rsidR="005C4FBC" w:rsidRDefault="005C4FBC">
      <w:pPr>
        <w:pStyle w:val="Bullet1"/>
      </w:pPr>
      <w:r w:rsidRPr="007657BF">
        <w:t>working with NSW Government agencies such as NSW Health and the Department</w:t>
      </w:r>
      <w:r>
        <w:t> </w:t>
      </w:r>
      <w:r w:rsidRPr="007657BF">
        <w:t>of</w:t>
      </w:r>
      <w:r>
        <w:t> </w:t>
      </w:r>
      <w:r w:rsidRPr="007657BF">
        <w:t>Education to deliver greening demonstration projects at Fairfield and Westmead Hospitals and a cooling the schools tree canopy program at some of Greater</w:t>
      </w:r>
      <w:r w:rsidR="00BE46DB">
        <w:t> </w:t>
      </w:r>
      <w:r w:rsidRPr="007657BF">
        <w:t>Sydney’s hottest schools</w:t>
      </w:r>
    </w:p>
    <w:p w14:paraId="1CD6F990" w14:textId="77777777" w:rsidR="00435D36" w:rsidRDefault="00435D36">
      <w:pPr>
        <w:rPr>
          <w:rFonts w:ascii="Arial" w:hAnsi="Arial" w:cs="Arial"/>
          <w:sz w:val="23"/>
          <w:szCs w:val="23"/>
        </w:rPr>
      </w:pPr>
      <w:r>
        <w:br w:type="page"/>
      </w:r>
    </w:p>
    <w:p w14:paraId="62879223" w14:textId="37D5B6EA" w:rsidR="005C4FBC" w:rsidRDefault="005C4FBC">
      <w:pPr>
        <w:pStyle w:val="Bullet1"/>
      </w:pPr>
      <w:r w:rsidRPr="003060DD">
        <w:lastRenderedPageBreak/>
        <w:t xml:space="preserve">delivering innovation projects with councils and corporate partners, such as </w:t>
      </w:r>
      <w:r w:rsidRPr="007657BF">
        <w:t>Skyparks at Bondi Junction Westfield, University of NSW and the Entertainment Quarter through the installation of light-weight modular green roof units.</w:t>
      </w:r>
    </w:p>
    <w:p w14:paraId="05FE2D6C" w14:textId="77777777" w:rsidR="005C4FBC" w:rsidRPr="00312F2F" w:rsidRDefault="005C4FBC" w:rsidP="0092578A">
      <w:pPr>
        <w:pStyle w:val="Chart41"/>
      </w:pPr>
      <w:r w:rsidRPr="00312F2F">
        <w:t xml:space="preserve">Number of trees planted across Greater Sydney </w:t>
      </w:r>
    </w:p>
    <w:p w14:paraId="2E6997AE" w14:textId="5BB841EF" w:rsidR="005C4FBC" w:rsidRDefault="00852A2C" w:rsidP="005C4FBC">
      <w:pPr>
        <w:jc w:val="center"/>
        <w:rPr>
          <w:rFonts w:ascii="Arial" w:eastAsia="Arial" w:hAnsi="Arial" w:cs="Arial"/>
          <w:sz w:val="23"/>
          <w:szCs w:val="23"/>
        </w:rPr>
      </w:pPr>
      <w:r>
        <w:rPr>
          <w:rFonts w:ascii="Arial" w:eastAsia="Arial" w:hAnsi="Arial" w:cs="Arial"/>
          <w:noProof/>
          <w:sz w:val="23"/>
          <w:szCs w:val="23"/>
        </w:rPr>
        <w:drawing>
          <wp:inline distT="0" distB="0" distL="0" distR="0" wp14:anchorId="13F2AABC" wp14:editId="1AB21BAE">
            <wp:extent cx="4706620" cy="2341245"/>
            <wp:effectExtent l="0" t="0" r="0" b="0"/>
            <wp:docPr id="21" name="Picture 21" descr="Chart 4.8: Number of trees planted across Greater Syd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4.8: Number of trees planted across Greater Sydney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6620" cy="2341245"/>
                    </a:xfrm>
                    <a:prstGeom prst="rect">
                      <a:avLst/>
                    </a:prstGeom>
                    <a:noFill/>
                  </pic:spPr>
                </pic:pic>
              </a:graphicData>
            </a:graphic>
          </wp:inline>
        </w:drawing>
      </w:r>
    </w:p>
    <w:p w14:paraId="0F701BF8" w14:textId="7044E106" w:rsidR="00D155F4" w:rsidRDefault="00ED0897" w:rsidP="00B96629">
      <w:pPr>
        <w:pStyle w:val="Heading3"/>
        <w:rPr>
          <w:rFonts w:cs="Arial"/>
        </w:rPr>
      </w:pPr>
      <w:r>
        <w:rPr>
          <w:rFonts w:cs="Arial"/>
        </w:rPr>
        <w:t>Performance indicators for this Outcome</w:t>
      </w:r>
    </w:p>
    <w:tbl>
      <w:tblPr>
        <w:tblW w:w="9656" w:type="dxa"/>
        <w:tblLook w:val="04A0" w:firstRow="1" w:lastRow="0" w:firstColumn="1" w:lastColumn="0" w:noHBand="0" w:noVBand="1"/>
        <w:tblCaption w:val="Performance indicators for this Outcome"/>
        <w:tblDescription w:val="Performance indicators for this Outcome"/>
      </w:tblPr>
      <w:tblGrid>
        <w:gridCol w:w="6537"/>
        <w:gridCol w:w="737"/>
        <w:gridCol w:w="1191"/>
        <w:gridCol w:w="1191"/>
      </w:tblGrid>
      <w:tr w:rsidR="005C4FBC" w:rsidRPr="00CA093C" w14:paraId="5B78DEBD" w14:textId="77777777" w:rsidTr="007B52F1">
        <w:trPr>
          <w:trHeight w:val="283"/>
        </w:trPr>
        <w:tc>
          <w:tcPr>
            <w:tcW w:w="6537" w:type="dxa"/>
            <w:vMerge w:val="restart"/>
            <w:tcBorders>
              <w:top w:val="nil"/>
              <w:left w:val="nil"/>
              <w:bottom w:val="nil"/>
              <w:right w:val="nil"/>
            </w:tcBorders>
            <w:shd w:val="clear" w:color="auto" w:fill="008EBA"/>
            <w:noWrap/>
            <w:vAlign w:val="center"/>
            <w:hideMark/>
          </w:tcPr>
          <w:bookmarkEnd w:id="8"/>
          <w:bookmarkEnd w:id="9"/>
          <w:p w14:paraId="216E2839" w14:textId="77777777" w:rsidR="005C4FBC" w:rsidRPr="009209FB" w:rsidRDefault="005C4FBC" w:rsidP="007B52F1">
            <w:pPr>
              <w:rPr>
                <w:rFonts w:ascii="Arial" w:hAnsi="Arial"/>
                <w:b/>
                <w:color w:val="FFFFFF" w:themeColor="background1"/>
                <w:sz w:val="18"/>
                <w:szCs w:val="18"/>
                <w:lang w:eastAsia="en-AU"/>
              </w:rPr>
            </w:pPr>
            <w:r w:rsidRPr="009209FB">
              <w:rPr>
                <w:rFonts w:ascii="Arial" w:hAnsi="Arial"/>
                <w:b/>
                <w:color w:val="FFFFFF" w:themeColor="background1"/>
                <w:sz w:val="18"/>
                <w:szCs w:val="18"/>
                <w:lang w:eastAsia="en-AU"/>
              </w:rPr>
              <w:t>Outcome Indicators</w:t>
            </w:r>
          </w:p>
        </w:tc>
        <w:tc>
          <w:tcPr>
            <w:tcW w:w="737" w:type="dxa"/>
            <w:vMerge w:val="restart"/>
            <w:tcBorders>
              <w:top w:val="nil"/>
              <w:left w:val="nil"/>
              <w:bottom w:val="nil"/>
              <w:right w:val="nil"/>
            </w:tcBorders>
            <w:shd w:val="clear" w:color="auto" w:fill="008EBA"/>
            <w:noWrap/>
            <w:vAlign w:val="center"/>
            <w:hideMark/>
          </w:tcPr>
          <w:p w14:paraId="1A09DC70" w14:textId="77777777" w:rsidR="005C4FBC" w:rsidRPr="009209FB" w:rsidRDefault="005C4FBC" w:rsidP="007B52F1">
            <w:pPr>
              <w:rPr>
                <w:rFonts w:ascii="Arial" w:hAnsi="Arial"/>
                <w:b/>
                <w:color w:val="FFFFFF" w:themeColor="background1"/>
                <w:sz w:val="18"/>
                <w:szCs w:val="18"/>
                <w:lang w:eastAsia="en-AU"/>
              </w:rPr>
            </w:pPr>
            <w:r w:rsidRPr="009209FB">
              <w:rPr>
                <w:rFonts w:ascii="Arial" w:hAnsi="Arial"/>
                <w:b/>
                <w:color w:val="FFFFFF" w:themeColor="background1"/>
                <w:sz w:val="18"/>
                <w:szCs w:val="18"/>
                <w:lang w:eastAsia="en-AU"/>
              </w:rPr>
              <w:t>Units</w:t>
            </w:r>
          </w:p>
        </w:tc>
        <w:tc>
          <w:tcPr>
            <w:tcW w:w="1191" w:type="dxa"/>
            <w:tcBorders>
              <w:top w:val="nil"/>
              <w:left w:val="nil"/>
              <w:bottom w:val="nil"/>
              <w:right w:val="nil"/>
            </w:tcBorders>
            <w:shd w:val="clear" w:color="auto" w:fill="008EBA"/>
            <w:noWrap/>
            <w:vAlign w:val="bottom"/>
            <w:hideMark/>
          </w:tcPr>
          <w:p w14:paraId="075A8457" w14:textId="77777777" w:rsidR="005C4FBC" w:rsidRPr="009209FB" w:rsidRDefault="005C4FBC" w:rsidP="007B52F1">
            <w:pPr>
              <w:jc w:val="center"/>
              <w:rPr>
                <w:rFonts w:ascii="Arial" w:hAnsi="Arial"/>
                <w:b/>
                <w:color w:val="FFFFFF" w:themeColor="background1"/>
                <w:sz w:val="18"/>
                <w:szCs w:val="18"/>
                <w:lang w:eastAsia="en-AU"/>
              </w:rPr>
            </w:pPr>
            <w:r w:rsidRPr="009209FB">
              <w:rPr>
                <w:rFonts w:ascii="Arial" w:hAnsi="Arial"/>
                <w:b/>
                <w:color w:val="FFFFFF" w:themeColor="background1"/>
                <w:sz w:val="18"/>
                <w:szCs w:val="18"/>
                <w:lang w:eastAsia="en-AU"/>
              </w:rPr>
              <w:t>2020-21</w:t>
            </w:r>
          </w:p>
        </w:tc>
        <w:tc>
          <w:tcPr>
            <w:tcW w:w="1191" w:type="dxa"/>
            <w:tcBorders>
              <w:top w:val="nil"/>
              <w:left w:val="nil"/>
              <w:bottom w:val="nil"/>
              <w:right w:val="nil"/>
            </w:tcBorders>
            <w:shd w:val="clear" w:color="auto" w:fill="008EBA"/>
            <w:noWrap/>
            <w:vAlign w:val="bottom"/>
            <w:hideMark/>
          </w:tcPr>
          <w:p w14:paraId="3693B44E" w14:textId="77777777" w:rsidR="005C4FBC" w:rsidRPr="009209FB" w:rsidRDefault="005C4FBC" w:rsidP="007B52F1">
            <w:pPr>
              <w:jc w:val="center"/>
              <w:rPr>
                <w:rFonts w:ascii="Arial" w:hAnsi="Arial"/>
                <w:b/>
                <w:color w:val="FFFFFF" w:themeColor="background1"/>
                <w:sz w:val="18"/>
                <w:szCs w:val="18"/>
                <w:lang w:eastAsia="en-AU"/>
              </w:rPr>
            </w:pPr>
            <w:r w:rsidRPr="009209FB">
              <w:rPr>
                <w:rFonts w:ascii="Arial" w:hAnsi="Arial"/>
                <w:b/>
                <w:color w:val="FFFFFF" w:themeColor="background1"/>
                <w:sz w:val="18"/>
                <w:szCs w:val="18"/>
                <w:lang w:eastAsia="en-AU"/>
              </w:rPr>
              <w:t>2021-22</w:t>
            </w:r>
          </w:p>
        </w:tc>
      </w:tr>
      <w:tr w:rsidR="005C4FBC" w:rsidRPr="00CA093C" w14:paraId="6885A9F0" w14:textId="77777777" w:rsidTr="007B52F1">
        <w:trPr>
          <w:trHeight w:val="283"/>
        </w:trPr>
        <w:tc>
          <w:tcPr>
            <w:tcW w:w="6537" w:type="dxa"/>
            <w:vMerge/>
            <w:shd w:val="clear" w:color="auto" w:fill="008EBA"/>
            <w:vAlign w:val="center"/>
            <w:hideMark/>
          </w:tcPr>
          <w:p w14:paraId="4705E0A9" w14:textId="77777777" w:rsidR="005C4FBC" w:rsidRPr="009209FB" w:rsidRDefault="005C4FBC" w:rsidP="007B52F1">
            <w:pPr>
              <w:rPr>
                <w:rFonts w:ascii="Arial" w:hAnsi="Arial" w:cs="Arial"/>
                <w:b/>
                <w:color w:val="FFFFFF" w:themeColor="background1"/>
                <w:sz w:val="18"/>
                <w:szCs w:val="18"/>
                <w:lang w:eastAsia="en-AU"/>
              </w:rPr>
            </w:pPr>
          </w:p>
        </w:tc>
        <w:tc>
          <w:tcPr>
            <w:tcW w:w="737" w:type="dxa"/>
            <w:vMerge/>
            <w:shd w:val="clear" w:color="auto" w:fill="008EBA"/>
            <w:vAlign w:val="center"/>
            <w:hideMark/>
          </w:tcPr>
          <w:p w14:paraId="478891BB" w14:textId="77777777" w:rsidR="005C4FBC" w:rsidRPr="009209FB" w:rsidRDefault="005C4FBC" w:rsidP="007B52F1">
            <w:pPr>
              <w:rPr>
                <w:rFonts w:ascii="Arial" w:hAnsi="Arial" w:cs="Arial"/>
                <w:b/>
                <w:color w:val="FFFFFF" w:themeColor="background1"/>
                <w:sz w:val="18"/>
                <w:szCs w:val="18"/>
                <w:lang w:eastAsia="en-AU"/>
              </w:rPr>
            </w:pPr>
          </w:p>
        </w:tc>
        <w:tc>
          <w:tcPr>
            <w:tcW w:w="1191" w:type="dxa"/>
            <w:tcBorders>
              <w:top w:val="nil"/>
              <w:left w:val="nil"/>
              <w:bottom w:val="nil"/>
              <w:right w:val="nil"/>
            </w:tcBorders>
            <w:shd w:val="clear" w:color="auto" w:fill="008EBA"/>
            <w:noWrap/>
            <w:hideMark/>
          </w:tcPr>
          <w:p w14:paraId="5D4B80B5" w14:textId="77777777" w:rsidR="005C4FBC" w:rsidRPr="009209FB" w:rsidRDefault="005C4FBC" w:rsidP="007B52F1">
            <w:pPr>
              <w:jc w:val="center"/>
              <w:rPr>
                <w:rFonts w:ascii="Arial" w:hAnsi="Arial"/>
                <w:b/>
                <w:color w:val="FFFFFF" w:themeColor="background1"/>
                <w:sz w:val="18"/>
                <w:szCs w:val="18"/>
                <w:lang w:eastAsia="en-AU"/>
              </w:rPr>
            </w:pPr>
            <w:r w:rsidRPr="009209FB">
              <w:rPr>
                <w:rFonts w:ascii="Arial" w:hAnsi="Arial"/>
                <w:b/>
                <w:color w:val="FFFFFF" w:themeColor="background1"/>
                <w:sz w:val="18"/>
                <w:szCs w:val="18"/>
                <w:lang w:eastAsia="en-AU"/>
              </w:rPr>
              <w:t>Actual</w:t>
            </w:r>
          </w:p>
        </w:tc>
        <w:tc>
          <w:tcPr>
            <w:tcW w:w="1191" w:type="dxa"/>
            <w:tcBorders>
              <w:top w:val="nil"/>
              <w:left w:val="nil"/>
              <w:bottom w:val="nil"/>
              <w:right w:val="nil"/>
            </w:tcBorders>
            <w:shd w:val="clear" w:color="auto" w:fill="008EBA"/>
            <w:noWrap/>
            <w:hideMark/>
          </w:tcPr>
          <w:p w14:paraId="34958E6D" w14:textId="77777777" w:rsidR="005C4FBC" w:rsidRPr="009209FB" w:rsidRDefault="005C4FBC" w:rsidP="007B52F1">
            <w:pPr>
              <w:jc w:val="center"/>
              <w:rPr>
                <w:rFonts w:ascii="Arial" w:hAnsi="Arial"/>
                <w:b/>
                <w:color w:val="FFFFFF" w:themeColor="background1"/>
                <w:sz w:val="18"/>
                <w:szCs w:val="18"/>
                <w:lang w:eastAsia="en-AU"/>
              </w:rPr>
            </w:pPr>
            <w:r w:rsidRPr="009209FB">
              <w:rPr>
                <w:rFonts w:ascii="Arial" w:hAnsi="Arial"/>
                <w:b/>
                <w:color w:val="FFFFFF" w:themeColor="background1"/>
                <w:sz w:val="18"/>
                <w:szCs w:val="18"/>
                <w:lang w:eastAsia="en-AU"/>
              </w:rPr>
              <w:t>Forecast</w:t>
            </w:r>
          </w:p>
        </w:tc>
      </w:tr>
      <w:tr w:rsidR="005C4FBC" w:rsidRPr="00CA093C" w14:paraId="1244E6D0" w14:textId="77777777" w:rsidTr="007B52F1">
        <w:trPr>
          <w:trHeight w:val="567"/>
        </w:trPr>
        <w:tc>
          <w:tcPr>
            <w:tcW w:w="6537" w:type="dxa"/>
            <w:tcBorders>
              <w:top w:val="nil"/>
              <w:left w:val="nil"/>
              <w:bottom w:val="nil"/>
              <w:right w:val="nil"/>
            </w:tcBorders>
            <w:shd w:val="clear" w:color="auto" w:fill="auto"/>
            <w:vAlign w:val="bottom"/>
            <w:hideMark/>
          </w:tcPr>
          <w:p w14:paraId="6AD53AD2" w14:textId="77777777" w:rsidR="005C4FBC" w:rsidRPr="00CA093C" w:rsidRDefault="005C4FBC" w:rsidP="007B52F1">
            <w:pPr>
              <w:rPr>
                <w:rFonts w:ascii="Arial" w:hAnsi="Arial" w:cs="Arial"/>
                <w:color w:val="000000"/>
                <w:sz w:val="16"/>
                <w:szCs w:val="16"/>
                <w:lang w:eastAsia="en-AU"/>
              </w:rPr>
            </w:pPr>
            <w:r w:rsidRPr="000425AF">
              <w:rPr>
                <w:rFonts w:ascii="Arial" w:hAnsi="Arial" w:cs="Arial"/>
                <w:color w:val="000000"/>
                <w:sz w:val="16"/>
                <w:szCs w:val="16"/>
                <w:lang w:eastAsia="en-AU"/>
              </w:rPr>
              <w:t>Ensure a 17 per cent reduction in state significant development assessment times from 120 to 100 days by June 2023 (except projects subject to an Independent Planning Commission hearing)</w:t>
            </w:r>
          </w:p>
        </w:tc>
        <w:tc>
          <w:tcPr>
            <w:tcW w:w="737" w:type="dxa"/>
            <w:tcBorders>
              <w:top w:val="nil"/>
              <w:left w:val="nil"/>
              <w:bottom w:val="nil"/>
              <w:right w:val="nil"/>
            </w:tcBorders>
            <w:shd w:val="clear" w:color="auto" w:fill="auto"/>
            <w:noWrap/>
            <w:vAlign w:val="bottom"/>
            <w:hideMark/>
          </w:tcPr>
          <w:p w14:paraId="113E73F1" w14:textId="77777777" w:rsidR="005C4FBC" w:rsidRPr="00CA093C" w:rsidRDefault="005C4FBC" w:rsidP="007B52F1">
            <w:pPr>
              <w:jc w:val="center"/>
              <w:rPr>
                <w:rFonts w:ascii="Arial" w:hAnsi="Arial" w:cs="Arial"/>
                <w:color w:val="000000"/>
                <w:sz w:val="16"/>
                <w:szCs w:val="16"/>
                <w:lang w:eastAsia="en-AU"/>
              </w:rPr>
            </w:pPr>
            <w:r>
              <w:rPr>
                <w:rFonts w:ascii="Arial" w:hAnsi="Arial" w:cs="Arial"/>
                <w:color w:val="000000"/>
                <w:sz w:val="16"/>
                <w:szCs w:val="16"/>
                <w:lang w:eastAsia="en-AU"/>
              </w:rPr>
              <w:t>days</w:t>
            </w:r>
          </w:p>
        </w:tc>
        <w:tc>
          <w:tcPr>
            <w:tcW w:w="1191" w:type="dxa"/>
            <w:tcBorders>
              <w:top w:val="nil"/>
              <w:left w:val="nil"/>
              <w:bottom w:val="nil"/>
              <w:right w:val="nil"/>
            </w:tcBorders>
            <w:shd w:val="clear" w:color="auto" w:fill="auto"/>
            <w:noWrap/>
            <w:vAlign w:val="bottom"/>
          </w:tcPr>
          <w:p w14:paraId="23F29C86" w14:textId="77777777" w:rsidR="005C4FBC" w:rsidRPr="00CA093C" w:rsidRDefault="005C4FBC" w:rsidP="007B52F1">
            <w:pPr>
              <w:ind w:right="170"/>
              <w:jc w:val="right"/>
              <w:rPr>
                <w:rFonts w:ascii="Arial" w:hAnsi="Arial" w:cs="Arial"/>
                <w:color w:val="000000"/>
                <w:sz w:val="16"/>
                <w:szCs w:val="16"/>
                <w:lang w:eastAsia="en-AU"/>
              </w:rPr>
            </w:pPr>
            <w:r>
              <w:rPr>
                <w:rFonts w:ascii="Arial" w:hAnsi="Arial" w:cs="Arial"/>
                <w:color w:val="000000"/>
                <w:sz w:val="16"/>
                <w:szCs w:val="16"/>
              </w:rPr>
              <w:t>119.0</w:t>
            </w:r>
          </w:p>
        </w:tc>
        <w:tc>
          <w:tcPr>
            <w:tcW w:w="1191" w:type="dxa"/>
            <w:tcBorders>
              <w:top w:val="nil"/>
              <w:left w:val="nil"/>
              <w:bottom w:val="nil"/>
              <w:right w:val="nil"/>
            </w:tcBorders>
            <w:shd w:val="clear" w:color="auto" w:fill="auto"/>
            <w:noWrap/>
            <w:vAlign w:val="bottom"/>
          </w:tcPr>
          <w:p w14:paraId="2D6B8E75" w14:textId="77777777" w:rsidR="005C4FBC" w:rsidRPr="003C2B07" w:rsidRDefault="005C4FBC" w:rsidP="007B52F1">
            <w:pPr>
              <w:ind w:right="170"/>
              <w:jc w:val="right"/>
              <w:rPr>
                <w:rFonts w:ascii="Arial" w:hAnsi="Arial" w:cs="Arial"/>
                <w:color w:val="000000"/>
                <w:sz w:val="16"/>
                <w:szCs w:val="16"/>
                <w:highlight w:val="yellow"/>
                <w:lang w:eastAsia="en-AU"/>
              </w:rPr>
            </w:pPr>
            <w:r>
              <w:rPr>
                <w:rFonts w:ascii="Arial" w:hAnsi="Arial" w:cs="Arial"/>
                <w:color w:val="000000"/>
                <w:sz w:val="16"/>
                <w:szCs w:val="16"/>
              </w:rPr>
              <w:t>112.0</w:t>
            </w:r>
          </w:p>
        </w:tc>
      </w:tr>
      <w:tr w:rsidR="005C4FBC" w:rsidRPr="00CA093C" w14:paraId="5233C042" w14:textId="77777777" w:rsidTr="007B52F1">
        <w:trPr>
          <w:trHeight w:val="408"/>
        </w:trPr>
        <w:tc>
          <w:tcPr>
            <w:tcW w:w="6537" w:type="dxa"/>
            <w:tcBorders>
              <w:top w:val="nil"/>
              <w:left w:val="nil"/>
              <w:bottom w:val="nil"/>
              <w:right w:val="nil"/>
            </w:tcBorders>
            <w:shd w:val="clear" w:color="auto" w:fill="auto"/>
            <w:vAlign w:val="bottom"/>
            <w:hideMark/>
          </w:tcPr>
          <w:p w14:paraId="785777E6" w14:textId="77777777" w:rsidR="005C4FBC" w:rsidRPr="00CA093C" w:rsidRDefault="005C4FBC" w:rsidP="007B52F1">
            <w:pPr>
              <w:rPr>
                <w:rFonts w:ascii="Arial" w:hAnsi="Arial" w:cs="Arial"/>
                <w:color w:val="000000"/>
                <w:sz w:val="16"/>
                <w:szCs w:val="16"/>
                <w:lang w:eastAsia="en-AU"/>
              </w:rPr>
            </w:pPr>
            <w:r w:rsidRPr="003679DA">
              <w:rPr>
                <w:rFonts w:ascii="Arial" w:hAnsi="Arial" w:cs="Arial"/>
                <w:color w:val="000000"/>
                <w:sz w:val="16"/>
                <w:szCs w:val="16"/>
                <w:lang w:eastAsia="en-AU"/>
              </w:rPr>
              <w:t>Increase the proportion of homes in urban areas within 10 minutes’ walk of quality green, open and public space by 10 per cent by 2023</w:t>
            </w:r>
          </w:p>
        </w:tc>
        <w:tc>
          <w:tcPr>
            <w:tcW w:w="737" w:type="dxa"/>
            <w:tcBorders>
              <w:top w:val="nil"/>
              <w:left w:val="nil"/>
              <w:bottom w:val="nil"/>
              <w:right w:val="nil"/>
            </w:tcBorders>
            <w:shd w:val="clear" w:color="auto" w:fill="auto"/>
            <w:noWrap/>
            <w:vAlign w:val="bottom"/>
            <w:hideMark/>
          </w:tcPr>
          <w:p w14:paraId="4E9FB78D" w14:textId="77777777" w:rsidR="005C4FBC" w:rsidRPr="00CA093C" w:rsidRDefault="005C4FBC" w:rsidP="007B52F1">
            <w:pPr>
              <w:jc w:val="center"/>
              <w:rPr>
                <w:rFonts w:ascii="Arial" w:hAnsi="Arial" w:cs="Arial"/>
                <w:color w:val="000000"/>
                <w:sz w:val="16"/>
                <w:szCs w:val="16"/>
                <w:lang w:eastAsia="en-AU"/>
              </w:rPr>
            </w:pPr>
            <w:r w:rsidRPr="00CA093C">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605185F2" w14:textId="77777777" w:rsidR="005C4FBC" w:rsidRPr="00CA093C" w:rsidRDefault="005C4FBC" w:rsidP="007B52F1">
            <w:pPr>
              <w:ind w:right="170"/>
              <w:jc w:val="right"/>
              <w:rPr>
                <w:rFonts w:ascii="Arial" w:hAnsi="Arial" w:cs="Arial"/>
                <w:color w:val="000000"/>
                <w:sz w:val="16"/>
                <w:szCs w:val="16"/>
                <w:lang w:eastAsia="en-AU"/>
              </w:rPr>
            </w:pPr>
            <w:r>
              <w:rPr>
                <w:rFonts w:ascii="Arial" w:hAnsi="Arial" w:cs="Arial"/>
                <w:color w:val="000000"/>
                <w:sz w:val="16"/>
                <w:szCs w:val="16"/>
              </w:rPr>
              <w:t>4.6</w:t>
            </w:r>
          </w:p>
        </w:tc>
        <w:tc>
          <w:tcPr>
            <w:tcW w:w="1191" w:type="dxa"/>
            <w:tcBorders>
              <w:top w:val="nil"/>
              <w:left w:val="nil"/>
              <w:bottom w:val="nil"/>
              <w:right w:val="nil"/>
            </w:tcBorders>
            <w:shd w:val="clear" w:color="auto" w:fill="auto"/>
            <w:noWrap/>
            <w:vAlign w:val="bottom"/>
          </w:tcPr>
          <w:p w14:paraId="328C7A12" w14:textId="77777777" w:rsidR="005C4FBC" w:rsidRPr="003C2B07" w:rsidRDefault="005C4FBC" w:rsidP="007B52F1">
            <w:pPr>
              <w:ind w:right="170"/>
              <w:jc w:val="right"/>
              <w:rPr>
                <w:rFonts w:ascii="Arial" w:hAnsi="Arial" w:cs="Arial"/>
                <w:color w:val="000000"/>
                <w:sz w:val="16"/>
                <w:szCs w:val="16"/>
                <w:highlight w:val="yellow"/>
                <w:lang w:eastAsia="en-AU"/>
              </w:rPr>
            </w:pPr>
            <w:r>
              <w:rPr>
                <w:rFonts w:ascii="Arial" w:hAnsi="Arial" w:cs="Arial"/>
                <w:color w:val="000000"/>
                <w:sz w:val="16"/>
                <w:szCs w:val="16"/>
              </w:rPr>
              <w:t>7.7</w:t>
            </w:r>
          </w:p>
        </w:tc>
      </w:tr>
      <w:tr w:rsidR="005C4FBC" w:rsidRPr="00CA093C" w14:paraId="2509006B" w14:textId="77777777" w:rsidTr="007B52F1">
        <w:trPr>
          <w:trHeight w:val="227"/>
        </w:trPr>
        <w:tc>
          <w:tcPr>
            <w:tcW w:w="6537" w:type="dxa"/>
            <w:tcBorders>
              <w:top w:val="nil"/>
              <w:left w:val="nil"/>
              <w:bottom w:val="nil"/>
              <w:right w:val="nil"/>
            </w:tcBorders>
            <w:shd w:val="clear" w:color="auto" w:fill="auto"/>
            <w:vAlign w:val="bottom"/>
            <w:hideMark/>
          </w:tcPr>
          <w:p w14:paraId="266374E7" w14:textId="77777777" w:rsidR="005C4FBC" w:rsidRPr="00CA093C" w:rsidRDefault="005C4FBC" w:rsidP="007B52F1">
            <w:pPr>
              <w:rPr>
                <w:rFonts w:ascii="Arial" w:hAnsi="Arial" w:cs="Arial"/>
                <w:color w:val="000000"/>
                <w:sz w:val="16"/>
                <w:szCs w:val="16"/>
                <w:lang w:eastAsia="en-AU"/>
              </w:rPr>
            </w:pPr>
            <w:r w:rsidRPr="0B61C878">
              <w:rPr>
                <w:rFonts w:ascii="Arial" w:hAnsi="Arial" w:cs="Arial"/>
                <w:color w:val="000000" w:themeColor="text1"/>
                <w:sz w:val="16"/>
                <w:szCs w:val="16"/>
                <w:lang w:eastAsia="en-AU"/>
              </w:rPr>
              <w:t>Plant one million trees across Greater Sydney by December 2022</w:t>
            </w:r>
          </w:p>
        </w:tc>
        <w:tc>
          <w:tcPr>
            <w:tcW w:w="737" w:type="dxa"/>
            <w:tcBorders>
              <w:top w:val="nil"/>
              <w:left w:val="nil"/>
              <w:bottom w:val="nil"/>
              <w:right w:val="nil"/>
            </w:tcBorders>
            <w:shd w:val="clear" w:color="auto" w:fill="auto"/>
            <w:noWrap/>
            <w:vAlign w:val="bottom"/>
            <w:hideMark/>
          </w:tcPr>
          <w:p w14:paraId="50887BFD" w14:textId="77777777" w:rsidR="005C4FBC" w:rsidRPr="00CA093C" w:rsidRDefault="005C4FBC" w:rsidP="007B52F1">
            <w:pPr>
              <w:jc w:val="center"/>
              <w:rPr>
                <w:rFonts w:ascii="Arial" w:hAnsi="Arial" w:cs="Arial"/>
                <w:color w:val="000000"/>
                <w:sz w:val="16"/>
                <w:szCs w:val="16"/>
                <w:lang w:eastAsia="en-AU"/>
              </w:rPr>
            </w:pPr>
            <w:r w:rsidRPr="00CA093C">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tcPr>
          <w:p w14:paraId="1F0969FC" w14:textId="77777777" w:rsidR="005C4FBC" w:rsidRPr="00CA093C" w:rsidRDefault="005C4FBC" w:rsidP="007B52F1">
            <w:pPr>
              <w:ind w:right="170"/>
              <w:jc w:val="right"/>
              <w:rPr>
                <w:rFonts w:ascii="Arial" w:hAnsi="Arial" w:cs="Arial"/>
                <w:color w:val="000000"/>
                <w:sz w:val="16"/>
                <w:szCs w:val="16"/>
                <w:lang w:eastAsia="en-AU"/>
              </w:rPr>
            </w:pPr>
            <w:r>
              <w:rPr>
                <w:rFonts w:ascii="Arial" w:hAnsi="Arial" w:cs="Arial"/>
                <w:color w:val="000000"/>
                <w:sz w:val="16"/>
                <w:szCs w:val="16"/>
              </w:rPr>
              <w:t>505,939</w:t>
            </w:r>
          </w:p>
        </w:tc>
        <w:tc>
          <w:tcPr>
            <w:tcW w:w="1191" w:type="dxa"/>
            <w:tcBorders>
              <w:top w:val="nil"/>
              <w:left w:val="nil"/>
              <w:bottom w:val="nil"/>
              <w:right w:val="nil"/>
            </w:tcBorders>
            <w:shd w:val="clear" w:color="auto" w:fill="auto"/>
            <w:noWrap/>
            <w:vAlign w:val="bottom"/>
          </w:tcPr>
          <w:p w14:paraId="4733B08E" w14:textId="77777777" w:rsidR="005C4FBC" w:rsidRPr="003C2B07" w:rsidRDefault="005C4FBC" w:rsidP="007B52F1">
            <w:pPr>
              <w:ind w:right="170"/>
              <w:jc w:val="right"/>
              <w:rPr>
                <w:rFonts w:ascii="Arial" w:hAnsi="Arial" w:cs="Arial"/>
                <w:color w:val="000000"/>
                <w:sz w:val="16"/>
                <w:szCs w:val="16"/>
                <w:highlight w:val="yellow"/>
                <w:lang w:eastAsia="en-AU"/>
              </w:rPr>
            </w:pPr>
            <w:r w:rsidRPr="741699D7">
              <w:rPr>
                <w:rFonts w:ascii="Arial" w:hAnsi="Arial" w:cs="Arial"/>
                <w:color w:val="000000" w:themeColor="text1"/>
                <w:sz w:val="16"/>
                <w:szCs w:val="16"/>
              </w:rPr>
              <w:t>800,000</w:t>
            </w:r>
            <w:r w:rsidRPr="006F03ED">
              <w:rPr>
                <w:rFonts w:ascii="Arial" w:hAnsi="Arial" w:cs="Arial"/>
                <w:color w:val="000000" w:themeColor="text1"/>
                <w:sz w:val="16"/>
                <w:szCs w:val="16"/>
                <w:vertAlign w:val="superscript"/>
              </w:rPr>
              <w:t>(a)</w:t>
            </w:r>
          </w:p>
        </w:tc>
      </w:tr>
      <w:tr w:rsidR="005C4FBC" w:rsidRPr="00CA093C" w14:paraId="21F8AF07" w14:textId="77777777" w:rsidTr="007B52F1">
        <w:trPr>
          <w:trHeight w:val="227"/>
        </w:trPr>
        <w:tc>
          <w:tcPr>
            <w:tcW w:w="6537" w:type="dxa"/>
            <w:tcBorders>
              <w:top w:val="nil"/>
              <w:left w:val="nil"/>
              <w:bottom w:val="nil"/>
              <w:right w:val="nil"/>
            </w:tcBorders>
            <w:shd w:val="clear" w:color="auto" w:fill="auto"/>
            <w:vAlign w:val="bottom"/>
          </w:tcPr>
          <w:p w14:paraId="6561D1A0" w14:textId="77777777" w:rsidR="005C4FBC" w:rsidRPr="00CA093C" w:rsidRDefault="005C4FBC" w:rsidP="007B52F1">
            <w:pPr>
              <w:rPr>
                <w:rFonts w:ascii="Arial" w:hAnsi="Arial" w:cs="Arial"/>
                <w:color w:val="000000"/>
                <w:sz w:val="16"/>
                <w:szCs w:val="16"/>
                <w:lang w:eastAsia="en-AU"/>
              </w:rPr>
            </w:pPr>
            <w:r w:rsidRPr="705D6A5A">
              <w:rPr>
                <w:rFonts w:ascii="Arial" w:hAnsi="Arial" w:cs="Arial"/>
                <w:color w:val="000000" w:themeColor="text1"/>
                <w:sz w:val="16"/>
                <w:szCs w:val="16"/>
                <w:lang w:eastAsia="en-AU"/>
              </w:rPr>
              <w:t>100 per cent of precincts delivered within publicly stated timeframes</w:t>
            </w:r>
          </w:p>
        </w:tc>
        <w:tc>
          <w:tcPr>
            <w:tcW w:w="737" w:type="dxa"/>
            <w:tcBorders>
              <w:top w:val="nil"/>
              <w:left w:val="nil"/>
              <w:bottom w:val="nil"/>
              <w:right w:val="nil"/>
            </w:tcBorders>
            <w:shd w:val="clear" w:color="auto" w:fill="auto"/>
            <w:noWrap/>
            <w:vAlign w:val="bottom"/>
            <w:hideMark/>
          </w:tcPr>
          <w:p w14:paraId="74B3CF46" w14:textId="1AA19BAE" w:rsidR="005C4FBC" w:rsidRPr="00CA093C" w:rsidRDefault="005C4FBC" w:rsidP="007B52F1">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31239CB4" w14:textId="77777777" w:rsidR="005C4FBC" w:rsidRPr="003C2B07" w:rsidRDefault="005C4FBC" w:rsidP="007B52F1">
            <w:pPr>
              <w:ind w:right="170"/>
              <w:jc w:val="right"/>
              <w:rPr>
                <w:rFonts w:ascii="Arial" w:hAnsi="Arial" w:cs="Arial"/>
                <w:color w:val="000000"/>
                <w:sz w:val="16"/>
                <w:szCs w:val="16"/>
                <w:highlight w:val="yellow"/>
                <w:lang w:eastAsia="en-AU"/>
              </w:rPr>
            </w:pPr>
            <w:r>
              <w:rPr>
                <w:rFonts w:ascii="Arial" w:hAnsi="Arial" w:cs="Arial"/>
                <w:color w:val="000000"/>
                <w:sz w:val="16"/>
                <w:szCs w:val="16"/>
              </w:rPr>
              <w:t>33</w:t>
            </w:r>
          </w:p>
        </w:tc>
        <w:tc>
          <w:tcPr>
            <w:tcW w:w="1191" w:type="dxa"/>
            <w:tcBorders>
              <w:top w:val="nil"/>
              <w:left w:val="nil"/>
              <w:bottom w:val="nil"/>
              <w:right w:val="nil"/>
            </w:tcBorders>
            <w:shd w:val="clear" w:color="auto" w:fill="auto"/>
            <w:noWrap/>
            <w:vAlign w:val="bottom"/>
          </w:tcPr>
          <w:p w14:paraId="3E3F6B00" w14:textId="77777777" w:rsidR="005C4FBC" w:rsidRPr="003C2B07" w:rsidRDefault="005C4FBC" w:rsidP="007B52F1">
            <w:pPr>
              <w:ind w:right="170"/>
              <w:jc w:val="right"/>
              <w:rPr>
                <w:rFonts w:ascii="Arial" w:hAnsi="Arial" w:cs="Arial"/>
                <w:color w:val="000000"/>
                <w:sz w:val="16"/>
                <w:szCs w:val="16"/>
                <w:highlight w:val="yellow"/>
                <w:lang w:eastAsia="en-AU"/>
              </w:rPr>
            </w:pPr>
            <w:r>
              <w:rPr>
                <w:rFonts w:ascii="Arial" w:hAnsi="Arial" w:cs="Arial"/>
                <w:color w:val="000000"/>
                <w:sz w:val="16"/>
                <w:szCs w:val="16"/>
              </w:rPr>
              <w:t>100</w:t>
            </w:r>
          </w:p>
        </w:tc>
      </w:tr>
    </w:tbl>
    <w:p w14:paraId="6AC7A925" w14:textId="6867C3FE" w:rsidR="0040414A" w:rsidRDefault="0040414A">
      <w:pPr>
        <w:rPr>
          <w:rFonts w:ascii="Arial" w:hAnsi="Arial" w:cs="Arial"/>
          <w:sz w:val="6"/>
          <w:szCs w:val="6"/>
        </w:rPr>
      </w:pPr>
    </w:p>
    <w:p w14:paraId="1A5601B9" w14:textId="77777777" w:rsidR="005C4FBC" w:rsidRPr="00700949" w:rsidRDefault="005C4FBC" w:rsidP="005C4FBC">
      <w:pPr>
        <w:rPr>
          <w:rFonts w:ascii="Arial" w:eastAsia="Calibri" w:hAnsi="Arial" w:cs="Arial"/>
          <w:bCs/>
          <w:sz w:val="17"/>
          <w:szCs w:val="17"/>
        </w:rPr>
      </w:pPr>
      <w:r w:rsidRPr="00700949">
        <w:rPr>
          <w:rFonts w:ascii="Arial" w:eastAsia="Calibri" w:hAnsi="Arial" w:cs="Arial"/>
          <w:bCs/>
          <w:sz w:val="17"/>
          <w:szCs w:val="17"/>
        </w:rPr>
        <w:t>Note:</w:t>
      </w:r>
    </w:p>
    <w:p w14:paraId="708CE1A8" w14:textId="77777777" w:rsidR="005C4FBC" w:rsidRPr="006F03ED" w:rsidRDefault="005C4FBC" w:rsidP="005C4FBC">
      <w:pPr>
        <w:ind w:left="357" w:hanging="357"/>
        <w:rPr>
          <w:rFonts w:ascii="Arial" w:eastAsia="Calibri" w:hAnsi="Arial" w:cs="Arial"/>
          <w:sz w:val="17"/>
          <w:szCs w:val="17"/>
        </w:rPr>
      </w:pPr>
      <w:r w:rsidRPr="006F03ED">
        <w:rPr>
          <w:rFonts w:ascii="Arial" w:eastAsia="Calibri" w:hAnsi="Arial" w:cs="Arial"/>
          <w:sz w:val="17"/>
          <w:szCs w:val="17"/>
        </w:rPr>
        <w:t xml:space="preserve">(a) </w:t>
      </w:r>
      <w:r>
        <w:rPr>
          <w:rFonts w:ascii="Arial" w:eastAsia="Calibri" w:hAnsi="Arial" w:cs="Arial"/>
          <w:sz w:val="17"/>
          <w:szCs w:val="17"/>
        </w:rPr>
        <w:tab/>
      </w:r>
      <w:r w:rsidRPr="006F03ED">
        <w:rPr>
          <w:rFonts w:ascii="Arial" w:eastAsia="Calibri" w:hAnsi="Arial" w:cs="Arial"/>
          <w:sz w:val="17"/>
          <w:szCs w:val="17"/>
        </w:rPr>
        <w:t>Figure is the cumulative number of trees forecast to be planted by June 2022</w:t>
      </w:r>
      <w:r>
        <w:rPr>
          <w:rFonts w:ascii="Arial" w:eastAsia="Calibri" w:hAnsi="Arial" w:cs="Arial"/>
          <w:sz w:val="17"/>
          <w:szCs w:val="17"/>
        </w:rPr>
        <w:t>.</w:t>
      </w:r>
    </w:p>
    <w:p w14:paraId="6FD6C874" w14:textId="7E2D727B" w:rsidR="005C4FBC" w:rsidRDefault="005C4FBC">
      <w:pPr>
        <w:rPr>
          <w:rFonts w:ascii="Arial" w:hAnsi="Arial" w:cs="Arial"/>
          <w:sz w:val="6"/>
          <w:szCs w:val="6"/>
        </w:rPr>
      </w:pPr>
      <w:r>
        <w:rPr>
          <w:rFonts w:ascii="Arial" w:hAnsi="Arial" w:cs="Arial"/>
          <w:sz w:val="6"/>
          <w:szCs w:val="6"/>
        </w:rPr>
        <w:br w:type="page"/>
      </w:r>
    </w:p>
    <w:p w14:paraId="3A3BF13E" w14:textId="768712FE" w:rsidR="00E0467E" w:rsidRDefault="00ED0897" w:rsidP="005C4FBC">
      <w:pPr>
        <w:pStyle w:val="Heading2"/>
        <w:rPr>
          <w:rFonts w:ascii="Arial" w:hAnsi="Arial" w:cs="Arial"/>
        </w:rPr>
      </w:pPr>
      <w:r>
        <w:rPr>
          <w:rFonts w:ascii="Arial" w:hAnsi="Arial" w:cs="Arial"/>
        </w:rPr>
        <w:lastRenderedPageBreak/>
        <w:t xml:space="preserve">Outcome 3: </w:t>
      </w:r>
      <w:r w:rsidR="005C4FBC" w:rsidRPr="001D27F3">
        <w:t>Maximise</w:t>
      </w:r>
      <w:r w:rsidR="005C4FBC" w:rsidRPr="5BD00713">
        <w:t xml:space="preserve"> community benefit from government land and property</w:t>
      </w:r>
    </w:p>
    <w:p w14:paraId="292781A3" w14:textId="77777777" w:rsidR="005C4FBC" w:rsidRPr="003A0DAC" w:rsidRDefault="00560147" w:rsidP="00560147">
      <w:pPr>
        <w:pStyle w:val="Heading3"/>
        <w:rPr>
          <w:rFonts w:cs="Arial"/>
        </w:rPr>
      </w:pPr>
      <w:r>
        <w:rPr>
          <w:rFonts w:cs="Arial"/>
        </w:rPr>
        <w:t>S</w:t>
      </w:r>
      <w:r w:rsidRPr="003A0DAC">
        <w:rPr>
          <w:rFonts w:cs="Arial"/>
        </w:rPr>
        <w:t>tate Outcome overview and 202</w:t>
      </w:r>
      <w:r w:rsidR="00F74499">
        <w:rPr>
          <w:rFonts w:cs="Arial"/>
        </w:rPr>
        <w:t>1</w:t>
      </w:r>
      <w:r w:rsidRPr="003A0DAC">
        <w:rPr>
          <w:rFonts w:cs="Arial"/>
        </w:rPr>
        <w:t>-2</w:t>
      </w:r>
      <w:r w:rsidR="00F74499">
        <w:rPr>
          <w:rFonts w:cs="Arial"/>
        </w:rPr>
        <w:t>2</w:t>
      </w:r>
      <w:r w:rsidRPr="003A0DAC">
        <w:rPr>
          <w:rFonts w:cs="Arial"/>
        </w:rPr>
        <w:t xml:space="preserve"> investment</w:t>
      </w:r>
    </w:p>
    <w:tbl>
      <w:tblPr>
        <w:tblpPr w:leftFromText="180" w:rightFromText="180" w:vertAnchor="text" w:horzAnchor="margin" w:tblpXSpec="right" w:tblpY="15"/>
        <w:tblW w:w="1716" w:type="pct"/>
        <w:shd w:val="clear" w:color="auto" w:fill="F2F2F2" w:themeFill="background1" w:themeFillShade="F2"/>
        <w:tblCellMar>
          <w:left w:w="115" w:type="dxa"/>
          <w:right w:w="115" w:type="dxa"/>
        </w:tblCellMar>
        <w:tblLook w:val="04A0" w:firstRow="1" w:lastRow="0" w:firstColumn="1" w:lastColumn="0" w:noHBand="0" w:noVBand="1"/>
        <w:tblCaption w:val="4.5 Outcome 3: Maximise community benefit from government land and property"/>
        <w:tblDescription w:val="4.5 Outcome 3: Maximise community benefit from government land and property"/>
      </w:tblPr>
      <w:tblGrid>
        <w:gridCol w:w="1144"/>
        <w:gridCol w:w="967"/>
        <w:gridCol w:w="1197"/>
      </w:tblGrid>
      <w:tr w:rsidR="005C4FBC" w:rsidRPr="00F8244B" w14:paraId="1FF9F469" w14:textId="77777777" w:rsidTr="00294B1F">
        <w:trPr>
          <w:cantSplit/>
          <w:trHeight w:val="784"/>
        </w:trPr>
        <w:tc>
          <w:tcPr>
            <w:tcW w:w="1729" w:type="pct"/>
            <w:shd w:val="clear" w:color="auto" w:fill="F2F2F2" w:themeFill="background1" w:themeFillShade="F2"/>
            <w:vAlign w:val="center"/>
          </w:tcPr>
          <w:p w14:paraId="6BA525C6" w14:textId="77777777" w:rsidR="005C4FBC" w:rsidRPr="00F8244B" w:rsidRDefault="005C4FBC" w:rsidP="00294B1F">
            <w:pPr>
              <w:spacing w:before="120" w:after="120"/>
              <w:rPr>
                <w:rFonts w:ascii="Arial" w:hAnsi="Arial" w:cs="Arial"/>
                <w:sz w:val="23"/>
                <w:szCs w:val="23"/>
              </w:rPr>
            </w:pPr>
            <w:r>
              <w:rPr>
                <w:rFonts w:ascii="Arial" w:hAnsi="Arial" w:cs="Arial"/>
                <w:noProof/>
              </w:rPr>
              <w:drawing>
                <wp:inline distT="0" distB="0" distL="0" distR="0" wp14:anchorId="5D9DA6BB" wp14:editId="04124B73">
                  <wp:extent cx="518160" cy="5184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39A71BC9" w14:textId="77777777" w:rsidR="005C4FBC" w:rsidRPr="00F8244B" w:rsidRDefault="005C4FBC" w:rsidP="00294B1F">
            <w:pPr>
              <w:spacing w:before="120" w:after="120"/>
              <w:jc w:val="center"/>
              <w:rPr>
                <w:rFonts w:ascii="Arial" w:hAnsi="Arial" w:cs="Arial"/>
                <w:color w:val="00ABE6"/>
                <w:sz w:val="18"/>
                <w:szCs w:val="18"/>
              </w:rPr>
            </w:pPr>
            <w:r w:rsidRPr="00120C1E">
              <w:rPr>
                <w:rFonts w:ascii="Arial" w:hAnsi="Arial" w:cs="Arial"/>
                <w:color w:val="008EBA"/>
                <w:sz w:val="18"/>
                <w:szCs w:val="18"/>
              </w:rPr>
              <w:t>$1.7 billion</w:t>
            </w:r>
          </w:p>
        </w:tc>
        <w:tc>
          <w:tcPr>
            <w:tcW w:w="1809" w:type="pct"/>
            <w:shd w:val="clear" w:color="auto" w:fill="F2F2F2" w:themeFill="background1" w:themeFillShade="F2"/>
            <w:vAlign w:val="center"/>
          </w:tcPr>
          <w:p w14:paraId="5AE1B56D" w14:textId="77777777" w:rsidR="005C4FBC" w:rsidRPr="00F8244B" w:rsidRDefault="005C4FBC" w:rsidP="00294B1F">
            <w:pPr>
              <w:rPr>
                <w:rFonts w:ascii="Arial" w:hAnsi="Arial" w:cs="Arial"/>
                <w:color w:val="00ABE6"/>
                <w:sz w:val="18"/>
                <w:szCs w:val="18"/>
              </w:rPr>
            </w:pPr>
            <w:r w:rsidRPr="00BF4D60">
              <w:rPr>
                <w:rFonts w:ascii="Arial" w:hAnsi="Arial" w:cs="Arial"/>
                <w:color w:val="008EBA"/>
                <w:sz w:val="18"/>
                <w:szCs w:val="18"/>
              </w:rPr>
              <w:t>Recurrent</w:t>
            </w:r>
            <w:r w:rsidRPr="00BF4D60">
              <w:rPr>
                <w:rFonts w:ascii="Arial" w:hAnsi="Arial" w:cs="Arial"/>
                <w:color w:val="008EBA"/>
                <w:sz w:val="18"/>
                <w:szCs w:val="18"/>
              </w:rPr>
              <w:br/>
              <w:t xml:space="preserve">Expenses </w:t>
            </w:r>
            <w:r w:rsidRPr="00BF4D60">
              <w:rPr>
                <w:rFonts w:ascii="Arial" w:hAnsi="Arial" w:cs="Arial"/>
                <w:color w:val="008EBA"/>
                <w:sz w:val="18"/>
                <w:szCs w:val="18"/>
              </w:rPr>
              <w:br/>
              <w:t>2021-22</w:t>
            </w:r>
          </w:p>
        </w:tc>
      </w:tr>
      <w:tr w:rsidR="005C4FBC" w:rsidRPr="00F8244B" w14:paraId="706B40B1" w14:textId="77777777" w:rsidTr="00294B1F">
        <w:trPr>
          <w:cantSplit/>
          <w:trHeight w:val="784"/>
        </w:trPr>
        <w:tc>
          <w:tcPr>
            <w:tcW w:w="1729" w:type="pct"/>
            <w:shd w:val="clear" w:color="auto" w:fill="F2F2F2" w:themeFill="background1" w:themeFillShade="F2"/>
            <w:vAlign w:val="center"/>
          </w:tcPr>
          <w:p w14:paraId="53222381" w14:textId="77777777" w:rsidR="005C4FBC" w:rsidRPr="00F8244B" w:rsidRDefault="005C4FBC" w:rsidP="00294B1F">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4CE52363" wp14:editId="0D8B780A">
                  <wp:extent cx="518160" cy="5184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5FB8F104" w14:textId="5A7E9CE4" w:rsidR="005C4FBC" w:rsidRPr="00F8244B" w:rsidRDefault="005C4FBC" w:rsidP="00294B1F">
            <w:pPr>
              <w:spacing w:before="120" w:after="120"/>
              <w:jc w:val="center"/>
              <w:rPr>
                <w:rFonts w:ascii="Arial" w:hAnsi="Arial" w:cs="Arial"/>
                <w:color w:val="00ABE6"/>
                <w:sz w:val="18"/>
                <w:szCs w:val="18"/>
              </w:rPr>
            </w:pPr>
            <w:r w:rsidRPr="00120C1E">
              <w:rPr>
                <w:rFonts w:ascii="Arial" w:hAnsi="Arial" w:cs="Arial"/>
                <w:color w:val="008EBA"/>
                <w:sz w:val="18"/>
                <w:szCs w:val="18"/>
              </w:rPr>
              <w:t>$5</w:t>
            </w:r>
            <w:r w:rsidR="007D5699">
              <w:rPr>
                <w:rFonts w:ascii="Arial" w:hAnsi="Arial" w:cs="Arial"/>
                <w:color w:val="008EBA"/>
                <w:sz w:val="18"/>
                <w:szCs w:val="18"/>
              </w:rPr>
              <w:t>64.2</w:t>
            </w:r>
            <w:r w:rsidRPr="00120C1E">
              <w:rPr>
                <w:rFonts w:ascii="Arial" w:hAnsi="Arial" w:cs="Arial"/>
                <w:color w:val="008EBA"/>
                <w:sz w:val="18"/>
                <w:szCs w:val="18"/>
              </w:rPr>
              <w:t xml:space="preserve"> million</w:t>
            </w:r>
          </w:p>
        </w:tc>
        <w:tc>
          <w:tcPr>
            <w:tcW w:w="1809" w:type="pct"/>
            <w:shd w:val="clear" w:color="auto" w:fill="F2F2F2" w:themeFill="background1" w:themeFillShade="F2"/>
            <w:vAlign w:val="center"/>
          </w:tcPr>
          <w:p w14:paraId="55030889" w14:textId="77777777" w:rsidR="005C4FBC" w:rsidRPr="00F8244B" w:rsidRDefault="005C4FBC" w:rsidP="00294B1F">
            <w:pPr>
              <w:rPr>
                <w:rFonts w:ascii="Arial" w:hAnsi="Arial" w:cs="Arial"/>
                <w:color w:val="00ABE6"/>
                <w:sz w:val="18"/>
                <w:szCs w:val="18"/>
              </w:rPr>
            </w:pPr>
            <w:r w:rsidRPr="00BF4D60">
              <w:rPr>
                <w:rFonts w:ascii="Arial" w:hAnsi="Arial" w:cs="Arial"/>
                <w:color w:val="008EBA"/>
                <w:sz w:val="18"/>
                <w:szCs w:val="18"/>
              </w:rPr>
              <w:t>Capital</w:t>
            </w:r>
            <w:r w:rsidRPr="00BF4D60">
              <w:rPr>
                <w:rFonts w:ascii="Arial" w:hAnsi="Arial" w:cs="Arial"/>
                <w:color w:val="008EBA"/>
                <w:sz w:val="18"/>
                <w:szCs w:val="18"/>
              </w:rPr>
              <w:br/>
              <w:t>Expenditure</w:t>
            </w:r>
            <w:r w:rsidRPr="00BF4D60">
              <w:rPr>
                <w:rFonts w:ascii="Arial" w:hAnsi="Arial" w:cs="Arial"/>
                <w:color w:val="008EBA"/>
                <w:sz w:val="18"/>
                <w:szCs w:val="18"/>
              </w:rPr>
              <w:br/>
              <w:t>2021-22</w:t>
            </w:r>
          </w:p>
        </w:tc>
      </w:tr>
    </w:tbl>
    <w:p w14:paraId="67A215E3" w14:textId="77777777" w:rsidR="005C4FBC" w:rsidRPr="009453EC" w:rsidRDefault="005C4FBC" w:rsidP="00AD1619">
      <w:pPr>
        <w:pStyle w:val="BodyText"/>
      </w:pPr>
      <w:r w:rsidRPr="5BD68C84">
        <w:t>Delivering a coordinated, strategic approach to the use of government-owned property to maximise community benefits by delivering quality public spaces and diverse housing outcomes.</w:t>
      </w:r>
    </w:p>
    <w:p w14:paraId="502E8A9E" w14:textId="39592D42" w:rsidR="005C4FBC" w:rsidRDefault="005C4FBC" w:rsidP="009F5B52">
      <w:pPr>
        <w:pStyle w:val="BodyText"/>
      </w:pPr>
      <w:r>
        <w:t>This</w:t>
      </w:r>
      <w:r w:rsidRPr="5BD68C84">
        <w:t xml:space="preserve"> State Outcome </w:t>
      </w:r>
      <w:r>
        <w:t>comprises</w:t>
      </w:r>
      <w:r w:rsidRPr="5BD68C84">
        <w:t xml:space="preserve"> activities aimed at improving asset management; the development and maintenance of social housing; the management of Crown land and key precincts; increas</w:t>
      </w:r>
      <w:r w:rsidR="00B5296C">
        <w:t>ing</w:t>
      </w:r>
      <w:r w:rsidR="00F910DD">
        <w:t xml:space="preserve"> </w:t>
      </w:r>
      <w:r w:rsidR="00B5296C">
        <w:t>the</w:t>
      </w:r>
      <w:r w:rsidRPr="5BD68C84">
        <w:t xml:space="preserve"> supply of housing for Aboriginal communities; </w:t>
      </w:r>
      <w:r w:rsidR="00A53FFE">
        <w:t xml:space="preserve">and </w:t>
      </w:r>
      <w:r w:rsidRPr="5BD68C84">
        <w:t>improv</w:t>
      </w:r>
      <w:r w:rsidR="00DF0397">
        <w:t>ing</w:t>
      </w:r>
      <w:r w:rsidRPr="5BD68C84">
        <w:t xml:space="preserve"> public spaces and parklands. </w:t>
      </w:r>
    </w:p>
    <w:p w14:paraId="2488BCF2" w14:textId="77777777" w:rsidR="005C4FBC" w:rsidRPr="00FC1298" w:rsidRDefault="005C4FBC" w:rsidP="008E179C">
      <w:pPr>
        <w:pStyle w:val="BodyText"/>
        <w:rPr>
          <w:rFonts w:eastAsiaTheme="minorEastAsia"/>
          <w:b/>
        </w:rPr>
      </w:pPr>
      <w:r w:rsidRPr="41AD91DC">
        <w:t xml:space="preserve">Delivery is shared by the Department of Planning, Industry and Environment, Land and Housing Corporation, Aboriginal Housing Office, Property </w:t>
      </w:r>
      <w:r>
        <w:t xml:space="preserve">&amp; Development </w:t>
      </w:r>
      <w:r w:rsidRPr="41AD91DC">
        <w:t xml:space="preserve">NSW, </w:t>
      </w:r>
      <w:r w:rsidRPr="41AD91DC">
        <w:rPr>
          <w:rFonts w:eastAsiaTheme="minorEastAsia"/>
        </w:rPr>
        <w:t>Greater Sydney Parklands, Royal Botanic Gardens and Domain Trust, Place</w:t>
      </w:r>
      <w:r w:rsidRPr="4AADC242">
        <w:rPr>
          <w:rFonts w:eastAsiaTheme="minorEastAsia"/>
        </w:rPr>
        <w:t xml:space="preserve"> Management</w:t>
      </w:r>
      <w:r w:rsidRPr="41AD91DC">
        <w:rPr>
          <w:rFonts w:eastAsiaTheme="minorEastAsia"/>
        </w:rPr>
        <w:t xml:space="preserve"> NSW, Sydney Olympic Park Authority and the Hunter and Central Coast Development Corporation.</w:t>
      </w:r>
    </w:p>
    <w:p w14:paraId="2A3578FB" w14:textId="1937B087" w:rsidR="00560147" w:rsidRPr="000101AC" w:rsidRDefault="00560147" w:rsidP="00560147">
      <w:pPr>
        <w:pStyle w:val="Heading3"/>
        <w:rPr>
          <w:rFonts w:cs="Arial"/>
        </w:rPr>
      </w:pPr>
      <w:r w:rsidRPr="000101AC">
        <w:rPr>
          <w:rFonts w:cs="Arial"/>
        </w:rPr>
        <w:t>202</w:t>
      </w:r>
      <w:r w:rsidR="00F74499">
        <w:rPr>
          <w:rFonts w:cs="Arial"/>
        </w:rPr>
        <w:t>1</w:t>
      </w:r>
      <w:r w:rsidRPr="000101AC">
        <w:rPr>
          <w:rFonts w:cs="Arial"/>
        </w:rPr>
        <w:t>-2</w:t>
      </w:r>
      <w:r w:rsidR="00F74499">
        <w:rPr>
          <w:rFonts w:cs="Arial"/>
        </w:rPr>
        <w:t>2</w:t>
      </w:r>
      <w:r w:rsidRPr="000101AC">
        <w:rPr>
          <w:rFonts w:cs="Arial"/>
        </w:rPr>
        <w:t xml:space="preserve"> </w:t>
      </w:r>
      <w:r w:rsidR="0033128C">
        <w:rPr>
          <w:rFonts w:cs="Arial"/>
        </w:rPr>
        <w:t xml:space="preserve">State Outcome </w:t>
      </w:r>
      <w:r w:rsidRPr="000101AC">
        <w:rPr>
          <w:rFonts w:cs="Arial"/>
        </w:rPr>
        <w:t xml:space="preserve">Budget </w:t>
      </w:r>
      <w:r w:rsidR="0033128C">
        <w:rPr>
          <w:rFonts w:cs="Arial"/>
        </w:rPr>
        <w:t>h</w:t>
      </w:r>
      <w:r w:rsidRPr="000101AC">
        <w:rPr>
          <w:rFonts w:cs="Arial"/>
        </w:rPr>
        <w:t xml:space="preserve">ighlights </w:t>
      </w:r>
    </w:p>
    <w:p w14:paraId="17FA587A" w14:textId="2BA41249" w:rsidR="005C4FBC" w:rsidRPr="00847B09" w:rsidRDefault="005C4FBC" w:rsidP="00ED1B02">
      <w:pPr>
        <w:pStyle w:val="BodyText"/>
      </w:pPr>
      <w:r w:rsidRPr="5BD68C84">
        <w:t xml:space="preserve">In 2021-22, the Planning, Industry and Environment Cluster will invest </w:t>
      </w:r>
      <w:r w:rsidRPr="0017600C">
        <w:t>$2.</w:t>
      </w:r>
      <w:r w:rsidR="007B4366" w:rsidRPr="0017600C">
        <w:t>3</w:t>
      </w:r>
      <w:r w:rsidR="0017600C">
        <w:t> </w:t>
      </w:r>
      <w:r w:rsidRPr="0017600C">
        <w:t>billion ($1.</w:t>
      </w:r>
      <w:r w:rsidR="0017600C" w:rsidRPr="00847B09">
        <w:t>7 </w:t>
      </w:r>
      <w:r w:rsidRPr="00847B09">
        <w:t>billion recurrent expenses and $</w:t>
      </w:r>
      <w:r w:rsidR="007B4366" w:rsidRPr="00120C1E">
        <w:t>5</w:t>
      </w:r>
      <w:r w:rsidR="007D5699">
        <w:t>64.2</w:t>
      </w:r>
      <w:r w:rsidR="0017600C" w:rsidRPr="00847B09">
        <w:t> </w:t>
      </w:r>
      <w:r w:rsidRPr="00847B09">
        <w:t>million capital expenditure) in this Outcome, including:</w:t>
      </w:r>
    </w:p>
    <w:p w14:paraId="5C02189E" w14:textId="2C5A389F" w:rsidR="005C4FBC" w:rsidRPr="00746D1D" w:rsidRDefault="00746D1D" w:rsidP="00746D1D">
      <w:pPr>
        <w:pStyle w:val="Bullet1"/>
      </w:pPr>
      <w:r>
        <w:t>$337.9 million ($307.1 million recurrent expenses and $204.2 million capital expenditure over four years) for the construction and acceleration of new social housing properties, as well as upgrades and maintenance, by the Land and Housing Corporation and the Aboriginal Housing Office. Activity will support job creation, improve the quality, comfort and safety of housing for tenants, provide roof restorations and replacements, recladding, solar power installations, drought relief hydro panels, climate resilient housing works and air conditioning</w:t>
      </w:r>
    </w:p>
    <w:p w14:paraId="178AB8C3" w14:textId="2EDA45FE" w:rsidR="005C4FBC" w:rsidRPr="004974E0" w:rsidRDefault="005C4FBC" w:rsidP="00746D1D">
      <w:pPr>
        <w:pStyle w:val="Bullet1"/>
        <w:rPr>
          <w:color w:val="000000" w:themeColor="text1"/>
        </w:rPr>
      </w:pPr>
      <w:r w:rsidRPr="00847B09">
        <w:t>$79.</w:t>
      </w:r>
      <w:r w:rsidR="0017600C" w:rsidRPr="00847B09">
        <w:t>6 </w:t>
      </w:r>
      <w:r w:rsidRPr="00847B09">
        <w:t>million ($48.</w:t>
      </w:r>
      <w:r w:rsidR="0017600C" w:rsidRPr="00847B09">
        <w:t>5 </w:t>
      </w:r>
      <w:r w:rsidRPr="00847B09">
        <w:t>million recurrent expenses and $31.</w:t>
      </w:r>
      <w:r w:rsidR="0017600C" w:rsidRPr="00847B09">
        <w:t>2 </w:t>
      </w:r>
      <w:r w:rsidRPr="00847B09">
        <w:t>million capital</w:t>
      </w:r>
      <w:r w:rsidR="003467D5">
        <w:t xml:space="preserve"> expenditure</w:t>
      </w:r>
      <w:r w:rsidRPr="004974E0">
        <w:t xml:space="preserve">) to create better public and open spaces and </w:t>
      </w:r>
      <w:r w:rsidR="0007056C" w:rsidRPr="0007056C">
        <w:t xml:space="preserve">improve government infrastructure including upgrades to showgrounds, public reserves, national parks, gardens </w:t>
      </w:r>
      <w:r w:rsidR="0027349F">
        <w:t>and</w:t>
      </w:r>
      <w:r w:rsidR="0007056C" w:rsidRPr="0007056C">
        <w:t xml:space="preserve"> parklands</w:t>
      </w:r>
      <w:r w:rsidR="0027349F">
        <w:t>,</w:t>
      </w:r>
      <w:r w:rsidR="0007056C" w:rsidRPr="0007056C">
        <w:t xml:space="preserve"> and accommodation for frontline workers in rural and remote communities</w:t>
      </w:r>
      <w:r w:rsidR="0007056C">
        <w:t xml:space="preserve"> </w:t>
      </w:r>
    </w:p>
    <w:p w14:paraId="6DEBB556" w14:textId="59E92F00" w:rsidR="005C4FBC" w:rsidRPr="00CC16C8" w:rsidRDefault="005C4FBC">
      <w:pPr>
        <w:pStyle w:val="Bullet1"/>
        <w:rPr>
          <w:color w:val="000000" w:themeColor="text1"/>
        </w:rPr>
      </w:pPr>
      <w:r w:rsidRPr="00CC16C8">
        <w:t>$73.</w:t>
      </w:r>
      <w:r w:rsidR="007449D0" w:rsidRPr="00CC16C8">
        <w:t>4</w:t>
      </w:r>
      <w:r w:rsidR="00CC16C8" w:rsidRPr="00CC16C8">
        <w:t> </w:t>
      </w:r>
      <w:r w:rsidRPr="00CC16C8">
        <w:t>million ($19</w:t>
      </w:r>
      <w:r w:rsidR="007449D0" w:rsidRPr="00CC16C8">
        <w:t>1</w:t>
      </w:r>
      <w:r w:rsidRPr="00CC16C8">
        <w:t>.8</w:t>
      </w:r>
      <w:r w:rsidR="00CC16C8" w:rsidRPr="00CC16C8">
        <w:t> </w:t>
      </w:r>
      <w:r w:rsidRPr="00CC16C8">
        <w:t>million recurrent expenses and $63.1</w:t>
      </w:r>
      <w:r w:rsidR="00CC16C8" w:rsidRPr="00CC16C8">
        <w:t> </w:t>
      </w:r>
      <w:r w:rsidRPr="00CC16C8">
        <w:t xml:space="preserve">million capital </w:t>
      </w:r>
      <w:r w:rsidR="003216B2" w:rsidRPr="00CC16C8">
        <w:t xml:space="preserve">expenditure </w:t>
      </w:r>
      <w:r w:rsidRPr="00CC16C8">
        <w:t xml:space="preserve">over four years) for improvements to the Greater Sydney Parklands including: developing the Western Sydney parklands into a multi-use urban parkland that provides a diverse range of recreational, entertainment and tourist facilities; and improving Centennial Park and Moore Park </w:t>
      </w:r>
      <w:r w:rsidR="00E412F2">
        <w:t>T</w:t>
      </w:r>
      <w:r w:rsidRPr="00CC16C8">
        <w:t xml:space="preserve">rust lands to increase public use and enhance recreational, cultural and environmental value </w:t>
      </w:r>
    </w:p>
    <w:p w14:paraId="06989FA7" w14:textId="66C0BAAE" w:rsidR="005C4FBC" w:rsidRPr="00227FF5" w:rsidRDefault="005C4FBC">
      <w:pPr>
        <w:pStyle w:val="Bullet1"/>
        <w:rPr>
          <w:color w:val="000000" w:themeColor="text1"/>
        </w:rPr>
      </w:pPr>
      <w:r w:rsidRPr="00CC16C8">
        <w:t>$54.</w:t>
      </w:r>
      <w:r w:rsidR="007A1C93" w:rsidRPr="00CC16C8">
        <w:t>8</w:t>
      </w:r>
      <w:r w:rsidR="00CC16C8" w:rsidRPr="00CC16C8">
        <w:t> </w:t>
      </w:r>
      <w:r w:rsidRPr="00CC16C8">
        <w:t>million ($106.</w:t>
      </w:r>
      <w:r w:rsidR="005D49F9" w:rsidRPr="00CC16C8">
        <w:t>0</w:t>
      </w:r>
      <w:r w:rsidR="00CC16C8" w:rsidRPr="00CC16C8">
        <w:t> </w:t>
      </w:r>
      <w:r w:rsidRPr="00CC16C8">
        <w:t>million recurrent expenses and $50.</w:t>
      </w:r>
      <w:r w:rsidR="00CC16C8" w:rsidRPr="00CC16C8">
        <w:t>9 </w:t>
      </w:r>
      <w:r w:rsidRPr="00CC16C8">
        <w:t xml:space="preserve">million capital </w:t>
      </w:r>
      <w:r w:rsidR="003216B2" w:rsidRPr="00CC16C8">
        <w:t xml:space="preserve">expenditure </w:t>
      </w:r>
      <w:r w:rsidRPr="00CC16C8">
        <w:t xml:space="preserve">over four years) for improvements to the Royal Botanic Gardens and Domain Trust including </w:t>
      </w:r>
      <w:r w:rsidRPr="00CC16C8">
        <w:rPr>
          <w:rStyle w:val="normaltextrun"/>
        </w:rPr>
        <w:t>improvements</w:t>
      </w:r>
      <w:r w:rsidRPr="00EC3879">
        <w:rPr>
          <w:rStyle w:val="normaltextrun"/>
        </w:rPr>
        <w:t xml:space="preserve"> to the Australian Institute of Botanical Science facilities, </w:t>
      </w:r>
      <w:r w:rsidRPr="00EC3879">
        <w:t xml:space="preserve">and delivering </w:t>
      </w:r>
      <w:r w:rsidRPr="00EC3879">
        <w:rPr>
          <w:rStyle w:val="normaltextrun"/>
        </w:rPr>
        <w:t>a new botanical facility in Western Sydney to ensure the security of plant specimens essential for conservation, bushfire regeneration and ongoing management of the natural environment</w:t>
      </w:r>
    </w:p>
    <w:p w14:paraId="28318371" w14:textId="120F2E04" w:rsidR="005C4FBC" w:rsidRPr="000D6817" w:rsidRDefault="005C4FBC">
      <w:pPr>
        <w:pStyle w:val="Bullet1"/>
        <w:rPr>
          <w:color w:val="000000" w:themeColor="text1"/>
        </w:rPr>
      </w:pPr>
      <w:r w:rsidRPr="000D6817">
        <w:t>$20.</w:t>
      </w:r>
      <w:r w:rsidR="000D6817" w:rsidRPr="000D6817">
        <w:t>0 </w:t>
      </w:r>
      <w:r w:rsidRPr="000D6817">
        <w:t>million ($60.</w:t>
      </w:r>
      <w:r w:rsidR="000D6817" w:rsidRPr="000D6817">
        <w:t>0 </w:t>
      </w:r>
      <w:r w:rsidRPr="000D6817">
        <w:t>million recurrent expenses over three years) for 300 new housing sector pre-apprenticeships, apprenticeships and cadetships to provide career pathways for young people and social housing tenants</w:t>
      </w:r>
    </w:p>
    <w:p w14:paraId="729F37F8" w14:textId="77777777" w:rsidR="00294B1F" w:rsidRDefault="00294B1F">
      <w:pPr>
        <w:rPr>
          <w:rFonts w:ascii="Arial" w:hAnsi="Arial" w:cs="Arial"/>
          <w:sz w:val="23"/>
          <w:szCs w:val="23"/>
        </w:rPr>
      </w:pPr>
      <w:r>
        <w:br w:type="page"/>
      </w:r>
    </w:p>
    <w:p w14:paraId="0E8C3B41" w14:textId="66CD721A" w:rsidR="005C4FBC" w:rsidRPr="000D6817" w:rsidRDefault="005C4FBC">
      <w:pPr>
        <w:pStyle w:val="Bullet1"/>
        <w:rPr>
          <w:color w:val="000000" w:themeColor="text1"/>
        </w:rPr>
      </w:pPr>
      <w:r w:rsidRPr="000D6817">
        <w:lastRenderedPageBreak/>
        <w:t>$18.</w:t>
      </w:r>
      <w:r w:rsidR="000D6817" w:rsidRPr="000D6817">
        <w:t>9 </w:t>
      </w:r>
      <w:r w:rsidRPr="000D6817">
        <w:t>million ($7.</w:t>
      </w:r>
      <w:r w:rsidR="000D6817" w:rsidRPr="000D6817">
        <w:t>4 </w:t>
      </w:r>
      <w:r w:rsidRPr="000D6817">
        <w:t>million recurrent expenses and $103.2</w:t>
      </w:r>
      <w:r w:rsidR="000D6817" w:rsidRPr="000D6817">
        <w:t> </w:t>
      </w:r>
      <w:r w:rsidRPr="000D6817">
        <w:t xml:space="preserve">million capital </w:t>
      </w:r>
      <w:r w:rsidR="003216B2" w:rsidRPr="000D6817">
        <w:t xml:space="preserve">expenditure </w:t>
      </w:r>
      <w:r w:rsidRPr="000D6817">
        <w:t xml:space="preserve">over four years) </w:t>
      </w:r>
      <w:r w:rsidR="00FC6C9D" w:rsidRPr="000D6817">
        <w:t xml:space="preserve">for </w:t>
      </w:r>
      <w:r w:rsidR="00710FB1">
        <w:t xml:space="preserve">new office </w:t>
      </w:r>
      <w:r w:rsidR="00935B4C">
        <w:t>hubs</w:t>
      </w:r>
      <w:r w:rsidR="00FC6C9D" w:rsidRPr="000D6817">
        <w:t xml:space="preserve"> in Dubbo and Coffs Harbour to</w:t>
      </w:r>
      <w:r w:rsidR="00935B4C">
        <w:t xml:space="preserve"> consolidate existing tenancies and</w:t>
      </w:r>
      <w:r w:rsidR="00FC6C9D" w:rsidRPr="000D6817">
        <w:t xml:space="preserve"> provide modern, efficient office spaces to attract and ret</w:t>
      </w:r>
      <w:r w:rsidR="00654449">
        <w:t>ain</w:t>
      </w:r>
      <w:r w:rsidR="00FC6C9D" w:rsidRPr="000D6817">
        <w:t xml:space="preserve"> </w:t>
      </w:r>
      <w:r w:rsidR="0020529F">
        <w:t xml:space="preserve">regional </w:t>
      </w:r>
      <w:r w:rsidR="00437C42">
        <w:t xml:space="preserve">government </w:t>
      </w:r>
      <w:r w:rsidR="00363AFD">
        <w:t>staff</w:t>
      </w:r>
      <w:r w:rsidR="00363AFD" w:rsidRPr="000D6817">
        <w:t xml:space="preserve"> </w:t>
      </w:r>
    </w:p>
    <w:p w14:paraId="7858D974" w14:textId="19E8CD8E" w:rsidR="00077FC2" w:rsidRPr="000D6817" w:rsidRDefault="00812604">
      <w:pPr>
        <w:pStyle w:val="Bullet1"/>
      </w:pPr>
      <w:r w:rsidRPr="000D6817">
        <w:t>$10.0</w:t>
      </w:r>
      <w:r w:rsidR="000D6817" w:rsidRPr="000D6817">
        <w:t> </w:t>
      </w:r>
      <w:r w:rsidRPr="000D6817">
        <w:t>million ($5.2</w:t>
      </w:r>
      <w:r w:rsidR="000D6817" w:rsidRPr="000D6817">
        <w:t> </w:t>
      </w:r>
      <w:r w:rsidRPr="000D6817">
        <w:t>million recurrent expenses and $119.3</w:t>
      </w:r>
      <w:r w:rsidR="000D6817" w:rsidRPr="000D6817">
        <w:t> </w:t>
      </w:r>
      <w:r w:rsidRPr="000D6817">
        <w:t xml:space="preserve">million capital </w:t>
      </w:r>
      <w:r w:rsidR="00FF4E59" w:rsidRPr="000D6817">
        <w:t>expenditure</w:t>
      </w:r>
      <w:r w:rsidR="003216B2" w:rsidRPr="000D6817">
        <w:t xml:space="preserve"> </w:t>
      </w:r>
      <w:r w:rsidRPr="000D6817">
        <w:t xml:space="preserve">over four years) </w:t>
      </w:r>
      <w:r w:rsidR="002D0ED0">
        <w:t>to support</w:t>
      </w:r>
      <w:r w:rsidRPr="000D6817">
        <w:t xml:space="preserve"> the adaptive re-use of the Registrar</w:t>
      </w:r>
      <w:r w:rsidR="000D6817" w:rsidRPr="000D6817">
        <w:t> </w:t>
      </w:r>
      <w:r w:rsidRPr="000D6817">
        <w:t>General’s</w:t>
      </w:r>
      <w:r w:rsidR="000D6817" w:rsidRPr="000D6817">
        <w:t> </w:t>
      </w:r>
      <w:r w:rsidRPr="000D6817">
        <w:t xml:space="preserve">Building </w:t>
      </w:r>
      <w:r w:rsidR="002D0ED0">
        <w:t>as a</w:t>
      </w:r>
      <w:r w:rsidRPr="000D6817">
        <w:t xml:space="preserve"> cultural </w:t>
      </w:r>
      <w:r w:rsidR="00D9652A">
        <w:t xml:space="preserve">venue </w:t>
      </w:r>
      <w:r w:rsidRPr="000D6817">
        <w:t xml:space="preserve">and public open space consistent with the Macquarie Street </w:t>
      </w:r>
      <w:r w:rsidR="00D9652A">
        <w:t>East Precinct R</w:t>
      </w:r>
      <w:r w:rsidRPr="000D6817">
        <w:t>eview</w:t>
      </w:r>
    </w:p>
    <w:p w14:paraId="7B1489D0" w14:textId="0BD5FFB9" w:rsidR="003019CD" w:rsidRPr="00EC3879" w:rsidRDefault="003019CD" w:rsidP="003019CD">
      <w:pPr>
        <w:pStyle w:val="Bullet1"/>
      </w:pPr>
      <w:r>
        <w:t>$6.7 million for further infrastructure upgrades at racecourses across regional New South Wales, generating jobs and supporting economic growth in the regions</w:t>
      </w:r>
    </w:p>
    <w:p w14:paraId="34C9DEBE" w14:textId="5DF7FACE" w:rsidR="005C4FBC" w:rsidRDefault="005C4FBC">
      <w:pPr>
        <w:pStyle w:val="Bullet1"/>
      </w:pPr>
      <w:r w:rsidRPr="000D6817">
        <w:t>$5.</w:t>
      </w:r>
      <w:r w:rsidR="000D6817" w:rsidRPr="000D6817">
        <w:t>8 </w:t>
      </w:r>
      <w:r w:rsidRPr="000D6817">
        <w:t>million ($11.</w:t>
      </w:r>
      <w:r w:rsidR="000D6817" w:rsidRPr="000D6817">
        <w:t>6 </w:t>
      </w:r>
      <w:r w:rsidRPr="000D6817">
        <w:t xml:space="preserve">million recurrent expenses over two years) for </w:t>
      </w:r>
      <w:r w:rsidR="00ED371D" w:rsidRPr="000D6817">
        <w:t xml:space="preserve">the </w:t>
      </w:r>
      <w:r w:rsidR="00447680" w:rsidRPr="000D6817">
        <w:t xml:space="preserve">extension of </w:t>
      </w:r>
      <w:r w:rsidR="008E5CA9">
        <w:t xml:space="preserve">the </w:t>
      </w:r>
      <w:r w:rsidRPr="000D6817">
        <w:t>Services</w:t>
      </w:r>
      <w:r w:rsidR="00447680" w:rsidRPr="000D6817">
        <w:t> </w:t>
      </w:r>
      <w:r w:rsidR="00D83EB9">
        <w:t>O</w:t>
      </w:r>
      <w:r w:rsidRPr="000D6817">
        <w:t>ur Way</w:t>
      </w:r>
      <w:r w:rsidR="008E5CA9">
        <w:t xml:space="preserve"> program</w:t>
      </w:r>
      <w:r w:rsidR="00447680" w:rsidRPr="000D6817">
        <w:t>,</w:t>
      </w:r>
      <w:r w:rsidRPr="000D6817">
        <w:t xml:space="preserve"> provid</w:t>
      </w:r>
      <w:r w:rsidR="00447680" w:rsidRPr="000D6817">
        <w:t>ing</w:t>
      </w:r>
      <w:r w:rsidRPr="000D6817">
        <w:t xml:space="preserve"> a critical</w:t>
      </w:r>
      <w:r w:rsidRPr="00EC3879">
        <w:t xml:space="preserve"> connection between government and non</w:t>
      </w:r>
      <w:r w:rsidR="003247DE">
        <w:noBreakHyphen/>
      </w:r>
      <w:r w:rsidRPr="00EC3879">
        <w:t xml:space="preserve">government services and on the ground, practical support and skill </w:t>
      </w:r>
      <w:r w:rsidR="00010926">
        <w:t>development</w:t>
      </w:r>
      <w:r w:rsidR="00010926" w:rsidRPr="00EC3879">
        <w:t xml:space="preserve"> </w:t>
      </w:r>
      <w:r w:rsidRPr="00EC3879">
        <w:t>for Aboriginal people and families with complex needs</w:t>
      </w:r>
      <w:r w:rsidR="003019CD">
        <w:t>.</w:t>
      </w:r>
    </w:p>
    <w:p w14:paraId="774D888D" w14:textId="18B410CF" w:rsidR="00B9462E" w:rsidRDefault="00B9462E" w:rsidP="00B9462E">
      <w:pPr>
        <w:pStyle w:val="Heading3"/>
        <w:rPr>
          <w:rFonts w:cs="Arial"/>
        </w:rPr>
      </w:pPr>
      <w:r w:rsidRPr="00DC6435">
        <w:rPr>
          <w:rFonts w:cs="Arial"/>
        </w:rPr>
        <w:t xml:space="preserve">Key performance insights </w:t>
      </w:r>
    </w:p>
    <w:p w14:paraId="2E51402E" w14:textId="58177A6C" w:rsidR="006D5A4B" w:rsidRDefault="006D5A4B" w:rsidP="0092578A">
      <w:pPr>
        <w:pStyle w:val="BodyText"/>
        <w:rPr>
          <w:color w:val="000000" w:themeColor="text1"/>
        </w:rPr>
      </w:pPr>
      <w:r w:rsidRPr="00912506">
        <w:t>This section provides analysis and insights on key Outcome Indicators for this State Outcome.</w:t>
      </w:r>
    </w:p>
    <w:p w14:paraId="32C55967" w14:textId="77777777" w:rsidR="005C4FBC" w:rsidRDefault="005C4FBC" w:rsidP="005C4FBC">
      <w:pPr>
        <w:pStyle w:val="Heading4"/>
        <w:rPr>
          <w:rFonts w:eastAsia="Calibri"/>
        </w:rPr>
      </w:pPr>
      <w:r w:rsidRPr="00B7685B">
        <w:rPr>
          <w:rFonts w:ascii="Arial Bold" w:hAnsi="Arial Bold"/>
          <w:color w:val="00426F"/>
          <w:lang w:eastAsia="zh-TW"/>
        </w:rPr>
        <w:t>Number of additional and upgraded homes that have commenced construction in priority communities</w:t>
      </w:r>
    </w:p>
    <w:p w14:paraId="58038681" w14:textId="77777777" w:rsidR="005C4FBC" w:rsidRDefault="005C4FBC" w:rsidP="00ED1B02">
      <w:pPr>
        <w:pStyle w:val="BodyText"/>
      </w:pPr>
      <w:r w:rsidRPr="5BD68C84">
        <w:t xml:space="preserve">The NSW Government is investing in social and affordable housing for </w:t>
      </w:r>
      <w:r>
        <w:t>Indigenous</w:t>
      </w:r>
      <w:r w:rsidRPr="5BD68C84">
        <w:t xml:space="preserve"> priority communities in New South Wales to deliver diverse housing options where it is needed most leveraging government land and property.</w:t>
      </w:r>
    </w:p>
    <w:p w14:paraId="1A4BE4A6" w14:textId="1EAF5A78" w:rsidR="00CE2A26" w:rsidRDefault="005C4FBC" w:rsidP="009F5B52">
      <w:pPr>
        <w:pStyle w:val="BodyText"/>
      </w:pPr>
      <w:r w:rsidRPr="5BD68C84">
        <w:t xml:space="preserve">Performance against this indicator is currently </w:t>
      </w:r>
      <w:r>
        <w:t>on track to meet</w:t>
      </w:r>
      <w:r w:rsidRPr="5BD68C84">
        <w:t xml:space="preserve"> the 2020-21 target</w:t>
      </w:r>
      <w:r>
        <w:t xml:space="preserve">. In 2019-20, </w:t>
      </w:r>
      <w:r w:rsidRPr="5BD68C84">
        <w:t>714 additional and upgraded homes commenced construction in priority communities</w:t>
      </w:r>
      <w:r>
        <w:t>. In 2020</w:t>
      </w:r>
      <w:r w:rsidR="007407E7">
        <w:noBreakHyphen/>
      </w:r>
      <w:r>
        <w:t>21</w:t>
      </w:r>
      <w:r w:rsidRPr="5BD68C84">
        <w:t xml:space="preserve">, </w:t>
      </w:r>
      <w:r>
        <w:t>580 have currently commenced against a target of</w:t>
      </w:r>
      <w:r w:rsidRPr="5BD68C84" w:rsidDel="00B452DA">
        <w:t xml:space="preserve"> </w:t>
      </w:r>
      <w:r w:rsidRPr="5BD68C84">
        <w:t>682</w:t>
      </w:r>
      <w:r>
        <w:t xml:space="preserve"> for</w:t>
      </w:r>
      <w:r w:rsidRPr="5BD68C84">
        <w:t xml:space="preserve"> </w:t>
      </w:r>
      <w:r>
        <w:t>the year</w:t>
      </w:r>
      <w:r w:rsidRPr="5BD68C84">
        <w:t>.</w:t>
      </w:r>
      <w:r>
        <w:t xml:space="preserve"> The number decreased from 2019-20 due to the National Partnership Agreement on Remote Indigenous Housing (NPARIH) ending in 2020-2</w:t>
      </w:r>
      <w:r w:rsidR="009E45B9">
        <w:t>1</w:t>
      </w:r>
      <w:r>
        <w:t xml:space="preserve">. The 2020-21 target remains on track due to the uplift </w:t>
      </w:r>
      <w:r w:rsidR="006053D2">
        <w:t xml:space="preserve">of </w:t>
      </w:r>
      <w:r>
        <w:t>the Aboriginal Housing Office’s Capital Works program</w:t>
      </w:r>
      <w:r w:rsidR="00010926">
        <w:t xml:space="preserve"> provided as part of NSW economic stimulus measures</w:t>
      </w:r>
      <w:r>
        <w:t>.</w:t>
      </w:r>
    </w:p>
    <w:p w14:paraId="540A60AF" w14:textId="77777777" w:rsidR="005C4FBC" w:rsidRPr="00497D98" w:rsidRDefault="005C4FBC" w:rsidP="0092578A">
      <w:pPr>
        <w:pStyle w:val="Chart41"/>
      </w:pPr>
      <w:r w:rsidRPr="00497D98">
        <w:t>Number of additional/upgraded homes that have commenced construction in priority communities</w:t>
      </w:r>
    </w:p>
    <w:p w14:paraId="798BA519" w14:textId="593C1A5B" w:rsidR="005C4FBC" w:rsidRPr="00621A09" w:rsidRDefault="00B37A01" w:rsidP="00DF3747">
      <w:pPr>
        <w:pStyle w:val="BodyText"/>
        <w:jc w:val="center"/>
        <w:rPr>
          <w:lang w:eastAsia="en-AU"/>
        </w:rPr>
      </w:pPr>
      <w:r>
        <w:rPr>
          <w:noProof/>
          <w:lang w:eastAsia="en-AU"/>
        </w:rPr>
        <w:drawing>
          <wp:inline distT="0" distB="0" distL="0" distR="0" wp14:anchorId="741F8BE2" wp14:editId="5C9EEBAA">
            <wp:extent cx="4706620" cy="2341245"/>
            <wp:effectExtent l="0" t="0" r="0" b="0"/>
            <wp:docPr id="23" name="Picture 23" descr="Chart 4.9: Number of additional/upgraded homes that have commenced construction in priority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4.9: Number of additional/upgraded homes that have commenced construction in priority communiti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6620" cy="2341245"/>
                    </a:xfrm>
                    <a:prstGeom prst="rect">
                      <a:avLst/>
                    </a:prstGeom>
                    <a:noFill/>
                  </pic:spPr>
                </pic:pic>
              </a:graphicData>
            </a:graphic>
          </wp:inline>
        </w:drawing>
      </w:r>
    </w:p>
    <w:p w14:paraId="0AA1959F" w14:textId="77777777" w:rsidR="005C4FBC" w:rsidRPr="00214CDC" w:rsidRDefault="005C4FBC" w:rsidP="005C4FBC">
      <w:pPr>
        <w:rPr>
          <w:rFonts w:ascii="Arial" w:hAnsi="Arial" w:cs="Arial"/>
          <w:sz w:val="17"/>
          <w:szCs w:val="17"/>
        </w:rPr>
      </w:pPr>
      <w:r w:rsidRPr="00214CDC">
        <w:rPr>
          <w:rFonts w:ascii="Arial" w:hAnsi="Arial" w:cs="Arial"/>
          <w:sz w:val="17"/>
          <w:szCs w:val="17"/>
        </w:rPr>
        <w:t>Note: This indicator measures the number of homes each financial year and only the current financial year performance is shown for presentational purposes and the indicator restarts at zero at the beginning of each financial year.</w:t>
      </w:r>
    </w:p>
    <w:p w14:paraId="6A8E6365" w14:textId="77777777" w:rsidR="00294B1F" w:rsidRDefault="00294B1F">
      <w:pPr>
        <w:rPr>
          <w:rFonts w:ascii="Arial Bold" w:hAnsi="Arial Bold"/>
          <w:b/>
          <w:color w:val="00426F"/>
          <w:kern w:val="28"/>
          <w:sz w:val="25"/>
          <w:szCs w:val="36"/>
          <w:lang w:eastAsia="zh-TW"/>
        </w:rPr>
      </w:pPr>
      <w:r>
        <w:rPr>
          <w:rFonts w:ascii="Arial Bold" w:hAnsi="Arial Bold"/>
          <w:color w:val="00426F"/>
          <w:lang w:eastAsia="zh-TW"/>
        </w:rPr>
        <w:br w:type="page"/>
      </w:r>
    </w:p>
    <w:p w14:paraId="73F5B665" w14:textId="53331A8D" w:rsidR="005C4FBC" w:rsidRPr="00107C42" w:rsidRDefault="005C4FBC" w:rsidP="005C4FBC">
      <w:pPr>
        <w:pStyle w:val="Heading4"/>
        <w:rPr>
          <w:rFonts w:eastAsia="Calibri" w:cs="Arial"/>
          <w:sz w:val="23"/>
          <w:szCs w:val="23"/>
          <w:lang w:eastAsia="zh-TW"/>
        </w:rPr>
      </w:pPr>
      <w:r w:rsidRPr="00B7685B">
        <w:rPr>
          <w:rFonts w:ascii="Arial Bold" w:hAnsi="Arial Bold"/>
          <w:color w:val="00426F"/>
          <w:lang w:eastAsia="zh-TW"/>
        </w:rPr>
        <w:lastRenderedPageBreak/>
        <w:t>Percentage of entities in the DPIE Housing and Property group that are compliant with TPP19-07 NSW Asset Management Policy by 2024</w:t>
      </w:r>
    </w:p>
    <w:p w14:paraId="34634564" w14:textId="13C9F5B4" w:rsidR="005C4FBC" w:rsidRPr="0084775F" w:rsidRDefault="005C4FBC" w:rsidP="007A72D8">
      <w:pPr>
        <w:pStyle w:val="BodyText"/>
        <w:rPr>
          <w:rFonts w:eastAsia="Calibri"/>
        </w:rPr>
      </w:pPr>
      <w:r w:rsidRPr="5BD68C84">
        <w:t xml:space="preserve">The indicator demonstrates to the people of New South Wales that </w:t>
      </w:r>
      <w:r>
        <w:t>Housing and Property</w:t>
      </w:r>
      <w:r w:rsidRPr="5BD68C84">
        <w:t xml:space="preserve"> is continuously monitoring the performance and condition of its assets, increasing public accountability, and seeking to obtain better value from public funds. </w:t>
      </w:r>
      <w:r>
        <w:t>The objective of the Asset</w:t>
      </w:r>
      <w:r w:rsidR="00164B3C">
        <w:t> </w:t>
      </w:r>
      <w:r>
        <w:t>Management Policy for the NSW Public Sector is to achieve a consistent and improved approach to asset planning and delivery.</w:t>
      </w:r>
    </w:p>
    <w:p w14:paraId="5F69DB2D" w14:textId="77777777" w:rsidR="005C4FBC" w:rsidRPr="00ED3C4A" w:rsidRDefault="005C4FBC" w:rsidP="009F5B52">
      <w:pPr>
        <w:pStyle w:val="BodyText"/>
      </w:pPr>
      <w:r>
        <w:t>The policy requires that Housing and Property entities have a fit-for-purpose asset register, an asset management policy, a strategic asset management plan, and an asset management plan. All of Housing and Property’s entities were granted transitional status during 2020-21 and have successfully completed strategic asset management and asset management plans.</w:t>
      </w:r>
    </w:p>
    <w:p w14:paraId="7B0A42FB" w14:textId="77777777" w:rsidR="005C4FBC" w:rsidRPr="00DC6435" w:rsidRDefault="005C4FBC" w:rsidP="005C4FBC">
      <w:pPr>
        <w:pStyle w:val="Heading3"/>
        <w:rPr>
          <w:rFonts w:cs="Arial"/>
        </w:rPr>
      </w:pPr>
      <w:r>
        <w:rPr>
          <w:rFonts w:cs="Arial"/>
        </w:rPr>
        <w:t>Performance indicators for this Outcome</w:t>
      </w:r>
    </w:p>
    <w:tbl>
      <w:tblPr>
        <w:tblW w:w="9656" w:type="dxa"/>
        <w:tblLook w:val="04A0" w:firstRow="1" w:lastRow="0" w:firstColumn="1" w:lastColumn="0" w:noHBand="0" w:noVBand="1"/>
        <w:tblCaption w:val="Performance indicators for this Outcome"/>
        <w:tblDescription w:val="Performance indicators for this Outcome"/>
      </w:tblPr>
      <w:tblGrid>
        <w:gridCol w:w="6537"/>
        <w:gridCol w:w="737"/>
        <w:gridCol w:w="1191"/>
        <w:gridCol w:w="1191"/>
      </w:tblGrid>
      <w:tr w:rsidR="005C4FBC" w:rsidRPr="00CA093C" w14:paraId="7CA8C2EF" w14:textId="77777777" w:rsidTr="007B52F1">
        <w:trPr>
          <w:trHeight w:val="283"/>
        </w:trPr>
        <w:tc>
          <w:tcPr>
            <w:tcW w:w="6537" w:type="dxa"/>
            <w:vMerge w:val="restart"/>
            <w:tcBorders>
              <w:top w:val="nil"/>
              <w:left w:val="nil"/>
              <w:bottom w:val="nil"/>
              <w:right w:val="nil"/>
            </w:tcBorders>
            <w:shd w:val="clear" w:color="auto" w:fill="008EBA"/>
            <w:noWrap/>
            <w:vAlign w:val="center"/>
            <w:hideMark/>
          </w:tcPr>
          <w:p w14:paraId="53B89E21" w14:textId="77777777" w:rsidR="005C4FBC" w:rsidRPr="008C4C28" w:rsidRDefault="005C4FBC" w:rsidP="007B52F1">
            <w:pP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Outcome Indicators</w:t>
            </w:r>
          </w:p>
        </w:tc>
        <w:tc>
          <w:tcPr>
            <w:tcW w:w="737" w:type="dxa"/>
            <w:vMerge w:val="restart"/>
            <w:tcBorders>
              <w:top w:val="nil"/>
              <w:left w:val="nil"/>
              <w:bottom w:val="nil"/>
              <w:right w:val="nil"/>
            </w:tcBorders>
            <w:shd w:val="clear" w:color="auto" w:fill="008EBA"/>
            <w:noWrap/>
            <w:vAlign w:val="center"/>
            <w:hideMark/>
          </w:tcPr>
          <w:p w14:paraId="6C973712" w14:textId="77777777" w:rsidR="005C4FBC" w:rsidRPr="008C4C28" w:rsidRDefault="005C4FBC" w:rsidP="007B52F1">
            <w:pP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Units</w:t>
            </w:r>
          </w:p>
        </w:tc>
        <w:tc>
          <w:tcPr>
            <w:tcW w:w="1191" w:type="dxa"/>
            <w:tcBorders>
              <w:top w:val="nil"/>
              <w:left w:val="nil"/>
              <w:bottom w:val="nil"/>
              <w:right w:val="nil"/>
            </w:tcBorders>
            <w:shd w:val="clear" w:color="auto" w:fill="008EBA"/>
            <w:noWrap/>
            <w:vAlign w:val="bottom"/>
            <w:hideMark/>
          </w:tcPr>
          <w:p w14:paraId="00289AA4"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2020-21</w:t>
            </w:r>
          </w:p>
        </w:tc>
        <w:tc>
          <w:tcPr>
            <w:tcW w:w="1191" w:type="dxa"/>
            <w:tcBorders>
              <w:top w:val="nil"/>
              <w:left w:val="nil"/>
              <w:bottom w:val="nil"/>
              <w:right w:val="nil"/>
            </w:tcBorders>
            <w:shd w:val="clear" w:color="auto" w:fill="008EBA"/>
            <w:noWrap/>
            <w:vAlign w:val="bottom"/>
            <w:hideMark/>
          </w:tcPr>
          <w:p w14:paraId="30C124AD"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2021-22</w:t>
            </w:r>
          </w:p>
        </w:tc>
      </w:tr>
      <w:tr w:rsidR="005C4FBC" w:rsidRPr="00CA093C" w14:paraId="5D7DF169" w14:textId="77777777" w:rsidTr="007B52F1">
        <w:trPr>
          <w:trHeight w:val="283"/>
        </w:trPr>
        <w:tc>
          <w:tcPr>
            <w:tcW w:w="6537" w:type="dxa"/>
            <w:vMerge/>
            <w:shd w:val="clear" w:color="auto" w:fill="008EBA"/>
            <w:vAlign w:val="center"/>
            <w:hideMark/>
          </w:tcPr>
          <w:p w14:paraId="714B3AFD" w14:textId="77777777" w:rsidR="005C4FBC" w:rsidRPr="008C4C28" w:rsidRDefault="005C4FBC" w:rsidP="007B52F1">
            <w:pPr>
              <w:rPr>
                <w:rFonts w:ascii="Arial" w:hAnsi="Arial" w:cs="Arial"/>
                <w:b/>
                <w:color w:val="FFFFFF" w:themeColor="background1"/>
                <w:sz w:val="18"/>
                <w:szCs w:val="18"/>
                <w:lang w:eastAsia="en-AU"/>
              </w:rPr>
            </w:pPr>
          </w:p>
        </w:tc>
        <w:tc>
          <w:tcPr>
            <w:tcW w:w="737" w:type="dxa"/>
            <w:vMerge/>
            <w:shd w:val="clear" w:color="auto" w:fill="008EBA"/>
            <w:vAlign w:val="center"/>
            <w:hideMark/>
          </w:tcPr>
          <w:p w14:paraId="6E22F8F7" w14:textId="77777777" w:rsidR="005C4FBC" w:rsidRPr="008C4C28" w:rsidRDefault="005C4FBC" w:rsidP="007B52F1">
            <w:pPr>
              <w:rPr>
                <w:rFonts w:ascii="Arial" w:hAnsi="Arial" w:cs="Arial"/>
                <w:b/>
                <w:color w:val="FFFFFF" w:themeColor="background1"/>
                <w:sz w:val="18"/>
                <w:szCs w:val="18"/>
                <w:lang w:eastAsia="en-AU"/>
              </w:rPr>
            </w:pPr>
          </w:p>
        </w:tc>
        <w:tc>
          <w:tcPr>
            <w:tcW w:w="1191" w:type="dxa"/>
            <w:tcBorders>
              <w:top w:val="nil"/>
              <w:left w:val="nil"/>
              <w:bottom w:val="nil"/>
              <w:right w:val="nil"/>
            </w:tcBorders>
            <w:shd w:val="clear" w:color="auto" w:fill="008EBA"/>
            <w:noWrap/>
            <w:hideMark/>
          </w:tcPr>
          <w:p w14:paraId="4EB5FBB7"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Actual</w:t>
            </w:r>
          </w:p>
        </w:tc>
        <w:tc>
          <w:tcPr>
            <w:tcW w:w="1191" w:type="dxa"/>
            <w:tcBorders>
              <w:top w:val="nil"/>
              <w:left w:val="nil"/>
              <w:bottom w:val="nil"/>
              <w:right w:val="nil"/>
            </w:tcBorders>
            <w:shd w:val="clear" w:color="auto" w:fill="008EBA"/>
            <w:noWrap/>
            <w:hideMark/>
          </w:tcPr>
          <w:p w14:paraId="3686692F"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Forecast</w:t>
            </w:r>
          </w:p>
        </w:tc>
      </w:tr>
      <w:tr w:rsidR="005C4FBC" w:rsidRPr="00CA093C" w14:paraId="26BF843C" w14:textId="77777777" w:rsidTr="007B52F1">
        <w:trPr>
          <w:trHeight w:val="408"/>
        </w:trPr>
        <w:tc>
          <w:tcPr>
            <w:tcW w:w="6537" w:type="dxa"/>
            <w:tcBorders>
              <w:top w:val="nil"/>
              <w:left w:val="nil"/>
              <w:bottom w:val="nil"/>
              <w:right w:val="nil"/>
            </w:tcBorders>
            <w:shd w:val="clear" w:color="auto" w:fill="auto"/>
            <w:vAlign w:val="bottom"/>
          </w:tcPr>
          <w:p w14:paraId="43A331F8" w14:textId="77777777" w:rsidR="005C4FBC" w:rsidRPr="00CA093C" w:rsidRDefault="005C4FBC" w:rsidP="007B52F1">
            <w:pPr>
              <w:rPr>
                <w:rFonts w:ascii="Arial" w:hAnsi="Arial" w:cs="Arial"/>
                <w:color w:val="000000"/>
                <w:sz w:val="16"/>
                <w:szCs w:val="16"/>
                <w:lang w:eastAsia="en-AU"/>
              </w:rPr>
            </w:pPr>
            <w:r w:rsidRPr="00350411">
              <w:rPr>
                <w:rFonts w:ascii="Arial" w:hAnsi="Arial" w:cs="Arial"/>
                <w:color w:val="000000"/>
                <w:sz w:val="16"/>
                <w:szCs w:val="16"/>
                <w:lang w:eastAsia="en-AU"/>
              </w:rPr>
              <w:t>Number of additional/upgraded homes that have commenced construction in priority communities</w:t>
            </w:r>
          </w:p>
        </w:tc>
        <w:tc>
          <w:tcPr>
            <w:tcW w:w="737" w:type="dxa"/>
            <w:tcBorders>
              <w:top w:val="nil"/>
              <w:left w:val="nil"/>
              <w:bottom w:val="nil"/>
              <w:right w:val="nil"/>
            </w:tcBorders>
            <w:shd w:val="clear" w:color="auto" w:fill="auto"/>
            <w:noWrap/>
            <w:vAlign w:val="bottom"/>
          </w:tcPr>
          <w:p w14:paraId="66C0D55A" w14:textId="38D969F5" w:rsidR="005C4FBC" w:rsidRPr="00CA093C" w:rsidRDefault="005C4FBC" w:rsidP="007B52F1">
            <w:pPr>
              <w:jc w:val="center"/>
              <w:rPr>
                <w:rFonts w:ascii="Arial" w:hAnsi="Arial" w:cs="Arial"/>
                <w:color w:val="000000"/>
                <w:sz w:val="16"/>
                <w:szCs w:val="16"/>
                <w:lang w:eastAsia="en-AU"/>
              </w:rPr>
            </w:pPr>
            <w:r>
              <w:rPr>
                <w:rFonts w:ascii="Arial" w:hAnsi="Arial" w:cs="Arial"/>
                <w:color w:val="000000"/>
                <w:sz w:val="16"/>
                <w:szCs w:val="16"/>
                <w:lang w:eastAsia="en-AU"/>
              </w:rPr>
              <w:t>no</w:t>
            </w:r>
            <w:r w:rsidR="00BD7943">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0EC5CADF" w14:textId="61D5CAD9" w:rsidR="005C4FBC" w:rsidRPr="00CA093C" w:rsidRDefault="005C4FBC" w:rsidP="007B52F1">
            <w:pPr>
              <w:ind w:right="170"/>
              <w:jc w:val="right"/>
              <w:rPr>
                <w:rFonts w:ascii="Arial" w:hAnsi="Arial" w:cs="Arial"/>
                <w:color w:val="000000"/>
                <w:sz w:val="16"/>
                <w:szCs w:val="16"/>
                <w:lang w:eastAsia="en-AU"/>
              </w:rPr>
            </w:pPr>
            <w:r>
              <w:rPr>
                <w:rFonts w:ascii="Arial" w:hAnsi="Arial" w:cs="Arial"/>
                <w:color w:val="000000"/>
                <w:sz w:val="16"/>
                <w:szCs w:val="16"/>
                <w:lang w:eastAsia="en-AU"/>
              </w:rPr>
              <w:t>580</w:t>
            </w:r>
          </w:p>
        </w:tc>
        <w:tc>
          <w:tcPr>
            <w:tcW w:w="1191" w:type="dxa"/>
            <w:tcBorders>
              <w:top w:val="nil"/>
              <w:left w:val="nil"/>
              <w:bottom w:val="nil"/>
              <w:right w:val="nil"/>
            </w:tcBorders>
            <w:shd w:val="clear" w:color="auto" w:fill="auto"/>
            <w:noWrap/>
            <w:vAlign w:val="bottom"/>
          </w:tcPr>
          <w:p w14:paraId="55047313" w14:textId="77777777" w:rsidR="005C4FBC" w:rsidRPr="0091512C" w:rsidRDefault="005C4FBC" w:rsidP="007B52F1">
            <w:pPr>
              <w:spacing w:line="259" w:lineRule="auto"/>
              <w:ind w:right="170"/>
              <w:jc w:val="right"/>
              <w:rPr>
                <w:rFonts w:ascii="Arial" w:hAnsi="Arial" w:cs="Arial"/>
                <w:color w:val="000000" w:themeColor="text1"/>
                <w:sz w:val="16"/>
                <w:szCs w:val="16"/>
                <w:lang w:eastAsia="en-AU"/>
              </w:rPr>
            </w:pPr>
            <w:r w:rsidRPr="0091512C">
              <w:rPr>
                <w:rFonts w:ascii="Arial" w:hAnsi="Arial" w:cs="Arial"/>
                <w:color w:val="000000" w:themeColor="text1"/>
                <w:sz w:val="16"/>
                <w:szCs w:val="16"/>
                <w:lang w:eastAsia="en-AU"/>
              </w:rPr>
              <w:t>630</w:t>
            </w:r>
          </w:p>
        </w:tc>
      </w:tr>
      <w:tr w:rsidR="005C4FBC" w:rsidRPr="00CA093C" w14:paraId="7E7F616C" w14:textId="77777777" w:rsidTr="007B52F1">
        <w:trPr>
          <w:trHeight w:val="408"/>
        </w:trPr>
        <w:tc>
          <w:tcPr>
            <w:tcW w:w="6537" w:type="dxa"/>
            <w:tcBorders>
              <w:top w:val="nil"/>
              <w:left w:val="nil"/>
              <w:bottom w:val="nil"/>
              <w:right w:val="nil"/>
            </w:tcBorders>
            <w:shd w:val="clear" w:color="auto" w:fill="auto"/>
            <w:vAlign w:val="bottom"/>
          </w:tcPr>
          <w:p w14:paraId="1C40AD98" w14:textId="77777777" w:rsidR="005C4FBC" w:rsidRPr="00262E49" w:rsidRDefault="005C4FBC" w:rsidP="007B52F1">
            <w:pPr>
              <w:rPr>
                <w:rFonts w:ascii="Arial" w:hAnsi="Arial" w:cs="Arial"/>
                <w:color w:val="000000"/>
                <w:sz w:val="16"/>
                <w:szCs w:val="16"/>
                <w:lang w:eastAsia="en-AU"/>
              </w:rPr>
            </w:pPr>
            <w:r w:rsidRPr="00262E49">
              <w:rPr>
                <w:rFonts w:ascii="Arial" w:hAnsi="Arial" w:cs="Arial"/>
                <w:color w:val="000000"/>
                <w:sz w:val="16"/>
                <w:szCs w:val="16"/>
                <w:lang w:eastAsia="en-AU"/>
              </w:rPr>
              <w:t>Number of reviews completed on NSW Government land and property in strategic</w:t>
            </w:r>
          </w:p>
          <w:p w14:paraId="785051BE" w14:textId="77777777" w:rsidR="005C4FBC" w:rsidRPr="00CA093C" w:rsidRDefault="005C4FBC" w:rsidP="007B52F1">
            <w:pPr>
              <w:rPr>
                <w:rFonts w:ascii="Arial" w:hAnsi="Arial" w:cs="Arial"/>
                <w:color w:val="000000"/>
                <w:sz w:val="16"/>
                <w:szCs w:val="16"/>
                <w:lang w:eastAsia="en-AU"/>
              </w:rPr>
            </w:pPr>
            <w:r w:rsidRPr="00262E49">
              <w:rPr>
                <w:rFonts w:ascii="Arial" w:hAnsi="Arial" w:cs="Arial"/>
                <w:color w:val="000000"/>
                <w:sz w:val="16"/>
                <w:szCs w:val="16"/>
                <w:lang w:eastAsia="en-AU"/>
              </w:rPr>
              <w:t>precincts and/or portfolios</w:t>
            </w:r>
          </w:p>
        </w:tc>
        <w:tc>
          <w:tcPr>
            <w:tcW w:w="737" w:type="dxa"/>
            <w:tcBorders>
              <w:top w:val="nil"/>
              <w:left w:val="nil"/>
              <w:bottom w:val="nil"/>
              <w:right w:val="nil"/>
            </w:tcBorders>
            <w:shd w:val="clear" w:color="auto" w:fill="auto"/>
            <w:noWrap/>
            <w:vAlign w:val="bottom"/>
          </w:tcPr>
          <w:p w14:paraId="3C5CE8B3" w14:textId="09A60968" w:rsidR="005C4FBC" w:rsidRPr="00CA093C" w:rsidRDefault="005C4FBC" w:rsidP="007B52F1">
            <w:pPr>
              <w:jc w:val="center"/>
              <w:rPr>
                <w:rFonts w:ascii="Arial" w:hAnsi="Arial" w:cs="Arial"/>
                <w:color w:val="000000"/>
                <w:sz w:val="16"/>
                <w:szCs w:val="16"/>
                <w:lang w:eastAsia="en-AU"/>
              </w:rPr>
            </w:pPr>
            <w:r>
              <w:rPr>
                <w:rFonts w:ascii="Arial" w:hAnsi="Arial" w:cs="Arial"/>
                <w:color w:val="000000"/>
                <w:sz w:val="16"/>
                <w:szCs w:val="16"/>
                <w:lang w:eastAsia="en-AU"/>
              </w:rPr>
              <w:t>no</w:t>
            </w:r>
            <w:r w:rsidR="00385ABB">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5357EC79" w14:textId="61D3C218" w:rsidR="005C4FBC" w:rsidRPr="00CA093C" w:rsidRDefault="005C4FBC" w:rsidP="007B52F1">
            <w:pPr>
              <w:ind w:right="170"/>
              <w:jc w:val="right"/>
              <w:rPr>
                <w:rFonts w:ascii="Arial" w:hAnsi="Arial" w:cs="Arial"/>
                <w:color w:val="000000"/>
                <w:sz w:val="16"/>
                <w:szCs w:val="16"/>
                <w:lang w:eastAsia="en-AU"/>
              </w:rPr>
            </w:pPr>
            <w:r>
              <w:rPr>
                <w:rFonts w:ascii="Arial" w:hAnsi="Arial" w:cs="Arial"/>
                <w:color w:val="000000"/>
                <w:sz w:val="16"/>
                <w:szCs w:val="16"/>
                <w:lang w:eastAsia="en-AU"/>
              </w:rPr>
              <w:t>3</w:t>
            </w:r>
          </w:p>
        </w:tc>
        <w:tc>
          <w:tcPr>
            <w:tcW w:w="1191" w:type="dxa"/>
            <w:tcBorders>
              <w:top w:val="nil"/>
              <w:left w:val="nil"/>
              <w:bottom w:val="nil"/>
              <w:right w:val="nil"/>
            </w:tcBorders>
            <w:shd w:val="clear" w:color="auto" w:fill="auto"/>
            <w:noWrap/>
            <w:vAlign w:val="bottom"/>
          </w:tcPr>
          <w:p w14:paraId="6F17C8CD" w14:textId="3832091A" w:rsidR="005C4FBC" w:rsidRPr="0091512C" w:rsidRDefault="005C4FBC" w:rsidP="007B52F1">
            <w:pPr>
              <w:ind w:right="170"/>
              <w:jc w:val="right"/>
              <w:rPr>
                <w:rFonts w:ascii="Arial" w:hAnsi="Arial" w:cs="Arial"/>
                <w:color w:val="000000"/>
                <w:sz w:val="16"/>
                <w:szCs w:val="16"/>
                <w:lang w:eastAsia="en-AU"/>
              </w:rPr>
            </w:pPr>
            <w:r w:rsidRPr="0091512C">
              <w:rPr>
                <w:rFonts w:ascii="Arial" w:hAnsi="Arial" w:cs="Arial"/>
                <w:color w:val="000000" w:themeColor="text1"/>
                <w:sz w:val="16"/>
                <w:szCs w:val="16"/>
                <w:lang w:eastAsia="en-AU"/>
              </w:rPr>
              <w:t>4</w:t>
            </w:r>
          </w:p>
        </w:tc>
      </w:tr>
    </w:tbl>
    <w:p w14:paraId="77C95D4C" w14:textId="77777777" w:rsidR="005C4FBC" w:rsidRDefault="005C4FBC" w:rsidP="005C4FBC"/>
    <w:p w14:paraId="2C32D363" w14:textId="65302E8E" w:rsidR="00914D92" w:rsidRPr="0092578A" w:rsidRDefault="00914D92" w:rsidP="00B9462E">
      <w:pPr>
        <w:autoSpaceDE w:val="0"/>
        <w:autoSpaceDN w:val="0"/>
        <w:adjustRightInd w:val="0"/>
        <w:rPr>
          <w:rFonts w:ascii="Arial" w:eastAsiaTheme="minorEastAsia" w:hAnsi="Arial" w:cs="Arial"/>
          <w:sz w:val="23"/>
          <w:szCs w:val="23"/>
          <w:lang w:eastAsia="en-AU"/>
        </w:rPr>
      </w:pPr>
    </w:p>
    <w:p w14:paraId="22C178FC" w14:textId="0E28CA96" w:rsidR="00AC57AD" w:rsidRPr="00AC57AD" w:rsidRDefault="00522EBB" w:rsidP="00AC57AD">
      <w:pPr>
        <w:rPr>
          <w:rFonts w:eastAsiaTheme="minorHAnsi"/>
        </w:rPr>
      </w:pPr>
      <w:r>
        <w:br w:type="page"/>
      </w:r>
    </w:p>
    <w:p w14:paraId="05564AEA" w14:textId="6427E0FF" w:rsidR="00522EBB" w:rsidRPr="00796EEA" w:rsidRDefault="00522EBB" w:rsidP="005C4FBC">
      <w:pPr>
        <w:pStyle w:val="Heading2"/>
        <w:rPr>
          <w:rFonts w:ascii="Arial" w:hAnsi="Arial" w:cs="Arial"/>
        </w:rPr>
      </w:pPr>
      <w:r>
        <w:rPr>
          <w:rFonts w:ascii="Arial" w:hAnsi="Arial" w:cs="Arial"/>
        </w:rPr>
        <w:lastRenderedPageBreak/>
        <w:t xml:space="preserve">Outcome </w:t>
      </w:r>
      <w:r w:rsidR="00A268FA">
        <w:rPr>
          <w:rFonts w:ascii="Arial" w:hAnsi="Arial" w:cs="Arial"/>
        </w:rPr>
        <w:t>4</w:t>
      </w:r>
      <w:r>
        <w:rPr>
          <w:rFonts w:ascii="Arial" w:hAnsi="Arial" w:cs="Arial"/>
        </w:rPr>
        <w:t xml:space="preserve">: </w:t>
      </w:r>
      <w:r w:rsidR="005C4FBC" w:rsidRPr="5BD00713">
        <w:t>Sustainable, secure and healthy water resources and services</w:t>
      </w:r>
    </w:p>
    <w:p w14:paraId="5FD36C86" w14:textId="49F6C4E3" w:rsidR="008C304A" w:rsidRPr="003A0DAC" w:rsidRDefault="008C304A" w:rsidP="008C304A">
      <w:pPr>
        <w:pStyle w:val="Heading3"/>
        <w:rPr>
          <w:rFonts w:cs="Arial"/>
        </w:rPr>
      </w:pPr>
      <w:r>
        <w:rPr>
          <w:rFonts w:cs="Arial"/>
        </w:rPr>
        <w:t>S</w:t>
      </w:r>
      <w:r w:rsidRPr="003A0DAC">
        <w:rPr>
          <w:rFonts w:cs="Arial"/>
        </w:rPr>
        <w:t>tate Outcome overview and 202</w:t>
      </w:r>
      <w:r>
        <w:rPr>
          <w:rFonts w:cs="Arial"/>
        </w:rPr>
        <w:t>1-22</w:t>
      </w:r>
      <w:r w:rsidRPr="003A0DAC">
        <w:rPr>
          <w:rFonts w:cs="Arial"/>
        </w:rPr>
        <w:t xml:space="preserve"> investment</w:t>
      </w:r>
    </w:p>
    <w:tbl>
      <w:tblPr>
        <w:tblpPr w:leftFromText="180" w:rightFromText="180" w:vertAnchor="text" w:horzAnchor="margin" w:tblpXSpec="right" w:tblpY="49"/>
        <w:tblW w:w="1716" w:type="pct"/>
        <w:shd w:val="clear" w:color="auto" w:fill="F2F2F2" w:themeFill="background1" w:themeFillShade="F2"/>
        <w:tblCellMar>
          <w:left w:w="115" w:type="dxa"/>
          <w:right w:w="115" w:type="dxa"/>
        </w:tblCellMar>
        <w:tblLook w:val="04A0" w:firstRow="1" w:lastRow="0" w:firstColumn="1" w:lastColumn="0" w:noHBand="0" w:noVBand="1"/>
        <w:tblCaption w:val="4.6 Outcome 4: Sustainable, secure and healthy water resources and services"/>
        <w:tblDescription w:val="4.6 Outcome 4: Sustainable, secure and healthy water resources and services"/>
      </w:tblPr>
      <w:tblGrid>
        <w:gridCol w:w="1144"/>
        <w:gridCol w:w="967"/>
        <w:gridCol w:w="1197"/>
      </w:tblGrid>
      <w:tr w:rsidR="00294B1F" w:rsidRPr="00F8244B" w14:paraId="4A631285" w14:textId="77777777" w:rsidTr="00294B1F">
        <w:trPr>
          <w:cantSplit/>
          <w:trHeight w:val="784"/>
        </w:trPr>
        <w:tc>
          <w:tcPr>
            <w:tcW w:w="1729" w:type="pct"/>
            <w:shd w:val="clear" w:color="auto" w:fill="F2F2F2" w:themeFill="background1" w:themeFillShade="F2"/>
            <w:vAlign w:val="center"/>
          </w:tcPr>
          <w:p w14:paraId="4C03E182" w14:textId="77777777" w:rsidR="00294B1F" w:rsidRPr="00F8244B" w:rsidRDefault="00294B1F" w:rsidP="00294B1F">
            <w:pPr>
              <w:spacing w:before="120" w:after="120"/>
              <w:rPr>
                <w:rFonts w:ascii="Arial" w:hAnsi="Arial" w:cs="Arial"/>
                <w:sz w:val="23"/>
                <w:szCs w:val="23"/>
              </w:rPr>
            </w:pPr>
            <w:r>
              <w:rPr>
                <w:rFonts w:ascii="Arial" w:hAnsi="Arial" w:cs="Arial"/>
                <w:noProof/>
              </w:rPr>
              <w:drawing>
                <wp:inline distT="0" distB="0" distL="0" distR="0" wp14:anchorId="3841F37F" wp14:editId="5527127F">
                  <wp:extent cx="518160" cy="5184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4BEF1549" w14:textId="77777777" w:rsidR="00294B1F" w:rsidRPr="00F8244B" w:rsidRDefault="00294B1F" w:rsidP="00294B1F">
            <w:pPr>
              <w:spacing w:before="120" w:after="120"/>
              <w:jc w:val="center"/>
              <w:rPr>
                <w:rFonts w:ascii="Arial" w:hAnsi="Arial" w:cs="Arial"/>
                <w:color w:val="00ABE6"/>
                <w:sz w:val="18"/>
                <w:szCs w:val="18"/>
              </w:rPr>
            </w:pPr>
            <w:r w:rsidRPr="00AC31E6">
              <w:rPr>
                <w:rFonts w:ascii="Arial" w:hAnsi="Arial" w:cs="Arial"/>
                <w:color w:val="008EBA"/>
                <w:sz w:val="18"/>
                <w:szCs w:val="18"/>
              </w:rPr>
              <w:t>$815.9</w:t>
            </w:r>
            <w:r w:rsidRPr="00BF4D60">
              <w:rPr>
                <w:rFonts w:ascii="Arial" w:hAnsi="Arial" w:cs="Arial"/>
                <w:color w:val="008EBA"/>
                <w:sz w:val="18"/>
                <w:szCs w:val="18"/>
              </w:rPr>
              <w:t xml:space="preserve"> </w:t>
            </w:r>
            <w:r w:rsidRPr="00AC31E6">
              <w:rPr>
                <w:rFonts w:ascii="Arial" w:hAnsi="Arial" w:cs="Arial"/>
                <w:color w:val="008EBA"/>
                <w:sz w:val="18"/>
                <w:szCs w:val="18"/>
              </w:rPr>
              <w:t>million</w:t>
            </w:r>
          </w:p>
        </w:tc>
        <w:tc>
          <w:tcPr>
            <w:tcW w:w="1809" w:type="pct"/>
            <w:shd w:val="clear" w:color="auto" w:fill="F2F2F2" w:themeFill="background1" w:themeFillShade="F2"/>
            <w:vAlign w:val="center"/>
          </w:tcPr>
          <w:p w14:paraId="2E10824A" w14:textId="77777777" w:rsidR="00294B1F" w:rsidRPr="00F8244B" w:rsidRDefault="00294B1F" w:rsidP="00294B1F">
            <w:pPr>
              <w:rPr>
                <w:rFonts w:ascii="Arial" w:hAnsi="Arial" w:cs="Arial"/>
                <w:color w:val="00ABE6"/>
                <w:sz w:val="18"/>
                <w:szCs w:val="18"/>
              </w:rPr>
            </w:pPr>
            <w:r w:rsidRPr="00BF4D60">
              <w:rPr>
                <w:rFonts w:ascii="Arial" w:hAnsi="Arial" w:cs="Arial"/>
                <w:color w:val="008EBA"/>
                <w:sz w:val="18"/>
                <w:szCs w:val="18"/>
              </w:rPr>
              <w:t>Recurrent</w:t>
            </w:r>
            <w:r w:rsidRPr="00BF4D60">
              <w:rPr>
                <w:rFonts w:ascii="Arial" w:hAnsi="Arial" w:cs="Arial"/>
                <w:color w:val="008EBA"/>
                <w:sz w:val="18"/>
                <w:szCs w:val="18"/>
              </w:rPr>
              <w:br/>
              <w:t xml:space="preserve">Expenses </w:t>
            </w:r>
            <w:r w:rsidRPr="00BF4D60">
              <w:rPr>
                <w:rFonts w:ascii="Arial" w:hAnsi="Arial" w:cs="Arial"/>
                <w:color w:val="008EBA"/>
                <w:sz w:val="18"/>
                <w:szCs w:val="18"/>
              </w:rPr>
              <w:br/>
              <w:t>2021-22</w:t>
            </w:r>
          </w:p>
        </w:tc>
      </w:tr>
      <w:tr w:rsidR="00294B1F" w:rsidRPr="00F8244B" w14:paraId="702AE28B" w14:textId="77777777" w:rsidTr="00294B1F">
        <w:trPr>
          <w:cantSplit/>
          <w:trHeight w:val="784"/>
        </w:trPr>
        <w:tc>
          <w:tcPr>
            <w:tcW w:w="1729" w:type="pct"/>
            <w:shd w:val="clear" w:color="auto" w:fill="F2F2F2" w:themeFill="background1" w:themeFillShade="F2"/>
            <w:vAlign w:val="center"/>
          </w:tcPr>
          <w:p w14:paraId="55CA56A6" w14:textId="77777777" w:rsidR="00294B1F" w:rsidRPr="00F8244B" w:rsidRDefault="00294B1F" w:rsidP="00294B1F">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56FD774A" wp14:editId="54D633F7">
                  <wp:extent cx="518160" cy="5184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clear" w:color="auto" w:fill="F2F2F2" w:themeFill="background1" w:themeFillShade="F2"/>
            <w:vAlign w:val="center"/>
          </w:tcPr>
          <w:p w14:paraId="4E6B1271" w14:textId="77777777" w:rsidR="00294B1F" w:rsidRPr="00F8244B" w:rsidRDefault="00294B1F" w:rsidP="00294B1F">
            <w:pPr>
              <w:spacing w:before="120" w:after="120"/>
              <w:jc w:val="center"/>
              <w:rPr>
                <w:rFonts w:ascii="Arial" w:hAnsi="Arial" w:cs="Arial"/>
                <w:color w:val="00ABE6"/>
                <w:sz w:val="18"/>
                <w:szCs w:val="18"/>
              </w:rPr>
            </w:pPr>
            <w:r w:rsidRPr="00AC31E6">
              <w:rPr>
                <w:rFonts w:ascii="Arial" w:hAnsi="Arial" w:cs="Arial"/>
                <w:color w:val="008EBA"/>
                <w:sz w:val="18"/>
                <w:szCs w:val="18"/>
              </w:rPr>
              <w:t>$</w:t>
            </w:r>
            <w:r>
              <w:rPr>
                <w:rFonts w:ascii="Arial" w:hAnsi="Arial" w:cs="Arial"/>
                <w:color w:val="008EBA"/>
                <w:sz w:val="18"/>
                <w:szCs w:val="18"/>
              </w:rPr>
              <w:t>46.2</w:t>
            </w:r>
            <w:r w:rsidRPr="00BF4D60">
              <w:rPr>
                <w:rFonts w:ascii="Arial" w:hAnsi="Arial" w:cs="Arial"/>
                <w:color w:val="008EBA"/>
                <w:sz w:val="18"/>
                <w:szCs w:val="18"/>
              </w:rPr>
              <w:t xml:space="preserve"> </w:t>
            </w:r>
            <w:r w:rsidRPr="00AC31E6">
              <w:rPr>
                <w:rFonts w:ascii="Arial" w:hAnsi="Arial" w:cs="Arial"/>
                <w:color w:val="008EBA"/>
                <w:sz w:val="18"/>
                <w:szCs w:val="18"/>
              </w:rPr>
              <w:t>million</w:t>
            </w:r>
          </w:p>
        </w:tc>
        <w:tc>
          <w:tcPr>
            <w:tcW w:w="1809" w:type="pct"/>
            <w:shd w:val="clear" w:color="auto" w:fill="F2F2F2" w:themeFill="background1" w:themeFillShade="F2"/>
            <w:vAlign w:val="center"/>
          </w:tcPr>
          <w:p w14:paraId="7CAF67B7" w14:textId="77777777" w:rsidR="00294B1F" w:rsidRPr="00F8244B" w:rsidRDefault="00294B1F" w:rsidP="00294B1F">
            <w:pPr>
              <w:rPr>
                <w:rFonts w:ascii="Arial" w:hAnsi="Arial" w:cs="Arial"/>
                <w:color w:val="00ABE6"/>
                <w:sz w:val="18"/>
                <w:szCs w:val="18"/>
              </w:rPr>
            </w:pPr>
            <w:r w:rsidRPr="00BF4D60">
              <w:rPr>
                <w:rFonts w:ascii="Arial" w:hAnsi="Arial" w:cs="Arial"/>
                <w:color w:val="008EBA"/>
                <w:sz w:val="18"/>
                <w:szCs w:val="18"/>
              </w:rPr>
              <w:t>Capital</w:t>
            </w:r>
            <w:r w:rsidRPr="00BF4D60">
              <w:rPr>
                <w:rFonts w:ascii="Arial" w:hAnsi="Arial" w:cs="Arial"/>
                <w:color w:val="008EBA"/>
                <w:sz w:val="18"/>
                <w:szCs w:val="18"/>
              </w:rPr>
              <w:br/>
              <w:t>Expenditure</w:t>
            </w:r>
            <w:r w:rsidRPr="00BF4D60">
              <w:rPr>
                <w:rFonts w:ascii="Arial" w:hAnsi="Arial" w:cs="Arial"/>
                <w:color w:val="008EBA"/>
                <w:sz w:val="18"/>
                <w:szCs w:val="18"/>
              </w:rPr>
              <w:br/>
              <w:t>2021-22</w:t>
            </w:r>
          </w:p>
        </w:tc>
      </w:tr>
    </w:tbl>
    <w:p w14:paraId="72E03466" w14:textId="280FB5E2" w:rsidR="005C4FBC" w:rsidRDefault="005C4FBC" w:rsidP="00D21820">
      <w:pPr>
        <w:pStyle w:val="BodyText"/>
      </w:pPr>
      <w:r w:rsidRPr="5BD68C84">
        <w:t>Providing confidence to communities and stakeholders through the transparent stewardship of water resources, and provision of services and reforms that support sustainable and healthy environments, economies and societies across New</w:t>
      </w:r>
      <w:r w:rsidR="008B2432">
        <w:t> </w:t>
      </w:r>
      <w:r w:rsidRPr="5BD68C84">
        <w:t>South</w:t>
      </w:r>
      <w:r w:rsidR="008B2432">
        <w:t> </w:t>
      </w:r>
      <w:r w:rsidRPr="5BD68C84">
        <w:t>Wales.</w:t>
      </w:r>
    </w:p>
    <w:p w14:paraId="1E472EC3" w14:textId="7E5C386E" w:rsidR="005C4FBC" w:rsidRDefault="005C4FBC" w:rsidP="009F5B52">
      <w:pPr>
        <w:pStyle w:val="BodyText"/>
      </w:pPr>
      <w:r w:rsidRPr="5BD68C84">
        <w:t>The State Outcome comprises activities aimed at improving water sustainability, access to and the health of water, improving water regulation, and increasing the safety of N</w:t>
      </w:r>
      <w:r w:rsidR="009738DB">
        <w:t>ew South Wales</w:t>
      </w:r>
      <w:r w:rsidRPr="5BD68C84">
        <w:t xml:space="preserve"> dams. </w:t>
      </w:r>
    </w:p>
    <w:p w14:paraId="2BD9A311" w14:textId="77777777" w:rsidR="005C4FBC" w:rsidRPr="00483C09" w:rsidRDefault="005C4FBC" w:rsidP="008E179C">
      <w:pPr>
        <w:pStyle w:val="BodyText"/>
      </w:pPr>
      <w:r>
        <w:t>Responsibility for delivery of this State Outcome is shared by the Department of Planning, Industry and Environment (Water Group) and the Natural Resources Access Regulator (NRAR).</w:t>
      </w:r>
    </w:p>
    <w:p w14:paraId="78B886AD" w14:textId="77777777" w:rsidR="008C304A" w:rsidRPr="000101AC" w:rsidRDefault="008C304A" w:rsidP="008C304A">
      <w:pPr>
        <w:pStyle w:val="Heading3"/>
        <w:rPr>
          <w:rFonts w:cs="Arial"/>
        </w:rPr>
      </w:pPr>
      <w:r w:rsidRPr="000101AC">
        <w:rPr>
          <w:rFonts w:cs="Arial"/>
        </w:rPr>
        <w:t>202</w:t>
      </w:r>
      <w:r>
        <w:rPr>
          <w:rFonts w:cs="Arial"/>
        </w:rPr>
        <w:t>1</w:t>
      </w:r>
      <w:r w:rsidRPr="000101AC">
        <w:rPr>
          <w:rFonts w:cs="Arial"/>
        </w:rPr>
        <w:t>-2</w:t>
      </w:r>
      <w:r>
        <w:rPr>
          <w:rFonts w:cs="Arial"/>
        </w:rPr>
        <w:t>2</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058A54CA" w14:textId="2B282A98" w:rsidR="005C4FBC" w:rsidRPr="00EC755A" w:rsidRDefault="005C4FBC" w:rsidP="00010926">
      <w:pPr>
        <w:pStyle w:val="BodyText"/>
        <w:rPr>
          <w:rFonts w:eastAsia="Arial"/>
          <w:color w:val="000000" w:themeColor="text1"/>
        </w:rPr>
      </w:pPr>
      <w:r w:rsidRPr="5BD68C84">
        <w:t xml:space="preserve">In 2021-22, the Planning, Industry and Environment Cluster will invest </w:t>
      </w:r>
      <w:r w:rsidRPr="00EC755A">
        <w:t>$</w:t>
      </w:r>
      <w:r w:rsidRPr="007F1048">
        <w:t>8</w:t>
      </w:r>
      <w:r w:rsidR="00AC31E6" w:rsidRPr="007F1048">
        <w:t>6</w:t>
      </w:r>
      <w:r w:rsidR="00343856">
        <w:t>2.1</w:t>
      </w:r>
      <w:r w:rsidR="00EB09CF" w:rsidRPr="00EC755A">
        <w:t> </w:t>
      </w:r>
      <w:r w:rsidRPr="00EC755A">
        <w:t xml:space="preserve">million </w:t>
      </w:r>
      <w:r w:rsidRPr="007F1048">
        <w:t>($</w:t>
      </w:r>
      <w:r w:rsidR="007F1048" w:rsidRPr="007F1048">
        <w:t>815.9</w:t>
      </w:r>
      <w:r w:rsidR="00EB09CF" w:rsidRPr="007F1048">
        <w:t> </w:t>
      </w:r>
      <w:r w:rsidRPr="007F1048">
        <w:t xml:space="preserve">million </w:t>
      </w:r>
      <w:r w:rsidRPr="00EC755A">
        <w:t>recurrent expenses and $</w:t>
      </w:r>
      <w:r w:rsidR="00102750">
        <w:t>46.2</w:t>
      </w:r>
      <w:r w:rsidR="00EB09CF" w:rsidRPr="00EC755A">
        <w:t> </w:t>
      </w:r>
      <w:r w:rsidRPr="00EC755A">
        <w:t>million capital expenditure) in this Outcome, including:</w:t>
      </w:r>
    </w:p>
    <w:p w14:paraId="26E37BA9" w14:textId="6D5B6B17" w:rsidR="005C4FBC" w:rsidRPr="00EC755A" w:rsidRDefault="005C4FBC" w:rsidP="009F5B52">
      <w:pPr>
        <w:pStyle w:val="Bullet1"/>
        <w:rPr>
          <w:color w:val="000000" w:themeColor="text1"/>
        </w:rPr>
      </w:pPr>
      <w:r w:rsidRPr="00EC755A">
        <w:t>$152.</w:t>
      </w:r>
      <w:r w:rsidR="000E76C0" w:rsidRPr="00EC755A">
        <w:t>1</w:t>
      </w:r>
      <w:r w:rsidR="00EB09CF" w:rsidRPr="00EC755A">
        <w:t> </w:t>
      </w:r>
      <w:r w:rsidRPr="00EC755A">
        <w:t>million ($635.0 million recurrent expenses over four years)</w:t>
      </w:r>
      <w:r w:rsidR="00092A89" w:rsidRPr="00EC755A">
        <w:t xml:space="preserve"> </w:t>
      </w:r>
      <w:r w:rsidRPr="00EC755A">
        <w:t>for water rebates to low</w:t>
      </w:r>
      <w:r w:rsidR="00C0618F">
        <w:noBreakHyphen/>
      </w:r>
      <w:r w:rsidRPr="00EC755A">
        <w:t>income households to assist with</w:t>
      </w:r>
      <w:r w:rsidR="003932EF">
        <w:t xml:space="preserve"> </w:t>
      </w:r>
      <w:r w:rsidRPr="00EC755A">
        <w:t>cost of living</w:t>
      </w:r>
    </w:p>
    <w:p w14:paraId="000BD7AB" w14:textId="42611C2B" w:rsidR="005C4FBC" w:rsidRDefault="005C4FBC" w:rsidP="008E179C">
      <w:pPr>
        <w:pStyle w:val="Bullet1"/>
        <w:rPr>
          <w:rFonts w:eastAsia="Arial"/>
          <w:color w:val="000000" w:themeColor="text1"/>
        </w:rPr>
      </w:pPr>
      <w:r w:rsidRPr="00EC755A">
        <w:t>$1</w:t>
      </w:r>
      <w:r w:rsidR="005E0348" w:rsidRPr="00EC755A">
        <w:t>31</w:t>
      </w:r>
      <w:r w:rsidRPr="00EC755A">
        <w:t>.</w:t>
      </w:r>
      <w:r w:rsidR="005E0348" w:rsidRPr="00EC755A">
        <w:t>9</w:t>
      </w:r>
      <w:r w:rsidR="00092A89" w:rsidRPr="00EC755A">
        <w:t> </w:t>
      </w:r>
      <w:r w:rsidRPr="00EC755A">
        <w:t xml:space="preserve">million </w:t>
      </w:r>
      <w:r w:rsidR="009334D6" w:rsidRPr="00EC755A">
        <w:t>(</w:t>
      </w:r>
      <w:r w:rsidR="00BF68FA" w:rsidRPr="00EC755A">
        <w:t>$100.5</w:t>
      </w:r>
      <w:r w:rsidR="00092A89" w:rsidRPr="00EC755A">
        <w:t> </w:t>
      </w:r>
      <w:r w:rsidR="00BF68FA" w:rsidRPr="00EC755A">
        <w:t xml:space="preserve">million </w:t>
      </w:r>
      <w:r w:rsidR="00AB276E" w:rsidRPr="00EC755A">
        <w:t>recurrent expenses and $31.4</w:t>
      </w:r>
      <w:r w:rsidR="00092A89" w:rsidRPr="00EC755A">
        <w:t> </w:t>
      </w:r>
      <w:r w:rsidR="00AB276E" w:rsidRPr="00EC755A">
        <w:t xml:space="preserve">million capital expenditure) </w:t>
      </w:r>
      <w:r w:rsidR="00D61590" w:rsidRPr="00EC755A">
        <w:t xml:space="preserve">made up </w:t>
      </w:r>
      <w:r w:rsidR="00443F8E">
        <w:t xml:space="preserve">of </w:t>
      </w:r>
      <w:r w:rsidRPr="00EC755A">
        <w:t>combined Commonwealth and State government funding to continue the development of business cases</w:t>
      </w:r>
      <w:r>
        <w:t xml:space="preserve"> and early planning for </w:t>
      </w:r>
      <w:r w:rsidR="7A02BCC9">
        <w:t>water securit</w:t>
      </w:r>
      <w:r w:rsidR="000012A3">
        <w:t>y</w:t>
      </w:r>
      <w:r w:rsidR="7A02BCC9">
        <w:t xml:space="preserve"> measures,</w:t>
      </w:r>
      <w:r w:rsidR="6849AAE9">
        <w:t xml:space="preserve"> as part of the $245.0 million </w:t>
      </w:r>
      <w:r w:rsidR="1B189BD3">
        <w:t>commitment</w:t>
      </w:r>
      <w:r w:rsidR="6849AAE9">
        <w:t xml:space="preserve"> </w:t>
      </w:r>
      <w:r w:rsidR="00E91535">
        <w:t>to address</w:t>
      </w:r>
      <w:r w:rsidR="00DE4D20">
        <w:t xml:space="preserve"> </w:t>
      </w:r>
      <w:r w:rsidR="6849AAE9">
        <w:t xml:space="preserve">water security issues in the Lachlan Valley, Peel Valley and Border Rivers Regions </w:t>
      </w:r>
    </w:p>
    <w:p w14:paraId="615D635B" w14:textId="79740B8A" w:rsidR="005C4FBC" w:rsidRPr="000A7B06" w:rsidRDefault="005C4FBC">
      <w:pPr>
        <w:pStyle w:val="Bullet1"/>
        <w:rPr>
          <w:rFonts w:eastAsia="Arial"/>
          <w:color w:val="000000" w:themeColor="text1"/>
        </w:rPr>
      </w:pPr>
      <w:r w:rsidRPr="000A7B06">
        <w:t>$75.</w:t>
      </w:r>
      <w:r w:rsidR="0070499A" w:rsidRPr="000A7B06">
        <w:t>8 </w:t>
      </w:r>
      <w:r w:rsidRPr="000A7B06">
        <w:t>million ($</w:t>
      </w:r>
      <w:r w:rsidR="009B0244" w:rsidRPr="000A7B06">
        <w:t>306.9</w:t>
      </w:r>
      <w:r w:rsidR="0070499A" w:rsidRPr="000A7B06">
        <w:t> </w:t>
      </w:r>
      <w:r w:rsidRPr="000A7B06">
        <w:t>million recurrent expenses over four years) committed as p</w:t>
      </w:r>
      <w:r w:rsidR="003932EF">
        <w:t>art of</w:t>
      </w:r>
      <w:r w:rsidRPr="000A7B06">
        <w:t xml:space="preserve"> the Independent Pricing and Regulatory Tribunal </w:t>
      </w:r>
      <w:r w:rsidR="00332151" w:rsidRPr="000A7B06">
        <w:t xml:space="preserve">draft </w:t>
      </w:r>
      <w:r w:rsidRPr="000A7B06">
        <w:t>price determinations</w:t>
      </w:r>
      <w:r w:rsidR="005D60D2" w:rsidRPr="000A7B06">
        <w:rPr>
          <w:rStyle w:val="FootnoteReference"/>
        </w:rPr>
        <w:footnoteReference w:id="2"/>
      </w:r>
      <w:r w:rsidR="003932EF">
        <w:t xml:space="preserve"> which will</w:t>
      </w:r>
      <w:r w:rsidRPr="000A7B06">
        <w:t xml:space="preserve"> deliver:</w:t>
      </w:r>
    </w:p>
    <w:p w14:paraId="56B988A7" w14:textId="40498FEC" w:rsidR="005C4FBC" w:rsidRPr="000A7B06" w:rsidRDefault="005C4FBC">
      <w:pPr>
        <w:pStyle w:val="Bullet2"/>
        <w:rPr>
          <w:color w:val="000000" w:themeColor="text1"/>
        </w:rPr>
      </w:pPr>
      <w:r w:rsidRPr="000A7B06">
        <w:t>$46.</w:t>
      </w:r>
      <w:r w:rsidR="00BD6BFF" w:rsidRPr="000A7B06">
        <w:t>6</w:t>
      </w:r>
      <w:r w:rsidR="0070499A" w:rsidRPr="000A7B06">
        <w:t> </w:t>
      </w:r>
      <w:r w:rsidRPr="000A7B06">
        <w:t>million ($176.</w:t>
      </w:r>
      <w:r w:rsidR="004D6024" w:rsidRPr="000A7B06">
        <w:t>6</w:t>
      </w:r>
      <w:r w:rsidR="0070499A" w:rsidRPr="000A7B06">
        <w:t> </w:t>
      </w:r>
      <w:r w:rsidRPr="000A7B06">
        <w:t xml:space="preserve">million recurrent expenses over four years) for </w:t>
      </w:r>
      <w:r w:rsidR="0070499A" w:rsidRPr="000A7B06">
        <w:t>Water Administration Ministerial </w:t>
      </w:r>
      <w:r w:rsidRPr="000A7B06">
        <w:t>Corporation water management services</w:t>
      </w:r>
    </w:p>
    <w:p w14:paraId="26BC5A0B" w14:textId="2C100E25" w:rsidR="005C4FBC" w:rsidRPr="000A7B06" w:rsidRDefault="005C4FBC">
      <w:pPr>
        <w:pStyle w:val="Bullet2"/>
      </w:pPr>
      <w:r w:rsidRPr="000A7B06">
        <w:t>$29.</w:t>
      </w:r>
      <w:r w:rsidR="0070499A" w:rsidRPr="000A7B06">
        <w:t>3 </w:t>
      </w:r>
      <w:r w:rsidRPr="000A7B06">
        <w:t>million ($130.</w:t>
      </w:r>
      <w:r w:rsidR="0070499A" w:rsidRPr="000A7B06">
        <w:t>6 </w:t>
      </w:r>
      <w:r w:rsidRPr="000A7B06">
        <w:t xml:space="preserve">million recurrent expenses over four years) for </w:t>
      </w:r>
      <w:r w:rsidR="0070499A" w:rsidRPr="000A7B06">
        <w:t>Water </w:t>
      </w:r>
      <w:r w:rsidRPr="000A7B06">
        <w:t>NSW rural bulk water services for the State’s Community Service Obligation</w:t>
      </w:r>
    </w:p>
    <w:p w14:paraId="22D716A3" w14:textId="6DF09788" w:rsidR="005C4FBC" w:rsidRPr="000A7B06" w:rsidRDefault="005C4FBC">
      <w:pPr>
        <w:pStyle w:val="Bullet1"/>
        <w:rPr>
          <w:color w:val="000000" w:themeColor="text1"/>
        </w:rPr>
      </w:pPr>
      <w:r w:rsidRPr="000A7B06">
        <w:t>$68.</w:t>
      </w:r>
      <w:r w:rsidR="00443AF0" w:rsidRPr="000A7B06">
        <w:t>6 </w:t>
      </w:r>
      <w:r w:rsidRPr="000A7B06">
        <w:t>million ($280.</w:t>
      </w:r>
      <w:r w:rsidR="00443AF0" w:rsidRPr="000A7B06">
        <w:t>2 </w:t>
      </w:r>
      <w:r w:rsidRPr="000A7B06">
        <w:t xml:space="preserve">million recurrent expenses over four years) under the </w:t>
      </w:r>
      <w:r w:rsidR="00443AF0" w:rsidRPr="000A7B06">
        <w:t>Safe and Secure Water </w:t>
      </w:r>
      <w:r w:rsidRPr="000A7B06">
        <w:t>Program for critical local water infrastructure to maintain and improve town water supply</w:t>
      </w:r>
    </w:p>
    <w:p w14:paraId="308C3F5C" w14:textId="1D7A79EF" w:rsidR="005C4FBC" w:rsidRPr="000A7B06" w:rsidRDefault="005C4FBC">
      <w:pPr>
        <w:pStyle w:val="Bullet1"/>
        <w:rPr>
          <w:rFonts w:eastAsia="Arial"/>
          <w:color w:val="000000" w:themeColor="text1"/>
        </w:rPr>
      </w:pPr>
      <w:r w:rsidRPr="000A7B06">
        <w:t>$49.</w:t>
      </w:r>
      <w:r w:rsidR="00443AF0" w:rsidRPr="000A7B06">
        <w:t>5 </w:t>
      </w:r>
      <w:r w:rsidRPr="000A7B06">
        <w:t>million ($84.</w:t>
      </w:r>
      <w:r w:rsidR="00443AF0" w:rsidRPr="000A7B06">
        <w:t>0</w:t>
      </w:r>
      <w:r w:rsidR="00443AF0" w:rsidRPr="000A7B06">
        <w:rPr>
          <w:rFonts w:eastAsia="Segoe UI"/>
        </w:rPr>
        <w:t> </w:t>
      </w:r>
      <w:r w:rsidRPr="000A7B06">
        <w:t>million recurrent expenses over two years) to continue commitments for drought</w:t>
      </w:r>
      <w:r w:rsidR="005931AC">
        <w:t>-related water infrastructure being delivered by local councils and other</w:t>
      </w:r>
      <w:r w:rsidR="00E077D7">
        <w:t xml:space="preserve"> drought proofing </w:t>
      </w:r>
      <w:r w:rsidR="00FA62AE">
        <w:t xml:space="preserve">and </w:t>
      </w:r>
      <w:r w:rsidR="00E077D7">
        <w:t>support measures for</w:t>
      </w:r>
      <w:r w:rsidRPr="000A7B06">
        <w:t xml:space="preserve"> </w:t>
      </w:r>
      <w:r w:rsidRPr="000A7B06">
        <w:rPr>
          <w:rFonts w:eastAsia="Segoe UI"/>
        </w:rPr>
        <w:t>regional</w:t>
      </w:r>
      <w:r w:rsidR="00C4716B">
        <w:rPr>
          <w:rFonts w:eastAsia="Segoe UI"/>
        </w:rPr>
        <w:t xml:space="preserve"> communities</w:t>
      </w:r>
    </w:p>
    <w:p w14:paraId="0F678597" w14:textId="18E2C2F8" w:rsidR="005C4FBC" w:rsidRPr="00EC3879" w:rsidRDefault="005C4FBC">
      <w:pPr>
        <w:pStyle w:val="Bullet1"/>
        <w:rPr>
          <w:color w:val="000000" w:themeColor="text1"/>
        </w:rPr>
      </w:pPr>
      <w:r w:rsidRPr="000A7B06">
        <w:t>$47.</w:t>
      </w:r>
      <w:r w:rsidR="00443AF0" w:rsidRPr="000A7B06">
        <w:t>3 </w:t>
      </w:r>
      <w:r w:rsidRPr="000A7B06">
        <w:t>million f</w:t>
      </w:r>
      <w:r w:rsidRPr="00EC3879">
        <w:t xml:space="preserve">or the </w:t>
      </w:r>
      <w:r w:rsidRPr="007B7430">
        <w:rPr>
          <w:i/>
          <w:iCs/>
        </w:rPr>
        <w:t>Regional Water Stimulus</w:t>
      </w:r>
      <w:r w:rsidRPr="00EC3879">
        <w:t xml:space="preserve"> program to deliver urgent water infrastructure to protect and optimise the use and reuse of the State’s precious water resources</w:t>
      </w:r>
    </w:p>
    <w:p w14:paraId="32FD528F" w14:textId="77777777" w:rsidR="00435D36" w:rsidRDefault="00435D36">
      <w:pPr>
        <w:rPr>
          <w:rFonts w:ascii="Arial" w:hAnsi="Arial" w:cs="Arial"/>
          <w:sz w:val="23"/>
          <w:szCs w:val="23"/>
        </w:rPr>
      </w:pPr>
      <w:r>
        <w:br w:type="page"/>
      </w:r>
    </w:p>
    <w:p w14:paraId="117CAB2E" w14:textId="7E30D8E2" w:rsidR="005C4FBC" w:rsidRPr="00DE14A2" w:rsidRDefault="005C4FBC">
      <w:pPr>
        <w:pStyle w:val="Bullet1"/>
        <w:rPr>
          <w:color w:val="000000" w:themeColor="text1"/>
        </w:rPr>
      </w:pPr>
      <w:r w:rsidRPr="00DE14A2">
        <w:lastRenderedPageBreak/>
        <w:t>$32.</w:t>
      </w:r>
      <w:r w:rsidR="000A7B06" w:rsidRPr="00DE14A2">
        <w:t>2 </w:t>
      </w:r>
      <w:r w:rsidRPr="00DE14A2">
        <w:t>million ($130.</w:t>
      </w:r>
      <w:r w:rsidR="0046664E" w:rsidRPr="00DE14A2">
        <w:t>7</w:t>
      </w:r>
      <w:r w:rsidR="000A7B06" w:rsidRPr="00DE14A2">
        <w:t> </w:t>
      </w:r>
      <w:r w:rsidRPr="00DE14A2">
        <w:t>million recurrent expenses over four years)</w:t>
      </w:r>
      <w:r w:rsidR="005106FE" w:rsidRPr="00DE14A2">
        <w:rPr>
          <w:rStyle w:val="FootnoteReference"/>
        </w:rPr>
        <w:footnoteReference w:id="3"/>
      </w:r>
      <w:r w:rsidRPr="00DE14A2">
        <w:t xml:space="preserve"> to investigate suspicious activities and alleged breaches to water regulation in New South Wales and manage dam safety</w:t>
      </w:r>
    </w:p>
    <w:p w14:paraId="76BFB576" w14:textId="7DBB0CDC" w:rsidR="005C4FBC" w:rsidRPr="00DE14A2" w:rsidRDefault="005C4FBC">
      <w:pPr>
        <w:pStyle w:val="Bullet1"/>
        <w:rPr>
          <w:color w:val="000000" w:themeColor="text1"/>
        </w:rPr>
      </w:pPr>
      <w:r w:rsidRPr="00DE14A2">
        <w:t>$19.</w:t>
      </w:r>
      <w:r w:rsidR="000A7B06" w:rsidRPr="00DE14A2">
        <w:t>9 </w:t>
      </w:r>
      <w:r w:rsidRPr="00DE14A2">
        <w:t>million ($3</w:t>
      </w:r>
      <w:r w:rsidR="006C557B">
        <w:t>7.0</w:t>
      </w:r>
      <w:r w:rsidR="000A7B06" w:rsidRPr="00DE14A2">
        <w:t> </w:t>
      </w:r>
      <w:r w:rsidRPr="00DE14A2">
        <w:t>million recurrent expenses over four years)</w:t>
      </w:r>
      <w:r w:rsidR="00F879B2">
        <w:t xml:space="preserve"> to support the delivery of water strategies</w:t>
      </w:r>
      <w:r w:rsidRPr="00DE14A2">
        <w:t>:</w:t>
      </w:r>
    </w:p>
    <w:p w14:paraId="51164E26" w14:textId="4C92C9EB" w:rsidR="005C4FBC" w:rsidRPr="00DE14A2" w:rsidRDefault="005C4FBC">
      <w:pPr>
        <w:pStyle w:val="Bullet2"/>
        <w:rPr>
          <w:color w:val="000000" w:themeColor="text1"/>
        </w:rPr>
      </w:pPr>
      <w:r w:rsidRPr="00DE14A2">
        <w:t>$13.</w:t>
      </w:r>
      <w:r w:rsidR="000A7B06" w:rsidRPr="00DE14A2">
        <w:t>1 </w:t>
      </w:r>
      <w:r w:rsidRPr="00DE14A2">
        <w:t xml:space="preserve">million to deliver regional and Greater Sydney water strategies </w:t>
      </w:r>
      <w:r w:rsidR="00F879B2">
        <w:t>and</w:t>
      </w:r>
      <w:r w:rsidR="00F879B2" w:rsidRPr="00DE14A2">
        <w:t xml:space="preserve"> </w:t>
      </w:r>
      <w:r w:rsidRPr="00DE14A2">
        <w:t xml:space="preserve">set </w:t>
      </w:r>
      <w:r w:rsidR="00F879B2">
        <w:t>medium to long term</w:t>
      </w:r>
      <w:r w:rsidRPr="00DE14A2">
        <w:t xml:space="preserve"> strategic direction</w:t>
      </w:r>
      <w:r w:rsidR="00F879B2">
        <w:t>s</w:t>
      </w:r>
      <w:r w:rsidRPr="00DE14A2">
        <w:t xml:space="preserve"> for water resource management across the </w:t>
      </w:r>
      <w:r w:rsidR="009078DC">
        <w:t>S</w:t>
      </w:r>
      <w:r w:rsidRPr="00DE14A2">
        <w:t>tate</w:t>
      </w:r>
    </w:p>
    <w:p w14:paraId="280AF6C1" w14:textId="08E40653" w:rsidR="00D75186" w:rsidRPr="00D75186" w:rsidRDefault="00D75186">
      <w:pPr>
        <w:pStyle w:val="Bullet2"/>
        <w:rPr>
          <w:color w:val="000000" w:themeColor="text1"/>
        </w:rPr>
      </w:pPr>
      <w:r w:rsidRPr="00DE14A2">
        <w:t xml:space="preserve">$6.8 million ($23.8 million recurrent expenses over four years) to deliver the NSW Water Strategy and the Aboriginal and ground water strategies to set the direction for water policy, planning and infrastructure decisions </w:t>
      </w:r>
      <w:r w:rsidR="003E7BF7">
        <w:t>for</w:t>
      </w:r>
      <w:r w:rsidR="003E7BF7" w:rsidRPr="00DE14A2">
        <w:t xml:space="preserve"> </w:t>
      </w:r>
      <w:r w:rsidRPr="00DE14A2">
        <w:t>the next 20</w:t>
      </w:r>
      <w:r w:rsidR="002933BB">
        <w:t xml:space="preserve"> </w:t>
      </w:r>
      <w:r w:rsidRPr="00DE14A2">
        <w:t xml:space="preserve">years and beyond, </w:t>
      </w:r>
      <w:r w:rsidR="003E7BF7">
        <w:t>based on</w:t>
      </w:r>
      <w:r w:rsidR="003E7BF7" w:rsidRPr="00DE14A2">
        <w:t xml:space="preserve"> </w:t>
      </w:r>
      <w:r w:rsidRPr="00DE14A2">
        <w:t>enhanced modelling capabilities to underpin sophisticated climate analysis</w:t>
      </w:r>
    </w:p>
    <w:p w14:paraId="5FC0FABE" w14:textId="51851A84" w:rsidR="005C4FBC" w:rsidRPr="00DE14A2" w:rsidRDefault="005C4FBC">
      <w:pPr>
        <w:pStyle w:val="Bullet1"/>
        <w:rPr>
          <w:color w:val="000000" w:themeColor="text1"/>
        </w:rPr>
      </w:pPr>
      <w:r w:rsidRPr="00DE14A2">
        <w:t>$</w:t>
      </w:r>
      <w:r w:rsidR="000A6D82" w:rsidRPr="00DE14A2">
        <w:t>8.3</w:t>
      </w:r>
      <w:r w:rsidR="00DE14A2" w:rsidRPr="00DE14A2">
        <w:t> </w:t>
      </w:r>
      <w:r w:rsidRPr="00DE14A2">
        <w:t>million ($</w:t>
      </w:r>
      <w:r w:rsidR="000A6D82" w:rsidRPr="00DE14A2">
        <w:t>13.6</w:t>
      </w:r>
      <w:r w:rsidR="00DE14A2" w:rsidRPr="00DE14A2">
        <w:t> </w:t>
      </w:r>
      <w:r w:rsidRPr="00DE14A2">
        <w:t>million recurrent expenses over four years) to deliver detailed business cases</w:t>
      </w:r>
      <w:r w:rsidR="002933BB">
        <w:t>, detailed site assessments</w:t>
      </w:r>
      <w:r w:rsidR="001D602D">
        <w:t xml:space="preserve"> and community engagement</w:t>
      </w:r>
      <w:r w:rsidRPr="00DE14A2">
        <w:t xml:space="preserve"> for the Lostock Dam to Glennies Creek Dam two-way pipeline to significantly improve water security in the Hunter and to address economic risks facing the region</w:t>
      </w:r>
    </w:p>
    <w:p w14:paraId="09603D4B" w14:textId="6D936373" w:rsidR="005C4FBC" w:rsidRDefault="005C4FBC">
      <w:pPr>
        <w:pStyle w:val="Bullet1"/>
        <w:rPr>
          <w:color w:val="000000" w:themeColor="text1"/>
        </w:rPr>
      </w:pPr>
      <w:r w:rsidRPr="00DE14A2">
        <w:t>$4.</w:t>
      </w:r>
      <w:r w:rsidR="00DE14A2" w:rsidRPr="00DE14A2">
        <w:t>8 </w:t>
      </w:r>
      <w:r w:rsidRPr="00DE14A2">
        <w:t>million ($12.</w:t>
      </w:r>
      <w:r w:rsidR="00DE14A2" w:rsidRPr="00DE14A2">
        <w:t>5 </w:t>
      </w:r>
      <w:r w:rsidRPr="00DE14A2">
        <w:t>million recurrent</w:t>
      </w:r>
      <w:r>
        <w:t xml:space="preserve"> expenses for three years) to reduce water losses and improve water security needs while delaying or avoiding more costly water supply augmentation and optimising future capital investment. </w:t>
      </w:r>
    </w:p>
    <w:p w14:paraId="56FE92ED" w14:textId="77777777" w:rsidR="008C304A" w:rsidRPr="00DE14A2" w:rsidRDefault="008C304A" w:rsidP="008C304A">
      <w:pPr>
        <w:pStyle w:val="Heading3"/>
        <w:rPr>
          <w:rFonts w:cs="Arial"/>
        </w:rPr>
      </w:pPr>
      <w:r w:rsidRPr="0C2B0CE0">
        <w:rPr>
          <w:rFonts w:cs="Arial"/>
        </w:rPr>
        <w:t xml:space="preserve">Key performance insights </w:t>
      </w:r>
    </w:p>
    <w:p w14:paraId="77C63586" w14:textId="77777777" w:rsidR="00700949" w:rsidRPr="00700949" w:rsidRDefault="008C304A" w:rsidP="00700949">
      <w:pPr>
        <w:pStyle w:val="NoSpacing"/>
        <w:rPr>
          <w:rFonts w:ascii="Arial" w:eastAsiaTheme="minorHAnsi" w:hAnsi="Arial" w:cs="Arial"/>
          <w:sz w:val="23"/>
          <w:szCs w:val="23"/>
        </w:rPr>
      </w:pPr>
      <w:r w:rsidRPr="00700949">
        <w:rPr>
          <w:rFonts w:ascii="Arial" w:eastAsiaTheme="minorHAnsi" w:hAnsi="Arial" w:cs="Arial"/>
          <w:sz w:val="23"/>
          <w:szCs w:val="23"/>
        </w:rPr>
        <w:t>This section provides analysis and insights on key Outcome Indicators for this State Outcome.</w:t>
      </w:r>
      <w:r w:rsidR="005C4FBC" w:rsidRPr="00700949">
        <w:rPr>
          <w:rFonts w:ascii="Arial" w:eastAsiaTheme="minorHAnsi" w:hAnsi="Arial" w:cs="Arial"/>
          <w:sz w:val="23"/>
          <w:szCs w:val="23"/>
        </w:rPr>
        <w:t xml:space="preserve"> </w:t>
      </w:r>
    </w:p>
    <w:p w14:paraId="459CB049" w14:textId="429F63D8" w:rsidR="005C4FBC" w:rsidRPr="00BF13A5" w:rsidRDefault="005C4FBC" w:rsidP="005C4FBC">
      <w:pPr>
        <w:pStyle w:val="Heading4"/>
        <w:rPr>
          <w:rFonts w:ascii="Arial Bold" w:hAnsi="Arial Bold"/>
          <w:color w:val="00426F"/>
          <w:lang w:eastAsia="zh-TW"/>
        </w:rPr>
      </w:pPr>
      <w:r w:rsidRPr="00BF13A5">
        <w:rPr>
          <w:rFonts w:ascii="Arial Bold" w:hAnsi="Arial Bold"/>
          <w:color w:val="00426F"/>
          <w:lang w:eastAsia="zh-TW"/>
        </w:rPr>
        <w:t>Proportion of water strategy actions implemented across New South Wales</w:t>
      </w:r>
    </w:p>
    <w:p w14:paraId="2723B2F1" w14:textId="77777777" w:rsidR="005C4FBC" w:rsidRPr="00AE6BA0" w:rsidRDefault="005C4FBC" w:rsidP="00010926">
      <w:pPr>
        <w:pStyle w:val="BodyText"/>
        <w:rPr>
          <w:rFonts w:eastAsia="Calibri"/>
          <w:lang w:eastAsia="zh-TW"/>
        </w:rPr>
      </w:pPr>
      <w:r w:rsidRPr="5BD68C84">
        <w:rPr>
          <w:rFonts w:eastAsia="Calibri"/>
          <w:lang w:eastAsia="zh-TW"/>
        </w:rPr>
        <w:t>T</w:t>
      </w:r>
      <w:r w:rsidRPr="5BD68C84">
        <w:t xml:space="preserve">his indicator monitors the number of actions implemented for completed water strategies across </w:t>
      </w:r>
      <w:r>
        <w:t>New South Wales</w:t>
      </w:r>
      <w:r w:rsidRPr="5BD68C84">
        <w:t xml:space="preserve">, delivering greater sustainability, security and health of water resources. </w:t>
      </w:r>
    </w:p>
    <w:p w14:paraId="1F9499E6" w14:textId="735FC049" w:rsidR="005C4FBC" w:rsidRDefault="005C4FBC" w:rsidP="009F5B52">
      <w:pPr>
        <w:pStyle w:val="BodyText"/>
      </w:pPr>
      <w:r>
        <w:t xml:space="preserve">Performance against this indicator is currently on track to meet its 2023 target of 60 per cent of water strategy actions implemented, with </w:t>
      </w:r>
      <w:r w:rsidR="00DE14A2">
        <w:t>20 per </w:t>
      </w:r>
      <w:r>
        <w:t xml:space="preserve">cent </w:t>
      </w:r>
      <w:r w:rsidR="3EF14872">
        <w:t xml:space="preserve">of actions </w:t>
      </w:r>
      <w:r>
        <w:t xml:space="preserve">forecast </w:t>
      </w:r>
      <w:r w:rsidR="6669802B">
        <w:t xml:space="preserve">to be implemented </w:t>
      </w:r>
      <w:r>
        <w:t>by the end of 2020</w:t>
      </w:r>
      <w:r w:rsidR="153DBE06">
        <w:t>-</w:t>
      </w:r>
      <w:r>
        <w:t xml:space="preserve">21. This measure is tied to the number of water strategies completed and is expected to lift </w:t>
      </w:r>
      <w:r w:rsidR="000B6B45" w:rsidRPr="00B36FDB">
        <w:t>markedly</w:t>
      </w:r>
      <w:r w:rsidR="000A2A9A">
        <w:t xml:space="preserve"> </w:t>
      </w:r>
      <w:r>
        <w:t xml:space="preserve">as more water strategies are </w:t>
      </w:r>
      <w:r w:rsidR="00204AB4">
        <w:t>finalised</w:t>
      </w:r>
      <w:r>
        <w:t xml:space="preserve">. Whilst only one water strategy will be completed by June 2021, current forecasts predict more than half will be completed by June 2022, with all </w:t>
      </w:r>
      <w:r w:rsidR="006D5674">
        <w:t xml:space="preserve">12 </w:t>
      </w:r>
      <w:r>
        <w:t xml:space="preserve">complete by December 2022. </w:t>
      </w:r>
    </w:p>
    <w:p w14:paraId="22E0D7EF" w14:textId="08BD757D" w:rsidR="005C4FBC" w:rsidRDefault="005C4FBC" w:rsidP="008E179C">
      <w:pPr>
        <w:pStyle w:val="BodyText"/>
      </w:pPr>
      <w:r w:rsidRPr="5BD68C84">
        <w:t xml:space="preserve">Actions currently being implemented relate to the Greater Hunter Regional Water Strategy.  Events such as </w:t>
      </w:r>
      <w:r>
        <w:t xml:space="preserve">the </w:t>
      </w:r>
      <w:r w:rsidRPr="5BD68C84">
        <w:t>COVID-19</w:t>
      </w:r>
      <w:r>
        <w:t xml:space="preserve"> pandemic</w:t>
      </w:r>
      <w:r w:rsidRPr="5BD68C84">
        <w:t>, 2019</w:t>
      </w:r>
      <w:r>
        <w:t>-</w:t>
      </w:r>
      <w:r w:rsidRPr="5BD68C84">
        <w:t xml:space="preserve">20 bushfires, and the 2021 flooding emergency, impacted </w:t>
      </w:r>
      <w:r w:rsidR="00204AB4">
        <w:t xml:space="preserve">the </w:t>
      </w:r>
      <w:r w:rsidRPr="5BD68C84">
        <w:t>delivery of strategies and the total number of actions that were available for completion</w:t>
      </w:r>
      <w:r w:rsidR="00204AB4">
        <w:t xml:space="preserve"> over the last 12 months</w:t>
      </w:r>
      <w:r w:rsidRPr="5BD68C84">
        <w:t xml:space="preserve">. </w:t>
      </w:r>
    </w:p>
    <w:p w14:paraId="640C2562" w14:textId="77777777" w:rsidR="005B58E5" w:rsidRDefault="005B58E5">
      <w:pPr>
        <w:rPr>
          <w:rFonts w:ascii="Arial" w:hAnsi="Arial"/>
          <w:i/>
          <w:color w:val="4F4F4F"/>
          <w:sz w:val="22"/>
        </w:rPr>
      </w:pPr>
      <w:r>
        <w:br w:type="page"/>
      </w:r>
    </w:p>
    <w:p w14:paraId="26C8BB53" w14:textId="7E4CD173" w:rsidR="005C4FBC" w:rsidRPr="00700949" w:rsidRDefault="005C4FBC" w:rsidP="005B58E5">
      <w:pPr>
        <w:pStyle w:val="Chart41"/>
      </w:pPr>
      <w:r w:rsidRPr="0085373F">
        <w:lastRenderedPageBreak/>
        <w:t>Proportion of water strategy actions implemented across N</w:t>
      </w:r>
      <w:r w:rsidR="00955448">
        <w:t>ew South Wales</w:t>
      </w:r>
    </w:p>
    <w:p w14:paraId="6B905F09" w14:textId="647B4C7C" w:rsidR="005C4FBC" w:rsidRPr="009245F8" w:rsidRDefault="007856F3" w:rsidP="009245F8">
      <w:pPr>
        <w:pStyle w:val="NoSpacing"/>
        <w:jc w:val="center"/>
      </w:pPr>
      <w:r>
        <w:rPr>
          <w:noProof/>
        </w:rPr>
        <w:drawing>
          <wp:inline distT="0" distB="0" distL="0" distR="0" wp14:anchorId="6CA1871C" wp14:editId="44B0A134">
            <wp:extent cx="4706620" cy="2334895"/>
            <wp:effectExtent l="0" t="0" r="0" b="0"/>
            <wp:docPr id="31" name="Picture 31" descr="Chart 4.10: Proportion of water strategy actions implemented across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4.10: Proportion of water strategy actions implemented across New South Wal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6620" cy="2334895"/>
                    </a:xfrm>
                    <a:prstGeom prst="rect">
                      <a:avLst/>
                    </a:prstGeom>
                    <a:noFill/>
                  </pic:spPr>
                </pic:pic>
              </a:graphicData>
            </a:graphic>
          </wp:inline>
        </w:drawing>
      </w:r>
    </w:p>
    <w:p w14:paraId="0E80AC04" w14:textId="77777777" w:rsidR="005C4FBC" w:rsidRPr="00B7685B" w:rsidRDefault="005C4FBC" w:rsidP="005C4FBC">
      <w:pPr>
        <w:pStyle w:val="Heading4"/>
        <w:rPr>
          <w:rFonts w:ascii="Arial Bold" w:hAnsi="Arial Bold"/>
          <w:color w:val="00426F"/>
          <w:lang w:eastAsia="zh-TW"/>
        </w:rPr>
      </w:pPr>
      <w:r w:rsidRPr="00B7685B">
        <w:rPr>
          <w:rFonts w:ascii="Arial Bold" w:hAnsi="Arial Bold"/>
          <w:color w:val="00426F"/>
          <w:lang w:eastAsia="zh-TW"/>
        </w:rPr>
        <w:t>Proportion of reports of alleged breaches of water law assigned a risk rating and allocated for action on time</w:t>
      </w:r>
    </w:p>
    <w:p w14:paraId="7953DB6F" w14:textId="17A95434" w:rsidR="005C4FBC" w:rsidRDefault="005C4FBC" w:rsidP="003932EF">
      <w:pPr>
        <w:pStyle w:val="BodyText"/>
      </w:pPr>
      <w:r>
        <w:t>This indicator drives confidence in the water management framework through improved compliance and enforcement, and aims to demonstrate improvement</w:t>
      </w:r>
      <w:r w:rsidR="00204AB4">
        <w:t>s</w:t>
      </w:r>
      <w:r>
        <w:t xml:space="preserve"> in the efficiency, effectiveness and prudency of NRAR’s activities</w:t>
      </w:r>
      <w:r w:rsidR="00A1616E">
        <w:t>.</w:t>
      </w:r>
      <w:r>
        <w:t xml:space="preserve"> </w:t>
      </w:r>
    </w:p>
    <w:p w14:paraId="21162431" w14:textId="0BA23B79" w:rsidR="005C4FBC" w:rsidRDefault="005C4FBC" w:rsidP="009F5B52">
      <w:pPr>
        <w:pStyle w:val="BodyText"/>
      </w:pPr>
      <w:r>
        <w:t>Performance against this</w:t>
      </w:r>
      <w:r w:rsidRPr="5BD68C84">
        <w:t xml:space="preserve"> indicator is exceeding its 2023 target of </w:t>
      </w:r>
      <w:r>
        <w:t>more than</w:t>
      </w:r>
      <w:r w:rsidRPr="5BD68C84">
        <w:t xml:space="preserve"> 90</w:t>
      </w:r>
      <w:r>
        <w:t xml:space="preserve"> per </w:t>
      </w:r>
      <w:r w:rsidRPr="00B36FDB">
        <w:t xml:space="preserve">cent </w:t>
      </w:r>
      <w:r w:rsidR="002D13C4" w:rsidRPr="00B36FDB">
        <w:t>of</w:t>
      </w:r>
      <w:r w:rsidR="002D13C4">
        <w:t xml:space="preserve"> </w:t>
      </w:r>
      <w:r w:rsidRPr="5BD68C84">
        <w:t xml:space="preserve">cases triaged within </w:t>
      </w:r>
      <w:r>
        <w:t xml:space="preserve">five </w:t>
      </w:r>
      <w:r w:rsidRPr="5BD68C84">
        <w:t>days, from a baseline of 71</w:t>
      </w:r>
      <w:r>
        <w:t xml:space="preserve"> per cent</w:t>
      </w:r>
      <w:r w:rsidRPr="5BD68C84">
        <w:t xml:space="preserve"> in 2019-20. The continued improvement </w:t>
      </w:r>
      <w:r w:rsidR="00A1616E">
        <w:t>of</w:t>
      </w:r>
      <w:r w:rsidR="00A1616E" w:rsidRPr="5BD68C84">
        <w:t xml:space="preserve"> </w:t>
      </w:r>
      <w:r w:rsidRPr="5BD68C84">
        <w:t xml:space="preserve">this metric is primarily due to a dedicated NRAR team focused on embedding further efficiencies in their procedures and retaining skilled operators with water regulation expertise.    </w:t>
      </w:r>
    </w:p>
    <w:p w14:paraId="697730CF" w14:textId="77777777" w:rsidR="005C4FBC" w:rsidRPr="00700949" w:rsidRDefault="005C4FBC" w:rsidP="005B58E5">
      <w:pPr>
        <w:pStyle w:val="Chart41"/>
      </w:pPr>
      <w:r w:rsidRPr="00FE74C8">
        <w:t xml:space="preserve">Proportion of reports of alleged breaches of water law assigned a risk rating and allocated for action on time </w:t>
      </w:r>
    </w:p>
    <w:p w14:paraId="5E03F711" w14:textId="60B50DA5" w:rsidR="005C4FBC" w:rsidRDefault="00C171E3" w:rsidP="00DF3747">
      <w:pPr>
        <w:pStyle w:val="BodyText"/>
        <w:jc w:val="center"/>
      </w:pPr>
      <w:r>
        <w:rPr>
          <w:noProof/>
        </w:rPr>
        <w:drawing>
          <wp:inline distT="0" distB="0" distL="0" distR="0" wp14:anchorId="41C85689" wp14:editId="47BC5A91">
            <wp:extent cx="4706620" cy="2334895"/>
            <wp:effectExtent l="0" t="0" r="0" b="0"/>
            <wp:docPr id="32" name="Picture 32" descr="Chart 4.11: Proportion of reports of alleged breaches of water law assigned a risk rating and allocated for action on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4.11: Proportion of reports of alleged breaches of water law assigned a risk rating and allocated for action on tim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6620" cy="2334895"/>
                    </a:xfrm>
                    <a:prstGeom prst="rect">
                      <a:avLst/>
                    </a:prstGeom>
                    <a:noFill/>
                  </pic:spPr>
                </pic:pic>
              </a:graphicData>
            </a:graphic>
          </wp:inline>
        </w:drawing>
      </w:r>
    </w:p>
    <w:p w14:paraId="02108B49" w14:textId="77777777" w:rsidR="002D6D0F" w:rsidRDefault="002D6D0F">
      <w:pPr>
        <w:rPr>
          <w:rFonts w:ascii="Arial" w:eastAsiaTheme="majorEastAsia" w:hAnsi="Arial" w:cs="Arial"/>
          <w:b/>
          <w:kern w:val="28"/>
          <w:sz w:val="27"/>
          <w:szCs w:val="36"/>
        </w:rPr>
      </w:pPr>
      <w:r>
        <w:rPr>
          <w:rFonts w:cs="Arial"/>
        </w:rPr>
        <w:br w:type="page"/>
      </w:r>
    </w:p>
    <w:p w14:paraId="1BC9510A" w14:textId="47577AD8" w:rsidR="005C4FBC" w:rsidRPr="00DC6435" w:rsidRDefault="005C4FBC" w:rsidP="005C4FBC">
      <w:pPr>
        <w:pStyle w:val="Heading3"/>
        <w:rPr>
          <w:rFonts w:cs="Arial"/>
        </w:rPr>
      </w:pPr>
      <w:r>
        <w:rPr>
          <w:rFonts w:cs="Arial"/>
        </w:rPr>
        <w:lastRenderedPageBreak/>
        <w:t>Performance indicators for this Outcome</w:t>
      </w:r>
    </w:p>
    <w:tbl>
      <w:tblPr>
        <w:tblW w:w="9464" w:type="dxa"/>
        <w:tblLook w:val="04A0" w:firstRow="1" w:lastRow="0" w:firstColumn="1" w:lastColumn="0" w:noHBand="0" w:noVBand="1"/>
        <w:tblCaption w:val="Performance indicators for this Outcome"/>
        <w:tblDescription w:val="Performance indicators for this Outcome"/>
      </w:tblPr>
      <w:tblGrid>
        <w:gridCol w:w="6345"/>
        <w:gridCol w:w="737"/>
        <w:gridCol w:w="1191"/>
        <w:gridCol w:w="1191"/>
      </w:tblGrid>
      <w:tr w:rsidR="005C4FBC" w:rsidRPr="00CA093C" w14:paraId="6230B74F" w14:textId="77777777" w:rsidTr="5018B13E">
        <w:trPr>
          <w:trHeight w:val="283"/>
        </w:trPr>
        <w:tc>
          <w:tcPr>
            <w:tcW w:w="6345" w:type="dxa"/>
            <w:vMerge w:val="restart"/>
            <w:tcBorders>
              <w:top w:val="nil"/>
              <w:left w:val="nil"/>
              <w:bottom w:val="nil"/>
              <w:right w:val="nil"/>
            </w:tcBorders>
            <w:shd w:val="clear" w:color="auto" w:fill="008EBA"/>
            <w:noWrap/>
            <w:vAlign w:val="center"/>
            <w:hideMark/>
          </w:tcPr>
          <w:p w14:paraId="15369F70" w14:textId="77777777" w:rsidR="005C4FBC" w:rsidRPr="008C4C28" w:rsidRDefault="005C4FBC" w:rsidP="007B52F1">
            <w:pP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Outcome Indicators</w:t>
            </w:r>
          </w:p>
        </w:tc>
        <w:tc>
          <w:tcPr>
            <w:tcW w:w="737" w:type="dxa"/>
            <w:vMerge w:val="restart"/>
            <w:tcBorders>
              <w:top w:val="nil"/>
              <w:left w:val="nil"/>
              <w:bottom w:val="nil"/>
              <w:right w:val="nil"/>
            </w:tcBorders>
            <w:shd w:val="clear" w:color="auto" w:fill="008EBA"/>
            <w:noWrap/>
            <w:vAlign w:val="center"/>
            <w:hideMark/>
          </w:tcPr>
          <w:p w14:paraId="6B8F4501"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Units</w:t>
            </w:r>
          </w:p>
        </w:tc>
        <w:tc>
          <w:tcPr>
            <w:tcW w:w="1191" w:type="dxa"/>
            <w:tcBorders>
              <w:top w:val="nil"/>
              <w:left w:val="nil"/>
              <w:bottom w:val="nil"/>
              <w:right w:val="nil"/>
            </w:tcBorders>
            <w:shd w:val="clear" w:color="auto" w:fill="008EBA"/>
            <w:noWrap/>
            <w:vAlign w:val="bottom"/>
            <w:hideMark/>
          </w:tcPr>
          <w:p w14:paraId="725735D7"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2020-21</w:t>
            </w:r>
          </w:p>
        </w:tc>
        <w:tc>
          <w:tcPr>
            <w:tcW w:w="1191" w:type="dxa"/>
            <w:tcBorders>
              <w:top w:val="nil"/>
              <w:left w:val="nil"/>
              <w:bottom w:val="nil"/>
              <w:right w:val="nil"/>
            </w:tcBorders>
            <w:shd w:val="clear" w:color="auto" w:fill="008EBA"/>
            <w:noWrap/>
            <w:vAlign w:val="bottom"/>
            <w:hideMark/>
          </w:tcPr>
          <w:p w14:paraId="16B96A53"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2021-22</w:t>
            </w:r>
          </w:p>
        </w:tc>
      </w:tr>
      <w:tr w:rsidR="005C4FBC" w:rsidRPr="00CA093C" w14:paraId="342DAD46" w14:textId="77777777" w:rsidTr="5018B13E">
        <w:trPr>
          <w:trHeight w:val="283"/>
        </w:trPr>
        <w:tc>
          <w:tcPr>
            <w:tcW w:w="6345" w:type="dxa"/>
            <w:vMerge/>
            <w:vAlign w:val="center"/>
            <w:hideMark/>
          </w:tcPr>
          <w:p w14:paraId="01F544A5" w14:textId="77777777" w:rsidR="005C4FBC" w:rsidRPr="008C4C28" w:rsidRDefault="005C4FBC" w:rsidP="007B52F1">
            <w:pPr>
              <w:rPr>
                <w:rFonts w:ascii="Arial" w:hAnsi="Arial" w:cs="Arial"/>
                <w:b/>
                <w:color w:val="FFFFFF" w:themeColor="background1"/>
                <w:sz w:val="18"/>
                <w:szCs w:val="18"/>
                <w:lang w:eastAsia="en-AU"/>
              </w:rPr>
            </w:pPr>
          </w:p>
        </w:tc>
        <w:tc>
          <w:tcPr>
            <w:tcW w:w="737" w:type="dxa"/>
            <w:vMerge/>
            <w:vAlign w:val="center"/>
            <w:hideMark/>
          </w:tcPr>
          <w:p w14:paraId="3957137B" w14:textId="77777777" w:rsidR="005C4FBC" w:rsidRPr="008C4C28" w:rsidRDefault="005C4FBC" w:rsidP="007B52F1">
            <w:pPr>
              <w:rPr>
                <w:rFonts w:ascii="Arial" w:hAnsi="Arial" w:cs="Arial"/>
                <w:b/>
                <w:color w:val="FFFFFF" w:themeColor="background1"/>
                <w:sz w:val="18"/>
                <w:szCs w:val="18"/>
                <w:lang w:eastAsia="en-AU"/>
              </w:rPr>
            </w:pPr>
          </w:p>
        </w:tc>
        <w:tc>
          <w:tcPr>
            <w:tcW w:w="1191" w:type="dxa"/>
            <w:tcBorders>
              <w:top w:val="nil"/>
              <w:left w:val="nil"/>
              <w:bottom w:val="nil"/>
              <w:right w:val="nil"/>
            </w:tcBorders>
            <w:shd w:val="clear" w:color="auto" w:fill="008EBA"/>
            <w:noWrap/>
            <w:hideMark/>
          </w:tcPr>
          <w:p w14:paraId="5C932F99"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Actual</w:t>
            </w:r>
          </w:p>
        </w:tc>
        <w:tc>
          <w:tcPr>
            <w:tcW w:w="1191" w:type="dxa"/>
            <w:tcBorders>
              <w:top w:val="nil"/>
              <w:left w:val="nil"/>
              <w:bottom w:val="nil"/>
              <w:right w:val="nil"/>
            </w:tcBorders>
            <w:shd w:val="clear" w:color="auto" w:fill="008EBA"/>
            <w:noWrap/>
            <w:hideMark/>
          </w:tcPr>
          <w:p w14:paraId="1595F03A" w14:textId="77777777" w:rsidR="005C4FBC" w:rsidRPr="008C4C28" w:rsidRDefault="005C4FBC" w:rsidP="007B52F1">
            <w:pPr>
              <w:jc w:val="center"/>
              <w:rPr>
                <w:rFonts w:ascii="Arial" w:hAnsi="Arial"/>
                <w:b/>
                <w:color w:val="FFFFFF" w:themeColor="background1"/>
                <w:sz w:val="18"/>
                <w:szCs w:val="18"/>
                <w:lang w:eastAsia="en-AU"/>
              </w:rPr>
            </w:pPr>
            <w:r w:rsidRPr="008C4C28">
              <w:rPr>
                <w:rFonts w:ascii="Arial" w:hAnsi="Arial"/>
                <w:b/>
                <w:color w:val="FFFFFF" w:themeColor="background1"/>
                <w:sz w:val="18"/>
                <w:szCs w:val="18"/>
                <w:lang w:eastAsia="en-AU"/>
              </w:rPr>
              <w:t>Forecast</w:t>
            </w:r>
          </w:p>
        </w:tc>
      </w:tr>
      <w:tr w:rsidR="005C4FBC" w:rsidRPr="00AE08D9" w14:paraId="7B9F89BC" w14:textId="77777777" w:rsidTr="5018B13E">
        <w:trPr>
          <w:trHeight w:val="408"/>
        </w:trPr>
        <w:tc>
          <w:tcPr>
            <w:tcW w:w="6345" w:type="dxa"/>
            <w:tcBorders>
              <w:top w:val="nil"/>
              <w:left w:val="nil"/>
              <w:bottom w:val="nil"/>
              <w:right w:val="nil"/>
            </w:tcBorders>
            <w:shd w:val="clear" w:color="auto" w:fill="auto"/>
            <w:vAlign w:val="bottom"/>
          </w:tcPr>
          <w:p w14:paraId="575D25DA" w14:textId="77777777" w:rsidR="005C4FBC" w:rsidRPr="00AE08D9" w:rsidRDefault="005C4FBC" w:rsidP="007B52F1">
            <w:pPr>
              <w:rPr>
                <w:rFonts w:ascii="Arial" w:hAnsi="Arial" w:cs="Arial"/>
                <w:color w:val="000000"/>
                <w:sz w:val="16"/>
                <w:szCs w:val="16"/>
                <w:lang w:eastAsia="en-AU"/>
              </w:rPr>
            </w:pPr>
            <w:r w:rsidRPr="00AE08D9">
              <w:rPr>
                <w:rFonts w:ascii="Arial" w:hAnsi="Arial" w:cs="Arial"/>
                <w:color w:val="000000"/>
                <w:sz w:val="16"/>
                <w:szCs w:val="16"/>
                <w:lang w:eastAsia="en-AU"/>
              </w:rPr>
              <w:t>Gigalitres saved, offset or brought into an improved framework as a result of investment in water efficiency projects</w:t>
            </w:r>
          </w:p>
        </w:tc>
        <w:tc>
          <w:tcPr>
            <w:tcW w:w="737" w:type="dxa"/>
            <w:tcBorders>
              <w:top w:val="nil"/>
              <w:left w:val="nil"/>
              <w:bottom w:val="nil"/>
              <w:right w:val="nil"/>
            </w:tcBorders>
            <w:shd w:val="clear" w:color="auto" w:fill="auto"/>
            <w:noWrap/>
            <w:vAlign w:val="bottom"/>
            <w:hideMark/>
          </w:tcPr>
          <w:p w14:paraId="2B820AB7" w14:textId="77777777" w:rsidR="005C4FBC" w:rsidRPr="00AE08D9" w:rsidRDefault="005C4FBC" w:rsidP="007B52F1">
            <w:pPr>
              <w:jc w:val="center"/>
              <w:rPr>
                <w:rFonts w:ascii="Arial" w:hAnsi="Arial" w:cs="Arial"/>
                <w:color w:val="000000"/>
                <w:sz w:val="16"/>
                <w:szCs w:val="16"/>
                <w:lang w:eastAsia="en-AU"/>
              </w:rPr>
            </w:pPr>
            <w:r w:rsidRPr="00AE08D9">
              <w:rPr>
                <w:rFonts w:ascii="Arial" w:hAnsi="Arial" w:cs="Arial"/>
                <w:color w:val="000000"/>
                <w:sz w:val="16"/>
                <w:szCs w:val="16"/>
                <w:lang w:eastAsia="en-AU"/>
              </w:rPr>
              <w:t>GL</w:t>
            </w:r>
          </w:p>
        </w:tc>
        <w:tc>
          <w:tcPr>
            <w:tcW w:w="1191" w:type="dxa"/>
            <w:tcBorders>
              <w:top w:val="nil"/>
              <w:left w:val="nil"/>
              <w:bottom w:val="nil"/>
              <w:right w:val="nil"/>
            </w:tcBorders>
            <w:shd w:val="clear" w:color="auto" w:fill="auto"/>
            <w:noWrap/>
            <w:vAlign w:val="bottom"/>
          </w:tcPr>
          <w:p w14:paraId="36E1E540" w14:textId="77777777" w:rsidR="005C4FBC" w:rsidRPr="00AE08D9" w:rsidRDefault="005C4FBC" w:rsidP="007B52F1">
            <w:pPr>
              <w:ind w:right="170"/>
              <w:jc w:val="right"/>
              <w:rPr>
                <w:rFonts w:ascii="Arial" w:hAnsi="Arial" w:cs="Arial"/>
                <w:color w:val="000000"/>
                <w:sz w:val="16"/>
                <w:szCs w:val="16"/>
                <w:lang w:eastAsia="en-AU"/>
              </w:rPr>
            </w:pPr>
            <w:r w:rsidRPr="00AE08D9">
              <w:rPr>
                <w:rFonts w:ascii="Arial" w:hAnsi="Arial" w:cs="Arial"/>
                <w:color w:val="000000"/>
                <w:sz w:val="16"/>
                <w:szCs w:val="16"/>
                <w:lang w:eastAsia="en-AU"/>
              </w:rPr>
              <w:t>0</w:t>
            </w:r>
          </w:p>
        </w:tc>
        <w:tc>
          <w:tcPr>
            <w:tcW w:w="1191" w:type="dxa"/>
            <w:tcBorders>
              <w:top w:val="nil"/>
              <w:left w:val="nil"/>
              <w:bottom w:val="nil"/>
              <w:right w:val="nil"/>
            </w:tcBorders>
            <w:shd w:val="clear" w:color="auto" w:fill="auto"/>
            <w:noWrap/>
            <w:vAlign w:val="bottom"/>
          </w:tcPr>
          <w:p w14:paraId="132488C4" w14:textId="77777777" w:rsidR="005C4FBC" w:rsidRPr="00AE08D9" w:rsidRDefault="005C4FBC" w:rsidP="007B52F1">
            <w:pPr>
              <w:ind w:right="170"/>
              <w:jc w:val="right"/>
              <w:rPr>
                <w:rFonts w:ascii="Arial" w:hAnsi="Arial" w:cs="Arial"/>
                <w:color w:val="000000"/>
                <w:sz w:val="16"/>
                <w:szCs w:val="16"/>
                <w:lang w:eastAsia="en-AU"/>
              </w:rPr>
            </w:pPr>
            <w:r w:rsidRPr="00AE08D9">
              <w:rPr>
                <w:rFonts w:ascii="Arial" w:hAnsi="Arial" w:cs="Arial"/>
                <w:color w:val="000000"/>
                <w:sz w:val="16"/>
                <w:szCs w:val="16"/>
                <w:lang w:eastAsia="en-AU"/>
              </w:rPr>
              <w:t>n.a.</w:t>
            </w:r>
            <w:r w:rsidRPr="00AE08D9">
              <w:rPr>
                <w:rFonts w:ascii="Arial" w:hAnsi="Arial" w:cs="Arial"/>
                <w:color w:val="000000"/>
                <w:sz w:val="16"/>
                <w:szCs w:val="16"/>
                <w:vertAlign w:val="superscript"/>
                <w:lang w:eastAsia="en-AU"/>
              </w:rPr>
              <w:t>(a)</w:t>
            </w:r>
            <w:r w:rsidRPr="00AE08D9">
              <w:rPr>
                <w:rFonts w:ascii="Arial" w:hAnsi="Arial" w:cs="Arial"/>
                <w:color w:val="000000"/>
                <w:sz w:val="16"/>
                <w:szCs w:val="16"/>
                <w:lang w:eastAsia="en-AU"/>
              </w:rPr>
              <w:t xml:space="preserve"> </w:t>
            </w:r>
          </w:p>
        </w:tc>
      </w:tr>
      <w:tr w:rsidR="005C4FBC" w:rsidRPr="00AE08D9" w14:paraId="3D38E600" w14:textId="77777777" w:rsidTr="5018B13E">
        <w:trPr>
          <w:trHeight w:val="408"/>
        </w:trPr>
        <w:tc>
          <w:tcPr>
            <w:tcW w:w="6345" w:type="dxa"/>
            <w:tcBorders>
              <w:top w:val="nil"/>
              <w:left w:val="nil"/>
              <w:bottom w:val="nil"/>
              <w:right w:val="nil"/>
            </w:tcBorders>
            <w:shd w:val="clear" w:color="auto" w:fill="auto"/>
            <w:vAlign w:val="bottom"/>
          </w:tcPr>
          <w:p w14:paraId="6AB0FE5C" w14:textId="77777777" w:rsidR="005C4FBC" w:rsidRPr="00AE08D9" w:rsidRDefault="005C4FBC" w:rsidP="007B52F1">
            <w:pPr>
              <w:rPr>
                <w:rFonts w:ascii="Arial" w:hAnsi="Arial" w:cs="Arial"/>
                <w:color w:val="000000"/>
                <w:sz w:val="16"/>
                <w:szCs w:val="16"/>
                <w:lang w:eastAsia="en-AU"/>
              </w:rPr>
            </w:pPr>
            <w:r w:rsidRPr="00AE08D9">
              <w:rPr>
                <w:rFonts w:ascii="Arial" w:hAnsi="Arial" w:cs="Arial"/>
                <w:color w:val="000000"/>
                <w:sz w:val="16"/>
                <w:szCs w:val="16"/>
                <w:lang w:eastAsia="en-AU"/>
              </w:rPr>
              <w:t>Proportion of 92 water utilities across NSW assessed as improved on environmental, water quality, and affordability metrics on an annual basis</w:t>
            </w:r>
          </w:p>
        </w:tc>
        <w:tc>
          <w:tcPr>
            <w:tcW w:w="737" w:type="dxa"/>
            <w:tcBorders>
              <w:top w:val="nil"/>
              <w:left w:val="nil"/>
              <w:bottom w:val="nil"/>
              <w:right w:val="nil"/>
            </w:tcBorders>
            <w:shd w:val="clear" w:color="auto" w:fill="auto"/>
            <w:noWrap/>
            <w:vAlign w:val="bottom"/>
            <w:hideMark/>
          </w:tcPr>
          <w:p w14:paraId="231AF69A" w14:textId="77777777" w:rsidR="005C4FBC" w:rsidRPr="00AE08D9" w:rsidRDefault="005C4FBC" w:rsidP="007B52F1">
            <w:pPr>
              <w:jc w:val="center"/>
              <w:rPr>
                <w:rFonts w:ascii="Arial" w:hAnsi="Arial" w:cs="Arial"/>
                <w:color w:val="000000"/>
                <w:sz w:val="16"/>
                <w:szCs w:val="16"/>
                <w:lang w:eastAsia="en-AU"/>
              </w:rPr>
            </w:pPr>
            <w:r w:rsidRPr="00AE08D9">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5C7329FE" w14:textId="7AC467FA" w:rsidR="005C4FBC" w:rsidRPr="00AE08D9" w:rsidRDefault="005C4FBC" w:rsidP="007B52F1">
            <w:pPr>
              <w:ind w:right="170"/>
              <w:jc w:val="right"/>
              <w:rPr>
                <w:rFonts w:ascii="Arial" w:hAnsi="Arial"/>
                <w:sz w:val="16"/>
                <w:szCs w:val="16"/>
                <w:lang w:eastAsia="en-AU"/>
              </w:rPr>
            </w:pPr>
            <w:r w:rsidRPr="00AE08D9">
              <w:rPr>
                <w:rFonts w:ascii="Arial" w:hAnsi="Arial" w:cs="Arial"/>
                <w:color w:val="000000"/>
                <w:sz w:val="16"/>
                <w:szCs w:val="16"/>
                <w:lang w:eastAsia="en-AU"/>
              </w:rPr>
              <w:t>55</w:t>
            </w:r>
            <w:r w:rsidR="00EC7644">
              <w:rPr>
                <w:rFonts w:ascii="Arial" w:hAnsi="Arial" w:cs="Arial"/>
                <w:color w:val="000000"/>
                <w:sz w:val="16"/>
                <w:szCs w:val="16"/>
                <w:lang w:eastAsia="en-AU"/>
              </w:rPr>
              <w:t>.0</w:t>
            </w:r>
          </w:p>
        </w:tc>
        <w:tc>
          <w:tcPr>
            <w:tcW w:w="1191" w:type="dxa"/>
            <w:tcBorders>
              <w:top w:val="nil"/>
              <w:left w:val="nil"/>
              <w:bottom w:val="nil"/>
              <w:right w:val="nil"/>
            </w:tcBorders>
            <w:shd w:val="clear" w:color="auto" w:fill="auto"/>
            <w:noWrap/>
            <w:vAlign w:val="bottom"/>
          </w:tcPr>
          <w:p w14:paraId="491ECA04" w14:textId="77777777" w:rsidR="005C4FBC" w:rsidRPr="00AE08D9" w:rsidRDefault="005C4FBC" w:rsidP="007B52F1">
            <w:pPr>
              <w:ind w:right="170"/>
              <w:jc w:val="right"/>
              <w:rPr>
                <w:rFonts w:ascii="Arial" w:hAnsi="Arial"/>
                <w:sz w:val="16"/>
                <w:szCs w:val="16"/>
                <w:lang w:eastAsia="en-AU"/>
              </w:rPr>
            </w:pPr>
            <w:r w:rsidRPr="00AE08D9">
              <w:rPr>
                <w:rFonts w:ascii="Arial" w:hAnsi="Arial"/>
                <w:sz w:val="16"/>
                <w:szCs w:val="16"/>
                <w:lang w:eastAsia="en-AU"/>
              </w:rPr>
              <w:t>55.0</w:t>
            </w:r>
          </w:p>
        </w:tc>
      </w:tr>
      <w:tr w:rsidR="005C4FBC" w:rsidRPr="00AE08D9" w14:paraId="5CAAC793" w14:textId="77777777" w:rsidTr="5018B13E">
        <w:trPr>
          <w:trHeight w:val="408"/>
        </w:trPr>
        <w:tc>
          <w:tcPr>
            <w:tcW w:w="6345" w:type="dxa"/>
            <w:tcBorders>
              <w:top w:val="nil"/>
              <w:left w:val="nil"/>
              <w:bottom w:val="nil"/>
              <w:right w:val="nil"/>
            </w:tcBorders>
            <w:shd w:val="clear" w:color="auto" w:fill="auto"/>
            <w:vAlign w:val="bottom"/>
          </w:tcPr>
          <w:p w14:paraId="4ADC7314" w14:textId="77777777" w:rsidR="005C4FBC" w:rsidRPr="00AE08D9" w:rsidRDefault="005C4FBC" w:rsidP="007B52F1">
            <w:pPr>
              <w:rPr>
                <w:rFonts w:ascii="Arial" w:hAnsi="Arial" w:cs="Arial"/>
                <w:color w:val="000000"/>
                <w:sz w:val="16"/>
                <w:szCs w:val="16"/>
                <w:lang w:eastAsia="en-AU"/>
              </w:rPr>
            </w:pPr>
            <w:r w:rsidRPr="00AE08D9">
              <w:rPr>
                <w:rFonts w:ascii="Arial" w:hAnsi="Arial" w:cs="Arial"/>
                <w:color w:val="000000"/>
                <w:sz w:val="16"/>
                <w:szCs w:val="16"/>
                <w:lang w:eastAsia="en-AU"/>
              </w:rPr>
              <w:t>Proportion of reports of alleged breaches of water law assigned a risk rating and allocated for action on time</w:t>
            </w:r>
          </w:p>
        </w:tc>
        <w:tc>
          <w:tcPr>
            <w:tcW w:w="737" w:type="dxa"/>
            <w:tcBorders>
              <w:top w:val="nil"/>
              <w:left w:val="nil"/>
              <w:bottom w:val="nil"/>
              <w:right w:val="nil"/>
            </w:tcBorders>
            <w:shd w:val="clear" w:color="auto" w:fill="auto"/>
            <w:noWrap/>
            <w:vAlign w:val="bottom"/>
          </w:tcPr>
          <w:p w14:paraId="0637A162" w14:textId="77777777" w:rsidR="005C4FBC" w:rsidRPr="00AE08D9" w:rsidRDefault="005C4FBC" w:rsidP="007B52F1">
            <w:pPr>
              <w:jc w:val="center"/>
              <w:rPr>
                <w:rFonts w:ascii="Arial" w:hAnsi="Arial" w:cs="Arial"/>
                <w:color w:val="000000"/>
                <w:sz w:val="16"/>
                <w:szCs w:val="16"/>
                <w:lang w:eastAsia="en-AU"/>
              </w:rPr>
            </w:pPr>
            <w:r w:rsidRPr="00AE08D9">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1F36DB49" w14:textId="346A133D" w:rsidR="005C4FBC" w:rsidRPr="00AE08D9" w:rsidRDefault="005C4FBC" w:rsidP="007B52F1">
            <w:pPr>
              <w:ind w:right="170"/>
              <w:jc w:val="right"/>
              <w:rPr>
                <w:rFonts w:ascii="Arial" w:hAnsi="Arial" w:cs="Arial"/>
                <w:color w:val="000000"/>
                <w:sz w:val="16"/>
                <w:szCs w:val="16"/>
                <w:lang w:eastAsia="en-AU"/>
              </w:rPr>
            </w:pPr>
            <w:r w:rsidRPr="00AE08D9">
              <w:rPr>
                <w:rFonts w:ascii="Arial" w:hAnsi="Arial" w:cs="Arial"/>
                <w:color w:val="000000"/>
                <w:sz w:val="16"/>
                <w:szCs w:val="16"/>
                <w:lang w:eastAsia="en-AU"/>
              </w:rPr>
              <w:t>93</w:t>
            </w:r>
            <w:r w:rsidR="00EC7644">
              <w:rPr>
                <w:rFonts w:ascii="Arial" w:hAnsi="Arial" w:cs="Arial"/>
                <w:color w:val="000000"/>
                <w:sz w:val="16"/>
                <w:szCs w:val="16"/>
                <w:lang w:eastAsia="en-AU"/>
              </w:rPr>
              <w:t>.0</w:t>
            </w:r>
          </w:p>
        </w:tc>
        <w:tc>
          <w:tcPr>
            <w:tcW w:w="1191" w:type="dxa"/>
            <w:tcBorders>
              <w:top w:val="nil"/>
              <w:left w:val="nil"/>
              <w:bottom w:val="nil"/>
              <w:right w:val="nil"/>
            </w:tcBorders>
            <w:shd w:val="clear" w:color="auto" w:fill="auto"/>
            <w:noWrap/>
            <w:vAlign w:val="bottom"/>
          </w:tcPr>
          <w:p w14:paraId="16873938" w14:textId="77777777" w:rsidR="005C4FBC" w:rsidRPr="00AE08D9" w:rsidRDefault="005C4FBC" w:rsidP="007B52F1">
            <w:pPr>
              <w:ind w:right="170"/>
              <w:jc w:val="right"/>
              <w:rPr>
                <w:rFonts w:ascii="Arial" w:hAnsi="Arial" w:cs="Arial"/>
                <w:color w:val="000000"/>
                <w:sz w:val="16"/>
                <w:szCs w:val="16"/>
                <w:lang w:eastAsia="en-AU"/>
              </w:rPr>
            </w:pPr>
            <w:r w:rsidRPr="00AE08D9">
              <w:rPr>
                <w:rFonts w:ascii="Arial" w:hAnsi="Arial" w:cs="Arial"/>
                <w:color w:val="000000"/>
                <w:sz w:val="16"/>
                <w:szCs w:val="16"/>
                <w:lang w:eastAsia="en-AU"/>
              </w:rPr>
              <w:t>90.0</w:t>
            </w:r>
          </w:p>
        </w:tc>
      </w:tr>
      <w:tr w:rsidR="005C4FBC" w:rsidRPr="00AE08D9" w14:paraId="52B13FB5" w14:textId="77777777" w:rsidTr="5018B13E">
        <w:trPr>
          <w:trHeight w:val="225"/>
        </w:trPr>
        <w:tc>
          <w:tcPr>
            <w:tcW w:w="6345" w:type="dxa"/>
            <w:tcBorders>
              <w:top w:val="nil"/>
              <w:left w:val="nil"/>
              <w:bottom w:val="nil"/>
              <w:right w:val="nil"/>
            </w:tcBorders>
            <w:shd w:val="clear" w:color="auto" w:fill="auto"/>
            <w:vAlign w:val="bottom"/>
            <w:hideMark/>
          </w:tcPr>
          <w:p w14:paraId="1EB72F04" w14:textId="03FFADB0" w:rsidR="005C4FBC" w:rsidRPr="00AE08D9" w:rsidRDefault="005C4FBC" w:rsidP="007B52F1">
            <w:pPr>
              <w:rPr>
                <w:rFonts w:ascii="Arial" w:hAnsi="Arial" w:cs="Arial"/>
                <w:color w:val="000000"/>
                <w:sz w:val="16"/>
                <w:szCs w:val="16"/>
                <w:lang w:eastAsia="en-AU"/>
              </w:rPr>
            </w:pPr>
            <w:r w:rsidRPr="00AE08D9">
              <w:rPr>
                <w:rFonts w:ascii="Arial" w:hAnsi="Arial" w:cs="Arial"/>
                <w:color w:val="000000"/>
                <w:sz w:val="16"/>
                <w:szCs w:val="16"/>
                <w:lang w:eastAsia="en-AU"/>
              </w:rPr>
              <w:t>Proportion of water strategy actions implemented across NSW</w:t>
            </w:r>
            <w:r w:rsidR="009B4E1F" w:rsidRPr="004F799F">
              <w:rPr>
                <w:rFonts w:ascii="Arial" w:hAnsi="Arial" w:cs="Arial"/>
                <w:color w:val="000000"/>
                <w:sz w:val="16"/>
                <w:szCs w:val="16"/>
                <w:vertAlign w:val="superscript"/>
                <w:lang w:eastAsia="en-AU"/>
              </w:rPr>
              <w:t>(b)</w:t>
            </w:r>
          </w:p>
        </w:tc>
        <w:tc>
          <w:tcPr>
            <w:tcW w:w="737" w:type="dxa"/>
            <w:tcBorders>
              <w:top w:val="nil"/>
              <w:left w:val="nil"/>
              <w:bottom w:val="nil"/>
              <w:right w:val="nil"/>
            </w:tcBorders>
            <w:shd w:val="clear" w:color="auto" w:fill="auto"/>
            <w:noWrap/>
            <w:vAlign w:val="bottom"/>
            <w:hideMark/>
          </w:tcPr>
          <w:p w14:paraId="74937368" w14:textId="77777777" w:rsidR="005C4FBC" w:rsidRPr="00AE08D9" w:rsidRDefault="005C4FBC" w:rsidP="007B52F1">
            <w:pPr>
              <w:jc w:val="center"/>
              <w:rPr>
                <w:rFonts w:ascii="Arial" w:hAnsi="Arial" w:cs="Arial"/>
                <w:color w:val="000000"/>
                <w:sz w:val="16"/>
                <w:szCs w:val="16"/>
                <w:lang w:eastAsia="en-AU"/>
              </w:rPr>
            </w:pPr>
            <w:r w:rsidRPr="00AE08D9">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57BF5D82" w14:textId="59D1A563" w:rsidR="005C4FBC" w:rsidRPr="00AE08D9" w:rsidRDefault="005C4FBC" w:rsidP="007B52F1">
            <w:pPr>
              <w:ind w:right="170"/>
              <w:jc w:val="right"/>
              <w:rPr>
                <w:rFonts w:ascii="Arial" w:hAnsi="Arial"/>
                <w:sz w:val="16"/>
                <w:szCs w:val="16"/>
                <w:lang w:eastAsia="en-AU"/>
              </w:rPr>
            </w:pPr>
            <w:r w:rsidRPr="00AE08D9">
              <w:rPr>
                <w:rFonts w:ascii="Arial" w:hAnsi="Arial" w:cs="Arial"/>
                <w:color w:val="000000"/>
                <w:sz w:val="16"/>
                <w:szCs w:val="16"/>
                <w:lang w:eastAsia="en-AU"/>
              </w:rPr>
              <w:t>25</w:t>
            </w:r>
            <w:r w:rsidR="00EC7644">
              <w:rPr>
                <w:rFonts w:ascii="Arial" w:hAnsi="Arial" w:cs="Arial"/>
                <w:color w:val="000000"/>
                <w:sz w:val="16"/>
                <w:szCs w:val="16"/>
                <w:lang w:eastAsia="en-AU"/>
              </w:rPr>
              <w:t>.0</w:t>
            </w:r>
          </w:p>
        </w:tc>
        <w:tc>
          <w:tcPr>
            <w:tcW w:w="1191" w:type="dxa"/>
            <w:tcBorders>
              <w:top w:val="nil"/>
              <w:left w:val="nil"/>
              <w:bottom w:val="nil"/>
              <w:right w:val="nil"/>
            </w:tcBorders>
            <w:shd w:val="clear" w:color="auto" w:fill="auto"/>
            <w:noWrap/>
            <w:vAlign w:val="bottom"/>
          </w:tcPr>
          <w:p w14:paraId="63732076" w14:textId="79072057" w:rsidR="005C4FBC" w:rsidRPr="00AE08D9" w:rsidRDefault="005C4FBC" w:rsidP="007B52F1">
            <w:pPr>
              <w:ind w:right="170"/>
              <w:jc w:val="right"/>
              <w:rPr>
                <w:rFonts w:ascii="Arial" w:hAnsi="Arial"/>
                <w:sz w:val="16"/>
                <w:szCs w:val="16"/>
                <w:lang w:eastAsia="en-AU"/>
              </w:rPr>
            </w:pPr>
            <w:r w:rsidRPr="00AE08D9">
              <w:rPr>
                <w:rFonts w:ascii="Arial" w:hAnsi="Arial" w:cs="Arial"/>
                <w:color w:val="000000"/>
                <w:sz w:val="16"/>
                <w:szCs w:val="16"/>
                <w:lang w:eastAsia="en-AU"/>
              </w:rPr>
              <w:t>50</w:t>
            </w:r>
            <w:r w:rsidR="00EC7644">
              <w:rPr>
                <w:rFonts w:ascii="Arial" w:hAnsi="Arial" w:cs="Arial"/>
                <w:color w:val="000000"/>
                <w:sz w:val="16"/>
                <w:szCs w:val="16"/>
                <w:lang w:eastAsia="en-AU"/>
              </w:rPr>
              <w:t>.0</w:t>
            </w:r>
          </w:p>
        </w:tc>
      </w:tr>
      <w:tr w:rsidR="005C4FBC" w:rsidRPr="00AE08D9" w14:paraId="77EBCCD8" w14:textId="77777777" w:rsidTr="5018B13E">
        <w:trPr>
          <w:trHeight w:val="450"/>
        </w:trPr>
        <w:tc>
          <w:tcPr>
            <w:tcW w:w="6345" w:type="dxa"/>
            <w:tcBorders>
              <w:top w:val="nil"/>
              <w:left w:val="nil"/>
              <w:bottom w:val="nil"/>
              <w:right w:val="nil"/>
            </w:tcBorders>
            <w:shd w:val="clear" w:color="auto" w:fill="auto"/>
            <w:vAlign w:val="bottom"/>
          </w:tcPr>
          <w:p w14:paraId="74E5F1B8" w14:textId="635BA304" w:rsidR="005C4FBC" w:rsidRPr="00AE08D9" w:rsidRDefault="005C4FBC" w:rsidP="007B52F1">
            <w:pPr>
              <w:rPr>
                <w:rFonts w:ascii="Arial" w:hAnsi="Arial" w:cs="Arial"/>
                <w:color w:val="000000"/>
                <w:sz w:val="16"/>
                <w:szCs w:val="16"/>
                <w:lang w:eastAsia="en-AU"/>
              </w:rPr>
            </w:pPr>
            <w:r w:rsidRPr="00AE08D9">
              <w:rPr>
                <w:rFonts w:ascii="Arial" w:hAnsi="Arial" w:cs="Arial"/>
                <w:color w:val="000000"/>
                <w:sz w:val="16"/>
                <w:szCs w:val="16"/>
                <w:lang w:eastAsia="en-AU"/>
              </w:rPr>
              <w:t>Water resources are demonstrated to be well managed, as measured by proportion of water sharing plans implemented as demonstrated through audit and evaluation</w:t>
            </w:r>
          </w:p>
        </w:tc>
        <w:tc>
          <w:tcPr>
            <w:tcW w:w="737" w:type="dxa"/>
            <w:tcBorders>
              <w:top w:val="nil"/>
              <w:left w:val="nil"/>
              <w:bottom w:val="nil"/>
              <w:right w:val="nil"/>
            </w:tcBorders>
            <w:shd w:val="clear" w:color="auto" w:fill="auto"/>
            <w:noWrap/>
            <w:vAlign w:val="bottom"/>
            <w:hideMark/>
          </w:tcPr>
          <w:p w14:paraId="3477206C" w14:textId="77777777" w:rsidR="005C4FBC" w:rsidRPr="00AE08D9" w:rsidRDefault="005C4FBC" w:rsidP="007B52F1">
            <w:pPr>
              <w:jc w:val="center"/>
              <w:rPr>
                <w:rFonts w:ascii="Arial" w:hAnsi="Arial" w:cs="Arial"/>
                <w:color w:val="000000"/>
                <w:sz w:val="16"/>
                <w:szCs w:val="16"/>
                <w:lang w:eastAsia="en-AU"/>
              </w:rPr>
            </w:pPr>
            <w:r w:rsidRPr="00AE08D9">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tcPr>
          <w:p w14:paraId="59239D62" w14:textId="77A8791E" w:rsidR="005C4FBC" w:rsidRPr="00AE08D9" w:rsidRDefault="005C4FBC" w:rsidP="007B52F1">
            <w:pPr>
              <w:ind w:right="170"/>
              <w:jc w:val="right"/>
              <w:rPr>
                <w:rFonts w:ascii="Arial" w:hAnsi="Arial" w:cs="Arial"/>
                <w:color w:val="000000"/>
                <w:sz w:val="16"/>
                <w:szCs w:val="16"/>
                <w:lang w:eastAsia="en-AU"/>
              </w:rPr>
            </w:pPr>
            <w:r w:rsidRPr="00AE08D9">
              <w:rPr>
                <w:rFonts w:ascii="Arial" w:hAnsi="Arial" w:cs="Arial"/>
                <w:color w:val="000000"/>
                <w:sz w:val="16"/>
                <w:szCs w:val="16"/>
                <w:lang w:eastAsia="en-AU"/>
              </w:rPr>
              <w:t>100</w:t>
            </w:r>
            <w:r w:rsidR="00EC7644">
              <w:rPr>
                <w:rFonts w:ascii="Arial" w:hAnsi="Arial" w:cs="Arial"/>
                <w:color w:val="000000"/>
                <w:sz w:val="16"/>
                <w:szCs w:val="16"/>
                <w:lang w:eastAsia="en-AU"/>
              </w:rPr>
              <w:t>.0</w:t>
            </w:r>
          </w:p>
        </w:tc>
        <w:tc>
          <w:tcPr>
            <w:tcW w:w="1191" w:type="dxa"/>
            <w:tcBorders>
              <w:top w:val="nil"/>
              <w:left w:val="nil"/>
              <w:bottom w:val="nil"/>
              <w:right w:val="nil"/>
            </w:tcBorders>
            <w:shd w:val="clear" w:color="auto" w:fill="auto"/>
            <w:noWrap/>
            <w:vAlign w:val="bottom"/>
          </w:tcPr>
          <w:p w14:paraId="4659A3C0" w14:textId="77777777" w:rsidR="005C4FBC" w:rsidRPr="00AE08D9" w:rsidRDefault="005C4FBC" w:rsidP="007B52F1">
            <w:pPr>
              <w:ind w:right="170"/>
              <w:jc w:val="right"/>
              <w:rPr>
                <w:rFonts w:ascii="Arial" w:hAnsi="Arial" w:cs="Arial"/>
                <w:color w:val="000000"/>
                <w:sz w:val="16"/>
                <w:szCs w:val="16"/>
                <w:lang w:eastAsia="en-AU"/>
              </w:rPr>
            </w:pPr>
            <w:r w:rsidRPr="00AE08D9">
              <w:rPr>
                <w:rFonts w:ascii="Arial" w:hAnsi="Arial"/>
                <w:sz w:val="16"/>
                <w:szCs w:val="16"/>
                <w:lang w:eastAsia="en-AU"/>
              </w:rPr>
              <w:t>100.0</w:t>
            </w:r>
          </w:p>
        </w:tc>
      </w:tr>
    </w:tbl>
    <w:p w14:paraId="2C1E8157" w14:textId="77777777" w:rsidR="005C4FBC" w:rsidRPr="005B58E5" w:rsidRDefault="005C4FBC" w:rsidP="005C4FBC">
      <w:pPr>
        <w:rPr>
          <w:rFonts w:ascii="Arial" w:eastAsiaTheme="minorHAnsi" w:hAnsi="Arial" w:cs="Arial"/>
          <w:sz w:val="6"/>
          <w:szCs w:val="6"/>
        </w:rPr>
      </w:pPr>
    </w:p>
    <w:p w14:paraId="67EBA06C" w14:textId="4836134B" w:rsidR="002D6D0F" w:rsidRPr="005B58E5" w:rsidRDefault="002D6D0F" w:rsidP="002D6D0F">
      <w:pPr>
        <w:rPr>
          <w:rFonts w:ascii="Arial" w:eastAsia="Symbol" w:hAnsi="Arial" w:cs="Arial"/>
          <w:sz w:val="17"/>
          <w:szCs w:val="17"/>
        </w:rPr>
      </w:pPr>
      <w:r w:rsidRPr="005B58E5">
        <w:rPr>
          <w:rFonts w:ascii="Arial" w:eastAsia="Symbol" w:hAnsi="Arial" w:cs="Arial"/>
          <w:sz w:val="17"/>
          <w:szCs w:val="17"/>
        </w:rPr>
        <w:t>Notes:</w:t>
      </w:r>
    </w:p>
    <w:p w14:paraId="3322AA31" w14:textId="3315D726" w:rsidR="005C4FBC" w:rsidRPr="005B58E5" w:rsidRDefault="005C4FBC" w:rsidP="005C4FBC">
      <w:pPr>
        <w:pStyle w:val="ListParagraph"/>
        <w:numPr>
          <w:ilvl w:val="0"/>
          <w:numId w:val="47"/>
        </w:numPr>
        <w:ind w:left="426"/>
        <w:rPr>
          <w:rFonts w:eastAsia="Symbol" w:cs="Arial"/>
          <w:sz w:val="17"/>
          <w:szCs w:val="17"/>
        </w:rPr>
      </w:pPr>
      <w:r w:rsidRPr="005B58E5">
        <w:rPr>
          <w:rFonts w:eastAsiaTheme="minorEastAsia" w:cs="Arial"/>
          <w:sz w:val="17"/>
          <w:szCs w:val="17"/>
        </w:rPr>
        <w:t>This</w:t>
      </w:r>
      <w:r w:rsidRPr="005B58E5">
        <w:rPr>
          <w:rFonts w:cs="Arial"/>
          <w:sz w:val="17"/>
          <w:szCs w:val="17"/>
        </w:rPr>
        <w:t xml:space="preserve"> indicator is currently under review for appropriateness and is unlikely to be reported in future, therefore the 2021-22 Forecast not available at time of print. A replacement indicator is currently under development.</w:t>
      </w:r>
    </w:p>
    <w:p w14:paraId="53E7E301" w14:textId="3BDBE4ED" w:rsidR="005C4FBC" w:rsidRPr="005B58E5" w:rsidRDefault="005C4FBC" w:rsidP="005C4FBC">
      <w:pPr>
        <w:pStyle w:val="ListParagraph"/>
        <w:numPr>
          <w:ilvl w:val="0"/>
          <w:numId w:val="47"/>
        </w:numPr>
        <w:ind w:left="426"/>
        <w:rPr>
          <w:sz w:val="17"/>
          <w:szCs w:val="17"/>
        </w:rPr>
      </w:pPr>
      <w:r w:rsidRPr="005B58E5">
        <w:rPr>
          <w:sz w:val="17"/>
          <w:szCs w:val="17"/>
        </w:rPr>
        <w:t>Reported as proportion of actions implemented of completed Water Strategies (currently one strategy completed).</w:t>
      </w:r>
    </w:p>
    <w:p w14:paraId="7F577B7D" w14:textId="01FC88F7" w:rsidR="008C304A" w:rsidRPr="00803A74" w:rsidRDefault="008C304A" w:rsidP="00204AB4">
      <w:pPr>
        <w:pStyle w:val="BodyText"/>
      </w:pPr>
    </w:p>
    <w:sectPr w:rsidR="008C304A" w:rsidRPr="00803A74" w:rsidSect="00383B36">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F3EA" w14:textId="77777777" w:rsidR="000E5F81" w:rsidRDefault="000E5F81">
      <w:r>
        <w:separator/>
      </w:r>
    </w:p>
    <w:p w14:paraId="714912F9" w14:textId="77777777" w:rsidR="000E5F81" w:rsidRDefault="000E5F81"/>
  </w:endnote>
  <w:endnote w:type="continuationSeparator" w:id="0">
    <w:p w14:paraId="46AE7A73" w14:textId="77777777" w:rsidR="000E5F81" w:rsidRDefault="000E5F81">
      <w:r>
        <w:continuationSeparator/>
      </w:r>
    </w:p>
    <w:p w14:paraId="2E9C690B" w14:textId="77777777" w:rsidR="000E5F81" w:rsidRDefault="000E5F81"/>
  </w:endnote>
  <w:endnote w:type="continuationNotice" w:id="1">
    <w:p w14:paraId="7B3D69D9" w14:textId="77777777" w:rsidR="000E5F81" w:rsidRDefault="000E5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Tahoma"/>
    <w:panose1 w:val="020B07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B9B7" w14:textId="5D68652B" w:rsidR="009171A3" w:rsidRPr="00B13F9A" w:rsidRDefault="00700949" w:rsidP="00B13F9A">
    <w:pPr>
      <w:pStyle w:val="Footer"/>
      <w:pBdr>
        <w:top w:val="single" w:sz="4" w:space="4" w:color="auto"/>
      </w:pBdr>
      <w:tabs>
        <w:tab w:val="clear" w:pos="7655"/>
        <w:tab w:val="right" w:pos="9639"/>
      </w:tabs>
      <w:rPr>
        <w:szCs w:val="18"/>
      </w:rPr>
    </w:pPr>
    <w:r>
      <w:rPr>
        <w:szCs w:val="18"/>
      </w:rPr>
      <w:t>4</w:t>
    </w:r>
    <w:r w:rsidR="009171A3" w:rsidRPr="00D67CF6">
      <w:rPr>
        <w:szCs w:val="18"/>
      </w:rPr>
      <w:t xml:space="preserve"> - </w:t>
    </w:r>
    <w:r w:rsidR="009171A3" w:rsidRPr="00D67CF6">
      <w:rPr>
        <w:szCs w:val="18"/>
      </w:rPr>
      <w:fldChar w:fldCharType="begin"/>
    </w:r>
    <w:r w:rsidR="009171A3" w:rsidRPr="00D67CF6">
      <w:rPr>
        <w:szCs w:val="18"/>
      </w:rPr>
      <w:instrText xml:space="preserve"> PAGE  \* MERGEFORMAT </w:instrText>
    </w:r>
    <w:r w:rsidR="009171A3" w:rsidRPr="00D67CF6">
      <w:rPr>
        <w:szCs w:val="18"/>
      </w:rPr>
      <w:fldChar w:fldCharType="separate"/>
    </w:r>
    <w:r w:rsidR="009171A3">
      <w:rPr>
        <w:szCs w:val="18"/>
      </w:rPr>
      <w:t>2</w:t>
    </w:r>
    <w:r w:rsidR="009171A3" w:rsidRPr="00D67CF6">
      <w:rPr>
        <w:szCs w:val="18"/>
      </w:rPr>
      <w:fldChar w:fldCharType="end"/>
    </w:r>
    <w:r w:rsidR="009171A3">
      <w:rPr>
        <w:szCs w:val="18"/>
      </w:rPr>
      <w:tab/>
      <w:t xml:space="preserve">Cluster Outcome Statement </w:t>
    </w:r>
    <w:r w:rsidR="009171A3" w:rsidRPr="00B07CC2">
      <w:rPr>
        <w:rFonts w:cs="Arial"/>
        <w:szCs w:val="18"/>
      </w:rPr>
      <w:t>20</w:t>
    </w:r>
    <w:r w:rsidR="009171A3">
      <w:rPr>
        <w:rFonts w:cs="Arial"/>
        <w:szCs w:val="18"/>
      </w:rPr>
      <w:t>21</w:t>
    </w:r>
    <w:r w:rsidR="009171A3" w:rsidRPr="00B07CC2">
      <w:rPr>
        <w:rFonts w:cs="Arial"/>
        <w:szCs w:val="18"/>
      </w:rPr>
      <w:t>-2</w:t>
    </w:r>
    <w:r w:rsidR="009171A3">
      <w:rPr>
        <w:rFonts w:cs="Arial"/>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EBC2" w14:textId="68E6859F" w:rsidR="009171A3" w:rsidRPr="007403F6" w:rsidRDefault="009171A3" w:rsidP="007403F6">
    <w:pPr>
      <w:pStyle w:val="Footer"/>
      <w:pBdr>
        <w:top w:val="single" w:sz="4" w:space="4" w:color="auto"/>
      </w:pBdr>
      <w:tabs>
        <w:tab w:val="clear" w:pos="7655"/>
        <w:tab w:val="right" w:pos="9639"/>
      </w:tabs>
      <w:rPr>
        <w:szCs w:val="18"/>
      </w:rPr>
    </w:pPr>
    <w:r>
      <w:rPr>
        <w:szCs w:val="18"/>
      </w:rPr>
      <w:t xml:space="preserve">Cluster Outcome Statement </w:t>
    </w:r>
    <w:r w:rsidRPr="00B07CC2">
      <w:rPr>
        <w:rFonts w:cs="Arial"/>
        <w:szCs w:val="18"/>
      </w:rPr>
      <w:t>20</w:t>
    </w:r>
    <w:r>
      <w:rPr>
        <w:rFonts w:cs="Arial"/>
        <w:szCs w:val="18"/>
      </w:rPr>
      <w:t>21</w:t>
    </w:r>
    <w:r w:rsidRPr="00B07CC2">
      <w:rPr>
        <w:rFonts w:cs="Arial"/>
        <w:szCs w:val="18"/>
      </w:rPr>
      <w:t>-2</w:t>
    </w:r>
    <w:r>
      <w:rPr>
        <w:rFonts w:cs="Arial"/>
        <w:szCs w:val="18"/>
      </w:rPr>
      <w:t xml:space="preserve">2 </w:t>
    </w:r>
    <w:r>
      <w:rPr>
        <w:rFonts w:cs="Arial"/>
        <w:szCs w:val="18"/>
      </w:rPr>
      <w:tab/>
    </w:r>
    <w:r w:rsidR="005C4FBC">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3F51" w14:textId="185E5599" w:rsidR="009171A3" w:rsidRDefault="009171A3" w:rsidP="00E27C10">
    <w:pPr>
      <w:pStyle w:val="Footer"/>
      <w:pBdr>
        <w:top w:val="single" w:sz="4" w:space="4" w:color="auto"/>
      </w:pBdr>
      <w:tabs>
        <w:tab w:val="clear" w:pos="7655"/>
        <w:tab w:val="right" w:pos="9639"/>
      </w:tabs>
      <w:rPr>
        <w:szCs w:val="18"/>
      </w:rPr>
    </w:pPr>
    <w:r>
      <w:rPr>
        <w:szCs w:val="18"/>
      </w:rPr>
      <w:t xml:space="preserve">Cluster Outcome Statement </w:t>
    </w:r>
    <w:r w:rsidRPr="00B07CC2">
      <w:rPr>
        <w:rFonts w:cs="Arial"/>
        <w:szCs w:val="18"/>
      </w:rPr>
      <w:t>20</w:t>
    </w:r>
    <w:r>
      <w:rPr>
        <w:rFonts w:cs="Arial"/>
        <w:szCs w:val="18"/>
      </w:rPr>
      <w:t>21</w:t>
    </w:r>
    <w:r w:rsidRPr="00B07CC2">
      <w:rPr>
        <w:rFonts w:cs="Arial"/>
        <w:szCs w:val="18"/>
      </w:rPr>
      <w:t>-2</w:t>
    </w:r>
    <w:r>
      <w:rPr>
        <w:rFonts w:cs="Arial"/>
        <w:szCs w:val="18"/>
      </w:rPr>
      <w:t>2</w:t>
    </w:r>
    <w:r w:rsidR="00F70177">
      <w:rPr>
        <w:rFonts w:cs="Arial"/>
        <w:szCs w:val="18"/>
      </w:rPr>
      <w:tab/>
    </w:r>
    <w:r>
      <w:rPr>
        <w:rFonts w:cs="Arial"/>
        <w:szCs w:val="18"/>
      </w:rPr>
      <w:t xml:space="preserve"> </w:t>
    </w:r>
    <w:r w:rsidR="00700949">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noProof/>
        <w:szCs w:val="18"/>
      </w:rPr>
      <w:t>13</w:t>
    </w:r>
    <w:r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78FC" w14:textId="77777777" w:rsidR="000E5F81" w:rsidRDefault="000E5F81">
      <w:pPr>
        <w:spacing w:before="120"/>
      </w:pPr>
      <w:r>
        <w:separator/>
      </w:r>
    </w:p>
  </w:footnote>
  <w:footnote w:type="continuationSeparator" w:id="0">
    <w:p w14:paraId="6459DA0A" w14:textId="77777777" w:rsidR="000E5F81" w:rsidRDefault="000E5F81">
      <w:pPr>
        <w:spacing w:before="120"/>
      </w:pPr>
      <w:r>
        <w:continuationSeparator/>
      </w:r>
    </w:p>
  </w:footnote>
  <w:footnote w:type="continuationNotice" w:id="1">
    <w:p w14:paraId="572BF113" w14:textId="77777777" w:rsidR="000E5F81" w:rsidRDefault="000E5F81">
      <w:pPr>
        <w:rPr>
          <w:sz w:val="16"/>
        </w:rPr>
      </w:pPr>
    </w:p>
    <w:p w14:paraId="4BCC5A91" w14:textId="77777777" w:rsidR="000E5F81" w:rsidRDefault="000E5F81"/>
  </w:footnote>
  <w:footnote w:id="2">
    <w:p w14:paraId="264D285A" w14:textId="70DF3344" w:rsidR="005D60D2" w:rsidRPr="00C337CF" w:rsidRDefault="005D60D2" w:rsidP="0092578A">
      <w:pPr>
        <w:pStyle w:val="FootnoteText"/>
        <w:ind w:hanging="283"/>
        <w:jc w:val="both"/>
        <w:rPr>
          <w:rFonts w:ascii="Arial" w:hAnsi="Arial" w:cs="Arial"/>
          <w:i w:val="0"/>
          <w:iCs/>
          <w:sz w:val="17"/>
          <w:szCs w:val="17"/>
        </w:rPr>
      </w:pPr>
      <w:r w:rsidRPr="00435D36">
        <w:rPr>
          <w:rStyle w:val="FootnoteReference"/>
          <w:rFonts w:ascii="Arial" w:hAnsi="Arial" w:cs="Arial"/>
          <w:i w:val="0"/>
          <w:iCs/>
        </w:rPr>
        <w:footnoteRef/>
      </w:r>
      <w:r w:rsidRPr="00435D36">
        <w:rPr>
          <w:rFonts w:ascii="Arial" w:hAnsi="Arial" w:cs="Arial"/>
          <w:i w:val="0"/>
          <w:iCs/>
        </w:rPr>
        <w:t xml:space="preserve"> </w:t>
      </w:r>
      <w:r w:rsidR="0092578A">
        <w:rPr>
          <w:rFonts w:ascii="Arial" w:hAnsi="Arial" w:cs="Arial"/>
          <w:i w:val="0"/>
          <w:iCs/>
        </w:rPr>
        <w:tab/>
      </w:r>
      <w:r w:rsidRPr="00C337CF">
        <w:rPr>
          <w:rFonts w:ascii="Arial" w:hAnsi="Arial" w:cs="Arial"/>
          <w:i w:val="0"/>
          <w:iCs/>
          <w:sz w:val="17"/>
          <w:szCs w:val="17"/>
        </w:rPr>
        <w:t>The Independent Pricing and Regulatory Tribunal (IPART) regulates prices for government monopoly services. Figures in this paper were based on the draft determination made in March 2021. Prices remain subject to change until such time as the determination is final.</w:t>
      </w:r>
    </w:p>
  </w:footnote>
  <w:footnote w:id="3">
    <w:p w14:paraId="6103F432" w14:textId="02B6E12E" w:rsidR="005106FE" w:rsidRPr="005B58E5" w:rsidRDefault="005106FE" w:rsidP="005B58E5">
      <w:pPr>
        <w:pStyle w:val="FootnoteText"/>
        <w:ind w:hanging="284"/>
        <w:jc w:val="both"/>
        <w:rPr>
          <w:rFonts w:ascii="Arial" w:hAnsi="Arial" w:cs="Arial"/>
          <w:sz w:val="17"/>
          <w:szCs w:val="17"/>
        </w:rPr>
      </w:pPr>
      <w:r w:rsidRPr="00435D36">
        <w:rPr>
          <w:rStyle w:val="FootnoteReference"/>
          <w:rFonts w:ascii="Arial" w:hAnsi="Arial" w:cs="Arial"/>
          <w:i w:val="0"/>
          <w:iCs/>
        </w:rPr>
        <w:footnoteRef/>
      </w:r>
      <w:r w:rsidRPr="00435D36">
        <w:rPr>
          <w:rStyle w:val="FootnoteReference"/>
          <w:rFonts w:ascii="Arial" w:hAnsi="Arial" w:cs="Arial"/>
          <w:i w:val="0"/>
          <w:iCs/>
          <w:vertAlign w:val="baseline"/>
        </w:rPr>
        <w:t xml:space="preserve"> </w:t>
      </w:r>
      <w:r w:rsidR="005B58E5">
        <w:rPr>
          <w:rFonts w:ascii="Arial" w:hAnsi="Arial" w:cs="Arial"/>
          <w:i w:val="0"/>
          <w:iCs/>
        </w:rPr>
        <w:tab/>
      </w:r>
      <w:r w:rsidRPr="005B58E5">
        <w:rPr>
          <w:rStyle w:val="FootnoteReference"/>
          <w:rFonts w:ascii="Arial" w:hAnsi="Arial" w:cs="Arial"/>
          <w:i w:val="0"/>
          <w:iCs/>
          <w:sz w:val="17"/>
          <w:szCs w:val="17"/>
          <w:vertAlign w:val="baseline"/>
        </w:rPr>
        <w:t xml:space="preserve">Note $16.3 million ($64.2 million over four years) of Natural Resources Access Regulator (NRAR)’s funding is included in the </w:t>
      </w:r>
      <w:r w:rsidR="00F90C15">
        <w:rPr>
          <w:rFonts w:ascii="Arial" w:hAnsi="Arial" w:cs="Arial"/>
          <w:i w:val="0"/>
          <w:iCs/>
          <w:sz w:val="17"/>
          <w:szCs w:val="17"/>
        </w:rPr>
        <w:t xml:space="preserve">Water Administration </w:t>
      </w:r>
      <w:r w:rsidR="00111B61">
        <w:rPr>
          <w:rFonts w:ascii="Arial" w:hAnsi="Arial" w:cs="Arial"/>
          <w:i w:val="0"/>
          <w:iCs/>
          <w:sz w:val="17"/>
          <w:szCs w:val="17"/>
        </w:rPr>
        <w:t xml:space="preserve">Ministerial Corporation </w:t>
      </w:r>
      <w:r w:rsidRPr="005B58E5">
        <w:rPr>
          <w:rStyle w:val="FootnoteReference"/>
          <w:rFonts w:ascii="Arial" w:hAnsi="Arial" w:cs="Arial"/>
          <w:i w:val="0"/>
          <w:iCs/>
          <w:sz w:val="17"/>
          <w:szCs w:val="17"/>
          <w:vertAlign w:val="baseline"/>
        </w:rPr>
        <w:t>IPART determination</w:t>
      </w:r>
      <w:r w:rsidR="00021B57" w:rsidRPr="005B58E5">
        <w:rPr>
          <w:rStyle w:val="FootnoteReference"/>
          <w:rFonts w:ascii="Arial" w:hAnsi="Arial" w:cs="Arial"/>
          <w:i w:val="0"/>
          <w:iCs/>
          <w:sz w:val="17"/>
          <w:szCs w:val="17"/>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797F" w14:textId="3777A28C" w:rsidR="009171A3" w:rsidRPr="00D67CF6" w:rsidRDefault="005C4FBC" w:rsidP="0089192F">
    <w:pPr>
      <w:pStyle w:val="HeaderHeading"/>
      <w:pageBreakBefore w:val="0"/>
      <w:pBdr>
        <w:bottom w:val="single" w:sz="4" w:space="4" w:color="auto"/>
      </w:pBdr>
      <w:rPr>
        <w:rFonts w:ascii="Arial" w:hAnsi="Arial"/>
        <w:sz w:val="18"/>
        <w:szCs w:val="18"/>
      </w:rPr>
    </w:pPr>
    <w:r>
      <w:rPr>
        <w:rFonts w:ascii="Arial" w:hAnsi="Arial"/>
        <w:sz w:val="18"/>
        <w:szCs w:val="18"/>
      </w:rPr>
      <w:t xml:space="preserve">Planning, Industry and Environment </w:t>
    </w:r>
    <w:r w:rsidR="009171A3">
      <w:rPr>
        <w:rFonts w:ascii="Arial" w:hAnsi="Arial"/>
        <w:sz w:val="18"/>
        <w:szCs w:val="18"/>
      </w:rPr>
      <w:t>Cluster</w:t>
    </w:r>
  </w:p>
  <w:p w14:paraId="58CA0710" w14:textId="172395F4" w:rsidR="009171A3" w:rsidRPr="00E27C10" w:rsidRDefault="009171A3"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50E8" w14:textId="03A3AEDA" w:rsidR="009171A3" w:rsidRPr="00D67CF6" w:rsidRDefault="00700949" w:rsidP="003D4BA7">
    <w:pPr>
      <w:pStyle w:val="HeaderHeading"/>
      <w:pageBreakBefore w:val="0"/>
      <w:pBdr>
        <w:bottom w:val="single" w:sz="4" w:space="4" w:color="auto"/>
      </w:pBdr>
      <w:jc w:val="right"/>
      <w:rPr>
        <w:rFonts w:ascii="Arial" w:hAnsi="Arial"/>
        <w:sz w:val="18"/>
        <w:szCs w:val="18"/>
      </w:rPr>
    </w:pPr>
    <w:r>
      <w:rPr>
        <w:rFonts w:ascii="Arial" w:hAnsi="Arial"/>
        <w:sz w:val="18"/>
        <w:szCs w:val="18"/>
      </w:rPr>
      <w:t xml:space="preserve">Planning, Industry and Environment </w:t>
    </w:r>
    <w:r w:rsidR="009171A3">
      <w:rPr>
        <w:rFonts w:ascii="Arial" w:hAnsi="Arial"/>
        <w:sz w:val="18"/>
        <w:szCs w:val="18"/>
      </w:rPr>
      <w:t>Cluster</w:t>
    </w:r>
  </w:p>
  <w:p w14:paraId="16E9B1F1" w14:textId="77777777" w:rsidR="009171A3" w:rsidRDefault="009171A3"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4962" w14:textId="36BACDD8" w:rsidR="009171A3" w:rsidRDefault="009171A3" w:rsidP="00A62927">
    <w:pPr>
      <w:pStyle w:val="Header"/>
      <w:rPr>
        <w:noProof/>
      </w:rPr>
    </w:pPr>
  </w:p>
  <w:p w14:paraId="15E09E19" w14:textId="71D4F65B" w:rsidR="009171A3" w:rsidRPr="00A62927" w:rsidRDefault="009171A3"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0CB"/>
    <w:multiLevelType w:val="hybridMultilevel"/>
    <w:tmpl w:val="4EF8FCE6"/>
    <w:lvl w:ilvl="0" w:tplc="0C090001">
      <w:start w:val="1"/>
      <w:numFmt w:val="bullet"/>
      <w:lvlText w:val=""/>
      <w:lvlJc w:val="left"/>
      <w:pPr>
        <w:ind w:left="720" w:hanging="360"/>
      </w:pPr>
      <w:rPr>
        <w:rFonts w:ascii="Symbol" w:hAnsi="Symbol" w:hint="default"/>
      </w:rPr>
    </w:lvl>
    <w:lvl w:ilvl="1" w:tplc="5A70E5E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2" w15:restartNumberingAfterBreak="0">
    <w:nsid w:val="05EA1A4C"/>
    <w:multiLevelType w:val="hybridMultilevel"/>
    <w:tmpl w:val="BB7AEF1A"/>
    <w:lvl w:ilvl="0" w:tplc="5AD27D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F19DE"/>
    <w:multiLevelType w:val="hybridMultilevel"/>
    <w:tmpl w:val="6E3EC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560204"/>
    <w:multiLevelType w:val="hybridMultilevel"/>
    <w:tmpl w:val="5FE65EEE"/>
    <w:lvl w:ilvl="0" w:tplc="3D2A059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DB3169"/>
    <w:multiLevelType w:val="hybridMultilevel"/>
    <w:tmpl w:val="3454E858"/>
    <w:lvl w:ilvl="0" w:tplc="E9FADD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557FA8"/>
    <w:multiLevelType w:val="hybridMultilevel"/>
    <w:tmpl w:val="D954F140"/>
    <w:lvl w:ilvl="0" w:tplc="B34E2A2E">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FA0263"/>
    <w:multiLevelType w:val="hybridMultilevel"/>
    <w:tmpl w:val="A998BEB2"/>
    <w:lvl w:ilvl="0" w:tplc="695A154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07E25"/>
    <w:multiLevelType w:val="hybridMultilevel"/>
    <w:tmpl w:val="C61CBFEC"/>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A52870"/>
    <w:multiLevelType w:val="hybridMultilevel"/>
    <w:tmpl w:val="22741F8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9B51D8"/>
    <w:multiLevelType w:val="hybridMultilevel"/>
    <w:tmpl w:val="22441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3A0F0A"/>
    <w:multiLevelType w:val="hybridMultilevel"/>
    <w:tmpl w:val="4798F1F8"/>
    <w:lvl w:ilvl="0" w:tplc="0C090001">
      <w:start w:val="1"/>
      <w:numFmt w:val="bullet"/>
      <w:lvlText w:val=""/>
      <w:lvlJc w:val="left"/>
      <w:pPr>
        <w:tabs>
          <w:tab w:val="num" w:pos="360"/>
        </w:tabs>
        <w:ind w:left="360" w:hanging="360"/>
      </w:pPr>
      <w:rPr>
        <w:rFonts w:ascii="Symbol" w:hAnsi="Symbol" w:hint="default"/>
        <w:sz w:val="24"/>
      </w:rPr>
    </w:lvl>
    <w:lvl w:ilvl="1" w:tplc="0C090001"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14" w15:restartNumberingAfterBreak="0">
    <w:nsid w:val="1B1B03D0"/>
    <w:multiLevelType w:val="hybridMultilevel"/>
    <w:tmpl w:val="1D70AB68"/>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F635A"/>
    <w:multiLevelType w:val="hybridMultilevel"/>
    <w:tmpl w:val="43D0DDFC"/>
    <w:lvl w:ilvl="0" w:tplc="4BF8C7E6">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7570D4"/>
    <w:multiLevelType w:val="hybridMultilevel"/>
    <w:tmpl w:val="069621B2"/>
    <w:lvl w:ilvl="0" w:tplc="1932D51A">
      <w:start w:val="1"/>
      <w:numFmt w:val="lowerLetter"/>
      <w:lvlText w:val="(%1)"/>
      <w:lvlJc w:val="left"/>
      <w:pPr>
        <w:ind w:left="1080" w:hanging="36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D443470"/>
    <w:multiLevelType w:val="hybridMultilevel"/>
    <w:tmpl w:val="4CBE7FB6"/>
    <w:lvl w:ilvl="0" w:tplc="8A24E7E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45E3616"/>
    <w:multiLevelType w:val="hybridMultilevel"/>
    <w:tmpl w:val="9072E592"/>
    <w:lvl w:ilvl="0" w:tplc="AB00D27C">
      <w:start w:val="1"/>
      <w:numFmt w:val="lowerLetter"/>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A618EB"/>
    <w:multiLevelType w:val="hybridMultilevel"/>
    <w:tmpl w:val="B4B88B50"/>
    <w:lvl w:ilvl="0" w:tplc="9064CFF6">
      <w:start w:val="3"/>
      <w:numFmt w:val="decimal"/>
      <w:lvlText w:val="Chart 2.%1:"/>
      <w:lvlJc w:val="left"/>
      <w:pPr>
        <w:ind w:left="360" w:hanging="360"/>
      </w:pPr>
      <w:rPr>
        <w:rFonts w:ascii="Arial" w:hAnsi="Arial" w:hint="default"/>
        <w:b w:val="0"/>
        <w:i/>
        <w:caps w:val="0"/>
        <w:color w:val="57514D"/>
        <w:sz w:val="22"/>
        <w:u w:val="none"/>
      </w:rPr>
    </w:lvl>
    <w:lvl w:ilvl="1" w:tplc="0C090019">
      <w:start w:val="1"/>
      <w:numFmt w:val="lowerLetter"/>
      <w:lvlText w:val="%2."/>
      <w:lvlJc w:val="left"/>
      <w:pPr>
        <w:ind w:left="-3947" w:hanging="360"/>
      </w:pPr>
    </w:lvl>
    <w:lvl w:ilvl="2" w:tplc="0C09001B" w:tentative="1">
      <w:start w:val="1"/>
      <w:numFmt w:val="lowerRoman"/>
      <w:lvlText w:val="%3."/>
      <w:lvlJc w:val="right"/>
      <w:pPr>
        <w:ind w:left="-3227" w:hanging="180"/>
      </w:pPr>
    </w:lvl>
    <w:lvl w:ilvl="3" w:tplc="0C09000F" w:tentative="1">
      <w:start w:val="1"/>
      <w:numFmt w:val="decimal"/>
      <w:lvlText w:val="%4."/>
      <w:lvlJc w:val="left"/>
      <w:pPr>
        <w:ind w:left="-2507" w:hanging="360"/>
      </w:pPr>
    </w:lvl>
    <w:lvl w:ilvl="4" w:tplc="0C090019" w:tentative="1">
      <w:start w:val="1"/>
      <w:numFmt w:val="lowerLetter"/>
      <w:lvlText w:val="%5."/>
      <w:lvlJc w:val="left"/>
      <w:pPr>
        <w:ind w:left="-1787" w:hanging="360"/>
      </w:pPr>
    </w:lvl>
    <w:lvl w:ilvl="5" w:tplc="0C09001B" w:tentative="1">
      <w:start w:val="1"/>
      <w:numFmt w:val="lowerRoman"/>
      <w:lvlText w:val="%6."/>
      <w:lvlJc w:val="right"/>
      <w:pPr>
        <w:ind w:left="-1067" w:hanging="180"/>
      </w:pPr>
    </w:lvl>
    <w:lvl w:ilvl="6" w:tplc="0C09000F" w:tentative="1">
      <w:start w:val="1"/>
      <w:numFmt w:val="decimal"/>
      <w:lvlText w:val="%7."/>
      <w:lvlJc w:val="left"/>
      <w:pPr>
        <w:ind w:left="-347" w:hanging="360"/>
      </w:pPr>
    </w:lvl>
    <w:lvl w:ilvl="7" w:tplc="0C090019" w:tentative="1">
      <w:start w:val="1"/>
      <w:numFmt w:val="lowerLetter"/>
      <w:lvlText w:val="%8."/>
      <w:lvlJc w:val="left"/>
      <w:pPr>
        <w:ind w:left="373" w:hanging="360"/>
      </w:pPr>
    </w:lvl>
    <w:lvl w:ilvl="8" w:tplc="0C09001B" w:tentative="1">
      <w:start w:val="1"/>
      <w:numFmt w:val="lowerRoman"/>
      <w:lvlText w:val="%9."/>
      <w:lvlJc w:val="right"/>
      <w:pPr>
        <w:ind w:left="1093" w:hanging="180"/>
      </w:pPr>
    </w:lvl>
  </w:abstractNum>
  <w:abstractNum w:abstractNumId="22" w15:restartNumberingAfterBreak="0">
    <w:nsid w:val="39330602"/>
    <w:multiLevelType w:val="hybridMultilevel"/>
    <w:tmpl w:val="771831E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3944287C"/>
    <w:multiLevelType w:val="hybridMultilevel"/>
    <w:tmpl w:val="97F2B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4337DA"/>
    <w:multiLevelType w:val="hybridMultilevel"/>
    <w:tmpl w:val="CF9E6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DD23F4"/>
    <w:multiLevelType w:val="hybridMultilevel"/>
    <w:tmpl w:val="0584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28" w15:restartNumberingAfterBreak="0">
    <w:nsid w:val="3E9524EA"/>
    <w:multiLevelType w:val="hybridMultilevel"/>
    <w:tmpl w:val="9E5E0A0E"/>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B33A52"/>
    <w:multiLevelType w:val="hybridMultilevel"/>
    <w:tmpl w:val="3836D592"/>
    <w:lvl w:ilvl="0" w:tplc="0C090001">
      <w:start w:val="1"/>
      <w:numFmt w:val="bullet"/>
      <w:lvlText w:val=""/>
      <w:lvlJc w:val="left"/>
      <w:pPr>
        <w:tabs>
          <w:tab w:val="num" w:pos="360"/>
        </w:tabs>
        <w:ind w:left="360" w:hanging="360"/>
      </w:pPr>
      <w:rPr>
        <w:rFonts w:ascii="Symbol" w:hAnsi="Symbol" w:hint="default"/>
        <w:sz w:val="24"/>
      </w:rPr>
    </w:lvl>
    <w:lvl w:ilvl="1" w:tplc="0C090001"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30" w15:restartNumberingAfterBreak="0">
    <w:nsid w:val="44F2484F"/>
    <w:multiLevelType w:val="hybridMultilevel"/>
    <w:tmpl w:val="96943D4E"/>
    <w:lvl w:ilvl="0" w:tplc="74042B86">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653827"/>
    <w:multiLevelType w:val="hybridMultilevel"/>
    <w:tmpl w:val="3B94F6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FD7F59"/>
    <w:multiLevelType w:val="hybridMultilevel"/>
    <w:tmpl w:val="777094A6"/>
    <w:lvl w:ilvl="0" w:tplc="D938DBCA">
      <w:start w:val="1"/>
      <w:numFmt w:val="decimal"/>
      <w:pStyle w:val="Chart41"/>
      <w:lvlText w:val="Chart 4.%1:"/>
      <w:lvlJc w:val="left"/>
      <w:pPr>
        <w:ind w:left="72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25677CF"/>
    <w:multiLevelType w:val="hybridMultilevel"/>
    <w:tmpl w:val="3CFE3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75030"/>
    <w:multiLevelType w:val="hybridMultilevel"/>
    <w:tmpl w:val="19A8B6A8"/>
    <w:lvl w:ilvl="0" w:tplc="78C46AA8">
      <w:start w:val="1"/>
      <w:numFmt w:val="decimal"/>
      <w:pStyle w:val="Heading2"/>
      <w:lvlText w:val="4.%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6A572E"/>
    <w:multiLevelType w:val="hybridMultilevel"/>
    <w:tmpl w:val="CD4A1A18"/>
    <w:lvl w:ilvl="0" w:tplc="06AEA5D8">
      <w:start w:val="1"/>
      <w:numFmt w:val="decimal"/>
      <w:pStyle w:val="Chart5X"/>
      <w:lvlText w:val="Chart 4.%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B05A0E"/>
    <w:multiLevelType w:val="hybridMultilevel"/>
    <w:tmpl w:val="35101CFC"/>
    <w:lvl w:ilvl="0" w:tplc="5A70E5E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F97A9C"/>
    <w:multiLevelType w:val="hybridMultilevel"/>
    <w:tmpl w:val="9C04ED50"/>
    <w:lvl w:ilvl="0" w:tplc="B99C30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3"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696748"/>
    <w:multiLevelType w:val="hybridMultilevel"/>
    <w:tmpl w:val="7C1A5EEE"/>
    <w:lvl w:ilvl="0" w:tplc="460EFC3E">
      <w:start w:val="1"/>
      <w:numFmt w:val="decimal"/>
      <w:lvlText w:val="%1."/>
      <w:lvlJc w:val="left"/>
      <w:pPr>
        <w:ind w:left="720" w:hanging="360"/>
      </w:pPr>
      <w:rPr>
        <w:rFonts w:ascii="Arial" w:eastAsia="Arial" w:hAnsi="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F40505"/>
    <w:multiLevelType w:val="hybridMultilevel"/>
    <w:tmpl w:val="3C063050"/>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77750E1"/>
    <w:multiLevelType w:val="hybridMultilevel"/>
    <w:tmpl w:val="5442BCAE"/>
    <w:lvl w:ilvl="0" w:tplc="094C2DB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1"/>
  </w:num>
  <w:num w:numId="4">
    <w:abstractNumId w:val="27"/>
  </w:num>
  <w:num w:numId="5">
    <w:abstractNumId w:val="39"/>
  </w:num>
  <w:num w:numId="6">
    <w:abstractNumId w:val="8"/>
  </w:num>
  <w:num w:numId="7">
    <w:abstractNumId w:val="10"/>
  </w:num>
  <w:num w:numId="8">
    <w:abstractNumId w:val="35"/>
  </w:num>
  <w:num w:numId="9">
    <w:abstractNumId w:val="32"/>
  </w:num>
  <w:num w:numId="10">
    <w:abstractNumId w:val="44"/>
  </w:num>
  <w:num w:numId="11">
    <w:abstractNumId w:val="31"/>
  </w:num>
  <w:num w:numId="12">
    <w:abstractNumId w:val="47"/>
  </w:num>
  <w:num w:numId="13">
    <w:abstractNumId w:val="43"/>
  </w:num>
  <w:num w:numId="14">
    <w:abstractNumId w:val="24"/>
  </w:num>
  <w:num w:numId="15">
    <w:abstractNumId w:val="12"/>
  </w:num>
  <w:num w:numId="16">
    <w:abstractNumId w:val="16"/>
  </w:num>
  <w:num w:numId="17">
    <w:abstractNumId w:val="15"/>
  </w:num>
  <w:num w:numId="18">
    <w:abstractNumId w:val="38"/>
    <w:lvlOverride w:ilvl="0">
      <w:startOverride w:val="3"/>
    </w:lvlOverride>
  </w:num>
  <w:num w:numId="19">
    <w:abstractNumId w:val="21"/>
  </w:num>
  <w:num w:numId="20">
    <w:abstractNumId w:val="46"/>
  </w:num>
  <w:num w:numId="21">
    <w:abstractNumId w:val="9"/>
  </w:num>
  <w:num w:numId="22">
    <w:abstractNumId w:val="14"/>
  </w:num>
  <w:num w:numId="23">
    <w:abstractNumId w:val="33"/>
  </w:num>
  <w:num w:numId="24">
    <w:abstractNumId w:val="17"/>
  </w:num>
  <w:num w:numId="25">
    <w:abstractNumId w:val="26"/>
  </w:num>
  <w:num w:numId="26">
    <w:abstractNumId w:val="25"/>
  </w:num>
  <w:num w:numId="27">
    <w:abstractNumId w:val="11"/>
  </w:num>
  <w:num w:numId="28">
    <w:abstractNumId w:val="23"/>
  </w:num>
  <w:num w:numId="29">
    <w:abstractNumId w:val="28"/>
  </w:num>
  <w:num w:numId="30">
    <w:abstractNumId w:val="7"/>
  </w:num>
  <w:num w:numId="31">
    <w:abstractNumId w:val="42"/>
  </w:num>
  <w:num w:numId="32">
    <w:abstractNumId w:val="5"/>
  </w:num>
  <w:num w:numId="33">
    <w:abstractNumId w:val="20"/>
  </w:num>
  <w:num w:numId="34">
    <w:abstractNumId w:val="4"/>
  </w:num>
  <w:num w:numId="35">
    <w:abstractNumId w:val="45"/>
  </w:num>
  <w:num w:numId="36">
    <w:abstractNumId w:val="41"/>
  </w:num>
  <w:num w:numId="37">
    <w:abstractNumId w:val="40"/>
  </w:num>
  <w:num w:numId="38">
    <w:abstractNumId w:val="22"/>
  </w:num>
  <w:num w:numId="39">
    <w:abstractNumId w:val="3"/>
  </w:num>
  <w:num w:numId="40">
    <w:abstractNumId w:val="2"/>
  </w:num>
  <w:num w:numId="41">
    <w:abstractNumId w:val="0"/>
  </w:num>
  <w:num w:numId="42">
    <w:abstractNumId w:val="36"/>
  </w:num>
  <w:num w:numId="43">
    <w:abstractNumId w:val="6"/>
  </w:num>
  <w:num w:numId="44">
    <w:abstractNumId w:val="34"/>
  </w:num>
  <w:num w:numId="45">
    <w:abstractNumId w:val="34"/>
    <w:lvlOverride w:ilvl="0">
      <w:startOverride w:val="1"/>
    </w:lvlOverride>
  </w:num>
  <w:num w:numId="46">
    <w:abstractNumId w:val="19"/>
  </w:num>
  <w:num w:numId="47">
    <w:abstractNumId w:val="18"/>
  </w:num>
  <w:num w:numId="48">
    <w:abstractNumId w:val="29"/>
  </w:num>
  <w:num w:numId="49">
    <w:abstractNumId w:val="13"/>
  </w:num>
  <w:num w:numId="50">
    <w:abstractNumId w:val="37"/>
  </w:num>
  <w:num w:numId="51">
    <w:abstractNumId w:val="30"/>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6D"/>
    <w:rsid w:val="00000CC4"/>
    <w:rsid w:val="000012A3"/>
    <w:rsid w:val="0000153D"/>
    <w:rsid w:val="00001B5A"/>
    <w:rsid w:val="00001D87"/>
    <w:rsid w:val="00001ED0"/>
    <w:rsid w:val="00002139"/>
    <w:rsid w:val="00002365"/>
    <w:rsid w:val="000023E2"/>
    <w:rsid w:val="00002988"/>
    <w:rsid w:val="00002B51"/>
    <w:rsid w:val="00002D9E"/>
    <w:rsid w:val="0000408E"/>
    <w:rsid w:val="0000427A"/>
    <w:rsid w:val="00004BD4"/>
    <w:rsid w:val="00004C89"/>
    <w:rsid w:val="00004FE0"/>
    <w:rsid w:val="000051BC"/>
    <w:rsid w:val="000053F9"/>
    <w:rsid w:val="0000557E"/>
    <w:rsid w:val="000055A4"/>
    <w:rsid w:val="0000563D"/>
    <w:rsid w:val="0000594D"/>
    <w:rsid w:val="000059F2"/>
    <w:rsid w:val="00005C91"/>
    <w:rsid w:val="00005E88"/>
    <w:rsid w:val="00006107"/>
    <w:rsid w:val="000062D8"/>
    <w:rsid w:val="000069F7"/>
    <w:rsid w:val="00006A0E"/>
    <w:rsid w:val="00006B98"/>
    <w:rsid w:val="00006BD9"/>
    <w:rsid w:val="000071DC"/>
    <w:rsid w:val="0000797C"/>
    <w:rsid w:val="00010048"/>
    <w:rsid w:val="000103C4"/>
    <w:rsid w:val="00010926"/>
    <w:rsid w:val="00010B2D"/>
    <w:rsid w:val="00010C86"/>
    <w:rsid w:val="00010F5D"/>
    <w:rsid w:val="00011030"/>
    <w:rsid w:val="000113AD"/>
    <w:rsid w:val="00011C2E"/>
    <w:rsid w:val="00011CAE"/>
    <w:rsid w:val="00011DFD"/>
    <w:rsid w:val="00012B44"/>
    <w:rsid w:val="00012BB1"/>
    <w:rsid w:val="00013228"/>
    <w:rsid w:val="000133AA"/>
    <w:rsid w:val="0001360B"/>
    <w:rsid w:val="00013613"/>
    <w:rsid w:val="00014B0B"/>
    <w:rsid w:val="000150E7"/>
    <w:rsid w:val="00015EA8"/>
    <w:rsid w:val="0001612E"/>
    <w:rsid w:val="000164DC"/>
    <w:rsid w:val="00017528"/>
    <w:rsid w:val="00017B54"/>
    <w:rsid w:val="00017CA6"/>
    <w:rsid w:val="00020181"/>
    <w:rsid w:val="000203A6"/>
    <w:rsid w:val="000204FE"/>
    <w:rsid w:val="00020567"/>
    <w:rsid w:val="00020640"/>
    <w:rsid w:val="000219D9"/>
    <w:rsid w:val="00021A94"/>
    <w:rsid w:val="00021B57"/>
    <w:rsid w:val="00021E35"/>
    <w:rsid w:val="00022027"/>
    <w:rsid w:val="00022433"/>
    <w:rsid w:val="00022724"/>
    <w:rsid w:val="000228E6"/>
    <w:rsid w:val="00022AB7"/>
    <w:rsid w:val="000230DC"/>
    <w:rsid w:val="000233C3"/>
    <w:rsid w:val="00023861"/>
    <w:rsid w:val="00023A22"/>
    <w:rsid w:val="00023D4F"/>
    <w:rsid w:val="00023E93"/>
    <w:rsid w:val="000242FB"/>
    <w:rsid w:val="0002450D"/>
    <w:rsid w:val="00024535"/>
    <w:rsid w:val="000247F1"/>
    <w:rsid w:val="0002597F"/>
    <w:rsid w:val="00025CCE"/>
    <w:rsid w:val="00026EA6"/>
    <w:rsid w:val="000275D7"/>
    <w:rsid w:val="000275F2"/>
    <w:rsid w:val="00027D94"/>
    <w:rsid w:val="000300E6"/>
    <w:rsid w:val="000301C5"/>
    <w:rsid w:val="00030221"/>
    <w:rsid w:val="0003042F"/>
    <w:rsid w:val="00030A12"/>
    <w:rsid w:val="00030D3A"/>
    <w:rsid w:val="000315F6"/>
    <w:rsid w:val="00031B7C"/>
    <w:rsid w:val="00031DB0"/>
    <w:rsid w:val="00032E2B"/>
    <w:rsid w:val="0003413F"/>
    <w:rsid w:val="0003448A"/>
    <w:rsid w:val="000344F7"/>
    <w:rsid w:val="00034EC7"/>
    <w:rsid w:val="00035235"/>
    <w:rsid w:val="0003598D"/>
    <w:rsid w:val="00035B2C"/>
    <w:rsid w:val="00035D0A"/>
    <w:rsid w:val="00035FF5"/>
    <w:rsid w:val="00037153"/>
    <w:rsid w:val="00037163"/>
    <w:rsid w:val="00037A05"/>
    <w:rsid w:val="00041374"/>
    <w:rsid w:val="00042055"/>
    <w:rsid w:val="000424F7"/>
    <w:rsid w:val="00042507"/>
    <w:rsid w:val="0004262B"/>
    <w:rsid w:val="00042BD7"/>
    <w:rsid w:val="000434CD"/>
    <w:rsid w:val="000435A7"/>
    <w:rsid w:val="00043A88"/>
    <w:rsid w:val="00044076"/>
    <w:rsid w:val="000448F2"/>
    <w:rsid w:val="00045061"/>
    <w:rsid w:val="00045719"/>
    <w:rsid w:val="000458E5"/>
    <w:rsid w:val="00046271"/>
    <w:rsid w:val="00046A93"/>
    <w:rsid w:val="00046C09"/>
    <w:rsid w:val="00047CBC"/>
    <w:rsid w:val="00047D16"/>
    <w:rsid w:val="00047DF5"/>
    <w:rsid w:val="00050511"/>
    <w:rsid w:val="000508CB"/>
    <w:rsid w:val="00050931"/>
    <w:rsid w:val="00050C23"/>
    <w:rsid w:val="00051133"/>
    <w:rsid w:val="000511FB"/>
    <w:rsid w:val="0005187C"/>
    <w:rsid w:val="00052403"/>
    <w:rsid w:val="0005266A"/>
    <w:rsid w:val="000536FD"/>
    <w:rsid w:val="00053C23"/>
    <w:rsid w:val="000540D7"/>
    <w:rsid w:val="0005444A"/>
    <w:rsid w:val="00054529"/>
    <w:rsid w:val="0005464D"/>
    <w:rsid w:val="000549F3"/>
    <w:rsid w:val="00054C6A"/>
    <w:rsid w:val="00054D83"/>
    <w:rsid w:val="00055237"/>
    <w:rsid w:val="00055FB6"/>
    <w:rsid w:val="0005622F"/>
    <w:rsid w:val="00056ACB"/>
    <w:rsid w:val="00056CBE"/>
    <w:rsid w:val="000579D6"/>
    <w:rsid w:val="00057B99"/>
    <w:rsid w:val="00057BE1"/>
    <w:rsid w:val="00060225"/>
    <w:rsid w:val="000604F4"/>
    <w:rsid w:val="00060BF4"/>
    <w:rsid w:val="00060EEB"/>
    <w:rsid w:val="00061019"/>
    <w:rsid w:val="00061DE9"/>
    <w:rsid w:val="0006244B"/>
    <w:rsid w:val="0006267A"/>
    <w:rsid w:val="0006293A"/>
    <w:rsid w:val="00062B54"/>
    <w:rsid w:val="00062CCB"/>
    <w:rsid w:val="00062DA6"/>
    <w:rsid w:val="00062E32"/>
    <w:rsid w:val="00062E8A"/>
    <w:rsid w:val="00063A24"/>
    <w:rsid w:val="00063D75"/>
    <w:rsid w:val="00063D93"/>
    <w:rsid w:val="0006478A"/>
    <w:rsid w:val="00064D8D"/>
    <w:rsid w:val="0006566A"/>
    <w:rsid w:val="00065BF7"/>
    <w:rsid w:val="00065C91"/>
    <w:rsid w:val="00065F08"/>
    <w:rsid w:val="00066ACA"/>
    <w:rsid w:val="00066DF5"/>
    <w:rsid w:val="00066E0B"/>
    <w:rsid w:val="000670F4"/>
    <w:rsid w:val="000678FF"/>
    <w:rsid w:val="000700E8"/>
    <w:rsid w:val="00070515"/>
    <w:rsid w:val="0007056C"/>
    <w:rsid w:val="00071106"/>
    <w:rsid w:val="000712A8"/>
    <w:rsid w:val="00071468"/>
    <w:rsid w:val="000717AB"/>
    <w:rsid w:val="000717FD"/>
    <w:rsid w:val="0007198E"/>
    <w:rsid w:val="000719D5"/>
    <w:rsid w:val="0007227D"/>
    <w:rsid w:val="000728E2"/>
    <w:rsid w:val="00072E0C"/>
    <w:rsid w:val="00072E61"/>
    <w:rsid w:val="00073F5D"/>
    <w:rsid w:val="00074264"/>
    <w:rsid w:val="00074F5B"/>
    <w:rsid w:val="0007521D"/>
    <w:rsid w:val="00075324"/>
    <w:rsid w:val="000754C4"/>
    <w:rsid w:val="00075B89"/>
    <w:rsid w:val="00075D2D"/>
    <w:rsid w:val="00075D94"/>
    <w:rsid w:val="00076483"/>
    <w:rsid w:val="000766BD"/>
    <w:rsid w:val="0007684A"/>
    <w:rsid w:val="000768C4"/>
    <w:rsid w:val="00076C61"/>
    <w:rsid w:val="00077BF7"/>
    <w:rsid w:val="00077FC2"/>
    <w:rsid w:val="000804CB"/>
    <w:rsid w:val="00080650"/>
    <w:rsid w:val="00080747"/>
    <w:rsid w:val="00080E92"/>
    <w:rsid w:val="000810D7"/>
    <w:rsid w:val="00081617"/>
    <w:rsid w:val="0008164D"/>
    <w:rsid w:val="00081A6C"/>
    <w:rsid w:val="000823D2"/>
    <w:rsid w:val="00082BCE"/>
    <w:rsid w:val="00082F3E"/>
    <w:rsid w:val="000836AF"/>
    <w:rsid w:val="00083807"/>
    <w:rsid w:val="00083EB7"/>
    <w:rsid w:val="000841A9"/>
    <w:rsid w:val="000841C3"/>
    <w:rsid w:val="000844A8"/>
    <w:rsid w:val="000844F3"/>
    <w:rsid w:val="0008460F"/>
    <w:rsid w:val="000846F6"/>
    <w:rsid w:val="00084BB3"/>
    <w:rsid w:val="00084BE5"/>
    <w:rsid w:val="00084BF4"/>
    <w:rsid w:val="00084F97"/>
    <w:rsid w:val="00085139"/>
    <w:rsid w:val="000856C3"/>
    <w:rsid w:val="0008585A"/>
    <w:rsid w:val="00085C4D"/>
    <w:rsid w:val="00085DC0"/>
    <w:rsid w:val="00085DE5"/>
    <w:rsid w:val="00085F0A"/>
    <w:rsid w:val="0008610D"/>
    <w:rsid w:val="0008681F"/>
    <w:rsid w:val="000868B4"/>
    <w:rsid w:val="00086F35"/>
    <w:rsid w:val="00086F9C"/>
    <w:rsid w:val="0008706B"/>
    <w:rsid w:val="000872C5"/>
    <w:rsid w:val="00087B24"/>
    <w:rsid w:val="00090223"/>
    <w:rsid w:val="000902B2"/>
    <w:rsid w:val="00090A0E"/>
    <w:rsid w:val="00090B6B"/>
    <w:rsid w:val="00090B97"/>
    <w:rsid w:val="00090FAE"/>
    <w:rsid w:val="0009106A"/>
    <w:rsid w:val="000910E0"/>
    <w:rsid w:val="0009129E"/>
    <w:rsid w:val="00091A1E"/>
    <w:rsid w:val="00091E69"/>
    <w:rsid w:val="000927B8"/>
    <w:rsid w:val="00092A89"/>
    <w:rsid w:val="00093FA3"/>
    <w:rsid w:val="000942C8"/>
    <w:rsid w:val="000944C8"/>
    <w:rsid w:val="00094E99"/>
    <w:rsid w:val="00094F44"/>
    <w:rsid w:val="0009533D"/>
    <w:rsid w:val="0009586B"/>
    <w:rsid w:val="00095895"/>
    <w:rsid w:val="000958E7"/>
    <w:rsid w:val="00095EB2"/>
    <w:rsid w:val="0009609D"/>
    <w:rsid w:val="000961BC"/>
    <w:rsid w:val="000965E5"/>
    <w:rsid w:val="00096747"/>
    <w:rsid w:val="000967AD"/>
    <w:rsid w:val="000971D0"/>
    <w:rsid w:val="000972B9"/>
    <w:rsid w:val="00097374"/>
    <w:rsid w:val="00097AD6"/>
    <w:rsid w:val="00097B2F"/>
    <w:rsid w:val="00097BB5"/>
    <w:rsid w:val="000A019F"/>
    <w:rsid w:val="000A02C7"/>
    <w:rsid w:val="000A0943"/>
    <w:rsid w:val="000A0984"/>
    <w:rsid w:val="000A0B27"/>
    <w:rsid w:val="000A0CF6"/>
    <w:rsid w:val="000A0FB2"/>
    <w:rsid w:val="000A191C"/>
    <w:rsid w:val="000A1B83"/>
    <w:rsid w:val="000A1D53"/>
    <w:rsid w:val="000A2A9A"/>
    <w:rsid w:val="000A2F22"/>
    <w:rsid w:val="000A35A1"/>
    <w:rsid w:val="000A447E"/>
    <w:rsid w:val="000A449F"/>
    <w:rsid w:val="000A4799"/>
    <w:rsid w:val="000A4DEA"/>
    <w:rsid w:val="000A5178"/>
    <w:rsid w:val="000A53AE"/>
    <w:rsid w:val="000A56FB"/>
    <w:rsid w:val="000A59C1"/>
    <w:rsid w:val="000A5DF6"/>
    <w:rsid w:val="000A6D82"/>
    <w:rsid w:val="000A6E33"/>
    <w:rsid w:val="000A7B06"/>
    <w:rsid w:val="000A7C28"/>
    <w:rsid w:val="000B00B7"/>
    <w:rsid w:val="000B0292"/>
    <w:rsid w:val="000B0683"/>
    <w:rsid w:val="000B0762"/>
    <w:rsid w:val="000B2082"/>
    <w:rsid w:val="000B2632"/>
    <w:rsid w:val="000B296A"/>
    <w:rsid w:val="000B3CE6"/>
    <w:rsid w:val="000B3F70"/>
    <w:rsid w:val="000B3FC9"/>
    <w:rsid w:val="000B45C2"/>
    <w:rsid w:val="000B4B0F"/>
    <w:rsid w:val="000B4DA5"/>
    <w:rsid w:val="000B4F67"/>
    <w:rsid w:val="000B50E9"/>
    <w:rsid w:val="000B50FC"/>
    <w:rsid w:val="000B53EB"/>
    <w:rsid w:val="000B54D1"/>
    <w:rsid w:val="000B6504"/>
    <w:rsid w:val="000B67B8"/>
    <w:rsid w:val="000B681C"/>
    <w:rsid w:val="000B698D"/>
    <w:rsid w:val="000B6B45"/>
    <w:rsid w:val="000B6CC5"/>
    <w:rsid w:val="000B6EEF"/>
    <w:rsid w:val="000B761F"/>
    <w:rsid w:val="000B7E97"/>
    <w:rsid w:val="000C0405"/>
    <w:rsid w:val="000C0832"/>
    <w:rsid w:val="000C0935"/>
    <w:rsid w:val="000C0F42"/>
    <w:rsid w:val="000C10F9"/>
    <w:rsid w:val="000C17F9"/>
    <w:rsid w:val="000C2035"/>
    <w:rsid w:val="000C240A"/>
    <w:rsid w:val="000C243C"/>
    <w:rsid w:val="000C248F"/>
    <w:rsid w:val="000C2B91"/>
    <w:rsid w:val="000C2BAC"/>
    <w:rsid w:val="000C2E22"/>
    <w:rsid w:val="000C2E7F"/>
    <w:rsid w:val="000C2F4D"/>
    <w:rsid w:val="000C3E98"/>
    <w:rsid w:val="000C404A"/>
    <w:rsid w:val="000C485C"/>
    <w:rsid w:val="000C4B22"/>
    <w:rsid w:val="000C558A"/>
    <w:rsid w:val="000C57C1"/>
    <w:rsid w:val="000C57F1"/>
    <w:rsid w:val="000C5952"/>
    <w:rsid w:val="000C5D97"/>
    <w:rsid w:val="000C6801"/>
    <w:rsid w:val="000C6DDB"/>
    <w:rsid w:val="000C6F21"/>
    <w:rsid w:val="000C70C2"/>
    <w:rsid w:val="000C7107"/>
    <w:rsid w:val="000C763B"/>
    <w:rsid w:val="000C7B06"/>
    <w:rsid w:val="000C7D5E"/>
    <w:rsid w:val="000C7F0B"/>
    <w:rsid w:val="000D011C"/>
    <w:rsid w:val="000D0187"/>
    <w:rsid w:val="000D06DE"/>
    <w:rsid w:val="000D1595"/>
    <w:rsid w:val="000D1E93"/>
    <w:rsid w:val="000D1EF9"/>
    <w:rsid w:val="000D210D"/>
    <w:rsid w:val="000D2202"/>
    <w:rsid w:val="000D258F"/>
    <w:rsid w:val="000D2A24"/>
    <w:rsid w:val="000D308F"/>
    <w:rsid w:val="000D33F3"/>
    <w:rsid w:val="000D4281"/>
    <w:rsid w:val="000D4C0D"/>
    <w:rsid w:val="000D4D97"/>
    <w:rsid w:val="000D593A"/>
    <w:rsid w:val="000D5C19"/>
    <w:rsid w:val="000D635B"/>
    <w:rsid w:val="000D6817"/>
    <w:rsid w:val="000D6F87"/>
    <w:rsid w:val="000D75BF"/>
    <w:rsid w:val="000D7EEE"/>
    <w:rsid w:val="000E058B"/>
    <w:rsid w:val="000E0CE7"/>
    <w:rsid w:val="000E1511"/>
    <w:rsid w:val="000E25FA"/>
    <w:rsid w:val="000E2633"/>
    <w:rsid w:val="000E2640"/>
    <w:rsid w:val="000E2A42"/>
    <w:rsid w:val="000E2AB4"/>
    <w:rsid w:val="000E37BB"/>
    <w:rsid w:val="000E3A08"/>
    <w:rsid w:val="000E3FC9"/>
    <w:rsid w:val="000E4901"/>
    <w:rsid w:val="000E4E94"/>
    <w:rsid w:val="000E518B"/>
    <w:rsid w:val="000E5F81"/>
    <w:rsid w:val="000E67BC"/>
    <w:rsid w:val="000E6A08"/>
    <w:rsid w:val="000E6EE8"/>
    <w:rsid w:val="000E76C0"/>
    <w:rsid w:val="000E77FD"/>
    <w:rsid w:val="000E7A40"/>
    <w:rsid w:val="000E7FD4"/>
    <w:rsid w:val="000F01DC"/>
    <w:rsid w:val="000F0237"/>
    <w:rsid w:val="000F026C"/>
    <w:rsid w:val="000F038F"/>
    <w:rsid w:val="000F0402"/>
    <w:rsid w:val="000F08C9"/>
    <w:rsid w:val="000F0A08"/>
    <w:rsid w:val="000F12CA"/>
    <w:rsid w:val="000F1305"/>
    <w:rsid w:val="000F1813"/>
    <w:rsid w:val="000F1BFE"/>
    <w:rsid w:val="000F2619"/>
    <w:rsid w:val="000F269F"/>
    <w:rsid w:val="000F2EA0"/>
    <w:rsid w:val="000F31AE"/>
    <w:rsid w:val="000F3489"/>
    <w:rsid w:val="000F39EA"/>
    <w:rsid w:val="000F3C82"/>
    <w:rsid w:val="000F3CED"/>
    <w:rsid w:val="000F429D"/>
    <w:rsid w:val="000F4519"/>
    <w:rsid w:val="000F4C84"/>
    <w:rsid w:val="000F593B"/>
    <w:rsid w:val="000F5981"/>
    <w:rsid w:val="000F604C"/>
    <w:rsid w:val="000F6B6A"/>
    <w:rsid w:val="000F742E"/>
    <w:rsid w:val="000F772B"/>
    <w:rsid w:val="0010003F"/>
    <w:rsid w:val="00100311"/>
    <w:rsid w:val="00100756"/>
    <w:rsid w:val="00100808"/>
    <w:rsid w:val="00100BB9"/>
    <w:rsid w:val="00100E58"/>
    <w:rsid w:val="0010109B"/>
    <w:rsid w:val="00101193"/>
    <w:rsid w:val="00101DC4"/>
    <w:rsid w:val="00102750"/>
    <w:rsid w:val="0010290E"/>
    <w:rsid w:val="0010317D"/>
    <w:rsid w:val="00103486"/>
    <w:rsid w:val="00103635"/>
    <w:rsid w:val="00103821"/>
    <w:rsid w:val="00103E54"/>
    <w:rsid w:val="001046CE"/>
    <w:rsid w:val="001048E4"/>
    <w:rsid w:val="00104F10"/>
    <w:rsid w:val="001053DC"/>
    <w:rsid w:val="001056E3"/>
    <w:rsid w:val="00105725"/>
    <w:rsid w:val="00105C6C"/>
    <w:rsid w:val="00105DC5"/>
    <w:rsid w:val="00105F59"/>
    <w:rsid w:val="00106461"/>
    <w:rsid w:val="00106A6F"/>
    <w:rsid w:val="00107285"/>
    <w:rsid w:val="00107AC4"/>
    <w:rsid w:val="00107CFB"/>
    <w:rsid w:val="001102EF"/>
    <w:rsid w:val="001105A5"/>
    <w:rsid w:val="00110AF0"/>
    <w:rsid w:val="00110D90"/>
    <w:rsid w:val="00111328"/>
    <w:rsid w:val="00111430"/>
    <w:rsid w:val="001116FF"/>
    <w:rsid w:val="00111B61"/>
    <w:rsid w:val="00112096"/>
    <w:rsid w:val="0011239F"/>
    <w:rsid w:val="001128C8"/>
    <w:rsid w:val="00112E2B"/>
    <w:rsid w:val="001136B5"/>
    <w:rsid w:val="00113DB8"/>
    <w:rsid w:val="001140F1"/>
    <w:rsid w:val="00114A81"/>
    <w:rsid w:val="001169D2"/>
    <w:rsid w:val="00117307"/>
    <w:rsid w:val="00117A8D"/>
    <w:rsid w:val="00120C1E"/>
    <w:rsid w:val="00120F46"/>
    <w:rsid w:val="001214B6"/>
    <w:rsid w:val="001215F7"/>
    <w:rsid w:val="00121660"/>
    <w:rsid w:val="001221C8"/>
    <w:rsid w:val="001221EB"/>
    <w:rsid w:val="00122506"/>
    <w:rsid w:val="00122872"/>
    <w:rsid w:val="00122A00"/>
    <w:rsid w:val="00122C3C"/>
    <w:rsid w:val="00122C6A"/>
    <w:rsid w:val="00122E18"/>
    <w:rsid w:val="00122ECC"/>
    <w:rsid w:val="001235CC"/>
    <w:rsid w:val="001243F8"/>
    <w:rsid w:val="00124E5A"/>
    <w:rsid w:val="0012527E"/>
    <w:rsid w:val="0012537E"/>
    <w:rsid w:val="00125D3D"/>
    <w:rsid w:val="00125E8A"/>
    <w:rsid w:val="00125F61"/>
    <w:rsid w:val="00126353"/>
    <w:rsid w:val="00126E52"/>
    <w:rsid w:val="00126FF1"/>
    <w:rsid w:val="001271DD"/>
    <w:rsid w:val="00130384"/>
    <w:rsid w:val="00130624"/>
    <w:rsid w:val="00130C66"/>
    <w:rsid w:val="001311B8"/>
    <w:rsid w:val="0013128B"/>
    <w:rsid w:val="0013163F"/>
    <w:rsid w:val="00131F3E"/>
    <w:rsid w:val="00132005"/>
    <w:rsid w:val="001326D1"/>
    <w:rsid w:val="00132908"/>
    <w:rsid w:val="00132949"/>
    <w:rsid w:val="00132E3E"/>
    <w:rsid w:val="001333B3"/>
    <w:rsid w:val="00133859"/>
    <w:rsid w:val="00133A3E"/>
    <w:rsid w:val="001342B5"/>
    <w:rsid w:val="00134CCC"/>
    <w:rsid w:val="00135C10"/>
    <w:rsid w:val="0013613E"/>
    <w:rsid w:val="00136486"/>
    <w:rsid w:val="00136629"/>
    <w:rsid w:val="0013678D"/>
    <w:rsid w:val="00136C5D"/>
    <w:rsid w:val="00136DCF"/>
    <w:rsid w:val="00137145"/>
    <w:rsid w:val="0013739A"/>
    <w:rsid w:val="00137483"/>
    <w:rsid w:val="0013769F"/>
    <w:rsid w:val="00137F06"/>
    <w:rsid w:val="00140695"/>
    <w:rsid w:val="0014073E"/>
    <w:rsid w:val="00140766"/>
    <w:rsid w:val="00140A7E"/>
    <w:rsid w:val="001414DD"/>
    <w:rsid w:val="00141A7F"/>
    <w:rsid w:val="001424D2"/>
    <w:rsid w:val="00142B67"/>
    <w:rsid w:val="001433CA"/>
    <w:rsid w:val="001433FE"/>
    <w:rsid w:val="001440AB"/>
    <w:rsid w:val="001449F0"/>
    <w:rsid w:val="00144C65"/>
    <w:rsid w:val="00144D5B"/>
    <w:rsid w:val="00146A7C"/>
    <w:rsid w:val="00146C1E"/>
    <w:rsid w:val="00147B34"/>
    <w:rsid w:val="00147E16"/>
    <w:rsid w:val="00150724"/>
    <w:rsid w:val="00150A1D"/>
    <w:rsid w:val="00150B1C"/>
    <w:rsid w:val="001510BF"/>
    <w:rsid w:val="00151102"/>
    <w:rsid w:val="001519BF"/>
    <w:rsid w:val="00152205"/>
    <w:rsid w:val="00152C05"/>
    <w:rsid w:val="00153F5F"/>
    <w:rsid w:val="00153FE8"/>
    <w:rsid w:val="0015414B"/>
    <w:rsid w:val="0015439C"/>
    <w:rsid w:val="00155453"/>
    <w:rsid w:val="001555B9"/>
    <w:rsid w:val="001559C7"/>
    <w:rsid w:val="00155F94"/>
    <w:rsid w:val="00156821"/>
    <w:rsid w:val="001569B0"/>
    <w:rsid w:val="00156F62"/>
    <w:rsid w:val="00157603"/>
    <w:rsid w:val="0015781A"/>
    <w:rsid w:val="001578B5"/>
    <w:rsid w:val="00157FA1"/>
    <w:rsid w:val="0016023D"/>
    <w:rsid w:val="00161B38"/>
    <w:rsid w:val="00161C47"/>
    <w:rsid w:val="00162419"/>
    <w:rsid w:val="00162791"/>
    <w:rsid w:val="00162A4C"/>
    <w:rsid w:val="00162ACE"/>
    <w:rsid w:val="00162C96"/>
    <w:rsid w:val="00162CED"/>
    <w:rsid w:val="00163106"/>
    <w:rsid w:val="00163196"/>
    <w:rsid w:val="001632C9"/>
    <w:rsid w:val="001632D2"/>
    <w:rsid w:val="001636DC"/>
    <w:rsid w:val="00164B3C"/>
    <w:rsid w:val="00164C34"/>
    <w:rsid w:val="00164E8A"/>
    <w:rsid w:val="00165289"/>
    <w:rsid w:val="001657A9"/>
    <w:rsid w:val="0016608D"/>
    <w:rsid w:val="0016650A"/>
    <w:rsid w:val="0016657F"/>
    <w:rsid w:val="00166B62"/>
    <w:rsid w:val="00166C68"/>
    <w:rsid w:val="00166E95"/>
    <w:rsid w:val="0016705D"/>
    <w:rsid w:val="0016718B"/>
    <w:rsid w:val="001675BC"/>
    <w:rsid w:val="001679DA"/>
    <w:rsid w:val="00167ACA"/>
    <w:rsid w:val="00167FDD"/>
    <w:rsid w:val="001707B0"/>
    <w:rsid w:val="00170CFA"/>
    <w:rsid w:val="00170F66"/>
    <w:rsid w:val="0017162B"/>
    <w:rsid w:val="0017294F"/>
    <w:rsid w:val="001729A2"/>
    <w:rsid w:val="00172AC2"/>
    <w:rsid w:val="00172BB3"/>
    <w:rsid w:val="00173162"/>
    <w:rsid w:val="0017385C"/>
    <w:rsid w:val="00173A3E"/>
    <w:rsid w:val="00173BEF"/>
    <w:rsid w:val="00174401"/>
    <w:rsid w:val="00174652"/>
    <w:rsid w:val="0017499D"/>
    <w:rsid w:val="00174E05"/>
    <w:rsid w:val="001751B9"/>
    <w:rsid w:val="001757C7"/>
    <w:rsid w:val="00175B02"/>
    <w:rsid w:val="0017600C"/>
    <w:rsid w:val="00176340"/>
    <w:rsid w:val="001765B9"/>
    <w:rsid w:val="001767CB"/>
    <w:rsid w:val="00176D6F"/>
    <w:rsid w:val="00177312"/>
    <w:rsid w:val="00177524"/>
    <w:rsid w:val="00177689"/>
    <w:rsid w:val="00177A4F"/>
    <w:rsid w:val="00177FBA"/>
    <w:rsid w:val="0018054C"/>
    <w:rsid w:val="00180DA3"/>
    <w:rsid w:val="00180E9A"/>
    <w:rsid w:val="00180F14"/>
    <w:rsid w:val="001813A7"/>
    <w:rsid w:val="00181522"/>
    <w:rsid w:val="00181EE8"/>
    <w:rsid w:val="0018244E"/>
    <w:rsid w:val="001826A6"/>
    <w:rsid w:val="00182A2C"/>
    <w:rsid w:val="0018389A"/>
    <w:rsid w:val="00183DF0"/>
    <w:rsid w:val="001845F7"/>
    <w:rsid w:val="0018495B"/>
    <w:rsid w:val="00184DE1"/>
    <w:rsid w:val="00184F95"/>
    <w:rsid w:val="0018550D"/>
    <w:rsid w:val="001859AC"/>
    <w:rsid w:val="00185C7F"/>
    <w:rsid w:val="00187BEA"/>
    <w:rsid w:val="00187E36"/>
    <w:rsid w:val="00187ED1"/>
    <w:rsid w:val="00187F18"/>
    <w:rsid w:val="0019005D"/>
    <w:rsid w:val="00190BC2"/>
    <w:rsid w:val="00190DEC"/>
    <w:rsid w:val="00190E0D"/>
    <w:rsid w:val="0019108F"/>
    <w:rsid w:val="001911A2"/>
    <w:rsid w:val="001922C9"/>
    <w:rsid w:val="001931B8"/>
    <w:rsid w:val="00193728"/>
    <w:rsid w:val="001937A1"/>
    <w:rsid w:val="001945D1"/>
    <w:rsid w:val="001958EC"/>
    <w:rsid w:val="001972AD"/>
    <w:rsid w:val="0019777D"/>
    <w:rsid w:val="001977BF"/>
    <w:rsid w:val="00197D17"/>
    <w:rsid w:val="001A0484"/>
    <w:rsid w:val="001A05EE"/>
    <w:rsid w:val="001A0D01"/>
    <w:rsid w:val="001A1300"/>
    <w:rsid w:val="001A2351"/>
    <w:rsid w:val="001A2D9C"/>
    <w:rsid w:val="001A3517"/>
    <w:rsid w:val="001A3875"/>
    <w:rsid w:val="001A3BFE"/>
    <w:rsid w:val="001A3ECD"/>
    <w:rsid w:val="001A3F28"/>
    <w:rsid w:val="001A4636"/>
    <w:rsid w:val="001A51D4"/>
    <w:rsid w:val="001A532F"/>
    <w:rsid w:val="001A5519"/>
    <w:rsid w:val="001A55CD"/>
    <w:rsid w:val="001A5DAE"/>
    <w:rsid w:val="001A6C68"/>
    <w:rsid w:val="001A6DE4"/>
    <w:rsid w:val="001A6F4D"/>
    <w:rsid w:val="001A74E6"/>
    <w:rsid w:val="001A79E8"/>
    <w:rsid w:val="001B00CE"/>
    <w:rsid w:val="001B0473"/>
    <w:rsid w:val="001B0644"/>
    <w:rsid w:val="001B0E62"/>
    <w:rsid w:val="001B0F76"/>
    <w:rsid w:val="001B1198"/>
    <w:rsid w:val="001B1380"/>
    <w:rsid w:val="001B20FC"/>
    <w:rsid w:val="001B25CB"/>
    <w:rsid w:val="001B266C"/>
    <w:rsid w:val="001B2DC2"/>
    <w:rsid w:val="001B3402"/>
    <w:rsid w:val="001B3A4D"/>
    <w:rsid w:val="001B3EB7"/>
    <w:rsid w:val="001B48B5"/>
    <w:rsid w:val="001B49FE"/>
    <w:rsid w:val="001B4CDD"/>
    <w:rsid w:val="001B5928"/>
    <w:rsid w:val="001B5AC8"/>
    <w:rsid w:val="001B6352"/>
    <w:rsid w:val="001B6665"/>
    <w:rsid w:val="001B6671"/>
    <w:rsid w:val="001B6745"/>
    <w:rsid w:val="001B6CED"/>
    <w:rsid w:val="001B78C2"/>
    <w:rsid w:val="001C02F8"/>
    <w:rsid w:val="001C050C"/>
    <w:rsid w:val="001C0B83"/>
    <w:rsid w:val="001C121A"/>
    <w:rsid w:val="001C17F9"/>
    <w:rsid w:val="001C1A33"/>
    <w:rsid w:val="001C1EE0"/>
    <w:rsid w:val="001C3920"/>
    <w:rsid w:val="001C452D"/>
    <w:rsid w:val="001C4810"/>
    <w:rsid w:val="001C4C25"/>
    <w:rsid w:val="001C4DCA"/>
    <w:rsid w:val="001C5121"/>
    <w:rsid w:val="001C5558"/>
    <w:rsid w:val="001C6032"/>
    <w:rsid w:val="001C652C"/>
    <w:rsid w:val="001C6AB7"/>
    <w:rsid w:val="001C6E0D"/>
    <w:rsid w:val="001C721E"/>
    <w:rsid w:val="001C7548"/>
    <w:rsid w:val="001C7A99"/>
    <w:rsid w:val="001D00B5"/>
    <w:rsid w:val="001D00FB"/>
    <w:rsid w:val="001D02EF"/>
    <w:rsid w:val="001D05D5"/>
    <w:rsid w:val="001D0D69"/>
    <w:rsid w:val="001D13CD"/>
    <w:rsid w:val="001D1CAE"/>
    <w:rsid w:val="001D2371"/>
    <w:rsid w:val="001D2A82"/>
    <w:rsid w:val="001D2C0B"/>
    <w:rsid w:val="001D2D78"/>
    <w:rsid w:val="001D3468"/>
    <w:rsid w:val="001D3851"/>
    <w:rsid w:val="001D3D6A"/>
    <w:rsid w:val="001D4BC9"/>
    <w:rsid w:val="001D4C72"/>
    <w:rsid w:val="001D4DF8"/>
    <w:rsid w:val="001D50DC"/>
    <w:rsid w:val="001D5B3D"/>
    <w:rsid w:val="001D5C0D"/>
    <w:rsid w:val="001D602D"/>
    <w:rsid w:val="001D6129"/>
    <w:rsid w:val="001D630A"/>
    <w:rsid w:val="001D6926"/>
    <w:rsid w:val="001D6B1C"/>
    <w:rsid w:val="001D6B76"/>
    <w:rsid w:val="001D7203"/>
    <w:rsid w:val="001D74CB"/>
    <w:rsid w:val="001D76E9"/>
    <w:rsid w:val="001D77EF"/>
    <w:rsid w:val="001D7A5C"/>
    <w:rsid w:val="001D7F2A"/>
    <w:rsid w:val="001E044B"/>
    <w:rsid w:val="001E047B"/>
    <w:rsid w:val="001E0D54"/>
    <w:rsid w:val="001E1A95"/>
    <w:rsid w:val="001E1D95"/>
    <w:rsid w:val="001E2086"/>
    <w:rsid w:val="001E2655"/>
    <w:rsid w:val="001E2714"/>
    <w:rsid w:val="001E2F47"/>
    <w:rsid w:val="001E3428"/>
    <w:rsid w:val="001E35CA"/>
    <w:rsid w:val="001E365F"/>
    <w:rsid w:val="001E4C59"/>
    <w:rsid w:val="001E4D0F"/>
    <w:rsid w:val="001E4E86"/>
    <w:rsid w:val="001E52BD"/>
    <w:rsid w:val="001E555A"/>
    <w:rsid w:val="001E56ED"/>
    <w:rsid w:val="001E6C06"/>
    <w:rsid w:val="001E6C1C"/>
    <w:rsid w:val="001E781F"/>
    <w:rsid w:val="001F0734"/>
    <w:rsid w:val="001F0849"/>
    <w:rsid w:val="001F1432"/>
    <w:rsid w:val="001F2090"/>
    <w:rsid w:val="001F2D8A"/>
    <w:rsid w:val="001F3007"/>
    <w:rsid w:val="001F347E"/>
    <w:rsid w:val="001F36C9"/>
    <w:rsid w:val="001F36EF"/>
    <w:rsid w:val="001F3ACE"/>
    <w:rsid w:val="001F4138"/>
    <w:rsid w:val="001F573C"/>
    <w:rsid w:val="001F58FC"/>
    <w:rsid w:val="001F5AE5"/>
    <w:rsid w:val="001F5AFD"/>
    <w:rsid w:val="001F62AA"/>
    <w:rsid w:val="001F632C"/>
    <w:rsid w:val="001F63F6"/>
    <w:rsid w:val="001F773D"/>
    <w:rsid w:val="001F7C01"/>
    <w:rsid w:val="001F7C37"/>
    <w:rsid w:val="002006CC"/>
    <w:rsid w:val="00200B26"/>
    <w:rsid w:val="002014C3"/>
    <w:rsid w:val="002015FF"/>
    <w:rsid w:val="00201825"/>
    <w:rsid w:val="00201890"/>
    <w:rsid w:val="00201E6C"/>
    <w:rsid w:val="00201FCE"/>
    <w:rsid w:val="002021D6"/>
    <w:rsid w:val="00202A38"/>
    <w:rsid w:val="00202BC2"/>
    <w:rsid w:val="00202CFA"/>
    <w:rsid w:val="002031CA"/>
    <w:rsid w:val="00203456"/>
    <w:rsid w:val="002034CC"/>
    <w:rsid w:val="00203A4E"/>
    <w:rsid w:val="00203B96"/>
    <w:rsid w:val="002040CA"/>
    <w:rsid w:val="00204766"/>
    <w:rsid w:val="00204857"/>
    <w:rsid w:val="00204917"/>
    <w:rsid w:val="00204AB4"/>
    <w:rsid w:val="00204D24"/>
    <w:rsid w:val="00204F6E"/>
    <w:rsid w:val="0020529F"/>
    <w:rsid w:val="00205484"/>
    <w:rsid w:val="00205609"/>
    <w:rsid w:val="00205B03"/>
    <w:rsid w:val="00205C71"/>
    <w:rsid w:val="00205E2D"/>
    <w:rsid w:val="00205F37"/>
    <w:rsid w:val="00206156"/>
    <w:rsid w:val="002064C2"/>
    <w:rsid w:val="00206722"/>
    <w:rsid w:val="00206EDC"/>
    <w:rsid w:val="00206F10"/>
    <w:rsid w:val="00206F4B"/>
    <w:rsid w:val="0020700B"/>
    <w:rsid w:val="00207042"/>
    <w:rsid w:val="0020737A"/>
    <w:rsid w:val="0020751B"/>
    <w:rsid w:val="00207BE8"/>
    <w:rsid w:val="002104DA"/>
    <w:rsid w:val="00211278"/>
    <w:rsid w:val="002112E1"/>
    <w:rsid w:val="00211793"/>
    <w:rsid w:val="00211E2C"/>
    <w:rsid w:val="002122BE"/>
    <w:rsid w:val="002124D3"/>
    <w:rsid w:val="00212539"/>
    <w:rsid w:val="00212B39"/>
    <w:rsid w:val="002133CB"/>
    <w:rsid w:val="002137A8"/>
    <w:rsid w:val="0021398E"/>
    <w:rsid w:val="00213DB9"/>
    <w:rsid w:val="00213E75"/>
    <w:rsid w:val="00213F49"/>
    <w:rsid w:val="00214496"/>
    <w:rsid w:val="002148A0"/>
    <w:rsid w:val="00214980"/>
    <w:rsid w:val="0021579B"/>
    <w:rsid w:val="002158B5"/>
    <w:rsid w:val="0021599A"/>
    <w:rsid w:val="00215C72"/>
    <w:rsid w:val="00215CEC"/>
    <w:rsid w:val="00215EE0"/>
    <w:rsid w:val="0021621C"/>
    <w:rsid w:val="002167DB"/>
    <w:rsid w:val="00216B78"/>
    <w:rsid w:val="0021748D"/>
    <w:rsid w:val="002177B7"/>
    <w:rsid w:val="00217C08"/>
    <w:rsid w:val="0022072E"/>
    <w:rsid w:val="0022076C"/>
    <w:rsid w:val="0022136E"/>
    <w:rsid w:val="002213CE"/>
    <w:rsid w:val="00221FCF"/>
    <w:rsid w:val="00222696"/>
    <w:rsid w:val="002226B3"/>
    <w:rsid w:val="002226E4"/>
    <w:rsid w:val="00222983"/>
    <w:rsid w:val="00222D11"/>
    <w:rsid w:val="00222F20"/>
    <w:rsid w:val="0022345A"/>
    <w:rsid w:val="00223937"/>
    <w:rsid w:val="00224786"/>
    <w:rsid w:val="002247BA"/>
    <w:rsid w:val="00224A11"/>
    <w:rsid w:val="00224B65"/>
    <w:rsid w:val="002251B3"/>
    <w:rsid w:val="00225358"/>
    <w:rsid w:val="00225760"/>
    <w:rsid w:val="00225924"/>
    <w:rsid w:val="00225A82"/>
    <w:rsid w:val="00225B36"/>
    <w:rsid w:val="002264FA"/>
    <w:rsid w:val="0022672B"/>
    <w:rsid w:val="00226B1F"/>
    <w:rsid w:val="00227AA3"/>
    <w:rsid w:val="00227EA0"/>
    <w:rsid w:val="00230302"/>
    <w:rsid w:val="0023031D"/>
    <w:rsid w:val="00230766"/>
    <w:rsid w:val="00230B64"/>
    <w:rsid w:val="00230D55"/>
    <w:rsid w:val="00231882"/>
    <w:rsid w:val="00231D0C"/>
    <w:rsid w:val="00231D4B"/>
    <w:rsid w:val="00232018"/>
    <w:rsid w:val="00232565"/>
    <w:rsid w:val="00232C6C"/>
    <w:rsid w:val="00232FF4"/>
    <w:rsid w:val="0023360D"/>
    <w:rsid w:val="0023392F"/>
    <w:rsid w:val="00233BE1"/>
    <w:rsid w:val="0023406E"/>
    <w:rsid w:val="00234E83"/>
    <w:rsid w:val="00235213"/>
    <w:rsid w:val="00235676"/>
    <w:rsid w:val="002361A2"/>
    <w:rsid w:val="002367E7"/>
    <w:rsid w:val="00236A86"/>
    <w:rsid w:val="002375E0"/>
    <w:rsid w:val="00237795"/>
    <w:rsid w:val="00237CF7"/>
    <w:rsid w:val="00237D99"/>
    <w:rsid w:val="002406E3"/>
    <w:rsid w:val="00240807"/>
    <w:rsid w:val="0024083F"/>
    <w:rsid w:val="00241DE4"/>
    <w:rsid w:val="0024206E"/>
    <w:rsid w:val="00242136"/>
    <w:rsid w:val="002424C0"/>
    <w:rsid w:val="00242DD7"/>
    <w:rsid w:val="002431DB"/>
    <w:rsid w:val="00243325"/>
    <w:rsid w:val="002433C5"/>
    <w:rsid w:val="00243E49"/>
    <w:rsid w:val="00243F38"/>
    <w:rsid w:val="0024484E"/>
    <w:rsid w:val="00244B42"/>
    <w:rsid w:val="00245801"/>
    <w:rsid w:val="00245CD7"/>
    <w:rsid w:val="002461A1"/>
    <w:rsid w:val="00246393"/>
    <w:rsid w:val="002470FA"/>
    <w:rsid w:val="00247724"/>
    <w:rsid w:val="00247F78"/>
    <w:rsid w:val="002505AC"/>
    <w:rsid w:val="002509DF"/>
    <w:rsid w:val="002515DB"/>
    <w:rsid w:val="00251A46"/>
    <w:rsid w:val="00251CF6"/>
    <w:rsid w:val="002522F3"/>
    <w:rsid w:val="002526F1"/>
    <w:rsid w:val="00253367"/>
    <w:rsid w:val="00253615"/>
    <w:rsid w:val="0025376F"/>
    <w:rsid w:val="00253FCB"/>
    <w:rsid w:val="00254178"/>
    <w:rsid w:val="00254469"/>
    <w:rsid w:val="0025447E"/>
    <w:rsid w:val="002544CE"/>
    <w:rsid w:val="002544FB"/>
    <w:rsid w:val="00254D29"/>
    <w:rsid w:val="00254F73"/>
    <w:rsid w:val="0025503E"/>
    <w:rsid w:val="0025564E"/>
    <w:rsid w:val="0025574D"/>
    <w:rsid w:val="00255D9A"/>
    <w:rsid w:val="00256196"/>
    <w:rsid w:val="00256770"/>
    <w:rsid w:val="00256DD1"/>
    <w:rsid w:val="00257F47"/>
    <w:rsid w:val="00260B51"/>
    <w:rsid w:val="002611A8"/>
    <w:rsid w:val="00261AC0"/>
    <w:rsid w:val="0026207B"/>
    <w:rsid w:val="002625D6"/>
    <w:rsid w:val="00262F7B"/>
    <w:rsid w:val="0026307F"/>
    <w:rsid w:val="00263374"/>
    <w:rsid w:val="00263CFD"/>
    <w:rsid w:val="00264014"/>
    <w:rsid w:val="0026405C"/>
    <w:rsid w:val="0026423D"/>
    <w:rsid w:val="00264FC1"/>
    <w:rsid w:val="002652DB"/>
    <w:rsid w:val="0026559A"/>
    <w:rsid w:val="00265824"/>
    <w:rsid w:val="00265F02"/>
    <w:rsid w:val="002666A2"/>
    <w:rsid w:val="002674CB"/>
    <w:rsid w:val="0027039F"/>
    <w:rsid w:val="00270795"/>
    <w:rsid w:val="00270BFB"/>
    <w:rsid w:val="00270C63"/>
    <w:rsid w:val="00270EA7"/>
    <w:rsid w:val="00270EE5"/>
    <w:rsid w:val="00271529"/>
    <w:rsid w:val="00271AE9"/>
    <w:rsid w:val="00271F95"/>
    <w:rsid w:val="002723B0"/>
    <w:rsid w:val="00272B4A"/>
    <w:rsid w:val="002730BC"/>
    <w:rsid w:val="0027349F"/>
    <w:rsid w:val="0027361D"/>
    <w:rsid w:val="00273E23"/>
    <w:rsid w:val="002740C2"/>
    <w:rsid w:val="002743BB"/>
    <w:rsid w:val="00274A71"/>
    <w:rsid w:val="00275263"/>
    <w:rsid w:val="00275651"/>
    <w:rsid w:val="002758CA"/>
    <w:rsid w:val="002760CD"/>
    <w:rsid w:val="00276AE5"/>
    <w:rsid w:val="00276BA0"/>
    <w:rsid w:val="00276EA4"/>
    <w:rsid w:val="00276EE1"/>
    <w:rsid w:val="002772E2"/>
    <w:rsid w:val="00277AAB"/>
    <w:rsid w:val="0028099F"/>
    <w:rsid w:val="00280E96"/>
    <w:rsid w:val="0028166A"/>
    <w:rsid w:val="00281CE6"/>
    <w:rsid w:val="00281F11"/>
    <w:rsid w:val="00281F46"/>
    <w:rsid w:val="00282978"/>
    <w:rsid w:val="00282B14"/>
    <w:rsid w:val="00282C2C"/>
    <w:rsid w:val="002836F7"/>
    <w:rsid w:val="002839F5"/>
    <w:rsid w:val="00283C03"/>
    <w:rsid w:val="00284B58"/>
    <w:rsid w:val="00284C0D"/>
    <w:rsid w:val="0028536D"/>
    <w:rsid w:val="00285AFA"/>
    <w:rsid w:val="00285B9B"/>
    <w:rsid w:val="002860B6"/>
    <w:rsid w:val="00286226"/>
    <w:rsid w:val="002862BE"/>
    <w:rsid w:val="00286506"/>
    <w:rsid w:val="0028682C"/>
    <w:rsid w:val="00286B13"/>
    <w:rsid w:val="00286D60"/>
    <w:rsid w:val="0028729A"/>
    <w:rsid w:val="0028793A"/>
    <w:rsid w:val="00287A5E"/>
    <w:rsid w:val="00287E25"/>
    <w:rsid w:val="00287E3D"/>
    <w:rsid w:val="002908AF"/>
    <w:rsid w:val="00291A43"/>
    <w:rsid w:val="00291C71"/>
    <w:rsid w:val="00291C9C"/>
    <w:rsid w:val="00292106"/>
    <w:rsid w:val="00292764"/>
    <w:rsid w:val="002929EA"/>
    <w:rsid w:val="00292F9F"/>
    <w:rsid w:val="002933BB"/>
    <w:rsid w:val="00293E5E"/>
    <w:rsid w:val="002940C5"/>
    <w:rsid w:val="00294354"/>
    <w:rsid w:val="002949EC"/>
    <w:rsid w:val="00294A8B"/>
    <w:rsid w:val="00294B1F"/>
    <w:rsid w:val="0029511E"/>
    <w:rsid w:val="0029540F"/>
    <w:rsid w:val="002956F1"/>
    <w:rsid w:val="002958B9"/>
    <w:rsid w:val="002961F8"/>
    <w:rsid w:val="0029751C"/>
    <w:rsid w:val="002979BF"/>
    <w:rsid w:val="002A04C5"/>
    <w:rsid w:val="002A0899"/>
    <w:rsid w:val="002A08F5"/>
    <w:rsid w:val="002A0909"/>
    <w:rsid w:val="002A0A4E"/>
    <w:rsid w:val="002A0D81"/>
    <w:rsid w:val="002A0FEF"/>
    <w:rsid w:val="002A108B"/>
    <w:rsid w:val="002A1169"/>
    <w:rsid w:val="002A1798"/>
    <w:rsid w:val="002A17D9"/>
    <w:rsid w:val="002A1C48"/>
    <w:rsid w:val="002A2079"/>
    <w:rsid w:val="002A2448"/>
    <w:rsid w:val="002A24A8"/>
    <w:rsid w:val="002A2FF6"/>
    <w:rsid w:val="002A3DA9"/>
    <w:rsid w:val="002A41BF"/>
    <w:rsid w:val="002A4212"/>
    <w:rsid w:val="002A4C98"/>
    <w:rsid w:val="002A557E"/>
    <w:rsid w:val="002A5638"/>
    <w:rsid w:val="002A57C0"/>
    <w:rsid w:val="002A5B2F"/>
    <w:rsid w:val="002A6CD1"/>
    <w:rsid w:val="002A7171"/>
    <w:rsid w:val="002A7256"/>
    <w:rsid w:val="002A750F"/>
    <w:rsid w:val="002A77C0"/>
    <w:rsid w:val="002A7ADC"/>
    <w:rsid w:val="002A7AFC"/>
    <w:rsid w:val="002A7F01"/>
    <w:rsid w:val="002B076C"/>
    <w:rsid w:val="002B07C0"/>
    <w:rsid w:val="002B0918"/>
    <w:rsid w:val="002B0ABF"/>
    <w:rsid w:val="002B152E"/>
    <w:rsid w:val="002B2373"/>
    <w:rsid w:val="002B2416"/>
    <w:rsid w:val="002B249E"/>
    <w:rsid w:val="002B285D"/>
    <w:rsid w:val="002B2E4D"/>
    <w:rsid w:val="002B302C"/>
    <w:rsid w:val="002B3093"/>
    <w:rsid w:val="002B398C"/>
    <w:rsid w:val="002B3F89"/>
    <w:rsid w:val="002B41B3"/>
    <w:rsid w:val="002B4268"/>
    <w:rsid w:val="002B44E7"/>
    <w:rsid w:val="002B496C"/>
    <w:rsid w:val="002B4BE3"/>
    <w:rsid w:val="002B50FF"/>
    <w:rsid w:val="002B5559"/>
    <w:rsid w:val="002B6398"/>
    <w:rsid w:val="002B6A79"/>
    <w:rsid w:val="002B6DF3"/>
    <w:rsid w:val="002B771E"/>
    <w:rsid w:val="002B7E04"/>
    <w:rsid w:val="002C002A"/>
    <w:rsid w:val="002C035F"/>
    <w:rsid w:val="002C1009"/>
    <w:rsid w:val="002C1A39"/>
    <w:rsid w:val="002C1AC0"/>
    <w:rsid w:val="002C1B22"/>
    <w:rsid w:val="002C1D76"/>
    <w:rsid w:val="002C1F7F"/>
    <w:rsid w:val="002C213A"/>
    <w:rsid w:val="002C215C"/>
    <w:rsid w:val="002C22A7"/>
    <w:rsid w:val="002C26BF"/>
    <w:rsid w:val="002C2712"/>
    <w:rsid w:val="002C29A9"/>
    <w:rsid w:val="002C2E98"/>
    <w:rsid w:val="002C2E9A"/>
    <w:rsid w:val="002C34D4"/>
    <w:rsid w:val="002C40B7"/>
    <w:rsid w:val="002C4248"/>
    <w:rsid w:val="002C43C6"/>
    <w:rsid w:val="002C4E66"/>
    <w:rsid w:val="002C4FF3"/>
    <w:rsid w:val="002C5490"/>
    <w:rsid w:val="002C54F2"/>
    <w:rsid w:val="002C5E27"/>
    <w:rsid w:val="002C60C2"/>
    <w:rsid w:val="002C735D"/>
    <w:rsid w:val="002C78FF"/>
    <w:rsid w:val="002D084B"/>
    <w:rsid w:val="002D098B"/>
    <w:rsid w:val="002D0B3C"/>
    <w:rsid w:val="002D0CC0"/>
    <w:rsid w:val="002D0ED0"/>
    <w:rsid w:val="002D12BE"/>
    <w:rsid w:val="002D13C4"/>
    <w:rsid w:val="002D1DFA"/>
    <w:rsid w:val="002D2122"/>
    <w:rsid w:val="002D24F6"/>
    <w:rsid w:val="002D2AD6"/>
    <w:rsid w:val="002D2D5E"/>
    <w:rsid w:val="002D2D72"/>
    <w:rsid w:val="002D2FDE"/>
    <w:rsid w:val="002D3129"/>
    <w:rsid w:val="002D32F3"/>
    <w:rsid w:val="002D44DC"/>
    <w:rsid w:val="002D462B"/>
    <w:rsid w:val="002D4B70"/>
    <w:rsid w:val="002D4C68"/>
    <w:rsid w:val="002D4C7F"/>
    <w:rsid w:val="002D4CA9"/>
    <w:rsid w:val="002D5733"/>
    <w:rsid w:val="002D5B53"/>
    <w:rsid w:val="002D5C10"/>
    <w:rsid w:val="002D646F"/>
    <w:rsid w:val="002D6598"/>
    <w:rsid w:val="002D678E"/>
    <w:rsid w:val="002D6D0F"/>
    <w:rsid w:val="002D6ECE"/>
    <w:rsid w:val="002D7145"/>
    <w:rsid w:val="002D7855"/>
    <w:rsid w:val="002D7A7B"/>
    <w:rsid w:val="002E0429"/>
    <w:rsid w:val="002E07E9"/>
    <w:rsid w:val="002E0D73"/>
    <w:rsid w:val="002E0D7D"/>
    <w:rsid w:val="002E10FF"/>
    <w:rsid w:val="002E190E"/>
    <w:rsid w:val="002E1A56"/>
    <w:rsid w:val="002E2313"/>
    <w:rsid w:val="002E2B94"/>
    <w:rsid w:val="002E2CA3"/>
    <w:rsid w:val="002E31F2"/>
    <w:rsid w:val="002E364D"/>
    <w:rsid w:val="002E36B7"/>
    <w:rsid w:val="002E38D6"/>
    <w:rsid w:val="002E3C60"/>
    <w:rsid w:val="002E4F9C"/>
    <w:rsid w:val="002E50B5"/>
    <w:rsid w:val="002E6051"/>
    <w:rsid w:val="002E67D2"/>
    <w:rsid w:val="002E68A6"/>
    <w:rsid w:val="002E69A5"/>
    <w:rsid w:val="002E7780"/>
    <w:rsid w:val="002E7B2B"/>
    <w:rsid w:val="002F01A0"/>
    <w:rsid w:val="002F0822"/>
    <w:rsid w:val="002F12F1"/>
    <w:rsid w:val="002F134F"/>
    <w:rsid w:val="002F2630"/>
    <w:rsid w:val="002F28AB"/>
    <w:rsid w:val="002F2A6F"/>
    <w:rsid w:val="002F2C4E"/>
    <w:rsid w:val="002F31C0"/>
    <w:rsid w:val="002F351C"/>
    <w:rsid w:val="002F3E0D"/>
    <w:rsid w:val="002F3FB7"/>
    <w:rsid w:val="002F4687"/>
    <w:rsid w:val="002F48A2"/>
    <w:rsid w:val="002F4D22"/>
    <w:rsid w:val="002F51B4"/>
    <w:rsid w:val="002F56C9"/>
    <w:rsid w:val="002F575C"/>
    <w:rsid w:val="002F57D9"/>
    <w:rsid w:val="002F5837"/>
    <w:rsid w:val="002F5E11"/>
    <w:rsid w:val="002F6A58"/>
    <w:rsid w:val="002F6F14"/>
    <w:rsid w:val="002F7502"/>
    <w:rsid w:val="002F778E"/>
    <w:rsid w:val="002F785B"/>
    <w:rsid w:val="002F7863"/>
    <w:rsid w:val="002F7BCD"/>
    <w:rsid w:val="00300057"/>
    <w:rsid w:val="00300080"/>
    <w:rsid w:val="00300174"/>
    <w:rsid w:val="0030041C"/>
    <w:rsid w:val="0030107E"/>
    <w:rsid w:val="00301197"/>
    <w:rsid w:val="003019B1"/>
    <w:rsid w:val="003019CD"/>
    <w:rsid w:val="00301EA4"/>
    <w:rsid w:val="0030303E"/>
    <w:rsid w:val="00303565"/>
    <w:rsid w:val="00303C55"/>
    <w:rsid w:val="003041BD"/>
    <w:rsid w:val="00304663"/>
    <w:rsid w:val="00304E47"/>
    <w:rsid w:val="00305C35"/>
    <w:rsid w:val="00305D4D"/>
    <w:rsid w:val="00305FC9"/>
    <w:rsid w:val="003060E9"/>
    <w:rsid w:val="003064D5"/>
    <w:rsid w:val="00306560"/>
    <w:rsid w:val="00306737"/>
    <w:rsid w:val="00306ED0"/>
    <w:rsid w:val="0030749F"/>
    <w:rsid w:val="0030751D"/>
    <w:rsid w:val="003076B1"/>
    <w:rsid w:val="00307F63"/>
    <w:rsid w:val="0031025F"/>
    <w:rsid w:val="00310486"/>
    <w:rsid w:val="0031102E"/>
    <w:rsid w:val="0031154F"/>
    <w:rsid w:val="0031162A"/>
    <w:rsid w:val="00311849"/>
    <w:rsid w:val="003119F6"/>
    <w:rsid w:val="00311F71"/>
    <w:rsid w:val="00312A80"/>
    <w:rsid w:val="00313B5E"/>
    <w:rsid w:val="0031405C"/>
    <w:rsid w:val="00314897"/>
    <w:rsid w:val="00314F23"/>
    <w:rsid w:val="0031518B"/>
    <w:rsid w:val="00315442"/>
    <w:rsid w:val="00315807"/>
    <w:rsid w:val="00315819"/>
    <w:rsid w:val="00317593"/>
    <w:rsid w:val="003213F3"/>
    <w:rsid w:val="003216B2"/>
    <w:rsid w:val="00321B17"/>
    <w:rsid w:val="003223AF"/>
    <w:rsid w:val="00322A26"/>
    <w:rsid w:val="00322DD0"/>
    <w:rsid w:val="003235BD"/>
    <w:rsid w:val="0032386A"/>
    <w:rsid w:val="003239E5"/>
    <w:rsid w:val="003247DE"/>
    <w:rsid w:val="00324A37"/>
    <w:rsid w:val="00324A6A"/>
    <w:rsid w:val="00324AFC"/>
    <w:rsid w:val="00325240"/>
    <w:rsid w:val="003253AE"/>
    <w:rsid w:val="00325969"/>
    <w:rsid w:val="00325ADC"/>
    <w:rsid w:val="00325FFB"/>
    <w:rsid w:val="0032650A"/>
    <w:rsid w:val="003269D1"/>
    <w:rsid w:val="00326AED"/>
    <w:rsid w:val="0032750F"/>
    <w:rsid w:val="00327840"/>
    <w:rsid w:val="00327A7D"/>
    <w:rsid w:val="00327ADB"/>
    <w:rsid w:val="0033021A"/>
    <w:rsid w:val="00330526"/>
    <w:rsid w:val="0033128C"/>
    <w:rsid w:val="00331ACA"/>
    <w:rsid w:val="00332151"/>
    <w:rsid w:val="00332221"/>
    <w:rsid w:val="00332441"/>
    <w:rsid w:val="00332B5B"/>
    <w:rsid w:val="00332D2B"/>
    <w:rsid w:val="0033389D"/>
    <w:rsid w:val="00333CFF"/>
    <w:rsid w:val="00333E9E"/>
    <w:rsid w:val="0033456B"/>
    <w:rsid w:val="003347AC"/>
    <w:rsid w:val="003352B6"/>
    <w:rsid w:val="0033583B"/>
    <w:rsid w:val="00335A80"/>
    <w:rsid w:val="00336680"/>
    <w:rsid w:val="003379BE"/>
    <w:rsid w:val="00337C43"/>
    <w:rsid w:val="00337F8F"/>
    <w:rsid w:val="0034040C"/>
    <w:rsid w:val="003404EB"/>
    <w:rsid w:val="00340588"/>
    <w:rsid w:val="003413E9"/>
    <w:rsid w:val="00342140"/>
    <w:rsid w:val="00342C31"/>
    <w:rsid w:val="0034320E"/>
    <w:rsid w:val="00343297"/>
    <w:rsid w:val="0034335C"/>
    <w:rsid w:val="003435A6"/>
    <w:rsid w:val="00343856"/>
    <w:rsid w:val="003439CC"/>
    <w:rsid w:val="00343AA5"/>
    <w:rsid w:val="00343B14"/>
    <w:rsid w:val="00343EAD"/>
    <w:rsid w:val="0034461F"/>
    <w:rsid w:val="00345235"/>
    <w:rsid w:val="00345389"/>
    <w:rsid w:val="00345D5E"/>
    <w:rsid w:val="003467D5"/>
    <w:rsid w:val="00347048"/>
    <w:rsid w:val="003470F5"/>
    <w:rsid w:val="0034730C"/>
    <w:rsid w:val="003479CF"/>
    <w:rsid w:val="00347B35"/>
    <w:rsid w:val="00347DF6"/>
    <w:rsid w:val="00350313"/>
    <w:rsid w:val="00350A24"/>
    <w:rsid w:val="00350F66"/>
    <w:rsid w:val="003517D3"/>
    <w:rsid w:val="00351A33"/>
    <w:rsid w:val="00351BB4"/>
    <w:rsid w:val="00351E79"/>
    <w:rsid w:val="00351FFE"/>
    <w:rsid w:val="00352124"/>
    <w:rsid w:val="003529AB"/>
    <w:rsid w:val="00352B3E"/>
    <w:rsid w:val="00352C99"/>
    <w:rsid w:val="00352CF0"/>
    <w:rsid w:val="00352DF0"/>
    <w:rsid w:val="00352FFC"/>
    <w:rsid w:val="003535BE"/>
    <w:rsid w:val="00353606"/>
    <w:rsid w:val="003537A8"/>
    <w:rsid w:val="003537CE"/>
    <w:rsid w:val="003537F4"/>
    <w:rsid w:val="003538AD"/>
    <w:rsid w:val="003539B1"/>
    <w:rsid w:val="00353AC2"/>
    <w:rsid w:val="003542AD"/>
    <w:rsid w:val="003545DF"/>
    <w:rsid w:val="00354AE0"/>
    <w:rsid w:val="00355103"/>
    <w:rsid w:val="003554BE"/>
    <w:rsid w:val="0035576B"/>
    <w:rsid w:val="00355F33"/>
    <w:rsid w:val="00355F34"/>
    <w:rsid w:val="003569B3"/>
    <w:rsid w:val="00356E6E"/>
    <w:rsid w:val="00357CA9"/>
    <w:rsid w:val="003607F1"/>
    <w:rsid w:val="00361578"/>
    <w:rsid w:val="00361C55"/>
    <w:rsid w:val="003624A7"/>
    <w:rsid w:val="003625BD"/>
    <w:rsid w:val="00362E67"/>
    <w:rsid w:val="003634CC"/>
    <w:rsid w:val="00363AFD"/>
    <w:rsid w:val="00364D3F"/>
    <w:rsid w:val="00364D73"/>
    <w:rsid w:val="00365BB2"/>
    <w:rsid w:val="0036603E"/>
    <w:rsid w:val="003663B5"/>
    <w:rsid w:val="003668B8"/>
    <w:rsid w:val="00366CDC"/>
    <w:rsid w:val="00367718"/>
    <w:rsid w:val="003677D2"/>
    <w:rsid w:val="00367A82"/>
    <w:rsid w:val="00367EFD"/>
    <w:rsid w:val="00367F81"/>
    <w:rsid w:val="00370C39"/>
    <w:rsid w:val="00370F00"/>
    <w:rsid w:val="00370F0C"/>
    <w:rsid w:val="00370F32"/>
    <w:rsid w:val="00371106"/>
    <w:rsid w:val="0037145A"/>
    <w:rsid w:val="00371676"/>
    <w:rsid w:val="003717B6"/>
    <w:rsid w:val="003721DA"/>
    <w:rsid w:val="00372237"/>
    <w:rsid w:val="00372259"/>
    <w:rsid w:val="00373410"/>
    <w:rsid w:val="00373E8B"/>
    <w:rsid w:val="00373F4D"/>
    <w:rsid w:val="003745CB"/>
    <w:rsid w:val="0037505C"/>
    <w:rsid w:val="00375A0B"/>
    <w:rsid w:val="00375E42"/>
    <w:rsid w:val="0037641B"/>
    <w:rsid w:val="00376480"/>
    <w:rsid w:val="003768D8"/>
    <w:rsid w:val="00376D40"/>
    <w:rsid w:val="003771BD"/>
    <w:rsid w:val="0038039F"/>
    <w:rsid w:val="00380A33"/>
    <w:rsid w:val="00380A78"/>
    <w:rsid w:val="00380E6A"/>
    <w:rsid w:val="00380FB3"/>
    <w:rsid w:val="00381127"/>
    <w:rsid w:val="00381803"/>
    <w:rsid w:val="003818C7"/>
    <w:rsid w:val="00381B1F"/>
    <w:rsid w:val="00382555"/>
    <w:rsid w:val="003834E5"/>
    <w:rsid w:val="0038391C"/>
    <w:rsid w:val="00383B36"/>
    <w:rsid w:val="00384973"/>
    <w:rsid w:val="00384BA7"/>
    <w:rsid w:val="00384F58"/>
    <w:rsid w:val="0038565A"/>
    <w:rsid w:val="003857E5"/>
    <w:rsid w:val="00385A54"/>
    <w:rsid w:val="00385ABB"/>
    <w:rsid w:val="00385C15"/>
    <w:rsid w:val="0038713F"/>
    <w:rsid w:val="0038771C"/>
    <w:rsid w:val="003878D2"/>
    <w:rsid w:val="00387A18"/>
    <w:rsid w:val="00387F16"/>
    <w:rsid w:val="00390562"/>
    <w:rsid w:val="003906BB"/>
    <w:rsid w:val="003907C7"/>
    <w:rsid w:val="003912BC"/>
    <w:rsid w:val="00391970"/>
    <w:rsid w:val="0039260A"/>
    <w:rsid w:val="00392877"/>
    <w:rsid w:val="00392ABA"/>
    <w:rsid w:val="003932EF"/>
    <w:rsid w:val="003933BC"/>
    <w:rsid w:val="00393431"/>
    <w:rsid w:val="003939A7"/>
    <w:rsid w:val="00393CA2"/>
    <w:rsid w:val="00394438"/>
    <w:rsid w:val="0039471B"/>
    <w:rsid w:val="00394AA7"/>
    <w:rsid w:val="00395257"/>
    <w:rsid w:val="0039536A"/>
    <w:rsid w:val="003953BE"/>
    <w:rsid w:val="003956D8"/>
    <w:rsid w:val="00395818"/>
    <w:rsid w:val="00395E99"/>
    <w:rsid w:val="003960B0"/>
    <w:rsid w:val="00396163"/>
    <w:rsid w:val="0039618F"/>
    <w:rsid w:val="00396ACC"/>
    <w:rsid w:val="00396E91"/>
    <w:rsid w:val="00396EA3"/>
    <w:rsid w:val="003973F9"/>
    <w:rsid w:val="00397770"/>
    <w:rsid w:val="003977FE"/>
    <w:rsid w:val="00397932"/>
    <w:rsid w:val="00397C2F"/>
    <w:rsid w:val="00397DDA"/>
    <w:rsid w:val="00397E1D"/>
    <w:rsid w:val="003A0B41"/>
    <w:rsid w:val="003A0DF9"/>
    <w:rsid w:val="003A0E9F"/>
    <w:rsid w:val="003A1446"/>
    <w:rsid w:val="003A1863"/>
    <w:rsid w:val="003A1FAB"/>
    <w:rsid w:val="003A1FF3"/>
    <w:rsid w:val="003A20F5"/>
    <w:rsid w:val="003A22DE"/>
    <w:rsid w:val="003A28BE"/>
    <w:rsid w:val="003A2CD6"/>
    <w:rsid w:val="003A2E78"/>
    <w:rsid w:val="003A326F"/>
    <w:rsid w:val="003A33B6"/>
    <w:rsid w:val="003A4283"/>
    <w:rsid w:val="003A475C"/>
    <w:rsid w:val="003A4848"/>
    <w:rsid w:val="003A5131"/>
    <w:rsid w:val="003A555A"/>
    <w:rsid w:val="003A596C"/>
    <w:rsid w:val="003A5ABE"/>
    <w:rsid w:val="003A5ED9"/>
    <w:rsid w:val="003A7A13"/>
    <w:rsid w:val="003A7F12"/>
    <w:rsid w:val="003B061A"/>
    <w:rsid w:val="003B1265"/>
    <w:rsid w:val="003B1430"/>
    <w:rsid w:val="003B210E"/>
    <w:rsid w:val="003B2846"/>
    <w:rsid w:val="003B2BA6"/>
    <w:rsid w:val="003B2CFF"/>
    <w:rsid w:val="003B2D99"/>
    <w:rsid w:val="003B3316"/>
    <w:rsid w:val="003B37DE"/>
    <w:rsid w:val="003B50D7"/>
    <w:rsid w:val="003B52A7"/>
    <w:rsid w:val="003B5CE9"/>
    <w:rsid w:val="003B5E3E"/>
    <w:rsid w:val="003B5F60"/>
    <w:rsid w:val="003B6162"/>
    <w:rsid w:val="003B624A"/>
    <w:rsid w:val="003B6DDB"/>
    <w:rsid w:val="003B75D5"/>
    <w:rsid w:val="003B7911"/>
    <w:rsid w:val="003B7EA7"/>
    <w:rsid w:val="003C000A"/>
    <w:rsid w:val="003C0203"/>
    <w:rsid w:val="003C04B1"/>
    <w:rsid w:val="003C09BC"/>
    <w:rsid w:val="003C0B01"/>
    <w:rsid w:val="003C0C60"/>
    <w:rsid w:val="003C12FF"/>
    <w:rsid w:val="003C21CA"/>
    <w:rsid w:val="003C269B"/>
    <w:rsid w:val="003C26DC"/>
    <w:rsid w:val="003C32DC"/>
    <w:rsid w:val="003C32E8"/>
    <w:rsid w:val="003C34F2"/>
    <w:rsid w:val="003C3554"/>
    <w:rsid w:val="003C35F6"/>
    <w:rsid w:val="003C376F"/>
    <w:rsid w:val="003C46BC"/>
    <w:rsid w:val="003C4B1C"/>
    <w:rsid w:val="003C4CB4"/>
    <w:rsid w:val="003C4E89"/>
    <w:rsid w:val="003C515F"/>
    <w:rsid w:val="003C55B1"/>
    <w:rsid w:val="003C5660"/>
    <w:rsid w:val="003C59C7"/>
    <w:rsid w:val="003C5DB3"/>
    <w:rsid w:val="003C5E87"/>
    <w:rsid w:val="003C6647"/>
    <w:rsid w:val="003C681F"/>
    <w:rsid w:val="003C6ADE"/>
    <w:rsid w:val="003C6B88"/>
    <w:rsid w:val="003C6E9F"/>
    <w:rsid w:val="003C74EA"/>
    <w:rsid w:val="003C7635"/>
    <w:rsid w:val="003C7A0B"/>
    <w:rsid w:val="003D014D"/>
    <w:rsid w:val="003D0375"/>
    <w:rsid w:val="003D05C7"/>
    <w:rsid w:val="003D0D34"/>
    <w:rsid w:val="003D0F61"/>
    <w:rsid w:val="003D0F8F"/>
    <w:rsid w:val="003D133A"/>
    <w:rsid w:val="003D19B2"/>
    <w:rsid w:val="003D1B82"/>
    <w:rsid w:val="003D202B"/>
    <w:rsid w:val="003D2A3C"/>
    <w:rsid w:val="003D301E"/>
    <w:rsid w:val="003D31C9"/>
    <w:rsid w:val="003D340D"/>
    <w:rsid w:val="003D35AC"/>
    <w:rsid w:val="003D3C5F"/>
    <w:rsid w:val="003D404C"/>
    <w:rsid w:val="003D4286"/>
    <w:rsid w:val="003D4560"/>
    <w:rsid w:val="003D4AC4"/>
    <w:rsid w:val="003D4BA7"/>
    <w:rsid w:val="003D4D5A"/>
    <w:rsid w:val="003D515A"/>
    <w:rsid w:val="003D57C0"/>
    <w:rsid w:val="003D599D"/>
    <w:rsid w:val="003D5AB3"/>
    <w:rsid w:val="003D6060"/>
    <w:rsid w:val="003D6831"/>
    <w:rsid w:val="003D6A3E"/>
    <w:rsid w:val="003D74B5"/>
    <w:rsid w:val="003D7538"/>
    <w:rsid w:val="003D7805"/>
    <w:rsid w:val="003E0029"/>
    <w:rsid w:val="003E05E7"/>
    <w:rsid w:val="003E092B"/>
    <w:rsid w:val="003E20CE"/>
    <w:rsid w:val="003E2605"/>
    <w:rsid w:val="003E2B17"/>
    <w:rsid w:val="003E2E41"/>
    <w:rsid w:val="003E3191"/>
    <w:rsid w:val="003E377A"/>
    <w:rsid w:val="003E3869"/>
    <w:rsid w:val="003E3DE3"/>
    <w:rsid w:val="003E40CE"/>
    <w:rsid w:val="003E4850"/>
    <w:rsid w:val="003E5045"/>
    <w:rsid w:val="003E5C7C"/>
    <w:rsid w:val="003E5F7C"/>
    <w:rsid w:val="003E611A"/>
    <w:rsid w:val="003E61D0"/>
    <w:rsid w:val="003E6664"/>
    <w:rsid w:val="003E6B15"/>
    <w:rsid w:val="003E70E7"/>
    <w:rsid w:val="003E7BF7"/>
    <w:rsid w:val="003F026E"/>
    <w:rsid w:val="003F02A8"/>
    <w:rsid w:val="003F07A2"/>
    <w:rsid w:val="003F093D"/>
    <w:rsid w:val="003F0F0F"/>
    <w:rsid w:val="003F138B"/>
    <w:rsid w:val="003F1A75"/>
    <w:rsid w:val="003F2E82"/>
    <w:rsid w:val="003F34C4"/>
    <w:rsid w:val="003F3926"/>
    <w:rsid w:val="003F3A79"/>
    <w:rsid w:val="003F3AB1"/>
    <w:rsid w:val="003F3EF8"/>
    <w:rsid w:val="003F4080"/>
    <w:rsid w:val="003F445F"/>
    <w:rsid w:val="003F46AB"/>
    <w:rsid w:val="003F4A9D"/>
    <w:rsid w:val="003F4FAB"/>
    <w:rsid w:val="003F6A8A"/>
    <w:rsid w:val="003F73B6"/>
    <w:rsid w:val="003F74AD"/>
    <w:rsid w:val="003F7569"/>
    <w:rsid w:val="003F7FA0"/>
    <w:rsid w:val="0040042C"/>
    <w:rsid w:val="00400ED1"/>
    <w:rsid w:val="0040118B"/>
    <w:rsid w:val="00401F4E"/>
    <w:rsid w:val="00402141"/>
    <w:rsid w:val="00402636"/>
    <w:rsid w:val="00403148"/>
    <w:rsid w:val="00403365"/>
    <w:rsid w:val="00403371"/>
    <w:rsid w:val="004033EE"/>
    <w:rsid w:val="004037BC"/>
    <w:rsid w:val="00403D42"/>
    <w:rsid w:val="00403FFC"/>
    <w:rsid w:val="0040414A"/>
    <w:rsid w:val="00404815"/>
    <w:rsid w:val="00404CE4"/>
    <w:rsid w:val="004051F1"/>
    <w:rsid w:val="0040671B"/>
    <w:rsid w:val="00406CD5"/>
    <w:rsid w:val="00406D3B"/>
    <w:rsid w:val="00406FF3"/>
    <w:rsid w:val="004070FD"/>
    <w:rsid w:val="00407378"/>
    <w:rsid w:val="00407794"/>
    <w:rsid w:val="00407A0A"/>
    <w:rsid w:val="0041009D"/>
    <w:rsid w:val="0041018C"/>
    <w:rsid w:val="00410215"/>
    <w:rsid w:val="00410368"/>
    <w:rsid w:val="00410831"/>
    <w:rsid w:val="00410D4C"/>
    <w:rsid w:val="00411187"/>
    <w:rsid w:val="00412838"/>
    <w:rsid w:val="004132EA"/>
    <w:rsid w:val="00414323"/>
    <w:rsid w:val="00414638"/>
    <w:rsid w:val="004154D3"/>
    <w:rsid w:val="00415605"/>
    <w:rsid w:val="00415758"/>
    <w:rsid w:val="00415AF3"/>
    <w:rsid w:val="00415F2F"/>
    <w:rsid w:val="004160E5"/>
    <w:rsid w:val="004162E1"/>
    <w:rsid w:val="004163AF"/>
    <w:rsid w:val="00416557"/>
    <w:rsid w:val="004170F1"/>
    <w:rsid w:val="0041756C"/>
    <w:rsid w:val="00417812"/>
    <w:rsid w:val="004179D7"/>
    <w:rsid w:val="00417F17"/>
    <w:rsid w:val="00420023"/>
    <w:rsid w:val="00420605"/>
    <w:rsid w:val="00420C61"/>
    <w:rsid w:val="0042146E"/>
    <w:rsid w:val="0042161C"/>
    <w:rsid w:val="00421A76"/>
    <w:rsid w:val="0042255B"/>
    <w:rsid w:val="00422DBD"/>
    <w:rsid w:val="00423CEE"/>
    <w:rsid w:val="0042450D"/>
    <w:rsid w:val="00424619"/>
    <w:rsid w:val="00424DBE"/>
    <w:rsid w:val="0042503F"/>
    <w:rsid w:val="00425053"/>
    <w:rsid w:val="00425260"/>
    <w:rsid w:val="004263AE"/>
    <w:rsid w:val="00426A22"/>
    <w:rsid w:val="00426C15"/>
    <w:rsid w:val="00426C56"/>
    <w:rsid w:val="0042701C"/>
    <w:rsid w:val="0042713A"/>
    <w:rsid w:val="00427177"/>
    <w:rsid w:val="004274E2"/>
    <w:rsid w:val="00427A9C"/>
    <w:rsid w:val="00427ABD"/>
    <w:rsid w:val="0043036F"/>
    <w:rsid w:val="00430438"/>
    <w:rsid w:val="004308D5"/>
    <w:rsid w:val="00430AB1"/>
    <w:rsid w:val="00430B78"/>
    <w:rsid w:val="00431141"/>
    <w:rsid w:val="00431160"/>
    <w:rsid w:val="004317E9"/>
    <w:rsid w:val="00431EA7"/>
    <w:rsid w:val="00432532"/>
    <w:rsid w:val="00432F58"/>
    <w:rsid w:val="00433390"/>
    <w:rsid w:val="004333C1"/>
    <w:rsid w:val="004336BB"/>
    <w:rsid w:val="00433712"/>
    <w:rsid w:val="00433B66"/>
    <w:rsid w:val="00433E78"/>
    <w:rsid w:val="004343A4"/>
    <w:rsid w:val="00434FEA"/>
    <w:rsid w:val="00435404"/>
    <w:rsid w:val="00435885"/>
    <w:rsid w:val="00435AA5"/>
    <w:rsid w:val="00435D36"/>
    <w:rsid w:val="004365B3"/>
    <w:rsid w:val="00436E03"/>
    <w:rsid w:val="00437C42"/>
    <w:rsid w:val="00437DDD"/>
    <w:rsid w:val="00440C14"/>
    <w:rsid w:val="004417D2"/>
    <w:rsid w:val="00442231"/>
    <w:rsid w:val="004425D7"/>
    <w:rsid w:val="00442777"/>
    <w:rsid w:val="00443460"/>
    <w:rsid w:val="004436F0"/>
    <w:rsid w:val="00443AF0"/>
    <w:rsid w:val="00443F8E"/>
    <w:rsid w:val="004442CA"/>
    <w:rsid w:val="004453A6"/>
    <w:rsid w:val="0044595C"/>
    <w:rsid w:val="00445CD1"/>
    <w:rsid w:val="00446136"/>
    <w:rsid w:val="00446D13"/>
    <w:rsid w:val="00446D20"/>
    <w:rsid w:val="00446E42"/>
    <w:rsid w:val="004471A7"/>
    <w:rsid w:val="004473F5"/>
    <w:rsid w:val="00447680"/>
    <w:rsid w:val="00447945"/>
    <w:rsid w:val="00447C62"/>
    <w:rsid w:val="00447D06"/>
    <w:rsid w:val="00447D92"/>
    <w:rsid w:val="00450915"/>
    <w:rsid w:val="00450C93"/>
    <w:rsid w:val="00451672"/>
    <w:rsid w:val="00451762"/>
    <w:rsid w:val="00451793"/>
    <w:rsid w:val="0045224C"/>
    <w:rsid w:val="004527AC"/>
    <w:rsid w:val="00452C88"/>
    <w:rsid w:val="004537A2"/>
    <w:rsid w:val="004539B3"/>
    <w:rsid w:val="00453A07"/>
    <w:rsid w:val="004545D4"/>
    <w:rsid w:val="004547D3"/>
    <w:rsid w:val="00454AF3"/>
    <w:rsid w:val="00455C0A"/>
    <w:rsid w:val="00455F0E"/>
    <w:rsid w:val="00456704"/>
    <w:rsid w:val="00456B2F"/>
    <w:rsid w:val="00457958"/>
    <w:rsid w:val="004616C0"/>
    <w:rsid w:val="004620DF"/>
    <w:rsid w:val="004625C3"/>
    <w:rsid w:val="00462D05"/>
    <w:rsid w:val="00462DD4"/>
    <w:rsid w:val="00463400"/>
    <w:rsid w:val="00463416"/>
    <w:rsid w:val="00463A4C"/>
    <w:rsid w:val="004644CD"/>
    <w:rsid w:val="00464A65"/>
    <w:rsid w:val="00464D00"/>
    <w:rsid w:val="00464DCF"/>
    <w:rsid w:val="004661D8"/>
    <w:rsid w:val="004665FC"/>
    <w:rsid w:val="0046664E"/>
    <w:rsid w:val="00466F0E"/>
    <w:rsid w:val="0046789E"/>
    <w:rsid w:val="00467B08"/>
    <w:rsid w:val="00467E18"/>
    <w:rsid w:val="00467FDD"/>
    <w:rsid w:val="0047076E"/>
    <w:rsid w:val="00470965"/>
    <w:rsid w:val="0047124E"/>
    <w:rsid w:val="0047129A"/>
    <w:rsid w:val="004716FD"/>
    <w:rsid w:val="00472A0F"/>
    <w:rsid w:val="00472C58"/>
    <w:rsid w:val="004730DA"/>
    <w:rsid w:val="004734F7"/>
    <w:rsid w:val="004735A2"/>
    <w:rsid w:val="004736C5"/>
    <w:rsid w:val="00474E2E"/>
    <w:rsid w:val="00475242"/>
    <w:rsid w:val="004754E1"/>
    <w:rsid w:val="004758DC"/>
    <w:rsid w:val="0047618A"/>
    <w:rsid w:val="00476754"/>
    <w:rsid w:val="004767FC"/>
    <w:rsid w:val="004768D8"/>
    <w:rsid w:val="00476D1A"/>
    <w:rsid w:val="0047755D"/>
    <w:rsid w:val="0047757A"/>
    <w:rsid w:val="00477BCA"/>
    <w:rsid w:val="00477ECC"/>
    <w:rsid w:val="00480227"/>
    <w:rsid w:val="0048158A"/>
    <w:rsid w:val="00481CDE"/>
    <w:rsid w:val="0048202D"/>
    <w:rsid w:val="004822C1"/>
    <w:rsid w:val="00482464"/>
    <w:rsid w:val="004829DC"/>
    <w:rsid w:val="00482AA8"/>
    <w:rsid w:val="00483326"/>
    <w:rsid w:val="00483D58"/>
    <w:rsid w:val="00483F56"/>
    <w:rsid w:val="00484014"/>
    <w:rsid w:val="00484277"/>
    <w:rsid w:val="004842D5"/>
    <w:rsid w:val="00484566"/>
    <w:rsid w:val="00484651"/>
    <w:rsid w:val="00484CB0"/>
    <w:rsid w:val="00484EF7"/>
    <w:rsid w:val="00485455"/>
    <w:rsid w:val="00485509"/>
    <w:rsid w:val="00485707"/>
    <w:rsid w:val="0048593B"/>
    <w:rsid w:val="00485A2B"/>
    <w:rsid w:val="00485C2B"/>
    <w:rsid w:val="00487EEC"/>
    <w:rsid w:val="00490103"/>
    <w:rsid w:val="00490343"/>
    <w:rsid w:val="00490A03"/>
    <w:rsid w:val="0049113F"/>
    <w:rsid w:val="00491B07"/>
    <w:rsid w:val="00491F6D"/>
    <w:rsid w:val="00492436"/>
    <w:rsid w:val="00492529"/>
    <w:rsid w:val="004928A8"/>
    <w:rsid w:val="00492A05"/>
    <w:rsid w:val="00492F87"/>
    <w:rsid w:val="004931B4"/>
    <w:rsid w:val="004938E1"/>
    <w:rsid w:val="004939FD"/>
    <w:rsid w:val="00494E24"/>
    <w:rsid w:val="00494EF6"/>
    <w:rsid w:val="004955B9"/>
    <w:rsid w:val="004956C2"/>
    <w:rsid w:val="00495918"/>
    <w:rsid w:val="00495C9C"/>
    <w:rsid w:val="00495E54"/>
    <w:rsid w:val="00495FFC"/>
    <w:rsid w:val="004961AA"/>
    <w:rsid w:val="0049634E"/>
    <w:rsid w:val="00496790"/>
    <w:rsid w:val="004975AB"/>
    <w:rsid w:val="00497BC0"/>
    <w:rsid w:val="004A0CB1"/>
    <w:rsid w:val="004A1019"/>
    <w:rsid w:val="004A121E"/>
    <w:rsid w:val="004A1250"/>
    <w:rsid w:val="004A2640"/>
    <w:rsid w:val="004A2C5D"/>
    <w:rsid w:val="004A3055"/>
    <w:rsid w:val="004A31F7"/>
    <w:rsid w:val="004A33F9"/>
    <w:rsid w:val="004A43A5"/>
    <w:rsid w:val="004A49A4"/>
    <w:rsid w:val="004A49F0"/>
    <w:rsid w:val="004A4BDA"/>
    <w:rsid w:val="004A573B"/>
    <w:rsid w:val="004A5745"/>
    <w:rsid w:val="004A600A"/>
    <w:rsid w:val="004A71BF"/>
    <w:rsid w:val="004A72F5"/>
    <w:rsid w:val="004A74F2"/>
    <w:rsid w:val="004A7783"/>
    <w:rsid w:val="004A7B1A"/>
    <w:rsid w:val="004A7E73"/>
    <w:rsid w:val="004B0452"/>
    <w:rsid w:val="004B0BA2"/>
    <w:rsid w:val="004B0FD6"/>
    <w:rsid w:val="004B10D4"/>
    <w:rsid w:val="004B117F"/>
    <w:rsid w:val="004B12C3"/>
    <w:rsid w:val="004B1A73"/>
    <w:rsid w:val="004B23BF"/>
    <w:rsid w:val="004B24B8"/>
    <w:rsid w:val="004B2666"/>
    <w:rsid w:val="004B2755"/>
    <w:rsid w:val="004B2CAA"/>
    <w:rsid w:val="004B2D47"/>
    <w:rsid w:val="004B2D4B"/>
    <w:rsid w:val="004B3162"/>
    <w:rsid w:val="004B343F"/>
    <w:rsid w:val="004B36C0"/>
    <w:rsid w:val="004B3EFF"/>
    <w:rsid w:val="004B4030"/>
    <w:rsid w:val="004B4033"/>
    <w:rsid w:val="004B416D"/>
    <w:rsid w:val="004B422F"/>
    <w:rsid w:val="004B469F"/>
    <w:rsid w:val="004B4BA0"/>
    <w:rsid w:val="004B4C24"/>
    <w:rsid w:val="004B5091"/>
    <w:rsid w:val="004B52A8"/>
    <w:rsid w:val="004B5395"/>
    <w:rsid w:val="004B598E"/>
    <w:rsid w:val="004B5E3D"/>
    <w:rsid w:val="004B72A6"/>
    <w:rsid w:val="004B739B"/>
    <w:rsid w:val="004B75B5"/>
    <w:rsid w:val="004C039F"/>
    <w:rsid w:val="004C0D54"/>
    <w:rsid w:val="004C125A"/>
    <w:rsid w:val="004C136B"/>
    <w:rsid w:val="004C13F7"/>
    <w:rsid w:val="004C1675"/>
    <w:rsid w:val="004C1C09"/>
    <w:rsid w:val="004C2386"/>
    <w:rsid w:val="004C2759"/>
    <w:rsid w:val="004C4638"/>
    <w:rsid w:val="004C4639"/>
    <w:rsid w:val="004C5036"/>
    <w:rsid w:val="004C52CD"/>
    <w:rsid w:val="004C54A3"/>
    <w:rsid w:val="004C5822"/>
    <w:rsid w:val="004C598A"/>
    <w:rsid w:val="004C5DD4"/>
    <w:rsid w:val="004C6022"/>
    <w:rsid w:val="004C6544"/>
    <w:rsid w:val="004C6A4D"/>
    <w:rsid w:val="004C6AAF"/>
    <w:rsid w:val="004C6E33"/>
    <w:rsid w:val="004C737D"/>
    <w:rsid w:val="004C7996"/>
    <w:rsid w:val="004C7AB9"/>
    <w:rsid w:val="004D02C7"/>
    <w:rsid w:val="004D03EE"/>
    <w:rsid w:val="004D11F8"/>
    <w:rsid w:val="004D1C20"/>
    <w:rsid w:val="004D2106"/>
    <w:rsid w:val="004D26E6"/>
    <w:rsid w:val="004D375B"/>
    <w:rsid w:val="004D3DCB"/>
    <w:rsid w:val="004D4E79"/>
    <w:rsid w:val="004D52F9"/>
    <w:rsid w:val="004D5C63"/>
    <w:rsid w:val="004D6024"/>
    <w:rsid w:val="004D6049"/>
    <w:rsid w:val="004D606F"/>
    <w:rsid w:val="004D62A4"/>
    <w:rsid w:val="004D64B6"/>
    <w:rsid w:val="004D6DBB"/>
    <w:rsid w:val="004D6E7E"/>
    <w:rsid w:val="004D7BCF"/>
    <w:rsid w:val="004E02FA"/>
    <w:rsid w:val="004E0E19"/>
    <w:rsid w:val="004E0FBC"/>
    <w:rsid w:val="004E120C"/>
    <w:rsid w:val="004E13EA"/>
    <w:rsid w:val="004E16FC"/>
    <w:rsid w:val="004E1D16"/>
    <w:rsid w:val="004E2174"/>
    <w:rsid w:val="004E234A"/>
    <w:rsid w:val="004E2A7C"/>
    <w:rsid w:val="004E2B08"/>
    <w:rsid w:val="004E36CF"/>
    <w:rsid w:val="004E3AEC"/>
    <w:rsid w:val="004E3C48"/>
    <w:rsid w:val="004E400F"/>
    <w:rsid w:val="004E41FA"/>
    <w:rsid w:val="004E49AC"/>
    <w:rsid w:val="004E4AEF"/>
    <w:rsid w:val="004E4E22"/>
    <w:rsid w:val="004E529E"/>
    <w:rsid w:val="004E5352"/>
    <w:rsid w:val="004E5809"/>
    <w:rsid w:val="004E585A"/>
    <w:rsid w:val="004E5FF8"/>
    <w:rsid w:val="004E60B4"/>
    <w:rsid w:val="004E6144"/>
    <w:rsid w:val="004E6650"/>
    <w:rsid w:val="004E6A7F"/>
    <w:rsid w:val="004E70CA"/>
    <w:rsid w:val="004E72E2"/>
    <w:rsid w:val="004E739A"/>
    <w:rsid w:val="004E7AF7"/>
    <w:rsid w:val="004E7E16"/>
    <w:rsid w:val="004F0103"/>
    <w:rsid w:val="004F0927"/>
    <w:rsid w:val="004F098C"/>
    <w:rsid w:val="004F1778"/>
    <w:rsid w:val="004F178A"/>
    <w:rsid w:val="004F187D"/>
    <w:rsid w:val="004F1BDA"/>
    <w:rsid w:val="004F1EB8"/>
    <w:rsid w:val="004F2092"/>
    <w:rsid w:val="004F2482"/>
    <w:rsid w:val="004F2D08"/>
    <w:rsid w:val="004F3152"/>
    <w:rsid w:val="004F347E"/>
    <w:rsid w:val="004F3E3B"/>
    <w:rsid w:val="004F405E"/>
    <w:rsid w:val="004F48CD"/>
    <w:rsid w:val="004F4913"/>
    <w:rsid w:val="004F58D4"/>
    <w:rsid w:val="004F5F28"/>
    <w:rsid w:val="004F636A"/>
    <w:rsid w:val="004F6C86"/>
    <w:rsid w:val="004F799F"/>
    <w:rsid w:val="00501C13"/>
    <w:rsid w:val="005028BD"/>
    <w:rsid w:val="00502B1A"/>
    <w:rsid w:val="00502D81"/>
    <w:rsid w:val="005030CE"/>
    <w:rsid w:val="005031CB"/>
    <w:rsid w:val="00503CF9"/>
    <w:rsid w:val="00503DE6"/>
    <w:rsid w:val="00504565"/>
    <w:rsid w:val="00504D48"/>
    <w:rsid w:val="005053F5"/>
    <w:rsid w:val="00506011"/>
    <w:rsid w:val="0050642D"/>
    <w:rsid w:val="00506477"/>
    <w:rsid w:val="005065C0"/>
    <w:rsid w:val="005070F0"/>
    <w:rsid w:val="005073C0"/>
    <w:rsid w:val="00507591"/>
    <w:rsid w:val="00507892"/>
    <w:rsid w:val="00507F27"/>
    <w:rsid w:val="00510597"/>
    <w:rsid w:val="005106FE"/>
    <w:rsid w:val="00510B73"/>
    <w:rsid w:val="00510CC1"/>
    <w:rsid w:val="00511082"/>
    <w:rsid w:val="0051115A"/>
    <w:rsid w:val="00511236"/>
    <w:rsid w:val="00511642"/>
    <w:rsid w:val="005117A8"/>
    <w:rsid w:val="005118A8"/>
    <w:rsid w:val="0051191A"/>
    <w:rsid w:val="00511C54"/>
    <w:rsid w:val="00511F20"/>
    <w:rsid w:val="00512560"/>
    <w:rsid w:val="00512A24"/>
    <w:rsid w:val="00512EB4"/>
    <w:rsid w:val="00513264"/>
    <w:rsid w:val="00513C76"/>
    <w:rsid w:val="0051414E"/>
    <w:rsid w:val="00514F9A"/>
    <w:rsid w:val="00515416"/>
    <w:rsid w:val="00515504"/>
    <w:rsid w:val="00516578"/>
    <w:rsid w:val="0051657F"/>
    <w:rsid w:val="00516BD9"/>
    <w:rsid w:val="00516EEE"/>
    <w:rsid w:val="00517050"/>
    <w:rsid w:val="0051720A"/>
    <w:rsid w:val="005174C4"/>
    <w:rsid w:val="005177C4"/>
    <w:rsid w:val="00517D0E"/>
    <w:rsid w:val="00517D4A"/>
    <w:rsid w:val="0052011E"/>
    <w:rsid w:val="00520572"/>
    <w:rsid w:val="005205A2"/>
    <w:rsid w:val="00520B8F"/>
    <w:rsid w:val="00520D5C"/>
    <w:rsid w:val="00520F98"/>
    <w:rsid w:val="00521A19"/>
    <w:rsid w:val="00521D1D"/>
    <w:rsid w:val="00522012"/>
    <w:rsid w:val="0052225B"/>
    <w:rsid w:val="00522382"/>
    <w:rsid w:val="0052245A"/>
    <w:rsid w:val="0052252D"/>
    <w:rsid w:val="00522A76"/>
    <w:rsid w:val="00522CD7"/>
    <w:rsid w:val="00522EBB"/>
    <w:rsid w:val="005232AA"/>
    <w:rsid w:val="00523DB6"/>
    <w:rsid w:val="00523EA9"/>
    <w:rsid w:val="00524010"/>
    <w:rsid w:val="00524D7B"/>
    <w:rsid w:val="00525257"/>
    <w:rsid w:val="005254BB"/>
    <w:rsid w:val="0052577D"/>
    <w:rsid w:val="00525A73"/>
    <w:rsid w:val="00525E76"/>
    <w:rsid w:val="0052659F"/>
    <w:rsid w:val="005266D8"/>
    <w:rsid w:val="00526E98"/>
    <w:rsid w:val="0052705A"/>
    <w:rsid w:val="005270DE"/>
    <w:rsid w:val="00527D03"/>
    <w:rsid w:val="00527D19"/>
    <w:rsid w:val="005304CF"/>
    <w:rsid w:val="00530712"/>
    <w:rsid w:val="00530B62"/>
    <w:rsid w:val="00530D0A"/>
    <w:rsid w:val="0053103C"/>
    <w:rsid w:val="0053164B"/>
    <w:rsid w:val="00531B1B"/>
    <w:rsid w:val="00531CDC"/>
    <w:rsid w:val="00532618"/>
    <w:rsid w:val="00533093"/>
    <w:rsid w:val="00533316"/>
    <w:rsid w:val="00533B85"/>
    <w:rsid w:val="00533F85"/>
    <w:rsid w:val="00534138"/>
    <w:rsid w:val="0053461E"/>
    <w:rsid w:val="00534909"/>
    <w:rsid w:val="00535BC2"/>
    <w:rsid w:val="005366B3"/>
    <w:rsid w:val="00536F2D"/>
    <w:rsid w:val="0053704A"/>
    <w:rsid w:val="00537848"/>
    <w:rsid w:val="00537AFB"/>
    <w:rsid w:val="00537FD6"/>
    <w:rsid w:val="0054030A"/>
    <w:rsid w:val="00540777"/>
    <w:rsid w:val="005407C0"/>
    <w:rsid w:val="00540891"/>
    <w:rsid w:val="00542031"/>
    <w:rsid w:val="005420DE"/>
    <w:rsid w:val="0054238D"/>
    <w:rsid w:val="005427C0"/>
    <w:rsid w:val="00542AAA"/>
    <w:rsid w:val="00542C71"/>
    <w:rsid w:val="0054306B"/>
    <w:rsid w:val="00543204"/>
    <w:rsid w:val="00543B08"/>
    <w:rsid w:val="00543B3B"/>
    <w:rsid w:val="00543EE5"/>
    <w:rsid w:val="0054419F"/>
    <w:rsid w:val="00545073"/>
    <w:rsid w:val="005450A0"/>
    <w:rsid w:val="00545AB3"/>
    <w:rsid w:val="00545FAB"/>
    <w:rsid w:val="00546167"/>
    <w:rsid w:val="00546610"/>
    <w:rsid w:val="00546CE0"/>
    <w:rsid w:val="005470FB"/>
    <w:rsid w:val="0054743D"/>
    <w:rsid w:val="0054776F"/>
    <w:rsid w:val="00550763"/>
    <w:rsid w:val="0055095B"/>
    <w:rsid w:val="00550AE0"/>
    <w:rsid w:val="00550D84"/>
    <w:rsid w:val="00550F91"/>
    <w:rsid w:val="00550FF8"/>
    <w:rsid w:val="00551097"/>
    <w:rsid w:val="0055119E"/>
    <w:rsid w:val="00551285"/>
    <w:rsid w:val="005513C6"/>
    <w:rsid w:val="005519D5"/>
    <w:rsid w:val="0055225B"/>
    <w:rsid w:val="005524CA"/>
    <w:rsid w:val="005527B3"/>
    <w:rsid w:val="005541CC"/>
    <w:rsid w:val="00554368"/>
    <w:rsid w:val="005544D8"/>
    <w:rsid w:val="00555524"/>
    <w:rsid w:val="0055587F"/>
    <w:rsid w:val="00555FB5"/>
    <w:rsid w:val="005560AD"/>
    <w:rsid w:val="0055665E"/>
    <w:rsid w:val="00556C22"/>
    <w:rsid w:val="00557019"/>
    <w:rsid w:val="005571DA"/>
    <w:rsid w:val="00557406"/>
    <w:rsid w:val="00557686"/>
    <w:rsid w:val="00557E83"/>
    <w:rsid w:val="00557FD2"/>
    <w:rsid w:val="00560147"/>
    <w:rsid w:val="00560876"/>
    <w:rsid w:val="00560D85"/>
    <w:rsid w:val="00561271"/>
    <w:rsid w:val="00561321"/>
    <w:rsid w:val="00561A01"/>
    <w:rsid w:val="00561A18"/>
    <w:rsid w:val="00561A57"/>
    <w:rsid w:val="00561C19"/>
    <w:rsid w:val="00561F47"/>
    <w:rsid w:val="0056275D"/>
    <w:rsid w:val="005630E3"/>
    <w:rsid w:val="0056346C"/>
    <w:rsid w:val="00563ACD"/>
    <w:rsid w:val="00563DD0"/>
    <w:rsid w:val="00563E65"/>
    <w:rsid w:val="00564307"/>
    <w:rsid w:val="0056485E"/>
    <w:rsid w:val="00564B0C"/>
    <w:rsid w:val="00564C13"/>
    <w:rsid w:val="0056520F"/>
    <w:rsid w:val="00565695"/>
    <w:rsid w:val="00565869"/>
    <w:rsid w:val="00566484"/>
    <w:rsid w:val="005664A3"/>
    <w:rsid w:val="0056690E"/>
    <w:rsid w:val="00566962"/>
    <w:rsid w:val="00566980"/>
    <w:rsid w:val="00567160"/>
    <w:rsid w:val="00567571"/>
    <w:rsid w:val="005675FC"/>
    <w:rsid w:val="005676F4"/>
    <w:rsid w:val="00570412"/>
    <w:rsid w:val="005706FE"/>
    <w:rsid w:val="0057082B"/>
    <w:rsid w:val="00570DA0"/>
    <w:rsid w:val="005711A5"/>
    <w:rsid w:val="00571971"/>
    <w:rsid w:val="005723BC"/>
    <w:rsid w:val="00572A89"/>
    <w:rsid w:val="00572F85"/>
    <w:rsid w:val="00573108"/>
    <w:rsid w:val="00573433"/>
    <w:rsid w:val="00574641"/>
    <w:rsid w:val="00574A81"/>
    <w:rsid w:val="00574E18"/>
    <w:rsid w:val="00575776"/>
    <w:rsid w:val="00575A53"/>
    <w:rsid w:val="00575F87"/>
    <w:rsid w:val="00576BFA"/>
    <w:rsid w:val="00577837"/>
    <w:rsid w:val="005806CA"/>
    <w:rsid w:val="00580AA0"/>
    <w:rsid w:val="00580D3F"/>
    <w:rsid w:val="00581019"/>
    <w:rsid w:val="005810C4"/>
    <w:rsid w:val="00581442"/>
    <w:rsid w:val="005819A6"/>
    <w:rsid w:val="00581DA9"/>
    <w:rsid w:val="00581EF8"/>
    <w:rsid w:val="0058207E"/>
    <w:rsid w:val="0058240B"/>
    <w:rsid w:val="00582B0E"/>
    <w:rsid w:val="00582CAB"/>
    <w:rsid w:val="00582D9E"/>
    <w:rsid w:val="00584069"/>
    <w:rsid w:val="00585B27"/>
    <w:rsid w:val="00585BBC"/>
    <w:rsid w:val="00585F05"/>
    <w:rsid w:val="0058600B"/>
    <w:rsid w:val="005861FD"/>
    <w:rsid w:val="0058688F"/>
    <w:rsid w:val="0058694F"/>
    <w:rsid w:val="00586BF0"/>
    <w:rsid w:val="00587529"/>
    <w:rsid w:val="00587EF4"/>
    <w:rsid w:val="00590452"/>
    <w:rsid w:val="0059064B"/>
    <w:rsid w:val="00591167"/>
    <w:rsid w:val="0059133D"/>
    <w:rsid w:val="00591651"/>
    <w:rsid w:val="005918AA"/>
    <w:rsid w:val="005920E4"/>
    <w:rsid w:val="00592210"/>
    <w:rsid w:val="0059260B"/>
    <w:rsid w:val="00592EF3"/>
    <w:rsid w:val="005930BE"/>
    <w:rsid w:val="005931AC"/>
    <w:rsid w:val="00593311"/>
    <w:rsid w:val="005944DA"/>
    <w:rsid w:val="005947DE"/>
    <w:rsid w:val="0059484A"/>
    <w:rsid w:val="00595CDE"/>
    <w:rsid w:val="00595ED3"/>
    <w:rsid w:val="00596D1B"/>
    <w:rsid w:val="00597296"/>
    <w:rsid w:val="005974A6"/>
    <w:rsid w:val="00597710"/>
    <w:rsid w:val="005A001F"/>
    <w:rsid w:val="005A0196"/>
    <w:rsid w:val="005A14D6"/>
    <w:rsid w:val="005A1503"/>
    <w:rsid w:val="005A1A63"/>
    <w:rsid w:val="005A1D54"/>
    <w:rsid w:val="005A207E"/>
    <w:rsid w:val="005A2C59"/>
    <w:rsid w:val="005A31A8"/>
    <w:rsid w:val="005A3374"/>
    <w:rsid w:val="005A352D"/>
    <w:rsid w:val="005A35D5"/>
    <w:rsid w:val="005A3FBA"/>
    <w:rsid w:val="005A443B"/>
    <w:rsid w:val="005A4450"/>
    <w:rsid w:val="005A55C0"/>
    <w:rsid w:val="005A55DA"/>
    <w:rsid w:val="005A5B77"/>
    <w:rsid w:val="005A5D7A"/>
    <w:rsid w:val="005A5DDE"/>
    <w:rsid w:val="005A5EF7"/>
    <w:rsid w:val="005A62D2"/>
    <w:rsid w:val="005A69FF"/>
    <w:rsid w:val="005A6DE0"/>
    <w:rsid w:val="005A79C9"/>
    <w:rsid w:val="005A7C2E"/>
    <w:rsid w:val="005B0706"/>
    <w:rsid w:val="005B0A89"/>
    <w:rsid w:val="005B0E39"/>
    <w:rsid w:val="005B1337"/>
    <w:rsid w:val="005B13D0"/>
    <w:rsid w:val="005B14AF"/>
    <w:rsid w:val="005B15AB"/>
    <w:rsid w:val="005B18F5"/>
    <w:rsid w:val="005B1B35"/>
    <w:rsid w:val="005B22A2"/>
    <w:rsid w:val="005B2438"/>
    <w:rsid w:val="005B3B2E"/>
    <w:rsid w:val="005B4D3A"/>
    <w:rsid w:val="005B5242"/>
    <w:rsid w:val="005B562D"/>
    <w:rsid w:val="005B58E5"/>
    <w:rsid w:val="005B7250"/>
    <w:rsid w:val="005B7354"/>
    <w:rsid w:val="005B73F2"/>
    <w:rsid w:val="005B751A"/>
    <w:rsid w:val="005B7572"/>
    <w:rsid w:val="005B75C3"/>
    <w:rsid w:val="005B7972"/>
    <w:rsid w:val="005C02E3"/>
    <w:rsid w:val="005C039F"/>
    <w:rsid w:val="005C0851"/>
    <w:rsid w:val="005C0910"/>
    <w:rsid w:val="005C0B27"/>
    <w:rsid w:val="005C1C53"/>
    <w:rsid w:val="005C1F15"/>
    <w:rsid w:val="005C1F1A"/>
    <w:rsid w:val="005C2013"/>
    <w:rsid w:val="005C274B"/>
    <w:rsid w:val="005C2926"/>
    <w:rsid w:val="005C35C3"/>
    <w:rsid w:val="005C35F8"/>
    <w:rsid w:val="005C43A5"/>
    <w:rsid w:val="005C4652"/>
    <w:rsid w:val="005C4998"/>
    <w:rsid w:val="005C4FBC"/>
    <w:rsid w:val="005C53CC"/>
    <w:rsid w:val="005C5750"/>
    <w:rsid w:val="005C5913"/>
    <w:rsid w:val="005C5ED0"/>
    <w:rsid w:val="005C666F"/>
    <w:rsid w:val="005C6756"/>
    <w:rsid w:val="005C6B21"/>
    <w:rsid w:val="005C6C86"/>
    <w:rsid w:val="005C78A8"/>
    <w:rsid w:val="005D0299"/>
    <w:rsid w:val="005D1A1A"/>
    <w:rsid w:val="005D1A20"/>
    <w:rsid w:val="005D2352"/>
    <w:rsid w:val="005D24B1"/>
    <w:rsid w:val="005D285F"/>
    <w:rsid w:val="005D28FF"/>
    <w:rsid w:val="005D2A41"/>
    <w:rsid w:val="005D3AF3"/>
    <w:rsid w:val="005D3ED9"/>
    <w:rsid w:val="005D49F9"/>
    <w:rsid w:val="005D4EB2"/>
    <w:rsid w:val="005D4F31"/>
    <w:rsid w:val="005D548C"/>
    <w:rsid w:val="005D5AD4"/>
    <w:rsid w:val="005D5D34"/>
    <w:rsid w:val="005D5E8F"/>
    <w:rsid w:val="005D5EEC"/>
    <w:rsid w:val="005D60D2"/>
    <w:rsid w:val="005D60F8"/>
    <w:rsid w:val="005D63C4"/>
    <w:rsid w:val="005D6614"/>
    <w:rsid w:val="005D6884"/>
    <w:rsid w:val="005D6B3A"/>
    <w:rsid w:val="005D6F00"/>
    <w:rsid w:val="005D7CEF"/>
    <w:rsid w:val="005D7EDD"/>
    <w:rsid w:val="005E0086"/>
    <w:rsid w:val="005E02DC"/>
    <w:rsid w:val="005E0348"/>
    <w:rsid w:val="005E0770"/>
    <w:rsid w:val="005E0F47"/>
    <w:rsid w:val="005E1785"/>
    <w:rsid w:val="005E1797"/>
    <w:rsid w:val="005E1B41"/>
    <w:rsid w:val="005E1B67"/>
    <w:rsid w:val="005E1D4A"/>
    <w:rsid w:val="005E249C"/>
    <w:rsid w:val="005E29F2"/>
    <w:rsid w:val="005E2D2A"/>
    <w:rsid w:val="005E2E12"/>
    <w:rsid w:val="005E3114"/>
    <w:rsid w:val="005E4160"/>
    <w:rsid w:val="005E52F4"/>
    <w:rsid w:val="005E532C"/>
    <w:rsid w:val="005E53CB"/>
    <w:rsid w:val="005E5441"/>
    <w:rsid w:val="005E5CF1"/>
    <w:rsid w:val="005E5FF4"/>
    <w:rsid w:val="005E6349"/>
    <w:rsid w:val="005E690B"/>
    <w:rsid w:val="005E6E2A"/>
    <w:rsid w:val="005E78DB"/>
    <w:rsid w:val="005E7934"/>
    <w:rsid w:val="005E7E95"/>
    <w:rsid w:val="005F05B6"/>
    <w:rsid w:val="005F0E12"/>
    <w:rsid w:val="005F1052"/>
    <w:rsid w:val="005F2868"/>
    <w:rsid w:val="005F2B0B"/>
    <w:rsid w:val="005F2CB7"/>
    <w:rsid w:val="005F2DFF"/>
    <w:rsid w:val="005F2EDB"/>
    <w:rsid w:val="005F360B"/>
    <w:rsid w:val="005F3FFE"/>
    <w:rsid w:val="005F4283"/>
    <w:rsid w:val="005F465A"/>
    <w:rsid w:val="005F4AAB"/>
    <w:rsid w:val="005F4BB2"/>
    <w:rsid w:val="005F4C44"/>
    <w:rsid w:val="005F4CE6"/>
    <w:rsid w:val="005F4F80"/>
    <w:rsid w:val="005F5077"/>
    <w:rsid w:val="005F52CE"/>
    <w:rsid w:val="005F5756"/>
    <w:rsid w:val="005F5C58"/>
    <w:rsid w:val="005F6130"/>
    <w:rsid w:val="005F6213"/>
    <w:rsid w:val="005F6670"/>
    <w:rsid w:val="005F6829"/>
    <w:rsid w:val="005F6AF7"/>
    <w:rsid w:val="005F6C33"/>
    <w:rsid w:val="005F6E9B"/>
    <w:rsid w:val="005F73E3"/>
    <w:rsid w:val="005F7593"/>
    <w:rsid w:val="005F7794"/>
    <w:rsid w:val="00600401"/>
    <w:rsid w:val="00600630"/>
    <w:rsid w:val="00600BD1"/>
    <w:rsid w:val="00600DCD"/>
    <w:rsid w:val="00601555"/>
    <w:rsid w:val="006017B2"/>
    <w:rsid w:val="0060193A"/>
    <w:rsid w:val="00601F19"/>
    <w:rsid w:val="00601F2A"/>
    <w:rsid w:val="006021DD"/>
    <w:rsid w:val="006026DB"/>
    <w:rsid w:val="00602AC8"/>
    <w:rsid w:val="0060315A"/>
    <w:rsid w:val="00603691"/>
    <w:rsid w:val="00604A68"/>
    <w:rsid w:val="0060525B"/>
    <w:rsid w:val="006053D2"/>
    <w:rsid w:val="00605CFE"/>
    <w:rsid w:val="00605F04"/>
    <w:rsid w:val="00606367"/>
    <w:rsid w:val="006066D6"/>
    <w:rsid w:val="0060701D"/>
    <w:rsid w:val="006078EF"/>
    <w:rsid w:val="00607A83"/>
    <w:rsid w:val="00610186"/>
    <w:rsid w:val="006108B2"/>
    <w:rsid w:val="00610EDC"/>
    <w:rsid w:val="00611478"/>
    <w:rsid w:val="00611974"/>
    <w:rsid w:val="00611C96"/>
    <w:rsid w:val="00611CE7"/>
    <w:rsid w:val="00612314"/>
    <w:rsid w:val="006129C9"/>
    <w:rsid w:val="006132C4"/>
    <w:rsid w:val="006133CC"/>
    <w:rsid w:val="006134BD"/>
    <w:rsid w:val="006139D5"/>
    <w:rsid w:val="00613BB5"/>
    <w:rsid w:val="00613FC2"/>
    <w:rsid w:val="00614F99"/>
    <w:rsid w:val="006156CF"/>
    <w:rsid w:val="006157FC"/>
    <w:rsid w:val="006159D7"/>
    <w:rsid w:val="0061663D"/>
    <w:rsid w:val="00616727"/>
    <w:rsid w:val="006168B2"/>
    <w:rsid w:val="006171FB"/>
    <w:rsid w:val="00617334"/>
    <w:rsid w:val="00617A36"/>
    <w:rsid w:val="00617D0B"/>
    <w:rsid w:val="00617E49"/>
    <w:rsid w:val="00620F0C"/>
    <w:rsid w:val="006210C3"/>
    <w:rsid w:val="00621684"/>
    <w:rsid w:val="0062184A"/>
    <w:rsid w:val="006218DC"/>
    <w:rsid w:val="00621ABC"/>
    <w:rsid w:val="00622B8E"/>
    <w:rsid w:val="00622D00"/>
    <w:rsid w:val="00622F9C"/>
    <w:rsid w:val="006231C8"/>
    <w:rsid w:val="00624142"/>
    <w:rsid w:val="0062419E"/>
    <w:rsid w:val="0062422F"/>
    <w:rsid w:val="00624927"/>
    <w:rsid w:val="00624D1E"/>
    <w:rsid w:val="006260F8"/>
    <w:rsid w:val="0062690D"/>
    <w:rsid w:val="00626984"/>
    <w:rsid w:val="00626E43"/>
    <w:rsid w:val="0062741C"/>
    <w:rsid w:val="00627926"/>
    <w:rsid w:val="00627E27"/>
    <w:rsid w:val="00627F0A"/>
    <w:rsid w:val="00630028"/>
    <w:rsid w:val="006303AD"/>
    <w:rsid w:val="006305BF"/>
    <w:rsid w:val="00630A73"/>
    <w:rsid w:val="00630A83"/>
    <w:rsid w:val="00630AD1"/>
    <w:rsid w:val="00630B60"/>
    <w:rsid w:val="00630E92"/>
    <w:rsid w:val="0063143B"/>
    <w:rsid w:val="00631810"/>
    <w:rsid w:val="006318DA"/>
    <w:rsid w:val="00631BC5"/>
    <w:rsid w:val="00631C45"/>
    <w:rsid w:val="006322D6"/>
    <w:rsid w:val="00632B09"/>
    <w:rsid w:val="00632B35"/>
    <w:rsid w:val="00632FF7"/>
    <w:rsid w:val="0063365A"/>
    <w:rsid w:val="006346C1"/>
    <w:rsid w:val="006347BA"/>
    <w:rsid w:val="00635349"/>
    <w:rsid w:val="006353DF"/>
    <w:rsid w:val="006356B0"/>
    <w:rsid w:val="00635E2F"/>
    <w:rsid w:val="006360C8"/>
    <w:rsid w:val="0063624B"/>
    <w:rsid w:val="00636849"/>
    <w:rsid w:val="006368EF"/>
    <w:rsid w:val="00636D64"/>
    <w:rsid w:val="00636FAE"/>
    <w:rsid w:val="00636FE5"/>
    <w:rsid w:val="00640125"/>
    <w:rsid w:val="00640A5A"/>
    <w:rsid w:val="00640A99"/>
    <w:rsid w:val="00640E44"/>
    <w:rsid w:val="00641249"/>
    <w:rsid w:val="00641590"/>
    <w:rsid w:val="0064170B"/>
    <w:rsid w:val="00641A96"/>
    <w:rsid w:val="00641C49"/>
    <w:rsid w:val="00641DD6"/>
    <w:rsid w:val="00642290"/>
    <w:rsid w:val="006424D5"/>
    <w:rsid w:val="006425AB"/>
    <w:rsid w:val="00642B7F"/>
    <w:rsid w:val="006433BA"/>
    <w:rsid w:val="00644554"/>
    <w:rsid w:val="0064467E"/>
    <w:rsid w:val="00644927"/>
    <w:rsid w:val="00644C7C"/>
    <w:rsid w:val="006450F3"/>
    <w:rsid w:val="00645F06"/>
    <w:rsid w:val="0064607A"/>
    <w:rsid w:val="00646197"/>
    <w:rsid w:val="0064649D"/>
    <w:rsid w:val="00646723"/>
    <w:rsid w:val="00646C0C"/>
    <w:rsid w:val="00646C86"/>
    <w:rsid w:val="00646E5A"/>
    <w:rsid w:val="006472C7"/>
    <w:rsid w:val="006476F9"/>
    <w:rsid w:val="006477D7"/>
    <w:rsid w:val="0065025B"/>
    <w:rsid w:val="006508B9"/>
    <w:rsid w:val="00650927"/>
    <w:rsid w:val="0065207A"/>
    <w:rsid w:val="006525B6"/>
    <w:rsid w:val="00652AD5"/>
    <w:rsid w:val="00652C3C"/>
    <w:rsid w:val="00652E61"/>
    <w:rsid w:val="00653452"/>
    <w:rsid w:val="00653655"/>
    <w:rsid w:val="00653D40"/>
    <w:rsid w:val="00654302"/>
    <w:rsid w:val="00654449"/>
    <w:rsid w:val="006547B1"/>
    <w:rsid w:val="006549BE"/>
    <w:rsid w:val="00654C7B"/>
    <w:rsid w:val="00654D8B"/>
    <w:rsid w:val="006552C7"/>
    <w:rsid w:val="00655C8C"/>
    <w:rsid w:val="00656BFF"/>
    <w:rsid w:val="0065742C"/>
    <w:rsid w:val="0065784B"/>
    <w:rsid w:val="00657F13"/>
    <w:rsid w:val="0066028C"/>
    <w:rsid w:val="00660F2E"/>
    <w:rsid w:val="006612D5"/>
    <w:rsid w:val="00661A7C"/>
    <w:rsid w:val="00661EFD"/>
    <w:rsid w:val="00662685"/>
    <w:rsid w:val="00662E8C"/>
    <w:rsid w:val="00663A9A"/>
    <w:rsid w:val="00663BB1"/>
    <w:rsid w:val="00663E5E"/>
    <w:rsid w:val="00663FA6"/>
    <w:rsid w:val="0066431B"/>
    <w:rsid w:val="006648EC"/>
    <w:rsid w:val="00664A03"/>
    <w:rsid w:val="00664AAF"/>
    <w:rsid w:val="00664BDD"/>
    <w:rsid w:val="00664FC0"/>
    <w:rsid w:val="00665EC5"/>
    <w:rsid w:val="00666662"/>
    <w:rsid w:val="00666A82"/>
    <w:rsid w:val="00666C01"/>
    <w:rsid w:val="00666F67"/>
    <w:rsid w:val="0066716E"/>
    <w:rsid w:val="00667450"/>
    <w:rsid w:val="00667D5A"/>
    <w:rsid w:val="00667F86"/>
    <w:rsid w:val="0067023B"/>
    <w:rsid w:val="0067053C"/>
    <w:rsid w:val="00670782"/>
    <w:rsid w:val="006717E4"/>
    <w:rsid w:val="006719B2"/>
    <w:rsid w:val="006719F5"/>
    <w:rsid w:val="00671AE3"/>
    <w:rsid w:val="006724C4"/>
    <w:rsid w:val="0067250E"/>
    <w:rsid w:val="00672C78"/>
    <w:rsid w:val="0067327D"/>
    <w:rsid w:val="0067367B"/>
    <w:rsid w:val="006737BA"/>
    <w:rsid w:val="0067401E"/>
    <w:rsid w:val="00674251"/>
    <w:rsid w:val="00674267"/>
    <w:rsid w:val="00674458"/>
    <w:rsid w:val="006745B3"/>
    <w:rsid w:val="0067463C"/>
    <w:rsid w:val="00674BBF"/>
    <w:rsid w:val="00674F20"/>
    <w:rsid w:val="00675220"/>
    <w:rsid w:val="00675336"/>
    <w:rsid w:val="006769A8"/>
    <w:rsid w:val="00676A8A"/>
    <w:rsid w:val="00676B49"/>
    <w:rsid w:val="00676D7E"/>
    <w:rsid w:val="006775F4"/>
    <w:rsid w:val="00677897"/>
    <w:rsid w:val="00677C4E"/>
    <w:rsid w:val="00677E2A"/>
    <w:rsid w:val="00680487"/>
    <w:rsid w:val="006804E4"/>
    <w:rsid w:val="00680ABD"/>
    <w:rsid w:val="00680E2D"/>
    <w:rsid w:val="00680E8B"/>
    <w:rsid w:val="00681528"/>
    <w:rsid w:val="00681B78"/>
    <w:rsid w:val="00681C2E"/>
    <w:rsid w:val="00682E29"/>
    <w:rsid w:val="006830DC"/>
    <w:rsid w:val="0068348C"/>
    <w:rsid w:val="006848B6"/>
    <w:rsid w:val="00684F95"/>
    <w:rsid w:val="00685880"/>
    <w:rsid w:val="00685883"/>
    <w:rsid w:val="00685FA3"/>
    <w:rsid w:val="00686230"/>
    <w:rsid w:val="0068629C"/>
    <w:rsid w:val="006863BF"/>
    <w:rsid w:val="006866F2"/>
    <w:rsid w:val="00686872"/>
    <w:rsid w:val="00686A96"/>
    <w:rsid w:val="00686AF0"/>
    <w:rsid w:val="00686E6E"/>
    <w:rsid w:val="00686EC3"/>
    <w:rsid w:val="00686FD2"/>
    <w:rsid w:val="0068748C"/>
    <w:rsid w:val="0068772F"/>
    <w:rsid w:val="00687952"/>
    <w:rsid w:val="00687E71"/>
    <w:rsid w:val="006906FA"/>
    <w:rsid w:val="00690CBC"/>
    <w:rsid w:val="00690D66"/>
    <w:rsid w:val="00690F38"/>
    <w:rsid w:val="006913A2"/>
    <w:rsid w:val="00691727"/>
    <w:rsid w:val="0069192C"/>
    <w:rsid w:val="0069195F"/>
    <w:rsid w:val="006920A0"/>
    <w:rsid w:val="0069239B"/>
    <w:rsid w:val="006924B9"/>
    <w:rsid w:val="00692529"/>
    <w:rsid w:val="006927BC"/>
    <w:rsid w:val="00692A03"/>
    <w:rsid w:val="00692A55"/>
    <w:rsid w:val="00692DCB"/>
    <w:rsid w:val="0069331F"/>
    <w:rsid w:val="006934A9"/>
    <w:rsid w:val="006935B8"/>
    <w:rsid w:val="006945D3"/>
    <w:rsid w:val="006948D6"/>
    <w:rsid w:val="00694A81"/>
    <w:rsid w:val="00694E3B"/>
    <w:rsid w:val="0069509B"/>
    <w:rsid w:val="006950B3"/>
    <w:rsid w:val="006958D6"/>
    <w:rsid w:val="00696165"/>
    <w:rsid w:val="0069775A"/>
    <w:rsid w:val="00697C83"/>
    <w:rsid w:val="00697E75"/>
    <w:rsid w:val="006A0068"/>
    <w:rsid w:val="006A0410"/>
    <w:rsid w:val="006A12F4"/>
    <w:rsid w:val="006A1796"/>
    <w:rsid w:val="006A1CD4"/>
    <w:rsid w:val="006A1FA1"/>
    <w:rsid w:val="006A22D2"/>
    <w:rsid w:val="006A2E25"/>
    <w:rsid w:val="006A3CA6"/>
    <w:rsid w:val="006A422F"/>
    <w:rsid w:val="006A4816"/>
    <w:rsid w:val="006A541A"/>
    <w:rsid w:val="006A55E2"/>
    <w:rsid w:val="006A5A96"/>
    <w:rsid w:val="006A6331"/>
    <w:rsid w:val="006A63F4"/>
    <w:rsid w:val="006A645F"/>
    <w:rsid w:val="006A71C6"/>
    <w:rsid w:val="006A7361"/>
    <w:rsid w:val="006A7BFF"/>
    <w:rsid w:val="006B00FD"/>
    <w:rsid w:val="006B0710"/>
    <w:rsid w:val="006B0DFB"/>
    <w:rsid w:val="006B0E24"/>
    <w:rsid w:val="006B1035"/>
    <w:rsid w:val="006B12F5"/>
    <w:rsid w:val="006B17E8"/>
    <w:rsid w:val="006B1CB5"/>
    <w:rsid w:val="006B1EAF"/>
    <w:rsid w:val="006B240B"/>
    <w:rsid w:val="006B279E"/>
    <w:rsid w:val="006B29B2"/>
    <w:rsid w:val="006B29D8"/>
    <w:rsid w:val="006B2D40"/>
    <w:rsid w:val="006B31D9"/>
    <w:rsid w:val="006B35B1"/>
    <w:rsid w:val="006B387C"/>
    <w:rsid w:val="006B3946"/>
    <w:rsid w:val="006B3B40"/>
    <w:rsid w:val="006B3CF4"/>
    <w:rsid w:val="006B420E"/>
    <w:rsid w:val="006B45C0"/>
    <w:rsid w:val="006B4FD9"/>
    <w:rsid w:val="006B5061"/>
    <w:rsid w:val="006B543B"/>
    <w:rsid w:val="006B55D9"/>
    <w:rsid w:val="006B59A0"/>
    <w:rsid w:val="006B6237"/>
    <w:rsid w:val="006B63D0"/>
    <w:rsid w:val="006B6416"/>
    <w:rsid w:val="006B75EC"/>
    <w:rsid w:val="006B7861"/>
    <w:rsid w:val="006B7DA7"/>
    <w:rsid w:val="006C008E"/>
    <w:rsid w:val="006C020D"/>
    <w:rsid w:val="006C02FB"/>
    <w:rsid w:val="006C03A6"/>
    <w:rsid w:val="006C03B1"/>
    <w:rsid w:val="006C0691"/>
    <w:rsid w:val="006C082C"/>
    <w:rsid w:val="006C0B5B"/>
    <w:rsid w:val="006C0F01"/>
    <w:rsid w:val="006C1252"/>
    <w:rsid w:val="006C130F"/>
    <w:rsid w:val="006C1541"/>
    <w:rsid w:val="006C171F"/>
    <w:rsid w:val="006C1BE1"/>
    <w:rsid w:val="006C1E88"/>
    <w:rsid w:val="006C1EAF"/>
    <w:rsid w:val="006C2191"/>
    <w:rsid w:val="006C225A"/>
    <w:rsid w:val="006C2550"/>
    <w:rsid w:val="006C2950"/>
    <w:rsid w:val="006C383C"/>
    <w:rsid w:val="006C403F"/>
    <w:rsid w:val="006C40C5"/>
    <w:rsid w:val="006C420A"/>
    <w:rsid w:val="006C450A"/>
    <w:rsid w:val="006C46EE"/>
    <w:rsid w:val="006C4889"/>
    <w:rsid w:val="006C4AB5"/>
    <w:rsid w:val="006C529C"/>
    <w:rsid w:val="006C557B"/>
    <w:rsid w:val="006C7786"/>
    <w:rsid w:val="006D1279"/>
    <w:rsid w:val="006D15FA"/>
    <w:rsid w:val="006D1A46"/>
    <w:rsid w:val="006D1DF0"/>
    <w:rsid w:val="006D21C9"/>
    <w:rsid w:val="006D2308"/>
    <w:rsid w:val="006D23D6"/>
    <w:rsid w:val="006D23F1"/>
    <w:rsid w:val="006D26FE"/>
    <w:rsid w:val="006D2865"/>
    <w:rsid w:val="006D2EA1"/>
    <w:rsid w:val="006D2F6F"/>
    <w:rsid w:val="006D30A8"/>
    <w:rsid w:val="006D30C0"/>
    <w:rsid w:val="006D3E1E"/>
    <w:rsid w:val="006D3E7D"/>
    <w:rsid w:val="006D3ED2"/>
    <w:rsid w:val="006D3FFF"/>
    <w:rsid w:val="006D414A"/>
    <w:rsid w:val="006D4B0D"/>
    <w:rsid w:val="006D4E8E"/>
    <w:rsid w:val="006D5674"/>
    <w:rsid w:val="006D569B"/>
    <w:rsid w:val="006D5A4B"/>
    <w:rsid w:val="006D5BEC"/>
    <w:rsid w:val="006D620D"/>
    <w:rsid w:val="006D6579"/>
    <w:rsid w:val="006D6C9F"/>
    <w:rsid w:val="006D6D55"/>
    <w:rsid w:val="006D6D6C"/>
    <w:rsid w:val="006D706F"/>
    <w:rsid w:val="006D7319"/>
    <w:rsid w:val="006D7382"/>
    <w:rsid w:val="006D75BB"/>
    <w:rsid w:val="006D7B1F"/>
    <w:rsid w:val="006E0205"/>
    <w:rsid w:val="006E0641"/>
    <w:rsid w:val="006E1906"/>
    <w:rsid w:val="006E1BF7"/>
    <w:rsid w:val="006E2D0E"/>
    <w:rsid w:val="006E38F4"/>
    <w:rsid w:val="006E3C9C"/>
    <w:rsid w:val="006E3ECD"/>
    <w:rsid w:val="006E3EDD"/>
    <w:rsid w:val="006E4114"/>
    <w:rsid w:val="006E4342"/>
    <w:rsid w:val="006E4445"/>
    <w:rsid w:val="006E4564"/>
    <w:rsid w:val="006E488C"/>
    <w:rsid w:val="006E4B0B"/>
    <w:rsid w:val="006E4DD7"/>
    <w:rsid w:val="006E4E49"/>
    <w:rsid w:val="006E4F27"/>
    <w:rsid w:val="006E4FC9"/>
    <w:rsid w:val="006E54FE"/>
    <w:rsid w:val="006E5D67"/>
    <w:rsid w:val="006E6770"/>
    <w:rsid w:val="006E680A"/>
    <w:rsid w:val="006E69E0"/>
    <w:rsid w:val="006E6E39"/>
    <w:rsid w:val="006E7153"/>
    <w:rsid w:val="006E7B03"/>
    <w:rsid w:val="006E7FCF"/>
    <w:rsid w:val="006F00D1"/>
    <w:rsid w:val="006F00D8"/>
    <w:rsid w:val="006F03DF"/>
    <w:rsid w:val="006F0F9A"/>
    <w:rsid w:val="006F1114"/>
    <w:rsid w:val="006F1C25"/>
    <w:rsid w:val="006F1EC1"/>
    <w:rsid w:val="006F2ADF"/>
    <w:rsid w:val="006F2AE8"/>
    <w:rsid w:val="006F3014"/>
    <w:rsid w:val="006F31B5"/>
    <w:rsid w:val="006F3BA4"/>
    <w:rsid w:val="006F3E43"/>
    <w:rsid w:val="006F4192"/>
    <w:rsid w:val="006F48ED"/>
    <w:rsid w:val="006F4A2D"/>
    <w:rsid w:val="006F4F1E"/>
    <w:rsid w:val="006F50C6"/>
    <w:rsid w:val="006F515E"/>
    <w:rsid w:val="006F5372"/>
    <w:rsid w:val="006F62CE"/>
    <w:rsid w:val="006F65EF"/>
    <w:rsid w:val="006F6734"/>
    <w:rsid w:val="006F6BBA"/>
    <w:rsid w:val="006F6E57"/>
    <w:rsid w:val="006F6EA2"/>
    <w:rsid w:val="006F7653"/>
    <w:rsid w:val="006F76AB"/>
    <w:rsid w:val="006F7903"/>
    <w:rsid w:val="006F7E18"/>
    <w:rsid w:val="00700686"/>
    <w:rsid w:val="00700949"/>
    <w:rsid w:val="007009F8"/>
    <w:rsid w:val="00700B2F"/>
    <w:rsid w:val="00700D76"/>
    <w:rsid w:val="00701481"/>
    <w:rsid w:val="007019E8"/>
    <w:rsid w:val="00702079"/>
    <w:rsid w:val="0070278F"/>
    <w:rsid w:val="00702803"/>
    <w:rsid w:val="00702BBF"/>
    <w:rsid w:val="00702DFE"/>
    <w:rsid w:val="007038BF"/>
    <w:rsid w:val="00703C4D"/>
    <w:rsid w:val="0070499A"/>
    <w:rsid w:val="00704D49"/>
    <w:rsid w:val="007059CB"/>
    <w:rsid w:val="00705A65"/>
    <w:rsid w:val="00705DAE"/>
    <w:rsid w:val="00706C7E"/>
    <w:rsid w:val="007100F5"/>
    <w:rsid w:val="007105A1"/>
    <w:rsid w:val="00710A88"/>
    <w:rsid w:val="00710FB1"/>
    <w:rsid w:val="0071122D"/>
    <w:rsid w:val="007117DA"/>
    <w:rsid w:val="00711B8D"/>
    <w:rsid w:val="007126AC"/>
    <w:rsid w:val="007132A2"/>
    <w:rsid w:val="007133F2"/>
    <w:rsid w:val="007135FD"/>
    <w:rsid w:val="007139B3"/>
    <w:rsid w:val="00713D8C"/>
    <w:rsid w:val="00714BFC"/>
    <w:rsid w:val="007150AC"/>
    <w:rsid w:val="00715274"/>
    <w:rsid w:val="007152CE"/>
    <w:rsid w:val="00715315"/>
    <w:rsid w:val="0071552B"/>
    <w:rsid w:val="00715EF6"/>
    <w:rsid w:val="00716A15"/>
    <w:rsid w:val="00717A00"/>
    <w:rsid w:val="00717A70"/>
    <w:rsid w:val="00720268"/>
    <w:rsid w:val="00720558"/>
    <w:rsid w:val="007205CB"/>
    <w:rsid w:val="00720618"/>
    <w:rsid w:val="00720646"/>
    <w:rsid w:val="00721217"/>
    <w:rsid w:val="0072139F"/>
    <w:rsid w:val="00721677"/>
    <w:rsid w:val="0072205B"/>
    <w:rsid w:val="0072234A"/>
    <w:rsid w:val="00722383"/>
    <w:rsid w:val="00722434"/>
    <w:rsid w:val="0072298E"/>
    <w:rsid w:val="00722B28"/>
    <w:rsid w:val="00722B64"/>
    <w:rsid w:val="007234C3"/>
    <w:rsid w:val="00723581"/>
    <w:rsid w:val="00723AB0"/>
    <w:rsid w:val="00723CA5"/>
    <w:rsid w:val="007247B6"/>
    <w:rsid w:val="00724E07"/>
    <w:rsid w:val="0072519E"/>
    <w:rsid w:val="007252ED"/>
    <w:rsid w:val="007259D4"/>
    <w:rsid w:val="00725E23"/>
    <w:rsid w:val="00725EE2"/>
    <w:rsid w:val="00726F2F"/>
    <w:rsid w:val="0072708B"/>
    <w:rsid w:val="00727683"/>
    <w:rsid w:val="007279C3"/>
    <w:rsid w:val="007300C1"/>
    <w:rsid w:val="00730203"/>
    <w:rsid w:val="0073026B"/>
    <w:rsid w:val="0073062C"/>
    <w:rsid w:val="00730A77"/>
    <w:rsid w:val="00730FBB"/>
    <w:rsid w:val="007313CA"/>
    <w:rsid w:val="007320E0"/>
    <w:rsid w:val="007323B1"/>
    <w:rsid w:val="007325D7"/>
    <w:rsid w:val="00732725"/>
    <w:rsid w:val="007329F0"/>
    <w:rsid w:val="00732C59"/>
    <w:rsid w:val="00733206"/>
    <w:rsid w:val="00734016"/>
    <w:rsid w:val="00734286"/>
    <w:rsid w:val="0073444A"/>
    <w:rsid w:val="007344E0"/>
    <w:rsid w:val="00734D84"/>
    <w:rsid w:val="0073732A"/>
    <w:rsid w:val="00737651"/>
    <w:rsid w:val="00740281"/>
    <w:rsid w:val="007403F6"/>
    <w:rsid w:val="007405F3"/>
    <w:rsid w:val="007407E7"/>
    <w:rsid w:val="0074141E"/>
    <w:rsid w:val="007415CB"/>
    <w:rsid w:val="00741A6A"/>
    <w:rsid w:val="00741DA1"/>
    <w:rsid w:val="00741FCA"/>
    <w:rsid w:val="007421C2"/>
    <w:rsid w:val="00742297"/>
    <w:rsid w:val="007422AA"/>
    <w:rsid w:val="007429BB"/>
    <w:rsid w:val="00743138"/>
    <w:rsid w:val="007431DB"/>
    <w:rsid w:val="007434A8"/>
    <w:rsid w:val="00743FDD"/>
    <w:rsid w:val="00744043"/>
    <w:rsid w:val="00744695"/>
    <w:rsid w:val="007449D0"/>
    <w:rsid w:val="00745059"/>
    <w:rsid w:val="007451E5"/>
    <w:rsid w:val="00745B30"/>
    <w:rsid w:val="00746B25"/>
    <w:rsid w:val="00746CAE"/>
    <w:rsid w:val="00746D1D"/>
    <w:rsid w:val="007475BD"/>
    <w:rsid w:val="00747602"/>
    <w:rsid w:val="007478A5"/>
    <w:rsid w:val="00747D5C"/>
    <w:rsid w:val="00747DBB"/>
    <w:rsid w:val="007502D8"/>
    <w:rsid w:val="007507AF"/>
    <w:rsid w:val="00750EDC"/>
    <w:rsid w:val="00751123"/>
    <w:rsid w:val="00751CF1"/>
    <w:rsid w:val="0075317F"/>
    <w:rsid w:val="007532D9"/>
    <w:rsid w:val="00753311"/>
    <w:rsid w:val="0075347E"/>
    <w:rsid w:val="007535C2"/>
    <w:rsid w:val="007535E7"/>
    <w:rsid w:val="007544DB"/>
    <w:rsid w:val="0075690A"/>
    <w:rsid w:val="007573CF"/>
    <w:rsid w:val="007573D1"/>
    <w:rsid w:val="00757636"/>
    <w:rsid w:val="00757676"/>
    <w:rsid w:val="007578CC"/>
    <w:rsid w:val="00757D5D"/>
    <w:rsid w:val="0076094B"/>
    <w:rsid w:val="00760AA9"/>
    <w:rsid w:val="00760F9A"/>
    <w:rsid w:val="0076136B"/>
    <w:rsid w:val="00762376"/>
    <w:rsid w:val="00762B8C"/>
    <w:rsid w:val="00762FAA"/>
    <w:rsid w:val="007633C5"/>
    <w:rsid w:val="00763D09"/>
    <w:rsid w:val="00763ECE"/>
    <w:rsid w:val="00763F01"/>
    <w:rsid w:val="007641D6"/>
    <w:rsid w:val="00764701"/>
    <w:rsid w:val="00764752"/>
    <w:rsid w:val="00764854"/>
    <w:rsid w:val="00764A10"/>
    <w:rsid w:val="007650B7"/>
    <w:rsid w:val="007664EB"/>
    <w:rsid w:val="00766BC5"/>
    <w:rsid w:val="00766D04"/>
    <w:rsid w:val="007670A4"/>
    <w:rsid w:val="0076711A"/>
    <w:rsid w:val="007676FE"/>
    <w:rsid w:val="007679B0"/>
    <w:rsid w:val="00767A3C"/>
    <w:rsid w:val="00767CA3"/>
    <w:rsid w:val="00770066"/>
    <w:rsid w:val="007707E0"/>
    <w:rsid w:val="007709CA"/>
    <w:rsid w:val="0077100F"/>
    <w:rsid w:val="00771090"/>
    <w:rsid w:val="00771F60"/>
    <w:rsid w:val="0077216A"/>
    <w:rsid w:val="00772785"/>
    <w:rsid w:val="00772800"/>
    <w:rsid w:val="00772F62"/>
    <w:rsid w:val="007732AD"/>
    <w:rsid w:val="00773445"/>
    <w:rsid w:val="00773726"/>
    <w:rsid w:val="00773B4D"/>
    <w:rsid w:val="00773B6E"/>
    <w:rsid w:val="00773DC7"/>
    <w:rsid w:val="00774204"/>
    <w:rsid w:val="0077448F"/>
    <w:rsid w:val="007748AA"/>
    <w:rsid w:val="00774927"/>
    <w:rsid w:val="007752DC"/>
    <w:rsid w:val="00775AB3"/>
    <w:rsid w:val="00775F74"/>
    <w:rsid w:val="00775F86"/>
    <w:rsid w:val="00776AE5"/>
    <w:rsid w:val="00776D89"/>
    <w:rsid w:val="00777068"/>
    <w:rsid w:val="00777298"/>
    <w:rsid w:val="007779B3"/>
    <w:rsid w:val="00777CEA"/>
    <w:rsid w:val="00780009"/>
    <w:rsid w:val="00780363"/>
    <w:rsid w:val="007804EE"/>
    <w:rsid w:val="007809DA"/>
    <w:rsid w:val="00781616"/>
    <w:rsid w:val="00781688"/>
    <w:rsid w:val="00781959"/>
    <w:rsid w:val="00781D7C"/>
    <w:rsid w:val="00781FA9"/>
    <w:rsid w:val="00782597"/>
    <w:rsid w:val="00782782"/>
    <w:rsid w:val="00782994"/>
    <w:rsid w:val="00782A8C"/>
    <w:rsid w:val="00783D9B"/>
    <w:rsid w:val="00783EF1"/>
    <w:rsid w:val="00783EF5"/>
    <w:rsid w:val="00783FA7"/>
    <w:rsid w:val="00784103"/>
    <w:rsid w:val="007842C8"/>
    <w:rsid w:val="0078487E"/>
    <w:rsid w:val="00784B0B"/>
    <w:rsid w:val="007856F3"/>
    <w:rsid w:val="0078573A"/>
    <w:rsid w:val="00785912"/>
    <w:rsid w:val="00785D4B"/>
    <w:rsid w:val="00785ED7"/>
    <w:rsid w:val="0078606A"/>
    <w:rsid w:val="007860E8"/>
    <w:rsid w:val="007864DA"/>
    <w:rsid w:val="00786808"/>
    <w:rsid w:val="00786D14"/>
    <w:rsid w:val="00786EE2"/>
    <w:rsid w:val="00787107"/>
    <w:rsid w:val="0078768B"/>
    <w:rsid w:val="00787B82"/>
    <w:rsid w:val="00790255"/>
    <w:rsid w:val="00791039"/>
    <w:rsid w:val="0079109F"/>
    <w:rsid w:val="0079142A"/>
    <w:rsid w:val="007921BC"/>
    <w:rsid w:val="00792C96"/>
    <w:rsid w:val="00793042"/>
    <w:rsid w:val="0079306C"/>
    <w:rsid w:val="007932D2"/>
    <w:rsid w:val="00793699"/>
    <w:rsid w:val="00793840"/>
    <w:rsid w:val="00793CBA"/>
    <w:rsid w:val="007940B2"/>
    <w:rsid w:val="007943E0"/>
    <w:rsid w:val="007946BA"/>
    <w:rsid w:val="00794DB1"/>
    <w:rsid w:val="00795AB5"/>
    <w:rsid w:val="00795E02"/>
    <w:rsid w:val="00795F7D"/>
    <w:rsid w:val="00796306"/>
    <w:rsid w:val="0079635D"/>
    <w:rsid w:val="0079678E"/>
    <w:rsid w:val="00796925"/>
    <w:rsid w:val="00796C7D"/>
    <w:rsid w:val="00796EA6"/>
    <w:rsid w:val="00796EEA"/>
    <w:rsid w:val="00797196"/>
    <w:rsid w:val="00797969"/>
    <w:rsid w:val="00797972"/>
    <w:rsid w:val="00797E60"/>
    <w:rsid w:val="007A01CC"/>
    <w:rsid w:val="007A0568"/>
    <w:rsid w:val="007A08B7"/>
    <w:rsid w:val="007A132A"/>
    <w:rsid w:val="007A1336"/>
    <w:rsid w:val="007A1534"/>
    <w:rsid w:val="007A1C93"/>
    <w:rsid w:val="007A219B"/>
    <w:rsid w:val="007A2471"/>
    <w:rsid w:val="007A2B37"/>
    <w:rsid w:val="007A34FD"/>
    <w:rsid w:val="007A362F"/>
    <w:rsid w:val="007A3692"/>
    <w:rsid w:val="007A3C87"/>
    <w:rsid w:val="007A4671"/>
    <w:rsid w:val="007A488E"/>
    <w:rsid w:val="007A4AAB"/>
    <w:rsid w:val="007A4E89"/>
    <w:rsid w:val="007A4EC4"/>
    <w:rsid w:val="007A5F3B"/>
    <w:rsid w:val="007A641C"/>
    <w:rsid w:val="007A671D"/>
    <w:rsid w:val="007A6825"/>
    <w:rsid w:val="007A6D83"/>
    <w:rsid w:val="007A72D8"/>
    <w:rsid w:val="007A737D"/>
    <w:rsid w:val="007A738E"/>
    <w:rsid w:val="007A768C"/>
    <w:rsid w:val="007A79B8"/>
    <w:rsid w:val="007A79FA"/>
    <w:rsid w:val="007A7C18"/>
    <w:rsid w:val="007B0790"/>
    <w:rsid w:val="007B1639"/>
    <w:rsid w:val="007B17B8"/>
    <w:rsid w:val="007B1E7C"/>
    <w:rsid w:val="007B2389"/>
    <w:rsid w:val="007B25B3"/>
    <w:rsid w:val="007B283F"/>
    <w:rsid w:val="007B3851"/>
    <w:rsid w:val="007B3EBE"/>
    <w:rsid w:val="007B4366"/>
    <w:rsid w:val="007B449F"/>
    <w:rsid w:val="007B4C32"/>
    <w:rsid w:val="007B5121"/>
    <w:rsid w:val="007B5223"/>
    <w:rsid w:val="007B52F1"/>
    <w:rsid w:val="007B5855"/>
    <w:rsid w:val="007B6658"/>
    <w:rsid w:val="007B66AF"/>
    <w:rsid w:val="007B6AE2"/>
    <w:rsid w:val="007B70FC"/>
    <w:rsid w:val="007B73CB"/>
    <w:rsid w:val="007B763E"/>
    <w:rsid w:val="007B76A8"/>
    <w:rsid w:val="007B77FB"/>
    <w:rsid w:val="007C0490"/>
    <w:rsid w:val="007C07EE"/>
    <w:rsid w:val="007C0980"/>
    <w:rsid w:val="007C119A"/>
    <w:rsid w:val="007C11A3"/>
    <w:rsid w:val="007C12E0"/>
    <w:rsid w:val="007C154A"/>
    <w:rsid w:val="007C1C81"/>
    <w:rsid w:val="007C2245"/>
    <w:rsid w:val="007C2498"/>
    <w:rsid w:val="007C2758"/>
    <w:rsid w:val="007C295D"/>
    <w:rsid w:val="007C2ACF"/>
    <w:rsid w:val="007C2C03"/>
    <w:rsid w:val="007C2F94"/>
    <w:rsid w:val="007C3329"/>
    <w:rsid w:val="007C33E2"/>
    <w:rsid w:val="007C3504"/>
    <w:rsid w:val="007C3570"/>
    <w:rsid w:val="007C44DC"/>
    <w:rsid w:val="007C4B64"/>
    <w:rsid w:val="007C4C02"/>
    <w:rsid w:val="007C4D52"/>
    <w:rsid w:val="007C501A"/>
    <w:rsid w:val="007C513A"/>
    <w:rsid w:val="007C60B2"/>
    <w:rsid w:val="007C612D"/>
    <w:rsid w:val="007C64FD"/>
    <w:rsid w:val="007C66ED"/>
    <w:rsid w:val="007C6E14"/>
    <w:rsid w:val="007C6EAC"/>
    <w:rsid w:val="007C70EB"/>
    <w:rsid w:val="007C7AEF"/>
    <w:rsid w:val="007D0128"/>
    <w:rsid w:val="007D01F6"/>
    <w:rsid w:val="007D0591"/>
    <w:rsid w:val="007D08AE"/>
    <w:rsid w:val="007D0CA3"/>
    <w:rsid w:val="007D1018"/>
    <w:rsid w:val="007D14FE"/>
    <w:rsid w:val="007D181E"/>
    <w:rsid w:val="007D1F28"/>
    <w:rsid w:val="007D206A"/>
    <w:rsid w:val="007D2333"/>
    <w:rsid w:val="007D24F6"/>
    <w:rsid w:val="007D29DB"/>
    <w:rsid w:val="007D2C12"/>
    <w:rsid w:val="007D300C"/>
    <w:rsid w:val="007D30D2"/>
    <w:rsid w:val="007D375A"/>
    <w:rsid w:val="007D3909"/>
    <w:rsid w:val="007D3EF4"/>
    <w:rsid w:val="007D4CEC"/>
    <w:rsid w:val="007D511B"/>
    <w:rsid w:val="007D5699"/>
    <w:rsid w:val="007D69D5"/>
    <w:rsid w:val="007D6DA5"/>
    <w:rsid w:val="007D6FA9"/>
    <w:rsid w:val="007D7118"/>
    <w:rsid w:val="007D7183"/>
    <w:rsid w:val="007D77D6"/>
    <w:rsid w:val="007E03E3"/>
    <w:rsid w:val="007E050D"/>
    <w:rsid w:val="007E1164"/>
    <w:rsid w:val="007E18BB"/>
    <w:rsid w:val="007E1F57"/>
    <w:rsid w:val="007E3273"/>
    <w:rsid w:val="007E364A"/>
    <w:rsid w:val="007E3DCE"/>
    <w:rsid w:val="007E3FCF"/>
    <w:rsid w:val="007E4183"/>
    <w:rsid w:val="007E5071"/>
    <w:rsid w:val="007E524F"/>
    <w:rsid w:val="007E5C7F"/>
    <w:rsid w:val="007E6C5B"/>
    <w:rsid w:val="007E6F71"/>
    <w:rsid w:val="007E7429"/>
    <w:rsid w:val="007E7515"/>
    <w:rsid w:val="007E75C1"/>
    <w:rsid w:val="007E7C9E"/>
    <w:rsid w:val="007E7D55"/>
    <w:rsid w:val="007E7D81"/>
    <w:rsid w:val="007F0671"/>
    <w:rsid w:val="007F0795"/>
    <w:rsid w:val="007F0885"/>
    <w:rsid w:val="007F1048"/>
    <w:rsid w:val="007F13B6"/>
    <w:rsid w:val="007F14DC"/>
    <w:rsid w:val="007F192C"/>
    <w:rsid w:val="007F1F66"/>
    <w:rsid w:val="007F1FA8"/>
    <w:rsid w:val="007F24F0"/>
    <w:rsid w:val="007F30E7"/>
    <w:rsid w:val="007F3BB0"/>
    <w:rsid w:val="007F41EA"/>
    <w:rsid w:val="007F42DF"/>
    <w:rsid w:val="007F499D"/>
    <w:rsid w:val="007F4B72"/>
    <w:rsid w:val="007F4E84"/>
    <w:rsid w:val="007F5003"/>
    <w:rsid w:val="007F5D4F"/>
    <w:rsid w:val="007F6292"/>
    <w:rsid w:val="007F6B11"/>
    <w:rsid w:val="007F7311"/>
    <w:rsid w:val="007F738F"/>
    <w:rsid w:val="007F7684"/>
    <w:rsid w:val="007F7C0B"/>
    <w:rsid w:val="008000C8"/>
    <w:rsid w:val="00800654"/>
    <w:rsid w:val="008018D0"/>
    <w:rsid w:val="00802381"/>
    <w:rsid w:val="00802702"/>
    <w:rsid w:val="00802C7A"/>
    <w:rsid w:val="00802DCC"/>
    <w:rsid w:val="00803157"/>
    <w:rsid w:val="008032F2"/>
    <w:rsid w:val="00803501"/>
    <w:rsid w:val="0080380A"/>
    <w:rsid w:val="0080390C"/>
    <w:rsid w:val="00803A74"/>
    <w:rsid w:val="00803EA1"/>
    <w:rsid w:val="0080500D"/>
    <w:rsid w:val="00805312"/>
    <w:rsid w:val="00805F8B"/>
    <w:rsid w:val="008060D4"/>
    <w:rsid w:val="008067FF"/>
    <w:rsid w:val="00806B5D"/>
    <w:rsid w:val="00807109"/>
    <w:rsid w:val="00807651"/>
    <w:rsid w:val="008079D6"/>
    <w:rsid w:val="00807DAE"/>
    <w:rsid w:val="00807E2A"/>
    <w:rsid w:val="00807FB6"/>
    <w:rsid w:val="008101F0"/>
    <w:rsid w:val="008102E4"/>
    <w:rsid w:val="00810572"/>
    <w:rsid w:val="00810AD5"/>
    <w:rsid w:val="00810F5A"/>
    <w:rsid w:val="008112E2"/>
    <w:rsid w:val="00811984"/>
    <w:rsid w:val="00811A65"/>
    <w:rsid w:val="00811BD9"/>
    <w:rsid w:val="0081237D"/>
    <w:rsid w:val="00812604"/>
    <w:rsid w:val="00812BA3"/>
    <w:rsid w:val="00812C69"/>
    <w:rsid w:val="00812E22"/>
    <w:rsid w:val="008135D1"/>
    <w:rsid w:val="0081397A"/>
    <w:rsid w:val="00813EE7"/>
    <w:rsid w:val="008141AC"/>
    <w:rsid w:val="0081502D"/>
    <w:rsid w:val="00815164"/>
    <w:rsid w:val="00815C5C"/>
    <w:rsid w:val="00815E2B"/>
    <w:rsid w:val="00816002"/>
    <w:rsid w:val="00816203"/>
    <w:rsid w:val="00816454"/>
    <w:rsid w:val="00816952"/>
    <w:rsid w:val="00816A25"/>
    <w:rsid w:val="00816B11"/>
    <w:rsid w:val="00816F6B"/>
    <w:rsid w:val="00817041"/>
    <w:rsid w:val="00817089"/>
    <w:rsid w:val="0081730F"/>
    <w:rsid w:val="0081762A"/>
    <w:rsid w:val="008178C9"/>
    <w:rsid w:val="00817C35"/>
    <w:rsid w:val="00817ED6"/>
    <w:rsid w:val="00820044"/>
    <w:rsid w:val="008206E6"/>
    <w:rsid w:val="008206EA"/>
    <w:rsid w:val="00821576"/>
    <w:rsid w:val="008217CB"/>
    <w:rsid w:val="00821E7C"/>
    <w:rsid w:val="0082205C"/>
    <w:rsid w:val="0082275F"/>
    <w:rsid w:val="00823950"/>
    <w:rsid w:val="00823E24"/>
    <w:rsid w:val="00823F06"/>
    <w:rsid w:val="008249B1"/>
    <w:rsid w:val="00824E8C"/>
    <w:rsid w:val="00824FA4"/>
    <w:rsid w:val="00825B79"/>
    <w:rsid w:val="00825C82"/>
    <w:rsid w:val="00825F00"/>
    <w:rsid w:val="00826434"/>
    <w:rsid w:val="0082647D"/>
    <w:rsid w:val="0082654A"/>
    <w:rsid w:val="00826AF2"/>
    <w:rsid w:val="00826DBC"/>
    <w:rsid w:val="008270D1"/>
    <w:rsid w:val="008270D7"/>
    <w:rsid w:val="00827CF9"/>
    <w:rsid w:val="00827D18"/>
    <w:rsid w:val="008302A0"/>
    <w:rsid w:val="008304A5"/>
    <w:rsid w:val="008309A9"/>
    <w:rsid w:val="00830EA4"/>
    <w:rsid w:val="00831240"/>
    <w:rsid w:val="00831717"/>
    <w:rsid w:val="008322F0"/>
    <w:rsid w:val="008326BF"/>
    <w:rsid w:val="00833689"/>
    <w:rsid w:val="00833DDD"/>
    <w:rsid w:val="0083479D"/>
    <w:rsid w:val="00834A97"/>
    <w:rsid w:val="00834F11"/>
    <w:rsid w:val="008357CA"/>
    <w:rsid w:val="00835813"/>
    <w:rsid w:val="00835908"/>
    <w:rsid w:val="008359AA"/>
    <w:rsid w:val="00835F6B"/>
    <w:rsid w:val="008361A2"/>
    <w:rsid w:val="0083673D"/>
    <w:rsid w:val="00836F1F"/>
    <w:rsid w:val="00837323"/>
    <w:rsid w:val="00840351"/>
    <w:rsid w:val="00840375"/>
    <w:rsid w:val="00840696"/>
    <w:rsid w:val="00840A13"/>
    <w:rsid w:val="00840BAF"/>
    <w:rsid w:val="0084119E"/>
    <w:rsid w:val="00842475"/>
    <w:rsid w:val="00842D48"/>
    <w:rsid w:val="008431E6"/>
    <w:rsid w:val="00843299"/>
    <w:rsid w:val="008435AD"/>
    <w:rsid w:val="00843DFE"/>
    <w:rsid w:val="008445F3"/>
    <w:rsid w:val="008446DB"/>
    <w:rsid w:val="008446F3"/>
    <w:rsid w:val="00844750"/>
    <w:rsid w:val="008456A0"/>
    <w:rsid w:val="008456E5"/>
    <w:rsid w:val="00845ADE"/>
    <w:rsid w:val="0084638E"/>
    <w:rsid w:val="0084650D"/>
    <w:rsid w:val="00846637"/>
    <w:rsid w:val="00846A8F"/>
    <w:rsid w:val="00846B1C"/>
    <w:rsid w:val="00846CD6"/>
    <w:rsid w:val="00847089"/>
    <w:rsid w:val="0084742A"/>
    <w:rsid w:val="00847922"/>
    <w:rsid w:val="00847B09"/>
    <w:rsid w:val="00847F98"/>
    <w:rsid w:val="008504C0"/>
    <w:rsid w:val="008504ED"/>
    <w:rsid w:val="00850ABE"/>
    <w:rsid w:val="008511F9"/>
    <w:rsid w:val="00851B3E"/>
    <w:rsid w:val="00851B7F"/>
    <w:rsid w:val="00852A02"/>
    <w:rsid w:val="00852A2C"/>
    <w:rsid w:val="00852CA4"/>
    <w:rsid w:val="008533DA"/>
    <w:rsid w:val="008536B7"/>
    <w:rsid w:val="008537B8"/>
    <w:rsid w:val="00853B04"/>
    <w:rsid w:val="00853C5E"/>
    <w:rsid w:val="00853D6D"/>
    <w:rsid w:val="008540E8"/>
    <w:rsid w:val="00854238"/>
    <w:rsid w:val="00854592"/>
    <w:rsid w:val="008548A9"/>
    <w:rsid w:val="00854C60"/>
    <w:rsid w:val="00854F6F"/>
    <w:rsid w:val="0085569F"/>
    <w:rsid w:val="008566E2"/>
    <w:rsid w:val="00856F00"/>
    <w:rsid w:val="00856FCD"/>
    <w:rsid w:val="0085713D"/>
    <w:rsid w:val="008571DA"/>
    <w:rsid w:val="00857965"/>
    <w:rsid w:val="00857B44"/>
    <w:rsid w:val="00857B90"/>
    <w:rsid w:val="00857EE8"/>
    <w:rsid w:val="008601DD"/>
    <w:rsid w:val="008606EF"/>
    <w:rsid w:val="0086075A"/>
    <w:rsid w:val="00860BC1"/>
    <w:rsid w:val="008614DC"/>
    <w:rsid w:val="008618BC"/>
    <w:rsid w:val="00861E0E"/>
    <w:rsid w:val="008620F6"/>
    <w:rsid w:val="00862358"/>
    <w:rsid w:val="008623A5"/>
    <w:rsid w:val="00862624"/>
    <w:rsid w:val="00862936"/>
    <w:rsid w:val="00863729"/>
    <w:rsid w:val="008637D7"/>
    <w:rsid w:val="0086393C"/>
    <w:rsid w:val="00865053"/>
    <w:rsid w:val="00865778"/>
    <w:rsid w:val="008663D0"/>
    <w:rsid w:val="00866DB1"/>
    <w:rsid w:val="00866FEE"/>
    <w:rsid w:val="008672E9"/>
    <w:rsid w:val="00867AA8"/>
    <w:rsid w:val="0087012E"/>
    <w:rsid w:val="00870166"/>
    <w:rsid w:val="00870413"/>
    <w:rsid w:val="00870A20"/>
    <w:rsid w:val="00870A50"/>
    <w:rsid w:val="00870EE6"/>
    <w:rsid w:val="008711AC"/>
    <w:rsid w:val="0087139F"/>
    <w:rsid w:val="008713D9"/>
    <w:rsid w:val="00871B37"/>
    <w:rsid w:val="0087322E"/>
    <w:rsid w:val="008732B2"/>
    <w:rsid w:val="008732C1"/>
    <w:rsid w:val="008734A4"/>
    <w:rsid w:val="00873879"/>
    <w:rsid w:val="00873C58"/>
    <w:rsid w:val="00874279"/>
    <w:rsid w:val="008742C4"/>
    <w:rsid w:val="008743EC"/>
    <w:rsid w:val="00874996"/>
    <w:rsid w:val="00874DA7"/>
    <w:rsid w:val="00874DEE"/>
    <w:rsid w:val="008752D8"/>
    <w:rsid w:val="00875632"/>
    <w:rsid w:val="00875BD9"/>
    <w:rsid w:val="00875DD0"/>
    <w:rsid w:val="008763D7"/>
    <w:rsid w:val="0087662E"/>
    <w:rsid w:val="00876645"/>
    <w:rsid w:val="00876CF5"/>
    <w:rsid w:val="00877155"/>
    <w:rsid w:val="00877334"/>
    <w:rsid w:val="0087734D"/>
    <w:rsid w:val="00877575"/>
    <w:rsid w:val="00877660"/>
    <w:rsid w:val="00877721"/>
    <w:rsid w:val="008807F6"/>
    <w:rsid w:val="008812B7"/>
    <w:rsid w:val="00881359"/>
    <w:rsid w:val="008815F2"/>
    <w:rsid w:val="00881DD8"/>
    <w:rsid w:val="00882237"/>
    <w:rsid w:val="00883653"/>
    <w:rsid w:val="00883712"/>
    <w:rsid w:val="008837A7"/>
    <w:rsid w:val="00884B70"/>
    <w:rsid w:val="0088554F"/>
    <w:rsid w:val="00885771"/>
    <w:rsid w:val="00885AFA"/>
    <w:rsid w:val="00885E5B"/>
    <w:rsid w:val="00885FB7"/>
    <w:rsid w:val="00886563"/>
    <w:rsid w:val="00887078"/>
    <w:rsid w:val="008873B1"/>
    <w:rsid w:val="00887453"/>
    <w:rsid w:val="00887620"/>
    <w:rsid w:val="00887CCF"/>
    <w:rsid w:val="0089019B"/>
    <w:rsid w:val="00890529"/>
    <w:rsid w:val="00890546"/>
    <w:rsid w:val="008909CB"/>
    <w:rsid w:val="00890DCD"/>
    <w:rsid w:val="0089192F"/>
    <w:rsid w:val="00891B35"/>
    <w:rsid w:val="00892178"/>
    <w:rsid w:val="00892652"/>
    <w:rsid w:val="008927D8"/>
    <w:rsid w:val="00892C0C"/>
    <w:rsid w:val="008932E9"/>
    <w:rsid w:val="008938AA"/>
    <w:rsid w:val="0089438A"/>
    <w:rsid w:val="00894493"/>
    <w:rsid w:val="00894662"/>
    <w:rsid w:val="00894A48"/>
    <w:rsid w:val="00895AA3"/>
    <w:rsid w:val="00895AF5"/>
    <w:rsid w:val="008961FD"/>
    <w:rsid w:val="0089631E"/>
    <w:rsid w:val="0089636A"/>
    <w:rsid w:val="00896ACA"/>
    <w:rsid w:val="00896CCE"/>
    <w:rsid w:val="00896E7A"/>
    <w:rsid w:val="00897134"/>
    <w:rsid w:val="0089755A"/>
    <w:rsid w:val="008975A3"/>
    <w:rsid w:val="008975BB"/>
    <w:rsid w:val="00897C37"/>
    <w:rsid w:val="008A076A"/>
    <w:rsid w:val="008A12DA"/>
    <w:rsid w:val="008A133B"/>
    <w:rsid w:val="008A1E7C"/>
    <w:rsid w:val="008A2934"/>
    <w:rsid w:val="008A2B35"/>
    <w:rsid w:val="008A3482"/>
    <w:rsid w:val="008A36F4"/>
    <w:rsid w:val="008A3829"/>
    <w:rsid w:val="008A3B02"/>
    <w:rsid w:val="008A3F2B"/>
    <w:rsid w:val="008A46A8"/>
    <w:rsid w:val="008A4A64"/>
    <w:rsid w:val="008A4F1E"/>
    <w:rsid w:val="008A4FDE"/>
    <w:rsid w:val="008A51EF"/>
    <w:rsid w:val="008A534C"/>
    <w:rsid w:val="008A5D07"/>
    <w:rsid w:val="008A6179"/>
    <w:rsid w:val="008A6470"/>
    <w:rsid w:val="008A692B"/>
    <w:rsid w:val="008A6BE5"/>
    <w:rsid w:val="008A6C08"/>
    <w:rsid w:val="008A6E87"/>
    <w:rsid w:val="008A7BEB"/>
    <w:rsid w:val="008A7DC0"/>
    <w:rsid w:val="008B0113"/>
    <w:rsid w:val="008B01AB"/>
    <w:rsid w:val="008B01E7"/>
    <w:rsid w:val="008B0856"/>
    <w:rsid w:val="008B0B5D"/>
    <w:rsid w:val="008B12C5"/>
    <w:rsid w:val="008B133B"/>
    <w:rsid w:val="008B163D"/>
    <w:rsid w:val="008B19A4"/>
    <w:rsid w:val="008B1C96"/>
    <w:rsid w:val="008B1DB7"/>
    <w:rsid w:val="008B2432"/>
    <w:rsid w:val="008B2C82"/>
    <w:rsid w:val="008B2D14"/>
    <w:rsid w:val="008B33AF"/>
    <w:rsid w:val="008B3987"/>
    <w:rsid w:val="008B443F"/>
    <w:rsid w:val="008B47F0"/>
    <w:rsid w:val="008B4A6E"/>
    <w:rsid w:val="008B4E75"/>
    <w:rsid w:val="008B4F7B"/>
    <w:rsid w:val="008B55CF"/>
    <w:rsid w:val="008B55F2"/>
    <w:rsid w:val="008B572B"/>
    <w:rsid w:val="008B5F39"/>
    <w:rsid w:val="008B6A59"/>
    <w:rsid w:val="008B6E68"/>
    <w:rsid w:val="008B70CA"/>
    <w:rsid w:val="008B737F"/>
    <w:rsid w:val="008B7666"/>
    <w:rsid w:val="008B779A"/>
    <w:rsid w:val="008B7F8D"/>
    <w:rsid w:val="008C0ED0"/>
    <w:rsid w:val="008C1007"/>
    <w:rsid w:val="008C1DAD"/>
    <w:rsid w:val="008C274A"/>
    <w:rsid w:val="008C2840"/>
    <w:rsid w:val="008C304A"/>
    <w:rsid w:val="008C3334"/>
    <w:rsid w:val="008C3CAD"/>
    <w:rsid w:val="008C3F6D"/>
    <w:rsid w:val="008C4136"/>
    <w:rsid w:val="008C4AEE"/>
    <w:rsid w:val="008C4FEC"/>
    <w:rsid w:val="008C5551"/>
    <w:rsid w:val="008C7DE9"/>
    <w:rsid w:val="008D0855"/>
    <w:rsid w:val="008D0935"/>
    <w:rsid w:val="008D0C43"/>
    <w:rsid w:val="008D0D06"/>
    <w:rsid w:val="008D0D14"/>
    <w:rsid w:val="008D0F72"/>
    <w:rsid w:val="008D1D19"/>
    <w:rsid w:val="008D1E47"/>
    <w:rsid w:val="008D20B5"/>
    <w:rsid w:val="008D27B1"/>
    <w:rsid w:val="008D27BD"/>
    <w:rsid w:val="008D2880"/>
    <w:rsid w:val="008D2F4E"/>
    <w:rsid w:val="008D3437"/>
    <w:rsid w:val="008D354C"/>
    <w:rsid w:val="008D37E3"/>
    <w:rsid w:val="008D38D4"/>
    <w:rsid w:val="008D3F7D"/>
    <w:rsid w:val="008D4114"/>
    <w:rsid w:val="008D4452"/>
    <w:rsid w:val="008D4A48"/>
    <w:rsid w:val="008D4CE8"/>
    <w:rsid w:val="008D4DDA"/>
    <w:rsid w:val="008D513B"/>
    <w:rsid w:val="008D56A9"/>
    <w:rsid w:val="008D5BCC"/>
    <w:rsid w:val="008D5E90"/>
    <w:rsid w:val="008D6355"/>
    <w:rsid w:val="008D638B"/>
    <w:rsid w:val="008D66FF"/>
    <w:rsid w:val="008D67A4"/>
    <w:rsid w:val="008D7837"/>
    <w:rsid w:val="008D79AB"/>
    <w:rsid w:val="008E00D7"/>
    <w:rsid w:val="008E0357"/>
    <w:rsid w:val="008E0450"/>
    <w:rsid w:val="008E0856"/>
    <w:rsid w:val="008E0CA9"/>
    <w:rsid w:val="008E179C"/>
    <w:rsid w:val="008E1D6A"/>
    <w:rsid w:val="008E21C2"/>
    <w:rsid w:val="008E2480"/>
    <w:rsid w:val="008E2667"/>
    <w:rsid w:val="008E2A79"/>
    <w:rsid w:val="008E2C32"/>
    <w:rsid w:val="008E2E36"/>
    <w:rsid w:val="008E3173"/>
    <w:rsid w:val="008E3612"/>
    <w:rsid w:val="008E3630"/>
    <w:rsid w:val="008E36D5"/>
    <w:rsid w:val="008E3BFC"/>
    <w:rsid w:val="008E40A6"/>
    <w:rsid w:val="008E4429"/>
    <w:rsid w:val="008E54ED"/>
    <w:rsid w:val="008E5CA9"/>
    <w:rsid w:val="008E6B10"/>
    <w:rsid w:val="008E6B59"/>
    <w:rsid w:val="008E715A"/>
    <w:rsid w:val="008E7188"/>
    <w:rsid w:val="008E71C2"/>
    <w:rsid w:val="008E7257"/>
    <w:rsid w:val="008E749D"/>
    <w:rsid w:val="008E76D1"/>
    <w:rsid w:val="008E7804"/>
    <w:rsid w:val="008F073F"/>
    <w:rsid w:val="008F0A43"/>
    <w:rsid w:val="008F0A8C"/>
    <w:rsid w:val="008F0E74"/>
    <w:rsid w:val="008F1BB9"/>
    <w:rsid w:val="008F2874"/>
    <w:rsid w:val="008F2DB3"/>
    <w:rsid w:val="008F3185"/>
    <w:rsid w:val="008F33B4"/>
    <w:rsid w:val="008F3F29"/>
    <w:rsid w:val="008F4121"/>
    <w:rsid w:val="008F4987"/>
    <w:rsid w:val="008F4CD9"/>
    <w:rsid w:val="008F54ED"/>
    <w:rsid w:val="008F5882"/>
    <w:rsid w:val="008F5E3B"/>
    <w:rsid w:val="008F5F46"/>
    <w:rsid w:val="008F65E5"/>
    <w:rsid w:val="008F690A"/>
    <w:rsid w:val="008F69A4"/>
    <w:rsid w:val="008F7600"/>
    <w:rsid w:val="008F780F"/>
    <w:rsid w:val="008F79E7"/>
    <w:rsid w:val="008F7E80"/>
    <w:rsid w:val="00900C33"/>
    <w:rsid w:val="00900DDD"/>
    <w:rsid w:val="00901BF5"/>
    <w:rsid w:val="00902215"/>
    <w:rsid w:val="0090328D"/>
    <w:rsid w:val="0090355F"/>
    <w:rsid w:val="0090363B"/>
    <w:rsid w:val="00903938"/>
    <w:rsid w:val="00903F26"/>
    <w:rsid w:val="00904199"/>
    <w:rsid w:val="009047A0"/>
    <w:rsid w:val="009048D6"/>
    <w:rsid w:val="009054A4"/>
    <w:rsid w:val="00905594"/>
    <w:rsid w:val="00905BC2"/>
    <w:rsid w:val="00905C5B"/>
    <w:rsid w:val="00905E88"/>
    <w:rsid w:val="00905EF5"/>
    <w:rsid w:val="009063AE"/>
    <w:rsid w:val="00906ECE"/>
    <w:rsid w:val="00907313"/>
    <w:rsid w:val="00907424"/>
    <w:rsid w:val="009078DC"/>
    <w:rsid w:val="00907F88"/>
    <w:rsid w:val="009104B2"/>
    <w:rsid w:val="00910587"/>
    <w:rsid w:val="00910A72"/>
    <w:rsid w:val="00910FEF"/>
    <w:rsid w:val="00911814"/>
    <w:rsid w:val="00911BC6"/>
    <w:rsid w:val="0091201A"/>
    <w:rsid w:val="00912506"/>
    <w:rsid w:val="0091269A"/>
    <w:rsid w:val="009126FB"/>
    <w:rsid w:val="009127DE"/>
    <w:rsid w:val="0091290E"/>
    <w:rsid w:val="00912AC1"/>
    <w:rsid w:val="0091363A"/>
    <w:rsid w:val="009137F1"/>
    <w:rsid w:val="00913B53"/>
    <w:rsid w:val="00914D7D"/>
    <w:rsid w:val="00914D7F"/>
    <w:rsid w:val="00914D92"/>
    <w:rsid w:val="00914E1E"/>
    <w:rsid w:val="009156F4"/>
    <w:rsid w:val="0091583E"/>
    <w:rsid w:val="009158DD"/>
    <w:rsid w:val="0091590C"/>
    <w:rsid w:val="00915940"/>
    <w:rsid w:val="00916659"/>
    <w:rsid w:val="009169C0"/>
    <w:rsid w:val="00917058"/>
    <w:rsid w:val="009171A3"/>
    <w:rsid w:val="009171C9"/>
    <w:rsid w:val="00917FF4"/>
    <w:rsid w:val="009205C8"/>
    <w:rsid w:val="009207A0"/>
    <w:rsid w:val="0092082A"/>
    <w:rsid w:val="009208D3"/>
    <w:rsid w:val="00920A59"/>
    <w:rsid w:val="00920D51"/>
    <w:rsid w:val="009212C3"/>
    <w:rsid w:val="009213A3"/>
    <w:rsid w:val="009214E9"/>
    <w:rsid w:val="00921E60"/>
    <w:rsid w:val="009220AC"/>
    <w:rsid w:val="00922203"/>
    <w:rsid w:val="0092233A"/>
    <w:rsid w:val="00922706"/>
    <w:rsid w:val="00922F19"/>
    <w:rsid w:val="0092311F"/>
    <w:rsid w:val="009239CA"/>
    <w:rsid w:val="00923B98"/>
    <w:rsid w:val="00923C33"/>
    <w:rsid w:val="0092401F"/>
    <w:rsid w:val="00924089"/>
    <w:rsid w:val="009242D8"/>
    <w:rsid w:val="009245F8"/>
    <w:rsid w:val="0092578A"/>
    <w:rsid w:val="00925D73"/>
    <w:rsid w:val="00926289"/>
    <w:rsid w:val="00930053"/>
    <w:rsid w:val="00930287"/>
    <w:rsid w:val="0093091E"/>
    <w:rsid w:val="00930B99"/>
    <w:rsid w:val="00930EBC"/>
    <w:rsid w:val="009314AA"/>
    <w:rsid w:val="009315B4"/>
    <w:rsid w:val="00931AD5"/>
    <w:rsid w:val="0093225E"/>
    <w:rsid w:val="009325CD"/>
    <w:rsid w:val="00932751"/>
    <w:rsid w:val="00932FBF"/>
    <w:rsid w:val="009334D6"/>
    <w:rsid w:val="00933860"/>
    <w:rsid w:val="00933AD5"/>
    <w:rsid w:val="00933B7F"/>
    <w:rsid w:val="00933EEF"/>
    <w:rsid w:val="009343FF"/>
    <w:rsid w:val="0093461F"/>
    <w:rsid w:val="0093476F"/>
    <w:rsid w:val="00934C55"/>
    <w:rsid w:val="00934EEE"/>
    <w:rsid w:val="0093523E"/>
    <w:rsid w:val="00935600"/>
    <w:rsid w:val="0093571B"/>
    <w:rsid w:val="00935AFF"/>
    <w:rsid w:val="00935B4C"/>
    <w:rsid w:val="00935EA0"/>
    <w:rsid w:val="00936227"/>
    <w:rsid w:val="00936748"/>
    <w:rsid w:val="00936931"/>
    <w:rsid w:val="00936A62"/>
    <w:rsid w:val="00936B54"/>
    <w:rsid w:val="0093776E"/>
    <w:rsid w:val="009379D5"/>
    <w:rsid w:val="00937A4D"/>
    <w:rsid w:val="00937FF7"/>
    <w:rsid w:val="009401B5"/>
    <w:rsid w:val="00940516"/>
    <w:rsid w:val="00940533"/>
    <w:rsid w:val="00940F94"/>
    <w:rsid w:val="00941499"/>
    <w:rsid w:val="00941686"/>
    <w:rsid w:val="00941788"/>
    <w:rsid w:val="00941C75"/>
    <w:rsid w:val="00942A0D"/>
    <w:rsid w:val="00942A9B"/>
    <w:rsid w:val="00943296"/>
    <w:rsid w:val="00943646"/>
    <w:rsid w:val="00943717"/>
    <w:rsid w:val="009451FD"/>
    <w:rsid w:val="00945B18"/>
    <w:rsid w:val="009460E7"/>
    <w:rsid w:val="00946502"/>
    <w:rsid w:val="00947532"/>
    <w:rsid w:val="009476AA"/>
    <w:rsid w:val="00947AEB"/>
    <w:rsid w:val="0095001B"/>
    <w:rsid w:val="00950243"/>
    <w:rsid w:val="00950F11"/>
    <w:rsid w:val="009510E4"/>
    <w:rsid w:val="009513A5"/>
    <w:rsid w:val="00951565"/>
    <w:rsid w:val="009517A5"/>
    <w:rsid w:val="00951A60"/>
    <w:rsid w:val="00951D43"/>
    <w:rsid w:val="0095279D"/>
    <w:rsid w:val="00952D63"/>
    <w:rsid w:val="009530C2"/>
    <w:rsid w:val="00953117"/>
    <w:rsid w:val="00953168"/>
    <w:rsid w:val="009531BC"/>
    <w:rsid w:val="00953549"/>
    <w:rsid w:val="00953827"/>
    <w:rsid w:val="00953C40"/>
    <w:rsid w:val="009549C0"/>
    <w:rsid w:val="00954AB9"/>
    <w:rsid w:val="00954FBF"/>
    <w:rsid w:val="00955448"/>
    <w:rsid w:val="009556EB"/>
    <w:rsid w:val="009564D5"/>
    <w:rsid w:val="00956898"/>
    <w:rsid w:val="00956B79"/>
    <w:rsid w:val="00956BBD"/>
    <w:rsid w:val="00956C0E"/>
    <w:rsid w:val="00957148"/>
    <w:rsid w:val="0095721E"/>
    <w:rsid w:val="0095734B"/>
    <w:rsid w:val="0095743E"/>
    <w:rsid w:val="0095760D"/>
    <w:rsid w:val="0095779D"/>
    <w:rsid w:val="0096075A"/>
    <w:rsid w:val="00960C97"/>
    <w:rsid w:val="00960D8F"/>
    <w:rsid w:val="00960ECE"/>
    <w:rsid w:val="009611FD"/>
    <w:rsid w:val="00961902"/>
    <w:rsid w:val="0096211A"/>
    <w:rsid w:val="00962705"/>
    <w:rsid w:val="00962827"/>
    <w:rsid w:val="00962CA4"/>
    <w:rsid w:val="00962FB0"/>
    <w:rsid w:val="00963059"/>
    <w:rsid w:val="0096384E"/>
    <w:rsid w:val="00963B4F"/>
    <w:rsid w:val="0096404F"/>
    <w:rsid w:val="00964174"/>
    <w:rsid w:val="00964ABC"/>
    <w:rsid w:val="00964B12"/>
    <w:rsid w:val="00964D11"/>
    <w:rsid w:val="00964EB9"/>
    <w:rsid w:val="00964EE9"/>
    <w:rsid w:val="00965372"/>
    <w:rsid w:val="00965395"/>
    <w:rsid w:val="00965638"/>
    <w:rsid w:val="0096688A"/>
    <w:rsid w:val="009669E8"/>
    <w:rsid w:val="00966AD4"/>
    <w:rsid w:val="00966C95"/>
    <w:rsid w:val="009671D3"/>
    <w:rsid w:val="00967816"/>
    <w:rsid w:val="009703CD"/>
    <w:rsid w:val="009704FE"/>
    <w:rsid w:val="009706EC"/>
    <w:rsid w:val="009709B3"/>
    <w:rsid w:val="00970E92"/>
    <w:rsid w:val="0097124D"/>
    <w:rsid w:val="00971537"/>
    <w:rsid w:val="009715F6"/>
    <w:rsid w:val="009718E7"/>
    <w:rsid w:val="00971D02"/>
    <w:rsid w:val="00971EFC"/>
    <w:rsid w:val="0097238E"/>
    <w:rsid w:val="00972588"/>
    <w:rsid w:val="009725E9"/>
    <w:rsid w:val="009728A1"/>
    <w:rsid w:val="00972D9C"/>
    <w:rsid w:val="00972FDB"/>
    <w:rsid w:val="00973223"/>
    <w:rsid w:val="009738DB"/>
    <w:rsid w:val="00973B0D"/>
    <w:rsid w:val="00973E25"/>
    <w:rsid w:val="009741BA"/>
    <w:rsid w:val="00974851"/>
    <w:rsid w:val="009749A8"/>
    <w:rsid w:val="009753A0"/>
    <w:rsid w:val="009756B1"/>
    <w:rsid w:val="00975C6F"/>
    <w:rsid w:val="00975CE7"/>
    <w:rsid w:val="00976DCE"/>
    <w:rsid w:val="00977044"/>
    <w:rsid w:val="00977938"/>
    <w:rsid w:val="00980002"/>
    <w:rsid w:val="00980311"/>
    <w:rsid w:val="00980349"/>
    <w:rsid w:val="00980651"/>
    <w:rsid w:val="00980C76"/>
    <w:rsid w:val="009814A2"/>
    <w:rsid w:val="00981D10"/>
    <w:rsid w:val="00982278"/>
    <w:rsid w:val="0098280F"/>
    <w:rsid w:val="00982890"/>
    <w:rsid w:val="00982AA6"/>
    <w:rsid w:val="00982AF2"/>
    <w:rsid w:val="00982E29"/>
    <w:rsid w:val="00982EA8"/>
    <w:rsid w:val="00983D20"/>
    <w:rsid w:val="00983E49"/>
    <w:rsid w:val="00984DA8"/>
    <w:rsid w:val="00985451"/>
    <w:rsid w:val="00985684"/>
    <w:rsid w:val="00985A54"/>
    <w:rsid w:val="00985B4E"/>
    <w:rsid w:val="00986189"/>
    <w:rsid w:val="009865E7"/>
    <w:rsid w:val="00986A2D"/>
    <w:rsid w:val="00986B16"/>
    <w:rsid w:val="00986C31"/>
    <w:rsid w:val="0098779F"/>
    <w:rsid w:val="00990244"/>
    <w:rsid w:val="009902C4"/>
    <w:rsid w:val="0099033D"/>
    <w:rsid w:val="009907B1"/>
    <w:rsid w:val="00990ABC"/>
    <w:rsid w:val="00990D67"/>
    <w:rsid w:val="0099264A"/>
    <w:rsid w:val="009929B6"/>
    <w:rsid w:val="009929D5"/>
    <w:rsid w:val="00992F28"/>
    <w:rsid w:val="00993068"/>
    <w:rsid w:val="009932C3"/>
    <w:rsid w:val="00993558"/>
    <w:rsid w:val="009941F7"/>
    <w:rsid w:val="00994FBA"/>
    <w:rsid w:val="0099574A"/>
    <w:rsid w:val="009958D4"/>
    <w:rsid w:val="00995ADF"/>
    <w:rsid w:val="00995B1F"/>
    <w:rsid w:val="00995CD6"/>
    <w:rsid w:val="00995F38"/>
    <w:rsid w:val="0099631C"/>
    <w:rsid w:val="009963BB"/>
    <w:rsid w:val="009969F8"/>
    <w:rsid w:val="00996B33"/>
    <w:rsid w:val="00997898"/>
    <w:rsid w:val="009A0236"/>
    <w:rsid w:val="009A0351"/>
    <w:rsid w:val="009A049B"/>
    <w:rsid w:val="009A0A04"/>
    <w:rsid w:val="009A0B3E"/>
    <w:rsid w:val="009A0DA2"/>
    <w:rsid w:val="009A1437"/>
    <w:rsid w:val="009A168D"/>
    <w:rsid w:val="009A1753"/>
    <w:rsid w:val="009A1C5D"/>
    <w:rsid w:val="009A1D8D"/>
    <w:rsid w:val="009A1FC0"/>
    <w:rsid w:val="009A228C"/>
    <w:rsid w:val="009A3709"/>
    <w:rsid w:val="009A383B"/>
    <w:rsid w:val="009A3C08"/>
    <w:rsid w:val="009A3D0C"/>
    <w:rsid w:val="009A4137"/>
    <w:rsid w:val="009A45BB"/>
    <w:rsid w:val="009A4772"/>
    <w:rsid w:val="009A4B18"/>
    <w:rsid w:val="009A4D8F"/>
    <w:rsid w:val="009A53B5"/>
    <w:rsid w:val="009A5684"/>
    <w:rsid w:val="009A568B"/>
    <w:rsid w:val="009A5765"/>
    <w:rsid w:val="009A57A9"/>
    <w:rsid w:val="009A5939"/>
    <w:rsid w:val="009A5C58"/>
    <w:rsid w:val="009A5C61"/>
    <w:rsid w:val="009A6328"/>
    <w:rsid w:val="009A6970"/>
    <w:rsid w:val="009A6F05"/>
    <w:rsid w:val="009A74A9"/>
    <w:rsid w:val="009A77B8"/>
    <w:rsid w:val="009B0244"/>
    <w:rsid w:val="009B0559"/>
    <w:rsid w:val="009B0E4E"/>
    <w:rsid w:val="009B0F45"/>
    <w:rsid w:val="009B2AB7"/>
    <w:rsid w:val="009B2FE8"/>
    <w:rsid w:val="009B3128"/>
    <w:rsid w:val="009B3B01"/>
    <w:rsid w:val="009B3F0F"/>
    <w:rsid w:val="009B4841"/>
    <w:rsid w:val="009B4E1F"/>
    <w:rsid w:val="009B4E9E"/>
    <w:rsid w:val="009B4EAA"/>
    <w:rsid w:val="009B4F49"/>
    <w:rsid w:val="009B4FA4"/>
    <w:rsid w:val="009B5751"/>
    <w:rsid w:val="009B58B2"/>
    <w:rsid w:val="009B6386"/>
    <w:rsid w:val="009B6892"/>
    <w:rsid w:val="009B6C14"/>
    <w:rsid w:val="009B6C8A"/>
    <w:rsid w:val="009B6CF9"/>
    <w:rsid w:val="009B6E58"/>
    <w:rsid w:val="009B706C"/>
    <w:rsid w:val="009B7174"/>
    <w:rsid w:val="009C05AB"/>
    <w:rsid w:val="009C0781"/>
    <w:rsid w:val="009C08C0"/>
    <w:rsid w:val="009C0E41"/>
    <w:rsid w:val="009C0F51"/>
    <w:rsid w:val="009C1500"/>
    <w:rsid w:val="009C2428"/>
    <w:rsid w:val="009C2A34"/>
    <w:rsid w:val="009C2AB3"/>
    <w:rsid w:val="009C2B4A"/>
    <w:rsid w:val="009C32F7"/>
    <w:rsid w:val="009C362F"/>
    <w:rsid w:val="009C40FF"/>
    <w:rsid w:val="009C42EA"/>
    <w:rsid w:val="009C561E"/>
    <w:rsid w:val="009C572A"/>
    <w:rsid w:val="009C5CD5"/>
    <w:rsid w:val="009C6256"/>
    <w:rsid w:val="009C7043"/>
    <w:rsid w:val="009C7085"/>
    <w:rsid w:val="009C753A"/>
    <w:rsid w:val="009C7579"/>
    <w:rsid w:val="009C7869"/>
    <w:rsid w:val="009C7AD1"/>
    <w:rsid w:val="009D04A8"/>
    <w:rsid w:val="009D0D15"/>
    <w:rsid w:val="009D0DF7"/>
    <w:rsid w:val="009D0E05"/>
    <w:rsid w:val="009D1001"/>
    <w:rsid w:val="009D1544"/>
    <w:rsid w:val="009D17B7"/>
    <w:rsid w:val="009D2F8F"/>
    <w:rsid w:val="009D2FC6"/>
    <w:rsid w:val="009D302A"/>
    <w:rsid w:val="009D479F"/>
    <w:rsid w:val="009D4A72"/>
    <w:rsid w:val="009D4DE0"/>
    <w:rsid w:val="009D5291"/>
    <w:rsid w:val="009D5590"/>
    <w:rsid w:val="009D5700"/>
    <w:rsid w:val="009D5CA4"/>
    <w:rsid w:val="009D5FBF"/>
    <w:rsid w:val="009D60BB"/>
    <w:rsid w:val="009D6321"/>
    <w:rsid w:val="009D64D9"/>
    <w:rsid w:val="009D6596"/>
    <w:rsid w:val="009D66D5"/>
    <w:rsid w:val="009D77BF"/>
    <w:rsid w:val="009D7A21"/>
    <w:rsid w:val="009D7A3D"/>
    <w:rsid w:val="009D7CF5"/>
    <w:rsid w:val="009D7DFF"/>
    <w:rsid w:val="009E04CA"/>
    <w:rsid w:val="009E082D"/>
    <w:rsid w:val="009E09A4"/>
    <w:rsid w:val="009E09A6"/>
    <w:rsid w:val="009E0DB7"/>
    <w:rsid w:val="009E1296"/>
    <w:rsid w:val="009E173E"/>
    <w:rsid w:val="009E1C6D"/>
    <w:rsid w:val="009E1D18"/>
    <w:rsid w:val="009E1D2D"/>
    <w:rsid w:val="009E2280"/>
    <w:rsid w:val="009E2383"/>
    <w:rsid w:val="009E24D7"/>
    <w:rsid w:val="009E2614"/>
    <w:rsid w:val="009E2A1E"/>
    <w:rsid w:val="009E2C41"/>
    <w:rsid w:val="009E2EBB"/>
    <w:rsid w:val="009E2F5B"/>
    <w:rsid w:val="009E3359"/>
    <w:rsid w:val="009E3581"/>
    <w:rsid w:val="009E3B68"/>
    <w:rsid w:val="009E3CC2"/>
    <w:rsid w:val="009E4394"/>
    <w:rsid w:val="009E444E"/>
    <w:rsid w:val="009E45B9"/>
    <w:rsid w:val="009E4736"/>
    <w:rsid w:val="009E4EFE"/>
    <w:rsid w:val="009E4F6A"/>
    <w:rsid w:val="009E50F7"/>
    <w:rsid w:val="009E5918"/>
    <w:rsid w:val="009E6731"/>
    <w:rsid w:val="009E67BF"/>
    <w:rsid w:val="009E6AEA"/>
    <w:rsid w:val="009E6E42"/>
    <w:rsid w:val="009E714B"/>
    <w:rsid w:val="009E7760"/>
    <w:rsid w:val="009E7AF7"/>
    <w:rsid w:val="009E7B11"/>
    <w:rsid w:val="009E7DD5"/>
    <w:rsid w:val="009F03E6"/>
    <w:rsid w:val="009F052C"/>
    <w:rsid w:val="009F057C"/>
    <w:rsid w:val="009F075D"/>
    <w:rsid w:val="009F08EC"/>
    <w:rsid w:val="009F0ACE"/>
    <w:rsid w:val="009F1692"/>
    <w:rsid w:val="009F1AE3"/>
    <w:rsid w:val="009F1B5C"/>
    <w:rsid w:val="009F23DF"/>
    <w:rsid w:val="009F2541"/>
    <w:rsid w:val="009F2753"/>
    <w:rsid w:val="009F3B7B"/>
    <w:rsid w:val="009F3D42"/>
    <w:rsid w:val="009F402B"/>
    <w:rsid w:val="009F44ED"/>
    <w:rsid w:val="009F4869"/>
    <w:rsid w:val="009F4886"/>
    <w:rsid w:val="009F4B72"/>
    <w:rsid w:val="009F4E3C"/>
    <w:rsid w:val="009F512E"/>
    <w:rsid w:val="009F56ED"/>
    <w:rsid w:val="009F5B52"/>
    <w:rsid w:val="009F5E12"/>
    <w:rsid w:val="009F5F27"/>
    <w:rsid w:val="009F66C3"/>
    <w:rsid w:val="00A006DC"/>
    <w:rsid w:val="00A00E73"/>
    <w:rsid w:val="00A0106E"/>
    <w:rsid w:val="00A01A31"/>
    <w:rsid w:val="00A0256C"/>
    <w:rsid w:val="00A025FE"/>
    <w:rsid w:val="00A02F02"/>
    <w:rsid w:val="00A03836"/>
    <w:rsid w:val="00A04A1D"/>
    <w:rsid w:val="00A0508A"/>
    <w:rsid w:val="00A05A4F"/>
    <w:rsid w:val="00A05A9D"/>
    <w:rsid w:val="00A05C4B"/>
    <w:rsid w:val="00A05DE1"/>
    <w:rsid w:val="00A0642C"/>
    <w:rsid w:val="00A066F2"/>
    <w:rsid w:val="00A0684A"/>
    <w:rsid w:val="00A076D4"/>
    <w:rsid w:val="00A07A75"/>
    <w:rsid w:val="00A07B15"/>
    <w:rsid w:val="00A07D0B"/>
    <w:rsid w:val="00A07D3D"/>
    <w:rsid w:val="00A07E20"/>
    <w:rsid w:val="00A10745"/>
    <w:rsid w:val="00A10D32"/>
    <w:rsid w:val="00A11350"/>
    <w:rsid w:val="00A116C1"/>
    <w:rsid w:val="00A117F4"/>
    <w:rsid w:val="00A11CBD"/>
    <w:rsid w:val="00A13508"/>
    <w:rsid w:val="00A13701"/>
    <w:rsid w:val="00A13D1E"/>
    <w:rsid w:val="00A1442F"/>
    <w:rsid w:val="00A147B8"/>
    <w:rsid w:val="00A14978"/>
    <w:rsid w:val="00A14FD1"/>
    <w:rsid w:val="00A15598"/>
    <w:rsid w:val="00A1580E"/>
    <w:rsid w:val="00A15939"/>
    <w:rsid w:val="00A15EC3"/>
    <w:rsid w:val="00A1616E"/>
    <w:rsid w:val="00A16485"/>
    <w:rsid w:val="00A16511"/>
    <w:rsid w:val="00A16E90"/>
    <w:rsid w:val="00A171A1"/>
    <w:rsid w:val="00A17A84"/>
    <w:rsid w:val="00A20411"/>
    <w:rsid w:val="00A20D89"/>
    <w:rsid w:val="00A20E42"/>
    <w:rsid w:val="00A21106"/>
    <w:rsid w:val="00A216A2"/>
    <w:rsid w:val="00A21B04"/>
    <w:rsid w:val="00A21D62"/>
    <w:rsid w:val="00A21F20"/>
    <w:rsid w:val="00A2236C"/>
    <w:rsid w:val="00A2276C"/>
    <w:rsid w:val="00A22BE8"/>
    <w:rsid w:val="00A24097"/>
    <w:rsid w:val="00A24504"/>
    <w:rsid w:val="00A24538"/>
    <w:rsid w:val="00A24586"/>
    <w:rsid w:val="00A24612"/>
    <w:rsid w:val="00A247BB"/>
    <w:rsid w:val="00A24B6F"/>
    <w:rsid w:val="00A24B9F"/>
    <w:rsid w:val="00A25218"/>
    <w:rsid w:val="00A25251"/>
    <w:rsid w:val="00A2579B"/>
    <w:rsid w:val="00A25A45"/>
    <w:rsid w:val="00A25AEB"/>
    <w:rsid w:val="00A25B18"/>
    <w:rsid w:val="00A266B0"/>
    <w:rsid w:val="00A268FA"/>
    <w:rsid w:val="00A26A5C"/>
    <w:rsid w:val="00A270BA"/>
    <w:rsid w:val="00A2771C"/>
    <w:rsid w:val="00A30B44"/>
    <w:rsid w:val="00A30BF4"/>
    <w:rsid w:val="00A31198"/>
    <w:rsid w:val="00A316B5"/>
    <w:rsid w:val="00A324E1"/>
    <w:rsid w:val="00A3333A"/>
    <w:rsid w:val="00A339CF"/>
    <w:rsid w:val="00A33B7B"/>
    <w:rsid w:val="00A33CBD"/>
    <w:rsid w:val="00A34BEC"/>
    <w:rsid w:val="00A34C94"/>
    <w:rsid w:val="00A35B83"/>
    <w:rsid w:val="00A35B87"/>
    <w:rsid w:val="00A35BF8"/>
    <w:rsid w:val="00A35C83"/>
    <w:rsid w:val="00A36563"/>
    <w:rsid w:val="00A36AE3"/>
    <w:rsid w:val="00A36FD7"/>
    <w:rsid w:val="00A37134"/>
    <w:rsid w:val="00A37A89"/>
    <w:rsid w:val="00A37EEE"/>
    <w:rsid w:val="00A402A1"/>
    <w:rsid w:val="00A40878"/>
    <w:rsid w:val="00A41252"/>
    <w:rsid w:val="00A42183"/>
    <w:rsid w:val="00A42689"/>
    <w:rsid w:val="00A42A82"/>
    <w:rsid w:val="00A42AC3"/>
    <w:rsid w:val="00A42B9E"/>
    <w:rsid w:val="00A42C5A"/>
    <w:rsid w:val="00A42D31"/>
    <w:rsid w:val="00A434EE"/>
    <w:rsid w:val="00A43FE2"/>
    <w:rsid w:val="00A44065"/>
    <w:rsid w:val="00A44996"/>
    <w:rsid w:val="00A45284"/>
    <w:rsid w:val="00A45487"/>
    <w:rsid w:val="00A459FE"/>
    <w:rsid w:val="00A45FE2"/>
    <w:rsid w:val="00A4611B"/>
    <w:rsid w:val="00A46292"/>
    <w:rsid w:val="00A465D3"/>
    <w:rsid w:val="00A46CE1"/>
    <w:rsid w:val="00A478A5"/>
    <w:rsid w:val="00A478A6"/>
    <w:rsid w:val="00A47A0D"/>
    <w:rsid w:val="00A507C2"/>
    <w:rsid w:val="00A50A91"/>
    <w:rsid w:val="00A50CAF"/>
    <w:rsid w:val="00A5109E"/>
    <w:rsid w:val="00A511B8"/>
    <w:rsid w:val="00A511F8"/>
    <w:rsid w:val="00A51EDB"/>
    <w:rsid w:val="00A520F1"/>
    <w:rsid w:val="00A52240"/>
    <w:rsid w:val="00A52A31"/>
    <w:rsid w:val="00A537CD"/>
    <w:rsid w:val="00A53FFE"/>
    <w:rsid w:val="00A5423F"/>
    <w:rsid w:val="00A54439"/>
    <w:rsid w:val="00A54795"/>
    <w:rsid w:val="00A54B49"/>
    <w:rsid w:val="00A5592F"/>
    <w:rsid w:val="00A56441"/>
    <w:rsid w:val="00A56BB5"/>
    <w:rsid w:val="00A56DA5"/>
    <w:rsid w:val="00A57152"/>
    <w:rsid w:val="00A5756D"/>
    <w:rsid w:val="00A575FE"/>
    <w:rsid w:val="00A5799D"/>
    <w:rsid w:val="00A57C3B"/>
    <w:rsid w:val="00A60332"/>
    <w:rsid w:val="00A60EDD"/>
    <w:rsid w:val="00A60FD4"/>
    <w:rsid w:val="00A6147A"/>
    <w:rsid w:val="00A61D93"/>
    <w:rsid w:val="00A62927"/>
    <w:rsid w:val="00A63137"/>
    <w:rsid w:val="00A63D1D"/>
    <w:rsid w:val="00A64595"/>
    <w:rsid w:val="00A646FB"/>
    <w:rsid w:val="00A64CA1"/>
    <w:rsid w:val="00A6533F"/>
    <w:rsid w:val="00A657EF"/>
    <w:rsid w:val="00A6586D"/>
    <w:rsid w:val="00A66345"/>
    <w:rsid w:val="00A66611"/>
    <w:rsid w:val="00A666BB"/>
    <w:rsid w:val="00A66813"/>
    <w:rsid w:val="00A66861"/>
    <w:rsid w:val="00A66D15"/>
    <w:rsid w:val="00A67237"/>
    <w:rsid w:val="00A700FF"/>
    <w:rsid w:val="00A70836"/>
    <w:rsid w:val="00A70965"/>
    <w:rsid w:val="00A70B1C"/>
    <w:rsid w:val="00A7188F"/>
    <w:rsid w:val="00A7189F"/>
    <w:rsid w:val="00A71949"/>
    <w:rsid w:val="00A728D9"/>
    <w:rsid w:val="00A72AF3"/>
    <w:rsid w:val="00A72EFD"/>
    <w:rsid w:val="00A7309D"/>
    <w:rsid w:val="00A73440"/>
    <w:rsid w:val="00A734AA"/>
    <w:rsid w:val="00A73901"/>
    <w:rsid w:val="00A7391F"/>
    <w:rsid w:val="00A7452A"/>
    <w:rsid w:val="00A74640"/>
    <w:rsid w:val="00A7498E"/>
    <w:rsid w:val="00A7507E"/>
    <w:rsid w:val="00A75AE2"/>
    <w:rsid w:val="00A76815"/>
    <w:rsid w:val="00A76C5C"/>
    <w:rsid w:val="00A771EA"/>
    <w:rsid w:val="00A773BD"/>
    <w:rsid w:val="00A77A90"/>
    <w:rsid w:val="00A804D3"/>
    <w:rsid w:val="00A807CB"/>
    <w:rsid w:val="00A80DA8"/>
    <w:rsid w:val="00A811FE"/>
    <w:rsid w:val="00A81466"/>
    <w:rsid w:val="00A8166C"/>
    <w:rsid w:val="00A81A70"/>
    <w:rsid w:val="00A81BC0"/>
    <w:rsid w:val="00A8215B"/>
    <w:rsid w:val="00A825EF"/>
    <w:rsid w:val="00A82A12"/>
    <w:rsid w:val="00A82AB3"/>
    <w:rsid w:val="00A82BC3"/>
    <w:rsid w:val="00A83B3A"/>
    <w:rsid w:val="00A83BCC"/>
    <w:rsid w:val="00A8417B"/>
    <w:rsid w:val="00A84919"/>
    <w:rsid w:val="00A8499E"/>
    <w:rsid w:val="00A853C9"/>
    <w:rsid w:val="00A855D5"/>
    <w:rsid w:val="00A85881"/>
    <w:rsid w:val="00A85EC6"/>
    <w:rsid w:val="00A86066"/>
    <w:rsid w:val="00A86492"/>
    <w:rsid w:val="00A864E9"/>
    <w:rsid w:val="00A869B9"/>
    <w:rsid w:val="00A86D6D"/>
    <w:rsid w:val="00A879DE"/>
    <w:rsid w:val="00A87A35"/>
    <w:rsid w:val="00A87EC6"/>
    <w:rsid w:val="00A90463"/>
    <w:rsid w:val="00A90760"/>
    <w:rsid w:val="00A910A4"/>
    <w:rsid w:val="00A91135"/>
    <w:rsid w:val="00A916DE"/>
    <w:rsid w:val="00A91822"/>
    <w:rsid w:val="00A92EC2"/>
    <w:rsid w:val="00A9364F"/>
    <w:rsid w:val="00A937AE"/>
    <w:rsid w:val="00A93A0D"/>
    <w:rsid w:val="00A94268"/>
    <w:rsid w:val="00A942DA"/>
    <w:rsid w:val="00A94A9D"/>
    <w:rsid w:val="00A94E08"/>
    <w:rsid w:val="00A95CD7"/>
    <w:rsid w:val="00A95DBC"/>
    <w:rsid w:val="00A95EB9"/>
    <w:rsid w:val="00A96154"/>
    <w:rsid w:val="00A96171"/>
    <w:rsid w:val="00A961C0"/>
    <w:rsid w:val="00A9674A"/>
    <w:rsid w:val="00A96E34"/>
    <w:rsid w:val="00A974D6"/>
    <w:rsid w:val="00A97638"/>
    <w:rsid w:val="00A97DC2"/>
    <w:rsid w:val="00A97EB9"/>
    <w:rsid w:val="00AA0105"/>
    <w:rsid w:val="00AA13C7"/>
    <w:rsid w:val="00AA1F5C"/>
    <w:rsid w:val="00AA200F"/>
    <w:rsid w:val="00AA20EA"/>
    <w:rsid w:val="00AA218B"/>
    <w:rsid w:val="00AA21DF"/>
    <w:rsid w:val="00AA227A"/>
    <w:rsid w:val="00AA23A7"/>
    <w:rsid w:val="00AA2577"/>
    <w:rsid w:val="00AA2726"/>
    <w:rsid w:val="00AA29FA"/>
    <w:rsid w:val="00AA2A0A"/>
    <w:rsid w:val="00AA2C8C"/>
    <w:rsid w:val="00AA2D90"/>
    <w:rsid w:val="00AA2DC8"/>
    <w:rsid w:val="00AA3186"/>
    <w:rsid w:val="00AA33C4"/>
    <w:rsid w:val="00AA3411"/>
    <w:rsid w:val="00AA3E1A"/>
    <w:rsid w:val="00AA4405"/>
    <w:rsid w:val="00AA4925"/>
    <w:rsid w:val="00AA4A81"/>
    <w:rsid w:val="00AA4CD1"/>
    <w:rsid w:val="00AA4E6B"/>
    <w:rsid w:val="00AA4EFC"/>
    <w:rsid w:val="00AA504C"/>
    <w:rsid w:val="00AA58A5"/>
    <w:rsid w:val="00AA58BC"/>
    <w:rsid w:val="00AA590A"/>
    <w:rsid w:val="00AA6326"/>
    <w:rsid w:val="00AA6AE2"/>
    <w:rsid w:val="00AA6D36"/>
    <w:rsid w:val="00AA74C2"/>
    <w:rsid w:val="00AA7EDE"/>
    <w:rsid w:val="00AB0050"/>
    <w:rsid w:val="00AB0112"/>
    <w:rsid w:val="00AB0528"/>
    <w:rsid w:val="00AB05C7"/>
    <w:rsid w:val="00AB063C"/>
    <w:rsid w:val="00AB0B00"/>
    <w:rsid w:val="00AB0C5B"/>
    <w:rsid w:val="00AB0FEB"/>
    <w:rsid w:val="00AB1184"/>
    <w:rsid w:val="00AB12B5"/>
    <w:rsid w:val="00AB17D9"/>
    <w:rsid w:val="00AB276E"/>
    <w:rsid w:val="00AB27AF"/>
    <w:rsid w:val="00AB3AB4"/>
    <w:rsid w:val="00AB3B8D"/>
    <w:rsid w:val="00AB3D0B"/>
    <w:rsid w:val="00AB404E"/>
    <w:rsid w:val="00AB44BB"/>
    <w:rsid w:val="00AB475F"/>
    <w:rsid w:val="00AB483D"/>
    <w:rsid w:val="00AB4882"/>
    <w:rsid w:val="00AB48CA"/>
    <w:rsid w:val="00AB4A83"/>
    <w:rsid w:val="00AB5430"/>
    <w:rsid w:val="00AB58A9"/>
    <w:rsid w:val="00AB62C8"/>
    <w:rsid w:val="00AB646B"/>
    <w:rsid w:val="00AB6AAF"/>
    <w:rsid w:val="00AB7982"/>
    <w:rsid w:val="00AC010C"/>
    <w:rsid w:val="00AC0340"/>
    <w:rsid w:val="00AC0796"/>
    <w:rsid w:val="00AC08DF"/>
    <w:rsid w:val="00AC0BC9"/>
    <w:rsid w:val="00AC0C93"/>
    <w:rsid w:val="00AC1518"/>
    <w:rsid w:val="00AC1776"/>
    <w:rsid w:val="00AC1A1A"/>
    <w:rsid w:val="00AC1A5A"/>
    <w:rsid w:val="00AC1B31"/>
    <w:rsid w:val="00AC1BBD"/>
    <w:rsid w:val="00AC24FA"/>
    <w:rsid w:val="00AC290F"/>
    <w:rsid w:val="00AC2CC5"/>
    <w:rsid w:val="00AC2E26"/>
    <w:rsid w:val="00AC310C"/>
    <w:rsid w:val="00AC31E6"/>
    <w:rsid w:val="00AC3A4D"/>
    <w:rsid w:val="00AC3A64"/>
    <w:rsid w:val="00AC5794"/>
    <w:rsid w:val="00AC57AD"/>
    <w:rsid w:val="00AC5B04"/>
    <w:rsid w:val="00AC5D4B"/>
    <w:rsid w:val="00AC64A0"/>
    <w:rsid w:val="00AC6521"/>
    <w:rsid w:val="00AC72B5"/>
    <w:rsid w:val="00AC7C70"/>
    <w:rsid w:val="00AD0012"/>
    <w:rsid w:val="00AD0682"/>
    <w:rsid w:val="00AD0F34"/>
    <w:rsid w:val="00AD12F0"/>
    <w:rsid w:val="00AD1619"/>
    <w:rsid w:val="00AD17AF"/>
    <w:rsid w:val="00AD18A2"/>
    <w:rsid w:val="00AD1BE4"/>
    <w:rsid w:val="00AD1F14"/>
    <w:rsid w:val="00AD211F"/>
    <w:rsid w:val="00AD2AC3"/>
    <w:rsid w:val="00AD3193"/>
    <w:rsid w:val="00AD3357"/>
    <w:rsid w:val="00AD362E"/>
    <w:rsid w:val="00AD389F"/>
    <w:rsid w:val="00AD391D"/>
    <w:rsid w:val="00AD3D50"/>
    <w:rsid w:val="00AD4280"/>
    <w:rsid w:val="00AD4359"/>
    <w:rsid w:val="00AD4931"/>
    <w:rsid w:val="00AD4BD5"/>
    <w:rsid w:val="00AD565F"/>
    <w:rsid w:val="00AD5C38"/>
    <w:rsid w:val="00AD5EC6"/>
    <w:rsid w:val="00AD616F"/>
    <w:rsid w:val="00AD622C"/>
    <w:rsid w:val="00AD627D"/>
    <w:rsid w:val="00AD65BA"/>
    <w:rsid w:val="00AD66E0"/>
    <w:rsid w:val="00AD6BD0"/>
    <w:rsid w:val="00AD782A"/>
    <w:rsid w:val="00AD784F"/>
    <w:rsid w:val="00AD799D"/>
    <w:rsid w:val="00AD7BDB"/>
    <w:rsid w:val="00AE05EB"/>
    <w:rsid w:val="00AE0714"/>
    <w:rsid w:val="00AE1444"/>
    <w:rsid w:val="00AE19F3"/>
    <w:rsid w:val="00AE1A72"/>
    <w:rsid w:val="00AE1C27"/>
    <w:rsid w:val="00AE1D4D"/>
    <w:rsid w:val="00AE2096"/>
    <w:rsid w:val="00AE2B41"/>
    <w:rsid w:val="00AE2C8D"/>
    <w:rsid w:val="00AE30AE"/>
    <w:rsid w:val="00AE3452"/>
    <w:rsid w:val="00AE3472"/>
    <w:rsid w:val="00AE3631"/>
    <w:rsid w:val="00AE36E2"/>
    <w:rsid w:val="00AE36E6"/>
    <w:rsid w:val="00AE385D"/>
    <w:rsid w:val="00AE3992"/>
    <w:rsid w:val="00AE438E"/>
    <w:rsid w:val="00AE462C"/>
    <w:rsid w:val="00AE5499"/>
    <w:rsid w:val="00AE6212"/>
    <w:rsid w:val="00AE62F0"/>
    <w:rsid w:val="00AE638A"/>
    <w:rsid w:val="00AE6772"/>
    <w:rsid w:val="00AE715F"/>
    <w:rsid w:val="00AE71FD"/>
    <w:rsid w:val="00AE731C"/>
    <w:rsid w:val="00AE79C9"/>
    <w:rsid w:val="00AE7A41"/>
    <w:rsid w:val="00AF057F"/>
    <w:rsid w:val="00AF0702"/>
    <w:rsid w:val="00AF0800"/>
    <w:rsid w:val="00AF19E5"/>
    <w:rsid w:val="00AF1A0D"/>
    <w:rsid w:val="00AF1B74"/>
    <w:rsid w:val="00AF2244"/>
    <w:rsid w:val="00AF2302"/>
    <w:rsid w:val="00AF2682"/>
    <w:rsid w:val="00AF3520"/>
    <w:rsid w:val="00AF37A3"/>
    <w:rsid w:val="00AF3AF7"/>
    <w:rsid w:val="00AF3BAC"/>
    <w:rsid w:val="00AF3BB8"/>
    <w:rsid w:val="00AF49DF"/>
    <w:rsid w:val="00AF530D"/>
    <w:rsid w:val="00AF650D"/>
    <w:rsid w:val="00AF6CDC"/>
    <w:rsid w:val="00AF6DA2"/>
    <w:rsid w:val="00AF7172"/>
    <w:rsid w:val="00AF7CF3"/>
    <w:rsid w:val="00AF7D38"/>
    <w:rsid w:val="00B001DC"/>
    <w:rsid w:val="00B003E0"/>
    <w:rsid w:val="00B00D59"/>
    <w:rsid w:val="00B01074"/>
    <w:rsid w:val="00B011EA"/>
    <w:rsid w:val="00B0173E"/>
    <w:rsid w:val="00B01A89"/>
    <w:rsid w:val="00B01B09"/>
    <w:rsid w:val="00B01D3C"/>
    <w:rsid w:val="00B0203A"/>
    <w:rsid w:val="00B020B3"/>
    <w:rsid w:val="00B021B1"/>
    <w:rsid w:val="00B0331C"/>
    <w:rsid w:val="00B03677"/>
    <w:rsid w:val="00B0388D"/>
    <w:rsid w:val="00B038F7"/>
    <w:rsid w:val="00B03B09"/>
    <w:rsid w:val="00B03B0B"/>
    <w:rsid w:val="00B040F4"/>
    <w:rsid w:val="00B0442E"/>
    <w:rsid w:val="00B04B12"/>
    <w:rsid w:val="00B04CA0"/>
    <w:rsid w:val="00B04E5D"/>
    <w:rsid w:val="00B0529E"/>
    <w:rsid w:val="00B052BA"/>
    <w:rsid w:val="00B05300"/>
    <w:rsid w:val="00B055BF"/>
    <w:rsid w:val="00B05BDD"/>
    <w:rsid w:val="00B0659B"/>
    <w:rsid w:val="00B067D7"/>
    <w:rsid w:val="00B06C0B"/>
    <w:rsid w:val="00B06C9F"/>
    <w:rsid w:val="00B06EF2"/>
    <w:rsid w:val="00B06F1D"/>
    <w:rsid w:val="00B07049"/>
    <w:rsid w:val="00B07063"/>
    <w:rsid w:val="00B071CA"/>
    <w:rsid w:val="00B07586"/>
    <w:rsid w:val="00B07CA9"/>
    <w:rsid w:val="00B1009C"/>
    <w:rsid w:val="00B102CB"/>
    <w:rsid w:val="00B103C0"/>
    <w:rsid w:val="00B10533"/>
    <w:rsid w:val="00B10692"/>
    <w:rsid w:val="00B10FA8"/>
    <w:rsid w:val="00B1115D"/>
    <w:rsid w:val="00B1172C"/>
    <w:rsid w:val="00B11B91"/>
    <w:rsid w:val="00B11C8A"/>
    <w:rsid w:val="00B11D37"/>
    <w:rsid w:val="00B11EDB"/>
    <w:rsid w:val="00B124DB"/>
    <w:rsid w:val="00B127B0"/>
    <w:rsid w:val="00B12AFF"/>
    <w:rsid w:val="00B1337E"/>
    <w:rsid w:val="00B13F9A"/>
    <w:rsid w:val="00B1407C"/>
    <w:rsid w:val="00B14998"/>
    <w:rsid w:val="00B1499D"/>
    <w:rsid w:val="00B14A0C"/>
    <w:rsid w:val="00B14C0D"/>
    <w:rsid w:val="00B15099"/>
    <w:rsid w:val="00B154AD"/>
    <w:rsid w:val="00B1670A"/>
    <w:rsid w:val="00B1673F"/>
    <w:rsid w:val="00B16850"/>
    <w:rsid w:val="00B16B7C"/>
    <w:rsid w:val="00B16BDC"/>
    <w:rsid w:val="00B16C8D"/>
    <w:rsid w:val="00B17134"/>
    <w:rsid w:val="00B17573"/>
    <w:rsid w:val="00B175FB"/>
    <w:rsid w:val="00B17BEE"/>
    <w:rsid w:val="00B2002C"/>
    <w:rsid w:val="00B2011C"/>
    <w:rsid w:val="00B20762"/>
    <w:rsid w:val="00B20A0F"/>
    <w:rsid w:val="00B20AC3"/>
    <w:rsid w:val="00B20D27"/>
    <w:rsid w:val="00B20E15"/>
    <w:rsid w:val="00B20E85"/>
    <w:rsid w:val="00B21330"/>
    <w:rsid w:val="00B21A63"/>
    <w:rsid w:val="00B21CB0"/>
    <w:rsid w:val="00B2223A"/>
    <w:rsid w:val="00B22320"/>
    <w:rsid w:val="00B223B5"/>
    <w:rsid w:val="00B2293D"/>
    <w:rsid w:val="00B229A0"/>
    <w:rsid w:val="00B22FE3"/>
    <w:rsid w:val="00B23048"/>
    <w:rsid w:val="00B233DB"/>
    <w:rsid w:val="00B233EE"/>
    <w:rsid w:val="00B23683"/>
    <w:rsid w:val="00B23A22"/>
    <w:rsid w:val="00B24882"/>
    <w:rsid w:val="00B24A21"/>
    <w:rsid w:val="00B24F90"/>
    <w:rsid w:val="00B25099"/>
    <w:rsid w:val="00B25750"/>
    <w:rsid w:val="00B25F7B"/>
    <w:rsid w:val="00B260FD"/>
    <w:rsid w:val="00B264B6"/>
    <w:rsid w:val="00B2668E"/>
    <w:rsid w:val="00B267FB"/>
    <w:rsid w:val="00B2705F"/>
    <w:rsid w:val="00B270F5"/>
    <w:rsid w:val="00B27864"/>
    <w:rsid w:val="00B27973"/>
    <w:rsid w:val="00B305A1"/>
    <w:rsid w:val="00B30DAD"/>
    <w:rsid w:val="00B31364"/>
    <w:rsid w:val="00B319DA"/>
    <w:rsid w:val="00B31BAC"/>
    <w:rsid w:val="00B31EC3"/>
    <w:rsid w:val="00B321D1"/>
    <w:rsid w:val="00B323DE"/>
    <w:rsid w:val="00B32457"/>
    <w:rsid w:val="00B32E35"/>
    <w:rsid w:val="00B32F0A"/>
    <w:rsid w:val="00B33368"/>
    <w:rsid w:val="00B33E1C"/>
    <w:rsid w:val="00B33E4F"/>
    <w:rsid w:val="00B345FE"/>
    <w:rsid w:val="00B34886"/>
    <w:rsid w:val="00B3501F"/>
    <w:rsid w:val="00B35A34"/>
    <w:rsid w:val="00B35B02"/>
    <w:rsid w:val="00B35D0C"/>
    <w:rsid w:val="00B36B24"/>
    <w:rsid w:val="00B36C74"/>
    <w:rsid w:val="00B36FDB"/>
    <w:rsid w:val="00B374C6"/>
    <w:rsid w:val="00B37A01"/>
    <w:rsid w:val="00B40082"/>
    <w:rsid w:val="00B4015E"/>
    <w:rsid w:val="00B40445"/>
    <w:rsid w:val="00B408F7"/>
    <w:rsid w:val="00B4125F"/>
    <w:rsid w:val="00B412CA"/>
    <w:rsid w:val="00B41EB0"/>
    <w:rsid w:val="00B42B04"/>
    <w:rsid w:val="00B42DC0"/>
    <w:rsid w:val="00B42EB4"/>
    <w:rsid w:val="00B4409F"/>
    <w:rsid w:val="00B44987"/>
    <w:rsid w:val="00B456FF"/>
    <w:rsid w:val="00B459AE"/>
    <w:rsid w:val="00B45EDB"/>
    <w:rsid w:val="00B46285"/>
    <w:rsid w:val="00B46B99"/>
    <w:rsid w:val="00B47411"/>
    <w:rsid w:val="00B4795C"/>
    <w:rsid w:val="00B479FB"/>
    <w:rsid w:val="00B500A8"/>
    <w:rsid w:val="00B5097F"/>
    <w:rsid w:val="00B50B50"/>
    <w:rsid w:val="00B51072"/>
    <w:rsid w:val="00B5166B"/>
    <w:rsid w:val="00B526B2"/>
    <w:rsid w:val="00B52712"/>
    <w:rsid w:val="00B528C9"/>
    <w:rsid w:val="00B5296C"/>
    <w:rsid w:val="00B535AD"/>
    <w:rsid w:val="00B53E1C"/>
    <w:rsid w:val="00B54FFC"/>
    <w:rsid w:val="00B55BBC"/>
    <w:rsid w:val="00B56265"/>
    <w:rsid w:val="00B56B87"/>
    <w:rsid w:val="00B56C39"/>
    <w:rsid w:val="00B571D5"/>
    <w:rsid w:val="00B57EB4"/>
    <w:rsid w:val="00B60A88"/>
    <w:rsid w:val="00B61206"/>
    <w:rsid w:val="00B614E3"/>
    <w:rsid w:val="00B61731"/>
    <w:rsid w:val="00B619E2"/>
    <w:rsid w:val="00B62968"/>
    <w:rsid w:val="00B62ACD"/>
    <w:rsid w:val="00B62F25"/>
    <w:rsid w:val="00B62FD3"/>
    <w:rsid w:val="00B630DC"/>
    <w:rsid w:val="00B630E4"/>
    <w:rsid w:val="00B63147"/>
    <w:rsid w:val="00B6362A"/>
    <w:rsid w:val="00B6394B"/>
    <w:rsid w:val="00B63A6A"/>
    <w:rsid w:val="00B63A82"/>
    <w:rsid w:val="00B6454F"/>
    <w:rsid w:val="00B65BAA"/>
    <w:rsid w:val="00B66E5F"/>
    <w:rsid w:val="00B67295"/>
    <w:rsid w:val="00B70197"/>
    <w:rsid w:val="00B7022D"/>
    <w:rsid w:val="00B7076E"/>
    <w:rsid w:val="00B70C7A"/>
    <w:rsid w:val="00B70D93"/>
    <w:rsid w:val="00B7123A"/>
    <w:rsid w:val="00B72289"/>
    <w:rsid w:val="00B722E0"/>
    <w:rsid w:val="00B72720"/>
    <w:rsid w:val="00B728FF"/>
    <w:rsid w:val="00B72AD2"/>
    <w:rsid w:val="00B72F67"/>
    <w:rsid w:val="00B73286"/>
    <w:rsid w:val="00B73E28"/>
    <w:rsid w:val="00B74202"/>
    <w:rsid w:val="00B74771"/>
    <w:rsid w:val="00B74844"/>
    <w:rsid w:val="00B74849"/>
    <w:rsid w:val="00B750BC"/>
    <w:rsid w:val="00B75147"/>
    <w:rsid w:val="00B75673"/>
    <w:rsid w:val="00B7577D"/>
    <w:rsid w:val="00B7595F"/>
    <w:rsid w:val="00B75995"/>
    <w:rsid w:val="00B75AB3"/>
    <w:rsid w:val="00B75F6B"/>
    <w:rsid w:val="00B76514"/>
    <w:rsid w:val="00B766BC"/>
    <w:rsid w:val="00B768EB"/>
    <w:rsid w:val="00B770F0"/>
    <w:rsid w:val="00B7748C"/>
    <w:rsid w:val="00B77584"/>
    <w:rsid w:val="00B80013"/>
    <w:rsid w:val="00B8001C"/>
    <w:rsid w:val="00B8001D"/>
    <w:rsid w:val="00B800EA"/>
    <w:rsid w:val="00B80209"/>
    <w:rsid w:val="00B8095E"/>
    <w:rsid w:val="00B8161D"/>
    <w:rsid w:val="00B81881"/>
    <w:rsid w:val="00B81A98"/>
    <w:rsid w:val="00B81DCC"/>
    <w:rsid w:val="00B8252B"/>
    <w:rsid w:val="00B828C2"/>
    <w:rsid w:val="00B831A6"/>
    <w:rsid w:val="00B835DD"/>
    <w:rsid w:val="00B84359"/>
    <w:rsid w:val="00B84991"/>
    <w:rsid w:val="00B84DA8"/>
    <w:rsid w:val="00B851CA"/>
    <w:rsid w:val="00B8543D"/>
    <w:rsid w:val="00B85745"/>
    <w:rsid w:val="00B857A8"/>
    <w:rsid w:val="00B857D3"/>
    <w:rsid w:val="00B85AAA"/>
    <w:rsid w:val="00B85DDA"/>
    <w:rsid w:val="00B86496"/>
    <w:rsid w:val="00B86A7B"/>
    <w:rsid w:val="00B86CAF"/>
    <w:rsid w:val="00B87326"/>
    <w:rsid w:val="00B8732A"/>
    <w:rsid w:val="00B87B02"/>
    <w:rsid w:val="00B90007"/>
    <w:rsid w:val="00B9045E"/>
    <w:rsid w:val="00B907B1"/>
    <w:rsid w:val="00B90840"/>
    <w:rsid w:val="00B90D6F"/>
    <w:rsid w:val="00B91144"/>
    <w:rsid w:val="00B9123B"/>
    <w:rsid w:val="00B9201E"/>
    <w:rsid w:val="00B922E6"/>
    <w:rsid w:val="00B9252E"/>
    <w:rsid w:val="00B9261D"/>
    <w:rsid w:val="00B92911"/>
    <w:rsid w:val="00B92A4A"/>
    <w:rsid w:val="00B92B3D"/>
    <w:rsid w:val="00B92F19"/>
    <w:rsid w:val="00B93141"/>
    <w:rsid w:val="00B932E3"/>
    <w:rsid w:val="00B93311"/>
    <w:rsid w:val="00B936F4"/>
    <w:rsid w:val="00B941C4"/>
    <w:rsid w:val="00B945E2"/>
    <w:rsid w:val="00B9462E"/>
    <w:rsid w:val="00B94897"/>
    <w:rsid w:val="00B94A34"/>
    <w:rsid w:val="00B94BB6"/>
    <w:rsid w:val="00B94CE5"/>
    <w:rsid w:val="00B953AE"/>
    <w:rsid w:val="00B954E5"/>
    <w:rsid w:val="00B956D4"/>
    <w:rsid w:val="00B961E1"/>
    <w:rsid w:val="00B96347"/>
    <w:rsid w:val="00B96629"/>
    <w:rsid w:val="00B966D3"/>
    <w:rsid w:val="00B969CC"/>
    <w:rsid w:val="00B9745D"/>
    <w:rsid w:val="00B97865"/>
    <w:rsid w:val="00B97B9F"/>
    <w:rsid w:val="00B97D70"/>
    <w:rsid w:val="00BA051A"/>
    <w:rsid w:val="00BA08D6"/>
    <w:rsid w:val="00BA11C7"/>
    <w:rsid w:val="00BA11EA"/>
    <w:rsid w:val="00BA2274"/>
    <w:rsid w:val="00BA2934"/>
    <w:rsid w:val="00BA29C8"/>
    <w:rsid w:val="00BA2B02"/>
    <w:rsid w:val="00BA307D"/>
    <w:rsid w:val="00BA3542"/>
    <w:rsid w:val="00BA3B52"/>
    <w:rsid w:val="00BA444D"/>
    <w:rsid w:val="00BA4E95"/>
    <w:rsid w:val="00BA4EE7"/>
    <w:rsid w:val="00BA5445"/>
    <w:rsid w:val="00BA586E"/>
    <w:rsid w:val="00BA5C58"/>
    <w:rsid w:val="00BA6219"/>
    <w:rsid w:val="00BA6322"/>
    <w:rsid w:val="00BA6469"/>
    <w:rsid w:val="00BA6B3E"/>
    <w:rsid w:val="00BA73B9"/>
    <w:rsid w:val="00BA7F16"/>
    <w:rsid w:val="00BA7F6D"/>
    <w:rsid w:val="00BB000B"/>
    <w:rsid w:val="00BB07AA"/>
    <w:rsid w:val="00BB0CD0"/>
    <w:rsid w:val="00BB174A"/>
    <w:rsid w:val="00BB1973"/>
    <w:rsid w:val="00BB1996"/>
    <w:rsid w:val="00BB1C47"/>
    <w:rsid w:val="00BB1DF4"/>
    <w:rsid w:val="00BB2166"/>
    <w:rsid w:val="00BB2D0A"/>
    <w:rsid w:val="00BB3108"/>
    <w:rsid w:val="00BB39AF"/>
    <w:rsid w:val="00BB3B59"/>
    <w:rsid w:val="00BB3E53"/>
    <w:rsid w:val="00BB4F00"/>
    <w:rsid w:val="00BB4F99"/>
    <w:rsid w:val="00BB520A"/>
    <w:rsid w:val="00BB5512"/>
    <w:rsid w:val="00BB59A9"/>
    <w:rsid w:val="00BB6376"/>
    <w:rsid w:val="00BB65ED"/>
    <w:rsid w:val="00BB6AC5"/>
    <w:rsid w:val="00BB6D19"/>
    <w:rsid w:val="00BB7189"/>
    <w:rsid w:val="00BB74D3"/>
    <w:rsid w:val="00BB779E"/>
    <w:rsid w:val="00BB77F7"/>
    <w:rsid w:val="00BC049C"/>
    <w:rsid w:val="00BC04E4"/>
    <w:rsid w:val="00BC0EC2"/>
    <w:rsid w:val="00BC102E"/>
    <w:rsid w:val="00BC10AB"/>
    <w:rsid w:val="00BC1716"/>
    <w:rsid w:val="00BC1B44"/>
    <w:rsid w:val="00BC2455"/>
    <w:rsid w:val="00BC24B9"/>
    <w:rsid w:val="00BC287D"/>
    <w:rsid w:val="00BC2A0C"/>
    <w:rsid w:val="00BC2A79"/>
    <w:rsid w:val="00BC2DF1"/>
    <w:rsid w:val="00BC37EC"/>
    <w:rsid w:val="00BC3A8D"/>
    <w:rsid w:val="00BC3F90"/>
    <w:rsid w:val="00BC419C"/>
    <w:rsid w:val="00BC4525"/>
    <w:rsid w:val="00BC489B"/>
    <w:rsid w:val="00BC5231"/>
    <w:rsid w:val="00BC54E7"/>
    <w:rsid w:val="00BC55F9"/>
    <w:rsid w:val="00BC5BDC"/>
    <w:rsid w:val="00BC5C8F"/>
    <w:rsid w:val="00BC6A3F"/>
    <w:rsid w:val="00BC6CCF"/>
    <w:rsid w:val="00BC7186"/>
    <w:rsid w:val="00BC71B9"/>
    <w:rsid w:val="00BC7598"/>
    <w:rsid w:val="00BC793F"/>
    <w:rsid w:val="00BC7C37"/>
    <w:rsid w:val="00BC7D66"/>
    <w:rsid w:val="00BC7ED7"/>
    <w:rsid w:val="00BD02C5"/>
    <w:rsid w:val="00BD0AA0"/>
    <w:rsid w:val="00BD0E6D"/>
    <w:rsid w:val="00BD100D"/>
    <w:rsid w:val="00BD1051"/>
    <w:rsid w:val="00BD1243"/>
    <w:rsid w:val="00BD1707"/>
    <w:rsid w:val="00BD2093"/>
    <w:rsid w:val="00BD23D9"/>
    <w:rsid w:val="00BD259F"/>
    <w:rsid w:val="00BD2FC3"/>
    <w:rsid w:val="00BD35B2"/>
    <w:rsid w:val="00BD3C3C"/>
    <w:rsid w:val="00BD3CAF"/>
    <w:rsid w:val="00BD43B3"/>
    <w:rsid w:val="00BD4629"/>
    <w:rsid w:val="00BD4704"/>
    <w:rsid w:val="00BD4C8D"/>
    <w:rsid w:val="00BD4EE9"/>
    <w:rsid w:val="00BD4F5C"/>
    <w:rsid w:val="00BD521A"/>
    <w:rsid w:val="00BD5508"/>
    <w:rsid w:val="00BD57A2"/>
    <w:rsid w:val="00BD5BCB"/>
    <w:rsid w:val="00BD5C87"/>
    <w:rsid w:val="00BD5E51"/>
    <w:rsid w:val="00BD5E72"/>
    <w:rsid w:val="00BD629F"/>
    <w:rsid w:val="00BD636E"/>
    <w:rsid w:val="00BD68A5"/>
    <w:rsid w:val="00BD6A99"/>
    <w:rsid w:val="00BD6BFF"/>
    <w:rsid w:val="00BD6C7E"/>
    <w:rsid w:val="00BD7943"/>
    <w:rsid w:val="00BD79B9"/>
    <w:rsid w:val="00BD79EA"/>
    <w:rsid w:val="00BD7CEE"/>
    <w:rsid w:val="00BD7D0A"/>
    <w:rsid w:val="00BD7F7E"/>
    <w:rsid w:val="00BE015C"/>
    <w:rsid w:val="00BE01C8"/>
    <w:rsid w:val="00BE03CF"/>
    <w:rsid w:val="00BE054B"/>
    <w:rsid w:val="00BE0EBB"/>
    <w:rsid w:val="00BE0FC5"/>
    <w:rsid w:val="00BE1D03"/>
    <w:rsid w:val="00BE2769"/>
    <w:rsid w:val="00BE284C"/>
    <w:rsid w:val="00BE2A34"/>
    <w:rsid w:val="00BE2B1F"/>
    <w:rsid w:val="00BE33FF"/>
    <w:rsid w:val="00BE384E"/>
    <w:rsid w:val="00BE3BAB"/>
    <w:rsid w:val="00BE411E"/>
    <w:rsid w:val="00BE46DB"/>
    <w:rsid w:val="00BE4C49"/>
    <w:rsid w:val="00BE57D2"/>
    <w:rsid w:val="00BE581C"/>
    <w:rsid w:val="00BE6DD9"/>
    <w:rsid w:val="00BE75EE"/>
    <w:rsid w:val="00BE7827"/>
    <w:rsid w:val="00BE7E21"/>
    <w:rsid w:val="00BF0165"/>
    <w:rsid w:val="00BF0959"/>
    <w:rsid w:val="00BF1063"/>
    <w:rsid w:val="00BF10DA"/>
    <w:rsid w:val="00BF166C"/>
    <w:rsid w:val="00BF1AD4"/>
    <w:rsid w:val="00BF1E9A"/>
    <w:rsid w:val="00BF2145"/>
    <w:rsid w:val="00BF22E8"/>
    <w:rsid w:val="00BF256B"/>
    <w:rsid w:val="00BF2B7D"/>
    <w:rsid w:val="00BF2D01"/>
    <w:rsid w:val="00BF2FCD"/>
    <w:rsid w:val="00BF3E86"/>
    <w:rsid w:val="00BF3FC1"/>
    <w:rsid w:val="00BF462E"/>
    <w:rsid w:val="00BF4B8F"/>
    <w:rsid w:val="00BF5807"/>
    <w:rsid w:val="00BF5BCC"/>
    <w:rsid w:val="00BF6377"/>
    <w:rsid w:val="00BF68FA"/>
    <w:rsid w:val="00BF74F7"/>
    <w:rsid w:val="00BF7877"/>
    <w:rsid w:val="00BF7D12"/>
    <w:rsid w:val="00C0019F"/>
    <w:rsid w:val="00C0045C"/>
    <w:rsid w:val="00C00635"/>
    <w:rsid w:val="00C00949"/>
    <w:rsid w:val="00C00D4E"/>
    <w:rsid w:val="00C012DD"/>
    <w:rsid w:val="00C01520"/>
    <w:rsid w:val="00C015F4"/>
    <w:rsid w:val="00C01C0F"/>
    <w:rsid w:val="00C01FE4"/>
    <w:rsid w:val="00C02000"/>
    <w:rsid w:val="00C02322"/>
    <w:rsid w:val="00C02A5C"/>
    <w:rsid w:val="00C02CC0"/>
    <w:rsid w:val="00C02F2B"/>
    <w:rsid w:val="00C02F53"/>
    <w:rsid w:val="00C03282"/>
    <w:rsid w:val="00C038F2"/>
    <w:rsid w:val="00C039B8"/>
    <w:rsid w:val="00C03EA7"/>
    <w:rsid w:val="00C047A2"/>
    <w:rsid w:val="00C05375"/>
    <w:rsid w:val="00C0571D"/>
    <w:rsid w:val="00C058DE"/>
    <w:rsid w:val="00C06002"/>
    <w:rsid w:val="00C0618F"/>
    <w:rsid w:val="00C06348"/>
    <w:rsid w:val="00C06C26"/>
    <w:rsid w:val="00C06F86"/>
    <w:rsid w:val="00C07BF6"/>
    <w:rsid w:val="00C1003E"/>
    <w:rsid w:val="00C1095E"/>
    <w:rsid w:val="00C10E54"/>
    <w:rsid w:val="00C1123A"/>
    <w:rsid w:val="00C11270"/>
    <w:rsid w:val="00C1138C"/>
    <w:rsid w:val="00C11955"/>
    <w:rsid w:val="00C11BDD"/>
    <w:rsid w:val="00C120B0"/>
    <w:rsid w:val="00C122BA"/>
    <w:rsid w:val="00C12347"/>
    <w:rsid w:val="00C130D0"/>
    <w:rsid w:val="00C13309"/>
    <w:rsid w:val="00C142E4"/>
    <w:rsid w:val="00C1459E"/>
    <w:rsid w:val="00C145DB"/>
    <w:rsid w:val="00C146D3"/>
    <w:rsid w:val="00C14714"/>
    <w:rsid w:val="00C14C03"/>
    <w:rsid w:val="00C14C34"/>
    <w:rsid w:val="00C15278"/>
    <w:rsid w:val="00C15430"/>
    <w:rsid w:val="00C15C9D"/>
    <w:rsid w:val="00C15F90"/>
    <w:rsid w:val="00C162A5"/>
    <w:rsid w:val="00C1644E"/>
    <w:rsid w:val="00C16497"/>
    <w:rsid w:val="00C167D9"/>
    <w:rsid w:val="00C16B00"/>
    <w:rsid w:val="00C16CA1"/>
    <w:rsid w:val="00C16E10"/>
    <w:rsid w:val="00C16E17"/>
    <w:rsid w:val="00C16FBA"/>
    <w:rsid w:val="00C171E3"/>
    <w:rsid w:val="00C17346"/>
    <w:rsid w:val="00C1739F"/>
    <w:rsid w:val="00C175C6"/>
    <w:rsid w:val="00C1762E"/>
    <w:rsid w:val="00C17B87"/>
    <w:rsid w:val="00C17C2E"/>
    <w:rsid w:val="00C17F74"/>
    <w:rsid w:val="00C20409"/>
    <w:rsid w:val="00C206D2"/>
    <w:rsid w:val="00C2081B"/>
    <w:rsid w:val="00C20A24"/>
    <w:rsid w:val="00C20C6B"/>
    <w:rsid w:val="00C20D0D"/>
    <w:rsid w:val="00C21030"/>
    <w:rsid w:val="00C216E4"/>
    <w:rsid w:val="00C217AA"/>
    <w:rsid w:val="00C21DED"/>
    <w:rsid w:val="00C21DF0"/>
    <w:rsid w:val="00C22234"/>
    <w:rsid w:val="00C22513"/>
    <w:rsid w:val="00C23449"/>
    <w:rsid w:val="00C2353D"/>
    <w:rsid w:val="00C24538"/>
    <w:rsid w:val="00C24ECD"/>
    <w:rsid w:val="00C24EF8"/>
    <w:rsid w:val="00C25654"/>
    <w:rsid w:val="00C2571C"/>
    <w:rsid w:val="00C25905"/>
    <w:rsid w:val="00C25AEF"/>
    <w:rsid w:val="00C25B63"/>
    <w:rsid w:val="00C25E1B"/>
    <w:rsid w:val="00C25E60"/>
    <w:rsid w:val="00C26133"/>
    <w:rsid w:val="00C266C1"/>
    <w:rsid w:val="00C26D33"/>
    <w:rsid w:val="00C26F7D"/>
    <w:rsid w:val="00C27A09"/>
    <w:rsid w:val="00C27C96"/>
    <w:rsid w:val="00C27F0A"/>
    <w:rsid w:val="00C3041F"/>
    <w:rsid w:val="00C30C03"/>
    <w:rsid w:val="00C30F5D"/>
    <w:rsid w:val="00C3107C"/>
    <w:rsid w:val="00C31196"/>
    <w:rsid w:val="00C31202"/>
    <w:rsid w:val="00C31CB3"/>
    <w:rsid w:val="00C3256B"/>
    <w:rsid w:val="00C32C9A"/>
    <w:rsid w:val="00C333A9"/>
    <w:rsid w:val="00C33757"/>
    <w:rsid w:val="00C337CF"/>
    <w:rsid w:val="00C33886"/>
    <w:rsid w:val="00C33D1B"/>
    <w:rsid w:val="00C35247"/>
    <w:rsid w:val="00C355BE"/>
    <w:rsid w:val="00C355D6"/>
    <w:rsid w:val="00C35F9D"/>
    <w:rsid w:val="00C36202"/>
    <w:rsid w:val="00C363C1"/>
    <w:rsid w:val="00C36842"/>
    <w:rsid w:val="00C400FB"/>
    <w:rsid w:val="00C40174"/>
    <w:rsid w:val="00C40496"/>
    <w:rsid w:val="00C40588"/>
    <w:rsid w:val="00C41105"/>
    <w:rsid w:val="00C416C5"/>
    <w:rsid w:val="00C418EC"/>
    <w:rsid w:val="00C41E0C"/>
    <w:rsid w:val="00C420BC"/>
    <w:rsid w:val="00C42703"/>
    <w:rsid w:val="00C42D9A"/>
    <w:rsid w:val="00C4316C"/>
    <w:rsid w:val="00C43313"/>
    <w:rsid w:val="00C445D8"/>
    <w:rsid w:val="00C44AD1"/>
    <w:rsid w:val="00C44C5F"/>
    <w:rsid w:val="00C44E84"/>
    <w:rsid w:val="00C45117"/>
    <w:rsid w:val="00C45580"/>
    <w:rsid w:val="00C45772"/>
    <w:rsid w:val="00C45A4D"/>
    <w:rsid w:val="00C45B2E"/>
    <w:rsid w:val="00C46504"/>
    <w:rsid w:val="00C4716B"/>
    <w:rsid w:val="00C479AE"/>
    <w:rsid w:val="00C47A86"/>
    <w:rsid w:val="00C50CE2"/>
    <w:rsid w:val="00C5113D"/>
    <w:rsid w:val="00C5161B"/>
    <w:rsid w:val="00C52538"/>
    <w:rsid w:val="00C52604"/>
    <w:rsid w:val="00C533D8"/>
    <w:rsid w:val="00C54431"/>
    <w:rsid w:val="00C54A63"/>
    <w:rsid w:val="00C54C36"/>
    <w:rsid w:val="00C55066"/>
    <w:rsid w:val="00C550A3"/>
    <w:rsid w:val="00C55552"/>
    <w:rsid w:val="00C55754"/>
    <w:rsid w:val="00C55C49"/>
    <w:rsid w:val="00C5659B"/>
    <w:rsid w:val="00C56B3B"/>
    <w:rsid w:val="00C5708F"/>
    <w:rsid w:val="00C579C4"/>
    <w:rsid w:val="00C57FFD"/>
    <w:rsid w:val="00C60B54"/>
    <w:rsid w:val="00C60D11"/>
    <w:rsid w:val="00C615CF"/>
    <w:rsid w:val="00C617D9"/>
    <w:rsid w:val="00C61988"/>
    <w:rsid w:val="00C623D4"/>
    <w:rsid w:val="00C62510"/>
    <w:rsid w:val="00C62A11"/>
    <w:rsid w:val="00C6333C"/>
    <w:rsid w:val="00C638E4"/>
    <w:rsid w:val="00C63A33"/>
    <w:rsid w:val="00C64009"/>
    <w:rsid w:val="00C64D6A"/>
    <w:rsid w:val="00C656D0"/>
    <w:rsid w:val="00C658A4"/>
    <w:rsid w:val="00C65FE4"/>
    <w:rsid w:val="00C66011"/>
    <w:rsid w:val="00C66557"/>
    <w:rsid w:val="00C6670B"/>
    <w:rsid w:val="00C6705C"/>
    <w:rsid w:val="00C67081"/>
    <w:rsid w:val="00C670AE"/>
    <w:rsid w:val="00C67BA8"/>
    <w:rsid w:val="00C71220"/>
    <w:rsid w:val="00C71A3A"/>
    <w:rsid w:val="00C71C4F"/>
    <w:rsid w:val="00C71E95"/>
    <w:rsid w:val="00C71FA0"/>
    <w:rsid w:val="00C72BF4"/>
    <w:rsid w:val="00C72FCE"/>
    <w:rsid w:val="00C72FDD"/>
    <w:rsid w:val="00C734C2"/>
    <w:rsid w:val="00C735C7"/>
    <w:rsid w:val="00C73EF2"/>
    <w:rsid w:val="00C746D2"/>
    <w:rsid w:val="00C74B19"/>
    <w:rsid w:val="00C74FF5"/>
    <w:rsid w:val="00C7544A"/>
    <w:rsid w:val="00C758C9"/>
    <w:rsid w:val="00C7595E"/>
    <w:rsid w:val="00C759D6"/>
    <w:rsid w:val="00C760B9"/>
    <w:rsid w:val="00C76F36"/>
    <w:rsid w:val="00C7719E"/>
    <w:rsid w:val="00C77A2A"/>
    <w:rsid w:val="00C77BC5"/>
    <w:rsid w:val="00C77D15"/>
    <w:rsid w:val="00C77D91"/>
    <w:rsid w:val="00C77E38"/>
    <w:rsid w:val="00C77FCE"/>
    <w:rsid w:val="00C800CC"/>
    <w:rsid w:val="00C80B66"/>
    <w:rsid w:val="00C80B72"/>
    <w:rsid w:val="00C81AC3"/>
    <w:rsid w:val="00C81CE1"/>
    <w:rsid w:val="00C82269"/>
    <w:rsid w:val="00C82577"/>
    <w:rsid w:val="00C82665"/>
    <w:rsid w:val="00C82712"/>
    <w:rsid w:val="00C828F2"/>
    <w:rsid w:val="00C82AB8"/>
    <w:rsid w:val="00C82BD9"/>
    <w:rsid w:val="00C8333A"/>
    <w:rsid w:val="00C835CC"/>
    <w:rsid w:val="00C8371E"/>
    <w:rsid w:val="00C84013"/>
    <w:rsid w:val="00C842C0"/>
    <w:rsid w:val="00C845B0"/>
    <w:rsid w:val="00C8470B"/>
    <w:rsid w:val="00C84B24"/>
    <w:rsid w:val="00C852B0"/>
    <w:rsid w:val="00C856CD"/>
    <w:rsid w:val="00C85DA8"/>
    <w:rsid w:val="00C86C89"/>
    <w:rsid w:val="00C871B8"/>
    <w:rsid w:val="00C872C1"/>
    <w:rsid w:val="00C87B15"/>
    <w:rsid w:val="00C87CCC"/>
    <w:rsid w:val="00C87E46"/>
    <w:rsid w:val="00C902F9"/>
    <w:rsid w:val="00C905E4"/>
    <w:rsid w:val="00C90FC1"/>
    <w:rsid w:val="00C91381"/>
    <w:rsid w:val="00C91A8A"/>
    <w:rsid w:val="00C91B1A"/>
    <w:rsid w:val="00C92435"/>
    <w:rsid w:val="00C9257F"/>
    <w:rsid w:val="00C928E0"/>
    <w:rsid w:val="00C92C5A"/>
    <w:rsid w:val="00C92F25"/>
    <w:rsid w:val="00C93538"/>
    <w:rsid w:val="00C939EA"/>
    <w:rsid w:val="00C93DEE"/>
    <w:rsid w:val="00C94884"/>
    <w:rsid w:val="00C948BA"/>
    <w:rsid w:val="00C94B12"/>
    <w:rsid w:val="00C94B9D"/>
    <w:rsid w:val="00C94EA6"/>
    <w:rsid w:val="00C951E7"/>
    <w:rsid w:val="00C95504"/>
    <w:rsid w:val="00C956B4"/>
    <w:rsid w:val="00C96175"/>
    <w:rsid w:val="00C96292"/>
    <w:rsid w:val="00C965D3"/>
    <w:rsid w:val="00C96680"/>
    <w:rsid w:val="00C96F3F"/>
    <w:rsid w:val="00C97057"/>
    <w:rsid w:val="00C978E6"/>
    <w:rsid w:val="00C97A96"/>
    <w:rsid w:val="00C97F2C"/>
    <w:rsid w:val="00C97FB7"/>
    <w:rsid w:val="00CA00A6"/>
    <w:rsid w:val="00CA06BB"/>
    <w:rsid w:val="00CA075E"/>
    <w:rsid w:val="00CA0792"/>
    <w:rsid w:val="00CA0DB0"/>
    <w:rsid w:val="00CA1219"/>
    <w:rsid w:val="00CA1BEB"/>
    <w:rsid w:val="00CA1C59"/>
    <w:rsid w:val="00CA1DA5"/>
    <w:rsid w:val="00CA205A"/>
    <w:rsid w:val="00CA2975"/>
    <w:rsid w:val="00CA2D5D"/>
    <w:rsid w:val="00CA2D75"/>
    <w:rsid w:val="00CA2EF7"/>
    <w:rsid w:val="00CA38EF"/>
    <w:rsid w:val="00CA41A6"/>
    <w:rsid w:val="00CA492B"/>
    <w:rsid w:val="00CA59FB"/>
    <w:rsid w:val="00CA604C"/>
    <w:rsid w:val="00CA6180"/>
    <w:rsid w:val="00CA6C0C"/>
    <w:rsid w:val="00CA708C"/>
    <w:rsid w:val="00CA7194"/>
    <w:rsid w:val="00CA71B2"/>
    <w:rsid w:val="00CA760A"/>
    <w:rsid w:val="00CA78E1"/>
    <w:rsid w:val="00CA796C"/>
    <w:rsid w:val="00CA7F04"/>
    <w:rsid w:val="00CB04D7"/>
    <w:rsid w:val="00CB0834"/>
    <w:rsid w:val="00CB0F0E"/>
    <w:rsid w:val="00CB103B"/>
    <w:rsid w:val="00CB10A4"/>
    <w:rsid w:val="00CB12C2"/>
    <w:rsid w:val="00CB17F7"/>
    <w:rsid w:val="00CB1F29"/>
    <w:rsid w:val="00CB20B3"/>
    <w:rsid w:val="00CB3324"/>
    <w:rsid w:val="00CB38FE"/>
    <w:rsid w:val="00CB3A8E"/>
    <w:rsid w:val="00CB3D42"/>
    <w:rsid w:val="00CB5372"/>
    <w:rsid w:val="00CB538D"/>
    <w:rsid w:val="00CB55D6"/>
    <w:rsid w:val="00CB5A2E"/>
    <w:rsid w:val="00CB5F24"/>
    <w:rsid w:val="00CB6591"/>
    <w:rsid w:val="00CB6ABB"/>
    <w:rsid w:val="00CB6F19"/>
    <w:rsid w:val="00CB78B7"/>
    <w:rsid w:val="00CB7D55"/>
    <w:rsid w:val="00CC0B7E"/>
    <w:rsid w:val="00CC1070"/>
    <w:rsid w:val="00CC134B"/>
    <w:rsid w:val="00CC155D"/>
    <w:rsid w:val="00CC16C8"/>
    <w:rsid w:val="00CC17D4"/>
    <w:rsid w:val="00CC1F97"/>
    <w:rsid w:val="00CC2E1A"/>
    <w:rsid w:val="00CC2EEB"/>
    <w:rsid w:val="00CC3382"/>
    <w:rsid w:val="00CC38F9"/>
    <w:rsid w:val="00CC4116"/>
    <w:rsid w:val="00CC417E"/>
    <w:rsid w:val="00CC4A4E"/>
    <w:rsid w:val="00CC4CDB"/>
    <w:rsid w:val="00CC4D9A"/>
    <w:rsid w:val="00CC5553"/>
    <w:rsid w:val="00CC5E19"/>
    <w:rsid w:val="00CC7870"/>
    <w:rsid w:val="00CC7AB1"/>
    <w:rsid w:val="00CD079C"/>
    <w:rsid w:val="00CD0A25"/>
    <w:rsid w:val="00CD0D85"/>
    <w:rsid w:val="00CD0DA0"/>
    <w:rsid w:val="00CD12A9"/>
    <w:rsid w:val="00CD1398"/>
    <w:rsid w:val="00CD13AA"/>
    <w:rsid w:val="00CD161E"/>
    <w:rsid w:val="00CD22E1"/>
    <w:rsid w:val="00CD26FE"/>
    <w:rsid w:val="00CD2AF5"/>
    <w:rsid w:val="00CD2EDA"/>
    <w:rsid w:val="00CD34DA"/>
    <w:rsid w:val="00CD3A19"/>
    <w:rsid w:val="00CD3BD7"/>
    <w:rsid w:val="00CD3BE8"/>
    <w:rsid w:val="00CD3C25"/>
    <w:rsid w:val="00CD3C76"/>
    <w:rsid w:val="00CD3C7F"/>
    <w:rsid w:val="00CD3CF1"/>
    <w:rsid w:val="00CD40FD"/>
    <w:rsid w:val="00CD4160"/>
    <w:rsid w:val="00CD44C1"/>
    <w:rsid w:val="00CD466C"/>
    <w:rsid w:val="00CD4B08"/>
    <w:rsid w:val="00CD4DE0"/>
    <w:rsid w:val="00CD4DEB"/>
    <w:rsid w:val="00CD5A6D"/>
    <w:rsid w:val="00CD5DD6"/>
    <w:rsid w:val="00CD6094"/>
    <w:rsid w:val="00CD6417"/>
    <w:rsid w:val="00CD65FE"/>
    <w:rsid w:val="00CD784B"/>
    <w:rsid w:val="00CD7D20"/>
    <w:rsid w:val="00CD7D87"/>
    <w:rsid w:val="00CE0621"/>
    <w:rsid w:val="00CE084F"/>
    <w:rsid w:val="00CE0887"/>
    <w:rsid w:val="00CE09EC"/>
    <w:rsid w:val="00CE0AF8"/>
    <w:rsid w:val="00CE0F98"/>
    <w:rsid w:val="00CE104F"/>
    <w:rsid w:val="00CE1050"/>
    <w:rsid w:val="00CE17CD"/>
    <w:rsid w:val="00CE18D3"/>
    <w:rsid w:val="00CE1C4F"/>
    <w:rsid w:val="00CE1E4F"/>
    <w:rsid w:val="00CE1EC1"/>
    <w:rsid w:val="00CE23B9"/>
    <w:rsid w:val="00CE270B"/>
    <w:rsid w:val="00CE2A26"/>
    <w:rsid w:val="00CE3130"/>
    <w:rsid w:val="00CE37CF"/>
    <w:rsid w:val="00CE430F"/>
    <w:rsid w:val="00CE4E5B"/>
    <w:rsid w:val="00CE5168"/>
    <w:rsid w:val="00CE5F29"/>
    <w:rsid w:val="00CE770E"/>
    <w:rsid w:val="00CF0473"/>
    <w:rsid w:val="00CF0622"/>
    <w:rsid w:val="00CF0C9F"/>
    <w:rsid w:val="00CF0ED5"/>
    <w:rsid w:val="00CF0EDA"/>
    <w:rsid w:val="00CF1F18"/>
    <w:rsid w:val="00CF2006"/>
    <w:rsid w:val="00CF2199"/>
    <w:rsid w:val="00CF2374"/>
    <w:rsid w:val="00CF2E1C"/>
    <w:rsid w:val="00CF2EF7"/>
    <w:rsid w:val="00CF349D"/>
    <w:rsid w:val="00CF3A43"/>
    <w:rsid w:val="00CF3FAF"/>
    <w:rsid w:val="00CF40D1"/>
    <w:rsid w:val="00CF43FE"/>
    <w:rsid w:val="00CF4AD6"/>
    <w:rsid w:val="00CF4FE1"/>
    <w:rsid w:val="00CF52B9"/>
    <w:rsid w:val="00CF56E2"/>
    <w:rsid w:val="00CF58E1"/>
    <w:rsid w:val="00CF58E5"/>
    <w:rsid w:val="00CF6474"/>
    <w:rsid w:val="00CF65AE"/>
    <w:rsid w:val="00CF6E3B"/>
    <w:rsid w:val="00CF75B2"/>
    <w:rsid w:val="00CF7678"/>
    <w:rsid w:val="00D0025B"/>
    <w:rsid w:val="00D00785"/>
    <w:rsid w:val="00D00B4D"/>
    <w:rsid w:val="00D00F5D"/>
    <w:rsid w:val="00D0178E"/>
    <w:rsid w:val="00D01948"/>
    <w:rsid w:val="00D01CC9"/>
    <w:rsid w:val="00D01D3A"/>
    <w:rsid w:val="00D01D64"/>
    <w:rsid w:val="00D02346"/>
    <w:rsid w:val="00D026CE"/>
    <w:rsid w:val="00D02799"/>
    <w:rsid w:val="00D029AF"/>
    <w:rsid w:val="00D029D8"/>
    <w:rsid w:val="00D02F93"/>
    <w:rsid w:val="00D032F2"/>
    <w:rsid w:val="00D034D1"/>
    <w:rsid w:val="00D037C0"/>
    <w:rsid w:val="00D0394F"/>
    <w:rsid w:val="00D047CD"/>
    <w:rsid w:val="00D04A06"/>
    <w:rsid w:val="00D04A8C"/>
    <w:rsid w:val="00D050B3"/>
    <w:rsid w:val="00D063BF"/>
    <w:rsid w:val="00D06605"/>
    <w:rsid w:val="00D06746"/>
    <w:rsid w:val="00D072BE"/>
    <w:rsid w:val="00D07656"/>
    <w:rsid w:val="00D078B2"/>
    <w:rsid w:val="00D10136"/>
    <w:rsid w:val="00D1046F"/>
    <w:rsid w:val="00D10659"/>
    <w:rsid w:val="00D10742"/>
    <w:rsid w:val="00D1093B"/>
    <w:rsid w:val="00D10A78"/>
    <w:rsid w:val="00D10CFB"/>
    <w:rsid w:val="00D10E15"/>
    <w:rsid w:val="00D10E9A"/>
    <w:rsid w:val="00D1106B"/>
    <w:rsid w:val="00D11214"/>
    <w:rsid w:val="00D1129A"/>
    <w:rsid w:val="00D1135C"/>
    <w:rsid w:val="00D114B2"/>
    <w:rsid w:val="00D11825"/>
    <w:rsid w:val="00D11E94"/>
    <w:rsid w:val="00D12072"/>
    <w:rsid w:val="00D122DC"/>
    <w:rsid w:val="00D1350D"/>
    <w:rsid w:val="00D135AD"/>
    <w:rsid w:val="00D13C92"/>
    <w:rsid w:val="00D140F8"/>
    <w:rsid w:val="00D141DA"/>
    <w:rsid w:val="00D144B8"/>
    <w:rsid w:val="00D14888"/>
    <w:rsid w:val="00D148C2"/>
    <w:rsid w:val="00D14ACD"/>
    <w:rsid w:val="00D14F09"/>
    <w:rsid w:val="00D15302"/>
    <w:rsid w:val="00D153B7"/>
    <w:rsid w:val="00D155F4"/>
    <w:rsid w:val="00D15D10"/>
    <w:rsid w:val="00D1693D"/>
    <w:rsid w:val="00D175F4"/>
    <w:rsid w:val="00D20383"/>
    <w:rsid w:val="00D209F2"/>
    <w:rsid w:val="00D20E7C"/>
    <w:rsid w:val="00D20FAA"/>
    <w:rsid w:val="00D2103E"/>
    <w:rsid w:val="00D21800"/>
    <w:rsid w:val="00D21820"/>
    <w:rsid w:val="00D21E53"/>
    <w:rsid w:val="00D21F1C"/>
    <w:rsid w:val="00D21FEF"/>
    <w:rsid w:val="00D2241F"/>
    <w:rsid w:val="00D2251B"/>
    <w:rsid w:val="00D2253F"/>
    <w:rsid w:val="00D231C4"/>
    <w:rsid w:val="00D23509"/>
    <w:rsid w:val="00D2391C"/>
    <w:rsid w:val="00D23F59"/>
    <w:rsid w:val="00D24E38"/>
    <w:rsid w:val="00D25209"/>
    <w:rsid w:val="00D2539E"/>
    <w:rsid w:val="00D2551B"/>
    <w:rsid w:val="00D25709"/>
    <w:rsid w:val="00D25729"/>
    <w:rsid w:val="00D257A2"/>
    <w:rsid w:val="00D25800"/>
    <w:rsid w:val="00D258D7"/>
    <w:rsid w:val="00D25923"/>
    <w:rsid w:val="00D26048"/>
    <w:rsid w:val="00D26999"/>
    <w:rsid w:val="00D27D89"/>
    <w:rsid w:val="00D27E80"/>
    <w:rsid w:val="00D3030E"/>
    <w:rsid w:val="00D304B9"/>
    <w:rsid w:val="00D30C97"/>
    <w:rsid w:val="00D30EAD"/>
    <w:rsid w:val="00D313B5"/>
    <w:rsid w:val="00D316B6"/>
    <w:rsid w:val="00D31E2E"/>
    <w:rsid w:val="00D3223E"/>
    <w:rsid w:val="00D32296"/>
    <w:rsid w:val="00D3256C"/>
    <w:rsid w:val="00D32B95"/>
    <w:rsid w:val="00D32E74"/>
    <w:rsid w:val="00D33377"/>
    <w:rsid w:val="00D33CB3"/>
    <w:rsid w:val="00D33D6D"/>
    <w:rsid w:val="00D33E3C"/>
    <w:rsid w:val="00D33F77"/>
    <w:rsid w:val="00D348BA"/>
    <w:rsid w:val="00D34B5E"/>
    <w:rsid w:val="00D3565D"/>
    <w:rsid w:val="00D356A2"/>
    <w:rsid w:val="00D357D0"/>
    <w:rsid w:val="00D35B85"/>
    <w:rsid w:val="00D35D6C"/>
    <w:rsid w:val="00D35F9C"/>
    <w:rsid w:val="00D36270"/>
    <w:rsid w:val="00D36290"/>
    <w:rsid w:val="00D363F6"/>
    <w:rsid w:val="00D36435"/>
    <w:rsid w:val="00D365F1"/>
    <w:rsid w:val="00D3677C"/>
    <w:rsid w:val="00D36F98"/>
    <w:rsid w:val="00D36FBE"/>
    <w:rsid w:val="00D37053"/>
    <w:rsid w:val="00D373C6"/>
    <w:rsid w:val="00D37B4B"/>
    <w:rsid w:val="00D37DD8"/>
    <w:rsid w:val="00D40839"/>
    <w:rsid w:val="00D40D96"/>
    <w:rsid w:val="00D40FAA"/>
    <w:rsid w:val="00D420E6"/>
    <w:rsid w:val="00D427E1"/>
    <w:rsid w:val="00D428BE"/>
    <w:rsid w:val="00D42C30"/>
    <w:rsid w:val="00D43388"/>
    <w:rsid w:val="00D43D7E"/>
    <w:rsid w:val="00D43F6E"/>
    <w:rsid w:val="00D446D7"/>
    <w:rsid w:val="00D44714"/>
    <w:rsid w:val="00D44FDA"/>
    <w:rsid w:val="00D45215"/>
    <w:rsid w:val="00D456F8"/>
    <w:rsid w:val="00D45C84"/>
    <w:rsid w:val="00D467CD"/>
    <w:rsid w:val="00D4680A"/>
    <w:rsid w:val="00D46846"/>
    <w:rsid w:val="00D46CF9"/>
    <w:rsid w:val="00D47C05"/>
    <w:rsid w:val="00D5020D"/>
    <w:rsid w:val="00D50954"/>
    <w:rsid w:val="00D50B5B"/>
    <w:rsid w:val="00D50EE1"/>
    <w:rsid w:val="00D5135B"/>
    <w:rsid w:val="00D51395"/>
    <w:rsid w:val="00D513E9"/>
    <w:rsid w:val="00D51F40"/>
    <w:rsid w:val="00D5292D"/>
    <w:rsid w:val="00D52F6D"/>
    <w:rsid w:val="00D53191"/>
    <w:rsid w:val="00D5330B"/>
    <w:rsid w:val="00D53496"/>
    <w:rsid w:val="00D534FE"/>
    <w:rsid w:val="00D53C56"/>
    <w:rsid w:val="00D5468A"/>
    <w:rsid w:val="00D546DF"/>
    <w:rsid w:val="00D54805"/>
    <w:rsid w:val="00D5526B"/>
    <w:rsid w:val="00D55400"/>
    <w:rsid w:val="00D55632"/>
    <w:rsid w:val="00D55C33"/>
    <w:rsid w:val="00D5659F"/>
    <w:rsid w:val="00D5704F"/>
    <w:rsid w:val="00D570B3"/>
    <w:rsid w:val="00D576DF"/>
    <w:rsid w:val="00D57EDF"/>
    <w:rsid w:val="00D60097"/>
    <w:rsid w:val="00D601B9"/>
    <w:rsid w:val="00D60550"/>
    <w:rsid w:val="00D607B1"/>
    <w:rsid w:val="00D60A30"/>
    <w:rsid w:val="00D61232"/>
    <w:rsid w:val="00D61590"/>
    <w:rsid w:val="00D617D7"/>
    <w:rsid w:val="00D62358"/>
    <w:rsid w:val="00D627B9"/>
    <w:rsid w:val="00D627C7"/>
    <w:rsid w:val="00D6296F"/>
    <w:rsid w:val="00D62A22"/>
    <w:rsid w:val="00D62CFD"/>
    <w:rsid w:val="00D632F1"/>
    <w:rsid w:val="00D63706"/>
    <w:rsid w:val="00D63D08"/>
    <w:rsid w:val="00D63FB3"/>
    <w:rsid w:val="00D64431"/>
    <w:rsid w:val="00D64AE6"/>
    <w:rsid w:val="00D65EA2"/>
    <w:rsid w:val="00D663BB"/>
    <w:rsid w:val="00D66979"/>
    <w:rsid w:val="00D66D6B"/>
    <w:rsid w:val="00D676CE"/>
    <w:rsid w:val="00D67B2E"/>
    <w:rsid w:val="00D70897"/>
    <w:rsid w:val="00D71308"/>
    <w:rsid w:val="00D71B02"/>
    <w:rsid w:val="00D71F71"/>
    <w:rsid w:val="00D72409"/>
    <w:rsid w:val="00D7254A"/>
    <w:rsid w:val="00D72594"/>
    <w:rsid w:val="00D7261E"/>
    <w:rsid w:val="00D72E00"/>
    <w:rsid w:val="00D73298"/>
    <w:rsid w:val="00D73943"/>
    <w:rsid w:val="00D73980"/>
    <w:rsid w:val="00D73A01"/>
    <w:rsid w:val="00D74A76"/>
    <w:rsid w:val="00D75186"/>
    <w:rsid w:val="00D7542C"/>
    <w:rsid w:val="00D75557"/>
    <w:rsid w:val="00D759F3"/>
    <w:rsid w:val="00D7611C"/>
    <w:rsid w:val="00D762A4"/>
    <w:rsid w:val="00D767EB"/>
    <w:rsid w:val="00D76850"/>
    <w:rsid w:val="00D76867"/>
    <w:rsid w:val="00D76DE3"/>
    <w:rsid w:val="00D76E06"/>
    <w:rsid w:val="00D76E15"/>
    <w:rsid w:val="00D7714C"/>
    <w:rsid w:val="00D7763D"/>
    <w:rsid w:val="00D776D5"/>
    <w:rsid w:val="00D776EC"/>
    <w:rsid w:val="00D77A1A"/>
    <w:rsid w:val="00D77C3C"/>
    <w:rsid w:val="00D802F7"/>
    <w:rsid w:val="00D8049B"/>
    <w:rsid w:val="00D808BC"/>
    <w:rsid w:val="00D811E6"/>
    <w:rsid w:val="00D812A7"/>
    <w:rsid w:val="00D81B14"/>
    <w:rsid w:val="00D81E73"/>
    <w:rsid w:val="00D81FA6"/>
    <w:rsid w:val="00D82CB5"/>
    <w:rsid w:val="00D82FEB"/>
    <w:rsid w:val="00D83820"/>
    <w:rsid w:val="00D839EF"/>
    <w:rsid w:val="00D83EB9"/>
    <w:rsid w:val="00D83FB5"/>
    <w:rsid w:val="00D844BD"/>
    <w:rsid w:val="00D84734"/>
    <w:rsid w:val="00D8489F"/>
    <w:rsid w:val="00D84E02"/>
    <w:rsid w:val="00D85391"/>
    <w:rsid w:val="00D853EF"/>
    <w:rsid w:val="00D8543E"/>
    <w:rsid w:val="00D861B7"/>
    <w:rsid w:val="00D86F79"/>
    <w:rsid w:val="00D87B58"/>
    <w:rsid w:val="00D87C5A"/>
    <w:rsid w:val="00D90B17"/>
    <w:rsid w:val="00D91338"/>
    <w:rsid w:val="00D9139C"/>
    <w:rsid w:val="00D91865"/>
    <w:rsid w:val="00D91EC2"/>
    <w:rsid w:val="00D9253C"/>
    <w:rsid w:val="00D93665"/>
    <w:rsid w:val="00D93BD6"/>
    <w:rsid w:val="00D945D7"/>
    <w:rsid w:val="00D947E9"/>
    <w:rsid w:val="00D95BBA"/>
    <w:rsid w:val="00D95F10"/>
    <w:rsid w:val="00D961E9"/>
    <w:rsid w:val="00D9645F"/>
    <w:rsid w:val="00D9652A"/>
    <w:rsid w:val="00D97614"/>
    <w:rsid w:val="00DA016F"/>
    <w:rsid w:val="00DA0993"/>
    <w:rsid w:val="00DA0F1E"/>
    <w:rsid w:val="00DA1361"/>
    <w:rsid w:val="00DA1584"/>
    <w:rsid w:val="00DA171C"/>
    <w:rsid w:val="00DA184C"/>
    <w:rsid w:val="00DA1969"/>
    <w:rsid w:val="00DA21F3"/>
    <w:rsid w:val="00DA2DC0"/>
    <w:rsid w:val="00DA37DA"/>
    <w:rsid w:val="00DA381D"/>
    <w:rsid w:val="00DA3F4F"/>
    <w:rsid w:val="00DA3FA6"/>
    <w:rsid w:val="00DA4BD4"/>
    <w:rsid w:val="00DA536D"/>
    <w:rsid w:val="00DA57AD"/>
    <w:rsid w:val="00DA5869"/>
    <w:rsid w:val="00DA6630"/>
    <w:rsid w:val="00DA6A85"/>
    <w:rsid w:val="00DA6E65"/>
    <w:rsid w:val="00DA6EC8"/>
    <w:rsid w:val="00DA71F7"/>
    <w:rsid w:val="00DA739F"/>
    <w:rsid w:val="00DA747C"/>
    <w:rsid w:val="00DA7803"/>
    <w:rsid w:val="00DA7869"/>
    <w:rsid w:val="00DA7C12"/>
    <w:rsid w:val="00DA7CAC"/>
    <w:rsid w:val="00DB0540"/>
    <w:rsid w:val="00DB07A8"/>
    <w:rsid w:val="00DB082E"/>
    <w:rsid w:val="00DB091B"/>
    <w:rsid w:val="00DB0BB5"/>
    <w:rsid w:val="00DB0CF2"/>
    <w:rsid w:val="00DB2044"/>
    <w:rsid w:val="00DB22F7"/>
    <w:rsid w:val="00DB359C"/>
    <w:rsid w:val="00DB391C"/>
    <w:rsid w:val="00DB3A0D"/>
    <w:rsid w:val="00DB3AC8"/>
    <w:rsid w:val="00DB478C"/>
    <w:rsid w:val="00DB48BC"/>
    <w:rsid w:val="00DB4CBD"/>
    <w:rsid w:val="00DB57A2"/>
    <w:rsid w:val="00DB6743"/>
    <w:rsid w:val="00DB6932"/>
    <w:rsid w:val="00DB69BF"/>
    <w:rsid w:val="00DB707E"/>
    <w:rsid w:val="00DB7388"/>
    <w:rsid w:val="00DB7407"/>
    <w:rsid w:val="00DB74D2"/>
    <w:rsid w:val="00DC0245"/>
    <w:rsid w:val="00DC131C"/>
    <w:rsid w:val="00DC1352"/>
    <w:rsid w:val="00DC19C1"/>
    <w:rsid w:val="00DC1C66"/>
    <w:rsid w:val="00DC1D65"/>
    <w:rsid w:val="00DC201E"/>
    <w:rsid w:val="00DC22C9"/>
    <w:rsid w:val="00DC2F01"/>
    <w:rsid w:val="00DC2FB7"/>
    <w:rsid w:val="00DC34BA"/>
    <w:rsid w:val="00DC38DA"/>
    <w:rsid w:val="00DC3C44"/>
    <w:rsid w:val="00DC3CD8"/>
    <w:rsid w:val="00DC3E99"/>
    <w:rsid w:val="00DC4A6C"/>
    <w:rsid w:val="00DC4BCF"/>
    <w:rsid w:val="00DC52D5"/>
    <w:rsid w:val="00DC5845"/>
    <w:rsid w:val="00DC5CC9"/>
    <w:rsid w:val="00DC5FEE"/>
    <w:rsid w:val="00DC6720"/>
    <w:rsid w:val="00DC68F9"/>
    <w:rsid w:val="00DC6AD8"/>
    <w:rsid w:val="00DC7022"/>
    <w:rsid w:val="00DC7131"/>
    <w:rsid w:val="00DC7C35"/>
    <w:rsid w:val="00DD0028"/>
    <w:rsid w:val="00DD15A5"/>
    <w:rsid w:val="00DD15FA"/>
    <w:rsid w:val="00DD16C2"/>
    <w:rsid w:val="00DD1A23"/>
    <w:rsid w:val="00DD21DA"/>
    <w:rsid w:val="00DD238C"/>
    <w:rsid w:val="00DD23B3"/>
    <w:rsid w:val="00DD2407"/>
    <w:rsid w:val="00DD2981"/>
    <w:rsid w:val="00DD2AD8"/>
    <w:rsid w:val="00DD390F"/>
    <w:rsid w:val="00DD4019"/>
    <w:rsid w:val="00DD42E6"/>
    <w:rsid w:val="00DD47FF"/>
    <w:rsid w:val="00DD4F44"/>
    <w:rsid w:val="00DD4F7F"/>
    <w:rsid w:val="00DD4FC5"/>
    <w:rsid w:val="00DD5BE3"/>
    <w:rsid w:val="00DD5F97"/>
    <w:rsid w:val="00DD65FF"/>
    <w:rsid w:val="00DD68D0"/>
    <w:rsid w:val="00DD7210"/>
    <w:rsid w:val="00DD7568"/>
    <w:rsid w:val="00DD7690"/>
    <w:rsid w:val="00DD7728"/>
    <w:rsid w:val="00DD7AB2"/>
    <w:rsid w:val="00DE0938"/>
    <w:rsid w:val="00DE0B09"/>
    <w:rsid w:val="00DE0C2A"/>
    <w:rsid w:val="00DE0E6C"/>
    <w:rsid w:val="00DE14A2"/>
    <w:rsid w:val="00DE2E2E"/>
    <w:rsid w:val="00DE2F8D"/>
    <w:rsid w:val="00DE39D2"/>
    <w:rsid w:val="00DE3D99"/>
    <w:rsid w:val="00DE3F3C"/>
    <w:rsid w:val="00DE4535"/>
    <w:rsid w:val="00DE4D20"/>
    <w:rsid w:val="00DE559B"/>
    <w:rsid w:val="00DE5761"/>
    <w:rsid w:val="00DE57E3"/>
    <w:rsid w:val="00DE5E3A"/>
    <w:rsid w:val="00DE6678"/>
    <w:rsid w:val="00DE6770"/>
    <w:rsid w:val="00DE6B4C"/>
    <w:rsid w:val="00DE6BBB"/>
    <w:rsid w:val="00DE6BFF"/>
    <w:rsid w:val="00DE7096"/>
    <w:rsid w:val="00DE72C2"/>
    <w:rsid w:val="00DE7567"/>
    <w:rsid w:val="00DE7894"/>
    <w:rsid w:val="00DE7A97"/>
    <w:rsid w:val="00DE7E7A"/>
    <w:rsid w:val="00DE7EFB"/>
    <w:rsid w:val="00DF0397"/>
    <w:rsid w:val="00DF0A94"/>
    <w:rsid w:val="00DF0D2E"/>
    <w:rsid w:val="00DF1289"/>
    <w:rsid w:val="00DF18BD"/>
    <w:rsid w:val="00DF1BBF"/>
    <w:rsid w:val="00DF1C7B"/>
    <w:rsid w:val="00DF1F50"/>
    <w:rsid w:val="00DF36BF"/>
    <w:rsid w:val="00DF3747"/>
    <w:rsid w:val="00DF41EC"/>
    <w:rsid w:val="00DF426F"/>
    <w:rsid w:val="00DF4506"/>
    <w:rsid w:val="00DF458B"/>
    <w:rsid w:val="00DF500E"/>
    <w:rsid w:val="00DF59D4"/>
    <w:rsid w:val="00DF5A64"/>
    <w:rsid w:val="00DF6058"/>
    <w:rsid w:val="00DF62B4"/>
    <w:rsid w:val="00DF6BA6"/>
    <w:rsid w:val="00DF6BAF"/>
    <w:rsid w:val="00DF6E60"/>
    <w:rsid w:val="00DF723A"/>
    <w:rsid w:val="00DF7539"/>
    <w:rsid w:val="00DF7FA1"/>
    <w:rsid w:val="00E004F8"/>
    <w:rsid w:val="00E00BD3"/>
    <w:rsid w:val="00E00E04"/>
    <w:rsid w:val="00E010EE"/>
    <w:rsid w:val="00E01C4C"/>
    <w:rsid w:val="00E024CF"/>
    <w:rsid w:val="00E025CE"/>
    <w:rsid w:val="00E02D64"/>
    <w:rsid w:val="00E03B97"/>
    <w:rsid w:val="00E03F2F"/>
    <w:rsid w:val="00E04286"/>
    <w:rsid w:val="00E0435F"/>
    <w:rsid w:val="00E04433"/>
    <w:rsid w:val="00E0467E"/>
    <w:rsid w:val="00E04F92"/>
    <w:rsid w:val="00E0503D"/>
    <w:rsid w:val="00E059A8"/>
    <w:rsid w:val="00E05C6D"/>
    <w:rsid w:val="00E05FA1"/>
    <w:rsid w:val="00E06021"/>
    <w:rsid w:val="00E068CB"/>
    <w:rsid w:val="00E073DE"/>
    <w:rsid w:val="00E07652"/>
    <w:rsid w:val="00E077D7"/>
    <w:rsid w:val="00E07915"/>
    <w:rsid w:val="00E1048C"/>
    <w:rsid w:val="00E106F4"/>
    <w:rsid w:val="00E10832"/>
    <w:rsid w:val="00E10F0F"/>
    <w:rsid w:val="00E1150F"/>
    <w:rsid w:val="00E1157A"/>
    <w:rsid w:val="00E11A6F"/>
    <w:rsid w:val="00E11CB6"/>
    <w:rsid w:val="00E124F2"/>
    <w:rsid w:val="00E12D8E"/>
    <w:rsid w:val="00E131C3"/>
    <w:rsid w:val="00E13F1C"/>
    <w:rsid w:val="00E1423E"/>
    <w:rsid w:val="00E14341"/>
    <w:rsid w:val="00E1443F"/>
    <w:rsid w:val="00E146C9"/>
    <w:rsid w:val="00E14BEF"/>
    <w:rsid w:val="00E14DB1"/>
    <w:rsid w:val="00E1553E"/>
    <w:rsid w:val="00E15593"/>
    <w:rsid w:val="00E15756"/>
    <w:rsid w:val="00E1583B"/>
    <w:rsid w:val="00E15B2B"/>
    <w:rsid w:val="00E1648C"/>
    <w:rsid w:val="00E166E9"/>
    <w:rsid w:val="00E16E4D"/>
    <w:rsid w:val="00E173EF"/>
    <w:rsid w:val="00E17BE0"/>
    <w:rsid w:val="00E200FB"/>
    <w:rsid w:val="00E20BB7"/>
    <w:rsid w:val="00E21019"/>
    <w:rsid w:val="00E21ABC"/>
    <w:rsid w:val="00E21AFF"/>
    <w:rsid w:val="00E21D75"/>
    <w:rsid w:val="00E21E39"/>
    <w:rsid w:val="00E221FA"/>
    <w:rsid w:val="00E22C61"/>
    <w:rsid w:val="00E2348C"/>
    <w:rsid w:val="00E23781"/>
    <w:rsid w:val="00E23BC0"/>
    <w:rsid w:val="00E23E53"/>
    <w:rsid w:val="00E245C0"/>
    <w:rsid w:val="00E24B7F"/>
    <w:rsid w:val="00E24E9C"/>
    <w:rsid w:val="00E24EC1"/>
    <w:rsid w:val="00E256CB"/>
    <w:rsid w:val="00E25800"/>
    <w:rsid w:val="00E25D6A"/>
    <w:rsid w:val="00E264F8"/>
    <w:rsid w:val="00E266B9"/>
    <w:rsid w:val="00E268B5"/>
    <w:rsid w:val="00E270E7"/>
    <w:rsid w:val="00E274A8"/>
    <w:rsid w:val="00E274B4"/>
    <w:rsid w:val="00E276BC"/>
    <w:rsid w:val="00E2770D"/>
    <w:rsid w:val="00E279E6"/>
    <w:rsid w:val="00E27BA6"/>
    <w:rsid w:val="00E27C10"/>
    <w:rsid w:val="00E27E2C"/>
    <w:rsid w:val="00E27FE9"/>
    <w:rsid w:val="00E30455"/>
    <w:rsid w:val="00E3085C"/>
    <w:rsid w:val="00E311F8"/>
    <w:rsid w:val="00E3129C"/>
    <w:rsid w:val="00E312A3"/>
    <w:rsid w:val="00E31CE3"/>
    <w:rsid w:val="00E320FB"/>
    <w:rsid w:val="00E3232D"/>
    <w:rsid w:val="00E32342"/>
    <w:rsid w:val="00E327AB"/>
    <w:rsid w:val="00E32D33"/>
    <w:rsid w:val="00E33045"/>
    <w:rsid w:val="00E33A2F"/>
    <w:rsid w:val="00E33A5F"/>
    <w:rsid w:val="00E34404"/>
    <w:rsid w:val="00E34909"/>
    <w:rsid w:val="00E36306"/>
    <w:rsid w:val="00E365C7"/>
    <w:rsid w:val="00E36946"/>
    <w:rsid w:val="00E36EBD"/>
    <w:rsid w:val="00E40CE5"/>
    <w:rsid w:val="00E412F2"/>
    <w:rsid w:val="00E4139F"/>
    <w:rsid w:val="00E41613"/>
    <w:rsid w:val="00E41CBA"/>
    <w:rsid w:val="00E41CE4"/>
    <w:rsid w:val="00E41D31"/>
    <w:rsid w:val="00E41D72"/>
    <w:rsid w:val="00E425EA"/>
    <w:rsid w:val="00E4291F"/>
    <w:rsid w:val="00E42E08"/>
    <w:rsid w:val="00E4308C"/>
    <w:rsid w:val="00E437BF"/>
    <w:rsid w:val="00E44023"/>
    <w:rsid w:val="00E443B7"/>
    <w:rsid w:val="00E44E7B"/>
    <w:rsid w:val="00E451EE"/>
    <w:rsid w:val="00E455A6"/>
    <w:rsid w:val="00E45782"/>
    <w:rsid w:val="00E45E11"/>
    <w:rsid w:val="00E46058"/>
    <w:rsid w:val="00E4620E"/>
    <w:rsid w:val="00E46301"/>
    <w:rsid w:val="00E465A9"/>
    <w:rsid w:val="00E467D0"/>
    <w:rsid w:val="00E47185"/>
    <w:rsid w:val="00E472B5"/>
    <w:rsid w:val="00E475C6"/>
    <w:rsid w:val="00E4779C"/>
    <w:rsid w:val="00E478BC"/>
    <w:rsid w:val="00E47958"/>
    <w:rsid w:val="00E50B5B"/>
    <w:rsid w:val="00E50C70"/>
    <w:rsid w:val="00E50F38"/>
    <w:rsid w:val="00E5116E"/>
    <w:rsid w:val="00E51820"/>
    <w:rsid w:val="00E5193C"/>
    <w:rsid w:val="00E51B4C"/>
    <w:rsid w:val="00E51D5E"/>
    <w:rsid w:val="00E5201A"/>
    <w:rsid w:val="00E5288D"/>
    <w:rsid w:val="00E52BD4"/>
    <w:rsid w:val="00E52C81"/>
    <w:rsid w:val="00E538A6"/>
    <w:rsid w:val="00E538DD"/>
    <w:rsid w:val="00E5437A"/>
    <w:rsid w:val="00E547A4"/>
    <w:rsid w:val="00E54ADB"/>
    <w:rsid w:val="00E54AF7"/>
    <w:rsid w:val="00E5509D"/>
    <w:rsid w:val="00E550EC"/>
    <w:rsid w:val="00E55536"/>
    <w:rsid w:val="00E5663A"/>
    <w:rsid w:val="00E5688B"/>
    <w:rsid w:val="00E56ABA"/>
    <w:rsid w:val="00E5703B"/>
    <w:rsid w:val="00E57284"/>
    <w:rsid w:val="00E57EB4"/>
    <w:rsid w:val="00E57F02"/>
    <w:rsid w:val="00E60130"/>
    <w:rsid w:val="00E608A1"/>
    <w:rsid w:val="00E6156E"/>
    <w:rsid w:val="00E61CC5"/>
    <w:rsid w:val="00E6201C"/>
    <w:rsid w:val="00E620D9"/>
    <w:rsid w:val="00E62C18"/>
    <w:rsid w:val="00E62C78"/>
    <w:rsid w:val="00E62D15"/>
    <w:rsid w:val="00E63145"/>
    <w:rsid w:val="00E63182"/>
    <w:rsid w:val="00E633CC"/>
    <w:rsid w:val="00E63698"/>
    <w:rsid w:val="00E63BC3"/>
    <w:rsid w:val="00E6424E"/>
    <w:rsid w:val="00E642EA"/>
    <w:rsid w:val="00E643DA"/>
    <w:rsid w:val="00E6471B"/>
    <w:rsid w:val="00E649C7"/>
    <w:rsid w:val="00E65BC9"/>
    <w:rsid w:val="00E65D21"/>
    <w:rsid w:val="00E65DB8"/>
    <w:rsid w:val="00E66042"/>
    <w:rsid w:val="00E6604C"/>
    <w:rsid w:val="00E66103"/>
    <w:rsid w:val="00E66712"/>
    <w:rsid w:val="00E66B14"/>
    <w:rsid w:val="00E66BA3"/>
    <w:rsid w:val="00E67650"/>
    <w:rsid w:val="00E6770F"/>
    <w:rsid w:val="00E67C24"/>
    <w:rsid w:val="00E7054A"/>
    <w:rsid w:val="00E70681"/>
    <w:rsid w:val="00E70992"/>
    <w:rsid w:val="00E71305"/>
    <w:rsid w:val="00E7130E"/>
    <w:rsid w:val="00E713B6"/>
    <w:rsid w:val="00E71722"/>
    <w:rsid w:val="00E71C76"/>
    <w:rsid w:val="00E72BA5"/>
    <w:rsid w:val="00E72F17"/>
    <w:rsid w:val="00E7339C"/>
    <w:rsid w:val="00E733F1"/>
    <w:rsid w:val="00E735B2"/>
    <w:rsid w:val="00E7397F"/>
    <w:rsid w:val="00E747E5"/>
    <w:rsid w:val="00E74880"/>
    <w:rsid w:val="00E74AA1"/>
    <w:rsid w:val="00E74F0D"/>
    <w:rsid w:val="00E75E16"/>
    <w:rsid w:val="00E763B8"/>
    <w:rsid w:val="00E76653"/>
    <w:rsid w:val="00E76C03"/>
    <w:rsid w:val="00E76D42"/>
    <w:rsid w:val="00E77130"/>
    <w:rsid w:val="00E771EE"/>
    <w:rsid w:val="00E7793B"/>
    <w:rsid w:val="00E77A27"/>
    <w:rsid w:val="00E77ABA"/>
    <w:rsid w:val="00E813F3"/>
    <w:rsid w:val="00E81413"/>
    <w:rsid w:val="00E818BF"/>
    <w:rsid w:val="00E81A7F"/>
    <w:rsid w:val="00E81B4C"/>
    <w:rsid w:val="00E81BA0"/>
    <w:rsid w:val="00E8224A"/>
    <w:rsid w:val="00E82FF1"/>
    <w:rsid w:val="00E835CF"/>
    <w:rsid w:val="00E83D74"/>
    <w:rsid w:val="00E83E86"/>
    <w:rsid w:val="00E841D7"/>
    <w:rsid w:val="00E84725"/>
    <w:rsid w:val="00E847C1"/>
    <w:rsid w:val="00E84FD6"/>
    <w:rsid w:val="00E85349"/>
    <w:rsid w:val="00E85502"/>
    <w:rsid w:val="00E86001"/>
    <w:rsid w:val="00E860CE"/>
    <w:rsid w:val="00E8643E"/>
    <w:rsid w:val="00E86E84"/>
    <w:rsid w:val="00E87329"/>
    <w:rsid w:val="00E8752F"/>
    <w:rsid w:val="00E8798C"/>
    <w:rsid w:val="00E87BD1"/>
    <w:rsid w:val="00E9080A"/>
    <w:rsid w:val="00E9103F"/>
    <w:rsid w:val="00E9117B"/>
    <w:rsid w:val="00E91535"/>
    <w:rsid w:val="00E91BB9"/>
    <w:rsid w:val="00E91CDD"/>
    <w:rsid w:val="00E92440"/>
    <w:rsid w:val="00E925A6"/>
    <w:rsid w:val="00E92E01"/>
    <w:rsid w:val="00E93CFC"/>
    <w:rsid w:val="00E9406B"/>
    <w:rsid w:val="00E946A3"/>
    <w:rsid w:val="00E94B4F"/>
    <w:rsid w:val="00E94DBA"/>
    <w:rsid w:val="00E94F80"/>
    <w:rsid w:val="00E95CE1"/>
    <w:rsid w:val="00E967C8"/>
    <w:rsid w:val="00E96ECD"/>
    <w:rsid w:val="00E9704C"/>
    <w:rsid w:val="00E97A0E"/>
    <w:rsid w:val="00EA001F"/>
    <w:rsid w:val="00EA01FF"/>
    <w:rsid w:val="00EA02B8"/>
    <w:rsid w:val="00EA06BF"/>
    <w:rsid w:val="00EA07A2"/>
    <w:rsid w:val="00EA09B9"/>
    <w:rsid w:val="00EA0A4A"/>
    <w:rsid w:val="00EA0E83"/>
    <w:rsid w:val="00EA143E"/>
    <w:rsid w:val="00EA1734"/>
    <w:rsid w:val="00EA203A"/>
    <w:rsid w:val="00EA2242"/>
    <w:rsid w:val="00EA22BC"/>
    <w:rsid w:val="00EA275F"/>
    <w:rsid w:val="00EA2F56"/>
    <w:rsid w:val="00EA3C6C"/>
    <w:rsid w:val="00EA4082"/>
    <w:rsid w:val="00EA4DCF"/>
    <w:rsid w:val="00EA5253"/>
    <w:rsid w:val="00EA550E"/>
    <w:rsid w:val="00EA5607"/>
    <w:rsid w:val="00EA5920"/>
    <w:rsid w:val="00EA5D5E"/>
    <w:rsid w:val="00EA620C"/>
    <w:rsid w:val="00EA6281"/>
    <w:rsid w:val="00EA6792"/>
    <w:rsid w:val="00EA6918"/>
    <w:rsid w:val="00EA6B23"/>
    <w:rsid w:val="00EA6D2A"/>
    <w:rsid w:val="00EA7941"/>
    <w:rsid w:val="00EA7B01"/>
    <w:rsid w:val="00EA7F1D"/>
    <w:rsid w:val="00EB0278"/>
    <w:rsid w:val="00EB0416"/>
    <w:rsid w:val="00EB08F3"/>
    <w:rsid w:val="00EB096A"/>
    <w:rsid w:val="00EB09CF"/>
    <w:rsid w:val="00EB0B55"/>
    <w:rsid w:val="00EB1065"/>
    <w:rsid w:val="00EB1066"/>
    <w:rsid w:val="00EB1245"/>
    <w:rsid w:val="00EB1789"/>
    <w:rsid w:val="00EB18CC"/>
    <w:rsid w:val="00EB1FDA"/>
    <w:rsid w:val="00EB21D7"/>
    <w:rsid w:val="00EB237C"/>
    <w:rsid w:val="00EB308A"/>
    <w:rsid w:val="00EB4792"/>
    <w:rsid w:val="00EB5235"/>
    <w:rsid w:val="00EB5776"/>
    <w:rsid w:val="00EB6400"/>
    <w:rsid w:val="00EB6430"/>
    <w:rsid w:val="00EB64BD"/>
    <w:rsid w:val="00EB6607"/>
    <w:rsid w:val="00EB6C5A"/>
    <w:rsid w:val="00EB6CF5"/>
    <w:rsid w:val="00EB6E23"/>
    <w:rsid w:val="00EB7151"/>
    <w:rsid w:val="00EB7184"/>
    <w:rsid w:val="00EB727E"/>
    <w:rsid w:val="00EB729C"/>
    <w:rsid w:val="00EB73E5"/>
    <w:rsid w:val="00EB74ED"/>
    <w:rsid w:val="00EB7AA3"/>
    <w:rsid w:val="00EC03C8"/>
    <w:rsid w:val="00EC064A"/>
    <w:rsid w:val="00EC0924"/>
    <w:rsid w:val="00EC0A96"/>
    <w:rsid w:val="00EC0E98"/>
    <w:rsid w:val="00EC116C"/>
    <w:rsid w:val="00EC1382"/>
    <w:rsid w:val="00EC1395"/>
    <w:rsid w:val="00EC1431"/>
    <w:rsid w:val="00EC17CD"/>
    <w:rsid w:val="00EC1B3F"/>
    <w:rsid w:val="00EC20CC"/>
    <w:rsid w:val="00EC28A7"/>
    <w:rsid w:val="00EC306F"/>
    <w:rsid w:val="00EC31DF"/>
    <w:rsid w:val="00EC353D"/>
    <w:rsid w:val="00EC3CE4"/>
    <w:rsid w:val="00EC4555"/>
    <w:rsid w:val="00EC4DF8"/>
    <w:rsid w:val="00EC5E49"/>
    <w:rsid w:val="00EC72A0"/>
    <w:rsid w:val="00EC755A"/>
    <w:rsid w:val="00EC7644"/>
    <w:rsid w:val="00EC7818"/>
    <w:rsid w:val="00EC79D2"/>
    <w:rsid w:val="00ED0154"/>
    <w:rsid w:val="00ED01D0"/>
    <w:rsid w:val="00ED0436"/>
    <w:rsid w:val="00ED0746"/>
    <w:rsid w:val="00ED087B"/>
    <w:rsid w:val="00ED0897"/>
    <w:rsid w:val="00ED0902"/>
    <w:rsid w:val="00ED10EE"/>
    <w:rsid w:val="00ED1B02"/>
    <w:rsid w:val="00ED1D9B"/>
    <w:rsid w:val="00ED2005"/>
    <w:rsid w:val="00ED215C"/>
    <w:rsid w:val="00ED230E"/>
    <w:rsid w:val="00ED244E"/>
    <w:rsid w:val="00ED24C7"/>
    <w:rsid w:val="00ED2EE2"/>
    <w:rsid w:val="00ED3564"/>
    <w:rsid w:val="00ED36A0"/>
    <w:rsid w:val="00ED371D"/>
    <w:rsid w:val="00ED388E"/>
    <w:rsid w:val="00ED3BC6"/>
    <w:rsid w:val="00ED4288"/>
    <w:rsid w:val="00ED4B9D"/>
    <w:rsid w:val="00ED502B"/>
    <w:rsid w:val="00ED57B2"/>
    <w:rsid w:val="00ED59C1"/>
    <w:rsid w:val="00ED6459"/>
    <w:rsid w:val="00ED7184"/>
    <w:rsid w:val="00ED71F7"/>
    <w:rsid w:val="00EE0731"/>
    <w:rsid w:val="00EE08C0"/>
    <w:rsid w:val="00EE0D62"/>
    <w:rsid w:val="00EE0DB6"/>
    <w:rsid w:val="00EE0E0C"/>
    <w:rsid w:val="00EE0E3D"/>
    <w:rsid w:val="00EE0E59"/>
    <w:rsid w:val="00EE13B5"/>
    <w:rsid w:val="00EE1626"/>
    <w:rsid w:val="00EE1800"/>
    <w:rsid w:val="00EE18DA"/>
    <w:rsid w:val="00EE1ABB"/>
    <w:rsid w:val="00EE1DFA"/>
    <w:rsid w:val="00EE2078"/>
    <w:rsid w:val="00EE20DB"/>
    <w:rsid w:val="00EE218D"/>
    <w:rsid w:val="00EE26F5"/>
    <w:rsid w:val="00EE3230"/>
    <w:rsid w:val="00EE3278"/>
    <w:rsid w:val="00EE3537"/>
    <w:rsid w:val="00EE3D3B"/>
    <w:rsid w:val="00EE3F59"/>
    <w:rsid w:val="00EE408F"/>
    <w:rsid w:val="00EE4122"/>
    <w:rsid w:val="00EE4246"/>
    <w:rsid w:val="00EE49FC"/>
    <w:rsid w:val="00EE4C05"/>
    <w:rsid w:val="00EE5302"/>
    <w:rsid w:val="00EE552C"/>
    <w:rsid w:val="00EE5744"/>
    <w:rsid w:val="00EE58BB"/>
    <w:rsid w:val="00EE5B42"/>
    <w:rsid w:val="00EE6168"/>
    <w:rsid w:val="00EE68A1"/>
    <w:rsid w:val="00EE6BB0"/>
    <w:rsid w:val="00EE6E8D"/>
    <w:rsid w:val="00EE75D5"/>
    <w:rsid w:val="00EE79EA"/>
    <w:rsid w:val="00EE7A54"/>
    <w:rsid w:val="00EE7DF5"/>
    <w:rsid w:val="00EF07CD"/>
    <w:rsid w:val="00EF0A85"/>
    <w:rsid w:val="00EF0AC6"/>
    <w:rsid w:val="00EF0C77"/>
    <w:rsid w:val="00EF0E6C"/>
    <w:rsid w:val="00EF0EB6"/>
    <w:rsid w:val="00EF10D6"/>
    <w:rsid w:val="00EF1E5E"/>
    <w:rsid w:val="00EF212A"/>
    <w:rsid w:val="00EF2777"/>
    <w:rsid w:val="00EF2B48"/>
    <w:rsid w:val="00EF2D7A"/>
    <w:rsid w:val="00EF2DAB"/>
    <w:rsid w:val="00EF2EE5"/>
    <w:rsid w:val="00EF3A12"/>
    <w:rsid w:val="00EF3E6F"/>
    <w:rsid w:val="00EF422E"/>
    <w:rsid w:val="00EF476C"/>
    <w:rsid w:val="00EF4FFB"/>
    <w:rsid w:val="00EF5175"/>
    <w:rsid w:val="00EF58D8"/>
    <w:rsid w:val="00EF5C79"/>
    <w:rsid w:val="00EF5C80"/>
    <w:rsid w:val="00EF5F46"/>
    <w:rsid w:val="00EF652B"/>
    <w:rsid w:val="00EF7782"/>
    <w:rsid w:val="00F003FC"/>
    <w:rsid w:val="00F00C17"/>
    <w:rsid w:val="00F00E4F"/>
    <w:rsid w:val="00F011AB"/>
    <w:rsid w:val="00F01414"/>
    <w:rsid w:val="00F015F3"/>
    <w:rsid w:val="00F016EB"/>
    <w:rsid w:val="00F017DE"/>
    <w:rsid w:val="00F0196D"/>
    <w:rsid w:val="00F03566"/>
    <w:rsid w:val="00F03C75"/>
    <w:rsid w:val="00F041AA"/>
    <w:rsid w:val="00F04AFB"/>
    <w:rsid w:val="00F04F22"/>
    <w:rsid w:val="00F051F3"/>
    <w:rsid w:val="00F05C6F"/>
    <w:rsid w:val="00F06033"/>
    <w:rsid w:val="00F061DB"/>
    <w:rsid w:val="00F06602"/>
    <w:rsid w:val="00F06DE4"/>
    <w:rsid w:val="00F070FF"/>
    <w:rsid w:val="00F074FC"/>
    <w:rsid w:val="00F079A4"/>
    <w:rsid w:val="00F10D21"/>
    <w:rsid w:val="00F11B1D"/>
    <w:rsid w:val="00F1207D"/>
    <w:rsid w:val="00F1221C"/>
    <w:rsid w:val="00F1228D"/>
    <w:rsid w:val="00F1258B"/>
    <w:rsid w:val="00F127A8"/>
    <w:rsid w:val="00F13618"/>
    <w:rsid w:val="00F13D64"/>
    <w:rsid w:val="00F13E48"/>
    <w:rsid w:val="00F14250"/>
    <w:rsid w:val="00F14474"/>
    <w:rsid w:val="00F146D8"/>
    <w:rsid w:val="00F14B42"/>
    <w:rsid w:val="00F14E1C"/>
    <w:rsid w:val="00F15423"/>
    <w:rsid w:val="00F15955"/>
    <w:rsid w:val="00F15F23"/>
    <w:rsid w:val="00F16167"/>
    <w:rsid w:val="00F1634A"/>
    <w:rsid w:val="00F17037"/>
    <w:rsid w:val="00F17242"/>
    <w:rsid w:val="00F17AB1"/>
    <w:rsid w:val="00F17F2D"/>
    <w:rsid w:val="00F20641"/>
    <w:rsid w:val="00F20AA7"/>
    <w:rsid w:val="00F20EB8"/>
    <w:rsid w:val="00F20FA2"/>
    <w:rsid w:val="00F21843"/>
    <w:rsid w:val="00F223EB"/>
    <w:rsid w:val="00F2268C"/>
    <w:rsid w:val="00F229F2"/>
    <w:rsid w:val="00F22F7E"/>
    <w:rsid w:val="00F23CA4"/>
    <w:rsid w:val="00F23D49"/>
    <w:rsid w:val="00F240FF"/>
    <w:rsid w:val="00F242F6"/>
    <w:rsid w:val="00F249E9"/>
    <w:rsid w:val="00F24E73"/>
    <w:rsid w:val="00F26341"/>
    <w:rsid w:val="00F267DE"/>
    <w:rsid w:val="00F26A08"/>
    <w:rsid w:val="00F26B65"/>
    <w:rsid w:val="00F26CC1"/>
    <w:rsid w:val="00F27573"/>
    <w:rsid w:val="00F27988"/>
    <w:rsid w:val="00F27E79"/>
    <w:rsid w:val="00F308C0"/>
    <w:rsid w:val="00F30E69"/>
    <w:rsid w:val="00F31201"/>
    <w:rsid w:val="00F31587"/>
    <w:rsid w:val="00F31A51"/>
    <w:rsid w:val="00F31EDA"/>
    <w:rsid w:val="00F328C8"/>
    <w:rsid w:val="00F32E24"/>
    <w:rsid w:val="00F32ED7"/>
    <w:rsid w:val="00F33172"/>
    <w:rsid w:val="00F33512"/>
    <w:rsid w:val="00F33977"/>
    <w:rsid w:val="00F33C0C"/>
    <w:rsid w:val="00F34103"/>
    <w:rsid w:val="00F343AB"/>
    <w:rsid w:val="00F349A7"/>
    <w:rsid w:val="00F349CD"/>
    <w:rsid w:val="00F34A56"/>
    <w:rsid w:val="00F34B9C"/>
    <w:rsid w:val="00F357C7"/>
    <w:rsid w:val="00F35AE0"/>
    <w:rsid w:val="00F35CA1"/>
    <w:rsid w:val="00F36905"/>
    <w:rsid w:val="00F36F5B"/>
    <w:rsid w:val="00F36FDD"/>
    <w:rsid w:val="00F37726"/>
    <w:rsid w:val="00F3783C"/>
    <w:rsid w:val="00F378B6"/>
    <w:rsid w:val="00F402F7"/>
    <w:rsid w:val="00F404AF"/>
    <w:rsid w:val="00F4073E"/>
    <w:rsid w:val="00F40AFD"/>
    <w:rsid w:val="00F40FF2"/>
    <w:rsid w:val="00F4135E"/>
    <w:rsid w:val="00F41733"/>
    <w:rsid w:val="00F41A33"/>
    <w:rsid w:val="00F41DBE"/>
    <w:rsid w:val="00F420B5"/>
    <w:rsid w:val="00F42119"/>
    <w:rsid w:val="00F42832"/>
    <w:rsid w:val="00F428CC"/>
    <w:rsid w:val="00F4317B"/>
    <w:rsid w:val="00F4373B"/>
    <w:rsid w:val="00F43A94"/>
    <w:rsid w:val="00F43F64"/>
    <w:rsid w:val="00F447DF"/>
    <w:rsid w:val="00F44A4F"/>
    <w:rsid w:val="00F44DD3"/>
    <w:rsid w:val="00F44FF7"/>
    <w:rsid w:val="00F46755"/>
    <w:rsid w:val="00F4752B"/>
    <w:rsid w:val="00F47861"/>
    <w:rsid w:val="00F47CEB"/>
    <w:rsid w:val="00F50150"/>
    <w:rsid w:val="00F507DE"/>
    <w:rsid w:val="00F50CD1"/>
    <w:rsid w:val="00F50EC8"/>
    <w:rsid w:val="00F50F84"/>
    <w:rsid w:val="00F512E6"/>
    <w:rsid w:val="00F5179A"/>
    <w:rsid w:val="00F51C26"/>
    <w:rsid w:val="00F52252"/>
    <w:rsid w:val="00F526FC"/>
    <w:rsid w:val="00F54207"/>
    <w:rsid w:val="00F542B9"/>
    <w:rsid w:val="00F54416"/>
    <w:rsid w:val="00F544C7"/>
    <w:rsid w:val="00F54579"/>
    <w:rsid w:val="00F54885"/>
    <w:rsid w:val="00F548D3"/>
    <w:rsid w:val="00F54CA4"/>
    <w:rsid w:val="00F54E5A"/>
    <w:rsid w:val="00F54E74"/>
    <w:rsid w:val="00F54F53"/>
    <w:rsid w:val="00F55385"/>
    <w:rsid w:val="00F55766"/>
    <w:rsid w:val="00F55889"/>
    <w:rsid w:val="00F55B5F"/>
    <w:rsid w:val="00F56480"/>
    <w:rsid w:val="00F568E1"/>
    <w:rsid w:val="00F5769D"/>
    <w:rsid w:val="00F57783"/>
    <w:rsid w:val="00F578B0"/>
    <w:rsid w:val="00F57C26"/>
    <w:rsid w:val="00F57F6A"/>
    <w:rsid w:val="00F60749"/>
    <w:rsid w:val="00F60D99"/>
    <w:rsid w:val="00F624D0"/>
    <w:rsid w:val="00F63166"/>
    <w:rsid w:val="00F6321F"/>
    <w:rsid w:val="00F6365C"/>
    <w:rsid w:val="00F6385B"/>
    <w:rsid w:val="00F63A1F"/>
    <w:rsid w:val="00F641E5"/>
    <w:rsid w:val="00F64692"/>
    <w:rsid w:val="00F648A8"/>
    <w:rsid w:val="00F64A3B"/>
    <w:rsid w:val="00F64AA8"/>
    <w:rsid w:val="00F65ADC"/>
    <w:rsid w:val="00F65C08"/>
    <w:rsid w:val="00F65D9C"/>
    <w:rsid w:val="00F65E13"/>
    <w:rsid w:val="00F65F8B"/>
    <w:rsid w:val="00F66305"/>
    <w:rsid w:val="00F66446"/>
    <w:rsid w:val="00F67475"/>
    <w:rsid w:val="00F675CE"/>
    <w:rsid w:val="00F67913"/>
    <w:rsid w:val="00F70177"/>
    <w:rsid w:val="00F7092A"/>
    <w:rsid w:val="00F70D63"/>
    <w:rsid w:val="00F70F1B"/>
    <w:rsid w:val="00F7132A"/>
    <w:rsid w:val="00F71525"/>
    <w:rsid w:val="00F71A88"/>
    <w:rsid w:val="00F7257D"/>
    <w:rsid w:val="00F7269D"/>
    <w:rsid w:val="00F72DDE"/>
    <w:rsid w:val="00F72DF4"/>
    <w:rsid w:val="00F7343D"/>
    <w:rsid w:val="00F74499"/>
    <w:rsid w:val="00F745DD"/>
    <w:rsid w:val="00F75634"/>
    <w:rsid w:val="00F75A9C"/>
    <w:rsid w:val="00F75C43"/>
    <w:rsid w:val="00F75C61"/>
    <w:rsid w:val="00F75DD7"/>
    <w:rsid w:val="00F760CE"/>
    <w:rsid w:val="00F76410"/>
    <w:rsid w:val="00F765AE"/>
    <w:rsid w:val="00F7674C"/>
    <w:rsid w:val="00F76753"/>
    <w:rsid w:val="00F76B83"/>
    <w:rsid w:val="00F76CB4"/>
    <w:rsid w:val="00F76D16"/>
    <w:rsid w:val="00F77130"/>
    <w:rsid w:val="00F77473"/>
    <w:rsid w:val="00F7757C"/>
    <w:rsid w:val="00F77800"/>
    <w:rsid w:val="00F8023C"/>
    <w:rsid w:val="00F8080F"/>
    <w:rsid w:val="00F8087A"/>
    <w:rsid w:val="00F80945"/>
    <w:rsid w:val="00F80D5B"/>
    <w:rsid w:val="00F80D74"/>
    <w:rsid w:val="00F80E08"/>
    <w:rsid w:val="00F80F86"/>
    <w:rsid w:val="00F81216"/>
    <w:rsid w:val="00F81286"/>
    <w:rsid w:val="00F8144C"/>
    <w:rsid w:val="00F8189B"/>
    <w:rsid w:val="00F8196A"/>
    <w:rsid w:val="00F819F3"/>
    <w:rsid w:val="00F81CFF"/>
    <w:rsid w:val="00F82647"/>
    <w:rsid w:val="00F826C5"/>
    <w:rsid w:val="00F82D8B"/>
    <w:rsid w:val="00F830BE"/>
    <w:rsid w:val="00F8352F"/>
    <w:rsid w:val="00F83970"/>
    <w:rsid w:val="00F841FE"/>
    <w:rsid w:val="00F843FE"/>
    <w:rsid w:val="00F8443E"/>
    <w:rsid w:val="00F84862"/>
    <w:rsid w:val="00F84AF2"/>
    <w:rsid w:val="00F853AC"/>
    <w:rsid w:val="00F85667"/>
    <w:rsid w:val="00F85F67"/>
    <w:rsid w:val="00F8666D"/>
    <w:rsid w:val="00F8683A"/>
    <w:rsid w:val="00F86BDE"/>
    <w:rsid w:val="00F86DAD"/>
    <w:rsid w:val="00F879B2"/>
    <w:rsid w:val="00F87E79"/>
    <w:rsid w:val="00F9061E"/>
    <w:rsid w:val="00F90C15"/>
    <w:rsid w:val="00F90C7B"/>
    <w:rsid w:val="00F90D58"/>
    <w:rsid w:val="00F910DD"/>
    <w:rsid w:val="00F91CD2"/>
    <w:rsid w:val="00F91F0B"/>
    <w:rsid w:val="00F92249"/>
    <w:rsid w:val="00F92A7B"/>
    <w:rsid w:val="00F92A9B"/>
    <w:rsid w:val="00F92B67"/>
    <w:rsid w:val="00F92FEC"/>
    <w:rsid w:val="00F93366"/>
    <w:rsid w:val="00F9361E"/>
    <w:rsid w:val="00F93AF8"/>
    <w:rsid w:val="00F93E7E"/>
    <w:rsid w:val="00F93E9F"/>
    <w:rsid w:val="00F943E1"/>
    <w:rsid w:val="00F94AEE"/>
    <w:rsid w:val="00F95215"/>
    <w:rsid w:val="00F9528E"/>
    <w:rsid w:val="00F95A73"/>
    <w:rsid w:val="00F95A9F"/>
    <w:rsid w:val="00F95ACF"/>
    <w:rsid w:val="00F95D06"/>
    <w:rsid w:val="00F96011"/>
    <w:rsid w:val="00F962E2"/>
    <w:rsid w:val="00F96348"/>
    <w:rsid w:val="00F97245"/>
    <w:rsid w:val="00F973C3"/>
    <w:rsid w:val="00F97AEC"/>
    <w:rsid w:val="00F97C61"/>
    <w:rsid w:val="00F97EA6"/>
    <w:rsid w:val="00FA015D"/>
    <w:rsid w:val="00FA04F4"/>
    <w:rsid w:val="00FA09EC"/>
    <w:rsid w:val="00FA0BEE"/>
    <w:rsid w:val="00FA0D96"/>
    <w:rsid w:val="00FA0F18"/>
    <w:rsid w:val="00FA2385"/>
    <w:rsid w:val="00FA2765"/>
    <w:rsid w:val="00FA2ABC"/>
    <w:rsid w:val="00FA2BA2"/>
    <w:rsid w:val="00FA2EAA"/>
    <w:rsid w:val="00FA377F"/>
    <w:rsid w:val="00FA40B5"/>
    <w:rsid w:val="00FA4759"/>
    <w:rsid w:val="00FA4A24"/>
    <w:rsid w:val="00FA4EF5"/>
    <w:rsid w:val="00FA515B"/>
    <w:rsid w:val="00FA551C"/>
    <w:rsid w:val="00FA5DF0"/>
    <w:rsid w:val="00FA62AE"/>
    <w:rsid w:val="00FA6C2E"/>
    <w:rsid w:val="00FB05A9"/>
    <w:rsid w:val="00FB0D73"/>
    <w:rsid w:val="00FB0DBF"/>
    <w:rsid w:val="00FB1361"/>
    <w:rsid w:val="00FB2469"/>
    <w:rsid w:val="00FB249D"/>
    <w:rsid w:val="00FB2B95"/>
    <w:rsid w:val="00FB2F76"/>
    <w:rsid w:val="00FB3584"/>
    <w:rsid w:val="00FB41E3"/>
    <w:rsid w:val="00FB4358"/>
    <w:rsid w:val="00FB4651"/>
    <w:rsid w:val="00FB468D"/>
    <w:rsid w:val="00FB46A2"/>
    <w:rsid w:val="00FB4B3C"/>
    <w:rsid w:val="00FB4BF5"/>
    <w:rsid w:val="00FB503B"/>
    <w:rsid w:val="00FB58CE"/>
    <w:rsid w:val="00FB5A8E"/>
    <w:rsid w:val="00FB5A93"/>
    <w:rsid w:val="00FB5E36"/>
    <w:rsid w:val="00FB6848"/>
    <w:rsid w:val="00FB7229"/>
    <w:rsid w:val="00FB752F"/>
    <w:rsid w:val="00FC0010"/>
    <w:rsid w:val="00FC0DA5"/>
    <w:rsid w:val="00FC0E9A"/>
    <w:rsid w:val="00FC0EE1"/>
    <w:rsid w:val="00FC1273"/>
    <w:rsid w:val="00FC1867"/>
    <w:rsid w:val="00FC1E16"/>
    <w:rsid w:val="00FC23CF"/>
    <w:rsid w:val="00FC24B0"/>
    <w:rsid w:val="00FC2BF9"/>
    <w:rsid w:val="00FC2E7B"/>
    <w:rsid w:val="00FC31B2"/>
    <w:rsid w:val="00FC42AA"/>
    <w:rsid w:val="00FC48A8"/>
    <w:rsid w:val="00FC5C6B"/>
    <w:rsid w:val="00FC5D72"/>
    <w:rsid w:val="00FC5F74"/>
    <w:rsid w:val="00FC603C"/>
    <w:rsid w:val="00FC64FC"/>
    <w:rsid w:val="00FC6AA6"/>
    <w:rsid w:val="00FC6ADD"/>
    <w:rsid w:val="00FC6C04"/>
    <w:rsid w:val="00FC6C9D"/>
    <w:rsid w:val="00FC6F3B"/>
    <w:rsid w:val="00FC715C"/>
    <w:rsid w:val="00FC73DF"/>
    <w:rsid w:val="00FC77DE"/>
    <w:rsid w:val="00FC79A0"/>
    <w:rsid w:val="00FC7DDD"/>
    <w:rsid w:val="00FD0126"/>
    <w:rsid w:val="00FD0B00"/>
    <w:rsid w:val="00FD0DD7"/>
    <w:rsid w:val="00FD1553"/>
    <w:rsid w:val="00FD188F"/>
    <w:rsid w:val="00FD196F"/>
    <w:rsid w:val="00FD1F1E"/>
    <w:rsid w:val="00FD2054"/>
    <w:rsid w:val="00FD21AC"/>
    <w:rsid w:val="00FD222C"/>
    <w:rsid w:val="00FD2466"/>
    <w:rsid w:val="00FD25E7"/>
    <w:rsid w:val="00FD2A10"/>
    <w:rsid w:val="00FD2BCE"/>
    <w:rsid w:val="00FD30DE"/>
    <w:rsid w:val="00FD3136"/>
    <w:rsid w:val="00FD34C3"/>
    <w:rsid w:val="00FD485C"/>
    <w:rsid w:val="00FD4D50"/>
    <w:rsid w:val="00FD5349"/>
    <w:rsid w:val="00FD5E8C"/>
    <w:rsid w:val="00FD61AC"/>
    <w:rsid w:val="00FD6720"/>
    <w:rsid w:val="00FD6D2F"/>
    <w:rsid w:val="00FD6E93"/>
    <w:rsid w:val="00FD7A99"/>
    <w:rsid w:val="00FD7B9D"/>
    <w:rsid w:val="00FD7EB6"/>
    <w:rsid w:val="00FE02CE"/>
    <w:rsid w:val="00FE1F13"/>
    <w:rsid w:val="00FE20D5"/>
    <w:rsid w:val="00FE2AD1"/>
    <w:rsid w:val="00FE2D46"/>
    <w:rsid w:val="00FE3F29"/>
    <w:rsid w:val="00FE4826"/>
    <w:rsid w:val="00FE4C25"/>
    <w:rsid w:val="00FE4F54"/>
    <w:rsid w:val="00FE560C"/>
    <w:rsid w:val="00FE5732"/>
    <w:rsid w:val="00FE5DE5"/>
    <w:rsid w:val="00FE6838"/>
    <w:rsid w:val="00FE6E06"/>
    <w:rsid w:val="00FF02F8"/>
    <w:rsid w:val="00FF0A45"/>
    <w:rsid w:val="00FF16B5"/>
    <w:rsid w:val="00FF17A3"/>
    <w:rsid w:val="00FF191B"/>
    <w:rsid w:val="00FF1ADA"/>
    <w:rsid w:val="00FF2372"/>
    <w:rsid w:val="00FF244B"/>
    <w:rsid w:val="00FF2FFB"/>
    <w:rsid w:val="00FF3506"/>
    <w:rsid w:val="00FF356C"/>
    <w:rsid w:val="00FF3E27"/>
    <w:rsid w:val="00FF4386"/>
    <w:rsid w:val="00FF4630"/>
    <w:rsid w:val="00FF481D"/>
    <w:rsid w:val="00FF4E59"/>
    <w:rsid w:val="00FF50C3"/>
    <w:rsid w:val="00FF5221"/>
    <w:rsid w:val="00FF5B10"/>
    <w:rsid w:val="00FF5BD7"/>
    <w:rsid w:val="00FF5DBE"/>
    <w:rsid w:val="00FF6574"/>
    <w:rsid w:val="00FF68D6"/>
    <w:rsid w:val="00FF71B7"/>
    <w:rsid w:val="00FF753B"/>
    <w:rsid w:val="00FF77E3"/>
    <w:rsid w:val="00FF79C7"/>
    <w:rsid w:val="00FF7F05"/>
    <w:rsid w:val="012809A4"/>
    <w:rsid w:val="0152CB26"/>
    <w:rsid w:val="01FE5244"/>
    <w:rsid w:val="036D1642"/>
    <w:rsid w:val="039325A0"/>
    <w:rsid w:val="03D974D5"/>
    <w:rsid w:val="04CC0DD7"/>
    <w:rsid w:val="04EF567A"/>
    <w:rsid w:val="050A9B84"/>
    <w:rsid w:val="07407731"/>
    <w:rsid w:val="078C506C"/>
    <w:rsid w:val="0854D68B"/>
    <w:rsid w:val="08C31F35"/>
    <w:rsid w:val="09198E0D"/>
    <w:rsid w:val="09BE417C"/>
    <w:rsid w:val="0BAD1C75"/>
    <w:rsid w:val="0BEB1769"/>
    <w:rsid w:val="0C2B0CE0"/>
    <w:rsid w:val="0D2C48A3"/>
    <w:rsid w:val="0D69ECE5"/>
    <w:rsid w:val="0DCEFB13"/>
    <w:rsid w:val="10CBAC6B"/>
    <w:rsid w:val="117ADC50"/>
    <w:rsid w:val="11C198AC"/>
    <w:rsid w:val="13096256"/>
    <w:rsid w:val="135469DD"/>
    <w:rsid w:val="13D9A341"/>
    <w:rsid w:val="153DBE06"/>
    <w:rsid w:val="18775E69"/>
    <w:rsid w:val="1B189BD3"/>
    <w:rsid w:val="1C10E3C1"/>
    <w:rsid w:val="1C7B5A8F"/>
    <w:rsid w:val="1D04A6B4"/>
    <w:rsid w:val="1D5F7547"/>
    <w:rsid w:val="1D77A185"/>
    <w:rsid w:val="1DADF5D0"/>
    <w:rsid w:val="1DBECFBB"/>
    <w:rsid w:val="1E696B3F"/>
    <w:rsid w:val="1E8C70D6"/>
    <w:rsid w:val="2133807B"/>
    <w:rsid w:val="217F5E81"/>
    <w:rsid w:val="234B4A33"/>
    <w:rsid w:val="2475FAEB"/>
    <w:rsid w:val="260C09D0"/>
    <w:rsid w:val="26851105"/>
    <w:rsid w:val="26DF8129"/>
    <w:rsid w:val="26F77A96"/>
    <w:rsid w:val="2828E6E7"/>
    <w:rsid w:val="28781A61"/>
    <w:rsid w:val="28A2FAB4"/>
    <w:rsid w:val="29F50501"/>
    <w:rsid w:val="2B52A6D1"/>
    <w:rsid w:val="2C44B1BF"/>
    <w:rsid w:val="2CDD010D"/>
    <w:rsid w:val="2D9356D3"/>
    <w:rsid w:val="2E770B06"/>
    <w:rsid w:val="2EA76B04"/>
    <w:rsid w:val="2F8546A3"/>
    <w:rsid w:val="3005D225"/>
    <w:rsid w:val="30BF8578"/>
    <w:rsid w:val="3159A104"/>
    <w:rsid w:val="33E1FF31"/>
    <w:rsid w:val="34B8B790"/>
    <w:rsid w:val="35BC138E"/>
    <w:rsid w:val="35E63459"/>
    <w:rsid w:val="36820C72"/>
    <w:rsid w:val="37320766"/>
    <w:rsid w:val="37983326"/>
    <w:rsid w:val="37CE2CEE"/>
    <w:rsid w:val="3823A11D"/>
    <w:rsid w:val="382CBAC5"/>
    <w:rsid w:val="3A013B0C"/>
    <w:rsid w:val="3B1AD34F"/>
    <w:rsid w:val="3B3AE5B4"/>
    <w:rsid w:val="3C2724E9"/>
    <w:rsid w:val="3C5521EA"/>
    <w:rsid w:val="3C80A16B"/>
    <w:rsid w:val="3D38DBCE"/>
    <w:rsid w:val="3EF14872"/>
    <w:rsid w:val="3FA7593F"/>
    <w:rsid w:val="3FC64D59"/>
    <w:rsid w:val="4158F79C"/>
    <w:rsid w:val="420C4CF1"/>
    <w:rsid w:val="4236EC93"/>
    <w:rsid w:val="4277EBD3"/>
    <w:rsid w:val="42C97132"/>
    <w:rsid w:val="43567DCF"/>
    <w:rsid w:val="455D8E95"/>
    <w:rsid w:val="4584CA9B"/>
    <w:rsid w:val="47DBB441"/>
    <w:rsid w:val="48889DC0"/>
    <w:rsid w:val="48DB81BC"/>
    <w:rsid w:val="4975B90D"/>
    <w:rsid w:val="4998C269"/>
    <w:rsid w:val="4CB21ABC"/>
    <w:rsid w:val="4CC74628"/>
    <w:rsid w:val="4DF22BA8"/>
    <w:rsid w:val="4F0D5A80"/>
    <w:rsid w:val="4F99AFDB"/>
    <w:rsid w:val="4FD0A373"/>
    <w:rsid w:val="4FF16469"/>
    <w:rsid w:val="5018B13E"/>
    <w:rsid w:val="50D72482"/>
    <w:rsid w:val="51BA7BF3"/>
    <w:rsid w:val="52078C37"/>
    <w:rsid w:val="524B5436"/>
    <w:rsid w:val="52BE2FF9"/>
    <w:rsid w:val="5442A3B4"/>
    <w:rsid w:val="552678C9"/>
    <w:rsid w:val="5544EE75"/>
    <w:rsid w:val="5581F380"/>
    <w:rsid w:val="560C411D"/>
    <w:rsid w:val="56E91103"/>
    <w:rsid w:val="57B75417"/>
    <w:rsid w:val="58C3F960"/>
    <w:rsid w:val="597764EE"/>
    <w:rsid w:val="5AC656D4"/>
    <w:rsid w:val="5B1D96F1"/>
    <w:rsid w:val="5B6F8E33"/>
    <w:rsid w:val="5C9E701B"/>
    <w:rsid w:val="5CD03593"/>
    <w:rsid w:val="5D31655E"/>
    <w:rsid w:val="5E7977A3"/>
    <w:rsid w:val="5F0E69BC"/>
    <w:rsid w:val="5F1A588E"/>
    <w:rsid w:val="5F32296B"/>
    <w:rsid w:val="6017A1E1"/>
    <w:rsid w:val="60AA3A1D"/>
    <w:rsid w:val="60B4D16F"/>
    <w:rsid w:val="61BE141C"/>
    <w:rsid w:val="63305CCD"/>
    <w:rsid w:val="649B0B64"/>
    <w:rsid w:val="65116008"/>
    <w:rsid w:val="6669802B"/>
    <w:rsid w:val="673E92D0"/>
    <w:rsid w:val="67DCBCC2"/>
    <w:rsid w:val="6849AAE9"/>
    <w:rsid w:val="685C4758"/>
    <w:rsid w:val="6ADC0C98"/>
    <w:rsid w:val="6BB30FC6"/>
    <w:rsid w:val="6BBE499D"/>
    <w:rsid w:val="6BD4F6FE"/>
    <w:rsid w:val="6CDD3360"/>
    <w:rsid w:val="6D6383F8"/>
    <w:rsid w:val="6E076053"/>
    <w:rsid w:val="6E1B86ED"/>
    <w:rsid w:val="6EEAB088"/>
    <w:rsid w:val="6F0A97C2"/>
    <w:rsid w:val="6FBA95D4"/>
    <w:rsid w:val="7033C678"/>
    <w:rsid w:val="709A5BE4"/>
    <w:rsid w:val="717C47AD"/>
    <w:rsid w:val="723CDD2F"/>
    <w:rsid w:val="72887118"/>
    <w:rsid w:val="73AEEAA5"/>
    <w:rsid w:val="74244179"/>
    <w:rsid w:val="74DE8811"/>
    <w:rsid w:val="75270AAD"/>
    <w:rsid w:val="756283EA"/>
    <w:rsid w:val="75B434BA"/>
    <w:rsid w:val="764FA28C"/>
    <w:rsid w:val="769389DB"/>
    <w:rsid w:val="769F73AA"/>
    <w:rsid w:val="77D96F91"/>
    <w:rsid w:val="790568CC"/>
    <w:rsid w:val="7A02BCC9"/>
    <w:rsid w:val="7A4B011B"/>
    <w:rsid w:val="7A508316"/>
    <w:rsid w:val="7ABF23A3"/>
    <w:rsid w:val="7B376C47"/>
    <w:rsid w:val="7BCF5F0E"/>
    <w:rsid w:val="7C3911CB"/>
    <w:rsid w:val="7C3DDB8C"/>
    <w:rsid w:val="7C7F5A02"/>
    <w:rsid w:val="7D8F4946"/>
    <w:rsid w:val="7DEDA1E4"/>
    <w:rsid w:val="7EE8BDE8"/>
    <w:rsid w:val="7F15988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8337F"/>
  <w15:docId w15:val="{5C67FEBE-BEC0-4CA3-90A8-36E7FBD7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936748"/>
    <w:pPr>
      <w:keepNext/>
      <w:widowControl w:val="0"/>
      <w:numPr>
        <w:numId w:val="1"/>
      </w:numPr>
      <w:pBdr>
        <w:bottom w:val="single" w:sz="4" w:space="4" w:color="008EBA"/>
      </w:pBdr>
      <w:spacing w:before="240" w:after="100"/>
      <w:ind w:left="709" w:hanging="709"/>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FB0DBF"/>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uiPriority w:val="99"/>
    <w:rsid w:val="00FB0DBF"/>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936748"/>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3932EF"/>
    <w:pPr>
      <w:numPr>
        <w:numId w:val="43"/>
      </w:numPr>
      <w:spacing w:before="120" w:after="80"/>
    </w:pPr>
    <w:rPr>
      <w:rFonts w:eastAsia="Times New Roman"/>
    </w:rPr>
  </w:style>
  <w:style w:type="character" w:customStyle="1" w:styleId="Bullet1Char">
    <w:name w:val="Bullet 1 Char"/>
    <w:link w:val="Bullet1"/>
    <w:rsid w:val="003932EF"/>
    <w:rPr>
      <w:rFonts w:ascii="Arial" w:hAnsi="Arial" w:cs="Arial"/>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2"/>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3"/>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4"/>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5"/>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6"/>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7"/>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8"/>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9"/>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10"/>
      </w:numPr>
      <w:spacing w:before="240" w:after="120"/>
    </w:pPr>
    <w:rPr>
      <w:rFonts w:ascii="Arial" w:hAnsi="Arial"/>
      <w:i/>
      <w:color w:val="4F4F4F"/>
      <w:sz w:val="22"/>
    </w:rPr>
  </w:style>
  <w:style w:type="paragraph" w:customStyle="1" w:styleId="Table21">
    <w:name w:val="Table 2.1"/>
    <w:basedOn w:val="Normal"/>
    <w:qFormat/>
    <w:rsid w:val="00383B36"/>
    <w:pPr>
      <w:numPr>
        <w:numId w:val="11"/>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3"/>
      </w:numPr>
      <w:pBdr>
        <w:bottom w:val="single" w:sz="4" w:space="4" w:color="00ABE6"/>
      </w:pBdr>
      <w:spacing w:before="240" w:after="100"/>
      <w:ind w:left="357" w:hanging="357"/>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Chart2X">
    <w:name w:val="Chart 2.X"/>
    <w:basedOn w:val="Normal"/>
    <w:next w:val="Normal"/>
    <w:rsid w:val="008533DA"/>
    <w:pPr>
      <w:keepLines/>
      <w:tabs>
        <w:tab w:val="left" w:pos="1304"/>
      </w:tabs>
      <w:spacing w:before="360" w:after="120"/>
    </w:pPr>
    <w:rPr>
      <w:rFonts w:ascii="Arial" w:hAnsi="Arial"/>
      <w:i/>
      <w:color w:val="57514D"/>
      <w:sz w:val="22"/>
      <w:lang w:val="en-US"/>
    </w:rPr>
  </w:style>
  <w:style w:type="character" w:styleId="UnresolvedMention">
    <w:name w:val="Unresolved Mention"/>
    <w:basedOn w:val="DefaultParagraphFont"/>
    <w:uiPriority w:val="99"/>
    <w:unhideWhenUsed/>
    <w:rsid w:val="000458E5"/>
    <w:rPr>
      <w:color w:val="605E5C"/>
      <w:shd w:val="clear" w:color="auto" w:fill="E1DFDD"/>
    </w:rPr>
  </w:style>
  <w:style w:type="character" w:styleId="Mention">
    <w:name w:val="Mention"/>
    <w:basedOn w:val="DefaultParagraphFont"/>
    <w:uiPriority w:val="99"/>
    <w:unhideWhenUsed/>
    <w:rsid w:val="000458E5"/>
    <w:rPr>
      <w:color w:val="2B579A"/>
      <w:shd w:val="clear" w:color="auto" w:fill="E1DFDD"/>
    </w:rPr>
  </w:style>
  <w:style w:type="character" w:customStyle="1" w:styleId="eop">
    <w:name w:val="eop"/>
    <w:basedOn w:val="DefaultParagraphFont"/>
    <w:rsid w:val="00A05A4F"/>
  </w:style>
  <w:style w:type="paragraph" w:customStyle="1" w:styleId="Chart1X">
    <w:name w:val="Chart 1.X"/>
    <w:basedOn w:val="Normal"/>
    <w:next w:val="Normal"/>
    <w:rsid w:val="00C42703"/>
    <w:pPr>
      <w:keepLines/>
      <w:tabs>
        <w:tab w:val="left" w:pos="1304"/>
      </w:tabs>
      <w:spacing w:before="240" w:after="120"/>
      <w:ind w:left="357" w:hanging="357"/>
    </w:pPr>
    <w:rPr>
      <w:rFonts w:ascii="Arial" w:hAnsi="Arial"/>
      <w:i/>
      <w:color w:val="4F4F4F"/>
      <w:sz w:val="22"/>
      <w:lang w:val="en-US"/>
    </w:rPr>
  </w:style>
  <w:style w:type="paragraph" w:customStyle="1" w:styleId="Chart41">
    <w:name w:val="Chart 4.1"/>
    <w:basedOn w:val="Normal"/>
    <w:next w:val="Normal"/>
    <w:rsid w:val="00796C7D"/>
    <w:pPr>
      <w:keepLines/>
      <w:numPr>
        <w:numId w:val="44"/>
      </w:numPr>
      <w:tabs>
        <w:tab w:val="left" w:pos="1304"/>
      </w:tabs>
      <w:spacing w:before="360" w:after="120"/>
      <w:ind w:left="1304" w:hanging="1304"/>
    </w:pPr>
    <w:rPr>
      <w:rFonts w:ascii="Arial" w:hAnsi="Arial"/>
      <w:i/>
      <w:color w:val="4F4F4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308244026">
      <w:bodyDiv w:val="1"/>
      <w:marLeft w:val="0"/>
      <w:marRight w:val="0"/>
      <w:marTop w:val="0"/>
      <w:marBottom w:val="0"/>
      <w:divBdr>
        <w:top w:val="none" w:sz="0" w:space="0" w:color="auto"/>
        <w:left w:val="none" w:sz="0" w:space="0" w:color="auto"/>
        <w:bottom w:val="none" w:sz="0" w:space="0" w:color="auto"/>
        <w:right w:val="none" w:sz="0" w:space="0" w:color="auto"/>
      </w:divBdr>
      <w:divsChild>
        <w:div w:id="1367680707">
          <w:marLeft w:val="0"/>
          <w:marRight w:val="0"/>
          <w:marTop w:val="0"/>
          <w:marBottom w:val="0"/>
          <w:divBdr>
            <w:top w:val="none" w:sz="0" w:space="0" w:color="auto"/>
            <w:left w:val="none" w:sz="0" w:space="0" w:color="auto"/>
            <w:bottom w:val="none" w:sz="0" w:space="0" w:color="auto"/>
            <w:right w:val="none" w:sz="0" w:space="0" w:color="auto"/>
          </w:divBdr>
          <w:divsChild>
            <w:div w:id="7758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68">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53208205">
      <w:bodyDiv w:val="1"/>
      <w:marLeft w:val="0"/>
      <w:marRight w:val="0"/>
      <w:marTop w:val="0"/>
      <w:marBottom w:val="0"/>
      <w:divBdr>
        <w:top w:val="none" w:sz="0" w:space="0" w:color="auto"/>
        <w:left w:val="none" w:sz="0" w:space="0" w:color="auto"/>
        <w:bottom w:val="none" w:sz="0" w:space="0" w:color="auto"/>
        <w:right w:val="none" w:sz="0" w:space="0" w:color="auto"/>
      </w:divBdr>
      <w:divsChild>
        <w:div w:id="238291499">
          <w:marLeft w:val="0"/>
          <w:marRight w:val="0"/>
          <w:marTop w:val="0"/>
          <w:marBottom w:val="0"/>
          <w:divBdr>
            <w:top w:val="none" w:sz="0" w:space="0" w:color="auto"/>
            <w:left w:val="none" w:sz="0" w:space="0" w:color="auto"/>
            <w:bottom w:val="none" w:sz="0" w:space="0" w:color="auto"/>
            <w:right w:val="none" w:sz="0" w:space="0" w:color="auto"/>
          </w:divBdr>
        </w:div>
      </w:divsChild>
    </w:div>
    <w:div w:id="474420471">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65156217">
      <w:bodyDiv w:val="1"/>
      <w:marLeft w:val="0"/>
      <w:marRight w:val="0"/>
      <w:marTop w:val="0"/>
      <w:marBottom w:val="0"/>
      <w:divBdr>
        <w:top w:val="none" w:sz="0" w:space="0" w:color="auto"/>
        <w:left w:val="none" w:sz="0" w:space="0" w:color="auto"/>
        <w:bottom w:val="none" w:sz="0" w:space="0" w:color="auto"/>
        <w:right w:val="none" w:sz="0" w:space="0" w:color="auto"/>
      </w:divBdr>
      <w:divsChild>
        <w:div w:id="511916117">
          <w:marLeft w:val="0"/>
          <w:marRight w:val="0"/>
          <w:marTop w:val="0"/>
          <w:marBottom w:val="0"/>
          <w:divBdr>
            <w:top w:val="none" w:sz="0" w:space="0" w:color="auto"/>
            <w:left w:val="none" w:sz="0" w:space="0" w:color="auto"/>
            <w:bottom w:val="none" w:sz="0" w:space="0" w:color="auto"/>
            <w:right w:val="none" w:sz="0" w:space="0" w:color="auto"/>
          </w:divBdr>
        </w:div>
      </w:divsChild>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02699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84053208">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2973369">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48353926">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3273077">
      <w:bodyDiv w:val="1"/>
      <w:marLeft w:val="0"/>
      <w:marRight w:val="0"/>
      <w:marTop w:val="0"/>
      <w:marBottom w:val="0"/>
      <w:divBdr>
        <w:top w:val="none" w:sz="0" w:space="0" w:color="auto"/>
        <w:left w:val="none" w:sz="0" w:space="0" w:color="auto"/>
        <w:bottom w:val="none" w:sz="0" w:space="0" w:color="auto"/>
        <w:right w:val="none" w:sz="0" w:space="0" w:color="auto"/>
      </w:divBdr>
      <w:divsChild>
        <w:div w:id="1683555904">
          <w:marLeft w:val="0"/>
          <w:marRight w:val="0"/>
          <w:marTop w:val="0"/>
          <w:marBottom w:val="0"/>
          <w:divBdr>
            <w:top w:val="none" w:sz="0" w:space="0" w:color="auto"/>
            <w:left w:val="none" w:sz="0" w:space="0" w:color="auto"/>
            <w:bottom w:val="none" w:sz="0" w:space="0" w:color="auto"/>
            <w:right w:val="none" w:sz="0" w:space="0" w:color="auto"/>
          </w:divBdr>
        </w:div>
      </w:divsChild>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95106680">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06202667">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0853833">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1-22%20Budget/02.%20Budget%20Paper%20No%202%20(Outcomes%20Statement)/00.%20Tiger%20Team/Financials/WHITE/2021-22%20BP2%20Outcome%20-%20WHITE%20FINAL%20(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DonutPIE!$D$1</c:f>
              <c:strCache>
                <c:ptCount val="1"/>
                <c:pt idx="0">
                  <c:v>Rec</c:v>
                </c:pt>
              </c:strCache>
            </c:strRef>
          </c:tx>
          <c:spPr>
            <a:ln>
              <a:noFill/>
            </a:ln>
          </c:spPr>
          <c:dPt>
            <c:idx val="0"/>
            <c:bubble3D val="0"/>
            <c:spPr>
              <a:solidFill>
                <a:srgbClr val="008EBA"/>
              </a:solidFill>
              <a:ln>
                <a:noFill/>
              </a:ln>
              <a:effectLst/>
            </c:spPr>
            <c:extLst>
              <c:ext xmlns:c16="http://schemas.microsoft.com/office/drawing/2014/chart" uri="{C3380CC4-5D6E-409C-BE32-E72D297353CC}">
                <c16:uniqueId val="{00000001-9D09-4A6E-969A-703E280DE18E}"/>
              </c:ext>
            </c:extLst>
          </c:dPt>
          <c:dPt>
            <c:idx val="1"/>
            <c:bubble3D val="0"/>
            <c:spPr>
              <a:solidFill>
                <a:srgbClr val="00426F"/>
              </a:solidFill>
              <a:ln>
                <a:noFill/>
              </a:ln>
              <a:effectLst/>
            </c:spPr>
            <c:extLst>
              <c:ext xmlns:c16="http://schemas.microsoft.com/office/drawing/2014/chart" uri="{C3380CC4-5D6E-409C-BE32-E72D297353CC}">
                <c16:uniqueId val="{00000003-9D09-4A6E-969A-703E280DE18E}"/>
              </c:ext>
            </c:extLst>
          </c:dPt>
          <c:dPt>
            <c:idx val="2"/>
            <c:bubble3D val="0"/>
            <c:spPr>
              <a:solidFill>
                <a:srgbClr val="53C8E9"/>
              </a:solidFill>
              <a:ln>
                <a:noFill/>
              </a:ln>
              <a:effectLst/>
            </c:spPr>
            <c:extLst>
              <c:ext xmlns:c16="http://schemas.microsoft.com/office/drawing/2014/chart" uri="{C3380CC4-5D6E-409C-BE32-E72D297353CC}">
                <c16:uniqueId val="{00000005-9D09-4A6E-969A-703E280DE18E}"/>
              </c:ext>
            </c:extLst>
          </c:dPt>
          <c:dPt>
            <c:idx val="3"/>
            <c:bubble3D val="0"/>
            <c:spPr>
              <a:solidFill>
                <a:srgbClr val="9ACA3C"/>
              </a:solidFill>
              <a:ln>
                <a:noFill/>
              </a:ln>
              <a:effectLst/>
            </c:spPr>
            <c:extLst>
              <c:ext xmlns:c16="http://schemas.microsoft.com/office/drawing/2014/chart" uri="{C3380CC4-5D6E-409C-BE32-E72D297353CC}">
                <c16:uniqueId val="{00000007-9D09-4A6E-969A-703E280DE18E}"/>
              </c:ext>
            </c:extLst>
          </c:dPt>
          <c:dLbls>
            <c:dLbl>
              <c:idx val="0"/>
              <c:layout>
                <c:manualLayout>
                  <c:x val="0.20059462749043666"/>
                  <c:y val="1.8402862238610242E-2"/>
                </c:manualLayout>
              </c:layout>
              <c:showLegendKey val="0"/>
              <c:showVal val="0"/>
              <c:showCatName val="1"/>
              <c:showSerName val="0"/>
              <c:showPercent val="0"/>
              <c:showBubbleSize val="0"/>
              <c:extLst>
                <c:ext xmlns:c15="http://schemas.microsoft.com/office/drawing/2012/chart" uri="{CE6537A1-D6FC-4f65-9D91-7224C49458BB}">
                  <c15:layout>
                    <c:manualLayout>
                      <c:w val="0.28463408506892873"/>
                      <c:h val="0.25854484320429261"/>
                    </c:manualLayout>
                  </c15:layout>
                </c:ext>
                <c:ext xmlns:c16="http://schemas.microsoft.com/office/drawing/2014/chart" uri="{C3380CC4-5D6E-409C-BE32-E72D297353CC}">
                  <c16:uniqueId val="{00000001-9D09-4A6E-969A-703E280DE18E}"/>
                </c:ext>
              </c:extLst>
            </c:dLbl>
            <c:dLbl>
              <c:idx val="1"/>
              <c:layout>
                <c:manualLayout>
                  <c:x val="0.13545276803208753"/>
                  <c:y val="0.12521770324978854"/>
                </c:manualLayout>
              </c:layout>
              <c:showLegendKey val="0"/>
              <c:showVal val="0"/>
              <c:showCatName val="1"/>
              <c:showSerName val="0"/>
              <c:showPercent val="0"/>
              <c:showBubbleSize val="0"/>
              <c:extLst>
                <c:ext xmlns:c15="http://schemas.microsoft.com/office/drawing/2012/chart" uri="{CE6537A1-D6FC-4f65-9D91-7224C49458BB}">
                  <c15:layout>
                    <c:manualLayout>
                      <c:w val="0.23386405970545218"/>
                      <c:h val="0.15850442168352788"/>
                    </c:manualLayout>
                  </c15:layout>
                </c:ext>
                <c:ext xmlns:c16="http://schemas.microsoft.com/office/drawing/2014/chart" uri="{C3380CC4-5D6E-409C-BE32-E72D297353CC}">
                  <c16:uniqueId val="{00000003-9D09-4A6E-969A-703E280DE18E}"/>
                </c:ext>
              </c:extLst>
            </c:dLbl>
            <c:dLbl>
              <c:idx val="2"/>
              <c:layout>
                <c:manualLayout>
                  <c:x val="-0.17188569510249796"/>
                  <c:y val="6.2118243270534869E-2"/>
                </c:manualLayout>
              </c:layout>
              <c:showLegendKey val="0"/>
              <c:showVal val="0"/>
              <c:showCatName val="1"/>
              <c:showSerName val="0"/>
              <c:showPercent val="0"/>
              <c:showBubbleSize val="0"/>
              <c:extLst>
                <c:ext xmlns:c15="http://schemas.microsoft.com/office/drawing/2012/chart" uri="{CE6537A1-D6FC-4f65-9D91-7224C49458BB}">
                  <c15:layout>
                    <c:manualLayout>
                      <c:w val="0.21022312799814322"/>
                      <c:h val="0.28839992113165891"/>
                    </c:manualLayout>
                  </c15:layout>
                </c:ext>
                <c:ext xmlns:c16="http://schemas.microsoft.com/office/drawing/2014/chart" uri="{C3380CC4-5D6E-409C-BE32-E72D297353CC}">
                  <c16:uniqueId val="{00000005-9D09-4A6E-969A-703E280DE18E}"/>
                </c:ext>
              </c:extLst>
            </c:dLbl>
            <c:dLbl>
              <c:idx val="3"/>
              <c:layout>
                <c:manualLayout>
                  <c:x val="-0.12399806233371159"/>
                  <c:y val="-0.11459583814426724"/>
                </c:manualLayout>
              </c:layout>
              <c:showLegendKey val="0"/>
              <c:showVal val="0"/>
              <c:showCatName val="1"/>
              <c:showSerName val="0"/>
              <c:showPercent val="0"/>
              <c:showBubbleSize val="0"/>
              <c:extLst>
                <c:ext xmlns:c15="http://schemas.microsoft.com/office/drawing/2012/chart" uri="{CE6537A1-D6FC-4f65-9D91-7224C49458BB}">
                  <c15:layout>
                    <c:manualLayout>
                      <c:w val="0.20434180129477469"/>
                      <c:h val="0.23183671979508594"/>
                    </c:manualLayout>
                  </c15:layout>
                </c:ext>
                <c:ext xmlns:c16="http://schemas.microsoft.com/office/drawing/2014/chart" uri="{C3380CC4-5D6E-409C-BE32-E72D297353CC}">
                  <c16:uniqueId val="{00000007-9D09-4A6E-969A-703E280DE18E}"/>
                </c:ext>
              </c:extLst>
            </c:dLbl>
            <c:spPr>
              <a:noFill/>
              <a:ln>
                <a:noFill/>
              </a:ln>
              <a:effectLst/>
            </c:spPr>
            <c:txPr>
              <a:bodyPr rot="0" spcFirstLastPara="1" vertOverflow="ellipsis" vert="horz" wrap="square" anchor="ctr" anchorCtr="0"/>
              <a:lstStyle/>
              <a:p>
                <a:pPr algn="ctr">
                  <a:defRPr lang="en-US"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(DonutPIE!$C$2:$C$8,DonutPIE!$C$10)</c:f>
              <c:strCache>
                <c:ptCount val="4"/>
                <c:pt idx="0">
                  <c:v>Connecting communities to resilient and sustainable energy and local environments $2.4b, 39%</c:v>
                </c:pt>
                <c:pt idx="1">
                  <c:v>Create a strong and liveable NSW $1.1b, 19%</c:v>
                </c:pt>
                <c:pt idx="2">
                  <c:v>Maximise community benefit from government land and property $1.7b, 28%</c:v>
                </c:pt>
                <c:pt idx="3">
                  <c:v>Sustainable, secure and healthy water resources and services $815.9m, 13%</c:v>
                </c:pt>
              </c:strCache>
            </c:strRef>
          </c:cat>
          <c:val>
            <c:numRef>
              <c:f>(DonutPIE!$D$2:$D$8,DonutPIE!$D$10)</c:f>
              <c:numCache>
                <c:formatCode>"$"#,##0.0;\-"$"#,##0.0</c:formatCode>
                <c:ptCount val="4"/>
                <c:pt idx="0">
                  <c:v>2407160343.9799995</c:v>
                </c:pt>
                <c:pt idx="1">
                  <c:v>1149270537.8600001</c:v>
                </c:pt>
                <c:pt idx="2">
                  <c:v>1735477558.3399999</c:v>
                </c:pt>
                <c:pt idx="3">
                  <c:v>815868651.82000029</c:v>
                </c:pt>
              </c:numCache>
            </c:numRef>
          </c:val>
          <c:extLst>
            <c:ext xmlns:c16="http://schemas.microsoft.com/office/drawing/2014/chart" uri="{C3380CC4-5D6E-409C-BE32-E72D297353CC}">
              <c16:uniqueId val="{00000008-9D09-4A6E-969A-703E280DE18E}"/>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DonutPIE!$D$16</c:f>
              <c:strCache>
                <c:ptCount val="1"/>
                <c:pt idx="0">
                  <c:v>Cap</c:v>
                </c:pt>
              </c:strCache>
            </c:strRef>
          </c:tx>
          <c:spPr>
            <a:solidFill>
              <a:srgbClr val="008EBA"/>
            </a:solidFill>
            <a:ln>
              <a:noFill/>
            </a:ln>
          </c:spPr>
          <c:dPt>
            <c:idx val="0"/>
            <c:bubble3D val="0"/>
            <c:spPr>
              <a:solidFill>
                <a:srgbClr val="008EBA"/>
              </a:solidFill>
              <a:ln>
                <a:noFill/>
              </a:ln>
              <a:effectLst/>
            </c:spPr>
            <c:extLst>
              <c:ext xmlns:c16="http://schemas.microsoft.com/office/drawing/2014/chart" uri="{C3380CC4-5D6E-409C-BE32-E72D297353CC}">
                <c16:uniqueId val="{00000001-4FE6-4BB1-B9D4-ED89C28EED33}"/>
              </c:ext>
            </c:extLst>
          </c:dPt>
          <c:dPt>
            <c:idx val="1"/>
            <c:bubble3D val="0"/>
            <c:spPr>
              <a:solidFill>
                <a:srgbClr val="00426F"/>
              </a:solidFill>
              <a:ln>
                <a:noFill/>
              </a:ln>
              <a:effectLst/>
            </c:spPr>
            <c:extLst>
              <c:ext xmlns:c16="http://schemas.microsoft.com/office/drawing/2014/chart" uri="{C3380CC4-5D6E-409C-BE32-E72D297353CC}">
                <c16:uniqueId val="{00000003-4FE6-4BB1-B9D4-ED89C28EED33}"/>
              </c:ext>
            </c:extLst>
          </c:dPt>
          <c:dPt>
            <c:idx val="2"/>
            <c:bubble3D val="0"/>
            <c:spPr>
              <a:solidFill>
                <a:srgbClr val="53C8E9"/>
              </a:solidFill>
              <a:ln>
                <a:noFill/>
              </a:ln>
              <a:effectLst/>
            </c:spPr>
            <c:extLst>
              <c:ext xmlns:c16="http://schemas.microsoft.com/office/drawing/2014/chart" uri="{C3380CC4-5D6E-409C-BE32-E72D297353CC}">
                <c16:uniqueId val="{00000005-4FE6-4BB1-B9D4-ED89C28EED33}"/>
              </c:ext>
            </c:extLst>
          </c:dPt>
          <c:dLbls>
            <c:dLbl>
              <c:idx val="0"/>
              <c:layout>
                <c:manualLayout>
                  <c:x val="0.22579700295820693"/>
                  <c:y val="2.4488126660736513E-2"/>
                </c:manualLayout>
              </c:layout>
              <c:tx>
                <c:rich>
                  <a:bodyPr/>
                  <a:lstStyle/>
                  <a:p>
                    <a:fld id="{E9361D02-9DA2-4492-982C-86A912A4324B}" type="CATEGORYNAME">
                      <a:rPr lang="en-US"/>
                      <a:pPr/>
                      <a:t>[CATEGORY NAME]</a:t>
                    </a:fld>
                    <a:endParaRPr lang="en-AU"/>
                  </a:p>
                </c:rich>
              </c:tx>
              <c:showLegendKey val="0"/>
              <c:showVal val="1"/>
              <c:showCatName val="1"/>
              <c:showSerName val="0"/>
              <c:showPercent val="0"/>
              <c:showBubbleSize val="0"/>
              <c:extLst>
                <c:ext xmlns:c15="http://schemas.microsoft.com/office/drawing/2012/chart" uri="{CE6537A1-D6FC-4f65-9D91-7224C49458BB}">
                  <c15:layout>
                    <c:manualLayout>
                      <c:w val="0.30526282253933945"/>
                      <c:h val="0.17861465001647725"/>
                    </c:manualLayout>
                  </c15:layout>
                  <c15:dlblFieldTable/>
                  <c15:showDataLabelsRange val="0"/>
                </c:ext>
                <c:ext xmlns:c16="http://schemas.microsoft.com/office/drawing/2014/chart" uri="{C3380CC4-5D6E-409C-BE32-E72D297353CC}">
                  <c16:uniqueId val="{00000001-4FE6-4BB1-B9D4-ED89C28EED33}"/>
                </c:ext>
              </c:extLst>
            </c:dLbl>
            <c:dLbl>
              <c:idx val="1"/>
              <c:layout>
                <c:manualLayout>
                  <c:x val="-0.1900787069232871"/>
                  <c:y val="-0.18625712208829695"/>
                </c:manualLayout>
              </c:layout>
              <c:tx>
                <c:rich>
                  <a:bodyPr/>
                  <a:lstStyle/>
                  <a:p>
                    <a:fld id="{FC0DAD0F-856D-4D57-B1A1-41F6553FC986}" type="CATEGORYNAME">
                      <a:rPr lang="en-US"/>
                      <a:pPr/>
                      <a:t>[CATEGORY NAME]</a:t>
                    </a:fld>
                    <a:r>
                      <a:rPr lang="en-US" baseline="0"/>
                      <a:t> </a:t>
                    </a:r>
                  </a:p>
                </c:rich>
              </c:tx>
              <c:showLegendKey val="0"/>
              <c:showVal val="1"/>
              <c:showCatName val="1"/>
              <c:showSerName val="0"/>
              <c:showPercent val="0"/>
              <c:showBubbleSize val="0"/>
              <c:extLst>
                <c:ext xmlns:c15="http://schemas.microsoft.com/office/drawing/2012/chart" uri="{CE6537A1-D6FC-4f65-9D91-7224C49458BB}">
                  <c15:layout>
                    <c:manualLayout>
                      <c:w val="0.2091091554732129"/>
                      <c:h val="0.28068657490832344"/>
                    </c:manualLayout>
                  </c15:layout>
                  <c15:dlblFieldTable/>
                  <c15:showDataLabelsRange val="0"/>
                </c:ext>
                <c:ext xmlns:c16="http://schemas.microsoft.com/office/drawing/2014/chart" uri="{C3380CC4-5D6E-409C-BE32-E72D297353CC}">
                  <c16:uniqueId val="{00000003-4FE6-4BB1-B9D4-ED89C28EED33}"/>
                </c:ext>
              </c:extLst>
            </c:dLbl>
            <c:dLbl>
              <c:idx val="2"/>
              <c:layout>
                <c:manualLayout>
                  <c:x val="-6.5837772638907513E-2"/>
                  <c:y val="-0.13880854501429396"/>
                </c:manualLayout>
              </c:layout>
              <c:tx>
                <c:rich>
                  <a:bodyPr/>
                  <a:lstStyle/>
                  <a:p>
                    <a:fld id="{49D5A44D-2FE6-491B-9B5F-7DF260036C70}" type="CATEGORYNAME">
                      <a:rPr lang="en-US"/>
                      <a:pPr/>
                      <a:t>[CATEGORY NAME]</a:t>
                    </a:fld>
                    <a:endParaRPr lang="en-AU"/>
                  </a:p>
                </c:rich>
              </c:tx>
              <c:showLegendKey val="0"/>
              <c:showVal val="1"/>
              <c:showCatName val="1"/>
              <c:showSerName val="0"/>
              <c:showPercent val="0"/>
              <c:showBubbleSize val="0"/>
              <c:extLst>
                <c:ext xmlns:c15="http://schemas.microsoft.com/office/drawing/2012/chart" uri="{CE6537A1-D6FC-4f65-9D91-7224C49458BB}">
                  <c15:layout>
                    <c:manualLayout>
                      <c:w val="9.6880046856887975E-2"/>
                      <c:h val="0.12803829730544589"/>
                    </c:manualLayout>
                  </c15:layout>
                  <c15:dlblFieldTable/>
                  <c15:showDataLabelsRange val="0"/>
                </c:ext>
                <c:ext xmlns:c16="http://schemas.microsoft.com/office/drawing/2014/chart" uri="{C3380CC4-5D6E-409C-BE32-E72D297353CC}">
                  <c16:uniqueId val="{00000005-4FE6-4BB1-B9D4-ED89C28EED33}"/>
                </c:ext>
              </c:extLst>
            </c:dLbl>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(DonutPIE!$C$17:$C$23,DonutPIE!$C$25)</c:f>
              <c:strCache>
                <c:ptCount val="3"/>
                <c:pt idx="0">
                  <c:v>Connecting communities to resilient and sustainable energy and local environments $351.2m, 35%</c:v>
                </c:pt>
                <c:pt idx="1">
                  <c:v>Maximise community benefit from government land and property $564.2m, 57%</c:v>
                </c:pt>
                <c:pt idx="2">
                  <c:v>Other State Outcomes  $79.6m, 8%</c:v>
                </c:pt>
              </c:strCache>
            </c:strRef>
          </c:cat>
          <c:val>
            <c:numRef>
              <c:f>(DonutPIE!$D$17:$D$23,DonutPIE!$D$25)</c:f>
              <c:numCache>
                <c:formatCode>"$"#,##0.0;\-"$"#,##0.0</c:formatCode>
                <c:ptCount val="3"/>
                <c:pt idx="0">
                  <c:v>351238871</c:v>
                </c:pt>
                <c:pt idx="1">
                  <c:v>564201693</c:v>
                </c:pt>
                <c:pt idx="2">
                  <c:v>79553436</c:v>
                </c:pt>
              </c:numCache>
            </c:numRef>
          </c:val>
          <c:extLst>
            <c:ext xmlns:c16="http://schemas.microsoft.com/office/drawing/2014/chart" uri="{C3380CC4-5D6E-409C-BE32-E72D297353CC}">
              <c16:uniqueId val="{00000006-4FE6-4BB1-B9D4-ED89C28EED33}"/>
            </c:ext>
          </c:extLst>
        </c:ser>
        <c:dLbls>
          <c:showLegendKey val="0"/>
          <c:showVal val="1"/>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ctr">
        <a:defRPr lang="en-US"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Sam Kursar</DisplayName>
        <AccountId>291</AccountId>
        <AccountType/>
      </UserInfo>
      <UserInfo>
        <DisplayName>Rubana Huda</DisplayName>
        <AccountId>161</AccountId>
        <AccountType/>
      </UserInfo>
      <UserInfo>
        <DisplayName>Marsha Guthrie</DisplayName>
        <AccountId>46</AccountId>
        <AccountType/>
      </UserInfo>
      <UserInfo>
        <DisplayName>Nola Pittorino</DisplayName>
        <AccountId>506</AccountId>
        <AccountType/>
      </UserInfo>
      <UserInfo>
        <DisplayName>Darcy Rendalls</DisplayName>
        <AccountId>146</AccountId>
        <AccountType/>
      </UserInfo>
    </SharedWithUsers>
    <_Flow_SignoffStatus xmlns="1c478e85-8130-4c67-8ee4-8bdf1c0e60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2.xml><?xml version="1.0" encoding="utf-8"?>
<ds:datastoreItem xmlns:ds="http://schemas.openxmlformats.org/officeDocument/2006/customXml" ds:itemID="{1819E474-D230-4748-87ED-B10F1454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73A5BE69-4B98-4122-8CA6-9897EBBF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5638</Words>
  <Characters>32913</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2019-20 Budget Paper No. 3 - Budget Estimates - 02 Education Cluster</vt:lpstr>
    </vt:vector>
  </TitlesOfParts>
  <Company>NSW Treasury</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2 - Outcomes Statement - 04 Planning, Industry and Environment Cluster</dc:title>
  <dc:subject/>
  <dc:creator>Nadia Theore</dc:creator>
  <cp:keywords>The Treasury</cp:keywords>
  <cp:lastModifiedBy>Francess Lavorato</cp:lastModifiedBy>
  <cp:revision>69</cp:revision>
  <cp:lastPrinted>2021-06-10T22:31:00Z</cp:lastPrinted>
  <dcterms:created xsi:type="dcterms:W3CDTF">2021-06-12T07:23:00Z</dcterms:created>
  <dcterms:modified xsi:type="dcterms:W3CDTF">2021-06-16T06:22:00Z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