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AEB5E" w14:textId="79980137" w:rsidR="00A63D1D" w:rsidRPr="0011239F" w:rsidRDefault="00B74732" w:rsidP="00F21075">
      <w:pPr>
        <w:pStyle w:val="Heading1"/>
        <w:tabs>
          <w:tab w:val="clear" w:pos="284"/>
          <w:tab w:val="left" w:pos="709"/>
        </w:tabs>
        <w:spacing w:before="480" w:after="480"/>
        <w:rPr>
          <w:rFonts w:cs="Arial"/>
        </w:rPr>
      </w:pPr>
      <w:r>
        <w:rPr>
          <w:rFonts w:cs="Arial"/>
        </w:rPr>
        <w:t>9</w:t>
      </w:r>
      <w:r w:rsidR="004D606F" w:rsidRPr="0011239F">
        <w:rPr>
          <w:rFonts w:cs="Arial"/>
        </w:rPr>
        <w:t xml:space="preserve">. </w:t>
      </w:r>
      <w:r w:rsidR="00FA09EC" w:rsidRPr="0011239F">
        <w:rPr>
          <w:rFonts w:cs="Arial"/>
        </w:rPr>
        <w:tab/>
      </w:r>
      <w:r w:rsidR="00631AC0">
        <w:rPr>
          <w:rFonts w:cs="Arial"/>
        </w:rPr>
        <w:t>TREASURY</w:t>
      </w:r>
      <w:r w:rsidR="00621ABC" w:rsidRPr="0011239F">
        <w:rPr>
          <w:rFonts w:cs="Arial"/>
        </w:rPr>
        <w:t xml:space="preserve"> </w:t>
      </w:r>
      <w:r w:rsidR="00A63D1D" w:rsidRPr="0011239F">
        <w:rPr>
          <w:rFonts w:cs="Arial"/>
        </w:rPr>
        <w:t>CLUSTER</w:t>
      </w:r>
    </w:p>
    <w:p w14:paraId="74043476" w14:textId="0A6949DE" w:rsidR="00A63D1D" w:rsidRPr="0011239F" w:rsidRDefault="00A63D1D" w:rsidP="00B74732">
      <w:pPr>
        <w:pStyle w:val="Heading2"/>
      </w:pPr>
      <w:bookmarkStart w:id="0" w:name="_Toc511769333"/>
      <w:r w:rsidRPr="0011239F">
        <w:t>Introduction</w:t>
      </w:r>
      <w:bookmarkEnd w:id="0"/>
    </w:p>
    <w:tbl>
      <w:tblPr>
        <w:tblpPr w:leftFromText="180" w:rightFromText="180" w:vertAnchor="text" w:horzAnchor="margin" w:tblpXSpec="right" w:tblpY="178"/>
        <w:tblW w:w="1692" w:type="pct"/>
        <w:shd w:val="clear" w:color="auto" w:fill="F2F2F2" w:themeFill="background1" w:themeFillShade="F2"/>
        <w:tblCellMar>
          <w:left w:w="115" w:type="dxa"/>
          <w:right w:w="115" w:type="dxa"/>
        </w:tblCellMar>
        <w:tblLook w:val="04A0" w:firstRow="1" w:lastRow="0" w:firstColumn="1" w:lastColumn="0" w:noHBand="0" w:noVBand="1"/>
        <w:tblCaption w:val="Treasury cluster"/>
      </w:tblPr>
      <w:tblGrid>
        <w:gridCol w:w="1086"/>
        <w:gridCol w:w="968"/>
        <w:gridCol w:w="1208"/>
      </w:tblGrid>
      <w:tr w:rsidR="00F84303" w:rsidRPr="0011239F" w14:paraId="3EEE1C17" w14:textId="77777777" w:rsidTr="00F17AEF">
        <w:trPr>
          <w:cantSplit/>
          <w:trHeight w:val="1010"/>
        </w:trPr>
        <w:tc>
          <w:tcPr>
            <w:tcW w:w="1665" w:type="pct"/>
            <w:shd w:val="clear" w:color="auto" w:fill="F2F2F2" w:themeFill="background1" w:themeFillShade="F2"/>
            <w:vAlign w:val="center"/>
          </w:tcPr>
          <w:p w14:paraId="605D7F5D" w14:textId="54AA037C" w:rsidR="00F84303" w:rsidRPr="0011239F" w:rsidRDefault="00F84303" w:rsidP="00F17AEF">
            <w:pPr>
              <w:spacing w:before="120" w:after="120"/>
              <w:rPr>
                <w:rFonts w:ascii="Arial" w:hAnsi="Arial" w:cs="Arial"/>
              </w:rPr>
            </w:pPr>
            <w:bookmarkStart w:id="1" w:name="_Hlk514514902"/>
            <w:r>
              <w:rPr>
                <w:rFonts w:ascii="Arial" w:hAnsi="Arial" w:cs="Arial"/>
                <w:noProof/>
              </w:rPr>
              <w:drawing>
                <wp:inline distT="0" distB="0" distL="0" distR="0" wp14:anchorId="19549732" wp14:editId="5D392943">
                  <wp:extent cx="518160" cy="51840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7DEBED38" w14:textId="5E18659B" w:rsidR="00F84303" w:rsidRPr="0011239F" w:rsidRDefault="00F84303" w:rsidP="00F17AEF">
            <w:pPr>
              <w:spacing w:before="120" w:after="120"/>
              <w:jc w:val="center"/>
              <w:rPr>
                <w:rFonts w:ascii="Arial" w:hAnsi="Arial" w:cs="Arial"/>
                <w:color w:val="00ABE6"/>
                <w:sz w:val="18"/>
                <w:szCs w:val="18"/>
              </w:rPr>
            </w:pPr>
            <w:r w:rsidRPr="00C87177">
              <w:rPr>
                <w:rFonts w:ascii="Arial" w:hAnsi="Arial" w:cs="Arial"/>
                <w:color w:val="008EBA"/>
                <w:sz w:val="18"/>
                <w:szCs w:val="18"/>
              </w:rPr>
              <w:t>$</w:t>
            </w:r>
            <w:r w:rsidR="009F28DD" w:rsidRPr="00C87177">
              <w:rPr>
                <w:rFonts w:ascii="Arial" w:hAnsi="Arial" w:cs="Arial"/>
                <w:color w:val="008EBA"/>
                <w:sz w:val="18"/>
                <w:szCs w:val="18"/>
              </w:rPr>
              <w:t>12.</w:t>
            </w:r>
            <w:r w:rsidR="00C87177" w:rsidRPr="00C87177">
              <w:rPr>
                <w:rFonts w:ascii="Arial" w:hAnsi="Arial" w:cs="Arial"/>
                <w:color w:val="008EBA"/>
                <w:sz w:val="18"/>
                <w:szCs w:val="18"/>
              </w:rPr>
              <w:t>5</w:t>
            </w:r>
            <w:r w:rsidR="005F3AD4" w:rsidRPr="00C87177">
              <w:rPr>
                <w:rFonts w:ascii="Arial" w:hAnsi="Arial" w:cs="Arial"/>
                <w:color w:val="008EBA"/>
                <w:sz w:val="18"/>
                <w:szCs w:val="18"/>
              </w:rPr>
              <w:t xml:space="preserve"> </w:t>
            </w:r>
            <w:r w:rsidRPr="00C87177">
              <w:rPr>
                <w:rFonts w:ascii="Arial" w:hAnsi="Arial" w:cs="Arial"/>
                <w:color w:val="008EBA"/>
                <w:sz w:val="18"/>
                <w:szCs w:val="18"/>
              </w:rPr>
              <w:br/>
              <w:t>billion</w:t>
            </w:r>
          </w:p>
        </w:tc>
        <w:tc>
          <w:tcPr>
            <w:tcW w:w="1852" w:type="pct"/>
            <w:shd w:val="clear" w:color="auto" w:fill="F2F2F2" w:themeFill="background1" w:themeFillShade="F2"/>
            <w:vAlign w:val="center"/>
          </w:tcPr>
          <w:p w14:paraId="5EF886C3" w14:textId="77777777" w:rsidR="00F84303" w:rsidRPr="00987F42" w:rsidRDefault="00F84303" w:rsidP="00F17AEF">
            <w:pPr>
              <w:rPr>
                <w:rFonts w:ascii="Arial" w:hAnsi="Arial" w:cs="Arial"/>
                <w:color w:val="008EBA"/>
                <w:sz w:val="18"/>
                <w:szCs w:val="18"/>
              </w:rPr>
            </w:pPr>
            <w:r w:rsidRPr="00987F42">
              <w:rPr>
                <w:rFonts w:ascii="Arial" w:hAnsi="Arial" w:cs="Arial"/>
                <w:color w:val="008EBA"/>
                <w:sz w:val="18"/>
                <w:szCs w:val="18"/>
              </w:rPr>
              <w:t>Recurrent</w:t>
            </w:r>
          </w:p>
          <w:p w14:paraId="7F56C5C5" w14:textId="65C2A48B" w:rsidR="00F84303" w:rsidRPr="0011239F" w:rsidRDefault="00F84303" w:rsidP="00F17AEF">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F84303" w:rsidRPr="0011239F" w14:paraId="5C328435" w14:textId="77777777" w:rsidTr="00F17AEF">
        <w:trPr>
          <w:cantSplit/>
          <w:trHeight w:val="1010"/>
        </w:trPr>
        <w:tc>
          <w:tcPr>
            <w:tcW w:w="1665" w:type="pct"/>
            <w:shd w:val="clear" w:color="auto" w:fill="F2F2F2" w:themeFill="background1" w:themeFillShade="F2"/>
            <w:vAlign w:val="center"/>
          </w:tcPr>
          <w:p w14:paraId="4FB86C35" w14:textId="3889B2DB" w:rsidR="00F84303" w:rsidRPr="0011239F" w:rsidRDefault="00F84303" w:rsidP="00F17AEF">
            <w:pPr>
              <w:spacing w:before="120" w:after="120"/>
              <w:rPr>
                <w:rFonts w:ascii="Arial" w:hAnsi="Arial" w:cs="Arial"/>
                <w:noProof/>
                <w:lang w:eastAsia="en-AU"/>
              </w:rPr>
            </w:pPr>
            <w:r>
              <w:rPr>
                <w:rFonts w:ascii="Arial" w:hAnsi="Arial" w:cs="Arial"/>
                <w:noProof/>
                <w:lang w:eastAsia="en-AU"/>
              </w:rPr>
              <w:drawing>
                <wp:inline distT="0" distB="0" distL="0" distR="0" wp14:anchorId="159F413F" wp14:editId="1996BE85">
                  <wp:extent cx="518160" cy="51840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711BFC86" w14:textId="68FED8ED" w:rsidR="00F84303" w:rsidRPr="0011239F" w:rsidRDefault="00F84303" w:rsidP="00F17AEF">
            <w:pPr>
              <w:spacing w:before="120" w:after="120"/>
              <w:jc w:val="center"/>
              <w:rPr>
                <w:rFonts w:ascii="Arial" w:hAnsi="Arial" w:cs="Arial"/>
                <w:color w:val="00ABE6"/>
                <w:sz w:val="18"/>
                <w:szCs w:val="18"/>
              </w:rPr>
            </w:pPr>
            <w:r w:rsidRPr="00C87177">
              <w:rPr>
                <w:rFonts w:ascii="Arial" w:hAnsi="Arial" w:cs="Arial"/>
                <w:color w:val="008EBA"/>
                <w:sz w:val="18"/>
                <w:szCs w:val="18"/>
              </w:rPr>
              <w:t>$</w:t>
            </w:r>
            <w:r w:rsidR="00AD3BEB" w:rsidRPr="00C87177">
              <w:rPr>
                <w:rFonts w:ascii="Arial" w:hAnsi="Arial" w:cs="Arial"/>
                <w:color w:val="008EBA"/>
                <w:sz w:val="18"/>
                <w:szCs w:val="18"/>
              </w:rPr>
              <w:t>18.5</w:t>
            </w:r>
            <w:r w:rsidRPr="00C87177">
              <w:rPr>
                <w:rFonts w:ascii="Arial" w:hAnsi="Arial" w:cs="Arial"/>
                <w:color w:val="008EBA"/>
                <w:sz w:val="18"/>
                <w:szCs w:val="18"/>
              </w:rPr>
              <w:t xml:space="preserve"> </w:t>
            </w:r>
            <w:r w:rsidRPr="00C87177">
              <w:rPr>
                <w:rFonts w:ascii="Arial" w:hAnsi="Arial" w:cs="Arial"/>
                <w:color w:val="008EBA"/>
                <w:sz w:val="18"/>
                <w:szCs w:val="18"/>
              </w:rPr>
              <w:br/>
            </w:r>
            <w:r w:rsidR="000259AF" w:rsidRPr="00C87177">
              <w:rPr>
                <w:rFonts w:ascii="Arial" w:hAnsi="Arial" w:cs="Arial"/>
                <w:color w:val="008EBA"/>
                <w:sz w:val="18"/>
                <w:szCs w:val="18"/>
              </w:rPr>
              <w:t>m</w:t>
            </w:r>
            <w:r w:rsidRPr="00C87177">
              <w:rPr>
                <w:rFonts w:ascii="Arial" w:hAnsi="Arial" w:cs="Arial"/>
                <w:color w:val="008EBA"/>
                <w:sz w:val="18"/>
                <w:szCs w:val="18"/>
              </w:rPr>
              <w:t>illion</w:t>
            </w:r>
          </w:p>
        </w:tc>
        <w:tc>
          <w:tcPr>
            <w:tcW w:w="1852" w:type="pct"/>
            <w:shd w:val="clear" w:color="auto" w:fill="F2F2F2" w:themeFill="background1" w:themeFillShade="F2"/>
            <w:vAlign w:val="center"/>
          </w:tcPr>
          <w:p w14:paraId="59B3A7A0" w14:textId="7ED3E734" w:rsidR="00F84303" w:rsidRPr="0011239F" w:rsidRDefault="00F84303" w:rsidP="00F17AEF">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1346456F" w14:textId="1CF36B00" w:rsidR="00D26940" w:rsidRPr="00AD23D9" w:rsidRDefault="00631AC0" w:rsidP="009E4B03">
      <w:pPr>
        <w:pStyle w:val="BodyText"/>
      </w:pPr>
      <w:bookmarkStart w:id="2" w:name="_Hlk515375251"/>
      <w:bookmarkEnd w:id="1"/>
      <w:r w:rsidRPr="00AD23D9">
        <w:t xml:space="preserve">The Treasury Cluster, as the Government’s principal financial and economic adviser, </w:t>
      </w:r>
      <w:r w:rsidRPr="00AD23D9" w:rsidDel="00D26940">
        <w:t xml:space="preserve">helps the </w:t>
      </w:r>
      <w:r w:rsidR="00D26940" w:rsidRPr="00AD23D9">
        <w:t>people of N</w:t>
      </w:r>
      <w:r w:rsidR="00425948">
        <w:t xml:space="preserve">ew </w:t>
      </w:r>
      <w:r w:rsidR="00D26940" w:rsidRPr="00AD23D9">
        <w:t>S</w:t>
      </w:r>
      <w:r w:rsidR="00425948">
        <w:t xml:space="preserve">outh </w:t>
      </w:r>
      <w:r w:rsidR="00D26940" w:rsidRPr="00AD23D9">
        <w:t>W</w:t>
      </w:r>
      <w:r w:rsidR="00425948">
        <w:t>ales</w:t>
      </w:r>
      <w:r w:rsidR="00D26940" w:rsidRPr="00AD23D9">
        <w:t xml:space="preserve"> have access to services and infrastructure that deliver social and economic benefits, underpinned by a strong and sustainable economic and financial position. </w:t>
      </w:r>
    </w:p>
    <w:p w14:paraId="0DA9F92C" w14:textId="21467678" w:rsidR="00D23CF8" w:rsidRPr="00AD23D9" w:rsidRDefault="31A7945D" w:rsidP="009E4B03">
      <w:pPr>
        <w:pStyle w:val="BodyText"/>
      </w:pPr>
      <w:r>
        <w:t>Treasury manages the State’s finances and assets, monitor</w:t>
      </w:r>
      <w:r w:rsidR="76C94C72">
        <w:t>s</w:t>
      </w:r>
      <w:r>
        <w:t xml:space="preserve"> the performance of its commercial agencies</w:t>
      </w:r>
      <w:r w:rsidR="0C858DE0">
        <w:t>,</w:t>
      </w:r>
      <w:r>
        <w:t xml:space="preserve"> and develop</w:t>
      </w:r>
      <w:r w:rsidR="1ACCC9DB">
        <w:t>s</w:t>
      </w:r>
      <w:r>
        <w:t xml:space="preserve"> its performance and financial management policies. Treasury is known for the provision of quality advice</w:t>
      </w:r>
      <w:r w:rsidR="4E282788">
        <w:t xml:space="preserve">, </w:t>
      </w:r>
      <w:proofErr w:type="gramStart"/>
      <w:r w:rsidR="4E282788">
        <w:t>stewardship</w:t>
      </w:r>
      <w:proofErr w:type="gramEnd"/>
      <w:r>
        <w:t xml:space="preserve"> and influence</w:t>
      </w:r>
      <w:r w:rsidR="0D4B7FE0">
        <w:t xml:space="preserve"> (</w:t>
      </w:r>
      <w:r>
        <w:t>particularly economic</w:t>
      </w:r>
      <w:r w:rsidR="0D4B7FE0">
        <w:t xml:space="preserve"> and</w:t>
      </w:r>
      <w:r w:rsidR="1CC4701D">
        <w:t xml:space="preserve"> fiscal)</w:t>
      </w:r>
      <w:r w:rsidR="466FB81E">
        <w:t>,</w:t>
      </w:r>
      <w:r>
        <w:t xml:space="preserve"> excellence in delivery, and strong and transparent risk management.</w:t>
      </w:r>
    </w:p>
    <w:p w14:paraId="2FA32A3C" w14:textId="266FAEDE" w:rsidR="000315F4" w:rsidRPr="00D23CF8" w:rsidRDefault="00001D87" w:rsidP="00D23CF8">
      <w:pPr>
        <w:pStyle w:val="Heading3"/>
        <w:rPr>
          <w:rFonts w:cs="Arial"/>
        </w:rPr>
      </w:pPr>
      <w:r w:rsidRPr="0011239F">
        <w:rPr>
          <w:rFonts w:cs="Arial"/>
        </w:rPr>
        <w:t xml:space="preserve">State Outcomes </w:t>
      </w:r>
      <w:r w:rsidR="00636FAE" w:rsidRPr="0011239F">
        <w:rPr>
          <w:rFonts w:cs="Arial"/>
        </w:rPr>
        <w:t xml:space="preserve">to be </w:t>
      </w:r>
      <w:r w:rsidRPr="0011239F">
        <w:rPr>
          <w:rFonts w:cs="Arial"/>
        </w:rPr>
        <w:t xml:space="preserve">delivered by the </w:t>
      </w:r>
      <w:r w:rsidR="00631AC0">
        <w:rPr>
          <w:rFonts w:cs="Arial"/>
        </w:rPr>
        <w:t>Treasury</w:t>
      </w:r>
      <w:r w:rsidRPr="0011239F">
        <w:rPr>
          <w:rFonts w:cs="Arial"/>
        </w:rPr>
        <w:t xml:space="preserve"> </w:t>
      </w:r>
      <w:bookmarkEnd w:id="2"/>
      <w:r w:rsidR="00CC6BBC">
        <w:rPr>
          <w:rFonts w:cs="Arial"/>
        </w:rPr>
        <w:t>C</w:t>
      </w:r>
      <w:r w:rsidRPr="0011239F">
        <w:rPr>
          <w:rFonts w:cs="Arial"/>
        </w:rPr>
        <w:t>luster</w:t>
      </w:r>
    </w:p>
    <w:tbl>
      <w:tblPr>
        <w:tblW w:w="9639" w:type="dxa"/>
        <w:tblLook w:val="04A0" w:firstRow="1" w:lastRow="0" w:firstColumn="1" w:lastColumn="0" w:noHBand="0" w:noVBand="1"/>
        <w:tblCaption w:val="State Outcomes to be delivered by the Treasury cluster"/>
        <w:tblDescription w:val="State Outcomes to be delivered by the Treasury cluster"/>
      </w:tblPr>
      <w:tblGrid>
        <w:gridCol w:w="5082"/>
        <w:gridCol w:w="274"/>
        <w:gridCol w:w="4283"/>
      </w:tblGrid>
      <w:tr w:rsidR="00272B4A" w:rsidRPr="0011239F" w14:paraId="4EB62FEC" w14:textId="77777777" w:rsidTr="009C2320">
        <w:trPr>
          <w:trHeight w:val="408"/>
          <w:tblHeader/>
        </w:trPr>
        <w:tc>
          <w:tcPr>
            <w:tcW w:w="5082" w:type="dxa"/>
            <w:vMerge w:val="restart"/>
            <w:tcBorders>
              <w:top w:val="nil"/>
              <w:left w:val="nil"/>
              <w:bottom w:val="nil"/>
              <w:right w:val="nil"/>
            </w:tcBorders>
            <w:shd w:val="clear" w:color="auto" w:fill="002664"/>
            <w:vAlign w:val="center"/>
            <w:hideMark/>
          </w:tcPr>
          <w:p w14:paraId="73370A3A" w14:textId="77777777" w:rsidR="00272B4A" w:rsidRPr="0011239F" w:rsidRDefault="00272B4A" w:rsidP="00497A66">
            <w:pPr>
              <w:jc w:val="center"/>
              <w:rPr>
                <w:rFonts w:cs="Arial"/>
                <w:b/>
                <w:bCs/>
                <w:color w:val="FFFFFF"/>
                <w:sz w:val="22"/>
                <w:szCs w:val="22"/>
              </w:rPr>
            </w:pPr>
            <w:bookmarkStart w:id="3" w:name="_Hlk514693442"/>
            <w:bookmarkStart w:id="4" w:name="_Hlk514697968"/>
            <w:r w:rsidRPr="00F42832">
              <w:rPr>
                <w:rFonts w:ascii="Arial" w:hAnsi="Arial" w:cs="Arial"/>
                <w:b/>
                <w:bCs/>
                <w:color w:val="FFFFFF"/>
                <w:sz w:val="22"/>
                <w:szCs w:val="22"/>
                <w:lang w:eastAsia="en-AU"/>
              </w:rPr>
              <w:t>State Outcomes</w:t>
            </w:r>
            <w:r w:rsidRPr="00D92897">
              <w:rPr>
                <w:rFonts w:cs="Arial"/>
                <w:b/>
                <w:bCs/>
                <w:color w:val="FFFFFF"/>
                <w:sz w:val="22"/>
                <w:szCs w:val="22"/>
                <w:lang w:eastAsia="en-AU"/>
              </w:rPr>
              <w:br/>
            </w:r>
            <w:r w:rsidRPr="00F42832">
              <w:rPr>
                <w:rFonts w:ascii="Arial" w:hAnsi="Arial" w:cs="Arial"/>
                <w:color w:val="FFFFFF"/>
                <w:sz w:val="22"/>
                <w:szCs w:val="22"/>
                <w:lang w:eastAsia="en-AU"/>
              </w:rPr>
              <w:t>What the Cluster is delivering for people and business</w:t>
            </w:r>
          </w:p>
        </w:tc>
        <w:tc>
          <w:tcPr>
            <w:tcW w:w="274" w:type="dxa"/>
            <w:vMerge w:val="restart"/>
            <w:tcBorders>
              <w:top w:val="nil"/>
              <w:left w:val="nil"/>
              <w:bottom w:val="nil"/>
              <w:right w:val="nil"/>
            </w:tcBorders>
            <w:shd w:val="clear" w:color="auto" w:fill="FFFFFF" w:themeFill="background1"/>
            <w:vAlign w:val="center"/>
            <w:hideMark/>
          </w:tcPr>
          <w:p w14:paraId="21904E54" w14:textId="77777777" w:rsidR="00272B4A" w:rsidRPr="00A95062" w:rsidRDefault="00272B4A" w:rsidP="00497A66">
            <w:pPr>
              <w:jc w:val="center"/>
              <w:rPr>
                <w:color w:val="FFFFFF"/>
                <w:sz w:val="6"/>
                <w:szCs w:val="6"/>
              </w:rPr>
            </w:pPr>
            <w:r w:rsidRPr="00A95062">
              <w:rPr>
                <w:rFonts w:cs="Arial"/>
                <w:color w:val="FFFFFF"/>
                <w:sz w:val="6"/>
                <w:szCs w:val="6"/>
                <w:lang w:eastAsia="en-AU"/>
              </w:rPr>
              <w:t> </w:t>
            </w:r>
          </w:p>
        </w:tc>
        <w:tc>
          <w:tcPr>
            <w:tcW w:w="4283" w:type="dxa"/>
            <w:vMerge w:val="restart"/>
            <w:tcBorders>
              <w:top w:val="nil"/>
              <w:left w:val="nil"/>
              <w:bottom w:val="nil"/>
              <w:right w:val="nil"/>
            </w:tcBorders>
            <w:shd w:val="clear" w:color="auto" w:fill="002664"/>
            <w:vAlign w:val="center"/>
            <w:hideMark/>
          </w:tcPr>
          <w:p w14:paraId="3819BEB6" w14:textId="449DA97E" w:rsidR="00272B4A" w:rsidRPr="0011239F" w:rsidRDefault="00272B4A" w:rsidP="00497A66">
            <w:pPr>
              <w:jc w:val="center"/>
              <w:rPr>
                <w:rFonts w:cs="Arial"/>
                <w:b/>
                <w:bCs/>
                <w:color w:val="FFFFFF"/>
                <w:sz w:val="22"/>
                <w:szCs w:val="22"/>
              </w:rPr>
            </w:pPr>
            <w:r w:rsidRPr="00F42832">
              <w:rPr>
                <w:rFonts w:ascii="Arial" w:hAnsi="Arial" w:cs="Arial"/>
                <w:b/>
                <w:bCs/>
                <w:color w:val="FFFFFF"/>
                <w:sz w:val="22"/>
                <w:szCs w:val="22"/>
                <w:lang w:eastAsia="en-AU"/>
              </w:rPr>
              <w:t>Key Programs</w:t>
            </w:r>
            <w:r w:rsidRPr="00D92897">
              <w:rPr>
                <w:rFonts w:cs="Arial"/>
                <w:b/>
                <w:bCs/>
                <w:color w:val="FFFFFF"/>
                <w:sz w:val="22"/>
                <w:szCs w:val="22"/>
                <w:lang w:eastAsia="en-AU"/>
              </w:rPr>
              <w:t xml:space="preserve">  </w:t>
            </w:r>
            <w:r w:rsidRPr="00D92897">
              <w:rPr>
                <w:rFonts w:cs="Arial"/>
                <w:b/>
                <w:bCs/>
                <w:color w:val="FFFFFF"/>
                <w:sz w:val="22"/>
                <w:szCs w:val="22"/>
                <w:lang w:eastAsia="en-AU"/>
              </w:rPr>
              <w:br/>
            </w:r>
            <w:r w:rsidRPr="00F42832">
              <w:rPr>
                <w:rFonts w:ascii="Arial" w:hAnsi="Arial" w:cs="Arial"/>
                <w:color w:val="FFFFFF"/>
                <w:sz w:val="22"/>
                <w:szCs w:val="22"/>
                <w:lang w:eastAsia="en-AU"/>
              </w:rPr>
              <w:t>underway to support delivery of Outcomes</w:t>
            </w:r>
          </w:p>
        </w:tc>
      </w:tr>
      <w:tr w:rsidR="00272B4A" w:rsidRPr="0011239F" w14:paraId="4EFEC2CC" w14:textId="77777777" w:rsidTr="009C2320">
        <w:trPr>
          <w:trHeight w:val="408"/>
          <w:tblHeader/>
        </w:trPr>
        <w:tc>
          <w:tcPr>
            <w:tcW w:w="5082" w:type="dxa"/>
            <w:vMerge/>
            <w:vAlign w:val="center"/>
            <w:hideMark/>
          </w:tcPr>
          <w:p w14:paraId="3E59487A" w14:textId="77777777" w:rsidR="00272B4A" w:rsidRPr="00FC4E65" w:rsidRDefault="00272B4A" w:rsidP="00497A66">
            <w:pPr>
              <w:rPr>
                <w:b/>
                <w:color w:val="FFFFFF"/>
                <w:sz w:val="22"/>
              </w:rPr>
            </w:pPr>
          </w:p>
        </w:tc>
        <w:tc>
          <w:tcPr>
            <w:tcW w:w="274" w:type="dxa"/>
            <w:vMerge/>
            <w:vAlign w:val="center"/>
            <w:hideMark/>
          </w:tcPr>
          <w:p w14:paraId="023E3EB3" w14:textId="77777777" w:rsidR="00272B4A" w:rsidRPr="00A95062" w:rsidRDefault="00272B4A" w:rsidP="00497A66">
            <w:pPr>
              <w:rPr>
                <w:color w:val="FFFFFF"/>
                <w:sz w:val="6"/>
                <w:szCs w:val="6"/>
              </w:rPr>
            </w:pPr>
          </w:p>
        </w:tc>
        <w:tc>
          <w:tcPr>
            <w:tcW w:w="4283" w:type="dxa"/>
            <w:vMerge/>
            <w:vAlign w:val="center"/>
            <w:hideMark/>
          </w:tcPr>
          <w:p w14:paraId="28F80C5B" w14:textId="77777777" w:rsidR="00272B4A" w:rsidRPr="00FC4E65" w:rsidRDefault="00272B4A" w:rsidP="00497A66">
            <w:pPr>
              <w:rPr>
                <w:b/>
                <w:color w:val="FFFFFF"/>
                <w:sz w:val="22"/>
              </w:rPr>
            </w:pPr>
          </w:p>
        </w:tc>
      </w:tr>
      <w:bookmarkEnd w:id="3"/>
      <w:tr w:rsidR="00272B4A" w:rsidRPr="00D92897" w14:paraId="1893ECDF" w14:textId="77777777" w:rsidTr="009C2320">
        <w:trPr>
          <w:trHeight w:val="108"/>
          <w:tblHeader/>
        </w:trPr>
        <w:tc>
          <w:tcPr>
            <w:tcW w:w="5082" w:type="dxa"/>
            <w:tcBorders>
              <w:top w:val="nil"/>
              <w:left w:val="nil"/>
              <w:bottom w:val="nil"/>
              <w:right w:val="nil"/>
            </w:tcBorders>
            <w:shd w:val="clear" w:color="auto" w:fill="FFFFFF" w:themeFill="background1"/>
            <w:vAlign w:val="center"/>
            <w:hideMark/>
          </w:tcPr>
          <w:p w14:paraId="1E83DE62" w14:textId="77777777" w:rsidR="00272B4A" w:rsidRPr="00D92897" w:rsidRDefault="00272B4A" w:rsidP="00497A66">
            <w:pPr>
              <w:jc w:val="center"/>
              <w:rPr>
                <w:rFonts w:cs="Arial"/>
                <w:color w:val="000000"/>
                <w:sz w:val="4"/>
                <w:szCs w:val="4"/>
                <w:lang w:eastAsia="en-AU"/>
              </w:rPr>
            </w:pPr>
            <w:r w:rsidRPr="00D92897">
              <w:rPr>
                <w:rFonts w:cs="Arial"/>
                <w:color w:val="000000"/>
                <w:sz w:val="4"/>
                <w:szCs w:val="4"/>
                <w:lang w:eastAsia="en-AU"/>
              </w:rPr>
              <w:t> </w:t>
            </w:r>
          </w:p>
        </w:tc>
        <w:tc>
          <w:tcPr>
            <w:tcW w:w="274" w:type="dxa"/>
            <w:tcBorders>
              <w:top w:val="nil"/>
              <w:left w:val="nil"/>
              <w:bottom w:val="nil"/>
              <w:right w:val="nil"/>
            </w:tcBorders>
            <w:shd w:val="clear" w:color="auto" w:fill="FFFFFF" w:themeFill="background1"/>
            <w:vAlign w:val="center"/>
            <w:hideMark/>
          </w:tcPr>
          <w:p w14:paraId="43F71A03" w14:textId="77777777" w:rsidR="00272B4A" w:rsidRPr="00A95062" w:rsidRDefault="00272B4A" w:rsidP="00497A66">
            <w:pPr>
              <w:jc w:val="center"/>
              <w:rPr>
                <w:rFonts w:cs="Arial"/>
                <w:sz w:val="6"/>
                <w:szCs w:val="6"/>
                <w:lang w:eastAsia="en-AU"/>
              </w:rPr>
            </w:pPr>
            <w:r w:rsidRPr="00A95062">
              <w:rPr>
                <w:rFonts w:cs="Arial"/>
                <w:sz w:val="6"/>
                <w:szCs w:val="6"/>
                <w:lang w:eastAsia="en-AU"/>
              </w:rPr>
              <w:t> </w:t>
            </w:r>
          </w:p>
        </w:tc>
        <w:tc>
          <w:tcPr>
            <w:tcW w:w="4283" w:type="dxa"/>
            <w:tcBorders>
              <w:top w:val="nil"/>
              <w:left w:val="nil"/>
              <w:bottom w:val="nil"/>
              <w:right w:val="nil"/>
            </w:tcBorders>
            <w:shd w:val="clear" w:color="auto" w:fill="FFFFFF" w:themeFill="background1"/>
            <w:vAlign w:val="center"/>
            <w:hideMark/>
          </w:tcPr>
          <w:p w14:paraId="79ADB8B5" w14:textId="77777777" w:rsidR="00272B4A" w:rsidRPr="00D92897" w:rsidRDefault="00272B4A" w:rsidP="00497A66">
            <w:pPr>
              <w:jc w:val="center"/>
              <w:rPr>
                <w:rFonts w:cs="Arial"/>
                <w:color w:val="FF0000"/>
                <w:sz w:val="4"/>
                <w:szCs w:val="4"/>
                <w:lang w:eastAsia="en-AU"/>
              </w:rPr>
            </w:pPr>
            <w:r w:rsidRPr="00D92897">
              <w:rPr>
                <w:rFonts w:cs="Arial"/>
                <w:color w:val="FF0000"/>
                <w:sz w:val="4"/>
                <w:szCs w:val="4"/>
                <w:lang w:eastAsia="en-AU"/>
              </w:rPr>
              <w:t> </w:t>
            </w:r>
          </w:p>
        </w:tc>
      </w:tr>
      <w:tr w:rsidR="00272B4A" w:rsidRPr="0011239F" w14:paraId="61A4C62A" w14:textId="77777777" w:rsidTr="008B2D49">
        <w:trPr>
          <w:trHeight w:val="992"/>
        </w:trPr>
        <w:tc>
          <w:tcPr>
            <w:tcW w:w="5082" w:type="dxa"/>
            <w:tcBorders>
              <w:top w:val="nil"/>
              <w:left w:val="nil"/>
              <w:bottom w:val="nil"/>
              <w:right w:val="nil"/>
            </w:tcBorders>
            <w:shd w:val="clear" w:color="auto" w:fill="BAE4FC"/>
            <w:vAlign w:val="center"/>
            <w:hideMark/>
          </w:tcPr>
          <w:p w14:paraId="7DF2D6E3" w14:textId="744C61CB" w:rsidR="00272B4A" w:rsidRPr="00F85148" w:rsidRDefault="00272B4A" w:rsidP="00E40F52">
            <w:pPr>
              <w:spacing w:before="8" w:after="80"/>
              <w:ind w:left="357" w:hanging="357"/>
              <w:rPr>
                <w:rFonts w:ascii="Arial" w:eastAsiaTheme="minorHAnsi" w:hAnsi="Arial" w:cs="Arial"/>
                <w:b/>
                <w:sz w:val="23"/>
                <w:szCs w:val="23"/>
              </w:rPr>
            </w:pPr>
            <w:r w:rsidRPr="00F85148">
              <w:rPr>
                <w:rFonts w:ascii="Arial" w:eastAsiaTheme="minorHAnsi" w:hAnsi="Arial" w:cs="Arial"/>
                <w:b/>
                <w:sz w:val="23"/>
                <w:szCs w:val="23"/>
              </w:rPr>
              <w:t xml:space="preserve">1. </w:t>
            </w:r>
            <w:r w:rsidR="00E40F52">
              <w:rPr>
                <w:rFonts w:ascii="Arial" w:eastAsiaTheme="minorHAnsi" w:hAnsi="Arial" w:cs="Arial"/>
                <w:b/>
                <w:sz w:val="23"/>
                <w:szCs w:val="23"/>
              </w:rPr>
              <w:tab/>
            </w:r>
            <w:r w:rsidR="00631AC0" w:rsidRPr="00F85148">
              <w:rPr>
                <w:rFonts w:ascii="Arial" w:eastAsiaTheme="minorHAnsi" w:hAnsi="Arial" w:cs="Arial"/>
                <w:b/>
                <w:sz w:val="23"/>
                <w:szCs w:val="23"/>
              </w:rPr>
              <w:t>A strong resilient and diverse economy</w:t>
            </w:r>
          </w:p>
          <w:p w14:paraId="682AC54A" w14:textId="6EB3C356" w:rsidR="00272B4A" w:rsidRPr="00F85148" w:rsidRDefault="00631AC0" w:rsidP="00497A66">
            <w:pPr>
              <w:rPr>
                <w:rFonts w:ascii="Arial" w:hAnsi="Arial" w:cs="Arial"/>
                <w:sz w:val="23"/>
                <w:szCs w:val="23"/>
              </w:rPr>
            </w:pPr>
            <w:r w:rsidRPr="00F85148">
              <w:rPr>
                <w:rFonts w:ascii="Arial" w:hAnsi="Arial" w:cs="Arial"/>
                <w:sz w:val="23"/>
                <w:szCs w:val="23"/>
              </w:rPr>
              <w:t>Driving whole-o</w:t>
            </w:r>
            <w:r w:rsidR="00C16E1B">
              <w:rPr>
                <w:rFonts w:ascii="Arial" w:hAnsi="Arial" w:cs="Arial"/>
                <w:sz w:val="23"/>
                <w:szCs w:val="23"/>
              </w:rPr>
              <w:t>f-</w:t>
            </w:r>
            <w:r w:rsidR="00303713">
              <w:rPr>
                <w:rFonts w:ascii="Arial" w:hAnsi="Arial" w:cs="Arial"/>
                <w:sz w:val="23"/>
                <w:szCs w:val="23"/>
              </w:rPr>
              <w:t>s</w:t>
            </w:r>
            <w:r w:rsidRPr="00F85148">
              <w:rPr>
                <w:rFonts w:ascii="Arial" w:hAnsi="Arial" w:cs="Arial"/>
                <w:sz w:val="23"/>
                <w:szCs w:val="23"/>
              </w:rPr>
              <w:t xml:space="preserve">tate economic strategy, </w:t>
            </w:r>
            <w:r w:rsidR="00F13197" w:rsidRPr="00F85148">
              <w:rPr>
                <w:rFonts w:ascii="Arial" w:hAnsi="Arial" w:cs="Arial"/>
                <w:sz w:val="23"/>
                <w:szCs w:val="23"/>
              </w:rPr>
              <w:t>that</w:t>
            </w:r>
            <w:r w:rsidR="001F0156" w:rsidRPr="00F85148">
              <w:rPr>
                <w:rFonts w:ascii="Arial" w:hAnsi="Arial" w:cs="Arial"/>
                <w:sz w:val="23"/>
                <w:szCs w:val="23"/>
              </w:rPr>
              <w:t xml:space="preserve"> </w:t>
            </w:r>
            <w:r w:rsidR="00F13197" w:rsidRPr="00F85148">
              <w:rPr>
                <w:rFonts w:ascii="Arial" w:hAnsi="Arial" w:cs="Arial"/>
                <w:sz w:val="23"/>
                <w:szCs w:val="23"/>
              </w:rPr>
              <w:t>supports</w:t>
            </w:r>
            <w:r w:rsidR="001F0156" w:rsidRPr="00F85148">
              <w:rPr>
                <w:rFonts w:ascii="Arial" w:hAnsi="Arial" w:cs="Arial"/>
                <w:sz w:val="23"/>
                <w:szCs w:val="23"/>
              </w:rPr>
              <w:t xml:space="preserve"> </w:t>
            </w:r>
            <w:r w:rsidRPr="00F85148" w:rsidDel="00B65873">
              <w:rPr>
                <w:rFonts w:ascii="Arial" w:hAnsi="Arial" w:cs="Arial"/>
                <w:sz w:val="23"/>
                <w:szCs w:val="23"/>
              </w:rPr>
              <w:t xml:space="preserve">a competitive business environment, </w:t>
            </w:r>
            <w:r w:rsidR="00F13197" w:rsidRPr="00F85148">
              <w:rPr>
                <w:rFonts w:ascii="Arial" w:hAnsi="Arial" w:cs="Arial"/>
                <w:sz w:val="23"/>
                <w:szCs w:val="23"/>
              </w:rPr>
              <w:t>drives productivity, increases</w:t>
            </w:r>
            <w:r w:rsidR="00454E08" w:rsidRPr="00F85148">
              <w:rPr>
                <w:rFonts w:ascii="Arial" w:hAnsi="Arial" w:cs="Arial"/>
                <w:sz w:val="23"/>
                <w:szCs w:val="23"/>
              </w:rPr>
              <w:t xml:space="preserve"> real incomes</w:t>
            </w:r>
            <w:r w:rsidR="00BB3B4D" w:rsidRPr="00F85148">
              <w:rPr>
                <w:rFonts w:ascii="Arial" w:hAnsi="Arial" w:cs="Arial"/>
                <w:sz w:val="23"/>
                <w:szCs w:val="23"/>
              </w:rPr>
              <w:t xml:space="preserve">, </w:t>
            </w:r>
            <w:r w:rsidR="00F13197" w:rsidRPr="00F85148">
              <w:rPr>
                <w:rFonts w:ascii="Arial" w:hAnsi="Arial" w:cs="Arial"/>
                <w:sz w:val="23"/>
                <w:szCs w:val="23"/>
              </w:rPr>
              <w:t xml:space="preserve">fosters </w:t>
            </w:r>
            <w:r w:rsidR="008B6ED5" w:rsidRPr="00F85148">
              <w:rPr>
                <w:rFonts w:ascii="Arial" w:hAnsi="Arial" w:cs="Arial"/>
                <w:sz w:val="23"/>
                <w:szCs w:val="23"/>
              </w:rPr>
              <w:t xml:space="preserve">employment </w:t>
            </w:r>
            <w:proofErr w:type="gramStart"/>
            <w:r w:rsidR="008B6ED5" w:rsidRPr="00F85148">
              <w:rPr>
                <w:rFonts w:ascii="Arial" w:hAnsi="Arial" w:cs="Arial"/>
                <w:sz w:val="23"/>
                <w:szCs w:val="23"/>
              </w:rPr>
              <w:t>opportunities</w:t>
            </w:r>
            <w:proofErr w:type="gramEnd"/>
            <w:r w:rsidR="00F13197" w:rsidRPr="00F85148">
              <w:rPr>
                <w:rFonts w:ascii="Arial" w:hAnsi="Arial" w:cs="Arial"/>
                <w:sz w:val="23"/>
                <w:szCs w:val="23"/>
              </w:rPr>
              <w:t xml:space="preserve"> and makes i</w:t>
            </w:r>
            <w:r w:rsidR="00F70EDB" w:rsidRPr="00F85148">
              <w:rPr>
                <w:rFonts w:ascii="Arial" w:hAnsi="Arial" w:cs="Arial"/>
                <w:sz w:val="23"/>
                <w:szCs w:val="23"/>
              </w:rPr>
              <w:t>t</w:t>
            </w:r>
            <w:r w:rsidR="00F13197" w:rsidRPr="00F85148">
              <w:rPr>
                <w:rFonts w:ascii="Arial" w:hAnsi="Arial" w:cs="Arial"/>
                <w:sz w:val="23"/>
                <w:szCs w:val="23"/>
              </w:rPr>
              <w:t xml:space="preserve"> easy to do business in</w:t>
            </w:r>
            <w:r w:rsidRPr="00F85148">
              <w:rPr>
                <w:rFonts w:ascii="Arial" w:hAnsi="Arial" w:cs="Arial"/>
                <w:sz w:val="23"/>
                <w:szCs w:val="23"/>
              </w:rPr>
              <w:t xml:space="preserve"> </w:t>
            </w:r>
            <w:r w:rsidR="00893869" w:rsidRPr="00893869">
              <w:rPr>
                <w:rFonts w:ascii="Arial" w:hAnsi="Arial" w:cs="Arial"/>
                <w:sz w:val="23"/>
                <w:szCs w:val="23"/>
              </w:rPr>
              <w:t>New South Wales</w:t>
            </w:r>
            <w:r w:rsidR="009E3FA3" w:rsidRPr="00F85148">
              <w:rPr>
                <w:rFonts w:ascii="Arial" w:hAnsi="Arial" w:cs="Arial"/>
                <w:sz w:val="23"/>
                <w:szCs w:val="23"/>
              </w:rPr>
              <w:t>.</w:t>
            </w:r>
          </w:p>
          <w:p w14:paraId="4BDF876A" w14:textId="77777777" w:rsidR="00272B4A" w:rsidRPr="00727B47" w:rsidRDefault="00272B4A" w:rsidP="00497A66">
            <w:pPr>
              <w:rPr>
                <w:rFonts w:ascii="Arial" w:hAnsi="Arial" w:cs="Arial"/>
                <w:sz w:val="12"/>
                <w:szCs w:val="12"/>
              </w:rPr>
            </w:pPr>
          </w:p>
          <w:p w14:paraId="595ADE0D" w14:textId="3624CFE4" w:rsidR="00272B4A" w:rsidRPr="00F85148" w:rsidRDefault="00437AAA" w:rsidP="00497A66">
            <w:pPr>
              <w:rPr>
                <w:rFonts w:cs="Arial"/>
                <w:sz w:val="23"/>
                <w:szCs w:val="23"/>
              </w:rPr>
            </w:pPr>
            <w:r w:rsidRPr="00A87025">
              <w:rPr>
                <w:rFonts w:ascii="Arial" w:hAnsi="Arial" w:cs="Arial"/>
                <w:i/>
                <w:iCs/>
              </w:rPr>
              <w:t xml:space="preserve">2021-22 investment: </w:t>
            </w:r>
            <w:r w:rsidRPr="00C34FC0">
              <w:rPr>
                <w:rFonts w:ascii="Arial" w:hAnsi="Arial" w:cs="Arial"/>
                <w:i/>
              </w:rPr>
              <w:t>$</w:t>
            </w:r>
            <w:r w:rsidR="00047F49" w:rsidRPr="00C34FC0">
              <w:rPr>
                <w:rFonts w:ascii="Arial" w:hAnsi="Arial" w:cs="Arial"/>
                <w:i/>
                <w:iCs/>
              </w:rPr>
              <w:t>48</w:t>
            </w:r>
            <w:r w:rsidR="00C8599C" w:rsidRPr="00C34FC0">
              <w:rPr>
                <w:rFonts w:ascii="Arial" w:hAnsi="Arial" w:cs="Arial"/>
                <w:i/>
                <w:iCs/>
              </w:rPr>
              <w:t>3</w:t>
            </w:r>
            <w:r w:rsidR="00047F49" w:rsidRPr="00C34FC0">
              <w:rPr>
                <w:rFonts w:ascii="Arial" w:hAnsi="Arial" w:cs="Arial"/>
                <w:i/>
              </w:rPr>
              <w:t>.</w:t>
            </w:r>
            <w:r w:rsidR="00C8599C" w:rsidRPr="00C34FC0">
              <w:rPr>
                <w:rFonts w:ascii="Arial" w:hAnsi="Arial" w:cs="Arial"/>
                <w:i/>
              </w:rPr>
              <w:t>2</w:t>
            </w:r>
            <w:r w:rsidRPr="00C34FC0">
              <w:rPr>
                <w:rFonts w:ascii="Arial" w:hAnsi="Arial" w:cs="Arial"/>
                <w:i/>
              </w:rPr>
              <w:t xml:space="preserve"> </w:t>
            </w:r>
            <w:r w:rsidR="00E66448" w:rsidRPr="00C34FC0">
              <w:rPr>
                <w:rFonts w:ascii="Arial" w:hAnsi="Arial" w:cs="Arial"/>
                <w:i/>
              </w:rPr>
              <w:t>m</w:t>
            </w:r>
            <w:r w:rsidRPr="00C34FC0">
              <w:rPr>
                <w:rFonts w:ascii="Arial" w:hAnsi="Arial" w:cs="Arial"/>
                <w:i/>
              </w:rPr>
              <w:t>illion</w:t>
            </w:r>
            <w:r w:rsidRPr="00A87025">
              <w:rPr>
                <w:rFonts w:ascii="Arial" w:hAnsi="Arial" w:cs="Arial"/>
                <w:i/>
                <w:iCs/>
              </w:rPr>
              <w:t xml:space="preserve"> </w:t>
            </w:r>
            <w:r w:rsidR="00E66448">
              <w:rPr>
                <w:rFonts w:ascii="Arial" w:hAnsi="Arial" w:cs="Arial"/>
                <w:i/>
                <w:iCs/>
              </w:rPr>
              <w:t xml:space="preserve">in </w:t>
            </w:r>
            <w:r w:rsidRPr="00A87025">
              <w:rPr>
                <w:rFonts w:ascii="Arial" w:hAnsi="Arial" w:cs="Arial"/>
                <w:i/>
                <w:iCs/>
              </w:rPr>
              <w:t xml:space="preserve">recurrent expenses &amp; </w:t>
            </w:r>
            <w:r w:rsidR="006D2F48" w:rsidRPr="00C34FC0">
              <w:rPr>
                <w:rFonts w:ascii="Arial" w:hAnsi="Arial" w:cs="Arial"/>
                <w:i/>
                <w:iCs/>
              </w:rPr>
              <w:t>$5</w:t>
            </w:r>
            <w:r w:rsidR="006D2F48" w:rsidRPr="00C34FC0">
              <w:rPr>
                <w:rFonts w:ascii="Arial" w:hAnsi="Arial" w:cs="Arial"/>
                <w:i/>
              </w:rPr>
              <w:t>.1</w:t>
            </w:r>
            <w:r w:rsidRPr="00C34FC0">
              <w:rPr>
                <w:rFonts w:ascii="Arial" w:hAnsi="Arial" w:cs="Arial"/>
                <w:i/>
              </w:rPr>
              <w:t xml:space="preserve"> million</w:t>
            </w:r>
            <w:r w:rsidR="003F2BD2">
              <w:rPr>
                <w:rFonts w:ascii="Arial" w:hAnsi="Arial" w:cs="Arial"/>
                <w:i/>
                <w:iCs/>
              </w:rPr>
              <w:t xml:space="preserve"> in</w:t>
            </w:r>
            <w:r w:rsidRPr="00A87025">
              <w:rPr>
                <w:rFonts w:ascii="Arial" w:hAnsi="Arial" w:cs="Arial"/>
                <w:i/>
                <w:iCs/>
              </w:rPr>
              <w:t xml:space="preserve"> capital expenditure</w:t>
            </w:r>
          </w:p>
        </w:tc>
        <w:tc>
          <w:tcPr>
            <w:tcW w:w="274" w:type="dxa"/>
            <w:tcBorders>
              <w:top w:val="nil"/>
              <w:left w:val="nil"/>
              <w:bottom w:val="nil"/>
              <w:right w:val="nil"/>
            </w:tcBorders>
            <w:shd w:val="clear" w:color="auto" w:fill="FFFFFF" w:themeFill="background1"/>
            <w:vAlign w:val="center"/>
            <w:hideMark/>
          </w:tcPr>
          <w:p w14:paraId="0E056BD2" w14:textId="77777777" w:rsidR="00272B4A" w:rsidRPr="00F85148" w:rsidRDefault="00272B4A" w:rsidP="00497A66">
            <w:pPr>
              <w:rPr>
                <w:sz w:val="23"/>
                <w:szCs w:val="23"/>
              </w:rPr>
            </w:pPr>
            <w:r w:rsidRPr="00F85148">
              <w:rPr>
                <w:rFonts w:cs="Arial"/>
                <w:sz w:val="23"/>
                <w:szCs w:val="23"/>
                <w:lang w:eastAsia="en-AU"/>
              </w:rPr>
              <w:t> </w:t>
            </w:r>
          </w:p>
        </w:tc>
        <w:tc>
          <w:tcPr>
            <w:tcW w:w="4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5C562" w14:textId="75D81D92" w:rsidR="009E6516" w:rsidRPr="00F85148" w:rsidRDefault="00631AC0" w:rsidP="00210ED4">
            <w:pPr>
              <w:pStyle w:val="ListParagraph"/>
              <w:numPr>
                <w:ilvl w:val="0"/>
                <w:numId w:val="15"/>
              </w:numPr>
              <w:rPr>
                <w:sz w:val="23"/>
                <w:szCs w:val="23"/>
              </w:rPr>
            </w:pPr>
            <w:r w:rsidRPr="00F85148" w:rsidDel="00F27103">
              <w:rPr>
                <w:sz w:val="23"/>
                <w:szCs w:val="23"/>
              </w:rPr>
              <w:t>Building a Strong and Productive Economy</w:t>
            </w:r>
          </w:p>
          <w:p w14:paraId="625E95C6" w14:textId="07BB63E6" w:rsidR="005C131E" w:rsidRPr="00F85148" w:rsidRDefault="005C131E" w:rsidP="00210ED4">
            <w:pPr>
              <w:pStyle w:val="ListParagraph"/>
              <w:numPr>
                <w:ilvl w:val="0"/>
                <w:numId w:val="15"/>
              </w:numPr>
              <w:rPr>
                <w:sz w:val="23"/>
                <w:szCs w:val="23"/>
              </w:rPr>
            </w:pPr>
            <w:r w:rsidRPr="00F85148">
              <w:rPr>
                <w:sz w:val="23"/>
                <w:szCs w:val="23"/>
              </w:rPr>
              <w:t>Improving Economic Wellbeing</w:t>
            </w:r>
          </w:p>
        </w:tc>
      </w:tr>
      <w:tr w:rsidR="00272B4A" w:rsidRPr="0011239F" w14:paraId="1BD6272A" w14:textId="77777777" w:rsidTr="009C2320">
        <w:trPr>
          <w:trHeight w:val="57"/>
        </w:trPr>
        <w:tc>
          <w:tcPr>
            <w:tcW w:w="5082" w:type="dxa"/>
            <w:tcBorders>
              <w:top w:val="nil"/>
              <w:left w:val="nil"/>
              <w:bottom w:val="nil"/>
              <w:right w:val="nil"/>
            </w:tcBorders>
            <w:shd w:val="clear" w:color="auto" w:fill="FFFFFF" w:themeFill="background1"/>
            <w:hideMark/>
          </w:tcPr>
          <w:p w14:paraId="09531A85" w14:textId="77777777" w:rsidR="00272B4A" w:rsidRPr="002C3462" w:rsidRDefault="00272B4A" w:rsidP="00497A66">
            <w:pPr>
              <w:rPr>
                <w:rFonts w:ascii="Arial" w:hAnsi="Arial" w:cs="Arial"/>
                <w:sz w:val="2"/>
                <w:szCs w:val="2"/>
              </w:rPr>
            </w:pPr>
            <w:r w:rsidRPr="002C3462">
              <w:rPr>
                <w:rFonts w:ascii="Arial" w:hAnsi="Arial" w:cs="Arial"/>
                <w:sz w:val="2"/>
                <w:szCs w:val="2"/>
                <w:lang w:eastAsia="en-AU"/>
              </w:rPr>
              <w:t> </w:t>
            </w:r>
          </w:p>
        </w:tc>
        <w:tc>
          <w:tcPr>
            <w:tcW w:w="274" w:type="dxa"/>
            <w:tcBorders>
              <w:top w:val="nil"/>
              <w:left w:val="nil"/>
              <w:bottom w:val="nil"/>
              <w:right w:val="nil"/>
            </w:tcBorders>
            <w:shd w:val="clear" w:color="auto" w:fill="FFFFFF" w:themeFill="background1"/>
            <w:vAlign w:val="center"/>
            <w:hideMark/>
          </w:tcPr>
          <w:p w14:paraId="542D0AF3" w14:textId="77777777" w:rsidR="00272B4A" w:rsidRPr="002C3462" w:rsidRDefault="00272B4A" w:rsidP="00497A66">
            <w:pPr>
              <w:jc w:val="center"/>
              <w:rPr>
                <w:rFonts w:ascii="Arial" w:hAnsi="Arial" w:cs="Arial"/>
                <w:sz w:val="2"/>
                <w:szCs w:val="2"/>
              </w:rPr>
            </w:pPr>
            <w:r w:rsidRPr="002C3462">
              <w:rPr>
                <w:rFonts w:ascii="Arial" w:hAnsi="Arial" w:cs="Arial"/>
                <w:sz w:val="2"/>
                <w:szCs w:val="2"/>
                <w:lang w:eastAsia="en-AU"/>
              </w:rPr>
              <w:t> </w:t>
            </w:r>
          </w:p>
        </w:tc>
        <w:tc>
          <w:tcPr>
            <w:tcW w:w="4283" w:type="dxa"/>
            <w:tcBorders>
              <w:top w:val="nil"/>
              <w:left w:val="nil"/>
              <w:bottom w:val="nil"/>
              <w:right w:val="nil"/>
            </w:tcBorders>
            <w:shd w:val="clear" w:color="auto" w:fill="FFFFFF" w:themeFill="background1"/>
            <w:vAlign w:val="center"/>
            <w:hideMark/>
          </w:tcPr>
          <w:p w14:paraId="5F09F3AD" w14:textId="77777777" w:rsidR="00272B4A" w:rsidRPr="002C3462" w:rsidRDefault="00272B4A" w:rsidP="00497A66">
            <w:pPr>
              <w:rPr>
                <w:rFonts w:ascii="Arial" w:hAnsi="Arial" w:cs="Arial"/>
                <w:sz w:val="2"/>
                <w:szCs w:val="2"/>
              </w:rPr>
            </w:pPr>
            <w:r w:rsidRPr="002C3462">
              <w:rPr>
                <w:rFonts w:ascii="Arial" w:hAnsi="Arial" w:cs="Arial"/>
                <w:sz w:val="2"/>
                <w:szCs w:val="2"/>
                <w:lang w:eastAsia="en-AU"/>
              </w:rPr>
              <w:t> </w:t>
            </w:r>
          </w:p>
        </w:tc>
      </w:tr>
      <w:tr w:rsidR="00272B4A" w:rsidRPr="0011239F" w14:paraId="29E9E5B9" w14:textId="77777777" w:rsidTr="00686222">
        <w:trPr>
          <w:trHeight w:val="1345"/>
        </w:trPr>
        <w:tc>
          <w:tcPr>
            <w:tcW w:w="5082" w:type="dxa"/>
            <w:tcBorders>
              <w:top w:val="nil"/>
              <w:left w:val="nil"/>
              <w:bottom w:val="nil"/>
              <w:right w:val="nil"/>
            </w:tcBorders>
            <w:shd w:val="clear" w:color="auto" w:fill="BAE4FC"/>
            <w:vAlign w:val="center"/>
            <w:hideMark/>
          </w:tcPr>
          <w:p w14:paraId="01A93EA5" w14:textId="315093E5" w:rsidR="00272B4A" w:rsidRPr="00F85148" w:rsidRDefault="00272B4A" w:rsidP="00E40F52">
            <w:pPr>
              <w:spacing w:before="8" w:after="80"/>
              <w:ind w:left="357" w:hanging="357"/>
              <w:rPr>
                <w:rFonts w:ascii="Arial" w:hAnsi="Arial" w:cs="Arial"/>
                <w:b/>
                <w:sz w:val="23"/>
                <w:szCs w:val="23"/>
                <w:lang w:eastAsia="en-AU"/>
              </w:rPr>
            </w:pPr>
            <w:r w:rsidRPr="00F85148">
              <w:rPr>
                <w:rFonts w:ascii="Arial" w:hAnsi="Arial" w:cs="Arial"/>
                <w:b/>
                <w:sz w:val="23"/>
                <w:szCs w:val="23"/>
              </w:rPr>
              <w:t xml:space="preserve">2. </w:t>
            </w:r>
            <w:r w:rsidR="00E40F52">
              <w:rPr>
                <w:rFonts w:ascii="Arial" w:hAnsi="Arial" w:cs="Arial"/>
                <w:b/>
                <w:sz w:val="23"/>
                <w:szCs w:val="23"/>
              </w:rPr>
              <w:tab/>
            </w:r>
            <w:r w:rsidR="00631AC0" w:rsidRPr="00F85148">
              <w:rPr>
                <w:rFonts w:ascii="Arial" w:hAnsi="Arial" w:cs="Arial"/>
                <w:b/>
                <w:sz w:val="23"/>
                <w:szCs w:val="23"/>
              </w:rPr>
              <w:t>A sustainable fiscal environment enabling delivery of outcomes</w:t>
            </w:r>
          </w:p>
          <w:p w14:paraId="54D4DEE3" w14:textId="0159B009" w:rsidR="00272B4A" w:rsidRPr="00F85148" w:rsidRDefault="00631AC0" w:rsidP="00497A66">
            <w:pPr>
              <w:rPr>
                <w:rFonts w:ascii="Arial" w:hAnsi="Arial" w:cs="Arial"/>
                <w:sz w:val="23"/>
                <w:szCs w:val="23"/>
              </w:rPr>
            </w:pPr>
            <w:r w:rsidRPr="00F85148">
              <w:rPr>
                <w:rFonts w:ascii="Arial" w:hAnsi="Arial" w:cs="Arial"/>
                <w:sz w:val="23"/>
                <w:szCs w:val="23"/>
              </w:rPr>
              <w:t>Managing whole-of-</w:t>
            </w:r>
            <w:r w:rsidR="00303713">
              <w:rPr>
                <w:rFonts w:ascii="Arial" w:hAnsi="Arial" w:cs="Arial"/>
                <w:sz w:val="23"/>
                <w:szCs w:val="23"/>
              </w:rPr>
              <w:t>s</w:t>
            </w:r>
            <w:r w:rsidRPr="00F85148">
              <w:rPr>
                <w:rFonts w:ascii="Arial" w:hAnsi="Arial" w:cs="Arial"/>
                <w:sz w:val="23"/>
                <w:szCs w:val="23"/>
              </w:rPr>
              <w:t xml:space="preserve">tate financial asset and liability activities, as measured by investment and debt performance, and maintenance of the State’s triple-A credit rating. Working towards the State’s objective of full funding of the Defined Benefits Superannuation liability by 2040. Providing informed, evidence-based fiscal, </w:t>
            </w:r>
            <w:proofErr w:type="gramStart"/>
            <w:r w:rsidRPr="00F85148">
              <w:rPr>
                <w:rFonts w:ascii="Arial" w:hAnsi="Arial" w:cs="Arial"/>
                <w:sz w:val="23"/>
                <w:szCs w:val="23"/>
              </w:rPr>
              <w:t>commercial</w:t>
            </w:r>
            <w:proofErr w:type="gramEnd"/>
            <w:r w:rsidRPr="00F85148">
              <w:rPr>
                <w:rFonts w:ascii="Arial" w:hAnsi="Arial" w:cs="Arial"/>
                <w:sz w:val="23"/>
                <w:szCs w:val="23"/>
              </w:rPr>
              <w:t xml:space="preserve"> and financial analysis and advice</w:t>
            </w:r>
            <w:r w:rsidR="00272B4A" w:rsidRPr="00F85148">
              <w:rPr>
                <w:rFonts w:ascii="Arial" w:hAnsi="Arial" w:cs="Arial"/>
                <w:sz w:val="23"/>
                <w:szCs w:val="23"/>
              </w:rPr>
              <w:t>.</w:t>
            </w:r>
          </w:p>
          <w:p w14:paraId="057784FC" w14:textId="77777777" w:rsidR="00272B4A" w:rsidRPr="00793537" w:rsidRDefault="00272B4A" w:rsidP="00497A66">
            <w:pPr>
              <w:rPr>
                <w:rFonts w:ascii="Arial" w:hAnsi="Arial" w:cs="Arial"/>
                <w:sz w:val="12"/>
                <w:szCs w:val="12"/>
              </w:rPr>
            </w:pPr>
          </w:p>
          <w:p w14:paraId="5535604F" w14:textId="7BBBC2A0" w:rsidR="00272B4A" w:rsidRPr="00F85148" w:rsidRDefault="00806D8B" w:rsidP="00497A66">
            <w:pPr>
              <w:rPr>
                <w:rFonts w:ascii="Arial" w:hAnsi="Arial" w:cs="Arial"/>
                <w:bCs/>
                <w:sz w:val="23"/>
                <w:szCs w:val="23"/>
              </w:rPr>
            </w:pPr>
            <w:r w:rsidRPr="00A87025">
              <w:rPr>
                <w:rFonts w:ascii="Arial" w:hAnsi="Arial" w:cs="Arial"/>
                <w:i/>
                <w:iCs/>
              </w:rPr>
              <w:t xml:space="preserve">2021-22 investment: </w:t>
            </w:r>
            <w:r w:rsidRPr="0091634E">
              <w:rPr>
                <w:rFonts w:ascii="Arial" w:hAnsi="Arial" w:cs="Arial"/>
                <w:i/>
              </w:rPr>
              <w:t>$</w:t>
            </w:r>
            <w:r w:rsidR="0091634E" w:rsidRPr="0091634E">
              <w:rPr>
                <w:rFonts w:ascii="Arial" w:hAnsi="Arial" w:cs="Arial"/>
                <w:i/>
                <w:iCs/>
              </w:rPr>
              <w:t>12.0</w:t>
            </w:r>
            <w:r w:rsidR="00656AD1" w:rsidRPr="0091634E">
              <w:rPr>
                <w:rFonts w:ascii="Arial" w:hAnsi="Arial" w:cs="Arial"/>
                <w:i/>
              </w:rPr>
              <w:t xml:space="preserve"> </w:t>
            </w:r>
            <w:r w:rsidRPr="0091634E">
              <w:rPr>
                <w:rFonts w:ascii="Arial" w:hAnsi="Arial" w:cs="Arial"/>
                <w:i/>
              </w:rPr>
              <w:t>billion</w:t>
            </w:r>
            <w:r w:rsidR="00E52756">
              <w:rPr>
                <w:rFonts w:ascii="Arial" w:hAnsi="Arial" w:cs="Arial"/>
                <w:i/>
                <w:iCs/>
              </w:rPr>
              <w:t xml:space="preserve"> in</w:t>
            </w:r>
            <w:r w:rsidRPr="00A87025">
              <w:rPr>
                <w:rFonts w:ascii="Arial" w:hAnsi="Arial" w:cs="Arial"/>
                <w:i/>
                <w:iCs/>
              </w:rPr>
              <w:t xml:space="preserve"> recurrent expenses &amp; </w:t>
            </w:r>
            <w:r w:rsidRPr="0091634E">
              <w:rPr>
                <w:rFonts w:ascii="Arial" w:hAnsi="Arial" w:cs="Arial"/>
                <w:i/>
              </w:rPr>
              <w:t>$</w:t>
            </w:r>
            <w:r w:rsidR="00E52756" w:rsidRPr="0091634E">
              <w:rPr>
                <w:rFonts w:ascii="Arial" w:hAnsi="Arial" w:cs="Arial"/>
                <w:i/>
              </w:rPr>
              <w:t>9.</w:t>
            </w:r>
            <w:r w:rsidR="008835E4" w:rsidRPr="0091634E">
              <w:rPr>
                <w:rFonts w:ascii="Arial" w:hAnsi="Arial" w:cs="Arial"/>
                <w:i/>
              </w:rPr>
              <w:t xml:space="preserve">3 </w:t>
            </w:r>
            <w:r w:rsidRPr="0091634E">
              <w:rPr>
                <w:rFonts w:ascii="Arial" w:hAnsi="Arial" w:cs="Arial"/>
                <w:i/>
              </w:rPr>
              <w:t>million</w:t>
            </w:r>
            <w:r w:rsidR="00E52756">
              <w:rPr>
                <w:rFonts w:ascii="Arial" w:hAnsi="Arial" w:cs="Arial"/>
                <w:i/>
                <w:iCs/>
              </w:rPr>
              <w:t xml:space="preserve"> in</w:t>
            </w:r>
            <w:r w:rsidRPr="00A87025">
              <w:rPr>
                <w:rFonts w:ascii="Arial" w:hAnsi="Arial" w:cs="Arial"/>
                <w:i/>
                <w:iCs/>
              </w:rPr>
              <w:t xml:space="preserve"> capital expenditure</w:t>
            </w:r>
          </w:p>
        </w:tc>
        <w:tc>
          <w:tcPr>
            <w:tcW w:w="274" w:type="dxa"/>
            <w:tcBorders>
              <w:top w:val="nil"/>
              <w:left w:val="nil"/>
              <w:bottom w:val="nil"/>
              <w:right w:val="nil"/>
            </w:tcBorders>
            <w:shd w:val="clear" w:color="auto" w:fill="FFFFFF" w:themeFill="background1"/>
            <w:vAlign w:val="center"/>
            <w:hideMark/>
          </w:tcPr>
          <w:p w14:paraId="7BBC8958" w14:textId="77777777" w:rsidR="00272B4A" w:rsidRPr="00F85148" w:rsidRDefault="00272B4A" w:rsidP="00497A66">
            <w:pPr>
              <w:jc w:val="center"/>
              <w:rPr>
                <w:sz w:val="23"/>
                <w:szCs w:val="23"/>
              </w:rPr>
            </w:pPr>
            <w:r w:rsidRPr="00F85148">
              <w:rPr>
                <w:rFonts w:cs="Arial"/>
                <w:sz w:val="23"/>
                <w:szCs w:val="23"/>
                <w:lang w:eastAsia="en-AU"/>
              </w:rPr>
              <w:t> </w:t>
            </w:r>
          </w:p>
        </w:tc>
        <w:tc>
          <w:tcPr>
            <w:tcW w:w="4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5BDE34" w14:textId="77777777" w:rsidR="00631AC0" w:rsidRPr="00F85148" w:rsidRDefault="00631AC0" w:rsidP="00210ED4">
            <w:pPr>
              <w:pStyle w:val="ListParagraph"/>
              <w:numPr>
                <w:ilvl w:val="0"/>
                <w:numId w:val="16"/>
              </w:numPr>
              <w:spacing w:after="0"/>
              <w:ind w:left="360"/>
              <w:rPr>
                <w:sz w:val="23"/>
                <w:szCs w:val="23"/>
              </w:rPr>
            </w:pPr>
            <w:r w:rsidRPr="00F85148">
              <w:rPr>
                <w:sz w:val="23"/>
                <w:szCs w:val="23"/>
              </w:rPr>
              <w:t>Fiscal Planning and Management</w:t>
            </w:r>
          </w:p>
          <w:p w14:paraId="0E13FF5F" w14:textId="77777777" w:rsidR="00631AC0" w:rsidRPr="00F85148" w:rsidRDefault="00631AC0" w:rsidP="00210ED4">
            <w:pPr>
              <w:pStyle w:val="ListParagraph"/>
              <w:numPr>
                <w:ilvl w:val="0"/>
                <w:numId w:val="16"/>
              </w:numPr>
              <w:spacing w:after="0"/>
              <w:ind w:left="360"/>
              <w:rPr>
                <w:sz w:val="23"/>
                <w:szCs w:val="23"/>
              </w:rPr>
            </w:pPr>
            <w:r w:rsidRPr="00F85148">
              <w:rPr>
                <w:sz w:val="23"/>
                <w:szCs w:val="23"/>
              </w:rPr>
              <w:t>Sector Support and Resource Allocation</w:t>
            </w:r>
          </w:p>
          <w:p w14:paraId="185DD52D" w14:textId="2956DEA6" w:rsidR="00083A9C" w:rsidRPr="00F85148" w:rsidRDefault="00083A9C" w:rsidP="00210ED4">
            <w:pPr>
              <w:pStyle w:val="ListParagraph"/>
              <w:numPr>
                <w:ilvl w:val="0"/>
                <w:numId w:val="16"/>
              </w:numPr>
              <w:spacing w:after="0"/>
              <w:ind w:left="360"/>
              <w:rPr>
                <w:sz w:val="23"/>
                <w:szCs w:val="23"/>
              </w:rPr>
            </w:pPr>
            <w:r w:rsidRPr="00F85148">
              <w:rPr>
                <w:sz w:val="23"/>
                <w:szCs w:val="23"/>
              </w:rPr>
              <w:t>Commercial and Balance Sheet Management</w:t>
            </w:r>
            <w:r w:rsidRPr="00F85148" w:rsidDel="000122BE">
              <w:rPr>
                <w:sz w:val="23"/>
                <w:szCs w:val="23"/>
              </w:rPr>
              <w:t xml:space="preserve"> </w:t>
            </w:r>
          </w:p>
          <w:p w14:paraId="536D5007" w14:textId="77777777" w:rsidR="00042EC1" w:rsidRDefault="00631AC0" w:rsidP="00042EC1">
            <w:pPr>
              <w:pStyle w:val="ListParagraph"/>
              <w:numPr>
                <w:ilvl w:val="0"/>
                <w:numId w:val="16"/>
              </w:numPr>
              <w:spacing w:after="0"/>
              <w:ind w:left="360"/>
              <w:rPr>
                <w:sz w:val="23"/>
                <w:szCs w:val="23"/>
              </w:rPr>
            </w:pPr>
            <w:r w:rsidRPr="00F85148">
              <w:rPr>
                <w:sz w:val="23"/>
                <w:szCs w:val="23"/>
              </w:rPr>
              <w:t>Sector, Procurement Services, Analytics and Systems</w:t>
            </w:r>
          </w:p>
          <w:p w14:paraId="51B33A10" w14:textId="77777777" w:rsidR="00042EC1" w:rsidRDefault="00042EC1" w:rsidP="00042EC1">
            <w:pPr>
              <w:pStyle w:val="ListParagraph"/>
              <w:numPr>
                <w:ilvl w:val="0"/>
                <w:numId w:val="16"/>
              </w:numPr>
              <w:spacing w:after="0"/>
              <w:ind w:left="360"/>
              <w:rPr>
                <w:sz w:val="23"/>
                <w:szCs w:val="23"/>
              </w:rPr>
            </w:pPr>
            <w:r w:rsidRPr="00042EC1">
              <w:rPr>
                <w:sz w:val="23"/>
                <w:szCs w:val="23"/>
              </w:rPr>
              <w:t>Evidence Informed Investment and Policy</w:t>
            </w:r>
          </w:p>
          <w:p w14:paraId="6EED8A92" w14:textId="02EEE521" w:rsidR="00042EC1" w:rsidRPr="00042EC1" w:rsidRDefault="00042EC1" w:rsidP="00042EC1">
            <w:pPr>
              <w:pStyle w:val="ListParagraph"/>
              <w:numPr>
                <w:ilvl w:val="0"/>
                <w:numId w:val="16"/>
              </w:numPr>
              <w:spacing w:after="0"/>
              <w:ind w:left="360"/>
              <w:rPr>
                <w:sz w:val="23"/>
                <w:szCs w:val="23"/>
              </w:rPr>
            </w:pPr>
            <w:r w:rsidRPr="00042EC1">
              <w:rPr>
                <w:sz w:val="23"/>
                <w:szCs w:val="23"/>
              </w:rPr>
              <w:t>Financial Reporting and Systems Management</w:t>
            </w:r>
          </w:p>
        </w:tc>
      </w:tr>
      <w:tr w:rsidR="00272B4A" w:rsidRPr="0011239F" w14:paraId="262FBF36" w14:textId="77777777" w:rsidTr="009C2320">
        <w:trPr>
          <w:trHeight w:val="57"/>
        </w:trPr>
        <w:tc>
          <w:tcPr>
            <w:tcW w:w="5082" w:type="dxa"/>
            <w:tcBorders>
              <w:top w:val="nil"/>
              <w:left w:val="nil"/>
              <w:bottom w:val="nil"/>
              <w:right w:val="nil"/>
            </w:tcBorders>
            <w:shd w:val="clear" w:color="auto" w:fill="FFFFFF" w:themeFill="background1"/>
            <w:vAlign w:val="center"/>
            <w:hideMark/>
          </w:tcPr>
          <w:p w14:paraId="0D1EA63A" w14:textId="68ECC50D" w:rsidR="00272B4A" w:rsidRPr="002C3462" w:rsidRDefault="00272B4A" w:rsidP="00497A66">
            <w:pPr>
              <w:jc w:val="center"/>
              <w:rPr>
                <w:rFonts w:ascii="Arial" w:hAnsi="Arial" w:cs="Arial"/>
                <w:sz w:val="2"/>
                <w:szCs w:val="2"/>
              </w:rPr>
            </w:pPr>
            <w:r w:rsidRPr="002C3462">
              <w:rPr>
                <w:rFonts w:ascii="Arial" w:hAnsi="Arial" w:cs="Arial"/>
                <w:sz w:val="2"/>
                <w:szCs w:val="2"/>
                <w:lang w:eastAsia="en-AU"/>
              </w:rPr>
              <w:t> </w:t>
            </w:r>
          </w:p>
        </w:tc>
        <w:tc>
          <w:tcPr>
            <w:tcW w:w="274" w:type="dxa"/>
            <w:tcBorders>
              <w:top w:val="nil"/>
              <w:left w:val="nil"/>
              <w:bottom w:val="nil"/>
              <w:right w:val="nil"/>
            </w:tcBorders>
            <w:shd w:val="clear" w:color="auto" w:fill="FFFFFF" w:themeFill="background1"/>
            <w:vAlign w:val="center"/>
            <w:hideMark/>
          </w:tcPr>
          <w:p w14:paraId="6BDBC580" w14:textId="77777777" w:rsidR="00272B4A" w:rsidRPr="002C3462" w:rsidRDefault="00272B4A" w:rsidP="00497A66">
            <w:pPr>
              <w:jc w:val="center"/>
              <w:rPr>
                <w:sz w:val="2"/>
                <w:szCs w:val="2"/>
              </w:rPr>
            </w:pPr>
            <w:r w:rsidRPr="002C3462">
              <w:rPr>
                <w:rFonts w:cs="Arial"/>
                <w:sz w:val="2"/>
                <w:szCs w:val="2"/>
                <w:lang w:eastAsia="en-AU"/>
              </w:rPr>
              <w:t> </w:t>
            </w:r>
          </w:p>
        </w:tc>
        <w:tc>
          <w:tcPr>
            <w:tcW w:w="4283" w:type="dxa"/>
            <w:tcBorders>
              <w:top w:val="nil"/>
              <w:left w:val="nil"/>
              <w:bottom w:val="nil"/>
              <w:right w:val="nil"/>
            </w:tcBorders>
            <w:shd w:val="clear" w:color="auto" w:fill="FFFFFF" w:themeFill="background1"/>
            <w:vAlign w:val="center"/>
            <w:hideMark/>
          </w:tcPr>
          <w:p w14:paraId="6934B5CF" w14:textId="77777777" w:rsidR="00272B4A" w:rsidRPr="002C3462" w:rsidRDefault="00272B4A" w:rsidP="00497A66">
            <w:pPr>
              <w:rPr>
                <w:sz w:val="2"/>
                <w:szCs w:val="2"/>
              </w:rPr>
            </w:pPr>
            <w:r w:rsidRPr="002C3462">
              <w:rPr>
                <w:rFonts w:cs="Arial"/>
                <w:sz w:val="2"/>
                <w:szCs w:val="2"/>
                <w:lang w:eastAsia="en-AU"/>
              </w:rPr>
              <w:t> </w:t>
            </w:r>
          </w:p>
        </w:tc>
      </w:tr>
      <w:tr w:rsidR="00272B4A" w:rsidRPr="0011239F" w14:paraId="017FAF55" w14:textId="77777777" w:rsidTr="008B2D49">
        <w:trPr>
          <w:trHeight w:val="794"/>
        </w:trPr>
        <w:tc>
          <w:tcPr>
            <w:tcW w:w="5082" w:type="dxa"/>
            <w:tcBorders>
              <w:top w:val="nil"/>
              <w:left w:val="nil"/>
              <w:bottom w:val="nil"/>
              <w:right w:val="nil"/>
            </w:tcBorders>
            <w:shd w:val="clear" w:color="auto" w:fill="BAE4FC"/>
            <w:vAlign w:val="center"/>
            <w:hideMark/>
          </w:tcPr>
          <w:p w14:paraId="10C73B82" w14:textId="7B468870" w:rsidR="00272B4A" w:rsidRPr="00F85148" w:rsidRDefault="00272B4A" w:rsidP="00E40F52">
            <w:pPr>
              <w:spacing w:before="8" w:after="80"/>
              <w:ind w:left="357" w:hanging="357"/>
              <w:rPr>
                <w:rFonts w:ascii="Arial" w:eastAsiaTheme="minorHAnsi" w:hAnsi="Arial" w:cs="Arial"/>
                <w:b/>
                <w:bCs/>
                <w:sz w:val="23"/>
                <w:szCs w:val="23"/>
              </w:rPr>
            </w:pPr>
            <w:r w:rsidRPr="00F85148">
              <w:rPr>
                <w:rFonts w:ascii="Arial" w:eastAsiaTheme="minorHAnsi" w:hAnsi="Arial" w:cs="Arial"/>
                <w:b/>
                <w:sz w:val="23"/>
                <w:szCs w:val="23"/>
              </w:rPr>
              <w:t xml:space="preserve">3. </w:t>
            </w:r>
            <w:r w:rsidR="00E40F52">
              <w:rPr>
                <w:rFonts w:ascii="Arial" w:eastAsiaTheme="minorHAnsi" w:hAnsi="Arial" w:cs="Arial"/>
                <w:b/>
                <w:sz w:val="23"/>
                <w:szCs w:val="23"/>
              </w:rPr>
              <w:tab/>
            </w:r>
            <w:r w:rsidR="00631AC0" w:rsidRPr="00F85148">
              <w:rPr>
                <w:rFonts w:ascii="Arial" w:eastAsiaTheme="minorHAnsi" w:hAnsi="Arial" w:cs="Arial"/>
                <w:b/>
                <w:sz w:val="23"/>
                <w:szCs w:val="23"/>
              </w:rPr>
              <w:t xml:space="preserve">Stewardship of the public sector performance </w:t>
            </w:r>
            <w:r w:rsidR="00302D64" w:rsidRPr="00F85148">
              <w:rPr>
                <w:rFonts w:ascii="Arial" w:eastAsiaTheme="minorHAnsi" w:hAnsi="Arial" w:cs="Arial"/>
                <w:b/>
                <w:sz w:val="23"/>
                <w:szCs w:val="23"/>
              </w:rPr>
              <w:t xml:space="preserve">and </w:t>
            </w:r>
            <w:r w:rsidR="00631AC0" w:rsidRPr="00F85148">
              <w:rPr>
                <w:rFonts w:ascii="Arial" w:eastAsiaTheme="minorHAnsi" w:hAnsi="Arial" w:cs="Arial"/>
                <w:b/>
                <w:sz w:val="23"/>
                <w:szCs w:val="23"/>
              </w:rPr>
              <w:t>financial system</w:t>
            </w:r>
          </w:p>
          <w:p w14:paraId="4642A93E" w14:textId="25976C76" w:rsidR="00272B4A" w:rsidRPr="00F85148" w:rsidRDefault="00631AC0" w:rsidP="00497A66">
            <w:pPr>
              <w:rPr>
                <w:rFonts w:ascii="Arial" w:hAnsi="Arial" w:cs="Arial"/>
                <w:sz w:val="23"/>
                <w:szCs w:val="23"/>
              </w:rPr>
            </w:pPr>
            <w:r w:rsidRPr="00F85148">
              <w:rPr>
                <w:rFonts w:ascii="Arial" w:hAnsi="Arial" w:cs="Arial"/>
                <w:sz w:val="23"/>
                <w:szCs w:val="23"/>
              </w:rPr>
              <w:t>Steward and support sector performance to deliver outcomes for citizens, ensure transparency and accountability</w:t>
            </w:r>
            <w:r w:rsidR="00683746">
              <w:rPr>
                <w:rFonts w:ascii="Arial" w:hAnsi="Arial" w:cs="Arial"/>
                <w:sz w:val="23"/>
                <w:szCs w:val="23"/>
              </w:rPr>
              <w:t>,</w:t>
            </w:r>
            <w:r w:rsidRPr="00F85148">
              <w:rPr>
                <w:rFonts w:ascii="Arial" w:hAnsi="Arial" w:cs="Arial"/>
                <w:sz w:val="23"/>
                <w:szCs w:val="23"/>
              </w:rPr>
              <w:t xml:space="preserve"> and the effective use of public funds</w:t>
            </w:r>
            <w:r w:rsidR="00272B4A" w:rsidRPr="00F85148">
              <w:rPr>
                <w:rFonts w:ascii="Arial" w:hAnsi="Arial" w:cs="Arial"/>
                <w:sz w:val="23"/>
                <w:szCs w:val="23"/>
              </w:rPr>
              <w:t>.</w:t>
            </w:r>
          </w:p>
          <w:p w14:paraId="06638026" w14:textId="77777777" w:rsidR="00272B4A" w:rsidRPr="00793537" w:rsidRDefault="00272B4A" w:rsidP="00497A66">
            <w:pPr>
              <w:rPr>
                <w:rFonts w:ascii="Arial" w:hAnsi="Arial" w:cs="Arial"/>
                <w:sz w:val="12"/>
                <w:szCs w:val="12"/>
              </w:rPr>
            </w:pPr>
          </w:p>
          <w:p w14:paraId="3237F65E" w14:textId="0DBE4D6C" w:rsidR="00272B4A" w:rsidRPr="00F85148" w:rsidRDefault="00A87025" w:rsidP="00497A66">
            <w:pPr>
              <w:rPr>
                <w:rFonts w:ascii="Arial" w:hAnsi="Arial" w:cs="Arial"/>
                <w:sz w:val="23"/>
                <w:szCs w:val="23"/>
              </w:rPr>
            </w:pPr>
            <w:r w:rsidRPr="00A87025">
              <w:rPr>
                <w:rFonts w:ascii="Arial" w:hAnsi="Arial" w:cs="Arial"/>
                <w:i/>
                <w:iCs/>
              </w:rPr>
              <w:t xml:space="preserve">2021-22 investment: </w:t>
            </w:r>
            <w:r w:rsidRPr="0099694A">
              <w:rPr>
                <w:rFonts w:ascii="Arial" w:hAnsi="Arial" w:cs="Arial"/>
                <w:i/>
              </w:rPr>
              <w:t>$</w:t>
            </w:r>
            <w:r w:rsidR="006378CA" w:rsidRPr="0099694A">
              <w:rPr>
                <w:rFonts w:ascii="Arial" w:hAnsi="Arial" w:cs="Arial"/>
                <w:i/>
              </w:rPr>
              <w:t>46.3</w:t>
            </w:r>
            <w:r w:rsidRPr="0099694A">
              <w:rPr>
                <w:rFonts w:ascii="Arial" w:hAnsi="Arial" w:cs="Arial"/>
                <w:i/>
              </w:rPr>
              <w:t xml:space="preserve"> </w:t>
            </w:r>
            <w:r w:rsidR="006378CA" w:rsidRPr="0099694A">
              <w:rPr>
                <w:rFonts w:ascii="Arial" w:hAnsi="Arial" w:cs="Arial"/>
                <w:i/>
              </w:rPr>
              <w:t>m</w:t>
            </w:r>
            <w:r w:rsidRPr="0099694A">
              <w:rPr>
                <w:rFonts w:ascii="Arial" w:hAnsi="Arial" w:cs="Arial"/>
                <w:i/>
              </w:rPr>
              <w:t>illion</w:t>
            </w:r>
            <w:r w:rsidRPr="00A87025">
              <w:rPr>
                <w:rFonts w:ascii="Arial" w:hAnsi="Arial" w:cs="Arial"/>
                <w:i/>
                <w:iCs/>
              </w:rPr>
              <w:t xml:space="preserve"> </w:t>
            </w:r>
            <w:r w:rsidR="00441C39">
              <w:rPr>
                <w:rFonts w:ascii="Arial" w:hAnsi="Arial" w:cs="Arial"/>
                <w:i/>
                <w:iCs/>
              </w:rPr>
              <w:t xml:space="preserve">in </w:t>
            </w:r>
            <w:r w:rsidRPr="00A87025">
              <w:rPr>
                <w:rFonts w:ascii="Arial" w:hAnsi="Arial" w:cs="Arial"/>
                <w:i/>
                <w:iCs/>
              </w:rPr>
              <w:t xml:space="preserve">recurrent expenses &amp; </w:t>
            </w:r>
            <w:r w:rsidRPr="0099694A">
              <w:rPr>
                <w:rFonts w:ascii="Arial" w:hAnsi="Arial" w:cs="Arial"/>
                <w:i/>
              </w:rPr>
              <w:t>$</w:t>
            </w:r>
            <w:r w:rsidR="00224FC2" w:rsidRPr="0099694A">
              <w:rPr>
                <w:rFonts w:ascii="Arial" w:hAnsi="Arial" w:cs="Arial"/>
                <w:i/>
                <w:iCs/>
              </w:rPr>
              <w:t>4</w:t>
            </w:r>
            <w:r w:rsidR="00224FC2" w:rsidRPr="0099694A">
              <w:rPr>
                <w:rFonts w:ascii="Arial" w:hAnsi="Arial" w:cs="Arial"/>
                <w:i/>
              </w:rPr>
              <w:t>.2</w:t>
            </w:r>
            <w:r w:rsidRPr="0099694A">
              <w:rPr>
                <w:rFonts w:ascii="Arial" w:hAnsi="Arial" w:cs="Arial"/>
                <w:i/>
              </w:rPr>
              <w:t xml:space="preserve"> million</w:t>
            </w:r>
            <w:r w:rsidR="00441C39">
              <w:rPr>
                <w:rFonts w:ascii="Arial" w:hAnsi="Arial" w:cs="Arial"/>
                <w:i/>
                <w:iCs/>
              </w:rPr>
              <w:t xml:space="preserve"> in</w:t>
            </w:r>
            <w:r w:rsidRPr="00A87025">
              <w:rPr>
                <w:rFonts w:ascii="Arial" w:hAnsi="Arial" w:cs="Arial"/>
                <w:i/>
                <w:iCs/>
              </w:rPr>
              <w:t xml:space="preserve"> capital expenditure</w:t>
            </w:r>
          </w:p>
        </w:tc>
        <w:tc>
          <w:tcPr>
            <w:tcW w:w="274" w:type="dxa"/>
            <w:tcBorders>
              <w:top w:val="nil"/>
              <w:left w:val="nil"/>
              <w:bottom w:val="nil"/>
              <w:right w:val="nil"/>
            </w:tcBorders>
            <w:shd w:val="clear" w:color="auto" w:fill="FFFFFF" w:themeFill="background1"/>
            <w:vAlign w:val="center"/>
            <w:hideMark/>
          </w:tcPr>
          <w:p w14:paraId="27F32F58" w14:textId="77777777" w:rsidR="00272B4A" w:rsidRPr="00F85148" w:rsidRDefault="00272B4A" w:rsidP="00497A66">
            <w:pPr>
              <w:jc w:val="center"/>
              <w:rPr>
                <w:sz w:val="23"/>
                <w:szCs w:val="23"/>
              </w:rPr>
            </w:pPr>
            <w:r w:rsidRPr="00F85148">
              <w:rPr>
                <w:rFonts w:cs="Arial"/>
                <w:sz w:val="23"/>
                <w:szCs w:val="23"/>
                <w:lang w:eastAsia="en-AU"/>
              </w:rPr>
              <w:t> </w:t>
            </w:r>
          </w:p>
        </w:tc>
        <w:tc>
          <w:tcPr>
            <w:tcW w:w="4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0F767" w14:textId="71FF0B8B" w:rsidR="00631AC0" w:rsidRPr="00F85148" w:rsidRDefault="00631AC0" w:rsidP="00210ED4">
            <w:pPr>
              <w:pStyle w:val="ListParagraph"/>
              <w:numPr>
                <w:ilvl w:val="0"/>
                <w:numId w:val="17"/>
              </w:numPr>
              <w:spacing w:after="0"/>
              <w:rPr>
                <w:rFonts w:cs="Arial"/>
                <w:sz w:val="23"/>
                <w:szCs w:val="23"/>
              </w:rPr>
            </w:pPr>
            <w:r w:rsidRPr="00F85148">
              <w:rPr>
                <w:rFonts w:cs="Arial"/>
                <w:sz w:val="23"/>
                <w:szCs w:val="23"/>
              </w:rPr>
              <w:t>Performance and Financial Systems Stewardship</w:t>
            </w:r>
          </w:p>
          <w:p w14:paraId="79AB02D5" w14:textId="77777777" w:rsidR="00631AC0" w:rsidRPr="00F85148" w:rsidRDefault="00631AC0" w:rsidP="00210ED4">
            <w:pPr>
              <w:pStyle w:val="ListParagraph"/>
              <w:numPr>
                <w:ilvl w:val="0"/>
                <w:numId w:val="17"/>
              </w:numPr>
              <w:spacing w:after="0"/>
              <w:rPr>
                <w:rFonts w:cs="Arial"/>
                <w:sz w:val="23"/>
                <w:szCs w:val="23"/>
              </w:rPr>
            </w:pPr>
            <w:r w:rsidRPr="00F85148">
              <w:rPr>
                <w:rFonts w:cs="Arial"/>
                <w:sz w:val="23"/>
                <w:szCs w:val="23"/>
              </w:rPr>
              <w:t>Digitally Focussed Treasury</w:t>
            </w:r>
          </w:p>
          <w:p w14:paraId="1176469D" w14:textId="41D73F7A" w:rsidR="00272B4A" w:rsidRPr="00F85148" w:rsidRDefault="00631AC0" w:rsidP="00210ED4">
            <w:pPr>
              <w:pStyle w:val="ListParagraph"/>
              <w:numPr>
                <w:ilvl w:val="0"/>
                <w:numId w:val="17"/>
              </w:numPr>
              <w:spacing w:after="0"/>
              <w:rPr>
                <w:rFonts w:cs="Arial"/>
                <w:sz w:val="23"/>
                <w:szCs w:val="23"/>
              </w:rPr>
            </w:pPr>
            <w:r w:rsidRPr="00F85148">
              <w:rPr>
                <w:rFonts w:cs="Arial"/>
                <w:sz w:val="23"/>
                <w:szCs w:val="23"/>
              </w:rPr>
              <w:t>Highly Capable, Collaborative and Diverse Team</w:t>
            </w:r>
          </w:p>
        </w:tc>
      </w:tr>
    </w:tbl>
    <w:bookmarkEnd w:id="4"/>
    <w:p w14:paraId="06092868" w14:textId="1C3C9008" w:rsidR="008D2F4E" w:rsidRDefault="00A44996" w:rsidP="008D2F4E">
      <w:pPr>
        <w:pStyle w:val="Heading2"/>
        <w:rPr>
          <w:rFonts w:ascii="Arial" w:hAnsi="Arial" w:cs="Arial"/>
        </w:rPr>
      </w:pPr>
      <w:r>
        <w:rPr>
          <w:rFonts w:ascii="Arial" w:hAnsi="Arial" w:cs="Arial"/>
        </w:rPr>
        <w:lastRenderedPageBreak/>
        <w:t>Overview of Cluster expenses by State Outcome</w:t>
      </w:r>
    </w:p>
    <w:p w14:paraId="117349D7" w14:textId="4F87D4E7" w:rsidR="00B741E1" w:rsidRDefault="00B741E1" w:rsidP="00B741E1">
      <w:pPr>
        <w:pStyle w:val="BodyText"/>
      </w:pPr>
      <w:r>
        <w:t>A summary of expenses by State Outcome is provided in the charts below.</w:t>
      </w:r>
    </w:p>
    <w:p w14:paraId="6A86A6CE" w14:textId="5331F8EF" w:rsidR="00E06631" w:rsidRDefault="00E06631" w:rsidP="00BB3741">
      <w:pPr>
        <w:pStyle w:val="Chart91"/>
      </w:pPr>
      <w:r w:rsidRPr="00DC7B4D">
        <w:t xml:space="preserve">Recurrent expenses by </w:t>
      </w:r>
      <w:r>
        <w:t>O</w:t>
      </w:r>
      <w:r w:rsidRPr="00DC7B4D">
        <w:t>utcome 202</w:t>
      </w:r>
      <w:r>
        <w:t>1</w:t>
      </w:r>
      <w:r w:rsidRPr="00DC7B4D">
        <w:t>-2</w:t>
      </w:r>
      <w:r>
        <w:t>2</w:t>
      </w:r>
      <w:r w:rsidRPr="00DC7B4D">
        <w:t xml:space="preserve"> (dollars and %)</w:t>
      </w:r>
    </w:p>
    <w:p w14:paraId="3F27D2D9" w14:textId="7454AE28" w:rsidR="00E06631" w:rsidRDefault="00D44FF4" w:rsidP="00E06631">
      <w:pPr>
        <w:rPr>
          <w:lang w:val="en-US"/>
        </w:rPr>
      </w:pPr>
      <w:r>
        <w:rPr>
          <w:noProof/>
        </w:rPr>
        <w:drawing>
          <wp:inline distT="0" distB="0" distL="0" distR="0" wp14:anchorId="1FDD7DE6" wp14:editId="075BBB71">
            <wp:extent cx="6120765" cy="2734945"/>
            <wp:effectExtent l="0" t="0" r="0" b="0"/>
            <wp:docPr id="1" name="Chart 1" descr="Chart 9.1:  Recurrent expenses by Outcome 2021-22 (dollars and %)">
              <a:extLst xmlns:a="http://schemas.openxmlformats.org/drawingml/2006/main">
                <a:ext uri="{FF2B5EF4-FFF2-40B4-BE49-F238E27FC236}">
                  <a16:creationId xmlns:a16="http://schemas.microsoft.com/office/drawing/2014/main" id="{7F58E393-959A-44DC-98F9-6C4CB984E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93BD8C" w14:textId="4507AEA4" w:rsidR="00B5460A" w:rsidRPr="007A2E66" w:rsidRDefault="00715C40" w:rsidP="00B5460A">
      <w:pPr>
        <w:pStyle w:val="ListParagraph"/>
        <w:spacing w:after="0" w:line="240" w:lineRule="auto"/>
        <w:ind w:left="357" w:hanging="357"/>
        <w:rPr>
          <w:rFonts w:eastAsia="Times New Roman" w:cs="Arial"/>
          <w:color w:val="000000"/>
          <w:sz w:val="17"/>
          <w:szCs w:val="17"/>
          <w:lang w:eastAsia="en-AU"/>
        </w:rPr>
      </w:pPr>
      <w:r>
        <w:rPr>
          <w:rFonts w:eastAsia="Times New Roman" w:cs="Arial"/>
          <w:color w:val="000000"/>
          <w:sz w:val="17"/>
          <w:szCs w:val="17"/>
          <w:lang w:eastAsia="en-AU"/>
        </w:rPr>
        <w:t xml:space="preserve">Note: </w:t>
      </w:r>
      <w:r w:rsidR="00B5460A" w:rsidRPr="007A2E66">
        <w:rPr>
          <w:rFonts w:eastAsia="Times New Roman" w:cs="Arial"/>
          <w:color w:val="000000"/>
          <w:sz w:val="17"/>
          <w:szCs w:val="17"/>
          <w:lang w:eastAsia="en-AU"/>
        </w:rPr>
        <w:t>Grouped for presentation purposes, “Other State Outcomes” comprises:</w:t>
      </w:r>
    </w:p>
    <w:p w14:paraId="52C3A3A4" w14:textId="1DCA5A61" w:rsidR="007D27A8" w:rsidRPr="007D27A8" w:rsidRDefault="007D27A8" w:rsidP="00F379D7">
      <w:pPr>
        <w:pStyle w:val="ListParagraph"/>
        <w:numPr>
          <w:ilvl w:val="0"/>
          <w:numId w:val="31"/>
        </w:numPr>
        <w:spacing w:after="0" w:line="240" w:lineRule="auto"/>
        <w:ind w:left="1083" w:hanging="357"/>
        <w:rPr>
          <w:rFonts w:eastAsia="Times New Roman" w:cs="Arial"/>
          <w:color w:val="000000"/>
          <w:sz w:val="17"/>
          <w:szCs w:val="17"/>
          <w:lang w:eastAsia="en-AU"/>
        </w:rPr>
      </w:pPr>
      <w:r w:rsidRPr="007D27A8">
        <w:rPr>
          <w:rFonts w:cs="Arial"/>
          <w:color w:val="000000"/>
          <w:sz w:val="17"/>
          <w:szCs w:val="17"/>
          <w:lang w:eastAsia="zh-TW"/>
        </w:rPr>
        <w:t xml:space="preserve">A strong, </w:t>
      </w:r>
      <w:proofErr w:type="gramStart"/>
      <w:r w:rsidRPr="007D27A8">
        <w:rPr>
          <w:rFonts w:cs="Arial"/>
          <w:color w:val="000000"/>
          <w:sz w:val="17"/>
          <w:szCs w:val="17"/>
          <w:lang w:eastAsia="zh-TW"/>
        </w:rPr>
        <w:t>resilient</w:t>
      </w:r>
      <w:proofErr w:type="gramEnd"/>
      <w:r w:rsidRPr="007D27A8">
        <w:rPr>
          <w:rFonts w:cs="Arial"/>
          <w:color w:val="000000"/>
          <w:sz w:val="17"/>
          <w:szCs w:val="17"/>
          <w:lang w:eastAsia="zh-TW"/>
        </w:rPr>
        <w:t xml:space="preserve"> and diverse economy</w:t>
      </w:r>
      <w:r w:rsidRPr="007D27A8">
        <w:rPr>
          <w:rFonts w:cs="Arial"/>
          <w:sz w:val="17"/>
          <w:szCs w:val="17"/>
        </w:rPr>
        <w:t xml:space="preserve"> </w:t>
      </w:r>
    </w:p>
    <w:p w14:paraId="5C1F6425" w14:textId="043231CF" w:rsidR="00B5460A" w:rsidRPr="00B5460A" w:rsidRDefault="00B5460A" w:rsidP="00B61C7F">
      <w:pPr>
        <w:pStyle w:val="ListParagraph"/>
        <w:numPr>
          <w:ilvl w:val="0"/>
          <w:numId w:val="31"/>
        </w:numPr>
        <w:spacing w:after="240" w:line="240" w:lineRule="auto"/>
        <w:ind w:left="1083" w:hanging="357"/>
        <w:contextualSpacing w:val="0"/>
        <w:rPr>
          <w:rFonts w:cs="Arial"/>
          <w:color w:val="000000"/>
          <w:sz w:val="17"/>
          <w:szCs w:val="17"/>
          <w:lang w:eastAsia="zh-TW"/>
        </w:rPr>
      </w:pPr>
      <w:r w:rsidRPr="008E2855">
        <w:rPr>
          <w:rFonts w:cs="Arial"/>
          <w:color w:val="000000"/>
          <w:sz w:val="17"/>
          <w:szCs w:val="17"/>
          <w:lang w:eastAsia="zh-TW"/>
        </w:rPr>
        <w:t>Stewardship of the public sector performance and financial system</w:t>
      </w:r>
      <w:r>
        <w:rPr>
          <w:rFonts w:cs="Arial"/>
          <w:color w:val="000000"/>
          <w:sz w:val="17"/>
          <w:szCs w:val="17"/>
          <w:lang w:eastAsia="zh-TW"/>
        </w:rPr>
        <w:t>.</w:t>
      </w:r>
    </w:p>
    <w:p w14:paraId="0C2AFF65" w14:textId="77777777" w:rsidR="00E06631" w:rsidRDefault="00E06631" w:rsidP="00BB3741">
      <w:pPr>
        <w:pStyle w:val="Chart91"/>
        <w:spacing w:before="360"/>
      </w:pPr>
      <w:r>
        <w:t>Capital expenditure by Outcome 2021-22</w:t>
      </w:r>
      <w:r w:rsidRPr="00DC7B4D">
        <w:t xml:space="preserve"> (dollars and %)</w:t>
      </w:r>
    </w:p>
    <w:p w14:paraId="602D3E7A" w14:textId="60023F4C" w:rsidR="009568C8" w:rsidRPr="009568C8" w:rsidRDefault="009A726B" w:rsidP="009568C8">
      <w:pPr>
        <w:pStyle w:val="ListParagraph"/>
        <w:spacing w:after="0" w:line="240" w:lineRule="auto"/>
        <w:ind w:left="357" w:hanging="357"/>
        <w:rPr>
          <w:rFonts w:eastAsia="Times New Roman" w:cs="Arial"/>
          <w:color w:val="000000"/>
          <w:sz w:val="17"/>
          <w:szCs w:val="17"/>
          <w:lang w:eastAsia="en-AU"/>
        </w:rPr>
      </w:pPr>
      <w:r>
        <w:rPr>
          <w:noProof/>
        </w:rPr>
        <w:drawing>
          <wp:inline distT="0" distB="0" distL="0" distR="0" wp14:anchorId="51432997" wp14:editId="72E56403">
            <wp:extent cx="6120765" cy="2741930"/>
            <wp:effectExtent l="0" t="0" r="0" b="0"/>
            <wp:docPr id="4" name="Chart 4" descr="Chart 9.2:  Capital expenditure by Outcome 2021-22 (dollars and %)">
              <a:extLst xmlns:a="http://schemas.openxmlformats.org/drawingml/2006/main">
                <a:ext uri="{FF2B5EF4-FFF2-40B4-BE49-F238E27FC236}">
                  <a16:creationId xmlns:a16="http://schemas.microsoft.com/office/drawing/2014/main" id="{18E286F8-3BE5-492D-A181-FF6D2D0CA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8B20F9" w14:textId="3012209E" w:rsidR="008D2F4E" w:rsidRPr="002B2416" w:rsidRDefault="009568C8" w:rsidP="009568C8">
      <w:pPr>
        <w:pStyle w:val="ListParagraph"/>
        <w:spacing w:after="0" w:line="240" w:lineRule="auto"/>
        <w:ind w:left="357" w:hanging="357"/>
        <w:rPr>
          <w:rFonts w:cs="Arial"/>
        </w:rPr>
      </w:pPr>
      <w:r w:rsidRPr="009568C8">
        <w:rPr>
          <w:rFonts w:eastAsia="Times New Roman" w:cs="Arial"/>
          <w:color w:val="000000"/>
          <w:sz w:val="17"/>
          <w:szCs w:val="17"/>
          <w:lang w:eastAsia="en-AU"/>
        </w:rPr>
        <w:t>Note: The sum of percentages does not equal one hundred due to rounding.</w:t>
      </w:r>
      <w:r w:rsidR="008D2F4E" w:rsidRPr="005B047F">
        <w:rPr>
          <w:rFonts w:cs="Arial"/>
        </w:rPr>
        <w:br w:type="page"/>
      </w:r>
    </w:p>
    <w:p w14:paraId="4D0B1693" w14:textId="49BAC8FB" w:rsidR="000D308F" w:rsidRDefault="00DA6630" w:rsidP="00210ED4">
      <w:pPr>
        <w:pStyle w:val="Heading2"/>
        <w:numPr>
          <w:ilvl w:val="0"/>
          <w:numId w:val="18"/>
        </w:numPr>
      </w:pPr>
      <w:r>
        <w:lastRenderedPageBreak/>
        <w:t xml:space="preserve">Outcome 1: </w:t>
      </w:r>
      <w:r w:rsidR="00631AC0">
        <w:t xml:space="preserve">A strong, </w:t>
      </w:r>
      <w:proofErr w:type="gramStart"/>
      <w:r w:rsidR="00631AC0">
        <w:t>resilient</w:t>
      </w:r>
      <w:proofErr w:type="gramEnd"/>
      <w:r w:rsidR="00631AC0">
        <w:t xml:space="preserve"> and diverse economy</w:t>
      </w:r>
    </w:p>
    <w:tbl>
      <w:tblPr>
        <w:tblpPr w:leftFromText="180" w:rightFromText="180" w:vertAnchor="text" w:horzAnchor="margin" w:tblpXSpec="right" w:tblpY="643"/>
        <w:tblW w:w="1716" w:type="pct"/>
        <w:shd w:val="clear" w:color="auto" w:fill="F2F2F2" w:themeFill="background1" w:themeFillShade="F2"/>
        <w:tblCellMar>
          <w:left w:w="115" w:type="dxa"/>
          <w:right w:w="115" w:type="dxa"/>
        </w:tblCellMar>
        <w:tblLook w:val="04A0" w:firstRow="1" w:lastRow="0" w:firstColumn="1" w:lastColumn="0" w:noHBand="0" w:noVBand="1"/>
        <w:tblCaption w:val="9.3  Outcome 1: A strong, resilient and diverse economy"/>
        <w:tblDescription w:val="Outcome 1: A strong, resilient and diverse economy"/>
      </w:tblPr>
      <w:tblGrid>
        <w:gridCol w:w="1144"/>
        <w:gridCol w:w="967"/>
        <w:gridCol w:w="1197"/>
      </w:tblGrid>
      <w:tr w:rsidR="00F84303" w:rsidRPr="00F8244B" w14:paraId="73F58A43" w14:textId="77777777" w:rsidTr="00E899EA">
        <w:trPr>
          <w:cantSplit/>
          <w:trHeight w:val="784"/>
        </w:trPr>
        <w:tc>
          <w:tcPr>
            <w:tcW w:w="1729" w:type="pct"/>
            <w:shd w:val="clear" w:color="auto" w:fill="F2F2F2" w:themeFill="background1" w:themeFillShade="F2"/>
            <w:vAlign w:val="center"/>
          </w:tcPr>
          <w:p w14:paraId="3D6DE60F" w14:textId="216F3275" w:rsidR="00F84303" w:rsidRPr="00F8244B" w:rsidRDefault="00F84303" w:rsidP="00F84303">
            <w:pPr>
              <w:spacing w:before="120" w:after="120"/>
              <w:rPr>
                <w:rFonts w:ascii="Arial" w:hAnsi="Arial" w:cs="Arial"/>
                <w:sz w:val="23"/>
                <w:szCs w:val="23"/>
              </w:rPr>
            </w:pPr>
            <w:r>
              <w:rPr>
                <w:rFonts w:ascii="Arial" w:hAnsi="Arial" w:cs="Arial"/>
                <w:noProof/>
              </w:rPr>
              <w:drawing>
                <wp:inline distT="0" distB="0" distL="0" distR="0" wp14:anchorId="41EF85E6" wp14:editId="1CF0A8C4">
                  <wp:extent cx="518160" cy="518400"/>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3C1FB36D" w14:textId="007ED1A7" w:rsidR="00F84303" w:rsidRPr="00F8244B" w:rsidRDefault="00F84303" w:rsidP="00F84303">
            <w:pPr>
              <w:spacing w:before="120" w:after="120"/>
              <w:jc w:val="center"/>
              <w:rPr>
                <w:rFonts w:ascii="Arial" w:hAnsi="Arial" w:cs="Arial"/>
                <w:color w:val="00ABE6"/>
                <w:sz w:val="18"/>
                <w:szCs w:val="18"/>
              </w:rPr>
            </w:pPr>
            <w:r w:rsidRPr="005E0E60">
              <w:rPr>
                <w:rFonts w:ascii="Arial" w:hAnsi="Arial" w:cs="Arial"/>
                <w:color w:val="008EBA"/>
                <w:sz w:val="18"/>
                <w:szCs w:val="18"/>
              </w:rPr>
              <w:t>$</w:t>
            </w:r>
            <w:r w:rsidR="00600B29" w:rsidRPr="005E0E60">
              <w:rPr>
                <w:rFonts w:ascii="Arial" w:hAnsi="Arial" w:cs="Arial"/>
                <w:color w:val="008EBA"/>
                <w:sz w:val="18"/>
                <w:szCs w:val="18"/>
              </w:rPr>
              <w:t>483.2</w:t>
            </w:r>
            <w:r w:rsidRPr="005E0E60">
              <w:rPr>
                <w:rFonts w:ascii="Arial" w:hAnsi="Arial" w:cs="Arial"/>
                <w:color w:val="008EBA"/>
                <w:sz w:val="18"/>
                <w:szCs w:val="18"/>
              </w:rPr>
              <w:t xml:space="preserve"> </w:t>
            </w:r>
            <w:r w:rsidRPr="005E0E60">
              <w:rPr>
                <w:rFonts w:ascii="Arial" w:hAnsi="Arial" w:cs="Arial"/>
                <w:color w:val="008EBA"/>
                <w:sz w:val="18"/>
                <w:szCs w:val="18"/>
              </w:rPr>
              <w:br/>
            </w:r>
            <w:r w:rsidR="006B5EC4" w:rsidRPr="005E0E60">
              <w:rPr>
                <w:rFonts w:ascii="Arial" w:hAnsi="Arial" w:cs="Arial"/>
                <w:color w:val="008EBA"/>
                <w:sz w:val="18"/>
                <w:szCs w:val="18"/>
              </w:rPr>
              <w:t>m</w:t>
            </w:r>
            <w:r w:rsidRPr="005E0E60">
              <w:rPr>
                <w:rFonts w:ascii="Arial" w:hAnsi="Arial" w:cs="Arial"/>
                <w:color w:val="008EBA"/>
                <w:sz w:val="18"/>
                <w:szCs w:val="18"/>
              </w:rPr>
              <w:t>illion</w:t>
            </w:r>
          </w:p>
        </w:tc>
        <w:tc>
          <w:tcPr>
            <w:tcW w:w="1809" w:type="pct"/>
            <w:shd w:val="clear" w:color="auto" w:fill="F2F2F2" w:themeFill="background1" w:themeFillShade="F2"/>
            <w:vAlign w:val="center"/>
          </w:tcPr>
          <w:p w14:paraId="3CA70898" w14:textId="77777777" w:rsidR="00F84303" w:rsidRPr="00987F42" w:rsidRDefault="00F84303" w:rsidP="00F84303">
            <w:pPr>
              <w:rPr>
                <w:rFonts w:ascii="Arial" w:hAnsi="Arial" w:cs="Arial"/>
                <w:color w:val="008EBA"/>
                <w:sz w:val="18"/>
                <w:szCs w:val="18"/>
              </w:rPr>
            </w:pPr>
            <w:r w:rsidRPr="00987F42">
              <w:rPr>
                <w:rFonts w:ascii="Arial" w:hAnsi="Arial" w:cs="Arial"/>
                <w:color w:val="008EBA"/>
                <w:sz w:val="18"/>
                <w:szCs w:val="18"/>
              </w:rPr>
              <w:t>Recurrent</w:t>
            </w:r>
          </w:p>
          <w:p w14:paraId="27333E9B" w14:textId="6F018F6D" w:rsidR="00F84303" w:rsidRPr="00F8244B" w:rsidRDefault="00F84303" w:rsidP="00F84303">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F84303" w:rsidRPr="00F8244B" w14:paraId="63F6EB46" w14:textId="77777777" w:rsidTr="00E899EA">
        <w:trPr>
          <w:cantSplit/>
          <w:trHeight w:val="784"/>
        </w:trPr>
        <w:tc>
          <w:tcPr>
            <w:tcW w:w="1729" w:type="pct"/>
            <w:shd w:val="clear" w:color="auto" w:fill="F2F2F2" w:themeFill="background1" w:themeFillShade="F2"/>
            <w:vAlign w:val="center"/>
          </w:tcPr>
          <w:p w14:paraId="2DC610E5" w14:textId="4ACB656F" w:rsidR="00F84303" w:rsidRPr="00F8244B" w:rsidRDefault="00F84303" w:rsidP="00F84303">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77FF21FF" wp14:editId="11C82934">
                  <wp:extent cx="518160" cy="518400"/>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282F20B" w14:textId="33FE85CC" w:rsidR="00F84303" w:rsidRPr="00F8244B" w:rsidRDefault="00334D9A" w:rsidP="00F84303">
            <w:pPr>
              <w:spacing w:before="120" w:after="120"/>
              <w:jc w:val="center"/>
              <w:rPr>
                <w:rFonts w:ascii="Arial" w:hAnsi="Arial" w:cs="Arial"/>
                <w:color w:val="00ABE6"/>
                <w:sz w:val="18"/>
                <w:szCs w:val="18"/>
              </w:rPr>
            </w:pPr>
            <w:r w:rsidRPr="0099694A">
              <w:rPr>
                <w:rFonts w:ascii="Arial" w:hAnsi="Arial" w:cs="Arial"/>
                <w:color w:val="008EBA"/>
                <w:sz w:val="18"/>
                <w:szCs w:val="18"/>
              </w:rPr>
              <w:t>$5.1</w:t>
            </w:r>
            <w:r w:rsidR="00F84303" w:rsidRPr="0099694A">
              <w:rPr>
                <w:rFonts w:ascii="Arial" w:hAnsi="Arial" w:cs="Arial"/>
                <w:color w:val="008EBA"/>
                <w:sz w:val="18"/>
                <w:szCs w:val="18"/>
              </w:rPr>
              <w:t xml:space="preserve"> </w:t>
            </w:r>
            <w:r w:rsidR="00F84303" w:rsidRPr="0099694A">
              <w:rPr>
                <w:rFonts w:ascii="Arial" w:hAnsi="Arial" w:cs="Arial"/>
                <w:color w:val="008EBA"/>
                <w:sz w:val="18"/>
                <w:szCs w:val="18"/>
              </w:rPr>
              <w:br/>
            </w:r>
            <w:r w:rsidR="00AD5EE5" w:rsidRPr="0099694A">
              <w:rPr>
                <w:rFonts w:ascii="Arial" w:hAnsi="Arial" w:cs="Arial"/>
                <w:color w:val="008EBA"/>
                <w:sz w:val="18"/>
                <w:szCs w:val="18"/>
              </w:rPr>
              <w:t>m</w:t>
            </w:r>
            <w:r w:rsidR="00F84303" w:rsidRPr="0099694A">
              <w:rPr>
                <w:rFonts w:ascii="Arial" w:hAnsi="Arial" w:cs="Arial"/>
                <w:color w:val="008EBA"/>
                <w:sz w:val="18"/>
                <w:szCs w:val="18"/>
              </w:rPr>
              <w:t>illion</w:t>
            </w:r>
          </w:p>
        </w:tc>
        <w:tc>
          <w:tcPr>
            <w:tcW w:w="1809" w:type="pct"/>
            <w:shd w:val="clear" w:color="auto" w:fill="F2F2F2" w:themeFill="background1" w:themeFillShade="F2"/>
            <w:vAlign w:val="center"/>
          </w:tcPr>
          <w:p w14:paraId="148C431A" w14:textId="1616FC09" w:rsidR="00F84303" w:rsidRPr="00F8244B" w:rsidRDefault="00F84303" w:rsidP="00F84303">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4FADCF9E" w14:textId="77C2377D" w:rsidR="00E633CC" w:rsidRPr="003A0DAC" w:rsidRDefault="00E633CC" w:rsidP="00E633CC">
      <w:pPr>
        <w:pStyle w:val="Heading3"/>
        <w:rPr>
          <w:rFonts w:cs="Arial"/>
        </w:rPr>
      </w:pPr>
      <w:r w:rsidRPr="003A0DAC">
        <w:rPr>
          <w:rFonts w:cs="Arial"/>
        </w:rPr>
        <w:t>State Outcome overview and 202</w:t>
      </w:r>
      <w:r w:rsidR="00877334">
        <w:rPr>
          <w:rFonts w:cs="Arial"/>
        </w:rPr>
        <w:t>1</w:t>
      </w:r>
      <w:r w:rsidRPr="003A0DAC">
        <w:rPr>
          <w:rFonts w:cs="Arial"/>
        </w:rPr>
        <w:t>-2</w:t>
      </w:r>
      <w:r w:rsidR="00877334">
        <w:rPr>
          <w:rFonts w:cs="Arial"/>
        </w:rPr>
        <w:t>2</w:t>
      </w:r>
      <w:r w:rsidRPr="003A0DAC">
        <w:rPr>
          <w:rFonts w:cs="Arial"/>
        </w:rPr>
        <w:t xml:space="preserve"> investment</w:t>
      </w:r>
    </w:p>
    <w:p w14:paraId="44B1CCBA" w14:textId="3B113C81" w:rsidR="00631AC0" w:rsidRPr="00AD23D9" w:rsidRDefault="00631AC0" w:rsidP="009E4B03">
      <w:pPr>
        <w:pStyle w:val="BodyText"/>
      </w:pPr>
      <w:r w:rsidRPr="00AD23D9">
        <w:t xml:space="preserve">New South Wales is Australia’s largest state economy, accounting for around a third of the nation’s economic output and home to nearly a third of Australians. </w:t>
      </w:r>
    </w:p>
    <w:p w14:paraId="5C594830" w14:textId="07648A5F" w:rsidR="00265AAE" w:rsidRDefault="00631AC0" w:rsidP="009E4B03">
      <w:pPr>
        <w:pStyle w:val="BodyText"/>
      </w:pPr>
      <w:r w:rsidRPr="00AD23D9">
        <w:t xml:space="preserve">Treasury is the Government’s chief </w:t>
      </w:r>
      <w:r w:rsidR="1F6A9F38" w:rsidRPr="00AD23D9">
        <w:t xml:space="preserve">economic </w:t>
      </w:r>
      <w:r w:rsidRPr="00AD23D9">
        <w:t>advisor</w:t>
      </w:r>
      <w:r w:rsidR="008D5196" w:rsidRPr="00AD23D9">
        <w:t>, leading advice on</w:t>
      </w:r>
      <w:r w:rsidRPr="00AD23D9">
        <w:t xml:space="preserve"> </w:t>
      </w:r>
      <w:r w:rsidR="09EE4532" w:rsidRPr="00AD23D9">
        <w:t>economic policy,</w:t>
      </w:r>
      <w:r w:rsidRPr="00AD23D9">
        <w:t xml:space="preserve"> productivity, economic analysis</w:t>
      </w:r>
      <w:r w:rsidR="5D4CC428" w:rsidRPr="00AD23D9">
        <w:t xml:space="preserve">, tax policy </w:t>
      </w:r>
      <w:r w:rsidR="008D5196" w:rsidRPr="00AD23D9">
        <w:t xml:space="preserve">and </w:t>
      </w:r>
      <w:r w:rsidR="5D4CC428" w:rsidRPr="00AD23D9">
        <w:t>better regulation</w:t>
      </w:r>
      <w:r w:rsidR="00793382" w:rsidRPr="00AD23D9">
        <w:t>. Treasury</w:t>
      </w:r>
      <w:r w:rsidRPr="00AD23D9">
        <w:t xml:space="preserve"> contributes to a strong, </w:t>
      </w:r>
      <w:proofErr w:type="gramStart"/>
      <w:r w:rsidRPr="00AD23D9">
        <w:t>resilient</w:t>
      </w:r>
      <w:proofErr w:type="gramEnd"/>
      <w:r w:rsidRPr="00AD23D9">
        <w:t xml:space="preserve"> and diverse economy through economic and productivity reform</w:t>
      </w:r>
      <w:r w:rsidR="00EB562F" w:rsidRPr="00AD23D9">
        <w:t>.</w:t>
      </w:r>
    </w:p>
    <w:p w14:paraId="12ABAA94" w14:textId="5A9A76F9" w:rsidR="00843088" w:rsidRPr="00843088" w:rsidRDefault="00E633CC" w:rsidP="00843088">
      <w:pPr>
        <w:pStyle w:val="Heading3"/>
        <w:rPr>
          <w:rFonts w:cs="Arial"/>
        </w:rPr>
      </w:pPr>
      <w:r w:rsidRPr="000101AC">
        <w:rPr>
          <w:rFonts w:cs="Arial"/>
        </w:rPr>
        <w:t>202</w:t>
      </w:r>
      <w:r w:rsidR="00877334">
        <w:rPr>
          <w:rFonts w:cs="Arial"/>
        </w:rPr>
        <w:t>1</w:t>
      </w:r>
      <w:r w:rsidRPr="000101AC">
        <w:rPr>
          <w:rFonts w:cs="Arial"/>
        </w:rPr>
        <w:t>-2</w:t>
      </w:r>
      <w:r w:rsidR="00877334">
        <w:rPr>
          <w:rFonts w:cs="Arial"/>
        </w:rPr>
        <w:t>2</w:t>
      </w:r>
      <w:r w:rsidRPr="000101AC">
        <w:rPr>
          <w:rFonts w:cs="Arial"/>
        </w:rPr>
        <w:t xml:space="preserve"> </w:t>
      </w:r>
      <w:r w:rsidR="00DA6630">
        <w:rPr>
          <w:rFonts w:cs="Arial"/>
        </w:rPr>
        <w:t xml:space="preserve">State Outcome </w:t>
      </w:r>
      <w:r w:rsidRPr="000101AC">
        <w:rPr>
          <w:rFonts w:cs="Arial"/>
        </w:rPr>
        <w:t xml:space="preserve">Budget </w:t>
      </w:r>
      <w:r w:rsidR="00DA6630">
        <w:rPr>
          <w:rFonts w:cs="Arial"/>
        </w:rPr>
        <w:t>h</w:t>
      </w:r>
      <w:r w:rsidRPr="000101AC">
        <w:rPr>
          <w:rFonts w:cs="Arial"/>
        </w:rPr>
        <w:t xml:space="preserve">ighlights </w:t>
      </w:r>
      <w:bookmarkStart w:id="5" w:name="_Hlk7525578"/>
    </w:p>
    <w:bookmarkEnd w:id="5"/>
    <w:p w14:paraId="6AD03C80" w14:textId="1E281B9A" w:rsidR="00576BFA" w:rsidRPr="008D3DAB" w:rsidRDefault="00576BFA" w:rsidP="009E4B03">
      <w:pPr>
        <w:pStyle w:val="BodyText"/>
      </w:pPr>
      <w:r w:rsidRPr="008D3DAB">
        <w:t>In 202</w:t>
      </w:r>
      <w:r w:rsidR="00FA5DF0">
        <w:t>1</w:t>
      </w:r>
      <w:r w:rsidRPr="008D3DAB">
        <w:t>-2</w:t>
      </w:r>
      <w:r w:rsidR="00FA5DF0">
        <w:t>2</w:t>
      </w:r>
      <w:r w:rsidRPr="008D3DAB">
        <w:t xml:space="preserve">, the </w:t>
      </w:r>
      <w:r w:rsidR="00631AC0">
        <w:t>Treasury</w:t>
      </w:r>
      <w:r w:rsidRPr="008D3DAB">
        <w:t xml:space="preserve"> </w:t>
      </w:r>
      <w:r w:rsidR="0082311F">
        <w:t>C</w:t>
      </w:r>
      <w:r w:rsidRPr="006F6CD0">
        <w:t xml:space="preserve">luster will </w:t>
      </w:r>
      <w:r w:rsidRPr="006112EA">
        <w:t>invest $</w:t>
      </w:r>
      <w:r w:rsidR="00642AB5" w:rsidRPr="006112EA">
        <w:t>48</w:t>
      </w:r>
      <w:r w:rsidR="00D5672D" w:rsidRPr="006112EA">
        <w:t>8</w:t>
      </w:r>
      <w:r w:rsidR="00642AB5" w:rsidRPr="006112EA">
        <w:t>.</w:t>
      </w:r>
      <w:r w:rsidR="00263D04" w:rsidRPr="006112EA">
        <w:t>2</w:t>
      </w:r>
      <w:r w:rsidRPr="006112EA">
        <w:t xml:space="preserve"> </w:t>
      </w:r>
      <w:r w:rsidR="003736BC" w:rsidRPr="006112EA">
        <w:t>m</w:t>
      </w:r>
      <w:r w:rsidRPr="006112EA">
        <w:t>illion ($</w:t>
      </w:r>
      <w:r w:rsidR="00221B14" w:rsidRPr="006112EA">
        <w:t>4</w:t>
      </w:r>
      <w:r w:rsidR="003E3D34" w:rsidRPr="006112EA">
        <w:t>83.2</w:t>
      </w:r>
      <w:r w:rsidRPr="006112EA">
        <w:t xml:space="preserve"> </w:t>
      </w:r>
      <w:r w:rsidR="00221B14" w:rsidRPr="006112EA">
        <w:t>m</w:t>
      </w:r>
      <w:r w:rsidRPr="006112EA">
        <w:t xml:space="preserve">illion recurrent expenses and </w:t>
      </w:r>
      <w:r w:rsidR="003E3D34" w:rsidRPr="006112EA">
        <w:t>$5.1</w:t>
      </w:r>
      <w:r w:rsidRPr="006112EA">
        <w:t xml:space="preserve"> million capital expenditure) </w:t>
      </w:r>
      <w:r w:rsidR="00F04880" w:rsidRPr="006112EA">
        <w:t>in this Outcome</w:t>
      </w:r>
      <w:r w:rsidR="0012629C" w:rsidRPr="006112EA">
        <w:t>,</w:t>
      </w:r>
      <w:r w:rsidR="002863CC" w:rsidRPr="006112EA">
        <w:t xml:space="preserve"> </w:t>
      </w:r>
      <w:r w:rsidRPr="006112EA">
        <w:t>including</w:t>
      </w:r>
      <w:r w:rsidR="00032D68" w:rsidRPr="006112EA">
        <w:t>:</w:t>
      </w:r>
    </w:p>
    <w:p w14:paraId="1DB234A6" w14:textId="54E1419F" w:rsidR="00E21148" w:rsidRDefault="00E21148" w:rsidP="00D52657">
      <w:pPr>
        <w:pStyle w:val="Bullet1"/>
        <w:rPr>
          <w:rFonts w:eastAsia="Arial"/>
        </w:rPr>
      </w:pPr>
      <w:r w:rsidRPr="001017F7">
        <w:rPr>
          <w:rFonts w:eastAsia="Arial"/>
        </w:rPr>
        <w:t>$9.8 million ($39.3 million</w:t>
      </w:r>
      <w:r w:rsidR="00522E1C" w:rsidRPr="001017F7">
        <w:rPr>
          <w:rFonts w:eastAsia="Arial"/>
        </w:rPr>
        <w:t xml:space="preserve"> </w:t>
      </w:r>
      <w:r w:rsidR="000852BC" w:rsidRPr="001017F7">
        <w:rPr>
          <w:rFonts w:eastAsia="Arial"/>
        </w:rPr>
        <w:t>recurrent expenses</w:t>
      </w:r>
      <w:r w:rsidRPr="001017F7">
        <w:rPr>
          <w:rFonts w:eastAsia="Arial"/>
        </w:rPr>
        <w:t xml:space="preserve"> over four years) for the Business Connect Program which provides professional business advice</w:t>
      </w:r>
      <w:r w:rsidRPr="003F5195">
        <w:rPr>
          <w:rFonts w:eastAsia="Arial"/>
        </w:rPr>
        <w:t xml:space="preserve"> for small businesses across New</w:t>
      </w:r>
      <w:r w:rsidR="009C2320">
        <w:rPr>
          <w:rFonts w:eastAsia="Arial"/>
        </w:rPr>
        <w:t> </w:t>
      </w:r>
      <w:r w:rsidRPr="003F5195">
        <w:rPr>
          <w:rFonts w:eastAsia="Arial"/>
        </w:rPr>
        <w:t xml:space="preserve">South Wales to support them to start, run, </w:t>
      </w:r>
      <w:proofErr w:type="gramStart"/>
      <w:r w:rsidRPr="003F5195">
        <w:rPr>
          <w:rFonts w:eastAsia="Arial"/>
        </w:rPr>
        <w:t>adapt</w:t>
      </w:r>
      <w:proofErr w:type="gramEnd"/>
      <w:r w:rsidRPr="003F5195">
        <w:rPr>
          <w:rFonts w:eastAsia="Arial"/>
        </w:rPr>
        <w:t xml:space="preserve"> and grow</w:t>
      </w:r>
    </w:p>
    <w:p w14:paraId="661812F1" w14:textId="3780B3DF" w:rsidR="0041486D" w:rsidRPr="003F5195" w:rsidRDefault="00A86D54" w:rsidP="00D52657">
      <w:pPr>
        <w:pStyle w:val="Bullet1"/>
        <w:rPr>
          <w:rFonts w:eastAsia="Arial"/>
        </w:rPr>
      </w:pPr>
      <w:r>
        <w:rPr>
          <w:rFonts w:eastAsia="Arial"/>
        </w:rPr>
        <w:t>$8.9 million ($</w:t>
      </w:r>
      <w:r w:rsidR="00FD3A8D">
        <w:rPr>
          <w:rFonts w:eastAsia="Arial"/>
        </w:rPr>
        <w:t>13.7</w:t>
      </w:r>
      <w:r>
        <w:rPr>
          <w:rFonts w:eastAsia="Arial"/>
        </w:rPr>
        <w:t xml:space="preserve"> million </w:t>
      </w:r>
      <w:r w:rsidR="00A35251">
        <w:rPr>
          <w:rFonts w:eastAsia="Arial"/>
        </w:rPr>
        <w:t xml:space="preserve">in </w:t>
      </w:r>
      <w:r>
        <w:rPr>
          <w:rFonts w:eastAsia="Arial"/>
        </w:rPr>
        <w:t>recur</w:t>
      </w:r>
      <w:r w:rsidR="00F12713">
        <w:rPr>
          <w:rFonts w:eastAsia="Arial"/>
        </w:rPr>
        <w:t xml:space="preserve">rent </w:t>
      </w:r>
      <w:r w:rsidR="00A35251">
        <w:rPr>
          <w:rFonts w:eastAsia="Arial"/>
        </w:rPr>
        <w:t xml:space="preserve">expenses </w:t>
      </w:r>
      <w:r w:rsidR="00F12713">
        <w:rPr>
          <w:rFonts w:eastAsia="Arial"/>
        </w:rPr>
        <w:t>and $1</w:t>
      </w:r>
      <w:r w:rsidR="0078721B">
        <w:rPr>
          <w:rFonts w:eastAsia="Arial"/>
        </w:rPr>
        <w:t>.0</w:t>
      </w:r>
      <w:r w:rsidR="00F12713">
        <w:rPr>
          <w:rFonts w:eastAsia="Arial"/>
        </w:rPr>
        <w:t xml:space="preserve"> million in capital</w:t>
      </w:r>
      <w:r w:rsidR="00FD3A8D">
        <w:rPr>
          <w:rFonts w:eastAsia="Arial"/>
        </w:rPr>
        <w:t xml:space="preserve"> over four years) for </w:t>
      </w:r>
      <w:proofErr w:type="gramStart"/>
      <w:r w:rsidR="00FD3A8D">
        <w:rPr>
          <w:rFonts w:eastAsia="Arial"/>
        </w:rPr>
        <w:t>a number of</w:t>
      </w:r>
      <w:proofErr w:type="gramEnd"/>
      <w:r w:rsidR="00FD3A8D">
        <w:rPr>
          <w:rFonts w:eastAsia="Arial"/>
        </w:rPr>
        <w:t xml:space="preserve"> productivity initia</w:t>
      </w:r>
      <w:r w:rsidR="00FD44E1">
        <w:rPr>
          <w:rFonts w:eastAsia="Arial"/>
        </w:rPr>
        <w:t>ti</w:t>
      </w:r>
      <w:r w:rsidR="00FD3A8D">
        <w:rPr>
          <w:rFonts w:eastAsia="Arial"/>
        </w:rPr>
        <w:t>ves to support</w:t>
      </w:r>
      <w:r w:rsidR="008269B2">
        <w:rPr>
          <w:rFonts w:eastAsia="Arial"/>
        </w:rPr>
        <w:t xml:space="preserve"> economic recovery </w:t>
      </w:r>
      <w:r w:rsidR="00A35251">
        <w:rPr>
          <w:rFonts w:eastAsia="Arial"/>
        </w:rPr>
        <w:t>post COVID-19</w:t>
      </w:r>
      <w:r w:rsidR="00FD3A8D">
        <w:rPr>
          <w:rFonts w:eastAsia="Arial"/>
        </w:rPr>
        <w:t xml:space="preserve"> </w:t>
      </w:r>
      <w:r w:rsidR="00F12713">
        <w:rPr>
          <w:rFonts w:eastAsia="Arial"/>
        </w:rPr>
        <w:t xml:space="preserve"> </w:t>
      </w:r>
    </w:p>
    <w:p w14:paraId="63C81218" w14:textId="0F042D2F" w:rsidR="0054381D" w:rsidRPr="001017F7" w:rsidRDefault="0054381D" w:rsidP="000E13A7">
      <w:pPr>
        <w:pStyle w:val="Bullet1"/>
        <w:rPr>
          <w:rFonts w:eastAsia="Arial"/>
        </w:rPr>
      </w:pPr>
      <w:r w:rsidRPr="001017F7">
        <w:rPr>
          <w:rFonts w:eastAsia="Arial"/>
        </w:rPr>
        <w:t>$4.3 million for Small Business COVID Stimulus for the NSW Small Business Commission to deliver increased mediation and advisory services to commercial parties following the measures announced by the Government to provide relief to tenants in financial duress due to COVID-19</w:t>
      </w:r>
    </w:p>
    <w:p w14:paraId="76C8EE57" w14:textId="77777777" w:rsidR="006A4D1F" w:rsidRPr="001017F7" w:rsidRDefault="06AD6EFF" w:rsidP="006A4D1F">
      <w:pPr>
        <w:pStyle w:val="Bullet1"/>
        <w:rPr>
          <w:rFonts w:eastAsia="Arial"/>
        </w:rPr>
      </w:pPr>
      <w:r w:rsidRPr="27CADAE7">
        <w:rPr>
          <w:rFonts w:eastAsia="Arial"/>
        </w:rPr>
        <w:t>$3.0 million ($30.0 million recurrent expenses over four years) for social impact investments with a focus on women facing disadvantage and Indigenous youth</w:t>
      </w:r>
    </w:p>
    <w:p w14:paraId="156C83EF" w14:textId="46643DD2" w:rsidR="006A4D1F" w:rsidRPr="001017F7" w:rsidRDefault="006A4D1F" w:rsidP="006A4D1F">
      <w:pPr>
        <w:pStyle w:val="Bullet1"/>
        <w:rPr>
          <w:rFonts w:eastAsia="Arial"/>
        </w:rPr>
      </w:pPr>
      <w:r w:rsidRPr="001017F7">
        <w:rPr>
          <w:rFonts w:eastAsia="Arial"/>
        </w:rPr>
        <w:t>$2.5 million to support Automatic Mutual Recognition (AMR) of occupational licensing. AMR will deliver economic benefits to occupational licence holders through lower costs as they move across borders or operate in multiple jurisdictions, and to businesses and consumers who gain access to a more diverse supply of labour</w:t>
      </w:r>
    </w:p>
    <w:p w14:paraId="54A8AF5F" w14:textId="43714F20" w:rsidR="00440BB0" w:rsidRDefault="00440BB0" w:rsidP="00DF540D">
      <w:pPr>
        <w:pStyle w:val="Bullet1"/>
        <w:rPr>
          <w:rFonts w:eastAsia="Arial"/>
        </w:rPr>
      </w:pPr>
      <w:r w:rsidRPr="001017F7">
        <w:rPr>
          <w:rFonts w:eastAsia="Arial"/>
        </w:rPr>
        <w:t>$2.0 million ($5.0 million over four years</w:t>
      </w:r>
      <w:r w:rsidR="002E732A">
        <w:rPr>
          <w:rFonts w:eastAsia="Arial"/>
        </w:rPr>
        <w:t>)</w:t>
      </w:r>
      <w:r w:rsidRPr="001017F7">
        <w:rPr>
          <w:rFonts w:eastAsia="Arial"/>
        </w:rPr>
        <w:t xml:space="preserve"> for the Small Business Tendering Support program which will deliver</w:t>
      </w:r>
      <w:r>
        <w:rPr>
          <w:rFonts w:eastAsia="Arial"/>
        </w:rPr>
        <w:t xml:space="preserve"> training via a partnership with TAFE and guidance material for small businesses to increase capability and better enable them to tender for NSW Government opportunities</w:t>
      </w:r>
    </w:p>
    <w:p w14:paraId="4D472DD2" w14:textId="4F605C18" w:rsidR="00440BB0" w:rsidRDefault="003530F8" w:rsidP="00DF540D">
      <w:pPr>
        <w:pStyle w:val="Bullet1"/>
        <w:rPr>
          <w:rFonts w:eastAsia="Arial"/>
        </w:rPr>
      </w:pPr>
      <w:r>
        <w:rPr>
          <w:rFonts w:eastAsia="Arial"/>
        </w:rPr>
        <w:t>a</w:t>
      </w:r>
      <w:r w:rsidR="00440BB0">
        <w:rPr>
          <w:rFonts w:eastAsia="Arial"/>
        </w:rPr>
        <w:t xml:space="preserve"> refreshed S</w:t>
      </w:r>
      <w:r w:rsidR="0001182F">
        <w:rPr>
          <w:rFonts w:eastAsia="Arial"/>
        </w:rPr>
        <w:t xml:space="preserve">mall and </w:t>
      </w:r>
      <w:r w:rsidR="00440BB0">
        <w:rPr>
          <w:rFonts w:eastAsia="Arial"/>
        </w:rPr>
        <w:t>M</w:t>
      </w:r>
      <w:r w:rsidR="0001182F">
        <w:rPr>
          <w:rFonts w:eastAsia="Arial"/>
        </w:rPr>
        <w:t xml:space="preserve">edium </w:t>
      </w:r>
      <w:r w:rsidR="00456945">
        <w:rPr>
          <w:rFonts w:eastAsia="Arial"/>
        </w:rPr>
        <w:t>Enterprises</w:t>
      </w:r>
      <w:r w:rsidR="0001182F">
        <w:rPr>
          <w:rFonts w:eastAsia="Arial"/>
        </w:rPr>
        <w:t xml:space="preserve"> (SME) </w:t>
      </w:r>
      <w:r w:rsidR="00440BB0">
        <w:rPr>
          <w:rFonts w:eastAsia="Arial"/>
        </w:rPr>
        <w:t xml:space="preserve">and </w:t>
      </w:r>
      <w:r w:rsidR="00440BB0" w:rsidRPr="00864DD5">
        <w:rPr>
          <w:rFonts w:eastAsia="Arial"/>
          <w:i/>
          <w:iCs/>
        </w:rPr>
        <w:t>Regional Procurement Policy</w:t>
      </w:r>
      <w:r w:rsidR="00440BB0">
        <w:rPr>
          <w:rFonts w:eastAsia="Arial"/>
        </w:rPr>
        <w:t xml:space="preserve"> </w:t>
      </w:r>
      <w:r w:rsidR="00F83F5A">
        <w:rPr>
          <w:rFonts w:eastAsia="Arial"/>
        </w:rPr>
        <w:t>to increase opportunities for SMEs and regional businesses to supply goods and services to the NSW Government, with a focus on local participation</w:t>
      </w:r>
    </w:p>
    <w:p w14:paraId="5A3FDBE0" w14:textId="3EB9D7F7" w:rsidR="00F83F5A" w:rsidRDefault="003530F8" w:rsidP="00DF540D">
      <w:pPr>
        <w:pStyle w:val="Bullet1"/>
        <w:rPr>
          <w:rFonts w:eastAsia="Arial"/>
        </w:rPr>
      </w:pPr>
      <w:r>
        <w:rPr>
          <w:rFonts w:eastAsia="Arial"/>
        </w:rPr>
        <w:t>a</w:t>
      </w:r>
      <w:r w:rsidR="00F83F5A">
        <w:rPr>
          <w:rFonts w:eastAsia="Arial"/>
        </w:rPr>
        <w:t xml:space="preserve"> new </w:t>
      </w:r>
      <w:r w:rsidR="00F83F5A" w:rsidRPr="00864DD5">
        <w:rPr>
          <w:rFonts w:eastAsia="Arial"/>
          <w:i/>
          <w:iCs/>
        </w:rPr>
        <w:t>Small Business Shorter Payment Terms Policy</w:t>
      </w:r>
      <w:r w:rsidR="00F83F5A">
        <w:rPr>
          <w:rFonts w:eastAsia="Arial"/>
          <w:i/>
          <w:iCs/>
        </w:rPr>
        <w:t xml:space="preserve">, </w:t>
      </w:r>
      <w:r w:rsidR="00A9611A">
        <w:rPr>
          <w:rFonts w:eastAsia="Arial"/>
        </w:rPr>
        <w:t>commencing</w:t>
      </w:r>
      <w:r w:rsidR="002756E6">
        <w:rPr>
          <w:rFonts w:eastAsia="Arial"/>
        </w:rPr>
        <w:t xml:space="preserve"> 1 July 2021, </w:t>
      </w:r>
      <w:r w:rsidR="00F83F5A">
        <w:rPr>
          <w:rFonts w:eastAsia="Arial"/>
        </w:rPr>
        <w:t>requiring</w:t>
      </w:r>
      <w:r w:rsidR="00864DD5">
        <w:rPr>
          <w:rFonts w:eastAsia="Arial"/>
        </w:rPr>
        <w:t xml:space="preserve"> large businesses who contract to supply goods and services to the NSW Government to pay their small business subcontractors within 20 business days</w:t>
      </w:r>
      <w:r w:rsidR="00E66639">
        <w:rPr>
          <w:rFonts w:eastAsia="Arial"/>
        </w:rPr>
        <w:t>.</w:t>
      </w:r>
    </w:p>
    <w:p w14:paraId="1C27C721" w14:textId="64E4C3EB" w:rsidR="00464EE3" w:rsidRDefault="00464EE3">
      <w:pPr>
        <w:rPr>
          <w:rFonts w:ascii="Arial" w:eastAsia="Arial" w:hAnsi="Arial" w:cs="Arial"/>
          <w:sz w:val="23"/>
          <w:szCs w:val="23"/>
        </w:rPr>
      </w:pPr>
      <w:r>
        <w:rPr>
          <w:rFonts w:eastAsia="Arial"/>
        </w:rPr>
        <w:br w:type="page"/>
      </w:r>
    </w:p>
    <w:p w14:paraId="57E87B5A" w14:textId="3C5370DD" w:rsidR="00E633CC" w:rsidRPr="00DC6435" w:rsidRDefault="00E633CC" w:rsidP="00E633CC">
      <w:pPr>
        <w:pStyle w:val="Heading3"/>
        <w:rPr>
          <w:rFonts w:cs="Arial"/>
        </w:rPr>
      </w:pPr>
      <w:r w:rsidRPr="00DC6435">
        <w:rPr>
          <w:rFonts w:cs="Arial"/>
        </w:rPr>
        <w:lastRenderedPageBreak/>
        <w:t xml:space="preserve">Key performance insights </w:t>
      </w:r>
    </w:p>
    <w:p w14:paraId="14329C28" w14:textId="58786F35" w:rsidR="008A4D3E" w:rsidRDefault="00F83EE1" w:rsidP="004A10F3">
      <w:pPr>
        <w:pStyle w:val="BodyText"/>
      </w:pPr>
      <w:bookmarkStart w:id="6" w:name="_Toc516321120"/>
      <w:r>
        <w:t xml:space="preserve">This section provides analysis and insights on </w:t>
      </w:r>
      <w:r w:rsidR="00277098">
        <w:t xml:space="preserve">the </w:t>
      </w:r>
      <w:r>
        <w:t>key Outcome Indicator to this State Outcome.</w:t>
      </w:r>
    </w:p>
    <w:p w14:paraId="37A3237E" w14:textId="1A79B243" w:rsidR="008A4D3E" w:rsidRPr="00C80D43" w:rsidRDefault="00E66BD5" w:rsidP="004A10F3">
      <w:pPr>
        <w:keepNext/>
        <w:widowControl w:val="0"/>
        <w:spacing w:before="320" w:after="120" w:line="240" w:lineRule="atLeast"/>
        <w:outlineLvl w:val="3"/>
        <w:rPr>
          <w:rFonts w:ascii="Arial Bold" w:hAnsi="Arial Bold"/>
          <w:b/>
          <w:color w:val="00426F"/>
          <w:kern w:val="28"/>
          <w:sz w:val="25"/>
          <w:szCs w:val="36"/>
        </w:rPr>
      </w:pPr>
      <w:r w:rsidRPr="00C80D43">
        <w:rPr>
          <w:rFonts w:ascii="Arial Bold" w:hAnsi="Arial Bold"/>
          <w:b/>
          <w:color w:val="00426F"/>
          <w:kern w:val="28"/>
          <w:sz w:val="25"/>
          <w:szCs w:val="36"/>
        </w:rPr>
        <w:t>Growth in real GSP per capita (four year moving average)</w:t>
      </w:r>
    </w:p>
    <w:p w14:paraId="30A08A43" w14:textId="082921D1" w:rsidR="00A34601" w:rsidRDefault="000A5695" w:rsidP="004A10F3">
      <w:pPr>
        <w:pStyle w:val="BodyText"/>
      </w:pPr>
      <w:r>
        <w:t>P</w:t>
      </w:r>
      <w:r w:rsidR="008436A2" w:rsidRPr="008436A2">
        <w:t xml:space="preserve">erformance </w:t>
      </w:r>
      <w:r w:rsidR="0003209E">
        <w:t xml:space="preserve">against </w:t>
      </w:r>
      <w:r w:rsidR="008436A2" w:rsidRPr="008436A2">
        <w:t xml:space="preserve">this indicator </w:t>
      </w:r>
      <w:r w:rsidR="00800BC9">
        <w:t xml:space="preserve">continues to be </w:t>
      </w:r>
      <w:r w:rsidR="008436A2" w:rsidRPr="008436A2">
        <w:t>challenging due to the impact of COVID-19. The NSW economy contracted sharply over the first half of 2020, with most of the contraction occurring in the June quarter as containment measures were put in place in response to C</w:t>
      </w:r>
      <w:r w:rsidR="007D21FF">
        <w:t>OVID</w:t>
      </w:r>
      <w:r w:rsidR="008436A2" w:rsidRPr="008436A2">
        <w:t xml:space="preserve">-19. Border restrictions have also </w:t>
      </w:r>
      <w:r w:rsidR="00B821D4" w:rsidRPr="008436A2">
        <w:t>dramatically</w:t>
      </w:r>
      <w:r w:rsidR="008436A2" w:rsidRPr="008436A2">
        <w:t xml:space="preserve"> slowed the rate of population growth. Consequently, G</w:t>
      </w:r>
      <w:r w:rsidR="00F83EE1">
        <w:t xml:space="preserve">ross </w:t>
      </w:r>
      <w:r w:rsidR="008436A2" w:rsidRPr="008436A2">
        <w:t>S</w:t>
      </w:r>
      <w:r w:rsidR="00F83EE1">
        <w:t xml:space="preserve">tate </w:t>
      </w:r>
      <w:r w:rsidR="008436A2" w:rsidRPr="008436A2">
        <w:t>P</w:t>
      </w:r>
      <w:r w:rsidR="00F83EE1">
        <w:t>roduct (GSP)</w:t>
      </w:r>
      <w:r w:rsidR="008436A2" w:rsidRPr="008436A2">
        <w:t xml:space="preserve"> per capita contracted sharply in 2019-20, showing only modest growth in four-year annual average terms. </w:t>
      </w:r>
    </w:p>
    <w:p w14:paraId="251FCDD6" w14:textId="4FB5A9AF" w:rsidR="00E66BD5" w:rsidRDefault="008436A2" w:rsidP="004A10F3">
      <w:pPr>
        <w:pStyle w:val="BodyText"/>
      </w:pPr>
      <w:r w:rsidRPr="008436A2">
        <w:t>The Government’s response, through economic support measures and successful containment of the virus, has seen the economy reopen (excluding international borders) and recover more quickly than expected</w:t>
      </w:r>
      <w:r w:rsidR="00F83DC3">
        <w:t xml:space="preserve"> supported by stimulus measures</w:t>
      </w:r>
      <w:r w:rsidR="00D950B6">
        <w:t>.</w:t>
      </w:r>
      <w:r w:rsidR="00CA48FA">
        <w:t xml:space="preserve"> </w:t>
      </w:r>
      <w:r w:rsidRPr="008436A2">
        <w:t xml:space="preserve">Despite that, the rebound is still insufficient to offset the </w:t>
      </w:r>
      <w:r w:rsidR="000D4072">
        <w:t>decline in</w:t>
      </w:r>
      <w:r w:rsidRPr="008436A2">
        <w:t xml:space="preserve"> 2019-20, which will continue to weigh on the four-year annual average growth rate</w:t>
      </w:r>
      <w:r w:rsidR="002D7D5F">
        <w:t xml:space="preserve"> and </w:t>
      </w:r>
      <w:r w:rsidRPr="008436A2">
        <w:t>keep the indicator below target</w:t>
      </w:r>
      <w:r w:rsidR="002D7D5F">
        <w:t xml:space="preserve"> </w:t>
      </w:r>
      <w:r w:rsidRPr="008436A2">
        <w:t>until after 2022-23.</w:t>
      </w:r>
      <w:r w:rsidR="005C707B">
        <w:t xml:space="preserve"> </w:t>
      </w:r>
    </w:p>
    <w:p w14:paraId="45199073" w14:textId="6079C595" w:rsidR="00B1164A" w:rsidRPr="00F65056" w:rsidRDefault="00B1164A" w:rsidP="00BB3741">
      <w:pPr>
        <w:pStyle w:val="Chart91"/>
      </w:pPr>
      <w:r>
        <w:rPr>
          <w:lang w:eastAsia="en-AU"/>
        </w:rPr>
        <w:t xml:space="preserve">Annual real </w:t>
      </w:r>
      <w:r w:rsidRPr="00F65056">
        <w:t xml:space="preserve">GSP per capita </w:t>
      </w:r>
      <w:r>
        <w:t xml:space="preserve">growth </w:t>
      </w:r>
      <w:r w:rsidRPr="00F65056">
        <w:t>(4 year moving average)</w:t>
      </w:r>
    </w:p>
    <w:p w14:paraId="74426D80" w14:textId="2959EF52" w:rsidR="00B1164A" w:rsidRDefault="00FA51BC" w:rsidP="006C62F6">
      <w:pPr>
        <w:autoSpaceDE w:val="0"/>
        <w:autoSpaceDN w:val="0"/>
        <w:adjustRightInd w:val="0"/>
        <w:jc w:val="center"/>
        <w:rPr>
          <w:rFonts w:ascii="Arial" w:hAnsi="Arial" w:cs="Arial"/>
          <w:sz w:val="23"/>
          <w:szCs w:val="23"/>
        </w:rPr>
      </w:pPr>
      <w:r>
        <w:rPr>
          <w:rFonts w:ascii="Arial" w:hAnsi="Arial" w:cs="Arial"/>
          <w:noProof/>
          <w:sz w:val="23"/>
          <w:szCs w:val="23"/>
        </w:rPr>
        <w:drawing>
          <wp:inline distT="0" distB="0" distL="0" distR="0" wp14:anchorId="401979BD" wp14:editId="4E9A5EE9">
            <wp:extent cx="4742815" cy="2200910"/>
            <wp:effectExtent l="0" t="0" r="0" b="0"/>
            <wp:docPr id="2" name="Picture 2" descr="Chart 9.3: Annual real GSP per capita growth (4 year mov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9.3: Annual real GSP per capita growth (4 year moving aver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2815" cy="2200910"/>
                    </a:xfrm>
                    <a:prstGeom prst="rect">
                      <a:avLst/>
                    </a:prstGeom>
                    <a:noFill/>
                  </pic:spPr>
                </pic:pic>
              </a:graphicData>
            </a:graphic>
          </wp:inline>
        </w:drawing>
      </w:r>
    </w:p>
    <w:p w14:paraId="4E2D9B18" w14:textId="74867418" w:rsidR="007C4C10" w:rsidRPr="00C038F9" w:rsidRDefault="007C4C10" w:rsidP="007C4C10">
      <w:pPr>
        <w:rPr>
          <w:rFonts w:ascii="Arial" w:hAnsi="Arial" w:cs="Arial"/>
          <w:color w:val="000000"/>
          <w:sz w:val="17"/>
          <w:szCs w:val="17"/>
          <w:lang w:eastAsia="en-AU"/>
        </w:rPr>
      </w:pPr>
      <w:r w:rsidRPr="00C038F9">
        <w:rPr>
          <w:rFonts w:ascii="Arial" w:hAnsi="Arial" w:cs="Arial"/>
          <w:color w:val="000000"/>
          <w:sz w:val="17"/>
          <w:szCs w:val="17"/>
          <w:lang w:eastAsia="en-AU"/>
        </w:rPr>
        <w:t xml:space="preserve">Note: </w:t>
      </w:r>
      <w:r w:rsidR="00D568FB">
        <w:rPr>
          <w:rFonts w:ascii="Arial" w:hAnsi="Arial" w:cs="Arial"/>
          <w:color w:val="000000"/>
          <w:sz w:val="17"/>
          <w:szCs w:val="17"/>
          <w:lang w:eastAsia="en-AU"/>
        </w:rPr>
        <w:t xml:space="preserve"> </w:t>
      </w:r>
      <w:r w:rsidR="00B42C9D">
        <w:rPr>
          <w:rFonts w:ascii="Arial" w:hAnsi="Arial" w:cs="Arial"/>
          <w:color w:val="000000"/>
          <w:sz w:val="17"/>
          <w:szCs w:val="17"/>
          <w:lang w:eastAsia="en-AU"/>
        </w:rPr>
        <w:t xml:space="preserve">The </w:t>
      </w:r>
      <w:r w:rsidRPr="00C038F9">
        <w:rPr>
          <w:rFonts w:ascii="Arial" w:hAnsi="Arial" w:cs="Arial"/>
          <w:color w:val="000000"/>
          <w:sz w:val="17"/>
          <w:szCs w:val="17"/>
          <w:lang w:eastAsia="en-AU"/>
        </w:rPr>
        <w:t xml:space="preserve">2020-21 </w:t>
      </w:r>
      <w:r w:rsidR="008159D8">
        <w:rPr>
          <w:rFonts w:ascii="Arial" w:hAnsi="Arial" w:cs="Arial"/>
          <w:color w:val="000000"/>
          <w:sz w:val="17"/>
          <w:szCs w:val="17"/>
          <w:lang w:eastAsia="en-AU"/>
        </w:rPr>
        <w:t>a</w:t>
      </w:r>
      <w:r w:rsidR="00D568FB">
        <w:rPr>
          <w:rFonts w:ascii="Arial" w:hAnsi="Arial" w:cs="Arial"/>
          <w:color w:val="000000"/>
          <w:sz w:val="17"/>
          <w:szCs w:val="17"/>
          <w:lang w:eastAsia="en-AU"/>
        </w:rPr>
        <w:t xml:space="preserve">ctual </w:t>
      </w:r>
      <w:r w:rsidRPr="00C038F9">
        <w:rPr>
          <w:rFonts w:ascii="Arial" w:hAnsi="Arial" w:cs="Arial"/>
          <w:color w:val="000000"/>
          <w:sz w:val="17"/>
          <w:szCs w:val="17"/>
          <w:lang w:eastAsia="en-AU"/>
        </w:rPr>
        <w:t>will be available in late November 2021</w:t>
      </w:r>
      <w:r w:rsidR="00D568FB">
        <w:rPr>
          <w:rFonts w:ascii="Arial" w:hAnsi="Arial" w:cs="Arial"/>
          <w:color w:val="000000"/>
          <w:sz w:val="17"/>
          <w:szCs w:val="17"/>
          <w:lang w:eastAsia="en-AU"/>
        </w:rPr>
        <w:t xml:space="preserve"> and a</w:t>
      </w:r>
      <w:r w:rsidR="008A7937">
        <w:rPr>
          <w:rFonts w:ascii="Arial" w:hAnsi="Arial" w:cs="Arial"/>
          <w:color w:val="000000"/>
          <w:sz w:val="17"/>
          <w:szCs w:val="17"/>
          <w:lang w:eastAsia="en-AU"/>
        </w:rPr>
        <w:t>n estimate has been provided</w:t>
      </w:r>
      <w:r w:rsidR="00245FB1">
        <w:rPr>
          <w:rFonts w:ascii="Arial" w:hAnsi="Arial" w:cs="Arial"/>
          <w:color w:val="000000"/>
          <w:sz w:val="17"/>
          <w:szCs w:val="17"/>
          <w:lang w:eastAsia="en-AU"/>
        </w:rPr>
        <w:t xml:space="preserve"> for 2020-21</w:t>
      </w:r>
      <w:r w:rsidR="00835A0A">
        <w:rPr>
          <w:rFonts w:ascii="Arial" w:hAnsi="Arial" w:cs="Arial"/>
          <w:color w:val="000000"/>
          <w:sz w:val="17"/>
          <w:szCs w:val="17"/>
          <w:lang w:eastAsia="en-AU"/>
        </w:rPr>
        <w:t>.</w:t>
      </w:r>
      <w:r w:rsidR="008A7937">
        <w:rPr>
          <w:rFonts w:ascii="Arial" w:hAnsi="Arial" w:cs="Arial"/>
          <w:color w:val="000000"/>
          <w:sz w:val="17"/>
          <w:szCs w:val="17"/>
          <w:lang w:eastAsia="en-AU"/>
        </w:rPr>
        <w:t xml:space="preserve"> </w:t>
      </w:r>
    </w:p>
    <w:p w14:paraId="56DB91C2" w14:textId="362F9FB3" w:rsidR="00D45D62" w:rsidRDefault="00D45D62" w:rsidP="00D45D62">
      <w:pPr>
        <w:pStyle w:val="Heading3"/>
        <w:rPr>
          <w:rFonts w:cs="Arial"/>
        </w:rPr>
      </w:pPr>
      <w:r>
        <w:t>P</w:t>
      </w:r>
      <w:r w:rsidRPr="00B31316">
        <w:rPr>
          <w:rFonts w:cs="Arial"/>
        </w:rPr>
        <w:t xml:space="preserve">erformance indicators for this </w:t>
      </w:r>
      <w:r>
        <w:rPr>
          <w:rFonts w:cs="Arial"/>
        </w:rPr>
        <w:t>O</w:t>
      </w:r>
      <w:r w:rsidRPr="00B31316">
        <w:rPr>
          <w:rFonts w:cs="Arial"/>
        </w:rPr>
        <w:t>utcome</w:t>
      </w:r>
    </w:p>
    <w:tbl>
      <w:tblPr>
        <w:tblW w:w="9655" w:type="dxa"/>
        <w:tblLook w:val="04A0" w:firstRow="1" w:lastRow="0" w:firstColumn="1" w:lastColumn="0" w:noHBand="0" w:noVBand="1"/>
        <w:tblCaption w:val="Performance indicators for this Outcome"/>
        <w:tblDescription w:val="Performance indicators for this Outcome"/>
      </w:tblPr>
      <w:tblGrid>
        <w:gridCol w:w="6537"/>
        <w:gridCol w:w="736"/>
        <w:gridCol w:w="1191"/>
        <w:gridCol w:w="1191"/>
      </w:tblGrid>
      <w:tr w:rsidR="00D45D62" w:rsidRPr="00906F22" w14:paraId="01E22A3F" w14:textId="77777777" w:rsidTr="00BC398F">
        <w:trPr>
          <w:trHeight w:val="283"/>
        </w:trPr>
        <w:tc>
          <w:tcPr>
            <w:tcW w:w="6537" w:type="dxa"/>
            <w:vMerge w:val="restart"/>
            <w:tcBorders>
              <w:top w:val="nil"/>
              <w:left w:val="nil"/>
              <w:bottom w:val="nil"/>
              <w:right w:val="nil"/>
            </w:tcBorders>
            <w:shd w:val="clear" w:color="auto" w:fill="008EBA"/>
            <w:noWrap/>
            <w:vAlign w:val="center"/>
            <w:hideMark/>
          </w:tcPr>
          <w:p w14:paraId="4073AD19" w14:textId="40C1CB6F" w:rsidR="00D45D62" w:rsidRPr="004B3617" w:rsidRDefault="00D45D62" w:rsidP="00801C23">
            <w:pPr>
              <w:ind w:firstLineChars="100" w:firstLine="181"/>
              <w:rPr>
                <w:rFonts w:ascii="Arial" w:hAnsi="Arial" w:cs="Arial"/>
                <w:b/>
                <w:color w:val="FFFFFF"/>
                <w:sz w:val="18"/>
                <w:szCs w:val="18"/>
                <w:lang w:eastAsia="en-AU"/>
              </w:rPr>
            </w:pPr>
            <w:r w:rsidRPr="4C7A7B32">
              <w:rPr>
                <w:rFonts w:ascii="Arial" w:hAnsi="Arial" w:cs="Arial"/>
                <w:b/>
                <w:color w:val="FFFFFF" w:themeColor="background1"/>
                <w:sz w:val="18"/>
                <w:szCs w:val="18"/>
                <w:lang w:eastAsia="en-AU"/>
              </w:rPr>
              <w:t>Outcome Indicator</w:t>
            </w:r>
            <w:r w:rsidR="003143E4" w:rsidRPr="00625ED3">
              <w:rPr>
                <w:rFonts w:ascii="Arial" w:hAnsi="Arial" w:cs="Arial"/>
                <w:color w:val="FFFFFF" w:themeColor="background1"/>
                <w:sz w:val="16"/>
                <w:szCs w:val="16"/>
                <w:vertAlign w:val="superscript"/>
                <w:lang w:eastAsia="en-AU"/>
              </w:rPr>
              <w:t>(</w:t>
            </w:r>
            <w:r w:rsidR="006E7487">
              <w:rPr>
                <w:rFonts w:ascii="Arial" w:hAnsi="Arial" w:cs="Arial"/>
                <w:color w:val="FFFFFF" w:themeColor="background1"/>
                <w:sz w:val="16"/>
                <w:szCs w:val="16"/>
                <w:vertAlign w:val="superscript"/>
                <w:lang w:eastAsia="en-AU"/>
              </w:rPr>
              <w:t>a</w:t>
            </w:r>
            <w:r w:rsidR="003143E4" w:rsidRPr="00625ED3">
              <w:rPr>
                <w:rFonts w:ascii="Arial" w:hAnsi="Arial" w:cs="Arial"/>
                <w:color w:val="FFFFFF" w:themeColor="background1"/>
                <w:sz w:val="16"/>
                <w:szCs w:val="16"/>
                <w:vertAlign w:val="superscript"/>
                <w:lang w:eastAsia="en-AU"/>
              </w:rPr>
              <w:t>)</w:t>
            </w:r>
          </w:p>
        </w:tc>
        <w:tc>
          <w:tcPr>
            <w:tcW w:w="736" w:type="dxa"/>
            <w:vMerge w:val="restart"/>
            <w:tcBorders>
              <w:top w:val="nil"/>
              <w:left w:val="nil"/>
              <w:bottom w:val="nil"/>
              <w:right w:val="nil"/>
            </w:tcBorders>
            <w:shd w:val="clear" w:color="auto" w:fill="008EBA"/>
            <w:noWrap/>
            <w:vAlign w:val="center"/>
            <w:hideMark/>
          </w:tcPr>
          <w:p w14:paraId="30C467F5" w14:textId="77777777" w:rsidR="00D45D62" w:rsidRPr="004B3617" w:rsidRDefault="00D45D62" w:rsidP="00801C23">
            <w:pPr>
              <w:jc w:val="center"/>
              <w:rPr>
                <w:rFonts w:ascii="Arial" w:hAnsi="Arial" w:cs="Arial"/>
                <w:b/>
                <w:color w:val="FFFFFF"/>
                <w:sz w:val="18"/>
                <w:szCs w:val="18"/>
                <w:lang w:eastAsia="en-AU"/>
              </w:rPr>
            </w:pPr>
            <w:r w:rsidRPr="004B3617">
              <w:rPr>
                <w:rFonts w:ascii="Arial" w:hAnsi="Arial" w:cs="Arial"/>
                <w:b/>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79D4ED9A" w14:textId="28FDD2B0" w:rsidR="00D45D62" w:rsidRPr="004B3617" w:rsidRDefault="00D45D62" w:rsidP="00801C23">
            <w:pPr>
              <w:jc w:val="center"/>
              <w:rPr>
                <w:rFonts w:ascii="Arial" w:hAnsi="Arial" w:cs="Arial"/>
                <w:b/>
                <w:color w:val="FFFFFF"/>
                <w:sz w:val="18"/>
                <w:szCs w:val="18"/>
                <w:lang w:eastAsia="en-AU"/>
              </w:rPr>
            </w:pPr>
            <w:r w:rsidRPr="004B3617">
              <w:rPr>
                <w:rFonts w:ascii="Arial" w:hAnsi="Arial" w:cs="Arial"/>
                <w:b/>
                <w:color w:val="FFFFFF"/>
                <w:sz w:val="18"/>
                <w:szCs w:val="18"/>
                <w:lang w:eastAsia="en-AU"/>
              </w:rPr>
              <w:t>20</w:t>
            </w:r>
            <w:r w:rsidR="00A95B3A">
              <w:rPr>
                <w:rFonts w:ascii="Arial" w:hAnsi="Arial" w:cs="Arial"/>
                <w:b/>
                <w:color w:val="FFFFFF"/>
                <w:sz w:val="18"/>
                <w:szCs w:val="18"/>
                <w:lang w:eastAsia="en-AU"/>
              </w:rPr>
              <w:t>20-21</w:t>
            </w:r>
          </w:p>
        </w:tc>
        <w:tc>
          <w:tcPr>
            <w:tcW w:w="1191" w:type="dxa"/>
            <w:tcBorders>
              <w:top w:val="nil"/>
              <w:left w:val="nil"/>
              <w:bottom w:val="nil"/>
              <w:right w:val="nil"/>
            </w:tcBorders>
            <w:shd w:val="clear" w:color="auto" w:fill="008EBA"/>
            <w:noWrap/>
            <w:vAlign w:val="bottom"/>
            <w:hideMark/>
          </w:tcPr>
          <w:p w14:paraId="78AC37B6" w14:textId="11A90105" w:rsidR="00D45D62" w:rsidRPr="004B3617" w:rsidRDefault="00D45D62" w:rsidP="00801C23">
            <w:pPr>
              <w:jc w:val="center"/>
              <w:rPr>
                <w:rFonts w:ascii="Arial" w:hAnsi="Arial" w:cs="Arial"/>
                <w:b/>
                <w:color w:val="FFFFFF"/>
                <w:sz w:val="18"/>
                <w:szCs w:val="18"/>
                <w:lang w:eastAsia="en-AU"/>
              </w:rPr>
            </w:pPr>
            <w:r w:rsidRPr="004B3617">
              <w:rPr>
                <w:rFonts w:ascii="Arial" w:hAnsi="Arial" w:cs="Arial"/>
                <w:b/>
                <w:color w:val="FFFFFF"/>
                <w:sz w:val="18"/>
                <w:szCs w:val="18"/>
                <w:lang w:eastAsia="en-AU"/>
              </w:rPr>
              <w:t>202</w:t>
            </w:r>
            <w:r w:rsidR="00A95B3A">
              <w:rPr>
                <w:rFonts w:ascii="Arial" w:hAnsi="Arial" w:cs="Arial"/>
                <w:b/>
                <w:color w:val="FFFFFF"/>
                <w:sz w:val="18"/>
                <w:szCs w:val="18"/>
                <w:lang w:eastAsia="en-AU"/>
              </w:rPr>
              <w:t>1</w:t>
            </w:r>
            <w:r w:rsidRPr="004B3617">
              <w:rPr>
                <w:rFonts w:ascii="Arial" w:hAnsi="Arial" w:cs="Arial"/>
                <w:b/>
                <w:color w:val="FFFFFF"/>
                <w:sz w:val="18"/>
                <w:szCs w:val="18"/>
                <w:lang w:eastAsia="en-AU"/>
              </w:rPr>
              <w:t>-2</w:t>
            </w:r>
            <w:r w:rsidR="00A95B3A">
              <w:rPr>
                <w:rFonts w:ascii="Arial" w:hAnsi="Arial" w:cs="Arial"/>
                <w:b/>
                <w:color w:val="FFFFFF"/>
                <w:sz w:val="18"/>
                <w:szCs w:val="18"/>
                <w:lang w:eastAsia="en-AU"/>
              </w:rPr>
              <w:t>2</w:t>
            </w:r>
          </w:p>
        </w:tc>
      </w:tr>
      <w:tr w:rsidR="00D45D62" w:rsidRPr="00906F22" w14:paraId="258FFA8A" w14:textId="77777777" w:rsidTr="00BC398F">
        <w:trPr>
          <w:trHeight w:val="340"/>
        </w:trPr>
        <w:tc>
          <w:tcPr>
            <w:tcW w:w="6537" w:type="dxa"/>
            <w:vMerge/>
            <w:shd w:val="clear" w:color="auto" w:fill="008EBA"/>
            <w:vAlign w:val="center"/>
            <w:hideMark/>
          </w:tcPr>
          <w:p w14:paraId="5C7B605E" w14:textId="77777777" w:rsidR="00D45D62" w:rsidRPr="004B3617" w:rsidRDefault="00D45D62" w:rsidP="00801C23">
            <w:pPr>
              <w:rPr>
                <w:rFonts w:ascii="Arial" w:hAnsi="Arial" w:cs="Arial"/>
                <w:b/>
                <w:color w:val="FFFFFF"/>
                <w:sz w:val="18"/>
                <w:szCs w:val="18"/>
                <w:lang w:eastAsia="en-AU"/>
              </w:rPr>
            </w:pPr>
          </w:p>
        </w:tc>
        <w:tc>
          <w:tcPr>
            <w:tcW w:w="736" w:type="dxa"/>
            <w:vMerge/>
            <w:shd w:val="clear" w:color="auto" w:fill="008EBA"/>
            <w:vAlign w:val="center"/>
            <w:hideMark/>
          </w:tcPr>
          <w:p w14:paraId="042CD9CF" w14:textId="77777777" w:rsidR="00D45D62" w:rsidRPr="004B3617" w:rsidRDefault="00D45D62" w:rsidP="00801C23">
            <w:pPr>
              <w:rPr>
                <w:rFonts w:ascii="Arial" w:hAnsi="Arial" w:cs="Arial"/>
                <w:b/>
                <w:color w:val="FFFFFF"/>
                <w:sz w:val="18"/>
                <w:szCs w:val="18"/>
                <w:lang w:eastAsia="en-AU"/>
              </w:rPr>
            </w:pPr>
          </w:p>
        </w:tc>
        <w:tc>
          <w:tcPr>
            <w:tcW w:w="1191" w:type="dxa"/>
            <w:tcBorders>
              <w:top w:val="nil"/>
              <w:left w:val="nil"/>
              <w:bottom w:val="nil"/>
              <w:right w:val="nil"/>
            </w:tcBorders>
            <w:shd w:val="clear" w:color="auto" w:fill="008EBA"/>
            <w:noWrap/>
            <w:hideMark/>
          </w:tcPr>
          <w:p w14:paraId="47AC94A5" w14:textId="77777777" w:rsidR="00D45D62" w:rsidRPr="004B3617" w:rsidRDefault="00D45D62" w:rsidP="00801C23">
            <w:pPr>
              <w:jc w:val="center"/>
              <w:rPr>
                <w:rFonts w:ascii="Arial" w:hAnsi="Arial" w:cs="Arial"/>
                <w:b/>
                <w:color w:val="FFFFFF"/>
                <w:sz w:val="18"/>
                <w:szCs w:val="18"/>
                <w:lang w:eastAsia="en-AU"/>
              </w:rPr>
            </w:pPr>
            <w:r w:rsidRPr="004B3617">
              <w:rPr>
                <w:rFonts w:ascii="Arial" w:hAnsi="Arial" w:cs="Arial"/>
                <w:b/>
                <w:color w:val="FFFFFF"/>
                <w:sz w:val="18"/>
                <w:szCs w:val="18"/>
                <w:lang w:eastAsia="en-AU"/>
              </w:rPr>
              <w:t>Actual</w:t>
            </w:r>
          </w:p>
        </w:tc>
        <w:tc>
          <w:tcPr>
            <w:tcW w:w="1191" w:type="dxa"/>
            <w:tcBorders>
              <w:top w:val="nil"/>
              <w:left w:val="nil"/>
              <w:bottom w:val="nil"/>
              <w:right w:val="nil"/>
            </w:tcBorders>
            <w:shd w:val="clear" w:color="auto" w:fill="008EBA"/>
            <w:noWrap/>
            <w:hideMark/>
          </w:tcPr>
          <w:p w14:paraId="42CF4B7E" w14:textId="77777777" w:rsidR="00D45D62" w:rsidRPr="004B3617" w:rsidRDefault="00D45D62" w:rsidP="00801C23">
            <w:pPr>
              <w:jc w:val="center"/>
              <w:rPr>
                <w:rFonts w:ascii="Arial" w:hAnsi="Arial" w:cs="Arial"/>
                <w:b/>
                <w:color w:val="FFFFFF"/>
                <w:sz w:val="18"/>
                <w:szCs w:val="18"/>
                <w:lang w:eastAsia="en-AU"/>
              </w:rPr>
            </w:pPr>
            <w:r w:rsidRPr="004B3617">
              <w:rPr>
                <w:rFonts w:ascii="Arial" w:hAnsi="Arial" w:cs="Arial"/>
                <w:b/>
                <w:color w:val="FFFFFF"/>
                <w:sz w:val="18"/>
                <w:szCs w:val="18"/>
                <w:lang w:eastAsia="en-AU"/>
              </w:rPr>
              <w:t>Forecast</w:t>
            </w:r>
          </w:p>
        </w:tc>
      </w:tr>
      <w:tr w:rsidR="00D45D62" w:rsidRPr="001F217E" w14:paraId="4B020198" w14:textId="77777777" w:rsidTr="00BC398F">
        <w:trPr>
          <w:trHeight w:val="227"/>
        </w:trPr>
        <w:tc>
          <w:tcPr>
            <w:tcW w:w="6537" w:type="dxa"/>
            <w:tcBorders>
              <w:top w:val="nil"/>
              <w:left w:val="nil"/>
              <w:bottom w:val="nil"/>
              <w:right w:val="nil"/>
            </w:tcBorders>
            <w:shd w:val="clear" w:color="auto" w:fill="auto"/>
            <w:vAlign w:val="bottom"/>
            <w:hideMark/>
          </w:tcPr>
          <w:p w14:paraId="1F8B4AD7" w14:textId="732BFC5E" w:rsidR="00D45D62" w:rsidRPr="001F217E" w:rsidRDefault="00D45D62" w:rsidP="00801C23">
            <w:pPr>
              <w:rPr>
                <w:rFonts w:ascii="Arial" w:hAnsi="Arial" w:cs="Arial"/>
                <w:color w:val="000000"/>
                <w:sz w:val="16"/>
                <w:szCs w:val="16"/>
                <w:lang w:eastAsia="en-AU"/>
              </w:rPr>
            </w:pPr>
            <w:r w:rsidRPr="001F217E">
              <w:rPr>
                <w:rFonts w:ascii="Arial" w:hAnsi="Arial" w:cs="Arial"/>
                <w:color w:val="000000"/>
                <w:sz w:val="16"/>
                <w:szCs w:val="16"/>
                <w:lang w:eastAsia="en-AU"/>
              </w:rPr>
              <w:t xml:space="preserve">Growth in real GSP per capita (4 year moving </w:t>
            </w:r>
            <w:proofErr w:type="gramStart"/>
            <w:r w:rsidRPr="001F217E">
              <w:rPr>
                <w:rFonts w:ascii="Arial" w:hAnsi="Arial" w:cs="Arial"/>
                <w:color w:val="000000"/>
                <w:sz w:val="16"/>
                <w:szCs w:val="16"/>
                <w:lang w:eastAsia="en-AU"/>
              </w:rPr>
              <w:t>average)</w:t>
            </w:r>
            <w:r w:rsidRPr="001F217E">
              <w:rPr>
                <w:rFonts w:ascii="Arial" w:hAnsi="Arial" w:cs="Arial"/>
                <w:color w:val="000000"/>
                <w:sz w:val="16"/>
                <w:szCs w:val="16"/>
                <w:vertAlign w:val="superscript"/>
                <w:lang w:eastAsia="en-AU"/>
              </w:rPr>
              <w:t>(</w:t>
            </w:r>
            <w:proofErr w:type="gramEnd"/>
            <w:r w:rsidR="006E7487" w:rsidRPr="001F217E">
              <w:rPr>
                <w:rFonts w:ascii="Arial" w:hAnsi="Arial" w:cs="Arial"/>
                <w:color w:val="000000"/>
                <w:sz w:val="16"/>
                <w:szCs w:val="16"/>
                <w:vertAlign w:val="superscript"/>
                <w:lang w:eastAsia="en-AU"/>
              </w:rPr>
              <w:t>b</w:t>
            </w:r>
            <w:r w:rsidRPr="001F217E">
              <w:rPr>
                <w:rFonts w:ascii="Arial" w:hAnsi="Arial" w:cs="Arial"/>
                <w:color w:val="000000"/>
                <w:sz w:val="16"/>
                <w:szCs w:val="16"/>
                <w:vertAlign w:val="superscript"/>
                <w:lang w:eastAsia="en-AU"/>
              </w:rPr>
              <w:t>)</w:t>
            </w:r>
          </w:p>
        </w:tc>
        <w:tc>
          <w:tcPr>
            <w:tcW w:w="736" w:type="dxa"/>
            <w:tcBorders>
              <w:top w:val="nil"/>
              <w:left w:val="nil"/>
              <w:bottom w:val="nil"/>
              <w:right w:val="nil"/>
            </w:tcBorders>
            <w:shd w:val="clear" w:color="auto" w:fill="auto"/>
            <w:noWrap/>
            <w:vAlign w:val="bottom"/>
            <w:hideMark/>
          </w:tcPr>
          <w:p w14:paraId="3DC2D141" w14:textId="77777777" w:rsidR="00D45D62" w:rsidRPr="001F217E" w:rsidRDefault="00D45D62" w:rsidP="00801C23">
            <w:pPr>
              <w:jc w:val="center"/>
              <w:rPr>
                <w:rFonts w:ascii="Arial" w:hAnsi="Arial" w:cs="Arial"/>
                <w:color w:val="000000"/>
                <w:sz w:val="16"/>
                <w:szCs w:val="16"/>
                <w:lang w:eastAsia="en-AU"/>
              </w:rPr>
            </w:pPr>
            <w:r w:rsidRPr="001F217E">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75E27876" w14:textId="6979F7DF" w:rsidR="00D45D62" w:rsidRPr="001F217E" w:rsidRDefault="00BB06F0" w:rsidP="00801C23">
            <w:pPr>
              <w:ind w:right="170"/>
              <w:jc w:val="right"/>
              <w:rPr>
                <w:rFonts w:ascii="Arial" w:hAnsi="Arial" w:cs="Arial"/>
                <w:color w:val="000000"/>
                <w:sz w:val="16"/>
                <w:szCs w:val="16"/>
                <w:lang w:eastAsia="en-AU"/>
              </w:rPr>
            </w:pPr>
            <w:r w:rsidRPr="001F217E">
              <w:rPr>
                <w:rFonts w:ascii="Arial" w:hAnsi="Arial" w:cs="Arial"/>
                <w:color w:val="000000"/>
                <w:sz w:val="16"/>
                <w:szCs w:val="16"/>
                <w:lang w:eastAsia="en-AU"/>
              </w:rPr>
              <w:t>0.1</w:t>
            </w:r>
          </w:p>
        </w:tc>
        <w:tc>
          <w:tcPr>
            <w:tcW w:w="1191" w:type="dxa"/>
            <w:tcBorders>
              <w:top w:val="nil"/>
              <w:left w:val="nil"/>
              <w:bottom w:val="nil"/>
              <w:right w:val="nil"/>
            </w:tcBorders>
            <w:shd w:val="clear" w:color="auto" w:fill="auto"/>
            <w:noWrap/>
            <w:vAlign w:val="bottom"/>
            <w:hideMark/>
          </w:tcPr>
          <w:p w14:paraId="0C343C82" w14:textId="524E1A8F" w:rsidR="00D45D62" w:rsidRPr="001F217E" w:rsidRDefault="00A95B3A" w:rsidP="00A95B3A">
            <w:pPr>
              <w:ind w:right="170"/>
              <w:jc w:val="right"/>
              <w:rPr>
                <w:rFonts w:ascii="Arial" w:hAnsi="Arial" w:cs="Arial"/>
                <w:color w:val="000000"/>
                <w:sz w:val="16"/>
                <w:szCs w:val="16"/>
                <w:lang w:eastAsia="en-AU"/>
              </w:rPr>
            </w:pPr>
            <w:r w:rsidRPr="001F217E">
              <w:rPr>
                <w:rFonts w:ascii="Arial" w:hAnsi="Arial" w:cs="Arial"/>
                <w:color w:val="000000"/>
                <w:sz w:val="16"/>
                <w:szCs w:val="16"/>
                <w:lang w:eastAsia="en-AU"/>
              </w:rPr>
              <w:t>0.6</w:t>
            </w:r>
          </w:p>
        </w:tc>
      </w:tr>
    </w:tbl>
    <w:p w14:paraId="05AFD20A" w14:textId="77777777" w:rsidR="00D45D62" w:rsidRPr="00E34C1F" w:rsidRDefault="00D45D62" w:rsidP="00D45D62">
      <w:pPr>
        <w:rPr>
          <w:rFonts w:ascii="Arial" w:hAnsi="Arial" w:cs="Arial"/>
          <w:b/>
          <w:color w:val="000000"/>
          <w:sz w:val="6"/>
          <w:szCs w:val="6"/>
          <w:lang w:eastAsia="en-AU"/>
        </w:rPr>
      </w:pPr>
    </w:p>
    <w:p w14:paraId="45196F19" w14:textId="7E3CC9C6" w:rsidR="00D45D62" w:rsidRPr="00E34C1F" w:rsidRDefault="00D45D62" w:rsidP="00D45D62">
      <w:pPr>
        <w:rPr>
          <w:rFonts w:ascii="Arial" w:hAnsi="Arial" w:cs="Arial"/>
          <w:color w:val="000000"/>
          <w:sz w:val="17"/>
          <w:szCs w:val="17"/>
          <w:lang w:eastAsia="en-AU"/>
        </w:rPr>
      </w:pPr>
      <w:r w:rsidRPr="00E34C1F">
        <w:rPr>
          <w:rFonts w:ascii="Arial" w:hAnsi="Arial" w:cs="Arial"/>
          <w:color w:val="000000"/>
          <w:sz w:val="17"/>
          <w:szCs w:val="17"/>
          <w:lang w:eastAsia="en-AU"/>
        </w:rPr>
        <w:t>Note</w:t>
      </w:r>
      <w:r w:rsidR="006E7487" w:rsidRPr="00E34C1F">
        <w:rPr>
          <w:rFonts w:ascii="Arial" w:hAnsi="Arial" w:cs="Arial"/>
          <w:color w:val="000000"/>
          <w:sz w:val="17"/>
          <w:szCs w:val="17"/>
          <w:lang w:eastAsia="en-AU"/>
        </w:rPr>
        <w:t>s</w:t>
      </w:r>
    </w:p>
    <w:p w14:paraId="63303E6C" w14:textId="2BB785FE" w:rsidR="006E7487" w:rsidRPr="00E34C1F" w:rsidRDefault="00AC1956" w:rsidP="00C14ADD">
      <w:pPr>
        <w:pStyle w:val="ListParagraph"/>
        <w:numPr>
          <w:ilvl w:val="0"/>
          <w:numId w:val="25"/>
        </w:numPr>
        <w:spacing w:after="0" w:line="240" w:lineRule="auto"/>
        <w:ind w:left="357" w:hanging="357"/>
        <w:contextualSpacing w:val="0"/>
        <w:rPr>
          <w:rFonts w:eastAsiaTheme="minorEastAsia" w:cs="Arial"/>
          <w:sz w:val="17"/>
          <w:szCs w:val="17"/>
          <w:lang w:eastAsia="en-AU"/>
        </w:rPr>
      </w:pPr>
      <w:r>
        <w:rPr>
          <w:rFonts w:cs="Arial"/>
          <w:sz w:val="17"/>
          <w:szCs w:val="17"/>
          <w:lang w:eastAsia="en-AU"/>
        </w:rPr>
        <w:t xml:space="preserve">Indicator </w:t>
      </w:r>
      <w:r w:rsidR="006E7487" w:rsidRPr="00E34C1F">
        <w:rPr>
          <w:rFonts w:cs="Arial"/>
          <w:sz w:val="17"/>
          <w:szCs w:val="17"/>
          <w:lang w:eastAsia="en-AU"/>
        </w:rPr>
        <w:t>“Jobs created in New South Wales since April 2019” has been removed from the Treasury Cluster due to Machinery of Government changes.</w:t>
      </w:r>
    </w:p>
    <w:p w14:paraId="12E1FECE" w14:textId="3C93150B" w:rsidR="003111C9" w:rsidRPr="00E34C1F" w:rsidRDefault="00BB06F0" w:rsidP="00C14ADD">
      <w:pPr>
        <w:pStyle w:val="ListParagraph"/>
        <w:numPr>
          <w:ilvl w:val="0"/>
          <w:numId w:val="25"/>
        </w:numPr>
        <w:spacing w:after="0" w:line="240" w:lineRule="auto"/>
        <w:ind w:left="357" w:hanging="357"/>
        <w:contextualSpacing w:val="0"/>
        <w:rPr>
          <w:rFonts w:eastAsiaTheme="minorEastAsia" w:cs="Arial"/>
          <w:sz w:val="17"/>
          <w:szCs w:val="17"/>
          <w:lang w:eastAsia="en-AU"/>
        </w:rPr>
      </w:pPr>
      <w:r w:rsidRPr="00E34C1F">
        <w:rPr>
          <w:rFonts w:cs="Arial"/>
          <w:sz w:val="17"/>
          <w:szCs w:val="17"/>
          <w:lang w:eastAsia="en-AU"/>
        </w:rPr>
        <w:t xml:space="preserve">The </w:t>
      </w:r>
      <w:r w:rsidR="002E22D5" w:rsidRPr="00E34C1F">
        <w:rPr>
          <w:rFonts w:cs="Arial"/>
          <w:sz w:val="17"/>
          <w:szCs w:val="17"/>
          <w:lang w:eastAsia="en-AU"/>
        </w:rPr>
        <w:t xml:space="preserve">2020-21 </w:t>
      </w:r>
      <w:r w:rsidRPr="00E34C1F">
        <w:rPr>
          <w:rFonts w:cs="Arial"/>
          <w:sz w:val="17"/>
          <w:szCs w:val="17"/>
          <w:lang w:eastAsia="en-AU"/>
        </w:rPr>
        <w:t xml:space="preserve">actual </w:t>
      </w:r>
      <w:r w:rsidR="002E22D5" w:rsidRPr="00E34C1F">
        <w:rPr>
          <w:rFonts w:cs="Arial"/>
          <w:sz w:val="17"/>
          <w:szCs w:val="17"/>
          <w:lang w:eastAsia="en-AU"/>
        </w:rPr>
        <w:t>will be available in late November 2021</w:t>
      </w:r>
      <w:r w:rsidRPr="00E34C1F">
        <w:rPr>
          <w:rFonts w:cs="Arial"/>
          <w:sz w:val="17"/>
          <w:szCs w:val="17"/>
          <w:lang w:eastAsia="en-AU"/>
        </w:rPr>
        <w:t xml:space="preserve"> and the</w:t>
      </w:r>
      <w:r w:rsidR="008A7937" w:rsidRPr="00E34C1F">
        <w:rPr>
          <w:rFonts w:cs="Arial"/>
          <w:sz w:val="17"/>
          <w:szCs w:val="17"/>
          <w:lang w:eastAsia="en-AU"/>
        </w:rPr>
        <w:t xml:space="preserve"> 2020-21 figure included is an </w:t>
      </w:r>
      <w:r w:rsidR="002E22D5" w:rsidRPr="00E34C1F">
        <w:rPr>
          <w:rFonts w:cs="Arial"/>
          <w:sz w:val="17"/>
          <w:szCs w:val="17"/>
          <w:lang w:eastAsia="en-AU"/>
        </w:rPr>
        <w:t>estimate</w:t>
      </w:r>
      <w:r w:rsidR="008A7937" w:rsidRPr="00E34C1F">
        <w:rPr>
          <w:rFonts w:cs="Arial"/>
          <w:sz w:val="17"/>
          <w:szCs w:val="17"/>
          <w:lang w:eastAsia="en-AU"/>
        </w:rPr>
        <w:t>.</w:t>
      </w:r>
      <w:bookmarkEnd w:id="6"/>
    </w:p>
    <w:p w14:paraId="0FFD72C4" w14:textId="0AFA589F" w:rsidR="00791039" w:rsidRPr="00E34C1F" w:rsidRDefault="00791039" w:rsidP="00C14ADD">
      <w:pPr>
        <w:pStyle w:val="ListParagraph"/>
        <w:numPr>
          <w:ilvl w:val="0"/>
          <w:numId w:val="25"/>
        </w:numPr>
        <w:spacing w:after="0" w:line="240" w:lineRule="auto"/>
        <w:ind w:left="357" w:hanging="357"/>
        <w:contextualSpacing w:val="0"/>
        <w:rPr>
          <w:rFonts w:eastAsiaTheme="minorEastAsia" w:cs="Arial"/>
          <w:sz w:val="16"/>
          <w:szCs w:val="16"/>
          <w:lang w:eastAsia="en-AU"/>
        </w:rPr>
      </w:pPr>
      <w:r w:rsidRPr="00E34C1F">
        <w:rPr>
          <w:rFonts w:eastAsiaTheme="minorEastAsia" w:cs="Arial"/>
          <w:sz w:val="16"/>
          <w:szCs w:val="16"/>
          <w:lang w:eastAsia="en-AU"/>
        </w:rPr>
        <w:br w:type="page"/>
      </w:r>
    </w:p>
    <w:p w14:paraId="6F8F7F87" w14:textId="16152691" w:rsidR="00E633CC" w:rsidRPr="00E633CC" w:rsidRDefault="00ED0897" w:rsidP="00B03975">
      <w:pPr>
        <w:pStyle w:val="Heading2"/>
      </w:pPr>
      <w:r>
        <w:lastRenderedPageBreak/>
        <w:t xml:space="preserve">Outcome 2: </w:t>
      </w:r>
      <w:r w:rsidR="00631AC0">
        <w:t xml:space="preserve">A </w:t>
      </w:r>
      <w:r w:rsidR="00631AC0" w:rsidRPr="00B03975">
        <w:t>sustainable</w:t>
      </w:r>
      <w:r w:rsidR="00631AC0">
        <w:t xml:space="preserve"> fiscal environment enabling delivery of outcomes</w:t>
      </w:r>
    </w:p>
    <w:tbl>
      <w:tblPr>
        <w:tblpPr w:leftFromText="180" w:rightFromText="180" w:vertAnchor="text" w:horzAnchor="margin" w:tblpXSpec="right" w:tblpY="640"/>
        <w:tblW w:w="1716" w:type="pct"/>
        <w:shd w:val="clear" w:color="auto" w:fill="F2F2F2" w:themeFill="background1" w:themeFillShade="F2"/>
        <w:tblCellMar>
          <w:left w:w="115" w:type="dxa"/>
          <w:right w:w="115" w:type="dxa"/>
        </w:tblCellMar>
        <w:tblLook w:val="04A0" w:firstRow="1" w:lastRow="0" w:firstColumn="1" w:lastColumn="0" w:noHBand="0" w:noVBand="1"/>
        <w:tblCaption w:val="9.4  Outcome 2: A sustainable fiscal environment enabling delivery of outcomes"/>
        <w:tblDescription w:val="9.4  Outcome 2: A sustainable fiscal environment enabling delivery of outcomes"/>
      </w:tblPr>
      <w:tblGrid>
        <w:gridCol w:w="1144"/>
        <w:gridCol w:w="967"/>
        <w:gridCol w:w="1197"/>
      </w:tblGrid>
      <w:tr w:rsidR="00F84303" w:rsidRPr="00F8244B" w14:paraId="7082D07F" w14:textId="77777777" w:rsidTr="00080597">
        <w:trPr>
          <w:cantSplit/>
          <w:trHeight w:val="784"/>
        </w:trPr>
        <w:tc>
          <w:tcPr>
            <w:tcW w:w="1729" w:type="pct"/>
            <w:shd w:val="clear" w:color="auto" w:fill="F2F2F2" w:themeFill="background1" w:themeFillShade="F2"/>
            <w:vAlign w:val="center"/>
          </w:tcPr>
          <w:p w14:paraId="6F1C50E8" w14:textId="5BB1BF09" w:rsidR="00F84303" w:rsidRPr="00F8244B" w:rsidRDefault="00F84303" w:rsidP="00080597">
            <w:pPr>
              <w:spacing w:before="120" w:after="120"/>
              <w:rPr>
                <w:rFonts w:ascii="Arial" w:hAnsi="Arial" w:cs="Arial"/>
                <w:sz w:val="23"/>
                <w:szCs w:val="23"/>
              </w:rPr>
            </w:pPr>
            <w:r>
              <w:rPr>
                <w:rFonts w:ascii="Arial" w:hAnsi="Arial" w:cs="Arial"/>
                <w:noProof/>
              </w:rPr>
              <w:drawing>
                <wp:inline distT="0" distB="0" distL="0" distR="0" wp14:anchorId="4CFAB009" wp14:editId="48401519">
                  <wp:extent cx="518160" cy="518400"/>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C58BFA8" w14:textId="26CC5AD4" w:rsidR="00F84303" w:rsidRPr="00F8244B" w:rsidRDefault="00F84303" w:rsidP="00080597">
            <w:pPr>
              <w:spacing w:before="120" w:after="120"/>
              <w:jc w:val="center"/>
              <w:rPr>
                <w:rFonts w:ascii="Arial" w:hAnsi="Arial" w:cs="Arial"/>
                <w:color w:val="00ABE6"/>
                <w:sz w:val="18"/>
                <w:szCs w:val="18"/>
              </w:rPr>
            </w:pPr>
            <w:r w:rsidRPr="00C07E61">
              <w:rPr>
                <w:rFonts w:ascii="Arial" w:hAnsi="Arial" w:cs="Arial"/>
                <w:color w:val="008EBA"/>
                <w:sz w:val="18"/>
                <w:szCs w:val="18"/>
              </w:rPr>
              <w:t>$</w:t>
            </w:r>
            <w:r w:rsidR="00C07E61" w:rsidRPr="00C07E61">
              <w:rPr>
                <w:rFonts w:ascii="Arial" w:hAnsi="Arial" w:cs="Arial"/>
                <w:color w:val="008EBA"/>
                <w:sz w:val="18"/>
                <w:szCs w:val="18"/>
              </w:rPr>
              <w:t>12.0</w:t>
            </w:r>
            <w:r w:rsidR="00F74101" w:rsidRPr="00C07E61">
              <w:rPr>
                <w:rFonts w:ascii="Arial" w:hAnsi="Arial" w:cs="Arial"/>
                <w:color w:val="008EBA"/>
                <w:sz w:val="18"/>
                <w:szCs w:val="18"/>
              </w:rPr>
              <w:t xml:space="preserve"> </w:t>
            </w:r>
            <w:r w:rsidRPr="00C07E61">
              <w:rPr>
                <w:rFonts w:ascii="Arial" w:hAnsi="Arial" w:cs="Arial"/>
                <w:color w:val="008EBA"/>
                <w:sz w:val="18"/>
                <w:szCs w:val="18"/>
              </w:rPr>
              <w:br/>
              <w:t>billion</w:t>
            </w:r>
          </w:p>
        </w:tc>
        <w:tc>
          <w:tcPr>
            <w:tcW w:w="1809" w:type="pct"/>
            <w:shd w:val="clear" w:color="auto" w:fill="F2F2F2" w:themeFill="background1" w:themeFillShade="F2"/>
            <w:vAlign w:val="center"/>
          </w:tcPr>
          <w:p w14:paraId="24D3EA8F" w14:textId="77777777" w:rsidR="00F84303" w:rsidRPr="00987F42" w:rsidRDefault="00F84303" w:rsidP="00080597">
            <w:pPr>
              <w:rPr>
                <w:rFonts w:ascii="Arial" w:hAnsi="Arial" w:cs="Arial"/>
                <w:color w:val="008EBA"/>
                <w:sz w:val="18"/>
                <w:szCs w:val="18"/>
              </w:rPr>
            </w:pPr>
            <w:r w:rsidRPr="00987F42">
              <w:rPr>
                <w:rFonts w:ascii="Arial" w:hAnsi="Arial" w:cs="Arial"/>
                <w:color w:val="008EBA"/>
                <w:sz w:val="18"/>
                <w:szCs w:val="18"/>
              </w:rPr>
              <w:t>Recurrent</w:t>
            </w:r>
          </w:p>
          <w:p w14:paraId="63BD4EBF" w14:textId="70DA266B" w:rsidR="00F84303" w:rsidRPr="00F8244B" w:rsidRDefault="00F84303" w:rsidP="00080597">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F84303" w:rsidRPr="00F8244B" w14:paraId="6FB48A36" w14:textId="77777777" w:rsidTr="00080597">
        <w:trPr>
          <w:cantSplit/>
          <w:trHeight w:val="784"/>
        </w:trPr>
        <w:tc>
          <w:tcPr>
            <w:tcW w:w="1729" w:type="pct"/>
            <w:shd w:val="clear" w:color="auto" w:fill="F2F2F2" w:themeFill="background1" w:themeFillShade="F2"/>
            <w:vAlign w:val="center"/>
          </w:tcPr>
          <w:p w14:paraId="6585938B" w14:textId="4795623B" w:rsidR="00F84303" w:rsidRPr="00F8244B" w:rsidRDefault="00F84303" w:rsidP="00080597">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48E65CA8" wp14:editId="487D7019">
                  <wp:extent cx="518160" cy="518400"/>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507A1BA1" w14:textId="45A2B30C" w:rsidR="00F84303" w:rsidRPr="00F8244B" w:rsidRDefault="00F84303" w:rsidP="00080597">
            <w:pPr>
              <w:spacing w:before="120" w:after="120"/>
              <w:jc w:val="center"/>
              <w:rPr>
                <w:rFonts w:ascii="Arial" w:hAnsi="Arial" w:cs="Arial"/>
                <w:color w:val="00ABE6"/>
                <w:sz w:val="18"/>
                <w:szCs w:val="18"/>
              </w:rPr>
            </w:pPr>
            <w:r w:rsidRPr="00C07E61">
              <w:rPr>
                <w:rFonts w:ascii="Arial" w:hAnsi="Arial" w:cs="Arial"/>
                <w:color w:val="008EBA"/>
                <w:sz w:val="18"/>
                <w:szCs w:val="18"/>
              </w:rPr>
              <w:t>$</w:t>
            </w:r>
            <w:r w:rsidR="00ED13FF" w:rsidRPr="00C07E61">
              <w:rPr>
                <w:rFonts w:ascii="Arial" w:hAnsi="Arial" w:cs="Arial"/>
                <w:color w:val="008EBA"/>
                <w:sz w:val="18"/>
                <w:szCs w:val="18"/>
              </w:rPr>
              <w:t>9.</w:t>
            </w:r>
            <w:r w:rsidR="00F74101" w:rsidRPr="00C07E61">
              <w:rPr>
                <w:rFonts w:ascii="Arial" w:hAnsi="Arial" w:cs="Arial"/>
                <w:color w:val="008EBA"/>
                <w:sz w:val="18"/>
                <w:szCs w:val="18"/>
              </w:rPr>
              <w:t xml:space="preserve">3 </w:t>
            </w:r>
            <w:r w:rsidRPr="00C07E61">
              <w:rPr>
                <w:rFonts w:ascii="Arial" w:hAnsi="Arial" w:cs="Arial"/>
                <w:color w:val="008EBA"/>
                <w:sz w:val="18"/>
                <w:szCs w:val="18"/>
              </w:rPr>
              <w:br/>
            </w:r>
            <w:r w:rsidR="00ED13FF" w:rsidRPr="00C07E61">
              <w:rPr>
                <w:rFonts w:ascii="Arial" w:hAnsi="Arial" w:cs="Arial"/>
                <w:color w:val="008EBA"/>
                <w:sz w:val="18"/>
                <w:szCs w:val="18"/>
              </w:rPr>
              <w:t>m</w:t>
            </w:r>
            <w:r w:rsidRPr="00C07E61">
              <w:rPr>
                <w:rFonts w:ascii="Arial" w:hAnsi="Arial" w:cs="Arial"/>
                <w:color w:val="008EBA"/>
                <w:sz w:val="18"/>
                <w:szCs w:val="18"/>
              </w:rPr>
              <w:t>illion</w:t>
            </w:r>
          </w:p>
        </w:tc>
        <w:tc>
          <w:tcPr>
            <w:tcW w:w="1809" w:type="pct"/>
            <w:shd w:val="clear" w:color="auto" w:fill="F2F2F2" w:themeFill="background1" w:themeFillShade="F2"/>
            <w:vAlign w:val="center"/>
          </w:tcPr>
          <w:p w14:paraId="7782CB0C" w14:textId="0617AF2F" w:rsidR="00F84303" w:rsidRPr="00F8244B" w:rsidRDefault="00F84303" w:rsidP="00080597">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5005F4EC" w14:textId="05C7BBD7" w:rsidR="00011CAE" w:rsidRPr="009541AE" w:rsidRDefault="00E633CC" w:rsidP="009541AE">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2DACB983" w14:textId="741089C1" w:rsidR="004819F5" w:rsidRDefault="00B74732" w:rsidP="00F22D60">
      <w:pPr>
        <w:spacing w:before="160" w:after="100" w:line="240" w:lineRule="atLeast"/>
        <w:rPr>
          <w:rFonts w:ascii="Arial" w:hAnsi="Arial" w:cs="Arial"/>
          <w:sz w:val="23"/>
          <w:szCs w:val="23"/>
        </w:rPr>
      </w:pPr>
      <w:r w:rsidRPr="00F22D60">
        <w:rPr>
          <w:rFonts w:ascii="Arial" w:hAnsi="Arial" w:cs="Arial"/>
          <w:sz w:val="23"/>
          <w:szCs w:val="23"/>
        </w:rPr>
        <w:t>NSW Treasury</w:t>
      </w:r>
      <w:r w:rsidR="00285E13" w:rsidRPr="00F22D60">
        <w:rPr>
          <w:rFonts w:ascii="Arial" w:hAnsi="Arial" w:cs="Arial"/>
          <w:sz w:val="23"/>
          <w:szCs w:val="23"/>
        </w:rPr>
        <w:t>’s management of the State’s fisca</w:t>
      </w:r>
      <w:r w:rsidR="00453774" w:rsidRPr="00F22D60">
        <w:rPr>
          <w:rFonts w:ascii="Arial" w:hAnsi="Arial" w:cs="Arial"/>
          <w:sz w:val="23"/>
          <w:szCs w:val="23"/>
        </w:rPr>
        <w:t xml:space="preserve">l </w:t>
      </w:r>
      <w:r w:rsidR="005A7E44" w:rsidRPr="00F22D60">
        <w:rPr>
          <w:rFonts w:ascii="Arial" w:hAnsi="Arial" w:cs="Arial"/>
          <w:sz w:val="23"/>
          <w:szCs w:val="23"/>
        </w:rPr>
        <w:t>environment</w:t>
      </w:r>
      <w:r w:rsidRPr="00F22D60">
        <w:rPr>
          <w:rFonts w:ascii="Arial" w:hAnsi="Arial" w:cs="Arial"/>
          <w:sz w:val="23"/>
          <w:szCs w:val="23"/>
        </w:rPr>
        <w:t xml:space="preserve"> </w:t>
      </w:r>
      <w:r w:rsidR="005A7E44" w:rsidRPr="00F22D60">
        <w:rPr>
          <w:rFonts w:ascii="Arial" w:hAnsi="Arial" w:cs="Arial"/>
          <w:sz w:val="23"/>
          <w:szCs w:val="23"/>
        </w:rPr>
        <w:t>aims to</w:t>
      </w:r>
      <w:r w:rsidRPr="00F22D60">
        <w:rPr>
          <w:rFonts w:ascii="Arial" w:hAnsi="Arial" w:cs="Arial"/>
          <w:sz w:val="23"/>
          <w:szCs w:val="23"/>
        </w:rPr>
        <w:t xml:space="preserve"> ensure that the</w:t>
      </w:r>
      <w:r w:rsidR="00A77DA4">
        <w:rPr>
          <w:rFonts w:ascii="Arial" w:hAnsi="Arial" w:cs="Arial"/>
          <w:sz w:val="23"/>
          <w:szCs w:val="23"/>
        </w:rPr>
        <w:t xml:space="preserve"> people</w:t>
      </w:r>
      <w:r w:rsidRPr="00F22D60">
        <w:rPr>
          <w:rFonts w:ascii="Arial" w:hAnsi="Arial" w:cs="Arial"/>
          <w:sz w:val="23"/>
          <w:szCs w:val="23"/>
        </w:rPr>
        <w:t xml:space="preserve"> of New South Wales have access to services and infrastructure that deliver social and economic benefits, </w:t>
      </w:r>
      <w:r w:rsidR="005A7E44" w:rsidRPr="00F22D60">
        <w:rPr>
          <w:rFonts w:ascii="Arial" w:hAnsi="Arial" w:cs="Arial"/>
          <w:sz w:val="23"/>
          <w:szCs w:val="23"/>
        </w:rPr>
        <w:t>contributing to</w:t>
      </w:r>
      <w:r w:rsidRPr="00F22D60">
        <w:rPr>
          <w:rFonts w:ascii="Arial" w:hAnsi="Arial" w:cs="Arial"/>
          <w:sz w:val="23"/>
          <w:szCs w:val="23"/>
        </w:rPr>
        <w:t xml:space="preserve"> </w:t>
      </w:r>
      <w:r w:rsidR="00980E90" w:rsidRPr="00F22D60">
        <w:rPr>
          <w:rFonts w:ascii="Arial" w:hAnsi="Arial" w:cs="Arial"/>
          <w:sz w:val="23"/>
          <w:szCs w:val="23"/>
        </w:rPr>
        <w:t xml:space="preserve">an </w:t>
      </w:r>
      <w:r w:rsidR="005A7E44" w:rsidRPr="00F22D60">
        <w:rPr>
          <w:rFonts w:ascii="Arial" w:hAnsi="Arial" w:cs="Arial"/>
          <w:sz w:val="23"/>
          <w:szCs w:val="23"/>
        </w:rPr>
        <w:t>enduring economic recovery and</w:t>
      </w:r>
      <w:r w:rsidR="005A7E44" w:rsidRPr="00F22D60" w:rsidDel="007502B9">
        <w:rPr>
          <w:rFonts w:ascii="Arial" w:hAnsi="Arial" w:cs="Arial"/>
          <w:sz w:val="23"/>
          <w:szCs w:val="23"/>
        </w:rPr>
        <w:t xml:space="preserve"> </w:t>
      </w:r>
      <w:r w:rsidRPr="00F22D60">
        <w:rPr>
          <w:rFonts w:ascii="Arial" w:hAnsi="Arial" w:cs="Arial"/>
          <w:sz w:val="23"/>
          <w:szCs w:val="23"/>
        </w:rPr>
        <w:t xml:space="preserve">a </w:t>
      </w:r>
      <w:r w:rsidR="005A7E44" w:rsidRPr="00F22D60">
        <w:rPr>
          <w:rFonts w:ascii="Arial" w:hAnsi="Arial" w:cs="Arial"/>
          <w:sz w:val="23"/>
          <w:szCs w:val="23"/>
        </w:rPr>
        <w:t xml:space="preserve">sustainable </w:t>
      </w:r>
      <w:r w:rsidRPr="00F22D60">
        <w:rPr>
          <w:rFonts w:ascii="Arial" w:hAnsi="Arial" w:cs="Arial"/>
          <w:sz w:val="23"/>
          <w:szCs w:val="23"/>
        </w:rPr>
        <w:t>financial position</w:t>
      </w:r>
      <w:r w:rsidR="006A6F26" w:rsidRPr="00F22D60">
        <w:rPr>
          <w:rFonts w:ascii="Arial" w:hAnsi="Arial" w:cs="Arial"/>
          <w:sz w:val="23"/>
          <w:szCs w:val="23"/>
        </w:rPr>
        <w:t xml:space="preserve"> over the medium-term</w:t>
      </w:r>
      <w:r w:rsidR="00DD7210" w:rsidRPr="00F22D60">
        <w:rPr>
          <w:rFonts w:ascii="Arial" w:hAnsi="Arial" w:cs="Arial"/>
          <w:sz w:val="23"/>
          <w:szCs w:val="23"/>
        </w:rPr>
        <w:t xml:space="preserve">. </w:t>
      </w:r>
    </w:p>
    <w:p w14:paraId="1CA923C6" w14:textId="11F9D40F" w:rsidR="00E633CC" w:rsidRDefault="00E633CC" w:rsidP="00E633CC">
      <w:pPr>
        <w:pStyle w:val="Heading3"/>
        <w:rPr>
          <w:rFonts w:cs="Arial"/>
        </w:rPr>
      </w:pPr>
      <w:r w:rsidRPr="000101AC">
        <w:rPr>
          <w:rFonts w:cs="Arial"/>
        </w:rPr>
        <w:t>202</w:t>
      </w:r>
      <w:r w:rsidR="000725E4">
        <w:rPr>
          <w:rFonts w:cs="Arial"/>
        </w:rPr>
        <w:t>1</w:t>
      </w:r>
      <w:r w:rsidRPr="000101AC">
        <w:rPr>
          <w:rFonts w:cs="Arial"/>
        </w:rPr>
        <w:t>-2</w:t>
      </w:r>
      <w:r w:rsidR="000725E4">
        <w:rPr>
          <w:rFonts w:cs="Arial"/>
        </w:rPr>
        <w:t>2</w:t>
      </w:r>
      <w:r w:rsidRPr="000101AC">
        <w:rPr>
          <w:rFonts w:cs="Arial"/>
        </w:rPr>
        <w:t xml:space="preserve"> </w:t>
      </w:r>
      <w:r w:rsidR="00ED0897">
        <w:rPr>
          <w:rFonts w:cs="Arial"/>
        </w:rPr>
        <w:t xml:space="preserve">State Outcome </w:t>
      </w:r>
      <w:r w:rsidRPr="000101AC">
        <w:rPr>
          <w:rFonts w:cs="Arial"/>
        </w:rPr>
        <w:t xml:space="preserve">Budget </w:t>
      </w:r>
      <w:r w:rsidR="00ED0897">
        <w:rPr>
          <w:rFonts w:cs="Arial"/>
        </w:rPr>
        <w:t>h</w:t>
      </w:r>
      <w:r w:rsidRPr="000101AC">
        <w:rPr>
          <w:rFonts w:cs="Arial"/>
        </w:rPr>
        <w:t xml:space="preserve">ighlights </w:t>
      </w:r>
    </w:p>
    <w:p w14:paraId="425DAD03" w14:textId="447829AE" w:rsidR="00E633CC" w:rsidRPr="00CF0C9F" w:rsidRDefault="06800CA4" w:rsidP="009E4B03">
      <w:pPr>
        <w:pStyle w:val="BodyText"/>
      </w:pPr>
      <w:r>
        <w:t>In 202</w:t>
      </w:r>
      <w:r w:rsidR="727352B3">
        <w:t>1-22</w:t>
      </w:r>
      <w:r>
        <w:t xml:space="preserve">, the </w:t>
      </w:r>
      <w:r w:rsidR="3A693CDA">
        <w:t>Treasury</w:t>
      </w:r>
      <w:r>
        <w:t xml:space="preserve"> </w:t>
      </w:r>
      <w:r w:rsidR="053D16D6">
        <w:t>C</w:t>
      </w:r>
      <w:r>
        <w:t>luster will invest $</w:t>
      </w:r>
      <w:r w:rsidR="654BA01C">
        <w:t>12</w:t>
      </w:r>
      <w:r w:rsidR="3D02BFA0">
        <w:t>.0</w:t>
      </w:r>
      <w:r w:rsidR="4432B556">
        <w:t xml:space="preserve"> </w:t>
      </w:r>
      <w:r>
        <w:t>billion ($</w:t>
      </w:r>
      <w:r w:rsidR="3D02BFA0">
        <w:t>12.0</w:t>
      </w:r>
      <w:r w:rsidR="4432B556">
        <w:t xml:space="preserve"> </w:t>
      </w:r>
      <w:r>
        <w:t>billion recurrent expenses and $</w:t>
      </w:r>
      <w:r w:rsidR="42E4F5E8">
        <w:t>9.</w:t>
      </w:r>
      <w:r w:rsidR="4432B556">
        <w:t xml:space="preserve">3 </w:t>
      </w:r>
      <w:r>
        <w:t xml:space="preserve">million capital expenditure) </w:t>
      </w:r>
      <w:r w:rsidR="01A9FEA5">
        <w:t>in this Outcome</w:t>
      </w:r>
      <w:r>
        <w:t>, including</w:t>
      </w:r>
      <w:r w:rsidR="24D1A80C">
        <w:t>:</w:t>
      </w:r>
    </w:p>
    <w:p w14:paraId="08D6B375" w14:textId="6A5C6730" w:rsidR="4E50CAC0" w:rsidRDefault="00D05D0C" w:rsidP="27CADAE7">
      <w:pPr>
        <w:pStyle w:val="Bullet1"/>
      </w:pPr>
      <w:r w:rsidRPr="69D83489">
        <w:rPr>
          <w:rFonts w:eastAsia="Arial"/>
        </w:rPr>
        <w:t>c</w:t>
      </w:r>
      <w:r w:rsidR="4E50CAC0" w:rsidRPr="27CADAE7">
        <w:rPr>
          <w:rFonts w:eastAsia="Arial"/>
        </w:rPr>
        <w:t>ontinuing to support the embedding and maturity of outcomes and performance informed budgeting and resource allocation</w:t>
      </w:r>
    </w:p>
    <w:p w14:paraId="463D8F09" w14:textId="7C8147C2" w:rsidR="00F2199C" w:rsidRPr="00F514D7" w:rsidRDefault="000A4D8B" w:rsidP="00D52657">
      <w:pPr>
        <w:pStyle w:val="Bullet1"/>
        <w:rPr>
          <w:rFonts w:eastAsia="Arial"/>
        </w:rPr>
      </w:pPr>
      <w:r>
        <w:rPr>
          <w:rFonts w:eastAsia="Arial"/>
        </w:rPr>
        <w:t>manage</w:t>
      </w:r>
      <w:r w:rsidR="009C3EDC">
        <w:rPr>
          <w:rFonts w:eastAsia="Arial"/>
        </w:rPr>
        <w:t>ment of</w:t>
      </w:r>
      <w:r w:rsidR="00F514D7">
        <w:rPr>
          <w:rFonts w:eastAsia="Arial"/>
        </w:rPr>
        <w:t xml:space="preserve"> </w:t>
      </w:r>
      <w:r w:rsidR="00F2199C" w:rsidRPr="00F514D7">
        <w:rPr>
          <w:rFonts w:eastAsia="Arial"/>
        </w:rPr>
        <w:t>the Treasury Banking System post the completion of the banking tender to drive efficiencies through new banking arrangements and maximise returns on the State’s centrally managed cash holdings</w:t>
      </w:r>
    </w:p>
    <w:p w14:paraId="42A5394A" w14:textId="1D475680" w:rsidR="00F2199C" w:rsidRPr="00F514D7" w:rsidRDefault="00E429C8" w:rsidP="00D52657">
      <w:pPr>
        <w:pStyle w:val="Bullet1"/>
        <w:rPr>
          <w:rFonts w:eastAsia="Arial"/>
        </w:rPr>
      </w:pPr>
      <w:r>
        <w:rPr>
          <w:rFonts w:eastAsia="Arial"/>
        </w:rPr>
        <w:t>mana</w:t>
      </w:r>
      <w:r w:rsidR="00FB518B">
        <w:rPr>
          <w:rFonts w:eastAsia="Arial"/>
        </w:rPr>
        <w:t>g</w:t>
      </w:r>
      <w:r>
        <w:rPr>
          <w:rFonts w:eastAsia="Arial"/>
        </w:rPr>
        <w:t xml:space="preserve">ing </w:t>
      </w:r>
      <w:r w:rsidR="00F2199C" w:rsidRPr="00F514D7">
        <w:rPr>
          <w:rFonts w:eastAsia="Arial"/>
        </w:rPr>
        <w:t>the State’s core debt portfolio to minimise the market value and cost of debt within specified risk parameters and manag</w:t>
      </w:r>
      <w:r w:rsidR="00FE1B34">
        <w:rPr>
          <w:rFonts w:eastAsia="Arial"/>
        </w:rPr>
        <w:t>e</w:t>
      </w:r>
      <w:r w:rsidR="00F2199C" w:rsidRPr="00F514D7">
        <w:rPr>
          <w:rFonts w:eastAsia="Arial"/>
        </w:rPr>
        <w:t xml:space="preserve"> any significant financ</w:t>
      </w:r>
      <w:r w:rsidR="004448BD">
        <w:rPr>
          <w:rFonts w:eastAsia="Arial"/>
        </w:rPr>
        <w:t>ial</w:t>
      </w:r>
      <w:r w:rsidR="00F2199C" w:rsidRPr="00F514D7">
        <w:rPr>
          <w:rFonts w:eastAsia="Arial"/>
        </w:rPr>
        <w:t xml:space="preserve"> risks for the State </w:t>
      </w:r>
    </w:p>
    <w:p w14:paraId="5793B0BC" w14:textId="74187681" w:rsidR="00F2199C" w:rsidRPr="00F514D7" w:rsidRDefault="00F2199C" w:rsidP="00D52657">
      <w:pPr>
        <w:pStyle w:val="Bullet1"/>
        <w:rPr>
          <w:rFonts w:eastAsia="Arial"/>
        </w:rPr>
      </w:pPr>
      <w:r w:rsidRPr="00F514D7">
        <w:rPr>
          <w:rFonts w:eastAsia="Arial"/>
        </w:rPr>
        <w:t>administer</w:t>
      </w:r>
      <w:r w:rsidR="00FB518B">
        <w:rPr>
          <w:rFonts w:eastAsia="Arial"/>
        </w:rPr>
        <w:t>ing</w:t>
      </w:r>
      <w:r w:rsidRPr="00F514D7">
        <w:rPr>
          <w:rFonts w:eastAsia="Arial"/>
        </w:rPr>
        <w:t xml:space="preserve"> Restart NSW, the Social and Affordable Housing Fund</w:t>
      </w:r>
      <w:r w:rsidR="00D36373">
        <w:rPr>
          <w:rFonts w:eastAsia="Arial"/>
        </w:rPr>
        <w:t>,</w:t>
      </w:r>
      <w:r w:rsidRPr="00F514D7">
        <w:rPr>
          <w:rFonts w:eastAsia="Arial"/>
        </w:rPr>
        <w:t xml:space="preserve"> and </w:t>
      </w:r>
      <w:r w:rsidR="00222EEA">
        <w:rPr>
          <w:rFonts w:eastAsia="Arial"/>
        </w:rPr>
        <w:t>t</w:t>
      </w:r>
      <w:r w:rsidR="005252E7">
        <w:rPr>
          <w:rFonts w:eastAsia="Arial"/>
        </w:rPr>
        <w:t xml:space="preserve">he </w:t>
      </w:r>
      <w:r w:rsidRPr="00F514D7">
        <w:rPr>
          <w:rFonts w:eastAsia="Arial"/>
        </w:rPr>
        <w:t xml:space="preserve">NSW Generations Fund, to maximise returns </w:t>
      </w:r>
      <w:r w:rsidR="00D36373">
        <w:rPr>
          <w:rFonts w:eastAsia="Arial"/>
        </w:rPr>
        <w:t xml:space="preserve">on </w:t>
      </w:r>
      <w:r w:rsidRPr="00F514D7">
        <w:rPr>
          <w:rFonts w:eastAsia="Arial"/>
        </w:rPr>
        <w:t>investment in productive infrastructure</w:t>
      </w:r>
      <w:r w:rsidR="00AD2304">
        <w:rPr>
          <w:rFonts w:eastAsia="Arial"/>
        </w:rPr>
        <w:t>,</w:t>
      </w:r>
      <w:r w:rsidRPr="00F514D7">
        <w:rPr>
          <w:rFonts w:eastAsia="Arial"/>
        </w:rPr>
        <w:t xml:space="preserve"> and boost delivery of social and affordable housing across New South Wales</w:t>
      </w:r>
    </w:p>
    <w:p w14:paraId="57F008DE" w14:textId="4712FFC5" w:rsidR="00F2199C" w:rsidRPr="00F514D7" w:rsidRDefault="00F2199C" w:rsidP="00D52657">
      <w:pPr>
        <w:pStyle w:val="Bullet1"/>
        <w:rPr>
          <w:rFonts w:eastAsia="Arial"/>
        </w:rPr>
      </w:pPr>
      <w:r w:rsidRPr="00F514D7">
        <w:rPr>
          <w:rFonts w:eastAsia="Arial"/>
        </w:rPr>
        <w:t>oversee</w:t>
      </w:r>
      <w:r w:rsidR="00827F40">
        <w:rPr>
          <w:rFonts w:eastAsia="Arial"/>
        </w:rPr>
        <w:t>ing</w:t>
      </w:r>
      <w:r w:rsidRPr="00F514D7">
        <w:rPr>
          <w:rFonts w:eastAsia="Arial"/>
        </w:rPr>
        <w:t xml:space="preserve"> the State’s investments, including the retained interests in Ausgrid and Endeavour Energy, as well as administering the residual assets and liabilities of major State asset recycling and long-term lease transactions</w:t>
      </w:r>
    </w:p>
    <w:p w14:paraId="223753E4" w14:textId="32772E3C" w:rsidR="00E633CC" w:rsidRPr="007A5C1D" w:rsidRDefault="00827F40" w:rsidP="00C67D54">
      <w:pPr>
        <w:pStyle w:val="Bullet1"/>
      </w:pPr>
      <w:r w:rsidRPr="005C3794">
        <w:rPr>
          <w:rFonts w:eastAsia="Arial"/>
        </w:rPr>
        <w:t>manag</w:t>
      </w:r>
      <w:r>
        <w:rPr>
          <w:rFonts w:eastAsia="Arial"/>
        </w:rPr>
        <w:t>ing</w:t>
      </w:r>
      <w:r w:rsidRPr="005C3794">
        <w:rPr>
          <w:rFonts w:eastAsia="Arial"/>
        </w:rPr>
        <w:t xml:space="preserve"> </w:t>
      </w:r>
      <w:r w:rsidR="00F2199C" w:rsidRPr="005C3794">
        <w:rPr>
          <w:rFonts w:eastAsia="Arial"/>
        </w:rPr>
        <w:t>the NSW public sector Defined Benefit Superannuation Scheme.</w:t>
      </w:r>
    </w:p>
    <w:p w14:paraId="65605835" w14:textId="77777777" w:rsidR="006A63F4" w:rsidRDefault="006A63F4" w:rsidP="006A63F4">
      <w:pPr>
        <w:pStyle w:val="Heading3"/>
        <w:rPr>
          <w:rFonts w:cs="Arial"/>
        </w:rPr>
      </w:pPr>
      <w:bookmarkStart w:id="7" w:name="_Toc473722853"/>
      <w:bookmarkStart w:id="8" w:name="_Toc511769340"/>
      <w:r w:rsidRPr="00DC6435">
        <w:rPr>
          <w:rFonts w:cs="Arial"/>
        </w:rPr>
        <w:t xml:space="preserve">Key performance insights </w:t>
      </w:r>
    </w:p>
    <w:p w14:paraId="7CA1AE69" w14:textId="7FB34D81" w:rsidR="00C32295" w:rsidRPr="00C32295" w:rsidRDefault="009B12B6" w:rsidP="0014160D">
      <w:pPr>
        <w:pStyle w:val="BodyText"/>
      </w:pPr>
      <w:r>
        <w:t>This section provides analysis and insights on key Outcome Indicators to this State Outcome.</w:t>
      </w:r>
    </w:p>
    <w:p w14:paraId="31ADB728" w14:textId="2F24CDFD" w:rsidR="005C767D" w:rsidRPr="009B12B6" w:rsidRDefault="00E428D3" w:rsidP="00EC7CA7">
      <w:pPr>
        <w:keepNext/>
        <w:widowControl w:val="0"/>
        <w:spacing w:before="320" w:after="120" w:line="240" w:lineRule="atLeast"/>
        <w:ind w:right="-142"/>
        <w:outlineLvl w:val="3"/>
        <w:rPr>
          <w:rFonts w:ascii="Arial Bold" w:hAnsi="Arial Bold"/>
          <w:b/>
          <w:color w:val="00426F"/>
          <w:kern w:val="28"/>
          <w:sz w:val="25"/>
          <w:szCs w:val="36"/>
        </w:rPr>
      </w:pPr>
      <w:r w:rsidRPr="009B12B6">
        <w:rPr>
          <w:rFonts w:ascii="Arial Bold" w:hAnsi="Arial Bold"/>
          <w:b/>
          <w:color w:val="00426F"/>
          <w:kern w:val="28"/>
          <w:sz w:val="25"/>
          <w:szCs w:val="36"/>
        </w:rPr>
        <w:t>Fully fund the State’s unfunded defined benefit superannuation liabilities by 2040</w:t>
      </w:r>
    </w:p>
    <w:p w14:paraId="5AF1AFC7" w14:textId="418CD149" w:rsidR="00176B29" w:rsidRDefault="008E12FB" w:rsidP="0014160D">
      <w:pPr>
        <w:pStyle w:val="BodyText"/>
      </w:pPr>
      <w:r>
        <w:t xml:space="preserve">Performance </w:t>
      </w:r>
      <w:r w:rsidR="00AD2F4E">
        <w:t xml:space="preserve">against this indicator </w:t>
      </w:r>
      <w:r w:rsidR="009E2EA7" w:rsidRPr="009E2EA7">
        <w:t xml:space="preserve">is on track to meet </w:t>
      </w:r>
      <w:r w:rsidR="00176B29">
        <w:t xml:space="preserve">the </w:t>
      </w:r>
      <w:r w:rsidR="009E2EA7" w:rsidRPr="009E2EA7">
        <w:t xml:space="preserve">target. The State </w:t>
      </w:r>
      <w:r w:rsidR="00A73E7F" w:rsidRPr="009E2EA7">
        <w:t>ha</w:t>
      </w:r>
      <w:r w:rsidR="00A73E7F">
        <w:t>s</w:t>
      </w:r>
      <w:r w:rsidR="009E2EA7" w:rsidRPr="009E2EA7">
        <w:t xml:space="preserve"> embarked on a </w:t>
      </w:r>
      <w:r w:rsidR="00176B29">
        <w:t>two</w:t>
      </w:r>
      <w:r w:rsidR="009E2EA7" w:rsidRPr="009E2EA7">
        <w:t xml:space="preserve">-year superannuation </w:t>
      </w:r>
      <w:r w:rsidR="00230E6B">
        <w:t>contribution</w:t>
      </w:r>
      <w:r w:rsidR="009E2EA7" w:rsidRPr="009E2EA7">
        <w:t xml:space="preserve"> holiday (2020-21</w:t>
      </w:r>
      <w:r w:rsidR="00002256" w:rsidRPr="009E2EA7">
        <w:t xml:space="preserve"> </w:t>
      </w:r>
      <w:r w:rsidR="009E2EA7" w:rsidRPr="009E2EA7">
        <w:t xml:space="preserve">and </w:t>
      </w:r>
      <w:r w:rsidR="00002256" w:rsidRPr="009E2EA7">
        <w:t>202</w:t>
      </w:r>
      <w:r w:rsidR="00002256">
        <w:t>1</w:t>
      </w:r>
      <w:r w:rsidR="009E2EA7" w:rsidRPr="009E2EA7">
        <w:t>-</w:t>
      </w:r>
      <w:r w:rsidR="00002256" w:rsidRPr="009E2EA7">
        <w:t>2</w:t>
      </w:r>
      <w:r w:rsidR="00002256">
        <w:t>2</w:t>
      </w:r>
      <w:r w:rsidR="009E2EA7" w:rsidRPr="009E2EA7">
        <w:t>) and re</w:t>
      </w:r>
      <w:r w:rsidR="003D02D5">
        <w:t>-</w:t>
      </w:r>
      <w:r w:rsidR="009E2EA7" w:rsidRPr="009E2EA7">
        <w:t xml:space="preserve">anchored the commitment to fully fund the State's defined benefit superannuation liability by 2040 instead of 2030. </w:t>
      </w:r>
    </w:p>
    <w:p w14:paraId="142B90E6" w14:textId="77777777" w:rsidR="00BC398F" w:rsidRDefault="00BC398F">
      <w:pPr>
        <w:rPr>
          <w:rFonts w:ascii="Arial" w:hAnsi="Arial"/>
          <w:i/>
          <w:color w:val="4F4F4F"/>
          <w:sz w:val="22"/>
        </w:rPr>
      </w:pPr>
      <w:r>
        <w:br w:type="page"/>
      </w:r>
    </w:p>
    <w:p w14:paraId="06339F18" w14:textId="530C2671" w:rsidR="00BA5127" w:rsidRPr="005F7DAF" w:rsidRDefault="00BA5127" w:rsidP="00AA5AB0">
      <w:pPr>
        <w:pStyle w:val="Chart91"/>
        <w:rPr>
          <w:rFonts w:eastAsia="Calibri" w:cs="Arial"/>
          <w:sz w:val="23"/>
          <w:szCs w:val="23"/>
        </w:rPr>
      </w:pPr>
      <w:r w:rsidRPr="00CB07FA">
        <w:lastRenderedPageBreak/>
        <w:t>NSW Unfunded</w:t>
      </w:r>
      <w:r w:rsidRPr="00511E4E">
        <w:t xml:space="preserve"> defined </w:t>
      </w:r>
      <w:r w:rsidRPr="00511E4E">
        <w:rPr>
          <w:lang w:eastAsia="en-AU"/>
        </w:rPr>
        <w:t>benefit</w:t>
      </w:r>
      <w:r w:rsidRPr="00511E4E">
        <w:t xml:space="preserve"> superannuation liabilities</w:t>
      </w:r>
    </w:p>
    <w:p w14:paraId="593B732E" w14:textId="7A3EDA9A" w:rsidR="00C126C0" w:rsidRPr="00C126C0" w:rsidRDefault="003C5ED9" w:rsidP="006C62F6">
      <w:pPr>
        <w:jc w:val="center"/>
        <w:rPr>
          <w:sz w:val="24"/>
          <w:szCs w:val="24"/>
          <w:lang w:eastAsia="en-AU"/>
        </w:rPr>
      </w:pPr>
      <w:r>
        <w:rPr>
          <w:noProof/>
          <w:sz w:val="24"/>
          <w:szCs w:val="24"/>
          <w:lang w:eastAsia="en-AU"/>
        </w:rPr>
        <w:drawing>
          <wp:inline distT="0" distB="0" distL="0" distR="0" wp14:anchorId="729D4BB1" wp14:editId="1653782F">
            <wp:extent cx="4742815" cy="2212975"/>
            <wp:effectExtent l="0" t="0" r="0" b="0"/>
            <wp:docPr id="10" name="Picture 10" descr="Chart 9.4: NSW Unfunded defined benefit superannuation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9.4: NSW Unfunded defined benefit superannuation liabil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2815" cy="2212975"/>
                    </a:xfrm>
                    <a:prstGeom prst="rect">
                      <a:avLst/>
                    </a:prstGeom>
                    <a:noFill/>
                  </pic:spPr>
                </pic:pic>
              </a:graphicData>
            </a:graphic>
          </wp:inline>
        </w:drawing>
      </w:r>
    </w:p>
    <w:p w14:paraId="5E412595" w14:textId="2B6767B4" w:rsidR="00993F1B" w:rsidRPr="007A5C1D" w:rsidRDefault="72F576FB" w:rsidP="007A5C1D">
      <w:pPr>
        <w:spacing w:before="127"/>
        <w:ind w:right="220"/>
        <w:rPr>
          <w:rFonts w:ascii="Arial" w:hAnsi="Arial" w:cs="Arial"/>
          <w:sz w:val="17"/>
          <w:szCs w:val="17"/>
        </w:rPr>
      </w:pPr>
      <w:r w:rsidRPr="6E244D92">
        <w:rPr>
          <w:rFonts w:ascii="Arial" w:hAnsi="Arial" w:cs="Arial"/>
          <w:color w:val="000000" w:themeColor="text1"/>
          <w:sz w:val="17"/>
          <w:szCs w:val="17"/>
          <w:lang w:eastAsia="en-AU"/>
        </w:rPr>
        <w:t>Note:</w:t>
      </w:r>
      <w:r w:rsidR="612A752F" w:rsidRPr="6E244D92">
        <w:rPr>
          <w:rFonts w:ascii="Arial" w:hAnsi="Arial" w:cs="Arial"/>
          <w:color w:val="000000" w:themeColor="text1"/>
          <w:sz w:val="17"/>
          <w:szCs w:val="17"/>
          <w:lang w:eastAsia="en-AU"/>
        </w:rPr>
        <w:t xml:space="preserve"> </w:t>
      </w:r>
      <w:r w:rsidR="203DDCEF" w:rsidRPr="6E244D92">
        <w:rPr>
          <w:rFonts w:ascii="Arial" w:hAnsi="Arial" w:cs="Arial"/>
          <w:sz w:val="17"/>
          <w:szCs w:val="17"/>
        </w:rPr>
        <w:t xml:space="preserve">The target for this indicator is for 2040 and has not been included given the chart scale for presentational purposes. The 2020-21 actual </w:t>
      </w:r>
      <w:r w:rsidR="008061C9">
        <w:rPr>
          <w:rFonts w:ascii="Arial" w:hAnsi="Arial" w:cs="Arial"/>
          <w:sz w:val="17"/>
          <w:szCs w:val="17"/>
        </w:rPr>
        <w:t xml:space="preserve">is not yet </w:t>
      </w:r>
      <w:r w:rsidR="009A3C6C">
        <w:rPr>
          <w:rFonts w:ascii="Arial" w:hAnsi="Arial" w:cs="Arial"/>
          <w:sz w:val="17"/>
          <w:szCs w:val="17"/>
        </w:rPr>
        <w:t>available,</w:t>
      </w:r>
      <w:r w:rsidR="008061C9">
        <w:rPr>
          <w:rFonts w:ascii="Arial" w:hAnsi="Arial" w:cs="Arial"/>
          <w:sz w:val="17"/>
          <w:szCs w:val="17"/>
        </w:rPr>
        <w:t xml:space="preserve"> </w:t>
      </w:r>
      <w:r w:rsidR="203DDCEF" w:rsidRPr="6E244D92">
        <w:rPr>
          <w:rFonts w:ascii="Arial" w:hAnsi="Arial" w:cs="Arial"/>
          <w:sz w:val="17"/>
          <w:szCs w:val="17"/>
        </w:rPr>
        <w:t>and an estimate has been provided.</w:t>
      </w:r>
    </w:p>
    <w:p w14:paraId="63EC65E8" w14:textId="30283D64" w:rsidR="00E428D3" w:rsidRPr="009B12B6" w:rsidRDefault="00E719D4" w:rsidP="0014160D">
      <w:pPr>
        <w:keepNext/>
        <w:widowControl w:val="0"/>
        <w:spacing w:before="320" w:after="120" w:line="240" w:lineRule="atLeast"/>
        <w:outlineLvl w:val="3"/>
        <w:rPr>
          <w:rFonts w:ascii="Arial Bold" w:hAnsi="Arial Bold"/>
          <w:b/>
          <w:color w:val="00426F"/>
          <w:kern w:val="28"/>
          <w:sz w:val="25"/>
          <w:szCs w:val="36"/>
        </w:rPr>
      </w:pPr>
      <w:r w:rsidRPr="009B12B6">
        <w:rPr>
          <w:rFonts w:ascii="Arial Bold" w:hAnsi="Arial Bold"/>
          <w:b/>
          <w:color w:val="00426F"/>
          <w:kern w:val="28"/>
          <w:sz w:val="25"/>
          <w:szCs w:val="36"/>
        </w:rPr>
        <w:t>Maintaining the triple-A credit rating</w:t>
      </w:r>
    </w:p>
    <w:p w14:paraId="4B8598F7" w14:textId="39070BB3" w:rsidR="001F6861" w:rsidRDefault="004A3CD1" w:rsidP="00F04778">
      <w:pPr>
        <w:pStyle w:val="BodyText"/>
      </w:pPr>
      <w:r>
        <w:t xml:space="preserve">Performance against this indicator </w:t>
      </w:r>
      <w:r w:rsidR="00196B23">
        <w:t xml:space="preserve">is stable for </w:t>
      </w:r>
      <w:r w:rsidR="00D75C1A">
        <w:t xml:space="preserve">the </w:t>
      </w:r>
      <w:r w:rsidR="00196B23">
        <w:t>Moody’s</w:t>
      </w:r>
      <w:r w:rsidR="00D75C1A">
        <w:t xml:space="preserve"> rating</w:t>
      </w:r>
      <w:r>
        <w:t xml:space="preserve">. </w:t>
      </w:r>
      <w:r w:rsidR="001D49DA" w:rsidRPr="00A2561F">
        <w:t xml:space="preserve">On 1 December 2020, Moody’s reaffirmed NSW’s triple-A credit rating despite the severe economic and revenue disruptions caused by COVID-19 and the lingering economic impacts of recent drought and bushfires. </w:t>
      </w:r>
      <w:r w:rsidR="006D2CB6">
        <w:t>In reaffirming the State’s triple-A credit rating, Moody’s cited the State’s fiscal</w:t>
      </w:r>
      <w:r w:rsidR="006D2CB6" w:rsidRPr="006D2CB6">
        <w:t xml:space="preserve"> strength</w:t>
      </w:r>
      <w:r w:rsidR="009D75FA">
        <w:t>,</w:t>
      </w:r>
      <w:r w:rsidR="006D2CB6" w:rsidRPr="006D2CB6">
        <w:t xml:space="preserve"> flexibility</w:t>
      </w:r>
      <w:r w:rsidR="009D75FA">
        <w:t xml:space="preserve">, </w:t>
      </w:r>
      <w:r w:rsidR="00D022AF">
        <w:t>l</w:t>
      </w:r>
      <w:r w:rsidR="006D2CB6" w:rsidRPr="006D2CB6">
        <w:t>arge and diverse economic base</w:t>
      </w:r>
      <w:r w:rsidR="00D022AF">
        <w:t>,</w:t>
      </w:r>
      <w:r w:rsidR="006D2CB6" w:rsidRPr="006D2CB6">
        <w:t xml:space="preserve"> and </w:t>
      </w:r>
      <w:r w:rsidR="00D022AF">
        <w:t>its</w:t>
      </w:r>
      <w:r w:rsidR="006D2CB6" w:rsidRPr="006D2CB6">
        <w:t xml:space="preserve"> proven history of strong fiscal resolve</w:t>
      </w:r>
      <w:r w:rsidR="00F86ABD">
        <w:t xml:space="preserve">. </w:t>
      </w:r>
    </w:p>
    <w:p w14:paraId="355E69DC" w14:textId="3DF9FD55" w:rsidR="00407911" w:rsidRDefault="001D49DA" w:rsidP="00F04778">
      <w:pPr>
        <w:pStyle w:val="BodyText"/>
      </w:pPr>
      <w:r w:rsidRPr="00A2561F">
        <w:t xml:space="preserve">On 7 December 2020, S&amp;P Global downgraded NSW’s credit rating by one notch to double-A plus due to the State’s operating deficits and increase in debt resulting from the economic shock caused by COVID-19. S&amp;P </w:t>
      </w:r>
      <w:r w:rsidR="005E0C87">
        <w:t xml:space="preserve">has noted </w:t>
      </w:r>
      <w:r w:rsidR="00660215">
        <w:t>the NSW Government’s excellent financial management, and that they expect a quick return to</w:t>
      </w:r>
      <w:r w:rsidRPr="00A2561F">
        <w:t xml:space="preserve"> an operating surplus.</w:t>
      </w:r>
    </w:p>
    <w:p w14:paraId="2A4F481D" w14:textId="5AF98458" w:rsidR="00173B82" w:rsidRPr="00A523D8" w:rsidRDefault="00AD124A" w:rsidP="00AA5AB0">
      <w:pPr>
        <w:pStyle w:val="Chart91"/>
        <w:rPr>
          <w:rFonts w:eastAsia="Calibri" w:cs="Arial"/>
          <w:sz w:val="23"/>
          <w:szCs w:val="23"/>
        </w:rPr>
      </w:pPr>
      <w:r>
        <w:rPr>
          <w:lang w:eastAsia="en-AU"/>
        </w:rPr>
        <w:t>Annual</w:t>
      </w:r>
      <w:r>
        <w:t xml:space="preserve"> expense growth below long-term revenue growth</w:t>
      </w:r>
    </w:p>
    <w:p w14:paraId="374BA5FF" w14:textId="4B3C3D05" w:rsidR="00A523D8" w:rsidRDefault="003C5ED9" w:rsidP="006C62F6">
      <w:pPr>
        <w:pStyle w:val="Chart91"/>
        <w:numPr>
          <w:ilvl w:val="0"/>
          <w:numId w:val="0"/>
        </w:numPr>
        <w:ind w:left="357"/>
        <w:jc w:val="center"/>
        <w:rPr>
          <w:rFonts w:eastAsia="Calibri" w:cs="Arial"/>
          <w:sz w:val="23"/>
          <w:szCs w:val="23"/>
        </w:rPr>
      </w:pPr>
      <w:r>
        <w:rPr>
          <w:rFonts w:eastAsia="Calibri" w:cs="Arial"/>
          <w:noProof/>
          <w:sz w:val="23"/>
          <w:szCs w:val="23"/>
        </w:rPr>
        <w:drawing>
          <wp:inline distT="0" distB="0" distL="0" distR="0" wp14:anchorId="374C257B" wp14:editId="5C08BB7D">
            <wp:extent cx="4742815" cy="2255520"/>
            <wp:effectExtent l="0" t="0" r="0" b="0"/>
            <wp:docPr id="11" name="Picture 11" descr="Chart 9.5: Annual expense growth below long-term revenu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9.5: Annual expense growth below long-term revenue grow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2815" cy="2255520"/>
                    </a:xfrm>
                    <a:prstGeom prst="rect">
                      <a:avLst/>
                    </a:prstGeom>
                    <a:noFill/>
                  </pic:spPr>
                </pic:pic>
              </a:graphicData>
            </a:graphic>
          </wp:inline>
        </w:drawing>
      </w:r>
    </w:p>
    <w:p w14:paraId="25D8D473" w14:textId="698DF510" w:rsidR="00CA7D80" w:rsidRPr="004C6587" w:rsidRDefault="236A43C7" w:rsidP="00CA7D80">
      <w:pPr>
        <w:rPr>
          <w:rFonts w:ascii="Arial" w:hAnsi="Arial" w:cs="Arial"/>
          <w:color w:val="000000" w:themeColor="text1"/>
          <w:sz w:val="17"/>
          <w:szCs w:val="17"/>
          <w:lang w:eastAsia="en-AU"/>
        </w:rPr>
      </w:pPr>
      <w:r w:rsidRPr="6E244D92">
        <w:rPr>
          <w:rFonts w:ascii="Arial" w:hAnsi="Arial" w:cs="Arial"/>
          <w:color w:val="000000" w:themeColor="text1"/>
          <w:sz w:val="17"/>
          <w:szCs w:val="17"/>
          <w:lang w:eastAsia="en-AU"/>
        </w:rPr>
        <w:t xml:space="preserve">Note: </w:t>
      </w:r>
      <w:r w:rsidR="360369F5" w:rsidRPr="6E244D92">
        <w:rPr>
          <w:rFonts w:ascii="Arial" w:hAnsi="Arial" w:cs="Arial"/>
          <w:color w:val="000000" w:themeColor="text1"/>
          <w:sz w:val="17"/>
          <w:szCs w:val="17"/>
          <w:lang w:eastAsia="en-AU"/>
        </w:rPr>
        <w:t xml:space="preserve">The </w:t>
      </w:r>
      <w:r w:rsidR="6AB627B5" w:rsidRPr="6E244D92">
        <w:rPr>
          <w:rFonts w:ascii="Arial" w:hAnsi="Arial" w:cs="Arial"/>
          <w:color w:val="000000" w:themeColor="text1"/>
          <w:sz w:val="17"/>
          <w:szCs w:val="17"/>
          <w:lang w:eastAsia="en-AU"/>
        </w:rPr>
        <w:t xml:space="preserve">2020-21 </w:t>
      </w:r>
      <w:r w:rsidR="00DE5F8B">
        <w:rPr>
          <w:rFonts w:ascii="Arial" w:hAnsi="Arial" w:cs="Arial"/>
          <w:color w:val="000000" w:themeColor="text1"/>
          <w:sz w:val="17"/>
          <w:szCs w:val="17"/>
          <w:lang w:eastAsia="en-AU"/>
        </w:rPr>
        <w:t>a</w:t>
      </w:r>
      <w:r w:rsidR="6AB627B5" w:rsidRPr="6E244D92">
        <w:rPr>
          <w:rFonts w:ascii="Arial" w:hAnsi="Arial" w:cs="Arial"/>
          <w:color w:val="000000" w:themeColor="text1"/>
          <w:sz w:val="17"/>
          <w:szCs w:val="17"/>
          <w:lang w:eastAsia="en-AU"/>
        </w:rPr>
        <w:t>ctual is the calculated result based on General Government results and will be available with the published Total State Sector Accounts 2020-21</w:t>
      </w:r>
      <w:r w:rsidR="02684471" w:rsidRPr="6E244D92">
        <w:rPr>
          <w:rFonts w:ascii="Arial" w:hAnsi="Arial" w:cs="Arial"/>
          <w:color w:val="000000" w:themeColor="text1"/>
          <w:sz w:val="17"/>
          <w:szCs w:val="17"/>
          <w:lang w:eastAsia="en-AU"/>
        </w:rPr>
        <w:t xml:space="preserve"> </w:t>
      </w:r>
      <w:r w:rsidR="00A63960">
        <w:rPr>
          <w:rFonts w:ascii="Arial" w:hAnsi="Arial" w:cs="Arial"/>
          <w:color w:val="000000" w:themeColor="text1"/>
          <w:sz w:val="17"/>
          <w:szCs w:val="17"/>
          <w:lang w:eastAsia="en-AU"/>
        </w:rPr>
        <w:t xml:space="preserve">after the Budget </w:t>
      </w:r>
      <w:r w:rsidR="02684471" w:rsidRPr="6E244D92">
        <w:rPr>
          <w:rFonts w:ascii="Arial" w:hAnsi="Arial" w:cs="Arial"/>
          <w:color w:val="000000" w:themeColor="text1"/>
          <w:sz w:val="17"/>
          <w:szCs w:val="17"/>
          <w:lang w:eastAsia="en-AU"/>
        </w:rPr>
        <w:t>and an estimate has been provided</w:t>
      </w:r>
      <w:r w:rsidR="73B16C64" w:rsidRPr="6E244D92">
        <w:rPr>
          <w:rFonts w:ascii="Arial" w:hAnsi="Arial" w:cs="Arial"/>
          <w:color w:val="000000" w:themeColor="text1"/>
          <w:sz w:val="17"/>
          <w:szCs w:val="17"/>
          <w:lang w:eastAsia="en-AU"/>
        </w:rPr>
        <w:t xml:space="preserve"> for 2020-21</w:t>
      </w:r>
      <w:r w:rsidR="02684471" w:rsidRPr="6E244D92">
        <w:rPr>
          <w:rFonts w:ascii="Arial" w:hAnsi="Arial" w:cs="Arial"/>
          <w:color w:val="000000" w:themeColor="text1"/>
          <w:sz w:val="17"/>
          <w:szCs w:val="17"/>
          <w:lang w:eastAsia="en-AU"/>
        </w:rPr>
        <w:t xml:space="preserve">. </w:t>
      </w:r>
    </w:p>
    <w:p w14:paraId="481F1891" w14:textId="77777777" w:rsidR="009A208C" w:rsidRDefault="009A208C">
      <w:pPr>
        <w:rPr>
          <w:rFonts w:ascii="Arial" w:hAnsi="Arial" w:cs="Arial"/>
          <w:color w:val="000000" w:themeColor="text1"/>
          <w:sz w:val="17"/>
          <w:szCs w:val="17"/>
          <w:lang w:eastAsia="en-AU"/>
        </w:rPr>
      </w:pPr>
      <w:r>
        <w:rPr>
          <w:rFonts w:ascii="Arial" w:hAnsi="Arial" w:cs="Arial"/>
          <w:color w:val="000000" w:themeColor="text1"/>
          <w:sz w:val="17"/>
          <w:szCs w:val="17"/>
          <w:lang w:eastAsia="en-AU"/>
        </w:rPr>
        <w:br w:type="page"/>
      </w:r>
    </w:p>
    <w:p w14:paraId="090BE882" w14:textId="7AC70684" w:rsidR="00B4696B" w:rsidRDefault="00B4696B" w:rsidP="00B4696B">
      <w:pPr>
        <w:pStyle w:val="Heading3"/>
        <w:rPr>
          <w:rFonts w:cs="Arial"/>
        </w:rPr>
      </w:pPr>
      <w:r>
        <w:lastRenderedPageBreak/>
        <w:t>P</w:t>
      </w:r>
      <w:r w:rsidRPr="000E3C1F">
        <w:rPr>
          <w:rFonts w:cs="Arial"/>
        </w:rPr>
        <w:t xml:space="preserve">erformance indicators for this </w:t>
      </w:r>
      <w:r>
        <w:rPr>
          <w:rFonts w:cs="Arial"/>
        </w:rPr>
        <w:t>O</w:t>
      </w:r>
      <w:r w:rsidRPr="000E3C1F">
        <w:rPr>
          <w:rFonts w:cs="Arial"/>
        </w:rPr>
        <w:t>utcome</w:t>
      </w:r>
    </w:p>
    <w:tbl>
      <w:tblPr>
        <w:tblW w:w="9656" w:type="dxa"/>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B4696B" w:rsidRPr="00515D35" w14:paraId="057821B0" w14:textId="77777777" w:rsidTr="00260F3A">
        <w:trPr>
          <w:trHeight w:val="283"/>
        </w:trPr>
        <w:tc>
          <w:tcPr>
            <w:tcW w:w="6537" w:type="dxa"/>
            <w:vMerge w:val="restart"/>
            <w:shd w:val="clear" w:color="auto" w:fill="008EBA"/>
            <w:noWrap/>
            <w:vAlign w:val="center"/>
            <w:hideMark/>
          </w:tcPr>
          <w:p w14:paraId="28E3750E" w14:textId="77777777" w:rsidR="00B4696B" w:rsidRPr="00515D35" w:rsidRDefault="00B4696B" w:rsidP="00801C23">
            <w:pPr>
              <w:ind w:firstLineChars="100" w:firstLine="181"/>
              <w:rPr>
                <w:rFonts w:ascii="Arial" w:hAnsi="Arial" w:cs="Arial"/>
                <w:b/>
                <w:bCs/>
                <w:color w:val="FFFFFF"/>
                <w:sz w:val="18"/>
                <w:szCs w:val="18"/>
                <w:lang w:eastAsia="en-AU"/>
              </w:rPr>
            </w:pPr>
            <w:r w:rsidRPr="00515D35">
              <w:rPr>
                <w:rFonts w:ascii="Arial" w:hAnsi="Arial" w:cs="Arial"/>
                <w:b/>
                <w:color w:val="FFFFFF"/>
                <w:sz w:val="18"/>
                <w:szCs w:val="18"/>
                <w:lang w:eastAsia="en-AU"/>
              </w:rPr>
              <w:t>Outcome Indicators</w:t>
            </w:r>
          </w:p>
        </w:tc>
        <w:tc>
          <w:tcPr>
            <w:tcW w:w="737" w:type="dxa"/>
            <w:vMerge w:val="restart"/>
            <w:shd w:val="clear" w:color="auto" w:fill="008EBA"/>
            <w:noWrap/>
            <w:vAlign w:val="center"/>
            <w:hideMark/>
          </w:tcPr>
          <w:p w14:paraId="390E6BE9" w14:textId="77777777" w:rsidR="00B4696B" w:rsidRPr="00515D35" w:rsidRDefault="00B4696B" w:rsidP="00801C23">
            <w:pPr>
              <w:jc w:val="center"/>
              <w:rPr>
                <w:rFonts w:ascii="Arial" w:hAnsi="Arial" w:cs="Arial"/>
                <w:b/>
                <w:bCs/>
                <w:color w:val="FFFFFF"/>
                <w:sz w:val="18"/>
                <w:szCs w:val="18"/>
                <w:lang w:eastAsia="en-AU"/>
              </w:rPr>
            </w:pPr>
            <w:r w:rsidRPr="00515D35">
              <w:rPr>
                <w:rFonts w:ascii="Arial" w:hAnsi="Arial" w:cs="Arial"/>
                <w:b/>
                <w:bCs/>
                <w:color w:val="FFFFFF"/>
                <w:sz w:val="18"/>
                <w:szCs w:val="18"/>
                <w:lang w:eastAsia="en-AU"/>
              </w:rPr>
              <w:t>Units</w:t>
            </w:r>
          </w:p>
        </w:tc>
        <w:tc>
          <w:tcPr>
            <w:tcW w:w="1191" w:type="dxa"/>
            <w:shd w:val="clear" w:color="auto" w:fill="008EBA"/>
            <w:noWrap/>
            <w:vAlign w:val="bottom"/>
            <w:hideMark/>
          </w:tcPr>
          <w:p w14:paraId="794E8A9B" w14:textId="1A920D0C" w:rsidR="00B4696B" w:rsidRPr="00515D35" w:rsidRDefault="00B4696B" w:rsidP="00801C23">
            <w:pPr>
              <w:jc w:val="center"/>
              <w:rPr>
                <w:rFonts w:ascii="Arial" w:hAnsi="Arial" w:cs="Arial"/>
                <w:b/>
                <w:bCs/>
                <w:color w:val="FFFFFF"/>
                <w:sz w:val="18"/>
                <w:szCs w:val="18"/>
                <w:lang w:eastAsia="en-AU"/>
              </w:rPr>
            </w:pPr>
            <w:r w:rsidRPr="00515D35">
              <w:rPr>
                <w:rFonts w:ascii="Arial" w:hAnsi="Arial" w:cs="Arial"/>
                <w:b/>
                <w:bCs/>
                <w:color w:val="FFFFFF"/>
                <w:sz w:val="18"/>
                <w:szCs w:val="18"/>
                <w:lang w:eastAsia="en-AU"/>
              </w:rPr>
              <w:t>2020-21</w:t>
            </w:r>
          </w:p>
        </w:tc>
        <w:tc>
          <w:tcPr>
            <w:tcW w:w="1191" w:type="dxa"/>
            <w:shd w:val="clear" w:color="auto" w:fill="008EBA"/>
            <w:noWrap/>
            <w:vAlign w:val="bottom"/>
            <w:hideMark/>
          </w:tcPr>
          <w:p w14:paraId="552848A7" w14:textId="5B34217D" w:rsidR="00B4696B" w:rsidRPr="00515D35" w:rsidRDefault="00B4696B" w:rsidP="00801C23">
            <w:pPr>
              <w:jc w:val="center"/>
              <w:rPr>
                <w:rFonts w:ascii="Arial" w:hAnsi="Arial" w:cs="Arial"/>
                <w:b/>
                <w:bCs/>
                <w:color w:val="FFFFFF"/>
                <w:sz w:val="18"/>
                <w:szCs w:val="18"/>
                <w:lang w:eastAsia="en-AU"/>
              </w:rPr>
            </w:pPr>
            <w:r w:rsidRPr="00515D35">
              <w:rPr>
                <w:rFonts w:ascii="Arial" w:hAnsi="Arial" w:cs="Arial"/>
                <w:b/>
                <w:bCs/>
                <w:color w:val="FFFFFF"/>
                <w:sz w:val="18"/>
                <w:szCs w:val="18"/>
                <w:lang w:eastAsia="en-AU"/>
              </w:rPr>
              <w:t>2021-22</w:t>
            </w:r>
          </w:p>
        </w:tc>
      </w:tr>
      <w:tr w:rsidR="00B4696B" w:rsidRPr="00515D35" w14:paraId="529587CF" w14:textId="77777777" w:rsidTr="00260F3A">
        <w:trPr>
          <w:trHeight w:val="283"/>
        </w:trPr>
        <w:tc>
          <w:tcPr>
            <w:tcW w:w="6537" w:type="dxa"/>
            <w:vMerge/>
            <w:shd w:val="clear" w:color="auto" w:fill="008EBA"/>
            <w:vAlign w:val="center"/>
            <w:hideMark/>
          </w:tcPr>
          <w:p w14:paraId="6CB10971" w14:textId="77777777" w:rsidR="00B4696B" w:rsidRPr="00515D35" w:rsidRDefault="00B4696B" w:rsidP="00801C23">
            <w:pPr>
              <w:rPr>
                <w:rFonts w:ascii="Arial" w:hAnsi="Arial" w:cs="Arial"/>
                <w:b/>
                <w:bCs/>
                <w:color w:val="FFFFFF"/>
                <w:sz w:val="18"/>
                <w:szCs w:val="18"/>
                <w:lang w:eastAsia="en-AU"/>
              </w:rPr>
            </w:pPr>
          </w:p>
        </w:tc>
        <w:tc>
          <w:tcPr>
            <w:tcW w:w="737" w:type="dxa"/>
            <w:vMerge/>
            <w:shd w:val="clear" w:color="auto" w:fill="008EBA"/>
            <w:vAlign w:val="center"/>
            <w:hideMark/>
          </w:tcPr>
          <w:p w14:paraId="5EC43035" w14:textId="77777777" w:rsidR="00B4696B" w:rsidRPr="00515D35" w:rsidRDefault="00B4696B" w:rsidP="00801C23">
            <w:pPr>
              <w:rPr>
                <w:rFonts w:ascii="Arial" w:hAnsi="Arial" w:cs="Arial"/>
                <w:b/>
                <w:bCs/>
                <w:color w:val="FFFFFF"/>
                <w:sz w:val="18"/>
                <w:szCs w:val="18"/>
                <w:lang w:eastAsia="en-AU"/>
              </w:rPr>
            </w:pPr>
          </w:p>
        </w:tc>
        <w:tc>
          <w:tcPr>
            <w:tcW w:w="1191" w:type="dxa"/>
            <w:shd w:val="clear" w:color="auto" w:fill="008EBA"/>
            <w:noWrap/>
            <w:hideMark/>
          </w:tcPr>
          <w:p w14:paraId="277A3A58" w14:textId="77777777" w:rsidR="00B4696B" w:rsidRPr="00515D35" w:rsidRDefault="00B4696B" w:rsidP="00801C23">
            <w:pPr>
              <w:jc w:val="center"/>
              <w:rPr>
                <w:rFonts w:ascii="Arial" w:hAnsi="Arial" w:cs="Arial"/>
                <w:b/>
                <w:bCs/>
                <w:color w:val="FFFFFF"/>
                <w:sz w:val="18"/>
                <w:szCs w:val="18"/>
                <w:lang w:eastAsia="en-AU"/>
              </w:rPr>
            </w:pPr>
            <w:r w:rsidRPr="00515D35">
              <w:rPr>
                <w:rFonts w:ascii="Arial" w:hAnsi="Arial" w:cs="Arial"/>
                <w:b/>
                <w:bCs/>
                <w:color w:val="FFFFFF"/>
                <w:sz w:val="18"/>
                <w:szCs w:val="18"/>
                <w:lang w:eastAsia="en-AU"/>
              </w:rPr>
              <w:t>Actual</w:t>
            </w:r>
          </w:p>
        </w:tc>
        <w:tc>
          <w:tcPr>
            <w:tcW w:w="1191" w:type="dxa"/>
            <w:shd w:val="clear" w:color="auto" w:fill="008EBA"/>
            <w:noWrap/>
            <w:hideMark/>
          </w:tcPr>
          <w:p w14:paraId="171D1AB0" w14:textId="77777777" w:rsidR="00B4696B" w:rsidRPr="00515D35" w:rsidRDefault="00B4696B" w:rsidP="00801C23">
            <w:pPr>
              <w:jc w:val="center"/>
              <w:rPr>
                <w:rFonts w:ascii="Arial" w:hAnsi="Arial" w:cs="Arial"/>
                <w:b/>
                <w:bCs/>
                <w:color w:val="FFFFFF"/>
                <w:sz w:val="18"/>
                <w:szCs w:val="18"/>
                <w:lang w:eastAsia="en-AU"/>
              </w:rPr>
            </w:pPr>
            <w:r w:rsidRPr="00515D35">
              <w:rPr>
                <w:rFonts w:ascii="Arial" w:hAnsi="Arial" w:cs="Arial"/>
                <w:b/>
                <w:bCs/>
                <w:color w:val="FFFFFF"/>
                <w:sz w:val="18"/>
                <w:szCs w:val="18"/>
                <w:lang w:eastAsia="en-AU"/>
              </w:rPr>
              <w:t>Forecast</w:t>
            </w:r>
          </w:p>
        </w:tc>
      </w:tr>
      <w:tr w:rsidR="00B4696B" w:rsidRPr="00515D35" w14:paraId="4496AD25" w14:textId="77777777" w:rsidTr="00260F3A">
        <w:trPr>
          <w:trHeight w:val="227"/>
        </w:trPr>
        <w:tc>
          <w:tcPr>
            <w:tcW w:w="6537" w:type="dxa"/>
            <w:shd w:val="clear" w:color="auto" w:fill="auto"/>
            <w:vAlign w:val="bottom"/>
            <w:hideMark/>
          </w:tcPr>
          <w:p w14:paraId="4D88010A" w14:textId="087E683D" w:rsidR="00B4696B" w:rsidRPr="00515D35" w:rsidRDefault="00B4696B" w:rsidP="00801C23">
            <w:pPr>
              <w:rPr>
                <w:rFonts w:ascii="Arial" w:hAnsi="Arial" w:cs="Arial"/>
                <w:color w:val="000000"/>
                <w:sz w:val="16"/>
                <w:szCs w:val="16"/>
                <w:lang w:eastAsia="en-AU"/>
              </w:rPr>
            </w:pPr>
            <w:r w:rsidRPr="00515D35">
              <w:rPr>
                <w:rFonts w:ascii="Arial" w:hAnsi="Arial" w:cs="Arial"/>
                <w:color w:val="000000" w:themeColor="text1"/>
                <w:sz w:val="16"/>
                <w:szCs w:val="16"/>
                <w:lang w:eastAsia="en-AU"/>
              </w:rPr>
              <w:t xml:space="preserve">Annual expense growth below long-term revenue growth </w:t>
            </w:r>
          </w:p>
        </w:tc>
        <w:tc>
          <w:tcPr>
            <w:tcW w:w="737" w:type="dxa"/>
            <w:shd w:val="clear" w:color="auto" w:fill="auto"/>
            <w:noWrap/>
            <w:vAlign w:val="bottom"/>
            <w:hideMark/>
          </w:tcPr>
          <w:p w14:paraId="759CCB99" w14:textId="77777777" w:rsidR="00B4696B" w:rsidRPr="00515D35" w:rsidRDefault="00B4696B" w:rsidP="00801C23">
            <w:pPr>
              <w:jc w:val="center"/>
              <w:rPr>
                <w:rFonts w:ascii="Arial" w:hAnsi="Arial" w:cs="Arial"/>
                <w:color w:val="000000"/>
                <w:sz w:val="16"/>
                <w:szCs w:val="16"/>
                <w:lang w:eastAsia="en-AU"/>
              </w:rPr>
            </w:pPr>
            <w:r w:rsidRPr="00515D35">
              <w:rPr>
                <w:rFonts w:ascii="Arial" w:hAnsi="Arial" w:cs="Arial"/>
                <w:color w:val="000000"/>
                <w:sz w:val="16"/>
                <w:szCs w:val="16"/>
                <w:lang w:eastAsia="en-AU"/>
              </w:rPr>
              <w:t>%</w:t>
            </w:r>
          </w:p>
        </w:tc>
        <w:tc>
          <w:tcPr>
            <w:tcW w:w="1191" w:type="dxa"/>
            <w:shd w:val="clear" w:color="auto" w:fill="auto"/>
            <w:noWrap/>
            <w:vAlign w:val="bottom"/>
            <w:hideMark/>
          </w:tcPr>
          <w:p w14:paraId="1B3BAD29" w14:textId="00BA1A9E" w:rsidR="00B4696B" w:rsidRPr="00515D35" w:rsidRDefault="00070D9C" w:rsidP="00801C23">
            <w:pPr>
              <w:ind w:right="170"/>
              <w:jc w:val="right"/>
              <w:rPr>
                <w:rFonts w:ascii="Arial" w:hAnsi="Arial" w:cs="Arial"/>
                <w:sz w:val="16"/>
                <w:szCs w:val="16"/>
                <w:lang w:eastAsia="en-AU"/>
              </w:rPr>
            </w:pPr>
            <w:r w:rsidRPr="00515D35">
              <w:rPr>
                <w:rFonts w:ascii="Arial" w:hAnsi="Arial" w:cs="Arial"/>
                <w:sz w:val="16"/>
                <w:szCs w:val="16"/>
                <w:lang w:eastAsia="en-AU"/>
              </w:rPr>
              <w:t>11</w:t>
            </w:r>
            <w:r w:rsidR="00574FBE" w:rsidRPr="00515D35">
              <w:rPr>
                <w:rFonts w:ascii="Arial" w:hAnsi="Arial" w:cs="Arial"/>
                <w:sz w:val="16"/>
                <w:szCs w:val="16"/>
                <w:lang w:eastAsia="en-AU"/>
              </w:rPr>
              <w:t>.0</w:t>
            </w:r>
            <w:r w:rsidRPr="00515D35">
              <w:rPr>
                <w:rFonts w:ascii="Arial" w:hAnsi="Arial" w:cs="Arial"/>
                <w:color w:val="000000" w:themeColor="text1"/>
                <w:sz w:val="16"/>
                <w:szCs w:val="16"/>
                <w:vertAlign w:val="superscript"/>
                <w:lang w:eastAsia="en-AU"/>
              </w:rPr>
              <w:t xml:space="preserve">(a) </w:t>
            </w:r>
          </w:p>
        </w:tc>
        <w:tc>
          <w:tcPr>
            <w:tcW w:w="1191" w:type="dxa"/>
            <w:shd w:val="clear" w:color="auto" w:fill="auto"/>
            <w:noWrap/>
            <w:vAlign w:val="bottom"/>
            <w:hideMark/>
          </w:tcPr>
          <w:p w14:paraId="5B6ECC0B" w14:textId="4D69B7EC" w:rsidR="00B4696B" w:rsidRPr="00515D35" w:rsidRDefault="00B4696B" w:rsidP="00801C23">
            <w:pPr>
              <w:ind w:right="170"/>
              <w:jc w:val="right"/>
              <w:rPr>
                <w:rFonts w:ascii="Arial" w:hAnsi="Arial" w:cs="Arial"/>
                <w:sz w:val="16"/>
                <w:szCs w:val="16"/>
                <w:lang w:eastAsia="en-AU"/>
              </w:rPr>
            </w:pPr>
            <w:r w:rsidRPr="00515D35">
              <w:rPr>
                <w:rFonts w:ascii="Arial" w:hAnsi="Arial" w:cs="Arial"/>
                <w:sz w:val="16"/>
                <w:szCs w:val="16"/>
                <w:lang w:eastAsia="en-AU"/>
              </w:rPr>
              <w:t>-2.3</w:t>
            </w:r>
          </w:p>
        </w:tc>
      </w:tr>
      <w:tr w:rsidR="00B4696B" w:rsidRPr="00515D35" w14:paraId="0CF5C183" w14:textId="77777777" w:rsidTr="00260F3A">
        <w:trPr>
          <w:trHeight w:val="227"/>
        </w:trPr>
        <w:tc>
          <w:tcPr>
            <w:tcW w:w="6537" w:type="dxa"/>
            <w:shd w:val="clear" w:color="auto" w:fill="auto"/>
            <w:vAlign w:val="bottom"/>
            <w:hideMark/>
          </w:tcPr>
          <w:p w14:paraId="637D348A" w14:textId="35626FFB" w:rsidR="00B4696B" w:rsidRPr="00515D35" w:rsidRDefault="00B4696B" w:rsidP="00801C23">
            <w:pPr>
              <w:spacing w:line="259" w:lineRule="auto"/>
              <w:rPr>
                <w:rFonts w:ascii="Arial" w:hAnsi="Arial" w:cs="Arial"/>
                <w:color w:val="000000" w:themeColor="text1"/>
                <w:sz w:val="16"/>
                <w:szCs w:val="16"/>
                <w:lang w:eastAsia="en-AU"/>
              </w:rPr>
            </w:pPr>
            <w:r w:rsidRPr="00515D35">
              <w:rPr>
                <w:rFonts w:ascii="Arial" w:hAnsi="Arial" w:cs="Arial"/>
                <w:color w:val="000000" w:themeColor="text1"/>
                <w:sz w:val="16"/>
                <w:szCs w:val="16"/>
                <w:lang w:eastAsia="en-AU"/>
              </w:rPr>
              <w:t>Full funding of the State’s superannuation liability by June 2040</w:t>
            </w:r>
            <w:r w:rsidRPr="00515D35">
              <w:rPr>
                <w:rFonts w:ascii="Arial" w:hAnsi="Arial" w:cs="Arial"/>
                <w:color w:val="000000" w:themeColor="text1"/>
                <w:sz w:val="16"/>
                <w:szCs w:val="16"/>
                <w:vertAlign w:val="superscript"/>
                <w:lang w:eastAsia="en-AU"/>
              </w:rPr>
              <w:t xml:space="preserve"> </w:t>
            </w:r>
            <w:r w:rsidR="00D0560D" w:rsidRPr="00515D35">
              <w:rPr>
                <w:rFonts w:ascii="Arial" w:hAnsi="Arial" w:cs="Arial"/>
                <w:color w:val="000000"/>
                <w:sz w:val="16"/>
                <w:szCs w:val="16"/>
                <w:vertAlign w:val="superscript"/>
                <w:lang w:eastAsia="en-AU"/>
              </w:rPr>
              <w:t>(b)</w:t>
            </w:r>
          </w:p>
        </w:tc>
        <w:tc>
          <w:tcPr>
            <w:tcW w:w="737" w:type="dxa"/>
            <w:shd w:val="clear" w:color="auto" w:fill="auto"/>
            <w:noWrap/>
            <w:vAlign w:val="bottom"/>
            <w:hideMark/>
          </w:tcPr>
          <w:p w14:paraId="555572A4" w14:textId="77777777" w:rsidR="00B4696B" w:rsidRPr="00515D35" w:rsidRDefault="00B4696B" w:rsidP="00801C23">
            <w:pPr>
              <w:spacing w:line="259" w:lineRule="auto"/>
              <w:jc w:val="center"/>
              <w:rPr>
                <w:rFonts w:ascii="Arial" w:hAnsi="Arial" w:cs="Arial"/>
                <w:color w:val="000000" w:themeColor="text1"/>
                <w:sz w:val="16"/>
                <w:szCs w:val="16"/>
                <w:lang w:eastAsia="en-AU"/>
              </w:rPr>
            </w:pPr>
            <w:r w:rsidRPr="00515D35">
              <w:rPr>
                <w:rFonts w:ascii="Arial" w:hAnsi="Arial" w:cs="Arial"/>
                <w:color w:val="000000" w:themeColor="text1"/>
                <w:sz w:val="16"/>
                <w:szCs w:val="16"/>
                <w:lang w:eastAsia="en-AU"/>
              </w:rPr>
              <w:t>$billion</w:t>
            </w:r>
          </w:p>
        </w:tc>
        <w:tc>
          <w:tcPr>
            <w:tcW w:w="1191" w:type="dxa"/>
            <w:shd w:val="clear" w:color="auto" w:fill="auto"/>
            <w:noWrap/>
            <w:vAlign w:val="bottom"/>
            <w:hideMark/>
          </w:tcPr>
          <w:p w14:paraId="4A1BD59E" w14:textId="2FD910B3" w:rsidR="00B4696B" w:rsidRPr="00515D35" w:rsidRDefault="00EF6764" w:rsidP="00801C23">
            <w:pPr>
              <w:spacing w:line="259" w:lineRule="auto"/>
              <w:ind w:right="170"/>
              <w:jc w:val="right"/>
              <w:rPr>
                <w:rFonts w:ascii="Arial" w:hAnsi="Arial" w:cs="Arial"/>
                <w:color w:val="000000" w:themeColor="text1"/>
                <w:sz w:val="16"/>
                <w:szCs w:val="16"/>
                <w:lang w:eastAsia="en-AU"/>
              </w:rPr>
            </w:pPr>
            <w:r w:rsidRPr="00515D35">
              <w:rPr>
                <w:rFonts w:ascii="Arial" w:hAnsi="Arial" w:cs="Arial"/>
                <w:color w:val="000000" w:themeColor="text1"/>
                <w:sz w:val="16"/>
                <w:szCs w:val="16"/>
                <w:lang w:eastAsia="en-AU"/>
              </w:rPr>
              <w:t>13.1</w:t>
            </w:r>
          </w:p>
        </w:tc>
        <w:tc>
          <w:tcPr>
            <w:tcW w:w="1191" w:type="dxa"/>
            <w:shd w:val="clear" w:color="auto" w:fill="auto"/>
            <w:noWrap/>
            <w:vAlign w:val="bottom"/>
            <w:hideMark/>
          </w:tcPr>
          <w:p w14:paraId="28DEF8A6" w14:textId="2D880B55" w:rsidR="00B4696B" w:rsidRPr="00515D35" w:rsidRDefault="00BC04A6" w:rsidP="00801C23">
            <w:pPr>
              <w:spacing w:line="259" w:lineRule="auto"/>
              <w:ind w:right="170"/>
              <w:jc w:val="right"/>
              <w:rPr>
                <w:rFonts w:ascii="Arial" w:hAnsi="Arial" w:cs="Arial"/>
                <w:color w:val="000000" w:themeColor="text1"/>
                <w:sz w:val="16"/>
                <w:szCs w:val="16"/>
                <w:lang w:eastAsia="en-AU"/>
              </w:rPr>
            </w:pPr>
            <w:r w:rsidRPr="00515D35">
              <w:rPr>
                <w:rFonts w:ascii="Arial" w:hAnsi="Arial" w:cs="Arial"/>
                <w:color w:val="000000" w:themeColor="text1"/>
                <w:sz w:val="16"/>
                <w:szCs w:val="16"/>
                <w:lang w:eastAsia="en-AU"/>
              </w:rPr>
              <w:t>14.1</w:t>
            </w:r>
          </w:p>
        </w:tc>
      </w:tr>
      <w:tr w:rsidR="00B4696B" w:rsidRPr="00515D35" w14:paraId="54BAA807" w14:textId="77777777" w:rsidTr="00260F3A">
        <w:trPr>
          <w:trHeight w:val="227"/>
        </w:trPr>
        <w:tc>
          <w:tcPr>
            <w:tcW w:w="6537" w:type="dxa"/>
            <w:shd w:val="clear" w:color="auto" w:fill="auto"/>
            <w:vAlign w:val="bottom"/>
            <w:hideMark/>
          </w:tcPr>
          <w:p w14:paraId="4B0D83D3" w14:textId="6F57420E" w:rsidR="00B4696B" w:rsidRPr="00515D35" w:rsidRDefault="00B4696B" w:rsidP="00801C23">
            <w:pPr>
              <w:rPr>
                <w:rFonts w:ascii="Arial" w:hAnsi="Arial" w:cs="Arial"/>
                <w:color w:val="000000"/>
                <w:sz w:val="16"/>
                <w:szCs w:val="16"/>
                <w:lang w:eastAsia="en-AU"/>
              </w:rPr>
            </w:pPr>
            <w:r w:rsidRPr="00515D35">
              <w:rPr>
                <w:rFonts w:ascii="Arial" w:hAnsi="Arial" w:cs="Arial"/>
                <w:color w:val="000000" w:themeColor="text1"/>
                <w:sz w:val="16"/>
                <w:szCs w:val="16"/>
                <w:lang w:eastAsia="en-AU"/>
              </w:rPr>
              <w:t xml:space="preserve">Maintaining the Triple-A Credit Rating </w:t>
            </w:r>
            <w:r w:rsidR="0029215A" w:rsidRPr="00515D35">
              <w:rPr>
                <w:rFonts w:ascii="Arial" w:hAnsi="Arial" w:cs="Arial"/>
                <w:color w:val="000000" w:themeColor="text1"/>
                <w:sz w:val="16"/>
                <w:szCs w:val="16"/>
                <w:lang w:eastAsia="en-AU"/>
              </w:rPr>
              <w:t>(Moody’s)</w:t>
            </w:r>
          </w:p>
        </w:tc>
        <w:tc>
          <w:tcPr>
            <w:tcW w:w="737" w:type="dxa"/>
            <w:shd w:val="clear" w:color="auto" w:fill="auto"/>
            <w:noWrap/>
            <w:vAlign w:val="bottom"/>
            <w:hideMark/>
          </w:tcPr>
          <w:p w14:paraId="60870932" w14:textId="77777777" w:rsidR="00B4696B" w:rsidRPr="00515D35" w:rsidRDefault="00B4696B" w:rsidP="00801C23">
            <w:pPr>
              <w:jc w:val="center"/>
              <w:rPr>
                <w:rFonts w:ascii="Arial" w:hAnsi="Arial" w:cs="Arial"/>
                <w:color w:val="000000"/>
                <w:sz w:val="16"/>
                <w:szCs w:val="16"/>
                <w:lang w:eastAsia="en-AU"/>
              </w:rPr>
            </w:pPr>
            <w:r w:rsidRPr="00515D35">
              <w:rPr>
                <w:rFonts w:ascii="Arial" w:hAnsi="Arial" w:cs="Arial"/>
                <w:color w:val="000000"/>
                <w:sz w:val="16"/>
                <w:szCs w:val="16"/>
                <w:lang w:eastAsia="en-AU"/>
              </w:rPr>
              <w:t>no.</w:t>
            </w:r>
          </w:p>
        </w:tc>
        <w:tc>
          <w:tcPr>
            <w:tcW w:w="1191" w:type="dxa"/>
            <w:shd w:val="clear" w:color="auto" w:fill="auto"/>
            <w:noWrap/>
            <w:vAlign w:val="bottom"/>
            <w:hideMark/>
          </w:tcPr>
          <w:p w14:paraId="3778B14F" w14:textId="11F444B8" w:rsidR="00B4696B" w:rsidRPr="00515D35" w:rsidRDefault="0020681C" w:rsidP="00801C23">
            <w:pPr>
              <w:ind w:right="170"/>
              <w:jc w:val="right"/>
              <w:rPr>
                <w:rFonts w:ascii="Arial" w:hAnsi="Arial" w:cs="Arial"/>
                <w:color w:val="000000"/>
                <w:sz w:val="16"/>
                <w:szCs w:val="16"/>
                <w:lang w:eastAsia="en-AU"/>
              </w:rPr>
            </w:pPr>
            <w:r w:rsidRPr="00515D35">
              <w:rPr>
                <w:rFonts w:ascii="Arial" w:hAnsi="Arial" w:cs="Arial"/>
                <w:color w:val="000000"/>
                <w:sz w:val="16"/>
                <w:szCs w:val="16"/>
                <w:lang w:eastAsia="en-AU"/>
              </w:rPr>
              <w:t>Yes</w:t>
            </w:r>
          </w:p>
        </w:tc>
        <w:tc>
          <w:tcPr>
            <w:tcW w:w="1191" w:type="dxa"/>
            <w:shd w:val="clear" w:color="auto" w:fill="auto"/>
            <w:noWrap/>
            <w:vAlign w:val="bottom"/>
            <w:hideMark/>
          </w:tcPr>
          <w:p w14:paraId="2C36FDFD" w14:textId="7A05CE75" w:rsidR="00B4696B" w:rsidRPr="00515D35" w:rsidRDefault="00B4696B" w:rsidP="00801C23">
            <w:pPr>
              <w:ind w:right="170"/>
              <w:jc w:val="right"/>
              <w:rPr>
                <w:rFonts w:ascii="Arial" w:hAnsi="Arial" w:cs="Arial"/>
                <w:color w:val="000000"/>
                <w:sz w:val="16"/>
                <w:szCs w:val="16"/>
                <w:lang w:eastAsia="en-AU"/>
              </w:rPr>
            </w:pPr>
            <w:proofErr w:type="spellStart"/>
            <w:r w:rsidRPr="00515D35">
              <w:rPr>
                <w:rFonts w:ascii="Arial" w:hAnsi="Arial" w:cs="Arial"/>
                <w:color w:val="000000"/>
                <w:sz w:val="16"/>
                <w:szCs w:val="16"/>
                <w:lang w:eastAsia="en-AU"/>
              </w:rPr>
              <w:t>n.a</w:t>
            </w:r>
            <w:r w:rsidRPr="00515D35">
              <w:rPr>
                <w:rFonts w:ascii="Arial" w:hAnsi="Arial" w:cs="Arial"/>
                <w:color w:val="000000"/>
                <w:sz w:val="16"/>
                <w:szCs w:val="16"/>
                <w:vertAlign w:val="superscript"/>
                <w:lang w:eastAsia="en-AU"/>
              </w:rPr>
              <w:t>.</w:t>
            </w:r>
            <w:proofErr w:type="spellEnd"/>
            <w:r w:rsidRPr="00515D35">
              <w:rPr>
                <w:rFonts w:ascii="Arial" w:hAnsi="Arial" w:cs="Arial"/>
                <w:color w:val="000000"/>
                <w:sz w:val="16"/>
                <w:szCs w:val="16"/>
                <w:vertAlign w:val="superscript"/>
                <w:lang w:eastAsia="en-AU"/>
              </w:rPr>
              <w:t>(</w:t>
            </w:r>
            <w:r w:rsidR="0092484B" w:rsidRPr="00515D35">
              <w:rPr>
                <w:rFonts w:ascii="Arial" w:hAnsi="Arial" w:cs="Arial"/>
                <w:color w:val="000000"/>
                <w:sz w:val="16"/>
                <w:szCs w:val="16"/>
                <w:vertAlign w:val="superscript"/>
                <w:lang w:eastAsia="en-AU"/>
              </w:rPr>
              <w:t>c</w:t>
            </w:r>
            <w:r w:rsidRPr="00515D35">
              <w:rPr>
                <w:rFonts w:ascii="Arial" w:hAnsi="Arial" w:cs="Arial"/>
                <w:color w:val="000000"/>
                <w:sz w:val="16"/>
                <w:szCs w:val="16"/>
                <w:vertAlign w:val="superscript"/>
                <w:lang w:eastAsia="en-AU"/>
              </w:rPr>
              <w:t>)</w:t>
            </w:r>
          </w:p>
        </w:tc>
      </w:tr>
      <w:tr w:rsidR="00B4696B" w:rsidRPr="00515D35" w14:paraId="3E606BA6" w14:textId="77777777" w:rsidTr="00260F3A">
        <w:trPr>
          <w:trHeight w:val="227"/>
        </w:trPr>
        <w:tc>
          <w:tcPr>
            <w:tcW w:w="6537" w:type="dxa"/>
            <w:shd w:val="clear" w:color="auto" w:fill="auto"/>
            <w:vAlign w:val="bottom"/>
          </w:tcPr>
          <w:p w14:paraId="17CCFB92" w14:textId="4409D6C0" w:rsidR="00B4696B" w:rsidRPr="00515D35" w:rsidRDefault="0029215A" w:rsidP="00801C23">
            <w:pPr>
              <w:rPr>
                <w:rFonts w:ascii="Arial" w:hAnsi="Arial" w:cs="Arial"/>
                <w:color w:val="000000"/>
                <w:sz w:val="16"/>
                <w:szCs w:val="16"/>
                <w:lang w:eastAsia="en-AU"/>
              </w:rPr>
            </w:pPr>
            <w:r w:rsidRPr="00515D35">
              <w:rPr>
                <w:rFonts w:ascii="Arial" w:hAnsi="Arial" w:cs="Arial"/>
                <w:color w:val="000000" w:themeColor="text1"/>
                <w:sz w:val="16"/>
                <w:szCs w:val="16"/>
                <w:lang w:eastAsia="en-AU"/>
              </w:rPr>
              <w:t>Maintaining the Triple-A Credit Rating (Standard &amp; Poor’s)</w:t>
            </w:r>
          </w:p>
        </w:tc>
        <w:tc>
          <w:tcPr>
            <w:tcW w:w="737" w:type="dxa"/>
            <w:shd w:val="clear" w:color="auto" w:fill="auto"/>
            <w:noWrap/>
            <w:vAlign w:val="bottom"/>
          </w:tcPr>
          <w:p w14:paraId="2DDBE083" w14:textId="79FFA227" w:rsidR="00B4696B" w:rsidRPr="00515D35" w:rsidRDefault="005E4180" w:rsidP="00801C23">
            <w:pPr>
              <w:jc w:val="center"/>
              <w:rPr>
                <w:rFonts w:ascii="Arial" w:hAnsi="Arial" w:cs="Arial"/>
                <w:color w:val="000000"/>
                <w:sz w:val="16"/>
                <w:szCs w:val="16"/>
                <w:lang w:eastAsia="en-AU"/>
              </w:rPr>
            </w:pPr>
            <w:r w:rsidRPr="00515D35">
              <w:rPr>
                <w:rFonts w:ascii="Arial" w:hAnsi="Arial" w:cs="Arial"/>
                <w:color w:val="000000"/>
                <w:sz w:val="16"/>
                <w:szCs w:val="16"/>
                <w:lang w:eastAsia="en-AU"/>
              </w:rPr>
              <w:t>n</w:t>
            </w:r>
            <w:r w:rsidR="0029215A" w:rsidRPr="00515D35">
              <w:rPr>
                <w:rFonts w:ascii="Arial" w:hAnsi="Arial" w:cs="Arial"/>
                <w:color w:val="000000"/>
                <w:sz w:val="16"/>
                <w:szCs w:val="16"/>
                <w:lang w:eastAsia="en-AU"/>
              </w:rPr>
              <w:t>o.</w:t>
            </w:r>
          </w:p>
        </w:tc>
        <w:tc>
          <w:tcPr>
            <w:tcW w:w="1191" w:type="dxa"/>
            <w:shd w:val="clear" w:color="auto" w:fill="auto"/>
            <w:noWrap/>
            <w:vAlign w:val="bottom"/>
          </w:tcPr>
          <w:p w14:paraId="6740DE93" w14:textId="7E6B655C" w:rsidR="00B4696B" w:rsidRPr="00515D35" w:rsidRDefault="0029215A" w:rsidP="00801C23">
            <w:pPr>
              <w:ind w:right="170"/>
              <w:jc w:val="right"/>
              <w:rPr>
                <w:rFonts w:ascii="Arial" w:hAnsi="Arial" w:cs="Arial"/>
                <w:color w:val="000000"/>
                <w:sz w:val="16"/>
                <w:szCs w:val="16"/>
                <w:lang w:eastAsia="en-AU"/>
              </w:rPr>
            </w:pPr>
            <w:r w:rsidRPr="00515D35">
              <w:rPr>
                <w:rFonts w:ascii="Arial" w:hAnsi="Arial" w:cs="Arial"/>
                <w:color w:val="000000"/>
                <w:sz w:val="16"/>
                <w:szCs w:val="16"/>
                <w:lang w:eastAsia="en-AU"/>
              </w:rPr>
              <w:t>No</w:t>
            </w:r>
            <w:r w:rsidR="005E4180" w:rsidRPr="00515D35">
              <w:rPr>
                <w:rFonts w:ascii="Arial" w:hAnsi="Arial" w:cs="Arial"/>
                <w:color w:val="000000"/>
                <w:sz w:val="16"/>
                <w:szCs w:val="16"/>
                <w:vertAlign w:val="superscript"/>
                <w:lang w:eastAsia="en-AU"/>
              </w:rPr>
              <w:t>(</w:t>
            </w:r>
            <w:r w:rsidR="00116948" w:rsidRPr="00515D35">
              <w:rPr>
                <w:rFonts w:ascii="Arial" w:hAnsi="Arial" w:cs="Arial"/>
                <w:color w:val="000000"/>
                <w:sz w:val="16"/>
                <w:szCs w:val="16"/>
                <w:vertAlign w:val="superscript"/>
                <w:lang w:eastAsia="en-AU"/>
              </w:rPr>
              <w:t>d</w:t>
            </w:r>
            <w:r w:rsidR="005E4180" w:rsidRPr="00515D35">
              <w:rPr>
                <w:rFonts w:ascii="Arial" w:hAnsi="Arial" w:cs="Arial"/>
                <w:color w:val="000000"/>
                <w:sz w:val="16"/>
                <w:szCs w:val="16"/>
                <w:vertAlign w:val="superscript"/>
                <w:lang w:eastAsia="en-AU"/>
              </w:rPr>
              <w:t>)</w:t>
            </w:r>
          </w:p>
        </w:tc>
        <w:tc>
          <w:tcPr>
            <w:tcW w:w="1191" w:type="dxa"/>
            <w:shd w:val="clear" w:color="auto" w:fill="auto"/>
            <w:noWrap/>
            <w:vAlign w:val="bottom"/>
          </w:tcPr>
          <w:p w14:paraId="3EA79734" w14:textId="4581A99B" w:rsidR="00B4696B" w:rsidRPr="00515D35" w:rsidRDefault="0029215A" w:rsidP="00801C23">
            <w:pPr>
              <w:ind w:right="170"/>
              <w:jc w:val="right"/>
              <w:rPr>
                <w:rFonts w:ascii="Arial" w:hAnsi="Arial" w:cs="Arial"/>
                <w:color w:val="000000"/>
                <w:sz w:val="16"/>
                <w:szCs w:val="16"/>
                <w:lang w:eastAsia="en-AU"/>
              </w:rPr>
            </w:pPr>
            <w:proofErr w:type="spellStart"/>
            <w:r w:rsidRPr="00515D35">
              <w:rPr>
                <w:rFonts w:ascii="Arial" w:hAnsi="Arial" w:cs="Arial"/>
                <w:color w:val="000000"/>
                <w:sz w:val="16"/>
                <w:szCs w:val="16"/>
                <w:lang w:eastAsia="en-AU"/>
              </w:rPr>
              <w:t>n.a</w:t>
            </w:r>
            <w:r w:rsidRPr="00515D35">
              <w:rPr>
                <w:rFonts w:ascii="Arial" w:hAnsi="Arial" w:cs="Arial"/>
                <w:color w:val="000000"/>
                <w:sz w:val="16"/>
                <w:szCs w:val="16"/>
                <w:vertAlign w:val="superscript"/>
                <w:lang w:eastAsia="en-AU"/>
              </w:rPr>
              <w:t>.</w:t>
            </w:r>
            <w:proofErr w:type="spellEnd"/>
            <w:r w:rsidRPr="00515D35">
              <w:rPr>
                <w:rFonts w:ascii="Arial" w:hAnsi="Arial" w:cs="Arial"/>
                <w:color w:val="000000"/>
                <w:sz w:val="16"/>
                <w:szCs w:val="16"/>
                <w:vertAlign w:val="superscript"/>
                <w:lang w:eastAsia="en-AU"/>
              </w:rPr>
              <w:t>(</w:t>
            </w:r>
            <w:r w:rsidR="007E7412" w:rsidRPr="00515D35">
              <w:rPr>
                <w:rFonts w:ascii="Arial" w:hAnsi="Arial" w:cs="Arial"/>
                <w:color w:val="000000"/>
                <w:sz w:val="16"/>
                <w:szCs w:val="16"/>
                <w:vertAlign w:val="superscript"/>
                <w:lang w:eastAsia="en-AU"/>
              </w:rPr>
              <w:t>c</w:t>
            </w:r>
            <w:r w:rsidRPr="00515D35">
              <w:rPr>
                <w:rFonts w:ascii="Arial" w:hAnsi="Arial" w:cs="Arial"/>
                <w:color w:val="000000"/>
                <w:sz w:val="16"/>
                <w:szCs w:val="16"/>
                <w:vertAlign w:val="superscript"/>
                <w:lang w:eastAsia="en-AU"/>
              </w:rPr>
              <w:t>)</w:t>
            </w:r>
          </w:p>
        </w:tc>
      </w:tr>
      <w:tr w:rsidR="0029215A" w:rsidRPr="00515D35" w14:paraId="35468571" w14:textId="77777777" w:rsidTr="00260F3A">
        <w:trPr>
          <w:trHeight w:val="227"/>
        </w:trPr>
        <w:tc>
          <w:tcPr>
            <w:tcW w:w="6537" w:type="dxa"/>
            <w:shd w:val="clear" w:color="auto" w:fill="auto"/>
            <w:vAlign w:val="bottom"/>
          </w:tcPr>
          <w:p w14:paraId="4C4DE415" w14:textId="0CC0D2BD" w:rsidR="0029215A" w:rsidRPr="00515D35" w:rsidRDefault="0029215A" w:rsidP="0029215A">
            <w:pPr>
              <w:rPr>
                <w:rFonts w:ascii="Arial" w:hAnsi="Arial" w:cs="Arial"/>
                <w:color w:val="000000" w:themeColor="text1"/>
                <w:sz w:val="16"/>
                <w:szCs w:val="16"/>
                <w:lang w:eastAsia="en-AU"/>
              </w:rPr>
            </w:pPr>
            <w:r w:rsidRPr="00515D35">
              <w:rPr>
                <w:rFonts w:ascii="Arial" w:hAnsi="Arial" w:cs="Arial"/>
                <w:color w:val="000000" w:themeColor="text1"/>
                <w:sz w:val="16"/>
                <w:szCs w:val="16"/>
                <w:lang w:eastAsia="en-AU"/>
              </w:rPr>
              <w:t>Reducing the long-term fiscal gap</w:t>
            </w:r>
          </w:p>
        </w:tc>
        <w:tc>
          <w:tcPr>
            <w:tcW w:w="737" w:type="dxa"/>
            <w:shd w:val="clear" w:color="auto" w:fill="auto"/>
            <w:noWrap/>
            <w:vAlign w:val="bottom"/>
          </w:tcPr>
          <w:p w14:paraId="6333D0B2" w14:textId="307E6EF0" w:rsidR="0029215A" w:rsidRPr="00515D35" w:rsidRDefault="0029215A" w:rsidP="0029215A">
            <w:pPr>
              <w:jc w:val="center"/>
              <w:rPr>
                <w:rFonts w:ascii="Arial" w:hAnsi="Arial" w:cs="Arial"/>
                <w:color w:val="000000"/>
                <w:sz w:val="16"/>
                <w:szCs w:val="16"/>
                <w:lang w:eastAsia="en-AU"/>
              </w:rPr>
            </w:pPr>
            <w:r w:rsidRPr="00515D35">
              <w:rPr>
                <w:rFonts w:ascii="Arial" w:hAnsi="Arial" w:cs="Arial"/>
                <w:color w:val="000000"/>
                <w:sz w:val="16"/>
                <w:szCs w:val="16"/>
                <w:lang w:eastAsia="en-AU"/>
              </w:rPr>
              <w:t>%</w:t>
            </w:r>
          </w:p>
        </w:tc>
        <w:tc>
          <w:tcPr>
            <w:tcW w:w="1191" w:type="dxa"/>
            <w:shd w:val="clear" w:color="auto" w:fill="auto"/>
            <w:noWrap/>
            <w:vAlign w:val="bottom"/>
          </w:tcPr>
          <w:p w14:paraId="55DA190D" w14:textId="23D989AA" w:rsidR="0029215A" w:rsidRPr="00515D35" w:rsidRDefault="00FD4899" w:rsidP="0029215A">
            <w:pPr>
              <w:ind w:right="170"/>
              <w:jc w:val="right"/>
              <w:rPr>
                <w:rFonts w:ascii="Arial" w:hAnsi="Arial" w:cs="Arial"/>
                <w:color w:val="000000"/>
                <w:sz w:val="16"/>
                <w:szCs w:val="16"/>
                <w:lang w:eastAsia="en-AU"/>
              </w:rPr>
            </w:pPr>
            <w:proofErr w:type="spellStart"/>
            <w:proofErr w:type="gramStart"/>
            <w:r w:rsidRPr="00515D35">
              <w:rPr>
                <w:rFonts w:ascii="Arial" w:hAnsi="Arial" w:cs="Arial"/>
                <w:color w:val="000000"/>
                <w:sz w:val="16"/>
                <w:szCs w:val="16"/>
                <w:lang w:eastAsia="en-AU"/>
              </w:rPr>
              <w:t>n.a</w:t>
            </w:r>
            <w:proofErr w:type="spellEnd"/>
            <w:proofErr w:type="gramEnd"/>
          </w:p>
        </w:tc>
        <w:tc>
          <w:tcPr>
            <w:tcW w:w="1191" w:type="dxa"/>
            <w:shd w:val="clear" w:color="auto" w:fill="auto"/>
            <w:noWrap/>
            <w:vAlign w:val="bottom"/>
          </w:tcPr>
          <w:p w14:paraId="2AFFE024" w14:textId="1A54812B" w:rsidR="0029215A" w:rsidRPr="00515D35" w:rsidRDefault="00FD4899" w:rsidP="0029215A">
            <w:pPr>
              <w:ind w:right="170"/>
              <w:jc w:val="right"/>
              <w:rPr>
                <w:rFonts w:ascii="Arial" w:hAnsi="Arial" w:cs="Arial"/>
                <w:color w:val="000000" w:themeColor="text1"/>
                <w:sz w:val="16"/>
                <w:szCs w:val="16"/>
                <w:lang w:eastAsia="en-AU"/>
              </w:rPr>
            </w:pPr>
            <w:r w:rsidRPr="00515D35">
              <w:rPr>
                <w:rFonts w:ascii="Arial" w:hAnsi="Arial" w:cs="Arial"/>
                <w:color w:val="000000" w:themeColor="text1"/>
                <w:sz w:val="16"/>
                <w:szCs w:val="16"/>
                <w:lang w:eastAsia="en-AU"/>
              </w:rPr>
              <w:t>2.6</w:t>
            </w:r>
            <w:r w:rsidR="00C44C13" w:rsidRPr="00515D35">
              <w:rPr>
                <w:rFonts w:ascii="Arial" w:hAnsi="Arial" w:cs="Arial"/>
                <w:color w:val="000000" w:themeColor="text1"/>
                <w:sz w:val="16"/>
                <w:szCs w:val="16"/>
                <w:vertAlign w:val="superscript"/>
                <w:lang w:eastAsia="en-AU"/>
              </w:rPr>
              <w:t>(</w:t>
            </w:r>
            <w:r w:rsidR="000E4DE6" w:rsidRPr="00515D35">
              <w:rPr>
                <w:rFonts w:ascii="Arial" w:hAnsi="Arial" w:cs="Arial"/>
                <w:color w:val="000000" w:themeColor="text1"/>
                <w:sz w:val="16"/>
                <w:szCs w:val="16"/>
                <w:vertAlign w:val="superscript"/>
                <w:lang w:eastAsia="en-AU"/>
              </w:rPr>
              <w:t>e</w:t>
            </w:r>
            <w:r w:rsidR="00C44C13" w:rsidRPr="00515D35">
              <w:rPr>
                <w:rFonts w:ascii="Arial" w:hAnsi="Arial" w:cs="Arial"/>
                <w:color w:val="000000" w:themeColor="text1"/>
                <w:sz w:val="16"/>
                <w:szCs w:val="16"/>
                <w:vertAlign w:val="superscript"/>
                <w:lang w:eastAsia="en-AU"/>
              </w:rPr>
              <w:t>)</w:t>
            </w:r>
          </w:p>
        </w:tc>
      </w:tr>
    </w:tbl>
    <w:p w14:paraId="140E9D45" w14:textId="77777777" w:rsidR="00B4696B" w:rsidRPr="00515D35" w:rsidRDefault="00B4696B" w:rsidP="00B4696B">
      <w:pPr>
        <w:rPr>
          <w:rFonts w:ascii="Arial" w:hAnsi="Arial" w:cs="Arial"/>
          <w:sz w:val="6"/>
          <w:szCs w:val="6"/>
        </w:rPr>
      </w:pPr>
    </w:p>
    <w:p w14:paraId="0FB40B01" w14:textId="77777777" w:rsidR="00B4696B" w:rsidRPr="00515D35" w:rsidRDefault="00B4696B" w:rsidP="00B4696B">
      <w:pPr>
        <w:rPr>
          <w:rFonts w:ascii="Arial" w:hAnsi="Arial" w:cs="Arial"/>
          <w:sz w:val="17"/>
          <w:szCs w:val="17"/>
        </w:rPr>
      </w:pPr>
      <w:r w:rsidRPr="00515D35">
        <w:rPr>
          <w:rFonts w:ascii="Arial" w:hAnsi="Arial" w:cs="Arial"/>
          <w:color w:val="000000"/>
          <w:sz w:val="17"/>
          <w:szCs w:val="17"/>
          <w:lang w:eastAsia="en-AU"/>
        </w:rPr>
        <w:t>Notes</w:t>
      </w:r>
    </w:p>
    <w:p w14:paraId="2735CA7C" w14:textId="31E93895" w:rsidR="0025747D" w:rsidRPr="00515D35" w:rsidRDefault="335FF82C" w:rsidP="00FD4899">
      <w:pPr>
        <w:pStyle w:val="ListParagraph"/>
        <w:numPr>
          <w:ilvl w:val="0"/>
          <w:numId w:val="26"/>
        </w:numPr>
        <w:ind w:left="357" w:hanging="357"/>
        <w:rPr>
          <w:rFonts w:cs="Arial"/>
          <w:color w:val="000000" w:themeColor="text1"/>
          <w:sz w:val="17"/>
          <w:szCs w:val="17"/>
          <w:lang w:eastAsia="en-AU"/>
        </w:rPr>
      </w:pPr>
      <w:r w:rsidRPr="00515D35">
        <w:rPr>
          <w:rFonts w:cs="Arial"/>
          <w:color w:val="000000" w:themeColor="text1"/>
          <w:sz w:val="17"/>
          <w:szCs w:val="17"/>
          <w:lang w:eastAsia="en-AU"/>
        </w:rPr>
        <w:t xml:space="preserve">2020-21 </w:t>
      </w:r>
      <w:r w:rsidR="00DE5F8B">
        <w:rPr>
          <w:rFonts w:cs="Arial"/>
          <w:color w:val="000000" w:themeColor="text1"/>
          <w:sz w:val="17"/>
          <w:szCs w:val="17"/>
          <w:lang w:eastAsia="en-AU"/>
        </w:rPr>
        <w:t>a</w:t>
      </w:r>
      <w:r w:rsidRPr="00515D35">
        <w:rPr>
          <w:rFonts w:cs="Arial"/>
          <w:color w:val="000000" w:themeColor="text1"/>
          <w:sz w:val="17"/>
          <w:szCs w:val="17"/>
          <w:lang w:eastAsia="en-AU"/>
        </w:rPr>
        <w:t xml:space="preserve">ctual </w:t>
      </w:r>
      <w:r w:rsidR="170992FC" w:rsidRPr="00515D35">
        <w:rPr>
          <w:rFonts w:cs="Arial"/>
          <w:color w:val="000000" w:themeColor="text1"/>
          <w:sz w:val="17"/>
          <w:szCs w:val="17"/>
          <w:lang w:eastAsia="en-AU"/>
        </w:rPr>
        <w:t xml:space="preserve">is </w:t>
      </w:r>
      <w:r w:rsidR="46D29C55" w:rsidRPr="00515D35">
        <w:rPr>
          <w:rFonts w:cs="Arial"/>
          <w:color w:val="000000" w:themeColor="text1"/>
          <w:sz w:val="17"/>
          <w:szCs w:val="17"/>
          <w:lang w:eastAsia="en-AU"/>
        </w:rPr>
        <w:t xml:space="preserve">the </w:t>
      </w:r>
      <w:r w:rsidR="170992FC" w:rsidRPr="00515D35">
        <w:rPr>
          <w:rFonts w:cs="Arial"/>
          <w:color w:val="000000" w:themeColor="text1"/>
          <w:sz w:val="17"/>
          <w:szCs w:val="17"/>
          <w:lang w:eastAsia="en-AU"/>
        </w:rPr>
        <w:t>calculated result based on General Government results</w:t>
      </w:r>
      <w:r w:rsidR="31FCB613" w:rsidRPr="00515D35">
        <w:rPr>
          <w:rFonts w:cs="Arial"/>
          <w:color w:val="000000" w:themeColor="text1"/>
          <w:sz w:val="17"/>
          <w:szCs w:val="17"/>
          <w:lang w:eastAsia="en-AU"/>
        </w:rPr>
        <w:t xml:space="preserve"> and will be available with the published Total State Sector Accounts 2020-21</w:t>
      </w:r>
      <w:r w:rsidR="73B16C64" w:rsidRPr="00515D35">
        <w:rPr>
          <w:rFonts w:cs="Arial"/>
          <w:color w:val="000000" w:themeColor="text1"/>
          <w:sz w:val="17"/>
          <w:szCs w:val="17"/>
          <w:lang w:eastAsia="en-AU"/>
        </w:rPr>
        <w:t xml:space="preserve"> </w:t>
      </w:r>
      <w:r w:rsidR="00A63960" w:rsidRPr="00515D35">
        <w:rPr>
          <w:rFonts w:cs="Arial"/>
          <w:color w:val="000000" w:themeColor="text1"/>
          <w:sz w:val="17"/>
          <w:szCs w:val="17"/>
          <w:lang w:eastAsia="en-AU"/>
        </w:rPr>
        <w:t>after the Budget</w:t>
      </w:r>
      <w:r w:rsidR="73B16C64" w:rsidRPr="00515D35">
        <w:rPr>
          <w:rFonts w:cs="Arial"/>
          <w:color w:val="000000" w:themeColor="text1"/>
          <w:sz w:val="17"/>
          <w:szCs w:val="17"/>
          <w:lang w:eastAsia="en-AU"/>
        </w:rPr>
        <w:t xml:space="preserve"> and an estimate has been provided</w:t>
      </w:r>
      <w:r w:rsidR="00835A0A" w:rsidRPr="00515D35">
        <w:rPr>
          <w:rFonts w:cs="Arial"/>
          <w:color w:val="000000" w:themeColor="text1"/>
          <w:sz w:val="17"/>
          <w:szCs w:val="17"/>
          <w:lang w:eastAsia="en-AU"/>
        </w:rPr>
        <w:t>.</w:t>
      </w:r>
    </w:p>
    <w:p w14:paraId="4752AB58" w14:textId="2F20D8EA" w:rsidR="003874F1" w:rsidRPr="00515D35" w:rsidRDefault="00B562DD" w:rsidP="005A19AE">
      <w:pPr>
        <w:pStyle w:val="ListParagraph"/>
        <w:numPr>
          <w:ilvl w:val="0"/>
          <w:numId w:val="26"/>
        </w:numPr>
        <w:ind w:left="357" w:hanging="357"/>
        <w:rPr>
          <w:rFonts w:cs="Arial"/>
          <w:color w:val="000000" w:themeColor="text1"/>
          <w:sz w:val="17"/>
          <w:szCs w:val="17"/>
          <w:lang w:eastAsia="en-AU"/>
        </w:rPr>
      </w:pPr>
      <w:r w:rsidRPr="00515D35">
        <w:rPr>
          <w:rFonts w:cs="Arial"/>
          <w:color w:val="000000" w:themeColor="text1"/>
          <w:sz w:val="17"/>
          <w:szCs w:val="17"/>
          <w:lang w:eastAsia="en-AU"/>
        </w:rPr>
        <w:t xml:space="preserve">The State is on track to meet its 2040 superannuation target. The State has embarked on a 2-year superannuation contribution holiday (2020-21 and 2021-22) and re-anchored the commitment to fully fund the State's defined benefit superannuation liability by 2040 instead of 2030. </w:t>
      </w:r>
      <w:r w:rsidR="000C7831" w:rsidRPr="00515D35">
        <w:rPr>
          <w:rFonts w:cs="Arial"/>
          <w:color w:val="000000" w:themeColor="text1"/>
          <w:sz w:val="17"/>
          <w:szCs w:val="17"/>
          <w:lang w:eastAsia="en-AU"/>
        </w:rPr>
        <w:t xml:space="preserve">The </w:t>
      </w:r>
      <w:r w:rsidR="009133A3" w:rsidRPr="00515D35">
        <w:rPr>
          <w:rFonts w:cs="Arial"/>
          <w:color w:val="000000" w:themeColor="text1"/>
          <w:sz w:val="17"/>
          <w:szCs w:val="17"/>
          <w:lang w:eastAsia="en-AU"/>
        </w:rPr>
        <w:t>$13.1 billion</w:t>
      </w:r>
      <w:r w:rsidR="00AC494C">
        <w:rPr>
          <w:rFonts w:cs="Arial"/>
          <w:color w:val="000000" w:themeColor="text1"/>
          <w:sz w:val="17"/>
          <w:szCs w:val="17"/>
          <w:lang w:eastAsia="en-AU"/>
        </w:rPr>
        <w:t xml:space="preserve"> for</w:t>
      </w:r>
      <w:r w:rsidR="00996AE5">
        <w:rPr>
          <w:rFonts w:cs="Arial"/>
          <w:color w:val="000000" w:themeColor="text1"/>
          <w:sz w:val="17"/>
          <w:szCs w:val="17"/>
          <w:lang w:eastAsia="en-AU"/>
        </w:rPr>
        <w:t xml:space="preserve"> </w:t>
      </w:r>
      <w:r w:rsidR="000C7831" w:rsidRPr="00515D35">
        <w:rPr>
          <w:rFonts w:cs="Arial"/>
          <w:color w:val="000000" w:themeColor="text1"/>
          <w:sz w:val="17"/>
          <w:szCs w:val="17"/>
          <w:lang w:eastAsia="en-AU"/>
        </w:rPr>
        <w:t xml:space="preserve">2020-21 </w:t>
      </w:r>
      <w:r w:rsidR="009133A3" w:rsidRPr="00515D35">
        <w:rPr>
          <w:rFonts w:cs="Arial"/>
          <w:color w:val="000000" w:themeColor="text1"/>
          <w:sz w:val="17"/>
          <w:szCs w:val="17"/>
          <w:lang w:eastAsia="en-AU"/>
        </w:rPr>
        <w:t>and $14.1 billion</w:t>
      </w:r>
      <w:r w:rsidR="000C7831" w:rsidRPr="00515D35">
        <w:rPr>
          <w:rFonts w:cs="Arial"/>
          <w:color w:val="000000" w:themeColor="text1"/>
          <w:sz w:val="17"/>
          <w:szCs w:val="17"/>
          <w:lang w:eastAsia="en-AU"/>
        </w:rPr>
        <w:t xml:space="preserve"> </w:t>
      </w:r>
      <w:r w:rsidR="00AC494C">
        <w:rPr>
          <w:rFonts w:cs="Arial"/>
          <w:color w:val="000000" w:themeColor="text1"/>
          <w:sz w:val="17"/>
          <w:szCs w:val="17"/>
          <w:lang w:eastAsia="en-AU"/>
        </w:rPr>
        <w:t xml:space="preserve">for </w:t>
      </w:r>
      <w:r w:rsidR="000C7831" w:rsidRPr="00515D35">
        <w:rPr>
          <w:rFonts w:cs="Arial"/>
          <w:color w:val="000000" w:themeColor="text1"/>
          <w:sz w:val="17"/>
          <w:szCs w:val="17"/>
          <w:lang w:eastAsia="en-AU"/>
        </w:rPr>
        <w:t>2021-22</w:t>
      </w:r>
      <w:r w:rsidR="009133A3" w:rsidRPr="00515D35">
        <w:rPr>
          <w:rFonts w:cs="Arial"/>
          <w:color w:val="000000" w:themeColor="text1"/>
          <w:sz w:val="17"/>
          <w:szCs w:val="17"/>
          <w:lang w:eastAsia="en-AU"/>
        </w:rPr>
        <w:t xml:space="preserve"> are estimates for the </w:t>
      </w:r>
      <w:r w:rsidR="006956BB" w:rsidRPr="00515D35">
        <w:rPr>
          <w:rFonts w:cs="Arial"/>
          <w:color w:val="000000" w:themeColor="text1"/>
          <w:sz w:val="17"/>
          <w:szCs w:val="17"/>
          <w:lang w:eastAsia="en-AU"/>
        </w:rPr>
        <w:t xml:space="preserve">respective annual </w:t>
      </w:r>
      <w:r w:rsidR="009133A3" w:rsidRPr="00515D35">
        <w:rPr>
          <w:rFonts w:cs="Arial"/>
          <w:color w:val="000000" w:themeColor="text1"/>
          <w:sz w:val="17"/>
          <w:szCs w:val="17"/>
          <w:lang w:eastAsia="en-AU"/>
        </w:rPr>
        <w:t>liability balances.</w:t>
      </w:r>
    </w:p>
    <w:p w14:paraId="03EF55F2" w14:textId="0231B0A7" w:rsidR="00E31F93" w:rsidRPr="00515D35" w:rsidRDefault="00E31F93" w:rsidP="005A19AE">
      <w:pPr>
        <w:pStyle w:val="ListParagraph"/>
        <w:numPr>
          <w:ilvl w:val="0"/>
          <w:numId w:val="26"/>
        </w:numPr>
        <w:ind w:left="357" w:hanging="357"/>
        <w:rPr>
          <w:rFonts w:cs="Arial"/>
          <w:color w:val="000000" w:themeColor="text1"/>
          <w:sz w:val="17"/>
          <w:szCs w:val="17"/>
          <w:lang w:eastAsia="en-AU"/>
        </w:rPr>
      </w:pPr>
      <w:r w:rsidRPr="00515D35">
        <w:rPr>
          <w:rFonts w:cs="Arial"/>
          <w:color w:val="000000" w:themeColor="text1"/>
          <w:sz w:val="17"/>
          <w:szCs w:val="17"/>
          <w:lang w:eastAsia="en-AU"/>
        </w:rPr>
        <w:t xml:space="preserve">The </w:t>
      </w:r>
      <w:r w:rsidR="005E4180" w:rsidRPr="00515D35">
        <w:rPr>
          <w:rFonts w:cs="Arial"/>
          <w:color w:val="000000" w:themeColor="text1"/>
          <w:sz w:val="17"/>
          <w:szCs w:val="17"/>
          <w:lang w:eastAsia="en-AU"/>
        </w:rPr>
        <w:t xml:space="preserve">credit </w:t>
      </w:r>
      <w:r w:rsidRPr="00515D35">
        <w:rPr>
          <w:rFonts w:cs="Arial"/>
          <w:color w:val="000000" w:themeColor="text1"/>
          <w:sz w:val="17"/>
          <w:szCs w:val="17"/>
          <w:lang w:eastAsia="en-AU"/>
        </w:rPr>
        <w:t>rating</w:t>
      </w:r>
      <w:r w:rsidR="005E4180" w:rsidRPr="00515D35">
        <w:rPr>
          <w:rFonts w:cs="Arial"/>
          <w:color w:val="000000" w:themeColor="text1"/>
          <w:sz w:val="17"/>
          <w:szCs w:val="17"/>
          <w:lang w:eastAsia="en-AU"/>
        </w:rPr>
        <w:t xml:space="preserve"> agencies</w:t>
      </w:r>
      <w:r w:rsidR="000050AC" w:rsidRPr="00515D35">
        <w:rPr>
          <w:rFonts w:cs="Arial"/>
          <w:color w:val="000000" w:themeColor="text1"/>
          <w:sz w:val="17"/>
          <w:szCs w:val="17"/>
          <w:lang w:eastAsia="en-AU"/>
        </w:rPr>
        <w:t>’</w:t>
      </w:r>
      <w:r w:rsidRPr="00515D35">
        <w:rPr>
          <w:rFonts w:cs="Arial"/>
          <w:color w:val="000000" w:themeColor="text1"/>
          <w:sz w:val="17"/>
          <w:szCs w:val="17"/>
          <w:lang w:eastAsia="en-AU"/>
        </w:rPr>
        <w:t xml:space="preserve"> reviews </w:t>
      </w:r>
      <w:r w:rsidR="005E4180" w:rsidRPr="00515D35">
        <w:rPr>
          <w:rFonts w:cs="Arial"/>
          <w:color w:val="000000" w:themeColor="text1"/>
          <w:sz w:val="17"/>
          <w:szCs w:val="17"/>
          <w:lang w:eastAsia="en-AU"/>
        </w:rPr>
        <w:t xml:space="preserve">will commence immediately after the 2021-22 Budget which will advise </w:t>
      </w:r>
      <w:r w:rsidR="008222B2" w:rsidRPr="00515D35">
        <w:rPr>
          <w:rFonts w:cs="Arial"/>
          <w:color w:val="000000" w:themeColor="text1"/>
          <w:sz w:val="17"/>
          <w:szCs w:val="17"/>
          <w:lang w:eastAsia="en-AU"/>
        </w:rPr>
        <w:t>the</w:t>
      </w:r>
      <w:r w:rsidR="005E4180" w:rsidRPr="00515D35">
        <w:rPr>
          <w:rFonts w:cs="Arial"/>
          <w:color w:val="000000" w:themeColor="text1"/>
          <w:sz w:val="17"/>
          <w:szCs w:val="17"/>
          <w:lang w:eastAsia="en-AU"/>
        </w:rPr>
        <w:t xml:space="preserve"> NSW credit rating</w:t>
      </w:r>
      <w:r w:rsidR="00245FB1" w:rsidRPr="00515D35">
        <w:rPr>
          <w:rFonts w:cs="Arial"/>
          <w:color w:val="000000" w:themeColor="text1"/>
          <w:sz w:val="17"/>
          <w:szCs w:val="17"/>
          <w:lang w:eastAsia="en-AU"/>
        </w:rPr>
        <w:t xml:space="preserve"> for 2021-22</w:t>
      </w:r>
      <w:r w:rsidR="005E4180" w:rsidRPr="00515D35">
        <w:rPr>
          <w:rFonts w:cs="Arial"/>
          <w:color w:val="000000" w:themeColor="text1"/>
          <w:sz w:val="17"/>
          <w:szCs w:val="17"/>
          <w:lang w:eastAsia="en-AU"/>
        </w:rPr>
        <w:t xml:space="preserve">. </w:t>
      </w:r>
      <w:r w:rsidRPr="00515D35">
        <w:rPr>
          <w:rFonts w:cs="Arial"/>
          <w:color w:val="000000" w:themeColor="text1"/>
          <w:sz w:val="17"/>
          <w:szCs w:val="17"/>
          <w:lang w:eastAsia="en-AU"/>
        </w:rPr>
        <w:t>No forecast is available.</w:t>
      </w:r>
    </w:p>
    <w:p w14:paraId="3ED492BD" w14:textId="038225E0" w:rsidR="00410F53" w:rsidRPr="00515D35" w:rsidRDefault="005E4180" w:rsidP="00FD4899">
      <w:pPr>
        <w:pStyle w:val="ListParagraph"/>
        <w:numPr>
          <w:ilvl w:val="0"/>
          <w:numId w:val="26"/>
        </w:numPr>
        <w:ind w:left="357" w:hanging="357"/>
        <w:rPr>
          <w:rFonts w:cs="Arial"/>
          <w:color w:val="000000" w:themeColor="text1"/>
          <w:sz w:val="17"/>
          <w:szCs w:val="17"/>
          <w:lang w:eastAsia="en-AU"/>
        </w:rPr>
      </w:pPr>
      <w:r w:rsidRPr="00515D35">
        <w:rPr>
          <w:rFonts w:cs="Arial"/>
          <w:color w:val="000000" w:themeColor="text1"/>
          <w:sz w:val="17"/>
          <w:szCs w:val="17"/>
          <w:lang w:eastAsia="en-AU"/>
        </w:rPr>
        <w:t>2020-21 credit rating from</w:t>
      </w:r>
      <w:r w:rsidR="00410F53" w:rsidRPr="00515D35">
        <w:rPr>
          <w:rFonts w:cs="Arial"/>
          <w:color w:val="000000" w:themeColor="text1"/>
          <w:sz w:val="17"/>
          <w:szCs w:val="17"/>
          <w:lang w:eastAsia="en-AU"/>
        </w:rPr>
        <w:t xml:space="preserve"> S</w:t>
      </w:r>
      <w:r w:rsidRPr="00515D35">
        <w:rPr>
          <w:rFonts w:cs="Arial"/>
          <w:color w:val="000000" w:themeColor="text1"/>
          <w:sz w:val="17"/>
          <w:szCs w:val="17"/>
          <w:lang w:eastAsia="en-AU"/>
        </w:rPr>
        <w:t xml:space="preserve">tandard </w:t>
      </w:r>
      <w:r w:rsidR="00410F53" w:rsidRPr="00515D35">
        <w:rPr>
          <w:rFonts w:cs="Arial"/>
          <w:color w:val="000000" w:themeColor="text1"/>
          <w:sz w:val="17"/>
          <w:szCs w:val="17"/>
          <w:lang w:eastAsia="en-AU"/>
        </w:rPr>
        <w:t>&amp;</w:t>
      </w:r>
      <w:r w:rsidRPr="00515D35">
        <w:rPr>
          <w:rFonts w:cs="Arial"/>
          <w:color w:val="000000" w:themeColor="text1"/>
          <w:sz w:val="17"/>
          <w:szCs w:val="17"/>
          <w:lang w:eastAsia="en-AU"/>
        </w:rPr>
        <w:t xml:space="preserve"> </w:t>
      </w:r>
      <w:r w:rsidR="00410F53" w:rsidRPr="00515D35">
        <w:rPr>
          <w:rFonts w:cs="Arial"/>
          <w:color w:val="000000" w:themeColor="text1"/>
          <w:sz w:val="17"/>
          <w:szCs w:val="17"/>
          <w:lang w:eastAsia="en-AU"/>
        </w:rPr>
        <w:t>P</w:t>
      </w:r>
      <w:r w:rsidRPr="00515D35">
        <w:rPr>
          <w:rFonts w:cs="Arial"/>
          <w:color w:val="000000" w:themeColor="text1"/>
          <w:sz w:val="17"/>
          <w:szCs w:val="17"/>
          <w:lang w:eastAsia="en-AU"/>
        </w:rPr>
        <w:t>oor’s i</w:t>
      </w:r>
      <w:r w:rsidR="0019595B" w:rsidRPr="00515D35">
        <w:rPr>
          <w:rFonts w:cs="Arial"/>
          <w:color w:val="000000" w:themeColor="text1"/>
          <w:sz w:val="17"/>
          <w:szCs w:val="17"/>
          <w:lang w:eastAsia="en-AU"/>
        </w:rPr>
        <w:t xml:space="preserve">s </w:t>
      </w:r>
      <w:r w:rsidR="007A08D3" w:rsidRPr="00515D35">
        <w:rPr>
          <w:rFonts w:cs="Arial"/>
          <w:color w:val="000000" w:themeColor="text1"/>
          <w:sz w:val="17"/>
          <w:szCs w:val="17"/>
          <w:lang w:eastAsia="en-AU"/>
        </w:rPr>
        <w:t>d</w:t>
      </w:r>
      <w:r w:rsidR="0019595B" w:rsidRPr="00515D35">
        <w:rPr>
          <w:rFonts w:cs="Arial"/>
          <w:color w:val="000000" w:themeColor="text1"/>
          <w:sz w:val="17"/>
          <w:szCs w:val="17"/>
          <w:lang w:eastAsia="en-AU"/>
        </w:rPr>
        <w:t>ouble</w:t>
      </w:r>
      <w:r w:rsidR="00B17C90" w:rsidRPr="00515D35">
        <w:rPr>
          <w:rFonts w:cs="Arial"/>
          <w:color w:val="000000" w:themeColor="text1"/>
          <w:sz w:val="17"/>
          <w:szCs w:val="17"/>
          <w:lang w:eastAsia="en-AU"/>
        </w:rPr>
        <w:t>-A plus</w:t>
      </w:r>
      <w:r w:rsidR="00793DE4" w:rsidRPr="00515D35">
        <w:rPr>
          <w:rFonts w:cs="Arial"/>
          <w:color w:val="000000" w:themeColor="text1"/>
          <w:sz w:val="17"/>
          <w:szCs w:val="17"/>
          <w:lang w:eastAsia="en-AU"/>
        </w:rPr>
        <w:t>.</w:t>
      </w:r>
    </w:p>
    <w:p w14:paraId="6AAB4D8F" w14:textId="14C53834" w:rsidR="00583004" w:rsidRPr="00EC7CA7" w:rsidRDefault="00DF1268" w:rsidP="00FD4899">
      <w:pPr>
        <w:pStyle w:val="ListParagraph"/>
        <w:numPr>
          <w:ilvl w:val="0"/>
          <w:numId w:val="26"/>
        </w:numPr>
        <w:ind w:left="357" w:hanging="357"/>
        <w:rPr>
          <w:rFonts w:cs="Arial"/>
          <w:color w:val="000000" w:themeColor="text1"/>
          <w:sz w:val="17"/>
          <w:szCs w:val="17"/>
          <w:lang w:eastAsia="en-AU"/>
        </w:rPr>
      </w:pPr>
      <w:r w:rsidRPr="00EC7CA7">
        <w:rPr>
          <w:rFonts w:cs="Arial"/>
          <w:color w:val="000000" w:themeColor="text1"/>
          <w:sz w:val="17"/>
          <w:szCs w:val="17"/>
          <w:lang w:eastAsia="en-AU"/>
        </w:rPr>
        <w:t xml:space="preserve">2021-22 </w:t>
      </w:r>
      <w:r w:rsidR="00C44C13" w:rsidRPr="00EC7CA7">
        <w:rPr>
          <w:rFonts w:cs="Arial"/>
          <w:color w:val="000000" w:themeColor="text1"/>
          <w:sz w:val="17"/>
          <w:szCs w:val="17"/>
          <w:lang w:eastAsia="en-AU"/>
        </w:rPr>
        <w:t>F</w:t>
      </w:r>
      <w:r w:rsidRPr="00EC7CA7">
        <w:rPr>
          <w:rFonts w:cs="Arial"/>
          <w:color w:val="000000" w:themeColor="text1"/>
          <w:sz w:val="17"/>
          <w:szCs w:val="17"/>
          <w:lang w:eastAsia="en-AU"/>
        </w:rPr>
        <w:t xml:space="preserve">orecast refers to the projected fiscal gap of 2.6 per cent of GSP </w:t>
      </w:r>
      <w:r w:rsidR="007771BC" w:rsidRPr="00EC7CA7">
        <w:rPr>
          <w:rFonts w:cs="Arial"/>
          <w:color w:val="000000" w:themeColor="text1"/>
          <w:sz w:val="17"/>
          <w:szCs w:val="17"/>
          <w:lang w:eastAsia="en-AU"/>
        </w:rPr>
        <w:t xml:space="preserve">in 2060-61 </w:t>
      </w:r>
      <w:r w:rsidRPr="00EC7CA7">
        <w:rPr>
          <w:rFonts w:cs="Arial"/>
          <w:color w:val="000000" w:themeColor="text1"/>
          <w:sz w:val="17"/>
          <w:szCs w:val="17"/>
          <w:lang w:eastAsia="en-AU"/>
        </w:rPr>
        <w:t>as reported in the 2021</w:t>
      </w:r>
      <w:r w:rsidR="00E1679B" w:rsidRPr="00EC7CA7">
        <w:rPr>
          <w:rFonts w:cs="Arial"/>
          <w:color w:val="000000" w:themeColor="text1"/>
          <w:sz w:val="17"/>
          <w:szCs w:val="17"/>
          <w:lang w:eastAsia="en-AU"/>
        </w:rPr>
        <w:t>-22</w:t>
      </w:r>
      <w:r w:rsidRPr="00EC7CA7">
        <w:rPr>
          <w:rFonts w:cs="Arial"/>
          <w:color w:val="000000" w:themeColor="text1"/>
          <w:sz w:val="17"/>
          <w:szCs w:val="17"/>
          <w:lang w:eastAsia="en-AU"/>
        </w:rPr>
        <w:t xml:space="preserve"> NSW I</w:t>
      </w:r>
      <w:r w:rsidR="008222B2" w:rsidRPr="00EC7CA7">
        <w:rPr>
          <w:rFonts w:cs="Arial"/>
          <w:color w:val="000000" w:themeColor="text1"/>
          <w:sz w:val="17"/>
          <w:szCs w:val="17"/>
          <w:lang w:eastAsia="en-AU"/>
        </w:rPr>
        <w:t>ntergenerational Report</w:t>
      </w:r>
      <w:r w:rsidRPr="00EC7CA7">
        <w:rPr>
          <w:rFonts w:cs="Arial"/>
          <w:color w:val="000000" w:themeColor="text1"/>
          <w:sz w:val="17"/>
          <w:szCs w:val="17"/>
          <w:lang w:eastAsia="en-AU"/>
        </w:rPr>
        <w:t>.</w:t>
      </w:r>
      <w:r w:rsidR="00137212" w:rsidRPr="00EC7CA7">
        <w:rPr>
          <w:rFonts w:cs="Arial"/>
          <w:color w:val="000000" w:themeColor="text1"/>
          <w:sz w:val="17"/>
          <w:szCs w:val="17"/>
          <w:lang w:eastAsia="en-AU"/>
        </w:rPr>
        <w:t xml:space="preserve"> </w:t>
      </w:r>
      <w:r w:rsidR="00583004" w:rsidRPr="00EC7CA7">
        <w:rPr>
          <w:rFonts w:cs="Arial"/>
          <w:color w:val="000000" w:themeColor="text1"/>
          <w:sz w:val="17"/>
          <w:szCs w:val="17"/>
          <w:lang w:eastAsia="en-AU"/>
        </w:rPr>
        <w:t xml:space="preserve">The fiscal gap is the projected change in revenues less expenditures (including recurrent and net capital expenditures but excluding interest) as a percentage of Gross State Product (GSP) between 2018-19 and 2060-61. </w:t>
      </w:r>
    </w:p>
    <w:p w14:paraId="79F30163" w14:textId="7942136D" w:rsidR="00C51F49" w:rsidRPr="00BC398F" w:rsidRDefault="00C51F49" w:rsidP="00A159FA">
      <w:pPr>
        <w:pStyle w:val="ListParagraph"/>
        <w:ind w:left="357"/>
        <w:rPr>
          <w:rFonts w:cs="Arial"/>
          <w:color w:val="000000" w:themeColor="text1"/>
          <w:sz w:val="17"/>
          <w:szCs w:val="17"/>
          <w:lang w:eastAsia="en-AU"/>
        </w:rPr>
      </w:pPr>
    </w:p>
    <w:p w14:paraId="48CB5565" w14:textId="7C4C53EC" w:rsidR="00455F0E" w:rsidRPr="00410F53" w:rsidRDefault="00455F0E" w:rsidP="00210ED4">
      <w:pPr>
        <w:pStyle w:val="ListParagraph"/>
        <w:numPr>
          <w:ilvl w:val="0"/>
          <w:numId w:val="19"/>
        </w:numPr>
        <w:rPr>
          <w:rFonts w:cs="Arial"/>
          <w:sz w:val="23"/>
          <w:szCs w:val="23"/>
        </w:rPr>
      </w:pPr>
      <w:r w:rsidRPr="00410F53">
        <w:rPr>
          <w:rFonts w:cs="Arial"/>
          <w:sz w:val="23"/>
          <w:szCs w:val="23"/>
        </w:rPr>
        <w:br w:type="page"/>
      </w:r>
    </w:p>
    <w:bookmarkEnd w:id="7"/>
    <w:bookmarkEnd w:id="8"/>
    <w:p w14:paraId="3A3BF13E" w14:textId="615FE1EC" w:rsidR="00E0467E" w:rsidRDefault="00ED0897" w:rsidP="00B03975">
      <w:pPr>
        <w:pStyle w:val="Heading2"/>
      </w:pPr>
      <w:r w:rsidRPr="00B03975">
        <w:lastRenderedPageBreak/>
        <w:t>Outcome</w:t>
      </w:r>
      <w:r>
        <w:t xml:space="preserve"> 3: </w:t>
      </w:r>
      <w:r w:rsidR="00B74732">
        <w:t>Stewardship of the public sector performance and financial system</w:t>
      </w:r>
    </w:p>
    <w:p w14:paraId="6EB6FF03" w14:textId="3EA47306" w:rsidR="00560147" w:rsidRPr="003A0DAC" w:rsidRDefault="00560147" w:rsidP="00391536">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tbl>
      <w:tblPr>
        <w:tblpPr w:leftFromText="181" w:rightFromText="181" w:vertAnchor="text" w:horzAnchor="margin" w:tblpXSpec="right" w:tblpY="23"/>
        <w:tblW w:w="1716" w:type="pct"/>
        <w:shd w:val="clear" w:color="auto" w:fill="F2F2F2" w:themeFill="background1" w:themeFillShade="F2"/>
        <w:tblCellMar>
          <w:left w:w="115" w:type="dxa"/>
          <w:right w:w="115" w:type="dxa"/>
        </w:tblCellMar>
        <w:tblLook w:val="04A0" w:firstRow="1" w:lastRow="0" w:firstColumn="1" w:lastColumn="0" w:noHBand="0" w:noVBand="1"/>
        <w:tblCaption w:val="9.5 Outcome 3: Stewardship of the public sector performance and financial system"/>
        <w:tblDescription w:val="9.5 Outcome 3: Stewardship of the public sector performance and financial system"/>
      </w:tblPr>
      <w:tblGrid>
        <w:gridCol w:w="1144"/>
        <w:gridCol w:w="967"/>
        <w:gridCol w:w="1197"/>
      </w:tblGrid>
      <w:tr w:rsidR="001537F2" w:rsidRPr="00F8244B" w14:paraId="4B8134E8" w14:textId="77777777" w:rsidTr="001537F2">
        <w:trPr>
          <w:cantSplit/>
          <w:trHeight w:val="784"/>
        </w:trPr>
        <w:tc>
          <w:tcPr>
            <w:tcW w:w="1729" w:type="pct"/>
            <w:shd w:val="clear" w:color="auto" w:fill="F2F2F2" w:themeFill="background1" w:themeFillShade="F2"/>
            <w:vAlign w:val="center"/>
          </w:tcPr>
          <w:p w14:paraId="0C9BA58C" w14:textId="77777777" w:rsidR="001537F2" w:rsidRPr="00F8244B" w:rsidRDefault="001537F2" w:rsidP="001537F2">
            <w:pPr>
              <w:spacing w:before="120" w:after="120"/>
              <w:rPr>
                <w:rFonts w:ascii="Arial" w:hAnsi="Arial" w:cs="Arial"/>
                <w:sz w:val="23"/>
                <w:szCs w:val="23"/>
              </w:rPr>
            </w:pPr>
            <w:r>
              <w:rPr>
                <w:rFonts w:ascii="Arial" w:hAnsi="Arial" w:cs="Arial"/>
                <w:noProof/>
              </w:rPr>
              <w:drawing>
                <wp:inline distT="0" distB="0" distL="0" distR="0" wp14:anchorId="4CAFEF10" wp14:editId="147303D2">
                  <wp:extent cx="518160" cy="51840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4A2AB5BD" w14:textId="77777777" w:rsidR="001537F2" w:rsidRPr="00F8244B" w:rsidRDefault="001537F2" w:rsidP="001537F2">
            <w:pPr>
              <w:spacing w:before="120" w:after="120"/>
              <w:jc w:val="center"/>
              <w:rPr>
                <w:rFonts w:ascii="Arial" w:hAnsi="Arial" w:cs="Arial"/>
                <w:color w:val="00ABE6"/>
                <w:sz w:val="18"/>
                <w:szCs w:val="18"/>
              </w:rPr>
            </w:pPr>
            <w:r w:rsidRPr="00694F1F">
              <w:rPr>
                <w:rFonts w:ascii="Arial" w:hAnsi="Arial" w:cs="Arial"/>
                <w:color w:val="008EBA"/>
                <w:sz w:val="18"/>
                <w:szCs w:val="18"/>
              </w:rPr>
              <w:t xml:space="preserve">$46.3 </w:t>
            </w:r>
            <w:r w:rsidRPr="00694F1F">
              <w:rPr>
                <w:rFonts w:ascii="Arial" w:hAnsi="Arial" w:cs="Arial"/>
                <w:color w:val="008EBA"/>
                <w:sz w:val="18"/>
                <w:szCs w:val="18"/>
              </w:rPr>
              <w:br/>
              <w:t>million</w:t>
            </w:r>
          </w:p>
        </w:tc>
        <w:tc>
          <w:tcPr>
            <w:tcW w:w="1809" w:type="pct"/>
            <w:shd w:val="clear" w:color="auto" w:fill="F2F2F2" w:themeFill="background1" w:themeFillShade="F2"/>
            <w:vAlign w:val="center"/>
          </w:tcPr>
          <w:p w14:paraId="638AF13E" w14:textId="77777777" w:rsidR="001537F2" w:rsidRPr="00987F42" w:rsidRDefault="001537F2" w:rsidP="001537F2">
            <w:pPr>
              <w:rPr>
                <w:rFonts w:ascii="Arial" w:hAnsi="Arial" w:cs="Arial"/>
                <w:color w:val="008EBA"/>
                <w:sz w:val="18"/>
                <w:szCs w:val="18"/>
              </w:rPr>
            </w:pPr>
            <w:r w:rsidRPr="00987F42">
              <w:rPr>
                <w:rFonts w:ascii="Arial" w:hAnsi="Arial" w:cs="Arial"/>
                <w:color w:val="008EBA"/>
                <w:sz w:val="18"/>
                <w:szCs w:val="18"/>
              </w:rPr>
              <w:t>Recurrent</w:t>
            </w:r>
          </w:p>
          <w:p w14:paraId="6455D2B4" w14:textId="77777777" w:rsidR="001537F2" w:rsidRPr="00F8244B" w:rsidRDefault="001537F2" w:rsidP="001537F2">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1537F2" w:rsidRPr="00F8244B" w14:paraId="32E9C178" w14:textId="77777777" w:rsidTr="001537F2">
        <w:trPr>
          <w:cantSplit/>
          <w:trHeight w:val="784"/>
        </w:trPr>
        <w:tc>
          <w:tcPr>
            <w:tcW w:w="1729" w:type="pct"/>
            <w:shd w:val="clear" w:color="auto" w:fill="F2F2F2" w:themeFill="background1" w:themeFillShade="F2"/>
            <w:vAlign w:val="center"/>
          </w:tcPr>
          <w:p w14:paraId="36D7893D" w14:textId="77777777" w:rsidR="001537F2" w:rsidRPr="00F8244B" w:rsidRDefault="001537F2" w:rsidP="001537F2">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1B663BF3" wp14:editId="3C1696A5">
                  <wp:extent cx="518160" cy="51840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05B8C4A7" w14:textId="77777777" w:rsidR="001537F2" w:rsidRPr="00F8244B" w:rsidRDefault="001537F2" w:rsidP="001537F2">
            <w:pPr>
              <w:spacing w:before="120" w:after="120"/>
              <w:jc w:val="center"/>
              <w:rPr>
                <w:rFonts w:ascii="Arial" w:hAnsi="Arial" w:cs="Arial"/>
                <w:color w:val="00ABE6"/>
                <w:sz w:val="18"/>
                <w:szCs w:val="18"/>
              </w:rPr>
            </w:pPr>
            <w:r w:rsidRPr="00694F1F">
              <w:rPr>
                <w:rFonts w:ascii="Arial" w:hAnsi="Arial" w:cs="Arial"/>
                <w:color w:val="008EBA"/>
                <w:sz w:val="18"/>
                <w:szCs w:val="18"/>
              </w:rPr>
              <w:t xml:space="preserve">$4.2 </w:t>
            </w:r>
            <w:r w:rsidRPr="00694F1F">
              <w:rPr>
                <w:rFonts w:ascii="Arial" w:hAnsi="Arial" w:cs="Arial"/>
                <w:color w:val="008EBA"/>
                <w:sz w:val="18"/>
                <w:szCs w:val="18"/>
              </w:rPr>
              <w:br/>
              <w:t>million</w:t>
            </w:r>
          </w:p>
        </w:tc>
        <w:tc>
          <w:tcPr>
            <w:tcW w:w="1809" w:type="pct"/>
            <w:shd w:val="clear" w:color="auto" w:fill="F2F2F2" w:themeFill="background1" w:themeFillShade="F2"/>
            <w:vAlign w:val="center"/>
          </w:tcPr>
          <w:p w14:paraId="1C5CE5D4" w14:textId="77777777" w:rsidR="001537F2" w:rsidRPr="00F8244B" w:rsidRDefault="001537F2" w:rsidP="001537F2">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63857DC2" w14:textId="1B2A5C1F" w:rsidR="0033128C" w:rsidRDefault="00362945" w:rsidP="009E4B03">
      <w:pPr>
        <w:pStyle w:val="BodyText"/>
      </w:pPr>
      <w:r w:rsidRPr="00B74732">
        <w:t xml:space="preserve">Treasury </w:t>
      </w:r>
      <w:r>
        <w:t xml:space="preserve">plays a critical </w:t>
      </w:r>
      <w:r w:rsidRPr="00B74732">
        <w:t xml:space="preserve">role </w:t>
      </w:r>
      <w:r>
        <w:t>as</w:t>
      </w:r>
      <w:r w:rsidRPr="00B74732">
        <w:t xml:space="preserve"> the performance and financial steward for the NSW Government Sector. </w:t>
      </w:r>
      <w:r>
        <w:t xml:space="preserve">This role is endorsed by </w:t>
      </w:r>
      <w:r w:rsidR="00FC6790">
        <w:t>the</w:t>
      </w:r>
      <w:r>
        <w:t xml:space="preserve"> </w:t>
      </w:r>
      <w:r w:rsidRPr="003D5C1B">
        <w:rPr>
          <w:i/>
          <w:iCs/>
        </w:rPr>
        <w:t xml:space="preserve">Government Sector Finance Act 2018 </w:t>
      </w:r>
      <w:r>
        <w:t xml:space="preserve">which clarifies that agencies are required to report and demonstrate performance outcomes and not just financial results.  </w:t>
      </w:r>
      <w:r w:rsidRPr="00B74732">
        <w:t>This moves Treasury’s role beyond the traditional financial and regulatory function, towards support</w:t>
      </w:r>
      <w:r w:rsidR="002F48E2">
        <w:t>ing</w:t>
      </w:r>
      <w:r w:rsidRPr="00B74732">
        <w:t xml:space="preserve"> </w:t>
      </w:r>
      <w:r w:rsidR="002F48E2">
        <w:t>s</w:t>
      </w:r>
      <w:r w:rsidRPr="00B74732">
        <w:t xml:space="preserve">ector performance to deliver outcomes for </w:t>
      </w:r>
      <w:r w:rsidR="00A77DA4">
        <w:t>people</w:t>
      </w:r>
      <w:r w:rsidRPr="00B74732">
        <w:t xml:space="preserve">, ensure transparency, </w:t>
      </w:r>
      <w:proofErr w:type="gramStart"/>
      <w:r w:rsidRPr="00B74732">
        <w:t>accountability</w:t>
      </w:r>
      <w:proofErr w:type="gramEnd"/>
      <w:r w:rsidRPr="00B74732">
        <w:t xml:space="preserve"> and the effective use of public funds. Under this </w:t>
      </w:r>
      <w:r w:rsidR="00E5191E">
        <w:t>Outcome</w:t>
      </w:r>
      <w:r w:rsidRPr="00B74732">
        <w:t xml:space="preserve">, Treasury aims to build </w:t>
      </w:r>
      <w:r w:rsidR="003B145A">
        <w:t>s</w:t>
      </w:r>
      <w:r w:rsidRPr="00B74732">
        <w:t>ector capability and assist agencies to achieve their own performance goals while also meeting all compliance and reporting obligations</w:t>
      </w:r>
      <w:r>
        <w:t>.</w:t>
      </w:r>
      <w:r w:rsidR="0033128C">
        <w:t xml:space="preserve"> </w:t>
      </w:r>
    </w:p>
    <w:p w14:paraId="2A3578FB" w14:textId="6DBC1415" w:rsidR="00560147" w:rsidRDefault="00560147" w:rsidP="696A83E5">
      <w:pPr>
        <w:pStyle w:val="Heading3"/>
        <w:rPr>
          <w:rFonts w:cs="Arial"/>
        </w:rPr>
      </w:pPr>
      <w:r w:rsidRPr="696A83E5">
        <w:rPr>
          <w:rFonts w:cs="Arial"/>
        </w:rPr>
        <w:t>202</w:t>
      </w:r>
      <w:r w:rsidR="00F74499" w:rsidRPr="696A83E5">
        <w:rPr>
          <w:rFonts w:cs="Arial"/>
        </w:rPr>
        <w:t>1</w:t>
      </w:r>
      <w:r w:rsidRPr="696A83E5">
        <w:rPr>
          <w:rFonts w:cs="Arial"/>
        </w:rPr>
        <w:t>-2</w:t>
      </w:r>
      <w:r w:rsidR="00F74499" w:rsidRPr="696A83E5">
        <w:rPr>
          <w:rFonts w:cs="Arial"/>
        </w:rPr>
        <w:t>2</w:t>
      </w:r>
      <w:r w:rsidRPr="696A83E5">
        <w:rPr>
          <w:rFonts w:cs="Arial"/>
        </w:rPr>
        <w:t xml:space="preserve"> </w:t>
      </w:r>
      <w:r w:rsidR="0033128C" w:rsidRPr="696A83E5">
        <w:rPr>
          <w:rFonts w:cs="Arial"/>
        </w:rPr>
        <w:t xml:space="preserve">State Outcome </w:t>
      </w:r>
      <w:r w:rsidRPr="696A83E5">
        <w:rPr>
          <w:rFonts w:cs="Arial"/>
        </w:rPr>
        <w:t xml:space="preserve">Budget </w:t>
      </w:r>
      <w:r w:rsidR="0033128C" w:rsidRPr="696A83E5">
        <w:rPr>
          <w:rFonts w:cs="Arial"/>
        </w:rPr>
        <w:t>h</w:t>
      </w:r>
      <w:r w:rsidRPr="696A83E5">
        <w:rPr>
          <w:rFonts w:cs="Arial"/>
        </w:rPr>
        <w:t xml:space="preserve">ighlights </w:t>
      </w:r>
    </w:p>
    <w:p w14:paraId="00930402" w14:textId="261D9627" w:rsidR="00A52240" w:rsidRPr="000412BC" w:rsidRDefault="00A52240" w:rsidP="009E4B03">
      <w:pPr>
        <w:pStyle w:val="BodyText"/>
      </w:pPr>
      <w:r w:rsidRPr="000412BC">
        <w:t>In 202</w:t>
      </w:r>
      <w:r w:rsidR="00F74499" w:rsidRPr="000412BC">
        <w:t>1</w:t>
      </w:r>
      <w:r w:rsidRPr="000412BC">
        <w:t>-2</w:t>
      </w:r>
      <w:r w:rsidR="00F74499" w:rsidRPr="000412BC">
        <w:t>2</w:t>
      </w:r>
      <w:r w:rsidRPr="000412BC">
        <w:t xml:space="preserve">, the </w:t>
      </w:r>
      <w:r w:rsidR="00B74732" w:rsidRPr="000412BC">
        <w:t>Treasury</w:t>
      </w:r>
      <w:r w:rsidRPr="000412BC">
        <w:t xml:space="preserve"> </w:t>
      </w:r>
      <w:r w:rsidR="001468AF">
        <w:t>C</w:t>
      </w:r>
      <w:r w:rsidRPr="000412BC">
        <w:t xml:space="preserve">luster will invest </w:t>
      </w:r>
      <w:r w:rsidRPr="00694F1F">
        <w:t>$</w:t>
      </w:r>
      <w:r w:rsidR="00143F35" w:rsidRPr="00694F1F">
        <w:t>5</w:t>
      </w:r>
      <w:r w:rsidR="00EA692E" w:rsidRPr="00694F1F">
        <w:t>0.5</w:t>
      </w:r>
      <w:r w:rsidRPr="00694F1F">
        <w:t xml:space="preserve"> </w:t>
      </w:r>
      <w:r w:rsidR="00143F35" w:rsidRPr="00694F1F">
        <w:t>m</w:t>
      </w:r>
      <w:r w:rsidRPr="00694F1F">
        <w:t>illion ($</w:t>
      </w:r>
      <w:r w:rsidR="009A1761" w:rsidRPr="00694F1F">
        <w:t>46.3</w:t>
      </w:r>
      <w:r w:rsidRPr="00694F1F">
        <w:t xml:space="preserve"> </w:t>
      </w:r>
      <w:r w:rsidR="009A1761" w:rsidRPr="00694F1F">
        <w:t>m</w:t>
      </w:r>
      <w:r w:rsidRPr="00694F1F">
        <w:t>illion</w:t>
      </w:r>
      <w:r w:rsidRPr="000412BC">
        <w:t xml:space="preserve"> recurrent expenses and $</w:t>
      </w:r>
      <w:r w:rsidR="00A43AEE" w:rsidRPr="00694F1F">
        <w:t>4.2</w:t>
      </w:r>
      <w:r w:rsidRPr="00694F1F">
        <w:t xml:space="preserve"> million</w:t>
      </w:r>
      <w:r w:rsidRPr="000412BC">
        <w:t xml:space="preserve"> capital expenditure) </w:t>
      </w:r>
      <w:r w:rsidR="00E5191E">
        <w:t>in this Outcome</w:t>
      </w:r>
      <w:r w:rsidR="00AF70C1">
        <w:t>,</w:t>
      </w:r>
      <w:r w:rsidRPr="000412BC">
        <w:t xml:space="preserve"> including</w:t>
      </w:r>
    </w:p>
    <w:p w14:paraId="10CBD3DB" w14:textId="637099AD" w:rsidR="003620F3" w:rsidRPr="00E5191E" w:rsidRDefault="0025535B" w:rsidP="00D52657">
      <w:pPr>
        <w:pStyle w:val="Bullet1"/>
        <w:rPr>
          <w:rFonts w:eastAsia="Arial"/>
        </w:rPr>
      </w:pPr>
      <w:r w:rsidRPr="00694F1F">
        <w:rPr>
          <w:rFonts w:eastAsia="Arial"/>
        </w:rPr>
        <w:t>$</w:t>
      </w:r>
      <w:r w:rsidR="3EAD7F72" w:rsidRPr="00694F1F">
        <w:rPr>
          <w:rFonts w:eastAsia="Arial"/>
        </w:rPr>
        <w:t>3</w:t>
      </w:r>
      <w:r w:rsidR="68BD9757" w:rsidRPr="00694F1F">
        <w:rPr>
          <w:rFonts w:eastAsia="Arial"/>
        </w:rPr>
        <w:t>0</w:t>
      </w:r>
      <w:r w:rsidR="00BF5AF7" w:rsidRPr="00694F1F">
        <w:rPr>
          <w:rFonts w:eastAsia="Arial"/>
        </w:rPr>
        <w:t>.0</w:t>
      </w:r>
      <w:r w:rsidRPr="00694F1F">
        <w:rPr>
          <w:rFonts w:eastAsia="Arial"/>
        </w:rPr>
        <w:t xml:space="preserve"> million </w:t>
      </w:r>
      <w:r w:rsidR="003620F3" w:rsidRPr="696A83E5">
        <w:rPr>
          <w:rFonts w:eastAsia="Arial"/>
        </w:rPr>
        <w:t>to deliver a comprehensive suite of activities including; embedding</w:t>
      </w:r>
      <w:r w:rsidR="00A7043C">
        <w:rPr>
          <w:rFonts w:eastAsia="Arial"/>
        </w:rPr>
        <w:t xml:space="preserve"> </w:t>
      </w:r>
      <w:r w:rsidR="003620F3" w:rsidRPr="696A83E5">
        <w:rPr>
          <w:rFonts w:eastAsia="Arial"/>
        </w:rPr>
        <w:t>evidence based decision making</w:t>
      </w:r>
      <w:r w:rsidR="00272773">
        <w:rPr>
          <w:rFonts w:eastAsia="Arial"/>
        </w:rPr>
        <w:t xml:space="preserve"> and</w:t>
      </w:r>
      <w:r w:rsidR="003620F3" w:rsidRPr="696A83E5">
        <w:rPr>
          <w:rFonts w:eastAsia="Arial"/>
        </w:rPr>
        <w:t xml:space="preserve"> Outcome Budgeting, digitising procurement guidelines and tools, ongoing training and guidance on budgeting and financial reporting systems, social impact investment policy guidance, banking best practice support and tools, investment and debt advice</w:t>
      </w:r>
      <w:r w:rsidR="00272773">
        <w:rPr>
          <w:rFonts w:eastAsia="Arial"/>
        </w:rPr>
        <w:t>,</w:t>
      </w:r>
      <w:r w:rsidR="003620F3" w:rsidRPr="696A83E5">
        <w:rPr>
          <w:rFonts w:eastAsia="Arial"/>
        </w:rPr>
        <w:t xml:space="preserve"> and stewardship </w:t>
      </w:r>
    </w:p>
    <w:p w14:paraId="0E56B3C0" w14:textId="4380DDA3" w:rsidR="00ED70FF" w:rsidRDefault="0025535B" w:rsidP="00D52657">
      <w:pPr>
        <w:pStyle w:val="Bullet1"/>
        <w:rPr>
          <w:rFonts w:eastAsia="Arial"/>
        </w:rPr>
      </w:pPr>
      <w:r w:rsidRPr="00694F1F">
        <w:rPr>
          <w:rFonts w:eastAsia="Arial"/>
        </w:rPr>
        <w:t>$</w:t>
      </w:r>
      <w:r w:rsidR="36333B04" w:rsidRPr="00694F1F">
        <w:rPr>
          <w:rFonts w:eastAsia="Arial"/>
        </w:rPr>
        <w:t>10.2</w:t>
      </w:r>
      <w:r w:rsidRPr="00694F1F">
        <w:rPr>
          <w:rFonts w:eastAsia="Arial"/>
        </w:rPr>
        <w:t xml:space="preserve"> </w:t>
      </w:r>
      <w:r w:rsidR="00BF5AF7" w:rsidRPr="00694F1F">
        <w:rPr>
          <w:rFonts w:eastAsia="Arial"/>
        </w:rPr>
        <w:t xml:space="preserve">million </w:t>
      </w:r>
      <w:r w:rsidR="00BF5AF7" w:rsidRPr="696A83E5">
        <w:rPr>
          <w:rFonts w:eastAsia="Arial"/>
        </w:rPr>
        <w:t>to</w:t>
      </w:r>
      <w:r w:rsidR="003620F3" w:rsidRPr="696A83E5">
        <w:rPr>
          <w:rFonts w:eastAsia="Arial"/>
        </w:rPr>
        <w:t xml:space="preserve"> promote a Digitally Focused Treasury, </w:t>
      </w:r>
      <w:r w:rsidR="00450E38" w:rsidRPr="696A83E5">
        <w:rPr>
          <w:rFonts w:eastAsia="Arial"/>
        </w:rPr>
        <w:t xml:space="preserve">continuing </w:t>
      </w:r>
      <w:r w:rsidR="003620F3" w:rsidRPr="696A83E5">
        <w:rPr>
          <w:rFonts w:eastAsia="Arial"/>
        </w:rPr>
        <w:t>with the replacement of several legacy component products with flexible modern tools to enhance digital design and responsiveness</w:t>
      </w:r>
      <w:r w:rsidR="009B2B9C" w:rsidRPr="696A83E5">
        <w:rPr>
          <w:rFonts w:eastAsia="Arial"/>
        </w:rPr>
        <w:t>.</w:t>
      </w:r>
    </w:p>
    <w:p w14:paraId="774D888D" w14:textId="77777777" w:rsidR="00B9462E" w:rsidRPr="00BC22E5" w:rsidRDefault="00B9462E" w:rsidP="00AB212A">
      <w:pPr>
        <w:pStyle w:val="Heading3"/>
        <w:rPr>
          <w:rFonts w:cs="Arial"/>
        </w:rPr>
      </w:pPr>
      <w:r w:rsidRPr="00BC22E5">
        <w:rPr>
          <w:rFonts w:cs="Arial"/>
        </w:rPr>
        <w:t xml:space="preserve">Key performance insights </w:t>
      </w:r>
    </w:p>
    <w:p w14:paraId="6F80AE5E" w14:textId="45560F6E" w:rsidR="006C6C52" w:rsidRDefault="006C6C52" w:rsidP="00F04778">
      <w:pPr>
        <w:pStyle w:val="BodyText"/>
      </w:pPr>
      <w:r>
        <w:t>This section provides analysis and insights on key Outcome Indicators to this State Outcome.</w:t>
      </w:r>
    </w:p>
    <w:p w14:paraId="19EDF0DD" w14:textId="77777777" w:rsidR="00FB047A" w:rsidRPr="00EB5E40" w:rsidRDefault="00FB047A" w:rsidP="0014160D">
      <w:pPr>
        <w:keepNext/>
        <w:widowControl w:val="0"/>
        <w:spacing w:before="320" w:after="120" w:line="240" w:lineRule="atLeast"/>
        <w:outlineLvl w:val="3"/>
        <w:rPr>
          <w:rFonts w:ascii="Arial Bold" w:hAnsi="Arial Bold"/>
          <w:b/>
          <w:color w:val="00426F"/>
          <w:kern w:val="28"/>
          <w:sz w:val="25"/>
          <w:szCs w:val="36"/>
        </w:rPr>
      </w:pPr>
      <w:r w:rsidRPr="00EB5E40">
        <w:rPr>
          <w:rFonts w:ascii="Arial Bold" w:hAnsi="Arial Bold"/>
          <w:b/>
          <w:color w:val="00426F"/>
          <w:kern w:val="28"/>
          <w:sz w:val="25"/>
          <w:szCs w:val="36"/>
        </w:rPr>
        <w:t xml:space="preserve">No material adverse findings in Audit Office Reports to Parliament </w:t>
      </w:r>
    </w:p>
    <w:p w14:paraId="52F04ED5" w14:textId="20381169" w:rsidR="00FB047A" w:rsidRPr="00375590" w:rsidRDefault="00FB047A" w:rsidP="00F04778">
      <w:pPr>
        <w:pStyle w:val="BodyText"/>
      </w:pPr>
      <w:r w:rsidRPr="00375590">
        <w:t>The Audit Office of NSW performs independent review</w:t>
      </w:r>
      <w:r w:rsidR="000503CE">
        <w:t>s</w:t>
      </w:r>
      <w:r w:rsidRPr="00375590">
        <w:t xml:space="preserve"> of the sector, including financial audits, performance audits and internal controls reviews. The results are reported to Parliament to ensure accountability to the people of New South Wales. </w:t>
      </w:r>
    </w:p>
    <w:p w14:paraId="4AEA0773" w14:textId="0EA476EF" w:rsidR="007A5C1D" w:rsidRDefault="00FB047A" w:rsidP="00F04778">
      <w:pPr>
        <w:pStyle w:val="BodyText"/>
      </w:pPr>
      <w:r w:rsidRPr="00375590">
        <w:t>Performance</w:t>
      </w:r>
      <w:r w:rsidR="00EB5E40">
        <w:t xml:space="preserve"> </w:t>
      </w:r>
      <w:r w:rsidRPr="00375590">
        <w:t xml:space="preserve">against this indicator </w:t>
      </w:r>
      <w:r w:rsidR="00EB5E40">
        <w:t>remains</w:t>
      </w:r>
      <w:r w:rsidRPr="00375590">
        <w:t xml:space="preserve"> stable. There have been no qualified financial audit opinions in any of the recent year-ends. </w:t>
      </w:r>
      <w:r w:rsidR="00A41152">
        <w:t>There were no material systemic issues identified</w:t>
      </w:r>
      <w:r w:rsidR="00DD2C0A">
        <w:t>.</w:t>
      </w:r>
      <w:r w:rsidRPr="00375590">
        <w:t xml:space="preserve"> Treasury is continuing to support the </w:t>
      </w:r>
      <w:r w:rsidR="007F7906">
        <w:t>s</w:t>
      </w:r>
      <w:r w:rsidRPr="00375590">
        <w:t>ector through a range of activities including developing and maintaining appropriate performance and financial management policy instruments and building sector capability to adhere to them.</w:t>
      </w:r>
    </w:p>
    <w:p w14:paraId="5B7ED79E" w14:textId="77777777" w:rsidR="0014160D" w:rsidRDefault="0014160D">
      <w:pPr>
        <w:rPr>
          <w:rFonts w:ascii="Arial" w:hAnsi="Arial"/>
          <w:i/>
          <w:color w:val="4F4F4F"/>
          <w:sz w:val="22"/>
        </w:rPr>
      </w:pPr>
      <w:r>
        <w:br w:type="page"/>
      </w:r>
    </w:p>
    <w:p w14:paraId="5DB6C87A" w14:textId="0DAA5B57" w:rsidR="00FB047A" w:rsidRPr="006C62F6" w:rsidRDefault="00E22621" w:rsidP="00EC7CA7">
      <w:pPr>
        <w:pStyle w:val="Chart91"/>
        <w:rPr>
          <w:rFonts w:eastAsia="Calibri" w:cs="Arial"/>
          <w:sz w:val="23"/>
          <w:szCs w:val="23"/>
        </w:rPr>
      </w:pPr>
      <w:r>
        <w:lastRenderedPageBreak/>
        <w:t xml:space="preserve">No </w:t>
      </w:r>
      <w:r>
        <w:rPr>
          <w:lang w:eastAsia="en-AU"/>
        </w:rPr>
        <w:t>material</w:t>
      </w:r>
      <w:r>
        <w:t xml:space="preserve"> adverse findings in Audit Office Reports to Parliament </w:t>
      </w:r>
    </w:p>
    <w:p w14:paraId="66425CBC" w14:textId="59995B2D" w:rsidR="002572C0" w:rsidRDefault="001B7B25" w:rsidP="006C62F6">
      <w:pPr>
        <w:pStyle w:val="Default"/>
        <w:jc w:val="center"/>
        <w:rPr>
          <w:rFonts w:ascii="Arial Bold" w:hAnsi="Arial Bold" w:cs="Times New Roman"/>
          <w:b/>
          <w:color w:val="00426F"/>
          <w:kern w:val="28"/>
          <w:sz w:val="25"/>
          <w:szCs w:val="36"/>
          <w:lang w:eastAsia="en-US"/>
        </w:rPr>
      </w:pPr>
      <w:r>
        <w:rPr>
          <w:rFonts w:ascii="Arial Bold" w:hAnsi="Arial Bold" w:cs="Times New Roman"/>
          <w:b/>
          <w:noProof/>
          <w:color w:val="00426F"/>
          <w:kern w:val="28"/>
          <w:sz w:val="25"/>
          <w:szCs w:val="36"/>
          <w:lang w:eastAsia="en-US"/>
        </w:rPr>
        <w:drawing>
          <wp:inline distT="0" distB="0" distL="0" distR="0" wp14:anchorId="7B4D8810" wp14:editId="3D8BC750">
            <wp:extent cx="4742815" cy="2261870"/>
            <wp:effectExtent l="0" t="0" r="0" b="5080"/>
            <wp:docPr id="12" name="Picture 12" descr="Chart 9.6: No material adverse findings in Audit Office Reports to Parlia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9.6: No material adverse findings in Audit Office Reports to Parliamen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2815" cy="2261870"/>
                    </a:xfrm>
                    <a:prstGeom prst="rect">
                      <a:avLst/>
                    </a:prstGeom>
                    <a:noFill/>
                  </pic:spPr>
                </pic:pic>
              </a:graphicData>
            </a:graphic>
          </wp:inline>
        </w:drawing>
      </w:r>
    </w:p>
    <w:p w14:paraId="41C6252E" w14:textId="3729461C" w:rsidR="003F5A17" w:rsidRPr="00EB5E40" w:rsidRDefault="00D9201A" w:rsidP="0014160D">
      <w:pPr>
        <w:keepNext/>
        <w:widowControl w:val="0"/>
        <w:spacing w:before="320" w:after="120" w:line="240" w:lineRule="atLeast"/>
        <w:outlineLvl w:val="3"/>
        <w:rPr>
          <w:rFonts w:ascii="Arial Bold" w:hAnsi="Arial Bold"/>
          <w:b/>
          <w:color w:val="00426F"/>
          <w:kern w:val="28"/>
          <w:sz w:val="25"/>
          <w:szCs w:val="36"/>
        </w:rPr>
      </w:pPr>
      <w:r>
        <w:rPr>
          <w:rFonts w:ascii="Arial Bold" w:hAnsi="Arial Bold"/>
          <w:b/>
          <w:color w:val="00426F"/>
          <w:kern w:val="28"/>
          <w:sz w:val="25"/>
          <w:szCs w:val="36"/>
        </w:rPr>
        <w:t>S</w:t>
      </w:r>
      <w:r w:rsidR="00BE0F79" w:rsidRPr="00EB5E40">
        <w:rPr>
          <w:rFonts w:ascii="Arial Bold" w:hAnsi="Arial Bold"/>
          <w:b/>
          <w:color w:val="00426F"/>
          <w:kern w:val="28"/>
          <w:sz w:val="25"/>
          <w:szCs w:val="36"/>
        </w:rPr>
        <w:t>upport provided by Treasury and the effectiveness of Treasury performance and financial management stewardship</w:t>
      </w:r>
    </w:p>
    <w:p w14:paraId="40B3CF20" w14:textId="6EA3C07B" w:rsidR="002F6600" w:rsidRDefault="6E9E4650" w:rsidP="00F04778">
      <w:pPr>
        <w:pStyle w:val="BodyText"/>
      </w:pPr>
      <w:r>
        <w:t xml:space="preserve">In 2021, Treasury conducted </w:t>
      </w:r>
      <w:r w:rsidR="67718A73">
        <w:t>its first</w:t>
      </w:r>
      <w:r>
        <w:t xml:space="preserve"> annual Treasury Stewardship Survey, </w:t>
      </w:r>
      <w:r w:rsidR="4AEB3EFA">
        <w:t>which</w:t>
      </w:r>
      <w:r>
        <w:t xml:space="preserve"> sought to understand </w:t>
      </w:r>
      <w:r w:rsidR="4AEB3EFA">
        <w:t xml:space="preserve">Treasury’s </w:t>
      </w:r>
      <w:r>
        <w:t xml:space="preserve">General Government customers’ views on the </w:t>
      </w:r>
      <w:r w:rsidR="08E5D838">
        <w:t xml:space="preserve">stewardship </w:t>
      </w:r>
      <w:r>
        <w:t xml:space="preserve">support provided by Treasury to drive effective performance and financial management. </w:t>
      </w:r>
    </w:p>
    <w:p w14:paraId="6EAC8314" w14:textId="6DEA9A7F" w:rsidR="00771E98" w:rsidRPr="00771E98" w:rsidRDefault="4AEB3EFA" w:rsidP="00F04778">
      <w:pPr>
        <w:pStyle w:val="BodyText"/>
      </w:pPr>
      <w:r>
        <w:t xml:space="preserve">The performance against this indicator </w:t>
      </w:r>
      <w:r w:rsidR="319DF068">
        <w:t>was</w:t>
      </w:r>
      <w:r w:rsidR="28A75C3C">
        <w:t xml:space="preserve"> </w:t>
      </w:r>
      <w:r w:rsidR="12D70F8E">
        <w:t xml:space="preserve">3.9 out of </w:t>
      </w:r>
      <w:r w:rsidR="77C4C001">
        <w:t>5.0</w:t>
      </w:r>
      <w:r w:rsidR="28A75C3C">
        <w:t xml:space="preserve"> in 2021</w:t>
      </w:r>
      <w:r w:rsidR="1AFAC827">
        <w:t xml:space="preserve">. The baseline </w:t>
      </w:r>
      <w:r w:rsidR="7A356B68">
        <w:t xml:space="preserve">performance </w:t>
      </w:r>
      <w:r w:rsidR="5A0738D9">
        <w:t xml:space="preserve">for this indicator is 3.9 out of </w:t>
      </w:r>
      <w:r w:rsidR="7162CCBC">
        <w:t>5.0</w:t>
      </w:r>
      <w:r w:rsidR="5A0738D9">
        <w:t>. The target is to improve against the baseline each year.</w:t>
      </w:r>
      <w:r w:rsidR="28A75C3C">
        <w:t xml:space="preserve"> </w:t>
      </w:r>
      <w:r w:rsidR="16A12BF0">
        <w:t xml:space="preserve">Treasury will </w:t>
      </w:r>
      <w:r w:rsidR="75BDC784">
        <w:t xml:space="preserve">continue to refine its Customer Relationship Model </w:t>
      </w:r>
      <w:r w:rsidR="230D68AF">
        <w:t>to</w:t>
      </w:r>
      <w:r w:rsidR="1287D699">
        <w:t xml:space="preserve"> provide</w:t>
      </w:r>
      <w:r w:rsidR="36D7D6EB">
        <w:t xml:space="preserve"> stronger and improved support to </w:t>
      </w:r>
      <w:r w:rsidR="5F3C083C">
        <w:t xml:space="preserve">the sector.  </w:t>
      </w:r>
      <w:r w:rsidR="230D68AF">
        <w:t xml:space="preserve"> </w:t>
      </w:r>
      <w:r w:rsidR="5B334BC6">
        <w:t xml:space="preserve"> </w:t>
      </w:r>
    </w:p>
    <w:p w14:paraId="2B6F2A22" w14:textId="45811345" w:rsidR="00BE0F79" w:rsidRPr="0014160D" w:rsidRDefault="5E90E43A" w:rsidP="0014160D">
      <w:pPr>
        <w:keepNext/>
        <w:widowControl w:val="0"/>
        <w:spacing w:before="320" w:after="120" w:line="240" w:lineRule="atLeast"/>
        <w:outlineLvl w:val="3"/>
        <w:rPr>
          <w:rFonts w:ascii="Arial Bold" w:hAnsi="Arial Bold"/>
          <w:b/>
          <w:color w:val="00426F"/>
          <w:kern w:val="28"/>
          <w:sz w:val="25"/>
          <w:szCs w:val="36"/>
        </w:rPr>
      </w:pPr>
      <w:r w:rsidRPr="0014160D">
        <w:rPr>
          <w:rFonts w:ascii="Arial Bold" w:hAnsi="Arial Bold"/>
          <w:b/>
          <w:color w:val="00426F"/>
          <w:kern w:val="28"/>
          <w:sz w:val="25"/>
          <w:szCs w:val="36"/>
        </w:rPr>
        <w:t>Provision of effective tools and frameworks (including technology) to enable</w:t>
      </w:r>
      <w:r w:rsidR="6B7F591D" w:rsidRPr="0014160D">
        <w:rPr>
          <w:rFonts w:ascii="Arial Bold" w:hAnsi="Arial Bold"/>
          <w:b/>
          <w:color w:val="00426F"/>
          <w:kern w:val="28"/>
          <w:sz w:val="25"/>
          <w:szCs w:val="36"/>
        </w:rPr>
        <w:t xml:space="preserve"> the </w:t>
      </w:r>
      <w:r w:rsidR="75B2DCF6" w:rsidRPr="0014160D">
        <w:rPr>
          <w:rFonts w:ascii="Arial Bold" w:hAnsi="Arial Bold"/>
          <w:b/>
          <w:color w:val="00426F"/>
          <w:kern w:val="28"/>
          <w:sz w:val="25"/>
          <w:szCs w:val="36"/>
        </w:rPr>
        <w:t xml:space="preserve">General Government </w:t>
      </w:r>
      <w:r w:rsidRPr="0014160D">
        <w:rPr>
          <w:rFonts w:ascii="Arial Bold" w:hAnsi="Arial Bold"/>
          <w:b/>
          <w:color w:val="00426F"/>
          <w:kern w:val="28"/>
          <w:sz w:val="25"/>
          <w:szCs w:val="36"/>
        </w:rPr>
        <w:t xml:space="preserve">sector to strengthen their performance and financial management, and promote efficient, </w:t>
      </w:r>
      <w:proofErr w:type="gramStart"/>
      <w:r w:rsidRPr="0014160D">
        <w:rPr>
          <w:rFonts w:ascii="Arial Bold" w:hAnsi="Arial Bold"/>
          <w:b/>
          <w:color w:val="00426F"/>
          <w:kern w:val="28"/>
          <w:sz w:val="25"/>
          <w:szCs w:val="36"/>
        </w:rPr>
        <w:t>effective</w:t>
      </w:r>
      <w:proofErr w:type="gramEnd"/>
      <w:r w:rsidRPr="0014160D">
        <w:rPr>
          <w:rFonts w:ascii="Arial Bold" w:hAnsi="Arial Bold"/>
          <w:b/>
          <w:color w:val="00426F"/>
          <w:kern w:val="28"/>
          <w:sz w:val="25"/>
          <w:szCs w:val="36"/>
        </w:rPr>
        <w:t xml:space="preserve"> and economical use of government resource</w:t>
      </w:r>
      <w:r w:rsidR="74771D08" w:rsidRPr="0014160D">
        <w:rPr>
          <w:rFonts w:ascii="Arial Bold" w:hAnsi="Arial Bold"/>
          <w:b/>
          <w:color w:val="00426F"/>
          <w:kern w:val="28"/>
          <w:sz w:val="25"/>
          <w:szCs w:val="36"/>
        </w:rPr>
        <w:t>s</w:t>
      </w:r>
    </w:p>
    <w:p w14:paraId="605E4D41" w14:textId="2C91CCC4" w:rsidR="00CB3426" w:rsidRDefault="001A3BE4" w:rsidP="00F04778">
      <w:pPr>
        <w:pStyle w:val="BodyText"/>
      </w:pPr>
      <w:r w:rsidRPr="4ED2AB02">
        <w:t>T</w:t>
      </w:r>
      <w:r w:rsidR="0090619E" w:rsidRPr="4ED2AB02">
        <w:t xml:space="preserve">he Treasury Stewardship Survey conducted for the first time in 2021 </w:t>
      </w:r>
      <w:r w:rsidR="00946939" w:rsidRPr="4ED2AB02">
        <w:t>also</w:t>
      </w:r>
      <w:r w:rsidR="00C343C2" w:rsidRPr="4ED2AB02">
        <w:t xml:space="preserve"> </w:t>
      </w:r>
      <w:r w:rsidR="00860B9B" w:rsidRPr="4ED2AB02">
        <w:t xml:space="preserve">sought </w:t>
      </w:r>
      <w:r w:rsidR="00C343C2" w:rsidRPr="4ED2AB02">
        <w:t xml:space="preserve">to understand </w:t>
      </w:r>
      <w:r w:rsidR="0090619E" w:rsidRPr="4ED2AB02">
        <w:t>Treasu</w:t>
      </w:r>
      <w:r w:rsidR="00CC57ED" w:rsidRPr="4ED2AB02">
        <w:t>r</w:t>
      </w:r>
      <w:r w:rsidR="0090619E" w:rsidRPr="4ED2AB02">
        <w:t xml:space="preserve">y’s </w:t>
      </w:r>
      <w:r w:rsidR="00C343C2" w:rsidRPr="4ED2AB02">
        <w:t>General Government customers’ view</w:t>
      </w:r>
      <w:r w:rsidR="00EF75F6" w:rsidRPr="4ED2AB02">
        <w:t>s</w:t>
      </w:r>
      <w:r w:rsidR="00C343C2" w:rsidRPr="4ED2AB02">
        <w:t xml:space="preserve"> o</w:t>
      </w:r>
      <w:r w:rsidR="00EF75F6" w:rsidRPr="4ED2AB02">
        <w:t>n</w:t>
      </w:r>
      <w:r w:rsidR="00C343C2" w:rsidRPr="4ED2AB02">
        <w:t xml:space="preserve"> the effectiveness of Treasury-led policies</w:t>
      </w:r>
      <w:r w:rsidR="00E629C9">
        <w:t xml:space="preserve">, </w:t>
      </w:r>
      <w:r w:rsidR="00C343C2" w:rsidRPr="4ED2AB02">
        <w:t>tools</w:t>
      </w:r>
      <w:r w:rsidR="00E629C9">
        <w:t xml:space="preserve">, and </w:t>
      </w:r>
      <w:r w:rsidR="00C343C2" w:rsidRPr="4ED2AB02">
        <w:t>services to drive effective performance and financial management.</w:t>
      </w:r>
      <w:r w:rsidR="00006C75" w:rsidRPr="4ED2AB02">
        <w:t xml:space="preserve"> </w:t>
      </w:r>
    </w:p>
    <w:p w14:paraId="171388B2" w14:textId="35442322" w:rsidR="00FB047A" w:rsidRDefault="0A3F7A55" w:rsidP="00F04778">
      <w:pPr>
        <w:pStyle w:val="BodyText"/>
      </w:pPr>
      <w:r>
        <w:t xml:space="preserve">The performance against this indicator </w:t>
      </w:r>
      <w:r w:rsidR="6F700FA2">
        <w:t>was</w:t>
      </w:r>
      <w:r>
        <w:t xml:space="preserve"> </w:t>
      </w:r>
      <w:r w:rsidR="18B6D9BC">
        <w:t>3.</w:t>
      </w:r>
      <w:r w:rsidR="506619D5">
        <w:t>3</w:t>
      </w:r>
      <w:r w:rsidR="12D70F8E">
        <w:t xml:space="preserve"> out of </w:t>
      </w:r>
      <w:r w:rsidR="506619D5">
        <w:t xml:space="preserve">5.0 </w:t>
      </w:r>
      <w:r>
        <w:t>in 2021</w:t>
      </w:r>
      <w:r w:rsidR="0DE79E02">
        <w:t>. The baseline performance for this indicator is 3.</w:t>
      </w:r>
      <w:r w:rsidR="506619D5">
        <w:t>3</w:t>
      </w:r>
      <w:r w:rsidR="0DE79E02">
        <w:t xml:space="preserve"> out of </w:t>
      </w:r>
      <w:r w:rsidR="4DBD24AB">
        <w:t>5.0</w:t>
      </w:r>
      <w:r w:rsidR="0DE79E02">
        <w:t xml:space="preserve">. The target is to improve against the baseline each year. </w:t>
      </w:r>
      <w:r>
        <w:t xml:space="preserve"> </w:t>
      </w:r>
      <w:r w:rsidR="2C064330">
        <w:t xml:space="preserve">Treasury will continue to undertake </w:t>
      </w:r>
      <w:r w:rsidR="5EA9C981">
        <w:t xml:space="preserve">improvements to </w:t>
      </w:r>
      <w:r w:rsidR="6F76C6EF">
        <w:t xml:space="preserve">financial information systems, </w:t>
      </w:r>
      <w:proofErr w:type="gramStart"/>
      <w:r w:rsidR="7BE2412D">
        <w:t>frameworks</w:t>
      </w:r>
      <w:proofErr w:type="gramEnd"/>
      <w:r w:rsidR="539F1789">
        <w:t xml:space="preserve"> and guidelines</w:t>
      </w:r>
      <w:r w:rsidR="2BA30773">
        <w:t>.</w:t>
      </w:r>
    </w:p>
    <w:p w14:paraId="5F91753A" w14:textId="18187B54" w:rsidR="0070075C" w:rsidRDefault="0070075C" w:rsidP="0070075C">
      <w:pPr>
        <w:pStyle w:val="Heading3"/>
        <w:rPr>
          <w:rFonts w:cs="Arial"/>
          <w:bCs/>
          <w:szCs w:val="27"/>
        </w:rPr>
      </w:pPr>
      <w:r w:rsidRPr="0D874B0D">
        <w:t>P</w:t>
      </w:r>
      <w:r w:rsidRPr="0D874B0D">
        <w:rPr>
          <w:rFonts w:cs="Arial"/>
          <w:bCs/>
          <w:szCs w:val="27"/>
        </w:rPr>
        <w:t xml:space="preserve">erformance indicators for this </w:t>
      </w:r>
      <w:r>
        <w:rPr>
          <w:rFonts w:cs="Arial"/>
          <w:bCs/>
          <w:szCs w:val="27"/>
        </w:rPr>
        <w:t>O</w:t>
      </w:r>
      <w:r w:rsidRPr="0D874B0D">
        <w:rPr>
          <w:rFonts w:cs="Arial"/>
          <w:bCs/>
          <w:szCs w:val="27"/>
        </w:rPr>
        <w:t>utcome</w:t>
      </w:r>
    </w:p>
    <w:tbl>
      <w:tblPr>
        <w:tblW w:w="9656" w:type="dxa"/>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CD50A3" w:rsidRPr="00B962DB" w14:paraId="135D34CE" w14:textId="77777777" w:rsidTr="00CD50A3">
        <w:trPr>
          <w:trHeight w:val="283"/>
        </w:trPr>
        <w:tc>
          <w:tcPr>
            <w:tcW w:w="6537" w:type="dxa"/>
            <w:vMerge w:val="restart"/>
            <w:tcBorders>
              <w:top w:val="nil"/>
              <w:left w:val="nil"/>
              <w:bottom w:val="nil"/>
              <w:right w:val="nil"/>
            </w:tcBorders>
            <w:shd w:val="clear" w:color="auto" w:fill="008EBA"/>
            <w:noWrap/>
            <w:vAlign w:val="center"/>
            <w:hideMark/>
          </w:tcPr>
          <w:p w14:paraId="5200E433" w14:textId="77777777" w:rsidR="00CD50A3" w:rsidRPr="00B962DB" w:rsidRDefault="00CD50A3" w:rsidP="00260F3A">
            <w:pPr>
              <w:ind w:firstLineChars="100" w:firstLine="181"/>
              <w:rPr>
                <w:rFonts w:ascii="Arial" w:hAnsi="Arial" w:cs="Arial"/>
                <w:b/>
                <w:bCs/>
                <w:color w:val="FFFFFF"/>
                <w:sz w:val="18"/>
                <w:szCs w:val="18"/>
                <w:lang w:eastAsia="en-AU"/>
              </w:rPr>
            </w:pPr>
            <w:r w:rsidRPr="004B3617">
              <w:rPr>
                <w:rFonts w:ascii="Arial" w:hAnsi="Arial" w:cs="Arial"/>
                <w:b/>
                <w:color w:val="FFFFFF"/>
                <w:sz w:val="18"/>
                <w:szCs w:val="18"/>
                <w:lang w:eastAsia="en-AU"/>
              </w:rPr>
              <w:t>Outcome Indicators</w:t>
            </w:r>
          </w:p>
        </w:tc>
        <w:tc>
          <w:tcPr>
            <w:tcW w:w="737" w:type="dxa"/>
            <w:vMerge w:val="restart"/>
            <w:tcBorders>
              <w:top w:val="nil"/>
              <w:left w:val="nil"/>
              <w:bottom w:val="nil"/>
              <w:right w:val="nil"/>
            </w:tcBorders>
            <w:shd w:val="clear" w:color="auto" w:fill="008EBA"/>
            <w:noWrap/>
            <w:vAlign w:val="center"/>
            <w:hideMark/>
          </w:tcPr>
          <w:p w14:paraId="073F5165" w14:textId="77777777" w:rsidR="00CD50A3" w:rsidRPr="00B962DB" w:rsidRDefault="00CD50A3" w:rsidP="00E72564">
            <w:pPr>
              <w:rPr>
                <w:rFonts w:ascii="Arial" w:hAnsi="Arial" w:cs="Arial"/>
                <w:b/>
                <w:bCs/>
                <w:color w:val="FFFFFF"/>
                <w:sz w:val="18"/>
                <w:szCs w:val="18"/>
                <w:lang w:eastAsia="en-AU"/>
              </w:rPr>
            </w:pPr>
            <w:r w:rsidRPr="00B962DB">
              <w:rPr>
                <w:rFonts w:ascii="Arial" w:hAnsi="Arial" w:cs="Arial"/>
                <w:b/>
                <w:bCs/>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23225381" w14:textId="77777777" w:rsidR="00CD50A3" w:rsidRPr="00B962DB" w:rsidRDefault="00CD50A3" w:rsidP="00260F3A">
            <w:pPr>
              <w:jc w:val="center"/>
              <w:rPr>
                <w:rFonts w:ascii="Arial" w:hAnsi="Arial" w:cs="Arial"/>
                <w:b/>
                <w:bCs/>
                <w:color w:val="FFFFFF"/>
                <w:sz w:val="18"/>
                <w:szCs w:val="18"/>
                <w:lang w:eastAsia="en-AU"/>
              </w:rPr>
            </w:pPr>
            <w:r>
              <w:rPr>
                <w:rFonts w:ascii="Arial" w:hAnsi="Arial" w:cs="Arial"/>
                <w:b/>
                <w:bCs/>
                <w:color w:val="FFFFFF"/>
                <w:sz w:val="18"/>
                <w:szCs w:val="18"/>
                <w:lang w:eastAsia="en-AU"/>
              </w:rPr>
              <w:t>2020-21</w:t>
            </w:r>
          </w:p>
        </w:tc>
        <w:tc>
          <w:tcPr>
            <w:tcW w:w="1191" w:type="dxa"/>
            <w:tcBorders>
              <w:top w:val="nil"/>
              <w:left w:val="nil"/>
              <w:bottom w:val="nil"/>
              <w:right w:val="nil"/>
            </w:tcBorders>
            <w:shd w:val="clear" w:color="auto" w:fill="008EBA"/>
            <w:noWrap/>
            <w:vAlign w:val="bottom"/>
            <w:hideMark/>
          </w:tcPr>
          <w:p w14:paraId="76EA3E19" w14:textId="77777777" w:rsidR="00CD50A3" w:rsidRPr="00B962DB" w:rsidRDefault="00CD50A3" w:rsidP="00260F3A">
            <w:pPr>
              <w:jc w:val="center"/>
              <w:rPr>
                <w:rFonts w:ascii="Arial" w:hAnsi="Arial" w:cs="Arial"/>
                <w:b/>
                <w:bCs/>
                <w:color w:val="FFFFFF"/>
                <w:sz w:val="18"/>
                <w:szCs w:val="18"/>
                <w:lang w:eastAsia="en-AU"/>
              </w:rPr>
            </w:pPr>
            <w:r w:rsidRPr="00B962DB">
              <w:rPr>
                <w:rFonts w:ascii="Arial" w:hAnsi="Arial" w:cs="Arial"/>
                <w:b/>
                <w:bCs/>
                <w:color w:val="FFFFFF"/>
                <w:sz w:val="18"/>
                <w:szCs w:val="18"/>
                <w:lang w:eastAsia="en-AU"/>
              </w:rPr>
              <w:t>20</w:t>
            </w:r>
            <w:r>
              <w:rPr>
                <w:rFonts w:ascii="Arial" w:hAnsi="Arial" w:cs="Arial"/>
                <w:b/>
                <w:bCs/>
                <w:color w:val="FFFFFF"/>
                <w:sz w:val="18"/>
                <w:szCs w:val="18"/>
                <w:lang w:eastAsia="en-AU"/>
              </w:rPr>
              <w:t>21</w:t>
            </w:r>
            <w:r w:rsidRPr="00B962DB">
              <w:rPr>
                <w:rFonts w:ascii="Arial" w:hAnsi="Arial" w:cs="Arial"/>
                <w:b/>
                <w:bCs/>
                <w:color w:val="FFFFFF"/>
                <w:sz w:val="18"/>
                <w:szCs w:val="18"/>
                <w:lang w:eastAsia="en-AU"/>
              </w:rPr>
              <w:t>-2</w:t>
            </w:r>
            <w:r>
              <w:rPr>
                <w:rFonts w:ascii="Arial" w:hAnsi="Arial" w:cs="Arial"/>
                <w:b/>
                <w:bCs/>
                <w:color w:val="FFFFFF"/>
                <w:sz w:val="18"/>
                <w:szCs w:val="18"/>
                <w:lang w:eastAsia="en-AU"/>
              </w:rPr>
              <w:t>2</w:t>
            </w:r>
          </w:p>
        </w:tc>
      </w:tr>
      <w:tr w:rsidR="00CD50A3" w:rsidRPr="00B962DB" w14:paraId="1580E153" w14:textId="77777777" w:rsidTr="00CD50A3">
        <w:trPr>
          <w:trHeight w:val="283"/>
        </w:trPr>
        <w:tc>
          <w:tcPr>
            <w:tcW w:w="6537" w:type="dxa"/>
            <w:vMerge/>
            <w:shd w:val="clear" w:color="auto" w:fill="008EBA"/>
            <w:vAlign w:val="center"/>
            <w:hideMark/>
          </w:tcPr>
          <w:p w14:paraId="79BF6FB7" w14:textId="77777777" w:rsidR="00CD50A3" w:rsidRPr="00B962DB" w:rsidRDefault="00CD50A3" w:rsidP="00260F3A">
            <w:pPr>
              <w:rPr>
                <w:rFonts w:ascii="Arial" w:hAnsi="Arial" w:cs="Arial"/>
                <w:b/>
                <w:bCs/>
                <w:color w:val="FFFFFF"/>
                <w:sz w:val="18"/>
                <w:szCs w:val="18"/>
                <w:lang w:eastAsia="en-AU"/>
              </w:rPr>
            </w:pPr>
          </w:p>
        </w:tc>
        <w:tc>
          <w:tcPr>
            <w:tcW w:w="737" w:type="dxa"/>
            <w:vMerge/>
            <w:shd w:val="clear" w:color="auto" w:fill="008EBA"/>
            <w:vAlign w:val="center"/>
            <w:hideMark/>
          </w:tcPr>
          <w:p w14:paraId="402DB81E" w14:textId="77777777" w:rsidR="00CD50A3" w:rsidRPr="00B962DB" w:rsidRDefault="00CD50A3" w:rsidP="00260F3A">
            <w:pPr>
              <w:rPr>
                <w:rFonts w:ascii="Arial" w:hAnsi="Arial" w:cs="Arial"/>
                <w:b/>
                <w:bCs/>
                <w:color w:val="FFFFFF"/>
                <w:sz w:val="18"/>
                <w:szCs w:val="18"/>
                <w:lang w:eastAsia="en-AU"/>
              </w:rPr>
            </w:pPr>
          </w:p>
        </w:tc>
        <w:tc>
          <w:tcPr>
            <w:tcW w:w="1191" w:type="dxa"/>
            <w:tcBorders>
              <w:top w:val="nil"/>
              <w:left w:val="nil"/>
              <w:bottom w:val="nil"/>
              <w:right w:val="nil"/>
            </w:tcBorders>
            <w:shd w:val="clear" w:color="auto" w:fill="008EBA"/>
            <w:noWrap/>
            <w:hideMark/>
          </w:tcPr>
          <w:p w14:paraId="34FD1B75" w14:textId="77777777" w:rsidR="00CD50A3" w:rsidRPr="00B962DB" w:rsidRDefault="00CD50A3" w:rsidP="00260F3A">
            <w:pPr>
              <w:jc w:val="center"/>
              <w:rPr>
                <w:rFonts w:ascii="Arial" w:hAnsi="Arial" w:cs="Arial"/>
                <w:b/>
                <w:bCs/>
                <w:color w:val="FFFFFF"/>
                <w:sz w:val="18"/>
                <w:szCs w:val="18"/>
                <w:lang w:eastAsia="en-AU"/>
              </w:rPr>
            </w:pPr>
            <w:r w:rsidRPr="00B962DB">
              <w:rPr>
                <w:rFonts w:ascii="Arial" w:hAnsi="Arial" w:cs="Arial"/>
                <w:b/>
                <w:bCs/>
                <w:color w:val="FFFFFF"/>
                <w:sz w:val="18"/>
                <w:szCs w:val="18"/>
                <w:lang w:eastAsia="en-AU"/>
              </w:rPr>
              <w:t>Actual</w:t>
            </w:r>
          </w:p>
        </w:tc>
        <w:tc>
          <w:tcPr>
            <w:tcW w:w="1191" w:type="dxa"/>
            <w:tcBorders>
              <w:top w:val="nil"/>
              <w:left w:val="nil"/>
              <w:bottom w:val="nil"/>
              <w:right w:val="nil"/>
            </w:tcBorders>
            <w:shd w:val="clear" w:color="auto" w:fill="008EBA"/>
            <w:noWrap/>
            <w:hideMark/>
          </w:tcPr>
          <w:p w14:paraId="6D13390F" w14:textId="77777777" w:rsidR="00CD50A3" w:rsidRPr="00B962DB" w:rsidRDefault="00CD50A3" w:rsidP="00260F3A">
            <w:pPr>
              <w:jc w:val="center"/>
              <w:rPr>
                <w:rFonts w:ascii="Arial" w:hAnsi="Arial" w:cs="Arial"/>
                <w:b/>
                <w:bCs/>
                <w:color w:val="FFFFFF"/>
                <w:sz w:val="18"/>
                <w:szCs w:val="18"/>
                <w:lang w:eastAsia="en-AU"/>
              </w:rPr>
            </w:pPr>
            <w:r w:rsidRPr="00B962DB">
              <w:rPr>
                <w:rFonts w:ascii="Arial" w:hAnsi="Arial" w:cs="Arial"/>
                <w:b/>
                <w:bCs/>
                <w:color w:val="FFFFFF"/>
                <w:sz w:val="18"/>
                <w:szCs w:val="18"/>
                <w:lang w:eastAsia="en-AU"/>
              </w:rPr>
              <w:t>Forecast</w:t>
            </w:r>
          </w:p>
        </w:tc>
      </w:tr>
      <w:tr w:rsidR="00CD50A3" w:rsidRPr="00AF03E0" w14:paraId="397C811E" w14:textId="77777777" w:rsidTr="00CD50A3">
        <w:trPr>
          <w:trHeight w:val="227"/>
        </w:trPr>
        <w:tc>
          <w:tcPr>
            <w:tcW w:w="6537" w:type="dxa"/>
            <w:tcBorders>
              <w:top w:val="nil"/>
              <w:left w:val="nil"/>
              <w:bottom w:val="nil"/>
              <w:right w:val="nil"/>
            </w:tcBorders>
            <w:shd w:val="clear" w:color="auto" w:fill="auto"/>
            <w:vAlign w:val="bottom"/>
          </w:tcPr>
          <w:p w14:paraId="0C50DDC9" w14:textId="22F13B01" w:rsidR="00CD50A3" w:rsidRPr="00AF03E0" w:rsidRDefault="00CD50A3" w:rsidP="00CD50A3">
            <w:pPr>
              <w:rPr>
                <w:rFonts w:ascii="Arial" w:hAnsi="Arial" w:cs="Arial"/>
                <w:color w:val="000000"/>
                <w:sz w:val="16"/>
                <w:szCs w:val="16"/>
                <w:lang w:eastAsia="en-AU"/>
              </w:rPr>
            </w:pPr>
            <w:r w:rsidRPr="00AF03E0">
              <w:rPr>
                <w:rFonts w:ascii="Arial" w:hAnsi="Arial" w:cs="Arial"/>
                <w:color w:val="000000"/>
                <w:sz w:val="16"/>
                <w:szCs w:val="16"/>
                <w:lang w:eastAsia="en-AU"/>
              </w:rPr>
              <w:t xml:space="preserve">No material adverse findings in Audit Office Reports to Parliament </w:t>
            </w:r>
          </w:p>
        </w:tc>
        <w:tc>
          <w:tcPr>
            <w:tcW w:w="737" w:type="dxa"/>
            <w:tcBorders>
              <w:top w:val="nil"/>
              <w:left w:val="nil"/>
              <w:bottom w:val="nil"/>
              <w:right w:val="nil"/>
            </w:tcBorders>
            <w:shd w:val="clear" w:color="auto" w:fill="auto"/>
            <w:noWrap/>
            <w:vAlign w:val="bottom"/>
          </w:tcPr>
          <w:p w14:paraId="15591714" w14:textId="63619816" w:rsidR="00CD50A3" w:rsidRPr="00AF03E0" w:rsidRDefault="00CD50A3" w:rsidP="00165B97">
            <w:pPr>
              <w:ind w:left="47" w:right="-349"/>
              <w:rPr>
                <w:rFonts w:ascii="Arial" w:hAnsi="Arial" w:cs="Arial"/>
                <w:color w:val="000000"/>
                <w:sz w:val="16"/>
                <w:szCs w:val="16"/>
                <w:lang w:eastAsia="en-AU"/>
              </w:rPr>
            </w:pPr>
            <w:r w:rsidRPr="00AF03E0">
              <w:rPr>
                <w:rFonts w:ascii="Arial" w:hAnsi="Arial" w:cs="Arial"/>
                <w:color w:val="000000"/>
                <w:sz w:val="16"/>
                <w:szCs w:val="16"/>
                <w:lang w:eastAsia="en-AU"/>
              </w:rPr>
              <w:t>no.</w:t>
            </w:r>
          </w:p>
        </w:tc>
        <w:tc>
          <w:tcPr>
            <w:tcW w:w="1191" w:type="dxa"/>
            <w:tcBorders>
              <w:top w:val="nil"/>
              <w:left w:val="nil"/>
              <w:bottom w:val="nil"/>
              <w:right w:val="nil"/>
            </w:tcBorders>
            <w:shd w:val="clear" w:color="auto" w:fill="auto"/>
            <w:noWrap/>
            <w:vAlign w:val="bottom"/>
          </w:tcPr>
          <w:p w14:paraId="15D71071" w14:textId="5EA1B0A2" w:rsidR="00CD50A3" w:rsidRPr="00AF03E0" w:rsidRDefault="00CD50A3" w:rsidP="00561F24">
            <w:pPr>
              <w:ind w:right="136"/>
              <w:jc w:val="right"/>
              <w:rPr>
                <w:rFonts w:ascii="Arial" w:hAnsi="Arial" w:cs="Arial"/>
                <w:sz w:val="16"/>
                <w:szCs w:val="16"/>
                <w:lang w:eastAsia="en-AU"/>
              </w:rPr>
            </w:pPr>
            <w:r w:rsidRPr="00AF03E0">
              <w:rPr>
                <w:rFonts w:ascii="Arial" w:hAnsi="Arial" w:cs="Arial"/>
                <w:color w:val="000000" w:themeColor="text1"/>
                <w:sz w:val="16"/>
                <w:szCs w:val="16"/>
                <w:lang w:eastAsia="en-AU"/>
              </w:rPr>
              <w:t xml:space="preserve"> </w:t>
            </w:r>
            <w:r w:rsidR="00DE423F">
              <w:rPr>
                <w:rFonts w:ascii="Arial" w:hAnsi="Arial" w:cs="Arial"/>
                <w:color w:val="000000" w:themeColor="text1"/>
                <w:sz w:val="16"/>
                <w:szCs w:val="16"/>
                <w:lang w:eastAsia="en-AU"/>
              </w:rPr>
              <w:t>0</w:t>
            </w:r>
            <w:r w:rsidRPr="00AF03E0">
              <w:rPr>
                <w:rFonts w:ascii="Arial" w:hAnsi="Arial" w:cs="Arial"/>
                <w:color w:val="000000" w:themeColor="text1"/>
                <w:sz w:val="16"/>
                <w:szCs w:val="16"/>
                <w:vertAlign w:val="superscript"/>
                <w:lang w:eastAsia="en-AU"/>
              </w:rPr>
              <w:t>(a)</w:t>
            </w:r>
          </w:p>
        </w:tc>
        <w:tc>
          <w:tcPr>
            <w:tcW w:w="1191" w:type="dxa"/>
            <w:tcBorders>
              <w:top w:val="nil"/>
              <w:left w:val="nil"/>
              <w:bottom w:val="nil"/>
              <w:right w:val="nil"/>
            </w:tcBorders>
            <w:shd w:val="clear" w:color="auto" w:fill="auto"/>
            <w:noWrap/>
            <w:vAlign w:val="bottom"/>
          </w:tcPr>
          <w:p w14:paraId="769E7F09" w14:textId="369BDB7F" w:rsidR="00CD50A3" w:rsidRPr="00AF03E0" w:rsidRDefault="00CD50A3" w:rsidP="00641CED">
            <w:pPr>
              <w:ind w:left="-212" w:right="271"/>
              <w:jc w:val="right"/>
              <w:rPr>
                <w:rFonts w:ascii="Arial" w:hAnsi="Arial" w:cs="Arial"/>
                <w:sz w:val="16"/>
                <w:szCs w:val="16"/>
                <w:lang w:eastAsia="en-AU"/>
              </w:rPr>
            </w:pPr>
            <w:r w:rsidRPr="00AF03E0">
              <w:rPr>
                <w:rFonts w:ascii="Arial" w:hAnsi="Arial" w:cs="Arial"/>
                <w:color w:val="000000"/>
                <w:sz w:val="16"/>
                <w:szCs w:val="16"/>
                <w:lang w:eastAsia="en-AU"/>
              </w:rPr>
              <w:t>0</w:t>
            </w:r>
          </w:p>
        </w:tc>
      </w:tr>
      <w:tr w:rsidR="00CD50A3" w:rsidRPr="00AF03E0" w14:paraId="63A71897" w14:textId="77777777" w:rsidTr="00CD50A3">
        <w:trPr>
          <w:trHeight w:val="227"/>
        </w:trPr>
        <w:tc>
          <w:tcPr>
            <w:tcW w:w="6537" w:type="dxa"/>
            <w:tcBorders>
              <w:top w:val="nil"/>
              <w:left w:val="nil"/>
              <w:bottom w:val="nil"/>
              <w:right w:val="nil"/>
            </w:tcBorders>
            <w:shd w:val="clear" w:color="auto" w:fill="auto"/>
            <w:vAlign w:val="bottom"/>
          </w:tcPr>
          <w:p w14:paraId="787237AF" w14:textId="14405FE5" w:rsidR="00CD50A3" w:rsidRPr="00AF03E0" w:rsidRDefault="00CD50A3" w:rsidP="00CD50A3">
            <w:pPr>
              <w:spacing w:line="259" w:lineRule="auto"/>
              <w:rPr>
                <w:rFonts w:ascii="Arial" w:hAnsi="Arial" w:cs="Arial"/>
                <w:color w:val="000000" w:themeColor="text1"/>
                <w:sz w:val="16"/>
                <w:szCs w:val="16"/>
                <w:lang w:eastAsia="en-AU"/>
              </w:rPr>
            </w:pPr>
            <w:r w:rsidRPr="00AF03E0">
              <w:rPr>
                <w:rFonts w:ascii="Arial" w:hAnsi="Arial" w:cs="Arial"/>
                <w:color w:val="000000"/>
                <w:sz w:val="16"/>
                <w:szCs w:val="16"/>
                <w:lang w:eastAsia="en-AU"/>
              </w:rPr>
              <w:t xml:space="preserve">A voice of the customer survey of the support provided by Treasury and the effectiveness of Treasury performance and financial management stewardship </w:t>
            </w:r>
          </w:p>
        </w:tc>
        <w:tc>
          <w:tcPr>
            <w:tcW w:w="737" w:type="dxa"/>
            <w:tcBorders>
              <w:top w:val="nil"/>
              <w:left w:val="nil"/>
              <w:bottom w:val="nil"/>
              <w:right w:val="nil"/>
            </w:tcBorders>
            <w:shd w:val="clear" w:color="auto" w:fill="auto"/>
            <w:noWrap/>
            <w:vAlign w:val="bottom"/>
          </w:tcPr>
          <w:p w14:paraId="50CF21F8" w14:textId="04AB95FB" w:rsidR="00CD50A3" w:rsidRPr="00AF03E0" w:rsidRDefault="00CD50A3" w:rsidP="00165B97">
            <w:pPr>
              <w:spacing w:line="259" w:lineRule="auto"/>
              <w:ind w:left="47" w:right="-349"/>
              <w:rPr>
                <w:rFonts w:ascii="Arial" w:hAnsi="Arial" w:cs="Arial"/>
                <w:color w:val="000000" w:themeColor="text1"/>
                <w:sz w:val="16"/>
                <w:szCs w:val="16"/>
                <w:lang w:eastAsia="en-AU"/>
              </w:rPr>
            </w:pPr>
            <w:r>
              <w:rPr>
                <w:rFonts w:ascii="Arial" w:hAnsi="Arial" w:cs="Arial"/>
                <w:color w:val="000000"/>
                <w:sz w:val="16"/>
                <w:szCs w:val="16"/>
                <w:lang w:eastAsia="en-AU"/>
              </w:rPr>
              <w:t>n</w:t>
            </w:r>
            <w:r w:rsidRPr="00AF03E0">
              <w:rPr>
                <w:rFonts w:ascii="Arial" w:hAnsi="Arial" w:cs="Arial"/>
                <w:color w:val="000000"/>
                <w:sz w:val="16"/>
                <w:szCs w:val="16"/>
                <w:lang w:eastAsia="en-AU"/>
              </w:rPr>
              <w:t>o</w:t>
            </w:r>
            <w:r>
              <w:rPr>
                <w:rFonts w:ascii="Arial" w:hAnsi="Arial" w:cs="Arial"/>
                <w:color w:val="000000"/>
                <w:sz w:val="16"/>
                <w:szCs w:val="16"/>
                <w:lang w:eastAsia="en-AU"/>
              </w:rPr>
              <w:t>.</w:t>
            </w:r>
            <w:r w:rsidRPr="00AF03E0">
              <w:rPr>
                <w:rFonts w:ascii="Arial" w:hAnsi="Arial" w:cs="Arial"/>
                <w:color w:val="000000" w:themeColor="text1"/>
                <w:sz w:val="16"/>
                <w:szCs w:val="16"/>
                <w:vertAlign w:val="superscript"/>
                <w:lang w:eastAsia="en-AU"/>
              </w:rPr>
              <w:t>(b)</w:t>
            </w:r>
          </w:p>
        </w:tc>
        <w:tc>
          <w:tcPr>
            <w:tcW w:w="1191" w:type="dxa"/>
            <w:tcBorders>
              <w:top w:val="nil"/>
              <w:left w:val="nil"/>
              <w:bottom w:val="nil"/>
              <w:right w:val="nil"/>
            </w:tcBorders>
            <w:shd w:val="clear" w:color="auto" w:fill="auto"/>
            <w:noWrap/>
            <w:vAlign w:val="bottom"/>
          </w:tcPr>
          <w:p w14:paraId="3557086D" w14:textId="45A58417" w:rsidR="00CD50A3" w:rsidRPr="00AF03E0" w:rsidRDefault="00CD50A3" w:rsidP="00822FFA">
            <w:pPr>
              <w:spacing w:line="259" w:lineRule="auto"/>
              <w:ind w:left="-294" w:right="267"/>
              <w:jc w:val="right"/>
              <w:rPr>
                <w:rFonts w:ascii="Arial" w:hAnsi="Arial" w:cs="Arial"/>
                <w:color w:val="000000" w:themeColor="text1"/>
                <w:sz w:val="16"/>
                <w:szCs w:val="16"/>
                <w:lang w:eastAsia="en-AU"/>
              </w:rPr>
            </w:pPr>
            <w:r w:rsidRPr="00AF03E0">
              <w:rPr>
                <w:rFonts w:ascii="Arial" w:hAnsi="Arial" w:cs="Arial"/>
                <w:color w:val="000000"/>
                <w:sz w:val="16"/>
                <w:szCs w:val="16"/>
                <w:lang w:eastAsia="en-AU"/>
              </w:rPr>
              <w:t>3.9</w:t>
            </w:r>
          </w:p>
        </w:tc>
        <w:tc>
          <w:tcPr>
            <w:tcW w:w="1191" w:type="dxa"/>
            <w:tcBorders>
              <w:top w:val="nil"/>
              <w:left w:val="nil"/>
              <w:bottom w:val="nil"/>
              <w:right w:val="nil"/>
            </w:tcBorders>
            <w:shd w:val="clear" w:color="auto" w:fill="auto"/>
            <w:noWrap/>
            <w:vAlign w:val="bottom"/>
          </w:tcPr>
          <w:p w14:paraId="66EB1590" w14:textId="79C95240" w:rsidR="00CD50A3" w:rsidRPr="00AF03E0" w:rsidRDefault="00CD50A3" w:rsidP="00641CED">
            <w:pPr>
              <w:spacing w:line="259" w:lineRule="auto"/>
              <w:ind w:right="54"/>
              <w:jc w:val="right"/>
              <w:rPr>
                <w:rFonts w:ascii="Arial" w:hAnsi="Arial" w:cs="Arial"/>
                <w:color w:val="000000" w:themeColor="text1"/>
                <w:sz w:val="16"/>
                <w:szCs w:val="16"/>
                <w:lang w:eastAsia="en-AU"/>
              </w:rPr>
            </w:pPr>
            <w:r w:rsidRPr="00AF03E0">
              <w:rPr>
                <w:rFonts w:ascii="Arial" w:hAnsi="Arial" w:cs="Arial"/>
                <w:color w:val="000000"/>
                <w:sz w:val="16"/>
                <w:szCs w:val="16"/>
                <w:lang w:eastAsia="en-AU"/>
              </w:rPr>
              <w:t>3.9+</w:t>
            </w:r>
            <w:r w:rsidRPr="00AF03E0">
              <w:rPr>
                <w:rFonts w:ascii="Arial" w:hAnsi="Arial" w:cs="Arial"/>
                <w:color w:val="000000" w:themeColor="text1"/>
                <w:sz w:val="16"/>
                <w:szCs w:val="16"/>
                <w:vertAlign w:val="superscript"/>
                <w:lang w:eastAsia="en-AU"/>
              </w:rPr>
              <w:t xml:space="preserve"> (c)</w:t>
            </w:r>
          </w:p>
        </w:tc>
      </w:tr>
      <w:tr w:rsidR="00CD50A3" w:rsidRPr="00AF03E0" w14:paraId="23FC8E53" w14:textId="77777777" w:rsidTr="00CD50A3">
        <w:trPr>
          <w:trHeight w:val="227"/>
        </w:trPr>
        <w:tc>
          <w:tcPr>
            <w:tcW w:w="6537" w:type="dxa"/>
            <w:tcBorders>
              <w:top w:val="nil"/>
              <w:left w:val="nil"/>
              <w:bottom w:val="nil"/>
              <w:right w:val="nil"/>
            </w:tcBorders>
            <w:shd w:val="clear" w:color="auto" w:fill="auto"/>
            <w:vAlign w:val="bottom"/>
          </w:tcPr>
          <w:p w14:paraId="1C674C8C" w14:textId="3B6550AB" w:rsidR="00CD50A3" w:rsidRPr="00AF03E0" w:rsidRDefault="00CD50A3" w:rsidP="00CD50A3">
            <w:pPr>
              <w:rPr>
                <w:rFonts w:ascii="Arial" w:hAnsi="Arial" w:cs="Arial"/>
                <w:color w:val="000000"/>
                <w:sz w:val="16"/>
                <w:szCs w:val="16"/>
                <w:lang w:eastAsia="en-AU"/>
              </w:rPr>
            </w:pPr>
            <w:r w:rsidRPr="00AF03E0">
              <w:rPr>
                <w:rFonts w:ascii="Arial" w:hAnsi="Arial" w:cs="Arial"/>
                <w:color w:val="000000"/>
                <w:sz w:val="16"/>
                <w:szCs w:val="16"/>
                <w:lang w:eastAsia="en-AU"/>
              </w:rPr>
              <w:t xml:space="preserve">Provision of effective tools and frameworks (including technology) to enable the sector to strengthen their performance and financial management, and promote efficient, </w:t>
            </w:r>
            <w:proofErr w:type="gramStart"/>
            <w:r w:rsidRPr="00AF03E0">
              <w:rPr>
                <w:rFonts w:ascii="Arial" w:hAnsi="Arial" w:cs="Arial"/>
                <w:color w:val="000000"/>
                <w:sz w:val="16"/>
                <w:szCs w:val="16"/>
                <w:lang w:eastAsia="en-AU"/>
              </w:rPr>
              <w:t>effective</w:t>
            </w:r>
            <w:proofErr w:type="gramEnd"/>
            <w:r w:rsidRPr="00AF03E0">
              <w:rPr>
                <w:rFonts w:ascii="Arial" w:hAnsi="Arial" w:cs="Arial"/>
                <w:color w:val="000000"/>
                <w:sz w:val="16"/>
                <w:szCs w:val="16"/>
                <w:lang w:eastAsia="en-AU"/>
              </w:rPr>
              <w:t xml:space="preserve"> and economical use of government resource </w:t>
            </w:r>
          </w:p>
        </w:tc>
        <w:tc>
          <w:tcPr>
            <w:tcW w:w="737" w:type="dxa"/>
            <w:tcBorders>
              <w:top w:val="nil"/>
              <w:left w:val="nil"/>
              <w:bottom w:val="nil"/>
              <w:right w:val="nil"/>
            </w:tcBorders>
            <w:shd w:val="clear" w:color="auto" w:fill="auto"/>
            <w:noWrap/>
            <w:vAlign w:val="bottom"/>
          </w:tcPr>
          <w:p w14:paraId="41F05BB8" w14:textId="38D48DDB" w:rsidR="00CD50A3" w:rsidRPr="00AF03E0" w:rsidRDefault="00CD50A3" w:rsidP="00165B97">
            <w:pPr>
              <w:ind w:left="47" w:right="-349"/>
              <w:rPr>
                <w:rFonts w:ascii="Arial" w:hAnsi="Arial" w:cs="Arial"/>
                <w:color w:val="000000"/>
                <w:sz w:val="16"/>
                <w:szCs w:val="16"/>
                <w:lang w:eastAsia="en-AU"/>
              </w:rPr>
            </w:pPr>
            <w:r w:rsidRPr="00AF03E0">
              <w:rPr>
                <w:rFonts w:ascii="Arial" w:hAnsi="Arial" w:cs="Arial"/>
                <w:color w:val="000000"/>
                <w:sz w:val="16"/>
                <w:szCs w:val="16"/>
                <w:lang w:eastAsia="en-AU"/>
              </w:rPr>
              <w:t>no.</w:t>
            </w:r>
            <w:r w:rsidRPr="00AF03E0">
              <w:rPr>
                <w:rFonts w:ascii="Arial" w:hAnsi="Arial" w:cs="Arial"/>
                <w:color w:val="000000" w:themeColor="text1"/>
                <w:sz w:val="16"/>
                <w:szCs w:val="16"/>
                <w:vertAlign w:val="superscript"/>
                <w:lang w:eastAsia="en-AU"/>
              </w:rPr>
              <w:t>(b)</w:t>
            </w:r>
          </w:p>
        </w:tc>
        <w:tc>
          <w:tcPr>
            <w:tcW w:w="1191" w:type="dxa"/>
            <w:tcBorders>
              <w:top w:val="nil"/>
              <w:left w:val="nil"/>
              <w:bottom w:val="nil"/>
              <w:right w:val="nil"/>
            </w:tcBorders>
            <w:shd w:val="clear" w:color="auto" w:fill="auto"/>
            <w:noWrap/>
            <w:vAlign w:val="bottom"/>
          </w:tcPr>
          <w:p w14:paraId="3CFB78E9" w14:textId="4D52ED50" w:rsidR="00CD50A3" w:rsidRPr="00AF03E0" w:rsidRDefault="00CD50A3" w:rsidP="00822FFA">
            <w:pPr>
              <w:ind w:left="-294" w:right="267"/>
              <w:jc w:val="right"/>
              <w:rPr>
                <w:rFonts w:ascii="Arial" w:hAnsi="Arial" w:cs="Arial"/>
                <w:color w:val="000000"/>
                <w:sz w:val="16"/>
                <w:szCs w:val="16"/>
                <w:lang w:eastAsia="en-AU"/>
              </w:rPr>
            </w:pPr>
            <w:r w:rsidRPr="00AF03E0">
              <w:rPr>
                <w:rFonts w:ascii="Arial" w:hAnsi="Arial" w:cs="Arial"/>
                <w:color w:val="000000"/>
                <w:sz w:val="16"/>
                <w:szCs w:val="16"/>
                <w:lang w:eastAsia="en-AU"/>
              </w:rPr>
              <w:t>3.3</w:t>
            </w:r>
          </w:p>
        </w:tc>
        <w:tc>
          <w:tcPr>
            <w:tcW w:w="1191" w:type="dxa"/>
            <w:tcBorders>
              <w:top w:val="nil"/>
              <w:left w:val="nil"/>
              <w:bottom w:val="nil"/>
              <w:right w:val="nil"/>
            </w:tcBorders>
            <w:shd w:val="clear" w:color="auto" w:fill="auto"/>
            <w:noWrap/>
            <w:vAlign w:val="bottom"/>
          </w:tcPr>
          <w:p w14:paraId="165A5F09" w14:textId="0166FF57" w:rsidR="00CD50A3" w:rsidRPr="00AF03E0" w:rsidRDefault="00CD50A3" w:rsidP="00641CED">
            <w:pPr>
              <w:ind w:right="54"/>
              <w:jc w:val="right"/>
              <w:rPr>
                <w:rFonts w:ascii="Arial" w:hAnsi="Arial" w:cs="Arial"/>
                <w:color w:val="000000"/>
                <w:sz w:val="16"/>
                <w:szCs w:val="16"/>
                <w:lang w:eastAsia="en-AU"/>
              </w:rPr>
            </w:pPr>
            <w:r w:rsidRPr="00AF03E0">
              <w:rPr>
                <w:rFonts w:ascii="Arial" w:hAnsi="Arial" w:cs="Arial"/>
                <w:color w:val="000000"/>
                <w:sz w:val="16"/>
                <w:szCs w:val="16"/>
                <w:lang w:eastAsia="en-AU"/>
              </w:rPr>
              <w:t>3.3+</w:t>
            </w:r>
            <w:r w:rsidRPr="00AF03E0">
              <w:rPr>
                <w:rFonts w:ascii="Arial" w:hAnsi="Arial" w:cs="Arial"/>
                <w:color w:val="000000" w:themeColor="text1"/>
                <w:sz w:val="16"/>
                <w:szCs w:val="16"/>
                <w:vertAlign w:val="superscript"/>
                <w:lang w:eastAsia="en-AU"/>
              </w:rPr>
              <w:t>(c)</w:t>
            </w:r>
          </w:p>
        </w:tc>
      </w:tr>
    </w:tbl>
    <w:p w14:paraId="1BA7421B" w14:textId="77777777" w:rsidR="0070075C" w:rsidRPr="007335C2" w:rsidRDefault="0070075C" w:rsidP="0070075C">
      <w:pPr>
        <w:rPr>
          <w:rFonts w:ascii="Arial" w:hAnsi="Arial" w:cs="Arial"/>
          <w:sz w:val="6"/>
          <w:szCs w:val="6"/>
        </w:rPr>
      </w:pPr>
    </w:p>
    <w:p w14:paraId="7A9FD155" w14:textId="77777777" w:rsidR="0070075C" w:rsidRPr="009F493E" w:rsidRDefault="0070075C" w:rsidP="0070075C">
      <w:pPr>
        <w:rPr>
          <w:rFonts w:ascii="Arial" w:hAnsi="Arial" w:cs="Arial"/>
          <w:sz w:val="17"/>
          <w:szCs w:val="17"/>
        </w:rPr>
      </w:pPr>
      <w:r w:rsidRPr="009F493E">
        <w:rPr>
          <w:rFonts w:ascii="Arial" w:hAnsi="Arial" w:cs="Arial"/>
          <w:color w:val="000000"/>
          <w:sz w:val="17"/>
          <w:szCs w:val="17"/>
          <w:lang w:eastAsia="en-AU"/>
        </w:rPr>
        <w:t>Notes</w:t>
      </w:r>
    </w:p>
    <w:p w14:paraId="2E46F414" w14:textId="2F3DF84C" w:rsidR="0066174D" w:rsidRPr="007335C2" w:rsidRDefault="0070075C" w:rsidP="0066174D">
      <w:pPr>
        <w:ind w:left="357" w:hanging="357"/>
        <w:rPr>
          <w:rFonts w:ascii="Arial" w:hAnsi="Arial" w:cs="Arial"/>
          <w:color w:val="000000"/>
          <w:sz w:val="17"/>
          <w:szCs w:val="17"/>
          <w:lang w:eastAsia="en-AU"/>
        </w:rPr>
      </w:pPr>
      <w:r w:rsidRPr="007335C2">
        <w:rPr>
          <w:rFonts w:ascii="Arial" w:hAnsi="Arial" w:cs="Arial"/>
          <w:color w:val="000000"/>
          <w:sz w:val="17"/>
          <w:szCs w:val="17"/>
          <w:lang w:eastAsia="en-AU"/>
        </w:rPr>
        <w:t xml:space="preserve">(a) </w:t>
      </w:r>
      <w:r w:rsidRPr="007335C2">
        <w:rPr>
          <w:rFonts w:ascii="Arial" w:hAnsi="Arial" w:cs="Arial"/>
          <w:color w:val="000000"/>
          <w:sz w:val="17"/>
          <w:szCs w:val="17"/>
          <w:lang w:eastAsia="en-AU"/>
        </w:rPr>
        <w:tab/>
      </w:r>
      <w:r w:rsidR="00686B4E">
        <w:rPr>
          <w:rFonts w:ascii="Arial" w:hAnsi="Arial" w:cs="Arial"/>
          <w:color w:val="000000"/>
          <w:sz w:val="17"/>
          <w:szCs w:val="17"/>
          <w:lang w:eastAsia="en-AU"/>
        </w:rPr>
        <w:t xml:space="preserve">An estimate has been provided as </w:t>
      </w:r>
      <w:r w:rsidR="009D3812" w:rsidRPr="007335C2">
        <w:rPr>
          <w:rFonts w:ascii="Arial" w:hAnsi="Arial" w:cs="Arial"/>
          <w:color w:val="000000"/>
          <w:sz w:val="17"/>
          <w:szCs w:val="17"/>
          <w:lang w:eastAsia="en-AU"/>
        </w:rPr>
        <w:t>2020-21 actual data is not yet available and will be known with the publication of the Total State Sector Accounts 2020-2</w:t>
      </w:r>
      <w:r w:rsidR="00835A0A" w:rsidRPr="007335C2">
        <w:rPr>
          <w:rFonts w:ascii="Arial" w:hAnsi="Arial" w:cs="Arial"/>
          <w:color w:val="000000"/>
          <w:sz w:val="17"/>
          <w:szCs w:val="17"/>
          <w:lang w:eastAsia="en-AU"/>
        </w:rPr>
        <w:t>1 after the Budget</w:t>
      </w:r>
      <w:r w:rsidR="00F25F77" w:rsidRPr="007335C2">
        <w:rPr>
          <w:rFonts w:ascii="Arial" w:hAnsi="Arial" w:cs="Arial"/>
          <w:color w:val="000000"/>
          <w:sz w:val="17"/>
          <w:szCs w:val="17"/>
          <w:lang w:eastAsia="en-AU"/>
        </w:rPr>
        <w:t>.</w:t>
      </w:r>
      <w:r w:rsidR="003B78C7">
        <w:rPr>
          <w:rFonts w:ascii="Arial" w:hAnsi="Arial" w:cs="Arial"/>
          <w:color w:val="000000"/>
          <w:sz w:val="17"/>
          <w:szCs w:val="17"/>
          <w:lang w:eastAsia="en-AU"/>
        </w:rPr>
        <w:t xml:space="preserve"> </w:t>
      </w:r>
    </w:p>
    <w:p w14:paraId="30D59D1A" w14:textId="4D3A20A9" w:rsidR="0066174D" w:rsidRPr="007335C2" w:rsidRDefault="0066174D" w:rsidP="0066174D">
      <w:pPr>
        <w:ind w:left="357" w:hanging="357"/>
        <w:rPr>
          <w:rFonts w:ascii="Arial" w:hAnsi="Arial" w:cs="Arial"/>
          <w:color w:val="000000"/>
          <w:sz w:val="17"/>
          <w:szCs w:val="17"/>
          <w:lang w:eastAsia="en-AU"/>
        </w:rPr>
      </w:pPr>
      <w:r w:rsidRPr="007335C2">
        <w:rPr>
          <w:rFonts w:ascii="Arial" w:hAnsi="Arial" w:cs="Arial"/>
          <w:color w:val="000000"/>
          <w:sz w:val="17"/>
          <w:szCs w:val="17"/>
          <w:lang w:eastAsia="en-AU"/>
        </w:rPr>
        <w:t xml:space="preserve">(b) </w:t>
      </w:r>
      <w:r w:rsidR="007335C2">
        <w:rPr>
          <w:rFonts w:ascii="Arial" w:hAnsi="Arial" w:cs="Arial"/>
          <w:color w:val="000000"/>
          <w:sz w:val="17"/>
          <w:szCs w:val="17"/>
          <w:lang w:eastAsia="en-AU"/>
        </w:rPr>
        <w:tab/>
      </w:r>
      <w:r w:rsidR="008B7647" w:rsidRPr="007335C2">
        <w:rPr>
          <w:rFonts w:ascii="Arial" w:hAnsi="Arial" w:cs="Arial"/>
          <w:color w:val="000000"/>
          <w:sz w:val="17"/>
          <w:szCs w:val="17"/>
          <w:lang w:eastAsia="en-AU"/>
        </w:rPr>
        <w:t>Score out of 5</w:t>
      </w:r>
      <w:r w:rsidR="00C93290">
        <w:rPr>
          <w:rFonts w:ascii="Arial" w:hAnsi="Arial" w:cs="Arial"/>
          <w:color w:val="000000"/>
          <w:sz w:val="17"/>
          <w:szCs w:val="17"/>
          <w:lang w:eastAsia="en-AU"/>
        </w:rPr>
        <w:t>.0.</w:t>
      </w:r>
    </w:p>
    <w:p w14:paraId="2AC06731" w14:textId="416D798C" w:rsidR="00006C75" w:rsidRPr="007335C2" w:rsidRDefault="592A931E" w:rsidP="0066174D">
      <w:pPr>
        <w:ind w:left="357" w:hanging="357"/>
        <w:rPr>
          <w:rFonts w:ascii="Arial" w:hAnsi="Arial" w:cs="Arial"/>
          <w:color w:val="000000"/>
          <w:sz w:val="17"/>
          <w:szCs w:val="17"/>
          <w:lang w:eastAsia="en-AU"/>
        </w:rPr>
      </w:pPr>
      <w:r w:rsidRPr="007335C2">
        <w:rPr>
          <w:rFonts w:ascii="Arial" w:hAnsi="Arial" w:cs="Arial"/>
          <w:color w:val="000000" w:themeColor="text1"/>
          <w:sz w:val="17"/>
          <w:szCs w:val="17"/>
          <w:lang w:eastAsia="en-AU"/>
        </w:rPr>
        <w:t xml:space="preserve">(c) </w:t>
      </w:r>
      <w:r w:rsidR="007335C2">
        <w:rPr>
          <w:rFonts w:ascii="Arial" w:hAnsi="Arial" w:cs="Arial"/>
          <w:color w:val="000000" w:themeColor="text1"/>
          <w:sz w:val="17"/>
          <w:szCs w:val="17"/>
          <w:lang w:eastAsia="en-AU"/>
        </w:rPr>
        <w:tab/>
      </w:r>
      <w:r w:rsidR="6B8F5A3A" w:rsidRPr="007335C2">
        <w:rPr>
          <w:rFonts w:ascii="Arial" w:hAnsi="Arial" w:cs="Arial"/>
          <w:color w:val="000000" w:themeColor="text1"/>
          <w:sz w:val="17"/>
          <w:szCs w:val="17"/>
          <w:lang w:eastAsia="en-AU"/>
        </w:rPr>
        <w:t>2021-22 forecast is for improvements in these indicators.</w:t>
      </w:r>
    </w:p>
    <w:sectPr w:rsidR="00006C75" w:rsidRPr="007335C2" w:rsidSect="00491A76">
      <w:headerReference w:type="even" r:id="rId20"/>
      <w:headerReference w:type="default" r:id="rId21"/>
      <w:footerReference w:type="even" r:id="rId22"/>
      <w:footerReference w:type="default" r:id="rId23"/>
      <w:headerReference w:type="first" r:id="rId24"/>
      <w:footerReference w:type="first" r:id="rId25"/>
      <w:pgSz w:w="11907" w:h="16840" w:code="9"/>
      <w:pgMar w:top="1134" w:right="1134" w:bottom="851"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D3DFA" w14:textId="77777777" w:rsidR="003C2963" w:rsidRDefault="003C2963">
      <w:r>
        <w:separator/>
      </w:r>
    </w:p>
    <w:p w14:paraId="374F5ACA" w14:textId="77777777" w:rsidR="003C2963" w:rsidRDefault="003C2963"/>
  </w:endnote>
  <w:endnote w:type="continuationSeparator" w:id="0">
    <w:p w14:paraId="08D16C9E" w14:textId="77777777" w:rsidR="003C2963" w:rsidRDefault="003C2963">
      <w:r>
        <w:continuationSeparator/>
      </w:r>
    </w:p>
    <w:p w14:paraId="6540906F" w14:textId="77777777" w:rsidR="003C2963" w:rsidRDefault="003C2963"/>
  </w:endnote>
  <w:endnote w:type="continuationNotice" w:id="1">
    <w:p w14:paraId="72D86EE5" w14:textId="77777777" w:rsidR="003C2963" w:rsidRDefault="003C2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Bold">
    <w:altName w:val="Tahoma"/>
    <w:panose1 w:val="020B0704020202020204"/>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E4D8D" w14:textId="672D7CBC" w:rsidR="006C7D43" w:rsidRPr="00561BC6" w:rsidRDefault="00561BC6" w:rsidP="00561BC6">
    <w:pPr>
      <w:pStyle w:val="Footer"/>
      <w:pBdr>
        <w:top w:val="single" w:sz="4" w:space="4" w:color="auto"/>
      </w:pBdr>
      <w:tabs>
        <w:tab w:val="clear" w:pos="7655"/>
        <w:tab w:val="right" w:pos="9639"/>
      </w:tabs>
      <w:rPr>
        <w:szCs w:val="18"/>
      </w:rPr>
    </w:pPr>
    <w:r>
      <w:rPr>
        <w:szCs w:val="18"/>
      </w:rPr>
      <w:t>9</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2</w:t>
    </w:r>
    <w:r w:rsidRPr="00D67CF6">
      <w:rPr>
        <w:szCs w:val="18"/>
      </w:rPr>
      <w:fldChar w:fldCharType="end"/>
    </w:r>
    <w:r w:rsidR="002807EA">
      <w:rPr>
        <w:szCs w:val="18"/>
      </w:rPr>
      <w:tab/>
    </w: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9DB30" w14:textId="5C4C44BF" w:rsidR="00561BC6" w:rsidRPr="00561BC6" w:rsidRDefault="00561BC6" w:rsidP="00561BC6">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r>
      <w:rPr>
        <w:rFonts w:cs="Arial"/>
        <w:szCs w:val="18"/>
      </w:rPr>
      <w:tab/>
    </w:r>
    <w:r>
      <w:rPr>
        <w:szCs w:val="18"/>
      </w:rPr>
      <w:t>9</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1</w:t>
    </w:r>
    <w:r w:rsidRPr="00D67CF6">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3F51" w14:textId="0B1DE5F2" w:rsidR="00A71949" w:rsidRDefault="00B9462E" w:rsidP="00E27C10">
    <w:pPr>
      <w:pStyle w:val="Footer"/>
      <w:pBdr>
        <w:top w:val="single" w:sz="4" w:space="4" w:color="auto"/>
      </w:pBdr>
      <w:tabs>
        <w:tab w:val="clear" w:pos="7655"/>
        <w:tab w:val="right" w:pos="9639"/>
      </w:tabs>
      <w:rPr>
        <w:szCs w:val="18"/>
      </w:rPr>
    </w:pPr>
    <w:r>
      <w:rPr>
        <w:szCs w:val="18"/>
      </w:rPr>
      <w:t>Cluster Outcome Statement</w:t>
    </w:r>
    <w:r w:rsidR="00587EF4">
      <w:rPr>
        <w:szCs w:val="18"/>
      </w:rPr>
      <w:t xml:space="preserve"> </w:t>
    </w:r>
    <w:r w:rsidR="00F74499" w:rsidRPr="00B07CC2">
      <w:rPr>
        <w:rFonts w:cs="Arial"/>
        <w:szCs w:val="18"/>
      </w:rPr>
      <w:t>20</w:t>
    </w:r>
    <w:r w:rsidR="00F74499">
      <w:rPr>
        <w:rFonts w:cs="Arial"/>
        <w:szCs w:val="18"/>
      </w:rPr>
      <w:t>21</w:t>
    </w:r>
    <w:r w:rsidR="00F74499" w:rsidRPr="00B07CC2">
      <w:rPr>
        <w:rFonts w:cs="Arial"/>
        <w:szCs w:val="18"/>
      </w:rPr>
      <w:t>-2</w:t>
    </w:r>
    <w:r w:rsidR="00F74499">
      <w:rPr>
        <w:rFonts w:cs="Arial"/>
        <w:szCs w:val="18"/>
      </w:rPr>
      <w:t>2</w:t>
    </w:r>
    <w:r w:rsidR="00561BC6">
      <w:rPr>
        <w:rFonts w:cs="Arial"/>
        <w:szCs w:val="18"/>
      </w:rPr>
      <w:tab/>
    </w:r>
    <w:r w:rsidR="00561BC6">
      <w:rPr>
        <w:szCs w:val="18"/>
      </w:rPr>
      <w:t>9</w:t>
    </w:r>
    <w:r w:rsidR="00561BC6" w:rsidRPr="00D67CF6">
      <w:rPr>
        <w:szCs w:val="18"/>
      </w:rPr>
      <w:t xml:space="preserve"> - </w:t>
    </w:r>
    <w:r w:rsidR="00561BC6" w:rsidRPr="00D67CF6">
      <w:rPr>
        <w:szCs w:val="18"/>
      </w:rPr>
      <w:fldChar w:fldCharType="begin"/>
    </w:r>
    <w:r w:rsidR="00561BC6" w:rsidRPr="00D67CF6">
      <w:rPr>
        <w:szCs w:val="18"/>
      </w:rPr>
      <w:instrText xml:space="preserve"> PAGE  \* MERGEFORMAT </w:instrText>
    </w:r>
    <w:r w:rsidR="00561BC6" w:rsidRPr="00D67CF6">
      <w:rPr>
        <w:szCs w:val="18"/>
      </w:rPr>
      <w:fldChar w:fldCharType="separate"/>
    </w:r>
    <w:r w:rsidR="00561BC6">
      <w:rPr>
        <w:szCs w:val="18"/>
      </w:rPr>
      <w:t>1</w:t>
    </w:r>
    <w:r w:rsidR="00561BC6" w:rsidRPr="00D67CF6">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E0A57" w14:textId="77777777" w:rsidR="003C2963" w:rsidRDefault="003C2963">
      <w:pPr>
        <w:spacing w:before="120"/>
      </w:pPr>
      <w:r>
        <w:separator/>
      </w:r>
    </w:p>
    <w:p w14:paraId="768FAA4E" w14:textId="77777777" w:rsidR="003C2963" w:rsidRDefault="003C2963"/>
  </w:footnote>
  <w:footnote w:type="continuationSeparator" w:id="0">
    <w:p w14:paraId="1B6DDF89" w14:textId="77777777" w:rsidR="003C2963" w:rsidRDefault="003C2963">
      <w:pPr>
        <w:spacing w:before="120"/>
      </w:pPr>
      <w:r>
        <w:continuationSeparator/>
      </w:r>
    </w:p>
    <w:p w14:paraId="61255459" w14:textId="77777777" w:rsidR="003C2963" w:rsidRDefault="003C2963"/>
  </w:footnote>
  <w:footnote w:type="continuationNotice" w:id="1">
    <w:p w14:paraId="5BE53145" w14:textId="77777777" w:rsidR="003C2963" w:rsidRDefault="003C2963">
      <w:pPr>
        <w:rPr>
          <w:sz w:val="16"/>
        </w:rPr>
      </w:pPr>
    </w:p>
    <w:p w14:paraId="02A004CE" w14:textId="77777777" w:rsidR="003C2963" w:rsidRDefault="003C29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A0710" w14:textId="0104B310" w:rsidR="00A71949" w:rsidRPr="002A6409" w:rsidRDefault="002A6409" w:rsidP="00820ECD">
    <w:pPr>
      <w:pStyle w:val="HeaderHeading"/>
      <w:pageBreakBefore w:val="0"/>
      <w:pBdr>
        <w:bottom w:val="single" w:sz="4" w:space="4" w:color="auto"/>
      </w:pBdr>
      <w:rPr>
        <w:rFonts w:ascii="Arial" w:hAnsi="Arial"/>
        <w:sz w:val="18"/>
        <w:szCs w:val="18"/>
      </w:rPr>
    </w:pPr>
    <w:r>
      <w:rPr>
        <w:rFonts w:ascii="Arial" w:hAnsi="Arial"/>
        <w:sz w:val="18"/>
        <w:szCs w:val="18"/>
      </w:rPr>
      <w:t>The Treasury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A5AE9" w14:textId="2C561EF1" w:rsidR="00DA4DD8" w:rsidRPr="002A6409" w:rsidRDefault="00DA4DD8" w:rsidP="00DA4DD8">
    <w:pPr>
      <w:pStyle w:val="HeaderHeading"/>
      <w:pageBreakBefore w:val="0"/>
      <w:pBdr>
        <w:bottom w:val="single" w:sz="4" w:space="4" w:color="auto"/>
      </w:pBdr>
      <w:jc w:val="right"/>
      <w:rPr>
        <w:rFonts w:ascii="Arial" w:hAnsi="Arial"/>
        <w:sz w:val="18"/>
        <w:szCs w:val="18"/>
      </w:rPr>
    </w:pPr>
    <w:r>
      <w:rPr>
        <w:rFonts w:ascii="Arial" w:hAnsi="Arial"/>
        <w:sz w:val="18"/>
        <w:szCs w:val="18"/>
      </w:rPr>
      <w:t>The Treasury</w:t>
    </w:r>
  </w:p>
  <w:p w14:paraId="13F1E5E5" w14:textId="0B3B0F4A" w:rsidR="00A71949" w:rsidRDefault="00A71949" w:rsidP="00D961E9">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1FE57" w14:textId="7BAEEE9B" w:rsidR="00A71949" w:rsidRPr="0066174D" w:rsidRDefault="00A71949" w:rsidP="00C56EB5">
    <w:pPr>
      <w:pStyle w:val="HeaderHeading"/>
      <w:pageBreakBefore w:val="0"/>
      <w:pBdr>
        <w:bottom w:val="none" w:sz="0" w:space="0" w:color="auto"/>
      </w:pBdr>
      <w:rPr>
        <w:rFonts w:ascii="Arial" w:hAnsi="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E5882"/>
    <w:multiLevelType w:val="singleLevel"/>
    <w:tmpl w:val="022A7A84"/>
    <w:lvl w:ilvl="0">
      <w:start w:val="1"/>
      <w:numFmt w:val="bullet"/>
      <w:pStyle w:val="Bullet3"/>
      <w:lvlText w:val=""/>
      <w:lvlJc w:val="left"/>
      <w:pPr>
        <w:tabs>
          <w:tab w:val="num" w:pos="1276"/>
        </w:tabs>
        <w:ind w:left="1276" w:hanging="425"/>
      </w:pPr>
      <w:rPr>
        <w:rFonts w:ascii="Symbol" w:hAnsi="Symbol" w:hint="default"/>
        <w:sz w:val="22"/>
      </w:rPr>
    </w:lvl>
  </w:abstractNum>
  <w:abstractNum w:abstractNumId="1" w15:restartNumberingAfterBreak="0">
    <w:nsid w:val="05F64C48"/>
    <w:multiLevelType w:val="hybridMultilevel"/>
    <w:tmpl w:val="2ABAA95C"/>
    <w:lvl w:ilvl="0" w:tplc="CAD6177C">
      <w:numFmt w:val="bullet"/>
      <w:lvlText w:val="•"/>
      <w:lvlJc w:val="left"/>
      <w:pPr>
        <w:ind w:left="1146" w:hanging="360"/>
      </w:pPr>
      <w:rPr>
        <w:rFonts w:ascii="Arial" w:hAnsi="Arial" w:cs="Arial" w:hint="default"/>
        <w:color w:val="auto"/>
        <w:sz w:val="17"/>
        <w:szCs w:val="17"/>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CFA0263"/>
    <w:multiLevelType w:val="hybridMultilevel"/>
    <w:tmpl w:val="A998BEB2"/>
    <w:lvl w:ilvl="0" w:tplc="695A154A">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7E4323"/>
    <w:multiLevelType w:val="hybridMultilevel"/>
    <w:tmpl w:val="1E423DF0"/>
    <w:lvl w:ilvl="0" w:tplc="8302496C">
      <w:start w:val="1"/>
      <w:numFmt w:val="decimal"/>
      <w:pStyle w:val="Table5X"/>
      <w:lvlText w:val="Table 1.%1:"/>
      <w:lvlJc w:val="left"/>
      <w:pPr>
        <w:ind w:left="360" w:hanging="360"/>
      </w:pPr>
      <w:rPr>
        <w:rFonts w:ascii="Arial" w:hAnsi="Arial" w:hint="default"/>
        <w:b w:val="0"/>
        <w:i/>
        <w:caps w:val="0"/>
        <w:color w:val="4F4F4F"/>
        <w:sz w:val="22"/>
        <w:u w:val="none"/>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1A6D7F5B"/>
    <w:multiLevelType w:val="hybridMultilevel"/>
    <w:tmpl w:val="759E9A5A"/>
    <w:lvl w:ilvl="0" w:tplc="8DBCE728">
      <w:numFmt w:val="bullet"/>
      <w:lvlText w:val="-"/>
      <w:lvlJc w:val="left"/>
      <w:pPr>
        <w:ind w:left="420" w:hanging="360"/>
      </w:pPr>
      <w:rPr>
        <w:rFonts w:ascii="Arial" w:eastAsiaTheme="minorEastAsia"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 w15:restartNumberingAfterBreak="0">
    <w:nsid w:val="1D6A3527"/>
    <w:multiLevelType w:val="hybridMultilevel"/>
    <w:tmpl w:val="CF5ECE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03122F6"/>
    <w:multiLevelType w:val="hybridMultilevel"/>
    <w:tmpl w:val="E85A5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AA192D"/>
    <w:multiLevelType w:val="hybridMultilevel"/>
    <w:tmpl w:val="18BC5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363F3D"/>
    <w:multiLevelType w:val="hybridMultilevel"/>
    <w:tmpl w:val="CFC698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780082"/>
    <w:multiLevelType w:val="hybridMultilevel"/>
    <w:tmpl w:val="8BC6C770"/>
    <w:lvl w:ilvl="0" w:tplc="59E41832">
      <w:start w:val="1"/>
      <w:numFmt w:val="bullet"/>
      <w:lvlText w:val="-"/>
      <w:lvlJc w:val="left"/>
      <w:pPr>
        <w:ind w:left="1080" w:hanging="360"/>
      </w:pPr>
      <w:rPr>
        <w:rFonts w:ascii="Times New Roman" w:eastAsia="Times New Roman" w:hAnsi="Times New Roman"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39CE41DA"/>
    <w:multiLevelType w:val="hybridMultilevel"/>
    <w:tmpl w:val="0B18F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ACF531C"/>
    <w:multiLevelType w:val="hybridMultilevel"/>
    <w:tmpl w:val="F1D8829C"/>
    <w:lvl w:ilvl="0" w:tplc="4514A23A">
      <w:start w:val="1"/>
      <w:numFmt w:val="lowerLetter"/>
      <w:lvlText w:val="(%1)"/>
      <w:lvlJc w:val="left"/>
      <w:pPr>
        <w:ind w:left="24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F944FB"/>
    <w:multiLevelType w:val="hybridMultilevel"/>
    <w:tmpl w:val="96863882"/>
    <w:lvl w:ilvl="0" w:tplc="015C738C">
      <w:start w:val="1"/>
      <w:numFmt w:val="bullet"/>
      <w:pStyle w:val="Bullet4"/>
      <w:lvlText w:val=""/>
      <w:lvlJc w:val="left"/>
      <w:pPr>
        <w:tabs>
          <w:tab w:val="num" w:pos="1701"/>
        </w:tabs>
        <w:ind w:left="1701" w:hanging="425"/>
      </w:pPr>
      <w:rPr>
        <w:rFonts w:ascii="Symbol" w:hAnsi="Symbol" w:hint="default"/>
        <w:sz w:val="22"/>
      </w:rPr>
    </w:lvl>
    <w:lvl w:ilvl="1" w:tplc="24067C1A">
      <w:numFmt w:val="decimal"/>
      <w:lvlText w:val=""/>
      <w:lvlJc w:val="left"/>
    </w:lvl>
    <w:lvl w:ilvl="2" w:tplc="8E387E96">
      <w:numFmt w:val="decimal"/>
      <w:lvlText w:val=""/>
      <w:lvlJc w:val="left"/>
    </w:lvl>
    <w:lvl w:ilvl="3" w:tplc="BF70A09E">
      <w:numFmt w:val="decimal"/>
      <w:lvlText w:val=""/>
      <w:lvlJc w:val="left"/>
    </w:lvl>
    <w:lvl w:ilvl="4" w:tplc="48182608">
      <w:numFmt w:val="decimal"/>
      <w:lvlText w:val=""/>
      <w:lvlJc w:val="left"/>
    </w:lvl>
    <w:lvl w:ilvl="5" w:tplc="7EE204E0">
      <w:numFmt w:val="decimal"/>
      <w:lvlText w:val=""/>
      <w:lvlJc w:val="left"/>
    </w:lvl>
    <w:lvl w:ilvl="6" w:tplc="7E4A70D6">
      <w:numFmt w:val="decimal"/>
      <w:lvlText w:val=""/>
      <w:lvlJc w:val="left"/>
    </w:lvl>
    <w:lvl w:ilvl="7" w:tplc="3E0254F8">
      <w:numFmt w:val="decimal"/>
      <w:lvlText w:val=""/>
      <w:lvlJc w:val="left"/>
    </w:lvl>
    <w:lvl w:ilvl="8" w:tplc="43047772">
      <w:numFmt w:val="decimal"/>
      <w:lvlText w:val=""/>
      <w:lvlJc w:val="left"/>
    </w:lvl>
  </w:abstractNum>
  <w:abstractNum w:abstractNumId="14" w15:restartNumberingAfterBreak="0">
    <w:nsid w:val="47901B8D"/>
    <w:multiLevelType w:val="hybridMultilevel"/>
    <w:tmpl w:val="2B001FA2"/>
    <w:lvl w:ilvl="0" w:tplc="08E8FB3E">
      <w:start w:val="1"/>
      <w:numFmt w:val="decimal"/>
      <w:pStyle w:val="Table21"/>
      <w:lvlText w:val="Table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B326F2"/>
    <w:multiLevelType w:val="hybridMultilevel"/>
    <w:tmpl w:val="759EAF3A"/>
    <w:lvl w:ilvl="0" w:tplc="78DE69C2">
      <w:start w:val="1"/>
      <w:numFmt w:val="decimal"/>
      <w:pStyle w:val="21Heading2"/>
      <w:lvlText w:val="2.%1"/>
      <w:lvlJc w:val="left"/>
      <w:pPr>
        <w:ind w:left="720"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045771"/>
    <w:multiLevelType w:val="hybridMultilevel"/>
    <w:tmpl w:val="CADA9D78"/>
    <w:lvl w:ilvl="0" w:tplc="37E0EB26">
      <w:start w:val="1"/>
      <w:numFmt w:val="decimal"/>
      <w:pStyle w:val="TableHeading"/>
      <w:lvlText w:val="Table x.%1:"/>
      <w:lvlJc w:val="left"/>
      <w:pPr>
        <w:tabs>
          <w:tab w:val="num" w:pos="144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52BD70C2"/>
    <w:multiLevelType w:val="hybridMultilevel"/>
    <w:tmpl w:val="577A4FCA"/>
    <w:lvl w:ilvl="0" w:tplc="70805084">
      <w:start w:val="1"/>
      <w:numFmt w:val="bullet"/>
      <w:pStyle w:val="Bullet2"/>
      <w:lvlText w:val="–"/>
      <w:lvlJc w:val="left"/>
      <w:pPr>
        <w:tabs>
          <w:tab w:val="num" w:pos="785"/>
        </w:tabs>
        <w:ind w:left="785" w:hanging="360"/>
      </w:pPr>
      <w:rPr>
        <w:rFonts w:ascii="Lucida Sans" w:hAnsi="Lucida Sans" w:hint="default"/>
        <w:sz w:val="24"/>
      </w:rPr>
    </w:lvl>
    <w:lvl w:ilvl="1" w:tplc="0C090001"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5F25C7"/>
    <w:multiLevelType w:val="hybridMultilevel"/>
    <w:tmpl w:val="6FE2ADD6"/>
    <w:lvl w:ilvl="0" w:tplc="FA3A27F0">
      <w:start w:val="1"/>
      <w:numFmt w:val="decimal"/>
      <w:pStyle w:val="Chart91"/>
      <w:lvlText w:val="Chart 9.%1:"/>
      <w:lvlJc w:val="left"/>
      <w:pPr>
        <w:ind w:left="360" w:hanging="360"/>
      </w:pPr>
      <w:rPr>
        <w:rFonts w:ascii="Arial" w:hAnsi="Arial" w:hint="default"/>
        <w:b w:val="0"/>
        <w:i/>
        <w:caps w:val="0"/>
        <w:color w:val="4F4F4F"/>
        <w:sz w:val="22"/>
        <w:u w:val="none" w:color="4F4F4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B522501"/>
    <w:multiLevelType w:val="hybridMultilevel"/>
    <w:tmpl w:val="59D81572"/>
    <w:lvl w:ilvl="0" w:tplc="1C86C10C">
      <w:numFmt w:val="bullet"/>
      <w:lvlText w:val="•"/>
      <w:lvlJc w:val="left"/>
      <w:pPr>
        <w:ind w:left="360" w:hanging="360"/>
      </w:pPr>
      <w:rPr>
        <w:rFonts w:ascii="Arial" w:hAnsi="Arial" w:cs="Arial" w:hint="default"/>
        <w:color w:val="auto"/>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4E75030"/>
    <w:multiLevelType w:val="hybridMultilevel"/>
    <w:tmpl w:val="C9766652"/>
    <w:lvl w:ilvl="0" w:tplc="3346564A">
      <w:start w:val="1"/>
      <w:numFmt w:val="decimal"/>
      <w:pStyle w:val="Heading2"/>
      <w:lvlText w:val="9.%1"/>
      <w:lvlJc w:val="left"/>
      <w:pPr>
        <w:ind w:left="360" w:hanging="360"/>
      </w:pPr>
      <w:rPr>
        <w:rFonts w:ascii="Arial Bold" w:hAnsi="Arial Bold" w:hint="default"/>
        <w:b/>
        <w:i w:val="0"/>
        <w:caps w:val="0"/>
        <w:color w:val="008EBA"/>
        <w:sz w:val="28"/>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6A572E"/>
    <w:multiLevelType w:val="hybridMultilevel"/>
    <w:tmpl w:val="90686E0E"/>
    <w:lvl w:ilvl="0" w:tplc="26665F76">
      <w:start w:val="1"/>
      <w:numFmt w:val="decimal"/>
      <w:pStyle w:val="Chart5X"/>
      <w:lvlText w:val="Chart 9.%1:"/>
      <w:lvlJc w:val="left"/>
      <w:pPr>
        <w:ind w:left="360" w:hanging="360"/>
      </w:pPr>
      <w:rPr>
        <w:rFonts w:ascii="Arial" w:hAnsi="Arial" w:hint="default"/>
        <w:b w:val="0"/>
        <w:i/>
        <w:caps w:val="0"/>
        <w:color w:val="4F4F4F"/>
        <w:sz w:val="22"/>
        <w:u w:val="none"/>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6B71F0"/>
    <w:multiLevelType w:val="hybridMultilevel"/>
    <w:tmpl w:val="919E0636"/>
    <w:lvl w:ilvl="0" w:tplc="A3FEEC18">
      <w:start w:val="1"/>
      <w:numFmt w:val="decimal"/>
      <w:pStyle w:val="11Heading2"/>
      <w:lvlText w:val="1.%1"/>
      <w:lvlJc w:val="left"/>
      <w:pPr>
        <w:ind w:left="786"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CB1EFF"/>
    <w:multiLevelType w:val="hybridMultilevel"/>
    <w:tmpl w:val="993878E6"/>
    <w:lvl w:ilvl="0" w:tplc="96048AF2">
      <w:start w:val="1"/>
      <w:numFmt w:val="decimal"/>
      <w:pStyle w:val="Chart21"/>
      <w:lvlText w:val="Chart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0955E8"/>
    <w:multiLevelType w:val="hybridMultilevel"/>
    <w:tmpl w:val="DB609AB2"/>
    <w:lvl w:ilvl="0" w:tplc="9E325BCA">
      <w:numFmt w:val="bullet"/>
      <w:lvlText w:val=""/>
      <w:lvlJc w:val="left"/>
      <w:pPr>
        <w:ind w:left="786" w:hanging="360"/>
      </w:pPr>
      <w:rPr>
        <w:rFonts w:ascii="Symbol" w:eastAsia="Calibri" w:hAnsi="Symbol" w:cs="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0">
    <w:nsid w:val="777750E1"/>
    <w:multiLevelType w:val="hybridMultilevel"/>
    <w:tmpl w:val="A0C2E2C4"/>
    <w:lvl w:ilvl="0" w:tplc="3E2CB0B2">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82A3C5F"/>
    <w:multiLevelType w:val="hybridMultilevel"/>
    <w:tmpl w:val="74149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F6235DB"/>
    <w:multiLevelType w:val="hybridMultilevel"/>
    <w:tmpl w:val="D37609FE"/>
    <w:lvl w:ilvl="0" w:tplc="A84269A0">
      <w:start w:val="1"/>
      <w:numFmt w:val="lowerLetter"/>
      <w:lvlText w:val="(%1)"/>
      <w:lvlJc w:val="left"/>
      <w:pPr>
        <w:ind w:left="360" w:hanging="360"/>
      </w:pPr>
      <w:rPr>
        <w:rFonts w:hint="default"/>
        <w:color w:val="auto"/>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7"/>
  </w:num>
  <w:num w:numId="3">
    <w:abstractNumId w:val="0"/>
  </w:num>
  <w:num w:numId="4">
    <w:abstractNumId w:val="13"/>
  </w:num>
  <w:num w:numId="5">
    <w:abstractNumId w:val="21"/>
  </w:num>
  <w:num w:numId="6">
    <w:abstractNumId w:val="3"/>
  </w:num>
  <w:num w:numId="7">
    <w:abstractNumId w:val="4"/>
  </w:num>
  <w:num w:numId="8">
    <w:abstractNumId w:val="16"/>
  </w:num>
  <w:num w:numId="9">
    <w:abstractNumId w:val="15"/>
  </w:num>
  <w:num w:numId="10">
    <w:abstractNumId w:val="19"/>
  </w:num>
  <w:num w:numId="11">
    <w:abstractNumId w:val="23"/>
  </w:num>
  <w:num w:numId="12">
    <w:abstractNumId w:val="14"/>
  </w:num>
  <w:num w:numId="13">
    <w:abstractNumId w:val="25"/>
  </w:num>
  <w:num w:numId="14">
    <w:abstractNumId w:val="22"/>
  </w:num>
  <w:num w:numId="15">
    <w:abstractNumId w:val="11"/>
  </w:num>
  <w:num w:numId="16">
    <w:abstractNumId w:val="8"/>
  </w:num>
  <w:num w:numId="17">
    <w:abstractNumId w:val="7"/>
  </w:num>
  <w:num w:numId="18">
    <w:abstractNumId w:val="20"/>
    <w:lvlOverride w:ilvl="0">
      <w:startOverride w:val="3"/>
    </w:lvlOverride>
  </w:num>
  <w:num w:numId="19">
    <w:abstractNumId w:val="5"/>
  </w:num>
  <w:num w:numId="20">
    <w:abstractNumId w:val="26"/>
  </w:num>
  <w:num w:numId="21">
    <w:abstractNumId w:val="9"/>
  </w:num>
  <w:num w:numId="22">
    <w:abstractNumId w:val="10"/>
  </w:num>
  <w:num w:numId="23">
    <w:abstractNumId w:val="10"/>
  </w:num>
  <w:num w:numId="24">
    <w:abstractNumId w:val="10"/>
  </w:num>
  <w:num w:numId="25">
    <w:abstractNumId w:val="27"/>
  </w:num>
  <w:num w:numId="26">
    <w:abstractNumId w:val="12"/>
  </w:num>
  <w:num w:numId="27">
    <w:abstractNumId w:val="18"/>
  </w:num>
  <w:num w:numId="28">
    <w:abstractNumId w:val="2"/>
  </w:num>
  <w:num w:numId="29">
    <w:abstractNumId w:val="1"/>
  </w:num>
  <w:num w:numId="30">
    <w:abstractNumId w:val="24"/>
  </w:num>
  <w:num w:numId="3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1N7C0NDMzNTawNDFW0lEKTi0uzszPAykwNawFAFAkicEtAAAA"/>
  </w:docVars>
  <w:rsids>
    <w:rsidRoot w:val="005541CC"/>
    <w:rsid w:val="000009A0"/>
    <w:rsid w:val="00000CC4"/>
    <w:rsid w:val="0000153D"/>
    <w:rsid w:val="0000164F"/>
    <w:rsid w:val="000017E5"/>
    <w:rsid w:val="000017F0"/>
    <w:rsid w:val="00001D87"/>
    <w:rsid w:val="00002256"/>
    <w:rsid w:val="000030F1"/>
    <w:rsid w:val="00003A00"/>
    <w:rsid w:val="00003C83"/>
    <w:rsid w:val="00004385"/>
    <w:rsid w:val="00004BD4"/>
    <w:rsid w:val="000050AC"/>
    <w:rsid w:val="0000557E"/>
    <w:rsid w:val="000055A4"/>
    <w:rsid w:val="0000563D"/>
    <w:rsid w:val="00006107"/>
    <w:rsid w:val="000062D8"/>
    <w:rsid w:val="00006B98"/>
    <w:rsid w:val="00006BD9"/>
    <w:rsid w:val="00006C75"/>
    <w:rsid w:val="00010048"/>
    <w:rsid w:val="000103C4"/>
    <w:rsid w:val="00010B2D"/>
    <w:rsid w:val="00010CB9"/>
    <w:rsid w:val="00010F5D"/>
    <w:rsid w:val="00011030"/>
    <w:rsid w:val="0001176C"/>
    <w:rsid w:val="0001182F"/>
    <w:rsid w:val="00011C2E"/>
    <w:rsid w:val="00011CAE"/>
    <w:rsid w:val="00011DFD"/>
    <w:rsid w:val="000122BE"/>
    <w:rsid w:val="000129DA"/>
    <w:rsid w:val="00012B44"/>
    <w:rsid w:val="00012BB1"/>
    <w:rsid w:val="00013500"/>
    <w:rsid w:val="0001360B"/>
    <w:rsid w:val="00013613"/>
    <w:rsid w:val="0001390D"/>
    <w:rsid w:val="0001407E"/>
    <w:rsid w:val="000150E7"/>
    <w:rsid w:val="00015C88"/>
    <w:rsid w:val="0001716A"/>
    <w:rsid w:val="00017CE5"/>
    <w:rsid w:val="000200E0"/>
    <w:rsid w:val="00020181"/>
    <w:rsid w:val="000204FE"/>
    <w:rsid w:val="00020567"/>
    <w:rsid w:val="00021205"/>
    <w:rsid w:val="00021E35"/>
    <w:rsid w:val="00021EE2"/>
    <w:rsid w:val="00022027"/>
    <w:rsid w:val="00022255"/>
    <w:rsid w:val="000222A9"/>
    <w:rsid w:val="00022724"/>
    <w:rsid w:val="000228E6"/>
    <w:rsid w:val="00022AB7"/>
    <w:rsid w:val="000230DC"/>
    <w:rsid w:val="000239F2"/>
    <w:rsid w:val="00023A22"/>
    <w:rsid w:val="00023C50"/>
    <w:rsid w:val="00023EB3"/>
    <w:rsid w:val="00023FDC"/>
    <w:rsid w:val="000259AF"/>
    <w:rsid w:val="00025CCE"/>
    <w:rsid w:val="00026EA6"/>
    <w:rsid w:val="00027210"/>
    <w:rsid w:val="000275F2"/>
    <w:rsid w:val="00027D94"/>
    <w:rsid w:val="000300E6"/>
    <w:rsid w:val="000301C5"/>
    <w:rsid w:val="0003042F"/>
    <w:rsid w:val="0003095D"/>
    <w:rsid w:val="00030A12"/>
    <w:rsid w:val="00030D3A"/>
    <w:rsid w:val="000310A7"/>
    <w:rsid w:val="000315F4"/>
    <w:rsid w:val="000318E4"/>
    <w:rsid w:val="00031DB0"/>
    <w:rsid w:val="00031F22"/>
    <w:rsid w:val="0003209E"/>
    <w:rsid w:val="0003247F"/>
    <w:rsid w:val="0003286F"/>
    <w:rsid w:val="00032A88"/>
    <w:rsid w:val="00032D68"/>
    <w:rsid w:val="00032E2B"/>
    <w:rsid w:val="00033E38"/>
    <w:rsid w:val="000344F7"/>
    <w:rsid w:val="00034CE3"/>
    <w:rsid w:val="00034E71"/>
    <w:rsid w:val="000351F9"/>
    <w:rsid w:val="00035D0A"/>
    <w:rsid w:val="00036B38"/>
    <w:rsid w:val="000370A3"/>
    <w:rsid w:val="00037A05"/>
    <w:rsid w:val="0004071A"/>
    <w:rsid w:val="000412BC"/>
    <w:rsid w:val="00041304"/>
    <w:rsid w:val="00041374"/>
    <w:rsid w:val="000413F3"/>
    <w:rsid w:val="00041DCF"/>
    <w:rsid w:val="00042055"/>
    <w:rsid w:val="000424F7"/>
    <w:rsid w:val="00042507"/>
    <w:rsid w:val="0004262B"/>
    <w:rsid w:val="00042903"/>
    <w:rsid w:val="000429B5"/>
    <w:rsid w:val="00042BD7"/>
    <w:rsid w:val="00042EC1"/>
    <w:rsid w:val="000434CD"/>
    <w:rsid w:val="000436D6"/>
    <w:rsid w:val="0004389C"/>
    <w:rsid w:val="00043A88"/>
    <w:rsid w:val="000448F2"/>
    <w:rsid w:val="00045719"/>
    <w:rsid w:val="00046271"/>
    <w:rsid w:val="00046769"/>
    <w:rsid w:val="00046A93"/>
    <w:rsid w:val="00046C09"/>
    <w:rsid w:val="00046E9E"/>
    <w:rsid w:val="00047CBC"/>
    <w:rsid w:val="00047CE1"/>
    <w:rsid w:val="00047D16"/>
    <w:rsid w:val="00047DF5"/>
    <w:rsid w:val="00047F49"/>
    <w:rsid w:val="000503CE"/>
    <w:rsid w:val="00050511"/>
    <w:rsid w:val="000506AC"/>
    <w:rsid w:val="0005090E"/>
    <w:rsid w:val="00050C23"/>
    <w:rsid w:val="00050FFA"/>
    <w:rsid w:val="00051133"/>
    <w:rsid w:val="0005170A"/>
    <w:rsid w:val="00051FCC"/>
    <w:rsid w:val="00052403"/>
    <w:rsid w:val="0005266A"/>
    <w:rsid w:val="000536FD"/>
    <w:rsid w:val="000549F3"/>
    <w:rsid w:val="00055237"/>
    <w:rsid w:val="0005529C"/>
    <w:rsid w:val="0005622F"/>
    <w:rsid w:val="00056ACB"/>
    <w:rsid w:val="00056CBE"/>
    <w:rsid w:val="00057170"/>
    <w:rsid w:val="000574DD"/>
    <w:rsid w:val="00057B99"/>
    <w:rsid w:val="00057BE1"/>
    <w:rsid w:val="00060225"/>
    <w:rsid w:val="000604F4"/>
    <w:rsid w:val="000609F0"/>
    <w:rsid w:val="000609F2"/>
    <w:rsid w:val="00060BF4"/>
    <w:rsid w:val="000614DE"/>
    <w:rsid w:val="00061AA3"/>
    <w:rsid w:val="00062221"/>
    <w:rsid w:val="0006267A"/>
    <w:rsid w:val="00062CCB"/>
    <w:rsid w:val="00062DA6"/>
    <w:rsid w:val="00062F5E"/>
    <w:rsid w:val="0006356E"/>
    <w:rsid w:val="00063D75"/>
    <w:rsid w:val="0006478A"/>
    <w:rsid w:val="00065803"/>
    <w:rsid w:val="00065870"/>
    <w:rsid w:val="00065C91"/>
    <w:rsid w:val="000670F4"/>
    <w:rsid w:val="000678FF"/>
    <w:rsid w:val="00067FDD"/>
    <w:rsid w:val="00070515"/>
    <w:rsid w:val="00070D9C"/>
    <w:rsid w:val="00071468"/>
    <w:rsid w:val="000717AB"/>
    <w:rsid w:val="000718FD"/>
    <w:rsid w:val="00071CEF"/>
    <w:rsid w:val="000725E4"/>
    <w:rsid w:val="000728E2"/>
    <w:rsid w:val="00072D11"/>
    <w:rsid w:val="00072E0C"/>
    <w:rsid w:val="00072E34"/>
    <w:rsid w:val="00073243"/>
    <w:rsid w:val="00073557"/>
    <w:rsid w:val="00073F5D"/>
    <w:rsid w:val="000742AD"/>
    <w:rsid w:val="00074CB3"/>
    <w:rsid w:val="00074F5B"/>
    <w:rsid w:val="0007521D"/>
    <w:rsid w:val="00075492"/>
    <w:rsid w:val="000754C4"/>
    <w:rsid w:val="00075D2D"/>
    <w:rsid w:val="00075D94"/>
    <w:rsid w:val="000766BD"/>
    <w:rsid w:val="0007684A"/>
    <w:rsid w:val="000768C4"/>
    <w:rsid w:val="00076C61"/>
    <w:rsid w:val="0008023C"/>
    <w:rsid w:val="000804CB"/>
    <w:rsid w:val="00080597"/>
    <w:rsid w:val="00080650"/>
    <w:rsid w:val="00080936"/>
    <w:rsid w:val="00080E92"/>
    <w:rsid w:val="00081EC4"/>
    <w:rsid w:val="000823CC"/>
    <w:rsid w:val="00082BCE"/>
    <w:rsid w:val="000836AF"/>
    <w:rsid w:val="00083807"/>
    <w:rsid w:val="00083A9C"/>
    <w:rsid w:val="00083B7A"/>
    <w:rsid w:val="00083DC3"/>
    <w:rsid w:val="000841A9"/>
    <w:rsid w:val="000841C3"/>
    <w:rsid w:val="000844A8"/>
    <w:rsid w:val="0008460F"/>
    <w:rsid w:val="000846F6"/>
    <w:rsid w:val="00084BE5"/>
    <w:rsid w:val="00084C66"/>
    <w:rsid w:val="00084F97"/>
    <w:rsid w:val="000852BC"/>
    <w:rsid w:val="0008585A"/>
    <w:rsid w:val="00085C4D"/>
    <w:rsid w:val="00085DC0"/>
    <w:rsid w:val="00085DE5"/>
    <w:rsid w:val="00085F0A"/>
    <w:rsid w:val="00085F24"/>
    <w:rsid w:val="00086F9C"/>
    <w:rsid w:val="000876A6"/>
    <w:rsid w:val="000876FF"/>
    <w:rsid w:val="00087A61"/>
    <w:rsid w:val="00087B24"/>
    <w:rsid w:val="00090223"/>
    <w:rsid w:val="000902B2"/>
    <w:rsid w:val="00090B97"/>
    <w:rsid w:val="0009106A"/>
    <w:rsid w:val="000910E0"/>
    <w:rsid w:val="00091A1E"/>
    <w:rsid w:val="0009277D"/>
    <w:rsid w:val="00093366"/>
    <w:rsid w:val="000935B6"/>
    <w:rsid w:val="000938F3"/>
    <w:rsid w:val="00094172"/>
    <w:rsid w:val="000942C8"/>
    <w:rsid w:val="000944C8"/>
    <w:rsid w:val="0009478D"/>
    <w:rsid w:val="00094E99"/>
    <w:rsid w:val="00094F44"/>
    <w:rsid w:val="000956BD"/>
    <w:rsid w:val="0009586B"/>
    <w:rsid w:val="000958E7"/>
    <w:rsid w:val="000961BC"/>
    <w:rsid w:val="00096747"/>
    <w:rsid w:val="00096C55"/>
    <w:rsid w:val="000971D0"/>
    <w:rsid w:val="000972B9"/>
    <w:rsid w:val="00097AD6"/>
    <w:rsid w:val="00097B2F"/>
    <w:rsid w:val="00097BB5"/>
    <w:rsid w:val="000A019F"/>
    <w:rsid w:val="000A0984"/>
    <w:rsid w:val="000A0FB2"/>
    <w:rsid w:val="000A17C6"/>
    <w:rsid w:val="000A191C"/>
    <w:rsid w:val="000A1B83"/>
    <w:rsid w:val="000A1E6A"/>
    <w:rsid w:val="000A21C1"/>
    <w:rsid w:val="000A25AD"/>
    <w:rsid w:val="000A2C7F"/>
    <w:rsid w:val="000A2D11"/>
    <w:rsid w:val="000A2F22"/>
    <w:rsid w:val="000A35A1"/>
    <w:rsid w:val="000A41DD"/>
    <w:rsid w:val="000A447E"/>
    <w:rsid w:val="000A4799"/>
    <w:rsid w:val="000A49E9"/>
    <w:rsid w:val="000A4D8B"/>
    <w:rsid w:val="000A4DEA"/>
    <w:rsid w:val="000A501B"/>
    <w:rsid w:val="000A53AE"/>
    <w:rsid w:val="000A5695"/>
    <w:rsid w:val="000A56FB"/>
    <w:rsid w:val="000A5DF6"/>
    <w:rsid w:val="000A5FA3"/>
    <w:rsid w:val="000A6E33"/>
    <w:rsid w:val="000A7981"/>
    <w:rsid w:val="000A7C28"/>
    <w:rsid w:val="000B00B7"/>
    <w:rsid w:val="000B0292"/>
    <w:rsid w:val="000B0683"/>
    <w:rsid w:val="000B0762"/>
    <w:rsid w:val="000B08A4"/>
    <w:rsid w:val="000B0A56"/>
    <w:rsid w:val="000B0EBE"/>
    <w:rsid w:val="000B13A4"/>
    <w:rsid w:val="000B1645"/>
    <w:rsid w:val="000B1D7E"/>
    <w:rsid w:val="000B2082"/>
    <w:rsid w:val="000B2632"/>
    <w:rsid w:val="000B3A81"/>
    <w:rsid w:val="000B40E1"/>
    <w:rsid w:val="000B4257"/>
    <w:rsid w:val="000B4AB0"/>
    <w:rsid w:val="000B4AE0"/>
    <w:rsid w:val="000B4B0F"/>
    <w:rsid w:val="000B4C96"/>
    <w:rsid w:val="000B4E7D"/>
    <w:rsid w:val="000B4F67"/>
    <w:rsid w:val="000B50E9"/>
    <w:rsid w:val="000B50FC"/>
    <w:rsid w:val="000B53EB"/>
    <w:rsid w:val="000B54D1"/>
    <w:rsid w:val="000B5C88"/>
    <w:rsid w:val="000B643A"/>
    <w:rsid w:val="000B6504"/>
    <w:rsid w:val="000B6CC5"/>
    <w:rsid w:val="000B6EEF"/>
    <w:rsid w:val="000B761F"/>
    <w:rsid w:val="000B7B21"/>
    <w:rsid w:val="000C0405"/>
    <w:rsid w:val="000C0832"/>
    <w:rsid w:val="000C0935"/>
    <w:rsid w:val="000C0CD1"/>
    <w:rsid w:val="000C1131"/>
    <w:rsid w:val="000C14A1"/>
    <w:rsid w:val="000C17F9"/>
    <w:rsid w:val="000C180D"/>
    <w:rsid w:val="000C1A3B"/>
    <w:rsid w:val="000C240A"/>
    <w:rsid w:val="000C243C"/>
    <w:rsid w:val="000C2A0B"/>
    <w:rsid w:val="000C2B43"/>
    <w:rsid w:val="000C2B91"/>
    <w:rsid w:val="000C2BAC"/>
    <w:rsid w:val="000C3E98"/>
    <w:rsid w:val="000C404A"/>
    <w:rsid w:val="000C4367"/>
    <w:rsid w:val="000C4B22"/>
    <w:rsid w:val="000C5002"/>
    <w:rsid w:val="000C558A"/>
    <w:rsid w:val="000C57C1"/>
    <w:rsid w:val="000C5952"/>
    <w:rsid w:val="000C6566"/>
    <w:rsid w:val="000C69E6"/>
    <w:rsid w:val="000C6F21"/>
    <w:rsid w:val="000C710D"/>
    <w:rsid w:val="000C7831"/>
    <w:rsid w:val="000C7F0B"/>
    <w:rsid w:val="000D011C"/>
    <w:rsid w:val="000D0187"/>
    <w:rsid w:val="000D06DE"/>
    <w:rsid w:val="000D165D"/>
    <w:rsid w:val="000D1732"/>
    <w:rsid w:val="000D18FF"/>
    <w:rsid w:val="000D1E93"/>
    <w:rsid w:val="000D1FC0"/>
    <w:rsid w:val="000D1FFA"/>
    <w:rsid w:val="000D210D"/>
    <w:rsid w:val="000D2202"/>
    <w:rsid w:val="000D2D99"/>
    <w:rsid w:val="000D308F"/>
    <w:rsid w:val="000D31A1"/>
    <w:rsid w:val="000D3254"/>
    <w:rsid w:val="000D33F3"/>
    <w:rsid w:val="000D4072"/>
    <w:rsid w:val="000D4524"/>
    <w:rsid w:val="000D4683"/>
    <w:rsid w:val="000D4C0D"/>
    <w:rsid w:val="000D593A"/>
    <w:rsid w:val="000D5C19"/>
    <w:rsid w:val="000D5F7C"/>
    <w:rsid w:val="000D6712"/>
    <w:rsid w:val="000D6D6C"/>
    <w:rsid w:val="000D6F75"/>
    <w:rsid w:val="000D75BF"/>
    <w:rsid w:val="000D7C2E"/>
    <w:rsid w:val="000E0340"/>
    <w:rsid w:val="000E058B"/>
    <w:rsid w:val="000E0CE7"/>
    <w:rsid w:val="000E13A7"/>
    <w:rsid w:val="000E1BD7"/>
    <w:rsid w:val="000E1FC6"/>
    <w:rsid w:val="000E25FA"/>
    <w:rsid w:val="000E2633"/>
    <w:rsid w:val="000E2640"/>
    <w:rsid w:val="000E2706"/>
    <w:rsid w:val="000E2EB4"/>
    <w:rsid w:val="000E2F01"/>
    <w:rsid w:val="000E34EF"/>
    <w:rsid w:val="000E3666"/>
    <w:rsid w:val="000E3A08"/>
    <w:rsid w:val="000E3FC9"/>
    <w:rsid w:val="000E4DE6"/>
    <w:rsid w:val="000E5216"/>
    <w:rsid w:val="000E58E4"/>
    <w:rsid w:val="000E67BC"/>
    <w:rsid w:val="000E7EC4"/>
    <w:rsid w:val="000E7FD4"/>
    <w:rsid w:val="000F01DC"/>
    <w:rsid w:val="000F0237"/>
    <w:rsid w:val="000F026C"/>
    <w:rsid w:val="000F0402"/>
    <w:rsid w:val="000F04F1"/>
    <w:rsid w:val="000F1305"/>
    <w:rsid w:val="000F1A8F"/>
    <w:rsid w:val="000F1F9D"/>
    <w:rsid w:val="000F2117"/>
    <w:rsid w:val="000F322D"/>
    <w:rsid w:val="000F3C82"/>
    <w:rsid w:val="000F4519"/>
    <w:rsid w:val="000F4669"/>
    <w:rsid w:val="000F58C2"/>
    <w:rsid w:val="000F5981"/>
    <w:rsid w:val="000F5BDF"/>
    <w:rsid w:val="000F5D2E"/>
    <w:rsid w:val="000F62ED"/>
    <w:rsid w:val="000F6C44"/>
    <w:rsid w:val="000F6D5E"/>
    <w:rsid w:val="000F6FCD"/>
    <w:rsid w:val="000F797F"/>
    <w:rsid w:val="00100311"/>
    <w:rsid w:val="00100E58"/>
    <w:rsid w:val="0010109B"/>
    <w:rsid w:val="001014E8"/>
    <w:rsid w:val="001017F7"/>
    <w:rsid w:val="00101D87"/>
    <w:rsid w:val="00101DC4"/>
    <w:rsid w:val="0010290E"/>
    <w:rsid w:val="00102A6A"/>
    <w:rsid w:val="00102BEA"/>
    <w:rsid w:val="00103BF7"/>
    <w:rsid w:val="001046CE"/>
    <w:rsid w:val="001047A7"/>
    <w:rsid w:val="001053DC"/>
    <w:rsid w:val="001056E3"/>
    <w:rsid w:val="001058D6"/>
    <w:rsid w:val="00105C6C"/>
    <w:rsid w:val="00105DC5"/>
    <w:rsid w:val="00105F59"/>
    <w:rsid w:val="00106B60"/>
    <w:rsid w:val="00107416"/>
    <w:rsid w:val="00107576"/>
    <w:rsid w:val="0010762E"/>
    <w:rsid w:val="00107B48"/>
    <w:rsid w:val="00107CFB"/>
    <w:rsid w:val="00110A0C"/>
    <w:rsid w:val="00110BAF"/>
    <w:rsid w:val="00111328"/>
    <w:rsid w:val="00111430"/>
    <w:rsid w:val="001116FF"/>
    <w:rsid w:val="00112096"/>
    <w:rsid w:val="0011239F"/>
    <w:rsid w:val="00112589"/>
    <w:rsid w:val="00112844"/>
    <w:rsid w:val="001128C8"/>
    <w:rsid w:val="00112A42"/>
    <w:rsid w:val="00112BE2"/>
    <w:rsid w:val="001136B5"/>
    <w:rsid w:val="00114559"/>
    <w:rsid w:val="00114C80"/>
    <w:rsid w:val="00114D13"/>
    <w:rsid w:val="00115B37"/>
    <w:rsid w:val="00116948"/>
    <w:rsid w:val="001169D2"/>
    <w:rsid w:val="00116C45"/>
    <w:rsid w:val="00117307"/>
    <w:rsid w:val="00120F46"/>
    <w:rsid w:val="001214B6"/>
    <w:rsid w:val="001215F7"/>
    <w:rsid w:val="001216D7"/>
    <w:rsid w:val="00121EAA"/>
    <w:rsid w:val="00122140"/>
    <w:rsid w:val="001221C8"/>
    <w:rsid w:val="001221EB"/>
    <w:rsid w:val="00122506"/>
    <w:rsid w:val="001235CC"/>
    <w:rsid w:val="00123B82"/>
    <w:rsid w:val="00123BCB"/>
    <w:rsid w:val="001243F8"/>
    <w:rsid w:val="00124E5A"/>
    <w:rsid w:val="00124EAB"/>
    <w:rsid w:val="00125006"/>
    <w:rsid w:val="0012537E"/>
    <w:rsid w:val="00125E8A"/>
    <w:rsid w:val="00125F61"/>
    <w:rsid w:val="001260CA"/>
    <w:rsid w:val="0012629C"/>
    <w:rsid w:val="0012791A"/>
    <w:rsid w:val="001279DB"/>
    <w:rsid w:val="001301A4"/>
    <w:rsid w:val="00130384"/>
    <w:rsid w:val="0013040E"/>
    <w:rsid w:val="001304EE"/>
    <w:rsid w:val="00130624"/>
    <w:rsid w:val="001311B8"/>
    <w:rsid w:val="0013163F"/>
    <w:rsid w:val="001319DF"/>
    <w:rsid w:val="001326D1"/>
    <w:rsid w:val="00132908"/>
    <w:rsid w:val="00132949"/>
    <w:rsid w:val="00132E3E"/>
    <w:rsid w:val="001333B3"/>
    <w:rsid w:val="001342B5"/>
    <w:rsid w:val="001348EC"/>
    <w:rsid w:val="001352A3"/>
    <w:rsid w:val="001353C3"/>
    <w:rsid w:val="00135743"/>
    <w:rsid w:val="00135936"/>
    <w:rsid w:val="0013613E"/>
    <w:rsid w:val="00136486"/>
    <w:rsid w:val="001364DF"/>
    <w:rsid w:val="00136584"/>
    <w:rsid w:val="00136629"/>
    <w:rsid w:val="00136DCF"/>
    <w:rsid w:val="00137212"/>
    <w:rsid w:val="0013739A"/>
    <w:rsid w:val="00137483"/>
    <w:rsid w:val="001374E8"/>
    <w:rsid w:val="0013769F"/>
    <w:rsid w:val="00140766"/>
    <w:rsid w:val="0014160D"/>
    <w:rsid w:val="0014201E"/>
    <w:rsid w:val="00143042"/>
    <w:rsid w:val="00143E2F"/>
    <w:rsid w:val="00143F35"/>
    <w:rsid w:val="00144718"/>
    <w:rsid w:val="00144D5B"/>
    <w:rsid w:val="001453BC"/>
    <w:rsid w:val="001468AF"/>
    <w:rsid w:val="00146A27"/>
    <w:rsid w:val="00146A7C"/>
    <w:rsid w:val="00146E66"/>
    <w:rsid w:val="0014760E"/>
    <w:rsid w:val="00147B34"/>
    <w:rsid w:val="00150B1C"/>
    <w:rsid w:val="00150CFB"/>
    <w:rsid w:val="001510BF"/>
    <w:rsid w:val="00151102"/>
    <w:rsid w:val="00151208"/>
    <w:rsid w:val="001514D6"/>
    <w:rsid w:val="001519BF"/>
    <w:rsid w:val="00151CDD"/>
    <w:rsid w:val="00152205"/>
    <w:rsid w:val="00152C05"/>
    <w:rsid w:val="001537F2"/>
    <w:rsid w:val="00153F5F"/>
    <w:rsid w:val="00153F91"/>
    <w:rsid w:val="00153FE8"/>
    <w:rsid w:val="0015414B"/>
    <w:rsid w:val="00155230"/>
    <w:rsid w:val="00155FC9"/>
    <w:rsid w:val="0015648F"/>
    <w:rsid w:val="00156821"/>
    <w:rsid w:val="00156A90"/>
    <w:rsid w:val="00156CF6"/>
    <w:rsid w:val="00157603"/>
    <w:rsid w:val="001578B5"/>
    <w:rsid w:val="00157D38"/>
    <w:rsid w:val="00157E2E"/>
    <w:rsid w:val="00160361"/>
    <w:rsid w:val="00160D76"/>
    <w:rsid w:val="00160E40"/>
    <w:rsid w:val="00161361"/>
    <w:rsid w:val="001616E5"/>
    <w:rsid w:val="00161C47"/>
    <w:rsid w:val="001621E1"/>
    <w:rsid w:val="00162419"/>
    <w:rsid w:val="00162C96"/>
    <w:rsid w:val="00162D58"/>
    <w:rsid w:val="00163106"/>
    <w:rsid w:val="0016329A"/>
    <w:rsid w:val="001632C9"/>
    <w:rsid w:val="001632D2"/>
    <w:rsid w:val="0016343F"/>
    <w:rsid w:val="001636DC"/>
    <w:rsid w:val="00164AB0"/>
    <w:rsid w:val="00164C34"/>
    <w:rsid w:val="00165289"/>
    <w:rsid w:val="00165699"/>
    <w:rsid w:val="001657A9"/>
    <w:rsid w:val="00165908"/>
    <w:rsid w:val="00165B97"/>
    <w:rsid w:val="0016608D"/>
    <w:rsid w:val="00166460"/>
    <w:rsid w:val="00166B62"/>
    <w:rsid w:val="00166D17"/>
    <w:rsid w:val="00166E65"/>
    <w:rsid w:val="00166FD6"/>
    <w:rsid w:val="0016705D"/>
    <w:rsid w:val="0016718B"/>
    <w:rsid w:val="001675BC"/>
    <w:rsid w:val="001678FE"/>
    <w:rsid w:val="001700F2"/>
    <w:rsid w:val="001701C4"/>
    <w:rsid w:val="00170FCC"/>
    <w:rsid w:val="00171379"/>
    <w:rsid w:val="0017162B"/>
    <w:rsid w:val="00172000"/>
    <w:rsid w:val="0017294F"/>
    <w:rsid w:val="00172A6A"/>
    <w:rsid w:val="00172A94"/>
    <w:rsid w:val="00172AC2"/>
    <w:rsid w:val="00172BB3"/>
    <w:rsid w:val="00173A0F"/>
    <w:rsid w:val="00173B82"/>
    <w:rsid w:val="00173BCF"/>
    <w:rsid w:val="00173BEF"/>
    <w:rsid w:val="00174401"/>
    <w:rsid w:val="00174627"/>
    <w:rsid w:val="00174E05"/>
    <w:rsid w:val="00175787"/>
    <w:rsid w:val="00175968"/>
    <w:rsid w:val="00175B02"/>
    <w:rsid w:val="001765B9"/>
    <w:rsid w:val="001767CB"/>
    <w:rsid w:val="001767D4"/>
    <w:rsid w:val="00176B29"/>
    <w:rsid w:val="00176E42"/>
    <w:rsid w:val="00177258"/>
    <w:rsid w:val="00177524"/>
    <w:rsid w:val="00177689"/>
    <w:rsid w:val="001776B7"/>
    <w:rsid w:val="00180698"/>
    <w:rsid w:val="00180DA3"/>
    <w:rsid w:val="00180E9A"/>
    <w:rsid w:val="00181004"/>
    <w:rsid w:val="00181522"/>
    <w:rsid w:val="00181EE8"/>
    <w:rsid w:val="001822EF"/>
    <w:rsid w:val="0018244E"/>
    <w:rsid w:val="00183BFD"/>
    <w:rsid w:val="00183CF7"/>
    <w:rsid w:val="00183DF0"/>
    <w:rsid w:val="001845F7"/>
    <w:rsid w:val="001854EE"/>
    <w:rsid w:val="00185C7F"/>
    <w:rsid w:val="00186ACA"/>
    <w:rsid w:val="00186E74"/>
    <w:rsid w:val="0018797A"/>
    <w:rsid w:val="00187E36"/>
    <w:rsid w:val="00187F18"/>
    <w:rsid w:val="00190A03"/>
    <w:rsid w:val="00190E0D"/>
    <w:rsid w:val="001911A2"/>
    <w:rsid w:val="00191CD1"/>
    <w:rsid w:val="00192AA9"/>
    <w:rsid w:val="00193680"/>
    <w:rsid w:val="00193728"/>
    <w:rsid w:val="001941B5"/>
    <w:rsid w:val="00194453"/>
    <w:rsid w:val="001945D1"/>
    <w:rsid w:val="00194783"/>
    <w:rsid w:val="00195864"/>
    <w:rsid w:val="0019595B"/>
    <w:rsid w:val="0019621F"/>
    <w:rsid w:val="00196389"/>
    <w:rsid w:val="00196B23"/>
    <w:rsid w:val="001972AD"/>
    <w:rsid w:val="0019777D"/>
    <w:rsid w:val="00197D17"/>
    <w:rsid w:val="001A0484"/>
    <w:rsid w:val="001A0D01"/>
    <w:rsid w:val="001A10E4"/>
    <w:rsid w:val="001A1300"/>
    <w:rsid w:val="001A1549"/>
    <w:rsid w:val="001A1D4D"/>
    <w:rsid w:val="001A27AC"/>
    <w:rsid w:val="001A2888"/>
    <w:rsid w:val="001A28C6"/>
    <w:rsid w:val="001A2D9C"/>
    <w:rsid w:val="001A3517"/>
    <w:rsid w:val="001A3BE4"/>
    <w:rsid w:val="001A4636"/>
    <w:rsid w:val="001A4DBB"/>
    <w:rsid w:val="001A5DAE"/>
    <w:rsid w:val="001A5DD7"/>
    <w:rsid w:val="001A65F2"/>
    <w:rsid w:val="001A66AA"/>
    <w:rsid w:val="001A677E"/>
    <w:rsid w:val="001A6C68"/>
    <w:rsid w:val="001A6DE4"/>
    <w:rsid w:val="001A6F4D"/>
    <w:rsid w:val="001A738D"/>
    <w:rsid w:val="001A74E6"/>
    <w:rsid w:val="001A7EA3"/>
    <w:rsid w:val="001B06A9"/>
    <w:rsid w:val="001B0F76"/>
    <w:rsid w:val="001B0FB6"/>
    <w:rsid w:val="001B112A"/>
    <w:rsid w:val="001B1FB0"/>
    <w:rsid w:val="001B24F1"/>
    <w:rsid w:val="001B4280"/>
    <w:rsid w:val="001B48B5"/>
    <w:rsid w:val="001B49FE"/>
    <w:rsid w:val="001B4CDD"/>
    <w:rsid w:val="001B5499"/>
    <w:rsid w:val="001B6671"/>
    <w:rsid w:val="001B6CED"/>
    <w:rsid w:val="001B6DFF"/>
    <w:rsid w:val="001B78C2"/>
    <w:rsid w:val="001B7B25"/>
    <w:rsid w:val="001C02F8"/>
    <w:rsid w:val="001C0B83"/>
    <w:rsid w:val="001C114D"/>
    <w:rsid w:val="001C1FA0"/>
    <w:rsid w:val="001C25AA"/>
    <w:rsid w:val="001C2B8F"/>
    <w:rsid w:val="001C2F1D"/>
    <w:rsid w:val="001C324C"/>
    <w:rsid w:val="001C4519"/>
    <w:rsid w:val="001C452D"/>
    <w:rsid w:val="001C4810"/>
    <w:rsid w:val="001C4DCA"/>
    <w:rsid w:val="001C5444"/>
    <w:rsid w:val="001C5558"/>
    <w:rsid w:val="001C5C1F"/>
    <w:rsid w:val="001C6032"/>
    <w:rsid w:val="001C652C"/>
    <w:rsid w:val="001C6D82"/>
    <w:rsid w:val="001C6D86"/>
    <w:rsid w:val="001C6E0D"/>
    <w:rsid w:val="001C721E"/>
    <w:rsid w:val="001C788D"/>
    <w:rsid w:val="001C7A04"/>
    <w:rsid w:val="001C7AF0"/>
    <w:rsid w:val="001D00FB"/>
    <w:rsid w:val="001D0234"/>
    <w:rsid w:val="001D13CD"/>
    <w:rsid w:val="001D1F20"/>
    <w:rsid w:val="001D2A82"/>
    <w:rsid w:val="001D2D78"/>
    <w:rsid w:val="001D2F7A"/>
    <w:rsid w:val="001D34BB"/>
    <w:rsid w:val="001D3A30"/>
    <w:rsid w:val="001D3D6A"/>
    <w:rsid w:val="001D49DA"/>
    <w:rsid w:val="001D4BC9"/>
    <w:rsid w:val="001D4DF8"/>
    <w:rsid w:val="001D50DC"/>
    <w:rsid w:val="001D5151"/>
    <w:rsid w:val="001D530F"/>
    <w:rsid w:val="001D59B1"/>
    <w:rsid w:val="001D5B3D"/>
    <w:rsid w:val="001D5C0D"/>
    <w:rsid w:val="001D67C7"/>
    <w:rsid w:val="001D6B1C"/>
    <w:rsid w:val="001D7203"/>
    <w:rsid w:val="001D74CB"/>
    <w:rsid w:val="001D76E9"/>
    <w:rsid w:val="001D7C8D"/>
    <w:rsid w:val="001D7F2A"/>
    <w:rsid w:val="001E044B"/>
    <w:rsid w:val="001E047B"/>
    <w:rsid w:val="001E0D54"/>
    <w:rsid w:val="001E0F58"/>
    <w:rsid w:val="001E13CC"/>
    <w:rsid w:val="001E1A95"/>
    <w:rsid w:val="001E1D95"/>
    <w:rsid w:val="001E2086"/>
    <w:rsid w:val="001E2233"/>
    <w:rsid w:val="001E2714"/>
    <w:rsid w:val="001E2877"/>
    <w:rsid w:val="001E2D33"/>
    <w:rsid w:val="001E2D69"/>
    <w:rsid w:val="001E3141"/>
    <w:rsid w:val="001E3428"/>
    <w:rsid w:val="001E35CA"/>
    <w:rsid w:val="001E365F"/>
    <w:rsid w:val="001E51EE"/>
    <w:rsid w:val="001E52B9"/>
    <w:rsid w:val="001E52BD"/>
    <w:rsid w:val="001E555A"/>
    <w:rsid w:val="001E61BF"/>
    <w:rsid w:val="001E6453"/>
    <w:rsid w:val="001E6857"/>
    <w:rsid w:val="001E6C06"/>
    <w:rsid w:val="001E6C1C"/>
    <w:rsid w:val="001E7424"/>
    <w:rsid w:val="001E7862"/>
    <w:rsid w:val="001E7A54"/>
    <w:rsid w:val="001F0156"/>
    <w:rsid w:val="001F0849"/>
    <w:rsid w:val="001F1367"/>
    <w:rsid w:val="001F1432"/>
    <w:rsid w:val="001F1F62"/>
    <w:rsid w:val="001F217E"/>
    <w:rsid w:val="001F2202"/>
    <w:rsid w:val="001F29C1"/>
    <w:rsid w:val="001F2AB8"/>
    <w:rsid w:val="001F2CB2"/>
    <w:rsid w:val="001F2D8A"/>
    <w:rsid w:val="001F347E"/>
    <w:rsid w:val="001F36EF"/>
    <w:rsid w:val="001F3ACE"/>
    <w:rsid w:val="001F3B84"/>
    <w:rsid w:val="001F3CA1"/>
    <w:rsid w:val="001F4138"/>
    <w:rsid w:val="001F4C42"/>
    <w:rsid w:val="001F53AF"/>
    <w:rsid w:val="001F5AE5"/>
    <w:rsid w:val="001F5AFD"/>
    <w:rsid w:val="001F62AA"/>
    <w:rsid w:val="001F632C"/>
    <w:rsid w:val="001F63F6"/>
    <w:rsid w:val="001F6861"/>
    <w:rsid w:val="001F69AA"/>
    <w:rsid w:val="001F6D78"/>
    <w:rsid w:val="001F7013"/>
    <w:rsid w:val="001F7488"/>
    <w:rsid w:val="001F7881"/>
    <w:rsid w:val="001F7C01"/>
    <w:rsid w:val="001F7D06"/>
    <w:rsid w:val="0020044B"/>
    <w:rsid w:val="00200579"/>
    <w:rsid w:val="002006CC"/>
    <w:rsid w:val="00200B26"/>
    <w:rsid w:val="00201890"/>
    <w:rsid w:val="002019D7"/>
    <w:rsid w:val="002021D6"/>
    <w:rsid w:val="00202BC2"/>
    <w:rsid w:val="002034CC"/>
    <w:rsid w:val="002034FE"/>
    <w:rsid w:val="00203B96"/>
    <w:rsid w:val="00204857"/>
    <w:rsid w:val="00204E9F"/>
    <w:rsid w:val="00204F6E"/>
    <w:rsid w:val="0020524D"/>
    <w:rsid w:val="00205284"/>
    <w:rsid w:val="00205484"/>
    <w:rsid w:val="00205609"/>
    <w:rsid w:val="00205B03"/>
    <w:rsid w:val="00205D16"/>
    <w:rsid w:val="00206156"/>
    <w:rsid w:val="002064C2"/>
    <w:rsid w:val="00206722"/>
    <w:rsid w:val="0020681C"/>
    <w:rsid w:val="00206F4B"/>
    <w:rsid w:val="0020700B"/>
    <w:rsid w:val="002072B9"/>
    <w:rsid w:val="0020737A"/>
    <w:rsid w:val="002076CA"/>
    <w:rsid w:val="00207BE8"/>
    <w:rsid w:val="00207E56"/>
    <w:rsid w:val="002104DA"/>
    <w:rsid w:val="002108D5"/>
    <w:rsid w:val="00210ED4"/>
    <w:rsid w:val="00211278"/>
    <w:rsid w:val="002112E1"/>
    <w:rsid w:val="00211BD0"/>
    <w:rsid w:val="00211E2C"/>
    <w:rsid w:val="00212025"/>
    <w:rsid w:val="002122F4"/>
    <w:rsid w:val="00212498"/>
    <w:rsid w:val="002124D3"/>
    <w:rsid w:val="00212603"/>
    <w:rsid w:val="00212724"/>
    <w:rsid w:val="002136E9"/>
    <w:rsid w:val="002137A8"/>
    <w:rsid w:val="00213E75"/>
    <w:rsid w:val="00214008"/>
    <w:rsid w:val="00214980"/>
    <w:rsid w:val="0021579B"/>
    <w:rsid w:val="002158B5"/>
    <w:rsid w:val="00215CEC"/>
    <w:rsid w:val="00215EE0"/>
    <w:rsid w:val="0021600A"/>
    <w:rsid w:val="0021621C"/>
    <w:rsid w:val="002167DB"/>
    <w:rsid w:val="002205B9"/>
    <w:rsid w:val="0022072E"/>
    <w:rsid w:val="0022076C"/>
    <w:rsid w:val="0022136E"/>
    <w:rsid w:val="002213CE"/>
    <w:rsid w:val="00221904"/>
    <w:rsid w:val="00221B14"/>
    <w:rsid w:val="00222587"/>
    <w:rsid w:val="00222696"/>
    <w:rsid w:val="002226E4"/>
    <w:rsid w:val="00222CF5"/>
    <w:rsid w:val="00222D11"/>
    <w:rsid w:val="00222EEA"/>
    <w:rsid w:val="0022345A"/>
    <w:rsid w:val="00223937"/>
    <w:rsid w:val="00223FF5"/>
    <w:rsid w:val="00224786"/>
    <w:rsid w:val="00224FC2"/>
    <w:rsid w:val="002251B3"/>
    <w:rsid w:val="00225358"/>
    <w:rsid w:val="002254A9"/>
    <w:rsid w:val="00225760"/>
    <w:rsid w:val="00225A82"/>
    <w:rsid w:val="00225B36"/>
    <w:rsid w:val="00226259"/>
    <w:rsid w:val="00226B1F"/>
    <w:rsid w:val="00227002"/>
    <w:rsid w:val="00230005"/>
    <w:rsid w:val="00230302"/>
    <w:rsid w:val="0023031D"/>
    <w:rsid w:val="00230339"/>
    <w:rsid w:val="00230E6B"/>
    <w:rsid w:val="00231D0C"/>
    <w:rsid w:val="00231DC3"/>
    <w:rsid w:val="00232018"/>
    <w:rsid w:val="002325D6"/>
    <w:rsid w:val="00232C6C"/>
    <w:rsid w:val="00232FF4"/>
    <w:rsid w:val="0023360D"/>
    <w:rsid w:val="00233BE1"/>
    <w:rsid w:val="0023406E"/>
    <w:rsid w:val="00234D41"/>
    <w:rsid w:val="00234E83"/>
    <w:rsid w:val="00235093"/>
    <w:rsid w:val="00235213"/>
    <w:rsid w:val="002360D7"/>
    <w:rsid w:val="00236449"/>
    <w:rsid w:val="002367E7"/>
    <w:rsid w:val="00236A86"/>
    <w:rsid w:val="00237795"/>
    <w:rsid w:val="00237CF7"/>
    <w:rsid w:val="00240161"/>
    <w:rsid w:val="0024077D"/>
    <w:rsid w:val="0024083F"/>
    <w:rsid w:val="002413EE"/>
    <w:rsid w:val="00241BF0"/>
    <w:rsid w:val="00241DE4"/>
    <w:rsid w:val="002424C0"/>
    <w:rsid w:val="00242927"/>
    <w:rsid w:val="002431DB"/>
    <w:rsid w:val="002433C5"/>
    <w:rsid w:val="002436FB"/>
    <w:rsid w:val="00243A11"/>
    <w:rsid w:val="00243E49"/>
    <w:rsid w:val="00243F38"/>
    <w:rsid w:val="0024484E"/>
    <w:rsid w:val="00244CAF"/>
    <w:rsid w:val="00245801"/>
    <w:rsid w:val="00245DC7"/>
    <w:rsid w:val="00245FB1"/>
    <w:rsid w:val="00246091"/>
    <w:rsid w:val="002461A1"/>
    <w:rsid w:val="00246C0E"/>
    <w:rsid w:val="00246E64"/>
    <w:rsid w:val="00246F5A"/>
    <w:rsid w:val="00247724"/>
    <w:rsid w:val="00247AB0"/>
    <w:rsid w:val="002509DF"/>
    <w:rsid w:val="002513E8"/>
    <w:rsid w:val="0025140B"/>
    <w:rsid w:val="00251704"/>
    <w:rsid w:val="00251CF6"/>
    <w:rsid w:val="00252025"/>
    <w:rsid w:val="00252172"/>
    <w:rsid w:val="002523D5"/>
    <w:rsid w:val="00253367"/>
    <w:rsid w:val="00253645"/>
    <w:rsid w:val="00253FCB"/>
    <w:rsid w:val="00254095"/>
    <w:rsid w:val="00254178"/>
    <w:rsid w:val="00254469"/>
    <w:rsid w:val="0025447E"/>
    <w:rsid w:val="002544CE"/>
    <w:rsid w:val="002544FB"/>
    <w:rsid w:val="0025467F"/>
    <w:rsid w:val="00254F73"/>
    <w:rsid w:val="0025503E"/>
    <w:rsid w:val="0025535B"/>
    <w:rsid w:val="0025564E"/>
    <w:rsid w:val="0025574D"/>
    <w:rsid w:val="00255A4A"/>
    <w:rsid w:val="00256349"/>
    <w:rsid w:val="00256770"/>
    <w:rsid w:val="00256DD1"/>
    <w:rsid w:val="002572C0"/>
    <w:rsid w:val="0025747D"/>
    <w:rsid w:val="0026081B"/>
    <w:rsid w:val="00260F3A"/>
    <w:rsid w:val="00261421"/>
    <w:rsid w:val="00262F7B"/>
    <w:rsid w:val="0026307F"/>
    <w:rsid w:val="00263281"/>
    <w:rsid w:val="00263B1E"/>
    <w:rsid w:val="00263D04"/>
    <w:rsid w:val="0026423D"/>
    <w:rsid w:val="002645E8"/>
    <w:rsid w:val="00264BC1"/>
    <w:rsid w:val="00264C15"/>
    <w:rsid w:val="002652DB"/>
    <w:rsid w:val="00265AAE"/>
    <w:rsid w:val="00265E2C"/>
    <w:rsid w:val="00265F02"/>
    <w:rsid w:val="00266B20"/>
    <w:rsid w:val="002674CB"/>
    <w:rsid w:val="0027039F"/>
    <w:rsid w:val="002709BC"/>
    <w:rsid w:val="00271280"/>
    <w:rsid w:val="00271529"/>
    <w:rsid w:val="00271AE9"/>
    <w:rsid w:val="00271F58"/>
    <w:rsid w:val="00271F95"/>
    <w:rsid w:val="00272773"/>
    <w:rsid w:val="00272B4A"/>
    <w:rsid w:val="0027361D"/>
    <w:rsid w:val="00273E23"/>
    <w:rsid w:val="002740C2"/>
    <w:rsid w:val="002743BB"/>
    <w:rsid w:val="0027504F"/>
    <w:rsid w:val="002756E6"/>
    <w:rsid w:val="00276BA0"/>
    <w:rsid w:val="00277098"/>
    <w:rsid w:val="00277408"/>
    <w:rsid w:val="00277AAB"/>
    <w:rsid w:val="00277F4C"/>
    <w:rsid w:val="0028027E"/>
    <w:rsid w:val="002807EA"/>
    <w:rsid w:val="0028099F"/>
    <w:rsid w:val="0028104E"/>
    <w:rsid w:val="00281408"/>
    <w:rsid w:val="0028166A"/>
    <w:rsid w:val="00281CE6"/>
    <w:rsid w:val="00281F11"/>
    <w:rsid w:val="00282978"/>
    <w:rsid w:val="00282B14"/>
    <w:rsid w:val="00282F07"/>
    <w:rsid w:val="002833DB"/>
    <w:rsid w:val="002834DB"/>
    <w:rsid w:val="00283C03"/>
    <w:rsid w:val="00283E05"/>
    <w:rsid w:val="00283E63"/>
    <w:rsid w:val="00284778"/>
    <w:rsid w:val="00284F7D"/>
    <w:rsid w:val="002852EF"/>
    <w:rsid w:val="00285914"/>
    <w:rsid w:val="00285AFA"/>
    <w:rsid w:val="00285BC3"/>
    <w:rsid w:val="00285E13"/>
    <w:rsid w:val="002862BE"/>
    <w:rsid w:val="002863CC"/>
    <w:rsid w:val="00286506"/>
    <w:rsid w:val="00287A5E"/>
    <w:rsid w:val="00287E25"/>
    <w:rsid w:val="00287E3D"/>
    <w:rsid w:val="00287FDA"/>
    <w:rsid w:val="002908AF"/>
    <w:rsid w:val="002913EF"/>
    <w:rsid w:val="0029215A"/>
    <w:rsid w:val="00292764"/>
    <w:rsid w:val="002929EA"/>
    <w:rsid w:val="002933EF"/>
    <w:rsid w:val="00293F9F"/>
    <w:rsid w:val="002940C5"/>
    <w:rsid w:val="002943AE"/>
    <w:rsid w:val="00294A8B"/>
    <w:rsid w:val="00294BE6"/>
    <w:rsid w:val="00294E82"/>
    <w:rsid w:val="00294FCD"/>
    <w:rsid w:val="0029540F"/>
    <w:rsid w:val="0029582F"/>
    <w:rsid w:val="002958B9"/>
    <w:rsid w:val="0029659C"/>
    <w:rsid w:val="0029751C"/>
    <w:rsid w:val="002979BF"/>
    <w:rsid w:val="002A04C5"/>
    <w:rsid w:val="002A079B"/>
    <w:rsid w:val="002A08F5"/>
    <w:rsid w:val="002A108B"/>
    <w:rsid w:val="002A1169"/>
    <w:rsid w:val="002A17D9"/>
    <w:rsid w:val="002A2448"/>
    <w:rsid w:val="002A24A8"/>
    <w:rsid w:val="002A34D9"/>
    <w:rsid w:val="002A3703"/>
    <w:rsid w:val="002A4DD4"/>
    <w:rsid w:val="002A557E"/>
    <w:rsid w:val="002A5638"/>
    <w:rsid w:val="002A5CF5"/>
    <w:rsid w:val="002A6188"/>
    <w:rsid w:val="002A6409"/>
    <w:rsid w:val="002A7171"/>
    <w:rsid w:val="002A7256"/>
    <w:rsid w:val="002A729F"/>
    <w:rsid w:val="002A7483"/>
    <w:rsid w:val="002A750F"/>
    <w:rsid w:val="002A77C0"/>
    <w:rsid w:val="002A7ADC"/>
    <w:rsid w:val="002B0289"/>
    <w:rsid w:val="002B076C"/>
    <w:rsid w:val="002B12CA"/>
    <w:rsid w:val="002B152E"/>
    <w:rsid w:val="002B2416"/>
    <w:rsid w:val="002B285D"/>
    <w:rsid w:val="002B29AD"/>
    <w:rsid w:val="002B2E4D"/>
    <w:rsid w:val="002B302C"/>
    <w:rsid w:val="002B3093"/>
    <w:rsid w:val="002B3130"/>
    <w:rsid w:val="002B3281"/>
    <w:rsid w:val="002B3494"/>
    <w:rsid w:val="002B398C"/>
    <w:rsid w:val="002B3CF8"/>
    <w:rsid w:val="002B3F89"/>
    <w:rsid w:val="002B41B3"/>
    <w:rsid w:val="002B4268"/>
    <w:rsid w:val="002B439E"/>
    <w:rsid w:val="002B4497"/>
    <w:rsid w:val="002B44E7"/>
    <w:rsid w:val="002B54F5"/>
    <w:rsid w:val="002B6418"/>
    <w:rsid w:val="002B6A79"/>
    <w:rsid w:val="002B6DF3"/>
    <w:rsid w:val="002B6EFA"/>
    <w:rsid w:val="002B7134"/>
    <w:rsid w:val="002B77EB"/>
    <w:rsid w:val="002B7A89"/>
    <w:rsid w:val="002B7E04"/>
    <w:rsid w:val="002C018B"/>
    <w:rsid w:val="002C03AF"/>
    <w:rsid w:val="002C0727"/>
    <w:rsid w:val="002C16C6"/>
    <w:rsid w:val="002C1A39"/>
    <w:rsid w:val="002C1AC0"/>
    <w:rsid w:val="002C1D76"/>
    <w:rsid w:val="002C1D83"/>
    <w:rsid w:val="002C1F7F"/>
    <w:rsid w:val="002C210C"/>
    <w:rsid w:val="002C215C"/>
    <w:rsid w:val="002C22A7"/>
    <w:rsid w:val="002C26BF"/>
    <w:rsid w:val="002C29A9"/>
    <w:rsid w:val="002C2B5C"/>
    <w:rsid w:val="002C3462"/>
    <w:rsid w:val="002C34A7"/>
    <w:rsid w:val="002C38C2"/>
    <w:rsid w:val="002C4248"/>
    <w:rsid w:val="002C43C6"/>
    <w:rsid w:val="002C448E"/>
    <w:rsid w:val="002C4FF3"/>
    <w:rsid w:val="002C540E"/>
    <w:rsid w:val="002C54C2"/>
    <w:rsid w:val="002C54F2"/>
    <w:rsid w:val="002C5E39"/>
    <w:rsid w:val="002C60C2"/>
    <w:rsid w:val="002C61DB"/>
    <w:rsid w:val="002C6285"/>
    <w:rsid w:val="002C6D86"/>
    <w:rsid w:val="002C6E8E"/>
    <w:rsid w:val="002C78FF"/>
    <w:rsid w:val="002D0798"/>
    <w:rsid w:val="002D084B"/>
    <w:rsid w:val="002D098B"/>
    <w:rsid w:val="002D0CC0"/>
    <w:rsid w:val="002D0F6D"/>
    <w:rsid w:val="002D12D7"/>
    <w:rsid w:val="002D1DFA"/>
    <w:rsid w:val="002D24F6"/>
    <w:rsid w:val="002D2AD6"/>
    <w:rsid w:val="002D2BFF"/>
    <w:rsid w:val="002D3129"/>
    <w:rsid w:val="002D32F3"/>
    <w:rsid w:val="002D3A01"/>
    <w:rsid w:val="002D462B"/>
    <w:rsid w:val="002D4933"/>
    <w:rsid w:val="002D4B70"/>
    <w:rsid w:val="002D5733"/>
    <w:rsid w:val="002D5B53"/>
    <w:rsid w:val="002D5C77"/>
    <w:rsid w:val="002D6123"/>
    <w:rsid w:val="002D6598"/>
    <w:rsid w:val="002D6BCD"/>
    <w:rsid w:val="002D6ECE"/>
    <w:rsid w:val="002D6FA0"/>
    <w:rsid w:val="002D7145"/>
    <w:rsid w:val="002D7855"/>
    <w:rsid w:val="002D7A7B"/>
    <w:rsid w:val="002D7D5F"/>
    <w:rsid w:val="002E07E9"/>
    <w:rsid w:val="002E190E"/>
    <w:rsid w:val="002E22D5"/>
    <w:rsid w:val="002E2747"/>
    <w:rsid w:val="002E28EC"/>
    <w:rsid w:val="002E36B7"/>
    <w:rsid w:val="002E3832"/>
    <w:rsid w:val="002E3C60"/>
    <w:rsid w:val="002E4B54"/>
    <w:rsid w:val="002E6051"/>
    <w:rsid w:val="002E6A28"/>
    <w:rsid w:val="002E6B72"/>
    <w:rsid w:val="002E6D1A"/>
    <w:rsid w:val="002E732A"/>
    <w:rsid w:val="002E7ADB"/>
    <w:rsid w:val="002E7B2B"/>
    <w:rsid w:val="002F142F"/>
    <w:rsid w:val="002F152C"/>
    <w:rsid w:val="002F2376"/>
    <w:rsid w:val="002F2630"/>
    <w:rsid w:val="002F271D"/>
    <w:rsid w:val="002F2A6F"/>
    <w:rsid w:val="002F31C0"/>
    <w:rsid w:val="002F3FB7"/>
    <w:rsid w:val="002F47C3"/>
    <w:rsid w:val="002F48A2"/>
    <w:rsid w:val="002F48E2"/>
    <w:rsid w:val="002F4CBF"/>
    <w:rsid w:val="002F56C9"/>
    <w:rsid w:val="002F575C"/>
    <w:rsid w:val="002F6388"/>
    <w:rsid w:val="002F6600"/>
    <w:rsid w:val="002F682A"/>
    <w:rsid w:val="002F6A79"/>
    <w:rsid w:val="002F6E34"/>
    <w:rsid w:val="002F7158"/>
    <w:rsid w:val="002F7502"/>
    <w:rsid w:val="002F778E"/>
    <w:rsid w:val="002F785B"/>
    <w:rsid w:val="002F7EDF"/>
    <w:rsid w:val="00300057"/>
    <w:rsid w:val="00300080"/>
    <w:rsid w:val="003000AE"/>
    <w:rsid w:val="00300174"/>
    <w:rsid w:val="0030041C"/>
    <w:rsid w:val="00300916"/>
    <w:rsid w:val="00300A80"/>
    <w:rsid w:val="00300AA9"/>
    <w:rsid w:val="0030107E"/>
    <w:rsid w:val="00301197"/>
    <w:rsid w:val="003019BE"/>
    <w:rsid w:val="00301B0C"/>
    <w:rsid w:val="00301D15"/>
    <w:rsid w:val="00301E55"/>
    <w:rsid w:val="0030266A"/>
    <w:rsid w:val="003027B7"/>
    <w:rsid w:val="00302D64"/>
    <w:rsid w:val="00302DA5"/>
    <w:rsid w:val="00303157"/>
    <w:rsid w:val="003034EC"/>
    <w:rsid w:val="00303565"/>
    <w:rsid w:val="00303713"/>
    <w:rsid w:val="003038FB"/>
    <w:rsid w:val="0030410E"/>
    <w:rsid w:val="003041BD"/>
    <w:rsid w:val="003045FB"/>
    <w:rsid w:val="00304624"/>
    <w:rsid w:val="0030463E"/>
    <w:rsid w:val="00304663"/>
    <w:rsid w:val="003046E5"/>
    <w:rsid w:val="00304AA7"/>
    <w:rsid w:val="00304E47"/>
    <w:rsid w:val="00305307"/>
    <w:rsid w:val="0030564B"/>
    <w:rsid w:val="00305FC9"/>
    <w:rsid w:val="003060E9"/>
    <w:rsid w:val="00306E64"/>
    <w:rsid w:val="003076B1"/>
    <w:rsid w:val="003108DE"/>
    <w:rsid w:val="00310A38"/>
    <w:rsid w:val="003111C9"/>
    <w:rsid w:val="0031162A"/>
    <w:rsid w:val="003119F6"/>
    <w:rsid w:val="0031274E"/>
    <w:rsid w:val="00312E22"/>
    <w:rsid w:val="003135AF"/>
    <w:rsid w:val="003138BA"/>
    <w:rsid w:val="00313DDF"/>
    <w:rsid w:val="0031405C"/>
    <w:rsid w:val="003143E4"/>
    <w:rsid w:val="00314F23"/>
    <w:rsid w:val="00315061"/>
    <w:rsid w:val="00315807"/>
    <w:rsid w:val="00315F2C"/>
    <w:rsid w:val="00316BE4"/>
    <w:rsid w:val="00317593"/>
    <w:rsid w:val="003178DC"/>
    <w:rsid w:val="0032068D"/>
    <w:rsid w:val="00320E00"/>
    <w:rsid w:val="00321788"/>
    <w:rsid w:val="00321B17"/>
    <w:rsid w:val="00321D41"/>
    <w:rsid w:val="003223AF"/>
    <w:rsid w:val="0032278A"/>
    <w:rsid w:val="00322A0F"/>
    <w:rsid w:val="00322A26"/>
    <w:rsid w:val="00323486"/>
    <w:rsid w:val="0032386F"/>
    <w:rsid w:val="00324A37"/>
    <w:rsid w:val="00325240"/>
    <w:rsid w:val="00325358"/>
    <w:rsid w:val="00325573"/>
    <w:rsid w:val="00325969"/>
    <w:rsid w:val="00325ADC"/>
    <w:rsid w:val="00325FFB"/>
    <w:rsid w:val="0032600C"/>
    <w:rsid w:val="0032650A"/>
    <w:rsid w:val="003269D1"/>
    <w:rsid w:val="00326AED"/>
    <w:rsid w:val="00327108"/>
    <w:rsid w:val="00327840"/>
    <w:rsid w:val="00327ADB"/>
    <w:rsid w:val="0033021A"/>
    <w:rsid w:val="00330E2B"/>
    <w:rsid w:val="0033128C"/>
    <w:rsid w:val="00331401"/>
    <w:rsid w:val="0033165D"/>
    <w:rsid w:val="00331ACA"/>
    <w:rsid w:val="00332221"/>
    <w:rsid w:val="00332441"/>
    <w:rsid w:val="00332B2B"/>
    <w:rsid w:val="00332B5B"/>
    <w:rsid w:val="00333E9E"/>
    <w:rsid w:val="00334513"/>
    <w:rsid w:val="003347AC"/>
    <w:rsid w:val="00334D9A"/>
    <w:rsid w:val="003352B6"/>
    <w:rsid w:val="00335A80"/>
    <w:rsid w:val="00336680"/>
    <w:rsid w:val="00336B83"/>
    <w:rsid w:val="0033757D"/>
    <w:rsid w:val="00337C43"/>
    <w:rsid w:val="00340588"/>
    <w:rsid w:val="00340D18"/>
    <w:rsid w:val="0034187B"/>
    <w:rsid w:val="00341983"/>
    <w:rsid w:val="00342006"/>
    <w:rsid w:val="003429CA"/>
    <w:rsid w:val="00342C31"/>
    <w:rsid w:val="00342FA3"/>
    <w:rsid w:val="0034320E"/>
    <w:rsid w:val="00343297"/>
    <w:rsid w:val="003435A6"/>
    <w:rsid w:val="003439CC"/>
    <w:rsid w:val="00343AA5"/>
    <w:rsid w:val="00343EAD"/>
    <w:rsid w:val="00344113"/>
    <w:rsid w:val="00344ACA"/>
    <w:rsid w:val="00345235"/>
    <w:rsid w:val="00345D5E"/>
    <w:rsid w:val="00345E8A"/>
    <w:rsid w:val="00347048"/>
    <w:rsid w:val="0034730C"/>
    <w:rsid w:val="003479CF"/>
    <w:rsid w:val="003507AF"/>
    <w:rsid w:val="00350DD6"/>
    <w:rsid w:val="003517D3"/>
    <w:rsid w:val="00351A33"/>
    <w:rsid w:val="00351E79"/>
    <w:rsid w:val="00351FFE"/>
    <w:rsid w:val="00352BD0"/>
    <w:rsid w:val="00352CF0"/>
    <w:rsid w:val="00352DF0"/>
    <w:rsid w:val="00352FFC"/>
    <w:rsid w:val="003530F8"/>
    <w:rsid w:val="003537A8"/>
    <w:rsid w:val="003537CE"/>
    <w:rsid w:val="003538AD"/>
    <w:rsid w:val="003539B1"/>
    <w:rsid w:val="003542D7"/>
    <w:rsid w:val="003545DF"/>
    <w:rsid w:val="00355103"/>
    <w:rsid w:val="00355F34"/>
    <w:rsid w:val="00355F8D"/>
    <w:rsid w:val="00356575"/>
    <w:rsid w:val="0035705E"/>
    <w:rsid w:val="0035764F"/>
    <w:rsid w:val="00357E67"/>
    <w:rsid w:val="00360656"/>
    <w:rsid w:val="003607F1"/>
    <w:rsid w:val="00361B52"/>
    <w:rsid w:val="00361C2B"/>
    <w:rsid w:val="00361FBB"/>
    <w:rsid w:val="003620F3"/>
    <w:rsid w:val="0036212B"/>
    <w:rsid w:val="003625BD"/>
    <w:rsid w:val="00362945"/>
    <w:rsid w:val="00362E67"/>
    <w:rsid w:val="003634CC"/>
    <w:rsid w:val="0036355A"/>
    <w:rsid w:val="00364C91"/>
    <w:rsid w:val="00364D73"/>
    <w:rsid w:val="003653CD"/>
    <w:rsid w:val="00365BB2"/>
    <w:rsid w:val="00366CDC"/>
    <w:rsid w:val="00367A82"/>
    <w:rsid w:val="00367D50"/>
    <w:rsid w:val="003709AE"/>
    <w:rsid w:val="00370F00"/>
    <w:rsid w:val="00370F0C"/>
    <w:rsid w:val="00371106"/>
    <w:rsid w:val="00371444"/>
    <w:rsid w:val="0037145A"/>
    <w:rsid w:val="00372237"/>
    <w:rsid w:val="00372259"/>
    <w:rsid w:val="0037318C"/>
    <w:rsid w:val="003736BC"/>
    <w:rsid w:val="003736E2"/>
    <w:rsid w:val="00373860"/>
    <w:rsid w:val="00373E8B"/>
    <w:rsid w:val="00373F4D"/>
    <w:rsid w:val="003745CB"/>
    <w:rsid w:val="003748B2"/>
    <w:rsid w:val="00375590"/>
    <w:rsid w:val="0037561D"/>
    <w:rsid w:val="00375CBE"/>
    <w:rsid w:val="00375E42"/>
    <w:rsid w:val="00376123"/>
    <w:rsid w:val="00376480"/>
    <w:rsid w:val="003768D8"/>
    <w:rsid w:val="00376D40"/>
    <w:rsid w:val="003776BE"/>
    <w:rsid w:val="00380436"/>
    <w:rsid w:val="003806F8"/>
    <w:rsid w:val="00380A33"/>
    <w:rsid w:val="00380A78"/>
    <w:rsid w:val="00380C43"/>
    <w:rsid w:val="00380E6A"/>
    <w:rsid w:val="00380FB3"/>
    <w:rsid w:val="00381127"/>
    <w:rsid w:val="003818C7"/>
    <w:rsid w:val="00381B1F"/>
    <w:rsid w:val="00382555"/>
    <w:rsid w:val="00382CE6"/>
    <w:rsid w:val="003834E5"/>
    <w:rsid w:val="0038391C"/>
    <w:rsid w:val="00383B36"/>
    <w:rsid w:val="00383ECF"/>
    <w:rsid w:val="003840FC"/>
    <w:rsid w:val="00384973"/>
    <w:rsid w:val="0038502A"/>
    <w:rsid w:val="00386166"/>
    <w:rsid w:val="003867C2"/>
    <w:rsid w:val="0038685C"/>
    <w:rsid w:val="00386E61"/>
    <w:rsid w:val="00387282"/>
    <w:rsid w:val="003874F1"/>
    <w:rsid w:val="003878D2"/>
    <w:rsid w:val="00387A18"/>
    <w:rsid w:val="003912BC"/>
    <w:rsid w:val="00391536"/>
    <w:rsid w:val="00391970"/>
    <w:rsid w:val="003919D9"/>
    <w:rsid w:val="0039260A"/>
    <w:rsid w:val="00392877"/>
    <w:rsid w:val="00393503"/>
    <w:rsid w:val="00394327"/>
    <w:rsid w:val="00394C4A"/>
    <w:rsid w:val="00395257"/>
    <w:rsid w:val="003953BE"/>
    <w:rsid w:val="00395501"/>
    <w:rsid w:val="003956D8"/>
    <w:rsid w:val="00395909"/>
    <w:rsid w:val="00395920"/>
    <w:rsid w:val="003960B0"/>
    <w:rsid w:val="0039663D"/>
    <w:rsid w:val="00396C8B"/>
    <w:rsid w:val="00396E10"/>
    <w:rsid w:val="003973F9"/>
    <w:rsid w:val="00397DDA"/>
    <w:rsid w:val="00397E1D"/>
    <w:rsid w:val="003A0016"/>
    <w:rsid w:val="003A08C6"/>
    <w:rsid w:val="003A0B41"/>
    <w:rsid w:val="003A0D8F"/>
    <w:rsid w:val="003A0DF9"/>
    <w:rsid w:val="003A0E8E"/>
    <w:rsid w:val="003A1046"/>
    <w:rsid w:val="003A1446"/>
    <w:rsid w:val="003A1480"/>
    <w:rsid w:val="003A1863"/>
    <w:rsid w:val="003A19BD"/>
    <w:rsid w:val="003A1E2B"/>
    <w:rsid w:val="003A1FAB"/>
    <w:rsid w:val="003A21E4"/>
    <w:rsid w:val="003A22DE"/>
    <w:rsid w:val="003A3258"/>
    <w:rsid w:val="003A414B"/>
    <w:rsid w:val="003A475C"/>
    <w:rsid w:val="003A4848"/>
    <w:rsid w:val="003A5400"/>
    <w:rsid w:val="003A596C"/>
    <w:rsid w:val="003A5ABE"/>
    <w:rsid w:val="003A5B49"/>
    <w:rsid w:val="003A5ED9"/>
    <w:rsid w:val="003A60A2"/>
    <w:rsid w:val="003A7463"/>
    <w:rsid w:val="003A7A13"/>
    <w:rsid w:val="003A7E8E"/>
    <w:rsid w:val="003A7F12"/>
    <w:rsid w:val="003A7F26"/>
    <w:rsid w:val="003B0DA0"/>
    <w:rsid w:val="003B0EB8"/>
    <w:rsid w:val="003B1430"/>
    <w:rsid w:val="003B145A"/>
    <w:rsid w:val="003B171D"/>
    <w:rsid w:val="003B2CFF"/>
    <w:rsid w:val="003B2D99"/>
    <w:rsid w:val="003B37DE"/>
    <w:rsid w:val="003B3C19"/>
    <w:rsid w:val="003B3D3C"/>
    <w:rsid w:val="003B46A8"/>
    <w:rsid w:val="003B4A82"/>
    <w:rsid w:val="003B50D7"/>
    <w:rsid w:val="003B5CE9"/>
    <w:rsid w:val="003B5E3E"/>
    <w:rsid w:val="003B5F10"/>
    <w:rsid w:val="003B5F60"/>
    <w:rsid w:val="003B65B2"/>
    <w:rsid w:val="003B75D5"/>
    <w:rsid w:val="003B78C7"/>
    <w:rsid w:val="003B7EA7"/>
    <w:rsid w:val="003C000A"/>
    <w:rsid w:val="003C09BC"/>
    <w:rsid w:val="003C0C60"/>
    <w:rsid w:val="003C1173"/>
    <w:rsid w:val="003C12FF"/>
    <w:rsid w:val="003C15FE"/>
    <w:rsid w:val="003C1973"/>
    <w:rsid w:val="003C1AAE"/>
    <w:rsid w:val="003C1CCE"/>
    <w:rsid w:val="003C1FD9"/>
    <w:rsid w:val="003C21CA"/>
    <w:rsid w:val="003C2520"/>
    <w:rsid w:val="003C26DC"/>
    <w:rsid w:val="003C2781"/>
    <w:rsid w:val="003C2824"/>
    <w:rsid w:val="003C2963"/>
    <w:rsid w:val="003C2BD5"/>
    <w:rsid w:val="003C32DC"/>
    <w:rsid w:val="003C3554"/>
    <w:rsid w:val="003C376F"/>
    <w:rsid w:val="003C4179"/>
    <w:rsid w:val="003C46BC"/>
    <w:rsid w:val="003C4B1C"/>
    <w:rsid w:val="003C4E92"/>
    <w:rsid w:val="003C5660"/>
    <w:rsid w:val="003C5ED9"/>
    <w:rsid w:val="003C6647"/>
    <w:rsid w:val="003C6B88"/>
    <w:rsid w:val="003C6E9F"/>
    <w:rsid w:val="003C7151"/>
    <w:rsid w:val="003C71DC"/>
    <w:rsid w:val="003C74EA"/>
    <w:rsid w:val="003C79B8"/>
    <w:rsid w:val="003C7A0B"/>
    <w:rsid w:val="003C7BBF"/>
    <w:rsid w:val="003C7DC2"/>
    <w:rsid w:val="003D004E"/>
    <w:rsid w:val="003D014D"/>
    <w:rsid w:val="003D02D5"/>
    <w:rsid w:val="003D02F8"/>
    <w:rsid w:val="003D0375"/>
    <w:rsid w:val="003D05C7"/>
    <w:rsid w:val="003D0F8F"/>
    <w:rsid w:val="003D19B2"/>
    <w:rsid w:val="003D1A45"/>
    <w:rsid w:val="003D202B"/>
    <w:rsid w:val="003D259B"/>
    <w:rsid w:val="003D2E38"/>
    <w:rsid w:val="003D31C9"/>
    <w:rsid w:val="003D340D"/>
    <w:rsid w:val="003D385A"/>
    <w:rsid w:val="003D38D8"/>
    <w:rsid w:val="003D3A83"/>
    <w:rsid w:val="003D404C"/>
    <w:rsid w:val="003D4560"/>
    <w:rsid w:val="003D4D5A"/>
    <w:rsid w:val="003D4DB8"/>
    <w:rsid w:val="003D515A"/>
    <w:rsid w:val="003D52DD"/>
    <w:rsid w:val="003D5C1B"/>
    <w:rsid w:val="003D6224"/>
    <w:rsid w:val="003D6C7B"/>
    <w:rsid w:val="003D74B5"/>
    <w:rsid w:val="003D7859"/>
    <w:rsid w:val="003D79AE"/>
    <w:rsid w:val="003E0026"/>
    <w:rsid w:val="003E0029"/>
    <w:rsid w:val="003E0572"/>
    <w:rsid w:val="003E05E7"/>
    <w:rsid w:val="003E092B"/>
    <w:rsid w:val="003E0EE0"/>
    <w:rsid w:val="003E0EEC"/>
    <w:rsid w:val="003E13CF"/>
    <w:rsid w:val="003E20CE"/>
    <w:rsid w:val="003E2605"/>
    <w:rsid w:val="003E2B17"/>
    <w:rsid w:val="003E2B97"/>
    <w:rsid w:val="003E2E41"/>
    <w:rsid w:val="003E3358"/>
    <w:rsid w:val="003E345B"/>
    <w:rsid w:val="003E377A"/>
    <w:rsid w:val="003E3A7A"/>
    <w:rsid w:val="003E3B5F"/>
    <w:rsid w:val="003E3D34"/>
    <w:rsid w:val="003E3DE3"/>
    <w:rsid w:val="003E3FAA"/>
    <w:rsid w:val="003E413D"/>
    <w:rsid w:val="003E4850"/>
    <w:rsid w:val="003E5045"/>
    <w:rsid w:val="003E5C7C"/>
    <w:rsid w:val="003E611A"/>
    <w:rsid w:val="003E63A5"/>
    <w:rsid w:val="003E6AF1"/>
    <w:rsid w:val="003E6B15"/>
    <w:rsid w:val="003E6EE2"/>
    <w:rsid w:val="003E70E7"/>
    <w:rsid w:val="003F0153"/>
    <w:rsid w:val="003F026E"/>
    <w:rsid w:val="003F0653"/>
    <w:rsid w:val="003F0EA2"/>
    <w:rsid w:val="003F1A75"/>
    <w:rsid w:val="003F2012"/>
    <w:rsid w:val="003F2B84"/>
    <w:rsid w:val="003F2BD2"/>
    <w:rsid w:val="003F3548"/>
    <w:rsid w:val="003F3A79"/>
    <w:rsid w:val="003F4080"/>
    <w:rsid w:val="003F437B"/>
    <w:rsid w:val="003F46AB"/>
    <w:rsid w:val="003F4868"/>
    <w:rsid w:val="003F4AE0"/>
    <w:rsid w:val="003F4D37"/>
    <w:rsid w:val="003F5195"/>
    <w:rsid w:val="003F5A17"/>
    <w:rsid w:val="003F67A8"/>
    <w:rsid w:val="003F6AF0"/>
    <w:rsid w:val="003F6E9B"/>
    <w:rsid w:val="003F73B6"/>
    <w:rsid w:val="003F74B5"/>
    <w:rsid w:val="0040042C"/>
    <w:rsid w:val="00400ED1"/>
    <w:rsid w:val="00401114"/>
    <w:rsid w:val="00401F4E"/>
    <w:rsid w:val="00403148"/>
    <w:rsid w:val="004037BC"/>
    <w:rsid w:val="00403D42"/>
    <w:rsid w:val="00403F00"/>
    <w:rsid w:val="00403FFC"/>
    <w:rsid w:val="0040400D"/>
    <w:rsid w:val="00404CE4"/>
    <w:rsid w:val="0040576B"/>
    <w:rsid w:val="00405B0F"/>
    <w:rsid w:val="004061F9"/>
    <w:rsid w:val="004061FE"/>
    <w:rsid w:val="00406CD5"/>
    <w:rsid w:val="00406CF6"/>
    <w:rsid w:val="00406D3B"/>
    <w:rsid w:val="00406FF3"/>
    <w:rsid w:val="00407062"/>
    <w:rsid w:val="0040706E"/>
    <w:rsid w:val="00407378"/>
    <w:rsid w:val="00407794"/>
    <w:rsid w:val="00407911"/>
    <w:rsid w:val="0041018C"/>
    <w:rsid w:val="00410368"/>
    <w:rsid w:val="00410B29"/>
    <w:rsid w:val="00410F53"/>
    <w:rsid w:val="00412780"/>
    <w:rsid w:val="004129C3"/>
    <w:rsid w:val="00413040"/>
    <w:rsid w:val="004131F6"/>
    <w:rsid w:val="00413984"/>
    <w:rsid w:val="00413EF6"/>
    <w:rsid w:val="00414323"/>
    <w:rsid w:val="0041486D"/>
    <w:rsid w:val="00414E7D"/>
    <w:rsid w:val="00415628"/>
    <w:rsid w:val="00415AF3"/>
    <w:rsid w:val="004160E5"/>
    <w:rsid w:val="004162E1"/>
    <w:rsid w:val="004163AF"/>
    <w:rsid w:val="00416557"/>
    <w:rsid w:val="00416D3A"/>
    <w:rsid w:val="00417525"/>
    <w:rsid w:val="004179D7"/>
    <w:rsid w:val="00417C66"/>
    <w:rsid w:val="00417F17"/>
    <w:rsid w:val="00417FE4"/>
    <w:rsid w:val="00420754"/>
    <w:rsid w:val="0042161C"/>
    <w:rsid w:val="00421A76"/>
    <w:rsid w:val="00421C68"/>
    <w:rsid w:val="00423666"/>
    <w:rsid w:val="0042450D"/>
    <w:rsid w:val="0042480E"/>
    <w:rsid w:val="00425053"/>
    <w:rsid w:val="00425260"/>
    <w:rsid w:val="00425482"/>
    <w:rsid w:val="00425653"/>
    <w:rsid w:val="00425948"/>
    <w:rsid w:val="00426149"/>
    <w:rsid w:val="0042624D"/>
    <w:rsid w:val="004263AE"/>
    <w:rsid w:val="004269D5"/>
    <w:rsid w:val="00426A22"/>
    <w:rsid w:val="0042701C"/>
    <w:rsid w:val="004270DD"/>
    <w:rsid w:val="0042713A"/>
    <w:rsid w:val="004274E2"/>
    <w:rsid w:val="00427A9C"/>
    <w:rsid w:val="00427EB9"/>
    <w:rsid w:val="0043039A"/>
    <w:rsid w:val="00430B78"/>
    <w:rsid w:val="00431160"/>
    <w:rsid w:val="004317E9"/>
    <w:rsid w:val="0043195C"/>
    <w:rsid w:val="00431DA1"/>
    <w:rsid w:val="00431EA7"/>
    <w:rsid w:val="00432532"/>
    <w:rsid w:val="00432841"/>
    <w:rsid w:val="0043291A"/>
    <w:rsid w:val="00432F58"/>
    <w:rsid w:val="004333C1"/>
    <w:rsid w:val="004336BB"/>
    <w:rsid w:val="00433712"/>
    <w:rsid w:val="00433835"/>
    <w:rsid w:val="00433839"/>
    <w:rsid w:val="00433B66"/>
    <w:rsid w:val="00433E78"/>
    <w:rsid w:val="00433FD2"/>
    <w:rsid w:val="00434E14"/>
    <w:rsid w:val="00435885"/>
    <w:rsid w:val="00435AA5"/>
    <w:rsid w:val="00435CD9"/>
    <w:rsid w:val="00435F09"/>
    <w:rsid w:val="004365B3"/>
    <w:rsid w:val="00436766"/>
    <w:rsid w:val="00436C4C"/>
    <w:rsid w:val="00436E03"/>
    <w:rsid w:val="00437AAA"/>
    <w:rsid w:val="00437C8C"/>
    <w:rsid w:val="00440BB0"/>
    <w:rsid w:val="00440FBD"/>
    <w:rsid w:val="004417D2"/>
    <w:rsid w:val="00441B7C"/>
    <w:rsid w:val="00441C39"/>
    <w:rsid w:val="00441D4F"/>
    <w:rsid w:val="004425D7"/>
    <w:rsid w:val="00442777"/>
    <w:rsid w:val="00443460"/>
    <w:rsid w:val="004436F0"/>
    <w:rsid w:val="004437CD"/>
    <w:rsid w:val="004442CA"/>
    <w:rsid w:val="00444460"/>
    <w:rsid w:val="004448BD"/>
    <w:rsid w:val="004453A6"/>
    <w:rsid w:val="00445C41"/>
    <w:rsid w:val="00446CEF"/>
    <w:rsid w:val="00446E42"/>
    <w:rsid w:val="004471A7"/>
    <w:rsid w:val="00447945"/>
    <w:rsid w:val="00450915"/>
    <w:rsid w:val="00450C93"/>
    <w:rsid w:val="00450E38"/>
    <w:rsid w:val="004511B6"/>
    <w:rsid w:val="00451762"/>
    <w:rsid w:val="00451793"/>
    <w:rsid w:val="004520E9"/>
    <w:rsid w:val="0045224C"/>
    <w:rsid w:val="004527AC"/>
    <w:rsid w:val="00452C88"/>
    <w:rsid w:val="004535CC"/>
    <w:rsid w:val="00453774"/>
    <w:rsid w:val="004537A2"/>
    <w:rsid w:val="004539B3"/>
    <w:rsid w:val="00453A07"/>
    <w:rsid w:val="00454131"/>
    <w:rsid w:val="004545D4"/>
    <w:rsid w:val="004547D3"/>
    <w:rsid w:val="00454E08"/>
    <w:rsid w:val="00455C0A"/>
    <w:rsid w:val="00455F0E"/>
    <w:rsid w:val="00456704"/>
    <w:rsid w:val="004567A1"/>
    <w:rsid w:val="00456945"/>
    <w:rsid w:val="00456B2F"/>
    <w:rsid w:val="00457958"/>
    <w:rsid w:val="00457B7F"/>
    <w:rsid w:val="004616C0"/>
    <w:rsid w:val="004617B5"/>
    <w:rsid w:val="004617CE"/>
    <w:rsid w:val="00461B5E"/>
    <w:rsid w:val="004623FA"/>
    <w:rsid w:val="00462772"/>
    <w:rsid w:val="004627AB"/>
    <w:rsid w:val="00462D05"/>
    <w:rsid w:val="00462DD4"/>
    <w:rsid w:val="00462ED0"/>
    <w:rsid w:val="00463400"/>
    <w:rsid w:val="00463A4C"/>
    <w:rsid w:val="00463AC8"/>
    <w:rsid w:val="00463AC9"/>
    <w:rsid w:val="004644CD"/>
    <w:rsid w:val="00464A65"/>
    <w:rsid w:val="00464B6C"/>
    <w:rsid w:val="00464D00"/>
    <w:rsid w:val="00464DCF"/>
    <w:rsid w:val="00464EE3"/>
    <w:rsid w:val="0046532A"/>
    <w:rsid w:val="004654C8"/>
    <w:rsid w:val="004661D8"/>
    <w:rsid w:val="004665FC"/>
    <w:rsid w:val="0046789E"/>
    <w:rsid w:val="0046792E"/>
    <w:rsid w:val="00467E18"/>
    <w:rsid w:val="00470194"/>
    <w:rsid w:val="004705A2"/>
    <w:rsid w:val="0047117C"/>
    <w:rsid w:val="0047129A"/>
    <w:rsid w:val="00471D8D"/>
    <w:rsid w:val="00472267"/>
    <w:rsid w:val="00472C58"/>
    <w:rsid w:val="004730DA"/>
    <w:rsid w:val="004734F7"/>
    <w:rsid w:val="004735A2"/>
    <w:rsid w:val="00474D51"/>
    <w:rsid w:val="00474E2E"/>
    <w:rsid w:val="00475459"/>
    <w:rsid w:val="004754E1"/>
    <w:rsid w:val="00475E25"/>
    <w:rsid w:val="0047641D"/>
    <w:rsid w:val="0047653D"/>
    <w:rsid w:val="00476754"/>
    <w:rsid w:val="004768D8"/>
    <w:rsid w:val="0047695B"/>
    <w:rsid w:val="00476BB0"/>
    <w:rsid w:val="00476BE2"/>
    <w:rsid w:val="00476D1A"/>
    <w:rsid w:val="004774B6"/>
    <w:rsid w:val="0047757A"/>
    <w:rsid w:val="00477A0A"/>
    <w:rsid w:val="00477ECC"/>
    <w:rsid w:val="00480118"/>
    <w:rsid w:val="004804AD"/>
    <w:rsid w:val="0048158A"/>
    <w:rsid w:val="004819F5"/>
    <w:rsid w:val="00481CDE"/>
    <w:rsid w:val="00481F0D"/>
    <w:rsid w:val="00482464"/>
    <w:rsid w:val="004824CA"/>
    <w:rsid w:val="004825A9"/>
    <w:rsid w:val="00482657"/>
    <w:rsid w:val="00482AA8"/>
    <w:rsid w:val="004831CA"/>
    <w:rsid w:val="00483652"/>
    <w:rsid w:val="00483F56"/>
    <w:rsid w:val="00484014"/>
    <w:rsid w:val="00484566"/>
    <w:rsid w:val="00485509"/>
    <w:rsid w:val="00485581"/>
    <w:rsid w:val="00485585"/>
    <w:rsid w:val="0048590E"/>
    <w:rsid w:val="0048593B"/>
    <w:rsid w:val="0048655F"/>
    <w:rsid w:val="00490103"/>
    <w:rsid w:val="00490136"/>
    <w:rsid w:val="004905CD"/>
    <w:rsid w:val="00490AFD"/>
    <w:rsid w:val="00491A76"/>
    <w:rsid w:val="00491AD1"/>
    <w:rsid w:val="00491B07"/>
    <w:rsid w:val="00492436"/>
    <w:rsid w:val="004928A8"/>
    <w:rsid w:val="00492A05"/>
    <w:rsid w:val="00492F87"/>
    <w:rsid w:val="004930DF"/>
    <w:rsid w:val="00493773"/>
    <w:rsid w:val="00493F13"/>
    <w:rsid w:val="00493F28"/>
    <w:rsid w:val="0049444E"/>
    <w:rsid w:val="00494BCA"/>
    <w:rsid w:val="00494E24"/>
    <w:rsid w:val="00494EC9"/>
    <w:rsid w:val="00494EF6"/>
    <w:rsid w:val="004951C8"/>
    <w:rsid w:val="004956C2"/>
    <w:rsid w:val="00495A8A"/>
    <w:rsid w:val="00495E54"/>
    <w:rsid w:val="00495FFC"/>
    <w:rsid w:val="0049634E"/>
    <w:rsid w:val="004967E3"/>
    <w:rsid w:val="004975AB"/>
    <w:rsid w:val="00497A41"/>
    <w:rsid w:val="00497A66"/>
    <w:rsid w:val="00497BC0"/>
    <w:rsid w:val="004A0C35"/>
    <w:rsid w:val="004A0CA9"/>
    <w:rsid w:val="004A0DFB"/>
    <w:rsid w:val="004A0F8C"/>
    <w:rsid w:val="004A10F3"/>
    <w:rsid w:val="004A1250"/>
    <w:rsid w:val="004A14B9"/>
    <w:rsid w:val="004A169B"/>
    <w:rsid w:val="004A2116"/>
    <w:rsid w:val="004A22F6"/>
    <w:rsid w:val="004A2C5D"/>
    <w:rsid w:val="004A31F7"/>
    <w:rsid w:val="004A362C"/>
    <w:rsid w:val="004A39CF"/>
    <w:rsid w:val="004A3CD1"/>
    <w:rsid w:val="004A3FA4"/>
    <w:rsid w:val="004A4075"/>
    <w:rsid w:val="004A43A5"/>
    <w:rsid w:val="004A481C"/>
    <w:rsid w:val="004A49A4"/>
    <w:rsid w:val="004A49F0"/>
    <w:rsid w:val="004A4BDA"/>
    <w:rsid w:val="004A5745"/>
    <w:rsid w:val="004A5DFC"/>
    <w:rsid w:val="004A600A"/>
    <w:rsid w:val="004A72F5"/>
    <w:rsid w:val="004A74F2"/>
    <w:rsid w:val="004A7783"/>
    <w:rsid w:val="004A7B1A"/>
    <w:rsid w:val="004A7E73"/>
    <w:rsid w:val="004B0AB6"/>
    <w:rsid w:val="004B0BA2"/>
    <w:rsid w:val="004B12C3"/>
    <w:rsid w:val="004B23BF"/>
    <w:rsid w:val="004B2666"/>
    <w:rsid w:val="004B2755"/>
    <w:rsid w:val="004B2CAA"/>
    <w:rsid w:val="004B2D4B"/>
    <w:rsid w:val="004B3162"/>
    <w:rsid w:val="004B343F"/>
    <w:rsid w:val="004B3920"/>
    <w:rsid w:val="004B3BC1"/>
    <w:rsid w:val="004B3DB4"/>
    <w:rsid w:val="004B4033"/>
    <w:rsid w:val="004B416D"/>
    <w:rsid w:val="004B422F"/>
    <w:rsid w:val="004B4D5C"/>
    <w:rsid w:val="004B52A8"/>
    <w:rsid w:val="004B5696"/>
    <w:rsid w:val="004B57A1"/>
    <w:rsid w:val="004B5C68"/>
    <w:rsid w:val="004B5E3D"/>
    <w:rsid w:val="004B6536"/>
    <w:rsid w:val="004B6942"/>
    <w:rsid w:val="004B6B8E"/>
    <w:rsid w:val="004B70C8"/>
    <w:rsid w:val="004B739B"/>
    <w:rsid w:val="004B75B5"/>
    <w:rsid w:val="004B79D3"/>
    <w:rsid w:val="004C039F"/>
    <w:rsid w:val="004C0575"/>
    <w:rsid w:val="004C0B3B"/>
    <w:rsid w:val="004C1C09"/>
    <w:rsid w:val="004C22BB"/>
    <w:rsid w:val="004C2386"/>
    <w:rsid w:val="004C27C9"/>
    <w:rsid w:val="004C2B82"/>
    <w:rsid w:val="004C3B22"/>
    <w:rsid w:val="004C3EE0"/>
    <w:rsid w:val="004C413A"/>
    <w:rsid w:val="004C461C"/>
    <w:rsid w:val="004C4638"/>
    <w:rsid w:val="004C4639"/>
    <w:rsid w:val="004C4E64"/>
    <w:rsid w:val="004C54A3"/>
    <w:rsid w:val="004C598A"/>
    <w:rsid w:val="004C5C61"/>
    <w:rsid w:val="004C5F9E"/>
    <w:rsid w:val="004C6587"/>
    <w:rsid w:val="004C6A4D"/>
    <w:rsid w:val="004C6AAF"/>
    <w:rsid w:val="004C6E32"/>
    <w:rsid w:val="004C737D"/>
    <w:rsid w:val="004C7996"/>
    <w:rsid w:val="004D0D27"/>
    <w:rsid w:val="004D266C"/>
    <w:rsid w:val="004D26E6"/>
    <w:rsid w:val="004D375B"/>
    <w:rsid w:val="004D3A83"/>
    <w:rsid w:val="004D3DCB"/>
    <w:rsid w:val="004D4038"/>
    <w:rsid w:val="004D52F9"/>
    <w:rsid w:val="004D544E"/>
    <w:rsid w:val="004D5513"/>
    <w:rsid w:val="004D56E3"/>
    <w:rsid w:val="004D5AE2"/>
    <w:rsid w:val="004D5C63"/>
    <w:rsid w:val="004D5C86"/>
    <w:rsid w:val="004D6049"/>
    <w:rsid w:val="004D606F"/>
    <w:rsid w:val="004D62A4"/>
    <w:rsid w:val="004D64B6"/>
    <w:rsid w:val="004D6639"/>
    <w:rsid w:val="004D6E7E"/>
    <w:rsid w:val="004D7BCF"/>
    <w:rsid w:val="004E0736"/>
    <w:rsid w:val="004E0B7D"/>
    <w:rsid w:val="004E0BD8"/>
    <w:rsid w:val="004E0FBC"/>
    <w:rsid w:val="004E1BC5"/>
    <w:rsid w:val="004E1D16"/>
    <w:rsid w:val="004E2174"/>
    <w:rsid w:val="004E2A7C"/>
    <w:rsid w:val="004E36CF"/>
    <w:rsid w:val="004E3754"/>
    <w:rsid w:val="004E38D6"/>
    <w:rsid w:val="004E3AEC"/>
    <w:rsid w:val="004E3C48"/>
    <w:rsid w:val="004E3CA4"/>
    <w:rsid w:val="004E3CB1"/>
    <w:rsid w:val="004E3D05"/>
    <w:rsid w:val="004E3E09"/>
    <w:rsid w:val="004E41FA"/>
    <w:rsid w:val="004E4667"/>
    <w:rsid w:val="004E4AEF"/>
    <w:rsid w:val="004E529E"/>
    <w:rsid w:val="004E5352"/>
    <w:rsid w:val="004E547E"/>
    <w:rsid w:val="004E558D"/>
    <w:rsid w:val="004E60A8"/>
    <w:rsid w:val="004E6144"/>
    <w:rsid w:val="004E739A"/>
    <w:rsid w:val="004E73C5"/>
    <w:rsid w:val="004E7C43"/>
    <w:rsid w:val="004F0103"/>
    <w:rsid w:val="004F01F2"/>
    <w:rsid w:val="004F02C2"/>
    <w:rsid w:val="004F1186"/>
    <w:rsid w:val="004F15EA"/>
    <w:rsid w:val="004F1778"/>
    <w:rsid w:val="004F187D"/>
    <w:rsid w:val="004F1BDA"/>
    <w:rsid w:val="004F2482"/>
    <w:rsid w:val="004F2C3C"/>
    <w:rsid w:val="004F3152"/>
    <w:rsid w:val="004F347E"/>
    <w:rsid w:val="004F3679"/>
    <w:rsid w:val="004F42FE"/>
    <w:rsid w:val="004F45EF"/>
    <w:rsid w:val="004F48CD"/>
    <w:rsid w:val="004F4913"/>
    <w:rsid w:val="004F58D4"/>
    <w:rsid w:val="004F5B1C"/>
    <w:rsid w:val="004F5E9D"/>
    <w:rsid w:val="004F636A"/>
    <w:rsid w:val="004F6F69"/>
    <w:rsid w:val="004F7E75"/>
    <w:rsid w:val="004F7ED2"/>
    <w:rsid w:val="004F7F70"/>
    <w:rsid w:val="00500770"/>
    <w:rsid w:val="00501189"/>
    <w:rsid w:val="00501657"/>
    <w:rsid w:val="005019EE"/>
    <w:rsid w:val="00501C13"/>
    <w:rsid w:val="005030CE"/>
    <w:rsid w:val="005030EB"/>
    <w:rsid w:val="005031CB"/>
    <w:rsid w:val="00503469"/>
    <w:rsid w:val="00503CF9"/>
    <w:rsid w:val="00503F7E"/>
    <w:rsid w:val="00504565"/>
    <w:rsid w:val="005053F5"/>
    <w:rsid w:val="005058A9"/>
    <w:rsid w:val="005059B8"/>
    <w:rsid w:val="00506011"/>
    <w:rsid w:val="00506065"/>
    <w:rsid w:val="0050642D"/>
    <w:rsid w:val="005065D3"/>
    <w:rsid w:val="00506DE6"/>
    <w:rsid w:val="00507063"/>
    <w:rsid w:val="005073C0"/>
    <w:rsid w:val="005103B8"/>
    <w:rsid w:val="00510597"/>
    <w:rsid w:val="005108E5"/>
    <w:rsid w:val="00510B73"/>
    <w:rsid w:val="00511642"/>
    <w:rsid w:val="005117A8"/>
    <w:rsid w:val="005118A8"/>
    <w:rsid w:val="0051191A"/>
    <w:rsid w:val="00512043"/>
    <w:rsid w:val="00512560"/>
    <w:rsid w:val="00512EB4"/>
    <w:rsid w:val="00513C76"/>
    <w:rsid w:val="0051479E"/>
    <w:rsid w:val="005147B0"/>
    <w:rsid w:val="00514962"/>
    <w:rsid w:val="00514EBA"/>
    <w:rsid w:val="005154D3"/>
    <w:rsid w:val="00515641"/>
    <w:rsid w:val="00515D35"/>
    <w:rsid w:val="005168EC"/>
    <w:rsid w:val="00516BD9"/>
    <w:rsid w:val="00520572"/>
    <w:rsid w:val="00520B8F"/>
    <w:rsid w:val="00520F98"/>
    <w:rsid w:val="00522382"/>
    <w:rsid w:val="0052245A"/>
    <w:rsid w:val="00522A36"/>
    <w:rsid w:val="00522A76"/>
    <w:rsid w:val="00522E1C"/>
    <w:rsid w:val="00522EBB"/>
    <w:rsid w:val="005232AA"/>
    <w:rsid w:val="005239BA"/>
    <w:rsid w:val="00523A52"/>
    <w:rsid w:val="00523D96"/>
    <w:rsid w:val="00523DB6"/>
    <w:rsid w:val="00524750"/>
    <w:rsid w:val="00524D7B"/>
    <w:rsid w:val="00524DA3"/>
    <w:rsid w:val="00524EB8"/>
    <w:rsid w:val="00525177"/>
    <w:rsid w:val="005252E7"/>
    <w:rsid w:val="005254BB"/>
    <w:rsid w:val="0052577D"/>
    <w:rsid w:val="00525A73"/>
    <w:rsid w:val="0052692C"/>
    <w:rsid w:val="00526E98"/>
    <w:rsid w:val="0052705A"/>
    <w:rsid w:val="005270DE"/>
    <w:rsid w:val="0052745E"/>
    <w:rsid w:val="00527D03"/>
    <w:rsid w:val="00530712"/>
    <w:rsid w:val="00530B62"/>
    <w:rsid w:val="00530E67"/>
    <w:rsid w:val="0053153D"/>
    <w:rsid w:val="00531555"/>
    <w:rsid w:val="005319C3"/>
    <w:rsid w:val="00531B1B"/>
    <w:rsid w:val="00532A70"/>
    <w:rsid w:val="00533316"/>
    <w:rsid w:val="00533D48"/>
    <w:rsid w:val="00533F85"/>
    <w:rsid w:val="00534138"/>
    <w:rsid w:val="00534347"/>
    <w:rsid w:val="005346F7"/>
    <w:rsid w:val="00534909"/>
    <w:rsid w:val="00535868"/>
    <w:rsid w:val="00535BC2"/>
    <w:rsid w:val="005366B3"/>
    <w:rsid w:val="00536995"/>
    <w:rsid w:val="00536C6F"/>
    <w:rsid w:val="00536F2D"/>
    <w:rsid w:val="0053704A"/>
    <w:rsid w:val="00537111"/>
    <w:rsid w:val="00537154"/>
    <w:rsid w:val="00537848"/>
    <w:rsid w:val="00537FD6"/>
    <w:rsid w:val="00540461"/>
    <w:rsid w:val="00540777"/>
    <w:rsid w:val="00540D69"/>
    <w:rsid w:val="00541D52"/>
    <w:rsid w:val="005420DE"/>
    <w:rsid w:val="005427C0"/>
    <w:rsid w:val="00542AAA"/>
    <w:rsid w:val="00542CBF"/>
    <w:rsid w:val="00543204"/>
    <w:rsid w:val="005432E1"/>
    <w:rsid w:val="00543632"/>
    <w:rsid w:val="0054381D"/>
    <w:rsid w:val="00543B3B"/>
    <w:rsid w:val="00543EBC"/>
    <w:rsid w:val="00543EE5"/>
    <w:rsid w:val="00544645"/>
    <w:rsid w:val="00544A98"/>
    <w:rsid w:val="00544EA8"/>
    <w:rsid w:val="00545073"/>
    <w:rsid w:val="00545342"/>
    <w:rsid w:val="00545E86"/>
    <w:rsid w:val="00546167"/>
    <w:rsid w:val="0054622F"/>
    <w:rsid w:val="00546946"/>
    <w:rsid w:val="00546CE0"/>
    <w:rsid w:val="00546F8D"/>
    <w:rsid w:val="005470FB"/>
    <w:rsid w:val="0054776F"/>
    <w:rsid w:val="00547BFC"/>
    <w:rsid w:val="00547FD0"/>
    <w:rsid w:val="00550AE0"/>
    <w:rsid w:val="00550D84"/>
    <w:rsid w:val="00550FF8"/>
    <w:rsid w:val="00551097"/>
    <w:rsid w:val="00551285"/>
    <w:rsid w:val="005513C6"/>
    <w:rsid w:val="005519D5"/>
    <w:rsid w:val="00551D2B"/>
    <w:rsid w:val="00552383"/>
    <w:rsid w:val="00552479"/>
    <w:rsid w:val="00552552"/>
    <w:rsid w:val="005527B3"/>
    <w:rsid w:val="005537FB"/>
    <w:rsid w:val="00553945"/>
    <w:rsid w:val="00554148"/>
    <w:rsid w:val="005541CC"/>
    <w:rsid w:val="00554368"/>
    <w:rsid w:val="00554469"/>
    <w:rsid w:val="005544D8"/>
    <w:rsid w:val="00555FB5"/>
    <w:rsid w:val="005560AD"/>
    <w:rsid w:val="005569A0"/>
    <w:rsid w:val="005571DA"/>
    <w:rsid w:val="00557686"/>
    <w:rsid w:val="00557AEF"/>
    <w:rsid w:val="00557CA7"/>
    <w:rsid w:val="00557E83"/>
    <w:rsid w:val="00560023"/>
    <w:rsid w:val="00560147"/>
    <w:rsid w:val="005605C1"/>
    <w:rsid w:val="00560876"/>
    <w:rsid w:val="005611E1"/>
    <w:rsid w:val="00561271"/>
    <w:rsid w:val="00561321"/>
    <w:rsid w:val="00561A01"/>
    <w:rsid w:val="00561BC6"/>
    <w:rsid w:val="00561C19"/>
    <w:rsid w:val="00561F24"/>
    <w:rsid w:val="00561F47"/>
    <w:rsid w:val="00562A30"/>
    <w:rsid w:val="00563ACD"/>
    <w:rsid w:val="00563DD0"/>
    <w:rsid w:val="00563E65"/>
    <w:rsid w:val="00563F6D"/>
    <w:rsid w:val="00564B0C"/>
    <w:rsid w:val="00564C13"/>
    <w:rsid w:val="0056520F"/>
    <w:rsid w:val="00565869"/>
    <w:rsid w:val="00565A10"/>
    <w:rsid w:val="005668AB"/>
    <w:rsid w:val="005668EE"/>
    <w:rsid w:val="0056690E"/>
    <w:rsid w:val="00566962"/>
    <w:rsid w:val="005675FC"/>
    <w:rsid w:val="005678E8"/>
    <w:rsid w:val="00567C94"/>
    <w:rsid w:val="00570412"/>
    <w:rsid w:val="0057074F"/>
    <w:rsid w:val="00570DA0"/>
    <w:rsid w:val="005711A5"/>
    <w:rsid w:val="00571971"/>
    <w:rsid w:val="005728BC"/>
    <w:rsid w:val="00572F85"/>
    <w:rsid w:val="005731CE"/>
    <w:rsid w:val="00573433"/>
    <w:rsid w:val="00573AE4"/>
    <w:rsid w:val="005740E0"/>
    <w:rsid w:val="005749C6"/>
    <w:rsid w:val="00574A81"/>
    <w:rsid w:val="00574CA7"/>
    <w:rsid w:val="00574FBE"/>
    <w:rsid w:val="00575776"/>
    <w:rsid w:val="00575FD5"/>
    <w:rsid w:val="00576A54"/>
    <w:rsid w:val="00576BFA"/>
    <w:rsid w:val="005770C2"/>
    <w:rsid w:val="00577427"/>
    <w:rsid w:val="00577BDD"/>
    <w:rsid w:val="00577EA0"/>
    <w:rsid w:val="00580ABD"/>
    <w:rsid w:val="00580D3F"/>
    <w:rsid w:val="00580F35"/>
    <w:rsid w:val="00581B5B"/>
    <w:rsid w:val="00581DA9"/>
    <w:rsid w:val="00581EF8"/>
    <w:rsid w:val="005820B0"/>
    <w:rsid w:val="00583004"/>
    <w:rsid w:val="00583A5E"/>
    <w:rsid w:val="005843EB"/>
    <w:rsid w:val="00585613"/>
    <w:rsid w:val="00585B27"/>
    <w:rsid w:val="00585BBC"/>
    <w:rsid w:val="00585CC3"/>
    <w:rsid w:val="0058600B"/>
    <w:rsid w:val="00586587"/>
    <w:rsid w:val="0058688F"/>
    <w:rsid w:val="00586D5F"/>
    <w:rsid w:val="00586FD7"/>
    <w:rsid w:val="00587529"/>
    <w:rsid w:val="00587A5E"/>
    <w:rsid w:val="00587DA7"/>
    <w:rsid w:val="00587EF4"/>
    <w:rsid w:val="0059064B"/>
    <w:rsid w:val="00590938"/>
    <w:rsid w:val="0059122F"/>
    <w:rsid w:val="00591FF2"/>
    <w:rsid w:val="005920E4"/>
    <w:rsid w:val="00592210"/>
    <w:rsid w:val="005930BE"/>
    <w:rsid w:val="0059374B"/>
    <w:rsid w:val="00593A4B"/>
    <w:rsid w:val="00593FF0"/>
    <w:rsid w:val="005944DA"/>
    <w:rsid w:val="00594C8D"/>
    <w:rsid w:val="005953CB"/>
    <w:rsid w:val="00595774"/>
    <w:rsid w:val="00595CDE"/>
    <w:rsid w:val="00596311"/>
    <w:rsid w:val="00596361"/>
    <w:rsid w:val="00596AB2"/>
    <w:rsid w:val="0059749D"/>
    <w:rsid w:val="005974A6"/>
    <w:rsid w:val="005A0196"/>
    <w:rsid w:val="005A0C52"/>
    <w:rsid w:val="005A121C"/>
    <w:rsid w:val="005A14D6"/>
    <w:rsid w:val="005A1503"/>
    <w:rsid w:val="005A19AE"/>
    <w:rsid w:val="005A1D54"/>
    <w:rsid w:val="005A1E35"/>
    <w:rsid w:val="005A207E"/>
    <w:rsid w:val="005A2B82"/>
    <w:rsid w:val="005A2E81"/>
    <w:rsid w:val="005A35D5"/>
    <w:rsid w:val="005A3A71"/>
    <w:rsid w:val="005A3FBA"/>
    <w:rsid w:val="005A55C0"/>
    <w:rsid w:val="005A5B77"/>
    <w:rsid w:val="005A69FF"/>
    <w:rsid w:val="005A7549"/>
    <w:rsid w:val="005A77E2"/>
    <w:rsid w:val="005A786D"/>
    <w:rsid w:val="005A79C9"/>
    <w:rsid w:val="005A7C2E"/>
    <w:rsid w:val="005A7E44"/>
    <w:rsid w:val="005B047F"/>
    <w:rsid w:val="005B0706"/>
    <w:rsid w:val="005B0A89"/>
    <w:rsid w:val="005B0E39"/>
    <w:rsid w:val="005B1337"/>
    <w:rsid w:val="005B14AF"/>
    <w:rsid w:val="005B18F5"/>
    <w:rsid w:val="005B2578"/>
    <w:rsid w:val="005B3B2E"/>
    <w:rsid w:val="005B4B65"/>
    <w:rsid w:val="005B4C38"/>
    <w:rsid w:val="005B4D3A"/>
    <w:rsid w:val="005B562D"/>
    <w:rsid w:val="005B5637"/>
    <w:rsid w:val="005B7036"/>
    <w:rsid w:val="005B7250"/>
    <w:rsid w:val="005B73F2"/>
    <w:rsid w:val="005B74CE"/>
    <w:rsid w:val="005B7572"/>
    <w:rsid w:val="005C0085"/>
    <w:rsid w:val="005C02E3"/>
    <w:rsid w:val="005C0910"/>
    <w:rsid w:val="005C131E"/>
    <w:rsid w:val="005C1A61"/>
    <w:rsid w:val="005C1F1A"/>
    <w:rsid w:val="005C211F"/>
    <w:rsid w:val="005C2926"/>
    <w:rsid w:val="005C2B1A"/>
    <w:rsid w:val="005C3252"/>
    <w:rsid w:val="005C3588"/>
    <w:rsid w:val="005C3794"/>
    <w:rsid w:val="005C3A40"/>
    <w:rsid w:val="005C3CC7"/>
    <w:rsid w:val="005C43A5"/>
    <w:rsid w:val="005C43E0"/>
    <w:rsid w:val="005C5750"/>
    <w:rsid w:val="005C5FDA"/>
    <w:rsid w:val="005C674C"/>
    <w:rsid w:val="005C6756"/>
    <w:rsid w:val="005C67F9"/>
    <w:rsid w:val="005C6908"/>
    <w:rsid w:val="005C6A5C"/>
    <w:rsid w:val="005C6FD0"/>
    <w:rsid w:val="005C707B"/>
    <w:rsid w:val="005C767D"/>
    <w:rsid w:val="005C7684"/>
    <w:rsid w:val="005C78A8"/>
    <w:rsid w:val="005C78B9"/>
    <w:rsid w:val="005D010A"/>
    <w:rsid w:val="005D0299"/>
    <w:rsid w:val="005D2346"/>
    <w:rsid w:val="005D24B1"/>
    <w:rsid w:val="005D285F"/>
    <w:rsid w:val="005D3AF3"/>
    <w:rsid w:val="005D4986"/>
    <w:rsid w:val="005D4E6D"/>
    <w:rsid w:val="005D4EB2"/>
    <w:rsid w:val="005D4F31"/>
    <w:rsid w:val="005D548C"/>
    <w:rsid w:val="005D54C3"/>
    <w:rsid w:val="005D580C"/>
    <w:rsid w:val="005D5D34"/>
    <w:rsid w:val="005D60F8"/>
    <w:rsid w:val="005D63C4"/>
    <w:rsid w:val="005D6B3A"/>
    <w:rsid w:val="005D6E26"/>
    <w:rsid w:val="005D7BDE"/>
    <w:rsid w:val="005D7C7A"/>
    <w:rsid w:val="005D7EDD"/>
    <w:rsid w:val="005E0086"/>
    <w:rsid w:val="005E0C87"/>
    <w:rsid w:val="005E0E60"/>
    <w:rsid w:val="005E1785"/>
    <w:rsid w:val="005E1797"/>
    <w:rsid w:val="005E1B41"/>
    <w:rsid w:val="005E1B67"/>
    <w:rsid w:val="005E1BE5"/>
    <w:rsid w:val="005E249C"/>
    <w:rsid w:val="005E29F2"/>
    <w:rsid w:val="005E2E12"/>
    <w:rsid w:val="005E2F65"/>
    <w:rsid w:val="005E4160"/>
    <w:rsid w:val="005E4180"/>
    <w:rsid w:val="005E4A43"/>
    <w:rsid w:val="005E52F4"/>
    <w:rsid w:val="005E532C"/>
    <w:rsid w:val="005E55B1"/>
    <w:rsid w:val="005E5959"/>
    <w:rsid w:val="005E5CF1"/>
    <w:rsid w:val="005E6222"/>
    <w:rsid w:val="005E6337"/>
    <w:rsid w:val="005E6349"/>
    <w:rsid w:val="005E66F9"/>
    <w:rsid w:val="005E6817"/>
    <w:rsid w:val="005E690B"/>
    <w:rsid w:val="005E7E95"/>
    <w:rsid w:val="005F0470"/>
    <w:rsid w:val="005F0E12"/>
    <w:rsid w:val="005F12C6"/>
    <w:rsid w:val="005F230F"/>
    <w:rsid w:val="005F2868"/>
    <w:rsid w:val="005F2B0B"/>
    <w:rsid w:val="005F2CB7"/>
    <w:rsid w:val="005F2DFF"/>
    <w:rsid w:val="005F2EDB"/>
    <w:rsid w:val="005F3AD4"/>
    <w:rsid w:val="005F3B59"/>
    <w:rsid w:val="005F4BB2"/>
    <w:rsid w:val="005F4CE6"/>
    <w:rsid w:val="005F5077"/>
    <w:rsid w:val="005F57B5"/>
    <w:rsid w:val="005F58A6"/>
    <w:rsid w:val="005F5A50"/>
    <w:rsid w:val="005F5BD7"/>
    <w:rsid w:val="005F5CD2"/>
    <w:rsid w:val="005F6130"/>
    <w:rsid w:val="005F6670"/>
    <w:rsid w:val="005F6D7D"/>
    <w:rsid w:val="005F6E9B"/>
    <w:rsid w:val="005F73E3"/>
    <w:rsid w:val="005F7794"/>
    <w:rsid w:val="005F7DAF"/>
    <w:rsid w:val="00600630"/>
    <w:rsid w:val="00600B29"/>
    <w:rsid w:val="00600E0D"/>
    <w:rsid w:val="006011F0"/>
    <w:rsid w:val="0060123A"/>
    <w:rsid w:val="006017B2"/>
    <w:rsid w:val="0060193A"/>
    <w:rsid w:val="00601B2F"/>
    <w:rsid w:val="00601F2A"/>
    <w:rsid w:val="00602AC8"/>
    <w:rsid w:val="00602B99"/>
    <w:rsid w:val="0060315A"/>
    <w:rsid w:val="00603EDF"/>
    <w:rsid w:val="0060479F"/>
    <w:rsid w:val="00605CFE"/>
    <w:rsid w:val="00605F04"/>
    <w:rsid w:val="00606367"/>
    <w:rsid w:val="006066D6"/>
    <w:rsid w:val="00606985"/>
    <w:rsid w:val="00606A76"/>
    <w:rsid w:val="00606DAF"/>
    <w:rsid w:val="00607A83"/>
    <w:rsid w:val="006101BD"/>
    <w:rsid w:val="0061048E"/>
    <w:rsid w:val="00610EDC"/>
    <w:rsid w:val="00610F79"/>
    <w:rsid w:val="006112EA"/>
    <w:rsid w:val="00611974"/>
    <w:rsid w:val="00611CE7"/>
    <w:rsid w:val="00611EB2"/>
    <w:rsid w:val="00612097"/>
    <w:rsid w:val="00612314"/>
    <w:rsid w:val="006133A8"/>
    <w:rsid w:val="006137E5"/>
    <w:rsid w:val="006139D5"/>
    <w:rsid w:val="00614F99"/>
    <w:rsid w:val="00615326"/>
    <w:rsid w:val="006156CF"/>
    <w:rsid w:val="006159D7"/>
    <w:rsid w:val="00615E32"/>
    <w:rsid w:val="00615ED6"/>
    <w:rsid w:val="00616119"/>
    <w:rsid w:val="0061663D"/>
    <w:rsid w:val="00616727"/>
    <w:rsid w:val="00616C7E"/>
    <w:rsid w:val="00617A36"/>
    <w:rsid w:val="0062096A"/>
    <w:rsid w:val="00620B76"/>
    <w:rsid w:val="00621ABC"/>
    <w:rsid w:val="00622B8E"/>
    <w:rsid w:val="00622F9C"/>
    <w:rsid w:val="006231C8"/>
    <w:rsid w:val="00623267"/>
    <w:rsid w:val="00623787"/>
    <w:rsid w:val="0062419E"/>
    <w:rsid w:val="00624397"/>
    <w:rsid w:val="00624927"/>
    <w:rsid w:val="00624BB8"/>
    <w:rsid w:val="00624D1E"/>
    <w:rsid w:val="00625ED3"/>
    <w:rsid w:val="006260DE"/>
    <w:rsid w:val="006260F8"/>
    <w:rsid w:val="006267F2"/>
    <w:rsid w:val="0062690D"/>
    <w:rsid w:val="00626C49"/>
    <w:rsid w:val="00626F1B"/>
    <w:rsid w:val="0062741C"/>
    <w:rsid w:val="006275DF"/>
    <w:rsid w:val="0062786E"/>
    <w:rsid w:val="00627A5C"/>
    <w:rsid w:val="00627E27"/>
    <w:rsid w:val="006303AD"/>
    <w:rsid w:val="00630A73"/>
    <w:rsid w:val="00630AD1"/>
    <w:rsid w:val="00630E92"/>
    <w:rsid w:val="0063172B"/>
    <w:rsid w:val="00631810"/>
    <w:rsid w:val="00631AC0"/>
    <w:rsid w:val="006325BD"/>
    <w:rsid w:val="00632C54"/>
    <w:rsid w:val="00632FF7"/>
    <w:rsid w:val="0063321D"/>
    <w:rsid w:val="00633498"/>
    <w:rsid w:val="006335A1"/>
    <w:rsid w:val="006347BA"/>
    <w:rsid w:val="00635A80"/>
    <w:rsid w:val="006360C8"/>
    <w:rsid w:val="0063624B"/>
    <w:rsid w:val="00636849"/>
    <w:rsid w:val="00636F29"/>
    <w:rsid w:val="00636FAE"/>
    <w:rsid w:val="00636FE5"/>
    <w:rsid w:val="00637415"/>
    <w:rsid w:val="006378CA"/>
    <w:rsid w:val="006403A3"/>
    <w:rsid w:val="006407B4"/>
    <w:rsid w:val="00641150"/>
    <w:rsid w:val="0064170B"/>
    <w:rsid w:val="00641C49"/>
    <w:rsid w:val="00641CED"/>
    <w:rsid w:val="00642AB5"/>
    <w:rsid w:val="00642B7F"/>
    <w:rsid w:val="00642F43"/>
    <w:rsid w:val="006431F7"/>
    <w:rsid w:val="00643E9F"/>
    <w:rsid w:val="0064467E"/>
    <w:rsid w:val="00644C7C"/>
    <w:rsid w:val="0064649D"/>
    <w:rsid w:val="00646660"/>
    <w:rsid w:val="00646723"/>
    <w:rsid w:val="00646C86"/>
    <w:rsid w:val="00646E5A"/>
    <w:rsid w:val="006472C7"/>
    <w:rsid w:val="00647F18"/>
    <w:rsid w:val="0065025B"/>
    <w:rsid w:val="0065082B"/>
    <w:rsid w:val="00650927"/>
    <w:rsid w:val="00650BDD"/>
    <w:rsid w:val="0065207A"/>
    <w:rsid w:val="0065209D"/>
    <w:rsid w:val="00652206"/>
    <w:rsid w:val="00652AD5"/>
    <w:rsid w:val="00652C3C"/>
    <w:rsid w:val="00653452"/>
    <w:rsid w:val="00653552"/>
    <w:rsid w:val="00653655"/>
    <w:rsid w:val="00653957"/>
    <w:rsid w:val="00653D40"/>
    <w:rsid w:val="00653FF8"/>
    <w:rsid w:val="006542D2"/>
    <w:rsid w:val="00654302"/>
    <w:rsid w:val="006549BE"/>
    <w:rsid w:val="00654C51"/>
    <w:rsid w:val="006552C7"/>
    <w:rsid w:val="006553CC"/>
    <w:rsid w:val="006555C5"/>
    <w:rsid w:val="00655CDB"/>
    <w:rsid w:val="00656AD1"/>
    <w:rsid w:val="006572FF"/>
    <w:rsid w:val="006573C9"/>
    <w:rsid w:val="0065742C"/>
    <w:rsid w:val="0065784B"/>
    <w:rsid w:val="00657F13"/>
    <w:rsid w:val="00660215"/>
    <w:rsid w:val="00660D49"/>
    <w:rsid w:val="00660E95"/>
    <w:rsid w:val="0066174D"/>
    <w:rsid w:val="00661A7C"/>
    <w:rsid w:val="00661EFD"/>
    <w:rsid w:val="00662685"/>
    <w:rsid w:val="00662CF9"/>
    <w:rsid w:val="00662E8C"/>
    <w:rsid w:val="006630ED"/>
    <w:rsid w:val="0066352D"/>
    <w:rsid w:val="00663A7E"/>
    <w:rsid w:val="00663B8D"/>
    <w:rsid w:val="00663BB1"/>
    <w:rsid w:val="00663FA6"/>
    <w:rsid w:val="006648EC"/>
    <w:rsid w:val="00664A03"/>
    <w:rsid w:val="00664E7E"/>
    <w:rsid w:val="006650A0"/>
    <w:rsid w:val="00666892"/>
    <w:rsid w:val="00666C01"/>
    <w:rsid w:val="00666F67"/>
    <w:rsid w:val="00667450"/>
    <w:rsid w:val="0067023B"/>
    <w:rsid w:val="006705BF"/>
    <w:rsid w:val="006719F5"/>
    <w:rsid w:val="00671AE3"/>
    <w:rsid w:val="006720C8"/>
    <w:rsid w:val="0067250E"/>
    <w:rsid w:val="00672C78"/>
    <w:rsid w:val="0067327D"/>
    <w:rsid w:val="00673857"/>
    <w:rsid w:val="00673BE5"/>
    <w:rsid w:val="0067401E"/>
    <w:rsid w:val="00674226"/>
    <w:rsid w:val="00674267"/>
    <w:rsid w:val="006745B3"/>
    <w:rsid w:val="0067470D"/>
    <w:rsid w:val="00674809"/>
    <w:rsid w:val="00674DD5"/>
    <w:rsid w:val="00674F20"/>
    <w:rsid w:val="0067510B"/>
    <w:rsid w:val="00675220"/>
    <w:rsid w:val="00675336"/>
    <w:rsid w:val="00675E52"/>
    <w:rsid w:val="0067613F"/>
    <w:rsid w:val="0067627C"/>
    <w:rsid w:val="00676A8A"/>
    <w:rsid w:val="00676ACE"/>
    <w:rsid w:val="00676F12"/>
    <w:rsid w:val="006770A9"/>
    <w:rsid w:val="006775F4"/>
    <w:rsid w:val="00677897"/>
    <w:rsid w:val="0067795E"/>
    <w:rsid w:val="00677C4E"/>
    <w:rsid w:val="00680317"/>
    <w:rsid w:val="0068043E"/>
    <w:rsid w:val="006804E4"/>
    <w:rsid w:val="00680ABD"/>
    <w:rsid w:val="00680E2D"/>
    <w:rsid w:val="00681B78"/>
    <w:rsid w:val="00681C2E"/>
    <w:rsid w:val="00682D0B"/>
    <w:rsid w:val="00682E29"/>
    <w:rsid w:val="00682E33"/>
    <w:rsid w:val="0068348C"/>
    <w:rsid w:val="00683746"/>
    <w:rsid w:val="0068552C"/>
    <w:rsid w:val="00685883"/>
    <w:rsid w:val="00685A19"/>
    <w:rsid w:val="00685D3A"/>
    <w:rsid w:val="00685E83"/>
    <w:rsid w:val="00685FA3"/>
    <w:rsid w:val="00686222"/>
    <w:rsid w:val="00686230"/>
    <w:rsid w:val="006863BF"/>
    <w:rsid w:val="006865A8"/>
    <w:rsid w:val="006866F2"/>
    <w:rsid w:val="00686A96"/>
    <w:rsid w:val="00686B4E"/>
    <w:rsid w:val="00686E6E"/>
    <w:rsid w:val="00686EC3"/>
    <w:rsid w:val="00686FD2"/>
    <w:rsid w:val="0068748C"/>
    <w:rsid w:val="00687952"/>
    <w:rsid w:val="00687C63"/>
    <w:rsid w:val="00687D30"/>
    <w:rsid w:val="006906FA"/>
    <w:rsid w:val="00690CF7"/>
    <w:rsid w:val="00690D66"/>
    <w:rsid w:val="00690F38"/>
    <w:rsid w:val="006913A2"/>
    <w:rsid w:val="0069195F"/>
    <w:rsid w:val="0069239B"/>
    <w:rsid w:val="00692529"/>
    <w:rsid w:val="0069297E"/>
    <w:rsid w:val="00692A03"/>
    <w:rsid w:val="00692CDC"/>
    <w:rsid w:val="006942F3"/>
    <w:rsid w:val="006948D6"/>
    <w:rsid w:val="006949FC"/>
    <w:rsid w:val="00694A81"/>
    <w:rsid w:val="00694E3B"/>
    <w:rsid w:val="00694F1F"/>
    <w:rsid w:val="006950B3"/>
    <w:rsid w:val="006956BB"/>
    <w:rsid w:val="006958D6"/>
    <w:rsid w:val="00696165"/>
    <w:rsid w:val="00697098"/>
    <w:rsid w:val="0069716B"/>
    <w:rsid w:val="0069775A"/>
    <w:rsid w:val="006977AD"/>
    <w:rsid w:val="006A00D7"/>
    <w:rsid w:val="006A0258"/>
    <w:rsid w:val="006A0410"/>
    <w:rsid w:val="006A08C0"/>
    <w:rsid w:val="006A0E05"/>
    <w:rsid w:val="006A12F4"/>
    <w:rsid w:val="006A1796"/>
    <w:rsid w:val="006A1CD4"/>
    <w:rsid w:val="006A2380"/>
    <w:rsid w:val="006A23FD"/>
    <w:rsid w:val="006A28D9"/>
    <w:rsid w:val="006A29DF"/>
    <w:rsid w:val="006A2E25"/>
    <w:rsid w:val="006A2EF2"/>
    <w:rsid w:val="006A30BD"/>
    <w:rsid w:val="006A31A9"/>
    <w:rsid w:val="006A3B92"/>
    <w:rsid w:val="006A3C80"/>
    <w:rsid w:val="006A422F"/>
    <w:rsid w:val="006A4377"/>
    <w:rsid w:val="006A4816"/>
    <w:rsid w:val="006A4AF4"/>
    <w:rsid w:val="006A4D1F"/>
    <w:rsid w:val="006A4DF7"/>
    <w:rsid w:val="006A541A"/>
    <w:rsid w:val="006A5660"/>
    <w:rsid w:val="006A63F4"/>
    <w:rsid w:val="006A645F"/>
    <w:rsid w:val="006A6F26"/>
    <w:rsid w:val="006B0710"/>
    <w:rsid w:val="006B07F5"/>
    <w:rsid w:val="006B0EC3"/>
    <w:rsid w:val="006B1035"/>
    <w:rsid w:val="006B12F5"/>
    <w:rsid w:val="006B17E8"/>
    <w:rsid w:val="006B1CE2"/>
    <w:rsid w:val="006B1D1E"/>
    <w:rsid w:val="006B279E"/>
    <w:rsid w:val="006B29D8"/>
    <w:rsid w:val="006B31D9"/>
    <w:rsid w:val="006B324B"/>
    <w:rsid w:val="006B35B1"/>
    <w:rsid w:val="006B387C"/>
    <w:rsid w:val="006B3B40"/>
    <w:rsid w:val="006B45C0"/>
    <w:rsid w:val="006B464C"/>
    <w:rsid w:val="006B5213"/>
    <w:rsid w:val="006B55D9"/>
    <w:rsid w:val="006B55E2"/>
    <w:rsid w:val="006B5965"/>
    <w:rsid w:val="006B59A0"/>
    <w:rsid w:val="006B5EC4"/>
    <w:rsid w:val="006B6237"/>
    <w:rsid w:val="006B6D19"/>
    <w:rsid w:val="006B6FE2"/>
    <w:rsid w:val="006B7072"/>
    <w:rsid w:val="006B79FD"/>
    <w:rsid w:val="006B7DA7"/>
    <w:rsid w:val="006C008E"/>
    <w:rsid w:val="006C03B1"/>
    <w:rsid w:val="006C082C"/>
    <w:rsid w:val="006C0F01"/>
    <w:rsid w:val="006C1252"/>
    <w:rsid w:val="006C1541"/>
    <w:rsid w:val="006C171F"/>
    <w:rsid w:val="006C1BE1"/>
    <w:rsid w:val="006C1BFE"/>
    <w:rsid w:val="006C1E88"/>
    <w:rsid w:val="006C2550"/>
    <w:rsid w:val="006C2950"/>
    <w:rsid w:val="006C2FF6"/>
    <w:rsid w:val="006C403F"/>
    <w:rsid w:val="006C404A"/>
    <w:rsid w:val="006C40C5"/>
    <w:rsid w:val="006C420A"/>
    <w:rsid w:val="006C43D9"/>
    <w:rsid w:val="006C450A"/>
    <w:rsid w:val="006C4AB5"/>
    <w:rsid w:val="006C51B5"/>
    <w:rsid w:val="006C529C"/>
    <w:rsid w:val="006C56E6"/>
    <w:rsid w:val="006C62F6"/>
    <w:rsid w:val="006C6B2C"/>
    <w:rsid w:val="006C6C52"/>
    <w:rsid w:val="006C7786"/>
    <w:rsid w:val="006C7D43"/>
    <w:rsid w:val="006D0143"/>
    <w:rsid w:val="006D062B"/>
    <w:rsid w:val="006D1A46"/>
    <w:rsid w:val="006D21C9"/>
    <w:rsid w:val="006D2865"/>
    <w:rsid w:val="006D2CB6"/>
    <w:rsid w:val="006D2F48"/>
    <w:rsid w:val="006D2F6F"/>
    <w:rsid w:val="006D30A8"/>
    <w:rsid w:val="006D31E7"/>
    <w:rsid w:val="006D334D"/>
    <w:rsid w:val="006D3ED2"/>
    <w:rsid w:val="006D3FFF"/>
    <w:rsid w:val="006D414A"/>
    <w:rsid w:val="006D4B0D"/>
    <w:rsid w:val="006D569B"/>
    <w:rsid w:val="006D5BEC"/>
    <w:rsid w:val="006D6805"/>
    <w:rsid w:val="006D706F"/>
    <w:rsid w:val="006D716A"/>
    <w:rsid w:val="006D71CB"/>
    <w:rsid w:val="006D7B1F"/>
    <w:rsid w:val="006E0205"/>
    <w:rsid w:val="006E15AC"/>
    <w:rsid w:val="006E1906"/>
    <w:rsid w:val="006E1A73"/>
    <w:rsid w:val="006E266C"/>
    <w:rsid w:val="006E285D"/>
    <w:rsid w:val="006E29B7"/>
    <w:rsid w:val="006E308A"/>
    <w:rsid w:val="006E336F"/>
    <w:rsid w:val="006E3681"/>
    <w:rsid w:val="006E4342"/>
    <w:rsid w:val="006E4445"/>
    <w:rsid w:val="006E4564"/>
    <w:rsid w:val="006E488C"/>
    <w:rsid w:val="006E4DD7"/>
    <w:rsid w:val="006E4F27"/>
    <w:rsid w:val="006E4FC9"/>
    <w:rsid w:val="006E5069"/>
    <w:rsid w:val="006E5D67"/>
    <w:rsid w:val="006E5E7D"/>
    <w:rsid w:val="006E5F59"/>
    <w:rsid w:val="006E6313"/>
    <w:rsid w:val="006E663A"/>
    <w:rsid w:val="006E69E0"/>
    <w:rsid w:val="006E6CDC"/>
    <w:rsid w:val="006E6E39"/>
    <w:rsid w:val="006E7487"/>
    <w:rsid w:val="006E74CD"/>
    <w:rsid w:val="006E7B03"/>
    <w:rsid w:val="006F00D1"/>
    <w:rsid w:val="006F00D8"/>
    <w:rsid w:val="006F0535"/>
    <w:rsid w:val="006F058F"/>
    <w:rsid w:val="006F0877"/>
    <w:rsid w:val="006F13AF"/>
    <w:rsid w:val="006F1C25"/>
    <w:rsid w:val="006F1CCA"/>
    <w:rsid w:val="006F24A7"/>
    <w:rsid w:val="006F2925"/>
    <w:rsid w:val="006F2ADF"/>
    <w:rsid w:val="006F304D"/>
    <w:rsid w:val="006F3446"/>
    <w:rsid w:val="006F3A1F"/>
    <w:rsid w:val="006F3E43"/>
    <w:rsid w:val="006F4129"/>
    <w:rsid w:val="006F4192"/>
    <w:rsid w:val="006F450B"/>
    <w:rsid w:val="006F4A2D"/>
    <w:rsid w:val="006F50C6"/>
    <w:rsid w:val="006F515E"/>
    <w:rsid w:val="006F5372"/>
    <w:rsid w:val="006F5F0B"/>
    <w:rsid w:val="006F62CE"/>
    <w:rsid w:val="006F6E57"/>
    <w:rsid w:val="006F7653"/>
    <w:rsid w:val="006F76AB"/>
    <w:rsid w:val="006F7AB4"/>
    <w:rsid w:val="006F7E18"/>
    <w:rsid w:val="0070075C"/>
    <w:rsid w:val="007007B1"/>
    <w:rsid w:val="007009F8"/>
    <w:rsid w:val="00700CEC"/>
    <w:rsid w:val="00700D52"/>
    <w:rsid w:val="00700D62"/>
    <w:rsid w:val="007019E8"/>
    <w:rsid w:val="00701C32"/>
    <w:rsid w:val="00702079"/>
    <w:rsid w:val="00702393"/>
    <w:rsid w:val="0070278F"/>
    <w:rsid w:val="00702DD7"/>
    <w:rsid w:val="00702DFE"/>
    <w:rsid w:val="00702ED1"/>
    <w:rsid w:val="007038BF"/>
    <w:rsid w:val="007039C1"/>
    <w:rsid w:val="00703C4D"/>
    <w:rsid w:val="00704327"/>
    <w:rsid w:val="00704AD5"/>
    <w:rsid w:val="0070575B"/>
    <w:rsid w:val="00705940"/>
    <w:rsid w:val="00705A64"/>
    <w:rsid w:val="00705DAE"/>
    <w:rsid w:val="00706B90"/>
    <w:rsid w:val="00706C7E"/>
    <w:rsid w:val="00706F76"/>
    <w:rsid w:val="007070E4"/>
    <w:rsid w:val="00710488"/>
    <w:rsid w:val="007105A1"/>
    <w:rsid w:val="00710CA9"/>
    <w:rsid w:val="0071122D"/>
    <w:rsid w:val="00711B8D"/>
    <w:rsid w:val="00711FEC"/>
    <w:rsid w:val="007126AC"/>
    <w:rsid w:val="00712CB8"/>
    <w:rsid w:val="00712FD6"/>
    <w:rsid w:val="007133F2"/>
    <w:rsid w:val="00713678"/>
    <w:rsid w:val="00713A72"/>
    <w:rsid w:val="00713D8C"/>
    <w:rsid w:val="00714352"/>
    <w:rsid w:val="00714BFC"/>
    <w:rsid w:val="007152CE"/>
    <w:rsid w:val="0071552B"/>
    <w:rsid w:val="007156A9"/>
    <w:rsid w:val="007156E1"/>
    <w:rsid w:val="00715C40"/>
    <w:rsid w:val="00715E2A"/>
    <w:rsid w:val="00715EF6"/>
    <w:rsid w:val="00716A15"/>
    <w:rsid w:val="00716E9A"/>
    <w:rsid w:val="007175CE"/>
    <w:rsid w:val="00717A00"/>
    <w:rsid w:val="00720268"/>
    <w:rsid w:val="00720290"/>
    <w:rsid w:val="00720558"/>
    <w:rsid w:val="00720646"/>
    <w:rsid w:val="007206B5"/>
    <w:rsid w:val="0072139F"/>
    <w:rsid w:val="00721677"/>
    <w:rsid w:val="0072205B"/>
    <w:rsid w:val="0072234A"/>
    <w:rsid w:val="00722434"/>
    <w:rsid w:val="007226A5"/>
    <w:rsid w:val="00722B64"/>
    <w:rsid w:val="00722FA8"/>
    <w:rsid w:val="007234C3"/>
    <w:rsid w:val="007239A8"/>
    <w:rsid w:val="00723D0B"/>
    <w:rsid w:val="007247B6"/>
    <w:rsid w:val="0072519E"/>
    <w:rsid w:val="007252ED"/>
    <w:rsid w:val="007259D4"/>
    <w:rsid w:val="00725E23"/>
    <w:rsid w:val="00726668"/>
    <w:rsid w:val="00726F2F"/>
    <w:rsid w:val="00727683"/>
    <w:rsid w:val="007279C3"/>
    <w:rsid w:val="00727B47"/>
    <w:rsid w:val="00727C70"/>
    <w:rsid w:val="007300C1"/>
    <w:rsid w:val="0073062C"/>
    <w:rsid w:val="00730FBB"/>
    <w:rsid w:val="007313A9"/>
    <w:rsid w:val="007313CA"/>
    <w:rsid w:val="007329F0"/>
    <w:rsid w:val="00732B18"/>
    <w:rsid w:val="007335C2"/>
    <w:rsid w:val="00733A07"/>
    <w:rsid w:val="00734016"/>
    <w:rsid w:val="00734286"/>
    <w:rsid w:val="00734318"/>
    <w:rsid w:val="0073444A"/>
    <w:rsid w:val="007344E0"/>
    <w:rsid w:val="0073485C"/>
    <w:rsid w:val="00735BDF"/>
    <w:rsid w:val="00736899"/>
    <w:rsid w:val="00737586"/>
    <w:rsid w:val="00740081"/>
    <w:rsid w:val="007403FF"/>
    <w:rsid w:val="007405F3"/>
    <w:rsid w:val="007406E4"/>
    <w:rsid w:val="00740BA9"/>
    <w:rsid w:val="0074141E"/>
    <w:rsid w:val="007415CB"/>
    <w:rsid w:val="00741DA1"/>
    <w:rsid w:val="00742297"/>
    <w:rsid w:val="007422AA"/>
    <w:rsid w:val="007431DB"/>
    <w:rsid w:val="00743720"/>
    <w:rsid w:val="00743D4F"/>
    <w:rsid w:val="00743D8C"/>
    <w:rsid w:val="00744695"/>
    <w:rsid w:val="00745059"/>
    <w:rsid w:val="007451E5"/>
    <w:rsid w:val="00745E86"/>
    <w:rsid w:val="007462A1"/>
    <w:rsid w:val="00746779"/>
    <w:rsid w:val="00746CAE"/>
    <w:rsid w:val="007475BD"/>
    <w:rsid w:val="00747602"/>
    <w:rsid w:val="007478A5"/>
    <w:rsid w:val="00747A2D"/>
    <w:rsid w:val="00747FE8"/>
    <w:rsid w:val="0075005D"/>
    <w:rsid w:val="007502B9"/>
    <w:rsid w:val="007502D8"/>
    <w:rsid w:val="00750EDC"/>
    <w:rsid w:val="00751012"/>
    <w:rsid w:val="00751123"/>
    <w:rsid w:val="00751346"/>
    <w:rsid w:val="007535E7"/>
    <w:rsid w:val="007543DE"/>
    <w:rsid w:val="00754490"/>
    <w:rsid w:val="00754CD5"/>
    <w:rsid w:val="00755A4F"/>
    <w:rsid w:val="00756F9F"/>
    <w:rsid w:val="007573D1"/>
    <w:rsid w:val="007578CC"/>
    <w:rsid w:val="0076094B"/>
    <w:rsid w:val="00760DB5"/>
    <w:rsid w:val="00760F9A"/>
    <w:rsid w:val="0076136B"/>
    <w:rsid w:val="00761F2A"/>
    <w:rsid w:val="007621E9"/>
    <w:rsid w:val="00762B8C"/>
    <w:rsid w:val="00762FAA"/>
    <w:rsid w:val="00763D09"/>
    <w:rsid w:val="00763ECE"/>
    <w:rsid w:val="00763F01"/>
    <w:rsid w:val="007641D6"/>
    <w:rsid w:val="00764A10"/>
    <w:rsid w:val="00765401"/>
    <w:rsid w:val="007664EB"/>
    <w:rsid w:val="007670A4"/>
    <w:rsid w:val="0076711A"/>
    <w:rsid w:val="007676FE"/>
    <w:rsid w:val="00767AFF"/>
    <w:rsid w:val="00767CA3"/>
    <w:rsid w:val="00767E47"/>
    <w:rsid w:val="00767E8C"/>
    <w:rsid w:val="007707E0"/>
    <w:rsid w:val="007709CA"/>
    <w:rsid w:val="00771090"/>
    <w:rsid w:val="00771E98"/>
    <w:rsid w:val="0077203D"/>
    <w:rsid w:val="0077216A"/>
    <w:rsid w:val="007725FE"/>
    <w:rsid w:val="00772622"/>
    <w:rsid w:val="0077276C"/>
    <w:rsid w:val="00772800"/>
    <w:rsid w:val="007732AD"/>
    <w:rsid w:val="00773445"/>
    <w:rsid w:val="00773726"/>
    <w:rsid w:val="0077386C"/>
    <w:rsid w:val="00774204"/>
    <w:rsid w:val="007752DC"/>
    <w:rsid w:val="00775F74"/>
    <w:rsid w:val="00775F86"/>
    <w:rsid w:val="007768F9"/>
    <w:rsid w:val="007771BC"/>
    <w:rsid w:val="0077753E"/>
    <w:rsid w:val="007779B3"/>
    <w:rsid w:val="00780009"/>
    <w:rsid w:val="00780363"/>
    <w:rsid w:val="00780929"/>
    <w:rsid w:val="00781688"/>
    <w:rsid w:val="00781BA2"/>
    <w:rsid w:val="00781FA9"/>
    <w:rsid w:val="00782597"/>
    <w:rsid w:val="00782782"/>
    <w:rsid w:val="00782A8C"/>
    <w:rsid w:val="00782B9C"/>
    <w:rsid w:val="00783397"/>
    <w:rsid w:val="00783D9B"/>
    <w:rsid w:val="00783DFA"/>
    <w:rsid w:val="00783EF5"/>
    <w:rsid w:val="00783FC1"/>
    <w:rsid w:val="007842C8"/>
    <w:rsid w:val="00785912"/>
    <w:rsid w:val="0078606A"/>
    <w:rsid w:val="00786758"/>
    <w:rsid w:val="0078721B"/>
    <w:rsid w:val="0078768B"/>
    <w:rsid w:val="00787B82"/>
    <w:rsid w:val="00787CF6"/>
    <w:rsid w:val="00790255"/>
    <w:rsid w:val="0079036D"/>
    <w:rsid w:val="00790B05"/>
    <w:rsid w:val="00791039"/>
    <w:rsid w:val="007910CF"/>
    <w:rsid w:val="00792105"/>
    <w:rsid w:val="007932D2"/>
    <w:rsid w:val="00793382"/>
    <w:rsid w:val="007933CE"/>
    <w:rsid w:val="00793537"/>
    <w:rsid w:val="00793DE4"/>
    <w:rsid w:val="007940B2"/>
    <w:rsid w:val="00794DB1"/>
    <w:rsid w:val="0079566E"/>
    <w:rsid w:val="00795AB5"/>
    <w:rsid w:val="00795F7D"/>
    <w:rsid w:val="00796306"/>
    <w:rsid w:val="00796EEA"/>
    <w:rsid w:val="00796F06"/>
    <w:rsid w:val="00797E60"/>
    <w:rsid w:val="007A01CC"/>
    <w:rsid w:val="007A0568"/>
    <w:rsid w:val="007A08D3"/>
    <w:rsid w:val="007A1184"/>
    <w:rsid w:val="007A12C4"/>
    <w:rsid w:val="007A132A"/>
    <w:rsid w:val="007A1534"/>
    <w:rsid w:val="007A205E"/>
    <w:rsid w:val="007A219B"/>
    <w:rsid w:val="007A22DD"/>
    <w:rsid w:val="007A2471"/>
    <w:rsid w:val="007A26E7"/>
    <w:rsid w:val="007A278F"/>
    <w:rsid w:val="007A2B37"/>
    <w:rsid w:val="007A34FD"/>
    <w:rsid w:val="007A3C11"/>
    <w:rsid w:val="007A3C87"/>
    <w:rsid w:val="007A4099"/>
    <w:rsid w:val="007A40E9"/>
    <w:rsid w:val="007A488E"/>
    <w:rsid w:val="007A4AAB"/>
    <w:rsid w:val="007A4E89"/>
    <w:rsid w:val="007A5C1D"/>
    <w:rsid w:val="007A5F3B"/>
    <w:rsid w:val="007A641C"/>
    <w:rsid w:val="007A6F1E"/>
    <w:rsid w:val="007A6F3A"/>
    <w:rsid w:val="007A737D"/>
    <w:rsid w:val="007A738E"/>
    <w:rsid w:val="007A7968"/>
    <w:rsid w:val="007A79B8"/>
    <w:rsid w:val="007A79FA"/>
    <w:rsid w:val="007A7A7A"/>
    <w:rsid w:val="007A7CC7"/>
    <w:rsid w:val="007A7DC2"/>
    <w:rsid w:val="007B1639"/>
    <w:rsid w:val="007B1DF3"/>
    <w:rsid w:val="007B2389"/>
    <w:rsid w:val="007B2FBB"/>
    <w:rsid w:val="007B379D"/>
    <w:rsid w:val="007B3851"/>
    <w:rsid w:val="007B3EBE"/>
    <w:rsid w:val="007B4B17"/>
    <w:rsid w:val="007B6450"/>
    <w:rsid w:val="007B66AF"/>
    <w:rsid w:val="007B67C9"/>
    <w:rsid w:val="007B67FF"/>
    <w:rsid w:val="007B763E"/>
    <w:rsid w:val="007B77FB"/>
    <w:rsid w:val="007C074B"/>
    <w:rsid w:val="007C07EE"/>
    <w:rsid w:val="007C0980"/>
    <w:rsid w:val="007C119A"/>
    <w:rsid w:val="007C11A3"/>
    <w:rsid w:val="007C12E0"/>
    <w:rsid w:val="007C1391"/>
    <w:rsid w:val="007C21D1"/>
    <w:rsid w:val="007C2411"/>
    <w:rsid w:val="007C242B"/>
    <w:rsid w:val="007C2498"/>
    <w:rsid w:val="007C26A6"/>
    <w:rsid w:val="007C2717"/>
    <w:rsid w:val="007C2B7D"/>
    <w:rsid w:val="007C2CA4"/>
    <w:rsid w:val="007C2D55"/>
    <w:rsid w:val="007C4791"/>
    <w:rsid w:val="007C493B"/>
    <w:rsid w:val="007C4C02"/>
    <w:rsid w:val="007C4C10"/>
    <w:rsid w:val="007C4D52"/>
    <w:rsid w:val="007C513A"/>
    <w:rsid w:val="007C57B1"/>
    <w:rsid w:val="007C5A43"/>
    <w:rsid w:val="007C605F"/>
    <w:rsid w:val="007C60B2"/>
    <w:rsid w:val="007C6159"/>
    <w:rsid w:val="007C642F"/>
    <w:rsid w:val="007C64FD"/>
    <w:rsid w:val="007C66ED"/>
    <w:rsid w:val="007C6A78"/>
    <w:rsid w:val="007C6ED5"/>
    <w:rsid w:val="007C70EB"/>
    <w:rsid w:val="007C7CDE"/>
    <w:rsid w:val="007D0128"/>
    <w:rsid w:val="007D01F6"/>
    <w:rsid w:val="007D029C"/>
    <w:rsid w:val="007D0473"/>
    <w:rsid w:val="007D0591"/>
    <w:rsid w:val="007D1018"/>
    <w:rsid w:val="007D12EB"/>
    <w:rsid w:val="007D1754"/>
    <w:rsid w:val="007D181E"/>
    <w:rsid w:val="007D21FF"/>
    <w:rsid w:val="007D2333"/>
    <w:rsid w:val="007D2487"/>
    <w:rsid w:val="007D24F6"/>
    <w:rsid w:val="007D27A8"/>
    <w:rsid w:val="007D29DB"/>
    <w:rsid w:val="007D2C12"/>
    <w:rsid w:val="007D375A"/>
    <w:rsid w:val="007D3788"/>
    <w:rsid w:val="007D3909"/>
    <w:rsid w:val="007D3EF4"/>
    <w:rsid w:val="007D4550"/>
    <w:rsid w:val="007D4CEC"/>
    <w:rsid w:val="007D4D14"/>
    <w:rsid w:val="007D50E5"/>
    <w:rsid w:val="007D578B"/>
    <w:rsid w:val="007D5E49"/>
    <w:rsid w:val="007D60B5"/>
    <w:rsid w:val="007D611C"/>
    <w:rsid w:val="007D6497"/>
    <w:rsid w:val="007D669B"/>
    <w:rsid w:val="007D69D5"/>
    <w:rsid w:val="007D69DE"/>
    <w:rsid w:val="007D6DA5"/>
    <w:rsid w:val="007D6FA9"/>
    <w:rsid w:val="007D7436"/>
    <w:rsid w:val="007D77D6"/>
    <w:rsid w:val="007E03E3"/>
    <w:rsid w:val="007E1164"/>
    <w:rsid w:val="007E1F57"/>
    <w:rsid w:val="007E2F54"/>
    <w:rsid w:val="007E3273"/>
    <w:rsid w:val="007E364A"/>
    <w:rsid w:val="007E3DCE"/>
    <w:rsid w:val="007E5318"/>
    <w:rsid w:val="007E5C7F"/>
    <w:rsid w:val="007E6092"/>
    <w:rsid w:val="007E65AF"/>
    <w:rsid w:val="007E7243"/>
    <w:rsid w:val="007E7412"/>
    <w:rsid w:val="007E7515"/>
    <w:rsid w:val="007E7BC1"/>
    <w:rsid w:val="007E7C9E"/>
    <w:rsid w:val="007F05B3"/>
    <w:rsid w:val="007F0885"/>
    <w:rsid w:val="007F132E"/>
    <w:rsid w:val="007F14DC"/>
    <w:rsid w:val="007F192C"/>
    <w:rsid w:val="007F19E6"/>
    <w:rsid w:val="007F1BB0"/>
    <w:rsid w:val="007F26DD"/>
    <w:rsid w:val="007F30E7"/>
    <w:rsid w:val="007F3875"/>
    <w:rsid w:val="007F3D7D"/>
    <w:rsid w:val="007F499D"/>
    <w:rsid w:val="007F4B72"/>
    <w:rsid w:val="007F4C88"/>
    <w:rsid w:val="007F5D4F"/>
    <w:rsid w:val="007F6981"/>
    <w:rsid w:val="007F6BE8"/>
    <w:rsid w:val="007F7305"/>
    <w:rsid w:val="007F7906"/>
    <w:rsid w:val="00800957"/>
    <w:rsid w:val="00800B12"/>
    <w:rsid w:val="00800BC9"/>
    <w:rsid w:val="00800CCA"/>
    <w:rsid w:val="00801C23"/>
    <w:rsid w:val="0080238D"/>
    <w:rsid w:val="00802702"/>
    <w:rsid w:val="008032AA"/>
    <w:rsid w:val="008032F2"/>
    <w:rsid w:val="00803501"/>
    <w:rsid w:val="0080380A"/>
    <w:rsid w:val="0080390C"/>
    <w:rsid w:val="008041C1"/>
    <w:rsid w:val="00804256"/>
    <w:rsid w:val="00804285"/>
    <w:rsid w:val="00805037"/>
    <w:rsid w:val="008052AC"/>
    <w:rsid w:val="00805312"/>
    <w:rsid w:val="0080549D"/>
    <w:rsid w:val="00805F40"/>
    <w:rsid w:val="00805F8B"/>
    <w:rsid w:val="008060D4"/>
    <w:rsid w:val="008061C9"/>
    <w:rsid w:val="008062AA"/>
    <w:rsid w:val="00806B5D"/>
    <w:rsid w:val="00806D8B"/>
    <w:rsid w:val="00807651"/>
    <w:rsid w:val="00807837"/>
    <w:rsid w:val="008079D6"/>
    <w:rsid w:val="00807DAE"/>
    <w:rsid w:val="00807E2A"/>
    <w:rsid w:val="00807FB6"/>
    <w:rsid w:val="008101F0"/>
    <w:rsid w:val="008102E4"/>
    <w:rsid w:val="00810ED7"/>
    <w:rsid w:val="00810F5A"/>
    <w:rsid w:val="00811984"/>
    <w:rsid w:val="00811A65"/>
    <w:rsid w:val="0081237D"/>
    <w:rsid w:val="008124C2"/>
    <w:rsid w:val="00812523"/>
    <w:rsid w:val="008127AB"/>
    <w:rsid w:val="00812C69"/>
    <w:rsid w:val="008135D1"/>
    <w:rsid w:val="00813EE7"/>
    <w:rsid w:val="008141AC"/>
    <w:rsid w:val="008145ED"/>
    <w:rsid w:val="00814E26"/>
    <w:rsid w:val="0081502D"/>
    <w:rsid w:val="0081504D"/>
    <w:rsid w:val="00815245"/>
    <w:rsid w:val="008159D8"/>
    <w:rsid w:val="00815A88"/>
    <w:rsid w:val="00815B3B"/>
    <w:rsid w:val="00815C5C"/>
    <w:rsid w:val="00815ED9"/>
    <w:rsid w:val="00815FE8"/>
    <w:rsid w:val="00816002"/>
    <w:rsid w:val="008163B8"/>
    <w:rsid w:val="00816454"/>
    <w:rsid w:val="00816952"/>
    <w:rsid w:val="00817041"/>
    <w:rsid w:val="00817089"/>
    <w:rsid w:val="0081762A"/>
    <w:rsid w:val="00820044"/>
    <w:rsid w:val="0082033E"/>
    <w:rsid w:val="008206E6"/>
    <w:rsid w:val="008206EA"/>
    <w:rsid w:val="00820ECD"/>
    <w:rsid w:val="008214D4"/>
    <w:rsid w:val="00821C6B"/>
    <w:rsid w:val="008222B2"/>
    <w:rsid w:val="00822478"/>
    <w:rsid w:val="00822965"/>
    <w:rsid w:val="00822D02"/>
    <w:rsid w:val="00822ED2"/>
    <w:rsid w:val="00822FDC"/>
    <w:rsid w:val="00822FFA"/>
    <w:rsid w:val="0082311F"/>
    <w:rsid w:val="00823DCF"/>
    <w:rsid w:val="00823E24"/>
    <w:rsid w:val="00823F06"/>
    <w:rsid w:val="00823F5B"/>
    <w:rsid w:val="0082402F"/>
    <w:rsid w:val="00824CEF"/>
    <w:rsid w:val="00824E00"/>
    <w:rsid w:val="00824E8C"/>
    <w:rsid w:val="00824FA4"/>
    <w:rsid w:val="00825F00"/>
    <w:rsid w:val="00826434"/>
    <w:rsid w:val="0082647D"/>
    <w:rsid w:val="008269B2"/>
    <w:rsid w:val="00826AF2"/>
    <w:rsid w:val="00826DBC"/>
    <w:rsid w:val="008270D1"/>
    <w:rsid w:val="00827C49"/>
    <w:rsid w:val="00827CF9"/>
    <w:rsid w:val="00827D18"/>
    <w:rsid w:val="00827F40"/>
    <w:rsid w:val="008304A5"/>
    <w:rsid w:val="008305FA"/>
    <w:rsid w:val="0083065C"/>
    <w:rsid w:val="0083076E"/>
    <w:rsid w:val="00830DEC"/>
    <w:rsid w:val="00830E54"/>
    <w:rsid w:val="00830FFF"/>
    <w:rsid w:val="00831240"/>
    <w:rsid w:val="008312AA"/>
    <w:rsid w:val="008324ED"/>
    <w:rsid w:val="00832639"/>
    <w:rsid w:val="00832E23"/>
    <w:rsid w:val="00833689"/>
    <w:rsid w:val="0083419E"/>
    <w:rsid w:val="0083479D"/>
    <w:rsid w:val="00834A97"/>
    <w:rsid w:val="00834ED6"/>
    <w:rsid w:val="008353A7"/>
    <w:rsid w:val="00835595"/>
    <w:rsid w:val="008359AA"/>
    <w:rsid w:val="00835A0A"/>
    <w:rsid w:val="00836BFF"/>
    <w:rsid w:val="00836F1F"/>
    <w:rsid w:val="00837CF8"/>
    <w:rsid w:val="0084023B"/>
    <w:rsid w:val="00840351"/>
    <w:rsid w:val="0084037D"/>
    <w:rsid w:val="00840696"/>
    <w:rsid w:val="00840BAF"/>
    <w:rsid w:val="00841266"/>
    <w:rsid w:val="00841EA1"/>
    <w:rsid w:val="00842475"/>
    <w:rsid w:val="0084286B"/>
    <w:rsid w:val="00842D48"/>
    <w:rsid w:val="00843088"/>
    <w:rsid w:val="008431E6"/>
    <w:rsid w:val="00843299"/>
    <w:rsid w:val="008435A0"/>
    <w:rsid w:val="008435AD"/>
    <w:rsid w:val="008436A2"/>
    <w:rsid w:val="00843DFE"/>
    <w:rsid w:val="00844043"/>
    <w:rsid w:val="008445F3"/>
    <w:rsid w:val="008446F3"/>
    <w:rsid w:val="008456E5"/>
    <w:rsid w:val="00845ADE"/>
    <w:rsid w:val="0084619C"/>
    <w:rsid w:val="0084650D"/>
    <w:rsid w:val="00846CD6"/>
    <w:rsid w:val="00846D13"/>
    <w:rsid w:val="008476D7"/>
    <w:rsid w:val="008504C0"/>
    <w:rsid w:val="008504ED"/>
    <w:rsid w:val="008504F6"/>
    <w:rsid w:val="00850A9F"/>
    <w:rsid w:val="008511F9"/>
    <w:rsid w:val="0085124F"/>
    <w:rsid w:val="00851C22"/>
    <w:rsid w:val="00851F34"/>
    <w:rsid w:val="00852240"/>
    <w:rsid w:val="008526A4"/>
    <w:rsid w:val="00853637"/>
    <w:rsid w:val="00853C5E"/>
    <w:rsid w:val="00853D6D"/>
    <w:rsid w:val="00854151"/>
    <w:rsid w:val="008548A9"/>
    <w:rsid w:val="00854C60"/>
    <w:rsid w:val="008554C9"/>
    <w:rsid w:val="0085569F"/>
    <w:rsid w:val="00855FE2"/>
    <w:rsid w:val="008566E2"/>
    <w:rsid w:val="00856FCD"/>
    <w:rsid w:val="0085713D"/>
    <w:rsid w:val="00857B44"/>
    <w:rsid w:val="00857EE8"/>
    <w:rsid w:val="008601DD"/>
    <w:rsid w:val="0086075A"/>
    <w:rsid w:val="008608DC"/>
    <w:rsid w:val="00860B9B"/>
    <w:rsid w:val="00860BC1"/>
    <w:rsid w:val="008614DC"/>
    <w:rsid w:val="008618BC"/>
    <w:rsid w:val="00862358"/>
    <w:rsid w:val="00862990"/>
    <w:rsid w:val="00862F2C"/>
    <w:rsid w:val="00863618"/>
    <w:rsid w:val="00863B97"/>
    <w:rsid w:val="00863D82"/>
    <w:rsid w:val="00864930"/>
    <w:rsid w:val="00864DD5"/>
    <w:rsid w:val="00865042"/>
    <w:rsid w:val="008651F2"/>
    <w:rsid w:val="00865603"/>
    <w:rsid w:val="00865778"/>
    <w:rsid w:val="00865E3E"/>
    <w:rsid w:val="00866166"/>
    <w:rsid w:val="008663D0"/>
    <w:rsid w:val="00866578"/>
    <w:rsid w:val="00866FEE"/>
    <w:rsid w:val="00867AC7"/>
    <w:rsid w:val="00870166"/>
    <w:rsid w:val="00870EE6"/>
    <w:rsid w:val="008713D9"/>
    <w:rsid w:val="00871733"/>
    <w:rsid w:val="00871B37"/>
    <w:rsid w:val="00872E5E"/>
    <w:rsid w:val="008732C1"/>
    <w:rsid w:val="008734A4"/>
    <w:rsid w:val="00874279"/>
    <w:rsid w:val="008742C4"/>
    <w:rsid w:val="008744F6"/>
    <w:rsid w:val="00874DEE"/>
    <w:rsid w:val="00875373"/>
    <w:rsid w:val="008754B5"/>
    <w:rsid w:val="00875632"/>
    <w:rsid w:val="00875BD9"/>
    <w:rsid w:val="00875DD0"/>
    <w:rsid w:val="008763D7"/>
    <w:rsid w:val="008763EA"/>
    <w:rsid w:val="00876ED1"/>
    <w:rsid w:val="00876F8C"/>
    <w:rsid w:val="00877155"/>
    <w:rsid w:val="00877334"/>
    <w:rsid w:val="0087734D"/>
    <w:rsid w:val="00877721"/>
    <w:rsid w:val="00880043"/>
    <w:rsid w:val="00880354"/>
    <w:rsid w:val="008806EB"/>
    <w:rsid w:val="00881359"/>
    <w:rsid w:val="008815F2"/>
    <w:rsid w:val="00881772"/>
    <w:rsid w:val="00881DD8"/>
    <w:rsid w:val="008835E4"/>
    <w:rsid w:val="00883653"/>
    <w:rsid w:val="00883712"/>
    <w:rsid w:val="00883A52"/>
    <w:rsid w:val="008845AC"/>
    <w:rsid w:val="00884B70"/>
    <w:rsid w:val="00884F55"/>
    <w:rsid w:val="0088541A"/>
    <w:rsid w:val="00885AFA"/>
    <w:rsid w:val="00885DF5"/>
    <w:rsid w:val="00887078"/>
    <w:rsid w:val="008873B1"/>
    <w:rsid w:val="00887620"/>
    <w:rsid w:val="008876C0"/>
    <w:rsid w:val="00887CCF"/>
    <w:rsid w:val="00887F51"/>
    <w:rsid w:val="00890529"/>
    <w:rsid w:val="00890546"/>
    <w:rsid w:val="008909CB"/>
    <w:rsid w:val="00891A26"/>
    <w:rsid w:val="00891AA8"/>
    <w:rsid w:val="00891B35"/>
    <w:rsid w:val="00892094"/>
    <w:rsid w:val="0089241D"/>
    <w:rsid w:val="008925FC"/>
    <w:rsid w:val="00892652"/>
    <w:rsid w:val="00892C0C"/>
    <w:rsid w:val="008937BE"/>
    <w:rsid w:val="00893869"/>
    <w:rsid w:val="008938AA"/>
    <w:rsid w:val="0089438A"/>
    <w:rsid w:val="008945F8"/>
    <w:rsid w:val="008945FA"/>
    <w:rsid w:val="00894662"/>
    <w:rsid w:val="008947A6"/>
    <w:rsid w:val="00895AA3"/>
    <w:rsid w:val="00895AF5"/>
    <w:rsid w:val="0089631E"/>
    <w:rsid w:val="0089636A"/>
    <w:rsid w:val="0089643E"/>
    <w:rsid w:val="008967C3"/>
    <w:rsid w:val="00896ACA"/>
    <w:rsid w:val="00896CCE"/>
    <w:rsid w:val="00896D81"/>
    <w:rsid w:val="00896E7A"/>
    <w:rsid w:val="00897134"/>
    <w:rsid w:val="00897138"/>
    <w:rsid w:val="0089755A"/>
    <w:rsid w:val="008975BB"/>
    <w:rsid w:val="00897C37"/>
    <w:rsid w:val="008A0B94"/>
    <w:rsid w:val="008A0E47"/>
    <w:rsid w:val="008A133B"/>
    <w:rsid w:val="008A170A"/>
    <w:rsid w:val="008A1D61"/>
    <w:rsid w:val="008A254A"/>
    <w:rsid w:val="008A2B25"/>
    <w:rsid w:val="008A36F4"/>
    <w:rsid w:val="008A3895"/>
    <w:rsid w:val="008A4A64"/>
    <w:rsid w:val="008A4D3E"/>
    <w:rsid w:val="008A5D07"/>
    <w:rsid w:val="008A5F7E"/>
    <w:rsid w:val="008A606A"/>
    <w:rsid w:val="008A6179"/>
    <w:rsid w:val="008A6DCC"/>
    <w:rsid w:val="008A6E87"/>
    <w:rsid w:val="008A7845"/>
    <w:rsid w:val="008A78BE"/>
    <w:rsid w:val="008A7937"/>
    <w:rsid w:val="008A7AF3"/>
    <w:rsid w:val="008A7BEB"/>
    <w:rsid w:val="008B0E57"/>
    <w:rsid w:val="008B12C5"/>
    <w:rsid w:val="008B163D"/>
    <w:rsid w:val="008B1C96"/>
    <w:rsid w:val="008B1F04"/>
    <w:rsid w:val="008B2119"/>
    <w:rsid w:val="008B23CD"/>
    <w:rsid w:val="008B2454"/>
    <w:rsid w:val="008B2C82"/>
    <w:rsid w:val="008B2D49"/>
    <w:rsid w:val="008B3254"/>
    <w:rsid w:val="008B33AF"/>
    <w:rsid w:val="008B367B"/>
    <w:rsid w:val="008B3DA1"/>
    <w:rsid w:val="008B4560"/>
    <w:rsid w:val="008B4A6E"/>
    <w:rsid w:val="008B4E75"/>
    <w:rsid w:val="008B572B"/>
    <w:rsid w:val="008B5CD9"/>
    <w:rsid w:val="008B5F39"/>
    <w:rsid w:val="008B62EB"/>
    <w:rsid w:val="008B64A6"/>
    <w:rsid w:val="008B6ED5"/>
    <w:rsid w:val="008B7647"/>
    <w:rsid w:val="008B7666"/>
    <w:rsid w:val="008B779A"/>
    <w:rsid w:val="008B7CEB"/>
    <w:rsid w:val="008C091A"/>
    <w:rsid w:val="008C0ED0"/>
    <w:rsid w:val="008C1007"/>
    <w:rsid w:val="008C1A3B"/>
    <w:rsid w:val="008C1DAD"/>
    <w:rsid w:val="008C2840"/>
    <w:rsid w:val="008C4136"/>
    <w:rsid w:val="008C44C2"/>
    <w:rsid w:val="008C479C"/>
    <w:rsid w:val="008C4AEE"/>
    <w:rsid w:val="008C4FEC"/>
    <w:rsid w:val="008C5551"/>
    <w:rsid w:val="008C5D9D"/>
    <w:rsid w:val="008C60A7"/>
    <w:rsid w:val="008C72B8"/>
    <w:rsid w:val="008C72CC"/>
    <w:rsid w:val="008C7523"/>
    <w:rsid w:val="008C7793"/>
    <w:rsid w:val="008C7DE9"/>
    <w:rsid w:val="008D0935"/>
    <w:rsid w:val="008D0D06"/>
    <w:rsid w:val="008D0D14"/>
    <w:rsid w:val="008D0D8F"/>
    <w:rsid w:val="008D0F72"/>
    <w:rsid w:val="008D1CB3"/>
    <w:rsid w:val="008D1D19"/>
    <w:rsid w:val="008D1D69"/>
    <w:rsid w:val="008D1E47"/>
    <w:rsid w:val="008D2508"/>
    <w:rsid w:val="008D2B57"/>
    <w:rsid w:val="008D2F4E"/>
    <w:rsid w:val="008D330D"/>
    <w:rsid w:val="008D3437"/>
    <w:rsid w:val="008D354C"/>
    <w:rsid w:val="008D3721"/>
    <w:rsid w:val="008D3F7D"/>
    <w:rsid w:val="008D4452"/>
    <w:rsid w:val="008D4579"/>
    <w:rsid w:val="008D4A48"/>
    <w:rsid w:val="008D4CE8"/>
    <w:rsid w:val="008D4DDA"/>
    <w:rsid w:val="008D5196"/>
    <w:rsid w:val="008D53D1"/>
    <w:rsid w:val="008D5A25"/>
    <w:rsid w:val="008D5BCC"/>
    <w:rsid w:val="008D6355"/>
    <w:rsid w:val="008D638B"/>
    <w:rsid w:val="008D67A4"/>
    <w:rsid w:val="008D7837"/>
    <w:rsid w:val="008D7E1F"/>
    <w:rsid w:val="008E07E7"/>
    <w:rsid w:val="008E0856"/>
    <w:rsid w:val="008E0A14"/>
    <w:rsid w:val="008E0CA9"/>
    <w:rsid w:val="008E0E89"/>
    <w:rsid w:val="008E12D7"/>
    <w:rsid w:val="008E12FB"/>
    <w:rsid w:val="008E21C2"/>
    <w:rsid w:val="008E25B8"/>
    <w:rsid w:val="008E2C32"/>
    <w:rsid w:val="008E30C8"/>
    <w:rsid w:val="008E3173"/>
    <w:rsid w:val="008E391E"/>
    <w:rsid w:val="008E3AB2"/>
    <w:rsid w:val="008E40A6"/>
    <w:rsid w:val="008E4429"/>
    <w:rsid w:val="008E491F"/>
    <w:rsid w:val="008E4B0F"/>
    <w:rsid w:val="008E54ED"/>
    <w:rsid w:val="008E6B59"/>
    <w:rsid w:val="008E7050"/>
    <w:rsid w:val="008E715A"/>
    <w:rsid w:val="008E7188"/>
    <w:rsid w:val="008E7257"/>
    <w:rsid w:val="008E749D"/>
    <w:rsid w:val="008E7A8C"/>
    <w:rsid w:val="008F073F"/>
    <w:rsid w:val="008F07CF"/>
    <w:rsid w:val="008F0A8C"/>
    <w:rsid w:val="008F0E74"/>
    <w:rsid w:val="008F1612"/>
    <w:rsid w:val="008F1988"/>
    <w:rsid w:val="008F1BB9"/>
    <w:rsid w:val="008F20AB"/>
    <w:rsid w:val="008F2414"/>
    <w:rsid w:val="008F2919"/>
    <w:rsid w:val="008F2DB3"/>
    <w:rsid w:val="008F33B4"/>
    <w:rsid w:val="008F3F29"/>
    <w:rsid w:val="008F4121"/>
    <w:rsid w:val="008F43E5"/>
    <w:rsid w:val="008F4987"/>
    <w:rsid w:val="008F4CD9"/>
    <w:rsid w:val="008F54ED"/>
    <w:rsid w:val="008F600A"/>
    <w:rsid w:val="008F69A4"/>
    <w:rsid w:val="008F7600"/>
    <w:rsid w:val="008F7E80"/>
    <w:rsid w:val="0090038C"/>
    <w:rsid w:val="00900D9C"/>
    <w:rsid w:val="00900DDD"/>
    <w:rsid w:val="0090149D"/>
    <w:rsid w:val="00901B3D"/>
    <w:rsid w:val="00902215"/>
    <w:rsid w:val="00902274"/>
    <w:rsid w:val="0090238A"/>
    <w:rsid w:val="0090282B"/>
    <w:rsid w:val="0090328D"/>
    <w:rsid w:val="0090355F"/>
    <w:rsid w:val="00903618"/>
    <w:rsid w:val="0090399F"/>
    <w:rsid w:val="00903CC2"/>
    <w:rsid w:val="00904199"/>
    <w:rsid w:val="009047A0"/>
    <w:rsid w:val="009048D6"/>
    <w:rsid w:val="00905055"/>
    <w:rsid w:val="00905454"/>
    <w:rsid w:val="00905C5B"/>
    <w:rsid w:val="00905EF5"/>
    <w:rsid w:val="0090619E"/>
    <w:rsid w:val="009063AE"/>
    <w:rsid w:val="009067B3"/>
    <w:rsid w:val="00906ECE"/>
    <w:rsid w:val="00907424"/>
    <w:rsid w:val="009075E7"/>
    <w:rsid w:val="00907D68"/>
    <w:rsid w:val="00907F88"/>
    <w:rsid w:val="009103D6"/>
    <w:rsid w:val="00910709"/>
    <w:rsid w:val="00910C5C"/>
    <w:rsid w:val="00910D6C"/>
    <w:rsid w:val="00910FEF"/>
    <w:rsid w:val="009113DA"/>
    <w:rsid w:val="00911BC6"/>
    <w:rsid w:val="00912571"/>
    <w:rsid w:val="0091269A"/>
    <w:rsid w:val="009126FB"/>
    <w:rsid w:val="009127DE"/>
    <w:rsid w:val="0091290E"/>
    <w:rsid w:val="00912BA9"/>
    <w:rsid w:val="009133A3"/>
    <w:rsid w:val="00913568"/>
    <w:rsid w:val="0091363A"/>
    <w:rsid w:val="00913D74"/>
    <w:rsid w:val="00914D7D"/>
    <w:rsid w:val="00914D7F"/>
    <w:rsid w:val="00914E1E"/>
    <w:rsid w:val="00914FA3"/>
    <w:rsid w:val="009156F4"/>
    <w:rsid w:val="0091583E"/>
    <w:rsid w:val="00915940"/>
    <w:rsid w:val="00915B00"/>
    <w:rsid w:val="00915DDA"/>
    <w:rsid w:val="00915E93"/>
    <w:rsid w:val="0091634E"/>
    <w:rsid w:val="00916604"/>
    <w:rsid w:val="00917FF4"/>
    <w:rsid w:val="0092024D"/>
    <w:rsid w:val="009205C8"/>
    <w:rsid w:val="009208D3"/>
    <w:rsid w:val="00920D51"/>
    <w:rsid w:val="0092105B"/>
    <w:rsid w:val="009212C3"/>
    <w:rsid w:val="009213A3"/>
    <w:rsid w:val="00921F35"/>
    <w:rsid w:val="009220AC"/>
    <w:rsid w:val="0092233A"/>
    <w:rsid w:val="00922706"/>
    <w:rsid w:val="00922E2F"/>
    <w:rsid w:val="0092330D"/>
    <w:rsid w:val="00923B98"/>
    <w:rsid w:val="00923C33"/>
    <w:rsid w:val="0092401F"/>
    <w:rsid w:val="009245C1"/>
    <w:rsid w:val="0092484B"/>
    <w:rsid w:val="00924EA0"/>
    <w:rsid w:val="009255DF"/>
    <w:rsid w:val="00925B2D"/>
    <w:rsid w:val="00926178"/>
    <w:rsid w:val="00926289"/>
    <w:rsid w:val="00926B1C"/>
    <w:rsid w:val="00926B56"/>
    <w:rsid w:val="009272E6"/>
    <w:rsid w:val="00930287"/>
    <w:rsid w:val="00930F77"/>
    <w:rsid w:val="0093106E"/>
    <w:rsid w:val="009314AA"/>
    <w:rsid w:val="009325CD"/>
    <w:rsid w:val="00932FBF"/>
    <w:rsid w:val="00933234"/>
    <w:rsid w:val="009334AF"/>
    <w:rsid w:val="009339BD"/>
    <w:rsid w:val="00933AD5"/>
    <w:rsid w:val="00934379"/>
    <w:rsid w:val="0093476F"/>
    <w:rsid w:val="00934EEE"/>
    <w:rsid w:val="00934FDF"/>
    <w:rsid w:val="00935170"/>
    <w:rsid w:val="0093571B"/>
    <w:rsid w:val="00935AB7"/>
    <w:rsid w:val="00935E97"/>
    <w:rsid w:val="00936227"/>
    <w:rsid w:val="00936931"/>
    <w:rsid w:val="00936A62"/>
    <w:rsid w:val="009370D6"/>
    <w:rsid w:val="00937675"/>
    <w:rsid w:val="0093776E"/>
    <w:rsid w:val="00937F93"/>
    <w:rsid w:val="00937FF7"/>
    <w:rsid w:val="00940533"/>
    <w:rsid w:val="00941499"/>
    <w:rsid w:val="00941686"/>
    <w:rsid w:val="00941B72"/>
    <w:rsid w:val="00941C42"/>
    <w:rsid w:val="009424FA"/>
    <w:rsid w:val="00942A87"/>
    <w:rsid w:val="00942A9B"/>
    <w:rsid w:val="00942F22"/>
    <w:rsid w:val="00943296"/>
    <w:rsid w:val="009434CB"/>
    <w:rsid w:val="00943D88"/>
    <w:rsid w:val="00945399"/>
    <w:rsid w:val="0094565A"/>
    <w:rsid w:val="00945852"/>
    <w:rsid w:val="009460E7"/>
    <w:rsid w:val="00946502"/>
    <w:rsid w:val="00946639"/>
    <w:rsid w:val="00946658"/>
    <w:rsid w:val="00946939"/>
    <w:rsid w:val="00950243"/>
    <w:rsid w:val="009503FF"/>
    <w:rsid w:val="00951321"/>
    <w:rsid w:val="009517A5"/>
    <w:rsid w:val="0095279D"/>
    <w:rsid w:val="00953168"/>
    <w:rsid w:val="00953549"/>
    <w:rsid w:val="009541AE"/>
    <w:rsid w:val="0095433E"/>
    <w:rsid w:val="0095483B"/>
    <w:rsid w:val="00954AB9"/>
    <w:rsid w:val="00954FBF"/>
    <w:rsid w:val="009564D5"/>
    <w:rsid w:val="00956637"/>
    <w:rsid w:val="00956898"/>
    <w:rsid w:val="009568C8"/>
    <w:rsid w:val="00956B79"/>
    <w:rsid w:val="00956C0E"/>
    <w:rsid w:val="00957148"/>
    <w:rsid w:val="0095734B"/>
    <w:rsid w:val="0095743E"/>
    <w:rsid w:val="00957827"/>
    <w:rsid w:val="00957C14"/>
    <w:rsid w:val="00957D29"/>
    <w:rsid w:val="0096075A"/>
    <w:rsid w:val="00960C97"/>
    <w:rsid w:val="0096110D"/>
    <w:rsid w:val="00961358"/>
    <w:rsid w:val="00961902"/>
    <w:rsid w:val="00961924"/>
    <w:rsid w:val="0096211A"/>
    <w:rsid w:val="00962705"/>
    <w:rsid w:val="00962827"/>
    <w:rsid w:val="00962C9A"/>
    <w:rsid w:val="00962CA4"/>
    <w:rsid w:val="00963059"/>
    <w:rsid w:val="0096327E"/>
    <w:rsid w:val="00963990"/>
    <w:rsid w:val="00963B4F"/>
    <w:rsid w:val="00963CA0"/>
    <w:rsid w:val="00964174"/>
    <w:rsid w:val="0096483B"/>
    <w:rsid w:val="0096494B"/>
    <w:rsid w:val="00964ABC"/>
    <w:rsid w:val="00964D11"/>
    <w:rsid w:val="009657A1"/>
    <w:rsid w:val="0096688A"/>
    <w:rsid w:val="009669E8"/>
    <w:rsid w:val="00966AD4"/>
    <w:rsid w:val="00966C95"/>
    <w:rsid w:val="009671D3"/>
    <w:rsid w:val="00967816"/>
    <w:rsid w:val="00967AD3"/>
    <w:rsid w:val="009704FE"/>
    <w:rsid w:val="0097082E"/>
    <w:rsid w:val="00970996"/>
    <w:rsid w:val="009709B3"/>
    <w:rsid w:val="00970E92"/>
    <w:rsid w:val="009715F6"/>
    <w:rsid w:val="00971CE2"/>
    <w:rsid w:val="00971D02"/>
    <w:rsid w:val="009722AB"/>
    <w:rsid w:val="009723BD"/>
    <w:rsid w:val="00972588"/>
    <w:rsid w:val="009725E9"/>
    <w:rsid w:val="009728A1"/>
    <w:rsid w:val="00973223"/>
    <w:rsid w:val="00973322"/>
    <w:rsid w:val="009734D1"/>
    <w:rsid w:val="009734D7"/>
    <w:rsid w:val="00973919"/>
    <w:rsid w:val="00973E25"/>
    <w:rsid w:val="00974076"/>
    <w:rsid w:val="009741BA"/>
    <w:rsid w:val="009743F0"/>
    <w:rsid w:val="00974599"/>
    <w:rsid w:val="00974851"/>
    <w:rsid w:val="00974997"/>
    <w:rsid w:val="009749A8"/>
    <w:rsid w:val="009760E0"/>
    <w:rsid w:val="00976DCE"/>
    <w:rsid w:val="009773FF"/>
    <w:rsid w:val="00980002"/>
    <w:rsid w:val="00980E90"/>
    <w:rsid w:val="00980E9D"/>
    <w:rsid w:val="00981D10"/>
    <w:rsid w:val="00982020"/>
    <w:rsid w:val="009822CA"/>
    <w:rsid w:val="00982AA6"/>
    <w:rsid w:val="00983D20"/>
    <w:rsid w:val="009843BC"/>
    <w:rsid w:val="00984440"/>
    <w:rsid w:val="00984C1D"/>
    <w:rsid w:val="00984DA8"/>
    <w:rsid w:val="00984E75"/>
    <w:rsid w:val="00984FB7"/>
    <w:rsid w:val="0098534D"/>
    <w:rsid w:val="00985684"/>
    <w:rsid w:val="00985B4E"/>
    <w:rsid w:val="00985E30"/>
    <w:rsid w:val="00986189"/>
    <w:rsid w:val="0098628A"/>
    <w:rsid w:val="0098698E"/>
    <w:rsid w:val="00986B16"/>
    <w:rsid w:val="00986C31"/>
    <w:rsid w:val="0098738A"/>
    <w:rsid w:val="009902C4"/>
    <w:rsid w:val="0099033D"/>
    <w:rsid w:val="00990ABC"/>
    <w:rsid w:val="00990C2D"/>
    <w:rsid w:val="009911FD"/>
    <w:rsid w:val="00991A29"/>
    <w:rsid w:val="00991C7B"/>
    <w:rsid w:val="00992262"/>
    <w:rsid w:val="00992414"/>
    <w:rsid w:val="009929B6"/>
    <w:rsid w:val="00992F28"/>
    <w:rsid w:val="00993558"/>
    <w:rsid w:val="009936B0"/>
    <w:rsid w:val="00993B8C"/>
    <w:rsid w:val="00993C5D"/>
    <w:rsid w:val="00993F1B"/>
    <w:rsid w:val="009941E9"/>
    <w:rsid w:val="009941F7"/>
    <w:rsid w:val="00994830"/>
    <w:rsid w:val="0099574A"/>
    <w:rsid w:val="00995B2F"/>
    <w:rsid w:val="009962C6"/>
    <w:rsid w:val="0099694A"/>
    <w:rsid w:val="00996AE5"/>
    <w:rsid w:val="00997898"/>
    <w:rsid w:val="009A0351"/>
    <w:rsid w:val="009A049B"/>
    <w:rsid w:val="009A08E1"/>
    <w:rsid w:val="009A0A04"/>
    <w:rsid w:val="009A0DA2"/>
    <w:rsid w:val="009A0DE8"/>
    <w:rsid w:val="009A1437"/>
    <w:rsid w:val="009A14A7"/>
    <w:rsid w:val="009A168D"/>
    <w:rsid w:val="009A1761"/>
    <w:rsid w:val="009A1FC0"/>
    <w:rsid w:val="009A208C"/>
    <w:rsid w:val="009A269C"/>
    <w:rsid w:val="009A27EF"/>
    <w:rsid w:val="009A29C4"/>
    <w:rsid w:val="009A2AD4"/>
    <w:rsid w:val="009A2D82"/>
    <w:rsid w:val="009A3709"/>
    <w:rsid w:val="009A383B"/>
    <w:rsid w:val="009A3933"/>
    <w:rsid w:val="009A3C08"/>
    <w:rsid w:val="009A3C6C"/>
    <w:rsid w:val="009A4137"/>
    <w:rsid w:val="009A45BB"/>
    <w:rsid w:val="009A4D8F"/>
    <w:rsid w:val="009A50F3"/>
    <w:rsid w:val="009A5684"/>
    <w:rsid w:val="009A568B"/>
    <w:rsid w:val="009A5765"/>
    <w:rsid w:val="009A57A9"/>
    <w:rsid w:val="009A5C61"/>
    <w:rsid w:val="009A6295"/>
    <w:rsid w:val="009A6F05"/>
    <w:rsid w:val="009A726B"/>
    <w:rsid w:val="009A74A9"/>
    <w:rsid w:val="009A7571"/>
    <w:rsid w:val="009B0652"/>
    <w:rsid w:val="009B0E4E"/>
    <w:rsid w:val="009B0F45"/>
    <w:rsid w:val="009B12B6"/>
    <w:rsid w:val="009B166E"/>
    <w:rsid w:val="009B2287"/>
    <w:rsid w:val="009B24A6"/>
    <w:rsid w:val="009B2B9C"/>
    <w:rsid w:val="009B2FE8"/>
    <w:rsid w:val="009B341A"/>
    <w:rsid w:val="009B374F"/>
    <w:rsid w:val="009B3F0F"/>
    <w:rsid w:val="009B4DA5"/>
    <w:rsid w:val="009B4EAA"/>
    <w:rsid w:val="009B4F49"/>
    <w:rsid w:val="009B4FA4"/>
    <w:rsid w:val="009B53A6"/>
    <w:rsid w:val="009B58B2"/>
    <w:rsid w:val="009B6386"/>
    <w:rsid w:val="009B6CF9"/>
    <w:rsid w:val="009B706C"/>
    <w:rsid w:val="009B7174"/>
    <w:rsid w:val="009C01E3"/>
    <w:rsid w:val="009C0389"/>
    <w:rsid w:val="009C1087"/>
    <w:rsid w:val="009C1500"/>
    <w:rsid w:val="009C1502"/>
    <w:rsid w:val="009C1E2F"/>
    <w:rsid w:val="009C2320"/>
    <w:rsid w:val="009C2428"/>
    <w:rsid w:val="009C24F9"/>
    <w:rsid w:val="009C2A34"/>
    <w:rsid w:val="009C32F7"/>
    <w:rsid w:val="009C3567"/>
    <w:rsid w:val="009C3EDC"/>
    <w:rsid w:val="009C40FF"/>
    <w:rsid w:val="009C561E"/>
    <w:rsid w:val="009C65BB"/>
    <w:rsid w:val="009C6B89"/>
    <w:rsid w:val="009C6D15"/>
    <w:rsid w:val="009C6F67"/>
    <w:rsid w:val="009C7252"/>
    <w:rsid w:val="009C7579"/>
    <w:rsid w:val="009C765B"/>
    <w:rsid w:val="009C7869"/>
    <w:rsid w:val="009D04A8"/>
    <w:rsid w:val="009D085E"/>
    <w:rsid w:val="009D0D15"/>
    <w:rsid w:val="009D0DF7"/>
    <w:rsid w:val="009D0E05"/>
    <w:rsid w:val="009D17B7"/>
    <w:rsid w:val="009D1C9C"/>
    <w:rsid w:val="009D1D35"/>
    <w:rsid w:val="009D1E84"/>
    <w:rsid w:val="009D2514"/>
    <w:rsid w:val="009D2763"/>
    <w:rsid w:val="009D29A9"/>
    <w:rsid w:val="009D2C20"/>
    <w:rsid w:val="009D2F8F"/>
    <w:rsid w:val="009D302A"/>
    <w:rsid w:val="009D3812"/>
    <w:rsid w:val="009D4157"/>
    <w:rsid w:val="009D42D7"/>
    <w:rsid w:val="009D479F"/>
    <w:rsid w:val="009D5C70"/>
    <w:rsid w:val="009D5CA4"/>
    <w:rsid w:val="009D60BB"/>
    <w:rsid w:val="009D6367"/>
    <w:rsid w:val="009D6F83"/>
    <w:rsid w:val="009D75FA"/>
    <w:rsid w:val="009D7CE3"/>
    <w:rsid w:val="009D7CF5"/>
    <w:rsid w:val="009E0766"/>
    <w:rsid w:val="009E0B55"/>
    <w:rsid w:val="009E1296"/>
    <w:rsid w:val="009E12B2"/>
    <w:rsid w:val="009E1631"/>
    <w:rsid w:val="009E1C6D"/>
    <w:rsid w:val="009E1D2D"/>
    <w:rsid w:val="009E1D63"/>
    <w:rsid w:val="009E2280"/>
    <w:rsid w:val="009E2383"/>
    <w:rsid w:val="009E24D7"/>
    <w:rsid w:val="009E258A"/>
    <w:rsid w:val="009E2614"/>
    <w:rsid w:val="009E2EA7"/>
    <w:rsid w:val="009E2EBB"/>
    <w:rsid w:val="009E2F5B"/>
    <w:rsid w:val="009E34BD"/>
    <w:rsid w:val="009E3CC2"/>
    <w:rsid w:val="009E3FA3"/>
    <w:rsid w:val="009E429C"/>
    <w:rsid w:val="009E444E"/>
    <w:rsid w:val="009E4B03"/>
    <w:rsid w:val="009E4EFE"/>
    <w:rsid w:val="009E50F7"/>
    <w:rsid w:val="009E5918"/>
    <w:rsid w:val="009E64E9"/>
    <w:rsid w:val="009E6516"/>
    <w:rsid w:val="009E6731"/>
    <w:rsid w:val="009E6AEA"/>
    <w:rsid w:val="009E6E42"/>
    <w:rsid w:val="009E714B"/>
    <w:rsid w:val="009E7760"/>
    <w:rsid w:val="009E7B11"/>
    <w:rsid w:val="009E7F6F"/>
    <w:rsid w:val="009F0451"/>
    <w:rsid w:val="009F052C"/>
    <w:rsid w:val="009F057C"/>
    <w:rsid w:val="009F08EC"/>
    <w:rsid w:val="009F0ACE"/>
    <w:rsid w:val="009F0E10"/>
    <w:rsid w:val="009F1AE3"/>
    <w:rsid w:val="009F1F65"/>
    <w:rsid w:val="009F23DF"/>
    <w:rsid w:val="009F2541"/>
    <w:rsid w:val="009F2633"/>
    <w:rsid w:val="009F28DD"/>
    <w:rsid w:val="009F2BFC"/>
    <w:rsid w:val="009F2ECD"/>
    <w:rsid w:val="009F2F49"/>
    <w:rsid w:val="009F3B7B"/>
    <w:rsid w:val="009F402B"/>
    <w:rsid w:val="009F4869"/>
    <w:rsid w:val="009F48E3"/>
    <w:rsid w:val="009F493E"/>
    <w:rsid w:val="009F4E3C"/>
    <w:rsid w:val="009F512E"/>
    <w:rsid w:val="009F57E1"/>
    <w:rsid w:val="009F5E12"/>
    <w:rsid w:val="009F5F27"/>
    <w:rsid w:val="009F6975"/>
    <w:rsid w:val="009F708B"/>
    <w:rsid w:val="00A00739"/>
    <w:rsid w:val="00A00CC9"/>
    <w:rsid w:val="00A00D61"/>
    <w:rsid w:val="00A00E73"/>
    <w:rsid w:val="00A0103D"/>
    <w:rsid w:val="00A0106E"/>
    <w:rsid w:val="00A01146"/>
    <w:rsid w:val="00A01DBD"/>
    <w:rsid w:val="00A0256C"/>
    <w:rsid w:val="00A02994"/>
    <w:rsid w:val="00A02F02"/>
    <w:rsid w:val="00A03836"/>
    <w:rsid w:val="00A05A9D"/>
    <w:rsid w:val="00A05DE1"/>
    <w:rsid w:val="00A05F43"/>
    <w:rsid w:val="00A05FD6"/>
    <w:rsid w:val="00A0642C"/>
    <w:rsid w:val="00A068D8"/>
    <w:rsid w:val="00A06F99"/>
    <w:rsid w:val="00A07C1F"/>
    <w:rsid w:val="00A07D3D"/>
    <w:rsid w:val="00A07E20"/>
    <w:rsid w:val="00A10745"/>
    <w:rsid w:val="00A10C33"/>
    <w:rsid w:val="00A10DE7"/>
    <w:rsid w:val="00A11030"/>
    <w:rsid w:val="00A11350"/>
    <w:rsid w:val="00A115CD"/>
    <w:rsid w:val="00A116C1"/>
    <w:rsid w:val="00A117F4"/>
    <w:rsid w:val="00A120BF"/>
    <w:rsid w:val="00A13508"/>
    <w:rsid w:val="00A13687"/>
    <w:rsid w:val="00A1399F"/>
    <w:rsid w:val="00A13D1E"/>
    <w:rsid w:val="00A14978"/>
    <w:rsid w:val="00A159FA"/>
    <w:rsid w:val="00A15EC3"/>
    <w:rsid w:val="00A1626D"/>
    <w:rsid w:val="00A16511"/>
    <w:rsid w:val="00A16E90"/>
    <w:rsid w:val="00A1707D"/>
    <w:rsid w:val="00A17A84"/>
    <w:rsid w:val="00A201F7"/>
    <w:rsid w:val="00A20D89"/>
    <w:rsid w:val="00A21D62"/>
    <w:rsid w:val="00A21F20"/>
    <w:rsid w:val="00A2225C"/>
    <w:rsid w:val="00A238EB"/>
    <w:rsid w:val="00A23993"/>
    <w:rsid w:val="00A247BB"/>
    <w:rsid w:val="00A24B6F"/>
    <w:rsid w:val="00A24B9F"/>
    <w:rsid w:val="00A24D84"/>
    <w:rsid w:val="00A25218"/>
    <w:rsid w:val="00A25321"/>
    <w:rsid w:val="00A2561F"/>
    <w:rsid w:val="00A25879"/>
    <w:rsid w:val="00A25A7D"/>
    <w:rsid w:val="00A25AEB"/>
    <w:rsid w:val="00A25B18"/>
    <w:rsid w:val="00A266B0"/>
    <w:rsid w:val="00A267E5"/>
    <w:rsid w:val="00A268FA"/>
    <w:rsid w:val="00A26CF5"/>
    <w:rsid w:val="00A27204"/>
    <w:rsid w:val="00A2771C"/>
    <w:rsid w:val="00A27B4F"/>
    <w:rsid w:val="00A27D08"/>
    <w:rsid w:val="00A30233"/>
    <w:rsid w:val="00A30C79"/>
    <w:rsid w:val="00A310B8"/>
    <w:rsid w:val="00A316B5"/>
    <w:rsid w:val="00A320C8"/>
    <w:rsid w:val="00A324E1"/>
    <w:rsid w:val="00A339CF"/>
    <w:rsid w:val="00A33B7B"/>
    <w:rsid w:val="00A34464"/>
    <w:rsid w:val="00A34601"/>
    <w:rsid w:val="00A34672"/>
    <w:rsid w:val="00A3498B"/>
    <w:rsid w:val="00A34BEC"/>
    <w:rsid w:val="00A34EC4"/>
    <w:rsid w:val="00A35251"/>
    <w:rsid w:val="00A35274"/>
    <w:rsid w:val="00A35B83"/>
    <w:rsid w:val="00A35BF8"/>
    <w:rsid w:val="00A35C30"/>
    <w:rsid w:val="00A35C83"/>
    <w:rsid w:val="00A35E70"/>
    <w:rsid w:val="00A36563"/>
    <w:rsid w:val="00A368F6"/>
    <w:rsid w:val="00A36AE3"/>
    <w:rsid w:val="00A36EAE"/>
    <w:rsid w:val="00A36F51"/>
    <w:rsid w:val="00A36FD7"/>
    <w:rsid w:val="00A37CF1"/>
    <w:rsid w:val="00A37EEE"/>
    <w:rsid w:val="00A402A1"/>
    <w:rsid w:val="00A40712"/>
    <w:rsid w:val="00A40C30"/>
    <w:rsid w:val="00A40F3C"/>
    <w:rsid w:val="00A41152"/>
    <w:rsid w:val="00A41C0F"/>
    <w:rsid w:val="00A42183"/>
    <w:rsid w:val="00A42553"/>
    <w:rsid w:val="00A42689"/>
    <w:rsid w:val="00A42D31"/>
    <w:rsid w:val="00A431E1"/>
    <w:rsid w:val="00A43AEE"/>
    <w:rsid w:val="00A43BE1"/>
    <w:rsid w:val="00A43F38"/>
    <w:rsid w:val="00A44065"/>
    <w:rsid w:val="00A44996"/>
    <w:rsid w:val="00A45274"/>
    <w:rsid w:val="00A45284"/>
    <w:rsid w:val="00A45487"/>
    <w:rsid w:val="00A459FE"/>
    <w:rsid w:val="00A46CE1"/>
    <w:rsid w:val="00A47443"/>
    <w:rsid w:val="00A478A6"/>
    <w:rsid w:val="00A47D91"/>
    <w:rsid w:val="00A47DA6"/>
    <w:rsid w:val="00A500BB"/>
    <w:rsid w:val="00A507C2"/>
    <w:rsid w:val="00A50A5C"/>
    <w:rsid w:val="00A50A91"/>
    <w:rsid w:val="00A50CAF"/>
    <w:rsid w:val="00A50CC0"/>
    <w:rsid w:val="00A5100D"/>
    <w:rsid w:val="00A511F8"/>
    <w:rsid w:val="00A51EDB"/>
    <w:rsid w:val="00A52240"/>
    <w:rsid w:val="00A523D8"/>
    <w:rsid w:val="00A524DB"/>
    <w:rsid w:val="00A52667"/>
    <w:rsid w:val="00A5279B"/>
    <w:rsid w:val="00A540F1"/>
    <w:rsid w:val="00A54B49"/>
    <w:rsid w:val="00A54F33"/>
    <w:rsid w:val="00A55886"/>
    <w:rsid w:val="00A55D86"/>
    <w:rsid w:val="00A5632F"/>
    <w:rsid w:val="00A565B3"/>
    <w:rsid w:val="00A569B8"/>
    <w:rsid w:val="00A56CDE"/>
    <w:rsid w:val="00A57152"/>
    <w:rsid w:val="00A575FE"/>
    <w:rsid w:val="00A579BB"/>
    <w:rsid w:val="00A57C3B"/>
    <w:rsid w:val="00A602C1"/>
    <w:rsid w:val="00A60332"/>
    <w:rsid w:val="00A60EDD"/>
    <w:rsid w:val="00A60FD4"/>
    <w:rsid w:val="00A61023"/>
    <w:rsid w:val="00A61159"/>
    <w:rsid w:val="00A614CD"/>
    <w:rsid w:val="00A61AF4"/>
    <w:rsid w:val="00A620FB"/>
    <w:rsid w:val="00A62927"/>
    <w:rsid w:val="00A62E34"/>
    <w:rsid w:val="00A62EA6"/>
    <w:rsid w:val="00A631BD"/>
    <w:rsid w:val="00A63960"/>
    <w:rsid w:val="00A63D1D"/>
    <w:rsid w:val="00A640D7"/>
    <w:rsid w:val="00A64595"/>
    <w:rsid w:val="00A64D96"/>
    <w:rsid w:val="00A64F99"/>
    <w:rsid w:val="00A6533F"/>
    <w:rsid w:val="00A65416"/>
    <w:rsid w:val="00A6576C"/>
    <w:rsid w:val="00A657EF"/>
    <w:rsid w:val="00A700FF"/>
    <w:rsid w:val="00A7043C"/>
    <w:rsid w:val="00A71362"/>
    <w:rsid w:val="00A7188F"/>
    <w:rsid w:val="00A71949"/>
    <w:rsid w:val="00A728D9"/>
    <w:rsid w:val="00A72BE7"/>
    <w:rsid w:val="00A72EFD"/>
    <w:rsid w:val="00A7309D"/>
    <w:rsid w:val="00A73421"/>
    <w:rsid w:val="00A73440"/>
    <w:rsid w:val="00A7391F"/>
    <w:rsid w:val="00A7392E"/>
    <w:rsid w:val="00A73DC8"/>
    <w:rsid w:val="00A73E7F"/>
    <w:rsid w:val="00A74640"/>
    <w:rsid w:val="00A7507E"/>
    <w:rsid w:val="00A7613A"/>
    <w:rsid w:val="00A76860"/>
    <w:rsid w:val="00A76D3E"/>
    <w:rsid w:val="00A77DA4"/>
    <w:rsid w:val="00A80946"/>
    <w:rsid w:val="00A80DA8"/>
    <w:rsid w:val="00A8207C"/>
    <w:rsid w:val="00A8215B"/>
    <w:rsid w:val="00A825EF"/>
    <w:rsid w:val="00A82A74"/>
    <w:rsid w:val="00A82BC3"/>
    <w:rsid w:val="00A83BCC"/>
    <w:rsid w:val="00A84BA7"/>
    <w:rsid w:val="00A850A7"/>
    <w:rsid w:val="00A853C9"/>
    <w:rsid w:val="00A855D5"/>
    <w:rsid w:val="00A86066"/>
    <w:rsid w:val="00A86492"/>
    <w:rsid w:val="00A864E9"/>
    <w:rsid w:val="00A869B9"/>
    <w:rsid w:val="00A86D54"/>
    <w:rsid w:val="00A86D6D"/>
    <w:rsid w:val="00A86ECB"/>
    <w:rsid w:val="00A87025"/>
    <w:rsid w:val="00A879DE"/>
    <w:rsid w:val="00A87A35"/>
    <w:rsid w:val="00A87B2B"/>
    <w:rsid w:val="00A87EC6"/>
    <w:rsid w:val="00A909F6"/>
    <w:rsid w:val="00A91822"/>
    <w:rsid w:val="00A924C2"/>
    <w:rsid w:val="00A9364F"/>
    <w:rsid w:val="00A93774"/>
    <w:rsid w:val="00A937AE"/>
    <w:rsid w:val="00A93A0D"/>
    <w:rsid w:val="00A93A6D"/>
    <w:rsid w:val="00A94268"/>
    <w:rsid w:val="00A942DA"/>
    <w:rsid w:val="00A94A9D"/>
    <w:rsid w:val="00A94E08"/>
    <w:rsid w:val="00A95B3A"/>
    <w:rsid w:val="00A95EB9"/>
    <w:rsid w:val="00A9611A"/>
    <w:rsid w:val="00A96171"/>
    <w:rsid w:val="00A9674E"/>
    <w:rsid w:val="00A97350"/>
    <w:rsid w:val="00A974C7"/>
    <w:rsid w:val="00A974D6"/>
    <w:rsid w:val="00A975C6"/>
    <w:rsid w:val="00A97EB9"/>
    <w:rsid w:val="00AA0105"/>
    <w:rsid w:val="00AA06EF"/>
    <w:rsid w:val="00AA0E2B"/>
    <w:rsid w:val="00AA0FDF"/>
    <w:rsid w:val="00AA1859"/>
    <w:rsid w:val="00AA1874"/>
    <w:rsid w:val="00AA1B7D"/>
    <w:rsid w:val="00AA218B"/>
    <w:rsid w:val="00AA21DF"/>
    <w:rsid w:val="00AA227A"/>
    <w:rsid w:val="00AA23A7"/>
    <w:rsid w:val="00AA2577"/>
    <w:rsid w:val="00AA261C"/>
    <w:rsid w:val="00AA2A0A"/>
    <w:rsid w:val="00AA2C8C"/>
    <w:rsid w:val="00AA2DC8"/>
    <w:rsid w:val="00AA33C4"/>
    <w:rsid w:val="00AA3C4C"/>
    <w:rsid w:val="00AA3E15"/>
    <w:rsid w:val="00AA4E6B"/>
    <w:rsid w:val="00AA4EFC"/>
    <w:rsid w:val="00AA58A5"/>
    <w:rsid w:val="00AA58BC"/>
    <w:rsid w:val="00AA590A"/>
    <w:rsid w:val="00AA5AB0"/>
    <w:rsid w:val="00AA6326"/>
    <w:rsid w:val="00AA6AE2"/>
    <w:rsid w:val="00AA6B90"/>
    <w:rsid w:val="00AA736D"/>
    <w:rsid w:val="00AA74C2"/>
    <w:rsid w:val="00AA75C4"/>
    <w:rsid w:val="00AA7E20"/>
    <w:rsid w:val="00AB0026"/>
    <w:rsid w:val="00AB0112"/>
    <w:rsid w:val="00AB02A5"/>
    <w:rsid w:val="00AB03D6"/>
    <w:rsid w:val="00AB0489"/>
    <w:rsid w:val="00AB0528"/>
    <w:rsid w:val="00AB05C7"/>
    <w:rsid w:val="00AB063C"/>
    <w:rsid w:val="00AB0B00"/>
    <w:rsid w:val="00AB0C5B"/>
    <w:rsid w:val="00AB0CB1"/>
    <w:rsid w:val="00AB12B5"/>
    <w:rsid w:val="00AB1554"/>
    <w:rsid w:val="00AB17D9"/>
    <w:rsid w:val="00AB18D6"/>
    <w:rsid w:val="00AB1A62"/>
    <w:rsid w:val="00AB1F1E"/>
    <w:rsid w:val="00AB212A"/>
    <w:rsid w:val="00AB3D0B"/>
    <w:rsid w:val="00AB404E"/>
    <w:rsid w:val="00AB4377"/>
    <w:rsid w:val="00AB475F"/>
    <w:rsid w:val="00AB4882"/>
    <w:rsid w:val="00AB48CA"/>
    <w:rsid w:val="00AB58A9"/>
    <w:rsid w:val="00AB5B4B"/>
    <w:rsid w:val="00AB62C8"/>
    <w:rsid w:val="00AB646B"/>
    <w:rsid w:val="00AB6FE9"/>
    <w:rsid w:val="00AB7982"/>
    <w:rsid w:val="00AC1518"/>
    <w:rsid w:val="00AC1776"/>
    <w:rsid w:val="00AC1956"/>
    <w:rsid w:val="00AC1B31"/>
    <w:rsid w:val="00AC1DCE"/>
    <w:rsid w:val="00AC2B2B"/>
    <w:rsid w:val="00AC2CC5"/>
    <w:rsid w:val="00AC310C"/>
    <w:rsid w:val="00AC3A4D"/>
    <w:rsid w:val="00AC3A64"/>
    <w:rsid w:val="00AC3DC5"/>
    <w:rsid w:val="00AC4131"/>
    <w:rsid w:val="00AC494C"/>
    <w:rsid w:val="00AC5794"/>
    <w:rsid w:val="00AC58D5"/>
    <w:rsid w:val="00AC61CE"/>
    <w:rsid w:val="00AC63BB"/>
    <w:rsid w:val="00AC63CD"/>
    <w:rsid w:val="00AC7C70"/>
    <w:rsid w:val="00AD0315"/>
    <w:rsid w:val="00AD04B7"/>
    <w:rsid w:val="00AD0D4C"/>
    <w:rsid w:val="00AD0F34"/>
    <w:rsid w:val="00AD10CE"/>
    <w:rsid w:val="00AD124A"/>
    <w:rsid w:val="00AD189B"/>
    <w:rsid w:val="00AD18A2"/>
    <w:rsid w:val="00AD19C7"/>
    <w:rsid w:val="00AD1F14"/>
    <w:rsid w:val="00AD2304"/>
    <w:rsid w:val="00AD23D9"/>
    <w:rsid w:val="00AD2F4E"/>
    <w:rsid w:val="00AD302F"/>
    <w:rsid w:val="00AD3193"/>
    <w:rsid w:val="00AD3357"/>
    <w:rsid w:val="00AD362E"/>
    <w:rsid w:val="00AD382C"/>
    <w:rsid w:val="00AD389F"/>
    <w:rsid w:val="00AD38CF"/>
    <w:rsid w:val="00AD3BEB"/>
    <w:rsid w:val="00AD4931"/>
    <w:rsid w:val="00AD49A6"/>
    <w:rsid w:val="00AD4BEA"/>
    <w:rsid w:val="00AD565F"/>
    <w:rsid w:val="00AD59E4"/>
    <w:rsid w:val="00AD5C38"/>
    <w:rsid w:val="00AD5EC6"/>
    <w:rsid w:val="00AD5EE5"/>
    <w:rsid w:val="00AD66E0"/>
    <w:rsid w:val="00AD6BD0"/>
    <w:rsid w:val="00AD773C"/>
    <w:rsid w:val="00AD784F"/>
    <w:rsid w:val="00AD799D"/>
    <w:rsid w:val="00AD7BDB"/>
    <w:rsid w:val="00AE0231"/>
    <w:rsid w:val="00AE05EB"/>
    <w:rsid w:val="00AE0714"/>
    <w:rsid w:val="00AE0C06"/>
    <w:rsid w:val="00AE1444"/>
    <w:rsid w:val="00AE1803"/>
    <w:rsid w:val="00AE1A72"/>
    <w:rsid w:val="00AE1C27"/>
    <w:rsid w:val="00AE1D4D"/>
    <w:rsid w:val="00AE2096"/>
    <w:rsid w:val="00AE24D9"/>
    <w:rsid w:val="00AE266C"/>
    <w:rsid w:val="00AE2B43"/>
    <w:rsid w:val="00AE30AE"/>
    <w:rsid w:val="00AE3341"/>
    <w:rsid w:val="00AE3631"/>
    <w:rsid w:val="00AE36E2"/>
    <w:rsid w:val="00AE3725"/>
    <w:rsid w:val="00AE385D"/>
    <w:rsid w:val="00AE3D26"/>
    <w:rsid w:val="00AE3F1D"/>
    <w:rsid w:val="00AE402D"/>
    <w:rsid w:val="00AE462C"/>
    <w:rsid w:val="00AE4904"/>
    <w:rsid w:val="00AE5BE2"/>
    <w:rsid w:val="00AE6212"/>
    <w:rsid w:val="00AE6379"/>
    <w:rsid w:val="00AE638A"/>
    <w:rsid w:val="00AE6772"/>
    <w:rsid w:val="00AE687D"/>
    <w:rsid w:val="00AE697D"/>
    <w:rsid w:val="00AE71FD"/>
    <w:rsid w:val="00AE731C"/>
    <w:rsid w:val="00AE77DD"/>
    <w:rsid w:val="00AE7959"/>
    <w:rsid w:val="00AE79C9"/>
    <w:rsid w:val="00AF03E0"/>
    <w:rsid w:val="00AF0515"/>
    <w:rsid w:val="00AF0702"/>
    <w:rsid w:val="00AF0800"/>
    <w:rsid w:val="00AF0B9F"/>
    <w:rsid w:val="00AF19E5"/>
    <w:rsid w:val="00AF1CC7"/>
    <w:rsid w:val="00AF20CA"/>
    <w:rsid w:val="00AF2302"/>
    <w:rsid w:val="00AF2685"/>
    <w:rsid w:val="00AF3553"/>
    <w:rsid w:val="00AF37A3"/>
    <w:rsid w:val="00AF3AF7"/>
    <w:rsid w:val="00AF3BAC"/>
    <w:rsid w:val="00AF650D"/>
    <w:rsid w:val="00AF6568"/>
    <w:rsid w:val="00AF697D"/>
    <w:rsid w:val="00AF6DA2"/>
    <w:rsid w:val="00AF70C1"/>
    <w:rsid w:val="00AF7150"/>
    <w:rsid w:val="00AF7399"/>
    <w:rsid w:val="00AF7C5D"/>
    <w:rsid w:val="00AF7D38"/>
    <w:rsid w:val="00AF7D41"/>
    <w:rsid w:val="00AF7E77"/>
    <w:rsid w:val="00B000F7"/>
    <w:rsid w:val="00B001AE"/>
    <w:rsid w:val="00B001DC"/>
    <w:rsid w:val="00B003E0"/>
    <w:rsid w:val="00B00491"/>
    <w:rsid w:val="00B0173E"/>
    <w:rsid w:val="00B0189F"/>
    <w:rsid w:val="00B01B09"/>
    <w:rsid w:val="00B0203A"/>
    <w:rsid w:val="00B020B3"/>
    <w:rsid w:val="00B02121"/>
    <w:rsid w:val="00B0227F"/>
    <w:rsid w:val="00B0292C"/>
    <w:rsid w:val="00B02D51"/>
    <w:rsid w:val="00B0300C"/>
    <w:rsid w:val="00B033D3"/>
    <w:rsid w:val="00B0388D"/>
    <w:rsid w:val="00B038F7"/>
    <w:rsid w:val="00B03975"/>
    <w:rsid w:val="00B03B09"/>
    <w:rsid w:val="00B03B0B"/>
    <w:rsid w:val="00B040F4"/>
    <w:rsid w:val="00B0442E"/>
    <w:rsid w:val="00B04E5D"/>
    <w:rsid w:val="00B052BA"/>
    <w:rsid w:val="00B055BF"/>
    <w:rsid w:val="00B058ED"/>
    <w:rsid w:val="00B06032"/>
    <w:rsid w:val="00B065BA"/>
    <w:rsid w:val="00B068B7"/>
    <w:rsid w:val="00B06C9F"/>
    <w:rsid w:val="00B07063"/>
    <w:rsid w:val="00B071CA"/>
    <w:rsid w:val="00B07435"/>
    <w:rsid w:val="00B07442"/>
    <w:rsid w:val="00B078DE"/>
    <w:rsid w:val="00B1009C"/>
    <w:rsid w:val="00B102CB"/>
    <w:rsid w:val="00B103C0"/>
    <w:rsid w:val="00B10B7B"/>
    <w:rsid w:val="00B1164A"/>
    <w:rsid w:val="00B1172C"/>
    <w:rsid w:val="00B11C8A"/>
    <w:rsid w:val="00B11D37"/>
    <w:rsid w:val="00B124DB"/>
    <w:rsid w:val="00B12AFF"/>
    <w:rsid w:val="00B132F0"/>
    <w:rsid w:val="00B1337E"/>
    <w:rsid w:val="00B14998"/>
    <w:rsid w:val="00B1499D"/>
    <w:rsid w:val="00B14A0C"/>
    <w:rsid w:val="00B15099"/>
    <w:rsid w:val="00B154AD"/>
    <w:rsid w:val="00B15606"/>
    <w:rsid w:val="00B15647"/>
    <w:rsid w:val="00B15F9B"/>
    <w:rsid w:val="00B167F1"/>
    <w:rsid w:val="00B1687B"/>
    <w:rsid w:val="00B16B7C"/>
    <w:rsid w:val="00B16BDC"/>
    <w:rsid w:val="00B16C8D"/>
    <w:rsid w:val="00B17134"/>
    <w:rsid w:val="00B175FB"/>
    <w:rsid w:val="00B17C90"/>
    <w:rsid w:val="00B17F4E"/>
    <w:rsid w:val="00B2011C"/>
    <w:rsid w:val="00B2043E"/>
    <w:rsid w:val="00B20762"/>
    <w:rsid w:val="00B20D27"/>
    <w:rsid w:val="00B20E15"/>
    <w:rsid w:val="00B20E85"/>
    <w:rsid w:val="00B21E95"/>
    <w:rsid w:val="00B2223A"/>
    <w:rsid w:val="00B22320"/>
    <w:rsid w:val="00B223B5"/>
    <w:rsid w:val="00B226D4"/>
    <w:rsid w:val="00B2293D"/>
    <w:rsid w:val="00B23048"/>
    <w:rsid w:val="00B233DB"/>
    <w:rsid w:val="00B233EE"/>
    <w:rsid w:val="00B23683"/>
    <w:rsid w:val="00B24964"/>
    <w:rsid w:val="00B24A21"/>
    <w:rsid w:val="00B25099"/>
    <w:rsid w:val="00B255C6"/>
    <w:rsid w:val="00B26234"/>
    <w:rsid w:val="00B264B6"/>
    <w:rsid w:val="00B2668E"/>
    <w:rsid w:val="00B267FB"/>
    <w:rsid w:val="00B27578"/>
    <w:rsid w:val="00B27864"/>
    <w:rsid w:val="00B27E33"/>
    <w:rsid w:val="00B27EA9"/>
    <w:rsid w:val="00B305A1"/>
    <w:rsid w:val="00B30629"/>
    <w:rsid w:val="00B30DAD"/>
    <w:rsid w:val="00B31BAC"/>
    <w:rsid w:val="00B31EA6"/>
    <w:rsid w:val="00B323DE"/>
    <w:rsid w:val="00B32535"/>
    <w:rsid w:val="00B32F70"/>
    <w:rsid w:val="00B3359E"/>
    <w:rsid w:val="00B33726"/>
    <w:rsid w:val="00B33CBD"/>
    <w:rsid w:val="00B33DB4"/>
    <w:rsid w:val="00B341EB"/>
    <w:rsid w:val="00B343F1"/>
    <w:rsid w:val="00B348A6"/>
    <w:rsid w:val="00B3501F"/>
    <w:rsid w:val="00B35A34"/>
    <w:rsid w:val="00B35BB2"/>
    <w:rsid w:val="00B35D0C"/>
    <w:rsid w:val="00B35D56"/>
    <w:rsid w:val="00B35EDF"/>
    <w:rsid w:val="00B36730"/>
    <w:rsid w:val="00B36B24"/>
    <w:rsid w:val="00B36C74"/>
    <w:rsid w:val="00B375E5"/>
    <w:rsid w:val="00B37725"/>
    <w:rsid w:val="00B40082"/>
    <w:rsid w:val="00B40445"/>
    <w:rsid w:val="00B40760"/>
    <w:rsid w:val="00B408F7"/>
    <w:rsid w:val="00B41C5D"/>
    <w:rsid w:val="00B42160"/>
    <w:rsid w:val="00B42B04"/>
    <w:rsid w:val="00B42C9D"/>
    <w:rsid w:val="00B42DC0"/>
    <w:rsid w:val="00B42EB4"/>
    <w:rsid w:val="00B434CA"/>
    <w:rsid w:val="00B43C38"/>
    <w:rsid w:val="00B4409F"/>
    <w:rsid w:val="00B44452"/>
    <w:rsid w:val="00B44987"/>
    <w:rsid w:val="00B449F6"/>
    <w:rsid w:val="00B45EDB"/>
    <w:rsid w:val="00B463FE"/>
    <w:rsid w:val="00B4696B"/>
    <w:rsid w:val="00B46B6D"/>
    <w:rsid w:val="00B4795C"/>
    <w:rsid w:val="00B5097F"/>
    <w:rsid w:val="00B50C8A"/>
    <w:rsid w:val="00B51072"/>
    <w:rsid w:val="00B51314"/>
    <w:rsid w:val="00B520AB"/>
    <w:rsid w:val="00B52231"/>
    <w:rsid w:val="00B526B2"/>
    <w:rsid w:val="00B52712"/>
    <w:rsid w:val="00B528C9"/>
    <w:rsid w:val="00B52A05"/>
    <w:rsid w:val="00B52ADA"/>
    <w:rsid w:val="00B53B09"/>
    <w:rsid w:val="00B53E1C"/>
    <w:rsid w:val="00B5460A"/>
    <w:rsid w:val="00B54E18"/>
    <w:rsid w:val="00B556FA"/>
    <w:rsid w:val="00B55834"/>
    <w:rsid w:val="00B55BBC"/>
    <w:rsid w:val="00B55C10"/>
    <w:rsid w:val="00B561DB"/>
    <w:rsid w:val="00B56265"/>
    <w:rsid w:val="00B562DD"/>
    <w:rsid w:val="00B56505"/>
    <w:rsid w:val="00B56AC9"/>
    <w:rsid w:val="00B56B87"/>
    <w:rsid w:val="00B56D83"/>
    <w:rsid w:val="00B571D5"/>
    <w:rsid w:val="00B57362"/>
    <w:rsid w:val="00B5763E"/>
    <w:rsid w:val="00B60CF1"/>
    <w:rsid w:val="00B61731"/>
    <w:rsid w:val="00B61978"/>
    <w:rsid w:val="00B61C7F"/>
    <w:rsid w:val="00B62E30"/>
    <w:rsid w:val="00B62F25"/>
    <w:rsid w:val="00B62FD3"/>
    <w:rsid w:val="00B630DC"/>
    <w:rsid w:val="00B630E4"/>
    <w:rsid w:val="00B6362A"/>
    <w:rsid w:val="00B6394B"/>
    <w:rsid w:val="00B63A6A"/>
    <w:rsid w:val="00B63A82"/>
    <w:rsid w:val="00B642C8"/>
    <w:rsid w:val="00B6499F"/>
    <w:rsid w:val="00B64B8C"/>
    <w:rsid w:val="00B655E4"/>
    <w:rsid w:val="00B65873"/>
    <w:rsid w:val="00B66E9C"/>
    <w:rsid w:val="00B677DA"/>
    <w:rsid w:val="00B67F49"/>
    <w:rsid w:val="00B70197"/>
    <w:rsid w:val="00B7123A"/>
    <w:rsid w:val="00B7177C"/>
    <w:rsid w:val="00B72289"/>
    <w:rsid w:val="00B72497"/>
    <w:rsid w:val="00B728FF"/>
    <w:rsid w:val="00B72AD2"/>
    <w:rsid w:val="00B72BBA"/>
    <w:rsid w:val="00B72F67"/>
    <w:rsid w:val="00B73409"/>
    <w:rsid w:val="00B73E28"/>
    <w:rsid w:val="00B73FF5"/>
    <w:rsid w:val="00B741E1"/>
    <w:rsid w:val="00B74202"/>
    <w:rsid w:val="00B742A8"/>
    <w:rsid w:val="00B744B8"/>
    <w:rsid w:val="00B74732"/>
    <w:rsid w:val="00B74771"/>
    <w:rsid w:val="00B74844"/>
    <w:rsid w:val="00B74BF9"/>
    <w:rsid w:val="00B74E8E"/>
    <w:rsid w:val="00B75147"/>
    <w:rsid w:val="00B75673"/>
    <w:rsid w:val="00B75995"/>
    <w:rsid w:val="00B75AB3"/>
    <w:rsid w:val="00B76C17"/>
    <w:rsid w:val="00B76C3E"/>
    <w:rsid w:val="00B770B6"/>
    <w:rsid w:val="00B770F0"/>
    <w:rsid w:val="00B772EB"/>
    <w:rsid w:val="00B775E0"/>
    <w:rsid w:val="00B778D5"/>
    <w:rsid w:val="00B8001D"/>
    <w:rsid w:val="00B800EA"/>
    <w:rsid w:val="00B80209"/>
    <w:rsid w:val="00B8095E"/>
    <w:rsid w:val="00B8118B"/>
    <w:rsid w:val="00B81A98"/>
    <w:rsid w:val="00B81CD1"/>
    <w:rsid w:val="00B821D4"/>
    <w:rsid w:val="00B8252B"/>
    <w:rsid w:val="00B825EB"/>
    <w:rsid w:val="00B835DD"/>
    <w:rsid w:val="00B850A2"/>
    <w:rsid w:val="00B851CA"/>
    <w:rsid w:val="00B8543D"/>
    <w:rsid w:val="00B857A8"/>
    <w:rsid w:val="00B857D3"/>
    <w:rsid w:val="00B85AAA"/>
    <w:rsid w:val="00B85F23"/>
    <w:rsid w:val="00B86CAF"/>
    <w:rsid w:val="00B87326"/>
    <w:rsid w:val="00B87B02"/>
    <w:rsid w:val="00B87EF6"/>
    <w:rsid w:val="00B90007"/>
    <w:rsid w:val="00B90371"/>
    <w:rsid w:val="00B9045E"/>
    <w:rsid w:val="00B907B1"/>
    <w:rsid w:val="00B90840"/>
    <w:rsid w:val="00B90D6F"/>
    <w:rsid w:val="00B91144"/>
    <w:rsid w:val="00B9123B"/>
    <w:rsid w:val="00B9201E"/>
    <w:rsid w:val="00B922E6"/>
    <w:rsid w:val="00B9261D"/>
    <w:rsid w:val="00B92A4A"/>
    <w:rsid w:val="00B92F19"/>
    <w:rsid w:val="00B93072"/>
    <w:rsid w:val="00B932E3"/>
    <w:rsid w:val="00B935C5"/>
    <w:rsid w:val="00B936F4"/>
    <w:rsid w:val="00B941C4"/>
    <w:rsid w:val="00B9462E"/>
    <w:rsid w:val="00B94640"/>
    <w:rsid w:val="00B94A34"/>
    <w:rsid w:val="00B94CE5"/>
    <w:rsid w:val="00B94ED9"/>
    <w:rsid w:val="00B95167"/>
    <w:rsid w:val="00B956D4"/>
    <w:rsid w:val="00B961E1"/>
    <w:rsid w:val="00B96347"/>
    <w:rsid w:val="00B9688D"/>
    <w:rsid w:val="00B96D2A"/>
    <w:rsid w:val="00B97865"/>
    <w:rsid w:val="00B97D70"/>
    <w:rsid w:val="00BA11C7"/>
    <w:rsid w:val="00BA11CF"/>
    <w:rsid w:val="00BA1428"/>
    <w:rsid w:val="00BA2934"/>
    <w:rsid w:val="00BA29C8"/>
    <w:rsid w:val="00BA2B02"/>
    <w:rsid w:val="00BA2B73"/>
    <w:rsid w:val="00BA3247"/>
    <w:rsid w:val="00BA411F"/>
    <w:rsid w:val="00BA4B9B"/>
    <w:rsid w:val="00BA4E95"/>
    <w:rsid w:val="00BA5127"/>
    <w:rsid w:val="00BA5445"/>
    <w:rsid w:val="00BA578C"/>
    <w:rsid w:val="00BA5D7F"/>
    <w:rsid w:val="00BA608C"/>
    <w:rsid w:val="00BA61BC"/>
    <w:rsid w:val="00BA6219"/>
    <w:rsid w:val="00BA6322"/>
    <w:rsid w:val="00BA6469"/>
    <w:rsid w:val="00BA6B31"/>
    <w:rsid w:val="00BA71E4"/>
    <w:rsid w:val="00BA73B9"/>
    <w:rsid w:val="00BA7F16"/>
    <w:rsid w:val="00BB000B"/>
    <w:rsid w:val="00BB00B2"/>
    <w:rsid w:val="00BB06F0"/>
    <w:rsid w:val="00BB0A0C"/>
    <w:rsid w:val="00BB0CD0"/>
    <w:rsid w:val="00BB0DA9"/>
    <w:rsid w:val="00BB182B"/>
    <w:rsid w:val="00BB1973"/>
    <w:rsid w:val="00BB1996"/>
    <w:rsid w:val="00BB1A48"/>
    <w:rsid w:val="00BB1DF4"/>
    <w:rsid w:val="00BB204A"/>
    <w:rsid w:val="00BB214E"/>
    <w:rsid w:val="00BB2DC5"/>
    <w:rsid w:val="00BB30BA"/>
    <w:rsid w:val="00BB360C"/>
    <w:rsid w:val="00BB3741"/>
    <w:rsid w:val="00BB39AF"/>
    <w:rsid w:val="00BB3B4D"/>
    <w:rsid w:val="00BB3B59"/>
    <w:rsid w:val="00BB3E53"/>
    <w:rsid w:val="00BB4F00"/>
    <w:rsid w:val="00BB4F99"/>
    <w:rsid w:val="00BB520A"/>
    <w:rsid w:val="00BB5241"/>
    <w:rsid w:val="00BB53ED"/>
    <w:rsid w:val="00BB59A9"/>
    <w:rsid w:val="00BB6376"/>
    <w:rsid w:val="00BB6792"/>
    <w:rsid w:val="00BB6C61"/>
    <w:rsid w:val="00BB6D19"/>
    <w:rsid w:val="00BB74D3"/>
    <w:rsid w:val="00BB77F7"/>
    <w:rsid w:val="00BB7B51"/>
    <w:rsid w:val="00BC04A6"/>
    <w:rsid w:val="00BC04D3"/>
    <w:rsid w:val="00BC06F0"/>
    <w:rsid w:val="00BC06FD"/>
    <w:rsid w:val="00BC1716"/>
    <w:rsid w:val="00BC1B44"/>
    <w:rsid w:val="00BC1FF6"/>
    <w:rsid w:val="00BC22E5"/>
    <w:rsid w:val="00BC22EC"/>
    <w:rsid w:val="00BC2455"/>
    <w:rsid w:val="00BC24B9"/>
    <w:rsid w:val="00BC287D"/>
    <w:rsid w:val="00BC2DF1"/>
    <w:rsid w:val="00BC37EC"/>
    <w:rsid w:val="00BC398F"/>
    <w:rsid w:val="00BC3A8D"/>
    <w:rsid w:val="00BC3DD3"/>
    <w:rsid w:val="00BC3F90"/>
    <w:rsid w:val="00BC419C"/>
    <w:rsid w:val="00BC43B9"/>
    <w:rsid w:val="00BC47BF"/>
    <w:rsid w:val="00BC481B"/>
    <w:rsid w:val="00BC489B"/>
    <w:rsid w:val="00BC5231"/>
    <w:rsid w:val="00BC55F9"/>
    <w:rsid w:val="00BC5BDC"/>
    <w:rsid w:val="00BC5C8F"/>
    <w:rsid w:val="00BC5F76"/>
    <w:rsid w:val="00BC6229"/>
    <w:rsid w:val="00BC667D"/>
    <w:rsid w:val="00BC6A3F"/>
    <w:rsid w:val="00BC6EA5"/>
    <w:rsid w:val="00BC7598"/>
    <w:rsid w:val="00BC793F"/>
    <w:rsid w:val="00BC7C37"/>
    <w:rsid w:val="00BC7F60"/>
    <w:rsid w:val="00BD0E6D"/>
    <w:rsid w:val="00BD100D"/>
    <w:rsid w:val="00BD10D2"/>
    <w:rsid w:val="00BD1243"/>
    <w:rsid w:val="00BD1A19"/>
    <w:rsid w:val="00BD23D9"/>
    <w:rsid w:val="00BD259F"/>
    <w:rsid w:val="00BD333D"/>
    <w:rsid w:val="00BD35B2"/>
    <w:rsid w:val="00BD3C3C"/>
    <w:rsid w:val="00BD3CAF"/>
    <w:rsid w:val="00BD4953"/>
    <w:rsid w:val="00BD4F5C"/>
    <w:rsid w:val="00BD548C"/>
    <w:rsid w:val="00BD5508"/>
    <w:rsid w:val="00BD57A2"/>
    <w:rsid w:val="00BD5BCB"/>
    <w:rsid w:val="00BD5C87"/>
    <w:rsid w:val="00BD5E51"/>
    <w:rsid w:val="00BD5E72"/>
    <w:rsid w:val="00BD636E"/>
    <w:rsid w:val="00BD6592"/>
    <w:rsid w:val="00BD68A5"/>
    <w:rsid w:val="00BD6A99"/>
    <w:rsid w:val="00BD79EA"/>
    <w:rsid w:val="00BD7ABF"/>
    <w:rsid w:val="00BD7CEE"/>
    <w:rsid w:val="00BD7D0A"/>
    <w:rsid w:val="00BD7F7E"/>
    <w:rsid w:val="00BE015C"/>
    <w:rsid w:val="00BE01C8"/>
    <w:rsid w:val="00BE03CF"/>
    <w:rsid w:val="00BE07D6"/>
    <w:rsid w:val="00BE0EBB"/>
    <w:rsid w:val="00BE0F79"/>
    <w:rsid w:val="00BE16D6"/>
    <w:rsid w:val="00BE1D03"/>
    <w:rsid w:val="00BE1E3C"/>
    <w:rsid w:val="00BE276C"/>
    <w:rsid w:val="00BE284C"/>
    <w:rsid w:val="00BE2C93"/>
    <w:rsid w:val="00BE33FF"/>
    <w:rsid w:val="00BE3A6C"/>
    <w:rsid w:val="00BE3B48"/>
    <w:rsid w:val="00BE3F40"/>
    <w:rsid w:val="00BE411E"/>
    <w:rsid w:val="00BE4BED"/>
    <w:rsid w:val="00BE4C49"/>
    <w:rsid w:val="00BE4D7E"/>
    <w:rsid w:val="00BE4F79"/>
    <w:rsid w:val="00BE5246"/>
    <w:rsid w:val="00BE57D2"/>
    <w:rsid w:val="00BE581C"/>
    <w:rsid w:val="00BE64A2"/>
    <w:rsid w:val="00BE6EEF"/>
    <w:rsid w:val="00BE71A2"/>
    <w:rsid w:val="00BF0165"/>
    <w:rsid w:val="00BF0681"/>
    <w:rsid w:val="00BF0959"/>
    <w:rsid w:val="00BF1063"/>
    <w:rsid w:val="00BF13FA"/>
    <w:rsid w:val="00BF164F"/>
    <w:rsid w:val="00BF1A9A"/>
    <w:rsid w:val="00BF1AD4"/>
    <w:rsid w:val="00BF1E9A"/>
    <w:rsid w:val="00BF246D"/>
    <w:rsid w:val="00BF24C2"/>
    <w:rsid w:val="00BF256B"/>
    <w:rsid w:val="00BF2B7D"/>
    <w:rsid w:val="00BF2D01"/>
    <w:rsid w:val="00BF38A9"/>
    <w:rsid w:val="00BF3E86"/>
    <w:rsid w:val="00BF3FC1"/>
    <w:rsid w:val="00BF462E"/>
    <w:rsid w:val="00BF4821"/>
    <w:rsid w:val="00BF4B8F"/>
    <w:rsid w:val="00BF5006"/>
    <w:rsid w:val="00BF5807"/>
    <w:rsid w:val="00BF5AF7"/>
    <w:rsid w:val="00BF6103"/>
    <w:rsid w:val="00BF6A97"/>
    <w:rsid w:val="00BF74F7"/>
    <w:rsid w:val="00BF7D12"/>
    <w:rsid w:val="00BF7D2A"/>
    <w:rsid w:val="00C0019F"/>
    <w:rsid w:val="00C0020F"/>
    <w:rsid w:val="00C0045C"/>
    <w:rsid w:val="00C00C33"/>
    <w:rsid w:val="00C011AE"/>
    <w:rsid w:val="00C012DD"/>
    <w:rsid w:val="00C015F4"/>
    <w:rsid w:val="00C01C0F"/>
    <w:rsid w:val="00C02000"/>
    <w:rsid w:val="00C02322"/>
    <w:rsid w:val="00C023F3"/>
    <w:rsid w:val="00C02634"/>
    <w:rsid w:val="00C026CB"/>
    <w:rsid w:val="00C026E9"/>
    <w:rsid w:val="00C02F2B"/>
    <w:rsid w:val="00C02F53"/>
    <w:rsid w:val="00C03092"/>
    <w:rsid w:val="00C03282"/>
    <w:rsid w:val="00C038F9"/>
    <w:rsid w:val="00C03F24"/>
    <w:rsid w:val="00C05375"/>
    <w:rsid w:val="00C0571D"/>
    <w:rsid w:val="00C058DE"/>
    <w:rsid w:val="00C06002"/>
    <w:rsid w:val="00C06C26"/>
    <w:rsid w:val="00C06F86"/>
    <w:rsid w:val="00C0712D"/>
    <w:rsid w:val="00C077C3"/>
    <w:rsid w:val="00C07A29"/>
    <w:rsid w:val="00C07A6E"/>
    <w:rsid w:val="00C07E61"/>
    <w:rsid w:val="00C1003E"/>
    <w:rsid w:val="00C10E01"/>
    <w:rsid w:val="00C10FC6"/>
    <w:rsid w:val="00C11068"/>
    <w:rsid w:val="00C118F9"/>
    <w:rsid w:val="00C11955"/>
    <w:rsid w:val="00C11BDD"/>
    <w:rsid w:val="00C11C0E"/>
    <w:rsid w:val="00C11C32"/>
    <w:rsid w:val="00C120B0"/>
    <w:rsid w:val="00C12347"/>
    <w:rsid w:val="00C126C0"/>
    <w:rsid w:val="00C130D0"/>
    <w:rsid w:val="00C13309"/>
    <w:rsid w:val="00C136EB"/>
    <w:rsid w:val="00C13D94"/>
    <w:rsid w:val="00C14124"/>
    <w:rsid w:val="00C142E4"/>
    <w:rsid w:val="00C144F4"/>
    <w:rsid w:val="00C146D3"/>
    <w:rsid w:val="00C14ADD"/>
    <w:rsid w:val="00C14C34"/>
    <w:rsid w:val="00C151A7"/>
    <w:rsid w:val="00C156F8"/>
    <w:rsid w:val="00C15C9D"/>
    <w:rsid w:val="00C162A5"/>
    <w:rsid w:val="00C166E8"/>
    <w:rsid w:val="00C16733"/>
    <w:rsid w:val="00C167D9"/>
    <w:rsid w:val="00C16B00"/>
    <w:rsid w:val="00C16E17"/>
    <w:rsid w:val="00C16E1B"/>
    <w:rsid w:val="00C170DC"/>
    <w:rsid w:val="00C17346"/>
    <w:rsid w:val="00C1739F"/>
    <w:rsid w:val="00C175C6"/>
    <w:rsid w:val="00C1762E"/>
    <w:rsid w:val="00C17B5F"/>
    <w:rsid w:val="00C17C2E"/>
    <w:rsid w:val="00C17C30"/>
    <w:rsid w:val="00C17F74"/>
    <w:rsid w:val="00C17F92"/>
    <w:rsid w:val="00C20409"/>
    <w:rsid w:val="00C20469"/>
    <w:rsid w:val="00C206D2"/>
    <w:rsid w:val="00C2081B"/>
    <w:rsid w:val="00C2081C"/>
    <w:rsid w:val="00C20A24"/>
    <w:rsid w:val="00C20C6B"/>
    <w:rsid w:val="00C212F6"/>
    <w:rsid w:val="00C21CE7"/>
    <w:rsid w:val="00C21DF0"/>
    <w:rsid w:val="00C22513"/>
    <w:rsid w:val="00C23150"/>
    <w:rsid w:val="00C23449"/>
    <w:rsid w:val="00C2351F"/>
    <w:rsid w:val="00C2353D"/>
    <w:rsid w:val="00C2430F"/>
    <w:rsid w:val="00C24538"/>
    <w:rsid w:val="00C24713"/>
    <w:rsid w:val="00C25654"/>
    <w:rsid w:val="00C25905"/>
    <w:rsid w:val="00C25AEF"/>
    <w:rsid w:val="00C25E1B"/>
    <w:rsid w:val="00C26074"/>
    <w:rsid w:val="00C269A4"/>
    <w:rsid w:val="00C26D33"/>
    <w:rsid w:val="00C271A9"/>
    <w:rsid w:val="00C27C96"/>
    <w:rsid w:val="00C3041F"/>
    <w:rsid w:val="00C3082C"/>
    <w:rsid w:val="00C30C03"/>
    <w:rsid w:val="00C30F5D"/>
    <w:rsid w:val="00C3107C"/>
    <w:rsid w:val="00C31202"/>
    <w:rsid w:val="00C32026"/>
    <w:rsid w:val="00C32295"/>
    <w:rsid w:val="00C3256B"/>
    <w:rsid w:val="00C333A9"/>
    <w:rsid w:val="00C33D1B"/>
    <w:rsid w:val="00C343C2"/>
    <w:rsid w:val="00C3460C"/>
    <w:rsid w:val="00C34FC0"/>
    <w:rsid w:val="00C3507B"/>
    <w:rsid w:val="00C355BE"/>
    <w:rsid w:val="00C355D6"/>
    <w:rsid w:val="00C35827"/>
    <w:rsid w:val="00C35899"/>
    <w:rsid w:val="00C35F9D"/>
    <w:rsid w:val="00C36202"/>
    <w:rsid w:val="00C36E16"/>
    <w:rsid w:val="00C37845"/>
    <w:rsid w:val="00C37AB2"/>
    <w:rsid w:val="00C37B27"/>
    <w:rsid w:val="00C37D86"/>
    <w:rsid w:val="00C37F54"/>
    <w:rsid w:val="00C40174"/>
    <w:rsid w:val="00C402A8"/>
    <w:rsid w:val="00C40496"/>
    <w:rsid w:val="00C40588"/>
    <w:rsid w:val="00C40592"/>
    <w:rsid w:val="00C40C30"/>
    <w:rsid w:val="00C40D8A"/>
    <w:rsid w:val="00C41105"/>
    <w:rsid w:val="00C41B59"/>
    <w:rsid w:val="00C41B64"/>
    <w:rsid w:val="00C41E0C"/>
    <w:rsid w:val="00C41F67"/>
    <w:rsid w:val="00C420BC"/>
    <w:rsid w:val="00C424C5"/>
    <w:rsid w:val="00C428DC"/>
    <w:rsid w:val="00C42FA6"/>
    <w:rsid w:val="00C445D8"/>
    <w:rsid w:val="00C44C13"/>
    <w:rsid w:val="00C45117"/>
    <w:rsid w:val="00C45580"/>
    <w:rsid w:val="00C45670"/>
    <w:rsid w:val="00C45A4D"/>
    <w:rsid w:val="00C463B7"/>
    <w:rsid w:val="00C46CD9"/>
    <w:rsid w:val="00C46E30"/>
    <w:rsid w:val="00C47811"/>
    <w:rsid w:val="00C47A86"/>
    <w:rsid w:val="00C5113D"/>
    <w:rsid w:val="00C51B46"/>
    <w:rsid w:val="00C51E90"/>
    <w:rsid w:val="00C51F49"/>
    <w:rsid w:val="00C52073"/>
    <w:rsid w:val="00C52538"/>
    <w:rsid w:val="00C52604"/>
    <w:rsid w:val="00C52B87"/>
    <w:rsid w:val="00C533D8"/>
    <w:rsid w:val="00C5347A"/>
    <w:rsid w:val="00C539BD"/>
    <w:rsid w:val="00C542BE"/>
    <w:rsid w:val="00C54431"/>
    <w:rsid w:val="00C54A63"/>
    <w:rsid w:val="00C55066"/>
    <w:rsid w:val="00C550A3"/>
    <w:rsid w:val="00C55552"/>
    <w:rsid w:val="00C55754"/>
    <w:rsid w:val="00C5659B"/>
    <w:rsid w:val="00C56B3B"/>
    <w:rsid w:val="00C56EB5"/>
    <w:rsid w:val="00C579C4"/>
    <w:rsid w:val="00C57FFD"/>
    <w:rsid w:val="00C60301"/>
    <w:rsid w:val="00C60EDD"/>
    <w:rsid w:val="00C6104F"/>
    <w:rsid w:val="00C61273"/>
    <w:rsid w:val="00C615CF"/>
    <w:rsid w:val="00C61988"/>
    <w:rsid w:val="00C61C61"/>
    <w:rsid w:val="00C623D4"/>
    <w:rsid w:val="00C62510"/>
    <w:rsid w:val="00C638E4"/>
    <w:rsid w:val="00C64009"/>
    <w:rsid w:val="00C645E9"/>
    <w:rsid w:val="00C65181"/>
    <w:rsid w:val="00C656D0"/>
    <w:rsid w:val="00C6645D"/>
    <w:rsid w:val="00C6705C"/>
    <w:rsid w:val="00C67137"/>
    <w:rsid w:val="00C67BA8"/>
    <w:rsid w:val="00C67D54"/>
    <w:rsid w:val="00C70723"/>
    <w:rsid w:val="00C71C4F"/>
    <w:rsid w:val="00C72C38"/>
    <w:rsid w:val="00C72FDD"/>
    <w:rsid w:val="00C7332F"/>
    <w:rsid w:val="00C74752"/>
    <w:rsid w:val="00C74CD5"/>
    <w:rsid w:val="00C7531B"/>
    <w:rsid w:val="00C759D8"/>
    <w:rsid w:val="00C760B9"/>
    <w:rsid w:val="00C766C8"/>
    <w:rsid w:val="00C7719E"/>
    <w:rsid w:val="00C77234"/>
    <w:rsid w:val="00C7754C"/>
    <w:rsid w:val="00C77929"/>
    <w:rsid w:val="00C77A2A"/>
    <w:rsid w:val="00C77BC5"/>
    <w:rsid w:val="00C77E38"/>
    <w:rsid w:val="00C77FCE"/>
    <w:rsid w:val="00C800CC"/>
    <w:rsid w:val="00C80178"/>
    <w:rsid w:val="00C80436"/>
    <w:rsid w:val="00C8046A"/>
    <w:rsid w:val="00C80B66"/>
    <w:rsid w:val="00C80B72"/>
    <w:rsid w:val="00C80D43"/>
    <w:rsid w:val="00C80D9D"/>
    <w:rsid w:val="00C810DE"/>
    <w:rsid w:val="00C8126D"/>
    <w:rsid w:val="00C81AC3"/>
    <w:rsid w:val="00C81CE1"/>
    <w:rsid w:val="00C81D60"/>
    <w:rsid w:val="00C82577"/>
    <w:rsid w:val="00C82665"/>
    <w:rsid w:val="00C82712"/>
    <w:rsid w:val="00C828F2"/>
    <w:rsid w:val="00C82AB8"/>
    <w:rsid w:val="00C82C00"/>
    <w:rsid w:val="00C82EAA"/>
    <w:rsid w:val="00C82F5F"/>
    <w:rsid w:val="00C8333A"/>
    <w:rsid w:val="00C83589"/>
    <w:rsid w:val="00C8371E"/>
    <w:rsid w:val="00C83C85"/>
    <w:rsid w:val="00C845B0"/>
    <w:rsid w:val="00C848A1"/>
    <w:rsid w:val="00C84B24"/>
    <w:rsid w:val="00C852B0"/>
    <w:rsid w:val="00C8599C"/>
    <w:rsid w:val="00C85DA8"/>
    <w:rsid w:val="00C86C89"/>
    <w:rsid w:val="00C87177"/>
    <w:rsid w:val="00C8724E"/>
    <w:rsid w:val="00C87E46"/>
    <w:rsid w:val="00C90BAB"/>
    <w:rsid w:val="00C90FC1"/>
    <w:rsid w:val="00C91A8A"/>
    <w:rsid w:val="00C91B1A"/>
    <w:rsid w:val="00C92435"/>
    <w:rsid w:val="00C92727"/>
    <w:rsid w:val="00C928E0"/>
    <w:rsid w:val="00C93290"/>
    <w:rsid w:val="00C93538"/>
    <w:rsid w:val="00C939EA"/>
    <w:rsid w:val="00C94174"/>
    <w:rsid w:val="00C944E0"/>
    <w:rsid w:val="00C94884"/>
    <w:rsid w:val="00C948BA"/>
    <w:rsid w:val="00C94B12"/>
    <w:rsid w:val="00C94B9D"/>
    <w:rsid w:val="00C95504"/>
    <w:rsid w:val="00C956B4"/>
    <w:rsid w:val="00C95AF0"/>
    <w:rsid w:val="00C960B1"/>
    <w:rsid w:val="00C96175"/>
    <w:rsid w:val="00C96292"/>
    <w:rsid w:val="00C96F3F"/>
    <w:rsid w:val="00C9723C"/>
    <w:rsid w:val="00C97288"/>
    <w:rsid w:val="00C97FB7"/>
    <w:rsid w:val="00CA00A6"/>
    <w:rsid w:val="00CA075E"/>
    <w:rsid w:val="00CA0792"/>
    <w:rsid w:val="00CA0BB1"/>
    <w:rsid w:val="00CA1219"/>
    <w:rsid w:val="00CA1BEB"/>
    <w:rsid w:val="00CA1C59"/>
    <w:rsid w:val="00CA1DA5"/>
    <w:rsid w:val="00CA1F6A"/>
    <w:rsid w:val="00CA205A"/>
    <w:rsid w:val="00CA2094"/>
    <w:rsid w:val="00CA211E"/>
    <w:rsid w:val="00CA2EF7"/>
    <w:rsid w:val="00CA38EF"/>
    <w:rsid w:val="00CA41A6"/>
    <w:rsid w:val="00CA48C8"/>
    <w:rsid w:val="00CA48FA"/>
    <w:rsid w:val="00CA4F4C"/>
    <w:rsid w:val="00CA5338"/>
    <w:rsid w:val="00CA5667"/>
    <w:rsid w:val="00CA6180"/>
    <w:rsid w:val="00CA639D"/>
    <w:rsid w:val="00CA64E9"/>
    <w:rsid w:val="00CA6973"/>
    <w:rsid w:val="00CA71B2"/>
    <w:rsid w:val="00CA760A"/>
    <w:rsid w:val="00CA796C"/>
    <w:rsid w:val="00CA7D80"/>
    <w:rsid w:val="00CB0337"/>
    <w:rsid w:val="00CB04D7"/>
    <w:rsid w:val="00CB07FA"/>
    <w:rsid w:val="00CB103B"/>
    <w:rsid w:val="00CB1968"/>
    <w:rsid w:val="00CB1F29"/>
    <w:rsid w:val="00CB2768"/>
    <w:rsid w:val="00CB3324"/>
    <w:rsid w:val="00CB3426"/>
    <w:rsid w:val="00CB3452"/>
    <w:rsid w:val="00CB38FE"/>
    <w:rsid w:val="00CB4695"/>
    <w:rsid w:val="00CB47AF"/>
    <w:rsid w:val="00CB4F2F"/>
    <w:rsid w:val="00CB538D"/>
    <w:rsid w:val="00CB56D8"/>
    <w:rsid w:val="00CB5BA7"/>
    <w:rsid w:val="00CB5F24"/>
    <w:rsid w:val="00CB684E"/>
    <w:rsid w:val="00CB6ABB"/>
    <w:rsid w:val="00CB6F19"/>
    <w:rsid w:val="00CB7740"/>
    <w:rsid w:val="00CC07F5"/>
    <w:rsid w:val="00CC0BD9"/>
    <w:rsid w:val="00CC0D1D"/>
    <w:rsid w:val="00CC1070"/>
    <w:rsid w:val="00CC134B"/>
    <w:rsid w:val="00CC1647"/>
    <w:rsid w:val="00CC17D4"/>
    <w:rsid w:val="00CC20FA"/>
    <w:rsid w:val="00CC23B1"/>
    <w:rsid w:val="00CC25A7"/>
    <w:rsid w:val="00CC2A75"/>
    <w:rsid w:val="00CC3427"/>
    <w:rsid w:val="00CC4116"/>
    <w:rsid w:val="00CC57ED"/>
    <w:rsid w:val="00CC5E19"/>
    <w:rsid w:val="00CC601B"/>
    <w:rsid w:val="00CC61B0"/>
    <w:rsid w:val="00CC65EB"/>
    <w:rsid w:val="00CC6624"/>
    <w:rsid w:val="00CC67B4"/>
    <w:rsid w:val="00CC6A41"/>
    <w:rsid w:val="00CC6B79"/>
    <w:rsid w:val="00CC6BBC"/>
    <w:rsid w:val="00CD0305"/>
    <w:rsid w:val="00CD079C"/>
    <w:rsid w:val="00CD0D85"/>
    <w:rsid w:val="00CD119F"/>
    <w:rsid w:val="00CD1398"/>
    <w:rsid w:val="00CD140D"/>
    <w:rsid w:val="00CD1A79"/>
    <w:rsid w:val="00CD1F5A"/>
    <w:rsid w:val="00CD22B5"/>
    <w:rsid w:val="00CD22E1"/>
    <w:rsid w:val="00CD2EDA"/>
    <w:rsid w:val="00CD342E"/>
    <w:rsid w:val="00CD34DA"/>
    <w:rsid w:val="00CD3683"/>
    <w:rsid w:val="00CD3852"/>
    <w:rsid w:val="00CD3AD2"/>
    <w:rsid w:val="00CD3BD7"/>
    <w:rsid w:val="00CD3C25"/>
    <w:rsid w:val="00CD3C76"/>
    <w:rsid w:val="00CD3C7F"/>
    <w:rsid w:val="00CD3CF1"/>
    <w:rsid w:val="00CD4160"/>
    <w:rsid w:val="00CD44C1"/>
    <w:rsid w:val="00CD4548"/>
    <w:rsid w:val="00CD4814"/>
    <w:rsid w:val="00CD4B08"/>
    <w:rsid w:val="00CD4DEB"/>
    <w:rsid w:val="00CD50A3"/>
    <w:rsid w:val="00CD5768"/>
    <w:rsid w:val="00CD5A6D"/>
    <w:rsid w:val="00CD6094"/>
    <w:rsid w:val="00CD65FE"/>
    <w:rsid w:val="00CD676B"/>
    <w:rsid w:val="00CD6A17"/>
    <w:rsid w:val="00CD6A1F"/>
    <w:rsid w:val="00CD7D87"/>
    <w:rsid w:val="00CE0001"/>
    <w:rsid w:val="00CE0587"/>
    <w:rsid w:val="00CE0621"/>
    <w:rsid w:val="00CE084F"/>
    <w:rsid w:val="00CE0887"/>
    <w:rsid w:val="00CE09EC"/>
    <w:rsid w:val="00CE0A55"/>
    <w:rsid w:val="00CE0AF8"/>
    <w:rsid w:val="00CE104F"/>
    <w:rsid w:val="00CE15E7"/>
    <w:rsid w:val="00CE17CD"/>
    <w:rsid w:val="00CE188C"/>
    <w:rsid w:val="00CE1B88"/>
    <w:rsid w:val="00CE23B9"/>
    <w:rsid w:val="00CE264B"/>
    <w:rsid w:val="00CE270B"/>
    <w:rsid w:val="00CE27BB"/>
    <w:rsid w:val="00CE28C5"/>
    <w:rsid w:val="00CE2F90"/>
    <w:rsid w:val="00CE2FA1"/>
    <w:rsid w:val="00CE3130"/>
    <w:rsid w:val="00CE37CF"/>
    <w:rsid w:val="00CE4051"/>
    <w:rsid w:val="00CE41D4"/>
    <w:rsid w:val="00CE429C"/>
    <w:rsid w:val="00CE42FE"/>
    <w:rsid w:val="00CE473A"/>
    <w:rsid w:val="00CE4A49"/>
    <w:rsid w:val="00CE4E5B"/>
    <w:rsid w:val="00CE5128"/>
    <w:rsid w:val="00CE57B0"/>
    <w:rsid w:val="00CE57CB"/>
    <w:rsid w:val="00CE61D8"/>
    <w:rsid w:val="00CE687B"/>
    <w:rsid w:val="00CE733A"/>
    <w:rsid w:val="00CE7635"/>
    <w:rsid w:val="00CE770E"/>
    <w:rsid w:val="00CE7E0F"/>
    <w:rsid w:val="00CF0622"/>
    <w:rsid w:val="00CF0C9F"/>
    <w:rsid w:val="00CF0ED5"/>
    <w:rsid w:val="00CF0EDA"/>
    <w:rsid w:val="00CF14E8"/>
    <w:rsid w:val="00CF2325"/>
    <w:rsid w:val="00CF2374"/>
    <w:rsid w:val="00CF292F"/>
    <w:rsid w:val="00CF2E1C"/>
    <w:rsid w:val="00CF2EF7"/>
    <w:rsid w:val="00CF2F39"/>
    <w:rsid w:val="00CF36A9"/>
    <w:rsid w:val="00CF3FAF"/>
    <w:rsid w:val="00CF413E"/>
    <w:rsid w:val="00CF43FE"/>
    <w:rsid w:val="00CF4AD6"/>
    <w:rsid w:val="00CF51A7"/>
    <w:rsid w:val="00CF52B9"/>
    <w:rsid w:val="00CF58E1"/>
    <w:rsid w:val="00CF6474"/>
    <w:rsid w:val="00CF6A17"/>
    <w:rsid w:val="00CF75B2"/>
    <w:rsid w:val="00CF7678"/>
    <w:rsid w:val="00CF7813"/>
    <w:rsid w:val="00D0025B"/>
    <w:rsid w:val="00D00339"/>
    <w:rsid w:val="00D00B4D"/>
    <w:rsid w:val="00D00F5D"/>
    <w:rsid w:val="00D022AF"/>
    <w:rsid w:val="00D029D8"/>
    <w:rsid w:val="00D02E8E"/>
    <w:rsid w:val="00D032F2"/>
    <w:rsid w:val="00D037C0"/>
    <w:rsid w:val="00D0394F"/>
    <w:rsid w:val="00D04905"/>
    <w:rsid w:val="00D04A8C"/>
    <w:rsid w:val="00D050B3"/>
    <w:rsid w:val="00D0523B"/>
    <w:rsid w:val="00D05341"/>
    <w:rsid w:val="00D0560D"/>
    <w:rsid w:val="00D05D0C"/>
    <w:rsid w:val="00D063BF"/>
    <w:rsid w:val="00D07656"/>
    <w:rsid w:val="00D07D27"/>
    <w:rsid w:val="00D10136"/>
    <w:rsid w:val="00D10659"/>
    <w:rsid w:val="00D1093B"/>
    <w:rsid w:val="00D10A78"/>
    <w:rsid w:val="00D10E9A"/>
    <w:rsid w:val="00D11214"/>
    <w:rsid w:val="00D114B2"/>
    <w:rsid w:val="00D11825"/>
    <w:rsid w:val="00D12072"/>
    <w:rsid w:val="00D122DC"/>
    <w:rsid w:val="00D12F1E"/>
    <w:rsid w:val="00D1350D"/>
    <w:rsid w:val="00D144B8"/>
    <w:rsid w:val="00D148C2"/>
    <w:rsid w:val="00D14ACD"/>
    <w:rsid w:val="00D14CE3"/>
    <w:rsid w:val="00D14F02"/>
    <w:rsid w:val="00D15114"/>
    <w:rsid w:val="00D153B7"/>
    <w:rsid w:val="00D163DA"/>
    <w:rsid w:val="00D16DAE"/>
    <w:rsid w:val="00D1730F"/>
    <w:rsid w:val="00D20B73"/>
    <w:rsid w:val="00D21F1C"/>
    <w:rsid w:val="00D21FEF"/>
    <w:rsid w:val="00D2293F"/>
    <w:rsid w:val="00D22C24"/>
    <w:rsid w:val="00D23509"/>
    <w:rsid w:val="00D2363D"/>
    <w:rsid w:val="00D23774"/>
    <w:rsid w:val="00D23CF8"/>
    <w:rsid w:val="00D23F59"/>
    <w:rsid w:val="00D24AA2"/>
    <w:rsid w:val="00D24BA8"/>
    <w:rsid w:val="00D24E00"/>
    <w:rsid w:val="00D2539E"/>
    <w:rsid w:val="00D2579C"/>
    <w:rsid w:val="00D25980"/>
    <w:rsid w:val="00D25DD7"/>
    <w:rsid w:val="00D262B2"/>
    <w:rsid w:val="00D26940"/>
    <w:rsid w:val="00D26999"/>
    <w:rsid w:val="00D26EA4"/>
    <w:rsid w:val="00D27D89"/>
    <w:rsid w:val="00D27E80"/>
    <w:rsid w:val="00D3030E"/>
    <w:rsid w:val="00D308FC"/>
    <w:rsid w:val="00D30C97"/>
    <w:rsid w:val="00D30EAD"/>
    <w:rsid w:val="00D313B5"/>
    <w:rsid w:val="00D31E2E"/>
    <w:rsid w:val="00D32296"/>
    <w:rsid w:val="00D32B95"/>
    <w:rsid w:val="00D33377"/>
    <w:rsid w:val="00D33B0F"/>
    <w:rsid w:val="00D33CB3"/>
    <w:rsid w:val="00D33D6D"/>
    <w:rsid w:val="00D33DEA"/>
    <w:rsid w:val="00D33F77"/>
    <w:rsid w:val="00D3447D"/>
    <w:rsid w:val="00D3457C"/>
    <w:rsid w:val="00D348B7"/>
    <w:rsid w:val="00D34E36"/>
    <w:rsid w:val="00D356A2"/>
    <w:rsid w:val="00D357D0"/>
    <w:rsid w:val="00D3581F"/>
    <w:rsid w:val="00D35B85"/>
    <w:rsid w:val="00D35BC3"/>
    <w:rsid w:val="00D36270"/>
    <w:rsid w:val="00D36373"/>
    <w:rsid w:val="00D36435"/>
    <w:rsid w:val="00D3658B"/>
    <w:rsid w:val="00D3677C"/>
    <w:rsid w:val="00D368E8"/>
    <w:rsid w:val="00D37053"/>
    <w:rsid w:val="00D3739C"/>
    <w:rsid w:val="00D3760C"/>
    <w:rsid w:val="00D37911"/>
    <w:rsid w:val="00D40D96"/>
    <w:rsid w:val="00D40FAA"/>
    <w:rsid w:val="00D413DB"/>
    <w:rsid w:val="00D420E6"/>
    <w:rsid w:val="00D427E1"/>
    <w:rsid w:val="00D42C30"/>
    <w:rsid w:val="00D43388"/>
    <w:rsid w:val="00D43CB8"/>
    <w:rsid w:val="00D43D7E"/>
    <w:rsid w:val="00D43DE6"/>
    <w:rsid w:val="00D43F93"/>
    <w:rsid w:val="00D44305"/>
    <w:rsid w:val="00D4495A"/>
    <w:rsid w:val="00D44FDA"/>
    <w:rsid w:val="00D44FF4"/>
    <w:rsid w:val="00D45215"/>
    <w:rsid w:val="00D45D62"/>
    <w:rsid w:val="00D46846"/>
    <w:rsid w:val="00D46CE3"/>
    <w:rsid w:val="00D46CF9"/>
    <w:rsid w:val="00D5029F"/>
    <w:rsid w:val="00D50B5B"/>
    <w:rsid w:val="00D50EE1"/>
    <w:rsid w:val="00D50FEA"/>
    <w:rsid w:val="00D52657"/>
    <w:rsid w:val="00D5292D"/>
    <w:rsid w:val="00D52F6D"/>
    <w:rsid w:val="00D53191"/>
    <w:rsid w:val="00D53496"/>
    <w:rsid w:val="00D534FE"/>
    <w:rsid w:val="00D53C56"/>
    <w:rsid w:val="00D5468A"/>
    <w:rsid w:val="00D54D79"/>
    <w:rsid w:val="00D54ED0"/>
    <w:rsid w:val="00D5672D"/>
    <w:rsid w:val="00D568FB"/>
    <w:rsid w:val="00D56DF0"/>
    <w:rsid w:val="00D5704F"/>
    <w:rsid w:val="00D570B3"/>
    <w:rsid w:val="00D57425"/>
    <w:rsid w:val="00D576DF"/>
    <w:rsid w:val="00D57B40"/>
    <w:rsid w:val="00D60097"/>
    <w:rsid w:val="00D601B9"/>
    <w:rsid w:val="00D607B1"/>
    <w:rsid w:val="00D61232"/>
    <w:rsid w:val="00D62959"/>
    <w:rsid w:val="00D6296F"/>
    <w:rsid w:val="00D62A22"/>
    <w:rsid w:val="00D62C47"/>
    <w:rsid w:val="00D62CFD"/>
    <w:rsid w:val="00D633C6"/>
    <w:rsid w:val="00D63706"/>
    <w:rsid w:val="00D63BF9"/>
    <w:rsid w:val="00D63CC2"/>
    <w:rsid w:val="00D63D08"/>
    <w:rsid w:val="00D63E4D"/>
    <w:rsid w:val="00D64431"/>
    <w:rsid w:val="00D649E7"/>
    <w:rsid w:val="00D65BBA"/>
    <w:rsid w:val="00D65C35"/>
    <w:rsid w:val="00D65EA2"/>
    <w:rsid w:val="00D66664"/>
    <w:rsid w:val="00D667C2"/>
    <w:rsid w:val="00D6680A"/>
    <w:rsid w:val="00D66979"/>
    <w:rsid w:val="00D66D6B"/>
    <w:rsid w:val="00D676CE"/>
    <w:rsid w:val="00D70A1B"/>
    <w:rsid w:val="00D71F2D"/>
    <w:rsid w:val="00D72594"/>
    <w:rsid w:val="00D72E7D"/>
    <w:rsid w:val="00D73298"/>
    <w:rsid w:val="00D73943"/>
    <w:rsid w:val="00D73980"/>
    <w:rsid w:val="00D73D6B"/>
    <w:rsid w:val="00D740FF"/>
    <w:rsid w:val="00D74A76"/>
    <w:rsid w:val="00D74B34"/>
    <w:rsid w:val="00D74D57"/>
    <w:rsid w:val="00D7542C"/>
    <w:rsid w:val="00D75557"/>
    <w:rsid w:val="00D759F3"/>
    <w:rsid w:val="00D75C1A"/>
    <w:rsid w:val="00D7611C"/>
    <w:rsid w:val="00D767EB"/>
    <w:rsid w:val="00D76867"/>
    <w:rsid w:val="00D76901"/>
    <w:rsid w:val="00D76AF4"/>
    <w:rsid w:val="00D76BC9"/>
    <w:rsid w:val="00D76DF6"/>
    <w:rsid w:val="00D776EC"/>
    <w:rsid w:val="00D77B57"/>
    <w:rsid w:val="00D802F7"/>
    <w:rsid w:val="00D8049B"/>
    <w:rsid w:val="00D811E6"/>
    <w:rsid w:val="00D81B14"/>
    <w:rsid w:val="00D8271D"/>
    <w:rsid w:val="00D8321F"/>
    <w:rsid w:val="00D83692"/>
    <w:rsid w:val="00D837B2"/>
    <w:rsid w:val="00D839EF"/>
    <w:rsid w:val="00D84265"/>
    <w:rsid w:val="00D84478"/>
    <w:rsid w:val="00D84734"/>
    <w:rsid w:val="00D8489F"/>
    <w:rsid w:val="00D84A2D"/>
    <w:rsid w:val="00D853EF"/>
    <w:rsid w:val="00D85E25"/>
    <w:rsid w:val="00D861B7"/>
    <w:rsid w:val="00D86D41"/>
    <w:rsid w:val="00D86F79"/>
    <w:rsid w:val="00D872E7"/>
    <w:rsid w:val="00D87B58"/>
    <w:rsid w:val="00D87FC9"/>
    <w:rsid w:val="00D90272"/>
    <w:rsid w:val="00D90524"/>
    <w:rsid w:val="00D90B17"/>
    <w:rsid w:val="00D90DB4"/>
    <w:rsid w:val="00D9139C"/>
    <w:rsid w:val="00D914EC"/>
    <w:rsid w:val="00D9201A"/>
    <w:rsid w:val="00D9253C"/>
    <w:rsid w:val="00D92847"/>
    <w:rsid w:val="00D92CBE"/>
    <w:rsid w:val="00D93454"/>
    <w:rsid w:val="00D9372E"/>
    <w:rsid w:val="00D93BD6"/>
    <w:rsid w:val="00D94034"/>
    <w:rsid w:val="00D94300"/>
    <w:rsid w:val="00D950B6"/>
    <w:rsid w:val="00D95A9B"/>
    <w:rsid w:val="00D95BBA"/>
    <w:rsid w:val="00D95E48"/>
    <w:rsid w:val="00D961E9"/>
    <w:rsid w:val="00D962C1"/>
    <w:rsid w:val="00D96D31"/>
    <w:rsid w:val="00D97614"/>
    <w:rsid w:val="00DA0F1E"/>
    <w:rsid w:val="00DA11BE"/>
    <w:rsid w:val="00DA171C"/>
    <w:rsid w:val="00DA18C0"/>
    <w:rsid w:val="00DA1969"/>
    <w:rsid w:val="00DA1B2E"/>
    <w:rsid w:val="00DA362C"/>
    <w:rsid w:val="00DA37DA"/>
    <w:rsid w:val="00DA3F4F"/>
    <w:rsid w:val="00DA4B2E"/>
    <w:rsid w:val="00DA4DD8"/>
    <w:rsid w:val="00DA5678"/>
    <w:rsid w:val="00DA5869"/>
    <w:rsid w:val="00DA61DA"/>
    <w:rsid w:val="00DA6557"/>
    <w:rsid w:val="00DA6630"/>
    <w:rsid w:val="00DA68B5"/>
    <w:rsid w:val="00DA6EC8"/>
    <w:rsid w:val="00DA739F"/>
    <w:rsid w:val="00DA747C"/>
    <w:rsid w:val="00DA7803"/>
    <w:rsid w:val="00DA7869"/>
    <w:rsid w:val="00DA7C12"/>
    <w:rsid w:val="00DB0308"/>
    <w:rsid w:val="00DB030D"/>
    <w:rsid w:val="00DB03EC"/>
    <w:rsid w:val="00DB0540"/>
    <w:rsid w:val="00DB07A8"/>
    <w:rsid w:val="00DB082E"/>
    <w:rsid w:val="00DB091B"/>
    <w:rsid w:val="00DB0BB5"/>
    <w:rsid w:val="00DB0CF2"/>
    <w:rsid w:val="00DB12AE"/>
    <w:rsid w:val="00DB17C6"/>
    <w:rsid w:val="00DB1B09"/>
    <w:rsid w:val="00DB1FE9"/>
    <w:rsid w:val="00DB2044"/>
    <w:rsid w:val="00DB22F7"/>
    <w:rsid w:val="00DB2F90"/>
    <w:rsid w:val="00DB337C"/>
    <w:rsid w:val="00DB348A"/>
    <w:rsid w:val="00DB3796"/>
    <w:rsid w:val="00DB391C"/>
    <w:rsid w:val="00DB3AC8"/>
    <w:rsid w:val="00DB3AE0"/>
    <w:rsid w:val="00DB416A"/>
    <w:rsid w:val="00DB4563"/>
    <w:rsid w:val="00DB478C"/>
    <w:rsid w:val="00DB47BA"/>
    <w:rsid w:val="00DB57A2"/>
    <w:rsid w:val="00DB635F"/>
    <w:rsid w:val="00DB6367"/>
    <w:rsid w:val="00DB63A7"/>
    <w:rsid w:val="00DB63F7"/>
    <w:rsid w:val="00DB6932"/>
    <w:rsid w:val="00DB69BF"/>
    <w:rsid w:val="00DB707E"/>
    <w:rsid w:val="00DB7388"/>
    <w:rsid w:val="00DC0E01"/>
    <w:rsid w:val="00DC14BC"/>
    <w:rsid w:val="00DC19C1"/>
    <w:rsid w:val="00DC1C66"/>
    <w:rsid w:val="00DC201E"/>
    <w:rsid w:val="00DC22C9"/>
    <w:rsid w:val="00DC270F"/>
    <w:rsid w:val="00DC2C2E"/>
    <w:rsid w:val="00DC31F1"/>
    <w:rsid w:val="00DC3470"/>
    <w:rsid w:val="00DC38DA"/>
    <w:rsid w:val="00DC3B00"/>
    <w:rsid w:val="00DC4BCF"/>
    <w:rsid w:val="00DC4F2F"/>
    <w:rsid w:val="00DC52D5"/>
    <w:rsid w:val="00DC530E"/>
    <w:rsid w:val="00DC5889"/>
    <w:rsid w:val="00DC5CC9"/>
    <w:rsid w:val="00DC5FEE"/>
    <w:rsid w:val="00DC6720"/>
    <w:rsid w:val="00DC7131"/>
    <w:rsid w:val="00DC7622"/>
    <w:rsid w:val="00DD0028"/>
    <w:rsid w:val="00DD0800"/>
    <w:rsid w:val="00DD0CE1"/>
    <w:rsid w:val="00DD10E9"/>
    <w:rsid w:val="00DD15FA"/>
    <w:rsid w:val="00DD1A23"/>
    <w:rsid w:val="00DD1EF1"/>
    <w:rsid w:val="00DD21DA"/>
    <w:rsid w:val="00DD238C"/>
    <w:rsid w:val="00DD23B3"/>
    <w:rsid w:val="00DD260F"/>
    <w:rsid w:val="00DD2C0A"/>
    <w:rsid w:val="00DD390F"/>
    <w:rsid w:val="00DD3AC9"/>
    <w:rsid w:val="00DD4019"/>
    <w:rsid w:val="00DD47FF"/>
    <w:rsid w:val="00DD4F44"/>
    <w:rsid w:val="00DD5810"/>
    <w:rsid w:val="00DD5829"/>
    <w:rsid w:val="00DD5BF0"/>
    <w:rsid w:val="00DD5DBC"/>
    <w:rsid w:val="00DD68D0"/>
    <w:rsid w:val="00DD7210"/>
    <w:rsid w:val="00DD72BB"/>
    <w:rsid w:val="00DD7728"/>
    <w:rsid w:val="00DD7A33"/>
    <w:rsid w:val="00DD7AB2"/>
    <w:rsid w:val="00DD7B83"/>
    <w:rsid w:val="00DE0938"/>
    <w:rsid w:val="00DE0A32"/>
    <w:rsid w:val="00DE0B09"/>
    <w:rsid w:val="00DE0BAC"/>
    <w:rsid w:val="00DE0E39"/>
    <w:rsid w:val="00DE13D9"/>
    <w:rsid w:val="00DE2079"/>
    <w:rsid w:val="00DE20DF"/>
    <w:rsid w:val="00DE247C"/>
    <w:rsid w:val="00DE2D66"/>
    <w:rsid w:val="00DE2E2E"/>
    <w:rsid w:val="00DE2F8D"/>
    <w:rsid w:val="00DE367E"/>
    <w:rsid w:val="00DE36C4"/>
    <w:rsid w:val="00DE39D2"/>
    <w:rsid w:val="00DE3F3C"/>
    <w:rsid w:val="00DE3F64"/>
    <w:rsid w:val="00DE3FA8"/>
    <w:rsid w:val="00DE423F"/>
    <w:rsid w:val="00DE4303"/>
    <w:rsid w:val="00DE43EB"/>
    <w:rsid w:val="00DE559B"/>
    <w:rsid w:val="00DE57E3"/>
    <w:rsid w:val="00DE5F8B"/>
    <w:rsid w:val="00DE6263"/>
    <w:rsid w:val="00DE635A"/>
    <w:rsid w:val="00DE6678"/>
    <w:rsid w:val="00DE6A53"/>
    <w:rsid w:val="00DE7567"/>
    <w:rsid w:val="00DE7660"/>
    <w:rsid w:val="00DE7EFB"/>
    <w:rsid w:val="00DF0819"/>
    <w:rsid w:val="00DF0F48"/>
    <w:rsid w:val="00DF1268"/>
    <w:rsid w:val="00DF1357"/>
    <w:rsid w:val="00DF18BD"/>
    <w:rsid w:val="00DF1C7B"/>
    <w:rsid w:val="00DF1DC2"/>
    <w:rsid w:val="00DF1F50"/>
    <w:rsid w:val="00DF3918"/>
    <w:rsid w:val="00DF3B2C"/>
    <w:rsid w:val="00DF3B9A"/>
    <w:rsid w:val="00DF42FE"/>
    <w:rsid w:val="00DF458B"/>
    <w:rsid w:val="00DF495C"/>
    <w:rsid w:val="00DF4C88"/>
    <w:rsid w:val="00DF500E"/>
    <w:rsid w:val="00DF540D"/>
    <w:rsid w:val="00DF62B4"/>
    <w:rsid w:val="00DF6B3B"/>
    <w:rsid w:val="00DF6BA6"/>
    <w:rsid w:val="00DF6BAF"/>
    <w:rsid w:val="00DF6BDC"/>
    <w:rsid w:val="00DF6E60"/>
    <w:rsid w:val="00DF7539"/>
    <w:rsid w:val="00E004F8"/>
    <w:rsid w:val="00E0071E"/>
    <w:rsid w:val="00E00BD3"/>
    <w:rsid w:val="00E010EE"/>
    <w:rsid w:val="00E01D45"/>
    <w:rsid w:val="00E025CE"/>
    <w:rsid w:val="00E0280A"/>
    <w:rsid w:val="00E02862"/>
    <w:rsid w:val="00E02D64"/>
    <w:rsid w:val="00E03B56"/>
    <w:rsid w:val="00E03B97"/>
    <w:rsid w:val="00E03BB6"/>
    <w:rsid w:val="00E04255"/>
    <w:rsid w:val="00E04286"/>
    <w:rsid w:val="00E04433"/>
    <w:rsid w:val="00E0467E"/>
    <w:rsid w:val="00E04E7A"/>
    <w:rsid w:val="00E04F92"/>
    <w:rsid w:val="00E059A8"/>
    <w:rsid w:val="00E05A81"/>
    <w:rsid w:val="00E05FA1"/>
    <w:rsid w:val="00E06021"/>
    <w:rsid w:val="00E06631"/>
    <w:rsid w:val="00E068C8"/>
    <w:rsid w:val="00E07652"/>
    <w:rsid w:val="00E07915"/>
    <w:rsid w:val="00E10149"/>
    <w:rsid w:val="00E1048C"/>
    <w:rsid w:val="00E106F4"/>
    <w:rsid w:val="00E10832"/>
    <w:rsid w:val="00E109F7"/>
    <w:rsid w:val="00E10DD7"/>
    <w:rsid w:val="00E10F0F"/>
    <w:rsid w:val="00E1150F"/>
    <w:rsid w:val="00E1157A"/>
    <w:rsid w:val="00E1173F"/>
    <w:rsid w:val="00E11902"/>
    <w:rsid w:val="00E11DB9"/>
    <w:rsid w:val="00E124F2"/>
    <w:rsid w:val="00E12732"/>
    <w:rsid w:val="00E131C3"/>
    <w:rsid w:val="00E13699"/>
    <w:rsid w:val="00E13948"/>
    <w:rsid w:val="00E13B92"/>
    <w:rsid w:val="00E13F1C"/>
    <w:rsid w:val="00E1423E"/>
    <w:rsid w:val="00E146C9"/>
    <w:rsid w:val="00E14778"/>
    <w:rsid w:val="00E14BEF"/>
    <w:rsid w:val="00E14DB1"/>
    <w:rsid w:val="00E151A7"/>
    <w:rsid w:val="00E1526A"/>
    <w:rsid w:val="00E15593"/>
    <w:rsid w:val="00E15756"/>
    <w:rsid w:val="00E1679B"/>
    <w:rsid w:val="00E173EF"/>
    <w:rsid w:val="00E175DB"/>
    <w:rsid w:val="00E20A85"/>
    <w:rsid w:val="00E20BB7"/>
    <w:rsid w:val="00E21019"/>
    <w:rsid w:val="00E21148"/>
    <w:rsid w:val="00E21393"/>
    <w:rsid w:val="00E21D95"/>
    <w:rsid w:val="00E22621"/>
    <w:rsid w:val="00E2288E"/>
    <w:rsid w:val="00E22C61"/>
    <w:rsid w:val="00E23581"/>
    <w:rsid w:val="00E24F7F"/>
    <w:rsid w:val="00E25800"/>
    <w:rsid w:val="00E25B07"/>
    <w:rsid w:val="00E25D6A"/>
    <w:rsid w:val="00E26C43"/>
    <w:rsid w:val="00E276BC"/>
    <w:rsid w:val="00E2770D"/>
    <w:rsid w:val="00E279E6"/>
    <w:rsid w:val="00E27A04"/>
    <w:rsid w:val="00E27C10"/>
    <w:rsid w:val="00E27E2C"/>
    <w:rsid w:val="00E27FE9"/>
    <w:rsid w:val="00E30455"/>
    <w:rsid w:val="00E3085C"/>
    <w:rsid w:val="00E31F93"/>
    <w:rsid w:val="00E3230A"/>
    <w:rsid w:val="00E327AB"/>
    <w:rsid w:val="00E32D33"/>
    <w:rsid w:val="00E336E4"/>
    <w:rsid w:val="00E3377E"/>
    <w:rsid w:val="00E34404"/>
    <w:rsid w:val="00E34909"/>
    <w:rsid w:val="00E34C1F"/>
    <w:rsid w:val="00E36306"/>
    <w:rsid w:val="00E3647A"/>
    <w:rsid w:val="00E365C7"/>
    <w:rsid w:val="00E36EBD"/>
    <w:rsid w:val="00E375A1"/>
    <w:rsid w:val="00E40CE5"/>
    <w:rsid w:val="00E40F52"/>
    <w:rsid w:val="00E4139F"/>
    <w:rsid w:val="00E41D31"/>
    <w:rsid w:val="00E41D72"/>
    <w:rsid w:val="00E425EA"/>
    <w:rsid w:val="00E428D3"/>
    <w:rsid w:val="00E4291F"/>
    <w:rsid w:val="00E429C8"/>
    <w:rsid w:val="00E42B7B"/>
    <w:rsid w:val="00E42E08"/>
    <w:rsid w:val="00E437BF"/>
    <w:rsid w:val="00E43B9F"/>
    <w:rsid w:val="00E43F81"/>
    <w:rsid w:val="00E44023"/>
    <w:rsid w:val="00E4425D"/>
    <w:rsid w:val="00E443B7"/>
    <w:rsid w:val="00E44EF8"/>
    <w:rsid w:val="00E451EE"/>
    <w:rsid w:val="00E455A6"/>
    <w:rsid w:val="00E45B44"/>
    <w:rsid w:val="00E45E11"/>
    <w:rsid w:val="00E467D0"/>
    <w:rsid w:val="00E46F74"/>
    <w:rsid w:val="00E47185"/>
    <w:rsid w:val="00E47AC5"/>
    <w:rsid w:val="00E47D9D"/>
    <w:rsid w:val="00E5116E"/>
    <w:rsid w:val="00E51263"/>
    <w:rsid w:val="00E515D9"/>
    <w:rsid w:val="00E51820"/>
    <w:rsid w:val="00E5191E"/>
    <w:rsid w:val="00E51B4C"/>
    <w:rsid w:val="00E51B6D"/>
    <w:rsid w:val="00E52756"/>
    <w:rsid w:val="00E5276F"/>
    <w:rsid w:val="00E5288D"/>
    <w:rsid w:val="00E52BD4"/>
    <w:rsid w:val="00E52C81"/>
    <w:rsid w:val="00E52D20"/>
    <w:rsid w:val="00E5317E"/>
    <w:rsid w:val="00E54212"/>
    <w:rsid w:val="00E5437A"/>
    <w:rsid w:val="00E547A4"/>
    <w:rsid w:val="00E54ADB"/>
    <w:rsid w:val="00E54AF7"/>
    <w:rsid w:val="00E54CD2"/>
    <w:rsid w:val="00E55BAF"/>
    <w:rsid w:val="00E5688B"/>
    <w:rsid w:val="00E56ABA"/>
    <w:rsid w:val="00E57068"/>
    <w:rsid w:val="00E575CE"/>
    <w:rsid w:val="00E578D1"/>
    <w:rsid w:val="00E57F02"/>
    <w:rsid w:val="00E60130"/>
    <w:rsid w:val="00E601AD"/>
    <w:rsid w:val="00E60626"/>
    <w:rsid w:val="00E61BC2"/>
    <w:rsid w:val="00E61CC5"/>
    <w:rsid w:val="00E61F9F"/>
    <w:rsid w:val="00E6214E"/>
    <w:rsid w:val="00E627DF"/>
    <w:rsid w:val="00E629C9"/>
    <w:rsid w:val="00E62A2B"/>
    <w:rsid w:val="00E62C18"/>
    <w:rsid w:val="00E62C78"/>
    <w:rsid w:val="00E62DE1"/>
    <w:rsid w:val="00E62FD3"/>
    <w:rsid w:val="00E63145"/>
    <w:rsid w:val="00E633CC"/>
    <w:rsid w:val="00E63BC3"/>
    <w:rsid w:val="00E6424E"/>
    <w:rsid w:val="00E642EA"/>
    <w:rsid w:val="00E6471B"/>
    <w:rsid w:val="00E649C7"/>
    <w:rsid w:val="00E652F3"/>
    <w:rsid w:val="00E65B18"/>
    <w:rsid w:val="00E65DB8"/>
    <w:rsid w:val="00E6604C"/>
    <w:rsid w:val="00E66267"/>
    <w:rsid w:val="00E66448"/>
    <w:rsid w:val="00E66639"/>
    <w:rsid w:val="00E66712"/>
    <w:rsid w:val="00E66BA3"/>
    <w:rsid w:val="00E66BD5"/>
    <w:rsid w:val="00E66F9C"/>
    <w:rsid w:val="00E672B6"/>
    <w:rsid w:val="00E67523"/>
    <w:rsid w:val="00E67650"/>
    <w:rsid w:val="00E67C24"/>
    <w:rsid w:val="00E7051B"/>
    <w:rsid w:val="00E7053A"/>
    <w:rsid w:val="00E7053C"/>
    <w:rsid w:val="00E71305"/>
    <w:rsid w:val="00E713B6"/>
    <w:rsid w:val="00E71722"/>
    <w:rsid w:val="00E719D4"/>
    <w:rsid w:val="00E72400"/>
    <w:rsid w:val="00E72564"/>
    <w:rsid w:val="00E72BA5"/>
    <w:rsid w:val="00E72F17"/>
    <w:rsid w:val="00E73205"/>
    <w:rsid w:val="00E733F1"/>
    <w:rsid w:val="00E735B2"/>
    <w:rsid w:val="00E739A2"/>
    <w:rsid w:val="00E74069"/>
    <w:rsid w:val="00E744D5"/>
    <w:rsid w:val="00E747E5"/>
    <w:rsid w:val="00E74AA1"/>
    <w:rsid w:val="00E75E16"/>
    <w:rsid w:val="00E76310"/>
    <w:rsid w:val="00E76653"/>
    <w:rsid w:val="00E76BCB"/>
    <w:rsid w:val="00E77A27"/>
    <w:rsid w:val="00E77C89"/>
    <w:rsid w:val="00E77D2B"/>
    <w:rsid w:val="00E8038A"/>
    <w:rsid w:val="00E803C0"/>
    <w:rsid w:val="00E80D2A"/>
    <w:rsid w:val="00E812E3"/>
    <w:rsid w:val="00E818E2"/>
    <w:rsid w:val="00E819EA"/>
    <w:rsid w:val="00E81B4C"/>
    <w:rsid w:val="00E8224A"/>
    <w:rsid w:val="00E82465"/>
    <w:rsid w:val="00E82B0A"/>
    <w:rsid w:val="00E835CF"/>
    <w:rsid w:val="00E8383F"/>
    <w:rsid w:val="00E83F1F"/>
    <w:rsid w:val="00E84709"/>
    <w:rsid w:val="00E84DF9"/>
    <w:rsid w:val="00E85349"/>
    <w:rsid w:val="00E85502"/>
    <w:rsid w:val="00E85997"/>
    <w:rsid w:val="00E85F28"/>
    <w:rsid w:val="00E86001"/>
    <w:rsid w:val="00E8653B"/>
    <w:rsid w:val="00E8798C"/>
    <w:rsid w:val="00E87A66"/>
    <w:rsid w:val="00E87BD1"/>
    <w:rsid w:val="00E87C18"/>
    <w:rsid w:val="00E899EA"/>
    <w:rsid w:val="00E90C0C"/>
    <w:rsid w:val="00E9103F"/>
    <w:rsid w:val="00E9117B"/>
    <w:rsid w:val="00E9136F"/>
    <w:rsid w:val="00E91575"/>
    <w:rsid w:val="00E9180B"/>
    <w:rsid w:val="00E91913"/>
    <w:rsid w:val="00E91BB9"/>
    <w:rsid w:val="00E91EA8"/>
    <w:rsid w:val="00E92440"/>
    <w:rsid w:val="00E92839"/>
    <w:rsid w:val="00E9293A"/>
    <w:rsid w:val="00E92E01"/>
    <w:rsid w:val="00E936F9"/>
    <w:rsid w:val="00E9406B"/>
    <w:rsid w:val="00E940AF"/>
    <w:rsid w:val="00E940EA"/>
    <w:rsid w:val="00E94DBA"/>
    <w:rsid w:val="00E94E32"/>
    <w:rsid w:val="00E94F80"/>
    <w:rsid w:val="00E95CE1"/>
    <w:rsid w:val="00E967C8"/>
    <w:rsid w:val="00E96A4E"/>
    <w:rsid w:val="00E96ECD"/>
    <w:rsid w:val="00E9704C"/>
    <w:rsid w:val="00E97C84"/>
    <w:rsid w:val="00EA06BF"/>
    <w:rsid w:val="00EA0779"/>
    <w:rsid w:val="00EA07A2"/>
    <w:rsid w:val="00EA09B9"/>
    <w:rsid w:val="00EA0DBD"/>
    <w:rsid w:val="00EA0E83"/>
    <w:rsid w:val="00EA0FD3"/>
    <w:rsid w:val="00EA16A6"/>
    <w:rsid w:val="00EA1734"/>
    <w:rsid w:val="00EA275F"/>
    <w:rsid w:val="00EA2F56"/>
    <w:rsid w:val="00EA3433"/>
    <w:rsid w:val="00EA3672"/>
    <w:rsid w:val="00EA3BF2"/>
    <w:rsid w:val="00EA3C6C"/>
    <w:rsid w:val="00EA3D1B"/>
    <w:rsid w:val="00EA3D71"/>
    <w:rsid w:val="00EA4082"/>
    <w:rsid w:val="00EA4DCF"/>
    <w:rsid w:val="00EA4FCD"/>
    <w:rsid w:val="00EA4FE3"/>
    <w:rsid w:val="00EA5091"/>
    <w:rsid w:val="00EA50EC"/>
    <w:rsid w:val="00EA5607"/>
    <w:rsid w:val="00EA5764"/>
    <w:rsid w:val="00EA5822"/>
    <w:rsid w:val="00EA5920"/>
    <w:rsid w:val="00EA5D5E"/>
    <w:rsid w:val="00EA5F0B"/>
    <w:rsid w:val="00EA68CD"/>
    <w:rsid w:val="00EA6918"/>
    <w:rsid w:val="00EA692E"/>
    <w:rsid w:val="00EA6D2A"/>
    <w:rsid w:val="00EA73A1"/>
    <w:rsid w:val="00EA7941"/>
    <w:rsid w:val="00EA7C4F"/>
    <w:rsid w:val="00EB0416"/>
    <w:rsid w:val="00EB096A"/>
    <w:rsid w:val="00EB0B55"/>
    <w:rsid w:val="00EB0EFA"/>
    <w:rsid w:val="00EB1065"/>
    <w:rsid w:val="00EB1245"/>
    <w:rsid w:val="00EB18CC"/>
    <w:rsid w:val="00EB192A"/>
    <w:rsid w:val="00EB1BA6"/>
    <w:rsid w:val="00EB21D7"/>
    <w:rsid w:val="00EB237C"/>
    <w:rsid w:val="00EB2706"/>
    <w:rsid w:val="00EB308A"/>
    <w:rsid w:val="00EB3D0D"/>
    <w:rsid w:val="00EB5235"/>
    <w:rsid w:val="00EB52C7"/>
    <w:rsid w:val="00EB562F"/>
    <w:rsid w:val="00EB56AB"/>
    <w:rsid w:val="00EB5703"/>
    <w:rsid w:val="00EB5776"/>
    <w:rsid w:val="00EB5D8A"/>
    <w:rsid w:val="00EB5E25"/>
    <w:rsid w:val="00EB5E40"/>
    <w:rsid w:val="00EB61D6"/>
    <w:rsid w:val="00EB633C"/>
    <w:rsid w:val="00EB6430"/>
    <w:rsid w:val="00EB6607"/>
    <w:rsid w:val="00EB6B75"/>
    <w:rsid w:val="00EB6C5A"/>
    <w:rsid w:val="00EB7184"/>
    <w:rsid w:val="00EC0084"/>
    <w:rsid w:val="00EC03C8"/>
    <w:rsid w:val="00EC064A"/>
    <w:rsid w:val="00EC0946"/>
    <w:rsid w:val="00EC0E98"/>
    <w:rsid w:val="00EC0EB1"/>
    <w:rsid w:val="00EC116C"/>
    <w:rsid w:val="00EC1395"/>
    <w:rsid w:val="00EC1431"/>
    <w:rsid w:val="00EC1B3F"/>
    <w:rsid w:val="00EC1E47"/>
    <w:rsid w:val="00EC20CC"/>
    <w:rsid w:val="00EC250C"/>
    <w:rsid w:val="00EC28A7"/>
    <w:rsid w:val="00EC306F"/>
    <w:rsid w:val="00EC31DF"/>
    <w:rsid w:val="00EC32A9"/>
    <w:rsid w:val="00EC348B"/>
    <w:rsid w:val="00EC353D"/>
    <w:rsid w:val="00EC3CE4"/>
    <w:rsid w:val="00EC4555"/>
    <w:rsid w:val="00EC52A6"/>
    <w:rsid w:val="00EC534F"/>
    <w:rsid w:val="00EC5C52"/>
    <w:rsid w:val="00EC5FB2"/>
    <w:rsid w:val="00EC67E5"/>
    <w:rsid w:val="00EC680E"/>
    <w:rsid w:val="00EC7025"/>
    <w:rsid w:val="00EC72A0"/>
    <w:rsid w:val="00EC79D2"/>
    <w:rsid w:val="00EC7CA7"/>
    <w:rsid w:val="00ED01D0"/>
    <w:rsid w:val="00ED0707"/>
    <w:rsid w:val="00ED0897"/>
    <w:rsid w:val="00ED0902"/>
    <w:rsid w:val="00ED13FF"/>
    <w:rsid w:val="00ED17FF"/>
    <w:rsid w:val="00ED1C35"/>
    <w:rsid w:val="00ED1D9B"/>
    <w:rsid w:val="00ED1F0F"/>
    <w:rsid w:val="00ED2005"/>
    <w:rsid w:val="00ED215E"/>
    <w:rsid w:val="00ED28A0"/>
    <w:rsid w:val="00ED30B4"/>
    <w:rsid w:val="00ED3564"/>
    <w:rsid w:val="00ED35F7"/>
    <w:rsid w:val="00ED36A0"/>
    <w:rsid w:val="00ED388E"/>
    <w:rsid w:val="00ED4198"/>
    <w:rsid w:val="00ED45EC"/>
    <w:rsid w:val="00ED4B9D"/>
    <w:rsid w:val="00ED4BDC"/>
    <w:rsid w:val="00ED52A1"/>
    <w:rsid w:val="00ED5568"/>
    <w:rsid w:val="00ED6459"/>
    <w:rsid w:val="00ED70FF"/>
    <w:rsid w:val="00ED7184"/>
    <w:rsid w:val="00EE0C30"/>
    <w:rsid w:val="00EE0C89"/>
    <w:rsid w:val="00EE0DB6"/>
    <w:rsid w:val="00EE0E59"/>
    <w:rsid w:val="00EE13B5"/>
    <w:rsid w:val="00EE1626"/>
    <w:rsid w:val="00EE163B"/>
    <w:rsid w:val="00EE18DA"/>
    <w:rsid w:val="00EE218D"/>
    <w:rsid w:val="00EE25B7"/>
    <w:rsid w:val="00EE26F5"/>
    <w:rsid w:val="00EE3230"/>
    <w:rsid w:val="00EE3537"/>
    <w:rsid w:val="00EE3F59"/>
    <w:rsid w:val="00EE4246"/>
    <w:rsid w:val="00EE5082"/>
    <w:rsid w:val="00EE513E"/>
    <w:rsid w:val="00EE5245"/>
    <w:rsid w:val="00EE52A8"/>
    <w:rsid w:val="00EE53F5"/>
    <w:rsid w:val="00EE552C"/>
    <w:rsid w:val="00EE5B42"/>
    <w:rsid w:val="00EE5DA3"/>
    <w:rsid w:val="00EE60CD"/>
    <w:rsid w:val="00EE6168"/>
    <w:rsid w:val="00EE65F4"/>
    <w:rsid w:val="00EE68A1"/>
    <w:rsid w:val="00EE6BB0"/>
    <w:rsid w:val="00EE6CBC"/>
    <w:rsid w:val="00EE6E8D"/>
    <w:rsid w:val="00EE75D5"/>
    <w:rsid w:val="00EE7A54"/>
    <w:rsid w:val="00EE7DF5"/>
    <w:rsid w:val="00EF07CD"/>
    <w:rsid w:val="00EF0849"/>
    <w:rsid w:val="00EF0A85"/>
    <w:rsid w:val="00EF0EB6"/>
    <w:rsid w:val="00EF10D6"/>
    <w:rsid w:val="00EF18FB"/>
    <w:rsid w:val="00EF1E5E"/>
    <w:rsid w:val="00EF2777"/>
    <w:rsid w:val="00EF2B48"/>
    <w:rsid w:val="00EF2C66"/>
    <w:rsid w:val="00EF2D7A"/>
    <w:rsid w:val="00EF2DAB"/>
    <w:rsid w:val="00EF3A12"/>
    <w:rsid w:val="00EF3E6F"/>
    <w:rsid w:val="00EF422E"/>
    <w:rsid w:val="00EF4BE1"/>
    <w:rsid w:val="00EF4FFB"/>
    <w:rsid w:val="00EF58D8"/>
    <w:rsid w:val="00EF5980"/>
    <w:rsid w:val="00EF5C79"/>
    <w:rsid w:val="00EF5C80"/>
    <w:rsid w:val="00EF60DE"/>
    <w:rsid w:val="00EF6391"/>
    <w:rsid w:val="00EF643C"/>
    <w:rsid w:val="00EF6764"/>
    <w:rsid w:val="00EF7575"/>
    <w:rsid w:val="00EF75F6"/>
    <w:rsid w:val="00F003FC"/>
    <w:rsid w:val="00F00C17"/>
    <w:rsid w:val="00F00E4F"/>
    <w:rsid w:val="00F00FE0"/>
    <w:rsid w:val="00F0196D"/>
    <w:rsid w:val="00F01A3F"/>
    <w:rsid w:val="00F01AFB"/>
    <w:rsid w:val="00F022D7"/>
    <w:rsid w:val="00F024CC"/>
    <w:rsid w:val="00F026EB"/>
    <w:rsid w:val="00F030BF"/>
    <w:rsid w:val="00F03257"/>
    <w:rsid w:val="00F03632"/>
    <w:rsid w:val="00F03EB1"/>
    <w:rsid w:val="00F03FC1"/>
    <w:rsid w:val="00F041AA"/>
    <w:rsid w:val="00F04711"/>
    <w:rsid w:val="00F04778"/>
    <w:rsid w:val="00F04880"/>
    <w:rsid w:val="00F049BA"/>
    <w:rsid w:val="00F04A28"/>
    <w:rsid w:val="00F04AFB"/>
    <w:rsid w:val="00F051F3"/>
    <w:rsid w:val="00F05C6F"/>
    <w:rsid w:val="00F06602"/>
    <w:rsid w:val="00F06DE4"/>
    <w:rsid w:val="00F07115"/>
    <w:rsid w:val="00F07CDC"/>
    <w:rsid w:val="00F10234"/>
    <w:rsid w:val="00F10D21"/>
    <w:rsid w:val="00F10D43"/>
    <w:rsid w:val="00F11291"/>
    <w:rsid w:val="00F113C0"/>
    <w:rsid w:val="00F11616"/>
    <w:rsid w:val="00F1258B"/>
    <w:rsid w:val="00F12713"/>
    <w:rsid w:val="00F127A8"/>
    <w:rsid w:val="00F13197"/>
    <w:rsid w:val="00F13618"/>
    <w:rsid w:val="00F13953"/>
    <w:rsid w:val="00F13E2E"/>
    <w:rsid w:val="00F13E48"/>
    <w:rsid w:val="00F14B3B"/>
    <w:rsid w:val="00F14B42"/>
    <w:rsid w:val="00F15423"/>
    <w:rsid w:val="00F15955"/>
    <w:rsid w:val="00F15BEB"/>
    <w:rsid w:val="00F15D82"/>
    <w:rsid w:val="00F15F11"/>
    <w:rsid w:val="00F1674A"/>
    <w:rsid w:val="00F16B84"/>
    <w:rsid w:val="00F17037"/>
    <w:rsid w:val="00F17242"/>
    <w:rsid w:val="00F17AB1"/>
    <w:rsid w:val="00F17AEF"/>
    <w:rsid w:val="00F17F2D"/>
    <w:rsid w:val="00F204D3"/>
    <w:rsid w:val="00F20EC1"/>
    <w:rsid w:val="00F20FA2"/>
    <w:rsid w:val="00F21075"/>
    <w:rsid w:val="00F21843"/>
    <w:rsid w:val="00F2199C"/>
    <w:rsid w:val="00F21CF5"/>
    <w:rsid w:val="00F223EB"/>
    <w:rsid w:val="00F2268C"/>
    <w:rsid w:val="00F229F2"/>
    <w:rsid w:val="00F22D60"/>
    <w:rsid w:val="00F22F7E"/>
    <w:rsid w:val="00F2350E"/>
    <w:rsid w:val="00F240FF"/>
    <w:rsid w:val="00F241E6"/>
    <w:rsid w:val="00F249E9"/>
    <w:rsid w:val="00F24E73"/>
    <w:rsid w:val="00F25813"/>
    <w:rsid w:val="00F25F77"/>
    <w:rsid w:val="00F26341"/>
    <w:rsid w:val="00F267DE"/>
    <w:rsid w:val="00F26A08"/>
    <w:rsid w:val="00F26CC1"/>
    <w:rsid w:val="00F26EA1"/>
    <w:rsid w:val="00F27103"/>
    <w:rsid w:val="00F271C1"/>
    <w:rsid w:val="00F27988"/>
    <w:rsid w:val="00F27B8D"/>
    <w:rsid w:val="00F27CA7"/>
    <w:rsid w:val="00F27E79"/>
    <w:rsid w:val="00F30BAB"/>
    <w:rsid w:val="00F30E69"/>
    <w:rsid w:val="00F31810"/>
    <w:rsid w:val="00F31A51"/>
    <w:rsid w:val="00F31EDA"/>
    <w:rsid w:val="00F31F5E"/>
    <w:rsid w:val="00F32387"/>
    <w:rsid w:val="00F32E24"/>
    <w:rsid w:val="00F33172"/>
    <w:rsid w:val="00F33512"/>
    <w:rsid w:val="00F335EA"/>
    <w:rsid w:val="00F336EA"/>
    <w:rsid w:val="00F33977"/>
    <w:rsid w:val="00F34103"/>
    <w:rsid w:val="00F349A7"/>
    <w:rsid w:val="00F349CD"/>
    <w:rsid w:val="00F34A56"/>
    <w:rsid w:val="00F34BD9"/>
    <w:rsid w:val="00F356C3"/>
    <w:rsid w:val="00F369FF"/>
    <w:rsid w:val="00F36B47"/>
    <w:rsid w:val="00F36F5B"/>
    <w:rsid w:val="00F36FDD"/>
    <w:rsid w:val="00F3783C"/>
    <w:rsid w:val="00F378B6"/>
    <w:rsid w:val="00F379D7"/>
    <w:rsid w:val="00F400B0"/>
    <w:rsid w:val="00F402F7"/>
    <w:rsid w:val="00F40814"/>
    <w:rsid w:val="00F40C0A"/>
    <w:rsid w:val="00F415F2"/>
    <w:rsid w:val="00F41733"/>
    <w:rsid w:val="00F41A33"/>
    <w:rsid w:val="00F41DBE"/>
    <w:rsid w:val="00F420B5"/>
    <w:rsid w:val="00F42119"/>
    <w:rsid w:val="00F42832"/>
    <w:rsid w:val="00F428CC"/>
    <w:rsid w:val="00F43A16"/>
    <w:rsid w:val="00F43A94"/>
    <w:rsid w:val="00F43F64"/>
    <w:rsid w:val="00F444B3"/>
    <w:rsid w:val="00F4474B"/>
    <w:rsid w:val="00F447DF"/>
    <w:rsid w:val="00F44893"/>
    <w:rsid w:val="00F44A4F"/>
    <w:rsid w:val="00F44DD3"/>
    <w:rsid w:val="00F44FF7"/>
    <w:rsid w:val="00F4509E"/>
    <w:rsid w:val="00F45F72"/>
    <w:rsid w:val="00F46582"/>
    <w:rsid w:val="00F46638"/>
    <w:rsid w:val="00F466EB"/>
    <w:rsid w:val="00F46DDE"/>
    <w:rsid w:val="00F47269"/>
    <w:rsid w:val="00F479C1"/>
    <w:rsid w:val="00F47CEB"/>
    <w:rsid w:val="00F47F33"/>
    <w:rsid w:val="00F504AD"/>
    <w:rsid w:val="00F507DE"/>
    <w:rsid w:val="00F50F84"/>
    <w:rsid w:val="00F514D7"/>
    <w:rsid w:val="00F51C26"/>
    <w:rsid w:val="00F5311A"/>
    <w:rsid w:val="00F53FEF"/>
    <w:rsid w:val="00F5419B"/>
    <w:rsid w:val="00F54207"/>
    <w:rsid w:val="00F542B9"/>
    <w:rsid w:val="00F54579"/>
    <w:rsid w:val="00F54885"/>
    <w:rsid w:val="00F548D3"/>
    <w:rsid w:val="00F54C5E"/>
    <w:rsid w:val="00F54CA4"/>
    <w:rsid w:val="00F54E74"/>
    <w:rsid w:val="00F55385"/>
    <w:rsid w:val="00F556ED"/>
    <w:rsid w:val="00F55D65"/>
    <w:rsid w:val="00F56480"/>
    <w:rsid w:val="00F568E1"/>
    <w:rsid w:val="00F56BCE"/>
    <w:rsid w:val="00F57629"/>
    <w:rsid w:val="00F5769D"/>
    <w:rsid w:val="00F57783"/>
    <w:rsid w:val="00F578B0"/>
    <w:rsid w:val="00F57C26"/>
    <w:rsid w:val="00F6027B"/>
    <w:rsid w:val="00F60749"/>
    <w:rsid w:val="00F624D0"/>
    <w:rsid w:val="00F6261F"/>
    <w:rsid w:val="00F62656"/>
    <w:rsid w:val="00F62B84"/>
    <w:rsid w:val="00F6365C"/>
    <w:rsid w:val="00F6385B"/>
    <w:rsid w:val="00F63A1F"/>
    <w:rsid w:val="00F64012"/>
    <w:rsid w:val="00F641E5"/>
    <w:rsid w:val="00F64692"/>
    <w:rsid w:val="00F649BF"/>
    <w:rsid w:val="00F64A3B"/>
    <w:rsid w:val="00F64AA8"/>
    <w:rsid w:val="00F6535F"/>
    <w:rsid w:val="00F6583C"/>
    <w:rsid w:val="00F65ADC"/>
    <w:rsid w:val="00F65C08"/>
    <w:rsid w:val="00F65E13"/>
    <w:rsid w:val="00F663C7"/>
    <w:rsid w:val="00F66569"/>
    <w:rsid w:val="00F66960"/>
    <w:rsid w:val="00F67674"/>
    <w:rsid w:val="00F67720"/>
    <w:rsid w:val="00F67913"/>
    <w:rsid w:val="00F701F9"/>
    <w:rsid w:val="00F70D63"/>
    <w:rsid w:val="00F70EDB"/>
    <w:rsid w:val="00F70F1B"/>
    <w:rsid w:val="00F7132A"/>
    <w:rsid w:val="00F71525"/>
    <w:rsid w:val="00F71769"/>
    <w:rsid w:val="00F71A88"/>
    <w:rsid w:val="00F71F32"/>
    <w:rsid w:val="00F72353"/>
    <w:rsid w:val="00F7257D"/>
    <w:rsid w:val="00F7269D"/>
    <w:rsid w:val="00F72DDE"/>
    <w:rsid w:val="00F72DF4"/>
    <w:rsid w:val="00F73428"/>
    <w:rsid w:val="00F7343D"/>
    <w:rsid w:val="00F73B7C"/>
    <w:rsid w:val="00F74101"/>
    <w:rsid w:val="00F7434D"/>
    <w:rsid w:val="00F743B8"/>
    <w:rsid w:val="00F743EA"/>
    <w:rsid w:val="00F74499"/>
    <w:rsid w:val="00F745DD"/>
    <w:rsid w:val="00F74BAD"/>
    <w:rsid w:val="00F75C43"/>
    <w:rsid w:val="00F75C61"/>
    <w:rsid w:val="00F765AE"/>
    <w:rsid w:val="00F76753"/>
    <w:rsid w:val="00F76B83"/>
    <w:rsid w:val="00F76F33"/>
    <w:rsid w:val="00F77130"/>
    <w:rsid w:val="00F77473"/>
    <w:rsid w:val="00F7757C"/>
    <w:rsid w:val="00F77800"/>
    <w:rsid w:val="00F8080F"/>
    <w:rsid w:val="00F8085D"/>
    <w:rsid w:val="00F80945"/>
    <w:rsid w:val="00F80D74"/>
    <w:rsid w:val="00F80E08"/>
    <w:rsid w:val="00F80F86"/>
    <w:rsid w:val="00F81286"/>
    <w:rsid w:val="00F8189B"/>
    <w:rsid w:val="00F8196A"/>
    <w:rsid w:val="00F819B5"/>
    <w:rsid w:val="00F824F2"/>
    <w:rsid w:val="00F82647"/>
    <w:rsid w:val="00F82D8B"/>
    <w:rsid w:val="00F83970"/>
    <w:rsid w:val="00F83DC3"/>
    <w:rsid w:val="00F83EE1"/>
    <w:rsid w:val="00F83F5A"/>
    <w:rsid w:val="00F84303"/>
    <w:rsid w:val="00F84BFB"/>
    <w:rsid w:val="00F84D7A"/>
    <w:rsid w:val="00F84FEC"/>
    <w:rsid w:val="00F85148"/>
    <w:rsid w:val="00F853AC"/>
    <w:rsid w:val="00F85667"/>
    <w:rsid w:val="00F85BEE"/>
    <w:rsid w:val="00F867CA"/>
    <w:rsid w:val="00F8683A"/>
    <w:rsid w:val="00F86ABD"/>
    <w:rsid w:val="00F86DAD"/>
    <w:rsid w:val="00F87281"/>
    <w:rsid w:val="00F90802"/>
    <w:rsid w:val="00F90D58"/>
    <w:rsid w:val="00F90EAD"/>
    <w:rsid w:val="00F91021"/>
    <w:rsid w:val="00F91CD2"/>
    <w:rsid w:val="00F91F0B"/>
    <w:rsid w:val="00F91F9A"/>
    <w:rsid w:val="00F92249"/>
    <w:rsid w:val="00F92A7B"/>
    <w:rsid w:val="00F92B67"/>
    <w:rsid w:val="00F92FEC"/>
    <w:rsid w:val="00F93366"/>
    <w:rsid w:val="00F93493"/>
    <w:rsid w:val="00F9361E"/>
    <w:rsid w:val="00F93AF8"/>
    <w:rsid w:val="00F93E7E"/>
    <w:rsid w:val="00F93E9F"/>
    <w:rsid w:val="00F94486"/>
    <w:rsid w:val="00F94972"/>
    <w:rsid w:val="00F94AEE"/>
    <w:rsid w:val="00F95215"/>
    <w:rsid w:val="00F9548C"/>
    <w:rsid w:val="00F954AD"/>
    <w:rsid w:val="00F95D06"/>
    <w:rsid w:val="00F95F77"/>
    <w:rsid w:val="00F96011"/>
    <w:rsid w:val="00F96348"/>
    <w:rsid w:val="00F9686C"/>
    <w:rsid w:val="00F968FD"/>
    <w:rsid w:val="00F96EB6"/>
    <w:rsid w:val="00F96F03"/>
    <w:rsid w:val="00F97245"/>
    <w:rsid w:val="00F97EA6"/>
    <w:rsid w:val="00FA003A"/>
    <w:rsid w:val="00FA04F4"/>
    <w:rsid w:val="00FA07B3"/>
    <w:rsid w:val="00FA08DB"/>
    <w:rsid w:val="00FA09EC"/>
    <w:rsid w:val="00FA0D96"/>
    <w:rsid w:val="00FA1EB4"/>
    <w:rsid w:val="00FA2385"/>
    <w:rsid w:val="00FA2A12"/>
    <w:rsid w:val="00FA2ABC"/>
    <w:rsid w:val="00FA32BD"/>
    <w:rsid w:val="00FA4382"/>
    <w:rsid w:val="00FA4759"/>
    <w:rsid w:val="00FA49E4"/>
    <w:rsid w:val="00FA4A24"/>
    <w:rsid w:val="00FA4EF5"/>
    <w:rsid w:val="00FA515B"/>
    <w:rsid w:val="00FA51BC"/>
    <w:rsid w:val="00FA5760"/>
    <w:rsid w:val="00FA5795"/>
    <w:rsid w:val="00FA595A"/>
    <w:rsid w:val="00FA5DF0"/>
    <w:rsid w:val="00FA6192"/>
    <w:rsid w:val="00FA6525"/>
    <w:rsid w:val="00FA835E"/>
    <w:rsid w:val="00FB047A"/>
    <w:rsid w:val="00FB0743"/>
    <w:rsid w:val="00FB0D73"/>
    <w:rsid w:val="00FB1361"/>
    <w:rsid w:val="00FB2143"/>
    <w:rsid w:val="00FB2469"/>
    <w:rsid w:val="00FB249D"/>
    <w:rsid w:val="00FB2908"/>
    <w:rsid w:val="00FB2F76"/>
    <w:rsid w:val="00FB3270"/>
    <w:rsid w:val="00FB34F4"/>
    <w:rsid w:val="00FB3737"/>
    <w:rsid w:val="00FB41BF"/>
    <w:rsid w:val="00FB41E3"/>
    <w:rsid w:val="00FB4358"/>
    <w:rsid w:val="00FB4651"/>
    <w:rsid w:val="00FB468D"/>
    <w:rsid w:val="00FB46A2"/>
    <w:rsid w:val="00FB518B"/>
    <w:rsid w:val="00FB58CE"/>
    <w:rsid w:val="00FB5A8E"/>
    <w:rsid w:val="00FB5B4D"/>
    <w:rsid w:val="00FB6197"/>
    <w:rsid w:val="00FB693D"/>
    <w:rsid w:val="00FB7229"/>
    <w:rsid w:val="00FB72DA"/>
    <w:rsid w:val="00FB752F"/>
    <w:rsid w:val="00FB7740"/>
    <w:rsid w:val="00FB775E"/>
    <w:rsid w:val="00FC0010"/>
    <w:rsid w:val="00FC064D"/>
    <w:rsid w:val="00FC0DA5"/>
    <w:rsid w:val="00FC0E9A"/>
    <w:rsid w:val="00FC1867"/>
    <w:rsid w:val="00FC2006"/>
    <w:rsid w:val="00FC28D5"/>
    <w:rsid w:val="00FC2BF9"/>
    <w:rsid w:val="00FC2DEF"/>
    <w:rsid w:val="00FC35D9"/>
    <w:rsid w:val="00FC48A8"/>
    <w:rsid w:val="00FC5C6B"/>
    <w:rsid w:val="00FC64FC"/>
    <w:rsid w:val="00FC6790"/>
    <w:rsid w:val="00FC6AA6"/>
    <w:rsid w:val="00FC6F3B"/>
    <w:rsid w:val="00FC715C"/>
    <w:rsid w:val="00FC77DE"/>
    <w:rsid w:val="00FC7D01"/>
    <w:rsid w:val="00FC7DDD"/>
    <w:rsid w:val="00FD0282"/>
    <w:rsid w:val="00FD048E"/>
    <w:rsid w:val="00FD0B00"/>
    <w:rsid w:val="00FD0C17"/>
    <w:rsid w:val="00FD0DD7"/>
    <w:rsid w:val="00FD0E9C"/>
    <w:rsid w:val="00FD188F"/>
    <w:rsid w:val="00FD1F1E"/>
    <w:rsid w:val="00FD21F9"/>
    <w:rsid w:val="00FD222C"/>
    <w:rsid w:val="00FD2466"/>
    <w:rsid w:val="00FD25E7"/>
    <w:rsid w:val="00FD3136"/>
    <w:rsid w:val="00FD323F"/>
    <w:rsid w:val="00FD34C3"/>
    <w:rsid w:val="00FD3732"/>
    <w:rsid w:val="00FD3A8D"/>
    <w:rsid w:val="00FD3F86"/>
    <w:rsid w:val="00FD44E1"/>
    <w:rsid w:val="00FD485C"/>
    <w:rsid w:val="00FD4899"/>
    <w:rsid w:val="00FD4C25"/>
    <w:rsid w:val="00FD5197"/>
    <w:rsid w:val="00FD55A0"/>
    <w:rsid w:val="00FD629F"/>
    <w:rsid w:val="00FD7221"/>
    <w:rsid w:val="00FD7A99"/>
    <w:rsid w:val="00FD7B95"/>
    <w:rsid w:val="00FE02CE"/>
    <w:rsid w:val="00FE08FA"/>
    <w:rsid w:val="00FE0B6A"/>
    <w:rsid w:val="00FE100C"/>
    <w:rsid w:val="00FE1B34"/>
    <w:rsid w:val="00FE20D5"/>
    <w:rsid w:val="00FE2AD1"/>
    <w:rsid w:val="00FE2D46"/>
    <w:rsid w:val="00FE4826"/>
    <w:rsid w:val="00FE4CD0"/>
    <w:rsid w:val="00FE4D52"/>
    <w:rsid w:val="00FE5DE5"/>
    <w:rsid w:val="00FE626D"/>
    <w:rsid w:val="00FE6838"/>
    <w:rsid w:val="00FE6CB1"/>
    <w:rsid w:val="00FE7590"/>
    <w:rsid w:val="00FE7B0C"/>
    <w:rsid w:val="00FE7B8E"/>
    <w:rsid w:val="00FE7D9C"/>
    <w:rsid w:val="00FF0797"/>
    <w:rsid w:val="00FF1430"/>
    <w:rsid w:val="00FF16B5"/>
    <w:rsid w:val="00FF17A3"/>
    <w:rsid w:val="00FF1EB5"/>
    <w:rsid w:val="00FF2372"/>
    <w:rsid w:val="00FF244B"/>
    <w:rsid w:val="00FF2FCD"/>
    <w:rsid w:val="00FF2FFB"/>
    <w:rsid w:val="00FF3299"/>
    <w:rsid w:val="00FF3969"/>
    <w:rsid w:val="00FF3E27"/>
    <w:rsid w:val="00FF4630"/>
    <w:rsid w:val="00FF50C3"/>
    <w:rsid w:val="00FF5907"/>
    <w:rsid w:val="00FF5B10"/>
    <w:rsid w:val="00FF5B67"/>
    <w:rsid w:val="00FF5BD7"/>
    <w:rsid w:val="00FF5CC3"/>
    <w:rsid w:val="00FF5DBE"/>
    <w:rsid w:val="00FF6123"/>
    <w:rsid w:val="00FF6322"/>
    <w:rsid w:val="00FF6574"/>
    <w:rsid w:val="00FF68D6"/>
    <w:rsid w:val="00FF71B7"/>
    <w:rsid w:val="00FF753B"/>
    <w:rsid w:val="00FF77E3"/>
    <w:rsid w:val="00FF79C7"/>
    <w:rsid w:val="00FF7E09"/>
    <w:rsid w:val="01A9FEA5"/>
    <w:rsid w:val="01B3188F"/>
    <w:rsid w:val="02684471"/>
    <w:rsid w:val="031418A0"/>
    <w:rsid w:val="033CBE64"/>
    <w:rsid w:val="0402700A"/>
    <w:rsid w:val="048FB1E4"/>
    <w:rsid w:val="04C2B93D"/>
    <w:rsid w:val="052896A5"/>
    <w:rsid w:val="053D16D6"/>
    <w:rsid w:val="05B6FE05"/>
    <w:rsid w:val="06800CA4"/>
    <w:rsid w:val="06AD6EFF"/>
    <w:rsid w:val="06F01032"/>
    <w:rsid w:val="07D14999"/>
    <w:rsid w:val="080B8F96"/>
    <w:rsid w:val="08269E0A"/>
    <w:rsid w:val="08D3CD9E"/>
    <w:rsid w:val="08E5D838"/>
    <w:rsid w:val="09933D96"/>
    <w:rsid w:val="09EE4532"/>
    <w:rsid w:val="0A3F7A55"/>
    <w:rsid w:val="0A4D2F06"/>
    <w:rsid w:val="0A94ACC0"/>
    <w:rsid w:val="0B171416"/>
    <w:rsid w:val="0B882477"/>
    <w:rsid w:val="0C134DB5"/>
    <w:rsid w:val="0C858DE0"/>
    <w:rsid w:val="0CED4B7D"/>
    <w:rsid w:val="0D4B7FE0"/>
    <w:rsid w:val="0DE79E02"/>
    <w:rsid w:val="0DF4F906"/>
    <w:rsid w:val="0E124D3C"/>
    <w:rsid w:val="0E689F64"/>
    <w:rsid w:val="0EFB70AC"/>
    <w:rsid w:val="0F564C4B"/>
    <w:rsid w:val="0FE499A4"/>
    <w:rsid w:val="1014CC95"/>
    <w:rsid w:val="106FE943"/>
    <w:rsid w:val="1124D2BB"/>
    <w:rsid w:val="1147ABF1"/>
    <w:rsid w:val="120FFDAA"/>
    <w:rsid w:val="1255DA97"/>
    <w:rsid w:val="1287D699"/>
    <w:rsid w:val="12B8EAE1"/>
    <w:rsid w:val="12CD75E6"/>
    <w:rsid w:val="12D37F0D"/>
    <w:rsid w:val="12D70F8E"/>
    <w:rsid w:val="12DC51D3"/>
    <w:rsid w:val="1319F8BD"/>
    <w:rsid w:val="13995064"/>
    <w:rsid w:val="13E931A6"/>
    <w:rsid w:val="1411BD8C"/>
    <w:rsid w:val="1416BF5E"/>
    <w:rsid w:val="14747599"/>
    <w:rsid w:val="14D290CD"/>
    <w:rsid w:val="16A12BF0"/>
    <w:rsid w:val="170992FC"/>
    <w:rsid w:val="178475AE"/>
    <w:rsid w:val="17BD0763"/>
    <w:rsid w:val="180EFB04"/>
    <w:rsid w:val="1810B265"/>
    <w:rsid w:val="1819368D"/>
    <w:rsid w:val="186B4316"/>
    <w:rsid w:val="18A7FBCF"/>
    <w:rsid w:val="18B6D9BC"/>
    <w:rsid w:val="19343A7B"/>
    <w:rsid w:val="19696207"/>
    <w:rsid w:val="1A221CAB"/>
    <w:rsid w:val="1ACCC9DB"/>
    <w:rsid w:val="1AFAC827"/>
    <w:rsid w:val="1C47C3DD"/>
    <w:rsid w:val="1C642C34"/>
    <w:rsid w:val="1CAA9B29"/>
    <w:rsid w:val="1CC4701D"/>
    <w:rsid w:val="1CCA5651"/>
    <w:rsid w:val="1CE0354D"/>
    <w:rsid w:val="1D97BB17"/>
    <w:rsid w:val="1E199177"/>
    <w:rsid w:val="1E97BA84"/>
    <w:rsid w:val="1EC58F3E"/>
    <w:rsid w:val="1F6A9F38"/>
    <w:rsid w:val="1FED93F3"/>
    <w:rsid w:val="20252A07"/>
    <w:rsid w:val="203DDCEF"/>
    <w:rsid w:val="20AEF470"/>
    <w:rsid w:val="21686392"/>
    <w:rsid w:val="21780998"/>
    <w:rsid w:val="2193B539"/>
    <w:rsid w:val="21A392FD"/>
    <w:rsid w:val="21C79CFC"/>
    <w:rsid w:val="21F1531C"/>
    <w:rsid w:val="230D68AF"/>
    <w:rsid w:val="231CB5CD"/>
    <w:rsid w:val="236A43C7"/>
    <w:rsid w:val="23823B65"/>
    <w:rsid w:val="23F6BF8C"/>
    <w:rsid w:val="247AFB56"/>
    <w:rsid w:val="2491E961"/>
    <w:rsid w:val="24D1A80C"/>
    <w:rsid w:val="24D59CA3"/>
    <w:rsid w:val="24D70224"/>
    <w:rsid w:val="24EA0DA0"/>
    <w:rsid w:val="25782238"/>
    <w:rsid w:val="261ADFC9"/>
    <w:rsid w:val="26AAEE5B"/>
    <w:rsid w:val="26CE93F1"/>
    <w:rsid w:val="27AC49CF"/>
    <w:rsid w:val="27CADAE7"/>
    <w:rsid w:val="28661E11"/>
    <w:rsid w:val="28A75C3C"/>
    <w:rsid w:val="28EFC56F"/>
    <w:rsid w:val="28F2D2D3"/>
    <w:rsid w:val="28F4183F"/>
    <w:rsid w:val="291B0E8F"/>
    <w:rsid w:val="294B6DEE"/>
    <w:rsid w:val="29B7FB1F"/>
    <w:rsid w:val="2A04B72E"/>
    <w:rsid w:val="2A28CB0B"/>
    <w:rsid w:val="2A5788C0"/>
    <w:rsid w:val="2ADD477B"/>
    <w:rsid w:val="2B943C0D"/>
    <w:rsid w:val="2BA30773"/>
    <w:rsid w:val="2C064330"/>
    <w:rsid w:val="2C732E6A"/>
    <w:rsid w:val="2CEAEFE4"/>
    <w:rsid w:val="2CF11982"/>
    <w:rsid w:val="2D0F591D"/>
    <w:rsid w:val="2DEB1AB0"/>
    <w:rsid w:val="2E1E3EBD"/>
    <w:rsid w:val="2E752D96"/>
    <w:rsid w:val="2F238249"/>
    <w:rsid w:val="2F2A41D9"/>
    <w:rsid w:val="2FC4D8ED"/>
    <w:rsid w:val="2FFC30FD"/>
    <w:rsid w:val="3070987E"/>
    <w:rsid w:val="309D7659"/>
    <w:rsid w:val="30A9D146"/>
    <w:rsid w:val="30CA3162"/>
    <w:rsid w:val="30DC075F"/>
    <w:rsid w:val="3139A38D"/>
    <w:rsid w:val="319DF068"/>
    <w:rsid w:val="31A7945D"/>
    <w:rsid w:val="31FCB613"/>
    <w:rsid w:val="3227799D"/>
    <w:rsid w:val="32EE9105"/>
    <w:rsid w:val="335FF82C"/>
    <w:rsid w:val="3412BFCD"/>
    <w:rsid w:val="35453EC6"/>
    <w:rsid w:val="35BFB1DC"/>
    <w:rsid w:val="360369F5"/>
    <w:rsid w:val="36333B04"/>
    <w:rsid w:val="3694FECD"/>
    <w:rsid w:val="36D7D6EB"/>
    <w:rsid w:val="36F3F18C"/>
    <w:rsid w:val="381C0FDC"/>
    <w:rsid w:val="38545F29"/>
    <w:rsid w:val="38BCC837"/>
    <w:rsid w:val="39BD8D4A"/>
    <w:rsid w:val="3A693CDA"/>
    <w:rsid w:val="3B05ADFB"/>
    <w:rsid w:val="3C004696"/>
    <w:rsid w:val="3C47E1DA"/>
    <w:rsid w:val="3C5030CF"/>
    <w:rsid w:val="3CC5997F"/>
    <w:rsid w:val="3D02BFA0"/>
    <w:rsid w:val="3D38EEB6"/>
    <w:rsid w:val="3D7E7D1D"/>
    <w:rsid w:val="3EAD7F72"/>
    <w:rsid w:val="3F02EB89"/>
    <w:rsid w:val="3F4AA6BE"/>
    <w:rsid w:val="3FBB701D"/>
    <w:rsid w:val="41F5B75B"/>
    <w:rsid w:val="41FC3C7D"/>
    <w:rsid w:val="42E4F5E8"/>
    <w:rsid w:val="43D0F43F"/>
    <w:rsid w:val="4432B556"/>
    <w:rsid w:val="44E8C098"/>
    <w:rsid w:val="45E27A45"/>
    <w:rsid w:val="460A350F"/>
    <w:rsid w:val="466FB81E"/>
    <w:rsid w:val="46C66EC4"/>
    <w:rsid w:val="46D29C55"/>
    <w:rsid w:val="46E1E5F9"/>
    <w:rsid w:val="4725B1C7"/>
    <w:rsid w:val="474D3C15"/>
    <w:rsid w:val="477D93FF"/>
    <w:rsid w:val="47A77C7A"/>
    <w:rsid w:val="483AEF04"/>
    <w:rsid w:val="48DE0B90"/>
    <w:rsid w:val="492D31A7"/>
    <w:rsid w:val="496CE887"/>
    <w:rsid w:val="49FD9BDA"/>
    <w:rsid w:val="4A245677"/>
    <w:rsid w:val="4A2A9F8B"/>
    <w:rsid w:val="4AEB3EFA"/>
    <w:rsid w:val="4B12EF66"/>
    <w:rsid w:val="4B12F1DA"/>
    <w:rsid w:val="4B1F225F"/>
    <w:rsid w:val="4B37FA10"/>
    <w:rsid w:val="4B6840D1"/>
    <w:rsid w:val="4B949192"/>
    <w:rsid w:val="4BF74116"/>
    <w:rsid w:val="4C5EAB4B"/>
    <w:rsid w:val="4C7A7B32"/>
    <w:rsid w:val="4C894A29"/>
    <w:rsid w:val="4C8FA31D"/>
    <w:rsid w:val="4CC3792F"/>
    <w:rsid w:val="4CE0E118"/>
    <w:rsid w:val="4CE80686"/>
    <w:rsid w:val="4D840EB4"/>
    <w:rsid w:val="4DBD24AB"/>
    <w:rsid w:val="4E282788"/>
    <w:rsid w:val="4E50CAC0"/>
    <w:rsid w:val="4ED2AB02"/>
    <w:rsid w:val="4ED82DE0"/>
    <w:rsid w:val="4F50C04A"/>
    <w:rsid w:val="4FC5AA13"/>
    <w:rsid w:val="4FF472BF"/>
    <w:rsid w:val="506619D5"/>
    <w:rsid w:val="51CA5FB2"/>
    <w:rsid w:val="51CE3409"/>
    <w:rsid w:val="525FCC77"/>
    <w:rsid w:val="5287C994"/>
    <w:rsid w:val="53179EDB"/>
    <w:rsid w:val="538A2C53"/>
    <w:rsid w:val="53929847"/>
    <w:rsid w:val="539F1789"/>
    <w:rsid w:val="546522AB"/>
    <w:rsid w:val="54912DB0"/>
    <w:rsid w:val="54D66CB1"/>
    <w:rsid w:val="5557BEA7"/>
    <w:rsid w:val="55E4260E"/>
    <w:rsid w:val="562A0842"/>
    <w:rsid w:val="575863F6"/>
    <w:rsid w:val="577404A2"/>
    <w:rsid w:val="579F97F6"/>
    <w:rsid w:val="592A931E"/>
    <w:rsid w:val="5A0738D9"/>
    <w:rsid w:val="5A4659AF"/>
    <w:rsid w:val="5A97791A"/>
    <w:rsid w:val="5ABAAEF7"/>
    <w:rsid w:val="5B334BC6"/>
    <w:rsid w:val="5C44DD36"/>
    <w:rsid w:val="5C728B25"/>
    <w:rsid w:val="5CBD6BC2"/>
    <w:rsid w:val="5D39ED23"/>
    <w:rsid w:val="5D4CC428"/>
    <w:rsid w:val="5D978A6C"/>
    <w:rsid w:val="5E90E43A"/>
    <w:rsid w:val="5EA9C981"/>
    <w:rsid w:val="5F22BC79"/>
    <w:rsid w:val="5F3C083C"/>
    <w:rsid w:val="5F8BBFAD"/>
    <w:rsid w:val="5FAF629E"/>
    <w:rsid w:val="5FD4D2D4"/>
    <w:rsid w:val="6002D712"/>
    <w:rsid w:val="6043CFD6"/>
    <w:rsid w:val="6104D272"/>
    <w:rsid w:val="610F872E"/>
    <w:rsid w:val="612A752F"/>
    <w:rsid w:val="61477BB5"/>
    <w:rsid w:val="61DF78AD"/>
    <w:rsid w:val="61E0FE3C"/>
    <w:rsid w:val="62066AE2"/>
    <w:rsid w:val="621DE2BD"/>
    <w:rsid w:val="62A7D957"/>
    <w:rsid w:val="63E210BE"/>
    <w:rsid w:val="64AC9E75"/>
    <w:rsid w:val="64CA34BE"/>
    <w:rsid w:val="65116008"/>
    <w:rsid w:val="6532959E"/>
    <w:rsid w:val="654BA01C"/>
    <w:rsid w:val="65DF5972"/>
    <w:rsid w:val="667E1397"/>
    <w:rsid w:val="66DED8A1"/>
    <w:rsid w:val="67718A73"/>
    <w:rsid w:val="67B8FD50"/>
    <w:rsid w:val="67E155AB"/>
    <w:rsid w:val="67EDD02E"/>
    <w:rsid w:val="6825A5F1"/>
    <w:rsid w:val="682A93DC"/>
    <w:rsid w:val="6865AE81"/>
    <w:rsid w:val="68BD9757"/>
    <w:rsid w:val="693BC695"/>
    <w:rsid w:val="696A83E5"/>
    <w:rsid w:val="69D83489"/>
    <w:rsid w:val="69FA4C99"/>
    <w:rsid w:val="6AB05551"/>
    <w:rsid w:val="6AB627B5"/>
    <w:rsid w:val="6B57F48B"/>
    <w:rsid w:val="6B7F591D"/>
    <w:rsid w:val="6B8F5A3A"/>
    <w:rsid w:val="6C220CB0"/>
    <w:rsid w:val="6C46A71C"/>
    <w:rsid w:val="6C47824E"/>
    <w:rsid w:val="6C7C9F2C"/>
    <w:rsid w:val="6C9D5BBA"/>
    <w:rsid w:val="6E13E6A3"/>
    <w:rsid w:val="6E244D92"/>
    <w:rsid w:val="6E2A4EFF"/>
    <w:rsid w:val="6E9E4650"/>
    <w:rsid w:val="6EC4D0D7"/>
    <w:rsid w:val="6F0D2D74"/>
    <w:rsid w:val="6F700FA2"/>
    <w:rsid w:val="6F76C6EF"/>
    <w:rsid w:val="6FC07B40"/>
    <w:rsid w:val="707062F3"/>
    <w:rsid w:val="712ED6CA"/>
    <w:rsid w:val="7161C654"/>
    <w:rsid w:val="7162CCBC"/>
    <w:rsid w:val="71631E12"/>
    <w:rsid w:val="71824614"/>
    <w:rsid w:val="718B22F6"/>
    <w:rsid w:val="71B39172"/>
    <w:rsid w:val="7217186E"/>
    <w:rsid w:val="7222EC5F"/>
    <w:rsid w:val="727352B3"/>
    <w:rsid w:val="72F576FB"/>
    <w:rsid w:val="73003E20"/>
    <w:rsid w:val="738C68BC"/>
    <w:rsid w:val="73B16C64"/>
    <w:rsid w:val="746A0BC3"/>
    <w:rsid w:val="74771D08"/>
    <w:rsid w:val="74E2C63E"/>
    <w:rsid w:val="756B37AB"/>
    <w:rsid w:val="75B2DCF6"/>
    <w:rsid w:val="75BDC784"/>
    <w:rsid w:val="761BAA7B"/>
    <w:rsid w:val="765C563C"/>
    <w:rsid w:val="768F1CEF"/>
    <w:rsid w:val="76C94C72"/>
    <w:rsid w:val="7715C6E0"/>
    <w:rsid w:val="77C4C001"/>
    <w:rsid w:val="78019CBB"/>
    <w:rsid w:val="78664118"/>
    <w:rsid w:val="789AE986"/>
    <w:rsid w:val="79113018"/>
    <w:rsid w:val="791DF72E"/>
    <w:rsid w:val="7942EDE3"/>
    <w:rsid w:val="7A356B68"/>
    <w:rsid w:val="7A58CF35"/>
    <w:rsid w:val="7B3D79D5"/>
    <w:rsid w:val="7BE2412D"/>
    <w:rsid w:val="7C4A39BE"/>
    <w:rsid w:val="7D394582"/>
    <w:rsid w:val="7D5F2168"/>
    <w:rsid w:val="7D6ECF14"/>
    <w:rsid w:val="7DAFD4A2"/>
    <w:rsid w:val="7DB8BC37"/>
    <w:rsid w:val="7FBE140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68337F"/>
  <w15:docId w15:val="{A99FCCC5-EC86-47DE-9217-C1A7FB1CA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9EC"/>
    <w:rPr>
      <w:lang w:eastAsia="en-US"/>
    </w:rPr>
  </w:style>
  <w:style w:type="paragraph" w:styleId="Heading1">
    <w:name w:val="heading 1"/>
    <w:basedOn w:val="Normal"/>
    <w:next w:val="BodyText"/>
    <w:link w:val="Heading1Char"/>
    <w:qFormat/>
    <w:rsid w:val="00FA09EC"/>
    <w:pPr>
      <w:keepNext/>
      <w:tabs>
        <w:tab w:val="left" w:pos="284"/>
      </w:tabs>
      <w:spacing w:after="720"/>
      <w:outlineLvl w:val="0"/>
    </w:pPr>
    <w:rPr>
      <w:rFonts w:ascii="Arial" w:hAnsi="Arial"/>
      <w:caps/>
      <w:color w:val="1D3278"/>
      <w:kern w:val="28"/>
      <w:sz w:val="40"/>
      <w:szCs w:val="36"/>
    </w:rPr>
  </w:style>
  <w:style w:type="paragraph" w:styleId="Heading2">
    <w:name w:val="heading 2"/>
    <w:basedOn w:val="Normal"/>
    <w:next w:val="BodyText"/>
    <w:link w:val="Heading2Char"/>
    <w:qFormat/>
    <w:rsid w:val="00B03975"/>
    <w:pPr>
      <w:keepNext/>
      <w:widowControl w:val="0"/>
      <w:numPr>
        <w:numId w:val="1"/>
      </w:numPr>
      <w:pBdr>
        <w:bottom w:val="single" w:sz="4" w:space="4" w:color="008EBA"/>
      </w:pBdr>
      <w:spacing w:before="240" w:after="100"/>
      <w:ind w:left="709" w:hanging="709"/>
      <w:outlineLvl w:val="1"/>
    </w:pPr>
    <w:rPr>
      <w:rFonts w:ascii="Arial Bold" w:hAnsi="Arial Bold"/>
      <w:b/>
      <w:color w:val="008EBA"/>
      <w:kern w:val="28"/>
      <w:sz w:val="28"/>
      <w:szCs w:val="36"/>
    </w:rPr>
  </w:style>
  <w:style w:type="paragraph" w:styleId="Heading3">
    <w:name w:val="heading 3"/>
    <w:basedOn w:val="Heading2"/>
    <w:next w:val="BodyText"/>
    <w:link w:val="Heading3Char"/>
    <w:qFormat/>
    <w:rsid w:val="00383B36"/>
    <w:pPr>
      <w:numPr>
        <w:numId w:val="0"/>
      </w:numPr>
      <w:pBdr>
        <w:bottom w:val="none" w:sz="0" w:space="0" w:color="auto"/>
      </w:pBdr>
      <w:spacing w:line="240" w:lineRule="atLeast"/>
      <w:outlineLvl w:val="2"/>
    </w:pPr>
    <w:rPr>
      <w:rFonts w:ascii="Arial" w:eastAsiaTheme="majorEastAsia" w:hAnsi="Arial" w:cstheme="majorBidi"/>
      <w:color w:val="auto"/>
      <w:sz w:val="27"/>
    </w:rPr>
  </w:style>
  <w:style w:type="paragraph" w:styleId="Heading4">
    <w:name w:val="heading 4"/>
    <w:basedOn w:val="Heading3"/>
    <w:next w:val="Normal"/>
    <w:link w:val="Heading4Char"/>
    <w:qFormat/>
    <w:rsid w:val="00383B36"/>
    <w:pPr>
      <w:outlineLvl w:val="3"/>
    </w:pPr>
    <w:rPr>
      <w:rFonts w:eastAsia="Times New Roman" w:cs="Times New Roman"/>
      <w:sz w:val="25"/>
    </w:rPr>
  </w:style>
  <w:style w:type="paragraph" w:styleId="Heading5">
    <w:name w:val="heading 5"/>
    <w:basedOn w:val="Heading4"/>
    <w:next w:val="BodyText"/>
    <w:link w:val="Heading5Char"/>
    <w:qFormat/>
    <w:rsid w:val="00383B36"/>
    <w:pPr>
      <w:spacing w:after="60"/>
      <w:outlineLvl w:val="4"/>
    </w:pPr>
    <w:rPr>
      <w:sz w:val="24"/>
    </w:rPr>
  </w:style>
  <w:style w:type="paragraph" w:styleId="Heading6">
    <w:name w:val="heading 6"/>
    <w:basedOn w:val="Heading1"/>
    <w:next w:val="Normal"/>
    <w:link w:val="Heading6Char"/>
    <w:qFormat/>
    <w:rsid w:val="00FA09EC"/>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FA09EC"/>
    <w:pPr>
      <w:spacing w:before="120"/>
      <w:ind w:left="425"/>
      <w:jc w:val="both"/>
      <w:outlineLvl w:val="6"/>
    </w:pPr>
    <w:rPr>
      <w:i/>
      <w:sz w:val="23"/>
    </w:rPr>
  </w:style>
  <w:style w:type="paragraph" w:styleId="Heading8">
    <w:name w:val="heading 8"/>
    <w:basedOn w:val="Heading7"/>
    <w:next w:val="Normal"/>
    <w:link w:val="Heading8Char"/>
    <w:qFormat/>
    <w:rsid w:val="00FA09EC"/>
    <w:pPr>
      <w:outlineLvl w:val="7"/>
    </w:pPr>
    <w:rPr>
      <w:i w:val="0"/>
    </w:rPr>
  </w:style>
  <w:style w:type="paragraph" w:styleId="Heading9">
    <w:name w:val="heading 9"/>
    <w:basedOn w:val="Heading8"/>
    <w:next w:val="Normal"/>
    <w:link w:val="Heading9Char"/>
    <w:qFormat/>
    <w:rsid w:val="00FA09EC"/>
    <w:pPr>
      <w:ind w:left="85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rsid w:val="009E4B03"/>
    <w:pPr>
      <w:spacing w:before="160" w:after="100" w:line="240" w:lineRule="atLeast"/>
    </w:pPr>
    <w:rPr>
      <w:rFonts w:ascii="Arial" w:eastAsiaTheme="minorHAnsi" w:hAnsi="Arial" w:cs="Arial"/>
      <w:sz w:val="23"/>
      <w:szCs w:val="23"/>
      <w:lang w:eastAsia="en-US"/>
    </w:rPr>
  </w:style>
  <w:style w:type="character" w:customStyle="1" w:styleId="BodyTextChar">
    <w:name w:val="Body Text Char"/>
    <w:basedOn w:val="DefaultParagraphFont"/>
    <w:link w:val="BodyText"/>
    <w:rsid w:val="009E4B03"/>
    <w:rPr>
      <w:rFonts w:ascii="Arial" w:eastAsiaTheme="minorHAnsi" w:hAnsi="Arial" w:cs="Arial"/>
      <w:sz w:val="23"/>
      <w:szCs w:val="23"/>
      <w:lang w:eastAsia="en-US"/>
    </w:rPr>
  </w:style>
  <w:style w:type="character" w:customStyle="1" w:styleId="Heading1Char">
    <w:name w:val="Heading 1 Char"/>
    <w:link w:val="Heading1"/>
    <w:rsid w:val="00FA09EC"/>
    <w:rPr>
      <w:rFonts w:ascii="Arial" w:hAnsi="Arial"/>
      <w:caps/>
      <w:color w:val="1D3278"/>
      <w:kern w:val="28"/>
      <w:sz w:val="40"/>
      <w:szCs w:val="36"/>
      <w:lang w:eastAsia="en-US"/>
    </w:rPr>
  </w:style>
  <w:style w:type="character" w:customStyle="1" w:styleId="Heading2Char">
    <w:name w:val="Heading 2 Char"/>
    <w:link w:val="Heading2"/>
    <w:rsid w:val="00B03975"/>
    <w:rPr>
      <w:rFonts w:ascii="Arial Bold" w:hAnsi="Arial Bold"/>
      <w:b/>
      <w:color w:val="008EBA"/>
      <w:kern w:val="28"/>
      <w:sz w:val="28"/>
      <w:szCs w:val="36"/>
      <w:lang w:eastAsia="en-US"/>
    </w:rPr>
  </w:style>
  <w:style w:type="character" w:customStyle="1" w:styleId="Heading3Char">
    <w:name w:val="Heading 3 Char"/>
    <w:link w:val="Heading3"/>
    <w:rsid w:val="00383B36"/>
    <w:rPr>
      <w:rFonts w:ascii="Arial" w:eastAsiaTheme="majorEastAsia" w:hAnsi="Arial" w:cstheme="majorBidi"/>
      <w:b/>
      <w:kern w:val="28"/>
      <w:sz w:val="27"/>
      <w:szCs w:val="36"/>
      <w:lang w:eastAsia="en-US"/>
    </w:rPr>
  </w:style>
  <w:style w:type="character" w:customStyle="1" w:styleId="Heading4Char">
    <w:name w:val="Heading 4 Char"/>
    <w:link w:val="Heading4"/>
    <w:rsid w:val="00383B36"/>
    <w:rPr>
      <w:rFonts w:ascii="Arial" w:hAnsi="Arial"/>
      <w:b/>
      <w:kern w:val="28"/>
      <w:sz w:val="25"/>
      <w:szCs w:val="36"/>
      <w:lang w:eastAsia="en-US"/>
    </w:rPr>
  </w:style>
  <w:style w:type="character" w:customStyle="1" w:styleId="Heading5Char">
    <w:name w:val="Heading 5 Char"/>
    <w:link w:val="Heading5"/>
    <w:rsid w:val="00383B36"/>
    <w:rPr>
      <w:rFonts w:ascii="Arial" w:hAnsi="Arial"/>
      <w:b/>
      <w:kern w:val="28"/>
      <w:sz w:val="24"/>
      <w:szCs w:val="36"/>
      <w:lang w:eastAsia="en-US"/>
    </w:rPr>
  </w:style>
  <w:style w:type="character" w:customStyle="1" w:styleId="Heading6Char">
    <w:name w:val="Heading 6 Char"/>
    <w:link w:val="Heading6"/>
    <w:rsid w:val="00FA09EC"/>
    <w:rPr>
      <w:b/>
      <w:i/>
      <w:color w:val="1D3278"/>
      <w:sz w:val="24"/>
      <w:szCs w:val="36"/>
      <w:lang w:eastAsia="en-US"/>
    </w:rPr>
  </w:style>
  <w:style w:type="character" w:customStyle="1" w:styleId="Heading7Char">
    <w:name w:val="Heading 7 Char"/>
    <w:link w:val="Heading7"/>
    <w:rsid w:val="00FA09EC"/>
    <w:rPr>
      <w:rFonts w:ascii="Arial Bold" w:hAnsi="Arial Bold"/>
      <w:kern w:val="28"/>
      <w:sz w:val="23"/>
      <w:szCs w:val="36"/>
      <w:lang w:eastAsia="en-US"/>
    </w:rPr>
  </w:style>
  <w:style w:type="character" w:customStyle="1" w:styleId="Heading8Char">
    <w:name w:val="Heading 8 Char"/>
    <w:link w:val="Heading8"/>
    <w:rsid w:val="00FA09EC"/>
    <w:rPr>
      <w:rFonts w:ascii="Arial Bold" w:hAnsi="Arial Bold"/>
      <w:i/>
      <w:kern w:val="28"/>
      <w:sz w:val="23"/>
      <w:szCs w:val="36"/>
      <w:lang w:eastAsia="en-US"/>
    </w:rPr>
  </w:style>
  <w:style w:type="character" w:customStyle="1" w:styleId="Heading9Char">
    <w:name w:val="Heading 9 Char"/>
    <w:link w:val="Heading9"/>
    <w:rsid w:val="00FA09EC"/>
    <w:rPr>
      <w:rFonts w:ascii="Arial Bold" w:hAnsi="Arial Bold"/>
      <w:kern w:val="28"/>
      <w:sz w:val="23"/>
      <w:szCs w:val="36"/>
      <w:lang w:eastAsia="en-US"/>
    </w:rPr>
  </w:style>
  <w:style w:type="paragraph" w:styleId="BalloonText">
    <w:name w:val="Balloon Text"/>
    <w:basedOn w:val="Normal"/>
    <w:link w:val="BalloonTextChar"/>
    <w:rsid w:val="00FA09EC"/>
    <w:rPr>
      <w:rFonts w:ascii="Tahoma" w:hAnsi="Tahoma" w:cs="Tahoma"/>
      <w:sz w:val="16"/>
      <w:szCs w:val="16"/>
    </w:rPr>
  </w:style>
  <w:style w:type="character" w:customStyle="1" w:styleId="BalloonTextChar">
    <w:name w:val="Balloon Text Char"/>
    <w:link w:val="BalloonText"/>
    <w:rsid w:val="00FA09EC"/>
    <w:rPr>
      <w:rFonts w:ascii="Tahoma" w:hAnsi="Tahoma" w:cs="Tahoma"/>
      <w:sz w:val="16"/>
      <w:szCs w:val="16"/>
      <w:lang w:eastAsia="en-US"/>
    </w:rPr>
  </w:style>
  <w:style w:type="paragraph" w:customStyle="1" w:styleId="BodyText-Box">
    <w:name w:val="Body Text - Box"/>
    <w:basedOn w:val="BodyText"/>
    <w:autoRedefine/>
    <w:rsid w:val="00FA09EC"/>
    <w:pPr>
      <w:tabs>
        <w:tab w:val="left" w:pos="567"/>
      </w:tabs>
      <w:spacing w:before="120" w:after="120" w:line="240" w:lineRule="auto"/>
      <w:ind w:right="-143"/>
    </w:pPr>
    <w:rPr>
      <w:rFonts w:ascii="Times New Roman" w:hAnsi="Times New Roman"/>
      <w:color w:val="000000"/>
      <w:sz w:val="21"/>
      <w:szCs w:val="21"/>
      <w:lang w:eastAsia="en-AU"/>
      <w14:textFill>
        <w14:solidFill>
          <w14:srgbClr w14:val="000000">
            <w14:lumMod w14:val="65000"/>
          </w14:srgbClr>
        </w14:solidFill>
      </w14:textFill>
    </w:rPr>
  </w:style>
  <w:style w:type="paragraph" w:customStyle="1" w:styleId="BodyTextBox">
    <w:name w:val="Body Text Box"/>
    <w:basedOn w:val="Normal"/>
    <w:link w:val="BodyTextBoxChar"/>
    <w:autoRedefine/>
    <w:rsid w:val="00FA09EC"/>
    <w:pPr>
      <w:spacing w:before="80" w:after="80"/>
    </w:pPr>
    <w:rPr>
      <w:rFonts w:ascii="Arial" w:hAnsi="Arial" w:cs="Arial"/>
      <w:color w:val="0579B9"/>
      <w:sz w:val="23"/>
      <w:szCs w:val="19"/>
    </w:rPr>
  </w:style>
  <w:style w:type="character" w:customStyle="1" w:styleId="BodyTextBoxChar">
    <w:name w:val="Body Text Box Char"/>
    <w:link w:val="BodyTextBox"/>
    <w:rsid w:val="00FA09EC"/>
    <w:rPr>
      <w:rFonts w:ascii="Arial" w:hAnsi="Arial" w:cs="Arial"/>
      <w:color w:val="0579B9"/>
      <w:sz w:val="23"/>
      <w:szCs w:val="19"/>
      <w:lang w:eastAsia="en-US"/>
    </w:rPr>
  </w:style>
  <w:style w:type="paragraph" w:customStyle="1" w:styleId="ObjectHeading">
    <w:name w:val="Object Heading"/>
    <w:basedOn w:val="Heading3"/>
    <w:next w:val="Normal"/>
    <w:rsid w:val="00FA09EC"/>
    <w:pPr>
      <w:tabs>
        <w:tab w:val="left" w:pos="1418"/>
      </w:tabs>
      <w:ind w:left="1418" w:hanging="1418"/>
    </w:pPr>
    <w:rPr>
      <w:kern w:val="0"/>
    </w:rPr>
  </w:style>
  <w:style w:type="paragraph" w:customStyle="1" w:styleId="BoxHeading">
    <w:name w:val="Box Heading"/>
    <w:basedOn w:val="ObjectHeading"/>
    <w:autoRedefine/>
    <w:rsid w:val="00FA09EC"/>
    <w:pPr>
      <w:tabs>
        <w:tab w:val="clear" w:pos="1418"/>
      </w:tabs>
      <w:spacing w:before="80" w:after="60" w:line="276" w:lineRule="auto"/>
      <w:ind w:left="0" w:firstLine="0"/>
    </w:pPr>
    <w:rPr>
      <w:rFonts w:cs="Arial"/>
      <w:sz w:val="23"/>
      <w:szCs w:val="20"/>
      <w:lang w:val="en-US"/>
    </w:rPr>
  </w:style>
  <w:style w:type="paragraph" w:customStyle="1" w:styleId="Bullet1">
    <w:name w:val="Bullet 1"/>
    <w:basedOn w:val="BodyText"/>
    <w:link w:val="Bullet1Char"/>
    <w:autoRedefine/>
    <w:uiPriority w:val="99"/>
    <w:qFormat/>
    <w:rsid w:val="00D52657"/>
    <w:pPr>
      <w:numPr>
        <w:numId w:val="13"/>
      </w:numPr>
      <w:spacing w:before="120" w:after="80"/>
    </w:pPr>
    <w:rPr>
      <w:rFonts w:eastAsia="Times New Roman"/>
    </w:rPr>
  </w:style>
  <w:style w:type="character" w:customStyle="1" w:styleId="Bullet1Char">
    <w:name w:val="Bullet 1 Char"/>
    <w:link w:val="Bullet1"/>
    <w:uiPriority w:val="99"/>
    <w:rsid w:val="00D52657"/>
    <w:rPr>
      <w:rFonts w:ascii="Arial" w:hAnsi="Arial" w:cs="Arial"/>
      <w:sz w:val="23"/>
      <w:szCs w:val="23"/>
      <w:lang w:eastAsia="en-US"/>
    </w:rPr>
  </w:style>
  <w:style w:type="paragraph" w:customStyle="1" w:styleId="Bullet1inabox">
    <w:name w:val="Bullet 1 in a box"/>
    <w:basedOn w:val="Bullet1"/>
    <w:autoRedefine/>
    <w:rsid w:val="00FA09EC"/>
    <w:pPr>
      <w:spacing w:before="100" w:after="60" w:line="240" w:lineRule="exact"/>
    </w:pPr>
    <w:rPr>
      <w:rFonts w:cs="Times New Roman"/>
      <w:color w:val="0579B9"/>
      <w14:textFill>
        <w14:solidFill>
          <w14:srgbClr w14:val="0579B9">
            <w14:lumMod w14:val="65000"/>
          </w14:srgbClr>
        </w14:solidFill>
      </w14:textFill>
    </w:rPr>
  </w:style>
  <w:style w:type="paragraph" w:customStyle="1" w:styleId="Bullet1Paragraph">
    <w:name w:val="Bullet 1 Paragraph"/>
    <w:basedOn w:val="Normal"/>
    <w:rsid w:val="00FA09EC"/>
    <w:pPr>
      <w:ind w:left="425"/>
    </w:pPr>
  </w:style>
  <w:style w:type="paragraph" w:customStyle="1" w:styleId="Bullet2">
    <w:name w:val="Bullet 2"/>
    <w:basedOn w:val="Bullet1"/>
    <w:rsid w:val="00383B36"/>
    <w:pPr>
      <w:numPr>
        <w:numId w:val="2"/>
      </w:numPr>
      <w:tabs>
        <w:tab w:val="left" w:pos="851"/>
      </w:tabs>
      <w:spacing w:before="80" w:after="40"/>
    </w:pPr>
  </w:style>
  <w:style w:type="paragraph" w:customStyle="1" w:styleId="Bullet2innumberedlist">
    <w:name w:val="Bullet 2 in numbered list"/>
    <w:basedOn w:val="Bullet2"/>
    <w:rsid w:val="00FA09EC"/>
    <w:pPr>
      <w:numPr>
        <w:numId w:val="0"/>
      </w:numPr>
      <w:tabs>
        <w:tab w:val="num" w:pos="851"/>
      </w:tabs>
      <w:spacing w:after="0"/>
      <w:ind w:left="851" w:hanging="426"/>
    </w:pPr>
  </w:style>
  <w:style w:type="paragraph" w:customStyle="1" w:styleId="Bullet2Paragraph">
    <w:name w:val="Bullet 2 Paragraph"/>
    <w:basedOn w:val="Bullet1Paragraph"/>
    <w:rsid w:val="00FA09EC"/>
    <w:pPr>
      <w:ind w:left="851"/>
    </w:pPr>
  </w:style>
  <w:style w:type="paragraph" w:customStyle="1" w:styleId="Bullet3">
    <w:name w:val="Bullet 3"/>
    <w:basedOn w:val="Bullet2"/>
    <w:rsid w:val="00FA09EC"/>
    <w:pPr>
      <w:numPr>
        <w:numId w:val="3"/>
      </w:numPr>
    </w:pPr>
  </w:style>
  <w:style w:type="paragraph" w:customStyle="1" w:styleId="Bullet3Paragraph">
    <w:name w:val="Bullet 3 Paragraph"/>
    <w:basedOn w:val="Bullet2Paragraph"/>
    <w:rsid w:val="00FA09EC"/>
    <w:pPr>
      <w:ind w:left="1276"/>
    </w:pPr>
  </w:style>
  <w:style w:type="paragraph" w:customStyle="1" w:styleId="Bullet4">
    <w:name w:val="Bullet 4"/>
    <w:basedOn w:val="Bullet3"/>
    <w:rsid w:val="00FA09EC"/>
    <w:pPr>
      <w:numPr>
        <w:numId w:val="4"/>
      </w:numPr>
    </w:pPr>
  </w:style>
  <w:style w:type="paragraph" w:customStyle="1" w:styleId="Bullet4Paragraph">
    <w:name w:val="Bullet 4 Paragraph"/>
    <w:basedOn w:val="Bullet3Paragraph"/>
    <w:rsid w:val="00FA09EC"/>
    <w:pPr>
      <w:ind w:left="1701"/>
    </w:pPr>
  </w:style>
  <w:style w:type="paragraph" w:customStyle="1" w:styleId="ChapterHeadingStyle">
    <w:name w:val="Chapter Heading Style"/>
    <w:basedOn w:val="Normal"/>
    <w:rsid w:val="00FA09EC"/>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rPr>
  </w:style>
  <w:style w:type="paragraph" w:customStyle="1" w:styleId="Chart5X">
    <w:name w:val="Chart 5.X"/>
    <w:basedOn w:val="Normal"/>
    <w:next w:val="Normal"/>
    <w:rsid w:val="00FA09EC"/>
    <w:pPr>
      <w:keepLines/>
      <w:widowControl w:val="0"/>
      <w:numPr>
        <w:numId w:val="5"/>
      </w:numPr>
      <w:tabs>
        <w:tab w:val="left" w:pos="1304"/>
      </w:tabs>
      <w:spacing w:before="360" w:after="120"/>
    </w:pPr>
    <w:rPr>
      <w:rFonts w:ascii="Arial" w:hAnsi="Arial"/>
      <w:bCs/>
      <w:i/>
      <w:color w:val="4F4F4F"/>
      <w:kern w:val="28"/>
      <w:sz w:val="22"/>
      <w:szCs w:val="22"/>
    </w:rPr>
  </w:style>
  <w:style w:type="paragraph" w:customStyle="1" w:styleId="ChartHeading">
    <w:name w:val="Chart Heading"/>
    <w:basedOn w:val="Normal"/>
    <w:autoRedefine/>
    <w:rsid w:val="00FA09EC"/>
    <w:pPr>
      <w:keepNext/>
      <w:widowControl w:val="0"/>
      <w:spacing w:before="240" w:after="120"/>
    </w:pPr>
    <w:rPr>
      <w:rFonts w:ascii="Arial" w:hAnsi="Arial"/>
      <w:b/>
      <w:sz w:val="24"/>
    </w:rPr>
  </w:style>
  <w:style w:type="character" w:styleId="CommentReference">
    <w:name w:val="annotation reference"/>
    <w:uiPriority w:val="99"/>
    <w:unhideWhenUsed/>
    <w:rsid w:val="00FA09EC"/>
    <w:rPr>
      <w:sz w:val="16"/>
      <w:szCs w:val="16"/>
    </w:rPr>
  </w:style>
  <w:style w:type="paragraph" w:styleId="CommentText">
    <w:name w:val="annotation text"/>
    <w:basedOn w:val="Normal"/>
    <w:link w:val="CommentTextChar"/>
    <w:uiPriority w:val="99"/>
    <w:unhideWhenUsed/>
    <w:rsid w:val="00FA09EC"/>
  </w:style>
  <w:style w:type="character" w:customStyle="1" w:styleId="CommentTextChar">
    <w:name w:val="Comment Text Char"/>
    <w:link w:val="CommentText"/>
    <w:uiPriority w:val="99"/>
    <w:rsid w:val="00FA09EC"/>
    <w:rPr>
      <w:lang w:eastAsia="en-US"/>
    </w:rPr>
  </w:style>
  <w:style w:type="paragraph" w:styleId="CommentSubject">
    <w:name w:val="annotation subject"/>
    <w:basedOn w:val="CommentText"/>
    <w:next w:val="CommentText"/>
    <w:link w:val="CommentSubjectChar"/>
    <w:unhideWhenUsed/>
    <w:rsid w:val="00FA09EC"/>
    <w:rPr>
      <w:b/>
      <w:bCs/>
    </w:rPr>
  </w:style>
  <w:style w:type="character" w:customStyle="1" w:styleId="CommentSubjectChar">
    <w:name w:val="Comment Subject Char"/>
    <w:link w:val="CommentSubject"/>
    <w:rsid w:val="00FA09EC"/>
    <w:rPr>
      <w:b/>
      <w:bCs/>
      <w:lang w:eastAsia="en-US"/>
    </w:rPr>
  </w:style>
  <w:style w:type="character" w:styleId="EndnoteReference">
    <w:name w:val="endnote reference"/>
    <w:rsid w:val="00FA09EC"/>
    <w:rPr>
      <w:i/>
      <w:sz w:val="16"/>
      <w:vertAlign w:val="superscript"/>
    </w:rPr>
  </w:style>
  <w:style w:type="paragraph" w:styleId="Footer">
    <w:name w:val="footer"/>
    <w:basedOn w:val="Normal"/>
    <w:link w:val="FooterChar"/>
    <w:uiPriority w:val="99"/>
    <w:rsid w:val="00FA09EC"/>
    <w:pPr>
      <w:pBdr>
        <w:top w:val="single" w:sz="4" w:space="1" w:color="auto"/>
      </w:pBdr>
      <w:tabs>
        <w:tab w:val="right" w:pos="7655"/>
      </w:tabs>
    </w:pPr>
    <w:rPr>
      <w:rFonts w:ascii="Arial" w:hAnsi="Arial"/>
      <w:sz w:val="18"/>
    </w:rPr>
  </w:style>
  <w:style w:type="character" w:customStyle="1" w:styleId="FooterChar">
    <w:name w:val="Footer Char"/>
    <w:link w:val="Footer"/>
    <w:uiPriority w:val="99"/>
    <w:rsid w:val="00FA09EC"/>
    <w:rPr>
      <w:rFonts w:ascii="Arial" w:hAnsi="Arial"/>
      <w:sz w:val="18"/>
      <w:lang w:eastAsia="en-US"/>
    </w:rPr>
  </w:style>
  <w:style w:type="character" w:styleId="FootnoteReference">
    <w:name w:val="footnote reference"/>
    <w:rsid w:val="00FA09EC"/>
    <w:rPr>
      <w:vertAlign w:val="superscript"/>
    </w:rPr>
  </w:style>
  <w:style w:type="paragraph" w:styleId="FootnoteText">
    <w:name w:val="footnote text"/>
    <w:basedOn w:val="Normal"/>
    <w:link w:val="FootnoteTextChar"/>
    <w:rsid w:val="00FA09EC"/>
    <w:pPr>
      <w:spacing w:before="80" w:after="80"/>
      <w:ind w:left="709" w:hanging="142"/>
    </w:pPr>
    <w:rPr>
      <w:i/>
      <w:sz w:val="16"/>
    </w:rPr>
  </w:style>
  <w:style w:type="character" w:customStyle="1" w:styleId="FootnoteTextChar">
    <w:name w:val="Footnote Text Char"/>
    <w:link w:val="FootnoteText"/>
    <w:rsid w:val="00FA09EC"/>
    <w:rPr>
      <w:i/>
      <w:sz w:val="16"/>
      <w:lang w:eastAsia="en-US"/>
    </w:rPr>
  </w:style>
  <w:style w:type="paragraph" w:styleId="Header">
    <w:name w:val="header"/>
    <w:basedOn w:val="Normal"/>
    <w:link w:val="HeaderChar"/>
    <w:uiPriority w:val="99"/>
    <w:rsid w:val="00FA09EC"/>
    <w:pPr>
      <w:tabs>
        <w:tab w:val="center" w:pos="4153"/>
        <w:tab w:val="right" w:pos="8306"/>
      </w:tabs>
    </w:pPr>
  </w:style>
  <w:style w:type="character" w:customStyle="1" w:styleId="HeaderChar">
    <w:name w:val="Header Char"/>
    <w:link w:val="Header"/>
    <w:uiPriority w:val="99"/>
    <w:rsid w:val="00FA09EC"/>
    <w:rPr>
      <w:lang w:eastAsia="en-US"/>
    </w:rPr>
  </w:style>
  <w:style w:type="paragraph" w:customStyle="1" w:styleId="HeaderHeading">
    <w:name w:val="Header Heading"/>
    <w:basedOn w:val="Normal"/>
    <w:rsid w:val="00FA09EC"/>
    <w:pPr>
      <w:pageBreakBefore/>
      <w:widowControl w:val="0"/>
      <w:pBdr>
        <w:bottom w:val="single" w:sz="8" w:space="6" w:color="auto"/>
      </w:pBdr>
      <w:tabs>
        <w:tab w:val="right" w:pos="4196"/>
        <w:tab w:val="right" w:pos="5046"/>
        <w:tab w:val="right" w:pos="5897"/>
        <w:tab w:val="right" w:pos="6747"/>
        <w:tab w:val="right" w:pos="7598"/>
      </w:tabs>
      <w:autoSpaceDE w:val="0"/>
      <w:autoSpaceDN w:val="0"/>
    </w:pPr>
    <w:rPr>
      <w:rFonts w:ascii="Lucida Sans" w:hAnsi="Lucida Sans" w:cs="Arial"/>
      <w:lang w:eastAsia="en-AU"/>
    </w:rPr>
  </w:style>
  <w:style w:type="paragraph" w:customStyle="1" w:styleId="Heading1BP2">
    <w:name w:val="Heading 1 BP2"/>
    <w:rsid w:val="00FA09EC"/>
    <w:pPr>
      <w:keepNext/>
      <w:tabs>
        <w:tab w:val="left" w:pos="284"/>
      </w:tabs>
      <w:spacing w:before="400" w:after="240"/>
    </w:pPr>
    <w:rPr>
      <w:rFonts w:ascii="Lucida Sans" w:hAnsi="Lucida Sans"/>
      <w:kern w:val="28"/>
      <w:sz w:val="36"/>
      <w:szCs w:val="36"/>
      <w:lang w:eastAsia="en-US"/>
    </w:rPr>
  </w:style>
  <w:style w:type="character" w:styleId="Hyperlink">
    <w:name w:val="Hyperlink"/>
    <w:uiPriority w:val="99"/>
    <w:rsid w:val="00FA09EC"/>
    <w:rPr>
      <w:color w:val="0563C1"/>
      <w:u w:val="single"/>
    </w:rPr>
  </w:style>
  <w:style w:type="paragraph" w:customStyle="1" w:styleId="ListBullet1">
    <w:name w:val="List Bullet1"/>
    <w:basedOn w:val="Normal"/>
    <w:autoRedefine/>
    <w:rsid w:val="00FA09EC"/>
    <w:pPr>
      <w:numPr>
        <w:numId w:val="6"/>
      </w:numPr>
      <w:spacing w:line="360" w:lineRule="auto"/>
    </w:pPr>
    <w:rPr>
      <w:rFonts w:ascii="Arial" w:hAnsi="Arial"/>
      <w:sz w:val="28"/>
    </w:rPr>
  </w:style>
  <w:style w:type="paragraph" w:styleId="ListParagraph">
    <w:name w:val="List Paragraph"/>
    <w:aliases w:val="Recommendation"/>
    <w:basedOn w:val="Normal"/>
    <w:link w:val="ListParagraphChar"/>
    <w:uiPriority w:val="34"/>
    <w:qFormat/>
    <w:rsid w:val="00FA09EC"/>
    <w:pPr>
      <w:spacing w:after="200" w:line="276" w:lineRule="auto"/>
      <w:ind w:left="720"/>
      <w:contextualSpacing/>
    </w:pPr>
    <w:rPr>
      <w:rFonts w:ascii="Arial" w:eastAsia="Calibri" w:hAnsi="Arial"/>
      <w:szCs w:val="22"/>
    </w:rPr>
  </w:style>
  <w:style w:type="paragraph" w:styleId="NoSpacing">
    <w:name w:val="No Spacing"/>
    <w:basedOn w:val="Normal"/>
    <w:link w:val="NoSpacingChar"/>
    <w:qFormat/>
    <w:rsid w:val="00FA09EC"/>
  </w:style>
  <w:style w:type="character" w:customStyle="1" w:styleId="NoSpacingChar">
    <w:name w:val="No Spacing Char"/>
    <w:link w:val="NoSpacing"/>
    <w:rsid w:val="00FA09EC"/>
    <w:rPr>
      <w:lang w:eastAsia="en-US"/>
    </w:rPr>
  </w:style>
  <w:style w:type="paragraph" w:customStyle="1" w:styleId="Object">
    <w:name w:val="Object"/>
    <w:basedOn w:val="Normal"/>
    <w:next w:val="Normal"/>
    <w:rsid w:val="00FA09EC"/>
    <w:pPr>
      <w:jc w:val="center"/>
    </w:pPr>
  </w:style>
  <w:style w:type="paragraph" w:customStyle="1" w:styleId="ObjectFootnote">
    <w:name w:val="Object Footnote"/>
    <w:basedOn w:val="Object"/>
    <w:next w:val="Normal"/>
    <w:rsid w:val="00FA09EC"/>
    <w:pPr>
      <w:spacing w:after="60"/>
    </w:pPr>
    <w:rPr>
      <w:i/>
      <w:sz w:val="14"/>
    </w:rPr>
  </w:style>
  <w:style w:type="paragraph" w:customStyle="1" w:styleId="ObjectFootnotelettered">
    <w:name w:val="Object Footnote lettered"/>
    <w:basedOn w:val="ObjectFootnote"/>
    <w:rsid w:val="00FA09EC"/>
    <w:pPr>
      <w:tabs>
        <w:tab w:val="left" w:pos="709"/>
      </w:tabs>
      <w:ind w:left="426"/>
      <w:jc w:val="left"/>
    </w:pPr>
  </w:style>
  <w:style w:type="paragraph" w:customStyle="1" w:styleId="ObjectFootnoteleft">
    <w:name w:val="Object Footnote left"/>
    <w:basedOn w:val="ObjectFootnotelettered"/>
    <w:rsid w:val="00FA09EC"/>
    <w:pPr>
      <w:ind w:left="709" w:hanging="283"/>
    </w:pPr>
  </w:style>
  <w:style w:type="character" w:styleId="PageNumber">
    <w:name w:val="page number"/>
    <w:rsid w:val="00FA09EC"/>
  </w:style>
  <w:style w:type="paragraph" w:styleId="Quote">
    <w:name w:val="Quote"/>
    <w:basedOn w:val="Normal"/>
    <w:next w:val="Normal"/>
    <w:link w:val="QuoteChar"/>
    <w:uiPriority w:val="29"/>
    <w:qFormat/>
    <w:rsid w:val="00FA09EC"/>
    <w:pPr>
      <w:spacing w:before="200" w:after="160"/>
      <w:ind w:left="864" w:right="864"/>
      <w:jc w:val="center"/>
    </w:pPr>
    <w:rPr>
      <w:i/>
      <w:iCs/>
      <w:color w:val="404040"/>
    </w:rPr>
  </w:style>
  <w:style w:type="character" w:customStyle="1" w:styleId="QuoteChar">
    <w:name w:val="Quote Char"/>
    <w:link w:val="Quote"/>
    <w:uiPriority w:val="29"/>
    <w:rsid w:val="00FA09EC"/>
    <w:rPr>
      <w:i/>
      <w:iCs/>
      <w:color w:val="404040"/>
      <w:lang w:eastAsia="en-US"/>
    </w:rPr>
  </w:style>
  <w:style w:type="paragraph" w:customStyle="1" w:styleId="Style211HeadingBold">
    <w:name w:val="Style 2.1.1 Heading + Bold"/>
    <w:basedOn w:val="Normal"/>
    <w:rsid w:val="00FA09EC"/>
    <w:rPr>
      <w:b/>
      <w:bCs/>
      <w:i/>
      <w:iCs/>
    </w:rPr>
  </w:style>
  <w:style w:type="paragraph" w:customStyle="1" w:styleId="StyleBoxHeadingLeft0Firstline0">
    <w:name w:val="Style Box Heading + Left:  0&quot; First line:  0&quot;"/>
    <w:basedOn w:val="BoxHeading"/>
    <w:autoRedefine/>
    <w:rsid w:val="00FA09EC"/>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FA09EC"/>
    <w:pPr>
      <w:ind w:left="851" w:hanging="851"/>
      <w:jc w:val="center"/>
    </w:pPr>
    <w:rPr>
      <w:rFonts w:ascii="Arial" w:hAnsi="Arial"/>
      <w:b/>
      <w:i/>
      <w:color w:val="000000"/>
      <w:sz w:val="24"/>
      <w:lang w:val="en-GB" w:eastAsia="en-AU"/>
    </w:rPr>
  </w:style>
  <w:style w:type="paragraph" w:customStyle="1" w:styleId="Table5X">
    <w:name w:val="Table 5.X"/>
    <w:basedOn w:val="Normal"/>
    <w:next w:val="Normal"/>
    <w:rsid w:val="007475BD"/>
    <w:pPr>
      <w:widowControl w:val="0"/>
      <w:numPr>
        <w:numId w:val="7"/>
      </w:numPr>
      <w:tabs>
        <w:tab w:val="left" w:pos="1304"/>
      </w:tabs>
      <w:spacing w:before="360" w:after="120"/>
    </w:pPr>
    <w:rPr>
      <w:rFonts w:ascii="Arial" w:hAnsi="Arial"/>
      <w:bCs/>
      <w:i/>
      <w:color w:val="4F4F4F"/>
      <w:kern w:val="28"/>
      <w:sz w:val="22"/>
      <w:szCs w:val="22"/>
    </w:rPr>
  </w:style>
  <w:style w:type="paragraph" w:customStyle="1" w:styleId="TableFootnote">
    <w:name w:val="Table Footnote"/>
    <w:basedOn w:val="Normal"/>
    <w:rsid w:val="00FA09EC"/>
    <w:pPr>
      <w:spacing w:before="60" w:after="60"/>
      <w:ind w:left="284"/>
    </w:pPr>
    <w:rPr>
      <w:rFonts w:ascii="Arial" w:hAnsi="Arial"/>
      <w:i/>
      <w:sz w:val="14"/>
    </w:rPr>
  </w:style>
  <w:style w:type="table" w:styleId="TableGrid">
    <w:name w:val="Table Grid"/>
    <w:basedOn w:val="TableNormal"/>
    <w:rsid w:val="00FA09E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rsid w:val="00FA09EC"/>
    <w:pPr>
      <w:keepNext/>
      <w:keepLines/>
      <w:numPr>
        <w:numId w:val="8"/>
      </w:numPr>
      <w:spacing w:before="120" w:after="120"/>
    </w:pPr>
    <w:rPr>
      <w:rFonts w:ascii="Arial" w:hAnsi="Arial"/>
      <w:b/>
      <w:sz w:val="24"/>
    </w:rPr>
  </w:style>
  <w:style w:type="paragraph" w:customStyle="1" w:styleId="TableHeadingCont">
    <w:name w:val="Table Heading Cont'"/>
    <w:basedOn w:val="TableHeading"/>
    <w:rsid w:val="00FA09EC"/>
    <w:pPr>
      <w:tabs>
        <w:tab w:val="clear" w:pos="1440"/>
        <w:tab w:val="left" w:pos="1418"/>
      </w:tabs>
    </w:pPr>
  </w:style>
  <w:style w:type="character" w:customStyle="1" w:styleId="UnresolvedMention1">
    <w:name w:val="Unresolved Mention1"/>
    <w:uiPriority w:val="99"/>
    <w:semiHidden/>
    <w:unhideWhenUsed/>
    <w:rsid w:val="00FA09EC"/>
    <w:rPr>
      <w:color w:val="808080"/>
      <w:shd w:val="clear" w:color="auto" w:fill="E6E6E6"/>
    </w:rPr>
  </w:style>
  <w:style w:type="paragraph" w:styleId="Revision">
    <w:name w:val="Revision"/>
    <w:hidden/>
    <w:uiPriority w:val="99"/>
    <w:semiHidden/>
    <w:rsid w:val="001519BF"/>
    <w:rPr>
      <w:lang w:val="en-US" w:eastAsia="en-US"/>
    </w:rPr>
  </w:style>
  <w:style w:type="paragraph" w:customStyle="1" w:styleId="msonormal0">
    <w:name w:val="msonormal"/>
    <w:basedOn w:val="Normal"/>
    <w:rsid w:val="00543B3B"/>
    <w:pPr>
      <w:spacing w:before="100" w:beforeAutospacing="1" w:after="100" w:afterAutospacing="1"/>
    </w:pPr>
    <w:rPr>
      <w:sz w:val="24"/>
      <w:szCs w:val="24"/>
      <w:lang w:eastAsia="en-AU"/>
    </w:rPr>
  </w:style>
  <w:style w:type="character" w:customStyle="1" w:styleId="StyleArial9ptBoldCustomColorRGB37169225">
    <w:name w:val="Style Arial 9 pt Bold Custom Color(RGB(37169225))"/>
    <w:basedOn w:val="DefaultParagraphFont"/>
    <w:rsid w:val="00DF6BAF"/>
    <w:rPr>
      <w:rFonts w:ascii="Arial" w:hAnsi="Arial"/>
      <w:b/>
      <w:bCs/>
      <w:color w:val="00ABE6"/>
      <w:sz w:val="18"/>
    </w:rPr>
  </w:style>
  <w:style w:type="paragraph" w:customStyle="1" w:styleId="StyleArial9ptBoldCustomColorRGB37169225Right">
    <w:name w:val="Style Arial 9 pt Bold Custom Color(RGB(37169225)) Right"/>
    <w:basedOn w:val="Normal"/>
    <w:rsid w:val="00FA04F4"/>
    <w:pPr>
      <w:jc w:val="right"/>
    </w:pPr>
    <w:rPr>
      <w:rFonts w:ascii="Arial" w:hAnsi="Arial"/>
      <w:b/>
      <w:bCs/>
      <w:color w:val="00ABE6"/>
      <w:sz w:val="18"/>
    </w:rPr>
  </w:style>
  <w:style w:type="paragraph" w:customStyle="1" w:styleId="Table6x">
    <w:name w:val="Table 6.x"/>
    <w:basedOn w:val="Normal"/>
    <w:qFormat/>
    <w:rsid w:val="004E6144"/>
    <w:pPr>
      <w:widowControl w:val="0"/>
      <w:tabs>
        <w:tab w:val="left" w:pos="1134"/>
      </w:tabs>
      <w:spacing w:before="360" w:after="120"/>
    </w:pPr>
    <w:rPr>
      <w:rFonts w:ascii="Arial" w:hAnsi="Arial"/>
      <w:bCs/>
      <w:i/>
      <w:color w:val="57514D"/>
      <w:kern w:val="28"/>
      <w:szCs w:val="22"/>
      <w:lang w:val="en-US"/>
    </w:rPr>
  </w:style>
  <w:style w:type="paragraph" w:customStyle="1" w:styleId="21Heading2">
    <w:name w:val="2.1 Heading 2"/>
    <w:basedOn w:val="Normal"/>
    <w:qFormat/>
    <w:rsid w:val="00383B36"/>
    <w:pPr>
      <w:numPr>
        <w:numId w:val="9"/>
      </w:numPr>
      <w:pBdr>
        <w:bottom w:val="single" w:sz="4" w:space="4" w:color="00ABE6"/>
      </w:pBdr>
      <w:spacing w:before="240" w:after="100"/>
    </w:pPr>
    <w:rPr>
      <w:rFonts w:ascii="Arial" w:hAnsi="Arial"/>
      <w:b/>
      <w:color w:val="00ABE6"/>
      <w:sz w:val="28"/>
    </w:rPr>
  </w:style>
  <w:style w:type="paragraph" w:customStyle="1" w:styleId="Chart21">
    <w:name w:val="Chart 2.1"/>
    <w:basedOn w:val="Normal"/>
    <w:qFormat/>
    <w:rsid w:val="00383B36"/>
    <w:pPr>
      <w:numPr>
        <w:numId w:val="11"/>
      </w:numPr>
      <w:spacing w:before="240" w:after="120"/>
    </w:pPr>
    <w:rPr>
      <w:rFonts w:ascii="Arial" w:hAnsi="Arial"/>
      <w:i/>
      <w:color w:val="4F4F4F"/>
      <w:sz w:val="22"/>
    </w:rPr>
  </w:style>
  <w:style w:type="paragraph" w:customStyle="1" w:styleId="Table21">
    <w:name w:val="Table 2.1"/>
    <w:basedOn w:val="Normal"/>
    <w:qFormat/>
    <w:rsid w:val="00383B36"/>
    <w:pPr>
      <w:numPr>
        <w:numId w:val="12"/>
      </w:numPr>
      <w:spacing w:before="240" w:after="120"/>
    </w:pPr>
    <w:rPr>
      <w:rFonts w:ascii="Arial" w:hAnsi="Arial"/>
      <w:i/>
      <w:color w:val="4F4F4F"/>
      <w:sz w:val="22"/>
      <w:lang w:val="fr-FR"/>
    </w:rPr>
  </w:style>
  <w:style w:type="paragraph" w:customStyle="1" w:styleId="11Heading2">
    <w:name w:val="1.1 Heading 2"/>
    <w:basedOn w:val="Normal"/>
    <w:qFormat/>
    <w:rsid w:val="00E633CC"/>
    <w:pPr>
      <w:numPr>
        <w:numId w:val="14"/>
      </w:numPr>
      <w:pBdr>
        <w:bottom w:val="single" w:sz="4" w:space="4" w:color="00ABE6"/>
      </w:pBdr>
      <w:spacing w:before="240" w:after="100"/>
      <w:ind w:left="357" w:hanging="357"/>
    </w:pPr>
    <w:rPr>
      <w:rFonts w:ascii="Arial" w:hAnsi="Arial"/>
      <w:b/>
      <w:color w:val="00ABE6"/>
      <w:sz w:val="28"/>
    </w:rPr>
  </w:style>
  <w:style w:type="character" w:customStyle="1" w:styleId="normaltextrun">
    <w:name w:val="normaltextrun"/>
    <w:basedOn w:val="DefaultParagraphFont"/>
    <w:rsid w:val="00926289"/>
  </w:style>
  <w:style w:type="character" w:customStyle="1" w:styleId="ListParagraphChar">
    <w:name w:val="List Paragraph Char"/>
    <w:aliases w:val="Recommendation Char"/>
    <w:basedOn w:val="DefaultParagraphFont"/>
    <w:link w:val="ListParagraph"/>
    <w:uiPriority w:val="34"/>
    <w:locked/>
    <w:rsid w:val="00DD23B3"/>
    <w:rPr>
      <w:rFonts w:ascii="Arial" w:eastAsia="Calibri" w:hAnsi="Arial"/>
      <w:szCs w:val="22"/>
      <w:lang w:eastAsia="en-US"/>
    </w:rPr>
  </w:style>
  <w:style w:type="paragraph" w:customStyle="1" w:styleId="Default">
    <w:name w:val="Default"/>
    <w:rsid w:val="00B43C3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unhideWhenUsed/>
    <w:rsid w:val="00FD0C17"/>
    <w:rPr>
      <w:color w:val="605E5C"/>
      <w:shd w:val="clear" w:color="auto" w:fill="E1DFDD"/>
    </w:rPr>
  </w:style>
  <w:style w:type="character" w:styleId="Mention">
    <w:name w:val="Mention"/>
    <w:basedOn w:val="DefaultParagraphFont"/>
    <w:uiPriority w:val="99"/>
    <w:unhideWhenUsed/>
    <w:rsid w:val="00433835"/>
    <w:rPr>
      <w:color w:val="2B579A"/>
      <w:shd w:val="clear" w:color="auto" w:fill="E1DFDD"/>
    </w:rPr>
  </w:style>
  <w:style w:type="character" w:styleId="FollowedHyperlink">
    <w:name w:val="FollowedHyperlink"/>
    <w:basedOn w:val="DefaultParagraphFont"/>
    <w:semiHidden/>
    <w:unhideWhenUsed/>
    <w:rsid w:val="005239BA"/>
    <w:rPr>
      <w:color w:val="800080" w:themeColor="followedHyperlink"/>
      <w:u w:val="single"/>
    </w:rPr>
  </w:style>
  <w:style w:type="paragraph" w:customStyle="1" w:styleId="Chart91">
    <w:name w:val="Chart 9.1"/>
    <w:basedOn w:val="Normal"/>
    <w:qFormat/>
    <w:rsid w:val="00293F9F"/>
    <w:pPr>
      <w:numPr>
        <w:numId w:val="27"/>
      </w:numPr>
      <w:spacing w:before="240" w:after="120"/>
      <w:ind w:left="1304" w:hanging="1304"/>
    </w:pPr>
    <w:rPr>
      <w:rFonts w:ascii="Arial" w:hAnsi="Arial"/>
      <w:i/>
      <w:color w:val="4F4F4F"/>
      <w:sz w:val="22"/>
    </w:rPr>
  </w:style>
  <w:style w:type="paragraph" w:customStyle="1" w:styleId="Chart1X">
    <w:name w:val="Chart 1.X"/>
    <w:basedOn w:val="Normal"/>
    <w:next w:val="Normal"/>
    <w:rsid w:val="00E06631"/>
    <w:pPr>
      <w:keepLines/>
      <w:tabs>
        <w:tab w:val="left" w:pos="1304"/>
      </w:tabs>
      <w:spacing w:before="240" w:after="120"/>
      <w:ind w:left="357" w:hanging="357"/>
    </w:pPr>
    <w:rPr>
      <w:rFonts w:ascii="Arial" w:hAnsi="Arial"/>
      <w:i/>
      <w:color w:val="4F4F4F"/>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66025">
      <w:bodyDiv w:val="1"/>
      <w:marLeft w:val="0"/>
      <w:marRight w:val="0"/>
      <w:marTop w:val="0"/>
      <w:marBottom w:val="0"/>
      <w:divBdr>
        <w:top w:val="none" w:sz="0" w:space="0" w:color="auto"/>
        <w:left w:val="none" w:sz="0" w:space="0" w:color="auto"/>
        <w:bottom w:val="none" w:sz="0" w:space="0" w:color="auto"/>
        <w:right w:val="none" w:sz="0" w:space="0" w:color="auto"/>
      </w:divBdr>
    </w:div>
    <w:div w:id="73822815">
      <w:bodyDiv w:val="1"/>
      <w:marLeft w:val="0"/>
      <w:marRight w:val="0"/>
      <w:marTop w:val="0"/>
      <w:marBottom w:val="0"/>
      <w:divBdr>
        <w:top w:val="none" w:sz="0" w:space="0" w:color="auto"/>
        <w:left w:val="none" w:sz="0" w:space="0" w:color="auto"/>
        <w:bottom w:val="none" w:sz="0" w:space="0" w:color="auto"/>
        <w:right w:val="none" w:sz="0" w:space="0" w:color="auto"/>
      </w:divBdr>
      <w:divsChild>
        <w:div w:id="909341521">
          <w:marLeft w:val="0"/>
          <w:marRight w:val="0"/>
          <w:marTop w:val="0"/>
          <w:marBottom w:val="0"/>
          <w:divBdr>
            <w:top w:val="none" w:sz="0" w:space="0" w:color="auto"/>
            <w:left w:val="none" w:sz="0" w:space="0" w:color="auto"/>
            <w:bottom w:val="none" w:sz="0" w:space="0" w:color="auto"/>
            <w:right w:val="none" w:sz="0" w:space="0" w:color="auto"/>
          </w:divBdr>
        </w:div>
      </w:divsChild>
    </w:div>
    <w:div w:id="102964285">
      <w:bodyDiv w:val="1"/>
      <w:marLeft w:val="0"/>
      <w:marRight w:val="0"/>
      <w:marTop w:val="0"/>
      <w:marBottom w:val="0"/>
      <w:divBdr>
        <w:top w:val="none" w:sz="0" w:space="0" w:color="auto"/>
        <w:left w:val="none" w:sz="0" w:space="0" w:color="auto"/>
        <w:bottom w:val="none" w:sz="0" w:space="0" w:color="auto"/>
        <w:right w:val="none" w:sz="0" w:space="0" w:color="auto"/>
      </w:divBdr>
    </w:div>
    <w:div w:id="128743895">
      <w:bodyDiv w:val="1"/>
      <w:marLeft w:val="0"/>
      <w:marRight w:val="0"/>
      <w:marTop w:val="0"/>
      <w:marBottom w:val="0"/>
      <w:divBdr>
        <w:top w:val="none" w:sz="0" w:space="0" w:color="auto"/>
        <w:left w:val="none" w:sz="0" w:space="0" w:color="auto"/>
        <w:bottom w:val="none" w:sz="0" w:space="0" w:color="auto"/>
        <w:right w:val="none" w:sz="0" w:space="0" w:color="auto"/>
      </w:divBdr>
    </w:div>
    <w:div w:id="139688899">
      <w:bodyDiv w:val="1"/>
      <w:marLeft w:val="0"/>
      <w:marRight w:val="0"/>
      <w:marTop w:val="0"/>
      <w:marBottom w:val="0"/>
      <w:divBdr>
        <w:top w:val="none" w:sz="0" w:space="0" w:color="auto"/>
        <w:left w:val="none" w:sz="0" w:space="0" w:color="auto"/>
        <w:bottom w:val="none" w:sz="0" w:space="0" w:color="auto"/>
        <w:right w:val="none" w:sz="0" w:space="0" w:color="auto"/>
      </w:divBdr>
    </w:div>
    <w:div w:id="182935183">
      <w:bodyDiv w:val="1"/>
      <w:marLeft w:val="0"/>
      <w:marRight w:val="0"/>
      <w:marTop w:val="0"/>
      <w:marBottom w:val="0"/>
      <w:divBdr>
        <w:top w:val="none" w:sz="0" w:space="0" w:color="auto"/>
        <w:left w:val="none" w:sz="0" w:space="0" w:color="auto"/>
        <w:bottom w:val="none" w:sz="0" w:space="0" w:color="auto"/>
        <w:right w:val="none" w:sz="0" w:space="0" w:color="auto"/>
      </w:divBdr>
    </w:div>
    <w:div w:id="208297418">
      <w:bodyDiv w:val="1"/>
      <w:marLeft w:val="0"/>
      <w:marRight w:val="0"/>
      <w:marTop w:val="0"/>
      <w:marBottom w:val="0"/>
      <w:divBdr>
        <w:top w:val="none" w:sz="0" w:space="0" w:color="auto"/>
        <w:left w:val="none" w:sz="0" w:space="0" w:color="auto"/>
        <w:bottom w:val="none" w:sz="0" w:space="0" w:color="auto"/>
        <w:right w:val="none" w:sz="0" w:space="0" w:color="auto"/>
      </w:divBdr>
    </w:div>
    <w:div w:id="223835726">
      <w:bodyDiv w:val="1"/>
      <w:marLeft w:val="0"/>
      <w:marRight w:val="0"/>
      <w:marTop w:val="0"/>
      <w:marBottom w:val="0"/>
      <w:divBdr>
        <w:top w:val="none" w:sz="0" w:space="0" w:color="auto"/>
        <w:left w:val="none" w:sz="0" w:space="0" w:color="auto"/>
        <w:bottom w:val="none" w:sz="0" w:space="0" w:color="auto"/>
        <w:right w:val="none" w:sz="0" w:space="0" w:color="auto"/>
      </w:divBdr>
      <w:divsChild>
        <w:div w:id="300186643">
          <w:marLeft w:val="0"/>
          <w:marRight w:val="0"/>
          <w:marTop w:val="0"/>
          <w:marBottom w:val="0"/>
          <w:divBdr>
            <w:top w:val="none" w:sz="0" w:space="0" w:color="auto"/>
            <w:left w:val="none" w:sz="0" w:space="0" w:color="auto"/>
            <w:bottom w:val="none" w:sz="0" w:space="0" w:color="auto"/>
            <w:right w:val="none" w:sz="0" w:space="0" w:color="auto"/>
          </w:divBdr>
        </w:div>
      </w:divsChild>
    </w:div>
    <w:div w:id="251474030">
      <w:bodyDiv w:val="1"/>
      <w:marLeft w:val="0"/>
      <w:marRight w:val="0"/>
      <w:marTop w:val="0"/>
      <w:marBottom w:val="0"/>
      <w:divBdr>
        <w:top w:val="none" w:sz="0" w:space="0" w:color="auto"/>
        <w:left w:val="none" w:sz="0" w:space="0" w:color="auto"/>
        <w:bottom w:val="none" w:sz="0" w:space="0" w:color="auto"/>
        <w:right w:val="none" w:sz="0" w:space="0" w:color="auto"/>
      </w:divBdr>
    </w:div>
    <w:div w:id="255407702">
      <w:bodyDiv w:val="1"/>
      <w:marLeft w:val="0"/>
      <w:marRight w:val="0"/>
      <w:marTop w:val="0"/>
      <w:marBottom w:val="0"/>
      <w:divBdr>
        <w:top w:val="none" w:sz="0" w:space="0" w:color="auto"/>
        <w:left w:val="none" w:sz="0" w:space="0" w:color="auto"/>
        <w:bottom w:val="none" w:sz="0" w:space="0" w:color="auto"/>
        <w:right w:val="none" w:sz="0" w:space="0" w:color="auto"/>
      </w:divBdr>
    </w:div>
    <w:div w:id="265237348">
      <w:bodyDiv w:val="1"/>
      <w:marLeft w:val="0"/>
      <w:marRight w:val="0"/>
      <w:marTop w:val="0"/>
      <w:marBottom w:val="0"/>
      <w:divBdr>
        <w:top w:val="none" w:sz="0" w:space="0" w:color="auto"/>
        <w:left w:val="none" w:sz="0" w:space="0" w:color="auto"/>
        <w:bottom w:val="none" w:sz="0" w:space="0" w:color="auto"/>
        <w:right w:val="none" w:sz="0" w:space="0" w:color="auto"/>
      </w:divBdr>
      <w:divsChild>
        <w:div w:id="1155679901">
          <w:marLeft w:val="0"/>
          <w:marRight w:val="0"/>
          <w:marTop w:val="0"/>
          <w:marBottom w:val="0"/>
          <w:divBdr>
            <w:top w:val="none" w:sz="0" w:space="0" w:color="auto"/>
            <w:left w:val="none" w:sz="0" w:space="0" w:color="auto"/>
            <w:bottom w:val="none" w:sz="0" w:space="0" w:color="auto"/>
            <w:right w:val="none" w:sz="0" w:space="0" w:color="auto"/>
          </w:divBdr>
        </w:div>
      </w:divsChild>
    </w:div>
    <w:div w:id="270404965">
      <w:bodyDiv w:val="1"/>
      <w:marLeft w:val="0"/>
      <w:marRight w:val="0"/>
      <w:marTop w:val="0"/>
      <w:marBottom w:val="0"/>
      <w:divBdr>
        <w:top w:val="none" w:sz="0" w:space="0" w:color="auto"/>
        <w:left w:val="none" w:sz="0" w:space="0" w:color="auto"/>
        <w:bottom w:val="none" w:sz="0" w:space="0" w:color="auto"/>
        <w:right w:val="none" w:sz="0" w:space="0" w:color="auto"/>
      </w:divBdr>
    </w:div>
    <w:div w:id="373703220">
      <w:bodyDiv w:val="1"/>
      <w:marLeft w:val="0"/>
      <w:marRight w:val="0"/>
      <w:marTop w:val="0"/>
      <w:marBottom w:val="0"/>
      <w:divBdr>
        <w:top w:val="none" w:sz="0" w:space="0" w:color="auto"/>
        <w:left w:val="none" w:sz="0" w:space="0" w:color="auto"/>
        <w:bottom w:val="none" w:sz="0" w:space="0" w:color="auto"/>
        <w:right w:val="none" w:sz="0" w:space="0" w:color="auto"/>
      </w:divBdr>
      <w:divsChild>
        <w:div w:id="1419979643">
          <w:marLeft w:val="0"/>
          <w:marRight w:val="0"/>
          <w:marTop w:val="0"/>
          <w:marBottom w:val="0"/>
          <w:divBdr>
            <w:top w:val="none" w:sz="0" w:space="0" w:color="auto"/>
            <w:left w:val="none" w:sz="0" w:space="0" w:color="auto"/>
            <w:bottom w:val="none" w:sz="0" w:space="0" w:color="auto"/>
            <w:right w:val="none" w:sz="0" w:space="0" w:color="auto"/>
          </w:divBdr>
        </w:div>
      </w:divsChild>
    </w:div>
    <w:div w:id="427846652">
      <w:bodyDiv w:val="1"/>
      <w:marLeft w:val="0"/>
      <w:marRight w:val="0"/>
      <w:marTop w:val="0"/>
      <w:marBottom w:val="0"/>
      <w:divBdr>
        <w:top w:val="none" w:sz="0" w:space="0" w:color="auto"/>
        <w:left w:val="none" w:sz="0" w:space="0" w:color="auto"/>
        <w:bottom w:val="none" w:sz="0" w:space="0" w:color="auto"/>
        <w:right w:val="none" w:sz="0" w:space="0" w:color="auto"/>
      </w:divBdr>
      <w:divsChild>
        <w:div w:id="1366832876">
          <w:marLeft w:val="0"/>
          <w:marRight w:val="0"/>
          <w:marTop w:val="0"/>
          <w:marBottom w:val="0"/>
          <w:divBdr>
            <w:top w:val="none" w:sz="0" w:space="0" w:color="auto"/>
            <w:left w:val="none" w:sz="0" w:space="0" w:color="auto"/>
            <w:bottom w:val="none" w:sz="0" w:space="0" w:color="auto"/>
            <w:right w:val="none" w:sz="0" w:space="0" w:color="auto"/>
          </w:divBdr>
        </w:div>
      </w:divsChild>
    </w:div>
    <w:div w:id="446044059">
      <w:bodyDiv w:val="1"/>
      <w:marLeft w:val="0"/>
      <w:marRight w:val="0"/>
      <w:marTop w:val="0"/>
      <w:marBottom w:val="0"/>
      <w:divBdr>
        <w:top w:val="none" w:sz="0" w:space="0" w:color="auto"/>
        <w:left w:val="none" w:sz="0" w:space="0" w:color="auto"/>
        <w:bottom w:val="none" w:sz="0" w:space="0" w:color="auto"/>
        <w:right w:val="none" w:sz="0" w:space="0" w:color="auto"/>
      </w:divBdr>
    </w:div>
    <w:div w:id="520749335">
      <w:bodyDiv w:val="1"/>
      <w:marLeft w:val="0"/>
      <w:marRight w:val="0"/>
      <w:marTop w:val="0"/>
      <w:marBottom w:val="0"/>
      <w:divBdr>
        <w:top w:val="none" w:sz="0" w:space="0" w:color="auto"/>
        <w:left w:val="none" w:sz="0" w:space="0" w:color="auto"/>
        <w:bottom w:val="none" w:sz="0" w:space="0" w:color="auto"/>
        <w:right w:val="none" w:sz="0" w:space="0" w:color="auto"/>
      </w:divBdr>
    </w:div>
    <w:div w:id="538517327">
      <w:bodyDiv w:val="1"/>
      <w:marLeft w:val="0"/>
      <w:marRight w:val="0"/>
      <w:marTop w:val="0"/>
      <w:marBottom w:val="0"/>
      <w:divBdr>
        <w:top w:val="none" w:sz="0" w:space="0" w:color="auto"/>
        <w:left w:val="none" w:sz="0" w:space="0" w:color="auto"/>
        <w:bottom w:val="none" w:sz="0" w:space="0" w:color="auto"/>
        <w:right w:val="none" w:sz="0" w:space="0" w:color="auto"/>
      </w:divBdr>
    </w:div>
    <w:div w:id="581334335">
      <w:bodyDiv w:val="1"/>
      <w:marLeft w:val="0"/>
      <w:marRight w:val="0"/>
      <w:marTop w:val="0"/>
      <w:marBottom w:val="0"/>
      <w:divBdr>
        <w:top w:val="none" w:sz="0" w:space="0" w:color="auto"/>
        <w:left w:val="none" w:sz="0" w:space="0" w:color="auto"/>
        <w:bottom w:val="none" w:sz="0" w:space="0" w:color="auto"/>
        <w:right w:val="none" w:sz="0" w:space="0" w:color="auto"/>
      </w:divBdr>
      <w:divsChild>
        <w:div w:id="804395127">
          <w:marLeft w:val="0"/>
          <w:marRight w:val="0"/>
          <w:marTop w:val="0"/>
          <w:marBottom w:val="0"/>
          <w:divBdr>
            <w:top w:val="none" w:sz="0" w:space="0" w:color="auto"/>
            <w:left w:val="none" w:sz="0" w:space="0" w:color="auto"/>
            <w:bottom w:val="none" w:sz="0" w:space="0" w:color="auto"/>
            <w:right w:val="none" w:sz="0" w:space="0" w:color="auto"/>
          </w:divBdr>
        </w:div>
      </w:divsChild>
    </w:div>
    <w:div w:id="609900010">
      <w:bodyDiv w:val="1"/>
      <w:marLeft w:val="0"/>
      <w:marRight w:val="0"/>
      <w:marTop w:val="0"/>
      <w:marBottom w:val="0"/>
      <w:divBdr>
        <w:top w:val="none" w:sz="0" w:space="0" w:color="auto"/>
        <w:left w:val="none" w:sz="0" w:space="0" w:color="auto"/>
        <w:bottom w:val="none" w:sz="0" w:space="0" w:color="auto"/>
        <w:right w:val="none" w:sz="0" w:space="0" w:color="auto"/>
      </w:divBdr>
    </w:div>
    <w:div w:id="639308330">
      <w:bodyDiv w:val="1"/>
      <w:marLeft w:val="0"/>
      <w:marRight w:val="0"/>
      <w:marTop w:val="0"/>
      <w:marBottom w:val="0"/>
      <w:divBdr>
        <w:top w:val="none" w:sz="0" w:space="0" w:color="auto"/>
        <w:left w:val="none" w:sz="0" w:space="0" w:color="auto"/>
        <w:bottom w:val="none" w:sz="0" w:space="0" w:color="auto"/>
        <w:right w:val="none" w:sz="0" w:space="0" w:color="auto"/>
      </w:divBdr>
    </w:div>
    <w:div w:id="673724901">
      <w:bodyDiv w:val="1"/>
      <w:marLeft w:val="0"/>
      <w:marRight w:val="0"/>
      <w:marTop w:val="0"/>
      <w:marBottom w:val="0"/>
      <w:divBdr>
        <w:top w:val="none" w:sz="0" w:space="0" w:color="auto"/>
        <w:left w:val="none" w:sz="0" w:space="0" w:color="auto"/>
        <w:bottom w:val="none" w:sz="0" w:space="0" w:color="auto"/>
        <w:right w:val="none" w:sz="0" w:space="0" w:color="auto"/>
      </w:divBdr>
    </w:div>
    <w:div w:id="695161615">
      <w:bodyDiv w:val="1"/>
      <w:marLeft w:val="0"/>
      <w:marRight w:val="0"/>
      <w:marTop w:val="0"/>
      <w:marBottom w:val="0"/>
      <w:divBdr>
        <w:top w:val="none" w:sz="0" w:space="0" w:color="auto"/>
        <w:left w:val="none" w:sz="0" w:space="0" w:color="auto"/>
        <w:bottom w:val="none" w:sz="0" w:space="0" w:color="auto"/>
        <w:right w:val="none" w:sz="0" w:space="0" w:color="auto"/>
      </w:divBdr>
    </w:div>
    <w:div w:id="721056679">
      <w:bodyDiv w:val="1"/>
      <w:marLeft w:val="0"/>
      <w:marRight w:val="0"/>
      <w:marTop w:val="0"/>
      <w:marBottom w:val="0"/>
      <w:divBdr>
        <w:top w:val="none" w:sz="0" w:space="0" w:color="auto"/>
        <w:left w:val="none" w:sz="0" w:space="0" w:color="auto"/>
        <w:bottom w:val="none" w:sz="0" w:space="0" w:color="auto"/>
        <w:right w:val="none" w:sz="0" w:space="0" w:color="auto"/>
      </w:divBdr>
      <w:divsChild>
        <w:div w:id="750929826">
          <w:marLeft w:val="0"/>
          <w:marRight w:val="0"/>
          <w:marTop w:val="0"/>
          <w:marBottom w:val="0"/>
          <w:divBdr>
            <w:top w:val="none" w:sz="0" w:space="0" w:color="auto"/>
            <w:left w:val="none" w:sz="0" w:space="0" w:color="auto"/>
            <w:bottom w:val="none" w:sz="0" w:space="0" w:color="auto"/>
            <w:right w:val="none" w:sz="0" w:space="0" w:color="auto"/>
          </w:divBdr>
        </w:div>
      </w:divsChild>
    </w:div>
    <w:div w:id="731733785">
      <w:bodyDiv w:val="1"/>
      <w:marLeft w:val="0"/>
      <w:marRight w:val="0"/>
      <w:marTop w:val="0"/>
      <w:marBottom w:val="0"/>
      <w:divBdr>
        <w:top w:val="none" w:sz="0" w:space="0" w:color="auto"/>
        <w:left w:val="none" w:sz="0" w:space="0" w:color="auto"/>
        <w:bottom w:val="none" w:sz="0" w:space="0" w:color="auto"/>
        <w:right w:val="none" w:sz="0" w:space="0" w:color="auto"/>
      </w:divBdr>
    </w:div>
    <w:div w:id="755446516">
      <w:bodyDiv w:val="1"/>
      <w:marLeft w:val="0"/>
      <w:marRight w:val="0"/>
      <w:marTop w:val="0"/>
      <w:marBottom w:val="0"/>
      <w:divBdr>
        <w:top w:val="none" w:sz="0" w:space="0" w:color="auto"/>
        <w:left w:val="none" w:sz="0" w:space="0" w:color="auto"/>
        <w:bottom w:val="none" w:sz="0" w:space="0" w:color="auto"/>
        <w:right w:val="none" w:sz="0" w:space="0" w:color="auto"/>
      </w:divBdr>
    </w:div>
    <w:div w:id="773599073">
      <w:bodyDiv w:val="1"/>
      <w:marLeft w:val="0"/>
      <w:marRight w:val="0"/>
      <w:marTop w:val="0"/>
      <w:marBottom w:val="0"/>
      <w:divBdr>
        <w:top w:val="none" w:sz="0" w:space="0" w:color="auto"/>
        <w:left w:val="none" w:sz="0" w:space="0" w:color="auto"/>
        <w:bottom w:val="none" w:sz="0" w:space="0" w:color="auto"/>
        <w:right w:val="none" w:sz="0" w:space="0" w:color="auto"/>
      </w:divBdr>
    </w:div>
    <w:div w:id="838158852">
      <w:bodyDiv w:val="1"/>
      <w:marLeft w:val="0"/>
      <w:marRight w:val="0"/>
      <w:marTop w:val="0"/>
      <w:marBottom w:val="0"/>
      <w:divBdr>
        <w:top w:val="none" w:sz="0" w:space="0" w:color="auto"/>
        <w:left w:val="none" w:sz="0" w:space="0" w:color="auto"/>
        <w:bottom w:val="none" w:sz="0" w:space="0" w:color="auto"/>
        <w:right w:val="none" w:sz="0" w:space="0" w:color="auto"/>
      </w:divBdr>
    </w:div>
    <w:div w:id="870074618">
      <w:bodyDiv w:val="1"/>
      <w:marLeft w:val="0"/>
      <w:marRight w:val="0"/>
      <w:marTop w:val="0"/>
      <w:marBottom w:val="0"/>
      <w:divBdr>
        <w:top w:val="none" w:sz="0" w:space="0" w:color="auto"/>
        <w:left w:val="none" w:sz="0" w:space="0" w:color="auto"/>
        <w:bottom w:val="none" w:sz="0" w:space="0" w:color="auto"/>
        <w:right w:val="none" w:sz="0" w:space="0" w:color="auto"/>
      </w:divBdr>
    </w:div>
    <w:div w:id="880214330">
      <w:bodyDiv w:val="1"/>
      <w:marLeft w:val="0"/>
      <w:marRight w:val="0"/>
      <w:marTop w:val="0"/>
      <w:marBottom w:val="0"/>
      <w:divBdr>
        <w:top w:val="none" w:sz="0" w:space="0" w:color="auto"/>
        <w:left w:val="none" w:sz="0" w:space="0" w:color="auto"/>
        <w:bottom w:val="none" w:sz="0" w:space="0" w:color="auto"/>
        <w:right w:val="none" w:sz="0" w:space="0" w:color="auto"/>
      </w:divBdr>
    </w:div>
    <w:div w:id="923303228">
      <w:bodyDiv w:val="1"/>
      <w:marLeft w:val="0"/>
      <w:marRight w:val="0"/>
      <w:marTop w:val="0"/>
      <w:marBottom w:val="0"/>
      <w:divBdr>
        <w:top w:val="none" w:sz="0" w:space="0" w:color="auto"/>
        <w:left w:val="none" w:sz="0" w:space="0" w:color="auto"/>
        <w:bottom w:val="none" w:sz="0" w:space="0" w:color="auto"/>
        <w:right w:val="none" w:sz="0" w:space="0" w:color="auto"/>
      </w:divBdr>
    </w:div>
    <w:div w:id="928082551">
      <w:bodyDiv w:val="1"/>
      <w:marLeft w:val="0"/>
      <w:marRight w:val="0"/>
      <w:marTop w:val="0"/>
      <w:marBottom w:val="0"/>
      <w:divBdr>
        <w:top w:val="none" w:sz="0" w:space="0" w:color="auto"/>
        <w:left w:val="none" w:sz="0" w:space="0" w:color="auto"/>
        <w:bottom w:val="none" w:sz="0" w:space="0" w:color="auto"/>
        <w:right w:val="none" w:sz="0" w:space="0" w:color="auto"/>
      </w:divBdr>
    </w:div>
    <w:div w:id="943994685">
      <w:bodyDiv w:val="1"/>
      <w:marLeft w:val="0"/>
      <w:marRight w:val="0"/>
      <w:marTop w:val="0"/>
      <w:marBottom w:val="0"/>
      <w:divBdr>
        <w:top w:val="none" w:sz="0" w:space="0" w:color="auto"/>
        <w:left w:val="none" w:sz="0" w:space="0" w:color="auto"/>
        <w:bottom w:val="none" w:sz="0" w:space="0" w:color="auto"/>
        <w:right w:val="none" w:sz="0" w:space="0" w:color="auto"/>
      </w:divBdr>
    </w:div>
    <w:div w:id="952135210">
      <w:bodyDiv w:val="1"/>
      <w:marLeft w:val="0"/>
      <w:marRight w:val="0"/>
      <w:marTop w:val="0"/>
      <w:marBottom w:val="0"/>
      <w:divBdr>
        <w:top w:val="none" w:sz="0" w:space="0" w:color="auto"/>
        <w:left w:val="none" w:sz="0" w:space="0" w:color="auto"/>
        <w:bottom w:val="none" w:sz="0" w:space="0" w:color="auto"/>
        <w:right w:val="none" w:sz="0" w:space="0" w:color="auto"/>
      </w:divBdr>
    </w:div>
    <w:div w:id="1045835294">
      <w:bodyDiv w:val="1"/>
      <w:marLeft w:val="0"/>
      <w:marRight w:val="0"/>
      <w:marTop w:val="0"/>
      <w:marBottom w:val="0"/>
      <w:divBdr>
        <w:top w:val="none" w:sz="0" w:space="0" w:color="auto"/>
        <w:left w:val="none" w:sz="0" w:space="0" w:color="auto"/>
        <w:bottom w:val="none" w:sz="0" w:space="0" w:color="auto"/>
        <w:right w:val="none" w:sz="0" w:space="0" w:color="auto"/>
      </w:divBdr>
    </w:div>
    <w:div w:id="1084377902">
      <w:bodyDiv w:val="1"/>
      <w:marLeft w:val="0"/>
      <w:marRight w:val="0"/>
      <w:marTop w:val="0"/>
      <w:marBottom w:val="0"/>
      <w:divBdr>
        <w:top w:val="none" w:sz="0" w:space="0" w:color="auto"/>
        <w:left w:val="none" w:sz="0" w:space="0" w:color="auto"/>
        <w:bottom w:val="none" w:sz="0" w:space="0" w:color="auto"/>
        <w:right w:val="none" w:sz="0" w:space="0" w:color="auto"/>
      </w:divBdr>
    </w:div>
    <w:div w:id="1087576832">
      <w:bodyDiv w:val="1"/>
      <w:marLeft w:val="0"/>
      <w:marRight w:val="0"/>
      <w:marTop w:val="0"/>
      <w:marBottom w:val="0"/>
      <w:divBdr>
        <w:top w:val="none" w:sz="0" w:space="0" w:color="auto"/>
        <w:left w:val="none" w:sz="0" w:space="0" w:color="auto"/>
        <w:bottom w:val="none" w:sz="0" w:space="0" w:color="auto"/>
        <w:right w:val="none" w:sz="0" w:space="0" w:color="auto"/>
      </w:divBdr>
    </w:div>
    <w:div w:id="1123500569">
      <w:bodyDiv w:val="1"/>
      <w:marLeft w:val="0"/>
      <w:marRight w:val="0"/>
      <w:marTop w:val="0"/>
      <w:marBottom w:val="0"/>
      <w:divBdr>
        <w:top w:val="none" w:sz="0" w:space="0" w:color="auto"/>
        <w:left w:val="none" w:sz="0" w:space="0" w:color="auto"/>
        <w:bottom w:val="none" w:sz="0" w:space="0" w:color="auto"/>
        <w:right w:val="none" w:sz="0" w:space="0" w:color="auto"/>
      </w:divBdr>
    </w:div>
    <w:div w:id="1125662326">
      <w:bodyDiv w:val="1"/>
      <w:marLeft w:val="0"/>
      <w:marRight w:val="0"/>
      <w:marTop w:val="0"/>
      <w:marBottom w:val="0"/>
      <w:divBdr>
        <w:top w:val="none" w:sz="0" w:space="0" w:color="auto"/>
        <w:left w:val="none" w:sz="0" w:space="0" w:color="auto"/>
        <w:bottom w:val="none" w:sz="0" w:space="0" w:color="auto"/>
        <w:right w:val="none" w:sz="0" w:space="0" w:color="auto"/>
      </w:divBdr>
    </w:div>
    <w:div w:id="1141728051">
      <w:bodyDiv w:val="1"/>
      <w:marLeft w:val="0"/>
      <w:marRight w:val="0"/>
      <w:marTop w:val="0"/>
      <w:marBottom w:val="0"/>
      <w:divBdr>
        <w:top w:val="none" w:sz="0" w:space="0" w:color="auto"/>
        <w:left w:val="none" w:sz="0" w:space="0" w:color="auto"/>
        <w:bottom w:val="none" w:sz="0" w:space="0" w:color="auto"/>
        <w:right w:val="none" w:sz="0" w:space="0" w:color="auto"/>
      </w:divBdr>
    </w:div>
    <w:div w:id="1144397979">
      <w:bodyDiv w:val="1"/>
      <w:marLeft w:val="0"/>
      <w:marRight w:val="0"/>
      <w:marTop w:val="0"/>
      <w:marBottom w:val="0"/>
      <w:divBdr>
        <w:top w:val="none" w:sz="0" w:space="0" w:color="auto"/>
        <w:left w:val="none" w:sz="0" w:space="0" w:color="auto"/>
        <w:bottom w:val="none" w:sz="0" w:space="0" w:color="auto"/>
        <w:right w:val="none" w:sz="0" w:space="0" w:color="auto"/>
      </w:divBdr>
    </w:div>
    <w:div w:id="1149593558">
      <w:bodyDiv w:val="1"/>
      <w:marLeft w:val="0"/>
      <w:marRight w:val="0"/>
      <w:marTop w:val="0"/>
      <w:marBottom w:val="0"/>
      <w:divBdr>
        <w:top w:val="none" w:sz="0" w:space="0" w:color="auto"/>
        <w:left w:val="none" w:sz="0" w:space="0" w:color="auto"/>
        <w:bottom w:val="none" w:sz="0" w:space="0" w:color="auto"/>
        <w:right w:val="none" w:sz="0" w:space="0" w:color="auto"/>
      </w:divBdr>
    </w:div>
    <w:div w:id="1165364343">
      <w:bodyDiv w:val="1"/>
      <w:marLeft w:val="0"/>
      <w:marRight w:val="0"/>
      <w:marTop w:val="0"/>
      <w:marBottom w:val="0"/>
      <w:divBdr>
        <w:top w:val="none" w:sz="0" w:space="0" w:color="auto"/>
        <w:left w:val="none" w:sz="0" w:space="0" w:color="auto"/>
        <w:bottom w:val="none" w:sz="0" w:space="0" w:color="auto"/>
        <w:right w:val="none" w:sz="0" w:space="0" w:color="auto"/>
      </w:divBdr>
    </w:div>
    <w:div w:id="1203135936">
      <w:bodyDiv w:val="1"/>
      <w:marLeft w:val="0"/>
      <w:marRight w:val="0"/>
      <w:marTop w:val="0"/>
      <w:marBottom w:val="0"/>
      <w:divBdr>
        <w:top w:val="none" w:sz="0" w:space="0" w:color="auto"/>
        <w:left w:val="none" w:sz="0" w:space="0" w:color="auto"/>
        <w:bottom w:val="none" w:sz="0" w:space="0" w:color="auto"/>
        <w:right w:val="none" w:sz="0" w:space="0" w:color="auto"/>
      </w:divBdr>
    </w:div>
    <w:div w:id="1239317537">
      <w:bodyDiv w:val="1"/>
      <w:marLeft w:val="0"/>
      <w:marRight w:val="0"/>
      <w:marTop w:val="0"/>
      <w:marBottom w:val="0"/>
      <w:divBdr>
        <w:top w:val="none" w:sz="0" w:space="0" w:color="auto"/>
        <w:left w:val="none" w:sz="0" w:space="0" w:color="auto"/>
        <w:bottom w:val="none" w:sz="0" w:space="0" w:color="auto"/>
        <w:right w:val="none" w:sz="0" w:space="0" w:color="auto"/>
      </w:divBdr>
      <w:divsChild>
        <w:div w:id="2072729071">
          <w:marLeft w:val="0"/>
          <w:marRight w:val="0"/>
          <w:marTop w:val="0"/>
          <w:marBottom w:val="0"/>
          <w:divBdr>
            <w:top w:val="none" w:sz="0" w:space="0" w:color="auto"/>
            <w:left w:val="none" w:sz="0" w:space="0" w:color="auto"/>
            <w:bottom w:val="none" w:sz="0" w:space="0" w:color="auto"/>
            <w:right w:val="none" w:sz="0" w:space="0" w:color="auto"/>
          </w:divBdr>
        </w:div>
      </w:divsChild>
    </w:div>
    <w:div w:id="1278752594">
      <w:bodyDiv w:val="1"/>
      <w:marLeft w:val="0"/>
      <w:marRight w:val="0"/>
      <w:marTop w:val="0"/>
      <w:marBottom w:val="0"/>
      <w:divBdr>
        <w:top w:val="none" w:sz="0" w:space="0" w:color="auto"/>
        <w:left w:val="none" w:sz="0" w:space="0" w:color="auto"/>
        <w:bottom w:val="none" w:sz="0" w:space="0" w:color="auto"/>
        <w:right w:val="none" w:sz="0" w:space="0" w:color="auto"/>
      </w:divBdr>
    </w:div>
    <w:div w:id="1332296561">
      <w:bodyDiv w:val="1"/>
      <w:marLeft w:val="0"/>
      <w:marRight w:val="0"/>
      <w:marTop w:val="0"/>
      <w:marBottom w:val="0"/>
      <w:divBdr>
        <w:top w:val="none" w:sz="0" w:space="0" w:color="auto"/>
        <w:left w:val="none" w:sz="0" w:space="0" w:color="auto"/>
        <w:bottom w:val="none" w:sz="0" w:space="0" w:color="auto"/>
        <w:right w:val="none" w:sz="0" w:space="0" w:color="auto"/>
      </w:divBdr>
      <w:divsChild>
        <w:div w:id="1041203124">
          <w:marLeft w:val="0"/>
          <w:marRight w:val="0"/>
          <w:marTop w:val="0"/>
          <w:marBottom w:val="0"/>
          <w:divBdr>
            <w:top w:val="none" w:sz="0" w:space="0" w:color="auto"/>
            <w:left w:val="none" w:sz="0" w:space="0" w:color="auto"/>
            <w:bottom w:val="none" w:sz="0" w:space="0" w:color="auto"/>
            <w:right w:val="none" w:sz="0" w:space="0" w:color="auto"/>
          </w:divBdr>
        </w:div>
      </w:divsChild>
    </w:div>
    <w:div w:id="1371420624">
      <w:bodyDiv w:val="1"/>
      <w:marLeft w:val="0"/>
      <w:marRight w:val="0"/>
      <w:marTop w:val="0"/>
      <w:marBottom w:val="0"/>
      <w:divBdr>
        <w:top w:val="none" w:sz="0" w:space="0" w:color="auto"/>
        <w:left w:val="none" w:sz="0" w:space="0" w:color="auto"/>
        <w:bottom w:val="none" w:sz="0" w:space="0" w:color="auto"/>
        <w:right w:val="none" w:sz="0" w:space="0" w:color="auto"/>
      </w:divBdr>
      <w:divsChild>
        <w:div w:id="185753816">
          <w:marLeft w:val="0"/>
          <w:marRight w:val="0"/>
          <w:marTop w:val="0"/>
          <w:marBottom w:val="0"/>
          <w:divBdr>
            <w:top w:val="none" w:sz="0" w:space="0" w:color="auto"/>
            <w:left w:val="none" w:sz="0" w:space="0" w:color="auto"/>
            <w:bottom w:val="none" w:sz="0" w:space="0" w:color="auto"/>
            <w:right w:val="none" w:sz="0" w:space="0" w:color="auto"/>
          </w:divBdr>
        </w:div>
      </w:divsChild>
    </w:div>
    <w:div w:id="1395081558">
      <w:bodyDiv w:val="1"/>
      <w:marLeft w:val="0"/>
      <w:marRight w:val="0"/>
      <w:marTop w:val="0"/>
      <w:marBottom w:val="0"/>
      <w:divBdr>
        <w:top w:val="none" w:sz="0" w:space="0" w:color="auto"/>
        <w:left w:val="none" w:sz="0" w:space="0" w:color="auto"/>
        <w:bottom w:val="none" w:sz="0" w:space="0" w:color="auto"/>
        <w:right w:val="none" w:sz="0" w:space="0" w:color="auto"/>
      </w:divBdr>
    </w:div>
    <w:div w:id="1425343272">
      <w:bodyDiv w:val="1"/>
      <w:marLeft w:val="0"/>
      <w:marRight w:val="0"/>
      <w:marTop w:val="0"/>
      <w:marBottom w:val="0"/>
      <w:divBdr>
        <w:top w:val="none" w:sz="0" w:space="0" w:color="auto"/>
        <w:left w:val="none" w:sz="0" w:space="0" w:color="auto"/>
        <w:bottom w:val="none" w:sz="0" w:space="0" w:color="auto"/>
        <w:right w:val="none" w:sz="0" w:space="0" w:color="auto"/>
      </w:divBdr>
    </w:div>
    <w:div w:id="1477139099">
      <w:bodyDiv w:val="1"/>
      <w:marLeft w:val="0"/>
      <w:marRight w:val="0"/>
      <w:marTop w:val="0"/>
      <w:marBottom w:val="0"/>
      <w:divBdr>
        <w:top w:val="none" w:sz="0" w:space="0" w:color="auto"/>
        <w:left w:val="none" w:sz="0" w:space="0" w:color="auto"/>
        <w:bottom w:val="none" w:sz="0" w:space="0" w:color="auto"/>
        <w:right w:val="none" w:sz="0" w:space="0" w:color="auto"/>
      </w:divBdr>
    </w:div>
    <w:div w:id="1502500595">
      <w:bodyDiv w:val="1"/>
      <w:marLeft w:val="0"/>
      <w:marRight w:val="0"/>
      <w:marTop w:val="0"/>
      <w:marBottom w:val="0"/>
      <w:divBdr>
        <w:top w:val="none" w:sz="0" w:space="0" w:color="auto"/>
        <w:left w:val="none" w:sz="0" w:space="0" w:color="auto"/>
        <w:bottom w:val="none" w:sz="0" w:space="0" w:color="auto"/>
        <w:right w:val="none" w:sz="0" w:space="0" w:color="auto"/>
      </w:divBdr>
      <w:divsChild>
        <w:div w:id="887032048">
          <w:marLeft w:val="0"/>
          <w:marRight w:val="0"/>
          <w:marTop w:val="0"/>
          <w:marBottom w:val="0"/>
          <w:divBdr>
            <w:top w:val="none" w:sz="0" w:space="0" w:color="auto"/>
            <w:left w:val="none" w:sz="0" w:space="0" w:color="auto"/>
            <w:bottom w:val="none" w:sz="0" w:space="0" w:color="auto"/>
            <w:right w:val="none" w:sz="0" w:space="0" w:color="auto"/>
          </w:divBdr>
        </w:div>
      </w:divsChild>
    </w:div>
    <w:div w:id="1512599341">
      <w:bodyDiv w:val="1"/>
      <w:marLeft w:val="0"/>
      <w:marRight w:val="0"/>
      <w:marTop w:val="0"/>
      <w:marBottom w:val="0"/>
      <w:divBdr>
        <w:top w:val="none" w:sz="0" w:space="0" w:color="auto"/>
        <w:left w:val="none" w:sz="0" w:space="0" w:color="auto"/>
        <w:bottom w:val="none" w:sz="0" w:space="0" w:color="auto"/>
        <w:right w:val="none" w:sz="0" w:space="0" w:color="auto"/>
      </w:divBdr>
    </w:div>
    <w:div w:id="1513299256">
      <w:bodyDiv w:val="1"/>
      <w:marLeft w:val="0"/>
      <w:marRight w:val="0"/>
      <w:marTop w:val="0"/>
      <w:marBottom w:val="0"/>
      <w:divBdr>
        <w:top w:val="none" w:sz="0" w:space="0" w:color="auto"/>
        <w:left w:val="none" w:sz="0" w:space="0" w:color="auto"/>
        <w:bottom w:val="none" w:sz="0" w:space="0" w:color="auto"/>
        <w:right w:val="none" w:sz="0" w:space="0" w:color="auto"/>
      </w:divBdr>
    </w:div>
    <w:div w:id="1542397305">
      <w:bodyDiv w:val="1"/>
      <w:marLeft w:val="0"/>
      <w:marRight w:val="0"/>
      <w:marTop w:val="0"/>
      <w:marBottom w:val="0"/>
      <w:divBdr>
        <w:top w:val="none" w:sz="0" w:space="0" w:color="auto"/>
        <w:left w:val="none" w:sz="0" w:space="0" w:color="auto"/>
        <w:bottom w:val="none" w:sz="0" w:space="0" w:color="auto"/>
        <w:right w:val="none" w:sz="0" w:space="0" w:color="auto"/>
      </w:divBdr>
      <w:divsChild>
        <w:div w:id="316568940">
          <w:marLeft w:val="0"/>
          <w:marRight w:val="0"/>
          <w:marTop w:val="0"/>
          <w:marBottom w:val="0"/>
          <w:divBdr>
            <w:top w:val="none" w:sz="0" w:space="0" w:color="auto"/>
            <w:left w:val="none" w:sz="0" w:space="0" w:color="auto"/>
            <w:bottom w:val="none" w:sz="0" w:space="0" w:color="auto"/>
            <w:right w:val="none" w:sz="0" w:space="0" w:color="auto"/>
          </w:divBdr>
        </w:div>
      </w:divsChild>
    </w:div>
    <w:div w:id="1558665123">
      <w:bodyDiv w:val="1"/>
      <w:marLeft w:val="0"/>
      <w:marRight w:val="0"/>
      <w:marTop w:val="0"/>
      <w:marBottom w:val="0"/>
      <w:divBdr>
        <w:top w:val="none" w:sz="0" w:space="0" w:color="auto"/>
        <w:left w:val="none" w:sz="0" w:space="0" w:color="auto"/>
        <w:bottom w:val="none" w:sz="0" w:space="0" w:color="auto"/>
        <w:right w:val="none" w:sz="0" w:space="0" w:color="auto"/>
      </w:divBdr>
    </w:div>
    <w:div w:id="1567256559">
      <w:bodyDiv w:val="1"/>
      <w:marLeft w:val="0"/>
      <w:marRight w:val="0"/>
      <w:marTop w:val="0"/>
      <w:marBottom w:val="0"/>
      <w:divBdr>
        <w:top w:val="none" w:sz="0" w:space="0" w:color="auto"/>
        <w:left w:val="none" w:sz="0" w:space="0" w:color="auto"/>
        <w:bottom w:val="none" w:sz="0" w:space="0" w:color="auto"/>
        <w:right w:val="none" w:sz="0" w:space="0" w:color="auto"/>
      </w:divBdr>
    </w:div>
    <w:div w:id="1580167758">
      <w:bodyDiv w:val="1"/>
      <w:marLeft w:val="0"/>
      <w:marRight w:val="0"/>
      <w:marTop w:val="0"/>
      <w:marBottom w:val="0"/>
      <w:divBdr>
        <w:top w:val="none" w:sz="0" w:space="0" w:color="auto"/>
        <w:left w:val="none" w:sz="0" w:space="0" w:color="auto"/>
        <w:bottom w:val="none" w:sz="0" w:space="0" w:color="auto"/>
        <w:right w:val="none" w:sz="0" w:space="0" w:color="auto"/>
      </w:divBdr>
    </w:div>
    <w:div w:id="1597397413">
      <w:bodyDiv w:val="1"/>
      <w:marLeft w:val="0"/>
      <w:marRight w:val="0"/>
      <w:marTop w:val="0"/>
      <w:marBottom w:val="0"/>
      <w:divBdr>
        <w:top w:val="none" w:sz="0" w:space="0" w:color="auto"/>
        <w:left w:val="none" w:sz="0" w:space="0" w:color="auto"/>
        <w:bottom w:val="none" w:sz="0" w:space="0" w:color="auto"/>
        <w:right w:val="none" w:sz="0" w:space="0" w:color="auto"/>
      </w:divBdr>
    </w:div>
    <w:div w:id="1599220224">
      <w:bodyDiv w:val="1"/>
      <w:marLeft w:val="0"/>
      <w:marRight w:val="0"/>
      <w:marTop w:val="0"/>
      <w:marBottom w:val="0"/>
      <w:divBdr>
        <w:top w:val="none" w:sz="0" w:space="0" w:color="auto"/>
        <w:left w:val="none" w:sz="0" w:space="0" w:color="auto"/>
        <w:bottom w:val="none" w:sz="0" w:space="0" w:color="auto"/>
        <w:right w:val="none" w:sz="0" w:space="0" w:color="auto"/>
      </w:divBdr>
    </w:div>
    <w:div w:id="1688091734">
      <w:bodyDiv w:val="1"/>
      <w:marLeft w:val="0"/>
      <w:marRight w:val="0"/>
      <w:marTop w:val="0"/>
      <w:marBottom w:val="0"/>
      <w:divBdr>
        <w:top w:val="none" w:sz="0" w:space="0" w:color="auto"/>
        <w:left w:val="none" w:sz="0" w:space="0" w:color="auto"/>
        <w:bottom w:val="none" w:sz="0" w:space="0" w:color="auto"/>
        <w:right w:val="none" w:sz="0" w:space="0" w:color="auto"/>
      </w:divBdr>
      <w:divsChild>
        <w:div w:id="1290092466">
          <w:marLeft w:val="0"/>
          <w:marRight w:val="0"/>
          <w:marTop w:val="0"/>
          <w:marBottom w:val="0"/>
          <w:divBdr>
            <w:top w:val="none" w:sz="0" w:space="0" w:color="auto"/>
            <w:left w:val="none" w:sz="0" w:space="0" w:color="auto"/>
            <w:bottom w:val="none" w:sz="0" w:space="0" w:color="auto"/>
            <w:right w:val="none" w:sz="0" w:space="0" w:color="auto"/>
          </w:divBdr>
        </w:div>
      </w:divsChild>
    </w:div>
    <w:div w:id="1698895208">
      <w:bodyDiv w:val="1"/>
      <w:marLeft w:val="0"/>
      <w:marRight w:val="0"/>
      <w:marTop w:val="0"/>
      <w:marBottom w:val="0"/>
      <w:divBdr>
        <w:top w:val="none" w:sz="0" w:space="0" w:color="auto"/>
        <w:left w:val="none" w:sz="0" w:space="0" w:color="auto"/>
        <w:bottom w:val="none" w:sz="0" w:space="0" w:color="auto"/>
        <w:right w:val="none" w:sz="0" w:space="0" w:color="auto"/>
      </w:divBdr>
    </w:div>
    <w:div w:id="1705324577">
      <w:bodyDiv w:val="1"/>
      <w:marLeft w:val="0"/>
      <w:marRight w:val="0"/>
      <w:marTop w:val="0"/>
      <w:marBottom w:val="0"/>
      <w:divBdr>
        <w:top w:val="none" w:sz="0" w:space="0" w:color="auto"/>
        <w:left w:val="none" w:sz="0" w:space="0" w:color="auto"/>
        <w:bottom w:val="none" w:sz="0" w:space="0" w:color="auto"/>
        <w:right w:val="none" w:sz="0" w:space="0" w:color="auto"/>
      </w:divBdr>
      <w:divsChild>
        <w:div w:id="1200044412">
          <w:marLeft w:val="0"/>
          <w:marRight w:val="0"/>
          <w:marTop w:val="0"/>
          <w:marBottom w:val="0"/>
          <w:divBdr>
            <w:top w:val="none" w:sz="0" w:space="0" w:color="auto"/>
            <w:left w:val="none" w:sz="0" w:space="0" w:color="auto"/>
            <w:bottom w:val="none" w:sz="0" w:space="0" w:color="auto"/>
            <w:right w:val="none" w:sz="0" w:space="0" w:color="auto"/>
          </w:divBdr>
        </w:div>
      </w:divsChild>
    </w:div>
    <w:div w:id="1759594702">
      <w:bodyDiv w:val="1"/>
      <w:marLeft w:val="0"/>
      <w:marRight w:val="0"/>
      <w:marTop w:val="0"/>
      <w:marBottom w:val="0"/>
      <w:divBdr>
        <w:top w:val="none" w:sz="0" w:space="0" w:color="auto"/>
        <w:left w:val="none" w:sz="0" w:space="0" w:color="auto"/>
        <w:bottom w:val="none" w:sz="0" w:space="0" w:color="auto"/>
        <w:right w:val="none" w:sz="0" w:space="0" w:color="auto"/>
      </w:divBdr>
    </w:div>
    <w:div w:id="1759670938">
      <w:bodyDiv w:val="1"/>
      <w:marLeft w:val="0"/>
      <w:marRight w:val="0"/>
      <w:marTop w:val="0"/>
      <w:marBottom w:val="0"/>
      <w:divBdr>
        <w:top w:val="none" w:sz="0" w:space="0" w:color="auto"/>
        <w:left w:val="none" w:sz="0" w:space="0" w:color="auto"/>
        <w:bottom w:val="none" w:sz="0" w:space="0" w:color="auto"/>
        <w:right w:val="none" w:sz="0" w:space="0" w:color="auto"/>
      </w:divBdr>
    </w:div>
    <w:div w:id="1792284151">
      <w:bodyDiv w:val="1"/>
      <w:marLeft w:val="0"/>
      <w:marRight w:val="0"/>
      <w:marTop w:val="0"/>
      <w:marBottom w:val="0"/>
      <w:divBdr>
        <w:top w:val="none" w:sz="0" w:space="0" w:color="auto"/>
        <w:left w:val="none" w:sz="0" w:space="0" w:color="auto"/>
        <w:bottom w:val="none" w:sz="0" w:space="0" w:color="auto"/>
        <w:right w:val="none" w:sz="0" w:space="0" w:color="auto"/>
      </w:divBdr>
    </w:div>
    <w:div w:id="1804033093">
      <w:bodyDiv w:val="1"/>
      <w:marLeft w:val="0"/>
      <w:marRight w:val="0"/>
      <w:marTop w:val="0"/>
      <w:marBottom w:val="0"/>
      <w:divBdr>
        <w:top w:val="none" w:sz="0" w:space="0" w:color="auto"/>
        <w:left w:val="none" w:sz="0" w:space="0" w:color="auto"/>
        <w:bottom w:val="none" w:sz="0" w:space="0" w:color="auto"/>
        <w:right w:val="none" w:sz="0" w:space="0" w:color="auto"/>
      </w:divBdr>
    </w:div>
    <w:div w:id="1829442243">
      <w:bodyDiv w:val="1"/>
      <w:marLeft w:val="0"/>
      <w:marRight w:val="0"/>
      <w:marTop w:val="0"/>
      <w:marBottom w:val="0"/>
      <w:divBdr>
        <w:top w:val="none" w:sz="0" w:space="0" w:color="auto"/>
        <w:left w:val="none" w:sz="0" w:space="0" w:color="auto"/>
        <w:bottom w:val="none" w:sz="0" w:space="0" w:color="auto"/>
        <w:right w:val="none" w:sz="0" w:space="0" w:color="auto"/>
      </w:divBdr>
    </w:div>
    <w:div w:id="1855149652">
      <w:bodyDiv w:val="1"/>
      <w:marLeft w:val="0"/>
      <w:marRight w:val="0"/>
      <w:marTop w:val="0"/>
      <w:marBottom w:val="0"/>
      <w:divBdr>
        <w:top w:val="none" w:sz="0" w:space="0" w:color="auto"/>
        <w:left w:val="none" w:sz="0" w:space="0" w:color="auto"/>
        <w:bottom w:val="none" w:sz="0" w:space="0" w:color="auto"/>
        <w:right w:val="none" w:sz="0" w:space="0" w:color="auto"/>
      </w:divBdr>
    </w:div>
    <w:div w:id="1857108925">
      <w:bodyDiv w:val="1"/>
      <w:marLeft w:val="0"/>
      <w:marRight w:val="0"/>
      <w:marTop w:val="0"/>
      <w:marBottom w:val="0"/>
      <w:divBdr>
        <w:top w:val="none" w:sz="0" w:space="0" w:color="auto"/>
        <w:left w:val="none" w:sz="0" w:space="0" w:color="auto"/>
        <w:bottom w:val="none" w:sz="0" w:space="0" w:color="auto"/>
        <w:right w:val="none" w:sz="0" w:space="0" w:color="auto"/>
      </w:divBdr>
    </w:div>
    <w:div w:id="1871456839">
      <w:bodyDiv w:val="1"/>
      <w:marLeft w:val="0"/>
      <w:marRight w:val="0"/>
      <w:marTop w:val="0"/>
      <w:marBottom w:val="0"/>
      <w:divBdr>
        <w:top w:val="none" w:sz="0" w:space="0" w:color="auto"/>
        <w:left w:val="none" w:sz="0" w:space="0" w:color="auto"/>
        <w:bottom w:val="none" w:sz="0" w:space="0" w:color="auto"/>
        <w:right w:val="none" w:sz="0" w:space="0" w:color="auto"/>
      </w:divBdr>
    </w:div>
    <w:div w:id="1887182454">
      <w:bodyDiv w:val="1"/>
      <w:marLeft w:val="0"/>
      <w:marRight w:val="0"/>
      <w:marTop w:val="0"/>
      <w:marBottom w:val="0"/>
      <w:divBdr>
        <w:top w:val="none" w:sz="0" w:space="0" w:color="auto"/>
        <w:left w:val="none" w:sz="0" w:space="0" w:color="auto"/>
        <w:bottom w:val="none" w:sz="0" w:space="0" w:color="auto"/>
        <w:right w:val="none" w:sz="0" w:space="0" w:color="auto"/>
      </w:divBdr>
    </w:div>
    <w:div w:id="1934047083">
      <w:bodyDiv w:val="1"/>
      <w:marLeft w:val="0"/>
      <w:marRight w:val="0"/>
      <w:marTop w:val="0"/>
      <w:marBottom w:val="0"/>
      <w:divBdr>
        <w:top w:val="none" w:sz="0" w:space="0" w:color="auto"/>
        <w:left w:val="none" w:sz="0" w:space="0" w:color="auto"/>
        <w:bottom w:val="none" w:sz="0" w:space="0" w:color="auto"/>
        <w:right w:val="none" w:sz="0" w:space="0" w:color="auto"/>
      </w:divBdr>
    </w:div>
    <w:div w:id="1935241305">
      <w:bodyDiv w:val="1"/>
      <w:marLeft w:val="0"/>
      <w:marRight w:val="0"/>
      <w:marTop w:val="0"/>
      <w:marBottom w:val="0"/>
      <w:divBdr>
        <w:top w:val="none" w:sz="0" w:space="0" w:color="auto"/>
        <w:left w:val="none" w:sz="0" w:space="0" w:color="auto"/>
        <w:bottom w:val="none" w:sz="0" w:space="0" w:color="auto"/>
        <w:right w:val="none" w:sz="0" w:space="0" w:color="auto"/>
      </w:divBdr>
    </w:div>
    <w:div w:id="1963685420">
      <w:bodyDiv w:val="1"/>
      <w:marLeft w:val="0"/>
      <w:marRight w:val="0"/>
      <w:marTop w:val="0"/>
      <w:marBottom w:val="0"/>
      <w:divBdr>
        <w:top w:val="none" w:sz="0" w:space="0" w:color="auto"/>
        <w:left w:val="none" w:sz="0" w:space="0" w:color="auto"/>
        <w:bottom w:val="none" w:sz="0" w:space="0" w:color="auto"/>
        <w:right w:val="none" w:sz="0" w:space="0" w:color="auto"/>
      </w:divBdr>
    </w:div>
    <w:div w:id="1977032133">
      <w:bodyDiv w:val="1"/>
      <w:marLeft w:val="0"/>
      <w:marRight w:val="0"/>
      <w:marTop w:val="0"/>
      <w:marBottom w:val="0"/>
      <w:divBdr>
        <w:top w:val="none" w:sz="0" w:space="0" w:color="auto"/>
        <w:left w:val="none" w:sz="0" w:space="0" w:color="auto"/>
        <w:bottom w:val="none" w:sz="0" w:space="0" w:color="auto"/>
        <w:right w:val="none" w:sz="0" w:space="0" w:color="auto"/>
      </w:divBdr>
    </w:div>
    <w:div w:id="2003048809">
      <w:bodyDiv w:val="1"/>
      <w:marLeft w:val="0"/>
      <w:marRight w:val="0"/>
      <w:marTop w:val="0"/>
      <w:marBottom w:val="0"/>
      <w:divBdr>
        <w:top w:val="none" w:sz="0" w:space="0" w:color="auto"/>
        <w:left w:val="none" w:sz="0" w:space="0" w:color="auto"/>
        <w:bottom w:val="none" w:sz="0" w:space="0" w:color="auto"/>
        <w:right w:val="none" w:sz="0" w:space="0" w:color="auto"/>
      </w:divBdr>
    </w:div>
    <w:div w:id="2064526268">
      <w:bodyDiv w:val="1"/>
      <w:marLeft w:val="0"/>
      <w:marRight w:val="0"/>
      <w:marTop w:val="0"/>
      <w:marBottom w:val="0"/>
      <w:divBdr>
        <w:top w:val="none" w:sz="0" w:space="0" w:color="auto"/>
        <w:left w:val="none" w:sz="0" w:space="0" w:color="auto"/>
        <w:bottom w:val="none" w:sz="0" w:space="0" w:color="auto"/>
        <w:right w:val="none" w:sz="0" w:space="0" w:color="auto"/>
      </w:divBdr>
    </w:div>
    <w:div w:id="2087872940">
      <w:bodyDiv w:val="1"/>
      <w:marLeft w:val="0"/>
      <w:marRight w:val="0"/>
      <w:marTop w:val="0"/>
      <w:marBottom w:val="0"/>
      <w:divBdr>
        <w:top w:val="none" w:sz="0" w:space="0" w:color="auto"/>
        <w:left w:val="none" w:sz="0" w:space="0" w:color="auto"/>
        <w:bottom w:val="none" w:sz="0" w:space="0" w:color="auto"/>
        <w:right w:val="none" w:sz="0" w:space="0" w:color="auto"/>
      </w:divBdr>
    </w:div>
    <w:div w:id="2114157448">
      <w:bodyDiv w:val="1"/>
      <w:marLeft w:val="0"/>
      <w:marRight w:val="0"/>
      <w:marTop w:val="0"/>
      <w:marBottom w:val="0"/>
      <w:divBdr>
        <w:top w:val="none" w:sz="0" w:space="0" w:color="auto"/>
        <w:left w:val="none" w:sz="0" w:space="0" w:color="auto"/>
        <w:bottom w:val="none" w:sz="0" w:space="0" w:color="auto"/>
        <w:right w:val="none" w:sz="0" w:space="0" w:color="auto"/>
      </w:divBdr>
    </w:div>
    <w:div w:id="2129658202">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DonutTrsy!$D$1</c:f>
              <c:strCache>
                <c:ptCount val="1"/>
                <c:pt idx="0">
                  <c:v>Rec</c:v>
                </c:pt>
              </c:strCache>
            </c:strRef>
          </c:tx>
          <c:dPt>
            <c:idx val="0"/>
            <c:bubble3D val="0"/>
            <c:spPr>
              <a:solidFill>
                <a:srgbClr val="008EBA"/>
              </a:solidFill>
              <a:ln>
                <a:noFill/>
              </a:ln>
              <a:effectLst/>
            </c:spPr>
            <c:extLst>
              <c:ext xmlns:c16="http://schemas.microsoft.com/office/drawing/2014/chart" uri="{C3380CC4-5D6E-409C-BE32-E72D297353CC}">
                <c16:uniqueId val="{00000001-A66B-4D49-9A9F-B5A968293704}"/>
              </c:ext>
            </c:extLst>
          </c:dPt>
          <c:dPt>
            <c:idx val="1"/>
            <c:bubble3D val="0"/>
            <c:spPr>
              <a:solidFill>
                <a:srgbClr val="00426F"/>
              </a:solidFill>
              <a:ln>
                <a:noFill/>
              </a:ln>
              <a:effectLst/>
            </c:spPr>
            <c:extLst>
              <c:ext xmlns:c16="http://schemas.microsoft.com/office/drawing/2014/chart" uri="{C3380CC4-5D6E-409C-BE32-E72D297353CC}">
                <c16:uniqueId val="{00000003-A66B-4D49-9A9F-B5A968293704}"/>
              </c:ext>
            </c:extLst>
          </c:dPt>
          <c:dLbls>
            <c:dLbl>
              <c:idx val="0"/>
              <c:layout>
                <c:manualLayout>
                  <c:x val="0.29186080112687279"/>
                  <c:y val="1.1645561718815022E-2"/>
                </c:manualLayout>
              </c:layout>
              <c:tx>
                <c:rich>
                  <a:bodyPr/>
                  <a:lstStyle/>
                  <a:p>
                    <a:r>
                      <a:rPr lang="en-US"/>
                      <a:t> </a:t>
                    </a:r>
                    <a:fld id="{58540DA8-E9AE-4512-986B-D6329FC99109}" type="CATEGORYNAME">
                      <a:rPr lang="en-US"/>
                      <a:pPr/>
                      <a:t>[CATEGORY NAME]</a:t>
                    </a:fld>
                    <a:endParaRPr lang="en-US"/>
                  </a:p>
                </c:rich>
              </c:tx>
              <c:showLegendKey val="0"/>
              <c:showVal val="0"/>
              <c:showCatName val="1"/>
              <c:showSerName val="1"/>
              <c:showPercent val="0"/>
              <c:showBubbleSize val="0"/>
              <c:extLst>
                <c:ext xmlns:c15="http://schemas.microsoft.com/office/drawing/2012/chart" uri="{CE6537A1-D6FC-4f65-9D91-7224C49458BB}">
                  <c15:layout>
                    <c:manualLayout>
                      <c:w val="0.36718870376027718"/>
                      <c:h val="0.18991240202294168"/>
                    </c:manualLayout>
                  </c15:layout>
                  <c15:dlblFieldTable/>
                  <c15:showDataLabelsRange val="0"/>
                </c:ext>
                <c:ext xmlns:c16="http://schemas.microsoft.com/office/drawing/2014/chart" uri="{C3380CC4-5D6E-409C-BE32-E72D297353CC}">
                  <c16:uniqueId val="{00000001-A66B-4D49-9A9F-B5A968293704}"/>
                </c:ext>
              </c:extLst>
            </c:dLbl>
            <c:dLbl>
              <c:idx val="1"/>
              <c:layout>
                <c:manualLayout>
                  <c:x val="-8.6373611111111137E-2"/>
                  <c:y val="-0.13839384110471062"/>
                </c:manualLayout>
              </c:layout>
              <c:showLegendKey val="0"/>
              <c:showVal val="0"/>
              <c:showCatName val="1"/>
              <c:showSerName val="0"/>
              <c:showPercent val="0"/>
              <c:showBubbleSize val="0"/>
              <c:extLst>
                <c:ext xmlns:c15="http://schemas.microsoft.com/office/drawing/2012/chart" uri="{CE6537A1-D6FC-4f65-9D91-7224C49458BB}">
                  <c15:layout>
                    <c:manualLayout>
                      <c:w val="0.20655138888888888"/>
                      <c:h val="0.12929101320596151"/>
                    </c:manualLayout>
                  </c15:layout>
                </c:ext>
                <c:ext xmlns:c16="http://schemas.microsoft.com/office/drawing/2014/chart" uri="{C3380CC4-5D6E-409C-BE32-E72D297353CC}">
                  <c16:uniqueId val="{00000003-A66B-4D49-9A9F-B5A96829370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extLst>
          </c:dLbls>
          <c:cat>
            <c:strRef>
              <c:f>(DonutTrsy!$C$2:$C$8,DonutTrsy!$C$10)</c:f>
              <c:strCache>
                <c:ptCount val="2"/>
                <c:pt idx="0">
                  <c:v>A sustainable fiscal environment enabling delivery of outcomes $12.0b, 96%</c:v>
                </c:pt>
                <c:pt idx="1">
                  <c:v>Other State Outcomes $529.5m, 4%</c:v>
                </c:pt>
              </c:strCache>
            </c:strRef>
          </c:cat>
          <c:val>
            <c:numRef>
              <c:f>(DonutTrsy!$D$2:$D$8,DonutTrsy!$D$10)</c:f>
              <c:numCache>
                <c:formatCode>"$"#,##0.0;\-"$"#,##0.0</c:formatCode>
                <c:ptCount val="2"/>
                <c:pt idx="0">
                  <c:v>12018956385.240004</c:v>
                </c:pt>
                <c:pt idx="1">
                  <c:v>529458284.58999991</c:v>
                </c:pt>
              </c:numCache>
            </c:numRef>
          </c:val>
          <c:extLst>
            <c:ext xmlns:c16="http://schemas.microsoft.com/office/drawing/2014/chart" uri="{C3380CC4-5D6E-409C-BE32-E72D297353CC}">
              <c16:uniqueId val="{00000004-A66B-4D49-9A9F-B5A96829370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DonutTrsy!$D$16</c:f>
              <c:strCache>
                <c:ptCount val="1"/>
                <c:pt idx="0">
                  <c:v>Cap</c:v>
                </c:pt>
              </c:strCache>
            </c:strRef>
          </c:tx>
          <c:spPr>
            <a:ln>
              <a:noFill/>
            </a:ln>
          </c:spPr>
          <c:dPt>
            <c:idx val="0"/>
            <c:bubble3D val="0"/>
            <c:spPr>
              <a:solidFill>
                <a:srgbClr val="008EBA"/>
              </a:solidFill>
              <a:ln>
                <a:noFill/>
              </a:ln>
              <a:effectLst/>
            </c:spPr>
            <c:extLst>
              <c:ext xmlns:c16="http://schemas.microsoft.com/office/drawing/2014/chart" uri="{C3380CC4-5D6E-409C-BE32-E72D297353CC}">
                <c16:uniqueId val="{00000001-8C6E-4A4F-B45D-9967245F1AA6}"/>
              </c:ext>
            </c:extLst>
          </c:dPt>
          <c:dPt>
            <c:idx val="1"/>
            <c:bubble3D val="0"/>
            <c:spPr>
              <a:solidFill>
                <a:srgbClr val="00426F"/>
              </a:solidFill>
              <a:ln>
                <a:noFill/>
              </a:ln>
              <a:effectLst/>
            </c:spPr>
            <c:extLst>
              <c:ext xmlns:c16="http://schemas.microsoft.com/office/drawing/2014/chart" uri="{C3380CC4-5D6E-409C-BE32-E72D297353CC}">
                <c16:uniqueId val="{00000003-8C6E-4A4F-B45D-9967245F1AA6}"/>
              </c:ext>
            </c:extLst>
          </c:dPt>
          <c:dPt>
            <c:idx val="2"/>
            <c:bubble3D val="0"/>
            <c:spPr>
              <a:solidFill>
                <a:srgbClr val="53C8E9"/>
              </a:solidFill>
              <a:ln>
                <a:noFill/>
              </a:ln>
              <a:effectLst/>
            </c:spPr>
            <c:extLst>
              <c:ext xmlns:c16="http://schemas.microsoft.com/office/drawing/2014/chart" uri="{C3380CC4-5D6E-409C-BE32-E72D297353CC}">
                <c16:uniqueId val="{00000005-8C6E-4A4F-B45D-9967245F1AA6}"/>
              </c:ext>
            </c:extLst>
          </c:dPt>
          <c:dLbls>
            <c:dLbl>
              <c:idx val="0"/>
              <c:layout>
                <c:manualLayout>
                  <c:x val="0.19149640511770932"/>
                  <c:y val="-2.6930361570629089E-3"/>
                </c:manualLayout>
              </c:layout>
              <c:showLegendKey val="0"/>
              <c:showVal val="0"/>
              <c:showCatName val="1"/>
              <c:showSerName val="0"/>
              <c:showPercent val="0"/>
              <c:showBubbleSize val="0"/>
              <c:extLst>
                <c:ext xmlns:c15="http://schemas.microsoft.com/office/drawing/2012/chart" uri="{CE6537A1-D6FC-4f65-9D91-7224C49458BB}">
                  <c15:layout>
                    <c:manualLayout>
                      <c:w val="0.28174010928372517"/>
                      <c:h val="0.19017954506497248"/>
                    </c:manualLayout>
                  </c15:layout>
                </c:ext>
                <c:ext xmlns:c16="http://schemas.microsoft.com/office/drawing/2014/chart" uri="{C3380CC4-5D6E-409C-BE32-E72D297353CC}">
                  <c16:uniqueId val="{00000001-8C6E-4A4F-B45D-9967245F1AA6}"/>
                </c:ext>
              </c:extLst>
            </c:dLbl>
            <c:dLbl>
              <c:idx val="1"/>
              <c:layout>
                <c:manualLayout>
                  <c:x val="0.29134455931788761"/>
                  <c:y val="1.0730051477435299E-2"/>
                </c:manualLayout>
              </c:layout>
              <c:showLegendKey val="0"/>
              <c:showVal val="0"/>
              <c:showCatName val="1"/>
              <c:showSerName val="0"/>
              <c:showPercent val="0"/>
              <c:showBubbleSize val="0"/>
              <c:extLst>
                <c:ext xmlns:c15="http://schemas.microsoft.com/office/drawing/2012/chart" uri="{CE6537A1-D6FC-4f65-9D91-7224C49458BB}">
                  <c15:layout>
                    <c:manualLayout>
                      <c:w val="0.25291969222801397"/>
                      <c:h val="0.20917346540575435"/>
                    </c:manualLayout>
                  </c15:layout>
                </c:ext>
                <c:ext xmlns:c16="http://schemas.microsoft.com/office/drawing/2014/chart" uri="{C3380CC4-5D6E-409C-BE32-E72D297353CC}">
                  <c16:uniqueId val="{00000003-8C6E-4A4F-B45D-9967245F1AA6}"/>
                </c:ext>
              </c:extLst>
            </c:dLbl>
            <c:dLbl>
              <c:idx val="2"/>
              <c:layout>
                <c:manualLayout>
                  <c:x val="-0.1715542093186064"/>
                  <c:y val="-5.4276732082875929E-2"/>
                </c:manualLayout>
              </c:layout>
              <c:showLegendKey val="0"/>
              <c:showVal val="0"/>
              <c:showCatName val="1"/>
              <c:showSerName val="0"/>
              <c:showPercent val="0"/>
              <c:showBubbleSize val="0"/>
              <c:extLst>
                <c:ext xmlns:c15="http://schemas.microsoft.com/office/drawing/2012/chart" uri="{CE6537A1-D6FC-4f65-9D91-7224C49458BB}">
                  <c15:layout>
                    <c:manualLayout>
                      <c:w val="0.25959549174000307"/>
                      <c:h val="0.24611642164460801"/>
                    </c:manualLayout>
                  </c15:layout>
                </c:ext>
                <c:ext xmlns:c16="http://schemas.microsoft.com/office/drawing/2014/chart" uri="{C3380CC4-5D6E-409C-BE32-E72D297353CC}">
                  <c16:uniqueId val="{00000005-8C6E-4A4F-B45D-9967245F1AA6}"/>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(DonutTrsy!$C$17:$C$23,DonutTrsy!$C$25)</c:f>
              <c:strCache>
                <c:ptCount val="3"/>
                <c:pt idx="0">
                  <c:v>A strong, resilient and diverse economy $5.1m, 27%</c:v>
                </c:pt>
                <c:pt idx="1">
                  <c:v>A sustainable fiscal environment enabling delivery of outcomes $9.3m, 50%</c:v>
                </c:pt>
                <c:pt idx="2">
                  <c:v>Stewardship of the public sector performance and financial system $4.2m, 22%</c:v>
                </c:pt>
              </c:strCache>
            </c:strRef>
          </c:cat>
          <c:val>
            <c:numRef>
              <c:f>(DonutTrsy!$D$17:$D$23,DonutTrsy!$D$25)</c:f>
              <c:numCache>
                <c:formatCode>"$"#,##0.0;\-"$"#,##0.0</c:formatCode>
                <c:ptCount val="3"/>
                <c:pt idx="0">
                  <c:v>5062403</c:v>
                </c:pt>
                <c:pt idx="1">
                  <c:v>9318666</c:v>
                </c:pt>
                <c:pt idx="2">
                  <c:v>4155931</c:v>
                </c:pt>
              </c:numCache>
            </c:numRef>
          </c:val>
          <c:extLst>
            <c:ext xmlns:c16="http://schemas.microsoft.com/office/drawing/2014/chart" uri="{C3380CC4-5D6E-409C-BE32-E72D297353CC}">
              <c16:uniqueId val="{00000006-8C6E-4A4F-B45D-9967245F1AA6}"/>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37FC648-E743-40E3-B365-A906C479B804}">
    <t:Anchor>
      <t:Comment id="1739137785"/>
    </t:Anchor>
    <t:History>
      <t:Event id="{E44434F4-3878-4DBF-AABC-228686823DEE}" time="2021-05-10T07:04:05Z">
        <t:Attribution userId="S::dougal.horton@treasury.nsw.gov.au::396cafb5-fe97-4264-9daa-c448f11abf02" userProvider="AD" userName="Dougal Horton"/>
        <t:Anchor>
          <t:Comment id="1739137785"/>
        </t:Anchor>
        <t:Create/>
      </t:Event>
      <t:Event id="{9D0D0039-8FAD-4E84-9BDA-D57D91A61C18}" time="2021-05-10T07:04:05Z">
        <t:Attribution userId="S::dougal.horton@treasury.nsw.gov.au::396cafb5-fe97-4264-9daa-c448f11abf02" userProvider="AD" userName="Dougal Horton"/>
        <t:Anchor>
          <t:Comment id="1739137785"/>
        </t:Anchor>
        <t:Assign userId="S::james.atkinson@treasury.nsw.gov.au::6165cb50-c28f-4586-95e5-37dcecd1a7ac" userProvider="AD" userName="James Atkinson"/>
      </t:Event>
      <t:Event id="{1723F401-DFBB-4562-9F16-8B5D552DCF99}" time="2021-05-10T07:04:05Z">
        <t:Attribution userId="S::dougal.horton@treasury.nsw.gov.au::396cafb5-fe97-4264-9daa-c448f11abf02" userProvider="AD" userName="Dougal Horton"/>
        <t:Anchor>
          <t:Comment id="1739137785"/>
        </t:Anchor>
        <t:SetTitle title="apologies, accidently deleted a comment for @James Atkinson to revie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c478e85-8130-4c67-8ee4-8bdf1c0e6049" xsi:nil="true"/>
    <SharedWithUsers xmlns="801a5968-9419-4033-b9de-7ffe8168468e">
      <UserInfo>
        <DisplayName>Alf Cocco</DisplayName>
        <AccountId>210</AccountId>
        <AccountType/>
      </UserInfo>
      <UserInfo>
        <DisplayName>Leigh Nguyen</DisplayName>
        <AccountId>383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aa9454f501cc4f443e6d2a358128cbdb">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c4ef26c785574217d699266b2fdd00a6"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A8F43476EB784464BFCC994945052FE7" version="1.0.0">
  <systemFields>
    <field name="Objective-Id">
      <value order="0">A4329808</value>
    </field>
    <field name="Objective-Title">
      <value order="0">02 PRINTER FINAL - Education BP3 chapter</value>
    </field>
    <field name="Objective-Description">
      <value order="0"/>
    </field>
    <field name="Objective-CreationStamp">
      <value order="0">2019-06-07T23:07:00Z</value>
    </field>
    <field name="Objective-IsApproved">
      <value order="0">false</value>
    </field>
    <field name="Objective-IsPublished">
      <value order="0">true</value>
    </field>
    <field name="Objective-DatePublished">
      <value order="0">2019-06-11T07:28:24Z</value>
    </field>
    <field name="Objective-ModificationStamp">
      <value order="0">2019-06-11T07:28:24Z</value>
    </field>
    <field name="Objective-Owner">
      <value order="0">Francess Lavorato</value>
    </field>
    <field name="Objective-Path">
      <value order="0">Objective Global Folder:1. Treasury:1. Information Management Structure (TR):POLICY &amp; BUDGET GROUP:08. Budget:ABP Operations:Budget Coordination:Coordination:2019-2020 FY:2019-20 BP3 Chapters:2019-20 BP3 PRINTER</value>
    </field>
    <field name="Objective-Parent">
      <value order="0">2019-20 BP3 PRINTER</value>
    </field>
    <field name="Objective-State">
      <value order="0">Published</value>
    </field>
    <field name="Objective-VersionId">
      <value order="0">vA7634662</value>
    </field>
    <field name="Objective-Version">
      <value order="0">13.0</value>
    </field>
    <field name="Objective-VersionNumber">
      <value order="0">16</value>
    </field>
    <field name="Objective-VersionComment">
      <value order="0"/>
    </field>
    <field name="Objective-FileNumber">
      <value order="0">qA444160</value>
    </field>
    <field name="Objective-Classification">
      <value order="0">UNCLASSIFIED</value>
    </field>
    <field name="Objective-Caveats">
      <value order="0"/>
    </field>
  </systemFields>
  <catalogues>
    <catalogue name="Treasury Document Type Catalogue" type="type" ori="id:cA89">
      <field name="Objective-Vital Record">
        <value order="0">No</value>
      </field>
      <field name="Objective-DLM">
        <value order="0">No Impact</value>
      </field>
      <field name="Objective-Security Classification">
        <value order="0">UNCLASSIFIED</value>
      </field>
      <field name="Objective-GIPA">
        <value order="0">No</value>
      </field>
      <field name="Objective-Additional Search Tags">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74F71-7CEA-440A-95E8-8F76EA5440C5}">
  <ds:schemaRefs>
    <ds:schemaRef ds:uri="http://schemas.microsoft.com/office/2006/metadata/properties"/>
    <ds:schemaRef ds:uri="http://schemas.microsoft.com/office/infopath/2007/PartnerControls"/>
    <ds:schemaRef ds:uri="1c478e85-8130-4c67-8ee4-8bdf1c0e6049"/>
    <ds:schemaRef ds:uri="801a5968-9419-4033-b9de-7ffe8168468e"/>
  </ds:schemaRefs>
</ds:datastoreItem>
</file>

<file path=customXml/itemProps2.xml><?xml version="1.0" encoding="utf-8"?>
<ds:datastoreItem xmlns:ds="http://schemas.openxmlformats.org/officeDocument/2006/customXml" ds:itemID="{43A5CF2F-1303-47A4-B85F-F78C218CB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9DDC32-3A50-48A5-9A0F-CCD73D18D23A}">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5.xml><?xml version="1.0" encoding="utf-8"?>
<ds:datastoreItem xmlns:ds="http://schemas.openxmlformats.org/officeDocument/2006/customXml" ds:itemID="{D4AAEEF2-3E54-4E6D-960A-3A3F74D3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2579</Words>
  <Characters>15253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2021-22 Budget Paper No. 3 - Budget Estimates - 09 Treasury Cluster</vt:lpstr>
    </vt:vector>
  </TitlesOfParts>
  <Company>NSW Treasury</Company>
  <LinksUpToDate>false</LinksUpToDate>
  <CharactersWithSpaces>17797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Budget Paper No. 2 - Outcomes Statement - 09 Treasury Cluster</dc:title>
  <dc:subject/>
  <dc:creator>The Treasury</dc:creator>
  <cp:keywords/>
  <cp:lastModifiedBy>Francess Lavorato</cp:lastModifiedBy>
  <cp:revision>43</cp:revision>
  <cp:lastPrinted>2021-06-14T08:46:00Z</cp:lastPrinted>
  <dcterms:created xsi:type="dcterms:W3CDTF">2021-06-12T07:40:00Z</dcterms:created>
  <dcterms:modified xsi:type="dcterms:W3CDTF">2021-06-15T10:01:00Z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A4329808</vt:lpwstr>
  </property>
  <property fmtid="{D5CDD505-2E9C-101B-9397-08002B2CF9AE}" pid="4" name="Objective-Title">
    <vt:lpwstr>02 PRINTER FINAL - Education BP3 chapter</vt:lpwstr>
  </property>
  <property fmtid="{D5CDD505-2E9C-101B-9397-08002B2CF9AE}" pid="5" name="Objective-Comment">
    <vt:lpwstr/>
  </property>
  <property fmtid="{D5CDD505-2E9C-101B-9397-08002B2CF9AE}" pid="6" name="Objective-CreationStamp">
    <vt:filetime>2019-06-10T05:28:57Z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2019-06-11T07:28:24Z</vt:filetime>
  </property>
  <property fmtid="{D5CDD505-2E9C-101B-9397-08002B2CF9AE}" pid="10" name="Objective-ModificationStamp">
    <vt:filetime>2019-06-11T07:28:24Z</vt:filetime>
  </property>
  <property fmtid="{D5CDD505-2E9C-101B-9397-08002B2CF9AE}" pid="11" name="Objective-Owner">
    <vt:lpwstr>Francess Lavorato</vt:lpwstr>
  </property>
  <property fmtid="{D5CDD505-2E9C-101B-9397-08002B2CF9AE}" pid="12" name="Objective-Path">
    <vt:lpwstr>Objective Global Folder:1. Treasury:1. Information Management Structure (TR):POLICY &amp; BUDGET GROUP:08. Budget:ABP Operations:Budget Coordination:Coordination:2019-2020 FY:2019-20 BP3 Chapters:2019-20 BP3 PRINTER:</vt:lpwstr>
  </property>
  <property fmtid="{D5CDD505-2E9C-101B-9397-08002B2CF9AE}" pid="13" name="Objective-Parent">
    <vt:lpwstr>2019-20 BP3 PRINTER</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T19/01520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Objective-Description">
    <vt:lpwstr/>
  </property>
  <property fmtid="{D5CDD505-2E9C-101B-9397-08002B2CF9AE}" pid="25" name="Objective-VersionId">
    <vt:lpwstr>vA7634662</vt:lpwstr>
  </property>
  <property fmtid="{D5CDD505-2E9C-101B-9397-08002B2CF9AE}" pid="26" name="Objective-Vital Record">
    <vt:lpwstr>No</vt:lpwstr>
  </property>
  <property fmtid="{D5CDD505-2E9C-101B-9397-08002B2CF9AE}" pid="27" name="Objective-GIPA">
    <vt:lpwstr>No</vt:lpwstr>
  </property>
  <property fmtid="{D5CDD505-2E9C-101B-9397-08002B2CF9AE}" pid="28" name="Objective-DLM">
    <vt:lpwstr>No Impact</vt:lpwstr>
  </property>
  <property fmtid="{D5CDD505-2E9C-101B-9397-08002B2CF9AE}" pid="29" name="Objective-Security Classification">
    <vt:lpwstr>UNCLASSIFIED</vt:lpwstr>
  </property>
  <property fmtid="{D5CDD505-2E9C-101B-9397-08002B2CF9AE}" pid="30" name="Objective-Additional Search Tags">
    <vt:lpwstr/>
  </property>
  <property fmtid="{D5CDD505-2E9C-101B-9397-08002B2CF9AE}" pid="31" name="Objective-DLM [system]">
    <vt:lpwstr>No Impact</vt:lpwstr>
  </property>
  <property fmtid="{D5CDD505-2E9C-101B-9397-08002B2CF9AE}" pid="32" name="Objective-Security Classification [system]">
    <vt:lpwstr>UNCLASSIFIED</vt:lpwstr>
  </property>
  <property fmtid="{D5CDD505-2E9C-101B-9397-08002B2CF9AE}" pid="33" name="ContentTypeId">
    <vt:lpwstr>0x010100F02F16F1AFBDE54EBD2685E90FE1922F</vt:lpwstr>
  </property>
</Properties>
</file>