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9798" w14:textId="086CBFA5" w:rsidR="00187E72" w:rsidRDefault="00187E72" w:rsidP="00013C61">
      <w:pPr>
        <w:pStyle w:val="Heading1"/>
        <w:spacing w:after="360"/>
      </w:pPr>
      <w:r>
        <w:t xml:space="preserve">OUTCOMES STATEMENT OVERVIEW </w:t>
      </w:r>
    </w:p>
    <w:p w14:paraId="0F431343" w14:textId="47CAE6BA" w:rsidR="00637B53" w:rsidRDefault="00AD2002" w:rsidP="00F113B3">
      <w:pPr>
        <w:pStyle w:val="Heading2"/>
      </w:pPr>
      <w:r>
        <w:t xml:space="preserve">Outcome </w:t>
      </w:r>
      <w:r w:rsidRPr="00F113B3">
        <w:t>Budgeting</w:t>
      </w:r>
    </w:p>
    <w:p w14:paraId="117780F0" w14:textId="3500B8C2" w:rsidR="002F6CB3" w:rsidRPr="00082DE0" w:rsidRDefault="001B7BAA" w:rsidP="002F6CB3">
      <w:pPr>
        <w:pStyle w:val="BodyText"/>
        <w:rPr>
          <w:szCs w:val="23"/>
        </w:rPr>
      </w:pPr>
      <w:r w:rsidRPr="00082DE0">
        <w:rPr>
          <w:szCs w:val="23"/>
        </w:rPr>
        <w:t xml:space="preserve">Outcome Budgeting </w:t>
      </w:r>
      <w:r w:rsidR="00CF7B2D" w:rsidRPr="00082DE0">
        <w:rPr>
          <w:szCs w:val="23"/>
        </w:rPr>
        <w:t>put</w:t>
      </w:r>
      <w:r w:rsidR="00B40AC1" w:rsidRPr="00082DE0">
        <w:rPr>
          <w:szCs w:val="23"/>
        </w:rPr>
        <w:t>s</w:t>
      </w:r>
      <w:r w:rsidR="00CF7B2D" w:rsidRPr="00082DE0">
        <w:rPr>
          <w:szCs w:val="23"/>
        </w:rPr>
        <w:t xml:space="preserve"> the needs of people </w:t>
      </w:r>
      <w:r w:rsidR="00A9456D" w:rsidRPr="00082DE0">
        <w:rPr>
          <w:szCs w:val="23"/>
        </w:rPr>
        <w:t xml:space="preserve">and businesses </w:t>
      </w:r>
      <w:r w:rsidR="00CF7B2D" w:rsidRPr="00082DE0">
        <w:rPr>
          <w:szCs w:val="23"/>
        </w:rPr>
        <w:t xml:space="preserve">at the centre of </w:t>
      </w:r>
      <w:r w:rsidR="00364F46" w:rsidRPr="00082DE0">
        <w:rPr>
          <w:szCs w:val="23"/>
        </w:rPr>
        <w:t xml:space="preserve">strategic planning and </w:t>
      </w:r>
      <w:r w:rsidR="00CF7B2D" w:rsidRPr="00082DE0">
        <w:rPr>
          <w:szCs w:val="23"/>
        </w:rPr>
        <w:t>investment decision-making</w:t>
      </w:r>
      <w:r w:rsidR="00364F46" w:rsidRPr="00082DE0">
        <w:rPr>
          <w:szCs w:val="23"/>
        </w:rPr>
        <w:t xml:space="preserve"> </w:t>
      </w:r>
      <w:r w:rsidR="00CF7B2D" w:rsidRPr="00082DE0">
        <w:rPr>
          <w:szCs w:val="23"/>
        </w:rPr>
        <w:t xml:space="preserve">across </w:t>
      </w:r>
      <w:r w:rsidR="00143FE3" w:rsidRPr="00082DE0">
        <w:rPr>
          <w:szCs w:val="23"/>
        </w:rPr>
        <w:t>N</w:t>
      </w:r>
      <w:r w:rsidR="008C71EB" w:rsidRPr="00082DE0">
        <w:rPr>
          <w:szCs w:val="23"/>
        </w:rPr>
        <w:t xml:space="preserve">ew </w:t>
      </w:r>
      <w:r w:rsidR="00143FE3" w:rsidRPr="00082DE0">
        <w:rPr>
          <w:szCs w:val="23"/>
        </w:rPr>
        <w:t>S</w:t>
      </w:r>
      <w:r w:rsidR="008C71EB" w:rsidRPr="00082DE0">
        <w:rPr>
          <w:szCs w:val="23"/>
        </w:rPr>
        <w:t xml:space="preserve">outh </w:t>
      </w:r>
      <w:r w:rsidR="00143FE3" w:rsidRPr="00082DE0">
        <w:rPr>
          <w:szCs w:val="23"/>
        </w:rPr>
        <w:t>W</w:t>
      </w:r>
      <w:r w:rsidR="008C71EB" w:rsidRPr="00082DE0">
        <w:rPr>
          <w:szCs w:val="23"/>
        </w:rPr>
        <w:t>ales</w:t>
      </w:r>
      <w:r w:rsidR="00143FE3" w:rsidRPr="00082DE0">
        <w:rPr>
          <w:szCs w:val="23"/>
        </w:rPr>
        <w:t>.</w:t>
      </w:r>
      <w:r w:rsidR="00E31551" w:rsidRPr="00082DE0">
        <w:rPr>
          <w:szCs w:val="23"/>
        </w:rPr>
        <w:t xml:space="preserve"> It is an approach to decision-making th</w:t>
      </w:r>
      <w:r w:rsidR="002E7D05" w:rsidRPr="00082DE0">
        <w:rPr>
          <w:szCs w:val="23"/>
        </w:rPr>
        <w:t>at</w:t>
      </w:r>
      <w:r w:rsidR="00E31551" w:rsidRPr="00082DE0">
        <w:rPr>
          <w:szCs w:val="23"/>
        </w:rPr>
        <w:t xml:space="preserve"> recognises th</w:t>
      </w:r>
      <w:r w:rsidR="007A5363" w:rsidRPr="00082DE0">
        <w:rPr>
          <w:szCs w:val="23"/>
        </w:rPr>
        <w:t>at</w:t>
      </w:r>
      <w:r w:rsidR="00E31551" w:rsidRPr="00082DE0">
        <w:rPr>
          <w:szCs w:val="23"/>
        </w:rPr>
        <w:t xml:space="preserve"> allocation of public resources should be based on the outcomes achieved, not the amount spent.</w:t>
      </w:r>
    </w:p>
    <w:p w14:paraId="65EE2F29" w14:textId="7D7BCD14" w:rsidR="00AF094D" w:rsidRPr="00082DE0" w:rsidRDefault="00CF7B2D" w:rsidP="002F6CB3">
      <w:pPr>
        <w:pStyle w:val="BodyText"/>
        <w:rPr>
          <w:szCs w:val="23"/>
        </w:rPr>
      </w:pPr>
      <w:r w:rsidRPr="00082DE0">
        <w:rPr>
          <w:szCs w:val="23"/>
        </w:rPr>
        <w:t xml:space="preserve">It </w:t>
      </w:r>
      <w:r w:rsidR="001B7BAA" w:rsidRPr="00082DE0">
        <w:rPr>
          <w:szCs w:val="23"/>
        </w:rPr>
        <w:t>improve</w:t>
      </w:r>
      <w:r w:rsidRPr="00082DE0">
        <w:rPr>
          <w:szCs w:val="23"/>
        </w:rPr>
        <w:t>s</w:t>
      </w:r>
      <w:r w:rsidR="001B7BAA" w:rsidRPr="00082DE0">
        <w:rPr>
          <w:szCs w:val="23"/>
        </w:rPr>
        <w:t xml:space="preserve"> </w:t>
      </w:r>
      <w:r w:rsidR="00AF094D" w:rsidRPr="00082DE0">
        <w:rPr>
          <w:szCs w:val="23"/>
        </w:rPr>
        <w:t xml:space="preserve">the </w:t>
      </w:r>
      <w:r w:rsidR="001B7BAA" w:rsidRPr="00082DE0">
        <w:rPr>
          <w:szCs w:val="23"/>
        </w:rPr>
        <w:t>oversight of total expenditure,</w:t>
      </w:r>
      <w:r w:rsidR="00AF094D" w:rsidRPr="00082DE0">
        <w:rPr>
          <w:szCs w:val="23"/>
        </w:rPr>
        <w:t xml:space="preserve"> and </w:t>
      </w:r>
      <w:r w:rsidR="007A6D16" w:rsidRPr="00082DE0">
        <w:rPr>
          <w:szCs w:val="23"/>
        </w:rPr>
        <w:t xml:space="preserve">ensures there is </w:t>
      </w:r>
      <w:r w:rsidR="00AF094D" w:rsidRPr="00082DE0">
        <w:rPr>
          <w:szCs w:val="23"/>
        </w:rPr>
        <w:t>a sustained focus on:</w:t>
      </w:r>
    </w:p>
    <w:p w14:paraId="7D9419F9" w14:textId="6A438ADA" w:rsidR="00AF094D" w:rsidRPr="00082DE0" w:rsidRDefault="00AF094D" w:rsidP="00ED4ADB">
      <w:pPr>
        <w:pStyle w:val="BodyText"/>
        <w:numPr>
          <w:ilvl w:val="0"/>
          <w:numId w:val="23"/>
        </w:numPr>
        <w:spacing w:line="240" w:lineRule="auto"/>
        <w:rPr>
          <w:szCs w:val="23"/>
        </w:rPr>
      </w:pPr>
      <w:r w:rsidRPr="00082DE0">
        <w:rPr>
          <w:szCs w:val="23"/>
        </w:rPr>
        <w:t xml:space="preserve">The outcomes and service levels to be achieved by total expenditure </w:t>
      </w:r>
    </w:p>
    <w:p w14:paraId="35B55CBE" w14:textId="77777777" w:rsidR="00AF094D" w:rsidRPr="00082DE0" w:rsidRDefault="00AF094D" w:rsidP="00ED4ADB">
      <w:pPr>
        <w:pStyle w:val="BodyText"/>
        <w:numPr>
          <w:ilvl w:val="0"/>
          <w:numId w:val="23"/>
        </w:numPr>
        <w:spacing w:line="240" w:lineRule="auto"/>
        <w:rPr>
          <w:szCs w:val="23"/>
        </w:rPr>
      </w:pPr>
      <w:r w:rsidRPr="00082DE0">
        <w:rPr>
          <w:szCs w:val="23"/>
        </w:rPr>
        <w:t>Evidence on the effectiveness of programs to deliver these outcomes</w:t>
      </w:r>
    </w:p>
    <w:p w14:paraId="09B3C576" w14:textId="66B0BC30" w:rsidR="00AF094D" w:rsidRPr="00082DE0" w:rsidRDefault="00AF094D" w:rsidP="00ED4ADB">
      <w:pPr>
        <w:pStyle w:val="BodyText"/>
        <w:numPr>
          <w:ilvl w:val="0"/>
          <w:numId w:val="23"/>
        </w:numPr>
        <w:spacing w:line="240" w:lineRule="auto"/>
        <w:rPr>
          <w:szCs w:val="23"/>
        </w:rPr>
      </w:pPr>
      <w:r w:rsidRPr="00082DE0">
        <w:rPr>
          <w:szCs w:val="23"/>
        </w:rPr>
        <w:t>Transparency on the performance of total expenditure in achie</w:t>
      </w:r>
      <w:r w:rsidR="004A2DDB" w:rsidRPr="00082DE0">
        <w:rPr>
          <w:szCs w:val="23"/>
        </w:rPr>
        <w:t>ving</w:t>
      </w:r>
      <w:r w:rsidRPr="00082DE0">
        <w:rPr>
          <w:szCs w:val="23"/>
        </w:rPr>
        <w:t xml:space="preserve"> the outcomes</w:t>
      </w:r>
    </w:p>
    <w:p w14:paraId="4A9141E3" w14:textId="77777777" w:rsidR="009637B5" w:rsidRPr="00082DE0" w:rsidRDefault="00AF094D" w:rsidP="00344C6B">
      <w:pPr>
        <w:pStyle w:val="BodyText"/>
        <w:numPr>
          <w:ilvl w:val="0"/>
          <w:numId w:val="23"/>
        </w:numPr>
        <w:spacing w:line="240" w:lineRule="auto"/>
        <w:rPr>
          <w:szCs w:val="23"/>
        </w:rPr>
      </w:pPr>
      <w:r w:rsidRPr="00082DE0">
        <w:rPr>
          <w:szCs w:val="23"/>
        </w:rPr>
        <w:t>Continuous improvement in how services are delivered and outcomes achieved.</w:t>
      </w:r>
    </w:p>
    <w:p w14:paraId="2CD04BBE" w14:textId="77777777" w:rsidR="009637B5" w:rsidRPr="00082DE0" w:rsidRDefault="009637B5" w:rsidP="003573A0">
      <w:pPr>
        <w:pStyle w:val="Bullet1"/>
        <w:numPr>
          <w:ilvl w:val="0"/>
          <w:numId w:val="0"/>
        </w:numPr>
        <w:rPr>
          <w:sz w:val="23"/>
          <w:szCs w:val="23"/>
        </w:rPr>
      </w:pPr>
      <w:r w:rsidRPr="00082DE0">
        <w:rPr>
          <w:sz w:val="23"/>
          <w:szCs w:val="23"/>
        </w:rPr>
        <w:t>The 2021-22 Budget illustrates the Government’s continued focus on performance and delivery of outcomes for the people and businesses of New South Wales. It represents the integrated outcomes-focused approach to performance monitoring, budgeting and planning taken in New South Wales.</w:t>
      </w:r>
    </w:p>
    <w:p w14:paraId="329DF5F3" w14:textId="624A8D89" w:rsidR="009637B5" w:rsidRPr="00082DE0" w:rsidRDefault="009637B5" w:rsidP="003573A0">
      <w:pPr>
        <w:pStyle w:val="Bullet1"/>
        <w:numPr>
          <w:ilvl w:val="0"/>
          <w:numId w:val="0"/>
        </w:numPr>
        <w:rPr>
          <w:sz w:val="23"/>
          <w:szCs w:val="23"/>
        </w:rPr>
      </w:pPr>
      <w:r w:rsidRPr="00082DE0">
        <w:rPr>
          <w:sz w:val="23"/>
          <w:szCs w:val="23"/>
        </w:rPr>
        <w:t xml:space="preserve">Outcome Budgeting continues to provide the Government with greater ability to monitor the performance of its total </w:t>
      </w:r>
      <w:r w:rsidR="00506F51" w:rsidRPr="00082DE0">
        <w:rPr>
          <w:sz w:val="23"/>
          <w:szCs w:val="23"/>
        </w:rPr>
        <w:t>budget</w:t>
      </w:r>
      <w:r w:rsidRPr="00082DE0">
        <w:rPr>
          <w:sz w:val="23"/>
          <w:szCs w:val="23"/>
        </w:rPr>
        <w:t xml:space="preserve"> and scrutinise and prioritise the use of every dollar. </w:t>
      </w:r>
    </w:p>
    <w:p w14:paraId="70F12E30" w14:textId="39D65F8C" w:rsidR="009637B5" w:rsidRPr="00082DE0" w:rsidRDefault="009637B5" w:rsidP="003573A0">
      <w:pPr>
        <w:pStyle w:val="Bullet1"/>
        <w:numPr>
          <w:ilvl w:val="0"/>
          <w:numId w:val="0"/>
        </w:numPr>
        <w:rPr>
          <w:sz w:val="23"/>
          <w:szCs w:val="23"/>
        </w:rPr>
      </w:pPr>
      <w:r w:rsidRPr="00082DE0">
        <w:rPr>
          <w:sz w:val="23"/>
          <w:szCs w:val="23"/>
        </w:rPr>
        <w:t>The performance and delivery of State Outcomes are monitored throughout the year and used to identify and inform priority areas for investment for 2021-22 and future years</w:t>
      </w:r>
      <w:r w:rsidR="00975772" w:rsidRPr="00082DE0">
        <w:rPr>
          <w:sz w:val="23"/>
          <w:szCs w:val="23"/>
        </w:rPr>
        <w:t>.</w:t>
      </w:r>
    </w:p>
    <w:p w14:paraId="6F85C924" w14:textId="142DF6FD" w:rsidR="009637B5" w:rsidRPr="00082DE0" w:rsidRDefault="009637B5" w:rsidP="003573A0">
      <w:pPr>
        <w:pStyle w:val="Bullet1"/>
        <w:numPr>
          <w:ilvl w:val="0"/>
          <w:numId w:val="0"/>
        </w:numPr>
        <w:rPr>
          <w:sz w:val="23"/>
          <w:szCs w:val="23"/>
        </w:rPr>
      </w:pPr>
      <w:r w:rsidRPr="00082DE0">
        <w:rPr>
          <w:sz w:val="23"/>
          <w:szCs w:val="23"/>
        </w:rPr>
        <w:t>Cluster Outcome</w:t>
      </w:r>
      <w:r w:rsidR="00722454">
        <w:rPr>
          <w:sz w:val="23"/>
          <w:szCs w:val="23"/>
        </w:rPr>
        <w:t>s</w:t>
      </w:r>
      <w:r w:rsidRPr="00082DE0">
        <w:rPr>
          <w:sz w:val="23"/>
          <w:szCs w:val="23"/>
        </w:rPr>
        <w:t xml:space="preserve"> and Business Plans </w:t>
      </w:r>
      <w:r w:rsidR="00975772" w:rsidRPr="00082DE0">
        <w:rPr>
          <w:sz w:val="23"/>
          <w:szCs w:val="23"/>
        </w:rPr>
        <w:t xml:space="preserve">support ongoing management across the suite of State Outcomes. </w:t>
      </w:r>
      <w:r w:rsidRPr="00082DE0">
        <w:rPr>
          <w:sz w:val="23"/>
          <w:szCs w:val="23"/>
        </w:rPr>
        <w:t xml:space="preserve">These Plans </w:t>
      </w:r>
      <w:r w:rsidR="001A07D0">
        <w:rPr>
          <w:sz w:val="23"/>
          <w:szCs w:val="23"/>
        </w:rPr>
        <w:t xml:space="preserve">are reviewed on a quarterly basis and </w:t>
      </w:r>
      <w:r w:rsidRPr="00082DE0">
        <w:rPr>
          <w:sz w:val="23"/>
          <w:szCs w:val="23"/>
        </w:rPr>
        <w:t xml:space="preserve">updated annually to inform Government’s ongoing strategic allocation of public resources and </w:t>
      </w:r>
      <w:r w:rsidR="006C606B">
        <w:rPr>
          <w:sz w:val="23"/>
          <w:szCs w:val="23"/>
        </w:rPr>
        <w:t>B</w:t>
      </w:r>
      <w:r w:rsidRPr="00082DE0">
        <w:rPr>
          <w:sz w:val="23"/>
          <w:szCs w:val="23"/>
        </w:rPr>
        <w:t>udget</w:t>
      </w:r>
      <w:r w:rsidR="00491464">
        <w:rPr>
          <w:sz w:val="23"/>
          <w:szCs w:val="23"/>
        </w:rPr>
        <w:t xml:space="preserve"> </w:t>
      </w:r>
      <w:r w:rsidRPr="00082DE0">
        <w:rPr>
          <w:sz w:val="23"/>
          <w:szCs w:val="23"/>
        </w:rPr>
        <w:t>decision</w:t>
      </w:r>
      <w:r w:rsidR="00491464">
        <w:rPr>
          <w:sz w:val="23"/>
          <w:szCs w:val="23"/>
        </w:rPr>
        <w:t>-</w:t>
      </w:r>
      <w:r w:rsidRPr="00082DE0">
        <w:rPr>
          <w:sz w:val="23"/>
          <w:szCs w:val="23"/>
        </w:rPr>
        <w:t xml:space="preserve">making processes. </w:t>
      </w:r>
    </w:p>
    <w:p w14:paraId="0A591FA3" w14:textId="31A4A2D6" w:rsidR="00095D37" w:rsidRDefault="00095D37" w:rsidP="00095D37">
      <w:pPr>
        <w:pStyle w:val="Heading3"/>
      </w:pPr>
      <w:r>
        <w:t xml:space="preserve">The Outcome and Performance Framework </w:t>
      </w:r>
    </w:p>
    <w:p w14:paraId="5F82B3D3" w14:textId="3BF5BFA7" w:rsidR="00924137" w:rsidRPr="00924137" w:rsidRDefault="00924137" w:rsidP="00095D37">
      <w:pPr>
        <w:pStyle w:val="BodyText"/>
        <w:rPr>
          <w:b/>
          <w:highlight w:val="yellow"/>
        </w:rPr>
      </w:pPr>
      <w:r>
        <w:t xml:space="preserve">The </w:t>
      </w:r>
      <w:r w:rsidRPr="00E57389">
        <w:rPr>
          <w:i/>
          <w:iCs/>
        </w:rPr>
        <w:t>outcome and performance fram</w:t>
      </w:r>
      <w:r w:rsidRPr="002B5A90">
        <w:rPr>
          <w:i/>
          <w:iCs/>
        </w:rPr>
        <w:t xml:space="preserve">ework </w:t>
      </w:r>
      <w:r>
        <w:t xml:space="preserve">provides a common approach </w:t>
      </w:r>
      <w:r w:rsidRPr="002B5A90">
        <w:t xml:space="preserve">that links </w:t>
      </w:r>
      <w:r w:rsidR="0071581F">
        <w:t xml:space="preserve">total </w:t>
      </w:r>
      <w:r w:rsidRPr="002B5A90">
        <w:t>government expenditure to activities and the outcomes being achieved.</w:t>
      </w:r>
    </w:p>
    <w:p w14:paraId="09347879" w14:textId="3180C04C" w:rsidR="00B21F77" w:rsidRPr="00B21F77" w:rsidRDefault="00095D37" w:rsidP="00B21F77">
      <w:pPr>
        <w:tabs>
          <w:tab w:val="left" w:pos="1134"/>
          <w:tab w:val="left" w:pos="1492"/>
        </w:tabs>
        <w:spacing w:before="360"/>
        <w:rPr>
          <w:rFonts w:eastAsia="Times New Roman" w:cs="Times New Roman"/>
          <w:i/>
          <w:color w:val="4F4F4F"/>
          <w:szCs w:val="20"/>
          <w:lang w:val="en-AU" w:eastAsia="en-AU"/>
        </w:rPr>
      </w:pPr>
      <w:r w:rsidRPr="00F0429A">
        <w:rPr>
          <w:rFonts w:eastAsia="Times New Roman" w:cs="Times New Roman"/>
          <w:i/>
          <w:color w:val="4F4F4F"/>
          <w:szCs w:val="20"/>
          <w:lang w:val="en-AU" w:eastAsia="en-AU"/>
        </w:rPr>
        <w:t xml:space="preserve">Figure </w:t>
      </w:r>
      <w:r w:rsidR="00EB0505">
        <w:rPr>
          <w:rFonts w:eastAsia="Times New Roman" w:cs="Times New Roman"/>
          <w:i/>
          <w:color w:val="4F4F4F"/>
          <w:szCs w:val="20"/>
          <w:lang w:val="en-AU" w:eastAsia="en-AU"/>
        </w:rPr>
        <w:t>1</w:t>
      </w:r>
      <w:r w:rsidRPr="00F0429A">
        <w:rPr>
          <w:rFonts w:eastAsia="Times New Roman" w:cs="Times New Roman"/>
          <w:i/>
          <w:color w:val="4F4F4F"/>
          <w:szCs w:val="20"/>
          <w:lang w:val="en-AU" w:eastAsia="en-AU"/>
        </w:rPr>
        <w:t xml:space="preserve">: </w:t>
      </w:r>
      <w:r w:rsidRPr="00F0429A">
        <w:rPr>
          <w:rFonts w:eastAsia="Times New Roman" w:cs="Times New Roman"/>
          <w:i/>
          <w:color w:val="4F4F4F"/>
          <w:szCs w:val="20"/>
          <w:lang w:val="en-AU" w:eastAsia="en-AU"/>
        </w:rPr>
        <w:tab/>
        <w:t xml:space="preserve">The outcome and performance framework </w:t>
      </w:r>
    </w:p>
    <w:p w14:paraId="05E3A22C" w14:textId="335DF49C" w:rsidR="00F03C33" w:rsidRDefault="00F03C33" w:rsidP="00095D37">
      <w:pPr>
        <w:tabs>
          <w:tab w:val="left" w:pos="1134"/>
          <w:tab w:val="left" w:pos="1492"/>
        </w:tabs>
        <w:spacing w:before="360"/>
        <w:rPr>
          <w:rFonts w:eastAsia="Times New Roman" w:cs="Times New Roman"/>
          <w:i/>
          <w:color w:val="4F4F4F"/>
          <w:szCs w:val="20"/>
          <w:lang w:val="en-AU" w:eastAsia="en-AU"/>
        </w:rPr>
      </w:pPr>
      <w:r>
        <w:rPr>
          <w:noProof/>
        </w:rPr>
        <w:drawing>
          <wp:anchor distT="0" distB="0" distL="114300" distR="114300" simplePos="0" relativeHeight="251658240" behindDoc="1" locked="0" layoutInCell="1" allowOverlap="1" wp14:anchorId="675225C9" wp14:editId="35973047">
            <wp:simplePos x="0" y="0"/>
            <wp:positionH relativeFrom="column">
              <wp:posOffset>697444</wp:posOffset>
            </wp:positionH>
            <wp:positionV relativeFrom="paragraph">
              <wp:posOffset>95856</wp:posOffset>
            </wp:positionV>
            <wp:extent cx="5000625" cy="2464435"/>
            <wp:effectExtent l="0" t="0" r="0" b="0"/>
            <wp:wrapNone/>
            <wp:docPr id="1" name="Picture 1" descr="Figure 2:  The outcome and performance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000625" cy="2464435"/>
                    </a:xfrm>
                    <a:prstGeom prst="rect">
                      <a:avLst/>
                    </a:prstGeom>
                  </pic:spPr>
                </pic:pic>
              </a:graphicData>
            </a:graphic>
            <wp14:sizeRelH relativeFrom="page">
              <wp14:pctWidth>0</wp14:pctWidth>
            </wp14:sizeRelH>
            <wp14:sizeRelV relativeFrom="page">
              <wp14:pctHeight>0</wp14:pctHeight>
            </wp14:sizeRelV>
          </wp:anchor>
        </w:drawing>
      </w:r>
    </w:p>
    <w:p w14:paraId="704F49AF" w14:textId="7C8B7D9B" w:rsidR="00F03C33" w:rsidRDefault="00F03C33" w:rsidP="00095D37">
      <w:pPr>
        <w:tabs>
          <w:tab w:val="left" w:pos="1134"/>
          <w:tab w:val="left" w:pos="1492"/>
        </w:tabs>
        <w:spacing w:before="360"/>
        <w:rPr>
          <w:rFonts w:eastAsia="Times New Roman" w:cs="Times New Roman"/>
          <w:i/>
          <w:color w:val="4F4F4F"/>
          <w:szCs w:val="20"/>
          <w:lang w:val="en-AU" w:eastAsia="en-AU"/>
        </w:rPr>
      </w:pPr>
    </w:p>
    <w:p w14:paraId="799E031B" w14:textId="605F09AE" w:rsidR="00F03C33" w:rsidRDefault="00F03C33" w:rsidP="00095D37">
      <w:pPr>
        <w:tabs>
          <w:tab w:val="left" w:pos="1134"/>
          <w:tab w:val="left" w:pos="1492"/>
        </w:tabs>
        <w:spacing w:before="360"/>
        <w:rPr>
          <w:rFonts w:eastAsia="Times New Roman" w:cs="Times New Roman"/>
          <w:i/>
          <w:color w:val="4F4F4F"/>
          <w:szCs w:val="20"/>
          <w:lang w:val="en-AU" w:eastAsia="en-AU"/>
        </w:rPr>
      </w:pPr>
    </w:p>
    <w:p w14:paraId="5C000862" w14:textId="1D6FB255" w:rsidR="00F03C33" w:rsidRDefault="00F03C33" w:rsidP="00095D37">
      <w:pPr>
        <w:tabs>
          <w:tab w:val="left" w:pos="1134"/>
          <w:tab w:val="left" w:pos="1492"/>
        </w:tabs>
        <w:spacing w:before="360"/>
        <w:rPr>
          <w:rFonts w:eastAsia="Times New Roman" w:cs="Times New Roman"/>
          <w:i/>
          <w:color w:val="4F4F4F"/>
          <w:szCs w:val="20"/>
          <w:lang w:val="en-AU" w:eastAsia="en-AU"/>
        </w:rPr>
      </w:pPr>
    </w:p>
    <w:p w14:paraId="4523650F" w14:textId="04FB4FA6" w:rsidR="00F03C33" w:rsidRDefault="007757BC" w:rsidP="00095D37">
      <w:pPr>
        <w:tabs>
          <w:tab w:val="left" w:pos="1134"/>
          <w:tab w:val="left" w:pos="1492"/>
        </w:tabs>
        <w:spacing w:before="360"/>
        <w:rPr>
          <w:rFonts w:eastAsia="Times New Roman" w:cs="Times New Roman"/>
          <w:i/>
          <w:color w:val="4F4F4F"/>
          <w:szCs w:val="20"/>
          <w:lang w:val="en-AU" w:eastAsia="en-AU"/>
        </w:rPr>
      </w:pPr>
      <w:r>
        <w:rPr>
          <w:noProof/>
          <w:lang w:val="en-AU"/>
        </w:rPr>
        <w:drawing>
          <wp:anchor distT="0" distB="0" distL="114300" distR="114300" simplePos="0" relativeHeight="251658241" behindDoc="0" locked="0" layoutInCell="1" allowOverlap="1" wp14:anchorId="7AA10E5E" wp14:editId="59B11C1F">
            <wp:simplePos x="0" y="0"/>
            <wp:positionH relativeFrom="column">
              <wp:posOffset>2244725</wp:posOffset>
            </wp:positionH>
            <wp:positionV relativeFrom="paragraph">
              <wp:posOffset>702310</wp:posOffset>
            </wp:positionV>
            <wp:extent cx="3435350" cy="2819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0" cy="281940"/>
                    </a:xfrm>
                    <a:prstGeom prst="rect">
                      <a:avLst/>
                    </a:prstGeom>
                    <a:noFill/>
                  </pic:spPr>
                </pic:pic>
              </a:graphicData>
            </a:graphic>
            <wp14:sizeRelH relativeFrom="page">
              <wp14:pctWidth>0</wp14:pctWidth>
            </wp14:sizeRelH>
            <wp14:sizeRelV relativeFrom="page">
              <wp14:pctHeight>0</wp14:pctHeight>
            </wp14:sizeRelV>
          </wp:anchor>
        </w:drawing>
      </w:r>
    </w:p>
    <w:p w14:paraId="3CFE78D3" w14:textId="4DB497A4" w:rsidR="00095D37" w:rsidRDefault="00095D37" w:rsidP="00095D37"/>
    <w:p w14:paraId="096DF958" w14:textId="249F29E5" w:rsidR="00095D37" w:rsidRDefault="00095D37" w:rsidP="00095D37">
      <w:pPr>
        <w:jc w:val="center"/>
        <w:rPr>
          <w:b/>
          <w:bCs/>
          <w:sz w:val="23"/>
          <w:szCs w:val="23"/>
        </w:rPr>
      </w:pPr>
    </w:p>
    <w:p w14:paraId="5B034B68" w14:textId="092ABA30" w:rsidR="00095D37" w:rsidRPr="00F34F5D" w:rsidRDefault="008A47A3">
      <w:pPr>
        <w:widowControl/>
        <w:autoSpaceDE/>
        <w:autoSpaceDN/>
        <w:spacing w:after="160" w:line="259" w:lineRule="auto"/>
        <w:rPr>
          <w:lang w:val="en-AU"/>
        </w:rPr>
      </w:pPr>
      <w:r>
        <w:rPr>
          <w:lang w:val="en-AU"/>
        </w:rPr>
        <w:br w:type="page"/>
      </w:r>
    </w:p>
    <w:p w14:paraId="2870B597" w14:textId="77777777" w:rsidR="00095D37" w:rsidRPr="00082DE0" w:rsidRDefault="00095D37" w:rsidP="00095D37">
      <w:pPr>
        <w:pStyle w:val="BodyText"/>
        <w:rPr>
          <w:b/>
          <w:szCs w:val="23"/>
        </w:rPr>
      </w:pPr>
      <w:r w:rsidRPr="00082DE0">
        <w:rPr>
          <w:szCs w:val="23"/>
        </w:rPr>
        <w:lastRenderedPageBreak/>
        <w:t>The key components of the framework are as follows:</w:t>
      </w:r>
    </w:p>
    <w:p w14:paraId="06F32F69" w14:textId="741282AF" w:rsidR="00095D37" w:rsidRPr="00082DE0" w:rsidRDefault="00095D37" w:rsidP="003573A0">
      <w:pPr>
        <w:pStyle w:val="Bullet1"/>
        <w:rPr>
          <w:b/>
          <w:sz w:val="23"/>
          <w:szCs w:val="23"/>
        </w:rPr>
      </w:pPr>
      <w:r w:rsidRPr="00082DE0">
        <w:rPr>
          <w:b/>
          <w:sz w:val="23"/>
          <w:szCs w:val="23"/>
        </w:rPr>
        <w:t>State Outcomes</w:t>
      </w:r>
      <w:r w:rsidRPr="00082DE0">
        <w:rPr>
          <w:sz w:val="23"/>
          <w:szCs w:val="23"/>
        </w:rPr>
        <w:t xml:space="preserve"> which articulate the primary purpose for which public resources are being </w:t>
      </w:r>
      <w:r w:rsidR="000D5F46" w:rsidRPr="00082DE0">
        <w:rPr>
          <w:sz w:val="23"/>
          <w:szCs w:val="23"/>
        </w:rPr>
        <w:t xml:space="preserve">invested to deliver goods and services in line with </w:t>
      </w:r>
      <w:r w:rsidRPr="00082DE0">
        <w:rPr>
          <w:sz w:val="23"/>
          <w:szCs w:val="23"/>
        </w:rPr>
        <w:t>the goals</w:t>
      </w:r>
      <w:r w:rsidR="000D5F46" w:rsidRPr="00082DE0">
        <w:rPr>
          <w:sz w:val="23"/>
          <w:szCs w:val="23"/>
        </w:rPr>
        <w:t xml:space="preserve"> and priorities</w:t>
      </w:r>
      <w:r w:rsidRPr="00082DE0">
        <w:rPr>
          <w:sz w:val="23"/>
          <w:szCs w:val="23"/>
        </w:rPr>
        <w:t xml:space="preserve"> that Government is seeking to achieve for its citizens and businesses across all of its activities</w:t>
      </w:r>
    </w:p>
    <w:p w14:paraId="3A6E828C" w14:textId="65C22525" w:rsidR="00095D37" w:rsidRPr="00082DE0" w:rsidRDefault="00095D37" w:rsidP="003573A0">
      <w:pPr>
        <w:pStyle w:val="Bullet1"/>
        <w:rPr>
          <w:b/>
          <w:sz w:val="23"/>
          <w:szCs w:val="23"/>
        </w:rPr>
      </w:pPr>
      <w:r w:rsidRPr="00082DE0">
        <w:rPr>
          <w:sz w:val="23"/>
          <w:szCs w:val="23"/>
        </w:rPr>
        <w:t xml:space="preserve">each State Outcome has </w:t>
      </w:r>
      <w:r w:rsidR="00810C08" w:rsidRPr="00082DE0">
        <w:rPr>
          <w:sz w:val="23"/>
          <w:szCs w:val="23"/>
        </w:rPr>
        <w:t>a set of agreed</w:t>
      </w:r>
      <w:r w:rsidRPr="00082DE0">
        <w:rPr>
          <w:sz w:val="23"/>
          <w:szCs w:val="23"/>
        </w:rPr>
        <w:t xml:space="preserve"> </w:t>
      </w:r>
      <w:r w:rsidRPr="00082DE0">
        <w:rPr>
          <w:b/>
          <w:sz w:val="23"/>
          <w:szCs w:val="23"/>
        </w:rPr>
        <w:t>Outcome Indicators</w:t>
      </w:r>
      <w:r w:rsidRPr="00082DE0">
        <w:rPr>
          <w:sz w:val="23"/>
          <w:szCs w:val="23"/>
        </w:rPr>
        <w:t xml:space="preserve"> that measure progress in achieving these outcomes</w:t>
      </w:r>
      <w:r w:rsidR="00810C08" w:rsidRPr="00082DE0">
        <w:rPr>
          <w:sz w:val="23"/>
          <w:szCs w:val="23"/>
        </w:rPr>
        <w:t>, with endorsed Outcome Indicator targets that set the desired level of performance</w:t>
      </w:r>
    </w:p>
    <w:p w14:paraId="3C92FF90" w14:textId="77777777" w:rsidR="00095D37" w:rsidRPr="00082DE0" w:rsidRDefault="00095D37" w:rsidP="003573A0">
      <w:pPr>
        <w:pStyle w:val="Bullet1"/>
        <w:rPr>
          <w:b/>
          <w:sz w:val="23"/>
          <w:szCs w:val="23"/>
        </w:rPr>
      </w:pPr>
      <w:r w:rsidRPr="00082DE0">
        <w:rPr>
          <w:sz w:val="23"/>
          <w:szCs w:val="23"/>
        </w:rPr>
        <w:t xml:space="preserve">delivery of each State Outcome is supported by </w:t>
      </w:r>
      <w:r w:rsidRPr="00082DE0">
        <w:rPr>
          <w:b/>
          <w:sz w:val="23"/>
          <w:szCs w:val="23"/>
        </w:rPr>
        <w:t>Programs</w:t>
      </w:r>
      <w:r w:rsidRPr="00082DE0">
        <w:rPr>
          <w:sz w:val="23"/>
          <w:szCs w:val="23"/>
        </w:rPr>
        <w:t xml:space="preserve"> that are a collection of Government activities, tasks, divisions or functions to deliver specific objectives towards the State Outcome</w:t>
      </w:r>
    </w:p>
    <w:p w14:paraId="3BD402D2" w14:textId="0AB847C4" w:rsidR="00AF6885" w:rsidRPr="00082DE0" w:rsidRDefault="00095D37" w:rsidP="003573A0">
      <w:pPr>
        <w:pStyle w:val="Bullet1"/>
        <w:rPr>
          <w:b/>
          <w:sz w:val="23"/>
          <w:szCs w:val="23"/>
        </w:rPr>
      </w:pPr>
      <w:r w:rsidRPr="00082DE0">
        <w:rPr>
          <w:b/>
          <w:sz w:val="23"/>
          <w:szCs w:val="23"/>
        </w:rPr>
        <w:t>Program Performance Measures</w:t>
      </w:r>
      <w:r w:rsidRPr="00082DE0">
        <w:rPr>
          <w:sz w:val="23"/>
          <w:szCs w:val="23"/>
        </w:rPr>
        <w:t xml:space="preserve"> which measure performance of each Program and are used to assess efficiency, effectiveness and equity in delivering objectives</w:t>
      </w:r>
      <w:r w:rsidR="009733A4" w:rsidRPr="00082DE0">
        <w:rPr>
          <w:sz w:val="23"/>
          <w:szCs w:val="23"/>
        </w:rPr>
        <w:t>.</w:t>
      </w:r>
    </w:p>
    <w:p w14:paraId="4EAD77EE" w14:textId="124E216B" w:rsidR="00D222A8" w:rsidRPr="00082DE0" w:rsidRDefault="00095D37" w:rsidP="00373BAA">
      <w:pPr>
        <w:pStyle w:val="BodyText"/>
        <w:rPr>
          <w:szCs w:val="23"/>
        </w:rPr>
      </w:pPr>
      <w:r w:rsidRPr="00082DE0">
        <w:rPr>
          <w:szCs w:val="23"/>
        </w:rPr>
        <w:t>The framework enables ongoing performance monitoring and assessment to ensure</w:t>
      </w:r>
      <w:r w:rsidR="00D222A8" w:rsidRPr="00082DE0">
        <w:rPr>
          <w:szCs w:val="23"/>
        </w:rPr>
        <w:t xml:space="preserve"> all</w:t>
      </w:r>
      <w:r w:rsidRPr="00082DE0">
        <w:rPr>
          <w:szCs w:val="23"/>
        </w:rPr>
        <w:t xml:space="preserve"> resources are well managed and targeted to deliver State Outcomes efficiently and effectively.</w:t>
      </w:r>
      <w:r w:rsidR="001462EC" w:rsidRPr="00082DE0">
        <w:rPr>
          <w:szCs w:val="23"/>
        </w:rPr>
        <w:t xml:space="preserve"> </w:t>
      </w:r>
      <w:r w:rsidR="000E6352" w:rsidRPr="00082DE0">
        <w:rPr>
          <w:szCs w:val="23"/>
        </w:rPr>
        <w:t>It ensures that the entire budget works hard towards delivering outcomes.</w:t>
      </w:r>
    </w:p>
    <w:p w14:paraId="5A64BC1E" w14:textId="77777777" w:rsidR="008A47A3" w:rsidRPr="00082DE0" w:rsidRDefault="008A47A3" w:rsidP="008A47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1.1:  Using Outcome Budgeting to Drive Improved Indigenous outcomes  "/>
        <w:tblDescription w:val="Box 1.1:  Using Outcome Budgeting to Drive Improved Indigenous outcomes"/>
      </w:tblPr>
      <w:tblGrid>
        <w:gridCol w:w="9628"/>
      </w:tblGrid>
      <w:tr w:rsidR="00545513" w14:paraId="5B74965B" w14:textId="77777777" w:rsidTr="004013CB">
        <w:tc>
          <w:tcPr>
            <w:tcW w:w="9628" w:type="dxa"/>
            <w:shd w:val="pct5" w:color="auto" w:fill="auto"/>
          </w:tcPr>
          <w:p w14:paraId="347BC210" w14:textId="128A00D1" w:rsidR="00DA2F00" w:rsidRPr="00B055AE" w:rsidRDefault="00DA2F00" w:rsidP="00DA2F00">
            <w:pPr>
              <w:pStyle w:val="BoxHeading"/>
            </w:pPr>
            <w:r w:rsidRPr="00B055AE">
              <w:t>Box 1.</w:t>
            </w:r>
            <w:r>
              <w:t>1</w:t>
            </w:r>
            <w:r w:rsidRPr="00B055AE">
              <w:t>:</w:t>
            </w:r>
            <w:r w:rsidRPr="00B055AE">
              <w:tab/>
              <w:t xml:space="preserve">Using Outcome Budgeting to </w:t>
            </w:r>
            <w:r>
              <w:t>Drive Improved Indigenous outcomes</w:t>
            </w:r>
            <w:r w:rsidRPr="00B055AE">
              <w:t xml:space="preserve">  </w:t>
            </w:r>
          </w:p>
          <w:p w14:paraId="63632C59" w14:textId="3F2F82DA" w:rsidR="00A61565" w:rsidRPr="0003707C" w:rsidRDefault="0BACC5E3" w:rsidP="00A61565">
            <w:pPr>
              <w:pStyle w:val="Bullet1inabox"/>
              <w:rPr>
                <w:sz w:val="23"/>
                <w:szCs w:val="23"/>
              </w:rPr>
            </w:pPr>
            <w:r w:rsidRPr="0003707C">
              <w:rPr>
                <w:sz w:val="23"/>
                <w:szCs w:val="23"/>
              </w:rPr>
              <w:t>The Outcome Budgeting framework is driving improved outcomes for NSW Aboriginal and Torres Strait Islander communities in line with our commitment to Closing the Gap, which includes 17 socio-economic Targets and five Priority Reforms</w:t>
            </w:r>
            <w:r w:rsidR="00F71E94">
              <w:rPr>
                <w:sz w:val="23"/>
                <w:szCs w:val="23"/>
              </w:rPr>
              <w:t xml:space="preserve">. This will </w:t>
            </w:r>
            <w:r w:rsidRPr="0003707C">
              <w:rPr>
                <w:sz w:val="23"/>
                <w:szCs w:val="23"/>
              </w:rPr>
              <w:t xml:space="preserve">transform the relationship between </w:t>
            </w:r>
            <w:r w:rsidR="00E45ABC">
              <w:rPr>
                <w:sz w:val="23"/>
                <w:szCs w:val="23"/>
              </w:rPr>
              <w:t xml:space="preserve">the </w:t>
            </w:r>
            <w:r w:rsidRPr="0003707C">
              <w:rPr>
                <w:sz w:val="23"/>
                <w:szCs w:val="23"/>
              </w:rPr>
              <w:t>government and Indigenous peoples and improve the wellbeing of Indigenous communities. In line with this commitment, all Clusters are working to further embed Indigenous-related measures as outcome indicators and program performance measures against State Outcomes.</w:t>
            </w:r>
          </w:p>
          <w:p w14:paraId="774A7A13" w14:textId="1CBBC4F5" w:rsidR="00BE2153" w:rsidRPr="0003707C" w:rsidRDefault="0BACC5E3" w:rsidP="00A61565">
            <w:pPr>
              <w:pStyle w:val="Bullet1inabox"/>
              <w:rPr>
                <w:sz w:val="23"/>
                <w:szCs w:val="23"/>
              </w:rPr>
            </w:pPr>
            <w:r w:rsidRPr="0003707C">
              <w:rPr>
                <w:sz w:val="23"/>
                <w:szCs w:val="23"/>
              </w:rPr>
              <w:t>This focus across</w:t>
            </w:r>
            <w:r w:rsidR="007C3E03">
              <w:rPr>
                <w:sz w:val="23"/>
                <w:szCs w:val="23"/>
              </w:rPr>
              <w:t xml:space="preserve"> the</w:t>
            </w:r>
            <w:r w:rsidRPr="0003707C">
              <w:rPr>
                <w:sz w:val="23"/>
                <w:szCs w:val="23"/>
              </w:rPr>
              <w:t xml:space="preserve"> NSW Government better aligns and coordinates efforts by individual Clusters to improve outcomes for Indigenous people</w:t>
            </w:r>
            <w:r w:rsidR="34B5EC30" w:rsidRPr="0003707C">
              <w:rPr>
                <w:sz w:val="23"/>
                <w:szCs w:val="23"/>
              </w:rPr>
              <w:t>s</w:t>
            </w:r>
            <w:r w:rsidRPr="0003707C">
              <w:rPr>
                <w:sz w:val="23"/>
                <w:szCs w:val="23"/>
              </w:rPr>
              <w:t xml:space="preserve"> and communities, for example, through education, employment and infrastructure:</w:t>
            </w:r>
          </w:p>
          <w:p w14:paraId="302FC8C0" w14:textId="3DB8DD4E" w:rsidR="00BE2153" w:rsidRPr="0003707C" w:rsidRDefault="00D63B2E" w:rsidP="00AB7E50">
            <w:pPr>
              <w:pStyle w:val="Bullet2inabox"/>
              <w:rPr>
                <w:rFonts w:asciiTheme="minorHAnsi" w:eastAsiaTheme="minorEastAsia" w:hAnsiTheme="minorHAnsi" w:cstheme="minorBidi"/>
                <w:color w:val="000000" w:themeColor="text1"/>
                <w:szCs w:val="23"/>
                <w:lang w:val="en-US"/>
              </w:rPr>
            </w:pPr>
            <w:r>
              <w:rPr>
                <w:szCs w:val="23"/>
              </w:rPr>
              <w:t>t</w:t>
            </w:r>
            <w:r w:rsidR="00CF7A31" w:rsidRPr="0003707C">
              <w:rPr>
                <w:szCs w:val="23"/>
              </w:rPr>
              <w:t>he NSW Government is renewing its efforts to deliver positive educational outcomes for Aboriginal students by working with the NSW Coalition of Aboriginal Peak Organisations (NSW CAPO) and government agencies to co-design and pilot a number of key initiatives. These include Aboriginal Learning and Engagement Centres and Pirru Thangkuray cultural engagement and mentoring - focused on increasing student engagement, attendance</w:t>
            </w:r>
            <w:r w:rsidR="00FD03D3">
              <w:rPr>
                <w:szCs w:val="23"/>
              </w:rPr>
              <w:t>,</w:t>
            </w:r>
            <w:r w:rsidR="00CF7A31" w:rsidRPr="0003707C">
              <w:rPr>
                <w:szCs w:val="23"/>
              </w:rPr>
              <w:t xml:space="preserve"> Year 12 attainment and cultural education for educators. </w:t>
            </w:r>
            <w:r w:rsidR="0BACC5E3" w:rsidRPr="0003707C">
              <w:rPr>
                <w:szCs w:val="23"/>
              </w:rPr>
              <w:t xml:space="preserve">Increasing Year 12 attainment for Aboriginal students is a Premier’s Priority, a Closing the Gap target and a key indicator contributing to the “Educational foundations for success” State Outcome </w:t>
            </w:r>
          </w:p>
          <w:p w14:paraId="7384FBAB" w14:textId="780EBECB" w:rsidR="00B21F77" w:rsidRPr="0003707C" w:rsidRDefault="0BACC5E3" w:rsidP="00AB7E50">
            <w:pPr>
              <w:pStyle w:val="Bullet2inabox"/>
              <w:rPr>
                <w:rFonts w:asciiTheme="minorHAnsi" w:eastAsiaTheme="minorEastAsia" w:hAnsiTheme="minorHAnsi" w:cstheme="minorBidi"/>
                <w:szCs w:val="23"/>
              </w:rPr>
            </w:pPr>
            <w:r w:rsidRPr="0003707C">
              <w:rPr>
                <w:szCs w:val="23"/>
              </w:rPr>
              <w:t xml:space="preserve">the Aboriginal Procurement Policy </w:t>
            </w:r>
            <w:r w:rsidR="0D4CC161" w:rsidRPr="0003707C">
              <w:rPr>
                <w:szCs w:val="23"/>
              </w:rPr>
              <w:t>(APP)</w:t>
            </w:r>
            <w:r w:rsidRPr="0003707C">
              <w:rPr>
                <w:szCs w:val="23"/>
              </w:rPr>
              <w:t xml:space="preserve"> sets targets for all NSW Government Clusters to direct 1</w:t>
            </w:r>
            <w:r w:rsidR="00F83107" w:rsidRPr="0003707C">
              <w:rPr>
                <w:szCs w:val="23"/>
              </w:rPr>
              <w:t xml:space="preserve"> per cent</w:t>
            </w:r>
            <w:r w:rsidRPr="0003707C">
              <w:rPr>
                <w:szCs w:val="23"/>
              </w:rPr>
              <w:t xml:space="preserve"> total addressable spend and 3</w:t>
            </w:r>
            <w:r w:rsidR="00F83107" w:rsidRPr="0003707C">
              <w:rPr>
                <w:szCs w:val="23"/>
              </w:rPr>
              <w:t xml:space="preserve"> per</w:t>
            </w:r>
            <w:r w:rsidR="0089064C">
              <w:rPr>
                <w:szCs w:val="23"/>
              </w:rPr>
              <w:t xml:space="preserve"> </w:t>
            </w:r>
            <w:r w:rsidR="00F83107" w:rsidRPr="0003707C">
              <w:rPr>
                <w:szCs w:val="23"/>
              </w:rPr>
              <w:t>cent</w:t>
            </w:r>
            <w:r w:rsidRPr="0003707C">
              <w:rPr>
                <w:szCs w:val="23"/>
              </w:rPr>
              <w:t xml:space="preserve"> total goods and services contracts to Aboriginal businesses. Delivering the APP supports 3</w:t>
            </w:r>
            <w:r w:rsidR="00E979D0">
              <w:rPr>
                <w:szCs w:val="23"/>
              </w:rPr>
              <w:t>,</w:t>
            </w:r>
            <w:r w:rsidRPr="0003707C">
              <w:rPr>
                <w:szCs w:val="23"/>
              </w:rPr>
              <w:t xml:space="preserve">000 </w:t>
            </w:r>
            <w:r w:rsidR="00E979D0">
              <w:rPr>
                <w:szCs w:val="23"/>
              </w:rPr>
              <w:t>f</w:t>
            </w:r>
            <w:r w:rsidR="00E979D0">
              <w:t>ull</w:t>
            </w:r>
            <w:r w:rsidR="009C1B34">
              <w:t> </w:t>
            </w:r>
            <w:r w:rsidR="00E979D0">
              <w:t xml:space="preserve">time equivalent </w:t>
            </w:r>
            <w:r w:rsidRPr="0003707C">
              <w:rPr>
                <w:szCs w:val="23"/>
              </w:rPr>
              <w:t xml:space="preserve">employment opportunities for Indigenous peoples, contributing to the “Empowering Aboriginal communities” State Outcome, closing the gap in employment outcomes and supporting Indigenous </w:t>
            </w:r>
            <w:r w:rsidR="6E18D5D8" w:rsidRPr="0003707C">
              <w:rPr>
                <w:szCs w:val="23"/>
              </w:rPr>
              <w:t>economic prosperity</w:t>
            </w:r>
          </w:p>
          <w:p w14:paraId="6C38D5F2" w14:textId="68BA5A32" w:rsidR="00545513" w:rsidRPr="00714CBD" w:rsidRDefault="0BACC5E3" w:rsidP="00AB7E50">
            <w:pPr>
              <w:pStyle w:val="Bullet2inabox"/>
              <w:rPr>
                <w:rFonts w:asciiTheme="minorHAnsi" w:eastAsiaTheme="minorEastAsia" w:hAnsiTheme="minorHAnsi" w:cstheme="minorBidi"/>
                <w:szCs w:val="23"/>
              </w:rPr>
            </w:pPr>
            <w:r w:rsidRPr="0003707C">
              <w:rPr>
                <w:szCs w:val="23"/>
              </w:rPr>
              <w:t>the Planning</w:t>
            </w:r>
            <w:r w:rsidR="00CF7A31" w:rsidRPr="0003707C">
              <w:rPr>
                <w:szCs w:val="23"/>
              </w:rPr>
              <w:t>, Industry and Environment</w:t>
            </w:r>
            <w:r w:rsidRPr="0003707C">
              <w:rPr>
                <w:szCs w:val="23"/>
              </w:rPr>
              <w:t xml:space="preserve"> Cluster’s Roads to Home program is providing upgraded roads and services to discrete Aboriginal communities across </w:t>
            </w:r>
            <w:r w:rsidR="005D0D1A">
              <w:rPr>
                <w:szCs w:val="23"/>
              </w:rPr>
              <w:t>New South Wales</w:t>
            </w:r>
            <w:r w:rsidRPr="0003707C">
              <w:rPr>
                <w:szCs w:val="23"/>
              </w:rPr>
              <w:t>. Roads to Home supports the self-determination of Aboriginal communities by issuing grant funding to Local Aboriginal Land Councils to support communities to make key decisions about how upgrades are delivered. The program supports the performance of the “Maximise community benefit from government land and property” State Outcome and aligns with Closing the Gap targets around access to land and housing.</w:t>
            </w:r>
          </w:p>
        </w:tc>
      </w:tr>
    </w:tbl>
    <w:p w14:paraId="664A7D24" w14:textId="28A2CD4C" w:rsidR="00637B53" w:rsidRPr="00953860" w:rsidRDefault="00AF6885" w:rsidP="00953860">
      <w:pPr>
        <w:pStyle w:val="Heading2"/>
      </w:pPr>
      <w:r>
        <w:lastRenderedPageBreak/>
        <w:t xml:space="preserve">The State Outcomes and </w:t>
      </w:r>
      <w:r w:rsidR="00637B53">
        <w:t>Cluster arrangements</w:t>
      </w:r>
    </w:p>
    <w:p w14:paraId="1EDCABF0" w14:textId="4CC1FDA7" w:rsidR="00713835" w:rsidRDefault="00937824" w:rsidP="00A90974">
      <w:pPr>
        <w:pStyle w:val="BodyText"/>
      </w:pPr>
      <w:r>
        <w:t xml:space="preserve">There are 37 </w:t>
      </w:r>
      <w:r w:rsidR="00FE5EE3">
        <w:t xml:space="preserve">agreed </w:t>
      </w:r>
      <w:r>
        <w:t>State Outcomes across</w:t>
      </w:r>
      <w:r w:rsidR="000564D0">
        <w:t xml:space="preserve"> </w:t>
      </w:r>
      <w:r>
        <w:t>nine Clusters.</w:t>
      </w:r>
      <w:r w:rsidR="000564D0">
        <w:t xml:space="preserve"> </w:t>
      </w:r>
      <w:r w:rsidR="00A90974">
        <w:t xml:space="preserve">The State Outcomes </w:t>
      </w:r>
      <w:r w:rsidR="000C4927">
        <w:t xml:space="preserve">cover the totality of all government activity </w:t>
      </w:r>
      <w:r w:rsidR="00CC3A4E">
        <w:t xml:space="preserve">and </w:t>
      </w:r>
      <w:r w:rsidR="00A90974">
        <w:t xml:space="preserve">the Premier’s 14 Priorities </w:t>
      </w:r>
      <w:r w:rsidR="00CC3A4E">
        <w:t xml:space="preserve">are embedded within this framework </w:t>
      </w:r>
      <w:r w:rsidR="00A90974">
        <w:t>(each Priority metric is included as an Outcome Indicator under the relevant State Outcome).</w:t>
      </w:r>
    </w:p>
    <w:p w14:paraId="25F46F33" w14:textId="57FC1A7C" w:rsidR="00B011BB" w:rsidRPr="002D0523" w:rsidRDefault="00B011BB" w:rsidP="003573A0">
      <w:pPr>
        <w:pStyle w:val="Bullet1"/>
        <w:numPr>
          <w:ilvl w:val="0"/>
          <w:numId w:val="0"/>
        </w:numPr>
        <w:rPr>
          <w:sz w:val="23"/>
          <w:szCs w:val="23"/>
        </w:rPr>
      </w:pPr>
      <w:r w:rsidRPr="002D0523">
        <w:rPr>
          <w:sz w:val="23"/>
          <w:szCs w:val="23"/>
        </w:rPr>
        <w:t xml:space="preserve">Clusters are groups of entities with shared or related policy goals. The </w:t>
      </w:r>
      <w:r w:rsidR="004152E6" w:rsidRPr="002D0523">
        <w:rPr>
          <w:sz w:val="23"/>
          <w:szCs w:val="23"/>
        </w:rPr>
        <w:t>C</w:t>
      </w:r>
      <w:r w:rsidRPr="002D0523">
        <w:rPr>
          <w:sz w:val="23"/>
          <w:szCs w:val="23"/>
        </w:rPr>
        <w:t>luster arrangement aims to improve government services and outcomes for the community by:</w:t>
      </w:r>
    </w:p>
    <w:p w14:paraId="2D5AC42E" w14:textId="77777777" w:rsidR="00B011BB" w:rsidRPr="002D0523" w:rsidRDefault="00B011BB" w:rsidP="003573A0">
      <w:pPr>
        <w:pStyle w:val="Bullet1"/>
        <w:rPr>
          <w:rFonts w:ascii="Symbol" w:hAnsi="Symbol"/>
          <w:sz w:val="23"/>
          <w:szCs w:val="23"/>
        </w:rPr>
      </w:pPr>
      <w:r w:rsidRPr="002D0523">
        <w:rPr>
          <w:sz w:val="23"/>
          <w:szCs w:val="23"/>
        </w:rPr>
        <w:t>pursuing common objectives across</w:t>
      </w:r>
      <w:r w:rsidRPr="002D0523">
        <w:rPr>
          <w:spacing w:val="-7"/>
          <w:sz w:val="23"/>
          <w:szCs w:val="23"/>
        </w:rPr>
        <w:t xml:space="preserve"> </w:t>
      </w:r>
      <w:r w:rsidRPr="002D0523">
        <w:rPr>
          <w:sz w:val="23"/>
          <w:szCs w:val="23"/>
        </w:rPr>
        <w:t>agencies</w:t>
      </w:r>
    </w:p>
    <w:p w14:paraId="0E24EB96" w14:textId="77777777" w:rsidR="00B011BB" w:rsidRPr="002D0523" w:rsidRDefault="00B011BB" w:rsidP="003573A0">
      <w:pPr>
        <w:pStyle w:val="Bullet1"/>
        <w:rPr>
          <w:rFonts w:ascii="Symbol" w:hAnsi="Symbol"/>
          <w:sz w:val="23"/>
          <w:szCs w:val="23"/>
        </w:rPr>
      </w:pPr>
      <w:r w:rsidRPr="002D0523">
        <w:rPr>
          <w:sz w:val="23"/>
          <w:szCs w:val="23"/>
        </w:rPr>
        <w:t>better integrating</w:t>
      </w:r>
      <w:r w:rsidRPr="002D0523">
        <w:rPr>
          <w:spacing w:val="-4"/>
          <w:sz w:val="23"/>
          <w:szCs w:val="23"/>
        </w:rPr>
        <w:t xml:space="preserve"> </w:t>
      </w:r>
      <w:r w:rsidRPr="002D0523">
        <w:rPr>
          <w:sz w:val="23"/>
          <w:szCs w:val="23"/>
        </w:rPr>
        <w:t>services</w:t>
      </w:r>
    </w:p>
    <w:p w14:paraId="396E88EC" w14:textId="4B75C89E" w:rsidR="00B011BB" w:rsidRPr="002D0523" w:rsidRDefault="00B011BB" w:rsidP="003573A0">
      <w:pPr>
        <w:pStyle w:val="Bullet1"/>
        <w:rPr>
          <w:rFonts w:ascii="Symbol" w:hAnsi="Symbol"/>
          <w:sz w:val="23"/>
          <w:szCs w:val="23"/>
        </w:rPr>
      </w:pPr>
      <w:r w:rsidRPr="002D0523">
        <w:rPr>
          <w:sz w:val="23"/>
          <w:szCs w:val="23"/>
        </w:rPr>
        <w:t>helping to allocate resources between</w:t>
      </w:r>
      <w:r w:rsidRPr="002D0523">
        <w:rPr>
          <w:spacing w:val="-3"/>
          <w:sz w:val="23"/>
          <w:szCs w:val="23"/>
        </w:rPr>
        <w:t xml:space="preserve"> </w:t>
      </w:r>
      <w:r w:rsidRPr="002D0523">
        <w:rPr>
          <w:sz w:val="23"/>
          <w:szCs w:val="23"/>
        </w:rPr>
        <w:t>areas.</w:t>
      </w:r>
    </w:p>
    <w:p w14:paraId="60879EBF" w14:textId="5302456D" w:rsidR="00B011BB" w:rsidRDefault="00B011BB" w:rsidP="00095D37">
      <w:pPr>
        <w:pStyle w:val="BodyText"/>
      </w:pPr>
      <w:r w:rsidRPr="00114CA4">
        <w:t xml:space="preserve">A </w:t>
      </w:r>
      <w:r w:rsidR="00152E79">
        <w:t>C</w:t>
      </w:r>
      <w:r w:rsidRPr="00114CA4">
        <w:t>luster is not a legal or reporting entity.</w:t>
      </w:r>
      <w:r>
        <w:t xml:space="preserve"> </w:t>
      </w:r>
    </w:p>
    <w:p w14:paraId="2165ECEC" w14:textId="069779A6" w:rsidR="008E45C8" w:rsidRPr="00B04E4B" w:rsidRDefault="008E45C8" w:rsidP="00A23602">
      <w:pPr>
        <w:pStyle w:val="Heading3"/>
      </w:pPr>
      <w:r w:rsidRPr="00B04E4B">
        <w:t xml:space="preserve">Changes to Cluster arrangements </w:t>
      </w:r>
    </w:p>
    <w:p w14:paraId="4FAFA180" w14:textId="0FBC0A57" w:rsidR="005746CC" w:rsidRPr="00B04E4B" w:rsidRDefault="00486C97" w:rsidP="005746CC">
      <w:pPr>
        <w:pStyle w:val="BodyText"/>
      </w:pPr>
      <w:r w:rsidRPr="00B04E4B">
        <w:t>Since the 2021-22 Bu</w:t>
      </w:r>
      <w:r w:rsidR="00C93DCA" w:rsidRPr="00B04E4B">
        <w:t>dget the</w:t>
      </w:r>
      <w:r w:rsidR="00111F53" w:rsidRPr="00B04E4B">
        <w:t xml:space="preserve"> following statutory bodies, non-public financial corporations and public financial corporations have transferred Clusters.</w:t>
      </w:r>
    </w:p>
    <w:tbl>
      <w:tblPr>
        <w:tblW w:w="9638" w:type="dxa"/>
        <w:tblLayout w:type="fixed"/>
        <w:tblLook w:val="04A0" w:firstRow="1" w:lastRow="0" w:firstColumn="1" w:lastColumn="0" w:noHBand="0" w:noVBand="1"/>
        <w:tblCaption w:val="Changes to Cluster arrangements "/>
        <w:tblDescription w:val="Changes to Cluster arrangements "/>
      </w:tblPr>
      <w:tblGrid>
        <w:gridCol w:w="4820"/>
        <w:gridCol w:w="2409"/>
        <w:gridCol w:w="2409"/>
      </w:tblGrid>
      <w:tr w:rsidR="00B04E4B" w:rsidRPr="00B04E4B" w14:paraId="483DFFEF" w14:textId="77777777" w:rsidTr="00AB7E50">
        <w:trPr>
          <w:trHeight w:val="454"/>
        </w:trPr>
        <w:tc>
          <w:tcPr>
            <w:tcW w:w="4820" w:type="dxa"/>
            <w:tcBorders>
              <w:top w:val="nil"/>
              <w:left w:val="nil"/>
              <w:bottom w:val="nil"/>
              <w:right w:val="nil"/>
            </w:tcBorders>
            <w:shd w:val="clear" w:color="auto" w:fill="008EBA"/>
            <w:noWrap/>
            <w:vAlign w:val="center"/>
            <w:hideMark/>
          </w:tcPr>
          <w:p w14:paraId="471215F5" w14:textId="77777777" w:rsidR="00B04E4B" w:rsidRPr="003F3BF3" w:rsidRDefault="00B04E4B" w:rsidP="00BF6381">
            <w:pPr>
              <w:widowControl/>
              <w:autoSpaceDE/>
              <w:autoSpaceDN/>
              <w:rPr>
                <w:rFonts w:eastAsia="Times New Roman"/>
                <w:b/>
                <w:bCs/>
                <w:color w:val="FFFFFF"/>
                <w:sz w:val="18"/>
                <w:szCs w:val="18"/>
                <w:lang w:val="en-AU" w:eastAsia="en-AU"/>
              </w:rPr>
            </w:pPr>
            <w:r w:rsidRPr="00B04E4B">
              <w:rPr>
                <w:rFonts w:eastAsia="Times New Roman"/>
                <w:b/>
                <w:bCs/>
                <w:color w:val="FFFFFF"/>
                <w:sz w:val="18"/>
                <w:szCs w:val="18"/>
                <w:lang w:val="en-AU" w:eastAsia="en-AU"/>
              </w:rPr>
              <w:t>Entity</w:t>
            </w:r>
          </w:p>
        </w:tc>
        <w:tc>
          <w:tcPr>
            <w:tcW w:w="2409" w:type="dxa"/>
            <w:tcBorders>
              <w:top w:val="nil"/>
              <w:left w:val="nil"/>
              <w:bottom w:val="nil"/>
              <w:right w:val="nil"/>
            </w:tcBorders>
            <w:shd w:val="clear" w:color="auto" w:fill="008EBA"/>
            <w:noWrap/>
            <w:vAlign w:val="center"/>
            <w:hideMark/>
          </w:tcPr>
          <w:p w14:paraId="1BE1294E" w14:textId="77777777" w:rsidR="00B04E4B" w:rsidRPr="003F3BF3" w:rsidRDefault="00B04E4B" w:rsidP="00BF6381">
            <w:pPr>
              <w:widowControl/>
              <w:autoSpaceDE/>
              <w:autoSpaceDN/>
              <w:jc w:val="center"/>
              <w:rPr>
                <w:rFonts w:eastAsia="Times New Roman"/>
                <w:b/>
                <w:bCs/>
                <w:color w:val="FFFFFF"/>
                <w:sz w:val="18"/>
                <w:szCs w:val="18"/>
                <w:lang w:val="en-AU" w:eastAsia="en-AU"/>
              </w:rPr>
            </w:pPr>
            <w:r w:rsidRPr="00B04E4B">
              <w:rPr>
                <w:rFonts w:eastAsia="Times New Roman"/>
                <w:b/>
                <w:bCs/>
                <w:color w:val="FFFFFF"/>
                <w:sz w:val="18"/>
                <w:szCs w:val="18"/>
                <w:lang w:val="en-AU" w:eastAsia="en-AU"/>
              </w:rPr>
              <w:t>Cluster From</w:t>
            </w:r>
          </w:p>
        </w:tc>
        <w:tc>
          <w:tcPr>
            <w:tcW w:w="2409" w:type="dxa"/>
            <w:tcBorders>
              <w:top w:val="nil"/>
              <w:left w:val="nil"/>
              <w:right w:val="nil"/>
            </w:tcBorders>
            <w:shd w:val="clear" w:color="auto" w:fill="008EBA"/>
            <w:noWrap/>
            <w:vAlign w:val="center"/>
            <w:hideMark/>
          </w:tcPr>
          <w:p w14:paraId="27FA4BE3" w14:textId="77777777" w:rsidR="00B04E4B" w:rsidRPr="003F3BF3" w:rsidRDefault="00B04E4B" w:rsidP="00BF6381">
            <w:pPr>
              <w:widowControl/>
              <w:autoSpaceDE/>
              <w:autoSpaceDN/>
              <w:jc w:val="center"/>
              <w:rPr>
                <w:rFonts w:eastAsia="Times New Roman"/>
                <w:b/>
                <w:bCs/>
                <w:color w:val="FFFFFF"/>
                <w:sz w:val="18"/>
                <w:szCs w:val="18"/>
                <w:lang w:val="en-AU" w:eastAsia="en-AU"/>
              </w:rPr>
            </w:pPr>
            <w:r w:rsidRPr="00B04E4B">
              <w:rPr>
                <w:rFonts w:eastAsia="Times New Roman"/>
                <w:b/>
                <w:bCs/>
                <w:color w:val="FFFFFF"/>
                <w:sz w:val="18"/>
                <w:szCs w:val="18"/>
                <w:lang w:val="en-AU" w:eastAsia="en-AU"/>
              </w:rPr>
              <w:t>Cluster To</w:t>
            </w:r>
          </w:p>
        </w:tc>
      </w:tr>
      <w:tr w:rsidR="00B04E4B" w:rsidRPr="00B04E4B" w14:paraId="134AD4BC" w14:textId="77777777" w:rsidTr="006D68D7">
        <w:trPr>
          <w:trHeight w:val="283"/>
        </w:trPr>
        <w:tc>
          <w:tcPr>
            <w:tcW w:w="4820" w:type="dxa"/>
            <w:tcBorders>
              <w:top w:val="nil"/>
              <w:left w:val="nil"/>
              <w:bottom w:val="nil"/>
              <w:right w:val="nil"/>
            </w:tcBorders>
            <w:shd w:val="clear" w:color="auto" w:fill="auto"/>
            <w:vAlign w:val="bottom"/>
            <w:hideMark/>
          </w:tcPr>
          <w:p w14:paraId="0D903DB5" w14:textId="77777777" w:rsidR="00B04E4B" w:rsidRPr="003F3BF3" w:rsidRDefault="00B04E4B" w:rsidP="00BF6381">
            <w:pPr>
              <w:widowControl/>
              <w:autoSpaceDE/>
              <w:autoSpaceDN/>
              <w:rPr>
                <w:rFonts w:ascii="Times New Roman" w:eastAsia="Times New Roman" w:hAnsi="Times New Roman"/>
                <w:color w:val="000000"/>
                <w:sz w:val="16"/>
                <w:szCs w:val="16"/>
                <w:lang w:val="en-AU" w:eastAsia="en-AU"/>
              </w:rPr>
            </w:pPr>
            <w:r w:rsidRPr="00B04E4B">
              <w:rPr>
                <w:rFonts w:eastAsia="Times New Roman"/>
                <w:color w:val="000000"/>
                <w:sz w:val="16"/>
                <w:szCs w:val="16"/>
                <w:lang w:val="en-AU" w:eastAsia="en-AU"/>
              </w:rPr>
              <w:t>Western Parkland City Authority</w:t>
            </w:r>
          </w:p>
        </w:tc>
        <w:tc>
          <w:tcPr>
            <w:tcW w:w="2409" w:type="dxa"/>
            <w:tcBorders>
              <w:top w:val="nil"/>
              <w:left w:val="nil"/>
              <w:bottom w:val="nil"/>
              <w:right w:val="nil"/>
            </w:tcBorders>
            <w:shd w:val="clear" w:color="auto" w:fill="auto"/>
            <w:noWrap/>
            <w:vAlign w:val="bottom"/>
            <w:hideMark/>
          </w:tcPr>
          <w:p w14:paraId="719BFFF9" w14:textId="77777777" w:rsidR="00B04E4B" w:rsidRPr="003F3BF3" w:rsidRDefault="00B04E4B" w:rsidP="00BF6381">
            <w:pPr>
              <w:widowControl/>
              <w:autoSpaceDE/>
              <w:autoSpaceDN/>
              <w:jc w:val="center"/>
              <w:rPr>
                <w:rFonts w:eastAsia="Times New Roman"/>
                <w:color w:val="000000"/>
                <w:sz w:val="16"/>
                <w:szCs w:val="16"/>
                <w:lang w:val="en-AU" w:eastAsia="en-AU"/>
              </w:rPr>
            </w:pPr>
            <w:r w:rsidRPr="00B04E4B">
              <w:rPr>
                <w:rFonts w:eastAsia="Times New Roman"/>
                <w:color w:val="000000"/>
                <w:sz w:val="16"/>
                <w:szCs w:val="16"/>
                <w:lang w:val="en-AU" w:eastAsia="en-AU"/>
              </w:rPr>
              <w:t>Treasury</w:t>
            </w:r>
          </w:p>
        </w:tc>
        <w:tc>
          <w:tcPr>
            <w:tcW w:w="2409" w:type="dxa"/>
            <w:tcBorders>
              <w:top w:val="nil"/>
              <w:left w:val="nil"/>
              <w:bottom w:val="nil"/>
              <w:right w:val="nil"/>
            </w:tcBorders>
            <w:shd w:val="clear" w:color="auto" w:fill="auto"/>
            <w:noWrap/>
            <w:vAlign w:val="bottom"/>
            <w:hideMark/>
          </w:tcPr>
          <w:p w14:paraId="08B7EEA5" w14:textId="77777777" w:rsidR="00B04E4B" w:rsidRPr="003F3BF3" w:rsidRDefault="00B04E4B" w:rsidP="00BF6381">
            <w:pPr>
              <w:widowControl/>
              <w:autoSpaceDE/>
              <w:autoSpaceDN/>
              <w:ind w:right="170"/>
              <w:jc w:val="right"/>
              <w:rPr>
                <w:rFonts w:eastAsia="Times New Roman"/>
                <w:color w:val="000000"/>
                <w:sz w:val="16"/>
                <w:szCs w:val="16"/>
                <w:lang w:val="en-AU" w:eastAsia="en-AU"/>
              </w:rPr>
            </w:pPr>
            <w:r w:rsidRPr="00B04E4B">
              <w:rPr>
                <w:rFonts w:eastAsia="Times New Roman"/>
                <w:color w:val="000000"/>
                <w:sz w:val="16"/>
                <w:szCs w:val="16"/>
                <w:lang w:val="en-AU" w:eastAsia="en-AU"/>
              </w:rPr>
              <w:t>Premier and Cabinet</w:t>
            </w:r>
          </w:p>
        </w:tc>
      </w:tr>
      <w:tr w:rsidR="00B04E4B" w:rsidRPr="00B04E4B" w14:paraId="19B321BC" w14:textId="77777777" w:rsidTr="006D68D7">
        <w:trPr>
          <w:trHeight w:val="283"/>
        </w:trPr>
        <w:tc>
          <w:tcPr>
            <w:tcW w:w="4820" w:type="dxa"/>
            <w:tcBorders>
              <w:top w:val="nil"/>
              <w:left w:val="nil"/>
              <w:bottom w:val="nil"/>
              <w:right w:val="nil"/>
            </w:tcBorders>
            <w:shd w:val="clear" w:color="auto" w:fill="auto"/>
            <w:vAlign w:val="bottom"/>
            <w:hideMark/>
          </w:tcPr>
          <w:p w14:paraId="38CFEAE4" w14:textId="77777777" w:rsidR="00B04E4B" w:rsidRPr="003F3BF3" w:rsidRDefault="00B04E4B" w:rsidP="00BF6381">
            <w:pPr>
              <w:widowControl/>
              <w:autoSpaceDE/>
              <w:autoSpaceDN/>
              <w:rPr>
                <w:rFonts w:ascii="Times New Roman" w:eastAsia="Times New Roman" w:hAnsi="Times New Roman"/>
                <w:color w:val="000000"/>
                <w:sz w:val="16"/>
                <w:szCs w:val="16"/>
                <w:lang w:val="en-AU" w:eastAsia="en-AU"/>
              </w:rPr>
            </w:pPr>
            <w:r w:rsidRPr="00B04E4B">
              <w:rPr>
                <w:rFonts w:eastAsia="Times New Roman"/>
                <w:color w:val="000000"/>
                <w:sz w:val="16"/>
                <w:szCs w:val="16"/>
                <w:lang w:val="en-AU" w:eastAsia="en-AU"/>
              </w:rPr>
              <w:t>Destination NSW</w:t>
            </w:r>
          </w:p>
        </w:tc>
        <w:tc>
          <w:tcPr>
            <w:tcW w:w="2409" w:type="dxa"/>
            <w:tcBorders>
              <w:top w:val="nil"/>
              <w:left w:val="nil"/>
              <w:bottom w:val="nil"/>
              <w:right w:val="nil"/>
            </w:tcBorders>
            <w:shd w:val="clear" w:color="auto" w:fill="auto"/>
            <w:noWrap/>
            <w:vAlign w:val="bottom"/>
            <w:hideMark/>
          </w:tcPr>
          <w:p w14:paraId="1B730851" w14:textId="77777777" w:rsidR="00B04E4B" w:rsidRPr="003F3BF3" w:rsidRDefault="00B04E4B" w:rsidP="00BF6381">
            <w:pPr>
              <w:widowControl/>
              <w:autoSpaceDE/>
              <w:autoSpaceDN/>
              <w:jc w:val="center"/>
              <w:rPr>
                <w:rFonts w:eastAsia="Times New Roman"/>
                <w:color w:val="000000"/>
                <w:sz w:val="16"/>
                <w:szCs w:val="16"/>
                <w:lang w:val="en-AU" w:eastAsia="en-AU"/>
              </w:rPr>
            </w:pPr>
            <w:r w:rsidRPr="00B04E4B">
              <w:rPr>
                <w:rFonts w:eastAsia="Times New Roman"/>
                <w:color w:val="000000"/>
                <w:sz w:val="16"/>
                <w:szCs w:val="16"/>
                <w:lang w:val="en-AU" w:eastAsia="en-AU"/>
              </w:rPr>
              <w:t>Treasury</w:t>
            </w:r>
          </w:p>
        </w:tc>
        <w:tc>
          <w:tcPr>
            <w:tcW w:w="2409" w:type="dxa"/>
            <w:tcBorders>
              <w:top w:val="nil"/>
              <w:left w:val="nil"/>
              <w:bottom w:val="nil"/>
              <w:right w:val="nil"/>
            </w:tcBorders>
            <w:shd w:val="clear" w:color="auto" w:fill="auto"/>
            <w:noWrap/>
            <w:vAlign w:val="bottom"/>
            <w:hideMark/>
          </w:tcPr>
          <w:p w14:paraId="2712DCF3" w14:textId="77777777" w:rsidR="00B04E4B" w:rsidRPr="003F3BF3" w:rsidRDefault="00B04E4B" w:rsidP="00BF6381">
            <w:pPr>
              <w:widowControl/>
              <w:autoSpaceDE/>
              <w:autoSpaceDN/>
              <w:ind w:right="170"/>
              <w:jc w:val="right"/>
              <w:rPr>
                <w:rFonts w:eastAsia="Times New Roman"/>
                <w:color w:val="000000"/>
                <w:sz w:val="16"/>
                <w:szCs w:val="16"/>
                <w:lang w:val="en-AU" w:eastAsia="en-AU"/>
              </w:rPr>
            </w:pPr>
            <w:r w:rsidRPr="00B04E4B">
              <w:rPr>
                <w:rFonts w:eastAsia="Times New Roman"/>
                <w:color w:val="000000"/>
                <w:sz w:val="16"/>
                <w:szCs w:val="16"/>
                <w:lang w:val="en-AU" w:eastAsia="en-AU"/>
              </w:rPr>
              <w:t>Premier and Cabinet</w:t>
            </w:r>
          </w:p>
        </w:tc>
      </w:tr>
    </w:tbl>
    <w:p w14:paraId="6CC4D489" w14:textId="5E6C3E03" w:rsidR="00111F53" w:rsidRPr="00B04E4B" w:rsidRDefault="00B04E4B" w:rsidP="005746CC">
      <w:pPr>
        <w:pStyle w:val="BodyText"/>
        <w:rPr>
          <w:i/>
          <w:iCs/>
        </w:rPr>
      </w:pPr>
      <w:r w:rsidRPr="00B04E4B">
        <w:t xml:space="preserve">Details on machinery of government changes at the agency level, including information on Administrative Arrangements Orders, can be found in Budget Paper 4: </w:t>
      </w:r>
      <w:r w:rsidRPr="00B04E4B">
        <w:rPr>
          <w:i/>
          <w:iCs/>
        </w:rPr>
        <w:t>Agency Financial Statements.</w:t>
      </w:r>
    </w:p>
    <w:p w14:paraId="07726AD9" w14:textId="77777777" w:rsidR="00A23602" w:rsidRDefault="00A23602" w:rsidP="00095D37">
      <w:pPr>
        <w:pStyle w:val="BodyText"/>
      </w:pPr>
    </w:p>
    <w:p w14:paraId="6FAA422F" w14:textId="52192B34" w:rsidR="000564D0" w:rsidRDefault="000564D0" w:rsidP="002D2C94">
      <w:pPr>
        <w:tabs>
          <w:tab w:val="left" w:pos="1134"/>
          <w:tab w:val="left" w:pos="1492"/>
        </w:tabs>
        <w:spacing w:before="93"/>
        <w:rPr>
          <w:i/>
          <w:color w:val="4F4F4F"/>
          <w:sz w:val="23"/>
        </w:rPr>
      </w:pPr>
    </w:p>
    <w:p w14:paraId="2A9B4647" w14:textId="21E3EA36" w:rsidR="004D2A83" w:rsidRDefault="004D2A83">
      <w:pPr>
        <w:widowControl/>
        <w:autoSpaceDE/>
        <w:autoSpaceDN/>
        <w:spacing w:after="160" w:line="259" w:lineRule="auto"/>
        <w:rPr>
          <w:i/>
          <w:color w:val="4F4F4F"/>
          <w:sz w:val="23"/>
        </w:rPr>
      </w:pPr>
      <w:r>
        <w:rPr>
          <w:i/>
          <w:color w:val="4F4F4F"/>
          <w:sz w:val="23"/>
        </w:rPr>
        <w:br w:type="page"/>
      </w:r>
    </w:p>
    <w:p w14:paraId="36F47474" w14:textId="0B9AE6D5" w:rsidR="00B21F77" w:rsidRPr="00B21F77" w:rsidRDefault="008D4AB2" w:rsidP="00B21F77">
      <w:pPr>
        <w:tabs>
          <w:tab w:val="left" w:pos="1134"/>
          <w:tab w:val="left" w:pos="1492"/>
        </w:tabs>
        <w:spacing w:before="93"/>
        <w:rPr>
          <w:i/>
          <w:color w:val="4F4F4F"/>
          <w:sz w:val="23"/>
        </w:rPr>
      </w:pPr>
      <w:r>
        <w:rPr>
          <w:i/>
          <w:color w:val="4F4F4F"/>
          <w:sz w:val="23"/>
        </w:rPr>
        <w:lastRenderedPageBreak/>
        <w:t>Figure</w:t>
      </w:r>
      <w:r>
        <w:rPr>
          <w:i/>
          <w:color w:val="4F4F4F"/>
          <w:spacing w:val="-2"/>
          <w:sz w:val="23"/>
        </w:rPr>
        <w:t xml:space="preserve"> </w:t>
      </w:r>
      <w:r w:rsidR="00A23602">
        <w:rPr>
          <w:i/>
          <w:color w:val="4F4F4F"/>
          <w:spacing w:val="-2"/>
          <w:sz w:val="23"/>
        </w:rPr>
        <w:t>2</w:t>
      </w:r>
      <w:r>
        <w:rPr>
          <w:i/>
          <w:color w:val="4F4F4F"/>
          <w:sz w:val="23"/>
        </w:rPr>
        <w:t>:</w:t>
      </w:r>
      <w:r w:rsidR="00DA650B">
        <w:rPr>
          <w:i/>
          <w:color w:val="4F4F4F"/>
          <w:sz w:val="23"/>
        </w:rPr>
        <w:t xml:space="preserve"> </w:t>
      </w:r>
      <w:r w:rsidR="002D2C94">
        <w:rPr>
          <w:i/>
          <w:color w:val="4F4F4F"/>
          <w:sz w:val="23"/>
        </w:rPr>
        <w:tab/>
      </w:r>
      <w:r>
        <w:rPr>
          <w:i/>
          <w:color w:val="4F4F4F"/>
          <w:sz w:val="23"/>
        </w:rPr>
        <w:t xml:space="preserve">The Government </w:t>
      </w:r>
      <w:r w:rsidR="004152E6">
        <w:rPr>
          <w:i/>
          <w:color w:val="4F4F4F"/>
          <w:sz w:val="23"/>
        </w:rPr>
        <w:t>C</w:t>
      </w:r>
      <w:r>
        <w:rPr>
          <w:i/>
          <w:color w:val="4F4F4F"/>
          <w:sz w:val="23"/>
        </w:rPr>
        <w:t xml:space="preserve">lusters </w:t>
      </w:r>
      <w:r w:rsidR="00C96AB1">
        <w:rPr>
          <w:i/>
          <w:color w:val="4F4F4F"/>
          <w:sz w:val="23"/>
        </w:rPr>
        <w:t xml:space="preserve">and the 37 State Outcomes </w:t>
      </w:r>
    </w:p>
    <w:p w14:paraId="5A82E629" w14:textId="77777777" w:rsidR="003C04CA" w:rsidRDefault="003C04CA" w:rsidP="00AB7E50"/>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Caption w:val="Figure 2:  The Government Clusters and the 37 State Outcomes "/>
        <w:tblDescription w:val="Figure 2:  The Government Clusters and the 37 State Outcomes "/>
      </w:tblPr>
      <w:tblGrid>
        <w:gridCol w:w="2816"/>
        <w:gridCol w:w="292"/>
        <w:gridCol w:w="3105"/>
        <w:gridCol w:w="292"/>
        <w:gridCol w:w="3103"/>
      </w:tblGrid>
      <w:tr w:rsidR="00CF2892" w:rsidRPr="00985F1C" w14:paraId="6B6C2467" w14:textId="77777777" w:rsidTr="00796498">
        <w:trPr>
          <w:trHeight w:val="509"/>
        </w:trPr>
        <w:tc>
          <w:tcPr>
            <w:tcW w:w="1465" w:type="pct"/>
            <w:shd w:val="clear" w:color="auto" w:fill="002060"/>
            <w:vAlign w:val="center"/>
            <w:hideMark/>
          </w:tcPr>
          <w:p w14:paraId="7C0D0828" w14:textId="77777777" w:rsidR="00985F1C" w:rsidRPr="00B41F6E" w:rsidRDefault="00985F1C" w:rsidP="00B7220E">
            <w:pPr>
              <w:widowControl/>
              <w:autoSpaceDE/>
              <w:autoSpaceDN/>
              <w:jc w:val="center"/>
              <w:rPr>
                <w:b/>
                <w:bCs/>
                <w:sz w:val="24"/>
                <w:szCs w:val="24"/>
              </w:rPr>
            </w:pPr>
            <w:r w:rsidRPr="00B41F6E">
              <w:rPr>
                <w:b/>
                <w:bCs/>
                <w:sz w:val="24"/>
                <w:szCs w:val="24"/>
              </w:rPr>
              <w:t>Customer Service</w:t>
            </w:r>
          </w:p>
        </w:tc>
        <w:tc>
          <w:tcPr>
            <w:tcW w:w="152" w:type="pct"/>
            <w:shd w:val="clear" w:color="auto" w:fill="auto"/>
            <w:noWrap/>
            <w:vAlign w:val="bottom"/>
            <w:hideMark/>
          </w:tcPr>
          <w:p w14:paraId="1AFED0A2" w14:textId="77777777" w:rsidR="00985F1C" w:rsidRPr="00985F1C" w:rsidRDefault="00985F1C" w:rsidP="00985F1C">
            <w:pPr>
              <w:widowControl/>
              <w:autoSpaceDE/>
              <w:autoSpaceDN/>
              <w:rPr>
                <w:rFonts w:eastAsia="Times New Roman"/>
                <w:b/>
                <w:bCs/>
                <w:color w:val="000000"/>
                <w:sz w:val="24"/>
                <w:szCs w:val="24"/>
                <w:lang w:val="en-AU" w:eastAsia="en-AU"/>
              </w:rPr>
            </w:pPr>
            <w:r w:rsidRPr="00985F1C">
              <w:rPr>
                <w:rFonts w:eastAsia="Times New Roman"/>
                <w:b/>
                <w:bCs/>
                <w:color w:val="000000"/>
                <w:sz w:val="24"/>
                <w:szCs w:val="24"/>
                <w:lang w:val="en-AU" w:eastAsia="en-AU"/>
              </w:rPr>
              <w:t> </w:t>
            </w:r>
          </w:p>
        </w:tc>
        <w:tc>
          <w:tcPr>
            <w:tcW w:w="1616" w:type="pct"/>
            <w:shd w:val="clear" w:color="auto" w:fill="002060"/>
            <w:vAlign w:val="center"/>
            <w:hideMark/>
          </w:tcPr>
          <w:p w14:paraId="3C96921F" w14:textId="77777777" w:rsidR="00985F1C" w:rsidRPr="00B41F6E" w:rsidRDefault="00985F1C" w:rsidP="00985F1C">
            <w:pPr>
              <w:widowControl/>
              <w:autoSpaceDE/>
              <w:autoSpaceDN/>
              <w:jc w:val="center"/>
              <w:rPr>
                <w:b/>
                <w:bCs/>
                <w:sz w:val="24"/>
                <w:szCs w:val="24"/>
              </w:rPr>
            </w:pPr>
            <w:r w:rsidRPr="00B41F6E">
              <w:rPr>
                <w:b/>
                <w:bCs/>
                <w:sz w:val="24"/>
                <w:szCs w:val="24"/>
              </w:rPr>
              <w:t>Education</w:t>
            </w:r>
          </w:p>
        </w:tc>
        <w:tc>
          <w:tcPr>
            <w:tcW w:w="152" w:type="pct"/>
            <w:shd w:val="clear" w:color="auto" w:fill="auto"/>
            <w:noWrap/>
            <w:vAlign w:val="bottom"/>
            <w:hideMark/>
          </w:tcPr>
          <w:p w14:paraId="77707CBC" w14:textId="77777777" w:rsidR="00985F1C" w:rsidRPr="00985F1C" w:rsidRDefault="00985F1C" w:rsidP="00985F1C">
            <w:pPr>
              <w:widowControl/>
              <w:autoSpaceDE/>
              <w:autoSpaceDN/>
              <w:rPr>
                <w:b/>
                <w:bCs/>
                <w:color w:val="002563"/>
                <w:sz w:val="24"/>
                <w:szCs w:val="24"/>
              </w:rPr>
            </w:pPr>
            <w:r w:rsidRPr="00985F1C">
              <w:rPr>
                <w:b/>
                <w:bCs/>
                <w:color w:val="002563"/>
                <w:sz w:val="24"/>
                <w:szCs w:val="24"/>
              </w:rPr>
              <w:t> </w:t>
            </w:r>
          </w:p>
        </w:tc>
        <w:tc>
          <w:tcPr>
            <w:tcW w:w="1615" w:type="pct"/>
            <w:shd w:val="clear" w:color="auto" w:fill="002060"/>
            <w:vAlign w:val="center"/>
            <w:hideMark/>
          </w:tcPr>
          <w:p w14:paraId="316E3175" w14:textId="77777777" w:rsidR="00985F1C" w:rsidRPr="00B41F6E" w:rsidRDefault="00985F1C" w:rsidP="00985F1C">
            <w:pPr>
              <w:widowControl/>
              <w:autoSpaceDE/>
              <w:autoSpaceDN/>
              <w:jc w:val="center"/>
              <w:rPr>
                <w:b/>
                <w:bCs/>
                <w:sz w:val="24"/>
                <w:szCs w:val="24"/>
              </w:rPr>
            </w:pPr>
            <w:r w:rsidRPr="00B41F6E">
              <w:rPr>
                <w:b/>
                <w:bCs/>
                <w:sz w:val="24"/>
                <w:szCs w:val="24"/>
              </w:rPr>
              <w:t>Health</w:t>
            </w:r>
          </w:p>
        </w:tc>
      </w:tr>
      <w:tr w:rsidR="002D30DD" w:rsidRPr="00985F1C" w14:paraId="16BD914B" w14:textId="77777777" w:rsidTr="00796498">
        <w:trPr>
          <w:trHeight w:val="1679"/>
        </w:trPr>
        <w:tc>
          <w:tcPr>
            <w:tcW w:w="1465" w:type="pct"/>
            <w:shd w:val="clear" w:color="auto" w:fill="F2F2F2" w:themeFill="background1" w:themeFillShade="F2"/>
            <w:vAlign w:val="center"/>
            <w:hideMark/>
          </w:tcPr>
          <w:p w14:paraId="2EBD6786" w14:textId="774C08A4" w:rsidR="00985F1C" w:rsidRPr="00B41F6E" w:rsidRDefault="005D6584" w:rsidP="00B7220E">
            <w:pPr>
              <w:widowControl/>
              <w:autoSpaceDE/>
              <w:autoSpaceDN/>
              <w:jc w:val="center"/>
              <w:rPr>
                <w:sz w:val="21"/>
              </w:rPr>
            </w:pPr>
            <w:r w:rsidRPr="00B41F6E">
              <w:rPr>
                <w:sz w:val="21"/>
              </w:rPr>
              <w:t xml:space="preserve">Plans, prioritises, funds and drives digital transformation and customer service across every </w:t>
            </w:r>
            <w:r>
              <w:rPr>
                <w:sz w:val="21"/>
              </w:rPr>
              <w:t>C</w:t>
            </w:r>
            <w:r w:rsidRPr="00B41F6E">
              <w:rPr>
                <w:sz w:val="21"/>
              </w:rPr>
              <w:t>luster in the NSW Government.</w:t>
            </w:r>
          </w:p>
        </w:tc>
        <w:tc>
          <w:tcPr>
            <w:tcW w:w="152" w:type="pct"/>
            <w:shd w:val="clear" w:color="auto" w:fill="auto"/>
            <w:noWrap/>
            <w:vAlign w:val="center"/>
            <w:hideMark/>
          </w:tcPr>
          <w:p w14:paraId="33394CEF" w14:textId="77777777" w:rsidR="00985F1C" w:rsidRPr="00985F1C" w:rsidRDefault="00985F1C" w:rsidP="00985F1C">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F2F2F2" w:themeFill="background1" w:themeFillShade="F2"/>
            <w:vAlign w:val="center"/>
            <w:hideMark/>
          </w:tcPr>
          <w:p w14:paraId="38492AB7" w14:textId="2061071C" w:rsidR="00985F1C" w:rsidRPr="00985F1C" w:rsidRDefault="006D733E" w:rsidP="00985F1C">
            <w:pPr>
              <w:widowControl/>
              <w:autoSpaceDE/>
              <w:autoSpaceDN/>
              <w:jc w:val="center"/>
              <w:rPr>
                <w:rFonts w:eastAsia="Times New Roman"/>
                <w:color w:val="FFFFFF"/>
                <w:sz w:val="21"/>
                <w:szCs w:val="21"/>
                <w:lang w:val="en-AU" w:eastAsia="en-AU"/>
              </w:rPr>
            </w:pPr>
            <w:r w:rsidRPr="00997739">
              <w:rPr>
                <w:sz w:val="21"/>
              </w:rPr>
              <w:t>D</w:t>
            </w:r>
            <w:r w:rsidR="00985F1C" w:rsidRPr="00997739">
              <w:rPr>
                <w:sz w:val="21"/>
              </w:rPr>
              <w:t>rives early childhood</w:t>
            </w:r>
            <w:r w:rsidR="005F6131">
              <w:rPr>
                <w:sz w:val="21"/>
              </w:rPr>
              <w:t xml:space="preserve">, primary, secondary and all </w:t>
            </w:r>
            <w:r w:rsidR="00100F76">
              <w:rPr>
                <w:sz w:val="21"/>
              </w:rPr>
              <w:t xml:space="preserve"> education and care sector, government and non-government schools, and the vocational education and training sector.</w:t>
            </w:r>
          </w:p>
        </w:tc>
        <w:tc>
          <w:tcPr>
            <w:tcW w:w="152" w:type="pct"/>
            <w:shd w:val="clear" w:color="auto" w:fill="auto"/>
            <w:noWrap/>
            <w:vAlign w:val="center"/>
            <w:hideMark/>
          </w:tcPr>
          <w:p w14:paraId="69F889AA" w14:textId="77777777" w:rsidR="00985F1C" w:rsidRPr="00985F1C" w:rsidRDefault="00985F1C" w:rsidP="00985F1C">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F2F2F2" w:themeFill="background1" w:themeFillShade="F2"/>
            <w:vAlign w:val="center"/>
            <w:hideMark/>
          </w:tcPr>
          <w:p w14:paraId="7EC64121" w14:textId="1CE38212" w:rsidR="00985F1C" w:rsidRPr="00985F1C" w:rsidRDefault="00D55047" w:rsidP="00985F1C">
            <w:pPr>
              <w:widowControl/>
              <w:autoSpaceDE/>
              <w:autoSpaceDN/>
              <w:jc w:val="center"/>
              <w:rPr>
                <w:rFonts w:eastAsia="Times New Roman"/>
                <w:color w:val="FFFFFF"/>
                <w:sz w:val="21"/>
                <w:szCs w:val="21"/>
                <w:lang w:val="en-AU" w:eastAsia="en-AU"/>
              </w:rPr>
            </w:pPr>
            <w:r>
              <w:rPr>
                <w:sz w:val="21"/>
              </w:rPr>
              <w:t>Focuses on its priorities of providing quality healthcare and continuing with its unprecedented hospital expansion and renewal of capital works.</w:t>
            </w:r>
          </w:p>
        </w:tc>
      </w:tr>
      <w:tr w:rsidR="00EE323C" w:rsidRPr="00985F1C" w14:paraId="5FCD108B" w14:textId="77777777" w:rsidTr="00796498">
        <w:trPr>
          <w:trHeight w:val="64"/>
        </w:trPr>
        <w:tc>
          <w:tcPr>
            <w:tcW w:w="1465" w:type="pct"/>
            <w:shd w:val="clear" w:color="auto" w:fill="auto"/>
            <w:vAlign w:val="center"/>
          </w:tcPr>
          <w:p w14:paraId="5A93F46E" w14:textId="77777777" w:rsidR="00EE323C" w:rsidRPr="00B7220E" w:rsidRDefault="00EE323C" w:rsidP="00B7220E">
            <w:pPr>
              <w:widowControl/>
              <w:autoSpaceDE/>
              <w:autoSpaceDN/>
              <w:rPr>
                <w:rFonts w:eastAsia="Times New Roman"/>
                <w:b/>
                <w:bCs/>
                <w:i/>
                <w:iCs/>
                <w:color w:val="002060"/>
                <w:sz w:val="20"/>
                <w:szCs w:val="20"/>
                <w:lang w:val="en-AU" w:eastAsia="en-AU"/>
              </w:rPr>
            </w:pPr>
          </w:p>
        </w:tc>
        <w:tc>
          <w:tcPr>
            <w:tcW w:w="152" w:type="pct"/>
            <w:shd w:val="clear" w:color="auto" w:fill="auto"/>
            <w:noWrap/>
            <w:vAlign w:val="bottom"/>
          </w:tcPr>
          <w:p w14:paraId="79150FD3" w14:textId="77777777" w:rsidR="00EE323C" w:rsidRPr="00AB7E50" w:rsidRDefault="00EE323C" w:rsidP="00985F1C">
            <w:pPr>
              <w:widowControl/>
              <w:autoSpaceDE/>
              <w:autoSpaceDN/>
              <w:rPr>
                <w:rFonts w:eastAsia="Times New Roman"/>
                <w:color w:val="000000"/>
                <w:sz w:val="20"/>
                <w:szCs w:val="20"/>
                <w:lang w:val="en-AU" w:eastAsia="en-AU"/>
              </w:rPr>
            </w:pPr>
          </w:p>
        </w:tc>
        <w:tc>
          <w:tcPr>
            <w:tcW w:w="1616" w:type="pct"/>
            <w:shd w:val="clear" w:color="auto" w:fill="auto"/>
            <w:noWrap/>
            <w:vAlign w:val="bottom"/>
          </w:tcPr>
          <w:p w14:paraId="380D1920" w14:textId="77777777" w:rsidR="00EE323C" w:rsidRPr="00AB7E50" w:rsidRDefault="00EE323C" w:rsidP="00985F1C">
            <w:pPr>
              <w:widowControl/>
              <w:autoSpaceDE/>
              <w:autoSpaceDN/>
              <w:rPr>
                <w:rFonts w:eastAsia="Times New Roman"/>
                <w:color w:val="000000"/>
                <w:sz w:val="20"/>
                <w:szCs w:val="20"/>
                <w:lang w:val="en-AU" w:eastAsia="en-AU"/>
              </w:rPr>
            </w:pPr>
          </w:p>
        </w:tc>
        <w:tc>
          <w:tcPr>
            <w:tcW w:w="152" w:type="pct"/>
            <w:shd w:val="clear" w:color="auto" w:fill="auto"/>
            <w:noWrap/>
            <w:vAlign w:val="bottom"/>
          </w:tcPr>
          <w:p w14:paraId="6989A3AF" w14:textId="77777777" w:rsidR="00EE323C" w:rsidRPr="00AB7E50" w:rsidRDefault="00EE323C" w:rsidP="00985F1C">
            <w:pPr>
              <w:widowControl/>
              <w:autoSpaceDE/>
              <w:autoSpaceDN/>
              <w:rPr>
                <w:rFonts w:eastAsia="Times New Roman"/>
                <w:color w:val="000000"/>
                <w:sz w:val="20"/>
                <w:szCs w:val="20"/>
                <w:lang w:val="en-AU" w:eastAsia="en-AU"/>
              </w:rPr>
            </w:pPr>
          </w:p>
        </w:tc>
        <w:tc>
          <w:tcPr>
            <w:tcW w:w="1615" w:type="pct"/>
            <w:shd w:val="clear" w:color="auto" w:fill="auto"/>
            <w:noWrap/>
            <w:vAlign w:val="bottom"/>
          </w:tcPr>
          <w:p w14:paraId="60596037" w14:textId="77777777" w:rsidR="00EE323C" w:rsidRPr="00AB7E50" w:rsidRDefault="00EE323C" w:rsidP="00985F1C">
            <w:pPr>
              <w:widowControl/>
              <w:autoSpaceDE/>
              <w:autoSpaceDN/>
              <w:rPr>
                <w:rFonts w:eastAsia="Times New Roman"/>
                <w:color w:val="000000"/>
                <w:sz w:val="20"/>
                <w:szCs w:val="20"/>
                <w:lang w:val="en-AU" w:eastAsia="en-AU"/>
              </w:rPr>
            </w:pPr>
          </w:p>
        </w:tc>
      </w:tr>
      <w:tr w:rsidR="00997739" w:rsidRPr="00985F1C" w14:paraId="5C73182F" w14:textId="77777777" w:rsidTr="00796498">
        <w:trPr>
          <w:trHeight w:val="64"/>
        </w:trPr>
        <w:tc>
          <w:tcPr>
            <w:tcW w:w="1465" w:type="pct"/>
            <w:shd w:val="clear" w:color="auto" w:fill="auto"/>
            <w:vAlign w:val="center"/>
            <w:hideMark/>
          </w:tcPr>
          <w:p w14:paraId="017B98EE" w14:textId="5EEEFFB5" w:rsidR="00997739" w:rsidRPr="00B7220E" w:rsidRDefault="00445EB7" w:rsidP="00997739">
            <w:pPr>
              <w:widowControl/>
              <w:autoSpaceDE/>
              <w:autoSpaceDN/>
              <w:rPr>
                <w:rFonts w:eastAsia="Times New Roman"/>
                <w:b/>
                <w:bCs/>
                <w:i/>
                <w:iCs/>
                <w:color w:val="000000"/>
                <w:sz w:val="21"/>
                <w:szCs w:val="21"/>
                <w:lang w:val="en-AU" w:eastAsia="en-AU"/>
              </w:rPr>
            </w:pPr>
            <w:r>
              <w:rPr>
                <w:rFonts w:eastAsia="Times New Roman"/>
                <w:b/>
                <w:bCs/>
                <w:i/>
                <w:iCs/>
                <w:color w:val="002060"/>
                <w:sz w:val="20"/>
                <w:szCs w:val="20"/>
                <w:lang w:val="en-AU" w:eastAsia="en-AU"/>
              </w:rPr>
              <w:t> </w:t>
            </w:r>
            <w:r w:rsidR="00997739"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7DA69C27" w14:textId="77777777"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noWrap/>
            <w:vAlign w:val="bottom"/>
            <w:hideMark/>
          </w:tcPr>
          <w:p w14:paraId="7BC17F20" w14:textId="04FE206F"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4936D6DA" w14:textId="77777777"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auto"/>
            <w:noWrap/>
            <w:vAlign w:val="bottom"/>
            <w:hideMark/>
          </w:tcPr>
          <w:p w14:paraId="57DD3625" w14:textId="1063C01B"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r>
      <w:tr w:rsidR="002D30DD" w:rsidRPr="00985F1C" w14:paraId="5DBE455E" w14:textId="77777777" w:rsidTr="00796498">
        <w:trPr>
          <w:trHeight w:val="624"/>
        </w:trPr>
        <w:tc>
          <w:tcPr>
            <w:tcW w:w="1465" w:type="pct"/>
            <w:shd w:val="clear" w:color="auto" w:fill="DEEAF6" w:themeFill="accent5" w:themeFillTint="33"/>
            <w:vAlign w:val="center"/>
            <w:hideMark/>
          </w:tcPr>
          <w:p w14:paraId="4673AEBF" w14:textId="1B9A78F7" w:rsidR="00997739" w:rsidRPr="00985F1C" w:rsidRDefault="006F6BB1" w:rsidP="006F6BB1">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Excellence in Customer Service</w:t>
            </w:r>
          </w:p>
        </w:tc>
        <w:tc>
          <w:tcPr>
            <w:tcW w:w="152" w:type="pct"/>
            <w:shd w:val="clear" w:color="auto" w:fill="auto"/>
            <w:noWrap/>
            <w:hideMark/>
          </w:tcPr>
          <w:p w14:paraId="5F03AFE6"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DEEAF6" w:themeFill="accent5" w:themeFillTint="33"/>
            <w:vAlign w:val="center"/>
            <w:hideMark/>
          </w:tcPr>
          <w:p w14:paraId="2B7FF494"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Best start in life for young children</w:t>
            </w:r>
          </w:p>
        </w:tc>
        <w:tc>
          <w:tcPr>
            <w:tcW w:w="152" w:type="pct"/>
            <w:shd w:val="clear" w:color="auto" w:fill="auto"/>
            <w:vAlign w:val="center"/>
            <w:hideMark/>
          </w:tcPr>
          <w:p w14:paraId="66D6AC6D"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54A1C98F" w14:textId="39DAE5E6" w:rsidR="00997739" w:rsidRPr="00985F1C" w:rsidRDefault="00CF44FB" w:rsidP="00CF44FB">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People receive high-quality, safe care in our hospital</w:t>
            </w:r>
            <w:r>
              <w:rPr>
                <w:rFonts w:eastAsia="Times New Roman"/>
                <w:sz w:val="21"/>
                <w:szCs w:val="21"/>
                <w:lang w:val="en-AU" w:eastAsia="en-AU"/>
              </w:rPr>
              <w:t>s</w:t>
            </w:r>
          </w:p>
        </w:tc>
      </w:tr>
      <w:tr w:rsidR="00997739" w:rsidRPr="00985F1C" w14:paraId="35B858AF" w14:textId="77777777" w:rsidTr="00796498">
        <w:trPr>
          <w:trHeight w:val="794"/>
        </w:trPr>
        <w:tc>
          <w:tcPr>
            <w:tcW w:w="1465" w:type="pct"/>
            <w:shd w:val="clear" w:color="auto" w:fill="DEEAF6" w:themeFill="accent5" w:themeFillTint="33"/>
            <w:vAlign w:val="center"/>
            <w:hideMark/>
          </w:tcPr>
          <w:p w14:paraId="67781FDB" w14:textId="275FA051" w:rsidR="006F6BB1" w:rsidRPr="00985F1C" w:rsidRDefault="00BC6B83" w:rsidP="006F6BB1">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Digital leadership and innovation in government services</w:t>
            </w:r>
          </w:p>
        </w:tc>
        <w:tc>
          <w:tcPr>
            <w:tcW w:w="152" w:type="pct"/>
            <w:shd w:val="clear" w:color="auto" w:fill="auto"/>
            <w:vAlign w:val="center"/>
            <w:hideMark/>
          </w:tcPr>
          <w:p w14:paraId="066B064E"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52DD8779" w14:textId="77777777" w:rsidR="00997739" w:rsidRPr="00985F1C" w:rsidRDefault="00997739" w:rsidP="5019E4D4">
            <w:pPr>
              <w:jc w:val="center"/>
              <w:rPr>
                <w:rFonts w:eastAsia="Times New Roman"/>
                <w:sz w:val="21"/>
                <w:szCs w:val="21"/>
                <w:lang w:val="en-AU" w:eastAsia="en-AU"/>
              </w:rPr>
            </w:pPr>
            <w:r w:rsidRPr="00985F1C">
              <w:rPr>
                <w:rFonts w:eastAsia="Times New Roman"/>
                <w:sz w:val="21"/>
                <w:szCs w:val="21"/>
                <w:lang w:val="en-AU" w:eastAsia="en-AU"/>
              </w:rPr>
              <w:t>Educational foundations for success</w:t>
            </w:r>
          </w:p>
        </w:tc>
        <w:tc>
          <w:tcPr>
            <w:tcW w:w="152" w:type="pct"/>
            <w:shd w:val="clear" w:color="auto" w:fill="auto"/>
            <w:vAlign w:val="center"/>
            <w:hideMark/>
          </w:tcPr>
          <w:p w14:paraId="17A2FC16"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62AD8446" w14:textId="76412E6F" w:rsidR="00CF44FB" w:rsidRPr="00985F1C" w:rsidRDefault="00CF44FB" w:rsidP="00CF44FB">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People can access care in out of hospital settings to manage their health and wellbeing</w:t>
            </w:r>
          </w:p>
        </w:tc>
      </w:tr>
      <w:tr w:rsidR="00997739" w:rsidRPr="00985F1C" w14:paraId="4E5B8D5F" w14:textId="77777777" w:rsidTr="00796498">
        <w:trPr>
          <w:trHeight w:val="624"/>
        </w:trPr>
        <w:tc>
          <w:tcPr>
            <w:tcW w:w="1465" w:type="pct"/>
            <w:shd w:val="clear" w:color="auto" w:fill="DEEAF6" w:themeFill="accent5" w:themeFillTint="33"/>
            <w:vAlign w:val="center"/>
            <w:hideMark/>
          </w:tcPr>
          <w:p w14:paraId="7C2EF096" w14:textId="215C5162"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Fair, secure and efficient markets</w:t>
            </w:r>
          </w:p>
        </w:tc>
        <w:tc>
          <w:tcPr>
            <w:tcW w:w="152" w:type="pct"/>
            <w:shd w:val="clear" w:color="auto" w:fill="auto"/>
            <w:noWrap/>
            <w:hideMark/>
          </w:tcPr>
          <w:p w14:paraId="2FD0A17B"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DEEAF6" w:themeFill="accent5" w:themeFillTint="33"/>
            <w:vAlign w:val="center"/>
            <w:hideMark/>
          </w:tcPr>
          <w:p w14:paraId="71CFB03E" w14:textId="6E4D1659" w:rsidR="00997739" w:rsidRPr="00985F1C" w:rsidRDefault="00DD5EF1" w:rsidP="00DD5EF1">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Skilled and employable workforce</w:t>
            </w:r>
          </w:p>
        </w:tc>
        <w:tc>
          <w:tcPr>
            <w:tcW w:w="152" w:type="pct"/>
            <w:shd w:val="clear" w:color="auto" w:fill="auto"/>
            <w:vAlign w:val="center"/>
            <w:hideMark/>
          </w:tcPr>
          <w:p w14:paraId="47A91C14"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3DA71849" w14:textId="0DAAC3BD" w:rsidR="00997739" w:rsidRPr="00985F1C" w:rsidRDefault="00CF44FB" w:rsidP="00CF44FB">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People receive timely emergency care</w:t>
            </w:r>
          </w:p>
        </w:tc>
      </w:tr>
      <w:tr w:rsidR="00997739" w:rsidRPr="00985F1C" w14:paraId="6363F0F0" w14:textId="77777777" w:rsidTr="00796498">
        <w:trPr>
          <w:trHeight w:val="850"/>
        </w:trPr>
        <w:tc>
          <w:tcPr>
            <w:tcW w:w="1465" w:type="pct"/>
            <w:shd w:val="clear" w:color="auto" w:fill="auto"/>
            <w:vAlign w:val="center"/>
            <w:hideMark/>
          </w:tcPr>
          <w:p w14:paraId="294B6216"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52" w:type="pct"/>
            <w:shd w:val="clear" w:color="auto" w:fill="auto"/>
            <w:vAlign w:val="center"/>
            <w:hideMark/>
          </w:tcPr>
          <w:p w14:paraId="4BFEA109"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0274B535" w14:textId="27C1F274" w:rsidR="00B666A5" w:rsidRPr="00985F1C" w:rsidRDefault="00B666A5"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High</w:t>
            </w:r>
            <w:r>
              <w:rPr>
                <w:rFonts w:eastAsia="Times New Roman"/>
                <w:sz w:val="21"/>
                <w:szCs w:val="21"/>
                <w:lang w:val="en-AU" w:eastAsia="en-AU"/>
              </w:rPr>
              <w:t>-q</w:t>
            </w:r>
            <w:r w:rsidRPr="00985F1C">
              <w:rPr>
                <w:rFonts w:eastAsia="Times New Roman"/>
                <w:sz w:val="21"/>
                <w:szCs w:val="21"/>
                <w:lang w:val="en-AU" w:eastAsia="en-AU"/>
              </w:rPr>
              <w:t>uality standards for schooling</w:t>
            </w:r>
          </w:p>
        </w:tc>
        <w:tc>
          <w:tcPr>
            <w:tcW w:w="152" w:type="pct"/>
            <w:shd w:val="clear" w:color="auto" w:fill="auto"/>
            <w:vAlign w:val="center"/>
            <w:hideMark/>
          </w:tcPr>
          <w:p w14:paraId="52586B0C"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250F9F6D" w14:textId="559DF337" w:rsidR="00CF44FB" w:rsidRPr="00985F1C" w:rsidRDefault="00CF44FB"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Keeping people healthy through prevention and health promotion</w:t>
            </w:r>
          </w:p>
        </w:tc>
      </w:tr>
      <w:tr w:rsidR="00997739" w:rsidRPr="00985F1C" w14:paraId="2C21B23F" w14:textId="77777777" w:rsidTr="00796498">
        <w:trPr>
          <w:trHeight w:val="1077"/>
        </w:trPr>
        <w:tc>
          <w:tcPr>
            <w:tcW w:w="1465" w:type="pct"/>
            <w:shd w:val="clear" w:color="auto" w:fill="auto"/>
            <w:hideMark/>
          </w:tcPr>
          <w:p w14:paraId="0C1F06F3"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52" w:type="pct"/>
            <w:shd w:val="clear" w:color="auto" w:fill="auto"/>
            <w:noWrap/>
            <w:hideMark/>
          </w:tcPr>
          <w:p w14:paraId="1D5A5100"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hideMark/>
          </w:tcPr>
          <w:p w14:paraId="2CE233BC"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52" w:type="pct"/>
            <w:shd w:val="clear" w:color="auto" w:fill="auto"/>
            <w:noWrap/>
            <w:hideMark/>
          </w:tcPr>
          <w:p w14:paraId="7CE778C1" w14:textId="77777777" w:rsidR="00997739" w:rsidRPr="00985F1C" w:rsidRDefault="00997739" w:rsidP="00997739">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DEEAF6" w:themeFill="accent5" w:themeFillTint="33"/>
            <w:vAlign w:val="center"/>
            <w:hideMark/>
          </w:tcPr>
          <w:p w14:paraId="57106C90"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Our people and systems are continuously improving to deliver the best health outcomes and experiences</w:t>
            </w:r>
          </w:p>
        </w:tc>
      </w:tr>
      <w:tr w:rsidR="00997739" w:rsidRPr="00985F1C" w14:paraId="3C6346AF" w14:textId="77777777" w:rsidTr="00796498">
        <w:trPr>
          <w:trHeight w:val="105"/>
        </w:trPr>
        <w:tc>
          <w:tcPr>
            <w:tcW w:w="1465" w:type="pct"/>
            <w:shd w:val="clear" w:color="auto" w:fill="auto"/>
            <w:vAlign w:val="bottom"/>
            <w:hideMark/>
          </w:tcPr>
          <w:p w14:paraId="23BFDDE0" w14:textId="639DA3A1" w:rsidR="00997739" w:rsidRPr="00E72627" w:rsidRDefault="00997739" w:rsidP="00997739">
            <w:pPr>
              <w:widowControl/>
              <w:autoSpaceDE/>
              <w:autoSpaceDN/>
              <w:rPr>
                <w:rFonts w:eastAsia="Times New Roman"/>
                <w:color w:val="000000"/>
                <w:sz w:val="20"/>
                <w:szCs w:val="20"/>
                <w:lang w:val="en-AU" w:eastAsia="en-AU"/>
              </w:rPr>
            </w:pPr>
          </w:p>
        </w:tc>
        <w:tc>
          <w:tcPr>
            <w:tcW w:w="152" w:type="pct"/>
            <w:shd w:val="clear" w:color="auto" w:fill="auto"/>
            <w:noWrap/>
            <w:vAlign w:val="bottom"/>
            <w:hideMark/>
          </w:tcPr>
          <w:p w14:paraId="12AF9CB1" w14:textId="77777777" w:rsidR="00997739" w:rsidRPr="00E72627" w:rsidRDefault="00997739" w:rsidP="00997739">
            <w:pPr>
              <w:widowControl/>
              <w:autoSpaceDE/>
              <w:autoSpaceDN/>
              <w:rPr>
                <w:rFonts w:eastAsia="Times New Roman"/>
                <w:color w:val="000000"/>
                <w:sz w:val="20"/>
                <w:szCs w:val="20"/>
                <w:lang w:val="en-AU" w:eastAsia="en-AU"/>
              </w:rPr>
            </w:pPr>
            <w:r w:rsidRPr="00E72627">
              <w:rPr>
                <w:rFonts w:eastAsia="Times New Roman"/>
                <w:color w:val="000000"/>
                <w:sz w:val="20"/>
                <w:szCs w:val="20"/>
                <w:lang w:val="en-AU" w:eastAsia="en-AU"/>
              </w:rPr>
              <w:t> </w:t>
            </w:r>
          </w:p>
        </w:tc>
        <w:tc>
          <w:tcPr>
            <w:tcW w:w="1616" w:type="pct"/>
            <w:shd w:val="clear" w:color="auto" w:fill="auto"/>
            <w:noWrap/>
            <w:vAlign w:val="bottom"/>
            <w:hideMark/>
          </w:tcPr>
          <w:p w14:paraId="761ADC42" w14:textId="7E4FDE96" w:rsidR="00D31E9A" w:rsidRPr="00E72627" w:rsidRDefault="00997739" w:rsidP="00997739">
            <w:pPr>
              <w:widowControl/>
              <w:autoSpaceDE/>
              <w:autoSpaceDN/>
              <w:rPr>
                <w:rFonts w:eastAsia="Times New Roman"/>
                <w:color w:val="000000"/>
                <w:sz w:val="20"/>
                <w:szCs w:val="20"/>
                <w:lang w:val="en-AU" w:eastAsia="en-AU"/>
              </w:rPr>
            </w:pPr>
            <w:r w:rsidRPr="00E72627">
              <w:rPr>
                <w:rFonts w:eastAsia="Times New Roman"/>
                <w:color w:val="000000"/>
                <w:sz w:val="20"/>
                <w:szCs w:val="20"/>
                <w:lang w:val="en-AU" w:eastAsia="en-AU"/>
              </w:rPr>
              <w:t> </w:t>
            </w:r>
          </w:p>
        </w:tc>
        <w:tc>
          <w:tcPr>
            <w:tcW w:w="152" w:type="pct"/>
            <w:shd w:val="clear" w:color="auto" w:fill="auto"/>
            <w:noWrap/>
            <w:vAlign w:val="bottom"/>
            <w:hideMark/>
          </w:tcPr>
          <w:p w14:paraId="7F80C563" w14:textId="77777777" w:rsidR="00997739" w:rsidRPr="00E72627" w:rsidRDefault="00997739" w:rsidP="00997739">
            <w:pPr>
              <w:widowControl/>
              <w:autoSpaceDE/>
              <w:autoSpaceDN/>
              <w:rPr>
                <w:rFonts w:eastAsia="Times New Roman"/>
                <w:color w:val="000000"/>
                <w:sz w:val="20"/>
                <w:szCs w:val="20"/>
                <w:lang w:val="en-AU" w:eastAsia="en-AU"/>
              </w:rPr>
            </w:pPr>
            <w:r w:rsidRPr="00E72627">
              <w:rPr>
                <w:rFonts w:eastAsia="Times New Roman"/>
                <w:color w:val="000000"/>
                <w:sz w:val="20"/>
                <w:szCs w:val="20"/>
                <w:lang w:val="en-AU" w:eastAsia="en-AU"/>
              </w:rPr>
              <w:t> </w:t>
            </w:r>
          </w:p>
        </w:tc>
        <w:tc>
          <w:tcPr>
            <w:tcW w:w="1615" w:type="pct"/>
            <w:shd w:val="clear" w:color="auto" w:fill="auto"/>
            <w:noWrap/>
            <w:vAlign w:val="bottom"/>
            <w:hideMark/>
          </w:tcPr>
          <w:p w14:paraId="0A215916" w14:textId="5DC1C80D" w:rsidR="00C8307F" w:rsidRPr="00E72627" w:rsidRDefault="00997739" w:rsidP="00997739">
            <w:pPr>
              <w:widowControl/>
              <w:autoSpaceDE/>
              <w:autoSpaceDN/>
              <w:rPr>
                <w:rFonts w:eastAsia="Times New Roman"/>
                <w:color w:val="000000"/>
                <w:sz w:val="20"/>
                <w:szCs w:val="20"/>
                <w:lang w:val="en-AU" w:eastAsia="en-AU"/>
              </w:rPr>
            </w:pPr>
            <w:r w:rsidRPr="00E72627">
              <w:rPr>
                <w:rFonts w:eastAsia="Times New Roman"/>
                <w:color w:val="000000"/>
                <w:sz w:val="20"/>
                <w:szCs w:val="20"/>
                <w:lang w:val="en-AU" w:eastAsia="en-AU"/>
              </w:rPr>
              <w:t> </w:t>
            </w:r>
          </w:p>
        </w:tc>
      </w:tr>
      <w:tr w:rsidR="00997739" w:rsidRPr="00985F1C" w14:paraId="51988B6A" w14:textId="77777777" w:rsidTr="00796498">
        <w:trPr>
          <w:trHeight w:val="600"/>
        </w:trPr>
        <w:tc>
          <w:tcPr>
            <w:tcW w:w="1465" w:type="pct"/>
            <w:shd w:val="clear" w:color="auto" w:fill="002060"/>
            <w:vAlign w:val="center"/>
            <w:hideMark/>
          </w:tcPr>
          <w:p w14:paraId="479B6910" w14:textId="77777777" w:rsidR="00997739" w:rsidRPr="00DC4E5D" w:rsidRDefault="00997739" w:rsidP="00997739">
            <w:pPr>
              <w:widowControl/>
              <w:autoSpaceDE/>
              <w:autoSpaceDN/>
              <w:jc w:val="center"/>
              <w:rPr>
                <w:rFonts w:eastAsia="Times New Roman"/>
                <w:b/>
                <w:bCs/>
                <w:color w:val="FFFFFF"/>
                <w:sz w:val="24"/>
                <w:szCs w:val="24"/>
                <w:lang w:val="en-AU" w:eastAsia="en-AU"/>
              </w:rPr>
            </w:pPr>
            <w:r w:rsidRPr="00DC4E5D">
              <w:rPr>
                <w:b/>
                <w:bCs/>
                <w:sz w:val="24"/>
                <w:szCs w:val="24"/>
              </w:rPr>
              <w:t>Planning, Industry and Environment</w:t>
            </w:r>
          </w:p>
        </w:tc>
        <w:tc>
          <w:tcPr>
            <w:tcW w:w="152" w:type="pct"/>
            <w:shd w:val="clear" w:color="auto" w:fill="auto"/>
            <w:noWrap/>
            <w:vAlign w:val="bottom"/>
            <w:hideMark/>
          </w:tcPr>
          <w:p w14:paraId="301A5B36" w14:textId="77777777" w:rsidR="00997739" w:rsidRPr="00985F1C" w:rsidRDefault="00997739" w:rsidP="00997739">
            <w:pPr>
              <w:widowControl/>
              <w:autoSpaceDE/>
              <w:autoSpaceDN/>
              <w:rPr>
                <w:rFonts w:eastAsia="Times New Roman"/>
                <w:b/>
                <w:bCs/>
                <w:color w:val="000000"/>
                <w:sz w:val="24"/>
                <w:szCs w:val="24"/>
                <w:lang w:val="en-AU" w:eastAsia="en-AU"/>
              </w:rPr>
            </w:pPr>
            <w:r w:rsidRPr="00985F1C">
              <w:rPr>
                <w:rFonts w:eastAsia="Times New Roman"/>
                <w:b/>
                <w:bCs/>
                <w:color w:val="000000"/>
                <w:sz w:val="24"/>
                <w:szCs w:val="24"/>
                <w:lang w:val="en-AU" w:eastAsia="en-AU"/>
              </w:rPr>
              <w:t> </w:t>
            </w:r>
          </w:p>
        </w:tc>
        <w:tc>
          <w:tcPr>
            <w:tcW w:w="1616" w:type="pct"/>
            <w:shd w:val="clear" w:color="auto" w:fill="002060"/>
            <w:vAlign w:val="center"/>
            <w:hideMark/>
          </w:tcPr>
          <w:p w14:paraId="7E29FCA2" w14:textId="77777777" w:rsidR="00997739" w:rsidRPr="00DC4E5D" w:rsidRDefault="00997739" w:rsidP="00997739">
            <w:pPr>
              <w:widowControl/>
              <w:autoSpaceDE/>
              <w:autoSpaceDN/>
              <w:jc w:val="center"/>
              <w:rPr>
                <w:b/>
                <w:bCs/>
                <w:sz w:val="24"/>
                <w:szCs w:val="24"/>
              </w:rPr>
            </w:pPr>
            <w:r w:rsidRPr="00DC4E5D">
              <w:rPr>
                <w:b/>
                <w:bCs/>
                <w:sz w:val="24"/>
                <w:szCs w:val="24"/>
              </w:rPr>
              <w:t>Premier and Cabinet</w:t>
            </w:r>
          </w:p>
        </w:tc>
        <w:tc>
          <w:tcPr>
            <w:tcW w:w="152" w:type="pct"/>
            <w:shd w:val="clear" w:color="auto" w:fill="auto"/>
            <w:noWrap/>
            <w:vAlign w:val="bottom"/>
            <w:hideMark/>
          </w:tcPr>
          <w:p w14:paraId="2BCDC0C6" w14:textId="77777777" w:rsidR="00997739" w:rsidRPr="00985F1C" w:rsidRDefault="00997739" w:rsidP="00997739">
            <w:pPr>
              <w:widowControl/>
              <w:autoSpaceDE/>
              <w:autoSpaceDN/>
              <w:rPr>
                <w:b/>
                <w:bCs/>
                <w:color w:val="002563"/>
                <w:sz w:val="24"/>
                <w:szCs w:val="24"/>
              </w:rPr>
            </w:pPr>
            <w:r w:rsidRPr="00985F1C">
              <w:rPr>
                <w:b/>
                <w:bCs/>
                <w:color w:val="002563"/>
                <w:sz w:val="24"/>
                <w:szCs w:val="24"/>
              </w:rPr>
              <w:t> </w:t>
            </w:r>
          </w:p>
        </w:tc>
        <w:tc>
          <w:tcPr>
            <w:tcW w:w="1615" w:type="pct"/>
            <w:shd w:val="clear" w:color="auto" w:fill="002060"/>
            <w:vAlign w:val="center"/>
            <w:hideMark/>
          </w:tcPr>
          <w:p w14:paraId="0F693164" w14:textId="77777777" w:rsidR="00997739" w:rsidRPr="00DC4E5D" w:rsidRDefault="00997739" w:rsidP="00997739">
            <w:pPr>
              <w:widowControl/>
              <w:autoSpaceDE/>
              <w:autoSpaceDN/>
              <w:jc w:val="center"/>
              <w:rPr>
                <w:b/>
                <w:bCs/>
                <w:sz w:val="24"/>
                <w:szCs w:val="24"/>
              </w:rPr>
            </w:pPr>
            <w:r w:rsidRPr="00DC4E5D">
              <w:rPr>
                <w:b/>
                <w:bCs/>
                <w:sz w:val="24"/>
                <w:szCs w:val="24"/>
              </w:rPr>
              <w:t>Regional NSW</w:t>
            </w:r>
          </w:p>
        </w:tc>
      </w:tr>
      <w:tr w:rsidR="00997739" w:rsidRPr="00DD3693" w14:paraId="48F2F68E" w14:textId="77777777" w:rsidTr="00796498">
        <w:trPr>
          <w:trHeight w:val="1644"/>
        </w:trPr>
        <w:tc>
          <w:tcPr>
            <w:tcW w:w="1465" w:type="pct"/>
            <w:shd w:val="clear" w:color="auto" w:fill="F2F2F2" w:themeFill="background1" w:themeFillShade="F2"/>
            <w:vAlign w:val="center"/>
            <w:hideMark/>
          </w:tcPr>
          <w:p w14:paraId="6429434A" w14:textId="2438C662" w:rsidR="00997739" w:rsidRPr="00985F1C" w:rsidRDefault="005D216F" w:rsidP="00DA650B">
            <w:pPr>
              <w:widowControl/>
              <w:autoSpaceDE/>
              <w:autoSpaceDN/>
              <w:jc w:val="center"/>
              <w:rPr>
                <w:rFonts w:eastAsia="Times New Roman"/>
                <w:color w:val="FFFFFF"/>
                <w:sz w:val="21"/>
                <w:szCs w:val="21"/>
                <w:lang w:val="en-AU" w:eastAsia="en-AU"/>
              </w:rPr>
            </w:pPr>
            <w:r>
              <w:rPr>
                <w:sz w:val="21"/>
              </w:rPr>
              <w:t>Responsible for the stewardship of the NSW Government’s natural and built assets.</w:t>
            </w:r>
          </w:p>
        </w:tc>
        <w:tc>
          <w:tcPr>
            <w:tcW w:w="152" w:type="pct"/>
            <w:shd w:val="clear" w:color="auto" w:fill="auto"/>
            <w:noWrap/>
            <w:hideMark/>
          </w:tcPr>
          <w:p w14:paraId="1E07494C" w14:textId="3CA0FC9B" w:rsidR="00997739" w:rsidRPr="00985F1C" w:rsidRDefault="00997739" w:rsidP="00997739">
            <w:pPr>
              <w:widowControl/>
              <w:autoSpaceDE/>
              <w:autoSpaceDN/>
              <w:jc w:val="center"/>
              <w:rPr>
                <w:rFonts w:eastAsia="Times New Roman"/>
                <w:color w:val="000000"/>
                <w:sz w:val="21"/>
                <w:szCs w:val="21"/>
                <w:lang w:val="en-AU" w:eastAsia="en-AU"/>
              </w:rPr>
            </w:pPr>
          </w:p>
        </w:tc>
        <w:tc>
          <w:tcPr>
            <w:tcW w:w="1616" w:type="pct"/>
            <w:shd w:val="clear" w:color="auto" w:fill="F2F2F2" w:themeFill="background1" w:themeFillShade="F2"/>
            <w:vAlign w:val="center"/>
            <w:hideMark/>
          </w:tcPr>
          <w:p w14:paraId="1893B32A" w14:textId="3D67CFF8" w:rsidR="00997739" w:rsidRPr="00985F1C" w:rsidRDefault="009E0E18" w:rsidP="00DA650B">
            <w:pPr>
              <w:widowControl/>
              <w:autoSpaceDE/>
              <w:autoSpaceDN/>
              <w:jc w:val="center"/>
              <w:rPr>
                <w:rFonts w:eastAsia="Times New Roman"/>
                <w:color w:val="FFFFFF"/>
                <w:sz w:val="21"/>
                <w:szCs w:val="21"/>
                <w:lang w:val="en-AU" w:eastAsia="en-AU"/>
              </w:rPr>
            </w:pPr>
            <w:r>
              <w:rPr>
                <w:sz w:val="21"/>
              </w:rPr>
              <w:t xml:space="preserve">Works for the people of NSW by supporting </w:t>
            </w:r>
            <w:r w:rsidR="00291C31">
              <w:rPr>
                <w:sz w:val="21"/>
              </w:rPr>
              <w:t xml:space="preserve">the </w:t>
            </w:r>
            <w:r>
              <w:rPr>
                <w:sz w:val="21"/>
              </w:rPr>
              <w:t xml:space="preserve">Premier and </w:t>
            </w:r>
            <w:r w:rsidR="00291C31">
              <w:rPr>
                <w:sz w:val="21"/>
              </w:rPr>
              <w:t xml:space="preserve">the </w:t>
            </w:r>
            <w:r>
              <w:rPr>
                <w:sz w:val="21"/>
              </w:rPr>
              <w:t>Cabinet</w:t>
            </w:r>
            <w:r w:rsidR="00291C31">
              <w:rPr>
                <w:sz w:val="21"/>
              </w:rPr>
              <w:t xml:space="preserve"> to deliver </w:t>
            </w:r>
            <w:r w:rsidR="00EC4761">
              <w:rPr>
                <w:sz w:val="21"/>
              </w:rPr>
              <w:t xml:space="preserve">on the </w:t>
            </w:r>
            <w:r w:rsidR="00291C31">
              <w:rPr>
                <w:sz w:val="21"/>
              </w:rPr>
              <w:t>NSW Government’s objectives</w:t>
            </w:r>
            <w:r w:rsidR="00997739" w:rsidRPr="00FA7F0E">
              <w:rPr>
                <w:sz w:val="21"/>
              </w:rPr>
              <w:t>.</w:t>
            </w:r>
          </w:p>
        </w:tc>
        <w:tc>
          <w:tcPr>
            <w:tcW w:w="152" w:type="pct"/>
            <w:shd w:val="clear" w:color="auto" w:fill="auto"/>
            <w:noWrap/>
            <w:hideMark/>
          </w:tcPr>
          <w:p w14:paraId="754D21D4" w14:textId="070793A3" w:rsidR="00997739" w:rsidRPr="00985F1C" w:rsidRDefault="00997739" w:rsidP="00997739">
            <w:pPr>
              <w:widowControl/>
              <w:autoSpaceDE/>
              <w:autoSpaceDN/>
              <w:rPr>
                <w:b/>
                <w:bCs/>
                <w:color w:val="002563"/>
                <w:sz w:val="24"/>
                <w:szCs w:val="24"/>
              </w:rPr>
            </w:pPr>
          </w:p>
        </w:tc>
        <w:tc>
          <w:tcPr>
            <w:tcW w:w="1615" w:type="pct"/>
            <w:shd w:val="clear" w:color="auto" w:fill="F2F2F2" w:themeFill="background1" w:themeFillShade="F2"/>
            <w:vAlign w:val="center"/>
            <w:hideMark/>
          </w:tcPr>
          <w:p w14:paraId="2B17BE79" w14:textId="2723F6D9" w:rsidR="00997739" w:rsidRPr="00985F1C" w:rsidRDefault="00997739" w:rsidP="00DA650B">
            <w:pPr>
              <w:widowControl/>
              <w:autoSpaceDE/>
              <w:autoSpaceDN/>
              <w:jc w:val="center"/>
              <w:rPr>
                <w:color w:val="002563"/>
                <w:sz w:val="21"/>
              </w:rPr>
            </w:pPr>
            <w:r w:rsidRPr="00FA7F0E">
              <w:rPr>
                <w:sz w:val="21"/>
              </w:rPr>
              <w:t>Builds strong, cohesive communities and economies, grow</w:t>
            </w:r>
            <w:r w:rsidR="007A5363">
              <w:rPr>
                <w:sz w:val="21"/>
              </w:rPr>
              <w:t>s</w:t>
            </w:r>
            <w:r w:rsidRPr="00FA7F0E">
              <w:rPr>
                <w:sz w:val="21"/>
              </w:rPr>
              <w:t xml:space="preserve"> primary industries, create</w:t>
            </w:r>
            <w:r w:rsidR="007A5363">
              <w:rPr>
                <w:sz w:val="21"/>
              </w:rPr>
              <w:t>s</w:t>
            </w:r>
            <w:r w:rsidRPr="00FA7F0E">
              <w:rPr>
                <w:sz w:val="21"/>
              </w:rPr>
              <w:t xml:space="preserve"> jobs and employment, and steward</w:t>
            </w:r>
            <w:r w:rsidR="007A5363">
              <w:rPr>
                <w:sz w:val="21"/>
              </w:rPr>
              <w:t>s</w:t>
            </w:r>
            <w:r w:rsidRPr="00FA7F0E">
              <w:rPr>
                <w:sz w:val="21"/>
              </w:rPr>
              <w:t xml:space="preserve"> the use of our natural endowments.</w:t>
            </w:r>
          </w:p>
        </w:tc>
      </w:tr>
      <w:tr w:rsidR="00997739" w:rsidRPr="00985F1C" w14:paraId="413E923C" w14:textId="77777777" w:rsidTr="00796498">
        <w:trPr>
          <w:trHeight w:val="90"/>
        </w:trPr>
        <w:tc>
          <w:tcPr>
            <w:tcW w:w="1465" w:type="pct"/>
            <w:shd w:val="clear" w:color="auto" w:fill="auto"/>
            <w:vAlign w:val="bottom"/>
          </w:tcPr>
          <w:p w14:paraId="45936B71" w14:textId="77777777" w:rsidR="00997739" w:rsidRPr="00E72627" w:rsidRDefault="00997739" w:rsidP="00997739">
            <w:pPr>
              <w:widowControl/>
              <w:autoSpaceDE/>
              <w:autoSpaceDN/>
              <w:rPr>
                <w:rFonts w:eastAsia="Times New Roman"/>
                <w:color w:val="000000"/>
                <w:sz w:val="20"/>
                <w:szCs w:val="20"/>
                <w:lang w:val="en-AU" w:eastAsia="en-AU"/>
              </w:rPr>
            </w:pPr>
          </w:p>
        </w:tc>
        <w:tc>
          <w:tcPr>
            <w:tcW w:w="152" w:type="pct"/>
            <w:shd w:val="clear" w:color="auto" w:fill="auto"/>
            <w:noWrap/>
            <w:vAlign w:val="bottom"/>
          </w:tcPr>
          <w:p w14:paraId="438DB288" w14:textId="77777777" w:rsidR="00997739" w:rsidRPr="00E72627" w:rsidRDefault="00997739" w:rsidP="00997739">
            <w:pPr>
              <w:widowControl/>
              <w:autoSpaceDE/>
              <w:autoSpaceDN/>
              <w:rPr>
                <w:rFonts w:eastAsia="Times New Roman"/>
                <w:color w:val="000000"/>
                <w:sz w:val="20"/>
                <w:szCs w:val="20"/>
                <w:lang w:val="en-AU" w:eastAsia="en-AU"/>
              </w:rPr>
            </w:pPr>
          </w:p>
        </w:tc>
        <w:tc>
          <w:tcPr>
            <w:tcW w:w="1616" w:type="pct"/>
            <w:shd w:val="clear" w:color="auto" w:fill="auto"/>
            <w:noWrap/>
            <w:vAlign w:val="bottom"/>
          </w:tcPr>
          <w:p w14:paraId="2E06D523" w14:textId="77777777" w:rsidR="00997739" w:rsidRPr="00E72627" w:rsidRDefault="00997739" w:rsidP="00997739">
            <w:pPr>
              <w:widowControl/>
              <w:autoSpaceDE/>
              <w:autoSpaceDN/>
              <w:rPr>
                <w:rFonts w:eastAsia="Times New Roman"/>
                <w:color w:val="000000"/>
                <w:sz w:val="20"/>
                <w:szCs w:val="20"/>
                <w:lang w:val="en-AU" w:eastAsia="en-AU"/>
              </w:rPr>
            </w:pPr>
          </w:p>
        </w:tc>
        <w:tc>
          <w:tcPr>
            <w:tcW w:w="152" w:type="pct"/>
            <w:shd w:val="clear" w:color="auto" w:fill="auto"/>
            <w:noWrap/>
            <w:vAlign w:val="bottom"/>
          </w:tcPr>
          <w:p w14:paraId="572B6F5D" w14:textId="77777777" w:rsidR="00997739" w:rsidRPr="00E72627" w:rsidRDefault="00997739" w:rsidP="00997739">
            <w:pPr>
              <w:widowControl/>
              <w:autoSpaceDE/>
              <w:autoSpaceDN/>
              <w:rPr>
                <w:rFonts w:eastAsia="Times New Roman"/>
                <w:color w:val="000000"/>
                <w:sz w:val="20"/>
                <w:szCs w:val="20"/>
                <w:lang w:val="en-AU" w:eastAsia="en-AU"/>
              </w:rPr>
            </w:pPr>
          </w:p>
        </w:tc>
        <w:tc>
          <w:tcPr>
            <w:tcW w:w="1615" w:type="pct"/>
            <w:shd w:val="clear" w:color="auto" w:fill="auto"/>
            <w:noWrap/>
            <w:vAlign w:val="bottom"/>
          </w:tcPr>
          <w:p w14:paraId="385C1FD9" w14:textId="77777777" w:rsidR="00997739" w:rsidRPr="00E72627" w:rsidRDefault="00997739" w:rsidP="00997739">
            <w:pPr>
              <w:widowControl/>
              <w:autoSpaceDE/>
              <w:autoSpaceDN/>
              <w:rPr>
                <w:color w:val="002563"/>
                <w:sz w:val="20"/>
                <w:szCs w:val="20"/>
              </w:rPr>
            </w:pPr>
          </w:p>
        </w:tc>
      </w:tr>
      <w:tr w:rsidR="00997739" w:rsidRPr="00985F1C" w14:paraId="1DD75E00" w14:textId="77777777" w:rsidTr="00796498">
        <w:trPr>
          <w:trHeight w:val="90"/>
        </w:trPr>
        <w:tc>
          <w:tcPr>
            <w:tcW w:w="1465" w:type="pct"/>
            <w:shd w:val="clear" w:color="auto" w:fill="auto"/>
            <w:vAlign w:val="bottom"/>
            <w:hideMark/>
          </w:tcPr>
          <w:p w14:paraId="2BE9942F" w14:textId="71F5F239"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3AE68672" w14:textId="77777777"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noWrap/>
            <w:vAlign w:val="bottom"/>
            <w:hideMark/>
          </w:tcPr>
          <w:p w14:paraId="38C0A62C" w14:textId="12A98065"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51B3A8E5" w14:textId="77777777" w:rsidR="00997739" w:rsidRPr="00985F1C" w:rsidRDefault="00997739" w:rsidP="00997739">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auto"/>
            <w:noWrap/>
            <w:vAlign w:val="bottom"/>
            <w:hideMark/>
          </w:tcPr>
          <w:p w14:paraId="74633AE5" w14:textId="49813492" w:rsidR="00997739" w:rsidRPr="00985F1C" w:rsidRDefault="00997739" w:rsidP="00997739">
            <w:pPr>
              <w:widowControl/>
              <w:autoSpaceDE/>
              <w:autoSpaceDN/>
              <w:rPr>
                <w:color w:val="002563"/>
                <w:sz w:val="21"/>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r>
      <w:tr w:rsidR="00997739" w:rsidRPr="00985F1C" w14:paraId="60A704E5" w14:textId="77777777" w:rsidTr="00796498">
        <w:trPr>
          <w:trHeight w:val="540"/>
        </w:trPr>
        <w:tc>
          <w:tcPr>
            <w:tcW w:w="1465" w:type="pct"/>
            <w:shd w:val="clear" w:color="auto" w:fill="DEEAF6" w:themeFill="accent5" w:themeFillTint="33"/>
            <w:vAlign w:val="center"/>
            <w:hideMark/>
          </w:tcPr>
          <w:p w14:paraId="6A3DF4BF"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Connecting communities to resilient and sustainable energy and local environments</w:t>
            </w:r>
          </w:p>
        </w:tc>
        <w:tc>
          <w:tcPr>
            <w:tcW w:w="152" w:type="pct"/>
            <w:shd w:val="clear" w:color="auto" w:fill="auto"/>
            <w:vAlign w:val="center"/>
            <w:hideMark/>
          </w:tcPr>
          <w:p w14:paraId="65E33FEA"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5A17EFDD" w14:textId="6299B1E2" w:rsidR="00997739" w:rsidRPr="00985F1C" w:rsidRDefault="00291C31" w:rsidP="00945216">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xml:space="preserve">Effective and coordinated </w:t>
            </w:r>
            <w:r w:rsidR="00B12ED3">
              <w:rPr>
                <w:rFonts w:eastAsia="Times New Roman"/>
                <w:sz w:val="21"/>
                <w:szCs w:val="21"/>
                <w:lang w:val="en-AU" w:eastAsia="en-AU"/>
              </w:rPr>
              <w:t>g</w:t>
            </w:r>
            <w:r w:rsidRPr="00985F1C">
              <w:rPr>
                <w:rFonts w:eastAsia="Times New Roman"/>
                <w:sz w:val="21"/>
                <w:szCs w:val="21"/>
                <w:lang w:val="en-AU" w:eastAsia="en-AU"/>
              </w:rPr>
              <w:t>overnment</w:t>
            </w:r>
          </w:p>
        </w:tc>
        <w:tc>
          <w:tcPr>
            <w:tcW w:w="152" w:type="pct"/>
            <w:shd w:val="clear" w:color="auto" w:fill="auto"/>
            <w:vAlign w:val="center"/>
            <w:hideMark/>
          </w:tcPr>
          <w:p w14:paraId="6359D4CA"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08452B9E" w14:textId="264B5939" w:rsidR="00997739" w:rsidRPr="00985F1C" w:rsidRDefault="00B36D80" w:rsidP="0061322E">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Productive and sustainable land use</w:t>
            </w:r>
          </w:p>
        </w:tc>
      </w:tr>
      <w:tr w:rsidR="00997739" w:rsidRPr="00985F1C" w14:paraId="304A2BC6" w14:textId="77777777" w:rsidTr="00796498">
        <w:trPr>
          <w:trHeight w:val="540"/>
        </w:trPr>
        <w:tc>
          <w:tcPr>
            <w:tcW w:w="1465" w:type="pct"/>
            <w:shd w:val="clear" w:color="auto" w:fill="DEEAF6" w:themeFill="accent5" w:themeFillTint="33"/>
            <w:vAlign w:val="center"/>
            <w:hideMark/>
          </w:tcPr>
          <w:p w14:paraId="02739D63"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Create a strong and liveable NSW</w:t>
            </w:r>
          </w:p>
        </w:tc>
        <w:tc>
          <w:tcPr>
            <w:tcW w:w="152" w:type="pct"/>
            <w:shd w:val="clear" w:color="auto" w:fill="auto"/>
            <w:vAlign w:val="center"/>
            <w:hideMark/>
          </w:tcPr>
          <w:p w14:paraId="28698A6D"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73F0388F" w14:textId="2E66B024" w:rsidR="00997739" w:rsidRPr="00985F1C" w:rsidRDefault="00291C31" w:rsidP="00291C31">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Excellence in arts, culture and heritage</w:t>
            </w:r>
          </w:p>
        </w:tc>
        <w:tc>
          <w:tcPr>
            <w:tcW w:w="152" w:type="pct"/>
            <w:shd w:val="clear" w:color="auto" w:fill="auto"/>
            <w:vAlign w:val="center"/>
            <w:hideMark/>
          </w:tcPr>
          <w:p w14:paraId="61B6C94C"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3C55527C" w14:textId="6B9BB02F" w:rsidR="00997739" w:rsidRPr="00985F1C" w:rsidRDefault="0061322E"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xml:space="preserve">Stronger </w:t>
            </w:r>
            <w:r>
              <w:rPr>
                <w:rFonts w:eastAsia="Times New Roman"/>
                <w:sz w:val="21"/>
                <w:szCs w:val="21"/>
                <w:lang w:val="en-AU" w:eastAsia="en-AU"/>
              </w:rPr>
              <w:t>p</w:t>
            </w:r>
            <w:r w:rsidRPr="00985F1C">
              <w:rPr>
                <w:rFonts w:eastAsia="Times New Roman"/>
                <w:sz w:val="21"/>
                <w:szCs w:val="21"/>
                <w:lang w:val="en-AU" w:eastAsia="en-AU"/>
              </w:rPr>
              <w:t xml:space="preserve">rimary </w:t>
            </w:r>
            <w:r>
              <w:rPr>
                <w:rFonts w:eastAsia="Times New Roman"/>
                <w:sz w:val="21"/>
                <w:szCs w:val="21"/>
                <w:lang w:val="en-AU" w:eastAsia="en-AU"/>
              </w:rPr>
              <w:t>i</w:t>
            </w:r>
            <w:r w:rsidRPr="00985F1C">
              <w:rPr>
                <w:rFonts w:eastAsia="Times New Roman"/>
                <w:sz w:val="21"/>
                <w:szCs w:val="21"/>
                <w:lang w:val="en-AU" w:eastAsia="en-AU"/>
              </w:rPr>
              <w:t>ndustries</w:t>
            </w:r>
          </w:p>
        </w:tc>
      </w:tr>
      <w:tr w:rsidR="00997739" w:rsidRPr="00985F1C" w14:paraId="000AAB63" w14:textId="77777777" w:rsidTr="00796498">
        <w:trPr>
          <w:trHeight w:val="907"/>
        </w:trPr>
        <w:tc>
          <w:tcPr>
            <w:tcW w:w="1465" w:type="pct"/>
            <w:shd w:val="clear" w:color="auto" w:fill="DEEAF6" w:themeFill="accent5" w:themeFillTint="33"/>
            <w:vAlign w:val="center"/>
            <w:hideMark/>
          </w:tcPr>
          <w:p w14:paraId="287E24C5"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Maximise community benefit from Government land and property</w:t>
            </w:r>
          </w:p>
        </w:tc>
        <w:tc>
          <w:tcPr>
            <w:tcW w:w="152" w:type="pct"/>
            <w:shd w:val="clear" w:color="auto" w:fill="auto"/>
            <w:vAlign w:val="center"/>
            <w:hideMark/>
          </w:tcPr>
          <w:p w14:paraId="0A556B3E"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09FFDC8E"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Empowering Aboriginal communities</w:t>
            </w:r>
          </w:p>
        </w:tc>
        <w:tc>
          <w:tcPr>
            <w:tcW w:w="152" w:type="pct"/>
            <w:shd w:val="clear" w:color="auto" w:fill="auto"/>
            <w:vAlign w:val="center"/>
            <w:hideMark/>
          </w:tcPr>
          <w:p w14:paraId="37BCDB73"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633B9687" w14:textId="2E8FD8D4" w:rsidR="0061322E" w:rsidRPr="00985F1C" w:rsidRDefault="0061322E"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Mineral and petroleum industries generating prosperity, safely</w:t>
            </w:r>
          </w:p>
        </w:tc>
      </w:tr>
      <w:tr w:rsidR="00997739" w:rsidRPr="00985F1C" w14:paraId="3B5F77BA" w14:textId="77777777" w:rsidTr="00796498">
        <w:trPr>
          <w:trHeight w:val="907"/>
        </w:trPr>
        <w:tc>
          <w:tcPr>
            <w:tcW w:w="1465" w:type="pct"/>
            <w:shd w:val="clear" w:color="auto" w:fill="DEEAF6" w:themeFill="accent5" w:themeFillTint="33"/>
            <w:vAlign w:val="center"/>
            <w:hideMark/>
          </w:tcPr>
          <w:p w14:paraId="345DAF7C" w14:textId="77777777" w:rsidR="00997739" w:rsidRPr="00985F1C" w:rsidRDefault="00997739"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Sustainable, secure and healthy water resources and services</w:t>
            </w:r>
          </w:p>
        </w:tc>
        <w:tc>
          <w:tcPr>
            <w:tcW w:w="152" w:type="pct"/>
            <w:shd w:val="clear" w:color="auto" w:fill="auto"/>
            <w:vAlign w:val="center"/>
            <w:hideMark/>
          </w:tcPr>
          <w:p w14:paraId="0921FC92" w14:textId="77777777" w:rsidR="00997739" w:rsidRPr="00985F1C" w:rsidRDefault="00997739" w:rsidP="00997739">
            <w:pPr>
              <w:widowControl/>
              <w:autoSpaceDE/>
              <w:autoSpaceDN/>
              <w:jc w:val="center"/>
              <w:rPr>
                <w:rFonts w:eastAsia="Times New Roman"/>
                <w:sz w:val="21"/>
                <w:szCs w:val="21"/>
                <w:lang w:val="en-AU" w:eastAsia="en-AU"/>
              </w:rPr>
            </w:pPr>
          </w:p>
        </w:tc>
        <w:tc>
          <w:tcPr>
            <w:tcW w:w="1616" w:type="pct"/>
            <w:shd w:val="clear" w:color="auto" w:fill="DEEAF6" w:themeFill="accent5" w:themeFillTint="33"/>
            <w:vAlign w:val="center"/>
            <w:hideMark/>
          </w:tcPr>
          <w:p w14:paraId="77E329F4" w14:textId="3A32676B" w:rsidR="00291C31" w:rsidRPr="00985F1C" w:rsidRDefault="00291C31" w:rsidP="00997739">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xml:space="preserve">Accountable and responsible </w:t>
            </w:r>
            <w:r w:rsidR="00945216">
              <w:rPr>
                <w:rFonts w:eastAsia="Times New Roman"/>
                <w:sz w:val="21"/>
                <w:szCs w:val="21"/>
                <w:lang w:val="en-AU" w:eastAsia="en-AU"/>
              </w:rPr>
              <w:t>g</w:t>
            </w:r>
            <w:r w:rsidRPr="00985F1C">
              <w:rPr>
                <w:rFonts w:eastAsia="Times New Roman"/>
                <w:sz w:val="21"/>
                <w:szCs w:val="21"/>
                <w:lang w:val="en-AU" w:eastAsia="en-AU"/>
              </w:rPr>
              <w:t>overnment</w:t>
            </w:r>
          </w:p>
        </w:tc>
        <w:tc>
          <w:tcPr>
            <w:tcW w:w="152" w:type="pct"/>
            <w:shd w:val="clear" w:color="auto" w:fill="auto"/>
            <w:vAlign w:val="center"/>
            <w:hideMark/>
          </w:tcPr>
          <w:p w14:paraId="60CD6954" w14:textId="77777777" w:rsidR="00997739" w:rsidRPr="00985F1C" w:rsidRDefault="00997739" w:rsidP="00997739">
            <w:pPr>
              <w:widowControl/>
              <w:autoSpaceDE/>
              <w:autoSpaceDN/>
              <w:jc w:val="center"/>
              <w:rPr>
                <w:rFonts w:eastAsia="Times New Roman"/>
                <w:sz w:val="21"/>
                <w:szCs w:val="21"/>
                <w:lang w:val="en-AU" w:eastAsia="en-AU"/>
              </w:rPr>
            </w:pPr>
          </w:p>
        </w:tc>
        <w:tc>
          <w:tcPr>
            <w:tcW w:w="1615" w:type="pct"/>
            <w:shd w:val="clear" w:color="auto" w:fill="DEEAF6" w:themeFill="accent5" w:themeFillTint="33"/>
            <w:vAlign w:val="center"/>
            <w:hideMark/>
          </w:tcPr>
          <w:p w14:paraId="434EA6BD" w14:textId="76B44BE6" w:rsidR="00997739" w:rsidRPr="00985F1C" w:rsidRDefault="0061322E" w:rsidP="0061322E">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Stronger and cohesive regional communities and economies</w:t>
            </w:r>
          </w:p>
        </w:tc>
      </w:tr>
    </w:tbl>
    <w:p w14:paraId="225516B6" w14:textId="77777777" w:rsidR="008A47A3" w:rsidRDefault="008A47A3">
      <w:r>
        <w:br w:type="page"/>
      </w: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Caption w:val="Figure 2:  The Government Clusters and the 37 State Outcomes (cont)"/>
        <w:tblDescription w:val="Figure 2:  The Government Clusters and the 37 State Outcomes (cont)"/>
      </w:tblPr>
      <w:tblGrid>
        <w:gridCol w:w="2816"/>
        <w:gridCol w:w="292"/>
        <w:gridCol w:w="3105"/>
        <w:gridCol w:w="292"/>
        <w:gridCol w:w="3103"/>
      </w:tblGrid>
      <w:tr w:rsidR="00CF2892" w:rsidRPr="00985F1C" w14:paraId="470F871E" w14:textId="77777777" w:rsidTr="00796498">
        <w:trPr>
          <w:trHeight w:val="600"/>
        </w:trPr>
        <w:tc>
          <w:tcPr>
            <w:tcW w:w="1465" w:type="pct"/>
            <w:shd w:val="clear" w:color="auto" w:fill="002060"/>
            <w:vAlign w:val="center"/>
            <w:hideMark/>
          </w:tcPr>
          <w:p w14:paraId="16AE61F5" w14:textId="567EB1E1" w:rsidR="00CF2892" w:rsidRPr="00DC4E5D" w:rsidRDefault="00CF2892" w:rsidP="008B4ED3">
            <w:pPr>
              <w:widowControl/>
              <w:autoSpaceDE/>
              <w:autoSpaceDN/>
              <w:jc w:val="center"/>
              <w:rPr>
                <w:rFonts w:eastAsia="Times New Roman"/>
                <w:b/>
                <w:bCs/>
                <w:color w:val="FFFFFF"/>
                <w:sz w:val="24"/>
                <w:szCs w:val="24"/>
                <w:lang w:val="en-AU" w:eastAsia="en-AU"/>
              </w:rPr>
            </w:pPr>
            <w:r>
              <w:lastRenderedPageBreak/>
              <w:br w:type="page"/>
            </w:r>
            <w:r w:rsidRPr="00DC4E5D">
              <w:rPr>
                <w:b/>
                <w:bCs/>
                <w:color w:val="FFFFFF" w:themeColor="background1"/>
                <w:sz w:val="24"/>
                <w:szCs w:val="24"/>
              </w:rPr>
              <w:t>Stronger Communities</w:t>
            </w:r>
          </w:p>
        </w:tc>
        <w:tc>
          <w:tcPr>
            <w:tcW w:w="152" w:type="pct"/>
            <w:shd w:val="clear" w:color="auto" w:fill="auto"/>
            <w:noWrap/>
            <w:vAlign w:val="bottom"/>
            <w:hideMark/>
          </w:tcPr>
          <w:p w14:paraId="3AF0A77B" w14:textId="77777777" w:rsidR="00CF2892" w:rsidRPr="00985F1C" w:rsidRDefault="00CF2892" w:rsidP="008B4ED3">
            <w:pPr>
              <w:widowControl/>
              <w:autoSpaceDE/>
              <w:autoSpaceDN/>
              <w:rPr>
                <w:rFonts w:eastAsia="Times New Roman"/>
                <w:b/>
                <w:bCs/>
                <w:color w:val="000000"/>
                <w:sz w:val="24"/>
                <w:szCs w:val="24"/>
                <w:lang w:val="en-AU" w:eastAsia="en-AU"/>
              </w:rPr>
            </w:pPr>
            <w:r w:rsidRPr="00985F1C">
              <w:rPr>
                <w:rFonts w:eastAsia="Times New Roman"/>
                <w:b/>
                <w:bCs/>
                <w:color w:val="000000"/>
                <w:sz w:val="24"/>
                <w:szCs w:val="24"/>
                <w:lang w:val="en-AU" w:eastAsia="en-AU"/>
              </w:rPr>
              <w:t> </w:t>
            </w:r>
          </w:p>
        </w:tc>
        <w:tc>
          <w:tcPr>
            <w:tcW w:w="1616" w:type="pct"/>
            <w:shd w:val="clear" w:color="auto" w:fill="002060"/>
            <w:vAlign w:val="center"/>
            <w:hideMark/>
          </w:tcPr>
          <w:p w14:paraId="3D55EB5B" w14:textId="77777777" w:rsidR="00CF2892" w:rsidRPr="00DC4E5D" w:rsidRDefault="00CF2892" w:rsidP="008B4ED3">
            <w:pPr>
              <w:widowControl/>
              <w:autoSpaceDE/>
              <w:autoSpaceDN/>
              <w:jc w:val="center"/>
              <w:rPr>
                <w:b/>
                <w:bCs/>
                <w:color w:val="FFFFFF" w:themeColor="background1"/>
                <w:sz w:val="24"/>
                <w:szCs w:val="24"/>
              </w:rPr>
            </w:pPr>
            <w:r w:rsidRPr="00DC4E5D">
              <w:rPr>
                <w:b/>
                <w:bCs/>
                <w:color w:val="FFFFFF" w:themeColor="background1"/>
                <w:sz w:val="24"/>
                <w:szCs w:val="24"/>
              </w:rPr>
              <w:t>Transport</w:t>
            </w:r>
          </w:p>
        </w:tc>
        <w:tc>
          <w:tcPr>
            <w:tcW w:w="152" w:type="pct"/>
            <w:shd w:val="clear" w:color="auto" w:fill="auto"/>
            <w:noWrap/>
            <w:vAlign w:val="bottom"/>
            <w:hideMark/>
          </w:tcPr>
          <w:p w14:paraId="2432DB73" w14:textId="77777777" w:rsidR="00CF2892" w:rsidRPr="00985F1C" w:rsidRDefault="00CF2892" w:rsidP="008B4ED3">
            <w:pPr>
              <w:widowControl/>
              <w:autoSpaceDE/>
              <w:autoSpaceDN/>
              <w:rPr>
                <w:rFonts w:eastAsia="Times New Roman"/>
                <w:b/>
                <w:bCs/>
                <w:color w:val="000000"/>
                <w:sz w:val="24"/>
                <w:szCs w:val="24"/>
                <w:lang w:val="en-AU" w:eastAsia="en-AU"/>
              </w:rPr>
            </w:pPr>
            <w:r w:rsidRPr="00985F1C">
              <w:rPr>
                <w:rFonts w:eastAsia="Times New Roman"/>
                <w:b/>
                <w:bCs/>
                <w:color w:val="000000"/>
                <w:sz w:val="24"/>
                <w:szCs w:val="24"/>
                <w:lang w:val="en-AU" w:eastAsia="en-AU"/>
              </w:rPr>
              <w:t> </w:t>
            </w:r>
          </w:p>
        </w:tc>
        <w:tc>
          <w:tcPr>
            <w:tcW w:w="1615" w:type="pct"/>
            <w:shd w:val="clear" w:color="auto" w:fill="002060"/>
            <w:vAlign w:val="center"/>
            <w:hideMark/>
          </w:tcPr>
          <w:p w14:paraId="4E199900" w14:textId="77777777" w:rsidR="00CF2892" w:rsidRPr="00FD0156" w:rsidRDefault="00CF2892" w:rsidP="008B4ED3">
            <w:pPr>
              <w:widowControl/>
              <w:autoSpaceDE/>
              <w:autoSpaceDN/>
              <w:jc w:val="center"/>
              <w:rPr>
                <w:b/>
                <w:bCs/>
                <w:color w:val="002563"/>
                <w:sz w:val="24"/>
                <w:szCs w:val="24"/>
              </w:rPr>
            </w:pPr>
            <w:r w:rsidRPr="00FD0156">
              <w:rPr>
                <w:b/>
                <w:bCs/>
                <w:color w:val="FFFFFF" w:themeColor="background1"/>
                <w:sz w:val="24"/>
                <w:szCs w:val="24"/>
              </w:rPr>
              <w:t>Treasury</w:t>
            </w:r>
          </w:p>
        </w:tc>
      </w:tr>
      <w:tr w:rsidR="00DA4ACB" w:rsidRPr="00985F1C" w14:paraId="61676D24" w14:textId="77777777" w:rsidTr="00796498">
        <w:trPr>
          <w:trHeight w:val="20"/>
        </w:trPr>
        <w:tc>
          <w:tcPr>
            <w:tcW w:w="1465" w:type="pct"/>
            <w:vMerge w:val="restart"/>
            <w:shd w:val="clear" w:color="auto" w:fill="F2F2F2" w:themeFill="background1" w:themeFillShade="F2"/>
            <w:vAlign w:val="center"/>
          </w:tcPr>
          <w:p w14:paraId="7181ED30" w14:textId="42BB7E2B" w:rsidR="00DA4ACB" w:rsidRPr="00DA4ACB" w:rsidRDefault="009A7331" w:rsidP="00DA4ACB">
            <w:pPr>
              <w:jc w:val="center"/>
              <w:rPr>
                <w:rFonts w:eastAsia="Times New Roman"/>
                <w:sz w:val="21"/>
                <w:szCs w:val="21"/>
                <w:lang w:val="en-AU" w:eastAsia="en-AU"/>
              </w:rPr>
            </w:pPr>
            <w:r w:rsidRPr="00E72627">
              <w:rPr>
                <w:sz w:val="21"/>
                <w:szCs w:val="21"/>
              </w:rPr>
              <w:t>Delivers community services that support a safe and just New South Wales.</w:t>
            </w:r>
          </w:p>
        </w:tc>
        <w:tc>
          <w:tcPr>
            <w:tcW w:w="152" w:type="pct"/>
            <w:shd w:val="clear" w:color="auto" w:fill="auto"/>
            <w:noWrap/>
          </w:tcPr>
          <w:p w14:paraId="20753390" w14:textId="77777777" w:rsidR="00DA4ACB" w:rsidRPr="00DA4ACB" w:rsidRDefault="00DA4ACB" w:rsidP="0012565F">
            <w:pPr>
              <w:widowControl/>
              <w:autoSpaceDE/>
              <w:autoSpaceDN/>
              <w:jc w:val="center"/>
              <w:rPr>
                <w:rFonts w:eastAsia="Times New Roman"/>
                <w:sz w:val="21"/>
                <w:szCs w:val="21"/>
                <w:lang w:val="en-AU" w:eastAsia="en-AU"/>
              </w:rPr>
            </w:pPr>
          </w:p>
        </w:tc>
        <w:tc>
          <w:tcPr>
            <w:tcW w:w="1616" w:type="pct"/>
            <w:vMerge w:val="restart"/>
            <w:shd w:val="clear" w:color="auto" w:fill="F2F2F2" w:themeFill="background1" w:themeFillShade="F2"/>
            <w:vAlign w:val="center"/>
          </w:tcPr>
          <w:p w14:paraId="4B47EF28" w14:textId="1195ADAD" w:rsidR="00DA4ACB" w:rsidRPr="00DA4ACB" w:rsidRDefault="00FE352B" w:rsidP="00DA4ACB">
            <w:pPr>
              <w:jc w:val="center"/>
              <w:rPr>
                <w:rFonts w:eastAsia="Times New Roman"/>
                <w:sz w:val="21"/>
                <w:szCs w:val="21"/>
                <w:lang w:val="en-AU" w:eastAsia="en-AU"/>
              </w:rPr>
            </w:pPr>
            <w:r w:rsidRPr="00E72627">
              <w:rPr>
                <w:sz w:val="21"/>
                <w:szCs w:val="21"/>
              </w:rPr>
              <w:t>Plans and delivers infrastructure and integrated services across all modes of transport, including road, rail, metro, bus, ferry, light rail, cycling and walking.</w:t>
            </w:r>
          </w:p>
        </w:tc>
        <w:tc>
          <w:tcPr>
            <w:tcW w:w="152" w:type="pct"/>
            <w:shd w:val="clear" w:color="auto" w:fill="auto"/>
            <w:noWrap/>
          </w:tcPr>
          <w:p w14:paraId="21AEB530" w14:textId="77777777" w:rsidR="00DA4ACB" w:rsidRPr="006D1A72" w:rsidRDefault="00DA4ACB" w:rsidP="0012565F">
            <w:pPr>
              <w:widowControl/>
              <w:autoSpaceDE/>
              <w:autoSpaceDN/>
              <w:jc w:val="center"/>
              <w:rPr>
                <w:rFonts w:eastAsiaTheme="minorHAnsi"/>
                <w:bCs/>
                <w:sz w:val="21"/>
                <w:szCs w:val="21"/>
                <w:lang w:val="en-AU"/>
              </w:rPr>
            </w:pPr>
          </w:p>
        </w:tc>
        <w:tc>
          <w:tcPr>
            <w:tcW w:w="1615" w:type="pct"/>
            <w:vMerge w:val="restart"/>
            <w:shd w:val="clear" w:color="auto" w:fill="F2F2F2" w:themeFill="background1" w:themeFillShade="F2"/>
            <w:vAlign w:val="center"/>
          </w:tcPr>
          <w:p w14:paraId="4669BC3E" w14:textId="33204E76" w:rsidR="00DA4ACB" w:rsidRPr="006D1A72" w:rsidRDefault="00DA4ACB" w:rsidP="00105006">
            <w:pPr>
              <w:pStyle w:val="BodyText"/>
              <w:jc w:val="center"/>
              <w:rPr>
                <w:bCs w:val="0"/>
                <w:sz w:val="21"/>
                <w:szCs w:val="21"/>
              </w:rPr>
            </w:pPr>
            <w:r w:rsidRPr="00A12377">
              <w:rPr>
                <w:sz w:val="21"/>
                <w:szCs w:val="21"/>
              </w:rPr>
              <w:t>Supports a strong fiscal oper</w:t>
            </w:r>
            <w:r w:rsidRPr="00AB7E50">
              <w:rPr>
                <w:sz w:val="21"/>
                <w:szCs w:val="21"/>
              </w:rPr>
              <w:t>ating position and balance sheet and leads the promotion of a</w:t>
            </w:r>
            <w:r w:rsidR="006D1A72">
              <w:rPr>
                <w:sz w:val="21"/>
                <w:szCs w:val="21"/>
              </w:rPr>
              <w:t xml:space="preserve"> </w:t>
            </w:r>
            <w:r w:rsidR="006D1A72" w:rsidRPr="006D1A72">
              <w:rPr>
                <w:sz w:val="21"/>
                <w:szCs w:val="21"/>
              </w:rPr>
              <w:t>strong and sustainable economic and financial position.</w:t>
            </w:r>
          </w:p>
        </w:tc>
      </w:tr>
      <w:tr w:rsidR="00DA4ACB" w:rsidRPr="00985F1C" w14:paraId="5659BD49" w14:textId="77777777" w:rsidTr="00796498">
        <w:trPr>
          <w:trHeight w:val="1390"/>
        </w:trPr>
        <w:tc>
          <w:tcPr>
            <w:tcW w:w="1465" w:type="pct"/>
            <w:vMerge/>
            <w:shd w:val="clear" w:color="auto" w:fill="F2F2F2" w:themeFill="background1" w:themeFillShade="F2"/>
            <w:hideMark/>
          </w:tcPr>
          <w:p w14:paraId="39BF55E0" w14:textId="4229559F" w:rsidR="00DA4ACB" w:rsidRPr="00985F1C" w:rsidRDefault="00DA4ACB" w:rsidP="0012565F">
            <w:pPr>
              <w:widowControl/>
              <w:autoSpaceDE/>
              <w:autoSpaceDN/>
              <w:jc w:val="center"/>
              <w:rPr>
                <w:rFonts w:eastAsia="Times New Roman"/>
                <w:color w:val="FFFFFF"/>
                <w:sz w:val="21"/>
                <w:szCs w:val="21"/>
                <w:lang w:val="en-AU" w:eastAsia="en-AU"/>
              </w:rPr>
            </w:pPr>
          </w:p>
        </w:tc>
        <w:tc>
          <w:tcPr>
            <w:tcW w:w="152" w:type="pct"/>
            <w:shd w:val="clear" w:color="auto" w:fill="auto"/>
            <w:noWrap/>
            <w:hideMark/>
          </w:tcPr>
          <w:p w14:paraId="7C4E5341" w14:textId="1EF491D9" w:rsidR="00DA4ACB" w:rsidRPr="00985F1C" w:rsidRDefault="00DA4ACB" w:rsidP="0012565F">
            <w:pPr>
              <w:widowControl/>
              <w:autoSpaceDE/>
              <w:autoSpaceDN/>
              <w:jc w:val="center"/>
              <w:rPr>
                <w:rFonts w:eastAsia="Times New Roman"/>
                <w:color w:val="000000"/>
                <w:sz w:val="21"/>
                <w:szCs w:val="21"/>
                <w:lang w:val="en-AU" w:eastAsia="en-AU"/>
              </w:rPr>
            </w:pPr>
          </w:p>
        </w:tc>
        <w:tc>
          <w:tcPr>
            <w:tcW w:w="1616" w:type="pct"/>
            <w:vMerge/>
            <w:shd w:val="clear" w:color="auto" w:fill="F2F2F2" w:themeFill="background1" w:themeFillShade="F2"/>
            <w:hideMark/>
          </w:tcPr>
          <w:p w14:paraId="63DCDF7E" w14:textId="2C4BA92F" w:rsidR="00DA4ACB" w:rsidRPr="00985F1C" w:rsidRDefault="00DA4ACB" w:rsidP="0012565F">
            <w:pPr>
              <w:widowControl/>
              <w:autoSpaceDE/>
              <w:autoSpaceDN/>
              <w:jc w:val="center"/>
              <w:rPr>
                <w:rFonts w:eastAsia="Times New Roman"/>
                <w:color w:val="FFFFFF"/>
                <w:sz w:val="21"/>
                <w:szCs w:val="21"/>
                <w:lang w:val="en-AU" w:eastAsia="en-AU"/>
              </w:rPr>
            </w:pPr>
          </w:p>
        </w:tc>
        <w:tc>
          <w:tcPr>
            <w:tcW w:w="152" w:type="pct"/>
            <w:shd w:val="clear" w:color="auto" w:fill="auto"/>
            <w:noWrap/>
            <w:hideMark/>
          </w:tcPr>
          <w:p w14:paraId="2B76E0C8" w14:textId="278BE370" w:rsidR="00DA4ACB" w:rsidRPr="006D1A72" w:rsidRDefault="00DA4ACB" w:rsidP="0012565F">
            <w:pPr>
              <w:widowControl/>
              <w:autoSpaceDE/>
              <w:autoSpaceDN/>
              <w:jc w:val="center"/>
              <w:rPr>
                <w:rFonts w:eastAsiaTheme="minorHAnsi"/>
                <w:bCs/>
                <w:sz w:val="21"/>
                <w:szCs w:val="21"/>
                <w:lang w:val="en-AU"/>
              </w:rPr>
            </w:pPr>
          </w:p>
        </w:tc>
        <w:tc>
          <w:tcPr>
            <w:tcW w:w="1615" w:type="pct"/>
            <w:vMerge/>
            <w:shd w:val="clear" w:color="auto" w:fill="F2F2F2" w:themeFill="background1" w:themeFillShade="F2"/>
            <w:hideMark/>
          </w:tcPr>
          <w:p w14:paraId="0A9A23BD" w14:textId="48F86F61" w:rsidR="00DA4ACB" w:rsidRPr="006D1A72" w:rsidRDefault="00DA4ACB" w:rsidP="0012565F">
            <w:pPr>
              <w:widowControl/>
              <w:autoSpaceDE/>
              <w:autoSpaceDN/>
              <w:jc w:val="center"/>
              <w:rPr>
                <w:rFonts w:eastAsiaTheme="minorHAnsi"/>
                <w:bCs/>
                <w:sz w:val="21"/>
                <w:szCs w:val="21"/>
                <w:lang w:val="en-AU"/>
              </w:rPr>
            </w:pPr>
          </w:p>
        </w:tc>
      </w:tr>
      <w:tr w:rsidR="00FA7F0E" w:rsidRPr="00985F1C" w14:paraId="072DF885" w14:textId="77777777" w:rsidTr="00796498">
        <w:trPr>
          <w:trHeight w:val="90"/>
        </w:trPr>
        <w:tc>
          <w:tcPr>
            <w:tcW w:w="1465" w:type="pct"/>
            <w:shd w:val="clear" w:color="auto" w:fill="auto"/>
            <w:vAlign w:val="bottom"/>
          </w:tcPr>
          <w:p w14:paraId="12E98BFD" w14:textId="77777777" w:rsidR="00FA7F0E" w:rsidRPr="00985F1C" w:rsidRDefault="00FA7F0E" w:rsidP="008B4ED3">
            <w:pPr>
              <w:widowControl/>
              <w:autoSpaceDE/>
              <w:autoSpaceDN/>
              <w:rPr>
                <w:rFonts w:eastAsia="Times New Roman"/>
                <w:color w:val="000000"/>
                <w:sz w:val="21"/>
                <w:szCs w:val="21"/>
                <w:lang w:val="en-AU" w:eastAsia="en-AU"/>
              </w:rPr>
            </w:pPr>
          </w:p>
        </w:tc>
        <w:tc>
          <w:tcPr>
            <w:tcW w:w="152" w:type="pct"/>
            <w:shd w:val="clear" w:color="auto" w:fill="auto"/>
            <w:noWrap/>
            <w:vAlign w:val="bottom"/>
          </w:tcPr>
          <w:p w14:paraId="24AC36FD" w14:textId="77777777" w:rsidR="00FA7F0E" w:rsidRPr="00985F1C" w:rsidRDefault="00FA7F0E" w:rsidP="008B4ED3">
            <w:pPr>
              <w:widowControl/>
              <w:autoSpaceDE/>
              <w:autoSpaceDN/>
              <w:rPr>
                <w:rFonts w:eastAsia="Times New Roman"/>
                <w:color w:val="000000"/>
                <w:sz w:val="21"/>
                <w:szCs w:val="21"/>
                <w:lang w:val="en-AU" w:eastAsia="en-AU"/>
              </w:rPr>
            </w:pPr>
          </w:p>
        </w:tc>
        <w:tc>
          <w:tcPr>
            <w:tcW w:w="1616" w:type="pct"/>
            <w:shd w:val="clear" w:color="auto" w:fill="auto"/>
            <w:noWrap/>
            <w:vAlign w:val="bottom"/>
          </w:tcPr>
          <w:p w14:paraId="7DC645B9" w14:textId="77777777" w:rsidR="00FA7F0E" w:rsidRPr="00985F1C" w:rsidRDefault="00FA7F0E" w:rsidP="008B4ED3">
            <w:pPr>
              <w:widowControl/>
              <w:autoSpaceDE/>
              <w:autoSpaceDN/>
              <w:rPr>
                <w:rFonts w:eastAsia="Times New Roman"/>
                <w:color w:val="000000"/>
                <w:sz w:val="21"/>
                <w:szCs w:val="21"/>
                <w:lang w:val="en-AU" w:eastAsia="en-AU"/>
              </w:rPr>
            </w:pPr>
          </w:p>
        </w:tc>
        <w:tc>
          <w:tcPr>
            <w:tcW w:w="152" w:type="pct"/>
            <w:shd w:val="clear" w:color="auto" w:fill="auto"/>
            <w:noWrap/>
            <w:vAlign w:val="bottom"/>
          </w:tcPr>
          <w:p w14:paraId="3A6DC4CA" w14:textId="77777777" w:rsidR="00FA7F0E" w:rsidRPr="00985F1C" w:rsidRDefault="00FA7F0E" w:rsidP="008B4ED3">
            <w:pPr>
              <w:widowControl/>
              <w:autoSpaceDE/>
              <w:autoSpaceDN/>
              <w:rPr>
                <w:rFonts w:eastAsia="Times New Roman"/>
                <w:color w:val="000000"/>
                <w:sz w:val="21"/>
                <w:szCs w:val="21"/>
                <w:lang w:val="en-AU" w:eastAsia="en-AU"/>
              </w:rPr>
            </w:pPr>
          </w:p>
        </w:tc>
        <w:tc>
          <w:tcPr>
            <w:tcW w:w="1615" w:type="pct"/>
            <w:shd w:val="clear" w:color="auto" w:fill="auto"/>
            <w:noWrap/>
            <w:vAlign w:val="bottom"/>
          </w:tcPr>
          <w:p w14:paraId="20235985" w14:textId="77777777" w:rsidR="00FA7F0E" w:rsidRPr="00985F1C" w:rsidRDefault="00FA7F0E" w:rsidP="008B4ED3">
            <w:pPr>
              <w:widowControl/>
              <w:autoSpaceDE/>
              <w:autoSpaceDN/>
              <w:rPr>
                <w:rFonts w:eastAsia="Times New Roman"/>
                <w:color w:val="000000"/>
                <w:sz w:val="21"/>
                <w:szCs w:val="21"/>
                <w:lang w:val="en-AU" w:eastAsia="en-AU"/>
              </w:rPr>
            </w:pPr>
          </w:p>
        </w:tc>
      </w:tr>
      <w:tr w:rsidR="00CF2892" w:rsidRPr="00985F1C" w14:paraId="219B70FA" w14:textId="77777777" w:rsidTr="00796498">
        <w:trPr>
          <w:trHeight w:val="90"/>
        </w:trPr>
        <w:tc>
          <w:tcPr>
            <w:tcW w:w="1465" w:type="pct"/>
            <w:shd w:val="clear" w:color="auto" w:fill="auto"/>
            <w:vAlign w:val="bottom"/>
            <w:hideMark/>
          </w:tcPr>
          <w:p w14:paraId="4BBF7921" w14:textId="18D2AC28" w:rsidR="00CF2892" w:rsidRPr="00985F1C" w:rsidRDefault="00DA4ACB" w:rsidP="008B4ED3">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0B96B824" w14:textId="77777777" w:rsidR="00CF2892" w:rsidRPr="00985F1C" w:rsidRDefault="00CF2892" w:rsidP="008B4ED3">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noWrap/>
            <w:vAlign w:val="bottom"/>
            <w:hideMark/>
          </w:tcPr>
          <w:p w14:paraId="3022E5B1" w14:textId="652331FA" w:rsidR="00CF2892" w:rsidRPr="00985F1C" w:rsidRDefault="00DA4ACB" w:rsidP="008B4ED3">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c>
          <w:tcPr>
            <w:tcW w:w="152" w:type="pct"/>
            <w:shd w:val="clear" w:color="auto" w:fill="auto"/>
            <w:noWrap/>
            <w:vAlign w:val="bottom"/>
            <w:hideMark/>
          </w:tcPr>
          <w:p w14:paraId="45D27C03" w14:textId="77777777" w:rsidR="00CF2892" w:rsidRPr="00985F1C" w:rsidRDefault="00CF2892" w:rsidP="008B4ED3">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auto"/>
            <w:noWrap/>
            <w:vAlign w:val="bottom"/>
            <w:hideMark/>
          </w:tcPr>
          <w:p w14:paraId="36EC4839" w14:textId="12412D8C" w:rsidR="00CF2892" w:rsidRPr="00985F1C" w:rsidRDefault="00DA4ACB" w:rsidP="008B4ED3">
            <w:pPr>
              <w:widowControl/>
              <w:autoSpaceDE/>
              <w:autoSpaceDN/>
              <w:rPr>
                <w:rFonts w:eastAsia="Times New Roman"/>
                <w:color w:val="000000"/>
                <w:sz w:val="21"/>
                <w:szCs w:val="21"/>
                <w:lang w:val="en-AU" w:eastAsia="en-AU"/>
              </w:rPr>
            </w:pPr>
            <w:r w:rsidRPr="00985F1C">
              <w:rPr>
                <w:rFonts w:eastAsia="Times New Roman"/>
                <w:color w:val="000000"/>
                <w:sz w:val="21"/>
                <w:szCs w:val="21"/>
                <w:lang w:val="en-AU" w:eastAsia="en-AU"/>
              </w:rPr>
              <w:t> </w:t>
            </w:r>
            <w:r w:rsidRPr="00B7220E">
              <w:rPr>
                <w:rFonts w:eastAsia="Times New Roman"/>
                <w:b/>
                <w:bCs/>
                <w:i/>
                <w:iCs/>
                <w:color w:val="002060"/>
                <w:sz w:val="20"/>
                <w:szCs w:val="20"/>
                <w:lang w:val="en-AU" w:eastAsia="en-AU"/>
              </w:rPr>
              <w:t>State Outcomes</w:t>
            </w:r>
          </w:p>
        </w:tc>
      </w:tr>
      <w:tr w:rsidR="00CF2892" w:rsidRPr="00985F1C" w14:paraId="7D1D4913" w14:textId="77777777" w:rsidTr="00796498">
        <w:trPr>
          <w:trHeight w:val="794"/>
        </w:trPr>
        <w:tc>
          <w:tcPr>
            <w:tcW w:w="1465" w:type="pct"/>
            <w:shd w:val="clear" w:color="auto" w:fill="DEEAF6" w:themeFill="accent5" w:themeFillTint="33"/>
            <w:vAlign w:val="center"/>
            <w:hideMark/>
          </w:tcPr>
          <w:p w14:paraId="6349D81F"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Active and inclusive communities</w:t>
            </w:r>
          </w:p>
        </w:tc>
        <w:tc>
          <w:tcPr>
            <w:tcW w:w="152" w:type="pct"/>
            <w:shd w:val="clear" w:color="auto" w:fill="auto"/>
            <w:vAlign w:val="center"/>
            <w:hideMark/>
          </w:tcPr>
          <w:p w14:paraId="22F50B09"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2DB50FB8" w14:textId="024608A5" w:rsidR="00CF2892" w:rsidRPr="00985F1C" w:rsidRDefault="00FE352B" w:rsidP="00200F6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Connecting our customers’ whole lives</w:t>
            </w:r>
          </w:p>
        </w:tc>
        <w:tc>
          <w:tcPr>
            <w:tcW w:w="152" w:type="pct"/>
            <w:shd w:val="clear" w:color="auto" w:fill="auto"/>
            <w:vAlign w:val="center"/>
            <w:hideMark/>
          </w:tcPr>
          <w:p w14:paraId="1628C935"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35BBB50B"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A strong, resilient and diverse economy</w:t>
            </w:r>
          </w:p>
        </w:tc>
      </w:tr>
      <w:tr w:rsidR="00CF2892" w:rsidRPr="00985F1C" w14:paraId="4274CE22" w14:textId="77777777" w:rsidTr="00796498">
        <w:trPr>
          <w:trHeight w:val="794"/>
        </w:trPr>
        <w:tc>
          <w:tcPr>
            <w:tcW w:w="1465" w:type="pct"/>
            <w:shd w:val="clear" w:color="auto" w:fill="DEEAF6" w:themeFill="accent5" w:themeFillTint="33"/>
            <w:vAlign w:val="center"/>
            <w:hideMark/>
          </w:tcPr>
          <w:p w14:paraId="67895530"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Children and families thrive</w:t>
            </w:r>
          </w:p>
        </w:tc>
        <w:tc>
          <w:tcPr>
            <w:tcW w:w="152" w:type="pct"/>
            <w:shd w:val="clear" w:color="auto" w:fill="auto"/>
            <w:vAlign w:val="center"/>
            <w:hideMark/>
          </w:tcPr>
          <w:p w14:paraId="1A95F2DF"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05932617" w14:textId="063EAD5E" w:rsidR="00CF2892" w:rsidRPr="00985F1C" w:rsidRDefault="00200F63" w:rsidP="00200F6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Successful places for communities</w:t>
            </w:r>
          </w:p>
        </w:tc>
        <w:tc>
          <w:tcPr>
            <w:tcW w:w="152" w:type="pct"/>
            <w:shd w:val="clear" w:color="auto" w:fill="auto"/>
            <w:vAlign w:val="center"/>
            <w:hideMark/>
          </w:tcPr>
          <w:p w14:paraId="7928E1FF"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3072E2D5"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A sustainable fiscal environment enabling delivery of outcomes</w:t>
            </w:r>
          </w:p>
        </w:tc>
      </w:tr>
      <w:tr w:rsidR="00CF2892" w:rsidRPr="00985F1C" w14:paraId="18373180" w14:textId="77777777" w:rsidTr="00796498">
        <w:trPr>
          <w:trHeight w:val="850"/>
        </w:trPr>
        <w:tc>
          <w:tcPr>
            <w:tcW w:w="1465" w:type="pct"/>
            <w:shd w:val="clear" w:color="auto" w:fill="DEEAF6" w:themeFill="accent5" w:themeFillTint="33"/>
            <w:vAlign w:val="center"/>
            <w:hideMark/>
          </w:tcPr>
          <w:p w14:paraId="1614D681"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Efficient and effective legal system</w:t>
            </w:r>
          </w:p>
        </w:tc>
        <w:tc>
          <w:tcPr>
            <w:tcW w:w="152" w:type="pct"/>
            <w:shd w:val="clear" w:color="auto" w:fill="auto"/>
            <w:vAlign w:val="center"/>
            <w:hideMark/>
          </w:tcPr>
          <w:p w14:paraId="3875D8C6"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6" w:type="pct"/>
            <w:shd w:val="clear" w:color="auto" w:fill="DEEAF6" w:themeFill="accent5" w:themeFillTint="33"/>
            <w:vAlign w:val="center"/>
            <w:hideMark/>
          </w:tcPr>
          <w:p w14:paraId="1C09E977" w14:textId="2980B65A" w:rsidR="00FB1F67" w:rsidRPr="00985F1C" w:rsidRDefault="008C6859" w:rsidP="008B4ED3">
            <w:pPr>
              <w:widowControl/>
              <w:autoSpaceDE/>
              <w:autoSpaceDN/>
              <w:jc w:val="center"/>
              <w:rPr>
                <w:rFonts w:eastAsia="Times New Roman"/>
                <w:sz w:val="21"/>
                <w:szCs w:val="21"/>
                <w:lang w:val="en-AU" w:eastAsia="en-AU"/>
              </w:rPr>
            </w:pPr>
            <w:r>
              <w:rPr>
                <w:rFonts w:eastAsia="Times New Roman"/>
                <w:sz w:val="21"/>
                <w:szCs w:val="21"/>
                <w:lang w:val="en-AU" w:eastAsia="en-AU"/>
              </w:rPr>
              <w:t xml:space="preserve">Sustainable </w:t>
            </w:r>
            <w:r w:rsidR="0039096A">
              <w:rPr>
                <w:rFonts w:eastAsia="Times New Roman"/>
                <w:sz w:val="21"/>
                <w:szCs w:val="21"/>
                <w:lang w:val="en-AU" w:eastAsia="en-AU"/>
              </w:rPr>
              <w:t xml:space="preserve">Transport systems and solutions that enable economic activity </w:t>
            </w:r>
          </w:p>
        </w:tc>
        <w:tc>
          <w:tcPr>
            <w:tcW w:w="152" w:type="pct"/>
            <w:shd w:val="clear" w:color="auto" w:fill="auto"/>
            <w:vAlign w:val="center"/>
            <w:hideMark/>
          </w:tcPr>
          <w:p w14:paraId="434E4349"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DEEAF6" w:themeFill="accent5" w:themeFillTint="33"/>
            <w:vAlign w:val="center"/>
            <w:hideMark/>
          </w:tcPr>
          <w:p w14:paraId="2C78252E"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Stewardship of the public sector performance and financial system</w:t>
            </w:r>
          </w:p>
        </w:tc>
      </w:tr>
      <w:tr w:rsidR="00CF2892" w:rsidRPr="00985F1C" w14:paraId="7035C107" w14:textId="77777777" w:rsidTr="00796498">
        <w:trPr>
          <w:trHeight w:val="540"/>
        </w:trPr>
        <w:tc>
          <w:tcPr>
            <w:tcW w:w="1465" w:type="pct"/>
            <w:shd w:val="clear" w:color="auto" w:fill="DEEAF6" w:themeFill="accent5" w:themeFillTint="33"/>
            <w:vAlign w:val="center"/>
            <w:hideMark/>
          </w:tcPr>
          <w:p w14:paraId="1872C289"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People have a safe and affordable place to live</w:t>
            </w:r>
          </w:p>
        </w:tc>
        <w:tc>
          <w:tcPr>
            <w:tcW w:w="152" w:type="pct"/>
            <w:shd w:val="clear" w:color="auto" w:fill="auto"/>
            <w:noWrap/>
            <w:hideMark/>
          </w:tcPr>
          <w:p w14:paraId="059DBCBE"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noWrap/>
            <w:hideMark/>
          </w:tcPr>
          <w:p w14:paraId="0F5E76A1"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52" w:type="pct"/>
            <w:shd w:val="clear" w:color="auto" w:fill="auto"/>
            <w:noWrap/>
            <w:hideMark/>
          </w:tcPr>
          <w:p w14:paraId="35F9BB68"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auto"/>
            <w:noWrap/>
            <w:hideMark/>
          </w:tcPr>
          <w:p w14:paraId="4897521B"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r>
      <w:tr w:rsidR="00CF2892" w:rsidRPr="00985F1C" w14:paraId="6115E207" w14:textId="77777777" w:rsidTr="00796498">
        <w:trPr>
          <w:trHeight w:val="540"/>
        </w:trPr>
        <w:tc>
          <w:tcPr>
            <w:tcW w:w="1465" w:type="pct"/>
            <w:shd w:val="clear" w:color="auto" w:fill="DEEAF6" w:themeFill="accent5" w:themeFillTint="33"/>
            <w:vAlign w:val="center"/>
            <w:hideMark/>
          </w:tcPr>
          <w:p w14:paraId="593B26F9"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Prepared for disasters and emergencies</w:t>
            </w:r>
          </w:p>
        </w:tc>
        <w:tc>
          <w:tcPr>
            <w:tcW w:w="152" w:type="pct"/>
            <w:shd w:val="clear" w:color="auto" w:fill="auto"/>
            <w:vAlign w:val="center"/>
            <w:hideMark/>
          </w:tcPr>
          <w:p w14:paraId="4D52FAFE" w14:textId="77777777" w:rsidR="00CF2892" w:rsidRPr="00985F1C" w:rsidRDefault="00CF2892" w:rsidP="008B4ED3">
            <w:pPr>
              <w:widowControl/>
              <w:autoSpaceDE/>
              <w:autoSpaceDN/>
              <w:jc w:val="center"/>
              <w:rPr>
                <w:rFonts w:eastAsia="Times New Roman"/>
                <w:sz w:val="21"/>
                <w:szCs w:val="21"/>
                <w:lang w:val="en-AU" w:eastAsia="en-AU"/>
              </w:rPr>
            </w:pPr>
          </w:p>
        </w:tc>
        <w:tc>
          <w:tcPr>
            <w:tcW w:w="1616" w:type="pct"/>
            <w:shd w:val="clear" w:color="auto" w:fill="auto"/>
            <w:vAlign w:val="center"/>
            <w:hideMark/>
          </w:tcPr>
          <w:p w14:paraId="0373C8A1"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52" w:type="pct"/>
            <w:shd w:val="clear" w:color="auto" w:fill="auto"/>
            <w:vAlign w:val="center"/>
            <w:hideMark/>
          </w:tcPr>
          <w:p w14:paraId="0BE4809D"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auto"/>
            <w:vAlign w:val="center"/>
            <w:hideMark/>
          </w:tcPr>
          <w:p w14:paraId="5826BC62"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r>
      <w:tr w:rsidR="00CF2892" w:rsidRPr="00985F1C" w14:paraId="1B6D0661" w14:textId="77777777" w:rsidTr="00796498">
        <w:trPr>
          <w:trHeight w:val="540"/>
        </w:trPr>
        <w:tc>
          <w:tcPr>
            <w:tcW w:w="1465" w:type="pct"/>
            <w:shd w:val="clear" w:color="auto" w:fill="DEEAF6" w:themeFill="accent5" w:themeFillTint="33"/>
            <w:vAlign w:val="center"/>
            <w:hideMark/>
          </w:tcPr>
          <w:p w14:paraId="1F8D0C00"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Reduce reoffending</w:t>
            </w:r>
          </w:p>
        </w:tc>
        <w:tc>
          <w:tcPr>
            <w:tcW w:w="152" w:type="pct"/>
            <w:shd w:val="clear" w:color="auto" w:fill="auto"/>
            <w:noWrap/>
            <w:hideMark/>
          </w:tcPr>
          <w:p w14:paraId="01120D3B"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6" w:type="pct"/>
            <w:shd w:val="clear" w:color="auto" w:fill="auto"/>
            <w:noWrap/>
            <w:hideMark/>
          </w:tcPr>
          <w:p w14:paraId="2C9250E0"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52" w:type="pct"/>
            <w:shd w:val="clear" w:color="auto" w:fill="auto"/>
            <w:noWrap/>
            <w:hideMark/>
          </w:tcPr>
          <w:p w14:paraId="04355CF3"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c>
          <w:tcPr>
            <w:tcW w:w="1615" w:type="pct"/>
            <w:shd w:val="clear" w:color="auto" w:fill="auto"/>
            <w:noWrap/>
            <w:hideMark/>
          </w:tcPr>
          <w:p w14:paraId="0E3B7E68" w14:textId="77777777" w:rsidR="00CF2892" w:rsidRPr="00985F1C" w:rsidRDefault="00CF2892" w:rsidP="008B4ED3">
            <w:pPr>
              <w:widowControl/>
              <w:autoSpaceDE/>
              <w:autoSpaceDN/>
              <w:jc w:val="center"/>
              <w:rPr>
                <w:rFonts w:eastAsia="Times New Roman"/>
                <w:color w:val="000000"/>
                <w:sz w:val="21"/>
                <w:szCs w:val="21"/>
                <w:lang w:val="en-AU" w:eastAsia="en-AU"/>
              </w:rPr>
            </w:pPr>
            <w:r w:rsidRPr="00985F1C">
              <w:rPr>
                <w:rFonts w:eastAsia="Times New Roman"/>
                <w:color w:val="000000"/>
                <w:sz w:val="21"/>
                <w:szCs w:val="21"/>
                <w:lang w:val="en-AU" w:eastAsia="en-AU"/>
              </w:rPr>
              <w:t> </w:t>
            </w:r>
          </w:p>
        </w:tc>
      </w:tr>
      <w:tr w:rsidR="00CF2892" w:rsidRPr="00985F1C" w14:paraId="43B73B5C" w14:textId="77777777" w:rsidTr="00796498">
        <w:trPr>
          <w:trHeight w:val="540"/>
        </w:trPr>
        <w:tc>
          <w:tcPr>
            <w:tcW w:w="1465" w:type="pct"/>
            <w:shd w:val="clear" w:color="auto" w:fill="DEEAF6" w:themeFill="accent5" w:themeFillTint="33"/>
            <w:vAlign w:val="center"/>
            <w:hideMark/>
          </w:tcPr>
          <w:p w14:paraId="409A87F9"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Safer communities</w:t>
            </w:r>
          </w:p>
        </w:tc>
        <w:tc>
          <w:tcPr>
            <w:tcW w:w="152" w:type="pct"/>
            <w:shd w:val="clear" w:color="auto" w:fill="auto"/>
            <w:vAlign w:val="center"/>
            <w:hideMark/>
          </w:tcPr>
          <w:p w14:paraId="035F3DA8" w14:textId="77777777" w:rsidR="00CF2892" w:rsidRPr="00985F1C" w:rsidRDefault="00CF2892" w:rsidP="008B4ED3">
            <w:pPr>
              <w:widowControl/>
              <w:autoSpaceDE/>
              <w:autoSpaceDN/>
              <w:jc w:val="center"/>
              <w:rPr>
                <w:rFonts w:eastAsia="Times New Roman"/>
                <w:sz w:val="21"/>
                <w:szCs w:val="21"/>
                <w:lang w:val="en-AU" w:eastAsia="en-AU"/>
              </w:rPr>
            </w:pPr>
          </w:p>
        </w:tc>
        <w:tc>
          <w:tcPr>
            <w:tcW w:w="1616" w:type="pct"/>
            <w:shd w:val="clear" w:color="auto" w:fill="auto"/>
            <w:vAlign w:val="center"/>
            <w:hideMark/>
          </w:tcPr>
          <w:p w14:paraId="77CCF7E5"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52" w:type="pct"/>
            <w:shd w:val="clear" w:color="auto" w:fill="auto"/>
            <w:vAlign w:val="center"/>
            <w:hideMark/>
          </w:tcPr>
          <w:p w14:paraId="0D4F104B"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c>
          <w:tcPr>
            <w:tcW w:w="1615" w:type="pct"/>
            <w:shd w:val="clear" w:color="auto" w:fill="auto"/>
            <w:vAlign w:val="center"/>
            <w:hideMark/>
          </w:tcPr>
          <w:p w14:paraId="2D30C9B7" w14:textId="77777777" w:rsidR="00CF2892" w:rsidRPr="00985F1C" w:rsidRDefault="00CF2892" w:rsidP="008B4ED3">
            <w:pPr>
              <w:widowControl/>
              <w:autoSpaceDE/>
              <w:autoSpaceDN/>
              <w:jc w:val="center"/>
              <w:rPr>
                <w:rFonts w:eastAsia="Times New Roman"/>
                <w:sz w:val="21"/>
                <w:szCs w:val="21"/>
                <w:lang w:val="en-AU" w:eastAsia="en-AU"/>
              </w:rPr>
            </w:pPr>
            <w:r w:rsidRPr="00985F1C">
              <w:rPr>
                <w:rFonts w:eastAsia="Times New Roman"/>
                <w:sz w:val="21"/>
                <w:szCs w:val="21"/>
                <w:lang w:val="en-AU" w:eastAsia="en-AU"/>
              </w:rPr>
              <w:t> </w:t>
            </w:r>
          </w:p>
        </w:tc>
      </w:tr>
    </w:tbl>
    <w:p w14:paraId="6C89FD0F" w14:textId="2A4A9940" w:rsidR="000801D4" w:rsidRDefault="000801D4" w:rsidP="00E72627"/>
    <w:p w14:paraId="0AE60605" w14:textId="77777777" w:rsidR="005E48F3" w:rsidRDefault="005E48F3" w:rsidP="00E72627">
      <w:pPr>
        <w:rPr>
          <w:lang w:val="en-AU"/>
        </w:rPr>
      </w:pPr>
      <w:r>
        <w:br w:type="page"/>
      </w:r>
    </w:p>
    <w:p w14:paraId="349AD55A" w14:textId="6D659174" w:rsidR="00897F5D" w:rsidRDefault="00897F5D" w:rsidP="00897F5D">
      <w:pPr>
        <w:pStyle w:val="Heading2"/>
      </w:pPr>
      <w:r>
        <w:lastRenderedPageBreak/>
        <w:t xml:space="preserve">Delivery of State Outcomes </w:t>
      </w:r>
    </w:p>
    <w:p w14:paraId="291EDEB7" w14:textId="406986BE" w:rsidR="00A26C0E" w:rsidRDefault="00A26C0E" w:rsidP="00A26C0E">
      <w:pPr>
        <w:pStyle w:val="BodyText"/>
      </w:pPr>
      <w:r>
        <w:t>Since the 2020-21 Budget, Clusters continue to report a high level of delivery against the</w:t>
      </w:r>
      <w:r w:rsidR="00DA548C">
        <w:t xml:space="preserve"> 37</w:t>
      </w:r>
      <w:r>
        <w:t xml:space="preserve"> State Outcomes relative to the significant </w:t>
      </w:r>
      <w:r w:rsidR="00DA548C">
        <w:t xml:space="preserve">ongoing </w:t>
      </w:r>
      <w:r>
        <w:t>challenges to service demand and service delivery as a result of recent natural disasters and</w:t>
      </w:r>
      <w:r w:rsidR="004A7B3D">
        <w:t xml:space="preserve"> the</w:t>
      </w:r>
      <w:r>
        <w:t xml:space="preserve"> current pandemic. </w:t>
      </w:r>
    </w:p>
    <w:p w14:paraId="2052DF0F" w14:textId="14F4F6E2" w:rsidR="00A26C0E" w:rsidRDefault="00A26C0E" w:rsidP="00A26C0E">
      <w:pPr>
        <w:pStyle w:val="BodyText"/>
      </w:pPr>
      <w:r w:rsidRPr="0092390A">
        <w:t>These challenges, including drought, bushfires</w:t>
      </w:r>
      <w:r w:rsidR="00A01C41">
        <w:t>, floods</w:t>
      </w:r>
      <w:r w:rsidRPr="0092390A">
        <w:t xml:space="preserve"> and </w:t>
      </w:r>
      <w:r w:rsidR="00DA548C">
        <w:t xml:space="preserve">the ongoing </w:t>
      </w:r>
      <w:r w:rsidRPr="0092390A">
        <w:t>COVID-19</w:t>
      </w:r>
      <w:r w:rsidR="00DA548C">
        <w:t xml:space="preserve"> response</w:t>
      </w:r>
      <w:r w:rsidRPr="0092390A">
        <w:t xml:space="preserve">, have had far-reaching impacts across the suite of State Outcomes and have required </w:t>
      </w:r>
      <w:r w:rsidR="00560246">
        <w:t>continuous</w:t>
      </w:r>
      <w:r w:rsidRPr="0092390A">
        <w:t xml:space="preserve"> management and resources to address</w:t>
      </w:r>
      <w:r w:rsidR="0008337B">
        <w:t xml:space="preserve"> them</w:t>
      </w:r>
      <w:r w:rsidRPr="0092390A">
        <w:t>.</w:t>
      </w:r>
      <w:r>
        <w:t xml:space="preserve"> </w:t>
      </w:r>
    </w:p>
    <w:p w14:paraId="26440E5A" w14:textId="18F84F75" w:rsidR="00A26C0E" w:rsidRDefault="00A26C0E" w:rsidP="00A26C0E">
      <w:pPr>
        <w:pStyle w:val="BodyText"/>
      </w:pPr>
      <w:r w:rsidRPr="00341B61">
        <w:t xml:space="preserve">While </w:t>
      </w:r>
      <w:r w:rsidR="00341B61" w:rsidRPr="00341B61">
        <w:t xml:space="preserve">performance has been </w:t>
      </w:r>
      <w:r w:rsidRPr="00341B61">
        <w:t>impact</w:t>
      </w:r>
      <w:r w:rsidR="00341B61" w:rsidRPr="00341B61">
        <w:t xml:space="preserve">ed </w:t>
      </w:r>
      <w:r w:rsidRPr="00341B61">
        <w:t xml:space="preserve">for </w:t>
      </w:r>
      <w:r w:rsidR="00341B61" w:rsidRPr="00341B61">
        <w:t xml:space="preserve">several </w:t>
      </w:r>
      <w:r w:rsidRPr="00341B61">
        <w:t xml:space="preserve">State Outcomes as </w:t>
      </w:r>
      <w:r w:rsidRPr="006D0880">
        <w:t>a result</w:t>
      </w:r>
      <w:r w:rsidR="00036199">
        <w:t xml:space="preserve"> of these challenges</w:t>
      </w:r>
      <w:r w:rsidRPr="006D0880">
        <w:t>, there have also been significant opportunities to implement innovation and reform. These have been demonstrated through a step change in service delivery across the public sector including implementation of digital innovation in areas such as customer service, health and transport.</w:t>
      </w:r>
      <w:r>
        <w:t xml:space="preserve"> </w:t>
      </w:r>
    </w:p>
    <w:p w14:paraId="2BB00861" w14:textId="77777777" w:rsidR="008A47A3" w:rsidRDefault="008A47A3" w:rsidP="008A47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1.2: Using Outcome Budgeting to shape and monitor Government’s COVID-19 response and recovery  "/>
        <w:tblDescription w:val="Box 1.2: Using Outcome Budgeting to shape and monitor Government’s COVID-19 response and recovery "/>
      </w:tblPr>
      <w:tblGrid>
        <w:gridCol w:w="9638"/>
      </w:tblGrid>
      <w:tr w:rsidR="007A5363" w14:paraId="2880DDB6" w14:textId="1324297D" w:rsidTr="00BC3119">
        <w:tc>
          <w:tcPr>
            <w:tcW w:w="9638" w:type="dxa"/>
            <w:shd w:val="pct5" w:color="auto" w:fill="auto"/>
          </w:tcPr>
          <w:p w14:paraId="5111AA18" w14:textId="55EFE2FE" w:rsidR="007A5363" w:rsidRPr="00B055AE" w:rsidRDefault="007A5363" w:rsidP="00D5735C">
            <w:pPr>
              <w:pStyle w:val="BoxHeading"/>
            </w:pPr>
            <w:r w:rsidRPr="00B055AE">
              <w:t xml:space="preserve">Box </w:t>
            </w:r>
            <w:r w:rsidR="00495BA3" w:rsidRPr="00B055AE">
              <w:t>1.2</w:t>
            </w:r>
            <w:r w:rsidRPr="00B055AE">
              <w:t>:</w:t>
            </w:r>
            <w:r w:rsidR="003C2CBD" w:rsidRPr="00B055AE">
              <w:tab/>
            </w:r>
            <w:r w:rsidRPr="00B055AE">
              <w:t xml:space="preserve">Using Outcome Budgeting to shape and monitor </w:t>
            </w:r>
            <w:r w:rsidR="007A18A6">
              <w:t xml:space="preserve">the </w:t>
            </w:r>
            <w:r w:rsidRPr="00B055AE">
              <w:t xml:space="preserve">Government’s COVID-19 response and recovery  </w:t>
            </w:r>
          </w:p>
          <w:p w14:paraId="2DB73589" w14:textId="6801FA27" w:rsidR="007A5363" w:rsidRPr="002A406E" w:rsidRDefault="007A5363" w:rsidP="003573A0">
            <w:pPr>
              <w:pStyle w:val="Bullet1inabox"/>
              <w:rPr>
                <w:bCs/>
                <w:iCs w:val="0"/>
                <w:sz w:val="23"/>
                <w:szCs w:val="23"/>
              </w:rPr>
            </w:pPr>
            <w:r w:rsidRPr="002A406E">
              <w:rPr>
                <w:sz w:val="23"/>
                <w:szCs w:val="23"/>
              </w:rPr>
              <w:t xml:space="preserve">Outcome Budgeting continues to be a critical tool in supporting the Government’s economic and fiscal recovery. It has been used to inform priority areas to direct support as part of the Government’s COVID-19 response and recovery measures and has </w:t>
            </w:r>
            <w:r w:rsidR="008C71EB" w:rsidRPr="002A406E">
              <w:rPr>
                <w:sz w:val="23"/>
                <w:szCs w:val="23"/>
              </w:rPr>
              <w:t xml:space="preserve">also </w:t>
            </w:r>
            <w:r w:rsidRPr="002A406E">
              <w:rPr>
                <w:sz w:val="23"/>
                <w:szCs w:val="23"/>
              </w:rPr>
              <w:t xml:space="preserve">been an important lens used to assess the effectiveness of these measures. </w:t>
            </w:r>
          </w:p>
          <w:p w14:paraId="688D81F0" w14:textId="160FE58C" w:rsidR="007A5363" w:rsidRPr="00F05D50" w:rsidRDefault="007A5363" w:rsidP="003573A0">
            <w:pPr>
              <w:pStyle w:val="Bullet1inabox"/>
              <w:rPr>
                <w:bCs/>
                <w:iCs w:val="0"/>
              </w:rPr>
            </w:pPr>
            <w:r w:rsidRPr="002A406E">
              <w:rPr>
                <w:sz w:val="23"/>
                <w:szCs w:val="23"/>
              </w:rPr>
              <w:t>For example, in the Stronger Communities and Education Clusters</w:t>
            </w:r>
            <w:r w:rsidRPr="00F05D50">
              <w:t>:</w:t>
            </w:r>
          </w:p>
          <w:p w14:paraId="17BEC4BC" w14:textId="261AA08D" w:rsidR="007A5363" w:rsidRPr="00495BA3" w:rsidRDefault="002E237A" w:rsidP="00E72627">
            <w:pPr>
              <w:pStyle w:val="Bullet2inabox"/>
            </w:pPr>
            <w:r w:rsidRPr="00495BA3">
              <w:t>t</w:t>
            </w:r>
            <w:r w:rsidR="007A5363" w:rsidRPr="00495BA3">
              <w:t xml:space="preserve">he Digital Court Reform </w:t>
            </w:r>
            <w:r w:rsidR="00593CAE">
              <w:t>p</w:t>
            </w:r>
            <w:r w:rsidR="007A5363" w:rsidRPr="00495BA3">
              <w:t>rogram, designed to increase productivity in the NSW legal system through the digitisation of services, support</w:t>
            </w:r>
            <w:r w:rsidR="00593CAE">
              <w:t>s</w:t>
            </w:r>
            <w:r w:rsidR="007A5363" w:rsidRPr="00495BA3">
              <w:t xml:space="preserve"> the performance of key indicators of the </w:t>
            </w:r>
            <w:r w:rsidR="00D41F11">
              <w:t>‘</w:t>
            </w:r>
            <w:r w:rsidR="00E979D0">
              <w:t>e</w:t>
            </w:r>
            <w:r w:rsidR="007A5363" w:rsidRPr="00495BA3">
              <w:t xml:space="preserve">fficient and </w:t>
            </w:r>
            <w:r w:rsidR="00E979D0">
              <w:t>e</w:t>
            </w:r>
            <w:r w:rsidR="007A5363" w:rsidRPr="00495BA3">
              <w:t xml:space="preserve">ffective </w:t>
            </w:r>
            <w:r w:rsidR="00922082">
              <w:t>l</w:t>
            </w:r>
            <w:r w:rsidR="007A5363" w:rsidRPr="00495BA3">
              <w:t xml:space="preserve">egal </w:t>
            </w:r>
            <w:r w:rsidR="00922082">
              <w:t>s</w:t>
            </w:r>
            <w:r w:rsidR="007A5363" w:rsidRPr="00495BA3">
              <w:t>ystem</w:t>
            </w:r>
            <w:r w:rsidR="00D41F11">
              <w:t>’</w:t>
            </w:r>
            <w:r w:rsidR="007A5363" w:rsidRPr="00495BA3">
              <w:t xml:space="preserve"> State Outcome</w:t>
            </w:r>
          </w:p>
          <w:p w14:paraId="00369433" w14:textId="0B55D0FE" w:rsidR="00495BA3" w:rsidRDefault="007A5363" w:rsidP="00E72627">
            <w:pPr>
              <w:pStyle w:val="Bullet2inabox"/>
            </w:pPr>
            <w:r w:rsidRPr="00495BA3">
              <w:t xml:space="preserve">additional support to frontline domestic and family violence services to further support victims, reduce reoffending and help meet increases in demand due to </w:t>
            </w:r>
            <w:r w:rsidR="00733321">
              <w:t xml:space="preserve">the </w:t>
            </w:r>
            <w:r w:rsidRPr="00495BA3">
              <w:t>COVID-19 pandemic, target</w:t>
            </w:r>
            <w:r w:rsidR="00593CAE">
              <w:t>s</w:t>
            </w:r>
            <w:r w:rsidRPr="00495BA3">
              <w:t xml:space="preserve"> improvements in the performance of the </w:t>
            </w:r>
            <w:r w:rsidR="00D41F11">
              <w:t>‘</w:t>
            </w:r>
            <w:r w:rsidR="00922082">
              <w:t>c</w:t>
            </w:r>
            <w:r w:rsidRPr="00495BA3">
              <w:t xml:space="preserve">hildren and </w:t>
            </w:r>
            <w:r w:rsidR="00922082">
              <w:t>f</w:t>
            </w:r>
            <w:r w:rsidRPr="00495BA3">
              <w:t xml:space="preserve">amilies </w:t>
            </w:r>
            <w:r w:rsidR="00922082">
              <w:t>t</w:t>
            </w:r>
            <w:r w:rsidRPr="00495BA3">
              <w:t>hrive</w:t>
            </w:r>
            <w:r w:rsidR="00D41F11">
              <w:t>’</w:t>
            </w:r>
            <w:r w:rsidRPr="00495BA3">
              <w:t xml:space="preserve"> State Outcome </w:t>
            </w:r>
          </w:p>
          <w:p w14:paraId="6D585648" w14:textId="2CC49338" w:rsidR="007A5363" w:rsidRPr="00495BA3" w:rsidRDefault="007A5363" w:rsidP="00E72627">
            <w:pPr>
              <w:pStyle w:val="Bullet2inabox"/>
              <w:rPr>
                <w:rFonts w:eastAsiaTheme="minorEastAsia"/>
              </w:rPr>
            </w:pPr>
            <w:r w:rsidRPr="00495BA3">
              <w:t xml:space="preserve">remote learning in the school system through 2020 impacted learning outcomes for some students. Investment in a catch-up tutoring program delivered through the NSW school system is helping students bridge the gap in their education caused by COVID-19, supporting the </w:t>
            </w:r>
            <w:r w:rsidR="00D41F11">
              <w:t>‘</w:t>
            </w:r>
            <w:r w:rsidR="00922082">
              <w:t>e</w:t>
            </w:r>
            <w:r w:rsidRPr="00495BA3">
              <w:t xml:space="preserve">ducational </w:t>
            </w:r>
            <w:r w:rsidR="00922082">
              <w:t>f</w:t>
            </w:r>
            <w:r w:rsidRPr="00495BA3">
              <w:t xml:space="preserve">oundations for </w:t>
            </w:r>
            <w:r w:rsidR="00922082">
              <w:t>s</w:t>
            </w:r>
            <w:r w:rsidRPr="00495BA3">
              <w:t>uccess</w:t>
            </w:r>
            <w:r w:rsidR="00D41F11">
              <w:t>’</w:t>
            </w:r>
            <w:r w:rsidRPr="00495BA3">
              <w:t xml:space="preserve"> State Outcome.</w:t>
            </w:r>
          </w:p>
        </w:tc>
      </w:tr>
    </w:tbl>
    <w:p w14:paraId="4117A91D" w14:textId="77777777" w:rsidR="008A47A3" w:rsidRDefault="008A47A3" w:rsidP="008A47A3"/>
    <w:p w14:paraId="54BCDC0E" w14:textId="744CCB14" w:rsidR="00143517" w:rsidRDefault="007F249B" w:rsidP="00143517">
      <w:pPr>
        <w:pStyle w:val="Heading2"/>
      </w:pPr>
      <w:r>
        <w:t>About this budget paper</w:t>
      </w:r>
    </w:p>
    <w:p w14:paraId="3A0E2E36" w14:textId="1AB3D1D5" w:rsidR="007F249B" w:rsidRDefault="007F249B" w:rsidP="007F249B">
      <w:pPr>
        <w:pStyle w:val="Heading3"/>
      </w:pPr>
      <w:r>
        <w:t>Purpose and scope</w:t>
      </w:r>
    </w:p>
    <w:p w14:paraId="6C52DA47" w14:textId="56E9BB4C" w:rsidR="00143517" w:rsidRDefault="00143517" w:rsidP="00673118">
      <w:pPr>
        <w:pStyle w:val="BodyText"/>
      </w:pPr>
      <w:r>
        <w:t>Budget Paper No. 2</w:t>
      </w:r>
      <w:r w:rsidR="00A70600">
        <w:t xml:space="preserve"> </w:t>
      </w:r>
      <w:r w:rsidRPr="40BFA82C">
        <w:rPr>
          <w:i/>
          <w:iCs/>
        </w:rPr>
        <w:t xml:space="preserve">Outcomes Statement </w:t>
      </w:r>
      <w:r>
        <w:t>supports transparency and accountability by reporting how resources have been allocated across Clusters and State Outcomes</w:t>
      </w:r>
      <w:r w:rsidR="009A3D27">
        <w:t>,</w:t>
      </w:r>
      <w:r>
        <w:t xml:space="preserve"> and how New South Wales is performing against the</w:t>
      </w:r>
      <w:r w:rsidR="00D41F11">
        <w:t xml:space="preserve"> delivery of the</w:t>
      </w:r>
      <w:r>
        <w:t xml:space="preserve">se State Outcomes. Further details on the scope and purpose of this Budget paper is outlined in </w:t>
      </w:r>
      <w:r w:rsidRPr="40BFA82C">
        <w:rPr>
          <w:i/>
          <w:iCs/>
        </w:rPr>
        <w:t>How to Read the Budget Papers</w:t>
      </w:r>
      <w:r>
        <w:t>.</w:t>
      </w:r>
    </w:p>
    <w:p w14:paraId="78A1235E" w14:textId="776613D0" w:rsidR="005D27B1" w:rsidRDefault="00143517" w:rsidP="00AF094D">
      <w:pPr>
        <w:pStyle w:val="BodyText"/>
      </w:pPr>
      <w:r w:rsidRPr="00AD2002">
        <w:t>Agency financial statements and agency expense summaries</w:t>
      </w:r>
      <w:r>
        <w:t xml:space="preserve"> can be found </w:t>
      </w:r>
      <w:r w:rsidRPr="00AD2002">
        <w:t xml:space="preserve">in Budget Paper </w:t>
      </w:r>
      <w:r w:rsidR="00D555F5">
        <w:t xml:space="preserve">No. </w:t>
      </w:r>
      <w:r>
        <w:t>4</w:t>
      </w:r>
      <w:r w:rsidRPr="00AD2002">
        <w:t xml:space="preserve"> </w:t>
      </w:r>
      <w:r w:rsidRPr="00AD2002">
        <w:rPr>
          <w:i/>
          <w:iCs/>
        </w:rPr>
        <w:t>Agency Financial Statements</w:t>
      </w:r>
      <w:r w:rsidRPr="00AD2002">
        <w:t>.</w:t>
      </w:r>
      <w:r w:rsidR="005D27B1">
        <w:t xml:space="preserve"> </w:t>
      </w:r>
    </w:p>
    <w:p w14:paraId="6D35F9D6" w14:textId="029DE089" w:rsidR="009550AB" w:rsidRPr="003B23CD" w:rsidRDefault="009550AB" w:rsidP="003B23CD">
      <w:pPr>
        <w:widowControl/>
        <w:autoSpaceDE/>
        <w:autoSpaceDN/>
        <w:rPr>
          <w:rFonts w:eastAsia="Times New Roman"/>
          <w:sz w:val="23"/>
          <w:szCs w:val="23"/>
          <w:lang w:val="en-AU" w:eastAsia="en-AU"/>
        </w:rPr>
      </w:pPr>
      <w:r w:rsidRPr="003B23CD">
        <w:rPr>
          <w:rFonts w:eastAsia="Times New Roman"/>
          <w:sz w:val="23"/>
          <w:szCs w:val="23"/>
          <w:lang w:val="en-AU" w:eastAsia="en-AU"/>
        </w:rPr>
        <w:t>Capital profiles may differ between Budget Paper</w:t>
      </w:r>
      <w:r w:rsidR="005D27B1">
        <w:rPr>
          <w:rFonts w:eastAsia="Times New Roman"/>
          <w:sz w:val="23"/>
          <w:szCs w:val="23"/>
          <w:lang w:val="en-AU" w:eastAsia="en-AU"/>
        </w:rPr>
        <w:t xml:space="preserve"> No.</w:t>
      </w:r>
      <w:r w:rsidRPr="003B23CD">
        <w:rPr>
          <w:rFonts w:eastAsia="Times New Roman"/>
          <w:sz w:val="23"/>
          <w:szCs w:val="23"/>
          <w:lang w:val="en-AU" w:eastAsia="en-AU"/>
        </w:rPr>
        <w:t xml:space="preserve"> 2</w:t>
      </w:r>
      <w:r w:rsidR="00AE6033">
        <w:rPr>
          <w:rFonts w:eastAsia="Times New Roman"/>
          <w:sz w:val="23"/>
          <w:szCs w:val="23"/>
          <w:lang w:val="en-AU" w:eastAsia="en-AU"/>
        </w:rPr>
        <w:t xml:space="preserve"> </w:t>
      </w:r>
      <w:r w:rsidR="00AE6033" w:rsidRPr="00AE6033">
        <w:rPr>
          <w:rFonts w:eastAsia="Times New Roman"/>
          <w:i/>
          <w:iCs/>
          <w:sz w:val="23"/>
          <w:szCs w:val="23"/>
          <w:lang w:val="en-AU" w:eastAsia="en-AU"/>
        </w:rPr>
        <w:t>Outcomes Statement</w:t>
      </w:r>
      <w:r w:rsidRPr="003B23CD">
        <w:rPr>
          <w:rFonts w:eastAsia="Times New Roman"/>
          <w:sz w:val="23"/>
          <w:szCs w:val="23"/>
          <w:lang w:val="en-AU" w:eastAsia="en-AU"/>
        </w:rPr>
        <w:t xml:space="preserve"> and Budget</w:t>
      </w:r>
      <w:r w:rsidR="000F55F2">
        <w:rPr>
          <w:rFonts w:eastAsia="Times New Roman"/>
          <w:sz w:val="23"/>
          <w:szCs w:val="23"/>
          <w:lang w:val="en-AU" w:eastAsia="en-AU"/>
        </w:rPr>
        <w:t> </w:t>
      </w:r>
      <w:r w:rsidRPr="003B23CD">
        <w:rPr>
          <w:rFonts w:eastAsia="Times New Roman"/>
          <w:sz w:val="23"/>
          <w:szCs w:val="23"/>
          <w:lang w:val="en-AU" w:eastAsia="en-AU"/>
        </w:rPr>
        <w:t xml:space="preserve">Paper </w:t>
      </w:r>
      <w:r w:rsidR="005D27B1">
        <w:rPr>
          <w:rFonts w:eastAsia="Times New Roman"/>
          <w:sz w:val="23"/>
          <w:szCs w:val="23"/>
          <w:lang w:val="en-AU" w:eastAsia="en-AU"/>
        </w:rPr>
        <w:t xml:space="preserve">No </w:t>
      </w:r>
      <w:r w:rsidRPr="003B23CD">
        <w:rPr>
          <w:rFonts w:eastAsia="Times New Roman"/>
          <w:sz w:val="23"/>
          <w:szCs w:val="23"/>
          <w:lang w:val="en-AU" w:eastAsia="en-AU"/>
        </w:rPr>
        <w:t>3</w:t>
      </w:r>
      <w:r w:rsidR="00AE6033">
        <w:rPr>
          <w:rFonts w:eastAsia="Times New Roman"/>
          <w:sz w:val="23"/>
          <w:szCs w:val="23"/>
          <w:lang w:val="en-AU" w:eastAsia="en-AU"/>
        </w:rPr>
        <w:t xml:space="preserve">. </w:t>
      </w:r>
      <w:r w:rsidR="00AE6033" w:rsidRPr="00AE6033">
        <w:rPr>
          <w:rFonts w:eastAsia="Times New Roman"/>
          <w:i/>
          <w:iCs/>
          <w:sz w:val="23"/>
          <w:szCs w:val="23"/>
          <w:lang w:val="en-AU" w:eastAsia="en-AU"/>
        </w:rPr>
        <w:t>Infrastructure Statement</w:t>
      </w:r>
      <w:r w:rsidR="00AE6033">
        <w:rPr>
          <w:rFonts w:eastAsia="Times New Roman"/>
          <w:sz w:val="23"/>
          <w:szCs w:val="23"/>
          <w:lang w:val="en-AU" w:eastAsia="en-AU"/>
        </w:rPr>
        <w:t xml:space="preserve"> </w:t>
      </w:r>
      <w:r w:rsidRPr="003B23CD">
        <w:rPr>
          <w:rFonts w:eastAsia="Times New Roman"/>
          <w:sz w:val="23"/>
          <w:szCs w:val="23"/>
          <w:lang w:val="en-AU" w:eastAsia="en-AU"/>
        </w:rPr>
        <w:t>due to differences in time periods described.</w:t>
      </w:r>
    </w:p>
    <w:p w14:paraId="2B2CD3D6" w14:textId="466F6000" w:rsidR="00143517" w:rsidRDefault="00373BAA" w:rsidP="00373BAA">
      <w:pPr>
        <w:pStyle w:val="Heading3"/>
      </w:pPr>
      <w:r>
        <w:lastRenderedPageBreak/>
        <w:t>Structure</w:t>
      </w:r>
    </w:p>
    <w:p w14:paraId="4D6A66B1" w14:textId="2C64E08F" w:rsidR="005566F6" w:rsidRDefault="00147673" w:rsidP="008A47A3">
      <w:pPr>
        <w:pStyle w:val="BodyText"/>
        <w:rPr>
          <w:rFonts w:ascii="Arial Bold" w:eastAsia="Arial Unicode MS" w:hAnsi="Arial Bold" w:cs="Times New Roman"/>
          <w:b/>
          <w:kern w:val="28"/>
          <w:sz w:val="24"/>
          <w:szCs w:val="36"/>
        </w:rPr>
      </w:pPr>
      <w:r>
        <w:t xml:space="preserve">This Budget paper includes an </w:t>
      </w:r>
      <w:r w:rsidR="009021E8">
        <w:t>O</w:t>
      </w:r>
      <w:r>
        <w:t xml:space="preserve">utcome </w:t>
      </w:r>
      <w:r w:rsidR="008D0FFB">
        <w:t>S</w:t>
      </w:r>
      <w:r>
        <w:t xml:space="preserve">tatement related to the State Outcomes for each of the nine </w:t>
      </w:r>
      <w:r w:rsidR="004152E6">
        <w:t>C</w:t>
      </w:r>
      <w:r>
        <w:t xml:space="preserve">lusters, as well as a separate chapter for the </w:t>
      </w:r>
      <w:r w:rsidR="00914C82">
        <w:t>Legislature covering its strategic priorities and objectives.</w:t>
      </w:r>
    </w:p>
    <w:p w14:paraId="7592FFC4" w14:textId="2D771B98" w:rsidR="00914C82" w:rsidRDefault="00914C82" w:rsidP="00713770">
      <w:pPr>
        <w:pStyle w:val="Heading4"/>
      </w:pPr>
      <w:r>
        <w:t>Cluster Introduction</w:t>
      </w:r>
    </w:p>
    <w:tbl>
      <w:tblPr>
        <w:tblW w:w="9639" w:type="dxa"/>
        <w:tblLayout w:type="fixed"/>
        <w:tblCellMar>
          <w:left w:w="0" w:type="dxa"/>
          <w:right w:w="0" w:type="dxa"/>
        </w:tblCellMar>
        <w:tblLook w:val="01E0" w:firstRow="1" w:lastRow="1" w:firstColumn="1" w:lastColumn="1" w:noHBand="0" w:noVBand="0"/>
        <w:tblCaption w:val="Cluster Introduction"/>
        <w:tblDescription w:val="Cluster Introduction"/>
      </w:tblPr>
      <w:tblGrid>
        <w:gridCol w:w="3119"/>
        <w:gridCol w:w="6520"/>
      </w:tblGrid>
      <w:tr w:rsidR="00195192" w14:paraId="6922E46A" w14:textId="77777777" w:rsidTr="00E72627">
        <w:trPr>
          <w:trHeight w:val="364"/>
        </w:trPr>
        <w:tc>
          <w:tcPr>
            <w:tcW w:w="3119" w:type="dxa"/>
            <w:shd w:val="clear" w:color="auto" w:fill="008EBA"/>
          </w:tcPr>
          <w:p w14:paraId="7D20F06C" w14:textId="77777777" w:rsidR="00195192" w:rsidRDefault="00195192" w:rsidP="00195192">
            <w:pPr>
              <w:pStyle w:val="TableParagraph"/>
              <w:spacing w:before="80"/>
              <w:ind w:left="134"/>
              <w:jc w:val="left"/>
              <w:rPr>
                <w:b/>
                <w:sz w:val="18"/>
              </w:rPr>
            </w:pPr>
            <w:r>
              <w:rPr>
                <w:b/>
                <w:color w:val="FFFFFF"/>
                <w:sz w:val="18"/>
              </w:rPr>
              <w:t>Section</w:t>
            </w:r>
          </w:p>
        </w:tc>
        <w:tc>
          <w:tcPr>
            <w:tcW w:w="6520" w:type="dxa"/>
            <w:shd w:val="clear" w:color="auto" w:fill="008EBA"/>
          </w:tcPr>
          <w:p w14:paraId="73B45B63" w14:textId="77777777" w:rsidR="00195192" w:rsidRDefault="00195192" w:rsidP="00F140EA">
            <w:pPr>
              <w:pStyle w:val="TableParagraph"/>
              <w:spacing w:before="80"/>
              <w:ind w:left="118"/>
              <w:jc w:val="left"/>
              <w:rPr>
                <w:b/>
                <w:sz w:val="18"/>
              </w:rPr>
            </w:pPr>
            <w:r>
              <w:rPr>
                <w:b/>
                <w:color w:val="FFFFFF"/>
                <w:sz w:val="18"/>
              </w:rPr>
              <w:t>Description</w:t>
            </w:r>
          </w:p>
        </w:tc>
      </w:tr>
      <w:tr w:rsidR="00195192" w14:paraId="5AA1954D" w14:textId="77777777" w:rsidTr="006D68D7">
        <w:trPr>
          <w:trHeight w:val="340"/>
        </w:trPr>
        <w:tc>
          <w:tcPr>
            <w:tcW w:w="3119" w:type="dxa"/>
            <w:tcBorders>
              <w:bottom w:val="single" w:sz="6" w:space="0" w:color="A6A6A6"/>
            </w:tcBorders>
          </w:tcPr>
          <w:p w14:paraId="7AA1B5A8" w14:textId="77777777" w:rsidR="00195192" w:rsidRDefault="00195192" w:rsidP="0095662A">
            <w:pPr>
              <w:pStyle w:val="TableParagraph"/>
              <w:spacing w:before="60" w:after="60"/>
              <w:ind w:left="119"/>
              <w:jc w:val="left"/>
              <w:rPr>
                <w:b/>
                <w:sz w:val="18"/>
              </w:rPr>
            </w:pPr>
            <w:r>
              <w:rPr>
                <w:b/>
                <w:sz w:val="18"/>
              </w:rPr>
              <w:t xml:space="preserve">Introduction </w:t>
            </w:r>
          </w:p>
        </w:tc>
        <w:tc>
          <w:tcPr>
            <w:tcW w:w="6520" w:type="dxa"/>
            <w:tcBorders>
              <w:bottom w:val="single" w:sz="6" w:space="0" w:color="A6A6A6"/>
            </w:tcBorders>
          </w:tcPr>
          <w:p w14:paraId="28C2F79A" w14:textId="20AD355B" w:rsidR="00195192" w:rsidRDefault="00195192" w:rsidP="0095662A">
            <w:pPr>
              <w:pStyle w:val="TableParagraph"/>
              <w:spacing w:before="60" w:after="60"/>
              <w:ind w:left="119"/>
              <w:jc w:val="left"/>
              <w:rPr>
                <w:sz w:val="18"/>
              </w:rPr>
            </w:pPr>
            <w:r>
              <w:rPr>
                <w:sz w:val="18"/>
              </w:rPr>
              <w:t xml:space="preserve">This describes the role, main activities and responsibilities of the </w:t>
            </w:r>
            <w:r w:rsidR="004152E6">
              <w:rPr>
                <w:sz w:val="18"/>
              </w:rPr>
              <w:t>C</w:t>
            </w:r>
            <w:r>
              <w:rPr>
                <w:sz w:val="18"/>
              </w:rPr>
              <w:t>luster.</w:t>
            </w:r>
          </w:p>
        </w:tc>
      </w:tr>
      <w:tr w:rsidR="00195192" w14:paraId="175C1ACF" w14:textId="77777777" w:rsidTr="006D68D7">
        <w:trPr>
          <w:trHeight w:val="319"/>
        </w:trPr>
        <w:tc>
          <w:tcPr>
            <w:tcW w:w="3119" w:type="dxa"/>
            <w:tcBorders>
              <w:bottom w:val="single" w:sz="6" w:space="0" w:color="A6A6A6"/>
            </w:tcBorders>
          </w:tcPr>
          <w:p w14:paraId="03E99A52" w14:textId="04AE98EB" w:rsidR="00195192" w:rsidRDefault="00195192" w:rsidP="0095662A">
            <w:pPr>
              <w:pStyle w:val="TableParagraph"/>
              <w:spacing w:before="60" w:after="60"/>
              <w:ind w:left="119"/>
              <w:jc w:val="left"/>
              <w:rPr>
                <w:b/>
                <w:sz w:val="18"/>
              </w:rPr>
            </w:pPr>
            <w:r>
              <w:rPr>
                <w:b/>
                <w:sz w:val="18"/>
              </w:rPr>
              <w:t>20</w:t>
            </w:r>
            <w:r w:rsidR="006653B8">
              <w:rPr>
                <w:b/>
                <w:sz w:val="18"/>
              </w:rPr>
              <w:t>21</w:t>
            </w:r>
            <w:r>
              <w:rPr>
                <w:b/>
                <w:sz w:val="18"/>
              </w:rPr>
              <w:t>-2</w:t>
            </w:r>
            <w:r w:rsidR="00501912">
              <w:rPr>
                <w:b/>
                <w:sz w:val="18"/>
              </w:rPr>
              <w:t>2</w:t>
            </w:r>
            <w:r>
              <w:rPr>
                <w:b/>
                <w:sz w:val="18"/>
              </w:rPr>
              <w:t xml:space="preserve"> Investment</w:t>
            </w:r>
          </w:p>
        </w:tc>
        <w:tc>
          <w:tcPr>
            <w:tcW w:w="6520" w:type="dxa"/>
            <w:tcBorders>
              <w:bottom w:val="single" w:sz="6" w:space="0" w:color="A6A6A6"/>
            </w:tcBorders>
          </w:tcPr>
          <w:p w14:paraId="33D1EC1E" w14:textId="7EDB96FB" w:rsidR="00195192" w:rsidRDefault="00195192" w:rsidP="0095662A">
            <w:pPr>
              <w:pStyle w:val="TableParagraph"/>
              <w:spacing w:before="60" w:after="60"/>
              <w:ind w:left="119"/>
              <w:jc w:val="left"/>
              <w:rPr>
                <w:sz w:val="18"/>
              </w:rPr>
            </w:pPr>
            <w:r>
              <w:rPr>
                <w:sz w:val="18"/>
              </w:rPr>
              <w:t xml:space="preserve">This graphic depicts the amount of recurrent expenses and capital expenditure for the </w:t>
            </w:r>
            <w:r w:rsidR="004152E6">
              <w:rPr>
                <w:sz w:val="18"/>
              </w:rPr>
              <w:t>C</w:t>
            </w:r>
            <w:r>
              <w:rPr>
                <w:sz w:val="18"/>
              </w:rPr>
              <w:t>luster.</w:t>
            </w:r>
          </w:p>
        </w:tc>
      </w:tr>
      <w:tr w:rsidR="00195192" w14:paraId="186C6B37" w14:textId="77777777" w:rsidTr="006D68D7">
        <w:trPr>
          <w:trHeight w:val="561"/>
        </w:trPr>
        <w:tc>
          <w:tcPr>
            <w:tcW w:w="3119" w:type="dxa"/>
            <w:tcBorders>
              <w:top w:val="single" w:sz="4" w:space="0" w:color="A6A6A6"/>
              <w:bottom w:val="single" w:sz="4" w:space="0" w:color="000000"/>
            </w:tcBorders>
          </w:tcPr>
          <w:p w14:paraId="05DD6CE4" w14:textId="221317CA" w:rsidR="00195192" w:rsidRDefault="00195192" w:rsidP="0095662A">
            <w:pPr>
              <w:pStyle w:val="TableParagraph"/>
              <w:spacing w:before="60" w:after="60"/>
              <w:ind w:left="119" w:right="289"/>
              <w:jc w:val="left"/>
              <w:rPr>
                <w:b/>
                <w:sz w:val="18"/>
              </w:rPr>
            </w:pPr>
            <w:r>
              <w:rPr>
                <w:b/>
                <w:sz w:val="18"/>
              </w:rPr>
              <w:t xml:space="preserve">State Outcomes to be delivered by the </w:t>
            </w:r>
            <w:r w:rsidR="0045406A">
              <w:rPr>
                <w:b/>
                <w:sz w:val="18"/>
              </w:rPr>
              <w:t>C</w:t>
            </w:r>
            <w:r>
              <w:rPr>
                <w:b/>
                <w:sz w:val="18"/>
              </w:rPr>
              <w:t>luster</w:t>
            </w:r>
            <w:r w:rsidR="00DC4E5D">
              <w:rPr>
                <w:b/>
                <w:sz w:val="18"/>
              </w:rPr>
              <w:t xml:space="preserve"> </w:t>
            </w:r>
          </w:p>
        </w:tc>
        <w:tc>
          <w:tcPr>
            <w:tcW w:w="6520" w:type="dxa"/>
            <w:tcBorders>
              <w:top w:val="single" w:sz="4" w:space="0" w:color="A6A6A6"/>
              <w:bottom w:val="single" w:sz="4" w:space="0" w:color="000000"/>
            </w:tcBorders>
          </w:tcPr>
          <w:p w14:paraId="1AA71F67" w14:textId="7F7A101B" w:rsidR="00195192" w:rsidRDefault="00195192" w:rsidP="0095662A">
            <w:pPr>
              <w:pStyle w:val="TableParagraph"/>
              <w:spacing w:before="60" w:after="60"/>
              <w:ind w:left="119"/>
              <w:jc w:val="left"/>
              <w:rPr>
                <w:sz w:val="18"/>
              </w:rPr>
            </w:pPr>
            <w:r>
              <w:rPr>
                <w:sz w:val="18"/>
              </w:rPr>
              <w:t xml:space="preserve">A short description of the State Outcomes the </w:t>
            </w:r>
            <w:r w:rsidR="004152E6">
              <w:rPr>
                <w:sz w:val="18"/>
              </w:rPr>
              <w:t>C</w:t>
            </w:r>
            <w:r>
              <w:rPr>
                <w:sz w:val="18"/>
              </w:rPr>
              <w:t>luster is working towards</w:t>
            </w:r>
            <w:r w:rsidR="00DC4E5D">
              <w:rPr>
                <w:sz w:val="18"/>
              </w:rPr>
              <w:t xml:space="preserve"> and </w:t>
            </w:r>
            <w:r w:rsidR="003A3C26">
              <w:rPr>
                <w:sz w:val="18"/>
              </w:rPr>
              <w:t>the key</w:t>
            </w:r>
            <w:r w:rsidR="00DC4E5D">
              <w:rPr>
                <w:sz w:val="18"/>
              </w:rPr>
              <w:t xml:space="preserve"> programs underway to support delivery of these </w:t>
            </w:r>
            <w:r w:rsidR="008D0FFB">
              <w:rPr>
                <w:sz w:val="18"/>
              </w:rPr>
              <w:t>O</w:t>
            </w:r>
            <w:r w:rsidR="00DC4E5D">
              <w:rPr>
                <w:sz w:val="18"/>
              </w:rPr>
              <w:t>utcomes</w:t>
            </w:r>
            <w:r>
              <w:rPr>
                <w:sz w:val="18"/>
              </w:rPr>
              <w:t>.</w:t>
            </w:r>
          </w:p>
        </w:tc>
      </w:tr>
    </w:tbl>
    <w:p w14:paraId="76F0852F" w14:textId="43C89BEB" w:rsidR="00914C82" w:rsidRDefault="00914C82" w:rsidP="005D6D2C">
      <w:pPr>
        <w:pStyle w:val="Heading4"/>
      </w:pPr>
      <w:r>
        <w:t xml:space="preserve">Overview of </w:t>
      </w:r>
      <w:r w:rsidR="008D0FFB">
        <w:t>C</w:t>
      </w:r>
      <w:r>
        <w:t xml:space="preserve">luster </w:t>
      </w:r>
      <w:r w:rsidRPr="00661403">
        <w:t>expenses</w:t>
      </w:r>
      <w:r>
        <w:t xml:space="preserve"> by State Outcome</w:t>
      </w:r>
    </w:p>
    <w:p w14:paraId="04325E74" w14:textId="47A334A4" w:rsidR="00914C82" w:rsidRDefault="00914C82" w:rsidP="00673118">
      <w:pPr>
        <w:pStyle w:val="BodyText"/>
      </w:pPr>
      <w:r>
        <w:t>This section graphical</w:t>
      </w:r>
      <w:r w:rsidR="00142274">
        <w:t>ly</w:t>
      </w:r>
      <w:r>
        <w:t xml:space="preserve"> presents the amount and percentage of recurrent expenses and capital expenditure across each of the State Outcomes delivered by the </w:t>
      </w:r>
      <w:r w:rsidR="004152E6">
        <w:t>C</w:t>
      </w:r>
      <w:r>
        <w:t>luster.</w:t>
      </w:r>
    </w:p>
    <w:p w14:paraId="09726A74" w14:textId="77777777" w:rsidR="00914C82" w:rsidRDefault="00914C82" w:rsidP="005D6D2C">
      <w:pPr>
        <w:pStyle w:val="Heading4"/>
      </w:pPr>
      <w:r>
        <w:t xml:space="preserve">Cluster State Outcome </w:t>
      </w:r>
      <w:r w:rsidRPr="00661403">
        <w:t>Statements</w:t>
      </w:r>
      <w:r>
        <w:t xml:space="preserve"> </w:t>
      </w:r>
    </w:p>
    <w:tbl>
      <w:tblPr>
        <w:tblW w:w="9640" w:type="dxa"/>
        <w:tblLayout w:type="fixed"/>
        <w:tblCellMar>
          <w:left w:w="0" w:type="dxa"/>
          <w:right w:w="0" w:type="dxa"/>
        </w:tblCellMar>
        <w:tblLook w:val="01E0" w:firstRow="1" w:lastRow="1" w:firstColumn="1" w:lastColumn="1" w:noHBand="0" w:noVBand="0"/>
        <w:tblCaption w:val="Cluster State Outcome Statements"/>
        <w:tblDescription w:val="Cluster State Outcome Statements"/>
      </w:tblPr>
      <w:tblGrid>
        <w:gridCol w:w="3122"/>
        <w:gridCol w:w="6518"/>
      </w:tblGrid>
      <w:tr w:rsidR="00005744" w14:paraId="653FFCA3" w14:textId="77777777" w:rsidTr="00E72627">
        <w:trPr>
          <w:trHeight w:val="364"/>
        </w:trPr>
        <w:tc>
          <w:tcPr>
            <w:tcW w:w="3122" w:type="dxa"/>
            <w:shd w:val="clear" w:color="auto" w:fill="008EBA"/>
          </w:tcPr>
          <w:p w14:paraId="60AA1034" w14:textId="77777777" w:rsidR="00005744" w:rsidRDefault="00005744" w:rsidP="00F140EA">
            <w:pPr>
              <w:pStyle w:val="TableParagraph"/>
              <w:spacing w:before="80"/>
              <w:ind w:left="118"/>
              <w:jc w:val="left"/>
              <w:rPr>
                <w:b/>
                <w:sz w:val="18"/>
              </w:rPr>
            </w:pPr>
            <w:r>
              <w:rPr>
                <w:b/>
                <w:color w:val="FFFFFF"/>
                <w:sz w:val="18"/>
              </w:rPr>
              <w:t>Section</w:t>
            </w:r>
          </w:p>
        </w:tc>
        <w:tc>
          <w:tcPr>
            <w:tcW w:w="6518" w:type="dxa"/>
            <w:shd w:val="clear" w:color="auto" w:fill="008EBA"/>
          </w:tcPr>
          <w:p w14:paraId="773C7421" w14:textId="77777777" w:rsidR="00005744" w:rsidRDefault="00005744" w:rsidP="00F140EA">
            <w:pPr>
              <w:pStyle w:val="TableParagraph"/>
              <w:spacing w:before="80"/>
              <w:ind w:left="118"/>
              <w:jc w:val="left"/>
              <w:rPr>
                <w:b/>
                <w:sz w:val="18"/>
              </w:rPr>
            </w:pPr>
            <w:r>
              <w:rPr>
                <w:b/>
                <w:color w:val="FFFFFF"/>
                <w:sz w:val="18"/>
              </w:rPr>
              <w:t>Description</w:t>
            </w:r>
          </w:p>
        </w:tc>
      </w:tr>
      <w:tr w:rsidR="00005744" w14:paraId="700CF131" w14:textId="77777777" w:rsidTr="00813B3B">
        <w:trPr>
          <w:trHeight w:val="319"/>
        </w:trPr>
        <w:tc>
          <w:tcPr>
            <w:tcW w:w="3122" w:type="dxa"/>
            <w:tcBorders>
              <w:bottom w:val="single" w:sz="6" w:space="0" w:color="A6A6A6" w:themeColor="background1" w:themeShade="A6"/>
            </w:tcBorders>
          </w:tcPr>
          <w:p w14:paraId="62CBF3B9" w14:textId="77777777" w:rsidR="00005744" w:rsidRDefault="00005744" w:rsidP="0095662A">
            <w:pPr>
              <w:pStyle w:val="TableParagraph"/>
              <w:spacing w:before="60" w:after="60"/>
              <w:ind w:left="119"/>
              <w:jc w:val="left"/>
              <w:rPr>
                <w:b/>
                <w:sz w:val="18"/>
              </w:rPr>
            </w:pPr>
            <w:r>
              <w:rPr>
                <w:b/>
                <w:sz w:val="18"/>
              </w:rPr>
              <w:t xml:space="preserve">State Outcome Overview </w:t>
            </w:r>
          </w:p>
        </w:tc>
        <w:tc>
          <w:tcPr>
            <w:tcW w:w="6518" w:type="dxa"/>
            <w:tcBorders>
              <w:bottom w:val="single" w:sz="6" w:space="0" w:color="A6A6A6" w:themeColor="background1" w:themeShade="A6"/>
            </w:tcBorders>
          </w:tcPr>
          <w:p w14:paraId="4551D95F" w14:textId="77777777" w:rsidR="00005744" w:rsidRDefault="00005744" w:rsidP="0095662A">
            <w:pPr>
              <w:pStyle w:val="TableParagraph"/>
              <w:spacing w:before="60" w:after="60"/>
              <w:ind w:left="119"/>
              <w:jc w:val="left"/>
              <w:rPr>
                <w:sz w:val="18"/>
              </w:rPr>
            </w:pPr>
            <w:r>
              <w:rPr>
                <w:sz w:val="18"/>
              </w:rPr>
              <w:t>A description of the State Outcome.</w:t>
            </w:r>
          </w:p>
        </w:tc>
      </w:tr>
      <w:tr w:rsidR="00005744" w14:paraId="52BA942C" w14:textId="77777777" w:rsidTr="00DA7FB4">
        <w:trPr>
          <w:trHeight w:val="317"/>
        </w:trPr>
        <w:tc>
          <w:tcPr>
            <w:tcW w:w="3122" w:type="dxa"/>
            <w:tcBorders>
              <w:bottom w:val="single" w:sz="6" w:space="0" w:color="A6A6A6" w:themeColor="background1" w:themeShade="A6"/>
            </w:tcBorders>
          </w:tcPr>
          <w:p w14:paraId="3B8DE348" w14:textId="3713A78C" w:rsidR="00005744" w:rsidRDefault="00005744" w:rsidP="0095662A">
            <w:pPr>
              <w:pStyle w:val="TableParagraph"/>
              <w:spacing w:before="60" w:after="60"/>
              <w:ind w:left="119"/>
              <w:jc w:val="left"/>
              <w:rPr>
                <w:b/>
                <w:sz w:val="18"/>
              </w:rPr>
            </w:pPr>
            <w:r>
              <w:rPr>
                <w:b/>
                <w:sz w:val="18"/>
              </w:rPr>
              <w:t>202</w:t>
            </w:r>
            <w:r w:rsidR="00501912">
              <w:rPr>
                <w:b/>
                <w:sz w:val="18"/>
              </w:rPr>
              <w:t>1</w:t>
            </w:r>
            <w:r>
              <w:rPr>
                <w:b/>
                <w:sz w:val="18"/>
              </w:rPr>
              <w:t>-2</w:t>
            </w:r>
            <w:r w:rsidR="00501912">
              <w:rPr>
                <w:b/>
                <w:sz w:val="18"/>
              </w:rPr>
              <w:t>2</w:t>
            </w:r>
            <w:r>
              <w:rPr>
                <w:b/>
                <w:sz w:val="18"/>
              </w:rPr>
              <w:t xml:space="preserve"> Investment </w:t>
            </w:r>
          </w:p>
        </w:tc>
        <w:tc>
          <w:tcPr>
            <w:tcW w:w="6518" w:type="dxa"/>
            <w:tcBorders>
              <w:bottom w:val="single" w:sz="6" w:space="0" w:color="A6A6A6" w:themeColor="background1" w:themeShade="A6"/>
            </w:tcBorders>
          </w:tcPr>
          <w:p w14:paraId="4D550C02" w14:textId="3F53FC8B" w:rsidR="00005744" w:rsidRDefault="00005744" w:rsidP="0095662A">
            <w:pPr>
              <w:pStyle w:val="TableParagraph"/>
              <w:spacing w:before="60" w:after="60"/>
              <w:ind w:left="119"/>
              <w:jc w:val="left"/>
              <w:rPr>
                <w:sz w:val="18"/>
              </w:rPr>
            </w:pPr>
            <w:r>
              <w:rPr>
                <w:sz w:val="18"/>
              </w:rPr>
              <w:t xml:space="preserve">This graphic depicts the amount of recurrent expenses and capital expenditure for the </w:t>
            </w:r>
            <w:r w:rsidR="007142B4">
              <w:rPr>
                <w:sz w:val="18"/>
              </w:rPr>
              <w:t>O</w:t>
            </w:r>
            <w:r>
              <w:rPr>
                <w:sz w:val="18"/>
              </w:rPr>
              <w:t>utcome.</w:t>
            </w:r>
          </w:p>
        </w:tc>
      </w:tr>
      <w:tr w:rsidR="00005744" w14:paraId="1A63B016" w14:textId="77777777" w:rsidTr="00DA7FB4">
        <w:trPr>
          <w:trHeight w:val="317"/>
        </w:trPr>
        <w:tc>
          <w:tcPr>
            <w:tcW w:w="3122" w:type="dxa"/>
            <w:tcBorders>
              <w:top w:val="single" w:sz="6" w:space="0" w:color="A6A6A6" w:themeColor="background1" w:themeShade="A6"/>
              <w:bottom w:val="single" w:sz="4" w:space="0" w:color="A6A6A6" w:themeColor="background1" w:themeShade="A6"/>
            </w:tcBorders>
          </w:tcPr>
          <w:p w14:paraId="5AD347F4" w14:textId="707DF930" w:rsidR="00005744" w:rsidRDefault="00D555F5" w:rsidP="0095662A">
            <w:pPr>
              <w:pStyle w:val="TableParagraph"/>
              <w:spacing w:before="60" w:after="60"/>
              <w:ind w:left="119" w:right="103"/>
              <w:jc w:val="left"/>
              <w:rPr>
                <w:b/>
                <w:sz w:val="18"/>
              </w:rPr>
            </w:pPr>
            <w:r>
              <w:rPr>
                <w:b/>
                <w:sz w:val="18"/>
              </w:rPr>
              <w:t>2021</w:t>
            </w:r>
            <w:r w:rsidR="00005744">
              <w:rPr>
                <w:b/>
                <w:sz w:val="18"/>
              </w:rPr>
              <w:t>-2</w:t>
            </w:r>
            <w:r w:rsidR="00501912">
              <w:rPr>
                <w:b/>
                <w:sz w:val="18"/>
              </w:rPr>
              <w:t>2</w:t>
            </w:r>
            <w:r w:rsidR="00005744">
              <w:rPr>
                <w:b/>
                <w:sz w:val="18"/>
              </w:rPr>
              <w:t xml:space="preserve"> </w:t>
            </w:r>
            <w:r w:rsidR="006A0A1A">
              <w:rPr>
                <w:b/>
                <w:sz w:val="18"/>
              </w:rPr>
              <w:t xml:space="preserve">State Outcome </w:t>
            </w:r>
            <w:r w:rsidR="00005744">
              <w:rPr>
                <w:b/>
                <w:sz w:val="18"/>
              </w:rPr>
              <w:t xml:space="preserve">Budget </w:t>
            </w:r>
            <w:r w:rsidR="00220720">
              <w:rPr>
                <w:b/>
                <w:sz w:val="18"/>
              </w:rPr>
              <w:t>h</w:t>
            </w:r>
            <w:r w:rsidR="00005744">
              <w:rPr>
                <w:b/>
                <w:sz w:val="18"/>
              </w:rPr>
              <w:t xml:space="preserve">ighlights </w:t>
            </w:r>
          </w:p>
        </w:tc>
        <w:tc>
          <w:tcPr>
            <w:tcW w:w="6518" w:type="dxa"/>
            <w:tcBorders>
              <w:top w:val="single" w:sz="6" w:space="0" w:color="A6A6A6" w:themeColor="background1" w:themeShade="A6"/>
              <w:bottom w:val="single" w:sz="4" w:space="0" w:color="A6A6A6" w:themeColor="background1" w:themeShade="A6"/>
            </w:tcBorders>
          </w:tcPr>
          <w:p w14:paraId="767C5206" w14:textId="5E0E7B3A" w:rsidR="00005744" w:rsidRDefault="00005744" w:rsidP="0095662A">
            <w:pPr>
              <w:pStyle w:val="TableParagraph"/>
              <w:spacing w:before="60" w:after="60"/>
              <w:ind w:left="119"/>
              <w:jc w:val="left"/>
              <w:rPr>
                <w:sz w:val="18"/>
              </w:rPr>
            </w:pPr>
            <w:r>
              <w:rPr>
                <w:sz w:val="18"/>
              </w:rPr>
              <w:t xml:space="preserve">Description of the significant new and ongoing initiatives under the </w:t>
            </w:r>
            <w:r w:rsidR="007142B4">
              <w:rPr>
                <w:sz w:val="18"/>
              </w:rPr>
              <w:t>O</w:t>
            </w:r>
            <w:r>
              <w:rPr>
                <w:sz w:val="18"/>
              </w:rPr>
              <w:t>utcome</w:t>
            </w:r>
            <w:r w:rsidR="00E82886">
              <w:rPr>
                <w:sz w:val="18"/>
              </w:rPr>
              <w:t>.</w:t>
            </w:r>
            <w:r>
              <w:rPr>
                <w:sz w:val="18"/>
              </w:rPr>
              <w:t xml:space="preserve"> </w:t>
            </w:r>
          </w:p>
        </w:tc>
      </w:tr>
      <w:tr w:rsidR="00005744" w14:paraId="15C766BF" w14:textId="77777777" w:rsidTr="00DA7FB4">
        <w:trPr>
          <w:trHeight w:val="317"/>
        </w:trPr>
        <w:tc>
          <w:tcPr>
            <w:tcW w:w="3122" w:type="dxa"/>
            <w:tcBorders>
              <w:top w:val="single" w:sz="4" w:space="0" w:color="A6A6A6" w:themeColor="background1" w:themeShade="A6"/>
              <w:bottom w:val="single" w:sz="4" w:space="0" w:color="A6A6A6" w:themeColor="background1" w:themeShade="A6"/>
            </w:tcBorders>
          </w:tcPr>
          <w:p w14:paraId="7D66F1DD" w14:textId="77777777" w:rsidR="00005744" w:rsidRDefault="00005744" w:rsidP="0095662A">
            <w:pPr>
              <w:pStyle w:val="TableParagraph"/>
              <w:spacing w:before="60" w:after="60"/>
              <w:ind w:left="119" w:right="292"/>
              <w:jc w:val="left"/>
              <w:rPr>
                <w:b/>
                <w:sz w:val="18"/>
              </w:rPr>
            </w:pPr>
            <w:r>
              <w:rPr>
                <w:b/>
                <w:sz w:val="18"/>
              </w:rPr>
              <w:t xml:space="preserve">Key performance insights </w:t>
            </w:r>
          </w:p>
        </w:tc>
        <w:tc>
          <w:tcPr>
            <w:tcW w:w="6518" w:type="dxa"/>
            <w:tcBorders>
              <w:top w:val="single" w:sz="4" w:space="0" w:color="A6A6A6" w:themeColor="background1" w:themeShade="A6"/>
              <w:bottom w:val="single" w:sz="4" w:space="0" w:color="A6A6A6" w:themeColor="background1" w:themeShade="A6"/>
            </w:tcBorders>
          </w:tcPr>
          <w:p w14:paraId="71599C20" w14:textId="7DF1EE4F" w:rsidR="00670EBF" w:rsidRDefault="00005744" w:rsidP="0095662A">
            <w:pPr>
              <w:pStyle w:val="TableParagraph"/>
              <w:spacing w:before="60" w:after="60"/>
              <w:ind w:left="119"/>
              <w:jc w:val="left"/>
              <w:rPr>
                <w:sz w:val="18"/>
                <w:szCs w:val="18"/>
              </w:rPr>
            </w:pPr>
            <w:r w:rsidRPr="2BE02E00">
              <w:rPr>
                <w:sz w:val="18"/>
                <w:szCs w:val="18"/>
              </w:rPr>
              <w:t xml:space="preserve">A short description and chart providing analysis and insights on performance of selected </w:t>
            </w:r>
            <w:r w:rsidR="007142B4">
              <w:rPr>
                <w:sz w:val="18"/>
                <w:szCs w:val="18"/>
              </w:rPr>
              <w:t>O</w:t>
            </w:r>
            <w:r w:rsidRPr="2BE02E00">
              <w:rPr>
                <w:sz w:val="18"/>
                <w:szCs w:val="18"/>
              </w:rPr>
              <w:t xml:space="preserve">utcome </w:t>
            </w:r>
            <w:r w:rsidR="007142B4">
              <w:rPr>
                <w:sz w:val="18"/>
                <w:szCs w:val="18"/>
              </w:rPr>
              <w:t>I</w:t>
            </w:r>
            <w:r w:rsidRPr="2BE02E00">
              <w:rPr>
                <w:sz w:val="18"/>
                <w:szCs w:val="18"/>
              </w:rPr>
              <w:t>ndicators</w:t>
            </w:r>
            <w:r w:rsidR="0097039F">
              <w:rPr>
                <w:sz w:val="18"/>
                <w:szCs w:val="18"/>
              </w:rPr>
              <w:t xml:space="preserve"> for the Outcome</w:t>
            </w:r>
            <w:r w:rsidRPr="2BE02E00">
              <w:rPr>
                <w:sz w:val="18"/>
                <w:szCs w:val="18"/>
              </w:rPr>
              <w:t xml:space="preserve">.  </w:t>
            </w:r>
          </w:p>
        </w:tc>
      </w:tr>
      <w:tr w:rsidR="00005744" w14:paraId="4ABB2E66" w14:textId="77777777" w:rsidTr="0095662A">
        <w:trPr>
          <w:trHeight w:val="317"/>
        </w:trPr>
        <w:tc>
          <w:tcPr>
            <w:tcW w:w="3122" w:type="dxa"/>
            <w:tcBorders>
              <w:top w:val="single" w:sz="4" w:space="0" w:color="A6A6A6" w:themeColor="background1" w:themeShade="A6"/>
              <w:bottom w:val="single" w:sz="4" w:space="0" w:color="000000" w:themeColor="text1"/>
            </w:tcBorders>
          </w:tcPr>
          <w:p w14:paraId="1DBD6F40" w14:textId="276D2626" w:rsidR="00005744" w:rsidRDefault="008D3CD7" w:rsidP="0095662A">
            <w:pPr>
              <w:pStyle w:val="TableParagraph"/>
              <w:spacing w:before="60" w:after="60"/>
              <w:ind w:left="119" w:right="292"/>
              <w:jc w:val="left"/>
              <w:rPr>
                <w:b/>
                <w:sz w:val="18"/>
              </w:rPr>
            </w:pPr>
            <w:r>
              <w:rPr>
                <w:b/>
                <w:sz w:val="18"/>
              </w:rPr>
              <w:t>P</w:t>
            </w:r>
            <w:r w:rsidR="00005744">
              <w:rPr>
                <w:b/>
                <w:sz w:val="18"/>
              </w:rPr>
              <w:t xml:space="preserve">erformance indicators for this </w:t>
            </w:r>
            <w:r w:rsidR="00220720">
              <w:rPr>
                <w:b/>
                <w:sz w:val="18"/>
              </w:rPr>
              <w:t>O</w:t>
            </w:r>
            <w:r w:rsidR="00005744">
              <w:rPr>
                <w:b/>
                <w:sz w:val="18"/>
              </w:rPr>
              <w:t xml:space="preserve">utcome  </w:t>
            </w:r>
          </w:p>
        </w:tc>
        <w:tc>
          <w:tcPr>
            <w:tcW w:w="6518" w:type="dxa"/>
            <w:tcBorders>
              <w:top w:val="single" w:sz="4" w:space="0" w:color="A6A6A6" w:themeColor="background1" w:themeShade="A6"/>
              <w:bottom w:val="single" w:sz="4" w:space="0" w:color="000000" w:themeColor="text1"/>
            </w:tcBorders>
          </w:tcPr>
          <w:p w14:paraId="0761B721" w14:textId="2ADC4019" w:rsidR="00005744" w:rsidRDefault="00005744" w:rsidP="0095662A">
            <w:pPr>
              <w:pStyle w:val="TableParagraph"/>
              <w:spacing w:before="60" w:after="60"/>
              <w:ind w:left="119"/>
              <w:jc w:val="left"/>
              <w:rPr>
                <w:sz w:val="18"/>
                <w:szCs w:val="18"/>
              </w:rPr>
            </w:pPr>
            <w:r w:rsidRPr="1F89FA8E">
              <w:rPr>
                <w:sz w:val="18"/>
                <w:szCs w:val="18"/>
              </w:rPr>
              <w:t xml:space="preserve">Information on the performance of </w:t>
            </w:r>
            <w:r w:rsidR="007142B4">
              <w:rPr>
                <w:sz w:val="18"/>
                <w:szCs w:val="18"/>
              </w:rPr>
              <w:t>O</w:t>
            </w:r>
            <w:r w:rsidRPr="1F89FA8E">
              <w:rPr>
                <w:sz w:val="18"/>
                <w:szCs w:val="18"/>
              </w:rPr>
              <w:t xml:space="preserve">utcome </w:t>
            </w:r>
            <w:r w:rsidR="007142B4">
              <w:rPr>
                <w:sz w:val="18"/>
                <w:szCs w:val="18"/>
              </w:rPr>
              <w:t>I</w:t>
            </w:r>
            <w:r w:rsidRPr="1F89FA8E">
              <w:rPr>
                <w:sz w:val="18"/>
                <w:szCs w:val="18"/>
              </w:rPr>
              <w:t xml:space="preserve">ndicators for the </w:t>
            </w:r>
            <w:r w:rsidR="007142B4">
              <w:rPr>
                <w:sz w:val="18"/>
                <w:szCs w:val="18"/>
              </w:rPr>
              <w:t>O</w:t>
            </w:r>
            <w:r w:rsidRPr="1F89FA8E">
              <w:rPr>
                <w:sz w:val="18"/>
                <w:szCs w:val="18"/>
              </w:rPr>
              <w:t>utcome.</w:t>
            </w:r>
          </w:p>
        </w:tc>
      </w:tr>
    </w:tbl>
    <w:p w14:paraId="38E184E8" w14:textId="77777777" w:rsidR="008A47A3" w:rsidRDefault="008A47A3" w:rsidP="008A47A3"/>
    <w:p w14:paraId="6D0A8A4F" w14:textId="14AFA066" w:rsidR="004107C8" w:rsidRDefault="004107C8" w:rsidP="004107C8">
      <w:pPr>
        <w:pStyle w:val="BodyText"/>
      </w:pPr>
      <w:r>
        <w:t>Additional performance information on Clusters and agencies continues to be reported across a range of other sources such as agency website</w:t>
      </w:r>
      <w:r w:rsidR="00EA54BE">
        <w:t>s</w:t>
      </w:r>
      <w:r>
        <w:t xml:space="preserve">, annual reports and the Productivity Commission’s </w:t>
      </w:r>
      <w:r w:rsidRPr="00404191">
        <w:rPr>
          <w:i/>
          <w:iCs/>
        </w:rPr>
        <w:t>Report on Government Services</w:t>
      </w:r>
      <w:r>
        <w:t xml:space="preserve">. </w:t>
      </w:r>
    </w:p>
    <w:p w14:paraId="30A92898" w14:textId="77777777" w:rsidR="0036163F" w:rsidRDefault="0036163F" w:rsidP="004107C8">
      <w:pPr>
        <w:pStyle w:val="BodyText"/>
      </w:pPr>
    </w:p>
    <w:p w14:paraId="686734EA" w14:textId="77777777" w:rsidR="005D6D2C" w:rsidRDefault="005D6D2C" w:rsidP="004107C8">
      <w:pPr>
        <w:pStyle w:val="BodyText"/>
      </w:pPr>
    </w:p>
    <w:p w14:paraId="71A20C44" w14:textId="6CF6D24B" w:rsidR="000A30FF" w:rsidRPr="000A30FF" w:rsidRDefault="000A30FF" w:rsidP="00DC4E5D">
      <w:pPr>
        <w:widowControl/>
        <w:autoSpaceDE/>
        <w:autoSpaceDN/>
        <w:spacing w:after="160" w:line="259" w:lineRule="auto"/>
      </w:pPr>
    </w:p>
    <w:sectPr w:rsidR="000A30FF" w:rsidRPr="000A30FF" w:rsidSect="00046D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454" w:left="1134" w:header="454" w:footer="45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4085" w14:textId="77777777" w:rsidR="00D56C1D" w:rsidRDefault="00D56C1D" w:rsidP="00637B53">
      <w:r>
        <w:separator/>
      </w:r>
    </w:p>
  </w:endnote>
  <w:endnote w:type="continuationSeparator" w:id="0">
    <w:p w14:paraId="1D8C8B8C" w14:textId="77777777" w:rsidR="00D56C1D" w:rsidRDefault="00D56C1D" w:rsidP="00637B53">
      <w:r>
        <w:continuationSeparator/>
      </w:r>
    </w:p>
  </w:endnote>
  <w:endnote w:type="continuationNotice" w:id="1">
    <w:p w14:paraId="24C843E3" w14:textId="77777777" w:rsidR="00D56C1D" w:rsidRDefault="00D56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CE04" w14:textId="29835AF9" w:rsidR="009733A4" w:rsidRDefault="009733A4" w:rsidP="00030BF0">
    <w:pPr>
      <w:pStyle w:val="Footer"/>
      <w:pBdr>
        <w:top w:val="single" w:sz="4" w:space="4" w:color="auto"/>
      </w:pBdr>
      <w:tabs>
        <w:tab w:val="clear" w:pos="4513"/>
        <w:tab w:val="clear" w:pos="9026"/>
        <w:tab w:val="right" w:pos="9639"/>
      </w:tabs>
      <w:rPr>
        <w:rFonts w:eastAsia="Arial Unicode MS"/>
        <w:sz w:val="18"/>
        <w:szCs w:val="18"/>
      </w:rPr>
    </w:pP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ii</w:t>
    </w:r>
    <w:r w:rsidRPr="00515FBC">
      <w:rPr>
        <w:sz w:val="18"/>
        <w:szCs w:val="18"/>
      </w:rPr>
      <w:fldChar w:fldCharType="end"/>
    </w:r>
    <w:r>
      <w:rPr>
        <w:sz w:val="18"/>
        <w:szCs w:val="18"/>
      </w:rPr>
      <w:tab/>
    </w:r>
    <w:r>
      <w:rPr>
        <w:rFonts w:eastAsia="Arial Unicode MS"/>
        <w:sz w:val="18"/>
        <w:szCs w:val="18"/>
      </w:rPr>
      <w:t>Outcomes Statement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A2F3" w14:textId="282601BE" w:rsidR="009733A4" w:rsidRPr="00EA7067" w:rsidRDefault="009733A4" w:rsidP="008A47A3">
    <w:pPr>
      <w:pStyle w:val="Footer"/>
      <w:pBdr>
        <w:top w:val="single" w:sz="4" w:space="4" w:color="auto"/>
      </w:pBdr>
      <w:tabs>
        <w:tab w:val="clear" w:pos="4513"/>
        <w:tab w:val="clear" w:pos="9026"/>
        <w:tab w:val="right" w:pos="9923"/>
      </w:tabs>
      <w:rPr>
        <w:rFonts w:eastAsia="Arial Unicode MS"/>
        <w:sz w:val="18"/>
        <w:szCs w:val="18"/>
      </w:rPr>
    </w:pPr>
    <w:r>
      <w:rPr>
        <w:rFonts w:eastAsia="Arial Unicode MS"/>
        <w:sz w:val="18"/>
        <w:szCs w:val="18"/>
      </w:rPr>
      <w:t>Outcomes Statement 2021-22</w:t>
    </w:r>
    <w:r>
      <w:rPr>
        <w:rFonts w:eastAsia="Arial Unicode MS"/>
        <w:sz w:val="18"/>
        <w:szCs w:val="18"/>
      </w:rPr>
      <w:tab/>
    </w: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iii</w:t>
    </w:r>
    <w:r w:rsidRPr="00515FB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E51A" w14:textId="69A4B5A0" w:rsidR="009733A4" w:rsidRPr="009A176F" w:rsidRDefault="009733A4" w:rsidP="00030BF0">
    <w:pPr>
      <w:pStyle w:val="Footer"/>
      <w:pBdr>
        <w:top w:val="single" w:sz="4" w:space="4" w:color="auto"/>
      </w:pBdr>
      <w:tabs>
        <w:tab w:val="clear" w:pos="4513"/>
        <w:tab w:val="clear" w:pos="9026"/>
        <w:tab w:val="right" w:pos="9639"/>
      </w:tabs>
      <w:rPr>
        <w:rFonts w:eastAsia="Arial Unicode MS"/>
        <w:sz w:val="18"/>
        <w:szCs w:val="18"/>
      </w:rPr>
    </w:pPr>
    <w:r>
      <w:rPr>
        <w:rFonts w:eastAsia="Arial Unicode MS"/>
        <w:sz w:val="18"/>
        <w:szCs w:val="18"/>
      </w:rPr>
      <w:t>Outcomes Statement 202</w:t>
    </w:r>
    <w:r w:rsidR="008263DD">
      <w:rPr>
        <w:rFonts w:eastAsia="Arial Unicode MS"/>
        <w:sz w:val="18"/>
        <w:szCs w:val="18"/>
      </w:rPr>
      <w:t>1</w:t>
    </w:r>
    <w:r>
      <w:rPr>
        <w:rFonts w:eastAsia="Arial Unicode MS"/>
        <w:sz w:val="18"/>
        <w:szCs w:val="18"/>
      </w:rPr>
      <w:t>-2</w:t>
    </w:r>
    <w:r w:rsidR="008263DD">
      <w:rPr>
        <w:rFonts w:eastAsia="Arial Unicode MS"/>
        <w:sz w:val="18"/>
        <w:szCs w:val="18"/>
      </w:rPr>
      <w:t>2</w:t>
    </w:r>
    <w:r>
      <w:rPr>
        <w:rFonts w:eastAsia="Arial Unicode MS"/>
        <w:sz w:val="18"/>
        <w:szCs w:val="18"/>
      </w:rPr>
      <w:tab/>
    </w:r>
    <w:r w:rsidRPr="00515FBC">
      <w:rPr>
        <w:sz w:val="18"/>
        <w:szCs w:val="18"/>
      </w:rPr>
      <w:fldChar w:fldCharType="begin"/>
    </w:r>
    <w:r w:rsidRPr="00515FBC">
      <w:rPr>
        <w:sz w:val="18"/>
        <w:szCs w:val="18"/>
      </w:rPr>
      <w:instrText xml:space="preserve"> PAGE  \* MERGEFORMAT </w:instrText>
    </w:r>
    <w:r w:rsidRPr="00515FBC">
      <w:rPr>
        <w:sz w:val="18"/>
        <w:szCs w:val="18"/>
      </w:rPr>
      <w:fldChar w:fldCharType="separate"/>
    </w:r>
    <w:r>
      <w:rPr>
        <w:sz w:val="18"/>
        <w:szCs w:val="18"/>
      </w:rPr>
      <w:t>iii</w:t>
    </w:r>
    <w:r w:rsidRPr="00515F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5508" w14:textId="77777777" w:rsidR="00D56C1D" w:rsidRDefault="00D56C1D" w:rsidP="00637B53">
      <w:r>
        <w:separator/>
      </w:r>
    </w:p>
  </w:footnote>
  <w:footnote w:type="continuationSeparator" w:id="0">
    <w:p w14:paraId="66FB5B93" w14:textId="77777777" w:rsidR="00D56C1D" w:rsidRDefault="00D56C1D" w:rsidP="00637B53">
      <w:r>
        <w:continuationSeparator/>
      </w:r>
    </w:p>
  </w:footnote>
  <w:footnote w:type="continuationNotice" w:id="1">
    <w:p w14:paraId="798E4B37" w14:textId="77777777" w:rsidR="00D56C1D" w:rsidRDefault="00D56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30BE" w14:textId="2C5143C4" w:rsidR="009733A4" w:rsidRPr="00922082" w:rsidRDefault="009733A4" w:rsidP="00922082">
    <w:pPr>
      <w:pBdr>
        <w:bottom w:val="single" w:sz="4" w:space="4" w:color="auto"/>
      </w:pBdr>
      <w:tabs>
        <w:tab w:val="center" w:pos="4153"/>
        <w:tab w:val="right" w:pos="8306"/>
      </w:tabs>
      <w:spacing w:line="192" w:lineRule="auto"/>
      <w:contextualSpacing/>
      <w:rPr>
        <w:rFonts w:eastAsia="Calibri"/>
        <w:sz w:val="18"/>
        <w:szCs w:val="18"/>
      </w:rPr>
    </w:pPr>
    <w:r>
      <w:rPr>
        <w:rFonts w:eastAsia="Calibri"/>
        <w:sz w:val="18"/>
        <w:szCs w:val="18"/>
      </w:rPr>
      <w:t>Outcomes Statement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1AE5" w14:textId="44A182C8" w:rsidR="009733A4" w:rsidRPr="00030BF0" w:rsidRDefault="009733A4" w:rsidP="004474AB">
    <w:pPr>
      <w:pBdr>
        <w:bottom w:val="single" w:sz="4" w:space="4" w:color="auto"/>
      </w:pBdr>
      <w:tabs>
        <w:tab w:val="center" w:pos="4153"/>
        <w:tab w:val="right" w:pos="8306"/>
      </w:tabs>
      <w:spacing w:line="192" w:lineRule="auto"/>
      <w:ind w:left="4153" w:hanging="4153"/>
      <w:contextualSpacing/>
      <w:jc w:val="right"/>
      <w:rPr>
        <w:rFonts w:eastAsia="Calibri"/>
        <w:sz w:val="18"/>
        <w:szCs w:val="18"/>
      </w:rPr>
    </w:pPr>
    <w:r>
      <w:rPr>
        <w:rFonts w:eastAsia="Calibri"/>
        <w:sz w:val="18"/>
        <w:szCs w:val="18"/>
      </w:rPr>
      <w:t>Outcomes Statement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8756" w14:textId="2F13F957" w:rsidR="00852469" w:rsidRDefault="0085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0A7"/>
    <w:multiLevelType w:val="hybridMultilevel"/>
    <w:tmpl w:val="72B85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F074F"/>
    <w:multiLevelType w:val="hybridMultilevel"/>
    <w:tmpl w:val="0256E2EE"/>
    <w:lvl w:ilvl="0" w:tplc="0C09000F">
      <w:start w:val="1"/>
      <w:numFmt w:val="decimal"/>
      <w:lvlText w:val="%1."/>
      <w:lvlJc w:val="left"/>
      <w:pPr>
        <w:tabs>
          <w:tab w:val="num" w:pos="-65"/>
        </w:tabs>
        <w:ind w:left="-65" w:hanging="360"/>
      </w:pPr>
      <w:rPr>
        <w:rFonts w:hint="default"/>
      </w:rPr>
    </w:lvl>
    <w:lvl w:ilvl="1" w:tplc="8BCA29C2" w:tentative="1">
      <w:start w:val="1"/>
      <w:numFmt w:val="bullet"/>
      <w:lvlText w:val="•"/>
      <w:lvlJc w:val="left"/>
      <w:pPr>
        <w:tabs>
          <w:tab w:val="num" w:pos="655"/>
        </w:tabs>
        <w:ind w:left="655" w:hanging="360"/>
      </w:pPr>
      <w:rPr>
        <w:rFonts w:ascii="Arial" w:hAnsi="Arial" w:hint="default"/>
      </w:rPr>
    </w:lvl>
    <w:lvl w:ilvl="2" w:tplc="6B6A5584" w:tentative="1">
      <w:start w:val="1"/>
      <w:numFmt w:val="bullet"/>
      <w:lvlText w:val="•"/>
      <w:lvlJc w:val="left"/>
      <w:pPr>
        <w:tabs>
          <w:tab w:val="num" w:pos="1375"/>
        </w:tabs>
        <w:ind w:left="1375" w:hanging="360"/>
      </w:pPr>
      <w:rPr>
        <w:rFonts w:ascii="Arial" w:hAnsi="Arial" w:hint="default"/>
      </w:rPr>
    </w:lvl>
    <w:lvl w:ilvl="3" w:tplc="21FC14D6" w:tentative="1">
      <w:start w:val="1"/>
      <w:numFmt w:val="bullet"/>
      <w:lvlText w:val="•"/>
      <w:lvlJc w:val="left"/>
      <w:pPr>
        <w:tabs>
          <w:tab w:val="num" w:pos="2095"/>
        </w:tabs>
        <w:ind w:left="2095" w:hanging="360"/>
      </w:pPr>
      <w:rPr>
        <w:rFonts w:ascii="Arial" w:hAnsi="Arial" w:hint="default"/>
      </w:rPr>
    </w:lvl>
    <w:lvl w:ilvl="4" w:tplc="C2109446" w:tentative="1">
      <w:start w:val="1"/>
      <w:numFmt w:val="bullet"/>
      <w:lvlText w:val="•"/>
      <w:lvlJc w:val="left"/>
      <w:pPr>
        <w:tabs>
          <w:tab w:val="num" w:pos="2815"/>
        </w:tabs>
        <w:ind w:left="2815" w:hanging="360"/>
      </w:pPr>
      <w:rPr>
        <w:rFonts w:ascii="Arial" w:hAnsi="Arial" w:hint="default"/>
      </w:rPr>
    </w:lvl>
    <w:lvl w:ilvl="5" w:tplc="E9AAA52E" w:tentative="1">
      <w:start w:val="1"/>
      <w:numFmt w:val="bullet"/>
      <w:lvlText w:val="•"/>
      <w:lvlJc w:val="left"/>
      <w:pPr>
        <w:tabs>
          <w:tab w:val="num" w:pos="3535"/>
        </w:tabs>
        <w:ind w:left="3535" w:hanging="360"/>
      </w:pPr>
      <w:rPr>
        <w:rFonts w:ascii="Arial" w:hAnsi="Arial" w:hint="default"/>
      </w:rPr>
    </w:lvl>
    <w:lvl w:ilvl="6" w:tplc="87BCAFF4" w:tentative="1">
      <w:start w:val="1"/>
      <w:numFmt w:val="bullet"/>
      <w:lvlText w:val="•"/>
      <w:lvlJc w:val="left"/>
      <w:pPr>
        <w:tabs>
          <w:tab w:val="num" w:pos="4255"/>
        </w:tabs>
        <w:ind w:left="4255" w:hanging="360"/>
      </w:pPr>
      <w:rPr>
        <w:rFonts w:ascii="Arial" w:hAnsi="Arial" w:hint="default"/>
      </w:rPr>
    </w:lvl>
    <w:lvl w:ilvl="7" w:tplc="9D16FBC4" w:tentative="1">
      <w:start w:val="1"/>
      <w:numFmt w:val="bullet"/>
      <w:lvlText w:val="•"/>
      <w:lvlJc w:val="left"/>
      <w:pPr>
        <w:tabs>
          <w:tab w:val="num" w:pos="4975"/>
        </w:tabs>
        <w:ind w:left="4975" w:hanging="360"/>
      </w:pPr>
      <w:rPr>
        <w:rFonts w:ascii="Arial" w:hAnsi="Arial" w:hint="default"/>
      </w:rPr>
    </w:lvl>
    <w:lvl w:ilvl="8" w:tplc="2416E502" w:tentative="1">
      <w:start w:val="1"/>
      <w:numFmt w:val="bullet"/>
      <w:lvlText w:val="•"/>
      <w:lvlJc w:val="left"/>
      <w:pPr>
        <w:tabs>
          <w:tab w:val="num" w:pos="5695"/>
        </w:tabs>
        <w:ind w:left="5695" w:hanging="360"/>
      </w:pPr>
      <w:rPr>
        <w:rFonts w:ascii="Arial" w:hAnsi="Arial" w:hint="default"/>
      </w:rPr>
    </w:lvl>
  </w:abstractNum>
  <w:abstractNum w:abstractNumId="2" w15:restartNumberingAfterBreak="0">
    <w:nsid w:val="0B0E4BF0"/>
    <w:multiLevelType w:val="hybridMultilevel"/>
    <w:tmpl w:val="FFFFFFFF"/>
    <w:lvl w:ilvl="0" w:tplc="EBA23BAE">
      <w:start w:val="1"/>
      <w:numFmt w:val="bullet"/>
      <w:lvlText w:val=""/>
      <w:lvlJc w:val="left"/>
      <w:pPr>
        <w:ind w:left="720" w:hanging="360"/>
      </w:pPr>
      <w:rPr>
        <w:rFonts w:ascii="Wingdings" w:hAnsi="Wingdings" w:hint="default"/>
      </w:rPr>
    </w:lvl>
    <w:lvl w:ilvl="1" w:tplc="0434A7A0">
      <w:start w:val="1"/>
      <w:numFmt w:val="bullet"/>
      <w:lvlText w:val="o"/>
      <w:lvlJc w:val="left"/>
      <w:pPr>
        <w:ind w:left="1440" w:hanging="360"/>
      </w:pPr>
      <w:rPr>
        <w:rFonts w:ascii="Courier New" w:hAnsi="Courier New" w:hint="default"/>
      </w:rPr>
    </w:lvl>
    <w:lvl w:ilvl="2" w:tplc="0D803EB0">
      <w:start w:val="1"/>
      <w:numFmt w:val="bullet"/>
      <w:lvlText w:val=""/>
      <w:lvlJc w:val="left"/>
      <w:pPr>
        <w:ind w:left="2160" w:hanging="360"/>
      </w:pPr>
      <w:rPr>
        <w:rFonts w:ascii="Wingdings" w:hAnsi="Wingdings" w:hint="default"/>
      </w:rPr>
    </w:lvl>
    <w:lvl w:ilvl="3" w:tplc="3CEA4F30">
      <w:start w:val="1"/>
      <w:numFmt w:val="bullet"/>
      <w:lvlText w:val=""/>
      <w:lvlJc w:val="left"/>
      <w:pPr>
        <w:ind w:left="2880" w:hanging="360"/>
      </w:pPr>
      <w:rPr>
        <w:rFonts w:ascii="Symbol" w:hAnsi="Symbol" w:hint="default"/>
      </w:rPr>
    </w:lvl>
    <w:lvl w:ilvl="4" w:tplc="3914FF38">
      <w:start w:val="1"/>
      <w:numFmt w:val="bullet"/>
      <w:lvlText w:val="o"/>
      <w:lvlJc w:val="left"/>
      <w:pPr>
        <w:ind w:left="3600" w:hanging="360"/>
      </w:pPr>
      <w:rPr>
        <w:rFonts w:ascii="Courier New" w:hAnsi="Courier New" w:hint="default"/>
      </w:rPr>
    </w:lvl>
    <w:lvl w:ilvl="5" w:tplc="9210F4C2">
      <w:start w:val="1"/>
      <w:numFmt w:val="bullet"/>
      <w:lvlText w:val=""/>
      <w:lvlJc w:val="left"/>
      <w:pPr>
        <w:ind w:left="4320" w:hanging="360"/>
      </w:pPr>
      <w:rPr>
        <w:rFonts w:ascii="Wingdings" w:hAnsi="Wingdings" w:hint="default"/>
      </w:rPr>
    </w:lvl>
    <w:lvl w:ilvl="6" w:tplc="495CE6C8">
      <w:start w:val="1"/>
      <w:numFmt w:val="bullet"/>
      <w:lvlText w:val=""/>
      <w:lvlJc w:val="left"/>
      <w:pPr>
        <w:ind w:left="5040" w:hanging="360"/>
      </w:pPr>
      <w:rPr>
        <w:rFonts w:ascii="Symbol" w:hAnsi="Symbol" w:hint="default"/>
      </w:rPr>
    </w:lvl>
    <w:lvl w:ilvl="7" w:tplc="38162674">
      <w:start w:val="1"/>
      <w:numFmt w:val="bullet"/>
      <w:lvlText w:val="o"/>
      <w:lvlJc w:val="left"/>
      <w:pPr>
        <w:ind w:left="5760" w:hanging="360"/>
      </w:pPr>
      <w:rPr>
        <w:rFonts w:ascii="Courier New" w:hAnsi="Courier New" w:hint="default"/>
      </w:rPr>
    </w:lvl>
    <w:lvl w:ilvl="8" w:tplc="AFC6EE46">
      <w:start w:val="1"/>
      <w:numFmt w:val="bullet"/>
      <w:lvlText w:val=""/>
      <w:lvlJc w:val="left"/>
      <w:pPr>
        <w:ind w:left="6480" w:hanging="360"/>
      </w:pPr>
      <w:rPr>
        <w:rFonts w:ascii="Wingdings" w:hAnsi="Wingdings" w:hint="default"/>
      </w:rPr>
    </w:lvl>
  </w:abstractNum>
  <w:abstractNum w:abstractNumId="3" w15:restartNumberingAfterBreak="0">
    <w:nsid w:val="0DAF20C7"/>
    <w:multiLevelType w:val="hybridMultilevel"/>
    <w:tmpl w:val="4AFE4C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850E6"/>
    <w:multiLevelType w:val="hybridMultilevel"/>
    <w:tmpl w:val="85C8A9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47F75EB"/>
    <w:multiLevelType w:val="hybridMultilevel"/>
    <w:tmpl w:val="35A217E4"/>
    <w:lvl w:ilvl="0" w:tplc="F188AAAC">
      <w:numFmt w:val="bullet"/>
      <w:lvlText w:val=""/>
      <w:lvlJc w:val="left"/>
      <w:pPr>
        <w:ind w:left="583" w:hanging="356"/>
      </w:pPr>
      <w:rPr>
        <w:rFonts w:ascii="Symbol" w:eastAsia="Symbol" w:hAnsi="Symbol" w:cs="Symbol" w:hint="default"/>
        <w:w w:val="101"/>
        <w:sz w:val="18"/>
        <w:szCs w:val="18"/>
      </w:rPr>
    </w:lvl>
    <w:lvl w:ilvl="1" w:tplc="1806143C">
      <w:numFmt w:val="bullet"/>
      <w:lvlText w:val="•"/>
      <w:lvlJc w:val="left"/>
      <w:pPr>
        <w:ind w:left="1136" w:hanging="356"/>
      </w:pPr>
      <w:rPr>
        <w:rFonts w:hint="default"/>
      </w:rPr>
    </w:lvl>
    <w:lvl w:ilvl="2" w:tplc="898663AE">
      <w:numFmt w:val="bullet"/>
      <w:lvlText w:val="•"/>
      <w:lvlJc w:val="left"/>
      <w:pPr>
        <w:ind w:left="1693" w:hanging="356"/>
      </w:pPr>
      <w:rPr>
        <w:rFonts w:hint="default"/>
      </w:rPr>
    </w:lvl>
    <w:lvl w:ilvl="3" w:tplc="83D2A5B4">
      <w:numFmt w:val="bullet"/>
      <w:lvlText w:val="•"/>
      <w:lvlJc w:val="left"/>
      <w:pPr>
        <w:ind w:left="2250" w:hanging="356"/>
      </w:pPr>
      <w:rPr>
        <w:rFonts w:hint="default"/>
      </w:rPr>
    </w:lvl>
    <w:lvl w:ilvl="4" w:tplc="634A63D0">
      <w:numFmt w:val="bullet"/>
      <w:lvlText w:val="•"/>
      <w:lvlJc w:val="left"/>
      <w:pPr>
        <w:ind w:left="2807" w:hanging="356"/>
      </w:pPr>
      <w:rPr>
        <w:rFonts w:hint="default"/>
      </w:rPr>
    </w:lvl>
    <w:lvl w:ilvl="5" w:tplc="AFE0ACA4">
      <w:numFmt w:val="bullet"/>
      <w:lvlText w:val="•"/>
      <w:lvlJc w:val="left"/>
      <w:pPr>
        <w:ind w:left="3364" w:hanging="356"/>
      </w:pPr>
      <w:rPr>
        <w:rFonts w:hint="default"/>
      </w:rPr>
    </w:lvl>
    <w:lvl w:ilvl="6" w:tplc="7D966182">
      <w:numFmt w:val="bullet"/>
      <w:lvlText w:val="•"/>
      <w:lvlJc w:val="left"/>
      <w:pPr>
        <w:ind w:left="3921" w:hanging="356"/>
      </w:pPr>
      <w:rPr>
        <w:rFonts w:hint="default"/>
      </w:rPr>
    </w:lvl>
    <w:lvl w:ilvl="7" w:tplc="29983810">
      <w:numFmt w:val="bullet"/>
      <w:lvlText w:val="•"/>
      <w:lvlJc w:val="left"/>
      <w:pPr>
        <w:ind w:left="4478" w:hanging="356"/>
      </w:pPr>
      <w:rPr>
        <w:rFonts w:hint="default"/>
      </w:rPr>
    </w:lvl>
    <w:lvl w:ilvl="8" w:tplc="4334771A">
      <w:numFmt w:val="bullet"/>
      <w:lvlText w:val="•"/>
      <w:lvlJc w:val="left"/>
      <w:pPr>
        <w:ind w:left="5035" w:hanging="356"/>
      </w:pPr>
      <w:rPr>
        <w:rFonts w:hint="default"/>
      </w:rPr>
    </w:lvl>
  </w:abstractNum>
  <w:abstractNum w:abstractNumId="6" w15:restartNumberingAfterBreak="0">
    <w:nsid w:val="17A132AE"/>
    <w:multiLevelType w:val="hybridMultilevel"/>
    <w:tmpl w:val="FFFFFFFF"/>
    <w:lvl w:ilvl="0" w:tplc="E0B4D90A">
      <w:start w:val="1"/>
      <w:numFmt w:val="bullet"/>
      <w:lvlText w:val=""/>
      <w:lvlJc w:val="left"/>
      <w:pPr>
        <w:ind w:left="720" w:hanging="360"/>
      </w:pPr>
      <w:rPr>
        <w:rFonts w:ascii="Wingdings" w:hAnsi="Wingdings" w:hint="default"/>
      </w:rPr>
    </w:lvl>
    <w:lvl w:ilvl="1" w:tplc="CD7ED16C">
      <w:start w:val="1"/>
      <w:numFmt w:val="bullet"/>
      <w:lvlText w:val="o"/>
      <w:lvlJc w:val="left"/>
      <w:pPr>
        <w:ind w:left="1440" w:hanging="360"/>
      </w:pPr>
      <w:rPr>
        <w:rFonts w:ascii="Courier New" w:hAnsi="Courier New" w:hint="default"/>
      </w:rPr>
    </w:lvl>
    <w:lvl w:ilvl="2" w:tplc="B49C6C38">
      <w:start w:val="1"/>
      <w:numFmt w:val="bullet"/>
      <w:lvlText w:val=""/>
      <w:lvlJc w:val="left"/>
      <w:pPr>
        <w:ind w:left="2160" w:hanging="360"/>
      </w:pPr>
      <w:rPr>
        <w:rFonts w:ascii="Wingdings" w:hAnsi="Wingdings" w:hint="default"/>
      </w:rPr>
    </w:lvl>
    <w:lvl w:ilvl="3" w:tplc="079AEE48">
      <w:start w:val="1"/>
      <w:numFmt w:val="bullet"/>
      <w:lvlText w:val=""/>
      <w:lvlJc w:val="left"/>
      <w:pPr>
        <w:ind w:left="2880" w:hanging="360"/>
      </w:pPr>
      <w:rPr>
        <w:rFonts w:ascii="Symbol" w:hAnsi="Symbol" w:hint="default"/>
      </w:rPr>
    </w:lvl>
    <w:lvl w:ilvl="4" w:tplc="F940B1AE">
      <w:start w:val="1"/>
      <w:numFmt w:val="bullet"/>
      <w:lvlText w:val="o"/>
      <w:lvlJc w:val="left"/>
      <w:pPr>
        <w:ind w:left="3600" w:hanging="360"/>
      </w:pPr>
      <w:rPr>
        <w:rFonts w:ascii="Courier New" w:hAnsi="Courier New" w:hint="default"/>
      </w:rPr>
    </w:lvl>
    <w:lvl w:ilvl="5" w:tplc="CD8ACB82">
      <w:start w:val="1"/>
      <w:numFmt w:val="bullet"/>
      <w:lvlText w:val=""/>
      <w:lvlJc w:val="left"/>
      <w:pPr>
        <w:ind w:left="4320" w:hanging="360"/>
      </w:pPr>
      <w:rPr>
        <w:rFonts w:ascii="Wingdings" w:hAnsi="Wingdings" w:hint="default"/>
      </w:rPr>
    </w:lvl>
    <w:lvl w:ilvl="6" w:tplc="C2827560">
      <w:start w:val="1"/>
      <w:numFmt w:val="bullet"/>
      <w:lvlText w:val=""/>
      <w:lvlJc w:val="left"/>
      <w:pPr>
        <w:ind w:left="5040" w:hanging="360"/>
      </w:pPr>
      <w:rPr>
        <w:rFonts w:ascii="Symbol" w:hAnsi="Symbol" w:hint="default"/>
      </w:rPr>
    </w:lvl>
    <w:lvl w:ilvl="7" w:tplc="6308C866">
      <w:start w:val="1"/>
      <w:numFmt w:val="bullet"/>
      <w:lvlText w:val="o"/>
      <w:lvlJc w:val="left"/>
      <w:pPr>
        <w:ind w:left="5760" w:hanging="360"/>
      </w:pPr>
      <w:rPr>
        <w:rFonts w:ascii="Courier New" w:hAnsi="Courier New" w:hint="default"/>
      </w:rPr>
    </w:lvl>
    <w:lvl w:ilvl="8" w:tplc="72827E8A">
      <w:start w:val="1"/>
      <w:numFmt w:val="bullet"/>
      <w:lvlText w:val=""/>
      <w:lvlJc w:val="left"/>
      <w:pPr>
        <w:ind w:left="6480" w:hanging="360"/>
      </w:pPr>
      <w:rPr>
        <w:rFonts w:ascii="Wingdings" w:hAnsi="Wingdings" w:hint="default"/>
      </w:rPr>
    </w:lvl>
  </w:abstractNum>
  <w:abstractNum w:abstractNumId="7" w15:restartNumberingAfterBreak="0">
    <w:nsid w:val="1809338F"/>
    <w:multiLevelType w:val="hybridMultilevel"/>
    <w:tmpl w:val="3B245522"/>
    <w:lvl w:ilvl="0" w:tplc="7FB4B1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7589B"/>
    <w:multiLevelType w:val="hybridMultilevel"/>
    <w:tmpl w:val="E80CC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B64C6"/>
    <w:multiLevelType w:val="hybridMultilevel"/>
    <w:tmpl w:val="8B301616"/>
    <w:lvl w:ilvl="0" w:tplc="B2BEDAD6">
      <w:start w:val="1"/>
      <w:numFmt w:val="bullet"/>
      <w:lvlText w:val="•"/>
      <w:lvlJc w:val="left"/>
      <w:pPr>
        <w:tabs>
          <w:tab w:val="num" w:pos="720"/>
        </w:tabs>
        <w:ind w:left="720" w:hanging="360"/>
      </w:pPr>
      <w:rPr>
        <w:rFonts w:ascii="Arial" w:hAnsi="Arial" w:hint="default"/>
      </w:rPr>
    </w:lvl>
    <w:lvl w:ilvl="1" w:tplc="0542F6B0" w:tentative="1">
      <w:start w:val="1"/>
      <w:numFmt w:val="bullet"/>
      <w:lvlText w:val="•"/>
      <w:lvlJc w:val="left"/>
      <w:pPr>
        <w:tabs>
          <w:tab w:val="num" w:pos="1440"/>
        </w:tabs>
        <w:ind w:left="1440" w:hanging="360"/>
      </w:pPr>
      <w:rPr>
        <w:rFonts w:ascii="Arial" w:hAnsi="Arial" w:hint="default"/>
      </w:rPr>
    </w:lvl>
    <w:lvl w:ilvl="2" w:tplc="6476993A" w:tentative="1">
      <w:start w:val="1"/>
      <w:numFmt w:val="bullet"/>
      <w:lvlText w:val="•"/>
      <w:lvlJc w:val="left"/>
      <w:pPr>
        <w:tabs>
          <w:tab w:val="num" w:pos="2160"/>
        </w:tabs>
        <w:ind w:left="2160" w:hanging="360"/>
      </w:pPr>
      <w:rPr>
        <w:rFonts w:ascii="Arial" w:hAnsi="Arial" w:hint="default"/>
      </w:rPr>
    </w:lvl>
    <w:lvl w:ilvl="3" w:tplc="CFCAFAB2" w:tentative="1">
      <w:start w:val="1"/>
      <w:numFmt w:val="bullet"/>
      <w:lvlText w:val="•"/>
      <w:lvlJc w:val="left"/>
      <w:pPr>
        <w:tabs>
          <w:tab w:val="num" w:pos="2880"/>
        </w:tabs>
        <w:ind w:left="2880" w:hanging="360"/>
      </w:pPr>
      <w:rPr>
        <w:rFonts w:ascii="Arial" w:hAnsi="Arial" w:hint="default"/>
      </w:rPr>
    </w:lvl>
    <w:lvl w:ilvl="4" w:tplc="23A86974" w:tentative="1">
      <w:start w:val="1"/>
      <w:numFmt w:val="bullet"/>
      <w:lvlText w:val="•"/>
      <w:lvlJc w:val="left"/>
      <w:pPr>
        <w:tabs>
          <w:tab w:val="num" w:pos="3600"/>
        </w:tabs>
        <w:ind w:left="3600" w:hanging="360"/>
      </w:pPr>
      <w:rPr>
        <w:rFonts w:ascii="Arial" w:hAnsi="Arial" w:hint="default"/>
      </w:rPr>
    </w:lvl>
    <w:lvl w:ilvl="5" w:tplc="F1226E5C" w:tentative="1">
      <w:start w:val="1"/>
      <w:numFmt w:val="bullet"/>
      <w:lvlText w:val="•"/>
      <w:lvlJc w:val="left"/>
      <w:pPr>
        <w:tabs>
          <w:tab w:val="num" w:pos="4320"/>
        </w:tabs>
        <w:ind w:left="4320" w:hanging="360"/>
      </w:pPr>
      <w:rPr>
        <w:rFonts w:ascii="Arial" w:hAnsi="Arial" w:hint="default"/>
      </w:rPr>
    </w:lvl>
    <w:lvl w:ilvl="6" w:tplc="5ECAE4EC" w:tentative="1">
      <w:start w:val="1"/>
      <w:numFmt w:val="bullet"/>
      <w:lvlText w:val="•"/>
      <w:lvlJc w:val="left"/>
      <w:pPr>
        <w:tabs>
          <w:tab w:val="num" w:pos="5040"/>
        </w:tabs>
        <w:ind w:left="5040" w:hanging="360"/>
      </w:pPr>
      <w:rPr>
        <w:rFonts w:ascii="Arial" w:hAnsi="Arial" w:hint="default"/>
      </w:rPr>
    </w:lvl>
    <w:lvl w:ilvl="7" w:tplc="F0C2CE32" w:tentative="1">
      <w:start w:val="1"/>
      <w:numFmt w:val="bullet"/>
      <w:lvlText w:val="•"/>
      <w:lvlJc w:val="left"/>
      <w:pPr>
        <w:tabs>
          <w:tab w:val="num" w:pos="5760"/>
        </w:tabs>
        <w:ind w:left="5760" w:hanging="360"/>
      </w:pPr>
      <w:rPr>
        <w:rFonts w:ascii="Arial" w:hAnsi="Arial" w:hint="default"/>
      </w:rPr>
    </w:lvl>
    <w:lvl w:ilvl="8" w:tplc="F524EA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B463A4"/>
    <w:multiLevelType w:val="hybridMultilevel"/>
    <w:tmpl w:val="C00AB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9E35A2"/>
    <w:multiLevelType w:val="hybridMultilevel"/>
    <w:tmpl w:val="8F80BDF6"/>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2" w15:restartNumberingAfterBreak="0">
    <w:nsid w:val="287B20F3"/>
    <w:multiLevelType w:val="hybridMultilevel"/>
    <w:tmpl w:val="EFBA5968"/>
    <w:lvl w:ilvl="0" w:tplc="568495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C63C9"/>
    <w:multiLevelType w:val="hybridMultilevel"/>
    <w:tmpl w:val="FFFFFFFF"/>
    <w:lvl w:ilvl="0" w:tplc="AC6AF320">
      <w:start w:val="1"/>
      <w:numFmt w:val="bullet"/>
      <w:lvlText w:val=""/>
      <w:lvlJc w:val="left"/>
      <w:pPr>
        <w:ind w:left="720" w:hanging="360"/>
      </w:pPr>
      <w:rPr>
        <w:rFonts w:ascii="Wingdings" w:hAnsi="Wingdings" w:hint="default"/>
      </w:rPr>
    </w:lvl>
    <w:lvl w:ilvl="1" w:tplc="A4B89C64">
      <w:start w:val="1"/>
      <w:numFmt w:val="bullet"/>
      <w:lvlText w:val="o"/>
      <w:lvlJc w:val="left"/>
      <w:pPr>
        <w:ind w:left="1440" w:hanging="360"/>
      </w:pPr>
      <w:rPr>
        <w:rFonts w:ascii="Courier New" w:hAnsi="Courier New" w:hint="default"/>
      </w:rPr>
    </w:lvl>
    <w:lvl w:ilvl="2" w:tplc="32207276">
      <w:start w:val="1"/>
      <w:numFmt w:val="bullet"/>
      <w:lvlText w:val=""/>
      <w:lvlJc w:val="left"/>
      <w:pPr>
        <w:ind w:left="2160" w:hanging="360"/>
      </w:pPr>
      <w:rPr>
        <w:rFonts w:ascii="Wingdings" w:hAnsi="Wingdings" w:hint="default"/>
      </w:rPr>
    </w:lvl>
    <w:lvl w:ilvl="3" w:tplc="A030F0F4">
      <w:start w:val="1"/>
      <w:numFmt w:val="bullet"/>
      <w:lvlText w:val=""/>
      <w:lvlJc w:val="left"/>
      <w:pPr>
        <w:ind w:left="2880" w:hanging="360"/>
      </w:pPr>
      <w:rPr>
        <w:rFonts w:ascii="Symbol" w:hAnsi="Symbol" w:hint="default"/>
      </w:rPr>
    </w:lvl>
    <w:lvl w:ilvl="4" w:tplc="506E213A">
      <w:start w:val="1"/>
      <w:numFmt w:val="bullet"/>
      <w:lvlText w:val="o"/>
      <w:lvlJc w:val="left"/>
      <w:pPr>
        <w:ind w:left="3600" w:hanging="360"/>
      </w:pPr>
      <w:rPr>
        <w:rFonts w:ascii="Courier New" w:hAnsi="Courier New" w:hint="default"/>
      </w:rPr>
    </w:lvl>
    <w:lvl w:ilvl="5" w:tplc="F1525728">
      <w:start w:val="1"/>
      <w:numFmt w:val="bullet"/>
      <w:lvlText w:val=""/>
      <w:lvlJc w:val="left"/>
      <w:pPr>
        <w:ind w:left="4320" w:hanging="360"/>
      </w:pPr>
      <w:rPr>
        <w:rFonts w:ascii="Wingdings" w:hAnsi="Wingdings" w:hint="default"/>
      </w:rPr>
    </w:lvl>
    <w:lvl w:ilvl="6" w:tplc="06A43624">
      <w:start w:val="1"/>
      <w:numFmt w:val="bullet"/>
      <w:lvlText w:val=""/>
      <w:lvlJc w:val="left"/>
      <w:pPr>
        <w:ind w:left="5040" w:hanging="360"/>
      </w:pPr>
      <w:rPr>
        <w:rFonts w:ascii="Symbol" w:hAnsi="Symbol" w:hint="default"/>
      </w:rPr>
    </w:lvl>
    <w:lvl w:ilvl="7" w:tplc="70C6D76E">
      <w:start w:val="1"/>
      <w:numFmt w:val="bullet"/>
      <w:lvlText w:val="o"/>
      <w:lvlJc w:val="left"/>
      <w:pPr>
        <w:ind w:left="5760" w:hanging="360"/>
      </w:pPr>
      <w:rPr>
        <w:rFonts w:ascii="Courier New" w:hAnsi="Courier New" w:hint="default"/>
      </w:rPr>
    </w:lvl>
    <w:lvl w:ilvl="8" w:tplc="16A03CEC">
      <w:start w:val="1"/>
      <w:numFmt w:val="bullet"/>
      <w:lvlText w:val=""/>
      <w:lvlJc w:val="left"/>
      <w:pPr>
        <w:ind w:left="6480" w:hanging="360"/>
      </w:pPr>
      <w:rPr>
        <w:rFonts w:ascii="Wingdings" w:hAnsi="Wingdings" w:hint="default"/>
      </w:rPr>
    </w:lvl>
  </w:abstractNum>
  <w:abstractNum w:abstractNumId="14" w15:restartNumberingAfterBreak="0">
    <w:nsid w:val="329B15FE"/>
    <w:multiLevelType w:val="hybridMultilevel"/>
    <w:tmpl w:val="B9E86E80"/>
    <w:lvl w:ilvl="0" w:tplc="B15A7094">
      <w:numFmt w:val="bullet"/>
      <w:lvlText w:val=""/>
      <w:lvlJc w:val="left"/>
      <w:pPr>
        <w:ind w:left="509" w:hanging="356"/>
      </w:pPr>
      <w:rPr>
        <w:rFonts w:ascii="Symbol" w:eastAsia="Symbol" w:hAnsi="Symbol" w:cs="Symbol" w:hint="default"/>
        <w:w w:val="101"/>
        <w:sz w:val="18"/>
        <w:szCs w:val="18"/>
      </w:rPr>
    </w:lvl>
    <w:lvl w:ilvl="1" w:tplc="56E612E6">
      <w:numFmt w:val="bullet"/>
      <w:lvlText w:val="•"/>
      <w:lvlJc w:val="left"/>
      <w:pPr>
        <w:ind w:left="1057" w:hanging="356"/>
      </w:pPr>
      <w:rPr>
        <w:rFonts w:hint="default"/>
      </w:rPr>
    </w:lvl>
    <w:lvl w:ilvl="2" w:tplc="6C9AEF50">
      <w:numFmt w:val="bullet"/>
      <w:lvlText w:val="•"/>
      <w:lvlJc w:val="left"/>
      <w:pPr>
        <w:ind w:left="1614" w:hanging="356"/>
      </w:pPr>
      <w:rPr>
        <w:rFonts w:hint="default"/>
      </w:rPr>
    </w:lvl>
    <w:lvl w:ilvl="3" w:tplc="99CED866">
      <w:numFmt w:val="bullet"/>
      <w:lvlText w:val="•"/>
      <w:lvlJc w:val="left"/>
      <w:pPr>
        <w:ind w:left="2172" w:hanging="356"/>
      </w:pPr>
      <w:rPr>
        <w:rFonts w:hint="default"/>
      </w:rPr>
    </w:lvl>
    <w:lvl w:ilvl="4" w:tplc="53DCA44A">
      <w:numFmt w:val="bullet"/>
      <w:lvlText w:val="•"/>
      <w:lvlJc w:val="left"/>
      <w:pPr>
        <w:ind w:left="2729" w:hanging="356"/>
      </w:pPr>
      <w:rPr>
        <w:rFonts w:hint="default"/>
      </w:rPr>
    </w:lvl>
    <w:lvl w:ilvl="5" w:tplc="1DF6D946">
      <w:numFmt w:val="bullet"/>
      <w:lvlText w:val="•"/>
      <w:lvlJc w:val="left"/>
      <w:pPr>
        <w:ind w:left="3287" w:hanging="356"/>
      </w:pPr>
      <w:rPr>
        <w:rFonts w:hint="default"/>
      </w:rPr>
    </w:lvl>
    <w:lvl w:ilvl="6" w:tplc="D3702C84">
      <w:numFmt w:val="bullet"/>
      <w:lvlText w:val="•"/>
      <w:lvlJc w:val="left"/>
      <w:pPr>
        <w:ind w:left="3844" w:hanging="356"/>
      </w:pPr>
      <w:rPr>
        <w:rFonts w:hint="default"/>
      </w:rPr>
    </w:lvl>
    <w:lvl w:ilvl="7" w:tplc="2928543E">
      <w:numFmt w:val="bullet"/>
      <w:lvlText w:val="•"/>
      <w:lvlJc w:val="left"/>
      <w:pPr>
        <w:ind w:left="4401" w:hanging="356"/>
      </w:pPr>
      <w:rPr>
        <w:rFonts w:hint="default"/>
      </w:rPr>
    </w:lvl>
    <w:lvl w:ilvl="8" w:tplc="492EBEC8">
      <w:numFmt w:val="bullet"/>
      <w:lvlText w:val="•"/>
      <w:lvlJc w:val="left"/>
      <w:pPr>
        <w:ind w:left="4959" w:hanging="356"/>
      </w:pPr>
      <w:rPr>
        <w:rFonts w:hint="default"/>
      </w:rPr>
    </w:lvl>
  </w:abstractNum>
  <w:abstractNum w:abstractNumId="15" w15:restartNumberingAfterBreak="0">
    <w:nsid w:val="33DC2FBE"/>
    <w:multiLevelType w:val="hybridMultilevel"/>
    <w:tmpl w:val="DBA4C7AC"/>
    <w:lvl w:ilvl="0" w:tplc="FFFFFFFF">
      <w:start w:val="1"/>
      <w:numFmt w:val="bullet"/>
      <w:lvlText w:val=""/>
      <w:lvlJc w:val="left"/>
      <w:pPr>
        <w:ind w:left="720" w:hanging="360"/>
      </w:pPr>
      <w:rPr>
        <w:rFonts w:ascii="Symbol" w:hAnsi="Symbol" w:hint="default"/>
      </w:rPr>
    </w:lvl>
    <w:lvl w:ilvl="1" w:tplc="EE40A6E4">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517B4"/>
    <w:multiLevelType w:val="hybridMultilevel"/>
    <w:tmpl w:val="0262CEEA"/>
    <w:lvl w:ilvl="0" w:tplc="73A60B8A">
      <w:numFmt w:val="bullet"/>
      <w:lvlText w:val=""/>
      <w:lvlJc w:val="left"/>
      <w:pPr>
        <w:ind w:left="543" w:hanging="356"/>
      </w:pPr>
      <w:rPr>
        <w:rFonts w:ascii="Symbol" w:eastAsia="Symbol" w:hAnsi="Symbol" w:cs="Symbol" w:hint="default"/>
        <w:w w:val="101"/>
        <w:sz w:val="18"/>
        <w:szCs w:val="18"/>
      </w:rPr>
    </w:lvl>
    <w:lvl w:ilvl="1" w:tplc="3176E00C">
      <w:numFmt w:val="bullet"/>
      <w:lvlText w:val="•"/>
      <w:lvlJc w:val="left"/>
      <w:pPr>
        <w:ind w:left="1107" w:hanging="356"/>
      </w:pPr>
      <w:rPr>
        <w:rFonts w:hint="default"/>
      </w:rPr>
    </w:lvl>
    <w:lvl w:ilvl="2" w:tplc="DA244044">
      <w:numFmt w:val="bullet"/>
      <w:lvlText w:val="•"/>
      <w:lvlJc w:val="left"/>
      <w:pPr>
        <w:ind w:left="1675" w:hanging="356"/>
      </w:pPr>
      <w:rPr>
        <w:rFonts w:hint="default"/>
      </w:rPr>
    </w:lvl>
    <w:lvl w:ilvl="3" w:tplc="D6EC9664">
      <w:numFmt w:val="bullet"/>
      <w:lvlText w:val="•"/>
      <w:lvlJc w:val="left"/>
      <w:pPr>
        <w:ind w:left="2242" w:hanging="356"/>
      </w:pPr>
      <w:rPr>
        <w:rFonts w:hint="default"/>
      </w:rPr>
    </w:lvl>
    <w:lvl w:ilvl="4" w:tplc="09D8E2A0">
      <w:numFmt w:val="bullet"/>
      <w:lvlText w:val="•"/>
      <w:lvlJc w:val="left"/>
      <w:pPr>
        <w:ind w:left="2810" w:hanging="356"/>
      </w:pPr>
      <w:rPr>
        <w:rFonts w:hint="default"/>
      </w:rPr>
    </w:lvl>
    <w:lvl w:ilvl="5" w:tplc="B510C8C4">
      <w:numFmt w:val="bullet"/>
      <w:lvlText w:val="•"/>
      <w:lvlJc w:val="left"/>
      <w:pPr>
        <w:ind w:left="3377" w:hanging="356"/>
      </w:pPr>
      <w:rPr>
        <w:rFonts w:hint="default"/>
      </w:rPr>
    </w:lvl>
    <w:lvl w:ilvl="6" w:tplc="864209C6">
      <w:numFmt w:val="bullet"/>
      <w:lvlText w:val="•"/>
      <w:lvlJc w:val="left"/>
      <w:pPr>
        <w:ind w:left="3945" w:hanging="356"/>
      </w:pPr>
      <w:rPr>
        <w:rFonts w:hint="default"/>
      </w:rPr>
    </w:lvl>
    <w:lvl w:ilvl="7" w:tplc="5A1AF938">
      <w:numFmt w:val="bullet"/>
      <w:lvlText w:val="•"/>
      <w:lvlJc w:val="left"/>
      <w:pPr>
        <w:ind w:left="4512" w:hanging="356"/>
      </w:pPr>
      <w:rPr>
        <w:rFonts w:hint="default"/>
      </w:rPr>
    </w:lvl>
    <w:lvl w:ilvl="8" w:tplc="7CB0CF6A">
      <w:numFmt w:val="bullet"/>
      <w:lvlText w:val="•"/>
      <w:lvlJc w:val="left"/>
      <w:pPr>
        <w:ind w:left="5080" w:hanging="356"/>
      </w:pPr>
      <w:rPr>
        <w:rFonts w:hint="default"/>
      </w:rPr>
    </w:lvl>
  </w:abstractNum>
  <w:abstractNum w:abstractNumId="17" w15:restartNumberingAfterBreak="0">
    <w:nsid w:val="38EB3E2D"/>
    <w:multiLevelType w:val="hybridMultilevel"/>
    <w:tmpl w:val="FFFFFFFF"/>
    <w:lvl w:ilvl="0" w:tplc="E61A12AC">
      <w:start w:val="1"/>
      <w:numFmt w:val="bullet"/>
      <w:lvlText w:val=""/>
      <w:lvlJc w:val="left"/>
      <w:pPr>
        <w:ind w:left="720" w:hanging="360"/>
      </w:pPr>
      <w:rPr>
        <w:rFonts w:ascii="Symbol" w:hAnsi="Symbol" w:hint="default"/>
      </w:rPr>
    </w:lvl>
    <w:lvl w:ilvl="1" w:tplc="A48CFA5C">
      <w:start w:val="1"/>
      <w:numFmt w:val="bullet"/>
      <w:lvlText w:val="o"/>
      <w:lvlJc w:val="left"/>
      <w:pPr>
        <w:ind w:left="1440" w:hanging="360"/>
      </w:pPr>
      <w:rPr>
        <w:rFonts w:ascii="Courier New" w:hAnsi="Courier New" w:hint="default"/>
      </w:rPr>
    </w:lvl>
    <w:lvl w:ilvl="2" w:tplc="42424F70">
      <w:start w:val="1"/>
      <w:numFmt w:val="bullet"/>
      <w:lvlText w:val=""/>
      <w:lvlJc w:val="left"/>
      <w:pPr>
        <w:ind w:left="2160" w:hanging="360"/>
      </w:pPr>
      <w:rPr>
        <w:rFonts w:ascii="Wingdings" w:hAnsi="Wingdings" w:hint="default"/>
      </w:rPr>
    </w:lvl>
    <w:lvl w:ilvl="3" w:tplc="0B30B26E">
      <w:start w:val="1"/>
      <w:numFmt w:val="bullet"/>
      <w:lvlText w:val=""/>
      <w:lvlJc w:val="left"/>
      <w:pPr>
        <w:ind w:left="2880" w:hanging="360"/>
      </w:pPr>
      <w:rPr>
        <w:rFonts w:ascii="Symbol" w:hAnsi="Symbol" w:hint="default"/>
      </w:rPr>
    </w:lvl>
    <w:lvl w:ilvl="4" w:tplc="CC8A4E08">
      <w:start w:val="1"/>
      <w:numFmt w:val="bullet"/>
      <w:lvlText w:val="o"/>
      <w:lvlJc w:val="left"/>
      <w:pPr>
        <w:ind w:left="3600" w:hanging="360"/>
      </w:pPr>
      <w:rPr>
        <w:rFonts w:ascii="Courier New" w:hAnsi="Courier New" w:hint="default"/>
      </w:rPr>
    </w:lvl>
    <w:lvl w:ilvl="5" w:tplc="EBBE65F8">
      <w:start w:val="1"/>
      <w:numFmt w:val="bullet"/>
      <w:lvlText w:val=""/>
      <w:lvlJc w:val="left"/>
      <w:pPr>
        <w:ind w:left="4320" w:hanging="360"/>
      </w:pPr>
      <w:rPr>
        <w:rFonts w:ascii="Wingdings" w:hAnsi="Wingdings" w:hint="default"/>
      </w:rPr>
    </w:lvl>
    <w:lvl w:ilvl="6" w:tplc="6E369E30">
      <w:start w:val="1"/>
      <w:numFmt w:val="bullet"/>
      <w:lvlText w:val=""/>
      <w:lvlJc w:val="left"/>
      <w:pPr>
        <w:ind w:left="5040" w:hanging="360"/>
      </w:pPr>
      <w:rPr>
        <w:rFonts w:ascii="Symbol" w:hAnsi="Symbol" w:hint="default"/>
      </w:rPr>
    </w:lvl>
    <w:lvl w:ilvl="7" w:tplc="2408A49E">
      <w:start w:val="1"/>
      <w:numFmt w:val="bullet"/>
      <w:lvlText w:val="o"/>
      <w:lvlJc w:val="left"/>
      <w:pPr>
        <w:ind w:left="5760" w:hanging="360"/>
      </w:pPr>
      <w:rPr>
        <w:rFonts w:ascii="Courier New" w:hAnsi="Courier New" w:hint="default"/>
      </w:rPr>
    </w:lvl>
    <w:lvl w:ilvl="8" w:tplc="D5ACC316">
      <w:start w:val="1"/>
      <w:numFmt w:val="bullet"/>
      <w:lvlText w:val=""/>
      <w:lvlJc w:val="left"/>
      <w:pPr>
        <w:ind w:left="6480" w:hanging="360"/>
      </w:pPr>
      <w:rPr>
        <w:rFonts w:ascii="Wingdings" w:hAnsi="Wingdings" w:hint="default"/>
      </w:rPr>
    </w:lvl>
  </w:abstractNum>
  <w:abstractNum w:abstractNumId="18" w15:restartNumberingAfterBreak="0">
    <w:nsid w:val="3F7538A8"/>
    <w:multiLevelType w:val="hybridMultilevel"/>
    <w:tmpl w:val="8F72753E"/>
    <w:lvl w:ilvl="0" w:tplc="567E7138">
      <w:start w:val="1"/>
      <w:numFmt w:val="decimal"/>
      <w:lvlText w:val="%1."/>
      <w:lvlJc w:val="left"/>
      <w:pPr>
        <w:ind w:left="580" w:hanging="428"/>
      </w:pPr>
      <w:rPr>
        <w:rFonts w:ascii="Arial" w:eastAsia="Arial" w:hAnsi="Arial" w:cs="Arial" w:hint="default"/>
        <w:spacing w:val="0"/>
        <w:w w:val="100"/>
        <w:sz w:val="23"/>
        <w:szCs w:val="23"/>
      </w:rPr>
    </w:lvl>
    <w:lvl w:ilvl="1" w:tplc="11BEEE62">
      <w:numFmt w:val="bullet"/>
      <w:lvlText w:val="•"/>
      <w:lvlJc w:val="left"/>
      <w:pPr>
        <w:ind w:left="1526" w:hanging="428"/>
      </w:pPr>
      <w:rPr>
        <w:rFonts w:hint="default"/>
      </w:rPr>
    </w:lvl>
    <w:lvl w:ilvl="2" w:tplc="A36AA3E2">
      <w:numFmt w:val="bullet"/>
      <w:lvlText w:val="•"/>
      <w:lvlJc w:val="left"/>
      <w:pPr>
        <w:ind w:left="2473" w:hanging="428"/>
      </w:pPr>
      <w:rPr>
        <w:rFonts w:hint="default"/>
      </w:rPr>
    </w:lvl>
    <w:lvl w:ilvl="3" w:tplc="A5CE407C">
      <w:numFmt w:val="bullet"/>
      <w:lvlText w:val="•"/>
      <w:lvlJc w:val="left"/>
      <w:pPr>
        <w:ind w:left="3419" w:hanging="428"/>
      </w:pPr>
      <w:rPr>
        <w:rFonts w:hint="default"/>
      </w:rPr>
    </w:lvl>
    <w:lvl w:ilvl="4" w:tplc="5BF05DC6">
      <w:numFmt w:val="bullet"/>
      <w:lvlText w:val="•"/>
      <w:lvlJc w:val="left"/>
      <w:pPr>
        <w:ind w:left="4366" w:hanging="428"/>
      </w:pPr>
      <w:rPr>
        <w:rFonts w:hint="default"/>
      </w:rPr>
    </w:lvl>
    <w:lvl w:ilvl="5" w:tplc="08645F38">
      <w:numFmt w:val="bullet"/>
      <w:lvlText w:val="•"/>
      <w:lvlJc w:val="left"/>
      <w:pPr>
        <w:ind w:left="5313" w:hanging="428"/>
      </w:pPr>
      <w:rPr>
        <w:rFonts w:hint="default"/>
      </w:rPr>
    </w:lvl>
    <w:lvl w:ilvl="6" w:tplc="6DB66EDA">
      <w:numFmt w:val="bullet"/>
      <w:lvlText w:val="•"/>
      <w:lvlJc w:val="left"/>
      <w:pPr>
        <w:ind w:left="6259" w:hanging="428"/>
      </w:pPr>
      <w:rPr>
        <w:rFonts w:hint="default"/>
      </w:rPr>
    </w:lvl>
    <w:lvl w:ilvl="7" w:tplc="2B58486A">
      <w:numFmt w:val="bullet"/>
      <w:lvlText w:val="•"/>
      <w:lvlJc w:val="left"/>
      <w:pPr>
        <w:ind w:left="7206" w:hanging="428"/>
      </w:pPr>
      <w:rPr>
        <w:rFonts w:hint="default"/>
      </w:rPr>
    </w:lvl>
    <w:lvl w:ilvl="8" w:tplc="8AA8DADA">
      <w:numFmt w:val="bullet"/>
      <w:lvlText w:val="•"/>
      <w:lvlJc w:val="left"/>
      <w:pPr>
        <w:ind w:left="8153" w:hanging="428"/>
      </w:pPr>
      <w:rPr>
        <w:rFonts w:hint="default"/>
      </w:rPr>
    </w:lvl>
  </w:abstractNum>
  <w:abstractNum w:abstractNumId="19" w15:restartNumberingAfterBreak="0">
    <w:nsid w:val="46185296"/>
    <w:multiLevelType w:val="hybridMultilevel"/>
    <w:tmpl w:val="0B146574"/>
    <w:lvl w:ilvl="0" w:tplc="8C88BA20">
      <w:numFmt w:val="bullet"/>
      <w:lvlText w:val=""/>
      <w:lvlJc w:val="left"/>
      <w:pPr>
        <w:ind w:left="508" w:hanging="356"/>
      </w:pPr>
      <w:rPr>
        <w:rFonts w:hint="default"/>
        <w:w w:val="100"/>
      </w:rPr>
    </w:lvl>
    <w:lvl w:ilvl="1" w:tplc="D8E2152C">
      <w:numFmt w:val="bullet"/>
      <w:lvlText w:val=""/>
      <w:lvlJc w:val="left"/>
      <w:pPr>
        <w:ind w:left="1247" w:hanging="358"/>
      </w:pPr>
      <w:rPr>
        <w:rFonts w:ascii="Wingdings" w:eastAsia="Wingdings" w:hAnsi="Wingdings" w:cs="Wingdings" w:hint="default"/>
        <w:w w:val="100"/>
        <w:sz w:val="22"/>
        <w:szCs w:val="22"/>
      </w:rPr>
    </w:lvl>
    <w:lvl w:ilvl="2" w:tplc="A0A68AA8">
      <w:numFmt w:val="bullet"/>
      <w:lvlText w:val="•"/>
      <w:lvlJc w:val="left"/>
      <w:pPr>
        <w:ind w:left="2218" w:hanging="358"/>
      </w:pPr>
      <w:rPr>
        <w:rFonts w:hint="default"/>
      </w:rPr>
    </w:lvl>
    <w:lvl w:ilvl="3" w:tplc="E5463FF2">
      <w:numFmt w:val="bullet"/>
      <w:lvlText w:val="•"/>
      <w:lvlJc w:val="left"/>
      <w:pPr>
        <w:ind w:left="3196" w:hanging="358"/>
      </w:pPr>
      <w:rPr>
        <w:rFonts w:hint="default"/>
      </w:rPr>
    </w:lvl>
    <w:lvl w:ilvl="4" w:tplc="8028E0DE">
      <w:numFmt w:val="bullet"/>
      <w:lvlText w:val="•"/>
      <w:lvlJc w:val="left"/>
      <w:pPr>
        <w:ind w:left="4175" w:hanging="358"/>
      </w:pPr>
      <w:rPr>
        <w:rFonts w:hint="default"/>
      </w:rPr>
    </w:lvl>
    <w:lvl w:ilvl="5" w:tplc="54CA1EB6">
      <w:numFmt w:val="bullet"/>
      <w:lvlText w:val="•"/>
      <w:lvlJc w:val="left"/>
      <w:pPr>
        <w:ind w:left="5153" w:hanging="358"/>
      </w:pPr>
      <w:rPr>
        <w:rFonts w:hint="default"/>
      </w:rPr>
    </w:lvl>
    <w:lvl w:ilvl="6" w:tplc="7FF8C77E">
      <w:numFmt w:val="bullet"/>
      <w:lvlText w:val="•"/>
      <w:lvlJc w:val="left"/>
      <w:pPr>
        <w:ind w:left="6132" w:hanging="358"/>
      </w:pPr>
      <w:rPr>
        <w:rFonts w:hint="default"/>
      </w:rPr>
    </w:lvl>
    <w:lvl w:ilvl="7" w:tplc="A4F258D8">
      <w:numFmt w:val="bullet"/>
      <w:lvlText w:val="•"/>
      <w:lvlJc w:val="left"/>
      <w:pPr>
        <w:ind w:left="7110" w:hanging="358"/>
      </w:pPr>
      <w:rPr>
        <w:rFonts w:hint="default"/>
      </w:rPr>
    </w:lvl>
    <w:lvl w:ilvl="8" w:tplc="F13AC210">
      <w:numFmt w:val="bullet"/>
      <w:lvlText w:val="•"/>
      <w:lvlJc w:val="left"/>
      <w:pPr>
        <w:ind w:left="8089" w:hanging="358"/>
      </w:pPr>
      <w:rPr>
        <w:rFonts w:hint="default"/>
      </w:rPr>
    </w:lvl>
  </w:abstractNum>
  <w:abstractNum w:abstractNumId="20" w15:restartNumberingAfterBreak="0">
    <w:nsid w:val="4BAD65B8"/>
    <w:multiLevelType w:val="hybridMultilevel"/>
    <w:tmpl w:val="0C74FA3C"/>
    <w:lvl w:ilvl="0" w:tplc="6DD4C8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C62AA"/>
    <w:multiLevelType w:val="hybridMultilevel"/>
    <w:tmpl w:val="8F74EBF6"/>
    <w:lvl w:ilvl="0" w:tplc="01FA0EB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735551"/>
    <w:multiLevelType w:val="hybridMultilevel"/>
    <w:tmpl w:val="78747C98"/>
    <w:lvl w:ilvl="0" w:tplc="3506B1DA">
      <w:numFmt w:val="bullet"/>
      <w:lvlText w:val=""/>
      <w:lvlJc w:val="left"/>
      <w:pPr>
        <w:ind w:left="968" w:hanging="356"/>
      </w:pPr>
      <w:rPr>
        <w:rFonts w:ascii="Symbol" w:eastAsia="Symbol" w:hAnsi="Symbol" w:cs="Symbol" w:hint="default"/>
        <w:w w:val="101"/>
        <w:sz w:val="18"/>
        <w:szCs w:val="18"/>
      </w:rPr>
    </w:lvl>
    <w:lvl w:ilvl="1" w:tplc="8D9E64F0">
      <w:numFmt w:val="bullet"/>
      <w:lvlText w:val="•"/>
      <w:lvlJc w:val="left"/>
      <w:pPr>
        <w:ind w:left="1517" w:hanging="356"/>
      </w:pPr>
      <w:rPr>
        <w:rFonts w:hint="default"/>
      </w:rPr>
    </w:lvl>
    <w:lvl w:ilvl="2" w:tplc="B06CB526">
      <w:numFmt w:val="bullet"/>
      <w:lvlText w:val="•"/>
      <w:lvlJc w:val="left"/>
      <w:pPr>
        <w:ind w:left="2074" w:hanging="356"/>
      </w:pPr>
      <w:rPr>
        <w:rFonts w:hint="default"/>
      </w:rPr>
    </w:lvl>
    <w:lvl w:ilvl="3" w:tplc="E4901480">
      <w:numFmt w:val="bullet"/>
      <w:lvlText w:val="•"/>
      <w:lvlJc w:val="left"/>
      <w:pPr>
        <w:ind w:left="2631" w:hanging="356"/>
      </w:pPr>
      <w:rPr>
        <w:rFonts w:hint="default"/>
      </w:rPr>
    </w:lvl>
    <w:lvl w:ilvl="4" w:tplc="BC408300">
      <w:numFmt w:val="bullet"/>
      <w:lvlText w:val="•"/>
      <w:lvlJc w:val="left"/>
      <w:pPr>
        <w:ind w:left="3189" w:hanging="356"/>
      </w:pPr>
      <w:rPr>
        <w:rFonts w:hint="default"/>
      </w:rPr>
    </w:lvl>
    <w:lvl w:ilvl="5" w:tplc="0EECD996">
      <w:numFmt w:val="bullet"/>
      <w:lvlText w:val="•"/>
      <w:lvlJc w:val="left"/>
      <w:pPr>
        <w:ind w:left="3746" w:hanging="356"/>
      </w:pPr>
      <w:rPr>
        <w:rFonts w:hint="default"/>
      </w:rPr>
    </w:lvl>
    <w:lvl w:ilvl="6" w:tplc="E7A4014E">
      <w:numFmt w:val="bullet"/>
      <w:lvlText w:val="•"/>
      <w:lvlJc w:val="left"/>
      <w:pPr>
        <w:ind w:left="4303" w:hanging="356"/>
      </w:pPr>
      <w:rPr>
        <w:rFonts w:hint="default"/>
      </w:rPr>
    </w:lvl>
    <w:lvl w:ilvl="7" w:tplc="75282388">
      <w:numFmt w:val="bullet"/>
      <w:lvlText w:val="•"/>
      <w:lvlJc w:val="left"/>
      <w:pPr>
        <w:ind w:left="4861" w:hanging="356"/>
      </w:pPr>
      <w:rPr>
        <w:rFonts w:hint="default"/>
      </w:rPr>
    </w:lvl>
    <w:lvl w:ilvl="8" w:tplc="940AD15E">
      <w:numFmt w:val="bullet"/>
      <w:lvlText w:val="•"/>
      <w:lvlJc w:val="left"/>
      <w:pPr>
        <w:ind w:left="5418" w:hanging="356"/>
      </w:pPr>
      <w:rPr>
        <w:rFonts w:hint="default"/>
      </w:rPr>
    </w:lvl>
  </w:abstractNum>
  <w:abstractNum w:abstractNumId="23"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12D7E"/>
    <w:multiLevelType w:val="hybridMultilevel"/>
    <w:tmpl w:val="AE50A4C4"/>
    <w:lvl w:ilvl="0" w:tplc="6D221E98">
      <w:start w:val="1"/>
      <w:numFmt w:val="bullet"/>
      <w:lvlText w:val=""/>
      <w:lvlJc w:val="left"/>
      <w:pPr>
        <w:ind w:left="720" w:hanging="360"/>
      </w:pPr>
      <w:rPr>
        <w:rFonts w:ascii="Symbol" w:hAnsi="Symbol" w:hint="default"/>
      </w:rPr>
    </w:lvl>
    <w:lvl w:ilvl="1" w:tplc="A932977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73496"/>
    <w:multiLevelType w:val="hybridMultilevel"/>
    <w:tmpl w:val="3E0E28C8"/>
    <w:lvl w:ilvl="0" w:tplc="001EF356">
      <w:numFmt w:val="bullet"/>
      <w:lvlText w:val=""/>
      <w:lvlJc w:val="left"/>
      <w:pPr>
        <w:ind w:left="473" w:hanging="356"/>
      </w:pPr>
      <w:rPr>
        <w:rFonts w:ascii="Symbol" w:eastAsia="Symbol" w:hAnsi="Symbol" w:cs="Symbol" w:hint="default"/>
        <w:w w:val="101"/>
        <w:sz w:val="18"/>
        <w:szCs w:val="18"/>
      </w:rPr>
    </w:lvl>
    <w:lvl w:ilvl="1" w:tplc="E5C8DDE8">
      <w:numFmt w:val="bullet"/>
      <w:lvlText w:val="•"/>
      <w:lvlJc w:val="left"/>
      <w:pPr>
        <w:ind w:left="1046" w:hanging="356"/>
      </w:pPr>
      <w:rPr>
        <w:rFonts w:hint="default"/>
      </w:rPr>
    </w:lvl>
    <w:lvl w:ilvl="2" w:tplc="9FBC8FF8">
      <w:numFmt w:val="bullet"/>
      <w:lvlText w:val="•"/>
      <w:lvlJc w:val="left"/>
      <w:pPr>
        <w:ind w:left="1612" w:hanging="356"/>
      </w:pPr>
      <w:rPr>
        <w:rFonts w:hint="default"/>
      </w:rPr>
    </w:lvl>
    <w:lvl w:ilvl="3" w:tplc="B12E9D3E">
      <w:numFmt w:val="bullet"/>
      <w:lvlText w:val="•"/>
      <w:lvlJc w:val="left"/>
      <w:pPr>
        <w:ind w:left="2179" w:hanging="356"/>
      </w:pPr>
      <w:rPr>
        <w:rFonts w:hint="default"/>
      </w:rPr>
    </w:lvl>
    <w:lvl w:ilvl="4" w:tplc="C7EE955E">
      <w:numFmt w:val="bullet"/>
      <w:lvlText w:val="•"/>
      <w:lvlJc w:val="left"/>
      <w:pPr>
        <w:ind w:left="2745" w:hanging="356"/>
      </w:pPr>
      <w:rPr>
        <w:rFonts w:hint="default"/>
      </w:rPr>
    </w:lvl>
    <w:lvl w:ilvl="5" w:tplc="D098EB2C">
      <w:numFmt w:val="bullet"/>
      <w:lvlText w:val="•"/>
      <w:lvlJc w:val="left"/>
      <w:pPr>
        <w:ind w:left="3312" w:hanging="356"/>
      </w:pPr>
      <w:rPr>
        <w:rFonts w:hint="default"/>
      </w:rPr>
    </w:lvl>
    <w:lvl w:ilvl="6" w:tplc="96326192">
      <w:numFmt w:val="bullet"/>
      <w:lvlText w:val="•"/>
      <w:lvlJc w:val="left"/>
      <w:pPr>
        <w:ind w:left="3878" w:hanging="356"/>
      </w:pPr>
      <w:rPr>
        <w:rFonts w:hint="default"/>
      </w:rPr>
    </w:lvl>
    <w:lvl w:ilvl="7" w:tplc="71809BD8">
      <w:numFmt w:val="bullet"/>
      <w:lvlText w:val="•"/>
      <w:lvlJc w:val="left"/>
      <w:pPr>
        <w:ind w:left="4444" w:hanging="356"/>
      </w:pPr>
      <w:rPr>
        <w:rFonts w:hint="default"/>
      </w:rPr>
    </w:lvl>
    <w:lvl w:ilvl="8" w:tplc="566CE26E">
      <w:numFmt w:val="bullet"/>
      <w:lvlText w:val="•"/>
      <w:lvlJc w:val="left"/>
      <w:pPr>
        <w:ind w:left="5011" w:hanging="356"/>
      </w:pPr>
      <w:rPr>
        <w:rFonts w:hint="default"/>
      </w:rPr>
    </w:lvl>
  </w:abstractNum>
  <w:abstractNum w:abstractNumId="26" w15:restartNumberingAfterBreak="0">
    <w:nsid w:val="5AE71F4E"/>
    <w:multiLevelType w:val="hybridMultilevel"/>
    <w:tmpl w:val="3AE489F2"/>
    <w:lvl w:ilvl="0" w:tplc="9F888D18">
      <w:numFmt w:val="bullet"/>
      <w:lvlText w:val=""/>
      <w:lvlJc w:val="left"/>
      <w:pPr>
        <w:ind w:left="509" w:hanging="356"/>
      </w:pPr>
      <w:rPr>
        <w:rFonts w:ascii="Symbol" w:eastAsia="Symbol" w:hAnsi="Symbol" w:cs="Symbol" w:hint="default"/>
        <w:w w:val="101"/>
        <w:sz w:val="18"/>
        <w:szCs w:val="18"/>
      </w:rPr>
    </w:lvl>
    <w:lvl w:ilvl="1" w:tplc="6054D6F8">
      <w:numFmt w:val="bullet"/>
      <w:lvlText w:val="•"/>
      <w:lvlJc w:val="left"/>
      <w:pPr>
        <w:ind w:left="1057" w:hanging="356"/>
      </w:pPr>
      <w:rPr>
        <w:rFonts w:hint="default"/>
      </w:rPr>
    </w:lvl>
    <w:lvl w:ilvl="2" w:tplc="7CDEEF44">
      <w:numFmt w:val="bullet"/>
      <w:lvlText w:val="•"/>
      <w:lvlJc w:val="left"/>
      <w:pPr>
        <w:ind w:left="1614" w:hanging="356"/>
      </w:pPr>
      <w:rPr>
        <w:rFonts w:hint="default"/>
      </w:rPr>
    </w:lvl>
    <w:lvl w:ilvl="3" w:tplc="C20CD72E">
      <w:numFmt w:val="bullet"/>
      <w:lvlText w:val="•"/>
      <w:lvlJc w:val="left"/>
      <w:pPr>
        <w:ind w:left="2172" w:hanging="356"/>
      </w:pPr>
      <w:rPr>
        <w:rFonts w:hint="default"/>
      </w:rPr>
    </w:lvl>
    <w:lvl w:ilvl="4" w:tplc="ADE49274">
      <w:numFmt w:val="bullet"/>
      <w:lvlText w:val="•"/>
      <w:lvlJc w:val="left"/>
      <w:pPr>
        <w:ind w:left="2729" w:hanging="356"/>
      </w:pPr>
      <w:rPr>
        <w:rFonts w:hint="default"/>
      </w:rPr>
    </w:lvl>
    <w:lvl w:ilvl="5" w:tplc="FE384378">
      <w:numFmt w:val="bullet"/>
      <w:lvlText w:val="•"/>
      <w:lvlJc w:val="left"/>
      <w:pPr>
        <w:ind w:left="3287" w:hanging="356"/>
      </w:pPr>
      <w:rPr>
        <w:rFonts w:hint="default"/>
      </w:rPr>
    </w:lvl>
    <w:lvl w:ilvl="6" w:tplc="CB3C3612">
      <w:numFmt w:val="bullet"/>
      <w:lvlText w:val="•"/>
      <w:lvlJc w:val="left"/>
      <w:pPr>
        <w:ind w:left="3844" w:hanging="356"/>
      </w:pPr>
      <w:rPr>
        <w:rFonts w:hint="default"/>
      </w:rPr>
    </w:lvl>
    <w:lvl w:ilvl="7" w:tplc="D728C7FC">
      <w:numFmt w:val="bullet"/>
      <w:lvlText w:val="•"/>
      <w:lvlJc w:val="left"/>
      <w:pPr>
        <w:ind w:left="4401" w:hanging="356"/>
      </w:pPr>
      <w:rPr>
        <w:rFonts w:hint="default"/>
      </w:rPr>
    </w:lvl>
    <w:lvl w:ilvl="8" w:tplc="81D8B6EA">
      <w:numFmt w:val="bullet"/>
      <w:lvlText w:val="•"/>
      <w:lvlJc w:val="left"/>
      <w:pPr>
        <w:ind w:left="4959" w:hanging="356"/>
      </w:pPr>
      <w:rPr>
        <w:rFonts w:hint="default"/>
      </w:rPr>
    </w:lvl>
  </w:abstractNum>
  <w:abstractNum w:abstractNumId="27" w15:restartNumberingAfterBreak="0">
    <w:nsid w:val="5C9E71FD"/>
    <w:multiLevelType w:val="hybridMultilevel"/>
    <w:tmpl w:val="89480894"/>
    <w:lvl w:ilvl="0" w:tplc="4E965ED0">
      <w:numFmt w:val="bullet"/>
      <w:lvlText w:val=""/>
      <w:lvlJc w:val="left"/>
      <w:pPr>
        <w:ind w:left="583" w:hanging="356"/>
      </w:pPr>
      <w:rPr>
        <w:rFonts w:ascii="Symbol" w:eastAsia="Symbol" w:hAnsi="Symbol" w:cs="Symbol" w:hint="default"/>
        <w:w w:val="101"/>
        <w:sz w:val="18"/>
        <w:szCs w:val="18"/>
      </w:rPr>
    </w:lvl>
    <w:lvl w:ilvl="1" w:tplc="DC949D9E">
      <w:numFmt w:val="bullet"/>
      <w:lvlText w:val="•"/>
      <w:lvlJc w:val="left"/>
      <w:pPr>
        <w:ind w:left="1136" w:hanging="356"/>
      </w:pPr>
      <w:rPr>
        <w:rFonts w:hint="default"/>
      </w:rPr>
    </w:lvl>
    <w:lvl w:ilvl="2" w:tplc="31366484">
      <w:numFmt w:val="bullet"/>
      <w:lvlText w:val="•"/>
      <w:lvlJc w:val="left"/>
      <w:pPr>
        <w:ind w:left="1693" w:hanging="356"/>
      </w:pPr>
      <w:rPr>
        <w:rFonts w:hint="default"/>
      </w:rPr>
    </w:lvl>
    <w:lvl w:ilvl="3" w:tplc="B79C944E">
      <w:numFmt w:val="bullet"/>
      <w:lvlText w:val="•"/>
      <w:lvlJc w:val="left"/>
      <w:pPr>
        <w:ind w:left="2250" w:hanging="356"/>
      </w:pPr>
      <w:rPr>
        <w:rFonts w:hint="default"/>
      </w:rPr>
    </w:lvl>
    <w:lvl w:ilvl="4" w:tplc="E1285772">
      <w:numFmt w:val="bullet"/>
      <w:lvlText w:val="•"/>
      <w:lvlJc w:val="left"/>
      <w:pPr>
        <w:ind w:left="2807" w:hanging="356"/>
      </w:pPr>
      <w:rPr>
        <w:rFonts w:hint="default"/>
      </w:rPr>
    </w:lvl>
    <w:lvl w:ilvl="5" w:tplc="0924F650">
      <w:numFmt w:val="bullet"/>
      <w:lvlText w:val="•"/>
      <w:lvlJc w:val="left"/>
      <w:pPr>
        <w:ind w:left="3364" w:hanging="356"/>
      </w:pPr>
      <w:rPr>
        <w:rFonts w:hint="default"/>
      </w:rPr>
    </w:lvl>
    <w:lvl w:ilvl="6" w:tplc="DE283B60">
      <w:numFmt w:val="bullet"/>
      <w:lvlText w:val="•"/>
      <w:lvlJc w:val="left"/>
      <w:pPr>
        <w:ind w:left="3921" w:hanging="356"/>
      </w:pPr>
      <w:rPr>
        <w:rFonts w:hint="default"/>
      </w:rPr>
    </w:lvl>
    <w:lvl w:ilvl="7" w:tplc="54EC4856">
      <w:numFmt w:val="bullet"/>
      <w:lvlText w:val="•"/>
      <w:lvlJc w:val="left"/>
      <w:pPr>
        <w:ind w:left="4478" w:hanging="356"/>
      </w:pPr>
      <w:rPr>
        <w:rFonts w:hint="default"/>
      </w:rPr>
    </w:lvl>
    <w:lvl w:ilvl="8" w:tplc="6366AF24">
      <w:numFmt w:val="bullet"/>
      <w:lvlText w:val="•"/>
      <w:lvlJc w:val="left"/>
      <w:pPr>
        <w:ind w:left="5035" w:hanging="356"/>
      </w:pPr>
      <w:rPr>
        <w:rFonts w:hint="default"/>
      </w:rPr>
    </w:lvl>
  </w:abstractNum>
  <w:abstractNum w:abstractNumId="28" w15:restartNumberingAfterBreak="0">
    <w:nsid w:val="607E200B"/>
    <w:multiLevelType w:val="hybridMultilevel"/>
    <w:tmpl w:val="042EA7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8143D6"/>
    <w:multiLevelType w:val="hybridMultilevel"/>
    <w:tmpl w:val="55AC3A44"/>
    <w:lvl w:ilvl="0" w:tplc="A5462194">
      <w:start w:val="1"/>
      <w:numFmt w:val="bullet"/>
      <w:lvlText w:val="•"/>
      <w:lvlJc w:val="left"/>
      <w:pPr>
        <w:tabs>
          <w:tab w:val="num" w:pos="720"/>
        </w:tabs>
        <w:ind w:left="720" w:hanging="360"/>
      </w:pPr>
      <w:rPr>
        <w:rFonts w:ascii="Arial" w:hAnsi="Arial" w:hint="default"/>
      </w:rPr>
    </w:lvl>
    <w:lvl w:ilvl="1" w:tplc="8BCA29C2" w:tentative="1">
      <w:start w:val="1"/>
      <w:numFmt w:val="bullet"/>
      <w:lvlText w:val="•"/>
      <w:lvlJc w:val="left"/>
      <w:pPr>
        <w:tabs>
          <w:tab w:val="num" w:pos="1440"/>
        </w:tabs>
        <w:ind w:left="1440" w:hanging="360"/>
      </w:pPr>
      <w:rPr>
        <w:rFonts w:ascii="Arial" w:hAnsi="Arial" w:hint="default"/>
      </w:rPr>
    </w:lvl>
    <w:lvl w:ilvl="2" w:tplc="6B6A5584" w:tentative="1">
      <w:start w:val="1"/>
      <w:numFmt w:val="bullet"/>
      <w:lvlText w:val="•"/>
      <w:lvlJc w:val="left"/>
      <w:pPr>
        <w:tabs>
          <w:tab w:val="num" w:pos="2160"/>
        </w:tabs>
        <w:ind w:left="2160" w:hanging="360"/>
      </w:pPr>
      <w:rPr>
        <w:rFonts w:ascii="Arial" w:hAnsi="Arial" w:hint="default"/>
      </w:rPr>
    </w:lvl>
    <w:lvl w:ilvl="3" w:tplc="21FC14D6" w:tentative="1">
      <w:start w:val="1"/>
      <w:numFmt w:val="bullet"/>
      <w:lvlText w:val="•"/>
      <w:lvlJc w:val="left"/>
      <w:pPr>
        <w:tabs>
          <w:tab w:val="num" w:pos="2880"/>
        </w:tabs>
        <w:ind w:left="2880" w:hanging="360"/>
      </w:pPr>
      <w:rPr>
        <w:rFonts w:ascii="Arial" w:hAnsi="Arial" w:hint="default"/>
      </w:rPr>
    </w:lvl>
    <w:lvl w:ilvl="4" w:tplc="C2109446" w:tentative="1">
      <w:start w:val="1"/>
      <w:numFmt w:val="bullet"/>
      <w:lvlText w:val="•"/>
      <w:lvlJc w:val="left"/>
      <w:pPr>
        <w:tabs>
          <w:tab w:val="num" w:pos="3600"/>
        </w:tabs>
        <w:ind w:left="3600" w:hanging="360"/>
      </w:pPr>
      <w:rPr>
        <w:rFonts w:ascii="Arial" w:hAnsi="Arial" w:hint="default"/>
      </w:rPr>
    </w:lvl>
    <w:lvl w:ilvl="5" w:tplc="E9AAA52E" w:tentative="1">
      <w:start w:val="1"/>
      <w:numFmt w:val="bullet"/>
      <w:lvlText w:val="•"/>
      <w:lvlJc w:val="left"/>
      <w:pPr>
        <w:tabs>
          <w:tab w:val="num" w:pos="4320"/>
        </w:tabs>
        <w:ind w:left="4320" w:hanging="360"/>
      </w:pPr>
      <w:rPr>
        <w:rFonts w:ascii="Arial" w:hAnsi="Arial" w:hint="default"/>
      </w:rPr>
    </w:lvl>
    <w:lvl w:ilvl="6" w:tplc="87BCAFF4" w:tentative="1">
      <w:start w:val="1"/>
      <w:numFmt w:val="bullet"/>
      <w:lvlText w:val="•"/>
      <w:lvlJc w:val="left"/>
      <w:pPr>
        <w:tabs>
          <w:tab w:val="num" w:pos="5040"/>
        </w:tabs>
        <w:ind w:left="5040" w:hanging="360"/>
      </w:pPr>
      <w:rPr>
        <w:rFonts w:ascii="Arial" w:hAnsi="Arial" w:hint="default"/>
      </w:rPr>
    </w:lvl>
    <w:lvl w:ilvl="7" w:tplc="9D16FBC4" w:tentative="1">
      <w:start w:val="1"/>
      <w:numFmt w:val="bullet"/>
      <w:lvlText w:val="•"/>
      <w:lvlJc w:val="left"/>
      <w:pPr>
        <w:tabs>
          <w:tab w:val="num" w:pos="5760"/>
        </w:tabs>
        <w:ind w:left="5760" w:hanging="360"/>
      </w:pPr>
      <w:rPr>
        <w:rFonts w:ascii="Arial" w:hAnsi="Arial" w:hint="default"/>
      </w:rPr>
    </w:lvl>
    <w:lvl w:ilvl="8" w:tplc="2416E5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AB6BDF"/>
    <w:multiLevelType w:val="hybridMultilevel"/>
    <w:tmpl w:val="A3B60798"/>
    <w:lvl w:ilvl="0" w:tplc="B19C2B78">
      <w:start w:val="1"/>
      <w:numFmt w:val="decimal"/>
      <w:lvlText w:val="Box 5.%1:"/>
      <w:lvlJc w:val="left"/>
      <w:pPr>
        <w:ind w:left="1778"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8734D7"/>
    <w:multiLevelType w:val="multilevel"/>
    <w:tmpl w:val="FF7CDE08"/>
    <w:lvl w:ilvl="0">
      <w:start w:val="1"/>
      <w:numFmt w:val="decimal"/>
      <w:lvlText w:val="%1"/>
      <w:lvlJc w:val="left"/>
      <w:pPr>
        <w:ind w:left="873" w:hanging="720"/>
      </w:pPr>
      <w:rPr>
        <w:rFonts w:hint="default"/>
      </w:rPr>
    </w:lvl>
    <w:lvl w:ilvl="1">
      <w:start w:val="1"/>
      <w:numFmt w:val="decimal"/>
      <w:lvlText w:val="%1.%2"/>
      <w:lvlJc w:val="left"/>
      <w:pPr>
        <w:ind w:left="873" w:hanging="720"/>
      </w:pPr>
      <w:rPr>
        <w:rFonts w:ascii="Arial" w:eastAsia="Arial" w:hAnsi="Arial" w:cs="Arial" w:hint="default"/>
        <w:b/>
        <w:bCs/>
        <w:color w:val="24A9E0"/>
        <w:spacing w:val="-2"/>
        <w:w w:val="99"/>
        <w:sz w:val="28"/>
        <w:szCs w:val="28"/>
      </w:rPr>
    </w:lvl>
    <w:lvl w:ilvl="2">
      <w:numFmt w:val="bullet"/>
      <w:lvlText w:val="•"/>
      <w:lvlJc w:val="left"/>
      <w:pPr>
        <w:ind w:left="2713" w:hanging="720"/>
      </w:pPr>
      <w:rPr>
        <w:rFonts w:hint="default"/>
      </w:rPr>
    </w:lvl>
    <w:lvl w:ilvl="3">
      <w:numFmt w:val="bullet"/>
      <w:lvlText w:val="•"/>
      <w:lvlJc w:val="left"/>
      <w:pPr>
        <w:ind w:left="3629" w:hanging="720"/>
      </w:pPr>
      <w:rPr>
        <w:rFonts w:hint="default"/>
      </w:rPr>
    </w:lvl>
    <w:lvl w:ilvl="4">
      <w:numFmt w:val="bullet"/>
      <w:lvlText w:val="•"/>
      <w:lvlJc w:val="left"/>
      <w:pPr>
        <w:ind w:left="4546" w:hanging="720"/>
      </w:pPr>
      <w:rPr>
        <w:rFonts w:hint="default"/>
      </w:rPr>
    </w:lvl>
    <w:lvl w:ilvl="5">
      <w:numFmt w:val="bullet"/>
      <w:lvlText w:val="•"/>
      <w:lvlJc w:val="left"/>
      <w:pPr>
        <w:ind w:left="5463" w:hanging="720"/>
      </w:pPr>
      <w:rPr>
        <w:rFonts w:hint="default"/>
      </w:rPr>
    </w:lvl>
    <w:lvl w:ilvl="6">
      <w:numFmt w:val="bullet"/>
      <w:lvlText w:val="•"/>
      <w:lvlJc w:val="left"/>
      <w:pPr>
        <w:ind w:left="6379" w:hanging="720"/>
      </w:pPr>
      <w:rPr>
        <w:rFonts w:hint="default"/>
      </w:rPr>
    </w:lvl>
    <w:lvl w:ilvl="7">
      <w:numFmt w:val="bullet"/>
      <w:lvlText w:val="•"/>
      <w:lvlJc w:val="left"/>
      <w:pPr>
        <w:ind w:left="7296" w:hanging="720"/>
      </w:pPr>
      <w:rPr>
        <w:rFonts w:hint="default"/>
      </w:rPr>
    </w:lvl>
    <w:lvl w:ilvl="8">
      <w:numFmt w:val="bullet"/>
      <w:lvlText w:val="•"/>
      <w:lvlJc w:val="left"/>
      <w:pPr>
        <w:ind w:left="8213" w:hanging="720"/>
      </w:pPr>
      <w:rPr>
        <w:rFonts w:hint="default"/>
      </w:rPr>
    </w:lvl>
  </w:abstractNum>
  <w:abstractNum w:abstractNumId="33" w15:restartNumberingAfterBreak="0">
    <w:nsid w:val="745E1539"/>
    <w:multiLevelType w:val="hybridMultilevel"/>
    <w:tmpl w:val="F878955E"/>
    <w:lvl w:ilvl="0" w:tplc="B6882696">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7D0D7C"/>
    <w:multiLevelType w:val="hybridMultilevel"/>
    <w:tmpl w:val="EA789C5E"/>
    <w:lvl w:ilvl="0" w:tplc="7FB4B1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8E4ADF"/>
    <w:multiLevelType w:val="hybridMultilevel"/>
    <w:tmpl w:val="32B8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010E7F"/>
    <w:multiLevelType w:val="hybridMultilevel"/>
    <w:tmpl w:val="2D0EDDFC"/>
    <w:lvl w:ilvl="0" w:tplc="B2BEB21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25106"/>
    <w:multiLevelType w:val="hybridMultilevel"/>
    <w:tmpl w:val="52E2309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8" w15:restartNumberingAfterBreak="0">
    <w:nsid w:val="7CE820A2"/>
    <w:multiLevelType w:val="hybridMultilevel"/>
    <w:tmpl w:val="44969A46"/>
    <w:lvl w:ilvl="0" w:tplc="0C090001">
      <w:start w:val="1"/>
      <w:numFmt w:val="bullet"/>
      <w:lvlText w:val=""/>
      <w:lvlJc w:val="left"/>
      <w:pPr>
        <w:tabs>
          <w:tab w:val="num" w:pos="360"/>
        </w:tabs>
        <w:ind w:left="360" w:hanging="360"/>
      </w:pPr>
      <w:rPr>
        <w:rFonts w:ascii="Symbol" w:hAnsi="Symbol" w:hint="default"/>
      </w:rPr>
    </w:lvl>
    <w:lvl w:ilvl="1" w:tplc="8BCA29C2" w:tentative="1">
      <w:start w:val="1"/>
      <w:numFmt w:val="bullet"/>
      <w:lvlText w:val="•"/>
      <w:lvlJc w:val="left"/>
      <w:pPr>
        <w:tabs>
          <w:tab w:val="num" w:pos="1080"/>
        </w:tabs>
        <w:ind w:left="1080" w:hanging="360"/>
      </w:pPr>
      <w:rPr>
        <w:rFonts w:ascii="Arial" w:hAnsi="Arial" w:hint="default"/>
      </w:rPr>
    </w:lvl>
    <w:lvl w:ilvl="2" w:tplc="6B6A5584" w:tentative="1">
      <w:start w:val="1"/>
      <w:numFmt w:val="bullet"/>
      <w:lvlText w:val="•"/>
      <w:lvlJc w:val="left"/>
      <w:pPr>
        <w:tabs>
          <w:tab w:val="num" w:pos="1800"/>
        </w:tabs>
        <w:ind w:left="1800" w:hanging="360"/>
      </w:pPr>
      <w:rPr>
        <w:rFonts w:ascii="Arial" w:hAnsi="Arial" w:hint="default"/>
      </w:rPr>
    </w:lvl>
    <w:lvl w:ilvl="3" w:tplc="21FC14D6" w:tentative="1">
      <w:start w:val="1"/>
      <w:numFmt w:val="bullet"/>
      <w:lvlText w:val="•"/>
      <w:lvlJc w:val="left"/>
      <w:pPr>
        <w:tabs>
          <w:tab w:val="num" w:pos="2520"/>
        </w:tabs>
        <w:ind w:left="2520" w:hanging="360"/>
      </w:pPr>
      <w:rPr>
        <w:rFonts w:ascii="Arial" w:hAnsi="Arial" w:hint="default"/>
      </w:rPr>
    </w:lvl>
    <w:lvl w:ilvl="4" w:tplc="C2109446" w:tentative="1">
      <w:start w:val="1"/>
      <w:numFmt w:val="bullet"/>
      <w:lvlText w:val="•"/>
      <w:lvlJc w:val="left"/>
      <w:pPr>
        <w:tabs>
          <w:tab w:val="num" w:pos="3240"/>
        </w:tabs>
        <w:ind w:left="3240" w:hanging="360"/>
      </w:pPr>
      <w:rPr>
        <w:rFonts w:ascii="Arial" w:hAnsi="Arial" w:hint="default"/>
      </w:rPr>
    </w:lvl>
    <w:lvl w:ilvl="5" w:tplc="E9AAA52E" w:tentative="1">
      <w:start w:val="1"/>
      <w:numFmt w:val="bullet"/>
      <w:lvlText w:val="•"/>
      <w:lvlJc w:val="left"/>
      <w:pPr>
        <w:tabs>
          <w:tab w:val="num" w:pos="3960"/>
        </w:tabs>
        <w:ind w:left="3960" w:hanging="360"/>
      </w:pPr>
      <w:rPr>
        <w:rFonts w:ascii="Arial" w:hAnsi="Arial" w:hint="default"/>
      </w:rPr>
    </w:lvl>
    <w:lvl w:ilvl="6" w:tplc="87BCAFF4" w:tentative="1">
      <w:start w:val="1"/>
      <w:numFmt w:val="bullet"/>
      <w:lvlText w:val="•"/>
      <w:lvlJc w:val="left"/>
      <w:pPr>
        <w:tabs>
          <w:tab w:val="num" w:pos="4680"/>
        </w:tabs>
        <w:ind w:left="4680" w:hanging="360"/>
      </w:pPr>
      <w:rPr>
        <w:rFonts w:ascii="Arial" w:hAnsi="Arial" w:hint="default"/>
      </w:rPr>
    </w:lvl>
    <w:lvl w:ilvl="7" w:tplc="9D16FBC4" w:tentative="1">
      <w:start w:val="1"/>
      <w:numFmt w:val="bullet"/>
      <w:lvlText w:val="•"/>
      <w:lvlJc w:val="left"/>
      <w:pPr>
        <w:tabs>
          <w:tab w:val="num" w:pos="5400"/>
        </w:tabs>
        <w:ind w:left="5400" w:hanging="360"/>
      </w:pPr>
      <w:rPr>
        <w:rFonts w:ascii="Arial" w:hAnsi="Arial" w:hint="default"/>
      </w:rPr>
    </w:lvl>
    <w:lvl w:ilvl="8" w:tplc="2416E502" w:tentative="1">
      <w:start w:val="1"/>
      <w:numFmt w:val="bullet"/>
      <w:lvlText w:val="•"/>
      <w:lvlJc w:val="left"/>
      <w:pPr>
        <w:tabs>
          <w:tab w:val="num" w:pos="6120"/>
        </w:tabs>
        <w:ind w:left="6120" w:hanging="360"/>
      </w:pPr>
      <w:rPr>
        <w:rFonts w:ascii="Arial" w:hAnsi="Arial" w:hint="default"/>
      </w:rPr>
    </w:lvl>
  </w:abstractNum>
  <w:num w:numId="1">
    <w:abstractNumId w:val="32"/>
  </w:num>
  <w:num w:numId="2">
    <w:abstractNumId w:val="16"/>
  </w:num>
  <w:num w:numId="3">
    <w:abstractNumId w:val="25"/>
  </w:num>
  <w:num w:numId="4">
    <w:abstractNumId w:val="5"/>
  </w:num>
  <w:num w:numId="5">
    <w:abstractNumId w:val="27"/>
  </w:num>
  <w:num w:numId="6">
    <w:abstractNumId w:val="14"/>
  </w:num>
  <w:num w:numId="7">
    <w:abstractNumId w:val="26"/>
  </w:num>
  <w:num w:numId="8">
    <w:abstractNumId w:val="22"/>
  </w:num>
  <w:num w:numId="9">
    <w:abstractNumId w:val="18"/>
  </w:num>
  <w:num w:numId="10">
    <w:abstractNumId w:val="19"/>
  </w:num>
  <w:num w:numId="11">
    <w:abstractNumId w:val="37"/>
  </w:num>
  <w:num w:numId="12">
    <w:abstractNumId w:val="11"/>
  </w:num>
  <w:num w:numId="13">
    <w:abstractNumId w:val="9"/>
  </w:num>
  <w:num w:numId="14">
    <w:abstractNumId w:val="30"/>
  </w:num>
  <w:num w:numId="15">
    <w:abstractNumId w:val="1"/>
  </w:num>
  <w:num w:numId="16">
    <w:abstractNumId w:val="38"/>
  </w:num>
  <w:num w:numId="17">
    <w:abstractNumId w:val="33"/>
  </w:num>
  <w:num w:numId="18">
    <w:abstractNumId w:val="23"/>
  </w:num>
  <w:num w:numId="19">
    <w:abstractNumId w:val="36"/>
  </w:num>
  <w:num w:numId="20">
    <w:abstractNumId w:val="28"/>
  </w:num>
  <w:num w:numId="21">
    <w:abstractNumId w:val="31"/>
  </w:num>
  <w:num w:numId="22">
    <w:abstractNumId w:val="12"/>
  </w:num>
  <w:num w:numId="23">
    <w:abstractNumId w:val="0"/>
  </w:num>
  <w:num w:numId="24">
    <w:abstractNumId w:val="24"/>
  </w:num>
  <w:num w:numId="25">
    <w:abstractNumId w:val="24"/>
  </w:num>
  <w:num w:numId="26">
    <w:abstractNumId w:val="21"/>
  </w:num>
  <w:num w:numId="27">
    <w:abstractNumId w:val="20"/>
  </w:num>
  <w:num w:numId="28">
    <w:abstractNumId w:val="7"/>
  </w:num>
  <w:num w:numId="29">
    <w:abstractNumId w:val="34"/>
  </w:num>
  <w:num w:numId="30">
    <w:abstractNumId w:val="15"/>
  </w:num>
  <w:num w:numId="31">
    <w:abstractNumId w:val="8"/>
  </w:num>
  <w:num w:numId="32">
    <w:abstractNumId w:val="3"/>
  </w:num>
  <w:num w:numId="33">
    <w:abstractNumId w:val="10"/>
  </w:num>
  <w:num w:numId="34">
    <w:abstractNumId w:val="4"/>
  </w:num>
  <w:num w:numId="35">
    <w:abstractNumId w:val="4"/>
  </w:num>
  <w:num w:numId="36">
    <w:abstractNumId w:val="13"/>
  </w:num>
  <w:num w:numId="37">
    <w:abstractNumId w:val="6"/>
  </w:num>
  <w:num w:numId="38">
    <w:abstractNumId w:val="2"/>
  </w:num>
  <w:num w:numId="39">
    <w:abstractNumId w:val="17"/>
  </w:num>
  <w:num w:numId="40">
    <w:abstractNumId w:val="35"/>
  </w:num>
  <w:num w:numId="41">
    <w:abstractNumId w:val="2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53"/>
    <w:rsid w:val="00000B77"/>
    <w:rsid w:val="000026D7"/>
    <w:rsid w:val="00004641"/>
    <w:rsid w:val="00005744"/>
    <w:rsid w:val="000058A0"/>
    <w:rsid w:val="000121F3"/>
    <w:rsid w:val="00013C61"/>
    <w:rsid w:val="00020801"/>
    <w:rsid w:val="0002119A"/>
    <w:rsid w:val="000231D7"/>
    <w:rsid w:val="00024CDF"/>
    <w:rsid w:val="00025AF4"/>
    <w:rsid w:val="00030BF0"/>
    <w:rsid w:val="0003149F"/>
    <w:rsid w:val="00031E2B"/>
    <w:rsid w:val="00033354"/>
    <w:rsid w:val="00034F32"/>
    <w:rsid w:val="00036199"/>
    <w:rsid w:val="0003707C"/>
    <w:rsid w:val="000376B6"/>
    <w:rsid w:val="00040604"/>
    <w:rsid w:val="00040FFD"/>
    <w:rsid w:val="00041076"/>
    <w:rsid w:val="000418BF"/>
    <w:rsid w:val="00042461"/>
    <w:rsid w:val="00044F6E"/>
    <w:rsid w:val="00046D5E"/>
    <w:rsid w:val="0004711F"/>
    <w:rsid w:val="00047574"/>
    <w:rsid w:val="0005014A"/>
    <w:rsid w:val="00050E79"/>
    <w:rsid w:val="000532A2"/>
    <w:rsid w:val="000564D0"/>
    <w:rsid w:val="0005783C"/>
    <w:rsid w:val="0006194D"/>
    <w:rsid w:val="00063805"/>
    <w:rsid w:val="00064922"/>
    <w:rsid w:val="00065E91"/>
    <w:rsid w:val="00065F5F"/>
    <w:rsid w:val="0006703E"/>
    <w:rsid w:val="00067D0C"/>
    <w:rsid w:val="00071B1E"/>
    <w:rsid w:val="00072A57"/>
    <w:rsid w:val="00072BBC"/>
    <w:rsid w:val="00073A3A"/>
    <w:rsid w:val="000801D4"/>
    <w:rsid w:val="00082DE0"/>
    <w:rsid w:val="00082FCC"/>
    <w:rsid w:val="0008337B"/>
    <w:rsid w:val="00083D10"/>
    <w:rsid w:val="00083DBA"/>
    <w:rsid w:val="00084B73"/>
    <w:rsid w:val="00084BE0"/>
    <w:rsid w:val="00085E9E"/>
    <w:rsid w:val="00086BD6"/>
    <w:rsid w:val="000873EF"/>
    <w:rsid w:val="0009182C"/>
    <w:rsid w:val="00091DA2"/>
    <w:rsid w:val="00092D59"/>
    <w:rsid w:val="000935B1"/>
    <w:rsid w:val="000957F3"/>
    <w:rsid w:val="00095825"/>
    <w:rsid w:val="00095D37"/>
    <w:rsid w:val="0009671D"/>
    <w:rsid w:val="00097338"/>
    <w:rsid w:val="000A1026"/>
    <w:rsid w:val="000A19DA"/>
    <w:rsid w:val="000A30FF"/>
    <w:rsid w:val="000A3BDF"/>
    <w:rsid w:val="000A4627"/>
    <w:rsid w:val="000A4F2B"/>
    <w:rsid w:val="000A782C"/>
    <w:rsid w:val="000B13C8"/>
    <w:rsid w:val="000B1A2C"/>
    <w:rsid w:val="000B1BE8"/>
    <w:rsid w:val="000B2B34"/>
    <w:rsid w:val="000B4415"/>
    <w:rsid w:val="000B5C9E"/>
    <w:rsid w:val="000B7C46"/>
    <w:rsid w:val="000C082C"/>
    <w:rsid w:val="000C2229"/>
    <w:rsid w:val="000C3756"/>
    <w:rsid w:val="000C4927"/>
    <w:rsid w:val="000C51B6"/>
    <w:rsid w:val="000C5EAA"/>
    <w:rsid w:val="000C7387"/>
    <w:rsid w:val="000D19CA"/>
    <w:rsid w:val="000D227E"/>
    <w:rsid w:val="000D260E"/>
    <w:rsid w:val="000D3F0B"/>
    <w:rsid w:val="000D4B62"/>
    <w:rsid w:val="000D54F8"/>
    <w:rsid w:val="000D5F46"/>
    <w:rsid w:val="000D66BD"/>
    <w:rsid w:val="000D73CE"/>
    <w:rsid w:val="000E00B2"/>
    <w:rsid w:val="000E4D60"/>
    <w:rsid w:val="000E6352"/>
    <w:rsid w:val="000E67C5"/>
    <w:rsid w:val="000E7BBA"/>
    <w:rsid w:val="000E7CCC"/>
    <w:rsid w:val="000F002F"/>
    <w:rsid w:val="000F13BB"/>
    <w:rsid w:val="000F317F"/>
    <w:rsid w:val="000F55F2"/>
    <w:rsid w:val="000F72A1"/>
    <w:rsid w:val="0010046B"/>
    <w:rsid w:val="00100F76"/>
    <w:rsid w:val="00100FD7"/>
    <w:rsid w:val="00104874"/>
    <w:rsid w:val="00105006"/>
    <w:rsid w:val="001071EA"/>
    <w:rsid w:val="00107481"/>
    <w:rsid w:val="00111F53"/>
    <w:rsid w:val="00114289"/>
    <w:rsid w:val="00116B53"/>
    <w:rsid w:val="00117577"/>
    <w:rsid w:val="001225B6"/>
    <w:rsid w:val="001227B5"/>
    <w:rsid w:val="0012480D"/>
    <w:rsid w:val="001251AB"/>
    <w:rsid w:val="0012565F"/>
    <w:rsid w:val="001259F1"/>
    <w:rsid w:val="00127344"/>
    <w:rsid w:val="00130BA9"/>
    <w:rsid w:val="0013131F"/>
    <w:rsid w:val="00131D91"/>
    <w:rsid w:val="001331A9"/>
    <w:rsid w:val="001343A5"/>
    <w:rsid w:val="001345AD"/>
    <w:rsid w:val="00134FD2"/>
    <w:rsid w:val="0013575A"/>
    <w:rsid w:val="0014037D"/>
    <w:rsid w:val="00142274"/>
    <w:rsid w:val="00143517"/>
    <w:rsid w:val="00143DA7"/>
    <w:rsid w:val="00143FE3"/>
    <w:rsid w:val="001462EC"/>
    <w:rsid w:val="0014681B"/>
    <w:rsid w:val="0014711D"/>
    <w:rsid w:val="00147673"/>
    <w:rsid w:val="00150A05"/>
    <w:rsid w:val="00150BB9"/>
    <w:rsid w:val="00152E79"/>
    <w:rsid w:val="00153434"/>
    <w:rsid w:val="00161302"/>
    <w:rsid w:val="00161809"/>
    <w:rsid w:val="00161BED"/>
    <w:rsid w:val="00163470"/>
    <w:rsid w:val="00166426"/>
    <w:rsid w:val="00167D94"/>
    <w:rsid w:val="00171C17"/>
    <w:rsid w:val="00174181"/>
    <w:rsid w:val="001751B6"/>
    <w:rsid w:val="00175982"/>
    <w:rsid w:val="00177FBC"/>
    <w:rsid w:val="001843A0"/>
    <w:rsid w:val="00187E72"/>
    <w:rsid w:val="001903C9"/>
    <w:rsid w:val="00192024"/>
    <w:rsid w:val="001922E1"/>
    <w:rsid w:val="00193568"/>
    <w:rsid w:val="00195192"/>
    <w:rsid w:val="001A07D0"/>
    <w:rsid w:val="001A3B59"/>
    <w:rsid w:val="001A4B75"/>
    <w:rsid w:val="001A7305"/>
    <w:rsid w:val="001B02FA"/>
    <w:rsid w:val="001B3352"/>
    <w:rsid w:val="001B7BAA"/>
    <w:rsid w:val="001B7DF4"/>
    <w:rsid w:val="001B7F31"/>
    <w:rsid w:val="001C258F"/>
    <w:rsid w:val="001C41F3"/>
    <w:rsid w:val="001C66E5"/>
    <w:rsid w:val="001C79B8"/>
    <w:rsid w:val="001D2128"/>
    <w:rsid w:val="001D38F1"/>
    <w:rsid w:val="001D58E1"/>
    <w:rsid w:val="001D5F39"/>
    <w:rsid w:val="001E0318"/>
    <w:rsid w:val="001E0F79"/>
    <w:rsid w:val="001E2122"/>
    <w:rsid w:val="001E23D2"/>
    <w:rsid w:val="001E3C41"/>
    <w:rsid w:val="001E41A4"/>
    <w:rsid w:val="001E4C2D"/>
    <w:rsid w:val="001E4FDC"/>
    <w:rsid w:val="001E5F81"/>
    <w:rsid w:val="001E79DC"/>
    <w:rsid w:val="001F0049"/>
    <w:rsid w:val="001F0563"/>
    <w:rsid w:val="001F1377"/>
    <w:rsid w:val="001F3B66"/>
    <w:rsid w:val="001F5085"/>
    <w:rsid w:val="001F735F"/>
    <w:rsid w:val="00200F63"/>
    <w:rsid w:val="00202D83"/>
    <w:rsid w:val="00203C8F"/>
    <w:rsid w:val="00204BC0"/>
    <w:rsid w:val="002058F5"/>
    <w:rsid w:val="00206E6A"/>
    <w:rsid w:val="00207671"/>
    <w:rsid w:val="00210158"/>
    <w:rsid w:val="002172B7"/>
    <w:rsid w:val="00217DD0"/>
    <w:rsid w:val="00220720"/>
    <w:rsid w:val="00221225"/>
    <w:rsid w:val="00223DE6"/>
    <w:rsid w:val="00224877"/>
    <w:rsid w:val="0022663C"/>
    <w:rsid w:val="00226A82"/>
    <w:rsid w:val="00230318"/>
    <w:rsid w:val="002338C5"/>
    <w:rsid w:val="00233F7F"/>
    <w:rsid w:val="00235265"/>
    <w:rsid w:val="00235DB7"/>
    <w:rsid w:val="00241E67"/>
    <w:rsid w:val="00242E9C"/>
    <w:rsid w:val="00244A4D"/>
    <w:rsid w:val="002450D2"/>
    <w:rsid w:val="00245E5C"/>
    <w:rsid w:val="0025366F"/>
    <w:rsid w:val="00254AB9"/>
    <w:rsid w:val="00257473"/>
    <w:rsid w:val="0025788D"/>
    <w:rsid w:val="00261255"/>
    <w:rsid w:val="0026203B"/>
    <w:rsid w:val="00266264"/>
    <w:rsid w:val="00272108"/>
    <w:rsid w:val="00273203"/>
    <w:rsid w:val="002742B9"/>
    <w:rsid w:val="00275C43"/>
    <w:rsid w:val="00276BF7"/>
    <w:rsid w:val="0028330A"/>
    <w:rsid w:val="002839EA"/>
    <w:rsid w:val="00285B27"/>
    <w:rsid w:val="00286231"/>
    <w:rsid w:val="002902C9"/>
    <w:rsid w:val="00291C31"/>
    <w:rsid w:val="002929E8"/>
    <w:rsid w:val="002936ED"/>
    <w:rsid w:val="00295C6B"/>
    <w:rsid w:val="0029709C"/>
    <w:rsid w:val="002A2C51"/>
    <w:rsid w:val="002A406E"/>
    <w:rsid w:val="002A6B72"/>
    <w:rsid w:val="002A7BAA"/>
    <w:rsid w:val="002B08B7"/>
    <w:rsid w:val="002B16FF"/>
    <w:rsid w:val="002B1AB4"/>
    <w:rsid w:val="002B2A9B"/>
    <w:rsid w:val="002B5A90"/>
    <w:rsid w:val="002B6838"/>
    <w:rsid w:val="002B6D3D"/>
    <w:rsid w:val="002B74BB"/>
    <w:rsid w:val="002B7F98"/>
    <w:rsid w:val="002C2224"/>
    <w:rsid w:val="002C2530"/>
    <w:rsid w:val="002C29BB"/>
    <w:rsid w:val="002C3B1F"/>
    <w:rsid w:val="002C5172"/>
    <w:rsid w:val="002C6145"/>
    <w:rsid w:val="002D0523"/>
    <w:rsid w:val="002D2C94"/>
    <w:rsid w:val="002D30DD"/>
    <w:rsid w:val="002D4BC0"/>
    <w:rsid w:val="002D5D1A"/>
    <w:rsid w:val="002D6F21"/>
    <w:rsid w:val="002E237A"/>
    <w:rsid w:val="002E270B"/>
    <w:rsid w:val="002E5A52"/>
    <w:rsid w:val="002E77AF"/>
    <w:rsid w:val="002E7D05"/>
    <w:rsid w:val="002F15F3"/>
    <w:rsid w:val="002F166B"/>
    <w:rsid w:val="002F2812"/>
    <w:rsid w:val="002F4110"/>
    <w:rsid w:val="002F42FD"/>
    <w:rsid w:val="002F4FF5"/>
    <w:rsid w:val="002F530B"/>
    <w:rsid w:val="002F5D28"/>
    <w:rsid w:val="002F6CB3"/>
    <w:rsid w:val="002F7EFA"/>
    <w:rsid w:val="003007D3"/>
    <w:rsid w:val="003020E1"/>
    <w:rsid w:val="00304B31"/>
    <w:rsid w:val="00306474"/>
    <w:rsid w:val="003123F4"/>
    <w:rsid w:val="00312FE4"/>
    <w:rsid w:val="003130AC"/>
    <w:rsid w:val="0031421A"/>
    <w:rsid w:val="003159D2"/>
    <w:rsid w:val="00316F47"/>
    <w:rsid w:val="00321543"/>
    <w:rsid w:val="00321D6A"/>
    <w:rsid w:val="0032204F"/>
    <w:rsid w:val="0032235D"/>
    <w:rsid w:val="003238B2"/>
    <w:rsid w:val="00324643"/>
    <w:rsid w:val="00327B42"/>
    <w:rsid w:val="00327BE2"/>
    <w:rsid w:val="003328BF"/>
    <w:rsid w:val="00332B83"/>
    <w:rsid w:val="00332E08"/>
    <w:rsid w:val="00333005"/>
    <w:rsid w:val="003356E7"/>
    <w:rsid w:val="00335E24"/>
    <w:rsid w:val="0034046B"/>
    <w:rsid w:val="00341B61"/>
    <w:rsid w:val="00342566"/>
    <w:rsid w:val="003430F1"/>
    <w:rsid w:val="003447FA"/>
    <w:rsid w:val="00344C6B"/>
    <w:rsid w:val="00345C05"/>
    <w:rsid w:val="003475C9"/>
    <w:rsid w:val="00350212"/>
    <w:rsid w:val="00350676"/>
    <w:rsid w:val="00351B4A"/>
    <w:rsid w:val="00353CB4"/>
    <w:rsid w:val="00354DCE"/>
    <w:rsid w:val="003573A0"/>
    <w:rsid w:val="00357E69"/>
    <w:rsid w:val="00360CE8"/>
    <w:rsid w:val="0036163F"/>
    <w:rsid w:val="00361677"/>
    <w:rsid w:val="00361B25"/>
    <w:rsid w:val="00362EC2"/>
    <w:rsid w:val="00363897"/>
    <w:rsid w:val="003640E4"/>
    <w:rsid w:val="003647A3"/>
    <w:rsid w:val="00364F46"/>
    <w:rsid w:val="003676CD"/>
    <w:rsid w:val="0037098B"/>
    <w:rsid w:val="00373BAA"/>
    <w:rsid w:val="0037592E"/>
    <w:rsid w:val="003760D4"/>
    <w:rsid w:val="003800F2"/>
    <w:rsid w:val="00380F00"/>
    <w:rsid w:val="003838F9"/>
    <w:rsid w:val="00383F0C"/>
    <w:rsid w:val="0039096A"/>
    <w:rsid w:val="00390DB2"/>
    <w:rsid w:val="00392286"/>
    <w:rsid w:val="0039270D"/>
    <w:rsid w:val="0039598C"/>
    <w:rsid w:val="00396FA7"/>
    <w:rsid w:val="00397E5B"/>
    <w:rsid w:val="003A0BFA"/>
    <w:rsid w:val="003A3322"/>
    <w:rsid w:val="003A3C26"/>
    <w:rsid w:val="003A455E"/>
    <w:rsid w:val="003B0DE1"/>
    <w:rsid w:val="003B23CD"/>
    <w:rsid w:val="003B4DF6"/>
    <w:rsid w:val="003B5957"/>
    <w:rsid w:val="003C0084"/>
    <w:rsid w:val="003C04CA"/>
    <w:rsid w:val="003C1FA5"/>
    <w:rsid w:val="003C2CBD"/>
    <w:rsid w:val="003C46E7"/>
    <w:rsid w:val="003C6163"/>
    <w:rsid w:val="003C7E54"/>
    <w:rsid w:val="003D03E3"/>
    <w:rsid w:val="003D2716"/>
    <w:rsid w:val="003D3BF2"/>
    <w:rsid w:val="003D4AD7"/>
    <w:rsid w:val="003E30CE"/>
    <w:rsid w:val="003E4276"/>
    <w:rsid w:val="003E4883"/>
    <w:rsid w:val="003E57EB"/>
    <w:rsid w:val="003E5CF2"/>
    <w:rsid w:val="003E6663"/>
    <w:rsid w:val="003E6719"/>
    <w:rsid w:val="003F0974"/>
    <w:rsid w:val="003F0EAD"/>
    <w:rsid w:val="003F105A"/>
    <w:rsid w:val="003F174F"/>
    <w:rsid w:val="003F3BF3"/>
    <w:rsid w:val="003F5F29"/>
    <w:rsid w:val="003F606C"/>
    <w:rsid w:val="003F6223"/>
    <w:rsid w:val="003F73A3"/>
    <w:rsid w:val="004013CB"/>
    <w:rsid w:val="004013FC"/>
    <w:rsid w:val="004034F5"/>
    <w:rsid w:val="00405236"/>
    <w:rsid w:val="004064B6"/>
    <w:rsid w:val="004067BF"/>
    <w:rsid w:val="00407B20"/>
    <w:rsid w:val="004107C8"/>
    <w:rsid w:val="00410A05"/>
    <w:rsid w:val="00410D82"/>
    <w:rsid w:val="004120B7"/>
    <w:rsid w:val="00413163"/>
    <w:rsid w:val="00413CDB"/>
    <w:rsid w:val="004149D2"/>
    <w:rsid w:val="0041511C"/>
    <w:rsid w:val="004152E6"/>
    <w:rsid w:val="00416A4D"/>
    <w:rsid w:val="00417B6D"/>
    <w:rsid w:val="00421672"/>
    <w:rsid w:val="00424B9B"/>
    <w:rsid w:val="00425E11"/>
    <w:rsid w:val="004314B2"/>
    <w:rsid w:val="00434A1C"/>
    <w:rsid w:val="00436B77"/>
    <w:rsid w:val="0044106F"/>
    <w:rsid w:val="00442D49"/>
    <w:rsid w:val="00445DEE"/>
    <w:rsid w:val="00445EB7"/>
    <w:rsid w:val="004474AB"/>
    <w:rsid w:val="004475AE"/>
    <w:rsid w:val="00453B50"/>
    <w:rsid w:val="0045406A"/>
    <w:rsid w:val="004554F4"/>
    <w:rsid w:val="00455874"/>
    <w:rsid w:val="004561A5"/>
    <w:rsid w:val="00457DE1"/>
    <w:rsid w:val="00460196"/>
    <w:rsid w:val="0046108F"/>
    <w:rsid w:val="00466687"/>
    <w:rsid w:val="00475F09"/>
    <w:rsid w:val="00476FE9"/>
    <w:rsid w:val="004810EC"/>
    <w:rsid w:val="00486C97"/>
    <w:rsid w:val="00487438"/>
    <w:rsid w:val="004907FB"/>
    <w:rsid w:val="00491464"/>
    <w:rsid w:val="00494A54"/>
    <w:rsid w:val="004953DF"/>
    <w:rsid w:val="00495BA3"/>
    <w:rsid w:val="004978B3"/>
    <w:rsid w:val="004A1CC0"/>
    <w:rsid w:val="004A2664"/>
    <w:rsid w:val="004A2DDB"/>
    <w:rsid w:val="004A3D7D"/>
    <w:rsid w:val="004A7188"/>
    <w:rsid w:val="004A7B3D"/>
    <w:rsid w:val="004B3C3D"/>
    <w:rsid w:val="004B3EEC"/>
    <w:rsid w:val="004B4036"/>
    <w:rsid w:val="004B43DE"/>
    <w:rsid w:val="004B4C0C"/>
    <w:rsid w:val="004C06BE"/>
    <w:rsid w:val="004C272B"/>
    <w:rsid w:val="004C2F16"/>
    <w:rsid w:val="004C3593"/>
    <w:rsid w:val="004C3932"/>
    <w:rsid w:val="004C39A1"/>
    <w:rsid w:val="004C5316"/>
    <w:rsid w:val="004D05C3"/>
    <w:rsid w:val="004D08DB"/>
    <w:rsid w:val="004D2A83"/>
    <w:rsid w:val="004D438C"/>
    <w:rsid w:val="004D60F8"/>
    <w:rsid w:val="004D63A5"/>
    <w:rsid w:val="004D79D6"/>
    <w:rsid w:val="004E10B3"/>
    <w:rsid w:val="004E3A28"/>
    <w:rsid w:val="004E42A8"/>
    <w:rsid w:val="004E531C"/>
    <w:rsid w:val="004E5D4E"/>
    <w:rsid w:val="004F20ED"/>
    <w:rsid w:val="004F4500"/>
    <w:rsid w:val="004F4CF0"/>
    <w:rsid w:val="004F75BD"/>
    <w:rsid w:val="005004C1"/>
    <w:rsid w:val="00500F20"/>
    <w:rsid w:val="00501912"/>
    <w:rsid w:val="00502009"/>
    <w:rsid w:val="00503B33"/>
    <w:rsid w:val="005056A8"/>
    <w:rsid w:val="00506F51"/>
    <w:rsid w:val="005110E1"/>
    <w:rsid w:val="0051307D"/>
    <w:rsid w:val="00514334"/>
    <w:rsid w:val="00516760"/>
    <w:rsid w:val="005179EC"/>
    <w:rsid w:val="00517AE5"/>
    <w:rsid w:val="0052096A"/>
    <w:rsid w:val="00521929"/>
    <w:rsid w:val="0052249F"/>
    <w:rsid w:val="005229EF"/>
    <w:rsid w:val="00522BC8"/>
    <w:rsid w:val="00523255"/>
    <w:rsid w:val="00524F2E"/>
    <w:rsid w:val="00526203"/>
    <w:rsid w:val="0052698C"/>
    <w:rsid w:val="00532838"/>
    <w:rsid w:val="00533951"/>
    <w:rsid w:val="00534C98"/>
    <w:rsid w:val="00535699"/>
    <w:rsid w:val="00535D81"/>
    <w:rsid w:val="00536682"/>
    <w:rsid w:val="0054050D"/>
    <w:rsid w:val="00543463"/>
    <w:rsid w:val="00543A2C"/>
    <w:rsid w:val="00544B04"/>
    <w:rsid w:val="00544F99"/>
    <w:rsid w:val="00545513"/>
    <w:rsid w:val="00551FED"/>
    <w:rsid w:val="00553A41"/>
    <w:rsid w:val="00554F74"/>
    <w:rsid w:val="005552EF"/>
    <w:rsid w:val="005566F6"/>
    <w:rsid w:val="00560246"/>
    <w:rsid w:val="005610E7"/>
    <w:rsid w:val="005617FE"/>
    <w:rsid w:val="00561DE1"/>
    <w:rsid w:val="00562B69"/>
    <w:rsid w:val="005640EB"/>
    <w:rsid w:val="00565A87"/>
    <w:rsid w:val="00570107"/>
    <w:rsid w:val="00571E34"/>
    <w:rsid w:val="005746CC"/>
    <w:rsid w:val="00576167"/>
    <w:rsid w:val="00577400"/>
    <w:rsid w:val="0058030E"/>
    <w:rsid w:val="005842BF"/>
    <w:rsid w:val="005859FF"/>
    <w:rsid w:val="00586D37"/>
    <w:rsid w:val="00590A87"/>
    <w:rsid w:val="0059123D"/>
    <w:rsid w:val="00593CAE"/>
    <w:rsid w:val="00595D1C"/>
    <w:rsid w:val="005A054E"/>
    <w:rsid w:val="005A0EAE"/>
    <w:rsid w:val="005A11E5"/>
    <w:rsid w:val="005A465A"/>
    <w:rsid w:val="005A730C"/>
    <w:rsid w:val="005A7ABB"/>
    <w:rsid w:val="005A7D3D"/>
    <w:rsid w:val="005A7EAD"/>
    <w:rsid w:val="005B3C4B"/>
    <w:rsid w:val="005B4644"/>
    <w:rsid w:val="005B4D27"/>
    <w:rsid w:val="005B5849"/>
    <w:rsid w:val="005B6B8A"/>
    <w:rsid w:val="005C092A"/>
    <w:rsid w:val="005C1FAA"/>
    <w:rsid w:val="005C2E7E"/>
    <w:rsid w:val="005C3366"/>
    <w:rsid w:val="005C3651"/>
    <w:rsid w:val="005C4DC4"/>
    <w:rsid w:val="005C51A9"/>
    <w:rsid w:val="005C554B"/>
    <w:rsid w:val="005C5E1B"/>
    <w:rsid w:val="005C7CF0"/>
    <w:rsid w:val="005D0D1A"/>
    <w:rsid w:val="005D216F"/>
    <w:rsid w:val="005D27B1"/>
    <w:rsid w:val="005D3D9B"/>
    <w:rsid w:val="005D6584"/>
    <w:rsid w:val="005D6D2C"/>
    <w:rsid w:val="005E04EB"/>
    <w:rsid w:val="005E3A8E"/>
    <w:rsid w:val="005E48F3"/>
    <w:rsid w:val="005E6807"/>
    <w:rsid w:val="005E69C2"/>
    <w:rsid w:val="005F0448"/>
    <w:rsid w:val="005F07A6"/>
    <w:rsid w:val="005F13B8"/>
    <w:rsid w:val="005F1BCB"/>
    <w:rsid w:val="005F1C2D"/>
    <w:rsid w:val="005F1E7E"/>
    <w:rsid w:val="005F1F4C"/>
    <w:rsid w:val="005F3E1B"/>
    <w:rsid w:val="005F4995"/>
    <w:rsid w:val="005F52A6"/>
    <w:rsid w:val="005F5783"/>
    <w:rsid w:val="005F6131"/>
    <w:rsid w:val="005F7329"/>
    <w:rsid w:val="006000B5"/>
    <w:rsid w:val="00600261"/>
    <w:rsid w:val="00601310"/>
    <w:rsid w:val="00601A8E"/>
    <w:rsid w:val="006039FF"/>
    <w:rsid w:val="00604D17"/>
    <w:rsid w:val="00606942"/>
    <w:rsid w:val="00607A4A"/>
    <w:rsid w:val="00610174"/>
    <w:rsid w:val="00611B23"/>
    <w:rsid w:val="0061322E"/>
    <w:rsid w:val="00613672"/>
    <w:rsid w:val="006137C6"/>
    <w:rsid w:val="00614AED"/>
    <w:rsid w:val="00615863"/>
    <w:rsid w:val="00617F7A"/>
    <w:rsid w:val="006243F0"/>
    <w:rsid w:val="00626264"/>
    <w:rsid w:val="0062644F"/>
    <w:rsid w:val="00630537"/>
    <w:rsid w:val="00633991"/>
    <w:rsid w:val="00637B53"/>
    <w:rsid w:val="006431DA"/>
    <w:rsid w:val="00644A6D"/>
    <w:rsid w:val="006467F4"/>
    <w:rsid w:val="006501A9"/>
    <w:rsid w:val="0065027F"/>
    <w:rsid w:val="006505E0"/>
    <w:rsid w:val="00652162"/>
    <w:rsid w:val="00652CDB"/>
    <w:rsid w:val="00654399"/>
    <w:rsid w:val="006549C0"/>
    <w:rsid w:val="00656D49"/>
    <w:rsid w:val="006579AE"/>
    <w:rsid w:val="00661403"/>
    <w:rsid w:val="0066147C"/>
    <w:rsid w:val="006625CE"/>
    <w:rsid w:val="006653B8"/>
    <w:rsid w:val="00665524"/>
    <w:rsid w:val="00665B9E"/>
    <w:rsid w:val="00670EBF"/>
    <w:rsid w:val="00673118"/>
    <w:rsid w:val="0067496C"/>
    <w:rsid w:val="006800AF"/>
    <w:rsid w:val="0068206B"/>
    <w:rsid w:val="0068224F"/>
    <w:rsid w:val="00683BE2"/>
    <w:rsid w:val="00683D93"/>
    <w:rsid w:val="0068466B"/>
    <w:rsid w:val="00690294"/>
    <w:rsid w:val="006920C7"/>
    <w:rsid w:val="006946E7"/>
    <w:rsid w:val="00696BBA"/>
    <w:rsid w:val="006A0A1A"/>
    <w:rsid w:val="006A207C"/>
    <w:rsid w:val="006A3814"/>
    <w:rsid w:val="006A463B"/>
    <w:rsid w:val="006A6718"/>
    <w:rsid w:val="006A7101"/>
    <w:rsid w:val="006B18E0"/>
    <w:rsid w:val="006B22CD"/>
    <w:rsid w:val="006B2713"/>
    <w:rsid w:val="006B30F6"/>
    <w:rsid w:val="006B7FD4"/>
    <w:rsid w:val="006C1B8D"/>
    <w:rsid w:val="006C21BD"/>
    <w:rsid w:val="006C3990"/>
    <w:rsid w:val="006C5532"/>
    <w:rsid w:val="006C5D18"/>
    <w:rsid w:val="006C606B"/>
    <w:rsid w:val="006C753C"/>
    <w:rsid w:val="006D0880"/>
    <w:rsid w:val="006D0F87"/>
    <w:rsid w:val="006D1A72"/>
    <w:rsid w:val="006D1E87"/>
    <w:rsid w:val="006D2CD7"/>
    <w:rsid w:val="006D455C"/>
    <w:rsid w:val="006D5B40"/>
    <w:rsid w:val="006D68D7"/>
    <w:rsid w:val="006D733E"/>
    <w:rsid w:val="006D788B"/>
    <w:rsid w:val="006E67FA"/>
    <w:rsid w:val="006F0755"/>
    <w:rsid w:val="006F1B22"/>
    <w:rsid w:val="006F2312"/>
    <w:rsid w:val="006F5BA4"/>
    <w:rsid w:val="006F63C1"/>
    <w:rsid w:val="006F6BB1"/>
    <w:rsid w:val="00700495"/>
    <w:rsid w:val="0070277F"/>
    <w:rsid w:val="00702EE7"/>
    <w:rsid w:val="00704D26"/>
    <w:rsid w:val="00707145"/>
    <w:rsid w:val="00710A17"/>
    <w:rsid w:val="00710BE7"/>
    <w:rsid w:val="007121F3"/>
    <w:rsid w:val="00712C2D"/>
    <w:rsid w:val="00713770"/>
    <w:rsid w:val="00713835"/>
    <w:rsid w:val="00713D37"/>
    <w:rsid w:val="007142B4"/>
    <w:rsid w:val="00714CBD"/>
    <w:rsid w:val="0071581F"/>
    <w:rsid w:val="007159E0"/>
    <w:rsid w:val="007215B4"/>
    <w:rsid w:val="00722454"/>
    <w:rsid w:val="00722AE8"/>
    <w:rsid w:val="00722E05"/>
    <w:rsid w:val="007244FD"/>
    <w:rsid w:val="00724A58"/>
    <w:rsid w:val="00731B8C"/>
    <w:rsid w:val="007324D6"/>
    <w:rsid w:val="00732F74"/>
    <w:rsid w:val="00733321"/>
    <w:rsid w:val="007346D4"/>
    <w:rsid w:val="007348F2"/>
    <w:rsid w:val="007349BF"/>
    <w:rsid w:val="007354FC"/>
    <w:rsid w:val="0073557B"/>
    <w:rsid w:val="00735998"/>
    <w:rsid w:val="0074140D"/>
    <w:rsid w:val="007432FE"/>
    <w:rsid w:val="00743E62"/>
    <w:rsid w:val="00744705"/>
    <w:rsid w:val="00751B16"/>
    <w:rsid w:val="0075226B"/>
    <w:rsid w:val="00752AF6"/>
    <w:rsid w:val="007545E0"/>
    <w:rsid w:val="007550A7"/>
    <w:rsid w:val="00755872"/>
    <w:rsid w:val="00762FE9"/>
    <w:rsid w:val="00763272"/>
    <w:rsid w:val="00763B76"/>
    <w:rsid w:val="0076404D"/>
    <w:rsid w:val="00764CB0"/>
    <w:rsid w:val="007655C4"/>
    <w:rsid w:val="0076601B"/>
    <w:rsid w:val="00766EF0"/>
    <w:rsid w:val="00767923"/>
    <w:rsid w:val="007753BD"/>
    <w:rsid w:val="007757BC"/>
    <w:rsid w:val="00775BC7"/>
    <w:rsid w:val="007778CF"/>
    <w:rsid w:val="007830E2"/>
    <w:rsid w:val="00783AC8"/>
    <w:rsid w:val="00783DB9"/>
    <w:rsid w:val="00791B60"/>
    <w:rsid w:val="0079304A"/>
    <w:rsid w:val="0079463F"/>
    <w:rsid w:val="007960D3"/>
    <w:rsid w:val="00796498"/>
    <w:rsid w:val="007A0C2D"/>
    <w:rsid w:val="007A18A6"/>
    <w:rsid w:val="007A5363"/>
    <w:rsid w:val="007A6D16"/>
    <w:rsid w:val="007B2339"/>
    <w:rsid w:val="007B278E"/>
    <w:rsid w:val="007B2981"/>
    <w:rsid w:val="007B7D65"/>
    <w:rsid w:val="007C1EB5"/>
    <w:rsid w:val="007C27E3"/>
    <w:rsid w:val="007C3E03"/>
    <w:rsid w:val="007C44CA"/>
    <w:rsid w:val="007C4F7E"/>
    <w:rsid w:val="007C5B3A"/>
    <w:rsid w:val="007C69E3"/>
    <w:rsid w:val="007C7F5F"/>
    <w:rsid w:val="007D284F"/>
    <w:rsid w:val="007D5D87"/>
    <w:rsid w:val="007D6075"/>
    <w:rsid w:val="007E0B23"/>
    <w:rsid w:val="007E0ECB"/>
    <w:rsid w:val="007E2DA0"/>
    <w:rsid w:val="007E3021"/>
    <w:rsid w:val="007E3D3A"/>
    <w:rsid w:val="007E42CE"/>
    <w:rsid w:val="007E4C27"/>
    <w:rsid w:val="007E51CE"/>
    <w:rsid w:val="007E5DB3"/>
    <w:rsid w:val="007E6E7A"/>
    <w:rsid w:val="007E776A"/>
    <w:rsid w:val="007F133A"/>
    <w:rsid w:val="007F249B"/>
    <w:rsid w:val="00800A45"/>
    <w:rsid w:val="00800AED"/>
    <w:rsid w:val="008031EF"/>
    <w:rsid w:val="0080456A"/>
    <w:rsid w:val="00804AA7"/>
    <w:rsid w:val="00810C08"/>
    <w:rsid w:val="00811B43"/>
    <w:rsid w:val="00811F60"/>
    <w:rsid w:val="00813B3B"/>
    <w:rsid w:val="00813DAD"/>
    <w:rsid w:val="00815383"/>
    <w:rsid w:val="0081547C"/>
    <w:rsid w:val="00816D91"/>
    <w:rsid w:val="00816EEB"/>
    <w:rsid w:val="00820D1D"/>
    <w:rsid w:val="0082265B"/>
    <w:rsid w:val="008229E9"/>
    <w:rsid w:val="008250B8"/>
    <w:rsid w:val="008263DD"/>
    <w:rsid w:val="00831791"/>
    <w:rsid w:val="00833C04"/>
    <w:rsid w:val="00834E22"/>
    <w:rsid w:val="0084264F"/>
    <w:rsid w:val="00852469"/>
    <w:rsid w:val="00852651"/>
    <w:rsid w:val="008545F1"/>
    <w:rsid w:val="00855289"/>
    <w:rsid w:val="00857155"/>
    <w:rsid w:val="008576BC"/>
    <w:rsid w:val="00860AE1"/>
    <w:rsid w:val="00860C64"/>
    <w:rsid w:val="0086157D"/>
    <w:rsid w:val="00861653"/>
    <w:rsid w:val="0086228F"/>
    <w:rsid w:val="00862523"/>
    <w:rsid w:val="00864C10"/>
    <w:rsid w:val="008662F1"/>
    <w:rsid w:val="008673C9"/>
    <w:rsid w:val="0086754A"/>
    <w:rsid w:val="00870EAD"/>
    <w:rsid w:val="00872163"/>
    <w:rsid w:val="00874125"/>
    <w:rsid w:val="008823ED"/>
    <w:rsid w:val="0088245F"/>
    <w:rsid w:val="00882F8D"/>
    <w:rsid w:val="00884ADD"/>
    <w:rsid w:val="00885D55"/>
    <w:rsid w:val="0089064C"/>
    <w:rsid w:val="00891EF4"/>
    <w:rsid w:val="00893795"/>
    <w:rsid w:val="00894686"/>
    <w:rsid w:val="0089596C"/>
    <w:rsid w:val="00895C52"/>
    <w:rsid w:val="008976CC"/>
    <w:rsid w:val="00897F5D"/>
    <w:rsid w:val="00897F7A"/>
    <w:rsid w:val="008A2623"/>
    <w:rsid w:val="008A34FC"/>
    <w:rsid w:val="008A47A3"/>
    <w:rsid w:val="008A48A0"/>
    <w:rsid w:val="008A49F0"/>
    <w:rsid w:val="008A7D98"/>
    <w:rsid w:val="008B0574"/>
    <w:rsid w:val="008B0DB5"/>
    <w:rsid w:val="008B16FF"/>
    <w:rsid w:val="008B4ED3"/>
    <w:rsid w:val="008B5EBC"/>
    <w:rsid w:val="008B60F4"/>
    <w:rsid w:val="008B6293"/>
    <w:rsid w:val="008B6860"/>
    <w:rsid w:val="008B6919"/>
    <w:rsid w:val="008B738E"/>
    <w:rsid w:val="008B7423"/>
    <w:rsid w:val="008C0A45"/>
    <w:rsid w:val="008C11BA"/>
    <w:rsid w:val="008C188F"/>
    <w:rsid w:val="008C195B"/>
    <w:rsid w:val="008C38BE"/>
    <w:rsid w:val="008C45D6"/>
    <w:rsid w:val="008C6859"/>
    <w:rsid w:val="008C6FE8"/>
    <w:rsid w:val="008C71EB"/>
    <w:rsid w:val="008D0FFB"/>
    <w:rsid w:val="008D34AA"/>
    <w:rsid w:val="008D39E2"/>
    <w:rsid w:val="008D3CD7"/>
    <w:rsid w:val="008D3D22"/>
    <w:rsid w:val="008D3E05"/>
    <w:rsid w:val="008D4AB2"/>
    <w:rsid w:val="008D4C46"/>
    <w:rsid w:val="008D51BF"/>
    <w:rsid w:val="008D5922"/>
    <w:rsid w:val="008D5FD4"/>
    <w:rsid w:val="008E0DF3"/>
    <w:rsid w:val="008E2B4A"/>
    <w:rsid w:val="008E40D6"/>
    <w:rsid w:val="008E45C8"/>
    <w:rsid w:val="008F1CF5"/>
    <w:rsid w:val="008F4F70"/>
    <w:rsid w:val="008F5722"/>
    <w:rsid w:val="008F5F70"/>
    <w:rsid w:val="008F7F26"/>
    <w:rsid w:val="009021E8"/>
    <w:rsid w:val="0090466E"/>
    <w:rsid w:val="00910247"/>
    <w:rsid w:val="00910698"/>
    <w:rsid w:val="00910F73"/>
    <w:rsid w:val="00914C82"/>
    <w:rsid w:val="00914F64"/>
    <w:rsid w:val="00917F6C"/>
    <w:rsid w:val="00922082"/>
    <w:rsid w:val="00922817"/>
    <w:rsid w:val="00922E05"/>
    <w:rsid w:val="0092390A"/>
    <w:rsid w:val="00924137"/>
    <w:rsid w:val="00925F0B"/>
    <w:rsid w:val="009267B0"/>
    <w:rsid w:val="00931660"/>
    <w:rsid w:val="00932147"/>
    <w:rsid w:val="00935F3E"/>
    <w:rsid w:val="009370AE"/>
    <w:rsid w:val="00937824"/>
    <w:rsid w:val="00937C4E"/>
    <w:rsid w:val="0094005B"/>
    <w:rsid w:val="00940B86"/>
    <w:rsid w:val="009427E0"/>
    <w:rsid w:val="0094450A"/>
    <w:rsid w:val="00944CEE"/>
    <w:rsid w:val="00945216"/>
    <w:rsid w:val="0094673A"/>
    <w:rsid w:val="00950085"/>
    <w:rsid w:val="009511AC"/>
    <w:rsid w:val="00951F10"/>
    <w:rsid w:val="00952F5D"/>
    <w:rsid w:val="00953860"/>
    <w:rsid w:val="009550AB"/>
    <w:rsid w:val="0095662A"/>
    <w:rsid w:val="00957DC2"/>
    <w:rsid w:val="009637B5"/>
    <w:rsid w:val="009640A5"/>
    <w:rsid w:val="00964519"/>
    <w:rsid w:val="009656BF"/>
    <w:rsid w:val="0097039F"/>
    <w:rsid w:val="009733A4"/>
    <w:rsid w:val="00975772"/>
    <w:rsid w:val="00976872"/>
    <w:rsid w:val="009774AC"/>
    <w:rsid w:val="00981A82"/>
    <w:rsid w:val="00981FFB"/>
    <w:rsid w:val="009825D1"/>
    <w:rsid w:val="00982CB2"/>
    <w:rsid w:val="00983834"/>
    <w:rsid w:val="009839F6"/>
    <w:rsid w:val="0098449E"/>
    <w:rsid w:val="00985F1C"/>
    <w:rsid w:val="00986488"/>
    <w:rsid w:val="00992F3B"/>
    <w:rsid w:val="00994CC7"/>
    <w:rsid w:val="00997739"/>
    <w:rsid w:val="00997D00"/>
    <w:rsid w:val="009A176F"/>
    <w:rsid w:val="009A26C9"/>
    <w:rsid w:val="009A3D27"/>
    <w:rsid w:val="009A546C"/>
    <w:rsid w:val="009A5F6A"/>
    <w:rsid w:val="009A6A7C"/>
    <w:rsid w:val="009A7331"/>
    <w:rsid w:val="009A7ECD"/>
    <w:rsid w:val="009B117F"/>
    <w:rsid w:val="009B1794"/>
    <w:rsid w:val="009B441B"/>
    <w:rsid w:val="009C01F8"/>
    <w:rsid w:val="009C0A64"/>
    <w:rsid w:val="009C1B34"/>
    <w:rsid w:val="009C2C97"/>
    <w:rsid w:val="009C3A15"/>
    <w:rsid w:val="009C4B83"/>
    <w:rsid w:val="009C626A"/>
    <w:rsid w:val="009C712A"/>
    <w:rsid w:val="009D117E"/>
    <w:rsid w:val="009D494D"/>
    <w:rsid w:val="009D6F4A"/>
    <w:rsid w:val="009D7585"/>
    <w:rsid w:val="009D77A6"/>
    <w:rsid w:val="009E03D4"/>
    <w:rsid w:val="009E0AB9"/>
    <w:rsid w:val="009E0B65"/>
    <w:rsid w:val="009E0E18"/>
    <w:rsid w:val="009E412C"/>
    <w:rsid w:val="009F2E7F"/>
    <w:rsid w:val="009F552E"/>
    <w:rsid w:val="009F6C5F"/>
    <w:rsid w:val="009F7C74"/>
    <w:rsid w:val="00A013B0"/>
    <w:rsid w:val="00A01C41"/>
    <w:rsid w:val="00A01EE8"/>
    <w:rsid w:val="00A020BF"/>
    <w:rsid w:val="00A04572"/>
    <w:rsid w:val="00A0589B"/>
    <w:rsid w:val="00A06715"/>
    <w:rsid w:val="00A12377"/>
    <w:rsid w:val="00A13534"/>
    <w:rsid w:val="00A1506F"/>
    <w:rsid w:val="00A15238"/>
    <w:rsid w:val="00A2082E"/>
    <w:rsid w:val="00A20CF5"/>
    <w:rsid w:val="00A22448"/>
    <w:rsid w:val="00A22852"/>
    <w:rsid w:val="00A23602"/>
    <w:rsid w:val="00A23BDF"/>
    <w:rsid w:val="00A26740"/>
    <w:rsid w:val="00A26C0E"/>
    <w:rsid w:val="00A27C8D"/>
    <w:rsid w:val="00A3093D"/>
    <w:rsid w:val="00A32A5C"/>
    <w:rsid w:val="00A33EB0"/>
    <w:rsid w:val="00A33EEB"/>
    <w:rsid w:val="00A348D0"/>
    <w:rsid w:val="00A37497"/>
    <w:rsid w:val="00A37EC7"/>
    <w:rsid w:val="00A41193"/>
    <w:rsid w:val="00A4202C"/>
    <w:rsid w:val="00A42056"/>
    <w:rsid w:val="00A423B4"/>
    <w:rsid w:val="00A43479"/>
    <w:rsid w:val="00A45AB0"/>
    <w:rsid w:val="00A45B5B"/>
    <w:rsid w:val="00A464A4"/>
    <w:rsid w:val="00A466FB"/>
    <w:rsid w:val="00A467CA"/>
    <w:rsid w:val="00A50989"/>
    <w:rsid w:val="00A51E4F"/>
    <w:rsid w:val="00A54181"/>
    <w:rsid w:val="00A56E35"/>
    <w:rsid w:val="00A57A9E"/>
    <w:rsid w:val="00A61565"/>
    <w:rsid w:val="00A623CA"/>
    <w:rsid w:val="00A6472F"/>
    <w:rsid w:val="00A65582"/>
    <w:rsid w:val="00A65D48"/>
    <w:rsid w:val="00A66759"/>
    <w:rsid w:val="00A67DC2"/>
    <w:rsid w:val="00A70600"/>
    <w:rsid w:val="00A709FD"/>
    <w:rsid w:val="00A70B79"/>
    <w:rsid w:val="00A7117A"/>
    <w:rsid w:val="00A72305"/>
    <w:rsid w:val="00A730D5"/>
    <w:rsid w:val="00A73407"/>
    <w:rsid w:val="00A73E69"/>
    <w:rsid w:val="00A74736"/>
    <w:rsid w:val="00A766CE"/>
    <w:rsid w:val="00A81007"/>
    <w:rsid w:val="00A81342"/>
    <w:rsid w:val="00A8139A"/>
    <w:rsid w:val="00A820F8"/>
    <w:rsid w:val="00A83576"/>
    <w:rsid w:val="00A83CA4"/>
    <w:rsid w:val="00A84132"/>
    <w:rsid w:val="00A905CF"/>
    <w:rsid w:val="00A90974"/>
    <w:rsid w:val="00A90B48"/>
    <w:rsid w:val="00A9292F"/>
    <w:rsid w:val="00A92F0C"/>
    <w:rsid w:val="00A9456D"/>
    <w:rsid w:val="00A95033"/>
    <w:rsid w:val="00AA3527"/>
    <w:rsid w:val="00AA6206"/>
    <w:rsid w:val="00AA634A"/>
    <w:rsid w:val="00AA6A36"/>
    <w:rsid w:val="00AA724B"/>
    <w:rsid w:val="00AA7D35"/>
    <w:rsid w:val="00AB2A46"/>
    <w:rsid w:val="00AB34D6"/>
    <w:rsid w:val="00AB41B3"/>
    <w:rsid w:val="00AB6FD7"/>
    <w:rsid w:val="00AB73D4"/>
    <w:rsid w:val="00AB763F"/>
    <w:rsid w:val="00AB7E50"/>
    <w:rsid w:val="00AC1090"/>
    <w:rsid w:val="00AC17DF"/>
    <w:rsid w:val="00AC266A"/>
    <w:rsid w:val="00AC3509"/>
    <w:rsid w:val="00AC3BDA"/>
    <w:rsid w:val="00AC4856"/>
    <w:rsid w:val="00AC48C8"/>
    <w:rsid w:val="00AC5D16"/>
    <w:rsid w:val="00AC798E"/>
    <w:rsid w:val="00AD0A9B"/>
    <w:rsid w:val="00AD2002"/>
    <w:rsid w:val="00AD336F"/>
    <w:rsid w:val="00AD3936"/>
    <w:rsid w:val="00AD430F"/>
    <w:rsid w:val="00AD7277"/>
    <w:rsid w:val="00AE1F14"/>
    <w:rsid w:val="00AE212F"/>
    <w:rsid w:val="00AE2B84"/>
    <w:rsid w:val="00AE2D61"/>
    <w:rsid w:val="00AE5D7F"/>
    <w:rsid w:val="00AE6033"/>
    <w:rsid w:val="00AE6129"/>
    <w:rsid w:val="00AE646B"/>
    <w:rsid w:val="00AE7CBF"/>
    <w:rsid w:val="00AE7E36"/>
    <w:rsid w:val="00AE7F60"/>
    <w:rsid w:val="00AF094D"/>
    <w:rsid w:val="00AF4D57"/>
    <w:rsid w:val="00AF5C47"/>
    <w:rsid w:val="00AF5E9B"/>
    <w:rsid w:val="00AF6885"/>
    <w:rsid w:val="00B011BB"/>
    <w:rsid w:val="00B02546"/>
    <w:rsid w:val="00B028C0"/>
    <w:rsid w:val="00B04E4B"/>
    <w:rsid w:val="00B055AE"/>
    <w:rsid w:val="00B063DB"/>
    <w:rsid w:val="00B11543"/>
    <w:rsid w:val="00B12ED3"/>
    <w:rsid w:val="00B157EA"/>
    <w:rsid w:val="00B21F77"/>
    <w:rsid w:val="00B2307B"/>
    <w:rsid w:val="00B27109"/>
    <w:rsid w:val="00B301C7"/>
    <w:rsid w:val="00B31A74"/>
    <w:rsid w:val="00B32429"/>
    <w:rsid w:val="00B345A0"/>
    <w:rsid w:val="00B34A9F"/>
    <w:rsid w:val="00B34D0C"/>
    <w:rsid w:val="00B36D80"/>
    <w:rsid w:val="00B405B0"/>
    <w:rsid w:val="00B40AC1"/>
    <w:rsid w:val="00B41563"/>
    <w:rsid w:val="00B41F6E"/>
    <w:rsid w:val="00B4234D"/>
    <w:rsid w:val="00B47A88"/>
    <w:rsid w:val="00B503E5"/>
    <w:rsid w:val="00B509D4"/>
    <w:rsid w:val="00B528B9"/>
    <w:rsid w:val="00B55505"/>
    <w:rsid w:val="00B56ADB"/>
    <w:rsid w:val="00B5707F"/>
    <w:rsid w:val="00B57B72"/>
    <w:rsid w:val="00B611B7"/>
    <w:rsid w:val="00B61BA4"/>
    <w:rsid w:val="00B62AF7"/>
    <w:rsid w:val="00B62D49"/>
    <w:rsid w:val="00B6365E"/>
    <w:rsid w:val="00B64A87"/>
    <w:rsid w:val="00B652B3"/>
    <w:rsid w:val="00B6617E"/>
    <w:rsid w:val="00B666A5"/>
    <w:rsid w:val="00B66892"/>
    <w:rsid w:val="00B66E7A"/>
    <w:rsid w:val="00B7220E"/>
    <w:rsid w:val="00B73E0F"/>
    <w:rsid w:val="00B749D8"/>
    <w:rsid w:val="00B75C3A"/>
    <w:rsid w:val="00B77063"/>
    <w:rsid w:val="00B77E9D"/>
    <w:rsid w:val="00B8422F"/>
    <w:rsid w:val="00B84B3A"/>
    <w:rsid w:val="00B8573C"/>
    <w:rsid w:val="00B92283"/>
    <w:rsid w:val="00B92FA9"/>
    <w:rsid w:val="00B94885"/>
    <w:rsid w:val="00B95811"/>
    <w:rsid w:val="00B97190"/>
    <w:rsid w:val="00BA2DCD"/>
    <w:rsid w:val="00BA31AE"/>
    <w:rsid w:val="00BA3EDE"/>
    <w:rsid w:val="00BA4B51"/>
    <w:rsid w:val="00BA687C"/>
    <w:rsid w:val="00BA6D81"/>
    <w:rsid w:val="00BB01C5"/>
    <w:rsid w:val="00BB0C12"/>
    <w:rsid w:val="00BB4521"/>
    <w:rsid w:val="00BB677D"/>
    <w:rsid w:val="00BC1CD2"/>
    <w:rsid w:val="00BC2594"/>
    <w:rsid w:val="00BC3119"/>
    <w:rsid w:val="00BC4328"/>
    <w:rsid w:val="00BC4397"/>
    <w:rsid w:val="00BC6693"/>
    <w:rsid w:val="00BC6B83"/>
    <w:rsid w:val="00BC6FBE"/>
    <w:rsid w:val="00BD287D"/>
    <w:rsid w:val="00BD4D1D"/>
    <w:rsid w:val="00BD765F"/>
    <w:rsid w:val="00BE2153"/>
    <w:rsid w:val="00BE452B"/>
    <w:rsid w:val="00BE5B47"/>
    <w:rsid w:val="00BE6704"/>
    <w:rsid w:val="00BF12E3"/>
    <w:rsid w:val="00BF2AE7"/>
    <w:rsid w:val="00BF6381"/>
    <w:rsid w:val="00BF67D6"/>
    <w:rsid w:val="00BF728C"/>
    <w:rsid w:val="00C009ED"/>
    <w:rsid w:val="00C0169E"/>
    <w:rsid w:val="00C01F4B"/>
    <w:rsid w:val="00C02625"/>
    <w:rsid w:val="00C05E30"/>
    <w:rsid w:val="00C05EA6"/>
    <w:rsid w:val="00C061C9"/>
    <w:rsid w:val="00C10E16"/>
    <w:rsid w:val="00C131D9"/>
    <w:rsid w:val="00C13DD6"/>
    <w:rsid w:val="00C168BE"/>
    <w:rsid w:val="00C20222"/>
    <w:rsid w:val="00C2336F"/>
    <w:rsid w:val="00C313BA"/>
    <w:rsid w:val="00C324F7"/>
    <w:rsid w:val="00C34873"/>
    <w:rsid w:val="00C369C6"/>
    <w:rsid w:val="00C374F2"/>
    <w:rsid w:val="00C42CC5"/>
    <w:rsid w:val="00C4356B"/>
    <w:rsid w:val="00C43D09"/>
    <w:rsid w:val="00C44ECB"/>
    <w:rsid w:val="00C4532D"/>
    <w:rsid w:val="00C45ED0"/>
    <w:rsid w:val="00C4708E"/>
    <w:rsid w:val="00C472B1"/>
    <w:rsid w:val="00C4795A"/>
    <w:rsid w:val="00C51D9D"/>
    <w:rsid w:val="00C53419"/>
    <w:rsid w:val="00C55CDF"/>
    <w:rsid w:val="00C601A7"/>
    <w:rsid w:val="00C607BA"/>
    <w:rsid w:val="00C63EFD"/>
    <w:rsid w:val="00C64943"/>
    <w:rsid w:val="00C66D68"/>
    <w:rsid w:val="00C6776D"/>
    <w:rsid w:val="00C7160C"/>
    <w:rsid w:val="00C71AB0"/>
    <w:rsid w:val="00C749F1"/>
    <w:rsid w:val="00C74D11"/>
    <w:rsid w:val="00C755D9"/>
    <w:rsid w:val="00C81BA3"/>
    <w:rsid w:val="00C823AF"/>
    <w:rsid w:val="00C82A4A"/>
    <w:rsid w:val="00C8307F"/>
    <w:rsid w:val="00C86C8D"/>
    <w:rsid w:val="00C872C5"/>
    <w:rsid w:val="00C90DA3"/>
    <w:rsid w:val="00C91D7F"/>
    <w:rsid w:val="00C92699"/>
    <w:rsid w:val="00C93DCA"/>
    <w:rsid w:val="00C96AB1"/>
    <w:rsid w:val="00CA2BC7"/>
    <w:rsid w:val="00CA5A90"/>
    <w:rsid w:val="00CA674A"/>
    <w:rsid w:val="00CB1171"/>
    <w:rsid w:val="00CB4811"/>
    <w:rsid w:val="00CC07C9"/>
    <w:rsid w:val="00CC291A"/>
    <w:rsid w:val="00CC330F"/>
    <w:rsid w:val="00CC3A4E"/>
    <w:rsid w:val="00CC3A87"/>
    <w:rsid w:val="00CC4F2D"/>
    <w:rsid w:val="00CC6EAC"/>
    <w:rsid w:val="00CC6EE1"/>
    <w:rsid w:val="00CC7902"/>
    <w:rsid w:val="00CD00A3"/>
    <w:rsid w:val="00CD4A0D"/>
    <w:rsid w:val="00CD5B37"/>
    <w:rsid w:val="00CD6327"/>
    <w:rsid w:val="00CD65B4"/>
    <w:rsid w:val="00CE2BD3"/>
    <w:rsid w:val="00CE363C"/>
    <w:rsid w:val="00CE4712"/>
    <w:rsid w:val="00CE47EF"/>
    <w:rsid w:val="00CE68D0"/>
    <w:rsid w:val="00CE6AD8"/>
    <w:rsid w:val="00CE75AB"/>
    <w:rsid w:val="00CF04D8"/>
    <w:rsid w:val="00CF1596"/>
    <w:rsid w:val="00CF1FBA"/>
    <w:rsid w:val="00CF2674"/>
    <w:rsid w:val="00CF2808"/>
    <w:rsid w:val="00CF2892"/>
    <w:rsid w:val="00CF2F99"/>
    <w:rsid w:val="00CF3831"/>
    <w:rsid w:val="00CF44FB"/>
    <w:rsid w:val="00CF4F9F"/>
    <w:rsid w:val="00CF4FDB"/>
    <w:rsid w:val="00CF5BD4"/>
    <w:rsid w:val="00CF6460"/>
    <w:rsid w:val="00CF7A31"/>
    <w:rsid w:val="00CF7B2D"/>
    <w:rsid w:val="00CF7EE4"/>
    <w:rsid w:val="00D00142"/>
    <w:rsid w:val="00D0070C"/>
    <w:rsid w:val="00D020B0"/>
    <w:rsid w:val="00D03026"/>
    <w:rsid w:val="00D030E9"/>
    <w:rsid w:val="00D0333E"/>
    <w:rsid w:val="00D03B37"/>
    <w:rsid w:val="00D042A7"/>
    <w:rsid w:val="00D072D0"/>
    <w:rsid w:val="00D075A3"/>
    <w:rsid w:val="00D103A6"/>
    <w:rsid w:val="00D11AE7"/>
    <w:rsid w:val="00D1423B"/>
    <w:rsid w:val="00D159C2"/>
    <w:rsid w:val="00D21A8F"/>
    <w:rsid w:val="00D222A8"/>
    <w:rsid w:val="00D2253A"/>
    <w:rsid w:val="00D23FCD"/>
    <w:rsid w:val="00D248A0"/>
    <w:rsid w:val="00D2552A"/>
    <w:rsid w:val="00D2719B"/>
    <w:rsid w:val="00D27B72"/>
    <w:rsid w:val="00D27F8E"/>
    <w:rsid w:val="00D3055B"/>
    <w:rsid w:val="00D31E9A"/>
    <w:rsid w:val="00D32C6A"/>
    <w:rsid w:val="00D34F99"/>
    <w:rsid w:val="00D40C02"/>
    <w:rsid w:val="00D40C24"/>
    <w:rsid w:val="00D41F11"/>
    <w:rsid w:val="00D44C92"/>
    <w:rsid w:val="00D46C27"/>
    <w:rsid w:val="00D5030A"/>
    <w:rsid w:val="00D5239C"/>
    <w:rsid w:val="00D55047"/>
    <w:rsid w:val="00D555F5"/>
    <w:rsid w:val="00D56C1D"/>
    <w:rsid w:val="00D5735C"/>
    <w:rsid w:val="00D57503"/>
    <w:rsid w:val="00D61CF4"/>
    <w:rsid w:val="00D6233F"/>
    <w:rsid w:val="00D62994"/>
    <w:rsid w:val="00D62F84"/>
    <w:rsid w:val="00D631C7"/>
    <w:rsid w:val="00D63B2E"/>
    <w:rsid w:val="00D64931"/>
    <w:rsid w:val="00D671DF"/>
    <w:rsid w:val="00D7065A"/>
    <w:rsid w:val="00D71278"/>
    <w:rsid w:val="00D71F4C"/>
    <w:rsid w:val="00D71F81"/>
    <w:rsid w:val="00D7391E"/>
    <w:rsid w:val="00D7615C"/>
    <w:rsid w:val="00D76EEA"/>
    <w:rsid w:val="00D803B3"/>
    <w:rsid w:val="00D82C6C"/>
    <w:rsid w:val="00D84EAE"/>
    <w:rsid w:val="00D84F30"/>
    <w:rsid w:val="00D84FA1"/>
    <w:rsid w:val="00D85CC3"/>
    <w:rsid w:val="00D871D9"/>
    <w:rsid w:val="00D945EC"/>
    <w:rsid w:val="00D95AD2"/>
    <w:rsid w:val="00D96C72"/>
    <w:rsid w:val="00D96FC3"/>
    <w:rsid w:val="00D978CE"/>
    <w:rsid w:val="00DA0849"/>
    <w:rsid w:val="00DA0D88"/>
    <w:rsid w:val="00DA1D09"/>
    <w:rsid w:val="00DA1D13"/>
    <w:rsid w:val="00DA2D7B"/>
    <w:rsid w:val="00DA2F00"/>
    <w:rsid w:val="00DA423D"/>
    <w:rsid w:val="00DA46DC"/>
    <w:rsid w:val="00DA4ACB"/>
    <w:rsid w:val="00DA548C"/>
    <w:rsid w:val="00DA650B"/>
    <w:rsid w:val="00DA7FB4"/>
    <w:rsid w:val="00DB095B"/>
    <w:rsid w:val="00DB43AF"/>
    <w:rsid w:val="00DB45E2"/>
    <w:rsid w:val="00DB58F3"/>
    <w:rsid w:val="00DC1508"/>
    <w:rsid w:val="00DC1A09"/>
    <w:rsid w:val="00DC2FB0"/>
    <w:rsid w:val="00DC4289"/>
    <w:rsid w:val="00DC4E5D"/>
    <w:rsid w:val="00DC527B"/>
    <w:rsid w:val="00DC52D8"/>
    <w:rsid w:val="00DC5E73"/>
    <w:rsid w:val="00DC770C"/>
    <w:rsid w:val="00DD1771"/>
    <w:rsid w:val="00DD219B"/>
    <w:rsid w:val="00DD2807"/>
    <w:rsid w:val="00DD3693"/>
    <w:rsid w:val="00DD5EF1"/>
    <w:rsid w:val="00DD74DA"/>
    <w:rsid w:val="00DE3921"/>
    <w:rsid w:val="00DE4633"/>
    <w:rsid w:val="00DE6449"/>
    <w:rsid w:val="00DE68B5"/>
    <w:rsid w:val="00DE71F5"/>
    <w:rsid w:val="00DE73A2"/>
    <w:rsid w:val="00DF0CC8"/>
    <w:rsid w:val="00DF5471"/>
    <w:rsid w:val="00E00AC9"/>
    <w:rsid w:val="00E01200"/>
    <w:rsid w:val="00E012D2"/>
    <w:rsid w:val="00E01E01"/>
    <w:rsid w:val="00E027FD"/>
    <w:rsid w:val="00E04879"/>
    <w:rsid w:val="00E0508A"/>
    <w:rsid w:val="00E051E3"/>
    <w:rsid w:val="00E06A0A"/>
    <w:rsid w:val="00E11EB9"/>
    <w:rsid w:val="00E12925"/>
    <w:rsid w:val="00E15C7C"/>
    <w:rsid w:val="00E17471"/>
    <w:rsid w:val="00E17AE2"/>
    <w:rsid w:val="00E22CA6"/>
    <w:rsid w:val="00E245BE"/>
    <w:rsid w:val="00E25682"/>
    <w:rsid w:val="00E27E4E"/>
    <w:rsid w:val="00E311A5"/>
    <w:rsid w:val="00E31551"/>
    <w:rsid w:val="00E3165E"/>
    <w:rsid w:val="00E31CE2"/>
    <w:rsid w:val="00E32F50"/>
    <w:rsid w:val="00E3364B"/>
    <w:rsid w:val="00E33EE0"/>
    <w:rsid w:val="00E34FE1"/>
    <w:rsid w:val="00E352BE"/>
    <w:rsid w:val="00E414FF"/>
    <w:rsid w:val="00E442FC"/>
    <w:rsid w:val="00E45ABC"/>
    <w:rsid w:val="00E54A24"/>
    <w:rsid w:val="00E5698B"/>
    <w:rsid w:val="00E57389"/>
    <w:rsid w:val="00E6142D"/>
    <w:rsid w:val="00E61E56"/>
    <w:rsid w:val="00E65037"/>
    <w:rsid w:val="00E65425"/>
    <w:rsid w:val="00E706F8"/>
    <w:rsid w:val="00E7098B"/>
    <w:rsid w:val="00E72627"/>
    <w:rsid w:val="00E73C77"/>
    <w:rsid w:val="00E74989"/>
    <w:rsid w:val="00E76DDB"/>
    <w:rsid w:val="00E8270E"/>
    <w:rsid w:val="00E82886"/>
    <w:rsid w:val="00E837A6"/>
    <w:rsid w:val="00E84B00"/>
    <w:rsid w:val="00E87C77"/>
    <w:rsid w:val="00E92711"/>
    <w:rsid w:val="00E93857"/>
    <w:rsid w:val="00E94A9E"/>
    <w:rsid w:val="00E94B7B"/>
    <w:rsid w:val="00E94F6B"/>
    <w:rsid w:val="00E95A9F"/>
    <w:rsid w:val="00E96166"/>
    <w:rsid w:val="00E979D0"/>
    <w:rsid w:val="00EA0570"/>
    <w:rsid w:val="00EA54BE"/>
    <w:rsid w:val="00EA7067"/>
    <w:rsid w:val="00EA710C"/>
    <w:rsid w:val="00EB0505"/>
    <w:rsid w:val="00EB1205"/>
    <w:rsid w:val="00EB70FC"/>
    <w:rsid w:val="00EB762D"/>
    <w:rsid w:val="00EB778D"/>
    <w:rsid w:val="00EC084B"/>
    <w:rsid w:val="00EC0EC3"/>
    <w:rsid w:val="00EC24A3"/>
    <w:rsid w:val="00EC3EC5"/>
    <w:rsid w:val="00EC4761"/>
    <w:rsid w:val="00ED0738"/>
    <w:rsid w:val="00ED182B"/>
    <w:rsid w:val="00ED282A"/>
    <w:rsid w:val="00ED2E08"/>
    <w:rsid w:val="00ED4ADB"/>
    <w:rsid w:val="00ED5E7B"/>
    <w:rsid w:val="00ED667A"/>
    <w:rsid w:val="00EE0622"/>
    <w:rsid w:val="00EE2CBD"/>
    <w:rsid w:val="00EE323C"/>
    <w:rsid w:val="00EE3D99"/>
    <w:rsid w:val="00EE5166"/>
    <w:rsid w:val="00EE6371"/>
    <w:rsid w:val="00EF0A0C"/>
    <w:rsid w:val="00EF13EA"/>
    <w:rsid w:val="00EF1884"/>
    <w:rsid w:val="00EF28E8"/>
    <w:rsid w:val="00EF2948"/>
    <w:rsid w:val="00EF3ABE"/>
    <w:rsid w:val="00EF4C70"/>
    <w:rsid w:val="00EF4DB5"/>
    <w:rsid w:val="00EF617B"/>
    <w:rsid w:val="00EF658C"/>
    <w:rsid w:val="00F03C33"/>
    <w:rsid w:val="00F0429A"/>
    <w:rsid w:val="00F05D50"/>
    <w:rsid w:val="00F113B3"/>
    <w:rsid w:val="00F13BE2"/>
    <w:rsid w:val="00F140EA"/>
    <w:rsid w:val="00F148E7"/>
    <w:rsid w:val="00F16271"/>
    <w:rsid w:val="00F16667"/>
    <w:rsid w:val="00F22893"/>
    <w:rsid w:val="00F24ADC"/>
    <w:rsid w:val="00F264C3"/>
    <w:rsid w:val="00F27DE5"/>
    <w:rsid w:val="00F3029C"/>
    <w:rsid w:val="00F305EC"/>
    <w:rsid w:val="00F33B9C"/>
    <w:rsid w:val="00F34EAB"/>
    <w:rsid w:val="00F34F5D"/>
    <w:rsid w:val="00F36B1A"/>
    <w:rsid w:val="00F41D45"/>
    <w:rsid w:val="00F43B25"/>
    <w:rsid w:val="00F45529"/>
    <w:rsid w:val="00F52707"/>
    <w:rsid w:val="00F53138"/>
    <w:rsid w:val="00F53460"/>
    <w:rsid w:val="00F55335"/>
    <w:rsid w:val="00F55B6D"/>
    <w:rsid w:val="00F55E20"/>
    <w:rsid w:val="00F622B8"/>
    <w:rsid w:val="00F63965"/>
    <w:rsid w:val="00F6518F"/>
    <w:rsid w:val="00F65924"/>
    <w:rsid w:val="00F65AAD"/>
    <w:rsid w:val="00F66E99"/>
    <w:rsid w:val="00F700B1"/>
    <w:rsid w:val="00F70758"/>
    <w:rsid w:val="00F716DE"/>
    <w:rsid w:val="00F71DFC"/>
    <w:rsid w:val="00F71E94"/>
    <w:rsid w:val="00F769A6"/>
    <w:rsid w:val="00F76CE1"/>
    <w:rsid w:val="00F8109E"/>
    <w:rsid w:val="00F814D4"/>
    <w:rsid w:val="00F83107"/>
    <w:rsid w:val="00F8400C"/>
    <w:rsid w:val="00F8460A"/>
    <w:rsid w:val="00F8688F"/>
    <w:rsid w:val="00F8712D"/>
    <w:rsid w:val="00F87ED2"/>
    <w:rsid w:val="00F92630"/>
    <w:rsid w:val="00F9502F"/>
    <w:rsid w:val="00F97767"/>
    <w:rsid w:val="00FA02D0"/>
    <w:rsid w:val="00FA1369"/>
    <w:rsid w:val="00FA63C3"/>
    <w:rsid w:val="00FA6D20"/>
    <w:rsid w:val="00FA6F24"/>
    <w:rsid w:val="00FA7830"/>
    <w:rsid w:val="00FA7F0E"/>
    <w:rsid w:val="00FB1320"/>
    <w:rsid w:val="00FB1F67"/>
    <w:rsid w:val="00FB21D2"/>
    <w:rsid w:val="00FB24D8"/>
    <w:rsid w:val="00FB29C7"/>
    <w:rsid w:val="00FB2B6D"/>
    <w:rsid w:val="00FB3954"/>
    <w:rsid w:val="00FB47C2"/>
    <w:rsid w:val="00FC023D"/>
    <w:rsid w:val="00FC47A8"/>
    <w:rsid w:val="00FC4B99"/>
    <w:rsid w:val="00FC56BF"/>
    <w:rsid w:val="00FC7B85"/>
    <w:rsid w:val="00FC7D4D"/>
    <w:rsid w:val="00FD0156"/>
    <w:rsid w:val="00FD0252"/>
    <w:rsid w:val="00FD03D3"/>
    <w:rsid w:val="00FD1146"/>
    <w:rsid w:val="00FD34CA"/>
    <w:rsid w:val="00FD3585"/>
    <w:rsid w:val="00FD37C7"/>
    <w:rsid w:val="00FD3D0D"/>
    <w:rsid w:val="00FD4316"/>
    <w:rsid w:val="00FD443F"/>
    <w:rsid w:val="00FD592D"/>
    <w:rsid w:val="00FE04C2"/>
    <w:rsid w:val="00FE352B"/>
    <w:rsid w:val="00FE3BBC"/>
    <w:rsid w:val="00FE450B"/>
    <w:rsid w:val="00FE59BB"/>
    <w:rsid w:val="00FE5EE3"/>
    <w:rsid w:val="00FE6477"/>
    <w:rsid w:val="00FE6C64"/>
    <w:rsid w:val="00FF1825"/>
    <w:rsid w:val="00FF2CAA"/>
    <w:rsid w:val="00FF34EC"/>
    <w:rsid w:val="00FF37EE"/>
    <w:rsid w:val="00FF39CA"/>
    <w:rsid w:val="00FF4BEB"/>
    <w:rsid w:val="00FF566B"/>
    <w:rsid w:val="00FF67B9"/>
    <w:rsid w:val="00FF6FF1"/>
    <w:rsid w:val="00FF7496"/>
    <w:rsid w:val="023E3A66"/>
    <w:rsid w:val="03A5AB17"/>
    <w:rsid w:val="044439F5"/>
    <w:rsid w:val="05203551"/>
    <w:rsid w:val="05B5D065"/>
    <w:rsid w:val="07D2EAA1"/>
    <w:rsid w:val="08E5C610"/>
    <w:rsid w:val="08F7FF76"/>
    <w:rsid w:val="0A5EAE99"/>
    <w:rsid w:val="0B3C9BE1"/>
    <w:rsid w:val="0BACC5E3"/>
    <w:rsid w:val="0D4CC161"/>
    <w:rsid w:val="0E45AEB7"/>
    <w:rsid w:val="0E6675EA"/>
    <w:rsid w:val="0EBC2D21"/>
    <w:rsid w:val="0F13D1BB"/>
    <w:rsid w:val="0F2091D7"/>
    <w:rsid w:val="10582181"/>
    <w:rsid w:val="1096713F"/>
    <w:rsid w:val="10B4FB14"/>
    <w:rsid w:val="11A29AC6"/>
    <w:rsid w:val="1223C950"/>
    <w:rsid w:val="129D45A5"/>
    <w:rsid w:val="12E23C94"/>
    <w:rsid w:val="12F2AE1D"/>
    <w:rsid w:val="13FDA034"/>
    <w:rsid w:val="144FE083"/>
    <w:rsid w:val="14B05307"/>
    <w:rsid w:val="14C3A969"/>
    <w:rsid w:val="151F3277"/>
    <w:rsid w:val="1583DD88"/>
    <w:rsid w:val="16479768"/>
    <w:rsid w:val="16E10FEE"/>
    <w:rsid w:val="172A0504"/>
    <w:rsid w:val="176D2F56"/>
    <w:rsid w:val="1821B65B"/>
    <w:rsid w:val="18EE9A0E"/>
    <w:rsid w:val="19D32249"/>
    <w:rsid w:val="19D3E412"/>
    <w:rsid w:val="19E8DF94"/>
    <w:rsid w:val="19E99773"/>
    <w:rsid w:val="1AF653E5"/>
    <w:rsid w:val="1B892693"/>
    <w:rsid w:val="1DDE5C22"/>
    <w:rsid w:val="1E60FC85"/>
    <w:rsid w:val="1F28F966"/>
    <w:rsid w:val="1F880D5B"/>
    <w:rsid w:val="1FE76CAA"/>
    <w:rsid w:val="203FAE12"/>
    <w:rsid w:val="22063A7D"/>
    <w:rsid w:val="22B275D0"/>
    <w:rsid w:val="230F5DAC"/>
    <w:rsid w:val="25823AB6"/>
    <w:rsid w:val="26557F3E"/>
    <w:rsid w:val="2694B4B1"/>
    <w:rsid w:val="28497328"/>
    <w:rsid w:val="2884582F"/>
    <w:rsid w:val="2B388298"/>
    <w:rsid w:val="2B9AE4D2"/>
    <w:rsid w:val="2BDE838E"/>
    <w:rsid w:val="2DEE84E1"/>
    <w:rsid w:val="2E7A270B"/>
    <w:rsid w:val="2F13E39C"/>
    <w:rsid w:val="300384C1"/>
    <w:rsid w:val="3142FC3E"/>
    <w:rsid w:val="31903CDA"/>
    <w:rsid w:val="31D6D65B"/>
    <w:rsid w:val="31E9E6B1"/>
    <w:rsid w:val="329FB8EA"/>
    <w:rsid w:val="34509B51"/>
    <w:rsid w:val="34B5EC30"/>
    <w:rsid w:val="34D7F41B"/>
    <w:rsid w:val="34D8278D"/>
    <w:rsid w:val="3560DB42"/>
    <w:rsid w:val="3574A326"/>
    <w:rsid w:val="35E2A55B"/>
    <w:rsid w:val="363B2BE9"/>
    <w:rsid w:val="3655A2D4"/>
    <w:rsid w:val="36735DBD"/>
    <w:rsid w:val="37A4E254"/>
    <w:rsid w:val="386198BE"/>
    <w:rsid w:val="3947E800"/>
    <w:rsid w:val="39509ED4"/>
    <w:rsid w:val="3A4F11F6"/>
    <w:rsid w:val="3B369028"/>
    <w:rsid w:val="3B4FE9B5"/>
    <w:rsid w:val="3B8A4EDE"/>
    <w:rsid w:val="3BE3F1EB"/>
    <w:rsid w:val="3CBAAE99"/>
    <w:rsid w:val="3DB6AE12"/>
    <w:rsid w:val="3E0B97C5"/>
    <w:rsid w:val="3E195FEA"/>
    <w:rsid w:val="3F0B554F"/>
    <w:rsid w:val="3FE2C545"/>
    <w:rsid w:val="4093EF29"/>
    <w:rsid w:val="40BFA82C"/>
    <w:rsid w:val="40D15E34"/>
    <w:rsid w:val="40DADDDA"/>
    <w:rsid w:val="412B2667"/>
    <w:rsid w:val="413431D1"/>
    <w:rsid w:val="4238E436"/>
    <w:rsid w:val="426F83DA"/>
    <w:rsid w:val="433982B1"/>
    <w:rsid w:val="43CCCD4D"/>
    <w:rsid w:val="445C6E35"/>
    <w:rsid w:val="44B77192"/>
    <w:rsid w:val="44FAAFE4"/>
    <w:rsid w:val="4664288F"/>
    <w:rsid w:val="467FCE94"/>
    <w:rsid w:val="470FB5AC"/>
    <w:rsid w:val="47A87B94"/>
    <w:rsid w:val="48732456"/>
    <w:rsid w:val="487EE845"/>
    <w:rsid w:val="4889B804"/>
    <w:rsid w:val="4A3B456A"/>
    <w:rsid w:val="4BEA76F5"/>
    <w:rsid w:val="4CDE6EB8"/>
    <w:rsid w:val="4D070985"/>
    <w:rsid w:val="4F90ED4C"/>
    <w:rsid w:val="4FC2DD1E"/>
    <w:rsid w:val="50148945"/>
    <w:rsid w:val="5019E4D4"/>
    <w:rsid w:val="507A52EA"/>
    <w:rsid w:val="51241E4F"/>
    <w:rsid w:val="51CFF4EC"/>
    <w:rsid w:val="525FB318"/>
    <w:rsid w:val="52977418"/>
    <w:rsid w:val="53643D69"/>
    <w:rsid w:val="53F87260"/>
    <w:rsid w:val="53FE69FF"/>
    <w:rsid w:val="55C0E76E"/>
    <w:rsid w:val="55EC832F"/>
    <w:rsid w:val="58B1CAD9"/>
    <w:rsid w:val="5A2C426E"/>
    <w:rsid w:val="5AD82090"/>
    <w:rsid w:val="5C5D9196"/>
    <w:rsid w:val="5CC6C8B8"/>
    <w:rsid w:val="5DF961F7"/>
    <w:rsid w:val="5E021798"/>
    <w:rsid w:val="5E596C8B"/>
    <w:rsid w:val="5E6136D1"/>
    <w:rsid w:val="5F1879FD"/>
    <w:rsid w:val="5F8523CD"/>
    <w:rsid w:val="5FE6678D"/>
    <w:rsid w:val="5FFB95E0"/>
    <w:rsid w:val="613102B9"/>
    <w:rsid w:val="62DB1319"/>
    <w:rsid w:val="62E20385"/>
    <w:rsid w:val="649D54D1"/>
    <w:rsid w:val="68C6BFB3"/>
    <w:rsid w:val="6925689A"/>
    <w:rsid w:val="6936E53C"/>
    <w:rsid w:val="6A9186CF"/>
    <w:rsid w:val="6C8F7190"/>
    <w:rsid w:val="6E18D5D8"/>
    <w:rsid w:val="6EC8C9A3"/>
    <w:rsid w:val="6EED9F36"/>
    <w:rsid w:val="6F91F574"/>
    <w:rsid w:val="7030B496"/>
    <w:rsid w:val="708ECBE2"/>
    <w:rsid w:val="70FD948C"/>
    <w:rsid w:val="70FDE0FA"/>
    <w:rsid w:val="722FCE47"/>
    <w:rsid w:val="730F0864"/>
    <w:rsid w:val="755BA46E"/>
    <w:rsid w:val="75935F59"/>
    <w:rsid w:val="7679845D"/>
    <w:rsid w:val="76A42E6F"/>
    <w:rsid w:val="76FDD9A5"/>
    <w:rsid w:val="770AFA1F"/>
    <w:rsid w:val="772AAE41"/>
    <w:rsid w:val="772FE276"/>
    <w:rsid w:val="77847674"/>
    <w:rsid w:val="788D99A3"/>
    <w:rsid w:val="7B16A132"/>
    <w:rsid w:val="7B18701A"/>
    <w:rsid w:val="7B72C8F3"/>
    <w:rsid w:val="7C78CAA9"/>
    <w:rsid w:val="7D570521"/>
    <w:rsid w:val="7D6B4841"/>
    <w:rsid w:val="7D95BF84"/>
    <w:rsid w:val="7EC455C5"/>
    <w:rsid w:val="7EE0EF26"/>
    <w:rsid w:val="7EE8A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743D9"/>
  <w15:chartTrackingRefBased/>
  <w15:docId w15:val="{B6BBDA5B-AA83-4605-B6FD-1F027D4E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5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qFormat/>
    <w:rsid w:val="00F113B3"/>
    <w:pPr>
      <w:keepNext/>
      <w:keepLines/>
      <w:tabs>
        <w:tab w:val="right" w:pos="4196"/>
        <w:tab w:val="right" w:pos="5046"/>
        <w:tab w:val="right" w:pos="5897"/>
        <w:tab w:val="right" w:pos="6747"/>
        <w:tab w:val="right" w:pos="7598"/>
      </w:tabs>
      <w:spacing w:after="600"/>
      <w:outlineLvl w:val="0"/>
    </w:pPr>
    <w:rPr>
      <w:rFonts w:eastAsia="Times New Roman" w:cs="Times New Roman"/>
      <w:bCs/>
      <w:caps/>
      <w:color w:val="00426F"/>
      <w:sz w:val="40"/>
      <w:szCs w:val="28"/>
      <w:lang w:val="en-AU" w:eastAsia="en-AU"/>
    </w:rPr>
  </w:style>
  <w:style w:type="paragraph" w:styleId="Heading2">
    <w:name w:val="heading 2"/>
    <w:basedOn w:val="Normal"/>
    <w:next w:val="BodyText"/>
    <w:link w:val="Heading2Char"/>
    <w:qFormat/>
    <w:rsid w:val="0013575A"/>
    <w:pPr>
      <w:keepNext/>
      <w:pBdr>
        <w:bottom w:val="single" w:sz="4" w:space="4" w:color="008EBA"/>
      </w:pBdr>
      <w:autoSpaceDE/>
      <w:autoSpaceDN/>
      <w:spacing w:before="240" w:after="100"/>
      <w:outlineLvl w:val="1"/>
    </w:pPr>
    <w:rPr>
      <w:rFonts w:ascii="Arial Bold" w:eastAsia="Times New Roman" w:hAnsi="Arial Bold" w:cs="Times New Roman"/>
      <w:b/>
      <w:color w:val="008EBA"/>
      <w:kern w:val="28"/>
      <w:sz w:val="28"/>
      <w:szCs w:val="36"/>
      <w:lang w:val="en-AU"/>
    </w:rPr>
  </w:style>
  <w:style w:type="paragraph" w:styleId="Heading3">
    <w:name w:val="heading 3"/>
    <w:basedOn w:val="Heading2"/>
    <w:next w:val="BodyText"/>
    <w:link w:val="Heading3Char"/>
    <w:qFormat/>
    <w:rsid w:val="00F113B3"/>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0957F3"/>
    <w:pPr>
      <w:keepNext w:val="0"/>
      <w:tabs>
        <w:tab w:val="left" w:pos="567"/>
      </w:tabs>
      <w:spacing w:before="360" w:after="100"/>
      <w:outlineLvl w:val="3"/>
    </w:pPr>
    <w:rPr>
      <w:rFonts w:eastAsia="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3B3"/>
    <w:rPr>
      <w:rFonts w:ascii="Arial" w:eastAsia="Times New Roman" w:hAnsi="Arial" w:cs="Times New Roman"/>
      <w:bCs/>
      <w:caps/>
      <w:color w:val="00426F"/>
      <w:sz w:val="40"/>
      <w:szCs w:val="28"/>
      <w:lang w:eastAsia="en-AU"/>
    </w:rPr>
  </w:style>
  <w:style w:type="character" w:customStyle="1" w:styleId="Heading2Char">
    <w:name w:val="Heading 2 Char"/>
    <w:link w:val="Heading2"/>
    <w:rsid w:val="00F113B3"/>
    <w:rPr>
      <w:rFonts w:ascii="Arial Bold" w:eastAsia="Times New Roman" w:hAnsi="Arial Bold" w:cs="Times New Roman"/>
      <w:b/>
      <w:color w:val="008EBA"/>
      <w:kern w:val="28"/>
      <w:sz w:val="28"/>
      <w:szCs w:val="36"/>
    </w:rPr>
  </w:style>
  <w:style w:type="character" w:customStyle="1" w:styleId="Heading4Char">
    <w:name w:val="Heading 4 Char"/>
    <w:link w:val="Heading4"/>
    <w:rsid w:val="000957F3"/>
    <w:rPr>
      <w:rFonts w:ascii="Arial Bold" w:eastAsia="Arial Unicode MS" w:hAnsi="Arial Bold" w:cs="Times New Roman"/>
      <w:b/>
      <w:kern w:val="28"/>
      <w:sz w:val="24"/>
      <w:szCs w:val="36"/>
    </w:rPr>
  </w:style>
  <w:style w:type="paragraph" w:styleId="BodyText">
    <w:name w:val="Body Text"/>
    <w:link w:val="BodyTextChar"/>
    <w:autoRedefine/>
    <w:rsid w:val="00673118"/>
    <w:pPr>
      <w:spacing w:before="160" w:after="100" w:line="240" w:lineRule="atLeast"/>
    </w:pPr>
    <w:rPr>
      <w:rFonts w:ascii="Arial" w:hAnsi="Arial" w:cs="Arial"/>
      <w:bCs/>
      <w:sz w:val="23"/>
      <w:szCs w:val="20"/>
    </w:rPr>
  </w:style>
  <w:style w:type="character" w:customStyle="1" w:styleId="BodyTextChar">
    <w:name w:val="Body Text Char"/>
    <w:basedOn w:val="DefaultParagraphFont"/>
    <w:link w:val="BodyText"/>
    <w:rsid w:val="00673118"/>
    <w:rPr>
      <w:rFonts w:ascii="Arial" w:hAnsi="Arial" w:cs="Arial"/>
      <w:bCs/>
      <w:sz w:val="23"/>
      <w:szCs w:val="20"/>
    </w:rPr>
  </w:style>
  <w:style w:type="paragraph" w:styleId="ListParagraph">
    <w:name w:val="List Paragraph"/>
    <w:basedOn w:val="Normal"/>
    <w:uiPriority w:val="34"/>
    <w:qFormat/>
    <w:rsid w:val="00637B53"/>
    <w:pPr>
      <w:ind w:left="510" w:hanging="357"/>
    </w:pPr>
  </w:style>
  <w:style w:type="paragraph" w:customStyle="1" w:styleId="TableParagraph">
    <w:name w:val="Table Paragraph"/>
    <w:basedOn w:val="Normal"/>
    <w:uiPriority w:val="1"/>
    <w:qFormat/>
    <w:rsid w:val="00637B53"/>
    <w:pPr>
      <w:spacing w:before="11"/>
      <w:jc w:val="right"/>
    </w:pPr>
  </w:style>
  <w:style w:type="paragraph" w:styleId="Header">
    <w:name w:val="header"/>
    <w:basedOn w:val="Normal"/>
    <w:link w:val="HeaderChar"/>
    <w:uiPriority w:val="99"/>
    <w:unhideWhenUsed/>
    <w:rsid w:val="00637B53"/>
    <w:pPr>
      <w:tabs>
        <w:tab w:val="center" w:pos="4513"/>
        <w:tab w:val="right" w:pos="9026"/>
      </w:tabs>
    </w:pPr>
  </w:style>
  <w:style w:type="character" w:customStyle="1" w:styleId="HeaderChar">
    <w:name w:val="Header Char"/>
    <w:basedOn w:val="DefaultParagraphFont"/>
    <w:link w:val="Header"/>
    <w:uiPriority w:val="99"/>
    <w:rsid w:val="00637B53"/>
    <w:rPr>
      <w:rFonts w:ascii="Arial" w:eastAsia="Arial" w:hAnsi="Arial" w:cs="Arial"/>
      <w:lang w:val="en-US"/>
    </w:rPr>
  </w:style>
  <w:style w:type="paragraph" w:styleId="Footer">
    <w:name w:val="footer"/>
    <w:basedOn w:val="Normal"/>
    <w:link w:val="FooterChar"/>
    <w:unhideWhenUsed/>
    <w:rsid w:val="00637B53"/>
    <w:pPr>
      <w:tabs>
        <w:tab w:val="center" w:pos="4513"/>
        <w:tab w:val="right" w:pos="9026"/>
      </w:tabs>
    </w:pPr>
  </w:style>
  <w:style w:type="character" w:customStyle="1" w:styleId="FooterChar">
    <w:name w:val="Footer Char"/>
    <w:basedOn w:val="DefaultParagraphFont"/>
    <w:link w:val="Footer"/>
    <w:rsid w:val="00637B53"/>
    <w:rPr>
      <w:rFonts w:ascii="Arial" w:eastAsia="Arial" w:hAnsi="Arial" w:cs="Arial"/>
      <w:lang w:val="en-US"/>
    </w:rPr>
  </w:style>
  <w:style w:type="paragraph" w:styleId="BalloonText">
    <w:name w:val="Balloon Text"/>
    <w:basedOn w:val="Normal"/>
    <w:link w:val="BalloonTextChar"/>
    <w:uiPriority w:val="99"/>
    <w:semiHidden/>
    <w:unhideWhenUsed/>
    <w:rsid w:val="004F4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F0"/>
    <w:rPr>
      <w:rFonts w:ascii="Segoe UI" w:eastAsia="Arial" w:hAnsi="Segoe UI" w:cs="Segoe UI"/>
      <w:sz w:val="18"/>
      <w:szCs w:val="18"/>
      <w:lang w:val="en-US"/>
    </w:rPr>
  </w:style>
  <w:style w:type="paragraph" w:styleId="CommentText">
    <w:name w:val="annotation text"/>
    <w:basedOn w:val="Normal"/>
    <w:link w:val="CommentTextChar"/>
    <w:uiPriority w:val="99"/>
    <w:unhideWhenUsed/>
    <w:rsid w:val="00FD3585"/>
    <w:rPr>
      <w:sz w:val="20"/>
      <w:szCs w:val="20"/>
    </w:rPr>
  </w:style>
  <w:style w:type="character" w:customStyle="1" w:styleId="CommentTextChar">
    <w:name w:val="Comment Text Char"/>
    <w:basedOn w:val="DefaultParagraphFont"/>
    <w:link w:val="CommentText"/>
    <w:uiPriority w:val="99"/>
    <w:rsid w:val="00FD3585"/>
    <w:rPr>
      <w:rFonts w:ascii="Arial" w:eastAsia="Arial" w:hAnsi="Arial" w:cs="Arial"/>
      <w:sz w:val="20"/>
      <w:szCs w:val="20"/>
      <w:lang w:val="en-US"/>
    </w:rPr>
  </w:style>
  <w:style w:type="character" w:styleId="CommentReference">
    <w:name w:val="annotation reference"/>
    <w:basedOn w:val="DefaultParagraphFont"/>
    <w:uiPriority w:val="99"/>
    <w:unhideWhenUsed/>
    <w:rsid w:val="00FD3585"/>
    <w:rPr>
      <w:sz w:val="16"/>
      <w:szCs w:val="16"/>
    </w:rPr>
  </w:style>
  <w:style w:type="paragraph" w:styleId="CommentSubject">
    <w:name w:val="annotation subject"/>
    <w:basedOn w:val="CommentText"/>
    <w:next w:val="CommentText"/>
    <w:link w:val="CommentSubjectChar"/>
    <w:uiPriority w:val="99"/>
    <w:semiHidden/>
    <w:unhideWhenUsed/>
    <w:rsid w:val="00FB2B6D"/>
    <w:rPr>
      <w:b/>
      <w:bCs/>
    </w:rPr>
  </w:style>
  <w:style w:type="character" w:customStyle="1" w:styleId="CommentSubjectChar">
    <w:name w:val="Comment Subject Char"/>
    <w:basedOn w:val="CommentTextChar"/>
    <w:link w:val="CommentSubject"/>
    <w:uiPriority w:val="99"/>
    <w:semiHidden/>
    <w:rsid w:val="00FB2B6D"/>
    <w:rPr>
      <w:rFonts w:ascii="Arial" w:eastAsia="Arial" w:hAnsi="Arial" w:cs="Arial"/>
      <w:b/>
      <w:bCs/>
      <w:sz w:val="20"/>
      <w:szCs w:val="20"/>
      <w:lang w:val="en-US"/>
    </w:rPr>
  </w:style>
  <w:style w:type="character" w:customStyle="1" w:styleId="UnresolvedMention1">
    <w:name w:val="Unresolved Mention1"/>
    <w:basedOn w:val="DefaultParagraphFont"/>
    <w:uiPriority w:val="99"/>
    <w:unhideWhenUsed/>
    <w:rsid w:val="00FB2B6D"/>
    <w:rPr>
      <w:color w:val="605E5C"/>
      <w:shd w:val="clear" w:color="auto" w:fill="E1DFDD"/>
    </w:rPr>
  </w:style>
  <w:style w:type="character" w:customStyle="1" w:styleId="Mention1">
    <w:name w:val="Mention1"/>
    <w:basedOn w:val="DefaultParagraphFont"/>
    <w:uiPriority w:val="99"/>
    <w:unhideWhenUsed/>
    <w:rsid w:val="00FB2B6D"/>
    <w:rPr>
      <w:color w:val="2B579A"/>
      <w:shd w:val="clear" w:color="auto" w:fill="E1DFDD"/>
    </w:rPr>
  </w:style>
  <w:style w:type="paragraph" w:styleId="NormalWeb">
    <w:name w:val="Normal (Web)"/>
    <w:basedOn w:val="Normal"/>
    <w:uiPriority w:val="99"/>
    <w:semiHidden/>
    <w:unhideWhenUsed/>
    <w:rsid w:val="004475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B77E9D"/>
    <w:pPr>
      <w:spacing w:after="0" w:line="240" w:lineRule="auto"/>
    </w:pPr>
    <w:rPr>
      <w:rFonts w:ascii="Arial" w:eastAsia="Arial" w:hAnsi="Arial" w:cs="Arial"/>
      <w:lang w:val="en-US"/>
    </w:rPr>
  </w:style>
  <w:style w:type="paragraph" w:customStyle="1" w:styleId="BodyTextBox">
    <w:name w:val="Body Text Box"/>
    <w:basedOn w:val="Normal"/>
    <w:link w:val="BodyTextBoxChar"/>
    <w:autoRedefine/>
    <w:rsid w:val="00C13DD6"/>
    <w:pPr>
      <w:widowControl/>
      <w:autoSpaceDE/>
      <w:autoSpaceDN/>
      <w:spacing w:before="120" w:after="80" w:line="240" w:lineRule="atLeast"/>
    </w:pPr>
    <w:rPr>
      <w:rFonts w:eastAsia="Times New Roman"/>
      <w:color w:val="008EBA"/>
      <w:sz w:val="23"/>
      <w:szCs w:val="23"/>
      <w:lang w:val="en-AU"/>
    </w:rPr>
  </w:style>
  <w:style w:type="character" w:customStyle="1" w:styleId="BodyTextBoxChar">
    <w:name w:val="Body Text Box Char"/>
    <w:link w:val="BodyTextBox"/>
    <w:rsid w:val="00C13DD6"/>
    <w:rPr>
      <w:rFonts w:ascii="Arial" w:eastAsia="Times New Roman" w:hAnsi="Arial" w:cs="Arial"/>
      <w:color w:val="008EBA"/>
      <w:sz w:val="23"/>
      <w:szCs w:val="23"/>
    </w:rPr>
  </w:style>
  <w:style w:type="paragraph" w:customStyle="1" w:styleId="Bullet1">
    <w:name w:val="Bullet 1"/>
    <w:basedOn w:val="BodyText"/>
    <w:link w:val="Bullet1Char"/>
    <w:autoRedefine/>
    <w:rsid w:val="008A47A3"/>
    <w:pPr>
      <w:numPr>
        <w:numId w:val="26"/>
      </w:numPr>
      <w:tabs>
        <w:tab w:val="left" w:pos="1276"/>
      </w:tabs>
      <w:spacing w:before="120" w:after="80"/>
      <w:ind w:left="357" w:hanging="357"/>
    </w:pPr>
    <w:rPr>
      <w:bCs w:val="0"/>
      <w:iCs/>
      <w:sz w:val="22"/>
      <w:szCs w:val="22"/>
    </w:rPr>
  </w:style>
  <w:style w:type="character" w:customStyle="1" w:styleId="Bullet1Char">
    <w:name w:val="Bullet 1 Char"/>
    <w:link w:val="Bullet1"/>
    <w:rsid w:val="009D7585"/>
    <w:rPr>
      <w:rFonts w:ascii="Arial" w:hAnsi="Arial" w:cs="Arial"/>
      <w:iCs/>
    </w:rPr>
  </w:style>
  <w:style w:type="paragraph" w:customStyle="1" w:styleId="Bullet1inabox">
    <w:name w:val="Bullet 1 in a box"/>
    <w:basedOn w:val="Bullet1"/>
    <w:autoRedefine/>
    <w:rsid w:val="00C13DD6"/>
    <w:pPr>
      <w:numPr>
        <w:numId w:val="41"/>
      </w:numPr>
      <w:spacing w:before="100" w:after="60"/>
    </w:pPr>
    <w:rPr>
      <w:rFonts w:cs="Times New Roman"/>
      <w:color w:val="008EBA"/>
    </w:rPr>
  </w:style>
  <w:style w:type="paragraph" w:customStyle="1" w:styleId="Bullet2">
    <w:name w:val="Bullet 2"/>
    <w:basedOn w:val="Bullet1"/>
    <w:rsid w:val="00EF13EA"/>
    <w:pPr>
      <w:numPr>
        <w:numId w:val="18"/>
      </w:numPr>
      <w:tabs>
        <w:tab w:val="left" w:pos="851"/>
      </w:tabs>
      <w:spacing w:before="80" w:after="40"/>
    </w:pPr>
  </w:style>
  <w:style w:type="paragraph" w:customStyle="1" w:styleId="Bullet2inabox">
    <w:name w:val="Bullet 2 in a box"/>
    <w:basedOn w:val="Normal"/>
    <w:qFormat/>
    <w:rsid w:val="00EF13EA"/>
    <w:pPr>
      <w:widowControl/>
      <w:numPr>
        <w:numId w:val="19"/>
      </w:numPr>
      <w:autoSpaceDE/>
      <w:autoSpaceDN/>
      <w:spacing w:before="100" w:after="60" w:line="240" w:lineRule="atLeast"/>
    </w:pPr>
    <w:rPr>
      <w:rFonts w:eastAsia="Times New Roman" w:cs="Times New Roman"/>
      <w:color w:val="008EBA"/>
      <w:sz w:val="23"/>
      <w:szCs w:val="20"/>
      <w:lang w:val="en-AU"/>
    </w:rPr>
  </w:style>
  <w:style w:type="character" w:customStyle="1" w:styleId="Heading3Char">
    <w:name w:val="Heading 3 Char"/>
    <w:link w:val="Heading3"/>
    <w:rsid w:val="00F113B3"/>
    <w:rPr>
      <w:rFonts w:ascii="Arial Bold" w:eastAsia="Times New Roman" w:hAnsi="Arial Bold" w:cs="Times New Roman"/>
      <w:b/>
      <w:kern w:val="28"/>
      <w:sz w:val="26"/>
      <w:szCs w:val="36"/>
    </w:rPr>
  </w:style>
  <w:style w:type="character" w:styleId="UnresolvedMention">
    <w:name w:val="Unresolved Mention"/>
    <w:basedOn w:val="DefaultParagraphFont"/>
    <w:uiPriority w:val="99"/>
    <w:unhideWhenUsed/>
    <w:rsid w:val="00DC1508"/>
    <w:rPr>
      <w:color w:val="605E5C"/>
      <w:shd w:val="clear" w:color="auto" w:fill="E1DFDD"/>
    </w:rPr>
  </w:style>
  <w:style w:type="character" w:styleId="Mention">
    <w:name w:val="Mention"/>
    <w:basedOn w:val="DefaultParagraphFont"/>
    <w:uiPriority w:val="99"/>
    <w:unhideWhenUsed/>
    <w:rsid w:val="007D284F"/>
    <w:rPr>
      <w:color w:val="2B579A"/>
      <w:shd w:val="clear" w:color="auto" w:fill="E1DFDD"/>
    </w:rPr>
  </w:style>
  <w:style w:type="paragraph" w:customStyle="1" w:styleId="BoxHeading">
    <w:name w:val="Box Heading"/>
    <w:basedOn w:val="Normal"/>
    <w:autoRedefine/>
    <w:rsid w:val="00B055AE"/>
    <w:pPr>
      <w:tabs>
        <w:tab w:val="left" w:pos="1100"/>
      </w:tabs>
      <w:autoSpaceDE/>
      <w:autoSpaceDN/>
      <w:spacing w:before="80" w:after="60" w:line="240" w:lineRule="atLeast"/>
      <w:ind w:left="1021" w:hanging="1021"/>
      <w:outlineLvl w:val="2"/>
    </w:pPr>
    <w:rPr>
      <w:rFonts w:ascii="Arial Bold" w:eastAsia="Times New Roman" w:hAnsi="Arial Bold"/>
      <w:b/>
      <w:sz w:val="23"/>
      <w:szCs w:val="20"/>
    </w:rPr>
  </w:style>
  <w:style w:type="table" w:styleId="TableGrid">
    <w:name w:val="Table Grid"/>
    <w:basedOn w:val="TableNormal"/>
    <w:uiPriority w:val="39"/>
    <w:rsid w:val="00D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27E3"/>
  </w:style>
  <w:style w:type="character" w:customStyle="1" w:styleId="eop">
    <w:name w:val="eop"/>
    <w:basedOn w:val="DefaultParagraphFont"/>
    <w:rsid w:val="007C27E3"/>
  </w:style>
  <w:style w:type="paragraph" w:customStyle="1" w:styleId="paragraph">
    <w:name w:val="paragraph"/>
    <w:basedOn w:val="Normal"/>
    <w:rsid w:val="00B92283"/>
    <w:pPr>
      <w:widowControl/>
      <w:autoSpaceDE/>
      <w:autoSpaceDN/>
      <w:spacing w:before="100" w:beforeAutospacing="1" w:after="100" w:afterAutospacing="1"/>
    </w:pPr>
    <w:rPr>
      <w:rFonts w:ascii="Calibri" w:eastAsiaTheme="minorHAns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724">
      <w:bodyDiv w:val="1"/>
      <w:marLeft w:val="0"/>
      <w:marRight w:val="0"/>
      <w:marTop w:val="0"/>
      <w:marBottom w:val="0"/>
      <w:divBdr>
        <w:top w:val="none" w:sz="0" w:space="0" w:color="auto"/>
        <w:left w:val="none" w:sz="0" w:space="0" w:color="auto"/>
        <w:bottom w:val="none" w:sz="0" w:space="0" w:color="auto"/>
        <w:right w:val="none" w:sz="0" w:space="0" w:color="auto"/>
      </w:divBdr>
    </w:div>
    <w:div w:id="108473930">
      <w:bodyDiv w:val="1"/>
      <w:marLeft w:val="0"/>
      <w:marRight w:val="0"/>
      <w:marTop w:val="0"/>
      <w:marBottom w:val="0"/>
      <w:divBdr>
        <w:top w:val="none" w:sz="0" w:space="0" w:color="auto"/>
        <w:left w:val="none" w:sz="0" w:space="0" w:color="auto"/>
        <w:bottom w:val="none" w:sz="0" w:space="0" w:color="auto"/>
        <w:right w:val="none" w:sz="0" w:space="0" w:color="auto"/>
      </w:divBdr>
    </w:div>
    <w:div w:id="195584962">
      <w:bodyDiv w:val="1"/>
      <w:marLeft w:val="0"/>
      <w:marRight w:val="0"/>
      <w:marTop w:val="0"/>
      <w:marBottom w:val="0"/>
      <w:divBdr>
        <w:top w:val="none" w:sz="0" w:space="0" w:color="auto"/>
        <w:left w:val="none" w:sz="0" w:space="0" w:color="auto"/>
        <w:bottom w:val="none" w:sz="0" w:space="0" w:color="auto"/>
        <w:right w:val="none" w:sz="0" w:space="0" w:color="auto"/>
      </w:divBdr>
    </w:div>
    <w:div w:id="244339226">
      <w:bodyDiv w:val="1"/>
      <w:marLeft w:val="0"/>
      <w:marRight w:val="0"/>
      <w:marTop w:val="0"/>
      <w:marBottom w:val="0"/>
      <w:divBdr>
        <w:top w:val="none" w:sz="0" w:space="0" w:color="auto"/>
        <w:left w:val="none" w:sz="0" w:space="0" w:color="auto"/>
        <w:bottom w:val="none" w:sz="0" w:space="0" w:color="auto"/>
        <w:right w:val="none" w:sz="0" w:space="0" w:color="auto"/>
      </w:divBdr>
    </w:div>
    <w:div w:id="643855840">
      <w:bodyDiv w:val="1"/>
      <w:marLeft w:val="0"/>
      <w:marRight w:val="0"/>
      <w:marTop w:val="0"/>
      <w:marBottom w:val="0"/>
      <w:divBdr>
        <w:top w:val="none" w:sz="0" w:space="0" w:color="auto"/>
        <w:left w:val="none" w:sz="0" w:space="0" w:color="auto"/>
        <w:bottom w:val="none" w:sz="0" w:space="0" w:color="auto"/>
        <w:right w:val="none" w:sz="0" w:space="0" w:color="auto"/>
      </w:divBdr>
    </w:div>
    <w:div w:id="663358165">
      <w:bodyDiv w:val="1"/>
      <w:marLeft w:val="0"/>
      <w:marRight w:val="0"/>
      <w:marTop w:val="0"/>
      <w:marBottom w:val="0"/>
      <w:divBdr>
        <w:top w:val="none" w:sz="0" w:space="0" w:color="auto"/>
        <w:left w:val="none" w:sz="0" w:space="0" w:color="auto"/>
        <w:bottom w:val="none" w:sz="0" w:space="0" w:color="auto"/>
        <w:right w:val="none" w:sz="0" w:space="0" w:color="auto"/>
      </w:divBdr>
    </w:div>
    <w:div w:id="855457425">
      <w:bodyDiv w:val="1"/>
      <w:marLeft w:val="0"/>
      <w:marRight w:val="0"/>
      <w:marTop w:val="0"/>
      <w:marBottom w:val="0"/>
      <w:divBdr>
        <w:top w:val="none" w:sz="0" w:space="0" w:color="auto"/>
        <w:left w:val="none" w:sz="0" w:space="0" w:color="auto"/>
        <w:bottom w:val="none" w:sz="0" w:space="0" w:color="auto"/>
        <w:right w:val="none" w:sz="0" w:space="0" w:color="auto"/>
      </w:divBdr>
    </w:div>
    <w:div w:id="1179389384">
      <w:bodyDiv w:val="1"/>
      <w:marLeft w:val="0"/>
      <w:marRight w:val="0"/>
      <w:marTop w:val="0"/>
      <w:marBottom w:val="0"/>
      <w:divBdr>
        <w:top w:val="none" w:sz="0" w:space="0" w:color="auto"/>
        <w:left w:val="none" w:sz="0" w:space="0" w:color="auto"/>
        <w:bottom w:val="none" w:sz="0" w:space="0" w:color="auto"/>
        <w:right w:val="none" w:sz="0" w:space="0" w:color="auto"/>
      </w:divBdr>
    </w:div>
    <w:div w:id="1208566003">
      <w:bodyDiv w:val="1"/>
      <w:marLeft w:val="0"/>
      <w:marRight w:val="0"/>
      <w:marTop w:val="0"/>
      <w:marBottom w:val="0"/>
      <w:divBdr>
        <w:top w:val="none" w:sz="0" w:space="0" w:color="auto"/>
        <w:left w:val="none" w:sz="0" w:space="0" w:color="auto"/>
        <w:bottom w:val="none" w:sz="0" w:space="0" w:color="auto"/>
        <w:right w:val="none" w:sz="0" w:space="0" w:color="auto"/>
      </w:divBdr>
    </w:div>
    <w:div w:id="1718502795">
      <w:bodyDiv w:val="1"/>
      <w:marLeft w:val="0"/>
      <w:marRight w:val="0"/>
      <w:marTop w:val="0"/>
      <w:marBottom w:val="0"/>
      <w:divBdr>
        <w:top w:val="none" w:sz="0" w:space="0" w:color="auto"/>
        <w:left w:val="none" w:sz="0" w:space="0" w:color="auto"/>
        <w:bottom w:val="none" w:sz="0" w:space="0" w:color="auto"/>
        <w:right w:val="none" w:sz="0" w:space="0" w:color="auto"/>
      </w:divBdr>
      <w:divsChild>
        <w:div w:id="1128821171">
          <w:marLeft w:val="274"/>
          <w:marRight w:val="0"/>
          <w:marTop w:val="120"/>
          <w:marBottom w:val="0"/>
          <w:divBdr>
            <w:top w:val="none" w:sz="0" w:space="0" w:color="auto"/>
            <w:left w:val="none" w:sz="0" w:space="0" w:color="auto"/>
            <w:bottom w:val="none" w:sz="0" w:space="0" w:color="auto"/>
            <w:right w:val="none" w:sz="0" w:space="0" w:color="auto"/>
          </w:divBdr>
        </w:div>
        <w:div w:id="1136139805">
          <w:marLeft w:val="274"/>
          <w:marRight w:val="0"/>
          <w:marTop w:val="120"/>
          <w:marBottom w:val="0"/>
          <w:divBdr>
            <w:top w:val="none" w:sz="0" w:space="0" w:color="auto"/>
            <w:left w:val="none" w:sz="0" w:space="0" w:color="auto"/>
            <w:bottom w:val="none" w:sz="0" w:space="0" w:color="auto"/>
            <w:right w:val="none" w:sz="0" w:space="0" w:color="auto"/>
          </w:divBdr>
        </w:div>
        <w:div w:id="1675525692">
          <w:marLeft w:val="274"/>
          <w:marRight w:val="0"/>
          <w:marTop w:val="120"/>
          <w:marBottom w:val="0"/>
          <w:divBdr>
            <w:top w:val="none" w:sz="0" w:space="0" w:color="auto"/>
            <w:left w:val="none" w:sz="0" w:space="0" w:color="auto"/>
            <w:bottom w:val="none" w:sz="0" w:space="0" w:color="auto"/>
            <w:right w:val="none" w:sz="0" w:space="0" w:color="auto"/>
          </w:divBdr>
        </w:div>
        <w:div w:id="2000191244">
          <w:marLeft w:val="274"/>
          <w:marRight w:val="0"/>
          <w:marTop w:val="120"/>
          <w:marBottom w:val="0"/>
          <w:divBdr>
            <w:top w:val="none" w:sz="0" w:space="0" w:color="auto"/>
            <w:left w:val="none" w:sz="0" w:space="0" w:color="auto"/>
            <w:bottom w:val="none" w:sz="0" w:space="0" w:color="auto"/>
            <w:right w:val="none" w:sz="0" w:space="0" w:color="auto"/>
          </w:divBdr>
        </w:div>
      </w:divsChild>
    </w:div>
    <w:div w:id="1749227729">
      <w:bodyDiv w:val="1"/>
      <w:marLeft w:val="0"/>
      <w:marRight w:val="0"/>
      <w:marTop w:val="0"/>
      <w:marBottom w:val="0"/>
      <w:divBdr>
        <w:top w:val="none" w:sz="0" w:space="0" w:color="auto"/>
        <w:left w:val="none" w:sz="0" w:space="0" w:color="auto"/>
        <w:bottom w:val="none" w:sz="0" w:space="0" w:color="auto"/>
        <w:right w:val="none" w:sz="0" w:space="0" w:color="auto"/>
      </w:divBdr>
    </w:div>
    <w:div w:id="1772623465">
      <w:bodyDiv w:val="1"/>
      <w:marLeft w:val="0"/>
      <w:marRight w:val="0"/>
      <w:marTop w:val="0"/>
      <w:marBottom w:val="0"/>
      <w:divBdr>
        <w:top w:val="none" w:sz="0" w:space="0" w:color="auto"/>
        <w:left w:val="none" w:sz="0" w:space="0" w:color="auto"/>
        <w:bottom w:val="none" w:sz="0" w:space="0" w:color="auto"/>
        <w:right w:val="none" w:sz="0" w:space="0" w:color="auto"/>
      </w:divBdr>
      <w:divsChild>
        <w:div w:id="432172810">
          <w:marLeft w:val="0"/>
          <w:marRight w:val="0"/>
          <w:marTop w:val="0"/>
          <w:marBottom w:val="0"/>
          <w:divBdr>
            <w:top w:val="none" w:sz="0" w:space="0" w:color="auto"/>
            <w:left w:val="none" w:sz="0" w:space="0" w:color="auto"/>
            <w:bottom w:val="none" w:sz="0" w:space="0" w:color="auto"/>
            <w:right w:val="none" w:sz="0" w:space="0" w:color="auto"/>
          </w:divBdr>
        </w:div>
      </w:divsChild>
    </w:div>
    <w:div w:id="1885825357">
      <w:bodyDiv w:val="1"/>
      <w:marLeft w:val="0"/>
      <w:marRight w:val="0"/>
      <w:marTop w:val="0"/>
      <w:marBottom w:val="0"/>
      <w:divBdr>
        <w:top w:val="none" w:sz="0" w:space="0" w:color="auto"/>
        <w:left w:val="none" w:sz="0" w:space="0" w:color="auto"/>
        <w:bottom w:val="none" w:sz="0" w:space="0" w:color="auto"/>
        <w:right w:val="none" w:sz="0" w:space="0" w:color="auto"/>
      </w:divBdr>
    </w:div>
    <w:div w:id="18887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7F0385C1-4298-48CD-9A3F-EEFCAD25219A}">
    <t:Anchor>
      <t:Comment id="591577329"/>
    </t:Anchor>
    <t:History>
      <t:Event id="{683851B1-E4B8-45B0-A685-A2B0BE4A6538}" time="2020-10-27T05:09:02Z">
        <t:Attribution userId="S::tegan.tembe1@treasury.nsw.gov.au::a8887808-8685-4999-a6b3-8b823461b606" userProvider="AD" userName="Tegan Tembe"/>
        <t:Anchor>
          <t:Comment id="124397825"/>
        </t:Anchor>
        <t:Create/>
      </t:Event>
      <t:Event id="{DC33686C-4E68-469C-88E1-75ED039C3C99}" time="2020-10-27T05:09:02Z">
        <t:Attribution userId="S::tegan.tembe1@treasury.nsw.gov.au::a8887808-8685-4999-a6b3-8b823461b606" userProvider="AD" userName="Tegan Tembe"/>
        <t:Anchor>
          <t:Comment id="124397825"/>
        </t:Anchor>
        <t:Assign userId="S::Angela.McIlwain2@treasury.nsw.gov.au::ae10aa57-31ce-4955-bbfb-ac2613e54183" userProvider="AD" userName="Angela McIlwain"/>
      </t:Event>
      <t:Event id="{04EBB9E6-17C9-4DDB-96B9-B10BA7DEB03C}" time="2020-10-27T05:09:02Z">
        <t:Attribution userId="S::tegan.tembe1@treasury.nsw.gov.au::a8887808-8685-4999-a6b3-8b823461b606" userProvider="AD" userName="Tegan Tembe"/>
        <t:Anchor>
          <t:Comment id="124397825"/>
        </t:Anchor>
        <t:SetTitle title="@Angela McIlwain I think his comment is that &quot;programs &amp; metrics..&quot;, perhaps we could include another dot point to say: - note that Programs and Program Performance Measures are being further refined as the Outcome Budgeting Framework continues to …"/>
      </t:Event>
      <t:Event id="{2FDE0DA1-733D-4EFE-9156-30F1BD369793}" time="2020-10-27T05:29:36Z">
        <t:Attribution userId="S::tegan.tembe1@treasury.nsw.gov.au::a8887808-8685-4999-a6b3-8b823461b606" userProvider="AD" userName="Tegan Temb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Melissa Power</DisplayName>
        <AccountId>45</AccountId>
        <AccountType/>
      </UserInfo>
    </SharedWithUsers>
    <_Flow_SignoffStatus xmlns="1c478e85-8130-4c67-8ee4-8bdf1c0e6049" xsi:nil="true"/>
  </documentManagement>
</p:properties>
</file>

<file path=customXml/itemProps1.xml><?xml version="1.0" encoding="utf-8"?>
<ds:datastoreItem xmlns:ds="http://schemas.openxmlformats.org/officeDocument/2006/customXml" ds:itemID="{43FC997B-4111-4E3F-96CF-3AC6AEC2E9DC}">
  <ds:schemaRefs>
    <ds:schemaRef ds:uri="http://schemas.microsoft.com/sharepoint/v3/contenttype/forms"/>
  </ds:schemaRefs>
</ds:datastoreItem>
</file>

<file path=customXml/itemProps2.xml><?xml version="1.0" encoding="utf-8"?>
<ds:datastoreItem xmlns:ds="http://schemas.openxmlformats.org/officeDocument/2006/customXml" ds:itemID="{5396A20E-9F57-42E1-B2B3-D01872C0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F46AF-79B4-4999-997E-BEF3A8F6F6E4}">
  <ds:schemaRefs>
    <ds:schemaRef ds:uri="http://schemas.openxmlformats.org/officeDocument/2006/bibliography"/>
  </ds:schemaRefs>
</ds:datastoreItem>
</file>

<file path=customXml/itemProps4.xml><?xml version="1.0" encoding="utf-8"?>
<ds:datastoreItem xmlns:ds="http://schemas.openxmlformats.org/officeDocument/2006/customXml" ds:itemID="{2EDFF9E5-4CDB-4D20-8BDF-DC4CDF9A169D}">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2021-22 Budget - Budget Paper No. 2 - Ouctomes Statements - About this budget paper</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 Budget Paper No. 2 - Ouctomes Statements - Outcomes Statement Overview</dc:title>
  <dc:subject/>
  <dc:creator>Janette Semerdjian</dc:creator>
  <cp:keywords>The Treasury</cp:keywords>
  <dc:description/>
  <cp:lastModifiedBy>Francess Lavorato</cp:lastModifiedBy>
  <cp:revision>67</cp:revision>
  <cp:lastPrinted>2021-06-15T01:40:00Z</cp:lastPrinted>
  <dcterms:created xsi:type="dcterms:W3CDTF">2021-06-09T18:51:00Z</dcterms:created>
  <dcterms:modified xsi:type="dcterms:W3CDTF">2021-06-15T10:24:00Z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