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09FBDF09" w:rsidR="00A63D1D" w:rsidRPr="0011239F" w:rsidRDefault="00860735" w:rsidP="005C0910">
      <w:pPr>
        <w:pStyle w:val="Heading1"/>
        <w:spacing w:before="480" w:after="480"/>
        <w:rPr>
          <w:rFonts w:cs="Arial"/>
        </w:rPr>
      </w:pPr>
      <w:r>
        <w:rPr>
          <w:rFonts w:cs="Arial"/>
        </w:rPr>
        <w:t>7</w:t>
      </w:r>
      <w:r w:rsidR="004D606F" w:rsidRPr="0011239F">
        <w:rPr>
          <w:rFonts w:cs="Arial"/>
        </w:rPr>
        <w:t xml:space="preserve">. </w:t>
      </w:r>
      <w:r w:rsidR="00FA09EC" w:rsidRPr="0011239F">
        <w:rPr>
          <w:rFonts w:cs="Arial"/>
        </w:rPr>
        <w:tab/>
      </w:r>
      <w:r w:rsidR="006D5500">
        <w:rPr>
          <w:rFonts w:cs="Arial"/>
        </w:rPr>
        <w:t>REGIONAL NSW</w:t>
      </w:r>
      <w:r w:rsidR="00621ABC" w:rsidRPr="0011239F">
        <w:rPr>
          <w:rFonts w:cs="Arial"/>
        </w:rPr>
        <w:t xml:space="preserve"> </w:t>
      </w:r>
      <w:r w:rsidR="00A63D1D" w:rsidRPr="0011239F">
        <w:rPr>
          <w:rFonts w:cs="Arial"/>
        </w:rPr>
        <w:t>CLUSTER</w:t>
      </w:r>
    </w:p>
    <w:p w14:paraId="74043476" w14:textId="79E29476" w:rsidR="00A63D1D" w:rsidRPr="0011239F" w:rsidRDefault="00AA32E9" w:rsidP="00A15BFD">
      <w:pPr>
        <w:pStyle w:val="Heading2"/>
        <w:numPr>
          <w:ilvl w:val="0"/>
          <w:numId w:val="0"/>
        </w:numPr>
      </w:pPr>
      <w:bookmarkStart w:id="0" w:name="_Toc511769333"/>
      <w:r>
        <w:t>7.1</w:t>
      </w:r>
      <w:r>
        <w:tab/>
      </w:r>
      <w:r w:rsidR="00A63D1D">
        <w:t>Introduction</w:t>
      </w:r>
      <w:bookmarkEnd w:id="0"/>
    </w:p>
    <w:tbl>
      <w:tblPr>
        <w:tblpPr w:leftFromText="180" w:rightFromText="180" w:vertAnchor="text" w:horzAnchor="margin" w:tblpXSpec="right" w:tblpY="23"/>
        <w:tblW w:w="1809" w:type="pct"/>
        <w:shd w:val="pct5" w:color="auto" w:fill="auto"/>
        <w:tblCellMar>
          <w:left w:w="115" w:type="dxa"/>
          <w:right w:w="115" w:type="dxa"/>
        </w:tblCellMar>
        <w:tblLook w:val="04A0" w:firstRow="1" w:lastRow="0" w:firstColumn="1" w:lastColumn="0" w:noHBand="0" w:noVBand="1"/>
        <w:tblCaption w:val="REGIONAL NSW CLUSTER"/>
        <w:tblDescription w:val="REGIONAL NSW CLUSTER"/>
      </w:tblPr>
      <w:tblGrid>
        <w:gridCol w:w="1046"/>
        <w:gridCol w:w="1250"/>
        <w:gridCol w:w="1191"/>
      </w:tblGrid>
      <w:tr w:rsidR="00F423F6" w:rsidRPr="0011239F" w14:paraId="3EEE1C17" w14:textId="77777777" w:rsidTr="006A57A6">
        <w:trPr>
          <w:cantSplit/>
          <w:trHeight w:val="1010"/>
        </w:trPr>
        <w:tc>
          <w:tcPr>
            <w:tcW w:w="1499" w:type="pct"/>
            <w:shd w:val="pct5" w:color="auto" w:fill="auto"/>
            <w:vAlign w:val="center"/>
          </w:tcPr>
          <w:p w14:paraId="605D7F5D" w14:textId="18887C55" w:rsidR="00F423F6" w:rsidRPr="0011239F" w:rsidRDefault="00F423F6" w:rsidP="00F423F6">
            <w:pPr>
              <w:spacing w:before="120" w:after="120"/>
              <w:rPr>
                <w:rFonts w:ascii="Arial" w:hAnsi="Arial" w:cs="Arial"/>
              </w:rPr>
            </w:pPr>
            <w:bookmarkStart w:id="1" w:name="_Hlk514514902"/>
            <w:r>
              <w:rPr>
                <w:rFonts w:ascii="Arial" w:hAnsi="Arial" w:cs="Arial"/>
                <w:noProof/>
              </w:rPr>
              <w:drawing>
                <wp:inline distT="0" distB="0" distL="0" distR="0" wp14:anchorId="47169083" wp14:editId="47B2BDF1">
                  <wp:extent cx="518160" cy="5184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DEBED38" w14:textId="45EBDF29" w:rsidR="00F423F6" w:rsidRPr="00F56F18" w:rsidRDefault="00F423F6" w:rsidP="00F423F6">
            <w:pPr>
              <w:spacing w:before="120" w:after="120"/>
              <w:jc w:val="center"/>
              <w:rPr>
                <w:rFonts w:ascii="Arial" w:hAnsi="Arial" w:cs="Arial"/>
                <w:color w:val="00ABE6"/>
                <w:sz w:val="18"/>
                <w:szCs w:val="18"/>
              </w:rPr>
            </w:pPr>
            <w:r w:rsidRPr="003119E2">
              <w:rPr>
                <w:rFonts w:ascii="Arial" w:hAnsi="Arial" w:cs="Arial"/>
                <w:color w:val="00ABE6"/>
                <w:sz w:val="18"/>
                <w:szCs w:val="18"/>
              </w:rPr>
              <w:t>$</w:t>
            </w:r>
            <w:r w:rsidR="00097C9E" w:rsidRPr="00F56F18">
              <w:rPr>
                <w:rFonts w:ascii="Arial" w:hAnsi="Arial" w:cs="Arial"/>
                <w:color w:val="00ABE6"/>
                <w:sz w:val="18"/>
                <w:szCs w:val="18"/>
              </w:rPr>
              <w:t>4</w:t>
            </w:r>
            <w:r w:rsidR="0059030A" w:rsidRPr="00F56F18">
              <w:rPr>
                <w:rFonts w:ascii="Arial" w:hAnsi="Arial" w:cs="Arial"/>
                <w:color w:val="00ABE6"/>
                <w:sz w:val="18"/>
                <w:szCs w:val="18"/>
              </w:rPr>
              <w:t>.</w:t>
            </w:r>
            <w:r w:rsidR="002D7221" w:rsidRPr="00F56F18">
              <w:rPr>
                <w:rFonts w:ascii="Arial" w:hAnsi="Arial" w:cs="Arial"/>
                <w:color w:val="00ABE6"/>
                <w:sz w:val="18"/>
                <w:szCs w:val="18"/>
              </w:rPr>
              <w:t>0</w:t>
            </w:r>
            <w:r w:rsidR="00803564" w:rsidRPr="003119E2">
              <w:rPr>
                <w:rFonts w:ascii="Arial" w:hAnsi="Arial" w:cs="Arial"/>
                <w:color w:val="00ABE6"/>
                <w:sz w:val="18"/>
                <w:szCs w:val="18"/>
              </w:rPr>
              <w:br/>
            </w:r>
            <w:r w:rsidRPr="00F56F18">
              <w:rPr>
                <w:rFonts w:ascii="Arial" w:hAnsi="Arial" w:cs="Arial"/>
                <w:color w:val="00ABE6"/>
                <w:sz w:val="18"/>
                <w:szCs w:val="18"/>
              </w:rPr>
              <w:t>billion</w:t>
            </w:r>
            <w:r w:rsidR="00575976" w:rsidRPr="00F83A07">
              <w:rPr>
                <w:rFonts w:ascii="Arial" w:hAnsi="Arial" w:cs="Arial"/>
                <w:color w:val="00ABE6"/>
                <w:sz w:val="18"/>
                <w:szCs w:val="18"/>
                <w:vertAlign w:val="superscript"/>
              </w:rPr>
              <w:t>1</w:t>
            </w:r>
          </w:p>
        </w:tc>
        <w:tc>
          <w:tcPr>
            <w:tcW w:w="1707" w:type="pct"/>
            <w:shd w:val="pct5" w:color="auto" w:fill="auto"/>
            <w:vAlign w:val="center"/>
          </w:tcPr>
          <w:p w14:paraId="73E0BDCE" w14:textId="77777777" w:rsidR="00F423F6" w:rsidRPr="0011239F" w:rsidRDefault="00F423F6" w:rsidP="00F423F6">
            <w:pPr>
              <w:rPr>
                <w:rFonts w:ascii="Arial" w:hAnsi="Arial" w:cs="Arial"/>
                <w:color w:val="00ABE6"/>
                <w:sz w:val="18"/>
                <w:szCs w:val="18"/>
              </w:rPr>
            </w:pPr>
            <w:r w:rsidRPr="0011239F">
              <w:rPr>
                <w:rFonts w:ascii="Arial" w:hAnsi="Arial" w:cs="Arial"/>
                <w:color w:val="00ABE6"/>
                <w:sz w:val="18"/>
                <w:szCs w:val="18"/>
              </w:rPr>
              <w:t>Recurrent</w:t>
            </w:r>
          </w:p>
          <w:p w14:paraId="7F56C5C5" w14:textId="0FDE76CF" w:rsidR="00F423F6" w:rsidRPr="0011239F" w:rsidRDefault="00F423F6" w:rsidP="00F423F6">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F423F6" w:rsidRPr="0011239F" w14:paraId="5C328435" w14:textId="77777777" w:rsidTr="006A57A6">
        <w:trPr>
          <w:cantSplit/>
          <w:trHeight w:val="1010"/>
        </w:trPr>
        <w:tc>
          <w:tcPr>
            <w:tcW w:w="1499" w:type="pct"/>
            <w:shd w:val="pct5" w:color="auto" w:fill="auto"/>
            <w:vAlign w:val="center"/>
          </w:tcPr>
          <w:p w14:paraId="4FB86C35" w14:textId="64A2A329" w:rsidR="00F423F6" w:rsidRPr="0011239F" w:rsidRDefault="00F423F6" w:rsidP="00F423F6">
            <w:pPr>
              <w:spacing w:before="120" w:after="120"/>
              <w:rPr>
                <w:rFonts w:ascii="Arial" w:hAnsi="Arial" w:cs="Arial"/>
                <w:noProof/>
                <w:lang w:eastAsia="en-AU"/>
              </w:rPr>
            </w:pPr>
            <w:r>
              <w:rPr>
                <w:rFonts w:ascii="Arial" w:hAnsi="Arial" w:cs="Arial"/>
                <w:noProof/>
                <w:lang w:eastAsia="en-AU"/>
              </w:rPr>
              <w:drawing>
                <wp:inline distT="0" distB="0" distL="0" distR="0" wp14:anchorId="4E5A4132" wp14:editId="77840B2E">
                  <wp:extent cx="518160" cy="5184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EEB70E0" w14:textId="77777777" w:rsidR="00893AF3" w:rsidRDefault="00F423F6" w:rsidP="00893AF3">
            <w:pPr>
              <w:jc w:val="center"/>
              <w:rPr>
                <w:rFonts w:ascii="Arial" w:hAnsi="Arial" w:cs="Arial"/>
                <w:color w:val="00ABE6"/>
                <w:sz w:val="18"/>
                <w:szCs w:val="18"/>
              </w:rPr>
            </w:pPr>
            <w:r w:rsidRPr="003119E2">
              <w:rPr>
                <w:rFonts w:ascii="Arial" w:hAnsi="Arial" w:cs="Arial"/>
                <w:color w:val="00ABE6"/>
                <w:sz w:val="18"/>
                <w:szCs w:val="18"/>
              </w:rPr>
              <w:t>$</w:t>
            </w:r>
            <w:r w:rsidR="00677BD6" w:rsidRPr="00F56F18">
              <w:rPr>
                <w:rFonts w:ascii="Arial" w:hAnsi="Arial" w:cs="Arial"/>
                <w:color w:val="00ABE6"/>
                <w:sz w:val="18"/>
                <w:szCs w:val="18"/>
              </w:rPr>
              <w:t>4</w:t>
            </w:r>
            <w:r w:rsidR="002D7221" w:rsidRPr="00F56F18">
              <w:rPr>
                <w:rFonts w:ascii="Arial" w:hAnsi="Arial" w:cs="Arial"/>
                <w:color w:val="00ABE6"/>
                <w:sz w:val="18"/>
                <w:szCs w:val="18"/>
              </w:rPr>
              <w:t>32</w:t>
            </w:r>
            <w:r w:rsidR="00677BD6" w:rsidRPr="00F56F18">
              <w:rPr>
                <w:rFonts w:ascii="Arial" w:hAnsi="Arial" w:cs="Arial"/>
                <w:color w:val="00ABE6"/>
                <w:sz w:val="18"/>
                <w:szCs w:val="18"/>
              </w:rPr>
              <w:t>.</w:t>
            </w:r>
            <w:r w:rsidR="002D7221" w:rsidRPr="00F56F18">
              <w:rPr>
                <w:rFonts w:ascii="Arial" w:hAnsi="Arial" w:cs="Arial"/>
                <w:color w:val="00ABE6"/>
                <w:sz w:val="18"/>
                <w:szCs w:val="18"/>
              </w:rPr>
              <w:t>4</w:t>
            </w:r>
            <w:r w:rsidR="00677BD6" w:rsidRPr="003119E2">
              <w:rPr>
                <w:rFonts w:ascii="Arial" w:hAnsi="Arial" w:cs="Arial"/>
                <w:color w:val="00ABE6"/>
                <w:sz w:val="18"/>
                <w:szCs w:val="18"/>
              </w:rPr>
              <w:t xml:space="preserve"> </w:t>
            </w:r>
          </w:p>
          <w:p w14:paraId="711BFC86" w14:textId="280A51A8" w:rsidR="00F423F6" w:rsidRPr="00F56F18" w:rsidRDefault="00F423F6" w:rsidP="00893AF3">
            <w:pPr>
              <w:jc w:val="center"/>
              <w:rPr>
                <w:rFonts w:ascii="Arial" w:hAnsi="Arial" w:cs="Arial"/>
                <w:color w:val="00ABE6"/>
                <w:sz w:val="18"/>
                <w:szCs w:val="18"/>
              </w:rPr>
            </w:pPr>
            <w:r w:rsidRPr="00F56F18">
              <w:rPr>
                <w:rFonts w:ascii="Arial" w:hAnsi="Arial" w:cs="Arial"/>
                <w:color w:val="00ABE6"/>
                <w:sz w:val="18"/>
                <w:szCs w:val="18"/>
              </w:rPr>
              <w:t>million</w:t>
            </w:r>
          </w:p>
        </w:tc>
        <w:tc>
          <w:tcPr>
            <w:tcW w:w="1707" w:type="pct"/>
            <w:shd w:val="pct5" w:color="auto" w:fill="auto"/>
            <w:vAlign w:val="center"/>
          </w:tcPr>
          <w:p w14:paraId="59B3A7A0" w14:textId="22C83633" w:rsidR="00F423F6" w:rsidRPr="0011239F" w:rsidRDefault="00F423F6" w:rsidP="00F423F6">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CF50A2" w:rsidRPr="0011239F" w14:paraId="3D22D96F" w14:textId="77777777" w:rsidTr="006A57A6">
        <w:trPr>
          <w:cantSplit/>
          <w:trHeight w:val="299"/>
        </w:trPr>
        <w:tc>
          <w:tcPr>
            <w:tcW w:w="5000" w:type="pct"/>
            <w:gridSpan w:val="3"/>
            <w:shd w:val="pct5" w:color="auto" w:fill="auto"/>
            <w:vAlign w:val="center"/>
          </w:tcPr>
          <w:p w14:paraId="5DB9D4BA" w14:textId="100E37E8" w:rsidR="00CF50A2" w:rsidRPr="00CF50A2" w:rsidRDefault="00BB3269" w:rsidP="00BB3269">
            <w:pPr>
              <w:pStyle w:val="ListParagraph"/>
              <w:ind w:left="360"/>
              <w:rPr>
                <w:rFonts w:cs="Arial"/>
                <w:color w:val="008EBA"/>
                <w:sz w:val="17"/>
                <w:szCs w:val="17"/>
              </w:rPr>
            </w:pPr>
            <w:r w:rsidRPr="00BB3269">
              <w:rPr>
                <w:rFonts w:cs="Arial"/>
                <w:color w:val="000000" w:themeColor="text1"/>
                <w:sz w:val="17"/>
                <w:szCs w:val="17"/>
                <w:vertAlign w:val="superscript"/>
              </w:rPr>
              <w:t>1</w:t>
            </w:r>
            <w:r w:rsidR="006C227A">
              <w:rPr>
                <w:rFonts w:cs="Arial"/>
                <w:color w:val="000000" w:themeColor="text1"/>
                <w:sz w:val="17"/>
                <w:szCs w:val="17"/>
                <w:vertAlign w:val="superscript"/>
              </w:rPr>
              <w:t xml:space="preserve"> </w:t>
            </w:r>
            <w:r w:rsidR="00CF50A2" w:rsidRPr="00CF50A2">
              <w:rPr>
                <w:rFonts w:cs="Arial"/>
                <w:color w:val="000000" w:themeColor="text1"/>
                <w:sz w:val="17"/>
                <w:szCs w:val="17"/>
              </w:rPr>
              <w:t xml:space="preserve">Excludes </w:t>
            </w:r>
            <w:r w:rsidR="00ED334E">
              <w:rPr>
                <w:rFonts w:cs="Arial"/>
                <w:color w:val="000000" w:themeColor="text1"/>
                <w:sz w:val="17"/>
                <w:szCs w:val="17"/>
              </w:rPr>
              <w:t xml:space="preserve">other </w:t>
            </w:r>
            <w:r w:rsidR="00CF50A2" w:rsidRPr="00CF50A2">
              <w:rPr>
                <w:rFonts w:cs="Arial"/>
                <w:color w:val="000000" w:themeColor="text1"/>
                <w:sz w:val="17"/>
                <w:szCs w:val="17"/>
              </w:rPr>
              <w:t xml:space="preserve">funds </w:t>
            </w:r>
            <w:r w:rsidR="00425A93">
              <w:rPr>
                <w:rFonts w:cs="Arial"/>
                <w:color w:val="000000" w:themeColor="text1"/>
                <w:sz w:val="17"/>
                <w:szCs w:val="17"/>
              </w:rPr>
              <w:t xml:space="preserve">and </w:t>
            </w:r>
            <w:r w:rsidR="00CF50A2" w:rsidRPr="00CF50A2">
              <w:rPr>
                <w:rFonts w:cs="Arial"/>
                <w:color w:val="000000" w:themeColor="text1"/>
                <w:sz w:val="17"/>
                <w:szCs w:val="17"/>
              </w:rPr>
              <w:t>trusts</w:t>
            </w:r>
          </w:p>
        </w:tc>
      </w:tr>
    </w:tbl>
    <w:p w14:paraId="79149889" w14:textId="535D4B2F" w:rsidR="006D5500" w:rsidRPr="00453022" w:rsidRDefault="006D5500" w:rsidP="00651093">
      <w:pPr>
        <w:pStyle w:val="BodyText"/>
      </w:pPr>
      <w:bookmarkStart w:id="2" w:name="_Hlk515375251"/>
      <w:bookmarkEnd w:id="1"/>
      <w:r w:rsidRPr="00453022">
        <w:t xml:space="preserve">The Regional NSW Cluster is committed to making </w:t>
      </w:r>
      <w:r w:rsidR="001F4742" w:rsidRPr="00453022">
        <w:t>New South Wales</w:t>
      </w:r>
      <w:r w:rsidRPr="00453022">
        <w:t xml:space="preserve"> regions a great place to live, work, visit and do business. </w:t>
      </w:r>
    </w:p>
    <w:p w14:paraId="070EED9E" w14:textId="230FEAAC" w:rsidR="00B94A04" w:rsidRPr="00453022" w:rsidRDefault="006D5500" w:rsidP="00651093">
      <w:pPr>
        <w:pStyle w:val="BodyText"/>
      </w:pPr>
      <w:r w:rsidRPr="00453022">
        <w:t xml:space="preserve">As the </w:t>
      </w:r>
      <w:r w:rsidR="00496150" w:rsidRPr="00453022">
        <w:t>C</w:t>
      </w:r>
      <w:r w:rsidR="00C22001" w:rsidRPr="00453022">
        <w:t>luster</w:t>
      </w:r>
      <w:r w:rsidRPr="00453022">
        <w:t xml:space="preserve"> for </w:t>
      </w:r>
      <w:r w:rsidR="00B019E2">
        <w:t>our regions</w:t>
      </w:r>
      <w:r w:rsidRPr="00453022">
        <w:t>, Regional NSW build</w:t>
      </w:r>
      <w:r w:rsidR="00496150" w:rsidRPr="00453022">
        <w:t>s</w:t>
      </w:r>
      <w:r w:rsidRPr="00453022">
        <w:t xml:space="preserve"> strong, cohesive communities and economies, grow</w:t>
      </w:r>
      <w:r w:rsidR="00513980" w:rsidRPr="00453022">
        <w:t>ing</w:t>
      </w:r>
      <w:r w:rsidRPr="00453022">
        <w:t xml:space="preserve"> primary </w:t>
      </w:r>
      <w:r w:rsidR="005B6761" w:rsidRPr="00453022">
        <w:t>industries,</w:t>
      </w:r>
      <w:r w:rsidRPr="00453022">
        <w:t xml:space="preserve"> ensur</w:t>
      </w:r>
      <w:r w:rsidR="000E7A06" w:rsidRPr="00453022">
        <w:t>ing</w:t>
      </w:r>
      <w:r w:rsidRPr="00453022">
        <w:t xml:space="preserve"> sustainable land use practices, creat</w:t>
      </w:r>
      <w:r w:rsidR="000E7A06" w:rsidRPr="00453022">
        <w:t>ing</w:t>
      </w:r>
      <w:r w:rsidRPr="00453022">
        <w:t xml:space="preserve"> regional employment opportunities, and </w:t>
      </w:r>
      <w:r w:rsidR="00402A22" w:rsidRPr="00453022">
        <w:t>car</w:t>
      </w:r>
      <w:r w:rsidR="00E1632B" w:rsidRPr="00453022">
        <w:t>ing</w:t>
      </w:r>
      <w:r w:rsidR="00402A22" w:rsidRPr="00453022">
        <w:t xml:space="preserve"> for </w:t>
      </w:r>
      <w:r w:rsidR="0091029C" w:rsidRPr="00453022">
        <w:t xml:space="preserve">New South Wales’ </w:t>
      </w:r>
      <w:r w:rsidRPr="00453022">
        <w:t xml:space="preserve">natural </w:t>
      </w:r>
      <w:r w:rsidR="00196280" w:rsidRPr="00453022">
        <w:t xml:space="preserve">environment </w:t>
      </w:r>
      <w:r w:rsidRPr="00453022">
        <w:t>including advancing sustainable mining and resource development.</w:t>
      </w:r>
      <w:r w:rsidR="00B9123B" w:rsidRPr="00453022">
        <w:t xml:space="preserve"> </w:t>
      </w:r>
    </w:p>
    <w:p w14:paraId="27D7376A" w14:textId="1842E823" w:rsidR="005E35D6" w:rsidRPr="00BF58EF" w:rsidRDefault="00001D87" w:rsidP="2EFBEC66">
      <w:pPr>
        <w:pStyle w:val="Heading3"/>
        <w:rPr>
          <w:rFonts w:cs="Arial"/>
        </w:rPr>
      </w:pPr>
      <w:r w:rsidRPr="2EFBEC66">
        <w:rPr>
          <w:rFonts w:cs="Arial"/>
        </w:rPr>
        <w:t xml:space="preserve">State Outcomes </w:t>
      </w:r>
      <w:r w:rsidR="00636FAE" w:rsidRPr="2EFBEC66">
        <w:rPr>
          <w:rFonts w:cs="Arial"/>
        </w:rPr>
        <w:t xml:space="preserve">to be </w:t>
      </w:r>
      <w:r w:rsidRPr="2EFBEC66">
        <w:rPr>
          <w:rFonts w:cs="Arial"/>
        </w:rPr>
        <w:t xml:space="preserve">delivered by the </w:t>
      </w:r>
      <w:r w:rsidR="006D5500" w:rsidRPr="2EFBEC66">
        <w:rPr>
          <w:rFonts w:cs="Arial"/>
        </w:rPr>
        <w:t>Regional NSW</w:t>
      </w:r>
      <w:r w:rsidRPr="2EFBEC66">
        <w:rPr>
          <w:rFonts w:cs="Arial"/>
        </w:rPr>
        <w:t xml:space="preserve"> </w:t>
      </w:r>
      <w:r w:rsidR="00F7004F" w:rsidRPr="2EFBEC66">
        <w:rPr>
          <w:rFonts w:cs="Arial"/>
        </w:rPr>
        <w:t>C</w:t>
      </w:r>
      <w:r w:rsidRPr="2EFBEC66">
        <w:rPr>
          <w:rFonts w:cs="Arial"/>
        </w:rPr>
        <w:t>luster</w:t>
      </w:r>
      <w:bookmarkEnd w:id="2"/>
    </w:p>
    <w:tbl>
      <w:tblPr>
        <w:tblW w:w="9873" w:type="dxa"/>
        <w:tblLook w:val="04A0" w:firstRow="1" w:lastRow="0" w:firstColumn="1" w:lastColumn="0" w:noHBand="0" w:noVBand="1"/>
        <w:tblCaption w:val="State Outcomes to be delivered by the Regional NSW Cluster"/>
        <w:tblDescription w:val="State Outcomes to be delivered by the Regional NSW Cluster"/>
      </w:tblPr>
      <w:tblGrid>
        <w:gridCol w:w="5097"/>
        <w:gridCol w:w="246"/>
        <w:gridCol w:w="4530"/>
      </w:tblGrid>
      <w:tr w:rsidR="00272B4A" w:rsidRPr="0011239F" w14:paraId="4EB62FEC" w14:textId="77777777" w:rsidTr="00F770B7">
        <w:trPr>
          <w:trHeight w:val="408"/>
          <w:tblHeader/>
        </w:trPr>
        <w:tc>
          <w:tcPr>
            <w:tcW w:w="5097" w:type="dxa"/>
            <w:vMerge w:val="restart"/>
            <w:tcBorders>
              <w:top w:val="nil"/>
              <w:left w:val="nil"/>
              <w:bottom w:val="nil"/>
              <w:right w:val="nil"/>
            </w:tcBorders>
            <w:shd w:val="clear" w:color="auto" w:fill="002664"/>
            <w:vAlign w:val="center"/>
            <w:hideMark/>
          </w:tcPr>
          <w:p w14:paraId="73370A3A" w14:textId="4FFE2D2B" w:rsidR="00272B4A" w:rsidRPr="0011239F" w:rsidRDefault="00272B4A" w:rsidP="00E53105">
            <w:pPr>
              <w:jc w:val="center"/>
              <w:rPr>
                <w:rFonts w:cs="Arial"/>
                <w:b/>
                <w:bCs/>
                <w:color w:val="FFFFFF"/>
                <w:sz w:val="22"/>
                <w:szCs w:val="22"/>
              </w:rPr>
            </w:pPr>
            <w:bookmarkStart w:id="3" w:name="_Hlk514693442"/>
            <w:bookmarkStart w:id="4" w:name="_Hlk514697968"/>
            <w:r w:rsidRPr="00F42832">
              <w:rPr>
                <w:rFonts w:ascii="Arial" w:hAnsi="Arial" w:cs="Arial"/>
                <w:b/>
                <w:bCs/>
                <w:color w:val="FFFFFF"/>
                <w:sz w:val="22"/>
                <w:szCs w:val="22"/>
                <w:lang w:eastAsia="en-AU"/>
              </w:rPr>
              <w:t>State Outcomes</w:t>
            </w:r>
            <w:r w:rsidRPr="00D92897">
              <w:rPr>
                <w:rFonts w:cs="Arial"/>
                <w:b/>
                <w:bCs/>
                <w:color w:val="FFFFFF"/>
                <w:sz w:val="22"/>
                <w:szCs w:val="22"/>
                <w:lang w:eastAsia="en-AU"/>
              </w:rPr>
              <w:br/>
            </w:r>
            <w:r w:rsidRPr="00F42832">
              <w:rPr>
                <w:rFonts w:ascii="Arial" w:hAnsi="Arial" w:cs="Arial"/>
                <w:color w:val="FFFFFF"/>
                <w:sz w:val="22"/>
                <w:szCs w:val="22"/>
                <w:lang w:eastAsia="en-AU"/>
              </w:rPr>
              <w:t>What the Cluster is delivering for people and business</w:t>
            </w:r>
          </w:p>
        </w:tc>
        <w:tc>
          <w:tcPr>
            <w:tcW w:w="246" w:type="dxa"/>
            <w:vMerge w:val="restart"/>
            <w:tcBorders>
              <w:top w:val="nil"/>
              <w:left w:val="nil"/>
              <w:bottom w:val="nil"/>
              <w:right w:val="nil"/>
            </w:tcBorders>
            <w:shd w:val="clear" w:color="auto" w:fill="FFFFFF" w:themeFill="background1"/>
            <w:vAlign w:val="center"/>
            <w:hideMark/>
          </w:tcPr>
          <w:p w14:paraId="21904E54" w14:textId="77777777" w:rsidR="00272B4A" w:rsidRPr="00A95062" w:rsidRDefault="00272B4A" w:rsidP="00E53105">
            <w:pPr>
              <w:jc w:val="center"/>
              <w:rPr>
                <w:color w:val="FFFFFF"/>
                <w:sz w:val="6"/>
                <w:szCs w:val="6"/>
              </w:rPr>
            </w:pPr>
            <w:r w:rsidRPr="00A95062">
              <w:rPr>
                <w:rFonts w:cs="Arial"/>
                <w:color w:val="FFFFFF"/>
                <w:sz w:val="6"/>
                <w:szCs w:val="6"/>
                <w:lang w:eastAsia="en-AU"/>
              </w:rPr>
              <w:t> </w:t>
            </w:r>
          </w:p>
        </w:tc>
        <w:tc>
          <w:tcPr>
            <w:tcW w:w="4530" w:type="dxa"/>
            <w:vMerge w:val="restart"/>
            <w:tcBorders>
              <w:top w:val="nil"/>
              <w:left w:val="nil"/>
              <w:bottom w:val="nil"/>
              <w:right w:val="nil"/>
            </w:tcBorders>
            <w:shd w:val="clear" w:color="auto" w:fill="002664"/>
            <w:vAlign w:val="center"/>
            <w:hideMark/>
          </w:tcPr>
          <w:p w14:paraId="3819BEB6" w14:textId="449DA97E" w:rsidR="00272B4A" w:rsidRPr="0011239F" w:rsidRDefault="00272B4A" w:rsidP="00E53105">
            <w:pPr>
              <w:jc w:val="center"/>
              <w:rPr>
                <w:rFonts w:cs="Arial"/>
                <w:b/>
                <w:bCs/>
                <w:color w:val="FFFFFF"/>
                <w:sz w:val="22"/>
                <w:szCs w:val="22"/>
              </w:rPr>
            </w:pPr>
            <w:r w:rsidRPr="00F42832">
              <w:rPr>
                <w:rFonts w:ascii="Arial" w:hAnsi="Arial" w:cs="Arial"/>
                <w:b/>
                <w:bCs/>
                <w:color w:val="FFFFFF"/>
                <w:sz w:val="22"/>
                <w:szCs w:val="22"/>
                <w:lang w:eastAsia="en-AU"/>
              </w:rPr>
              <w:t>Key Programs</w:t>
            </w:r>
            <w:r w:rsidRPr="00D92897">
              <w:rPr>
                <w:rFonts w:cs="Arial"/>
                <w:b/>
                <w:bCs/>
                <w:color w:val="FFFFFF"/>
                <w:sz w:val="22"/>
                <w:szCs w:val="22"/>
                <w:lang w:eastAsia="en-AU"/>
              </w:rPr>
              <w:t xml:space="preserve">  </w:t>
            </w:r>
            <w:r w:rsidRPr="00D92897">
              <w:rPr>
                <w:rFonts w:cs="Arial"/>
                <w:b/>
                <w:bCs/>
                <w:color w:val="FFFFFF"/>
                <w:sz w:val="22"/>
                <w:szCs w:val="22"/>
                <w:lang w:eastAsia="en-AU"/>
              </w:rPr>
              <w:br/>
            </w:r>
            <w:r w:rsidRPr="00F42832">
              <w:rPr>
                <w:rFonts w:ascii="Arial" w:hAnsi="Arial" w:cs="Arial"/>
                <w:color w:val="FFFFFF"/>
                <w:sz w:val="22"/>
                <w:szCs w:val="22"/>
                <w:lang w:eastAsia="en-AU"/>
              </w:rPr>
              <w:t>underway to support delivery of Outcomes</w:t>
            </w:r>
          </w:p>
        </w:tc>
      </w:tr>
      <w:tr w:rsidR="00272B4A" w:rsidRPr="0011239F" w14:paraId="4EFEC2CC" w14:textId="77777777" w:rsidTr="00F770B7">
        <w:trPr>
          <w:trHeight w:val="408"/>
          <w:tblHeader/>
        </w:trPr>
        <w:tc>
          <w:tcPr>
            <w:tcW w:w="5097" w:type="dxa"/>
            <w:vMerge/>
            <w:vAlign w:val="center"/>
            <w:hideMark/>
          </w:tcPr>
          <w:p w14:paraId="3E59487A" w14:textId="77777777" w:rsidR="00272B4A" w:rsidRPr="00FC4E65" w:rsidRDefault="00272B4A" w:rsidP="00E53105">
            <w:pPr>
              <w:rPr>
                <w:b/>
                <w:color w:val="FFFFFF"/>
                <w:sz w:val="22"/>
              </w:rPr>
            </w:pPr>
          </w:p>
        </w:tc>
        <w:tc>
          <w:tcPr>
            <w:tcW w:w="246" w:type="dxa"/>
            <w:vMerge/>
            <w:vAlign w:val="center"/>
            <w:hideMark/>
          </w:tcPr>
          <w:p w14:paraId="023E3EB3" w14:textId="77777777" w:rsidR="00272B4A" w:rsidRPr="00A95062" w:rsidRDefault="00272B4A" w:rsidP="00E53105">
            <w:pPr>
              <w:rPr>
                <w:color w:val="FFFFFF"/>
                <w:sz w:val="6"/>
                <w:szCs w:val="6"/>
              </w:rPr>
            </w:pPr>
          </w:p>
        </w:tc>
        <w:tc>
          <w:tcPr>
            <w:tcW w:w="4530" w:type="dxa"/>
            <w:vMerge/>
            <w:vAlign w:val="center"/>
            <w:hideMark/>
          </w:tcPr>
          <w:p w14:paraId="28F80C5B" w14:textId="77777777" w:rsidR="00272B4A" w:rsidRPr="00FC4E65" w:rsidRDefault="00272B4A" w:rsidP="00E53105">
            <w:pPr>
              <w:rPr>
                <w:b/>
                <w:color w:val="FFFFFF"/>
                <w:sz w:val="22"/>
              </w:rPr>
            </w:pPr>
          </w:p>
        </w:tc>
      </w:tr>
      <w:bookmarkEnd w:id="3"/>
      <w:tr w:rsidR="00272B4A" w:rsidRPr="00D92897" w14:paraId="1893ECDF" w14:textId="77777777" w:rsidTr="00F770B7">
        <w:trPr>
          <w:trHeight w:val="108"/>
          <w:tblHeader/>
        </w:trPr>
        <w:tc>
          <w:tcPr>
            <w:tcW w:w="5097" w:type="dxa"/>
            <w:tcBorders>
              <w:top w:val="nil"/>
              <w:left w:val="nil"/>
              <w:bottom w:val="nil"/>
              <w:right w:val="nil"/>
            </w:tcBorders>
            <w:shd w:val="clear" w:color="auto" w:fill="FFFFFF" w:themeFill="background1"/>
            <w:vAlign w:val="center"/>
            <w:hideMark/>
          </w:tcPr>
          <w:p w14:paraId="1E83DE62" w14:textId="77777777" w:rsidR="00272B4A" w:rsidRPr="00D92897" w:rsidRDefault="00272B4A" w:rsidP="00E53105">
            <w:pPr>
              <w:jc w:val="center"/>
              <w:rPr>
                <w:rFonts w:cs="Arial"/>
                <w:color w:val="000000"/>
                <w:sz w:val="4"/>
                <w:szCs w:val="4"/>
                <w:lang w:eastAsia="en-AU"/>
              </w:rPr>
            </w:pPr>
            <w:r w:rsidRPr="00D92897">
              <w:rPr>
                <w:rFonts w:cs="Arial"/>
                <w:color w:val="000000"/>
                <w:sz w:val="4"/>
                <w:szCs w:val="4"/>
                <w:lang w:eastAsia="en-AU"/>
              </w:rPr>
              <w:t> </w:t>
            </w:r>
          </w:p>
        </w:tc>
        <w:tc>
          <w:tcPr>
            <w:tcW w:w="246" w:type="dxa"/>
            <w:tcBorders>
              <w:top w:val="nil"/>
              <w:left w:val="nil"/>
              <w:bottom w:val="nil"/>
              <w:right w:val="nil"/>
            </w:tcBorders>
            <w:shd w:val="clear" w:color="auto" w:fill="FFFFFF" w:themeFill="background1"/>
            <w:vAlign w:val="center"/>
            <w:hideMark/>
          </w:tcPr>
          <w:p w14:paraId="43F71A03" w14:textId="77777777" w:rsidR="00272B4A" w:rsidRPr="00A95062" w:rsidRDefault="00272B4A" w:rsidP="00E53105">
            <w:pPr>
              <w:jc w:val="center"/>
              <w:rPr>
                <w:rFonts w:cs="Arial"/>
                <w:sz w:val="6"/>
                <w:szCs w:val="6"/>
                <w:lang w:eastAsia="en-AU"/>
              </w:rPr>
            </w:pPr>
            <w:r w:rsidRPr="00A95062">
              <w:rPr>
                <w:rFonts w:cs="Arial"/>
                <w:sz w:val="6"/>
                <w:szCs w:val="6"/>
                <w:lang w:eastAsia="en-AU"/>
              </w:rPr>
              <w:t> </w:t>
            </w:r>
          </w:p>
        </w:tc>
        <w:tc>
          <w:tcPr>
            <w:tcW w:w="4530" w:type="dxa"/>
            <w:tcBorders>
              <w:top w:val="nil"/>
              <w:left w:val="nil"/>
              <w:bottom w:val="nil"/>
              <w:right w:val="nil"/>
            </w:tcBorders>
            <w:shd w:val="clear" w:color="auto" w:fill="FFFFFF" w:themeFill="background1"/>
            <w:vAlign w:val="center"/>
            <w:hideMark/>
          </w:tcPr>
          <w:p w14:paraId="79ADB8B5" w14:textId="77777777" w:rsidR="00272B4A" w:rsidRPr="00D92897" w:rsidRDefault="00272B4A" w:rsidP="00E53105">
            <w:pPr>
              <w:jc w:val="center"/>
              <w:rPr>
                <w:rFonts w:cs="Arial"/>
                <w:color w:val="FF0000"/>
                <w:sz w:val="4"/>
                <w:szCs w:val="4"/>
                <w:lang w:eastAsia="en-AU"/>
              </w:rPr>
            </w:pPr>
            <w:r w:rsidRPr="00D92897">
              <w:rPr>
                <w:rFonts w:cs="Arial"/>
                <w:color w:val="FF0000"/>
                <w:sz w:val="4"/>
                <w:szCs w:val="4"/>
                <w:lang w:eastAsia="en-AU"/>
              </w:rPr>
              <w:t> </w:t>
            </w:r>
          </w:p>
        </w:tc>
      </w:tr>
      <w:tr w:rsidR="00252438" w:rsidRPr="0011239F" w14:paraId="14F10F9C" w14:textId="77777777" w:rsidTr="00D439E0">
        <w:trPr>
          <w:trHeight w:val="3015"/>
        </w:trPr>
        <w:tc>
          <w:tcPr>
            <w:tcW w:w="5097" w:type="dxa"/>
            <w:tcBorders>
              <w:top w:val="nil"/>
              <w:left w:val="nil"/>
              <w:bottom w:val="nil"/>
              <w:right w:val="nil"/>
            </w:tcBorders>
            <w:shd w:val="clear" w:color="auto" w:fill="BAE4FC"/>
            <w:vAlign w:val="center"/>
          </w:tcPr>
          <w:p w14:paraId="2B1B53B7" w14:textId="42DD0398" w:rsidR="00252438" w:rsidRPr="00D64882" w:rsidRDefault="00D61464" w:rsidP="00252438">
            <w:pPr>
              <w:spacing w:before="8" w:after="80"/>
              <w:ind w:left="357" w:hanging="357"/>
              <w:rPr>
                <w:rFonts w:ascii="Arial" w:hAnsi="Arial" w:cs="Arial"/>
                <w:b/>
              </w:rPr>
            </w:pPr>
            <w:r>
              <w:rPr>
                <w:rFonts w:ascii="Arial" w:hAnsi="Arial" w:cs="Arial"/>
                <w:b/>
              </w:rPr>
              <w:t>1</w:t>
            </w:r>
            <w:r w:rsidR="00252438" w:rsidRPr="00D64882">
              <w:rPr>
                <w:rFonts w:ascii="Arial" w:hAnsi="Arial" w:cs="Arial"/>
                <w:b/>
              </w:rPr>
              <w:t xml:space="preserve">. </w:t>
            </w:r>
            <w:r w:rsidR="00252438">
              <w:rPr>
                <w:rFonts w:ascii="Arial" w:hAnsi="Arial" w:cs="Arial"/>
                <w:b/>
              </w:rPr>
              <w:tab/>
            </w:r>
            <w:r w:rsidR="00252438" w:rsidRPr="00D64882">
              <w:rPr>
                <w:rFonts w:ascii="Arial" w:hAnsi="Arial" w:cs="Arial"/>
                <w:b/>
              </w:rPr>
              <w:t>Stronger and cohesive regional communities and economies</w:t>
            </w:r>
          </w:p>
          <w:p w14:paraId="52676766" w14:textId="6542C0CA" w:rsidR="00252438" w:rsidRPr="00926FB1" w:rsidRDefault="00252438" w:rsidP="00252438">
            <w:pPr>
              <w:rPr>
                <w:rFonts w:ascii="Arial" w:hAnsi="Arial" w:cs="Arial"/>
              </w:rPr>
            </w:pPr>
            <w:r w:rsidRPr="00926FB1">
              <w:rPr>
                <w:rFonts w:ascii="Arial" w:hAnsi="Arial" w:cs="Arial"/>
              </w:rPr>
              <w:t xml:space="preserve">Focusing on community wellbeing and economic growth in regional New South Wales. </w:t>
            </w:r>
            <w:r w:rsidR="00451840">
              <w:rPr>
                <w:rFonts w:ascii="Arial" w:hAnsi="Arial" w:cs="Arial"/>
              </w:rPr>
              <w:t>The r</w:t>
            </w:r>
            <w:r w:rsidRPr="00926FB1">
              <w:rPr>
                <w:rFonts w:ascii="Arial" w:hAnsi="Arial" w:cs="Arial"/>
              </w:rPr>
              <w:t>egions have endured unprecedented destruction and disruption through the compounding impacts of drought, bushfires, floods and COVID-19. We continue to refocus efforts on the changed economic conditions and delivering the 20-Year Economic Vision for Regional NSW.</w:t>
            </w:r>
          </w:p>
          <w:p w14:paraId="63F69EAD" w14:textId="77777777" w:rsidR="00252438" w:rsidRPr="00B54BA8" w:rsidRDefault="00252438" w:rsidP="00252438">
            <w:pPr>
              <w:rPr>
                <w:rFonts w:ascii="Arial" w:hAnsi="Arial" w:cs="Arial"/>
                <w:bCs/>
                <w:sz w:val="12"/>
                <w:szCs w:val="12"/>
              </w:rPr>
            </w:pPr>
          </w:p>
          <w:p w14:paraId="333149EC" w14:textId="50A63A58" w:rsidR="00252438" w:rsidRPr="00D439E0" w:rsidRDefault="00252438" w:rsidP="00D439E0">
            <w:pPr>
              <w:rPr>
                <w:rFonts w:ascii="Arial" w:hAnsi="Arial" w:cs="Arial"/>
              </w:rPr>
            </w:pPr>
            <w:r>
              <w:rPr>
                <w:rFonts w:ascii="Arial" w:hAnsi="Arial" w:cs="Arial"/>
                <w:i/>
                <w:iCs/>
              </w:rPr>
              <w:t>2022-23</w:t>
            </w:r>
            <w:r w:rsidRPr="008F6131">
              <w:rPr>
                <w:rFonts w:ascii="Arial" w:hAnsi="Arial" w:cs="Arial"/>
                <w:i/>
                <w:iCs/>
              </w:rPr>
              <w:t xml:space="preserve"> investment: </w:t>
            </w:r>
            <w:r>
              <w:rPr>
                <w:rFonts w:ascii="Arial" w:hAnsi="Arial" w:cs="Arial"/>
              </w:rPr>
              <w:t>$</w:t>
            </w:r>
            <w:r w:rsidRPr="00D8098C">
              <w:rPr>
                <w:rFonts w:ascii="Arial" w:hAnsi="Arial" w:cs="Arial"/>
              </w:rPr>
              <w:t>2.</w:t>
            </w:r>
            <w:r w:rsidR="00E74B71" w:rsidRPr="00D8098C">
              <w:rPr>
                <w:rFonts w:ascii="Arial" w:hAnsi="Arial" w:cs="Arial"/>
              </w:rPr>
              <w:t>7</w:t>
            </w:r>
            <w:r w:rsidRPr="00D8098C">
              <w:rPr>
                <w:rFonts w:ascii="Arial" w:hAnsi="Arial" w:cs="Arial"/>
                <w:color w:val="00ABE6"/>
                <w:sz w:val="18"/>
                <w:szCs w:val="18"/>
              </w:rPr>
              <w:t xml:space="preserve"> </w:t>
            </w:r>
            <w:r w:rsidRPr="00D8098C">
              <w:rPr>
                <w:rFonts w:ascii="Arial" w:eastAsia="Arial" w:hAnsi="Arial" w:cs="Arial"/>
              </w:rPr>
              <w:t>billion</w:t>
            </w:r>
            <w:r w:rsidRPr="00D8098C">
              <w:rPr>
                <w:rFonts w:ascii="Arial" w:hAnsi="Arial" w:cs="Arial"/>
              </w:rPr>
              <w:t xml:space="preserve"> in recurrent expenses &amp; $3</w:t>
            </w:r>
            <w:r w:rsidR="00E74B71" w:rsidRPr="00D8098C">
              <w:rPr>
                <w:rFonts w:ascii="Arial" w:hAnsi="Arial" w:cs="Arial"/>
              </w:rPr>
              <w:t>42</w:t>
            </w:r>
            <w:r w:rsidRPr="00D8098C">
              <w:rPr>
                <w:rFonts w:ascii="Arial" w:hAnsi="Arial" w:cs="Arial"/>
              </w:rPr>
              <w:t>.</w:t>
            </w:r>
            <w:r w:rsidR="00E74B71" w:rsidRPr="00D8098C">
              <w:rPr>
                <w:rFonts w:ascii="Arial" w:hAnsi="Arial" w:cs="Arial"/>
              </w:rPr>
              <w:t>4</w:t>
            </w:r>
            <w:r w:rsidRPr="00D8098C">
              <w:rPr>
                <w:rFonts w:ascii="Arial" w:hAnsi="Arial" w:cs="Arial"/>
                <w:color w:val="00ABE6"/>
                <w:sz w:val="18"/>
                <w:szCs w:val="18"/>
              </w:rPr>
              <w:t xml:space="preserve"> </w:t>
            </w:r>
            <w:r w:rsidRPr="00D8098C">
              <w:rPr>
                <w:rFonts w:ascii="Arial" w:eastAsia="Arial" w:hAnsi="Arial" w:cs="Arial"/>
              </w:rPr>
              <w:t>million</w:t>
            </w:r>
            <w:r w:rsidRPr="00D8098C">
              <w:rPr>
                <w:rFonts w:ascii="Arial" w:hAnsi="Arial" w:cs="Arial"/>
              </w:rPr>
              <w:t xml:space="preserve"> in capital expenditure</w:t>
            </w:r>
          </w:p>
        </w:tc>
        <w:tc>
          <w:tcPr>
            <w:tcW w:w="246" w:type="dxa"/>
            <w:tcBorders>
              <w:top w:val="nil"/>
              <w:left w:val="nil"/>
              <w:bottom w:val="nil"/>
              <w:right w:val="nil"/>
            </w:tcBorders>
            <w:shd w:val="clear" w:color="auto" w:fill="FFFFFF" w:themeFill="background1"/>
            <w:vAlign w:val="center"/>
          </w:tcPr>
          <w:p w14:paraId="04ED9F95" w14:textId="7B5E167D" w:rsidR="00252438" w:rsidRPr="00EE6E8D" w:rsidRDefault="00252438" w:rsidP="00252438">
            <w:pPr>
              <w:rPr>
                <w:rFonts w:cs="Arial"/>
                <w:color w:val="808080" w:themeColor="background1" w:themeShade="80"/>
                <w:sz w:val="6"/>
                <w:szCs w:val="6"/>
                <w:lang w:eastAsia="en-AU"/>
              </w:rPr>
            </w:pPr>
            <w:r w:rsidRPr="00C46859">
              <w:rPr>
                <w:rFonts w:cs="Arial"/>
                <w:sz w:val="6"/>
                <w:szCs w:val="6"/>
                <w:lang w:eastAsia="en-AU"/>
              </w:rPr>
              <w:t> </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1BC4F" w14:textId="77777777" w:rsidR="00252438" w:rsidRPr="00C46859" w:rsidRDefault="00252438" w:rsidP="00252438">
            <w:pPr>
              <w:pStyle w:val="ListParagraph"/>
              <w:numPr>
                <w:ilvl w:val="0"/>
                <w:numId w:val="14"/>
              </w:numPr>
            </w:pPr>
            <w:r w:rsidRPr="00C46859">
              <w:rPr>
                <w:rFonts w:cs="Arial"/>
                <w:lang w:eastAsia="en-AU"/>
              </w:rPr>
              <w:t>Growth, development, and wellbeing in regional NSW</w:t>
            </w:r>
          </w:p>
          <w:p w14:paraId="68F20920" w14:textId="77777777" w:rsidR="00252438" w:rsidRPr="002971DC" w:rsidRDefault="00252438" w:rsidP="00252438">
            <w:pPr>
              <w:pStyle w:val="ListParagraph"/>
              <w:numPr>
                <w:ilvl w:val="0"/>
                <w:numId w:val="14"/>
              </w:numPr>
            </w:pPr>
            <w:r w:rsidRPr="3EBAE17F">
              <w:rPr>
                <w:rFonts w:cs="Arial"/>
                <w:lang w:eastAsia="en-AU"/>
              </w:rPr>
              <w:t>Regional Growth NSW Development Corporation</w:t>
            </w:r>
          </w:p>
          <w:p w14:paraId="2854F614" w14:textId="77777777" w:rsidR="00252438" w:rsidRPr="00C46859" w:rsidRDefault="00252438" w:rsidP="00252438">
            <w:pPr>
              <w:pStyle w:val="ListParagraph"/>
              <w:numPr>
                <w:ilvl w:val="0"/>
                <w:numId w:val="14"/>
              </w:numPr>
            </w:pPr>
            <w:r>
              <w:t>Northern Rivers Reconstruction Corporation</w:t>
            </w:r>
          </w:p>
          <w:p w14:paraId="2B0FB720" w14:textId="77777777" w:rsidR="00252438" w:rsidRPr="00BC2E31" w:rsidRDefault="00252438" w:rsidP="001E75C5">
            <w:pPr>
              <w:pStyle w:val="ListParagraph"/>
              <w:ind w:left="360"/>
              <w:rPr>
                <w:rFonts w:cs="Arial"/>
              </w:rPr>
            </w:pPr>
          </w:p>
        </w:tc>
      </w:tr>
      <w:tr w:rsidR="00272B4A" w:rsidRPr="0011239F" w14:paraId="1BD6272A" w14:textId="77777777" w:rsidTr="00F770B7">
        <w:trPr>
          <w:trHeight w:val="108"/>
        </w:trPr>
        <w:tc>
          <w:tcPr>
            <w:tcW w:w="5097" w:type="dxa"/>
            <w:tcBorders>
              <w:top w:val="nil"/>
              <w:left w:val="nil"/>
              <w:bottom w:val="nil"/>
              <w:right w:val="nil"/>
            </w:tcBorders>
            <w:shd w:val="clear" w:color="auto" w:fill="FFFFFF" w:themeFill="background1"/>
            <w:hideMark/>
          </w:tcPr>
          <w:p w14:paraId="09531A85" w14:textId="77777777" w:rsidR="00272B4A" w:rsidRPr="00EE6E8D" w:rsidRDefault="00272B4A" w:rsidP="00E53105">
            <w:pPr>
              <w:rPr>
                <w:color w:val="808080" w:themeColor="background1" w:themeShade="80"/>
                <w:sz w:val="4"/>
              </w:rPr>
            </w:pPr>
            <w:r w:rsidRPr="00EE6E8D">
              <w:rPr>
                <w:rFonts w:cs="Arial"/>
                <w:color w:val="808080" w:themeColor="background1" w:themeShade="80"/>
                <w:sz w:val="4"/>
                <w:szCs w:val="4"/>
                <w:lang w:eastAsia="en-AU"/>
              </w:rPr>
              <w:t> </w:t>
            </w:r>
          </w:p>
        </w:tc>
        <w:tc>
          <w:tcPr>
            <w:tcW w:w="246" w:type="dxa"/>
            <w:tcBorders>
              <w:top w:val="nil"/>
              <w:left w:val="nil"/>
              <w:bottom w:val="nil"/>
              <w:right w:val="nil"/>
            </w:tcBorders>
            <w:shd w:val="clear" w:color="auto" w:fill="FFFFFF" w:themeFill="background1"/>
            <w:vAlign w:val="center"/>
            <w:hideMark/>
          </w:tcPr>
          <w:p w14:paraId="542D0AF3" w14:textId="77777777" w:rsidR="00272B4A" w:rsidRPr="00EE6E8D" w:rsidRDefault="00272B4A" w:rsidP="00E53105">
            <w:pPr>
              <w:jc w:val="center"/>
              <w:rPr>
                <w:color w:val="808080" w:themeColor="background1" w:themeShade="80"/>
                <w:sz w:val="6"/>
                <w:szCs w:val="6"/>
              </w:rPr>
            </w:pPr>
            <w:r w:rsidRPr="00EE6E8D">
              <w:rPr>
                <w:rFonts w:cs="Arial"/>
                <w:color w:val="808080" w:themeColor="background1" w:themeShade="80"/>
                <w:sz w:val="6"/>
                <w:szCs w:val="6"/>
                <w:lang w:eastAsia="en-AU"/>
              </w:rPr>
              <w:t> </w:t>
            </w:r>
          </w:p>
        </w:tc>
        <w:tc>
          <w:tcPr>
            <w:tcW w:w="4530" w:type="dxa"/>
            <w:tcBorders>
              <w:top w:val="nil"/>
              <w:left w:val="nil"/>
              <w:bottom w:val="nil"/>
              <w:right w:val="nil"/>
            </w:tcBorders>
            <w:shd w:val="clear" w:color="auto" w:fill="FFFFFF" w:themeFill="background1"/>
            <w:vAlign w:val="center"/>
            <w:hideMark/>
          </w:tcPr>
          <w:p w14:paraId="5F09F3AD" w14:textId="77777777" w:rsidR="00272B4A" w:rsidRPr="00EE6E8D" w:rsidRDefault="00272B4A" w:rsidP="00E53105">
            <w:pPr>
              <w:rPr>
                <w:color w:val="808080" w:themeColor="background1" w:themeShade="80"/>
                <w:sz w:val="4"/>
              </w:rPr>
            </w:pPr>
            <w:r w:rsidRPr="00EE6E8D">
              <w:rPr>
                <w:rFonts w:cs="Arial"/>
                <w:color w:val="808080" w:themeColor="background1" w:themeShade="80"/>
                <w:sz w:val="4"/>
                <w:szCs w:val="4"/>
                <w:lang w:eastAsia="en-AU"/>
              </w:rPr>
              <w:t> </w:t>
            </w:r>
          </w:p>
        </w:tc>
      </w:tr>
      <w:tr w:rsidR="00272B4A" w:rsidRPr="0011239F" w14:paraId="29E9E5B9" w14:textId="77777777" w:rsidTr="0048550B">
        <w:trPr>
          <w:trHeight w:val="2994"/>
        </w:trPr>
        <w:tc>
          <w:tcPr>
            <w:tcW w:w="5097" w:type="dxa"/>
            <w:tcBorders>
              <w:top w:val="nil"/>
              <w:left w:val="nil"/>
              <w:bottom w:val="nil"/>
              <w:right w:val="nil"/>
            </w:tcBorders>
            <w:shd w:val="clear" w:color="auto" w:fill="BAE4FC"/>
            <w:hideMark/>
          </w:tcPr>
          <w:p w14:paraId="01A93EA5" w14:textId="1BB1F4DA" w:rsidR="00272B4A" w:rsidRPr="00D64882" w:rsidRDefault="00272B4A" w:rsidP="00FA0C4F">
            <w:pPr>
              <w:spacing w:before="8" w:after="80"/>
              <w:ind w:left="357" w:hanging="357"/>
              <w:rPr>
                <w:rFonts w:ascii="Arial" w:hAnsi="Arial" w:cs="Arial"/>
                <w:b/>
                <w:lang w:eastAsia="en-AU"/>
              </w:rPr>
            </w:pPr>
            <w:r w:rsidRPr="00D64882">
              <w:rPr>
                <w:rFonts w:ascii="Arial" w:hAnsi="Arial" w:cs="Arial"/>
                <w:b/>
              </w:rPr>
              <w:t xml:space="preserve">2. </w:t>
            </w:r>
            <w:r w:rsidR="005D5734">
              <w:rPr>
                <w:rFonts w:ascii="Arial" w:hAnsi="Arial" w:cs="Arial"/>
                <w:b/>
              </w:rPr>
              <w:tab/>
            </w:r>
            <w:r w:rsidR="006D5500" w:rsidRPr="00D64882">
              <w:rPr>
                <w:rFonts w:ascii="Arial" w:hAnsi="Arial" w:cs="Arial"/>
                <w:b/>
              </w:rPr>
              <w:t>Stronger primary industries</w:t>
            </w:r>
          </w:p>
          <w:p w14:paraId="54D4DEE3" w14:textId="2232F1D8" w:rsidR="00272B4A" w:rsidRPr="00926FB1" w:rsidRDefault="006D5500" w:rsidP="00FA0C4F">
            <w:pPr>
              <w:rPr>
                <w:rFonts w:ascii="Arial" w:hAnsi="Arial" w:cs="Arial"/>
              </w:rPr>
            </w:pPr>
            <w:r w:rsidRPr="00926FB1">
              <w:rPr>
                <w:rFonts w:ascii="Arial" w:hAnsi="Arial" w:cs="Arial"/>
              </w:rPr>
              <w:t>Focusing on primary industries’ productivity, growth and ensuring the sector’s sustainability for the benefit of all citizens. Our commitment to</w:t>
            </w:r>
            <w:r w:rsidR="001917EC" w:rsidRPr="00926FB1">
              <w:rPr>
                <w:rFonts w:ascii="Arial" w:hAnsi="Arial" w:cs="Arial"/>
              </w:rPr>
              <w:t xml:space="preserve"> research and</w:t>
            </w:r>
            <w:r w:rsidRPr="00926FB1">
              <w:rPr>
                <w:rFonts w:ascii="Arial" w:hAnsi="Arial" w:cs="Arial"/>
              </w:rPr>
              <w:t xml:space="preserve"> innovation, safe and secure food supply and industry support and development programs, delivered via an on-ground presence across the State, ensures</w:t>
            </w:r>
            <w:r w:rsidR="001917EC" w:rsidRPr="00926FB1">
              <w:rPr>
                <w:rFonts w:ascii="Arial" w:hAnsi="Arial" w:cs="Arial"/>
              </w:rPr>
              <w:t xml:space="preserve"> biosecurity</w:t>
            </w:r>
            <w:r w:rsidRPr="00926FB1">
              <w:rPr>
                <w:rFonts w:ascii="Arial" w:hAnsi="Arial" w:cs="Arial"/>
              </w:rPr>
              <w:t xml:space="preserve"> food security and economic growth for the State.</w:t>
            </w:r>
          </w:p>
          <w:p w14:paraId="058FE12C" w14:textId="77777777" w:rsidR="0003634C" w:rsidRPr="001D7F25" w:rsidRDefault="0003634C" w:rsidP="001D7F25">
            <w:pPr>
              <w:rPr>
                <w:rFonts w:ascii="Arial" w:hAnsi="Arial" w:cs="Arial"/>
                <w:bCs/>
                <w:sz w:val="12"/>
                <w:szCs w:val="12"/>
              </w:rPr>
            </w:pPr>
          </w:p>
          <w:p w14:paraId="74FE1374" w14:textId="77777777" w:rsidR="00EB5F6D" w:rsidRPr="008F6131" w:rsidRDefault="00EB5F6D" w:rsidP="00EB5F6D">
            <w:pPr>
              <w:rPr>
                <w:rFonts w:ascii="Arial" w:hAnsi="Arial" w:cs="Arial"/>
                <w:i/>
                <w:iCs/>
                <w:sz w:val="12"/>
                <w:szCs w:val="12"/>
              </w:rPr>
            </w:pPr>
          </w:p>
          <w:p w14:paraId="5535604F" w14:textId="5DE5C50B" w:rsidR="00272B4A" w:rsidRPr="00D64882" w:rsidRDefault="00EB5F6D" w:rsidP="00EB5F6D">
            <w:pPr>
              <w:rPr>
                <w:rFonts w:ascii="Arial" w:hAnsi="Arial" w:cs="Arial"/>
                <w:bCs/>
                <w:color w:val="808080" w:themeColor="background1" w:themeShade="80"/>
              </w:rPr>
            </w:pPr>
            <w:r>
              <w:rPr>
                <w:rFonts w:ascii="Arial" w:hAnsi="Arial" w:cs="Arial"/>
                <w:i/>
                <w:iCs/>
              </w:rPr>
              <w:t>2022-23</w:t>
            </w:r>
            <w:r w:rsidRPr="008F6131">
              <w:rPr>
                <w:rFonts w:ascii="Arial" w:hAnsi="Arial" w:cs="Arial"/>
                <w:i/>
                <w:iCs/>
              </w:rPr>
              <w:t xml:space="preserve"> investment: </w:t>
            </w:r>
            <w:r w:rsidR="00E1270D">
              <w:rPr>
                <w:rFonts w:ascii="Arial" w:hAnsi="Arial" w:cs="Arial"/>
              </w:rPr>
              <w:t>$</w:t>
            </w:r>
            <w:r w:rsidR="00252438" w:rsidRPr="00D8098C">
              <w:rPr>
                <w:rFonts w:ascii="Arial" w:hAnsi="Arial" w:cs="Arial"/>
              </w:rPr>
              <w:t>8</w:t>
            </w:r>
            <w:r w:rsidR="003D2D08" w:rsidRPr="00D8098C">
              <w:rPr>
                <w:rFonts w:ascii="Arial" w:hAnsi="Arial" w:cs="Arial"/>
              </w:rPr>
              <w:t>44</w:t>
            </w:r>
            <w:r w:rsidR="00252438" w:rsidRPr="00D8098C">
              <w:rPr>
                <w:rFonts w:ascii="Arial" w:hAnsi="Arial" w:cs="Arial"/>
              </w:rPr>
              <w:t>.</w:t>
            </w:r>
            <w:r w:rsidR="003D2D08" w:rsidRPr="00D8098C">
              <w:rPr>
                <w:rFonts w:ascii="Arial" w:hAnsi="Arial" w:cs="Arial"/>
              </w:rPr>
              <w:t>2</w:t>
            </w:r>
            <w:r w:rsidR="00E1270D" w:rsidRPr="00D8098C">
              <w:rPr>
                <w:rFonts w:ascii="Arial" w:hAnsi="Arial" w:cs="Arial"/>
                <w:color w:val="00ABE6"/>
                <w:sz w:val="18"/>
                <w:szCs w:val="18"/>
              </w:rPr>
              <w:t xml:space="preserve"> </w:t>
            </w:r>
            <w:r w:rsidR="00E1270D" w:rsidRPr="00D8098C">
              <w:rPr>
                <w:rFonts w:ascii="Arial" w:eastAsia="Arial" w:hAnsi="Arial" w:cs="Arial"/>
              </w:rPr>
              <w:t>million</w:t>
            </w:r>
            <w:r w:rsidR="00E1270D" w:rsidRPr="00D8098C">
              <w:rPr>
                <w:rFonts w:ascii="Arial" w:hAnsi="Arial" w:cs="Arial"/>
              </w:rPr>
              <w:t xml:space="preserve"> </w:t>
            </w:r>
            <w:r w:rsidRPr="00D8098C">
              <w:rPr>
                <w:rFonts w:ascii="Arial" w:hAnsi="Arial" w:cs="Arial"/>
              </w:rPr>
              <w:t>in recurrent expenses &amp;</w:t>
            </w:r>
            <w:r w:rsidR="00E1270D" w:rsidRPr="00D8098C">
              <w:rPr>
                <w:rFonts w:ascii="Arial" w:hAnsi="Arial" w:cs="Arial"/>
              </w:rPr>
              <w:t xml:space="preserve"> $</w:t>
            </w:r>
            <w:r w:rsidR="003D2D08" w:rsidRPr="00D8098C">
              <w:rPr>
                <w:rFonts w:ascii="Arial" w:eastAsia="Arial" w:hAnsi="Arial" w:cs="Arial"/>
              </w:rPr>
              <w:t>71</w:t>
            </w:r>
            <w:r w:rsidR="00252438" w:rsidRPr="00D8098C">
              <w:rPr>
                <w:rFonts w:ascii="Arial" w:eastAsia="Arial" w:hAnsi="Arial" w:cs="Arial"/>
              </w:rPr>
              <w:t>.</w:t>
            </w:r>
            <w:r w:rsidR="003D2D08" w:rsidRPr="00D8098C">
              <w:rPr>
                <w:rFonts w:ascii="Arial" w:eastAsia="Arial" w:hAnsi="Arial" w:cs="Arial"/>
              </w:rPr>
              <w:t>4</w:t>
            </w:r>
            <w:r w:rsidR="00E1270D" w:rsidRPr="00D8098C">
              <w:rPr>
                <w:rFonts w:ascii="Arial" w:hAnsi="Arial" w:cs="Arial"/>
                <w:color w:val="00ABE6"/>
                <w:sz w:val="18"/>
                <w:szCs w:val="18"/>
              </w:rPr>
              <w:t xml:space="preserve"> </w:t>
            </w:r>
            <w:r w:rsidR="00E1270D" w:rsidRPr="00D8098C">
              <w:rPr>
                <w:rFonts w:ascii="Arial" w:eastAsia="Arial" w:hAnsi="Arial" w:cs="Arial"/>
              </w:rPr>
              <w:t>million</w:t>
            </w:r>
            <w:r w:rsidR="00E1270D" w:rsidRPr="00D8098C">
              <w:rPr>
                <w:rFonts w:ascii="Arial" w:hAnsi="Arial" w:cs="Arial"/>
              </w:rPr>
              <w:t xml:space="preserve"> </w:t>
            </w:r>
            <w:r w:rsidRPr="00D8098C">
              <w:rPr>
                <w:rFonts w:ascii="Arial" w:hAnsi="Arial" w:cs="Arial"/>
              </w:rPr>
              <w:t>in</w:t>
            </w:r>
            <w:r w:rsidRPr="00C132D8">
              <w:rPr>
                <w:rFonts w:ascii="Arial" w:hAnsi="Arial" w:cs="Arial"/>
              </w:rPr>
              <w:t xml:space="preserve"> capital expenditure</w:t>
            </w:r>
          </w:p>
        </w:tc>
        <w:tc>
          <w:tcPr>
            <w:tcW w:w="246" w:type="dxa"/>
            <w:tcBorders>
              <w:top w:val="nil"/>
              <w:left w:val="nil"/>
              <w:bottom w:val="nil"/>
              <w:right w:val="nil"/>
            </w:tcBorders>
            <w:shd w:val="clear" w:color="auto" w:fill="FFFFFF" w:themeFill="background1"/>
            <w:vAlign w:val="center"/>
            <w:hideMark/>
          </w:tcPr>
          <w:p w14:paraId="7BBC8958" w14:textId="77777777" w:rsidR="00272B4A" w:rsidRPr="00EE6E8D" w:rsidRDefault="00272B4A" w:rsidP="00E53105">
            <w:pPr>
              <w:jc w:val="center"/>
              <w:rPr>
                <w:color w:val="808080" w:themeColor="background1" w:themeShade="80"/>
                <w:sz w:val="6"/>
                <w:szCs w:val="6"/>
              </w:rPr>
            </w:pPr>
            <w:r w:rsidRPr="00EE6E8D">
              <w:rPr>
                <w:rFonts w:cs="Arial"/>
                <w:color w:val="808080" w:themeColor="background1" w:themeShade="80"/>
                <w:sz w:val="6"/>
                <w:szCs w:val="6"/>
                <w:lang w:eastAsia="en-AU"/>
              </w:rPr>
              <w:t> </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4E4E7" w14:textId="77777777" w:rsidR="00E1270D" w:rsidRDefault="00E1270D" w:rsidP="001B5CDC">
            <w:pPr>
              <w:pStyle w:val="ListParagraph"/>
              <w:numPr>
                <w:ilvl w:val="0"/>
                <w:numId w:val="15"/>
              </w:numPr>
              <w:spacing w:after="0"/>
              <w:ind w:left="360"/>
              <w:rPr>
                <w:rFonts w:cs="Arial"/>
              </w:rPr>
            </w:pPr>
            <w:r>
              <w:rPr>
                <w:rFonts w:cs="Arial"/>
              </w:rPr>
              <w:t>Biosecure Industries and Environment</w:t>
            </w:r>
          </w:p>
          <w:p w14:paraId="3F003DF0" w14:textId="6517BCE3" w:rsidR="00E1270D" w:rsidRDefault="00E1270D" w:rsidP="001B5CDC">
            <w:pPr>
              <w:pStyle w:val="ListParagraph"/>
              <w:numPr>
                <w:ilvl w:val="0"/>
                <w:numId w:val="15"/>
              </w:numPr>
              <w:spacing w:after="0"/>
              <w:ind w:left="360"/>
              <w:rPr>
                <w:rFonts w:cs="Arial"/>
              </w:rPr>
            </w:pPr>
            <w:r>
              <w:rPr>
                <w:rFonts w:cs="Arial"/>
              </w:rPr>
              <w:t>Economic Growth</w:t>
            </w:r>
          </w:p>
          <w:p w14:paraId="31673E54" w14:textId="77777777" w:rsidR="00E1270D" w:rsidRDefault="00E1270D" w:rsidP="001B5CDC">
            <w:pPr>
              <w:pStyle w:val="ListParagraph"/>
              <w:numPr>
                <w:ilvl w:val="0"/>
                <w:numId w:val="15"/>
              </w:numPr>
              <w:spacing w:after="0"/>
              <w:ind w:left="360"/>
              <w:rPr>
                <w:rFonts w:cs="Arial"/>
              </w:rPr>
            </w:pPr>
            <w:r>
              <w:rPr>
                <w:rFonts w:cs="Arial"/>
              </w:rPr>
              <w:t>Food Safety and Animal Welfare</w:t>
            </w:r>
          </w:p>
          <w:p w14:paraId="275F86D0" w14:textId="77777777" w:rsidR="00E1270D" w:rsidRDefault="00E1270D" w:rsidP="001B5CDC">
            <w:pPr>
              <w:pStyle w:val="ListParagraph"/>
              <w:numPr>
                <w:ilvl w:val="0"/>
                <w:numId w:val="15"/>
              </w:numPr>
              <w:spacing w:after="0"/>
              <w:ind w:left="360"/>
              <w:rPr>
                <w:rFonts w:cs="Arial"/>
              </w:rPr>
            </w:pPr>
            <w:r>
              <w:rPr>
                <w:rFonts w:cs="Arial"/>
              </w:rPr>
              <w:t>Response Capacity</w:t>
            </w:r>
          </w:p>
          <w:p w14:paraId="172EA8EA" w14:textId="31117C8A" w:rsidR="00E1270D" w:rsidRDefault="00E1270D" w:rsidP="001B5CDC">
            <w:pPr>
              <w:pStyle w:val="ListParagraph"/>
              <w:numPr>
                <w:ilvl w:val="0"/>
                <w:numId w:val="15"/>
              </w:numPr>
              <w:spacing w:after="0"/>
              <w:ind w:left="360"/>
              <w:rPr>
                <w:rFonts w:cs="Arial"/>
              </w:rPr>
            </w:pPr>
            <w:r>
              <w:rPr>
                <w:rFonts w:cs="Arial"/>
              </w:rPr>
              <w:t>Car</w:t>
            </w:r>
            <w:r w:rsidR="00EA09F3">
              <w:rPr>
                <w:rFonts w:cs="Arial"/>
              </w:rPr>
              <w:t>b</w:t>
            </w:r>
            <w:r>
              <w:rPr>
                <w:rFonts w:cs="Arial"/>
              </w:rPr>
              <w:t>on Neutral and Climate Resilience</w:t>
            </w:r>
          </w:p>
          <w:p w14:paraId="4D1E2309" w14:textId="538A71E1" w:rsidR="000B6B4E" w:rsidRPr="00A32591" w:rsidRDefault="00E1270D">
            <w:pPr>
              <w:pStyle w:val="ListParagraph"/>
              <w:numPr>
                <w:ilvl w:val="0"/>
                <w:numId w:val="15"/>
              </w:numPr>
              <w:spacing w:after="0"/>
              <w:ind w:left="360"/>
              <w:rPr>
                <w:rFonts w:cs="Arial"/>
              </w:rPr>
            </w:pPr>
            <w:r>
              <w:rPr>
                <w:rFonts w:cs="Arial"/>
              </w:rPr>
              <w:t xml:space="preserve">Sustainable Resources and Productive Landscapes </w:t>
            </w:r>
          </w:p>
          <w:p w14:paraId="7C5BD482" w14:textId="1BE6E240" w:rsidR="00532797" w:rsidRPr="00A32591" w:rsidRDefault="001D7388" w:rsidP="001B5CDC">
            <w:pPr>
              <w:pStyle w:val="ListParagraph"/>
              <w:numPr>
                <w:ilvl w:val="0"/>
                <w:numId w:val="15"/>
              </w:numPr>
              <w:spacing w:after="0"/>
              <w:ind w:left="360"/>
              <w:rPr>
                <w:rFonts w:cs="Arial"/>
              </w:rPr>
            </w:pPr>
            <w:r w:rsidRPr="00A32591">
              <w:rPr>
                <w:rFonts w:cs="Arial"/>
              </w:rPr>
              <w:t>New South Wales Rural Assistance Authority</w:t>
            </w:r>
          </w:p>
          <w:p w14:paraId="6EED8A92" w14:textId="45C09251" w:rsidR="001D7388" w:rsidRPr="00A32591" w:rsidRDefault="001D7388" w:rsidP="001B5CDC">
            <w:pPr>
              <w:pStyle w:val="ListParagraph"/>
              <w:numPr>
                <w:ilvl w:val="0"/>
                <w:numId w:val="15"/>
              </w:numPr>
              <w:spacing w:after="0"/>
              <w:ind w:left="360"/>
            </w:pPr>
            <w:r w:rsidRPr="3EBAE17F">
              <w:rPr>
                <w:rFonts w:cs="Arial"/>
              </w:rPr>
              <w:t>New South Wales Food Authority</w:t>
            </w:r>
          </w:p>
        </w:tc>
      </w:tr>
      <w:tr w:rsidR="00526008" w:rsidRPr="00526008" w14:paraId="262FBF36" w14:textId="77777777" w:rsidTr="00F770B7">
        <w:trPr>
          <w:trHeight w:val="105"/>
        </w:trPr>
        <w:tc>
          <w:tcPr>
            <w:tcW w:w="5097" w:type="dxa"/>
            <w:tcBorders>
              <w:top w:val="nil"/>
              <w:left w:val="nil"/>
              <w:bottom w:val="nil"/>
              <w:right w:val="nil"/>
            </w:tcBorders>
            <w:shd w:val="clear" w:color="auto" w:fill="FFFFFF" w:themeFill="background1"/>
            <w:vAlign w:val="center"/>
            <w:hideMark/>
          </w:tcPr>
          <w:p w14:paraId="0D1EA63A" w14:textId="77777777" w:rsidR="00272B4A" w:rsidRPr="00526008" w:rsidRDefault="00272B4A" w:rsidP="00E53105">
            <w:pPr>
              <w:jc w:val="center"/>
              <w:rPr>
                <w:sz w:val="4"/>
              </w:rPr>
            </w:pPr>
            <w:r w:rsidRPr="00526008">
              <w:rPr>
                <w:rFonts w:cs="Arial"/>
                <w:sz w:val="4"/>
                <w:szCs w:val="4"/>
                <w:lang w:eastAsia="en-AU"/>
              </w:rPr>
              <w:t> </w:t>
            </w:r>
          </w:p>
        </w:tc>
        <w:tc>
          <w:tcPr>
            <w:tcW w:w="246" w:type="dxa"/>
            <w:tcBorders>
              <w:top w:val="nil"/>
              <w:left w:val="nil"/>
              <w:bottom w:val="nil"/>
              <w:right w:val="nil"/>
            </w:tcBorders>
            <w:shd w:val="clear" w:color="auto" w:fill="FFFFFF" w:themeFill="background1"/>
            <w:vAlign w:val="center"/>
            <w:hideMark/>
          </w:tcPr>
          <w:p w14:paraId="6BDBC580" w14:textId="77777777" w:rsidR="00272B4A" w:rsidRPr="00526008" w:rsidRDefault="00272B4A" w:rsidP="00E53105">
            <w:pPr>
              <w:jc w:val="center"/>
              <w:rPr>
                <w:sz w:val="6"/>
                <w:szCs w:val="6"/>
              </w:rPr>
            </w:pPr>
            <w:r w:rsidRPr="00526008">
              <w:rPr>
                <w:rFonts w:cs="Arial"/>
                <w:sz w:val="6"/>
                <w:szCs w:val="6"/>
                <w:lang w:eastAsia="en-AU"/>
              </w:rPr>
              <w:t> </w:t>
            </w:r>
          </w:p>
        </w:tc>
        <w:tc>
          <w:tcPr>
            <w:tcW w:w="4530" w:type="dxa"/>
            <w:tcBorders>
              <w:top w:val="nil"/>
              <w:left w:val="nil"/>
              <w:bottom w:val="nil"/>
              <w:right w:val="nil"/>
            </w:tcBorders>
            <w:shd w:val="clear" w:color="auto" w:fill="FFFFFF" w:themeFill="background1"/>
            <w:vAlign w:val="center"/>
            <w:hideMark/>
          </w:tcPr>
          <w:p w14:paraId="6934B5CF" w14:textId="77777777" w:rsidR="00272B4A" w:rsidRPr="00A32591" w:rsidRDefault="00272B4A" w:rsidP="00E53105">
            <w:pPr>
              <w:rPr>
                <w:sz w:val="4"/>
              </w:rPr>
            </w:pPr>
            <w:r w:rsidRPr="00A32591">
              <w:rPr>
                <w:rFonts w:cs="Arial"/>
                <w:sz w:val="4"/>
                <w:szCs w:val="4"/>
                <w:lang w:eastAsia="en-AU"/>
              </w:rPr>
              <w:t> </w:t>
            </w:r>
          </w:p>
        </w:tc>
      </w:tr>
      <w:tr w:rsidR="00272B4A" w:rsidRPr="0011239F" w14:paraId="017FAF55" w14:textId="77777777" w:rsidTr="003413F9">
        <w:trPr>
          <w:trHeight w:val="2752"/>
        </w:trPr>
        <w:tc>
          <w:tcPr>
            <w:tcW w:w="5097" w:type="dxa"/>
            <w:tcBorders>
              <w:top w:val="nil"/>
              <w:left w:val="nil"/>
              <w:bottom w:val="nil"/>
              <w:right w:val="nil"/>
            </w:tcBorders>
            <w:shd w:val="clear" w:color="auto" w:fill="BAE4FC"/>
            <w:vAlign w:val="center"/>
            <w:hideMark/>
          </w:tcPr>
          <w:p w14:paraId="10C73B82" w14:textId="150B13FC" w:rsidR="00272B4A" w:rsidRPr="00D64882" w:rsidRDefault="00272B4A" w:rsidP="0005675B">
            <w:pPr>
              <w:keepNext/>
              <w:keepLines/>
              <w:spacing w:before="8" w:after="80"/>
              <w:ind w:left="357" w:hanging="357"/>
              <w:rPr>
                <w:rFonts w:ascii="Arial" w:eastAsiaTheme="minorHAnsi" w:hAnsi="Arial" w:cs="Arial"/>
                <w:b/>
                <w:bCs/>
                <w:szCs w:val="21"/>
              </w:rPr>
            </w:pPr>
            <w:r w:rsidRPr="00D64882">
              <w:rPr>
                <w:rFonts w:ascii="Arial" w:eastAsiaTheme="minorHAnsi" w:hAnsi="Arial" w:cs="Arial"/>
                <w:b/>
              </w:rPr>
              <w:lastRenderedPageBreak/>
              <w:t xml:space="preserve">3. </w:t>
            </w:r>
            <w:r w:rsidR="005D5734">
              <w:rPr>
                <w:rFonts w:ascii="Arial" w:eastAsiaTheme="minorHAnsi" w:hAnsi="Arial" w:cs="Arial"/>
                <w:b/>
              </w:rPr>
              <w:tab/>
            </w:r>
            <w:r w:rsidR="006D5500" w:rsidRPr="00D64882">
              <w:rPr>
                <w:rFonts w:ascii="Arial" w:eastAsiaTheme="minorHAnsi" w:hAnsi="Arial" w:cs="Arial"/>
                <w:b/>
              </w:rPr>
              <w:t>Mineral and petroleum industries generating prosperity, safely</w:t>
            </w:r>
          </w:p>
          <w:p w14:paraId="4642A93E" w14:textId="0E7BD66C" w:rsidR="00272B4A" w:rsidRPr="00926FB1" w:rsidRDefault="006D5500" w:rsidP="00E53105">
            <w:pPr>
              <w:rPr>
                <w:rFonts w:ascii="Arial" w:hAnsi="Arial" w:cs="Arial"/>
              </w:rPr>
            </w:pPr>
            <w:r w:rsidRPr="00926FB1">
              <w:rPr>
                <w:rFonts w:ascii="Arial" w:hAnsi="Arial" w:cs="Arial"/>
              </w:rPr>
              <w:t xml:space="preserve">Supporting and growing responsible mining and exploration across regional New South Wales. This is critical for regional employment, export earnings and royalties. Our mission is to make the State the number one destination for </w:t>
            </w:r>
            <w:r w:rsidR="0095790E">
              <w:rPr>
                <w:rFonts w:ascii="Arial" w:hAnsi="Arial" w:cs="Arial"/>
              </w:rPr>
              <w:t>safe</w:t>
            </w:r>
            <w:r w:rsidR="00DF6262">
              <w:rPr>
                <w:rFonts w:ascii="Arial" w:hAnsi="Arial" w:cs="Arial"/>
              </w:rPr>
              <w:t xml:space="preserve"> and sustainable </w:t>
            </w:r>
            <w:r w:rsidRPr="00926FB1">
              <w:rPr>
                <w:rFonts w:ascii="Arial" w:hAnsi="Arial" w:cs="Arial"/>
              </w:rPr>
              <w:t>mining investment</w:t>
            </w:r>
            <w:r w:rsidR="00252438" w:rsidRPr="00926FB1">
              <w:rPr>
                <w:rFonts w:ascii="Arial" w:hAnsi="Arial" w:cs="Arial"/>
              </w:rPr>
              <w:t>.</w:t>
            </w:r>
          </w:p>
          <w:p w14:paraId="06638026" w14:textId="77777777" w:rsidR="00272B4A" w:rsidRPr="001D7F25" w:rsidRDefault="00272B4A" w:rsidP="00E53105">
            <w:pPr>
              <w:rPr>
                <w:rFonts w:ascii="Arial" w:hAnsi="Arial" w:cs="Arial"/>
                <w:sz w:val="12"/>
                <w:szCs w:val="12"/>
              </w:rPr>
            </w:pPr>
          </w:p>
          <w:p w14:paraId="639BC18A" w14:textId="77777777" w:rsidR="00EB5F6D" w:rsidRPr="008F6131" w:rsidRDefault="00EB5F6D" w:rsidP="00EB5F6D">
            <w:pPr>
              <w:rPr>
                <w:rFonts w:ascii="Arial" w:hAnsi="Arial" w:cs="Arial"/>
                <w:i/>
                <w:iCs/>
                <w:sz w:val="12"/>
                <w:szCs w:val="12"/>
              </w:rPr>
            </w:pPr>
          </w:p>
          <w:p w14:paraId="3237F65E" w14:textId="39F5ED55" w:rsidR="00EB5F6D" w:rsidRPr="003413F9" w:rsidRDefault="00EB5F6D" w:rsidP="00EB5F6D">
            <w:pPr>
              <w:rPr>
                <w:rFonts w:ascii="Arial" w:hAnsi="Arial" w:cs="Arial"/>
                <w:i/>
                <w:iCs/>
              </w:rPr>
            </w:pPr>
            <w:r>
              <w:rPr>
                <w:rFonts w:ascii="Arial" w:hAnsi="Arial" w:cs="Arial"/>
                <w:i/>
                <w:iCs/>
              </w:rPr>
              <w:t>2022-23</w:t>
            </w:r>
            <w:r w:rsidRPr="008F6131">
              <w:rPr>
                <w:rFonts w:ascii="Arial" w:hAnsi="Arial" w:cs="Arial"/>
                <w:i/>
                <w:iCs/>
              </w:rPr>
              <w:t xml:space="preserve"> </w:t>
            </w:r>
            <w:r w:rsidRPr="00BB5778">
              <w:rPr>
                <w:rFonts w:ascii="Arial" w:hAnsi="Arial" w:cs="Arial"/>
                <w:i/>
                <w:iCs/>
              </w:rPr>
              <w:t xml:space="preserve">investment: </w:t>
            </w:r>
            <w:r w:rsidR="00E1270D" w:rsidRPr="00BB5778">
              <w:rPr>
                <w:rFonts w:ascii="Arial" w:hAnsi="Arial" w:cs="Arial"/>
              </w:rPr>
              <w:t>$</w:t>
            </w:r>
            <w:r w:rsidR="00252438" w:rsidRPr="00BB5778">
              <w:rPr>
                <w:rFonts w:ascii="Arial" w:hAnsi="Arial" w:cs="Arial"/>
              </w:rPr>
              <w:t>1</w:t>
            </w:r>
            <w:r w:rsidR="00873FF7" w:rsidRPr="00BB5778">
              <w:rPr>
                <w:rFonts w:ascii="Arial" w:hAnsi="Arial" w:cs="Arial"/>
              </w:rPr>
              <w:t>96</w:t>
            </w:r>
            <w:r w:rsidR="00821363" w:rsidRPr="00BB5778">
              <w:rPr>
                <w:rFonts w:ascii="Arial" w:hAnsi="Arial" w:cs="Arial"/>
              </w:rPr>
              <w:t>.3</w:t>
            </w:r>
            <w:r w:rsidR="00821363" w:rsidRPr="00BB5778">
              <w:rPr>
                <w:rFonts w:ascii="Arial" w:eastAsia="Arial" w:hAnsi="Arial" w:cs="Arial"/>
              </w:rPr>
              <w:t xml:space="preserve"> </w:t>
            </w:r>
            <w:r w:rsidR="00E1270D" w:rsidRPr="00BB5778">
              <w:rPr>
                <w:rFonts w:ascii="Arial" w:eastAsia="Arial" w:hAnsi="Arial" w:cs="Arial"/>
              </w:rPr>
              <w:t>million</w:t>
            </w:r>
            <w:r w:rsidR="00E1270D" w:rsidRPr="00BB5778">
              <w:rPr>
                <w:rFonts w:ascii="Arial" w:hAnsi="Arial" w:cs="Arial"/>
              </w:rPr>
              <w:t xml:space="preserve"> </w:t>
            </w:r>
            <w:r w:rsidRPr="00BB5778">
              <w:rPr>
                <w:rFonts w:ascii="Arial" w:hAnsi="Arial" w:cs="Arial"/>
              </w:rPr>
              <w:t xml:space="preserve">in recurrent expenses &amp; </w:t>
            </w:r>
            <w:r w:rsidR="00E1270D" w:rsidRPr="00BB5778">
              <w:rPr>
                <w:rFonts w:ascii="Arial" w:hAnsi="Arial" w:cs="Arial"/>
              </w:rPr>
              <w:t>$</w:t>
            </w:r>
            <w:r w:rsidR="00821363" w:rsidRPr="00BB5778">
              <w:rPr>
                <w:rFonts w:ascii="Arial" w:hAnsi="Arial" w:cs="Arial"/>
              </w:rPr>
              <w:t>3.7</w:t>
            </w:r>
            <w:r w:rsidR="00E1270D" w:rsidRPr="00BB5778">
              <w:rPr>
                <w:rFonts w:ascii="Arial" w:hAnsi="Arial" w:cs="Arial"/>
                <w:color w:val="00ABE6"/>
                <w:sz w:val="18"/>
                <w:szCs w:val="18"/>
              </w:rPr>
              <w:t xml:space="preserve"> </w:t>
            </w:r>
            <w:r w:rsidR="00E1270D" w:rsidRPr="00BB5778">
              <w:rPr>
                <w:rFonts w:ascii="Arial" w:eastAsia="Arial" w:hAnsi="Arial" w:cs="Arial"/>
              </w:rPr>
              <w:t>millio</w:t>
            </w:r>
            <w:r w:rsidR="00E1270D" w:rsidRPr="005B109A">
              <w:rPr>
                <w:rFonts w:ascii="Arial" w:eastAsia="Arial" w:hAnsi="Arial" w:cs="Arial"/>
              </w:rPr>
              <w:t>n</w:t>
            </w:r>
            <w:r w:rsidR="00E1270D" w:rsidRPr="00C132D8">
              <w:rPr>
                <w:rFonts w:ascii="Arial" w:hAnsi="Arial" w:cs="Arial"/>
              </w:rPr>
              <w:t xml:space="preserve"> </w:t>
            </w:r>
            <w:r w:rsidRPr="00C132D8">
              <w:rPr>
                <w:rFonts w:ascii="Arial" w:hAnsi="Arial" w:cs="Arial"/>
              </w:rPr>
              <w:t>in capital expenditure</w:t>
            </w:r>
          </w:p>
        </w:tc>
        <w:tc>
          <w:tcPr>
            <w:tcW w:w="246" w:type="dxa"/>
            <w:tcBorders>
              <w:top w:val="nil"/>
              <w:left w:val="nil"/>
              <w:bottom w:val="nil"/>
              <w:right w:val="nil"/>
            </w:tcBorders>
            <w:shd w:val="clear" w:color="auto" w:fill="FFFFFF" w:themeFill="background1"/>
            <w:vAlign w:val="center"/>
            <w:hideMark/>
          </w:tcPr>
          <w:p w14:paraId="27F32F58" w14:textId="77777777" w:rsidR="00272B4A" w:rsidRPr="00EE6E8D" w:rsidRDefault="00272B4A" w:rsidP="00E53105">
            <w:pPr>
              <w:jc w:val="center"/>
              <w:rPr>
                <w:color w:val="808080" w:themeColor="background1" w:themeShade="80"/>
                <w:sz w:val="6"/>
                <w:szCs w:val="6"/>
              </w:rPr>
            </w:pPr>
            <w:r w:rsidRPr="00EE6E8D">
              <w:rPr>
                <w:rFonts w:cs="Arial"/>
                <w:color w:val="808080" w:themeColor="background1" w:themeShade="80"/>
                <w:sz w:val="6"/>
                <w:szCs w:val="6"/>
                <w:lang w:eastAsia="en-AU"/>
              </w:rPr>
              <w:t> </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FFA8C" w14:textId="48C37C14" w:rsidR="006D5500" w:rsidRPr="00A32591" w:rsidRDefault="006D5500" w:rsidP="001B5CDC">
            <w:pPr>
              <w:pStyle w:val="ListParagraph"/>
              <w:numPr>
                <w:ilvl w:val="0"/>
                <w:numId w:val="16"/>
              </w:numPr>
              <w:spacing w:after="0"/>
              <w:rPr>
                <w:rFonts w:cs="Arial"/>
              </w:rPr>
            </w:pPr>
            <w:r w:rsidRPr="00A32591">
              <w:rPr>
                <w:rFonts w:cs="Arial"/>
              </w:rPr>
              <w:t>Mak</w:t>
            </w:r>
            <w:r w:rsidR="00A557FB">
              <w:rPr>
                <w:rFonts w:cs="Arial"/>
              </w:rPr>
              <w:t>ing</w:t>
            </w:r>
            <w:r w:rsidRPr="00A32591">
              <w:rPr>
                <w:rFonts w:cs="Arial"/>
              </w:rPr>
              <w:t xml:space="preserve"> </w:t>
            </w:r>
            <w:r w:rsidR="00C46859">
              <w:rPr>
                <w:rFonts w:cs="Arial"/>
              </w:rPr>
              <w:t>NSW</w:t>
            </w:r>
            <w:r w:rsidRPr="00A32591">
              <w:rPr>
                <w:rFonts w:cs="Arial"/>
              </w:rPr>
              <w:t xml:space="preserve"> a preferred investment destination for exploration and mining</w:t>
            </w:r>
            <w:r w:rsidR="00731793">
              <w:rPr>
                <w:rFonts w:cs="Arial"/>
              </w:rPr>
              <w:t xml:space="preserve"> industry</w:t>
            </w:r>
          </w:p>
          <w:p w14:paraId="1176469D" w14:textId="143CF47D" w:rsidR="00272B4A" w:rsidRPr="00A32591" w:rsidRDefault="006D5500" w:rsidP="001B5CDC">
            <w:pPr>
              <w:pStyle w:val="ListParagraph"/>
              <w:numPr>
                <w:ilvl w:val="0"/>
                <w:numId w:val="16"/>
              </w:numPr>
              <w:spacing w:after="0"/>
              <w:rPr>
                <w:rFonts w:cs="Arial"/>
              </w:rPr>
            </w:pPr>
            <w:r w:rsidRPr="00A32591">
              <w:rPr>
                <w:rFonts w:cs="Arial"/>
              </w:rPr>
              <w:t>Regulating safe and environmentally sustainable mining</w:t>
            </w:r>
          </w:p>
        </w:tc>
      </w:tr>
      <w:tr w:rsidR="00272B4A" w:rsidRPr="008E2377" w14:paraId="2D1F616A" w14:textId="77777777" w:rsidTr="00F770B7">
        <w:trPr>
          <w:trHeight w:val="108"/>
        </w:trPr>
        <w:tc>
          <w:tcPr>
            <w:tcW w:w="5097" w:type="dxa"/>
            <w:tcBorders>
              <w:top w:val="nil"/>
              <w:left w:val="nil"/>
              <w:bottom w:val="nil"/>
              <w:right w:val="nil"/>
            </w:tcBorders>
            <w:shd w:val="clear" w:color="auto" w:fill="FFFFFF" w:themeFill="background1"/>
            <w:vAlign w:val="center"/>
            <w:hideMark/>
          </w:tcPr>
          <w:p w14:paraId="1A760F7F" w14:textId="77777777" w:rsidR="00272B4A" w:rsidRPr="008E2377" w:rsidRDefault="00272B4A" w:rsidP="00E53105">
            <w:pPr>
              <w:jc w:val="center"/>
              <w:rPr>
                <w:color w:val="A6A6A6"/>
                <w:sz w:val="4"/>
                <w:szCs w:val="4"/>
              </w:rPr>
            </w:pPr>
            <w:r w:rsidRPr="008E2377">
              <w:rPr>
                <w:rFonts w:cs="Arial"/>
                <w:color w:val="A6A6A6"/>
                <w:sz w:val="4"/>
                <w:szCs w:val="4"/>
                <w:lang w:eastAsia="en-AU"/>
              </w:rPr>
              <w:t> </w:t>
            </w:r>
          </w:p>
        </w:tc>
        <w:tc>
          <w:tcPr>
            <w:tcW w:w="246" w:type="dxa"/>
            <w:tcBorders>
              <w:top w:val="nil"/>
              <w:left w:val="nil"/>
              <w:bottom w:val="nil"/>
              <w:right w:val="nil"/>
            </w:tcBorders>
            <w:shd w:val="clear" w:color="auto" w:fill="FFFFFF" w:themeFill="background1"/>
            <w:vAlign w:val="center"/>
            <w:hideMark/>
          </w:tcPr>
          <w:p w14:paraId="3E3D36C8" w14:textId="77777777" w:rsidR="00272B4A" w:rsidRPr="00A95062" w:rsidRDefault="00272B4A" w:rsidP="00E53105">
            <w:pPr>
              <w:jc w:val="center"/>
              <w:rPr>
                <w:color w:val="A6A6A6"/>
                <w:sz w:val="6"/>
                <w:szCs w:val="6"/>
              </w:rPr>
            </w:pPr>
            <w:r w:rsidRPr="00A95062">
              <w:rPr>
                <w:rFonts w:cs="Arial"/>
                <w:color w:val="A6A6A6"/>
                <w:sz w:val="6"/>
                <w:szCs w:val="6"/>
                <w:lang w:eastAsia="en-AU"/>
              </w:rPr>
              <w:t> </w:t>
            </w:r>
          </w:p>
        </w:tc>
        <w:tc>
          <w:tcPr>
            <w:tcW w:w="4530" w:type="dxa"/>
            <w:tcBorders>
              <w:top w:val="nil"/>
              <w:left w:val="nil"/>
              <w:bottom w:val="nil"/>
              <w:right w:val="nil"/>
            </w:tcBorders>
            <w:shd w:val="clear" w:color="auto" w:fill="FFFFFF" w:themeFill="background1"/>
            <w:vAlign w:val="center"/>
            <w:hideMark/>
          </w:tcPr>
          <w:p w14:paraId="4D6B6C1D" w14:textId="77777777" w:rsidR="00272B4A" w:rsidRPr="008E2377" w:rsidRDefault="00272B4A" w:rsidP="00E53105">
            <w:pPr>
              <w:rPr>
                <w:color w:val="A6A6A6"/>
                <w:sz w:val="4"/>
                <w:szCs w:val="4"/>
              </w:rPr>
            </w:pPr>
            <w:r w:rsidRPr="008E2377">
              <w:rPr>
                <w:rFonts w:cs="Arial"/>
                <w:color w:val="A6A6A6"/>
                <w:sz w:val="4"/>
                <w:szCs w:val="4"/>
                <w:lang w:eastAsia="en-AU"/>
              </w:rPr>
              <w:t> </w:t>
            </w:r>
          </w:p>
        </w:tc>
      </w:tr>
      <w:tr w:rsidR="00272B4A" w:rsidRPr="0011239F" w14:paraId="5F998A26" w14:textId="77777777" w:rsidTr="00F770B7">
        <w:trPr>
          <w:trHeight w:val="2840"/>
        </w:trPr>
        <w:tc>
          <w:tcPr>
            <w:tcW w:w="5097" w:type="dxa"/>
            <w:tcBorders>
              <w:top w:val="nil"/>
              <w:left w:val="nil"/>
              <w:bottom w:val="nil"/>
              <w:right w:val="nil"/>
            </w:tcBorders>
            <w:shd w:val="clear" w:color="auto" w:fill="BAE4FC"/>
            <w:vAlign w:val="center"/>
            <w:hideMark/>
          </w:tcPr>
          <w:p w14:paraId="415D150F" w14:textId="3605B4E1" w:rsidR="00252438" w:rsidRPr="00D64882" w:rsidRDefault="000E21A6" w:rsidP="00252438">
            <w:pPr>
              <w:spacing w:before="8" w:after="80"/>
              <w:ind w:left="357" w:hanging="357"/>
              <w:rPr>
                <w:rFonts w:ascii="Arial" w:eastAsiaTheme="minorHAnsi" w:hAnsi="Arial" w:cs="Arial"/>
                <w:b/>
              </w:rPr>
            </w:pPr>
            <w:r>
              <w:rPr>
                <w:rFonts w:ascii="Arial" w:eastAsiaTheme="minorHAnsi" w:hAnsi="Arial" w:cs="Arial"/>
                <w:b/>
              </w:rPr>
              <w:t>4</w:t>
            </w:r>
            <w:r w:rsidR="00252438" w:rsidRPr="00D64882">
              <w:rPr>
                <w:rFonts w:ascii="Arial" w:eastAsiaTheme="minorHAnsi" w:hAnsi="Arial" w:cs="Arial"/>
                <w:b/>
              </w:rPr>
              <w:t xml:space="preserve">. </w:t>
            </w:r>
            <w:r w:rsidR="00252438">
              <w:rPr>
                <w:rFonts w:ascii="Arial" w:eastAsiaTheme="minorHAnsi" w:hAnsi="Arial" w:cs="Arial"/>
                <w:b/>
              </w:rPr>
              <w:tab/>
            </w:r>
            <w:r w:rsidR="00252438" w:rsidRPr="00D64882">
              <w:rPr>
                <w:rFonts w:ascii="Arial" w:eastAsiaTheme="minorHAnsi" w:hAnsi="Arial" w:cs="Arial"/>
                <w:b/>
              </w:rPr>
              <w:t>Productive and sustainable land use</w:t>
            </w:r>
          </w:p>
          <w:p w14:paraId="2AFDB9C4" w14:textId="77777777" w:rsidR="00252438" w:rsidRPr="00926FB1" w:rsidRDefault="00252438" w:rsidP="00252438">
            <w:pPr>
              <w:rPr>
                <w:rFonts w:ascii="Arial" w:hAnsi="Arial" w:cs="Arial"/>
              </w:rPr>
            </w:pPr>
            <w:r w:rsidRPr="00926FB1">
              <w:rPr>
                <w:rFonts w:ascii="Arial" w:hAnsi="Arial" w:cs="Arial"/>
              </w:rPr>
              <w:t>Enhancing the use of the State’s public and private lands, by supporting their sustainability, use and productivity. This is achieved by providing on-ground and frontline support to land managers to better manage natural resources, respond to biosecurity risks and improve primary production, productivity and output in the State.</w:t>
            </w:r>
          </w:p>
          <w:p w14:paraId="62CC5B75" w14:textId="77777777" w:rsidR="00272B4A" w:rsidRPr="00B54BA8" w:rsidRDefault="00272B4A" w:rsidP="00E53105">
            <w:pPr>
              <w:rPr>
                <w:rFonts w:ascii="Arial" w:hAnsi="Arial" w:cs="Arial"/>
                <w:bCs/>
                <w:sz w:val="12"/>
                <w:szCs w:val="12"/>
              </w:rPr>
            </w:pPr>
          </w:p>
          <w:p w14:paraId="54DD8DBD" w14:textId="77777777" w:rsidR="00EB5F6D" w:rsidRPr="008F6131" w:rsidRDefault="00EB5F6D" w:rsidP="00EB5F6D">
            <w:pPr>
              <w:rPr>
                <w:rFonts w:ascii="Arial" w:hAnsi="Arial" w:cs="Arial"/>
                <w:i/>
                <w:iCs/>
                <w:sz w:val="12"/>
                <w:szCs w:val="12"/>
              </w:rPr>
            </w:pPr>
          </w:p>
          <w:p w14:paraId="1DB4803D" w14:textId="11599DC1" w:rsidR="00EB5F6D" w:rsidRPr="00D64882" w:rsidRDefault="00EB5F6D" w:rsidP="00EB5F6D">
            <w:pPr>
              <w:rPr>
                <w:rFonts w:ascii="Arial" w:hAnsi="Arial" w:cs="Arial"/>
                <w:bCs/>
              </w:rPr>
            </w:pPr>
            <w:r>
              <w:rPr>
                <w:rFonts w:ascii="Arial" w:hAnsi="Arial" w:cs="Arial"/>
                <w:i/>
                <w:iCs/>
              </w:rPr>
              <w:t>2022-23</w:t>
            </w:r>
            <w:r w:rsidRPr="008F6131">
              <w:rPr>
                <w:rFonts w:ascii="Arial" w:hAnsi="Arial" w:cs="Arial"/>
                <w:i/>
                <w:iCs/>
              </w:rPr>
              <w:t xml:space="preserve"> </w:t>
            </w:r>
            <w:r w:rsidRPr="00BB5778">
              <w:rPr>
                <w:rFonts w:ascii="Arial" w:hAnsi="Arial" w:cs="Arial"/>
                <w:i/>
                <w:iCs/>
              </w:rPr>
              <w:t xml:space="preserve">investment: </w:t>
            </w:r>
            <w:r w:rsidR="00E1270D" w:rsidRPr="00BB5778">
              <w:rPr>
                <w:rFonts w:ascii="Arial" w:hAnsi="Arial" w:cs="Arial"/>
              </w:rPr>
              <w:t>$</w:t>
            </w:r>
            <w:r w:rsidR="00252438" w:rsidRPr="00BB5778">
              <w:rPr>
                <w:rFonts w:ascii="Arial" w:hAnsi="Arial" w:cs="Arial"/>
              </w:rPr>
              <w:t>24</w:t>
            </w:r>
            <w:r w:rsidR="00605442" w:rsidRPr="00BB5778">
              <w:rPr>
                <w:rFonts w:ascii="Arial" w:hAnsi="Arial" w:cs="Arial"/>
              </w:rPr>
              <w:t>4</w:t>
            </w:r>
            <w:r w:rsidR="00252438" w:rsidRPr="00BB5778">
              <w:rPr>
                <w:rFonts w:ascii="Arial" w:hAnsi="Arial" w:cs="Arial"/>
              </w:rPr>
              <w:t>.</w:t>
            </w:r>
            <w:r w:rsidR="00605442" w:rsidRPr="00BB5778">
              <w:rPr>
                <w:rFonts w:ascii="Arial" w:hAnsi="Arial" w:cs="Arial"/>
              </w:rPr>
              <w:t>1</w:t>
            </w:r>
            <w:r w:rsidR="00252438" w:rsidRPr="00BB5778">
              <w:rPr>
                <w:rFonts w:ascii="Arial" w:hAnsi="Arial" w:cs="Arial"/>
                <w:color w:val="00ABE6"/>
                <w:sz w:val="18"/>
                <w:szCs w:val="18"/>
              </w:rPr>
              <w:t xml:space="preserve"> </w:t>
            </w:r>
            <w:r w:rsidR="00252438" w:rsidRPr="00BB5778">
              <w:rPr>
                <w:rFonts w:ascii="Arial" w:eastAsia="Arial" w:hAnsi="Arial" w:cs="Arial"/>
              </w:rPr>
              <w:t>million</w:t>
            </w:r>
            <w:r w:rsidR="00252438" w:rsidRPr="00BB5778">
              <w:rPr>
                <w:rFonts w:ascii="Arial" w:hAnsi="Arial" w:cs="Arial"/>
              </w:rPr>
              <w:t xml:space="preserve"> in </w:t>
            </w:r>
            <w:r w:rsidRPr="00BB5778">
              <w:rPr>
                <w:rFonts w:ascii="Arial" w:hAnsi="Arial" w:cs="Arial"/>
              </w:rPr>
              <w:t xml:space="preserve">recurrent expenses &amp; </w:t>
            </w:r>
            <w:r w:rsidR="00E1270D" w:rsidRPr="00BB5778">
              <w:rPr>
                <w:rFonts w:ascii="Arial" w:hAnsi="Arial" w:cs="Arial"/>
              </w:rPr>
              <w:t>$</w:t>
            </w:r>
            <w:r w:rsidR="00252438" w:rsidRPr="00BB5778">
              <w:rPr>
                <w:rFonts w:ascii="Arial" w:eastAsia="Arial" w:hAnsi="Arial" w:cs="Arial"/>
              </w:rPr>
              <w:t>14.8</w:t>
            </w:r>
            <w:r w:rsidR="00E1270D" w:rsidRPr="00BB5778">
              <w:rPr>
                <w:rFonts w:ascii="Arial" w:eastAsia="Arial" w:hAnsi="Arial" w:cs="Arial"/>
              </w:rPr>
              <w:t xml:space="preserve"> million</w:t>
            </w:r>
            <w:r w:rsidR="00E1270D" w:rsidRPr="00BB5778">
              <w:rPr>
                <w:rFonts w:ascii="Arial" w:hAnsi="Arial" w:cs="Arial"/>
              </w:rPr>
              <w:t xml:space="preserve"> </w:t>
            </w:r>
            <w:r w:rsidRPr="00BB5778">
              <w:rPr>
                <w:rFonts w:ascii="Arial" w:hAnsi="Arial" w:cs="Arial"/>
              </w:rPr>
              <w:t>in capital</w:t>
            </w:r>
            <w:r w:rsidRPr="00C132D8">
              <w:rPr>
                <w:rFonts w:ascii="Arial" w:hAnsi="Arial" w:cs="Arial"/>
              </w:rPr>
              <w:t xml:space="preserve"> expenditure</w:t>
            </w:r>
          </w:p>
        </w:tc>
        <w:tc>
          <w:tcPr>
            <w:tcW w:w="246" w:type="dxa"/>
            <w:tcBorders>
              <w:top w:val="nil"/>
              <w:left w:val="nil"/>
              <w:bottom w:val="nil"/>
              <w:right w:val="nil"/>
            </w:tcBorders>
            <w:shd w:val="clear" w:color="auto" w:fill="FFFFFF" w:themeFill="background1"/>
            <w:vAlign w:val="center"/>
            <w:hideMark/>
          </w:tcPr>
          <w:p w14:paraId="30A86D11" w14:textId="1EC1C64A" w:rsidR="00272B4A" w:rsidRPr="00C46859" w:rsidRDefault="00252438" w:rsidP="00E53105">
            <w:pPr>
              <w:jc w:val="center"/>
              <w:rPr>
                <w:sz w:val="6"/>
                <w:szCs w:val="6"/>
              </w:rPr>
            </w:pPr>
            <w:r w:rsidRPr="00EE6E8D">
              <w:rPr>
                <w:rFonts w:cs="Arial"/>
                <w:color w:val="808080" w:themeColor="background1" w:themeShade="80"/>
                <w:sz w:val="6"/>
                <w:szCs w:val="6"/>
                <w:lang w:eastAsia="en-AU"/>
              </w:rPr>
              <w:t> </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7A7B6" w14:textId="77777777" w:rsidR="001C1624" w:rsidRPr="001C1624" w:rsidRDefault="00252438" w:rsidP="001C1624">
            <w:pPr>
              <w:pStyle w:val="ListParagraph"/>
              <w:numPr>
                <w:ilvl w:val="0"/>
                <w:numId w:val="13"/>
              </w:numPr>
              <w:rPr>
                <w:lang w:eastAsia="en-AU"/>
              </w:rPr>
            </w:pPr>
            <w:r w:rsidRPr="00896BB9">
              <w:rPr>
                <w:rFonts w:cs="Arial"/>
              </w:rPr>
              <w:t>Protect the economy, environment and community, including from biosecurity risks</w:t>
            </w:r>
          </w:p>
          <w:p w14:paraId="0A970B4F" w14:textId="227F5048" w:rsidR="00272B4A" w:rsidRPr="00C46859" w:rsidRDefault="00252438" w:rsidP="001C1624">
            <w:pPr>
              <w:pStyle w:val="ListParagraph"/>
              <w:numPr>
                <w:ilvl w:val="0"/>
                <w:numId w:val="13"/>
              </w:numPr>
              <w:rPr>
                <w:lang w:eastAsia="en-AU"/>
              </w:rPr>
            </w:pPr>
            <w:r w:rsidRPr="001C1624">
              <w:rPr>
                <w:rFonts w:cs="Arial"/>
              </w:rPr>
              <w:t>Enabling land managers to better manage our natural resources</w:t>
            </w:r>
          </w:p>
        </w:tc>
      </w:tr>
      <w:bookmarkEnd w:id="4"/>
    </w:tbl>
    <w:p w14:paraId="0D20557C" w14:textId="77777777" w:rsidR="001E0D54" w:rsidRPr="0011239F" w:rsidRDefault="001E0D54" w:rsidP="005F6E9B">
      <w:pPr>
        <w:adjustRightInd w:val="0"/>
        <w:rPr>
          <w:rFonts w:ascii="Arial" w:eastAsiaTheme="minorHAnsi" w:hAnsi="Arial" w:cs="Arial"/>
          <w:b/>
          <w:i/>
          <w:sz w:val="8"/>
          <w:szCs w:val="8"/>
        </w:rPr>
      </w:pPr>
    </w:p>
    <w:p w14:paraId="70E230E9" w14:textId="77777777" w:rsidR="00F071D5" w:rsidRDefault="00F071D5" w:rsidP="005F6E9B">
      <w:pPr>
        <w:adjustRightInd w:val="0"/>
        <w:rPr>
          <w:rFonts w:ascii="Arial" w:eastAsiaTheme="minorHAnsi" w:hAnsi="Arial" w:cs="Arial"/>
          <w:b/>
          <w:i/>
          <w:sz w:val="8"/>
          <w:szCs w:val="8"/>
        </w:rPr>
      </w:pPr>
    </w:p>
    <w:p w14:paraId="6E14C85C" w14:textId="28C4FA34" w:rsidR="00F071D5" w:rsidRPr="0011239F" w:rsidRDefault="004F7FDB" w:rsidP="004F7FDB">
      <w:pPr>
        <w:rPr>
          <w:rFonts w:ascii="Arial" w:eastAsiaTheme="minorHAnsi" w:hAnsi="Arial" w:cs="Arial"/>
          <w:b/>
          <w:i/>
          <w:sz w:val="8"/>
          <w:szCs w:val="8"/>
        </w:rPr>
      </w:pPr>
      <w:r>
        <w:rPr>
          <w:rFonts w:ascii="Arial" w:eastAsiaTheme="minorHAnsi" w:hAnsi="Arial" w:cs="Arial"/>
          <w:b/>
          <w:i/>
          <w:sz w:val="8"/>
          <w:szCs w:val="8"/>
        </w:rPr>
        <w:br w:type="page"/>
      </w:r>
    </w:p>
    <w:p w14:paraId="06092868" w14:textId="2C3CCF7F" w:rsidR="008D2F4E" w:rsidRDefault="00AA32E9" w:rsidP="001E75C5">
      <w:pPr>
        <w:pStyle w:val="Heading2"/>
        <w:numPr>
          <w:ilvl w:val="0"/>
          <w:numId w:val="0"/>
        </w:numPr>
        <w:rPr>
          <w:rFonts w:ascii="Arial" w:hAnsi="Arial" w:cs="Arial"/>
        </w:rPr>
      </w:pPr>
      <w:r>
        <w:lastRenderedPageBreak/>
        <w:t>7.2</w:t>
      </w:r>
      <w:r>
        <w:tab/>
      </w:r>
      <w:r w:rsidR="00A44996" w:rsidRPr="00DB171A">
        <w:t>Overview</w:t>
      </w:r>
      <w:r w:rsidR="00A44996">
        <w:rPr>
          <w:rFonts w:ascii="Arial" w:hAnsi="Arial" w:cs="Arial"/>
        </w:rPr>
        <w:t xml:space="preserve"> of Cluster expenses by State Outcome</w:t>
      </w:r>
    </w:p>
    <w:p w14:paraId="15F1E152" w14:textId="2BD681D8" w:rsidR="00FE5F8A" w:rsidRDefault="008B7125" w:rsidP="00651093">
      <w:pPr>
        <w:pStyle w:val="BodyText"/>
      </w:pPr>
      <w:r>
        <w:t>A summary of expenses by State Outcome is provided in the charts below.</w:t>
      </w:r>
    </w:p>
    <w:p w14:paraId="7D98445B" w14:textId="430DB6C0" w:rsidR="00282123" w:rsidRPr="008B6EC9" w:rsidRDefault="00DC534B" w:rsidP="00661F0F">
      <w:pPr>
        <w:pStyle w:val="Chart7X"/>
      </w:pPr>
      <w:r w:rsidRPr="00DC7B4D">
        <w:t>Recurrent</w:t>
      </w:r>
      <w:r w:rsidRPr="00AF1E71">
        <w:t xml:space="preserve"> </w:t>
      </w:r>
      <w:r w:rsidRPr="001E75C5">
        <w:t>expenses by Outcome 202</w:t>
      </w:r>
      <w:r w:rsidR="00E71F8C" w:rsidRPr="001E75C5">
        <w:t>2</w:t>
      </w:r>
      <w:r w:rsidRPr="001E75C5">
        <w:t>-2</w:t>
      </w:r>
      <w:r w:rsidR="00E71F8C" w:rsidRPr="001E75C5">
        <w:t>3</w:t>
      </w:r>
      <w:r w:rsidRPr="001E75C5">
        <w:t xml:space="preserve"> (dollars</w:t>
      </w:r>
      <w:r w:rsidRPr="00AF1E71">
        <w:t xml:space="preserve"> and %)</w:t>
      </w:r>
    </w:p>
    <w:p w14:paraId="5E4315F9" w14:textId="501CE8E1" w:rsidR="00D90A62" w:rsidRPr="00D90A62" w:rsidRDefault="001E499A" w:rsidP="00D90A62">
      <w:pPr>
        <w:rPr>
          <w:lang w:val="en-US"/>
        </w:rPr>
      </w:pPr>
      <w:r>
        <w:rPr>
          <w:noProof/>
        </w:rPr>
        <w:drawing>
          <wp:inline distT="0" distB="0" distL="0" distR="0" wp14:anchorId="001ECDF8" wp14:editId="72A5261E">
            <wp:extent cx="6120765" cy="3322800"/>
            <wp:effectExtent l="0" t="0" r="0" b="0"/>
            <wp:docPr id="13" name="Chart 13" descr="Chart 7.1: Recurrent expenses by Outcome 2022-23 (dollars and %)">
              <a:extLst xmlns:a="http://schemas.openxmlformats.org/drawingml/2006/main">
                <a:ext uri="{FF2B5EF4-FFF2-40B4-BE49-F238E27FC236}">
                  <a16:creationId xmlns:a16="http://schemas.microsoft.com/office/drawing/2014/main" id="{923560B7-FBA7-47AE-A5DC-D6E766D08C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F2EAA9" w14:textId="212F6552" w:rsidR="00C1201F" w:rsidRPr="00A226D9" w:rsidRDefault="00C1201F" w:rsidP="00A226D9">
      <w:pPr>
        <w:rPr>
          <w:rFonts w:ascii="Arial" w:hAnsi="Arial" w:cs="Arial"/>
          <w:sz w:val="17"/>
          <w:szCs w:val="17"/>
        </w:rPr>
      </w:pPr>
      <w:r w:rsidRPr="00A226D9">
        <w:rPr>
          <w:rFonts w:ascii="Arial" w:hAnsi="Arial" w:cs="Arial"/>
          <w:sz w:val="17"/>
          <w:szCs w:val="17"/>
        </w:rPr>
        <w:t>Note: Grouped for presentation purposes, “Other Statement Outcomes”</w:t>
      </w:r>
      <w:r w:rsidR="009D0E5B" w:rsidRPr="00A226D9">
        <w:rPr>
          <w:rFonts w:ascii="Arial" w:hAnsi="Arial" w:cs="Arial"/>
          <w:sz w:val="17"/>
          <w:szCs w:val="17"/>
        </w:rPr>
        <w:t xml:space="preserve"> comprises:</w:t>
      </w:r>
    </w:p>
    <w:p w14:paraId="1815F4FD" w14:textId="4E823C80" w:rsidR="000171FD" w:rsidRPr="00BB5778" w:rsidRDefault="000171FD" w:rsidP="00A226D9">
      <w:pPr>
        <w:pStyle w:val="ListParagraph"/>
        <w:numPr>
          <w:ilvl w:val="0"/>
          <w:numId w:val="29"/>
        </w:numPr>
        <w:ind w:left="1083" w:hanging="357"/>
        <w:rPr>
          <w:rFonts w:eastAsia="Times New Roman" w:cs="Arial"/>
          <w:sz w:val="17"/>
          <w:szCs w:val="17"/>
        </w:rPr>
      </w:pPr>
      <w:r w:rsidRPr="00A226D9">
        <w:rPr>
          <w:rFonts w:cs="Arial"/>
          <w:sz w:val="17"/>
          <w:szCs w:val="17"/>
        </w:rPr>
        <w:t>Mineral and petroleum industries</w:t>
      </w:r>
      <w:r w:rsidRPr="00BB5778">
        <w:rPr>
          <w:rFonts w:eastAsia="Times New Roman" w:cs="Arial"/>
          <w:sz w:val="17"/>
          <w:szCs w:val="17"/>
        </w:rPr>
        <w:t xml:space="preserve"> </w:t>
      </w:r>
      <w:r w:rsidR="00BB5778" w:rsidRPr="00BB5778">
        <w:rPr>
          <w:rFonts w:eastAsia="Times New Roman"/>
          <w:sz w:val="17"/>
          <w:szCs w:val="17"/>
        </w:rPr>
        <w:t>generating prosperity, safely</w:t>
      </w:r>
    </w:p>
    <w:p w14:paraId="1AF33E06" w14:textId="6D07A07E" w:rsidR="002D44AD" w:rsidRPr="00A226D9" w:rsidRDefault="002D44AD" w:rsidP="00A226D9">
      <w:pPr>
        <w:pStyle w:val="ListParagraph"/>
        <w:numPr>
          <w:ilvl w:val="0"/>
          <w:numId w:val="29"/>
        </w:numPr>
        <w:ind w:left="1083" w:hanging="357"/>
        <w:rPr>
          <w:rFonts w:cs="Arial"/>
          <w:sz w:val="17"/>
          <w:szCs w:val="17"/>
        </w:rPr>
      </w:pPr>
      <w:r w:rsidRPr="00A226D9">
        <w:rPr>
          <w:rFonts w:cs="Arial"/>
          <w:sz w:val="17"/>
          <w:szCs w:val="17"/>
        </w:rPr>
        <w:t>Productive and sustainable land use.</w:t>
      </w:r>
    </w:p>
    <w:p w14:paraId="25746203" w14:textId="589C0768" w:rsidR="005D1D75" w:rsidRPr="008B6EC9" w:rsidRDefault="00DC534B" w:rsidP="00661F0F">
      <w:pPr>
        <w:pStyle w:val="Chart7X"/>
      </w:pPr>
      <w:r>
        <w:t>Capital expenditure by Outcome 202</w:t>
      </w:r>
      <w:r w:rsidR="00E71F8C">
        <w:t>2</w:t>
      </w:r>
      <w:r>
        <w:t>-2</w:t>
      </w:r>
      <w:r w:rsidR="00E71F8C">
        <w:t>3</w:t>
      </w:r>
      <w:r w:rsidRPr="00DC7B4D">
        <w:t xml:space="preserve"> (dollars and %)</w:t>
      </w:r>
    </w:p>
    <w:p w14:paraId="60CA1665" w14:textId="224BDF2D" w:rsidR="00E1629B" w:rsidRDefault="00323B46" w:rsidP="006A522F">
      <w:pPr>
        <w:jc w:val="center"/>
        <w:rPr>
          <w:i/>
          <w:color w:val="0070C0"/>
          <w:sz w:val="22"/>
          <w:lang w:val="en-US"/>
        </w:rPr>
      </w:pPr>
      <w:r>
        <w:rPr>
          <w:noProof/>
        </w:rPr>
        <w:drawing>
          <wp:inline distT="0" distB="0" distL="0" distR="0" wp14:anchorId="4BE5D19D" wp14:editId="77884230">
            <wp:extent cx="5650302" cy="3322800"/>
            <wp:effectExtent l="0" t="0" r="7620" b="0"/>
            <wp:docPr id="14" name="Chart 14" descr="Chart 7.2: Capital expenditure by Outcome 2022-23 (dollars and %)">
              <a:extLst xmlns:a="http://schemas.openxmlformats.org/drawingml/2006/main">
                <a:ext uri="{FF2B5EF4-FFF2-40B4-BE49-F238E27FC236}">
                  <a16:creationId xmlns:a16="http://schemas.microsoft.com/office/drawing/2014/main" id="{446CAD5F-94AC-4B7C-B63E-ACF5037FF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2C1D6C" w14:textId="095D4AED" w:rsidR="00E1629B" w:rsidRPr="00A226D9" w:rsidRDefault="007A0ADB" w:rsidP="00A226D9">
      <w:pPr>
        <w:rPr>
          <w:rFonts w:ascii="Arial" w:hAnsi="Arial" w:cs="Arial"/>
          <w:sz w:val="17"/>
          <w:szCs w:val="17"/>
        </w:rPr>
      </w:pPr>
      <w:r w:rsidRPr="00A226D9">
        <w:rPr>
          <w:rFonts w:ascii="Arial" w:hAnsi="Arial" w:cs="Arial"/>
          <w:sz w:val="17"/>
          <w:szCs w:val="17"/>
        </w:rPr>
        <w:t xml:space="preserve">Note: </w:t>
      </w:r>
      <w:r w:rsidR="001002CC" w:rsidRPr="00A226D9">
        <w:rPr>
          <w:rFonts w:ascii="Arial" w:hAnsi="Arial" w:cs="Arial"/>
          <w:sz w:val="17"/>
          <w:szCs w:val="17"/>
        </w:rPr>
        <w:t xml:space="preserve">The sum of percentages </w:t>
      </w:r>
      <w:r w:rsidR="00BB5778">
        <w:rPr>
          <w:rFonts w:ascii="Arial" w:hAnsi="Arial" w:cs="Arial"/>
          <w:sz w:val="17"/>
          <w:szCs w:val="17"/>
        </w:rPr>
        <w:t>does</w:t>
      </w:r>
      <w:r w:rsidR="001002CC" w:rsidRPr="00A226D9">
        <w:rPr>
          <w:rFonts w:ascii="Arial" w:hAnsi="Arial" w:cs="Arial"/>
          <w:sz w:val="17"/>
          <w:szCs w:val="17"/>
        </w:rPr>
        <w:t xml:space="preserve"> not equal </w:t>
      </w:r>
      <w:r w:rsidR="00264FF3">
        <w:rPr>
          <w:rFonts w:ascii="Arial" w:hAnsi="Arial" w:cs="Arial"/>
          <w:sz w:val="17"/>
          <w:szCs w:val="17"/>
        </w:rPr>
        <w:t>100</w:t>
      </w:r>
      <w:r w:rsidR="001002CC" w:rsidRPr="00A226D9">
        <w:rPr>
          <w:rFonts w:ascii="Arial" w:hAnsi="Arial" w:cs="Arial"/>
          <w:sz w:val="17"/>
          <w:szCs w:val="17"/>
        </w:rPr>
        <w:t xml:space="preserve"> due to rounding.</w:t>
      </w:r>
    </w:p>
    <w:p w14:paraId="7BD99682" w14:textId="77777777" w:rsidR="00FD014B" w:rsidRPr="00A226D9" w:rsidRDefault="00FD014B" w:rsidP="00A226D9">
      <w:pPr>
        <w:rPr>
          <w:rFonts w:ascii="Arial" w:hAnsi="Arial" w:cs="Arial"/>
          <w:sz w:val="17"/>
          <w:szCs w:val="17"/>
        </w:rPr>
      </w:pPr>
      <w:r w:rsidRPr="00A226D9">
        <w:rPr>
          <w:rFonts w:ascii="Arial" w:hAnsi="Arial" w:cs="Arial"/>
          <w:sz w:val="17"/>
          <w:szCs w:val="17"/>
        </w:rPr>
        <w:t>Grouped for presentation purposes, “Other Statement Outcomes” comprises:</w:t>
      </w:r>
    </w:p>
    <w:p w14:paraId="4338A486" w14:textId="77777777" w:rsidR="00BB5778" w:rsidRPr="00BB5778" w:rsidRDefault="00BB5778" w:rsidP="00BB5778">
      <w:pPr>
        <w:pStyle w:val="ListParagraph"/>
        <w:numPr>
          <w:ilvl w:val="0"/>
          <w:numId w:val="29"/>
        </w:numPr>
        <w:ind w:left="1083" w:hanging="357"/>
        <w:rPr>
          <w:rFonts w:eastAsia="Times New Roman" w:cs="Arial"/>
          <w:sz w:val="17"/>
          <w:szCs w:val="17"/>
        </w:rPr>
      </w:pPr>
      <w:r w:rsidRPr="00A226D9">
        <w:rPr>
          <w:rFonts w:cs="Arial"/>
          <w:sz w:val="17"/>
          <w:szCs w:val="17"/>
        </w:rPr>
        <w:t>Mineral and petroleum industries</w:t>
      </w:r>
      <w:r w:rsidRPr="00BB5778">
        <w:rPr>
          <w:rFonts w:eastAsia="Times New Roman" w:cs="Arial"/>
          <w:sz w:val="17"/>
          <w:szCs w:val="17"/>
        </w:rPr>
        <w:t xml:space="preserve"> </w:t>
      </w:r>
      <w:r w:rsidRPr="00BB5778">
        <w:rPr>
          <w:rFonts w:eastAsia="Times New Roman"/>
          <w:sz w:val="17"/>
          <w:szCs w:val="17"/>
        </w:rPr>
        <w:t>generating prosperity, safely</w:t>
      </w:r>
    </w:p>
    <w:p w14:paraId="4A60C250" w14:textId="6A6A5520" w:rsidR="00FD014B" w:rsidRPr="00A226D9" w:rsidRDefault="00FD014B" w:rsidP="00A226D9">
      <w:pPr>
        <w:pStyle w:val="ListParagraph"/>
        <w:numPr>
          <w:ilvl w:val="0"/>
          <w:numId w:val="29"/>
        </w:numPr>
        <w:ind w:left="1083" w:hanging="357"/>
        <w:rPr>
          <w:rFonts w:cs="Arial"/>
          <w:sz w:val="17"/>
          <w:szCs w:val="17"/>
        </w:rPr>
      </w:pPr>
      <w:r w:rsidRPr="00A226D9">
        <w:rPr>
          <w:rFonts w:cs="Arial"/>
          <w:sz w:val="17"/>
          <w:szCs w:val="17"/>
        </w:rPr>
        <w:t>Productive and sustainable land use.</w:t>
      </w:r>
    </w:p>
    <w:p w14:paraId="34B1C75E" w14:textId="0B47F1B4" w:rsidR="0005675B" w:rsidRDefault="0005675B">
      <w:pPr>
        <w:rPr>
          <w:rFonts w:ascii="Arial" w:eastAsiaTheme="minorHAnsi" w:hAnsi="Arial" w:cs="Arial"/>
          <w:color w:val="0070C0"/>
          <w:sz w:val="23"/>
          <w:szCs w:val="23"/>
          <w:bdr w:val="none" w:sz="0" w:space="0" w:color="auto" w:frame="1"/>
        </w:rPr>
      </w:pPr>
      <w:r>
        <w:rPr>
          <w:color w:val="0070C0"/>
        </w:rPr>
        <w:br w:type="page"/>
      </w:r>
    </w:p>
    <w:p w14:paraId="013CD7F7" w14:textId="28C8E7A2" w:rsidR="00101AE2" w:rsidRPr="00DB171A" w:rsidRDefault="00DA6630" w:rsidP="00DB171A">
      <w:pPr>
        <w:pStyle w:val="Heading2"/>
        <w:ind w:left="709" w:hanging="709"/>
        <w:rPr>
          <w:rFonts w:ascii="Arial" w:hAnsi="Arial" w:cs="Arial"/>
        </w:rPr>
      </w:pPr>
      <w:r>
        <w:lastRenderedPageBreak/>
        <w:t>Outcome</w:t>
      </w:r>
      <w:r w:rsidRPr="00DB171A">
        <w:rPr>
          <w:rFonts w:ascii="Arial" w:hAnsi="Arial" w:cs="Arial"/>
        </w:rPr>
        <w:t xml:space="preserve"> 1: </w:t>
      </w:r>
      <w:r w:rsidR="00101AE2" w:rsidRPr="00DB171A">
        <w:rPr>
          <w:rFonts w:ascii="Arial" w:hAnsi="Arial" w:cs="Arial"/>
        </w:rPr>
        <w:t>Stronger and cohesive regional communities and economies</w:t>
      </w:r>
    </w:p>
    <w:p w14:paraId="1635E132" w14:textId="15AC2729" w:rsidR="00101AE2" w:rsidRPr="00413EC2" w:rsidRDefault="00101AE2" w:rsidP="00101AE2">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tbl>
      <w:tblPr>
        <w:tblpPr w:leftFromText="180" w:rightFromText="180" w:vertAnchor="text" w:horzAnchor="margin" w:tblpXSpec="right" w:tblpY="-25"/>
        <w:tblW w:w="1809" w:type="pct"/>
        <w:shd w:val="pct5" w:color="auto" w:fill="auto"/>
        <w:tblCellMar>
          <w:left w:w="115" w:type="dxa"/>
          <w:right w:w="115" w:type="dxa"/>
        </w:tblCellMar>
        <w:tblLook w:val="04A0" w:firstRow="1" w:lastRow="0" w:firstColumn="1" w:lastColumn="0" w:noHBand="0" w:noVBand="1"/>
        <w:tblCaption w:val="6.6 Outcome 4: Stronger and cohesive regional communities and economies"/>
        <w:tblDescription w:val="6.6 Outcome 4: Stronger and cohesive regional communities and economies"/>
      </w:tblPr>
      <w:tblGrid>
        <w:gridCol w:w="1046"/>
        <w:gridCol w:w="1250"/>
        <w:gridCol w:w="1191"/>
      </w:tblGrid>
      <w:tr w:rsidR="00101AE2" w:rsidRPr="00F8244B" w14:paraId="12BAD87D" w14:textId="77777777" w:rsidTr="00EE7CEF">
        <w:trPr>
          <w:cantSplit/>
          <w:trHeight w:val="784"/>
        </w:trPr>
        <w:tc>
          <w:tcPr>
            <w:tcW w:w="1499" w:type="pct"/>
            <w:shd w:val="pct5" w:color="auto" w:fill="auto"/>
            <w:vAlign w:val="center"/>
          </w:tcPr>
          <w:p w14:paraId="2C0CF310" w14:textId="77777777" w:rsidR="00101AE2" w:rsidRPr="00F8244B" w:rsidRDefault="00101AE2" w:rsidP="00796708">
            <w:pPr>
              <w:spacing w:before="120" w:after="120"/>
              <w:rPr>
                <w:rFonts w:ascii="Arial" w:hAnsi="Arial" w:cs="Arial"/>
                <w:sz w:val="23"/>
                <w:szCs w:val="23"/>
              </w:rPr>
            </w:pPr>
            <w:r>
              <w:rPr>
                <w:rFonts w:ascii="Arial" w:hAnsi="Arial" w:cs="Arial"/>
                <w:noProof/>
              </w:rPr>
              <w:drawing>
                <wp:inline distT="0" distB="0" distL="0" distR="0" wp14:anchorId="3F81E6C3" wp14:editId="757E8D92">
                  <wp:extent cx="518160" cy="5184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07D57F20" w14:textId="77777777" w:rsidR="00101AE2" w:rsidRPr="00B34547" w:rsidRDefault="00101AE2" w:rsidP="00796708">
            <w:pPr>
              <w:spacing w:before="120" w:after="120"/>
              <w:jc w:val="center"/>
              <w:rPr>
                <w:rFonts w:ascii="Arial" w:hAnsi="Arial" w:cs="Arial"/>
                <w:color w:val="00ABE6"/>
                <w:sz w:val="18"/>
                <w:szCs w:val="18"/>
              </w:rPr>
            </w:pPr>
            <w:r w:rsidRPr="00B34547">
              <w:rPr>
                <w:rFonts w:ascii="Arial" w:hAnsi="Arial" w:cs="Arial"/>
                <w:color w:val="00ABE6"/>
                <w:sz w:val="18"/>
                <w:szCs w:val="18"/>
              </w:rPr>
              <w:t xml:space="preserve">$2.7 </w:t>
            </w:r>
            <w:r w:rsidRPr="00B34547">
              <w:rPr>
                <w:rFonts w:ascii="Arial" w:hAnsi="Arial" w:cs="Arial"/>
                <w:color w:val="00ABE6"/>
                <w:sz w:val="18"/>
                <w:szCs w:val="18"/>
              </w:rPr>
              <w:br/>
              <w:t>billion</w:t>
            </w:r>
          </w:p>
        </w:tc>
        <w:tc>
          <w:tcPr>
            <w:tcW w:w="1707" w:type="pct"/>
            <w:shd w:val="pct5" w:color="auto" w:fill="auto"/>
            <w:vAlign w:val="center"/>
          </w:tcPr>
          <w:p w14:paraId="247AA357" w14:textId="77777777" w:rsidR="00101AE2" w:rsidRPr="0011239F" w:rsidRDefault="00101AE2" w:rsidP="00796708">
            <w:pPr>
              <w:rPr>
                <w:rFonts w:ascii="Arial" w:hAnsi="Arial" w:cs="Arial"/>
                <w:color w:val="00ABE6"/>
                <w:sz w:val="18"/>
                <w:szCs w:val="18"/>
              </w:rPr>
            </w:pPr>
            <w:r w:rsidRPr="0011239F">
              <w:rPr>
                <w:rFonts w:ascii="Arial" w:hAnsi="Arial" w:cs="Arial"/>
                <w:color w:val="00ABE6"/>
                <w:sz w:val="18"/>
                <w:szCs w:val="18"/>
              </w:rPr>
              <w:t>Recurrent</w:t>
            </w:r>
          </w:p>
          <w:p w14:paraId="0FD8FEFD" w14:textId="77777777" w:rsidR="00101AE2" w:rsidRPr="00F8244B" w:rsidRDefault="00101AE2" w:rsidP="00796708">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101AE2" w:rsidRPr="00F8244B" w14:paraId="3DDA5F72" w14:textId="77777777" w:rsidTr="00EE7CEF">
        <w:trPr>
          <w:cantSplit/>
          <w:trHeight w:val="784"/>
        </w:trPr>
        <w:tc>
          <w:tcPr>
            <w:tcW w:w="1499" w:type="pct"/>
            <w:shd w:val="pct5" w:color="auto" w:fill="auto"/>
            <w:vAlign w:val="center"/>
          </w:tcPr>
          <w:p w14:paraId="250FE175" w14:textId="77777777" w:rsidR="00101AE2" w:rsidRPr="00F8244B" w:rsidRDefault="00101AE2" w:rsidP="00796708">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130A05DD" wp14:editId="028FB173">
                  <wp:extent cx="518160" cy="518400"/>
                  <wp:effectExtent l="0" t="0" r="0"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6D48FD83" w14:textId="77777777" w:rsidR="00101AE2" w:rsidRPr="00B34547" w:rsidRDefault="00101AE2" w:rsidP="00796708">
            <w:pPr>
              <w:spacing w:before="120" w:after="120"/>
              <w:jc w:val="center"/>
              <w:rPr>
                <w:rFonts w:ascii="Arial" w:hAnsi="Arial" w:cs="Arial"/>
                <w:color w:val="00ABE6"/>
                <w:sz w:val="18"/>
                <w:szCs w:val="18"/>
              </w:rPr>
            </w:pPr>
            <w:r w:rsidRPr="00B34547">
              <w:rPr>
                <w:rFonts w:ascii="Arial" w:hAnsi="Arial" w:cs="Arial"/>
                <w:color w:val="00ABE6"/>
                <w:sz w:val="18"/>
                <w:szCs w:val="18"/>
              </w:rPr>
              <w:t xml:space="preserve">$342.4 </w:t>
            </w:r>
            <w:r w:rsidRPr="00B34547">
              <w:br/>
            </w:r>
            <w:r w:rsidRPr="00B34547">
              <w:rPr>
                <w:rFonts w:ascii="Arial" w:hAnsi="Arial" w:cs="Arial"/>
                <w:color w:val="00ABE6"/>
                <w:sz w:val="18"/>
                <w:szCs w:val="18"/>
              </w:rPr>
              <w:t>million</w:t>
            </w:r>
          </w:p>
        </w:tc>
        <w:tc>
          <w:tcPr>
            <w:tcW w:w="1707" w:type="pct"/>
            <w:shd w:val="pct5" w:color="auto" w:fill="auto"/>
            <w:vAlign w:val="center"/>
          </w:tcPr>
          <w:p w14:paraId="24326F09" w14:textId="77777777" w:rsidR="00101AE2" w:rsidRPr="00F8244B" w:rsidRDefault="00101AE2" w:rsidP="00796708">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18703FF4" w14:textId="77777777" w:rsidR="00C64035" w:rsidRDefault="00101AE2" w:rsidP="00651093">
      <w:pPr>
        <w:pStyle w:val="BodyText"/>
      </w:pPr>
      <w:r w:rsidRPr="00B34547">
        <w:t xml:space="preserve">Led by Public Works &amp; Regional Development, Regional Precincts and Office of the Cross Border Commissioner divisions, this Outcome’s focus is community wellbeing and economic growth in regional New South Wales. </w:t>
      </w:r>
    </w:p>
    <w:p w14:paraId="7D8C7493" w14:textId="7CE92CFF" w:rsidR="00101AE2" w:rsidRPr="00B34547" w:rsidRDefault="00101AE2" w:rsidP="00651093">
      <w:pPr>
        <w:pStyle w:val="BodyText"/>
      </w:pPr>
      <w:r w:rsidRPr="00B34547">
        <w:t xml:space="preserve">The regions have endured unprecedented destruction and disruption through the compounding impacts of droughts, bushfires, floods and the COVID-19 pandemic. The implementation of a refreshed 20 Year Economic Vision for Regional NSW will support industries and communities to recover and build resilience. </w:t>
      </w:r>
    </w:p>
    <w:p w14:paraId="10611547" w14:textId="77777777" w:rsidR="00101AE2" w:rsidRPr="000101AC" w:rsidRDefault="00101AE2" w:rsidP="00101AE2">
      <w:pPr>
        <w:pStyle w:val="Heading3"/>
        <w:rPr>
          <w:rFonts w:cs="Arial"/>
        </w:rPr>
      </w:pPr>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p>
    <w:p w14:paraId="777A1197" w14:textId="77777777" w:rsidR="00101AE2" w:rsidRPr="00B34547" w:rsidRDefault="00101AE2" w:rsidP="00651093">
      <w:pPr>
        <w:pStyle w:val="BodyText"/>
      </w:pPr>
      <w:r w:rsidRPr="00B34547">
        <w:t xml:space="preserve">In 2022-23, the Regional NSW </w:t>
      </w:r>
      <w:r>
        <w:t>C</w:t>
      </w:r>
      <w:r w:rsidRPr="00B34547">
        <w:t>luster will invest $3.1 billion ($2.7 billion recurrent expenses and $342.4 million capital expenditure) in this outcome, including:</w:t>
      </w:r>
    </w:p>
    <w:p w14:paraId="2101D507" w14:textId="77777777" w:rsidR="00101AE2" w:rsidRPr="000B29AB" w:rsidRDefault="00101AE2" w:rsidP="006A57A6">
      <w:pPr>
        <w:pStyle w:val="Bullet1"/>
      </w:pPr>
      <w:r w:rsidRPr="000B29AB">
        <w:t>$772.5 million ($1.7 billion recurrent expenses over three years) delivering economic growth, social development, wellbeing, and community amenity across regional NSW, through locally based infrastructure projects and vital job creating projects for families and businesses across regional NSW, including:</w:t>
      </w:r>
    </w:p>
    <w:p w14:paraId="5E563B18" w14:textId="560CE462" w:rsidR="00101AE2" w:rsidRPr="000B29AB" w:rsidRDefault="00101AE2" w:rsidP="006A57A6">
      <w:pPr>
        <w:pStyle w:val="Bullet2"/>
      </w:pPr>
      <w:r w:rsidRPr="000B29AB">
        <w:t>Regional Growth Fund 3.0 ($1.3 billion)</w:t>
      </w:r>
    </w:p>
    <w:p w14:paraId="2D25E17C" w14:textId="37C4F337" w:rsidR="00101AE2" w:rsidRPr="000B29AB" w:rsidRDefault="00101AE2" w:rsidP="006A57A6">
      <w:pPr>
        <w:pStyle w:val="Bullet2"/>
        <w:rPr>
          <w:rFonts w:eastAsiaTheme="minorHAnsi"/>
          <w:shd w:val="clear" w:color="auto" w:fill="auto"/>
          <w:lang w:val="en-AU"/>
        </w:rPr>
      </w:pPr>
      <w:r w:rsidRPr="000B29AB">
        <w:t>Regional Growth Fund 2.0 ($351.4 million)</w:t>
      </w:r>
    </w:p>
    <w:p w14:paraId="21481CC1" w14:textId="35D7EDA7" w:rsidR="00101AE2" w:rsidRPr="000B29AB" w:rsidRDefault="00101AE2" w:rsidP="006A57A6">
      <w:pPr>
        <w:pStyle w:val="Bullet2"/>
      </w:pPr>
      <w:r w:rsidRPr="07E87118">
        <w:t>Regional Events Acceleration Fund ($84.1 million)</w:t>
      </w:r>
    </w:p>
    <w:p w14:paraId="6683CF42" w14:textId="77777777" w:rsidR="00101AE2" w:rsidRPr="000B29AB" w:rsidRDefault="00101AE2" w:rsidP="006A57A6">
      <w:pPr>
        <w:pStyle w:val="Bullet1"/>
      </w:pPr>
      <w:r w:rsidRPr="000B29AB">
        <w:t>$832.7 million ($1.2 billion recurrent expenses over four years) to deliver a range of targeted recovery programs that provide economic stimulus and support for recovery from natural disasters, targeting regional councils, businesses in key industries and community organisations, including:</w:t>
      </w:r>
    </w:p>
    <w:p w14:paraId="69B30B30" w14:textId="2505B5FE" w:rsidR="00101AE2" w:rsidRPr="000B29AB" w:rsidRDefault="00101AE2" w:rsidP="006A57A6">
      <w:pPr>
        <w:pStyle w:val="Bullet2"/>
        <w:rPr>
          <w:rFonts w:eastAsia="Arial"/>
        </w:rPr>
      </w:pPr>
      <w:r w:rsidRPr="000B29AB">
        <w:t>Storm and Flood Clean up, Recovery Programs ($574.6 million)</w:t>
      </w:r>
    </w:p>
    <w:p w14:paraId="14C12614" w14:textId="77777777" w:rsidR="00101AE2" w:rsidRPr="000B29AB" w:rsidRDefault="00101AE2" w:rsidP="006A57A6">
      <w:pPr>
        <w:pStyle w:val="Bullet2"/>
        <w:rPr>
          <w:rFonts w:eastAsia="Arial"/>
        </w:rPr>
      </w:pPr>
      <w:r w:rsidRPr="000B29AB">
        <w:t>Bushfire Local Economic Recovery Package ($272.7 million)</w:t>
      </w:r>
    </w:p>
    <w:p w14:paraId="50DE877C" w14:textId="77777777" w:rsidR="00101AE2" w:rsidRPr="000B29AB" w:rsidRDefault="00101AE2" w:rsidP="006A57A6">
      <w:pPr>
        <w:pStyle w:val="Bullet2"/>
        <w:rPr>
          <w:rFonts w:eastAsia="Arial"/>
        </w:rPr>
      </w:pPr>
      <w:r w:rsidRPr="000B29AB">
        <w:t>Bushfire Local Industry Recovery Package ($116.5 million)</w:t>
      </w:r>
    </w:p>
    <w:p w14:paraId="04007F0F" w14:textId="77777777" w:rsidR="00101AE2" w:rsidRPr="000B29AB" w:rsidRDefault="00101AE2" w:rsidP="006A57A6">
      <w:pPr>
        <w:pStyle w:val="Bullet2"/>
        <w:rPr>
          <w:rFonts w:eastAsia="Arial"/>
        </w:rPr>
      </w:pPr>
      <w:r w:rsidRPr="000B29AB">
        <w:t>Drought Stimulus Package ($83.0 million)</w:t>
      </w:r>
    </w:p>
    <w:p w14:paraId="22172237" w14:textId="77777777" w:rsidR="00101AE2" w:rsidRPr="000B29AB" w:rsidRDefault="00101AE2" w:rsidP="006A57A6">
      <w:pPr>
        <w:pStyle w:val="Bullet2"/>
        <w:rPr>
          <w:rFonts w:eastAsia="Arial"/>
        </w:rPr>
      </w:pPr>
      <w:r w:rsidRPr="000B29AB">
        <w:rPr>
          <w:rFonts w:eastAsia="Arial"/>
        </w:rPr>
        <w:t xml:space="preserve">Regional Recovery Package </w:t>
      </w:r>
      <w:r w:rsidRPr="000B29AB">
        <w:t>($69.1 million)</w:t>
      </w:r>
    </w:p>
    <w:p w14:paraId="6C88618F" w14:textId="77777777" w:rsidR="00101AE2" w:rsidRPr="000B29AB" w:rsidRDefault="00101AE2" w:rsidP="006A57A6">
      <w:pPr>
        <w:pStyle w:val="Bullet2"/>
      </w:pPr>
      <w:r w:rsidRPr="000B29AB">
        <w:t>Infrastructure &amp; Jobs Acceleration Fund ($44.4 million)</w:t>
      </w:r>
    </w:p>
    <w:p w14:paraId="47139306" w14:textId="77777777" w:rsidR="00101AE2" w:rsidRPr="000B29AB" w:rsidRDefault="00101AE2" w:rsidP="006A57A6">
      <w:pPr>
        <w:pStyle w:val="Bullet2"/>
        <w:rPr>
          <w:rFonts w:eastAsia="Arial"/>
        </w:rPr>
      </w:pPr>
      <w:r w:rsidRPr="000B29AB">
        <w:rPr>
          <w:rFonts w:eastAsia="Arial"/>
        </w:rPr>
        <w:t>Regional Recovery Partnerships ($33.3 million)</w:t>
      </w:r>
    </w:p>
    <w:p w14:paraId="54FC328F" w14:textId="7501960E" w:rsidR="00101AE2" w:rsidRDefault="00101AE2" w:rsidP="006A57A6">
      <w:pPr>
        <w:pStyle w:val="Bullet1"/>
      </w:pPr>
      <w:r w:rsidRPr="00B34547">
        <w:t>$</w:t>
      </w:r>
      <w:r w:rsidR="00A7511B" w:rsidRPr="00B34547">
        <w:t>2</w:t>
      </w:r>
      <w:r w:rsidR="00A7511B">
        <w:t>11</w:t>
      </w:r>
      <w:r w:rsidRPr="00B34547">
        <w:t>.2 million ($29</w:t>
      </w:r>
      <w:r w:rsidR="008907BA">
        <w:t>5.8</w:t>
      </w:r>
      <w:r w:rsidRPr="00B34547">
        <w:t xml:space="preserve"> million recurrent expenses over two years), to enable the Northern Rivers Reconstruction Corporation (NRRC) to operate as a ‘front door to Government’ in setting and implementing reconstruction priorities</w:t>
      </w:r>
      <w:r w:rsidR="003E4DE2">
        <w:t xml:space="preserve"> for flood-affected communities</w:t>
      </w:r>
    </w:p>
    <w:p w14:paraId="6A2C6892" w14:textId="58E681B5" w:rsidR="00101AE2" w:rsidRPr="001E49CE" w:rsidRDefault="00101AE2" w:rsidP="006A57A6">
      <w:pPr>
        <w:pStyle w:val="Bullet1"/>
      </w:pPr>
      <w:r w:rsidRPr="001E49CE">
        <w:t>$447.7 million ($374.2 million recurrent expenses and $878.9 million capital expenditure over four years) to deliver the Special Activation Precincts place-based solutions to fuel economic development in Parkes, Wagga Wagga, Moree, Snowy Mountains, Williamtown, and Narrabri, and to provide certainty for communities, through the delivery of Regional Job Precincts</w:t>
      </w:r>
    </w:p>
    <w:p w14:paraId="17FD1C0C" w14:textId="77777777" w:rsidR="004A0B79" w:rsidRPr="001E49CE" w:rsidRDefault="004A0B79">
      <w:pPr>
        <w:rPr>
          <w:rFonts w:ascii="Arial" w:hAnsi="Arial" w:cs="Arial"/>
          <w:sz w:val="23"/>
          <w:bdr w:val="none" w:sz="0" w:space="0" w:color="auto" w:frame="1"/>
          <w:shd w:val="clear" w:color="auto" w:fill="FFFFFF"/>
          <w:lang w:val="en-US"/>
        </w:rPr>
      </w:pPr>
      <w:r w:rsidRPr="001E49CE">
        <w:br w:type="page"/>
      </w:r>
    </w:p>
    <w:p w14:paraId="44B493F6" w14:textId="1E0AE8E1" w:rsidR="00101AE2" w:rsidRPr="001E49CE" w:rsidRDefault="00101AE2" w:rsidP="006A57A6">
      <w:pPr>
        <w:pStyle w:val="Bullet1"/>
      </w:pPr>
      <w:r w:rsidRPr="001E49CE">
        <w:lastRenderedPageBreak/>
        <w:t>$118.0 million ($437.2 million recurrent expenses and $2.6 million in capital expenditure over four years) for Public Works and the Soil Conservation Service to manage the delivery of $3.9 billion of regional infrastructure projects and provide emergency response work in response to natural disasters</w:t>
      </w:r>
    </w:p>
    <w:p w14:paraId="5E9D25EC" w14:textId="56DE88EA" w:rsidR="00101AE2" w:rsidRPr="00CF497E" w:rsidRDefault="00101AE2" w:rsidP="006A57A6">
      <w:pPr>
        <w:pStyle w:val="Bullet1"/>
      </w:pPr>
      <w:r w:rsidRPr="00CF497E">
        <w:t>$106.0 million ($136.2 million in recurrent expenses and $46.4 million over four years) delivering practical solutions to regional housing supply issues and implementing key recommendations from the Regional Housing Taskforce Report, including enabling 271</w:t>
      </w:r>
      <w:r w:rsidR="006A6A04">
        <w:t> </w:t>
      </w:r>
      <w:r w:rsidRPr="00CF497E">
        <w:t xml:space="preserve">new key worker houses to </w:t>
      </w:r>
      <w:r w:rsidR="00FE3794">
        <w:t xml:space="preserve">address the waitlist and </w:t>
      </w:r>
      <w:r w:rsidRPr="00CF497E">
        <w:t>attract key workers to regional NSW</w:t>
      </w:r>
    </w:p>
    <w:p w14:paraId="4DC4BB9B" w14:textId="28AFEA47" w:rsidR="00101AE2" w:rsidRPr="00CF497E" w:rsidRDefault="00101AE2" w:rsidP="006A57A6">
      <w:pPr>
        <w:pStyle w:val="Bullet1"/>
      </w:pPr>
      <w:r w:rsidRPr="00CF497E">
        <w:t xml:space="preserve">$78.2 million ($100.3 million recurrent expenses over two years) from the Regional Job Creation Fund to incentivise, attract and expand businesses and jobs retention and </w:t>
      </w:r>
      <w:r w:rsidR="00352516">
        <w:t xml:space="preserve">the </w:t>
      </w:r>
      <w:r w:rsidRPr="00CF497E">
        <w:t xml:space="preserve">creation of 7,000 full time equivalent jobs in Regional NSW, by offering to activate or bring forward regional projects in engine, enabling or emerging engine industries </w:t>
      </w:r>
    </w:p>
    <w:p w14:paraId="0F5E003B" w14:textId="2158A5C7" w:rsidR="00101AE2" w:rsidRPr="00CF497E" w:rsidRDefault="00101AE2" w:rsidP="006A57A6">
      <w:pPr>
        <w:pStyle w:val="Bullet1"/>
      </w:pPr>
      <w:r w:rsidRPr="00CF497E">
        <w:t xml:space="preserve">$92.3 million ($455.9 million recurrent expenses over four years) </w:t>
      </w:r>
      <w:r w:rsidR="00661113" w:rsidRPr="00CF497E">
        <w:t>for</w:t>
      </w:r>
      <w:r w:rsidRPr="00CF497E">
        <w:t xml:space="preserve"> the Regional Digital Connectivity program to ensure that families and businesses across regional NSW have better access to enjoy mobile, internet and digital services, including $112.2 million for the Gig State Pilot Project to deliver a metro-level internet service to regional communities and businesses</w:t>
      </w:r>
    </w:p>
    <w:p w14:paraId="243B7F86" w14:textId="77777777" w:rsidR="00101AE2" w:rsidRPr="00CF497E" w:rsidRDefault="00101AE2" w:rsidP="006A57A6">
      <w:pPr>
        <w:pStyle w:val="Bullet1"/>
      </w:pPr>
      <w:r w:rsidRPr="00CF497E">
        <w:t>$66.0 million ($148.6 million recurrent expenses over four years) to enable the Office of Regional Economic Development to promote regional NSW as an attractive place for domestic and international investment, developing emerging industries, turbocharging manufacturing and unlocking Agribusiness export opportunities through the $145 million Regional Investment Activation Program.</w:t>
      </w:r>
    </w:p>
    <w:p w14:paraId="1997F1FA" w14:textId="0720E596" w:rsidR="00101AE2" w:rsidRPr="00CF497E" w:rsidRDefault="00101AE2" w:rsidP="006A57A6">
      <w:pPr>
        <w:pStyle w:val="Bullet1"/>
      </w:pPr>
      <w:r w:rsidRPr="00CF497E">
        <w:t>$51.2 million ($87.3 million in recurrent expenses over four years) to support the Office for Regional Youth and the Regional Youth Taskforce t</w:t>
      </w:r>
      <w:r w:rsidRPr="00CF497E">
        <w:rPr>
          <w:rFonts w:eastAsiaTheme="majorEastAsia"/>
        </w:rPr>
        <w:t>o deliver targeted placed-based interventions to address service gaps and improve outcomes for regional young people</w:t>
      </w:r>
      <w:r w:rsidRPr="00CF497E">
        <w:t xml:space="preserve">. </w:t>
      </w:r>
    </w:p>
    <w:p w14:paraId="752AC36E" w14:textId="6B754E4F" w:rsidR="00101AE2" w:rsidRPr="00CF497E" w:rsidRDefault="00101AE2" w:rsidP="006A57A6">
      <w:pPr>
        <w:pStyle w:val="Bullet1"/>
      </w:pPr>
      <w:r w:rsidRPr="00CF497E">
        <w:t xml:space="preserve">$11.8 million ($30.2 million recurrent expenses over four years) to advocate and act for the over 2 million Australians living close to NSW borders. This includes modernising cross border arrangements and </w:t>
      </w:r>
      <w:r w:rsidR="00BA75B8" w:rsidRPr="00CF497E">
        <w:t xml:space="preserve">reducing inequality in cross-border communities. </w:t>
      </w:r>
    </w:p>
    <w:p w14:paraId="04985B56" w14:textId="77777777" w:rsidR="00101AE2" w:rsidRPr="00A61F70" w:rsidRDefault="00101AE2" w:rsidP="00101AE2">
      <w:pPr>
        <w:rPr>
          <w:rFonts w:ascii="Arial" w:eastAsiaTheme="majorEastAsia" w:hAnsi="Arial" w:cs="Arial"/>
          <w:b/>
          <w:kern w:val="28"/>
          <w:sz w:val="23"/>
          <w:szCs w:val="23"/>
        </w:rPr>
      </w:pPr>
      <w:r w:rsidRPr="00A61F70">
        <w:rPr>
          <w:rFonts w:cs="Arial"/>
          <w:sz w:val="23"/>
          <w:szCs w:val="23"/>
        </w:rPr>
        <w:br w:type="page"/>
      </w:r>
    </w:p>
    <w:p w14:paraId="63F495D5" w14:textId="77777777" w:rsidR="00101AE2" w:rsidRPr="00DC6435" w:rsidRDefault="00101AE2" w:rsidP="00101AE2">
      <w:pPr>
        <w:pStyle w:val="Heading3"/>
        <w:rPr>
          <w:rFonts w:cs="Arial"/>
        </w:rPr>
      </w:pPr>
      <w:r w:rsidRPr="00DC6435">
        <w:rPr>
          <w:rFonts w:cs="Arial"/>
        </w:rPr>
        <w:lastRenderedPageBreak/>
        <w:t xml:space="preserve">Key performance insights </w:t>
      </w:r>
    </w:p>
    <w:p w14:paraId="3924F0EF" w14:textId="77777777" w:rsidR="00101AE2" w:rsidRPr="007934B1" w:rsidRDefault="00101AE2" w:rsidP="00651093">
      <w:pPr>
        <w:pStyle w:val="BodyText"/>
        <w:rPr>
          <w:lang w:eastAsia="en-AU"/>
        </w:rPr>
      </w:pPr>
      <w:r w:rsidRPr="007934B1">
        <w:rPr>
          <w:lang w:eastAsia="en-AU"/>
        </w:rPr>
        <w:t>This section provides analysis and insights on key Outcome Indicators for this State Outcome.</w:t>
      </w:r>
    </w:p>
    <w:p w14:paraId="593BD185" w14:textId="77777777" w:rsidR="00101AE2" w:rsidRPr="00E808C2" w:rsidRDefault="00101AE2" w:rsidP="00101AE2">
      <w:pPr>
        <w:keepNext/>
        <w:widowControl w:val="0"/>
        <w:spacing w:before="320" w:after="120" w:line="240" w:lineRule="atLeast"/>
        <w:outlineLvl w:val="3"/>
        <w:rPr>
          <w:rFonts w:ascii="Arial" w:hAnsi="Arial" w:cs="Arial"/>
          <w:b/>
          <w:color w:val="1F497D"/>
          <w:sz w:val="25"/>
          <w:szCs w:val="25"/>
        </w:rPr>
      </w:pPr>
      <w:r w:rsidRPr="00E808C2">
        <w:rPr>
          <w:rFonts w:ascii="Arial" w:hAnsi="Arial" w:cs="Arial"/>
          <w:b/>
          <w:color w:val="1F497D"/>
          <w:sz w:val="25"/>
          <w:szCs w:val="25"/>
        </w:rPr>
        <w:t xml:space="preserve">Percentage growth in </w:t>
      </w:r>
      <w:r w:rsidRPr="00FE2E83">
        <w:rPr>
          <w:rFonts w:ascii="Arial Bold" w:hAnsi="Arial Bold"/>
          <w:b/>
          <w:color w:val="00426F"/>
          <w:kern w:val="28"/>
          <w:sz w:val="25"/>
          <w:szCs w:val="36"/>
        </w:rPr>
        <w:t>employment</w:t>
      </w:r>
      <w:r w:rsidRPr="00E808C2">
        <w:rPr>
          <w:rFonts w:ascii="Arial" w:hAnsi="Arial" w:cs="Arial"/>
          <w:b/>
          <w:color w:val="1F497D"/>
          <w:sz w:val="25"/>
          <w:szCs w:val="25"/>
        </w:rPr>
        <w:t xml:space="preserve"> in regional NSW over four years</w:t>
      </w:r>
    </w:p>
    <w:p w14:paraId="66E1CD35" w14:textId="77777777" w:rsidR="00101AE2" w:rsidRPr="00A61F70" w:rsidRDefault="00101AE2" w:rsidP="00651093">
      <w:pPr>
        <w:pStyle w:val="BodyText"/>
      </w:pPr>
      <w:r w:rsidRPr="00A61F70">
        <w:t xml:space="preserve">This indicator tracks the economic change and growth in the regional NSW economy and its subsequent impact on employment. The target of 1.1 per cent growth each year equates to 50,000 jobs in regional New South Wales over the four years to 2022-23. </w:t>
      </w:r>
    </w:p>
    <w:p w14:paraId="7F8A47B0" w14:textId="77777777" w:rsidR="00101AE2" w:rsidRPr="00A61F70" w:rsidRDefault="00101AE2" w:rsidP="00651093">
      <w:pPr>
        <w:pStyle w:val="BodyText"/>
      </w:pPr>
      <w:r w:rsidRPr="00A61F70">
        <w:t xml:space="preserve">Performance against this indicator remains challenging as COVID-19 restrictions have had a major impact on labour market conditions across Australia since March 2020. Regional NSW continues to drive regional growth strategies to stimulate economies and increase employment opportunities across the regions.  </w:t>
      </w:r>
    </w:p>
    <w:p w14:paraId="76ED182E" w14:textId="77777777" w:rsidR="00101AE2" w:rsidRPr="000406F9" w:rsidRDefault="00101AE2" w:rsidP="00101AE2">
      <w:pPr>
        <w:pStyle w:val="Chart7X"/>
      </w:pPr>
      <w:r>
        <w:t>Percentage growth in employment in regional New South Wales over four years</w:t>
      </w:r>
    </w:p>
    <w:p w14:paraId="00C596A0" w14:textId="319178BF" w:rsidR="00101AE2" w:rsidRPr="00142680" w:rsidRDefault="00101AE2" w:rsidP="00101AE2">
      <w:pPr>
        <w:jc w:val="center"/>
      </w:pPr>
    </w:p>
    <w:p w14:paraId="10D01BF6" w14:textId="4526A64C" w:rsidR="001C7F23" w:rsidRPr="00142680" w:rsidRDefault="001C7F23" w:rsidP="00101AE2">
      <w:pPr>
        <w:jc w:val="center"/>
      </w:pPr>
      <w:r>
        <w:rPr>
          <w:noProof/>
        </w:rPr>
        <w:drawing>
          <wp:inline distT="0" distB="0" distL="0" distR="0" wp14:anchorId="76C68680" wp14:editId="520D2026">
            <wp:extent cx="4719259" cy="2438611"/>
            <wp:effectExtent l="0" t="0" r="0" b="0"/>
            <wp:docPr id="16" name="Chart 16" descr="Chart 7.3: Percentage growth in employment in regional New South Wales over four years">
              <a:extLst xmlns:a="http://schemas.openxmlformats.org/drawingml/2006/main">
                <a:ext uri="{FF2B5EF4-FFF2-40B4-BE49-F238E27FC236}">
                  <a16:creationId xmlns:a16="http://schemas.microsoft.com/office/drawing/2014/main" id="{F705CF6D-E38D-4154-B286-2A46108C43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30199E" w14:textId="77777777" w:rsidR="00101AE2" w:rsidRDefault="00101AE2" w:rsidP="00101AE2"/>
    <w:p w14:paraId="4B53A3A8" w14:textId="77777777" w:rsidR="00101AE2" w:rsidRDefault="00101AE2" w:rsidP="00101AE2">
      <w:pPr>
        <w:pStyle w:val="Heading3"/>
        <w:rPr>
          <w:rFonts w:cs="Arial"/>
        </w:rPr>
      </w:pPr>
      <w:r>
        <w:rPr>
          <w:rFonts w:cs="Arial"/>
        </w:rPr>
        <w:t>Performance indicators for this Outcome</w:t>
      </w:r>
    </w:p>
    <w:tbl>
      <w:tblPr>
        <w:tblW w:w="9544" w:type="dxa"/>
        <w:tblLook w:val="04A0" w:firstRow="1" w:lastRow="0" w:firstColumn="1" w:lastColumn="0" w:noHBand="0" w:noVBand="1"/>
      </w:tblPr>
      <w:tblGrid>
        <w:gridCol w:w="6520"/>
        <w:gridCol w:w="756"/>
        <w:gridCol w:w="1134"/>
        <w:gridCol w:w="1134"/>
      </w:tblGrid>
      <w:tr w:rsidR="00101AE2" w:rsidRPr="00385339" w14:paraId="24A2FCC0" w14:textId="77777777" w:rsidTr="004A0B79">
        <w:trPr>
          <w:trHeight w:val="240"/>
        </w:trPr>
        <w:tc>
          <w:tcPr>
            <w:tcW w:w="6520" w:type="dxa"/>
            <w:vMerge w:val="restart"/>
            <w:tcBorders>
              <w:top w:val="nil"/>
              <w:left w:val="nil"/>
              <w:bottom w:val="nil"/>
              <w:right w:val="nil"/>
            </w:tcBorders>
            <w:shd w:val="clear" w:color="000000" w:fill="008EBA"/>
            <w:noWrap/>
            <w:vAlign w:val="center"/>
            <w:hideMark/>
          </w:tcPr>
          <w:p w14:paraId="62BA407E" w14:textId="77777777" w:rsidR="00101AE2" w:rsidRPr="00385339" w:rsidRDefault="00101AE2" w:rsidP="00796708">
            <w:pPr>
              <w:ind w:firstLineChars="100" w:firstLine="181"/>
              <w:rPr>
                <w:rFonts w:ascii="Arial" w:hAnsi="Arial" w:cs="Arial"/>
                <w:b/>
                <w:bCs/>
                <w:color w:val="FFFFFF"/>
                <w:sz w:val="18"/>
                <w:szCs w:val="18"/>
                <w:lang w:eastAsia="en-AU"/>
              </w:rPr>
            </w:pPr>
            <w:r w:rsidRPr="00385339">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1E490129" w14:textId="77777777" w:rsidR="00101AE2" w:rsidRPr="00385339" w:rsidRDefault="00101AE2" w:rsidP="00796708">
            <w:pPr>
              <w:jc w:val="center"/>
              <w:rPr>
                <w:rFonts w:ascii="Arial" w:hAnsi="Arial" w:cs="Arial"/>
                <w:b/>
                <w:bCs/>
                <w:color w:val="FFFFFF"/>
                <w:sz w:val="18"/>
                <w:szCs w:val="18"/>
                <w:lang w:eastAsia="en-AU"/>
              </w:rPr>
            </w:pPr>
            <w:r w:rsidRPr="00385339">
              <w:rPr>
                <w:rFonts w:ascii="Arial" w:hAnsi="Arial" w:cs="Arial"/>
                <w:b/>
                <w:bCs/>
                <w:color w:val="FFFFFF"/>
                <w:sz w:val="18"/>
                <w:szCs w:val="18"/>
                <w:lang w:eastAsia="en-AU"/>
              </w:rPr>
              <w:t>Units</w:t>
            </w:r>
          </w:p>
        </w:tc>
        <w:tc>
          <w:tcPr>
            <w:tcW w:w="1134" w:type="dxa"/>
            <w:tcBorders>
              <w:top w:val="nil"/>
              <w:left w:val="nil"/>
              <w:bottom w:val="nil"/>
              <w:right w:val="nil"/>
            </w:tcBorders>
            <w:shd w:val="clear" w:color="000000" w:fill="008EBA"/>
            <w:noWrap/>
            <w:vAlign w:val="center"/>
            <w:hideMark/>
          </w:tcPr>
          <w:p w14:paraId="71BE3E22" w14:textId="77777777" w:rsidR="00101AE2" w:rsidRPr="00385339" w:rsidRDefault="00101AE2" w:rsidP="00796708">
            <w:pPr>
              <w:jc w:val="center"/>
              <w:rPr>
                <w:rFonts w:ascii="Arial" w:hAnsi="Arial" w:cs="Arial"/>
                <w:b/>
                <w:bCs/>
                <w:color w:val="FFFFFF"/>
                <w:sz w:val="18"/>
                <w:szCs w:val="18"/>
                <w:lang w:eastAsia="en-AU"/>
              </w:rPr>
            </w:pPr>
            <w:r w:rsidRPr="00385339">
              <w:rPr>
                <w:rFonts w:ascii="Arial" w:hAnsi="Arial" w:cs="Arial"/>
                <w:b/>
                <w:bCs/>
                <w:color w:val="FFFFFF"/>
                <w:sz w:val="18"/>
                <w:szCs w:val="18"/>
                <w:lang w:eastAsia="en-AU"/>
              </w:rPr>
              <w:t>2021-22</w:t>
            </w:r>
          </w:p>
        </w:tc>
        <w:tc>
          <w:tcPr>
            <w:tcW w:w="1134" w:type="dxa"/>
            <w:tcBorders>
              <w:top w:val="nil"/>
              <w:left w:val="nil"/>
              <w:bottom w:val="nil"/>
              <w:right w:val="nil"/>
            </w:tcBorders>
            <w:shd w:val="clear" w:color="000000" w:fill="008EBA"/>
            <w:noWrap/>
            <w:vAlign w:val="center"/>
            <w:hideMark/>
          </w:tcPr>
          <w:p w14:paraId="2A62A00E" w14:textId="77777777" w:rsidR="00101AE2" w:rsidRPr="00385339" w:rsidRDefault="00101AE2" w:rsidP="00796708">
            <w:pPr>
              <w:jc w:val="center"/>
              <w:rPr>
                <w:rFonts w:ascii="Arial" w:hAnsi="Arial" w:cs="Arial"/>
                <w:b/>
                <w:bCs/>
                <w:color w:val="FFFFFF"/>
                <w:sz w:val="18"/>
                <w:szCs w:val="18"/>
                <w:lang w:eastAsia="en-AU"/>
              </w:rPr>
            </w:pPr>
            <w:r w:rsidRPr="00385339">
              <w:rPr>
                <w:rFonts w:ascii="Arial" w:hAnsi="Arial" w:cs="Arial"/>
                <w:b/>
                <w:bCs/>
                <w:color w:val="FFFFFF"/>
                <w:sz w:val="18"/>
                <w:szCs w:val="18"/>
                <w:lang w:eastAsia="en-AU"/>
              </w:rPr>
              <w:t>2022-23</w:t>
            </w:r>
          </w:p>
        </w:tc>
      </w:tr>
      <w:tr w:rsidR="00101AE2" w:rsidRPr="00385339" w14:paraId="5E132A1B" w14:textId="77777777" w:rsidTr="004A0B79">
        <w:trPr>
          <w:trHeight w:val="240"/>
        </w:trPr>
        <w:tc>
          <w:tcPr>
            <w:tcW w:w="6520" w:type="dxa"/>
            <w:vMerge/>
            <w:tcBorders>
              <w:top w:val="nil"/>
              <w:left w:val="nil"/>
              <w:bottom w:val="nil"/>
              <w:right w:val="nil"/>
            </w:tcBorders>
            <w:vAlign w:val="center"/>
            <w:hideMark/>
          </w:tcPr>
          <w:p w14:paraId="1BC7060D" w14:textId="77777777" w:rsidR="00101AE2" w:rsidRPr="00385339" w:rsidRDefault="00101AE2" w:rsidP="00796708">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3D3FF252" w14:textId="77777777" w:rsidR="00101AE2" w:rsidRPr="00385339" w:rsidRDefault="00101AE2" w:rsidP="00796708">
            <w:pPr>
              <w:rPr>
                <w:rFonts w:ascii="Arial" w:hAnsi="Arial" w:cs="Arial"/>
                <w:b/>
                <w:bCs/>
                <w:color w:val="FFFFFF"/>
                <w:sz w:val="18"/>
                <w:szCs w:val="18"/>
                <w:lang w:eastAsia="en-AU"/>
              </w:rPr>
            </w:pPr>
          </w:p>
        </w:tc>
        <w:tc>
          <w:tcPr>
            <w:tcW w:w="1134" w:type="dxa"/>
            <w:tcBorders>
              <w:top w:val="nil"/>
              <w:left w:val="nil"/>
              <w:bottom w:val="nil"/>
              <w:right w:val="nil"/>
            </w:tcBorders>
            <w:shd w:val="clear" w:color="000000" w:fill="008EBA"/>
            <w:noWrap/>
            <w:vAlign w:val="center"/>
            <w:hideMark/>
          </w:tcPr>
          <w:p w14:paraId="59400635" w14:textId="77777777" w:rsidR="00101AE2" w:rsidRPr="00385339" w:rsidRDefault="00101AE2" w:rsidP="00796708">
            <w:pPr>
              <w:jc w:val="center"/>
              <w:rPr>
                <w:rFonts w:ascii="Arial" w:hAnsi="Arial" w:cs="Arial"/>
                <w:b/>
                <w:bCs/>
                <w:color w:val="FFFFFF"/>
                <w:sz w:val="18"/>
                <w:szCs w:val="18"/>
                <w:lang w:eastAsia="en-AU"/>
              </w:rPr>
            </w:pPr>
            <w:r w:rsidRPr="00385339">
              <w:rPr>
                <w:rFonts w:ascii="Arial" w:hAnsi="Arial" w:cs="Arial"/>
                <w:b/>
                <w:bCs/>
                <w:color w:val="FFFFFF"/>
                <w:sz w:val="18"/>
                <w:szCs w:val="18"/>
                <w:lang w:eastAsia="en-AU"/>
              </w:rPr>
              <w:t>Actual</w:t>
            </w:r>
          </w:p>
        </w:tc>
        <w:tc>
          <w:tcPr>
            <w:tcW w:w="1134" w:type="dxa"/>
            <w:tcBorders>
              <w:top w:val="nil"/>
              <w:left w:val="nil"/>
              <w:bottom w:val="nil"/>
              <w:right w:val="nil"/>
            </w:tcBorders>
            <w:shd w:val="clear" w:color="000000" w:fill="008EBA"/>
            <w:noWrap/>
            <w:vAlign w:val="center"/>
            <w:hideMark/>
          </w:tcPr>
          <w:p w14:paraId="083B17F8" w14:textId="77777777" w:rsidR="00101AE2" w:rsidRPr="00385339" w:rsidRDefault="00101AE2" w:rsidP="00796708">
            <w:pPr>
              <w:jc w:val="center"/>
              <w:rPr>
                <w:rFonts w:ascii="Arial" w:hAnsi="Arial" w:cs="Arial"/>
                <w:b/>
                <w:bCs/>
                <w:color w:val="FFFFFF"/>
                <w:sz w:val="18"/>
                <w:szCs w:val="18"/>
                <w:lang w:eastAsia="en-AU"/>
              </w:rPr>
            </w:pPr>
            <w:r w:rsidRPr="00385339">
              <w:rPr>
                <w:rFonts w:ascii="Arial" w:hAnsi="Arial" w:cs="Arial"/>
                <w:b/>
                <w:bCs/>
                <w:color w:val="FFFFFF"/>
                <w:sz w:val="18"/>
                <w:szCs w:val="18"/>
                <w:lang w:eastAsia="en-AU"/>
              </w:rPr>
              <w:t>Forecast</w:t>
            </w:r>
          </w:p>
        </w:tc>
      </w:tr>
      <w:tr w:rsidR="00EE7CEF" w:rsidRPr="00385339" w14:paraId="37540D4A" w14:textId="77777777" w:rsidTr="004A0B79">
        <w:trPr>
          <w:trHeight w:val="227"/>
        </w:trPr>
        <w:tc>
          <w:tcPr>
            <w:tcW w:w="6520" w:type="dxa"/>
            <w:tcBorders>
              <w:top w:val="nil"/>
              <w:left w:val="nil"/>
              <w:bottom w:val="nil"/>
              <w:right w:val="nil"/>
            </w:tcBorders>
            <w:shd w:val="clear" w:color="auto" w:fill="auto"/>
            <w:vAlign w:val="bottom"/>
          </w:tcPr>
          <w:p w14:paraId="4642E550" w14:textId="77777777" w:rsidR="00EE7CEF" w:rsidRPr="00385339" w:rsidRDefault="00EE7CEF" w:rsidP="00796708">
            <w:pPr>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tcPr>
          <w:p w14:paraId="0F63F6F9" w14:textId="77777777" w:rsidR="00EE7CEF" w:rsidRPr="00385339" w:rsidRDefault="00EE7CEF" w:rsidP="00796708">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tcPr>
          <w:p w14:paraId="090657D2" w14:textId="77777777" w:rsidR="00EE7CEF" w:rsidRDefault="00EE7CEF" w:rsidP="00796708">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tcPr>
          <w:p w14:paraId="5363D0F4" w14:textId="77777777" w:rsidR="00EE7CEF" w:rsidRDefault="00EE7CEF" w:rsidP="00796708">
            <w:pPr>
              <w:jc w:val="right"/>
              <w:rPr>
                <w:rFonts w:ascii="Arial" w:hAnsi="Arial" w:cs="Arial"/>
                <w:color w:val="000000"/>
                <w:sz w:val="16"/>
                <w:szCs w:val="16"/>
                <w:lang w:eastAsia="en-AU"/>
              </w:rPr>
            </w:pPr>
          </w:p>
        </w:tc>
      </w:tr>
      <w:tr w:rsidR="00101AE2" w:rsidRPr="00385339" w14:paraId="56A2F6F7" w14:textId="77777777" w:rsidTr="004A0B79">
        <w:trPr>
          <w:trHeight w:val="227"/>
        </w:trPr>
        <w:tc>
          <w:tcPr>
            <w:tcW w:w="6520" w:type="dxa"/>
            <w:tcBorders>
              <w:top w:val="nil"/>
              <w:left w:val="nil"/>
              <w:bottom w:val="nil"/>
              <w:right w:val="nil"/>
            </w:tcBorders>
            <w:shd w:val="clear" w:color="auto" w:fill="auto"/>
            <w:vAlign w:val="bottom"/>
            <w:hideMark/>
          </w:tcPr>
          <w:p w14:paraId="6ADF50B1" w14:textId="77777777" w:rsidR="00101AE2" w:rsidRPr="00385339" w:rsidRDefault="00101AE2" w:rsidP="00EE7CEF">
            <w:pPr>
              <w:ind w:left="184"/>
              <w:rPr>
                <w:rFonts w:ascii="Arial" w:hAnsi="Arial" w:cs="Arial"/>
                <w:color w:val="000000"/>
                <w:sz w:val="16"/>
                <w:szCs w:val="16"/>
                <w:lang w:eastAsia="en-AU"/>
              </w:rPr>
            </w:pPr>
            <w:r w:rsidRPr="00385339">
              <w:rPr>
                <w:rFonts w:ascii="Arial" w:hAnsi="Arial" w:cs="Arial"/>
                <w:color w:val="000000"/>
                <w:sz w:val="16"/>
                <w:szCs w:val="16"/>
                <w:lang w:eastAsia="en-AU"/>
              </w:rPr>
              <w:t>Percentage growth in employment in regional NSW over four years</w:t>
            </w:r>
          </w:p>
        </w:tc>
        <w:tc>
          <w:tcPr>
            <w:tcW w:w="756" w:type="dxa"/>
            <w:tcBorders>
              <w:top w:val="nil"/>
              <w:left w:val="nil"/>
              <w:bottom w:val="nil"/>
              <w:right w:val="nil"/>
            </w:tcBorders>
            <w:shd w:val="clear" w:color="auto" w:fill="auto"/>
            <w:noWrap/>
            <w:hideMark/>
          </w:tcPr>
          <w:p w14:paraId="1427813B" w14:textId="77777777" w:rsidR="00101AE2" w:rsidRPr="00385339" w:rsidRDefault="00101AE2" w:rsidP="00796708">
            <w:pPr>
              <w:jc w:val="center"/>
              <w:rPr>
                <w:rFonts w:ascii="Arial" w:hAnsi="Arial" w:cs="Arial"/>
                <w:color w:val="000000"/>
                <w:sz w:val="16"/>
                <w:szCs w:val="16"/>
                <w:lang w:eastAsia="en-AU"/>
              </w:rPr>
            </w:pPr>
            <w:r w:rsidRPr="00385339">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hideMark/>
          </w:tcPr>
          <w:p w14:paraId="4A956044" w14:textId="77777777" w:rsidR="00101AE2" w:rsidRPr="00385339" w:rsidRDefault="00101AE2" w:rsidP="00796708">
            <w:pPr>
              <w:jc w:val="right"/>
              <w:rPr>
                <w:rFonts w:ascii="Arial" w:hAnsi="Arial" w:cs="Arial"/>
                <w:color w:val="000000"/>
                <w:sz w:val="16"/>
                <w:szCs w:val="16"/>
                <w:lang w:eastAsia="en-AU"/>
              </w:rPr>
            </w:pPr>
            <w:r>
              <w:rPr>
                <w:rFonts w:ascii="Arial" w:hAnsi="Arial" w:cs="Arial"/>
                <w:color w:val="000000"/>
                <w:sz w:val="16"/>
                <w:szCs w:val="16"/>
                <w:lang w:eastAsia="en-AU"/>
              </w:rPr>
              <w:t>0.2</w:t>
            </w:r>
          </w:p>
        </w:tc>
        <w:tc>
          <w:tcPr>
            <w:tcW w:w="1134" w:type="dxa"/>
            <w:tcBorders>
              <w:top w:val="nil"/>
              <w:left w:val="nil"/>
              <w:bottom w:val="nil"/>
              <w:right w:val="nil"/>
            </w:tcBorders>
            <w:shd w:val="clear" w:color="auto" w:fill="auto"/>
            <w:noWrap/>
            <w:hideMark/>
          </w:tcPr>
          <w:p w14:paraId="5F9AF482" w14:textId="77777777" w:rsidR="00101AE2" w:rsidRPr="00385339" w:rsidRDefault="00101AE2" w:rsidP="00796708">
            <w:pPr>
              <w:jc w:val="right"/>
              <w:rPr>
                <w:rFonts w:ascii="Arial" w:hAnsi="Arial" w:cs="Arial"/>
                <w:color w:val="000000"/>
                <w:sz w:val="16"/>
                <w:szCs w:val="16"/>
                <w:lang w:eastAsia="en-AU"/>
              </w:rPr>
            </w:pPr>
            <w:r>
              <w:rPr>
                <w:rFonts w:ascii="Arial" w:hAnsi="Arial" w:cs="Arial"/>
                <w:color w:val="000000"/>
                <w:sz w:val="16"/>
                <w:szCs w:val="16"/>
                <w:lang w:eastAsia="en-AU"/>
              </w:rPr>
              <w:t>0.3</w:t>
            </w:r>
          </w:p>
        </w:tc>
      </w:tr>
      <w:tr w:rsidR="00101AE2" w:rsidRPr="00385339" w14:paraId="7083B45C" w14:textId="77777777" w:rsidTr="004A0B79">
        <w:trPr>
          <w:trHeight w:val="227"/>
        </w:trPr>
        <w:tc>
          <w:tcPr>
            <w:tcW w:w="6520" w:type="dxa"/>
            <w:tcBorders>
              <w:top w:val="nil"/>
              <w:left w:val="nil"/>
              <w:bottom w:val="nil"/>
              <w:right w:val="nil"/>
            </w:tcBorders>
            <w:shd w:val="clear" w:color="auto" w:fill="auto"/>
            <w:vAlign w:val="bottom"/>
            <w:hideMark/>
          </w:tcPr>
          <w:p w14:paraId="44E95678" w14:textId="77777777" w:rsidR="00101AE2" w:rsidRPr="00385339" w:rsidRDefault="00101AE2" w:rsidP="00EE7CEF">
            <w:pPr>
              <w:ind w:left="184"/>
              <w:rPr>
                <w:rFonts w:ascii="Arial" w:hAnsi="Arial" w:cs="Arial"/>
                <w:color w:val="000000"/>
                <w:sz w:val="16"/>
                <w:szCs w:val="16"/>
                <w:lang w:eastAsia="en-AU"/>
              </w:rPr>
            </w:pPr>
            <w:r w:rsidRPr="00385339">
              <w:rPr>
                <w:rFonts w:ascii="Arial" w:hAnsi="Arial" w:cs="Arial"/>
                <w:color w:val="000000"/>
                <w:sz w:val="16"/>
                <w:szCs w:val="16"/>
                <w:lang w:eastAsia="en-AU"/>
              </w:rPr>
              <w:t>Sustained wellbeing of communities in regional NSW over 12 months</w:t>
            </w:r>
          </w:p>
        </w:tc>
        <w:tc>
          <w:tcPr>
            <w:tcW w:w="756" w:type="dxa"/>
            <w:tcBorders>
              <w:top w:val="nil"/>
              <w:left w:val="nil"/>
              <w:bottom w:val="nil"/>
              <w:right w:val="nil"/>
            </w:tcBorders>
            <w:shd w:val="clear" w:color="auto" w:fill="auto"/>
            <w:noWrap/>
            <w:hideMark/>
          </w:tcPr>
          <w:p w14:paraId="46A71348" w14:textId="77777777" w:rsidR="00101AE2" w:rsidRPr="00385339" w:rsidRDefault="00101AE2" w:rsidP="00796708">
            <w:pPr>
              <w:jc w:val="center"/>
              <w:rPr>
                <w:rFonts w:ascii="Arial" w:hAnsi="Arial" w:cs="Arial"/>
                <w:color w:val="000000"/>
                <w:sz w:val="16"/>
                <w:szCs w:val="16"/>
                <w:lang w:eastAsia="en-AU"/>
              </w:rPr>
            </w:pPr>
            <w:r w:rsidRPr="00385339">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hideMark/>
          </w:tcPr>
          <w:p w14:paraId="129B9B42" w14:textId="77777777" w:rsidR="00101AE2" w:rsidRPr="00385339" w:rsidRDefault="00101AE2" w:rsidP="00796708">
            <w:pPr>
              <w:jc w:val="right"/>
              <w:rPr>
                <w:rFonts w:ascii="Arial" w:hAnsi="Arial" w:cs="Arial"/>
                <w:color w:val="000000"/>
                <w:sz w:val="16"/>
                <w:szCs w:val="16"/>
                <w:lang w:eastAsia="en-AU"/>
              </w:rPr>
            </w:pPr>
            <w:r>
              <w:rPr>
                <w:rFonts w:ascii="Arial" w:hAnsi="Arial" w:cs="Arial"/>
                <w:color w:val="000000"/>
                <w:sz w:val="16"/>
                <w:szCs w:val="16"/>
                <w:lang w:eastAsia="en-AU"/>
              </w:rPr>
              <w:t>59.2</w:t>
            </w:r>
          </w:p>
        </w:tc>
        <w:tc>
          <w:tcPr>
            <w:tcW w:w="1134" w:type="dxa"/>
            <w:tcBorders>
              <w:top w:val="nil"/>
              <w:left w:val="nil"/>
              <w:bottom w:val="nil"/>
              <w:right w:val="nil"/>
            </w:tcBorders>
            <w:shd w:val="clear" w:color="auto" w:fill="auto"/>
            <w:noWrap/>
            <w:hideMark/>
          </w:tcPr>
          <w:p w14:paraId="769FEE3E" w14:textId="77777777" w:rsidR="00101AE2" w:rsidRPr="00385339" w:rsidRDefault="00101AE2" w:rsidP="00796708">
            <w:pPr>
              <w:jc w:val="right"/>
              <w:rPr>
                <w:rFonts w:ascii="Arial" w:hAnsi="Arial" w:cs="Arial"/>
                <w:color w:val="000000"/>
                <w:sz w:val="16"/>
                <w:szCs w:val="16"/>
                <w:lang w:eastAsia="en-AU"/>
              </w:rPr>
            </w:pPr>
            <w:r>
              <w:rPr>
                <w:rFonts w:ascii="Arial" w:hAnsi="Arial" w:cs="Arial"/>
                <w:color w:val="000000"/>
                <w:sz w:val="16"/>
                <w:szCs w:val="16"/>
                <w:lang w:eastAsia="en-AU"/>
              </w:rPr>
              <w:t>59.3</w:t>
            </w:r>
          </w:p>
        </w:tc>
      </w:tr>
      <w:tr w:rsidR="00101AE2" w:rsidRPr="00385339" w14:paraId="67EED893" w14:textId="77777777" w:rsidTr="004A0B79">
        <w:trPr>
          <w:trHeight w:val="227"/>
        </w:trPr>
        <w:tc>
          <w:tcPr>
            <w:tcW w:w="6520" w:type="dxa"/>
            <w:tcBorders>
              <w:top w:val="nil"/>
              <w:left w:val="nil"/>
              <w:bottom w:val="nil"/>
              <w:right w:val="nil"/>
            </w:tcBorders>
            <w:shd w:val="clear" w:color="auto" w:fill="auto"/>
            <w:vAlign w:val="bottom"/>
            <w:hideMark/>
          </w:tcPr>
          <w:p w14:paraId="07AB26BC" w14:textId="77777777" w:rsidR="00101AE2" w:rsidRPr="00385339" w:rsidRDefault="00101AE2" w:rsidP="00EE7CEF">
            <w:pPr>
              <w:ind w:left="184"/>
              <w:rPr>
                <w:rFonts w:ascii="Arial" w:hAnsi="Arial" w:cs="Arial"/>
                <w:color w:val="000000"/>
                <w:sz w:val="16"/>
                <w:szCs w:val="16"/>
                <w:lang w:eastAsia="en-AU"/>
              </w:rPr>
            </w:pPr>
            <w:r w:rsidRPr="00385339">
              <w:rPr>
                <w:rFonts w:ascii="Arial" w:hAnsi="Arial" w:cs="Arial"/>
                <w:color w:val="000000"/>
                <w:sz w:val="16"/>
                <w:szCs w:val="16"/>
                <w:lang w:eastAsia="en-AU"/>
              </w:rPr>
              <w:t>Sustained wellbeing of communities in regional NSW over four years</w:t>
            </w:r>
          </w:p>
        </w:tc>
        <w:tc>
          <w:tcPr>
            <w:tcW w:w="756" w:type="dxa"/>
            <w:tcBorders>
              <w:top w:val="nil"/>
              <w:left w:val="nil"/>
              <w:bottom w:val="nil"/>
              <w:right w:val="nil"/>
            </w:tcBorders>
            <w:shd w:val="clear" w:color="auto" w:fill="auto"/>
            <w:noWrap/>
            <w:hideMark/>
          </w:tcPr>
          <w:p w14:paraId="4BF9B0C5" w14:textId="77777777" w:rsidR="00101AE2" w:rsidRPr="00385339" w:rsidRDefault="00101AE2" w:rsidP="00796708">
            <w:pPr>
              <w:jc w:val="center"/>
              <w:rPr>
                <w:rFonts w:ascii="Arial" w:hAnsi="Arial" w:cs="Arial"/>
                <w:color w:val="000000"/>
                <w:sz w:val="16"/>
                <w:szCs w:val="16"/>
                <w:lang w:eastAsia="en-AU"/>
              </w:rPr>
            </w:pPr>
            <w:r w:rsidRPr="00385339">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hideMark/>
          </w:tcPr>
          <w:p w14:paraId="44FF516E" w14:textId="77777777" w:rsidR="00101AE2" w:rsidRPr="00385339" w:rsidRDefault="00101AE2" w:rsidP="00796708">
            <w:pPr>
              <w:jc w:val="right"/>
              <w:rPr>
                <w:rFonts w:ascii="Arial" w:hAnsi="Arial" w:cs="Arial"/>
                <w:color w:val="000000"/>
                <w:sz w:val="16"/>
                <w:szCs w:val="16"/>
                <w:lang w:eastAsia="en-AU"/>
              </w:rPr>
            </w:pPr>
            <w:r>
              <w:rPr>
                <w:rFonts w:ascii="Arial" w:hAnsi="Arial" w:cs="Arial"/>
                <w:color w:val="000000"/>
                <w:sz w:val="16"/>
                <w:szCs w:val="16"/>
                <w:lang w:eastAsia="en-AU"/>
              </w:rPr>
              <w:t>59.1</w:t>
            </w:r>
          </w:p>
        </w:tc>
        <w:tc>
          <w:tcPr>
            <w:tcW w:w="1134" w:type="dxa"/>
            <w:tcBorders>
              <w:top w:val="nil"/>
              <w:left w:val="nil"/>
              <w:bottom w:val="nil"/>
              <w:right w:val="nil"/>
            </w:tcBorders>
            <w:shd w:val="clear" w:color="auto" w:fill="auto"/>
            <w:noWrap/>
            <w:hideMark/>
          </w:tcPr>
          <w:p w14:paraId="11E3B6F7" w14:textId="77777777" w:rsidR="00101AE2" w:rsidRPr="00385339" w:rsidRDefault="00101AE2" w:rsidP="00796708">
            <w:pPr>
              <w:jc w:val="right"/>
              <w:rPr>
                <w:rFonts w:ascii="Arial" w:hAnsi="Arial" w:cs="Arial"/>
                <w:color w:val="000000"/>
                <w:sz w:val="16"/>
                <w:szCs w:val="16"/>
                <w:lang w:eastAsia="en-AU"/>
              </w:rPr>
            </w:pPr>
            <w:r>
              <w:rPr>
                <w:rFonts w:ascii="Arial" w:hAnsi="Arial" w:cs="Arial"/>
                <w:color w:val="000000"/>
                <w:sz w:val="16"/>
                <w:szCs w:val="16"/>
                <w:lang w:eastAsia="en-AU"/>
              </w:rPr>
              <w:t>59.2</w:t>
            </w:r>
          </w:p>
        </w:tc>
      </w:tr>
    </w:tbl>
    <w:p w14:paraId="50F77E1B" w14:textId="77777777" w:rsidR="00101AE2" w:rsidRPr="00385339" w:rsidRDefault="00101AE2" w:rsidP="00651093">
      <w:pPr>
        <w:pStyle w:val="BodyText"/>
      </w:pPr>
    </w:p>
    <w:p w14:paraId="41ADB191" w14:textId="77777777" w:rsidR="00101AE2" w:rsidRPr="00927525" w:rsidRDefault="00101AE2" w:rsidP="00101AE2">
      <w:pPr>
        <w:rPr>
          <w:rFonts w:ascii="Arial" w:hAnsi="Arial" w:cs="Arial"/>
          <w:sz w:val="6"/>
          <w:szCs w:val="6"/>
        </w:rPr>
      </w:pPr>
    </w:p>
    <w:p w14:paraId="2BCBF58D" w14:textId="77777777" w:rsidR="0040275F" w:rsidRDefault="0040275F">
      <w:pPr>
        <w:rPr>
          <w:rFonts w:ascii="Arial" w:hAnsi="Arial" w:cs="Arial"/>
          <w:b/>
          <w:color w:val="008EBA"/>
          <w:kern w:val="28"/>
          <w:sz w:val="28"/>
          <w:szCs w:val="36"/>
        </w:rPr>
      </w:pPr>
      <w:r>
        <w:rPr>
          <w:rFonts w:ascii="Arial" w:hAnsi="Arial" w:cs="Arial"/>
        </w:rPr>
        <w:br w:type="page"/>
      </w:r>
    </w:p>
    <w:p w14:paraId="20A6B577" w14:textId="3E6B0C84" w:rsidR="0040275F" w:rsidRPr="00E633CC" w:rsidRDefault="0040275F" w:rsidP="00DB171A">
      <w:pPr>
        <w:pStyle w:val="Heading2"/>
        <w:ind w:left="709" w:hanging="709"/>
        <w:rPr>
          <w:rFonts w:ascii="Arial" w:hAnsi="Arial" w:cs="Arial"/>
        </w:rPr>
      </w:pPr>
      <w:r w:rsidRPr="00DB171A">
        <w:lastRenderedPageBreak/>
        <w:t>Outcome</w:t>
      </w:r>
      <w:r>
        <w:rPr>
          <w:rFonts w:ascii="Arial" w:hAnsi="Arial" w:cs="Arial"/>
        </w:rPr>
        <w:t xml:space="preserve"> 2: Stronger primary industries</w:t>
      </w:r>
    </w:p>
    <w:tbl>
      <w:tblPr>
        <w:tblpPr w:leftFromText="180" w:rightFromText="180" w:vertAnchor="text" w:horzAnchor="margin" w:tblpXSpec="right" w:tblpY="649"/>
        <w:tblW w:w="1618" w:type="pct"/>
        <w:shd w:val="pct5" w:color="auto" w:fill="auto"/>
        <w:tblCellMar>
          <w:left w:w="115" w:type="dxa"/>
          <w:right w:w="115" w:type="dxa"/>
        </w:tblCellMar>
        <w:tblLook w:val="04A0" w:firstRow="1" w:lastRow="0" w:firstColumn="1" w:lastColumn="0" w:noHBand="0" w:noVBand="1"/>
        <w:tblCaption w:val="6.4 Outcome 2: Stronger primary industries"/>
        <w:tblDescription w:val="6.4 Outcome 2: Stronger primary industries"/>
      </w:tblPr>
      <w:tblGrid>
        <w:gridCol w:w="1046"/>
        <w:gridCol w:w="781"/>
        <w:gridCol w:w="1292"/>
      </w:tblGrid>
      <w:tr w:rsidR="0040275F" w:rsidRPr="00F8244B" w14:paraId="6D224FF2" w14:textId="77777777" w:rsidTr="00EE7CEF">
        <w:trPr>
          <w:cantSplit/>
          <w:trHeight w:val="784"/>
        </w:trPr>
        <w:tc>
          <w:tcPr>
            <w:tcW w:w="1677" w:type="pct"/>
            <w:shd w:val="pct5" w:color="auto" w:fill="auto"/>
            <w:vAlign w:val="center"/>
          </w:tcPr>
          <w:p w14:paraId="368C6608" w14:textId="77777777" w:rsidR="0040275F" w:rsidRPr="00F8244B" w:rsidRDefault="0040275F" w:rsidP="00796708">
            <w:pPr>
              <w:spacing w:before="120" w:after="120"/>
              <w:rPr>
                <w:rFonts w:ascii="Arial" w:hAnsi="Arial" w:cs="Arial"/>
                <w:sz w:val="23"/>
                <w:szCs w:val="23"/>
              </w:rPr>
            </w:pPr>
            <w:r>
              <w:rPr>
                <w:rFonts w:ascii="Arial" w:hAnsi="Arial" w:cs="Arial"/>
                <w:noProof/>
              </w:rPr>
              <w:drawing>
                <wp:inline distT="0" distB="0" distL="0" distR="0" wp14:anchorId="57D01259" wp14:editId="645CB573">
                  <wp:extent cx="518160" cy="518400"/>
                  <wp:effectExtent l="0" t="0" r="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252" w:type="pct"/>
            <w:shd w:val="pct5" w:color="auto" w:fill="auto"/>
            <w:vAlign w:val="center"/>
          </w:tcPr>
          <w:p w14:paraId="4333058A" w14:textId="77777777" w:rsidR="0040275F" w:rsidRPr="00EB7112" w:rsidRDefault="0040275F" w:rsidP="00796708">
            <w:pPr>
              <w:spacing w:before="120" w:after="120"/>
              <w:jc w:val="center"/>
              <w:rPr>
                <w:rFonts w:ascii="Arial" w:hAnsi="Arial" w:cs="Arial"/>
                <w:color w:val="00ABE6"/>
                <w:sz w:val="18"/>
                <w:szCs w:val="18"/>
              </w:rPr>
            </w:pPr>
            <w:r w:rsidRPr="00EB7112">
              <w:rPr>
                <w:rFonts w:ascii="Arial" w:hAnsi="Arial" w:cs="Arial"/>
                <w:color w:val="00ABE6"/>
                <w:sz w:val="18"/>
                <w:szCs w:val="18"/>
              </w:rPr>
              <w:t xml:space="preserve">$844.2 </w:t>
            </w:r>
            <w:r w:rsidRPr="00EB7112">
              <w:rPr>
                <w:rFonts w:ascii="Arial" w:hAnsi="Arial" w:cs="Arial"/>
                <w:color w:val="00ABE6"/>
                <w:sz w:val="18"/>
                <w:szCs w:val="18"/>
              </w:rPr>
              <w:br/>
              <w:t>million</w:t>
            </w:r>
          </w:p>
        </w:tc>
        <w:tc>
          <w:tcPr>
            <w:tcW w:w="2071" w:type="pct"/>
            <w:shd w:val="pct5" w:color="auto" w:fill="auto"/>
            <w:vAlign w:val="center"/>
          </w:tcPr>
          <w:p w14:paraId="176867A9" w14:textId="40C6F26C" w:rsidR="0040275F" w:rsidRPr="0011239F" w:rsidRDefault="0040275F" w:rsidP="00796708">
            <w:pPr>
              <w:rPr>
                <w:rFonts w:ascii="Arial" w:hAnsi="Arial" w:cs="Arial"/>
                <w:color w:val="00ABE6"/>
                <w:sz w:val="18"/>
                <w:szCs w:val="18"/>
              </w:rPr>
            </w:pPr>
            <w:r w:rsidRPr="0011239F">
              <w:rPr>
                <w:rFonts w:ascii="Arial" w:hAnsi="Arial" w:cs="Arial"/>
                <w:color w:val="00ABE6"/>
                <w:sz w:val="18"/>
                <w:szCs w:val="18"/>
              </w:rPr>
              <w:t>Recurrent</w:t>
            </w:r>
          </w:p>
          <w:p w14:paraId="1B5D80C9" w14:textId="77777777" w:rsidR="0040275F" w:rsidRPr="00F8244B" w:rsidRDefault="0040275F" w:rsidP="00796708">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40275F" w:rsidRPr="00F8244B" w14:paraId="1E8E26D7" w14:textId="77777777" w:rsidTr="00EE7CEF">
        <w:trPr>
          <w:cantSplit/>
          <w:trHeight w:val="784"/>
        </w:trPr>
        <w:tc>
          <w:tcPr>
            <w:tcW w:w="1677" w:type="pct"/>
            <w:shd w:val="pct5" w:color="auto" w:fill="auto"/>
            <w:vAlign w:val="center"/>
          </w:tcPr>
          <w:p w14:paraId="5861E834" w14:textId="77777777" w:rsidR="0040275F" w:rsidRPr="00F8244B" w:rsidRDefault="0040275F" w:rsidP="00796708">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53A9E3CE" wp14:editId="3795264F">
                  <wp:extent cx="518160" cy="518400"/>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252" w:type="pct"/>
            <w:shd w:val="pct5" w:color="auto" w:fill="auto"/>
            <w:vAlign w:val="center"/>
          </w:tcPr>
          <w:p w14:paraId="3F16054E" w14:textId="77777777" w:rsidR="0040275F" w:rsidRPr="00EB7112" w:rsidRDefault="0040275F" w:rsidP="00796708">
            <w:pPr>
              <w:spacing w:before="120" w:after="120"/>
              <w:jc w:val="center"/>
              <w:rPr>
                <w:rFonts w:ascii="Arial" w:hAnsi="Arial" w:cs="Arial"/>
                <w:color w:val="00ABE6"/>
                <w:sz w:val="18"/>
                <w:szCs w:val="18"/>
              </w:rPr>
            </w:pPr>
            <w:r w:rsidRPr="00EB7112">
              <w:rPr>
                <w:rFonts w:ascii="Arial" w:hAnsi="Arial" w:cs="Arial"/>
                <w:color w:val="00ABE6"/>
                <w:sz w:val="18"/>
                <w:szCs w:val="18"/>
              </w:rPr>
              <w:t xml:space="preserve">$71.4 </w:t>
            </w:r>
            <w:r w:rsidRPr="00EB7112">
              <w:rPr>
                <w:rFonts w:ascii="Arial" w:hAnsi="Arial" w:cs="Arial"/>
                <w:color w:val="00ABE6"/>
                <w:sz w:val="18"/>
                <w:szCs w:val="18"/>
              </w:rPr>
              <w:br/>
              <w:t>million</w:t>
            </w:r>
          </w:p>
        </w:tc>
        <w:tc>
          <w:tcPr>
            <w:tcW w:w="2071" w:type="pct"/>
            <w:shd w:val="pct5" w:color="auto" w:fill="auto"/>
            <w:vAlign w:val="center"/>
          </w:tcPr>
          <w:p w14:paraId="35431344" w14:textId="77777777" w:rsidR="00D52757" w:rsidRDefault="0040275F" w:rsidP="00796708">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 xml:space="preserve">Expenditure </w:t>
            </w:r>
          </w:p>
          <w:p w14:paraId="4AD66930" w14:textId="6EF12C72" w:rsidR="0040275F" w:rsidRPr="00F8244B" w:rsidRDefault="0040275F" w:rsidP="00796708">
            <w:pPr>
              <w:rPr>
                <w:rFonts w:ascii="Arial" w:hAnsi="Arial" w:cs="Arial"/>
                <w:color w:val="00ABE6"/>
                <w:sz w:val="18"/>
                <w:szCs w:val="18"/>
              </w:rPr>
            </w:pPr>
            <w:r w:rsidRPr="0011239F">
              <w:rPr>
                <w:rFonts w:ascii="Arial" w:hAnsi="Arial" w:cs="Arial"/>
                <w:color w:val="00ABE6"/>
                <w:sz w:val="18"/>
                <w:szCs w:val="18"/>
              </w:rP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4E74B5C2" w14:textId="77777777" w:rsidR="0040275F" w:rsidRDefault="0040275F" w:rsidP="0040275F">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6E6DC165" w14:textId="500385AC" w:rsidR="0040275F" w:rsidRPr="00EB7112" w:rsidRDefault="0040275F" w:rsidP="00651093">
      <w:pPr>
        <w:pStyle w:val="BodyText"/>
      </w:pPr>
      <w:r w:rsidRPr="00EB7112">
        <w:t xml:space="preserve">Led by the Department of Primary Industries (DPI), this Outcome focuses on the State’s primary industries’ productivity, growth and ensuring the sector’s sustainability. DPI plays a central role in the Government’s commitment to regional </w:t>
      </w:r>
      <w:r w:rsidR="00352516">
        <w:t>NSW</w:t>
      </w:r>
      <w:r w:rsidRPr="00EB7112">
        <w:t xml:space="preserve"> by driving a strong primary industries sector. DPI’s commitment to research and innovation, safe and secure food supply and industry support and development programs, delivered via an on-ground presence across the State, ensures biosecurity, food security and economic growth for the State, targeting primary industries value to the NSW economy of $23.6 billion by 2030. </w:t>
      </w:r>
    </w:p>
    <w:p w14:paraId="03A12B71" w14:textId="77777777" w:rsidR="0040275F" w:rsidRPr="000101AC" w:rsidRDefault="0040275F" w:rsidP="0040275F">
      <w:pPr>
        <w:pStyle w:val="Heading3"/>
        <w:rPr>
          <w:rFonts w:cs="Arial"/>
        </w:rPr>
      </w:pPr>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p>
    <w:p w14:paraId="590C4951" w14:textId="77777777" w:rsidR="0040275F" w:rsidRPr="00C25B34" w:rsidRDefault="0040275F" w:rsidP="00651093">
      <w:pPr>
        <w:pStyle w:val="BodyText"/>
      </w:pPr>
      <w:r w:rsidRPr="00C25B34">
        <w:t>In 2022-23, the Regional NSW Cluster will invest $915.7 million ($844.2 million recurrent expenses and $71.4 million capital expenditure) in this Outcome, including:</w:t>
      </w:r>
    </w:p>
    <w:p w14:paraId="47659C44" w14:textId="42272831" w:rsidR="0040275F" w:rsidRPr="006A522F" w:rsidRDefault="0040275F" w:rsidP="006A57A6">
      <w:pPr>
        <w:pStyle w:val="Bullet1"/>
      </w:pPr>
      <w:r w:rsidRPr="006A522F">
        <w:t>$317.9 million ($484.0 million recurrent expenses over four years) for the NSW Rural Assistance Authority to provide primary producer flood recovery grants and on-farm assistance, productivity improvements, innovation, and climate resilience</w:t>
      </w:r>
    </w:p>
    <w:p w14:paraId="2028AF80" w14:textId="0AA435F0" w:rsidR="0040275F" w:rsidRPr="006A522F" w:rsidRDefault="0040275F" w:rsidP="006A57A6">
      <w:pPr>
        <w:pStyle w:val="Bullet1"/>
      </w:pPr>
      <w:r w:rsidRPr="006A522F">
        <w:t xml:space="preserve">$182.6 million ($604.0 million recurrent expenses and $25.0 million capital expenditure over four years), to protect and optimise productive use, sustainable growth, effective management of natural resources of fisheries, aquaculture, soil and water in NSW agriculture and sustainability of forestry sectors </w:t>
      </w:r>
    </w:p>
    <w:p w14:paraId="53E19053" w14:textId="77777777" w:rsidR="0040275F" w:rsidRPr="00C25B34" w:rsidRDefault="0040275F" w:rsidP="006A57A6">
      <w:pPr>
        <w:pStyle w:val="Bullet1"/>
      </w:pPr>
      <w:r w:rsidRPr="00C25B34">
        <w:t xml:space="preserve">$163.9 million ($498.2 million recurrent expenses and $13.9 million capital expenditure over four years) to prevent future biosecurity threats through timely coordination, proportionate response, and rapid, efficient containment, thereby minimising the impact of endemic biosecurity threats, including enhanced response targeting endemic species </w:t>
      </w:r>
    </w:p>
    <w:p w14:paraId="0F6A9D4B" w14:textId="5C3E802C" w:rsidR="0040275F" w:rsidRPr="00C25B34" w:rsidRDefault="0040275F" w:rsidP="006A57A6">
      <w:pPr>
        <w:pStyle w:val="Bullet1"/>
      </w:pPr>
      <w:r w:rsidRPr="00C25B34">
        <w:t>$89.6 million ($214.6 million recurrent expenses over four years) to provide response capacity for adverse events by undertaking preparedness exercises, timely, strategic responses and recovery actions, including shark mitigation activities and repairs to damaged State Forest infrastructure and roads</w:t>
      </w:r>
    </w:p>
    <w:p w14:paraId="0820F142" w14:textId="420D6462" w:rsidR="0040275F" w:rsidRPr="00C25B34" w:rsidRDefault="0040275F" w:rsidP="006A57A6">
      <w:pPr>
        <w:pStyle w:val="Bullet1"/>
      </w:pPr>
      <w:r w:rsidRPr="00C25B34">
        <w:t>$86.6 million ($243.7 million recurrent expenses and $26.4 million capital expenditure over four years) to support new and emerging products and high value industries that minimise waste and provide circular economy opportunities</w:t>
      </w:r>
      <w:r w:rsidR="00F90E9D">
        <w:t>, driving</w:t>
      </w:r>
      <w:r w:rsidRPr="00C25B34">
        <w:t xml:space="preserve"> the use of food for improved health and consumer outcomes</w:t>
      </w:r>
    </w:p>
    <w:p w14:paraId="5108767B" w14:textId="632066E0" w:rsidR="0040275F" w:rsidRPr="00C25B34" w:rsidRDefault="0040275F" w:rsidP="006A57A6">
      <w:pPr>
        <w:pStyle w:val="Bullet1"/>
      </w:pPr>
      <w:r w:rsidRPr="00C25B34">
        <w:t xml:space="preserve">$52.3 million ($197.9 million recurrent expenses and $4.4 million capital expenditure over four years) to prevent food safety risks, promote compliance, and deliver food safety legislative obligations including investigating breaches, prosecutions, managing foodborne illness requirements and safeguarding animal welfare </w:t>
      </w:r>
    </w:p>
    <w:p w14:paraId="4CB63D4D" w14:textId="28B2A129" w:rsidR="0040275F" w:rsidRPr="00F477F1" w:rsidRDefault="0040275F" w:rsidP="006A57A6">
      <w:pPr>
        <w:pStyle w:val="Bullet1"/>
      </w:pPr>
      <w:r w:rsidRPr="00F477F1">
        <w:t xml:space="preserve">$34.4 million ($89.1 million recurrent expenses and $5.6 million capital expenditure over four years) to support increased carbon storage and sequestration, adoption of energy efficient and renewable technologies to support sustainable adaptation to climate change </w:t>
      </w:r>
    </w:p>
    <w:p w14:paraId="065A8D0A" w14:textId="77777777" w:rsidR="0040275F" w:rsidRPr="00F477F1" w:rsidRDefault="0040275F" w:rsidP="006A57A6">
      <w:pPr>
        <w:pStyle w:val="Bullet1"/>
      </w:pPr>
      <w:r w:rsidRPr="00F477F1">
        <w:t>$30.7 million ($120.4 million recurrent expenses and $2.2 million capital expenditure over four years), with a total of $182 million, to deliver on the remaining years of the 10-year NSW Government Marine Estate Management Strategy until 2028.</w:t>
      </w:r>
    </w:p>
    <w:p w14:paraId="2FF44B6E" w14:textId="77777777" w:rsidR="00EE7CEF" w:rsidRDefault="00EE7CEF">
      <w:pPr>
        <w:rPr>
          <w:rFonts w:ascii="Arial" w:eastAsiaTheme="majorEastAsia" w:hAnsi="Arial" w:cs="Arial"/>
          <w:b/>
          <w:kern w:val="28"/>
          <w:sz w:val="27"/>
          <w:szCs w:val="36"/>
        </w:rPr>
      </w:pPr>
      <w:r>
        <w:rPr>
          <w:rFonts w:cs="Arial"/>
        </w:rPr>
        <w:br w:type="page"/>
      </w:r>
    </w:p>
    <w:p w14:paraId="16E5E9DC" w14:textId="79182FF2" w:rsidR="0040275F" w:rsidRPr="00DC6435" w:rsidRDefault="0040275F" w:rsidP="0040275F">
      <w:pPr>
        <w:pStyle w:val="Heading3"/>
        <w:rPr>
          <w:rFonts w:cs="Arial"/>
        </w:rPr>
      </w:pPr>
      <w:r w:rsidRPr="00DC6435">
        <w:rPr>
          <w:rFonts w:cs="Arial"/>
        </w:rPr>
        <w:lastRenderedPageBreak/>
        <w:t xml:space="preserve">Key performance insights </w:t>
      </w:r>
    </w:p>
    <w:p w14:paraId="0D496C46" w14:textId="77777777" w:rsidR="0040275F" w:rsidRPr="00C25B34" w:rsidRDefault="0040275F" w:rsidP="00651093">
      <w:pPr>
        <w:pStyle w:val="BodyText"/>
        <w:rPr>
          <w:lang w:eastAsia="en-AU"/>
        </w:rPr>
      </w:pPr>
      <w:r w:rsidRPr="00C25B34">
        <w:rPr>
          <w:lang w:eastAsia="en-AU"/>
        </w:rPr>
        <w:t>This section provides analysis and insights on key Outcome Indicators for this State Outcome.</w:t>
      </w:r>
    </w:p>
    <w:p w14:paraId="54CB7A9E" w14:textId="77777777" w:rsidR="0040275F" w:rsidRPr="000308DD" w:rsidRDefault="0040275F" w:rsidP="0040275F">
      <w:pPr>
        <w:keepNext/>
        <w:widowControl w:val="0"/>
        <w:spacing w:before="320" w:after="120" w:line="240" w:lineRule="atLeast"/>
        <w:outlineLvl w:val="3"/>
        <w:rPr>
          <w:rFonts w:ascii="Arial" w:hAnsi="Arial" w:cs="Arial"/>
          <w:b/>
          <w:color w:val="1F497D" w:themeColor="text2"/>
          <w:sz w:val="25"/>
          <w:szCs w:val="25"/>
        </w:rPr>
      </w:pPr>
      <w:r w:rsidRPr="000308DD">
        <w:rPr>
          <w:rFonts w:ascii="Arial" w:hAnsi="Arial" w:cs="Arial"/>
          <w:b/>
          <w:color w:val="1F497D" w:themeColor="text2"/>
          <w:sz w:val="25"/>
          <w:szCs w:val="25"/>
        </w:rPr>
        <w:t xml:space="preserve">Increased </w:t>
      </w:r>
      <w:r w:rsidRPr="006C3115">
        <w:rPr>
          <w:rFonts w:ascii="Arial" w:hAnsi="Arial" w:cs="Arial"/>
          <w:b/>
          <w:color w:val="1F497D" w:themeColor="text2"/>
          <w:sz w:val="25"/>
          <w:szCs w:val="25"/>
        </w:rPr>
        <w:t>Gross Value of Production</w:t>
      </w:r>
      <w:r w:rsidRPr="000308DD">
        <w:rPr>
          <w:rFonts w:ascii="Arial" w:hAnsi="Arial" w:cs="Arial"/>
          <w:b/>
          <w:color w:val="1F497D" w:themeColor="text2"/>
          <w:sz w:val="25"/>
          <w:szCs w:val="25"/>
        </w:rPr>
        <w:t xml:space="preserve"> of primary industries in NSW</w:t>
      </w:r>
    </w:p>
    <w:p w14:paraId="1D2BDA4A" w14:textId="239158CA" w:rsidR="0040275F" w:rsidRPr="00C25B34" w:rsidRDefault="0040275F" w:rsidP="00651093">
      <w:pPr>
        <w:pStyle w:val="BodyText"/>
      </w:pPr>
      <w:r w:rsidRPr="00C25B34">
        <w:t>NSW primary industries have been impacted by a series of adverse events over the past few years. Cumulative years of drought followed by bushfires, several major flooding events, a major mouse plague and COVID-19 related supply chain and workforce disruptions have presented serious challenges for the sector. The inland flood events of November 2021, as well as the coastal floods in February and March 2022 in particular, have implications for farm businesses and communities across N</w:t>
      </w:r>
      <w:r w:rsidR="00A172F5">
        <w:t>ew South Wales</w:t>
      </w:r>
      <w:r w:rsidRPr="00C25B34">
        <w:t xml:space="preserve">. </w:t>
      </w:r>
    </w:p>
    <w:p w14:paraId="36620906" w14:textId="77777777" w:rsidR="0040275F" w:rsidRPr="00C25B34" w:rsidRDefault="0040275F" w:rsidP="00651093">
      <w:pPr>
        <w:pStyle w:val="BodyText"/>
      </w:pPr>
      <w:r w:rsidRPr="00C25B34">
        <w:t>Considering this, the sector's resilience has been demonstrated through its ability to maximise industry opportunities resulting in anticipated</w:t>
      </w:r>
      <w:r w:rsidRPr="00C25B34" w:rsidDel="00D3312F">
        <w:t xml:space="preserve"> </w:t>
      </w:r>
      <w:r w:rsidRPr="00C25B34">
        <w:t>two consecutive years of estimated record Gross Value of Production (GVP) of $17.6 billion in 2021-22 and preliminary forecast for further strong growth in 2021-22. The sector has been buoyed by strong winter crop production (particularly wheat and oilseeds) and an expected return to maximum summer crop production with cotton production expected at near record levels. The continued livestock herd and flock rebuilds are also timely, with strong global protein demand supporting elevated prices for the sector.</w:t>
      </w:r>
    </w:p>
    <w:p w14:paraId="6A00F13C" w14:textId="77777777" w:rsidR="0040275F" w:rsidRPr="00C25B34" w:rsidRDefault="0040275F" w:rsidP="00651093">
      <w:pPr>
        <w:pStyle w:val="BodyText"/>
      </w:pPr>
      <w:r w:rsidRPr="00C25B34">
        <w:t xml:space="preserve">A comprehensive set of DPI programs help to underpin the strong economic performance achieved by primary industries. DPI continues to ensure the regulatory settings and surveillance and compliance frameworks in place foster a safe, efficient and trusted sector to maintain and increase market access for NSW produce. A core component of DPI continues to be focused on increasing adoption of applied research and development programs to maintain a sustainable but productive use of NSW natural resources while also providing the sector feasible pathways of transition to a low carbon emission future. </w:t>
      </w:r>
    </w:p>
    <w:p w14:paraId="7073FBA9" w14:textId="027D902D" w:rsidR="0040275F" w:rsidRDefault="0040275F" w:rsidP="0040275F">
      <w:pPr>
        <w:pStyle w:val="Chart7X"/>
      </w:pPr>
      <w:r>
        <w:t xml:space="preserve">Gross Value of </w:t>
      </w:r>
      <w:r w:rsidRPr="008C3C60">
        <w:t>Production</w:t>
      </w:r>
      <w:r>
        <w:t xml:space="preserve"> of primary industries in </w:t>
      </w:r>
      <w:r w:rsidDel="002D2612">
        <w:t>N</w:t>
      </w:r>
      <w:r w:rsidR="00F84BEA">
        <w:t xml:space="preserve">ew </w:t>
      </w:r>
      <w:r w:rsidDel="002D2612">
        <w:t>S</w:t>
      </w:r>
      <w:r w:rsidR="00F84BEA">
        <w:t xml:space="preserve">outh </w:t>
      </w:r>
      <w:r w:rsidDel="002D2612">
        <w:t>W</w:t>
      </w:r>
      <w:r w:rsidR="00F84BEA">
        <w:t>ales</w:t>
      </w:r>
    </w:p>
    <w:p w14:paraId="2C8A872B" w14:textId="47786A4B" w:rsidR="0040275F" w:rsidRDefault="0040275F" w:rsidP="004A0B79">
      <w:pPr>
        <w:jc w:val="center"/>
      </w:pPr>
    </w:p>
    <w:p w14:paraId="188140DF" w14:textId="1008B1D4" w:rsidR="00E04158" w:rsidRDefault="00E04158" w:rsidP="004A0B79">
      <w:pPr>
        <w:jc w:val="center"/>
      </w:pPr>
      <w:r>
        <w:rPr>
          <w:noProof/>
        </w:rPr>
        <w:drawing>
          <wp:inline distT="0" distB="0" distL="0" distR="0" wp14:anchorId="389ABA41" wp14:editId="055A188F">
            <wp:extent cx="4719259" cy="2186106"/>
            <wp:effectExtent l="0" t="0" r="0" b="0"/>
            <wp:docPr id="2" name="Chart 2" descr="Chart 7.4: Gross Value of Production of primary industries in New South Wales">
              <a:extLst xmlns:a="http://schemas.openxmlformats.org/drawingml/2006/main">
                <a:ext uri="{FF2B5EF4-FFF2-40B4-BE49-F238E27FC236}">
                  <a16:creationId xmlns:a16="http://schemas.microsoft.com/office/drawing/2014/main" id="{27909AE7-240C-4ADE-81C8-D947257A51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B230AB" w14:textId="77777777" w:rsidR="004A0B79" w:rsidRDefault="004A0B79" w:rsidP="004A0B79">
      <w:pPr>
        <w:jc w:val="center"/>
      </w:pPr>
    </w:p>
    <w:p w14:paraId="5970515D" w14:textId="77777777" w:rsidR="0040275F" w:rsidRPr="004427E9" w:rsidRDefault="0040275F" w:rsidP="0040275F">
      <w:pPr>
        <w:rPr>
          <w:rFonts w:ascii="Arial" w:hAnsi="Arial" w:cs="Arial"/>
          <w:sz w:val="16"/>
          <w:szCs w:val="16"/>
        </w:rPr>
      </w:pPr>
      <w:r w:rsidRPr="004427E9">
        <w:rPr>
          <w:rFonts w:ascii="Arial" w:hAnsi="Arial" w:cs="Arial"/>
          <w:sz w:val="16"/>
          <w:szCs w:val="16"/>
        </w:rPr>
        <w:t xml:space="preserve">Note: </w:t>
      </w:r>
      <w:r w:rsidRPr="004427E9">
        <w:rPr>
          <w:rFonts w:ascii="Arial" w:eastAsiaTheme="minorHAnsi" w:hAnsi="Arial" w:cs="Arial"/>
          <w:sz w:val="16"/>
          <w:szCs w:val="16"/>
          <w:bdr w:val="none" w:sz="0" w:space="0" w:color="auto" w:frame="1"/>
        </w:rPr>
        <w:t>Data for 2021-22 currently unavailable. P</w:t>
      </w:r>
      <w:r w:rsidRPr="004427E9">
        <w:rPr>
          <w:rFonts w:ascii="Arial" w:hAnsi="Arial" w:cs="Arial"/>
          <w:sz w:val="16"/>
          <w:szCs w:val="16"/>
        </w:rPr>
        <w:t>revious estimates for this indicator have been revised to reflect release of updated historical data</w:t>
      </w:r>
    </w:p>
    <w:p w14:paraId="6DB913B9" w14:textId="77777777" w:rsidR="004A0B79" w:rsidRDefault="004A0B79">
      <w:pPr>
        <w:rPr>
          <w:rFonts w:ascii="Arial Bold" w:hAnsi="Arial Bold"/>
          <w:b/>
          <w:color w:val="00426F"/>
          <w:kern w:val="28"/>
          <w:sz w:val="25"/>
          <w:szCs w:val="36"/>
        </w:rPr>
      </w:pPr>
      <w:r>
        <w:rPr>
          <w:rFonts w:ascii="Arial Bold" w:hAnsi="Arial Bold"/>
          <w:b/>
          <w:color w:val="00426F"/>
          <w:kern w:val="28"/>
          <w:sz w:val="25"/>
          <w:szCs w:val="36"/>
        </w:rPr>
        <w:br w:type="page"/>
      </w:r>
    </w:p>
    <w:p w14:paraId="44EE4755" w14:textId="7C01D799" w:rsidR="0040275F" w:rsidRPr="00A34D5E" w:rsidRDefault="0040275F" w:rsidP="0040275F">
      <w:pPr>
        <w:keepNext/>
        <w:widowControl w:val="0"/>
        <w:spacing w:before="320" w:after="120" w:line="240" w:lineRule="atLeast"/>
        <w:outlineLvl w:val="3"/>
        <w:rPr>
          <w:rFonts w:ascii="Arial" w:hAnsi="Arial" w:cs="Arial"/>
          <w:b/>
          <w:color w:val="1F497D"/>
          <w:sz w:val="25"/>
          <w:szCs w:val="25"/>
        </w:rPr>
      </w:pPr>
      <w:r w:rsidRPr="00FE2E83">
        <w:rPr>
          <w:rFonts w:ascii="Arial Bold" w:hAnsi="Arial Bold"/>
          <w:b/>
          <w:color w:val="00426F"/>
          <w:kern w:val="28"/>
          <w:sz w:val="25"/>
          <w:szCs w:val="36"/>
        </w:rPr>
        <w:lastRenderedPageBreak/>
        <w:t>Increase</w:t>
      </w:r>
      <w:r w:rsidRPr="00A34D5E">
        <w:rPr>
          <w:rFonts w:ascii="Arial" w:hAnsi="Arial" w:cs="Arial"/>
          <w:b/>
          <w:color w:val="1F497D" w:themeColor="text2"/>
          <w:sz w:val="25"/>
          <w:szCs w:val="25"/>
        </w:rPr>
        <w:t xml:space="preserve"> in stakeholder satisfaction</w:t>
      </w:r>
    </w:p>
    <w:p w14:paraId="04336CF6" w14:textId="77777777" w:rsidR="0040275F" w:rsidRPr="00CA273C" w:rsidRDefault="0040275F" w:rsidP="00651093">
      <w:pPr>
        <w:pStyle w:val="BodyText"/>
      </w:pPr>
      <w:r w:rsidRPr="00CA273C">
        <w:t>DPI has been supporting stronger primary industries in N</w:t>
      </w:r>
      <w:r>
        <w:t xml:space="preserve">ew </w:t>
      </w:r>
      <w:r w:rsidRPr="00CA273C">
        <w:t>S</w:t>
      </w:r>
      <w:r>
        <w:t xml:space="preserve">outh </w:t>
      </w:r>
      <w:r w:rsidRPr="00CA273C">
        <w:t>W</w:t>
      </w:r>
      <w:r>
        <w:t>ales</w:t>
      </w:r>
      <w:r w:rsidRPr="00CA273C">
        <w:t xml:space="preserve"> for over 130 years – with a renewed focus on maximising outcomes for the </w:t>
      </w:r>
      <w:r>
        <w:t>S</w:t>
      </w:r>
      <w:r w:rsidRPr="00CA273C">
        <w:t xml:space="preserve">tate's primary industries, the communities they support and the resources they rely on.  </w:t>
      </w:r>
    </w:p>
    <w:p w14:paraId="43E7CE1E" w14:textId="24DF393E" w:rsidR="0040275F" w:rsidRDefault="0040275F" w:rsidP="00651093">
      <w:pPr>
        <w:pStyle w:val="BodyText"/>
      </w:pPr>
      <w:r>
        <w:t xml:space="preserve">DPI’s </w:t>
      </w:r>
      <w:r w:rsidRPr="00CA273C">
        <w:t>stakeholders and their satisfaction have been at the forefront of efforts in setting the department’s strategic direction for the future</w:t>
      </w:r>
      <w:r>
        <w:t>.</w:t>
      </w:r>
      <w:r w:rsidRPr="00CA273C">
        <w:t xml:space="preserve"> </w:t>
      </w:r>
      <w:r>
        <w:t>H</w:t>
      </w:r>
      <w:r w:rsidRPr="00CA273C">
        <w:t xml:space="preserve">aving strong collaborations, networks and engagement with partners is critical to delivering </w:t>
      </w:r>
      <w:r>
        <w:t>DPI’s</w:t>
      </w:r>
      <w:r w:rsidRPr="00CA273C">
        <w:t xml:space="preserve"> Strategic Plan across the sector.</w:t>
      </w:r>
    </w:p>
    <w:p w14:paraId="2EDB29F2" w14:textId="77777777" w:rsidR="0040275F" w:rsidRDefault="0040275F" w:rsidP="00651093">
      <w:pPr>
        <w:pStyle w:val="BodyText"/>
      </w:pPr>
      <w:r>
        <w:t>DPI has worked with stakeholders to support industry growth and recovery through r</w:t>
      </w:r>
      <w:r w:rsidRPr="0000053D">
        <w:t xml:space="preserve">ecent natural disasters and COVID-19 pandemic </w:t>
      </w:r>
      <w:r>
        <w:t>response efforts</w:t>
      </w:r>
      <w:r w:rsidRPr="0000053D">
        <w:t>. Working together in these situations has enabled strong relationships to develop and continue despite the imposing adversities</w:t>
      </w:r>
      <w:r>
        <w:t xml:space="preserve">, and continued </w:t>
      </w:r>
      <w:r w:rsidRPr="0000053D">
        <w:t xml:space="preserve">improvement in </w:t>
      </w:r>
      <w:r>
        <w:t xml:space="preserve">performance against this indicator is expected </w:t>
      </w:r>
      <w:r w:rsidRPr="0000053D">
        <w:t>in 2022-23</w:t>
      </w:r>
      <w:r>
        <w:t>.</w:t>
      </w:r>
    </w:p>
    <w:p w14:paraId="28E4E29C" w14:textId="77777777" w:rsidR="0040275F" w:rsidRDefault="0040275F" w:rsidP="0040275F">
      <w:pPr>
        <w:pStyle w:val="Chart7X"/>
      </w:pPr>
      <w:r>
        <w:t>Rating of industry stakeholders based on engagement with DPI</w:t>
      </w:r>
    </w:p>
    <w:p w14:paraId="0BABC051" w14:textId="77777777" w:rsidR="0040275F" w:rsidRDefault="0040275F" w:rsidP="0040275F">
      <w:pPr>
        <w:jc w:val="center"/>
      </w:pPr>
      <w:r>
        <w:rPr>
          <w:noProof/>
        </w:rPr>
        <w:drawing>
          <wp:inline distT="0" distB="0" distL="0" distR="0" wp14:anchorId="44AA28A2" wp14:editId="37017A81">
            <wp:extent cx="4719259" cy="2313105"/>
            <wp:effectExtent l="0" t="0" r="0" b="0"/>
            <wp:docPr id="8" name="Chart 8" descr="Chart 7.5: Rating of industry stakeholders based on engagement with DPI">
              <a:extLst xmlns:a="http://schemas.openxmlformats.org/drawingml/2006/main">
                <a:ext uri="{FF2B5EF4-FFF2-40B4-BE49-F238E27FC236}">
                  <a16:creationId xmlns:a16="http://schemas.microsoft.com/office/drawing/2014/main" id="{813CC524-B84A-47F0-825B-D53191B52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FDAA62" w14:textId="77777777" w:rsidR="0040275F" w:rsidRPr="00712EBC" w:rsidRDefault="0040275F" w:rsidP="0040275F">
      <w:pPr>
        <w:keepNext/>
        <w:widowControl w:val="0"/>
        <w:spacing w:before="320" w:after="120" w:line="240" w:lineRule="atLeast"/>
        <w:outlineLvl w:val="3"/>
        <w:rPr>
          <w:rFonts w:ascii="Arial" w:hAnsi="Arial" w:cs="Arial"/>
          <w:b/>
          <w:color w:val="1F497D" w:themeColor="text2"/>
          <w:sz w:val="25"/>
          <w:szCs w:val="25"/>
        </w:rPr>
      </w:pPr>
      <w:r w:rsidRPr="00712EBC">
        <w:rPr>
          <w:rFonts w:ascii="Arial" w:hAnsi="Arial" w:cs="Arial"/>
          <w:b/>
          <w:color w:val="1F497D" w:themeColor="text2"/>
          <w:sz w:val="25"/>
          <w:szCs w:val="25"/>
        </w:rPr>
        <w:t xml:space="preserve">Maintain top </w:t>
      </w:r>
      <w:r>
        <w:rPr>
          <w:rFonts w:ascii="Arial" w:hAnsi="Arial" w:cs="Arial"/>
          <w:b/>
          <w:color w:val="1F497D" w:themeColor="text2"/>
          <w:sz w:val="25"/>
          <w:szCs w:val="25"/>
        </w:rPr>
        <w:t>one</w:t>
      </w:r>
      <w:r w:rsidRPr="00712EBC">
        <w:rPr>
          <w:rFonts w:ascii="Arial" w:hAnsi="Arial" w:cs="Arial"/>
          <w:b/>
          <w:color w:val="1F497D" w:themeColor="text2"/>
          <w:sz w:val="25"/>
          <w:szCs w:val="25"/>
        </w:rPr>
        <w:t xml:space="preserve"> per cent of International Research Ranking in Agricultural Science, Plant </w:t>
      </w:r>
      <w:r w:rsidRPr="00FE2E83">
        <w:rPr>
          <w:rFonts w:ascii="Arial Bold" w:hAnsi="Arial Bold"/>
          <w:b/>
          <w:color w:val="00426F"/>
          <w:kern w:val="28"/>
          <w:sz w:val="25"/>
          <w:szCs w:val="36"/>
        </w:rPr>
        <w:t>and</w:t>
      </w:r>
      <w:r w:rsidRPr="00712EBC">
        <w:rPr>
          <w:rFonts w:ascii="Arial" w:hAnsi="Arial" w:cs="Arial"/>
          <w:b/>
          <w:color w:val="1F497D" w:themeColor="text2"/>
          <w:sz w:val="25"/>
          <w:szCs w:val="25"/>
        </w:rPr>
        <w:t xml:space="preserve"> Animal Sciences </w:t>
      </w:r>
    </w:p>
    <w:p w14:paraId="5C7E4BF7" w14:textId="77777777" w:rsidR="0040275F" w:rsidRPr="007B37FD" w:rsidRDefault="0040275F" w:rsidP="00651093">
      <w:pPr>
        <w:pStyle w:val="BodyText"/>
      </w:pPr>
      <w:r w:rsidRPr="007B37FD">
        <w:t xml:space="preserve">Publication of research in high impact scientific journals demonstrates the quantity, quality and robustness of DPI’s science functions. DPI benchmarks against similar organisations using widely recognised metrics such as the number of scientific publications, citation and science impact. The citation ranking is based on how many other scientists refer to DPI’s research in their scientific papers. As such, it is a measure of the impact of DPI’s research work, which can improve performance of the State’s primary industries. </w:t>
      </w:r>
    </w:p>
    <w:p w14:paraId="74351ED1" w14:textId="77777777" w:rsidR="0040275F" w:rsidRDefault="0040275F" w:rsidP="00651093">
      <w:pPr>
        <w:pStyle w:val="BodyText"/>
        <w:rPr>
          <w:szCs w:val="23"/>
        </w:rPr>
      </w:pPr>
      <w:r w:rsidRPr="007B37FD">
        <w:t>Performance against this indicator continues to remain stable, with DPI consistently maintaining its place in the top one per cent of research organisations globally for over a decade and on track to maintain this place in 2021-22.</w:t>
      </w:r>
    </w:p>
    <w:p w14:paraId="35DDC7B5" w14:textId="77777777" w:rsidR="004A0B79" w:rsidRDefault="004A0B79">
      <w:pPr>
        <w:rPr>
          <w:rFonts w:ascii="Arial" w:hAnsi="Arial"/>
          <w:i/>
          <w:color w:val="57514D"/>
          <w:sz w:val="22"/>
          <w:lang w:val="en-US"/>
        </w:rPr>
      </w:pPr>
      <w:r>
        <w:br w:type="page"/>
      </w:r>
    </w:p>
    <w:p w14:paraId="34EC1AD5" w14:textId="1D86B2DD" w:rsidR="0040275F" w:rsidRDefault="0040275F" w:rsidP="0040275F">
      <w:pPr>
        <w:pStyle w:val="Chart7X"/>
      </w:pPr>
      <w:r>
        <w:lastRenderedPageBreak/>
        <w:t xml:space="preserve">Maintain top one per cent of international research ranking in agricultural science, </w:t>
      </w:r>
      <w:r w:rsidR="00AF1E71">
        <w:tab/>
      </w:r>
      <w:r>
        <w:t>plant and animal sciences</w:t>
      </w:r>
    </w:p>
    <w:p w14:paraId="60D04088" w14:textId="77777777" w:rsidR="0040275F" w:rsidRDefault="0040275F" w:rsidP="0040275F">
      <w:pPr>
        <w:autoSpaceDE w:val="0"/>
        <w:autoSpaceDN w:val="0"/>
        <w:adjustRightInd w:val="0"/>
        <w:jc w:val="center"/>
        <w:rPr>
          <w:rFonts w:ascii="Arial" w:hAnsi="Arial" w:cs="Arial"/>
          <w:sz w:val="23"/>
          <w:szCs w:val="23"/>
        </w:rPr>
      </w:pPr>
      <w:r>
        <w:rPr>
          <w:noProof/>
        </w:rPr>
        <w:drawing>
          <wp:inline distT="0" distB="0" distL="0" distR="0" wp14:anchorId="5C2378DC" wp14:editId="6F446CB2">
            <wp:extent cx="4719259" cy="2313106"/>
            <wp:effectExtent l="0" t="0" r="5715" b="0"/>
            <wp:docPr id="15" name="Chart 15" descr="Chart 7.6: Maintain top one per cent of international research ranking in agricultural science,  plant and animal sciences">
              <a:extLst xmlns:a="http://schemas.openxmlformats.org/drawingml/2006/main">
                <a:ext uri="{FF2B5EF4-FFF2-40B4-BE49-F238E27FC236}">
                  <a16:creationId xmlns:a16="http://schemas.microsoft.com/office/drawing/2014/main" id="{30DB1014-A00D-4F2E-8D9C-975CB937A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489CF7" w14:textId="77777777" w:rsidR="0040275F" w:rsidRDefault="0040275F" w:rsidP="0040275F"/>
    <w:p w14:paraId="6CBA775C" w14:textId="77777777" w:rsidR="0040275F" w:rsidRDefault="0040275F" w:rsidP="0040275F">
      <w:pPr>
        <w:pStyle w:val="Heading3"/>
        <w:rPr>
          <w:rFonts w:cs="Arial"/>
        </w:rPr>
      </w:pPr>
      <w:r>
        <w:rPr>
          <w:rFonts w:cs="Arial"/>
        </w:rPr>
        <w:t>Performance indicators for this Outcome</w:t>
      </w:r>
    </w:p>
    <w:tbl>
      <w:tblPr>
        <w:tblW w:w="9676" w:type="dxa"/>
        <w:tblLook w:val="04A0" w:firstRow="1" w:lastRow="0" w:firstColumn="1" w:lastColumn="0" w:noHBand="0" w:noVBand="1"/>
      </w:tblPr>
      <w:tblGrid>
        <w:gridCol w:w="6568"/>
        <w:gridCol w:w="813"/>
        <w:gridCol w:w="1176"/>
        <w:gridCol w:w="1176"/>
      </w:tblGrid>
      <w:tr w:rsidR="0040275F" w:rsidRPr="007E2FD2" w14:paraId="608B571B" w14:textId="77777777" w:rsidTr="00796708">
        <w:trPr>
          <w:trHeight w:val="240"/>
        </w:trPr>
        <w:tc>
          <w:tcPr>
            <w:tcW w:w="6568" w:type="dxa"/>
            <w:vMerge w:val="restart"/>
            <w:tcBorders>
              <w:top w:val="nil"/>
              <w:left w:val="nil"/>
              <w:bottom w:val="nil"/>
              <w:right w:val="nil"/>
            </w:tcBorders>
            <w:shd w:val="clear" w:color="000000" w:fill="008EBA"/>
            <w:noWrap/>
            <w:vAlign w:val="center"/>
          </w:tcPr>
          <w:p w14:paraId="4881F723" w14:textId="77777777" w:rsidR="0040275F" w:rsidRPr="007E2FD2" w:rsidRDefault="0040275F" w:rsidP="00796708">
            <w:pPr>
              <w:ind w:firstLineChars="100" w:firstLine="181"/>
              <w:rPr>
                <w:rFonts w:ascii="Arial" w:hAnsi="Arial" w:cs="Arial"/>
                <w:b/>
                <w:bCs/>
                <w:color w:val="FFFFFF"/>
                <w:sz w:val="18"/>
                <w:szCs w:val="18"/>
                <w:lang w:eastAsia="en-AU"/>
              </w:rPr>
            </w:pPr>
            <w:r w:rsidRPr="007E2FD2">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tcPr>
          <w:p w14:paraId="3CF2D727" w14:textId="77777777" w:rsidR="0040275F" w:rsidRPr="007E2FD2" w:rsidRDefault="0040275F" w:rsidP="00796708">
            <w:pPr>
              <w:jc w:val="center"/>
              <w:rPr>
                <w:rFonts w:ascii="Arial" w:hAnsi="Arial" w:cs="Arial"/>
                <w:b/>
                <w:bCs/>
                <w:color w:val="FFFFFF"/>
                <w:sz w:val="18"/>
                <w:szCs w:val="18"/>
                <w:lang w:eastAsia="en-AU"/>
              </w:rPr>
            </w:pPr>
            <w:r w:rsidRPr="007E2FD2">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tcPr>
          <w:p w14:paraId="4B34BA0D" w14:textId="77777777" w:rsidR="0040275F" w:rsidRPr="007E2FD2" w:rsidRDefault="0040275F" w:rsidP="00796708">
            <w:pPr>
              <w:jc w:val="center"/>
              <w:rPr>
                <w:rFonts w:ascii="Arial" w:hAnsi="Arial" w:cs="Arial"/>
                <w:b/>
                <w:bCs/>
                <w:color w:val="FFFFFF"/>
                <w:sz w:val="18"/>
                <w:szCs w:val="18"/>
                <w:lang w:eastAsia="en-AU"/>
              </w:rPr>
            </w:pPr>
            <w:r w:rsidRPr="007E2FD2">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tcPr>
          <w:p w14:paraId="40D2581E" w14:textId="77777777" w:rsidR="0040275F" w:rsidRPr="007E2FD2" w:rsidRDefault="0040275F" w:rsidP="00796708">
            <w:pPr>
              <w:jc w:val="center"/>
              <w:rPr>
                <w:rFonts w:ascii="Arial" w:hAnsi="Arial" w:cs="Arial"/>
                <w:b/>
                <w:bCs/>
                <w:color w:val="FFFFFF"/>
                <w:sz w:val="18"/>
                <w:szCs w:val="18"/>
                <w:lang w:eastAsia="en-AU"/>
              </w:rPr>
            </w:pPr>
            <w:r w:rsidRPr="007E2FD2">
              <w:rPr>
                <w:rFonts w:ascii="Arial" w:hAnsi="Arial" w:cs="Arial"/>
                <w:b/>
                <w:bCs/>
                <w:color w:val="FFFFFF"/>
                <w:sz w:val="18"/>
                <w:szCs w:val="18"/>
                <w:lang w:eastAsia="en-AU"/>
              </w:rPr>
              <w:t>2022-23</w:t>
            </w:r>
          </w:p>
        </w:tc>
      </w:tr>
      <w:tr w:rsidR="0040275F" w:rsidRPr="007E2FD2" w14:paraId="750AB706" w14:textId="77777777" w:rsidTr="00796708">
        <w:trPr>
          <w:trHeight w:val="240"/>
        </w:trPr>
        <w:tc>
          <w:tcPr>
            <w:tcW w:w="6568" w:type="dxa"/>
            <w:vMerge/>
            <w:tcBorders>
              <w:top w:val="nil"/>
              <w:left w:val="nil"/>
              <w:right w:val="nil"/>
            </w:tcBorders>
            <w:vAlign w:val="center"/>
          </w:tcPr>
          <w:p w14:paraId="5C998956" w14:textId="77777777" w:rsidR="0040275F" w:rsidRPr="007E2FD2" w:rsidRDefault="0040275F" w:rsidP="00796708">
            <w:pPr>
              <w:rPr>
                <w:rFonts w:ascii="Arial" w:hAnsi="Arial" w:cs="Arial"/>
                <w:b/>
                <w:bCs/>
                <w:color w:val="FFFFFF"/>
                <w:sz w:val="18"/>
                <w:szCs w:val="18"/>
                <w:lang w:eastAsia="en-AU"/>
              </w:rPr>
            </w:pPr>
          </w:p>
        </w:tc>
        <w:tc>
          <w:tcPr>
            <w:tcW w:w="756" w:type="dxa"/>
            <w:vMerge/>
            <w:tcBorders>
              <w:top w:val="nil"/>
              <w:left w:val="nil"/>
              <w:right w:val="nil"/>
            </w:tcBorders>
            <w:vAlign w:val="center"/>
          </w:tcPr>
          <w:p w14:paraId="0936A2FA" w14:textId="77777777" w:rsidR="0040275F" w:rsidRPr="007E2FD2" w:rsidRDefault="0040275F" w:rsidP="00796708">
            <w:pPr>
              <w:rPr>
                <w:rFonts w:ascii="Arial" w:hAnsi="Arial" w:cs="Arial"/>
                <w:b/>
                <w:bCs/>
                <w:color w:val="FFFFFF"/>
                <w:sz w:val="18"/>
                <w:szCs w:val="18"/>
                <w:lang w:eastAsia="en-AU"/>
              </w:rPr>
            </w:pPr>
          </w:p>
        </w:tc>
        <w:tc>
          <w:tcPr>
            <w:tcW w:w="1176" w:type="dxa"/>
            <w:tcBorders>
              <w:top w:val="nil"/>
              <w:left w:val="nil"/>
              <w:right w:val="nil"/>
            </w:tcBorders>
            <w:shd w:val="clear" w:color="000000" w:fill="008EBA"/>
            <w:noWrap/>
            <w:vAlign w:val="center"/>
          </w:tcPr>
          <w:p w14:paraId="10171888" w14:textId="77777777" w:rsidR="0040275F" w:rsidRPr="007E2FD2" w:rsidRDefault="0040275F" w:rsidP="00796708">
            <w:pPr>
              <w:jc w:val="center"/>
              <w:rPr>
                <w:rFonts w:ascii="Arial" w:hAnsi="Arial" w:cs="Arial"/>
                <w:b/>
                <w:bCs/>
                <w:color w:val="FFFFFF"/>
                <w:sz w:val="18"/>
                <w:szCs w:val="18"/>
                <w:lang w:eastAsia="en-AU"/>
              </w:rPr>
            </w:pPr>
            <w:r w:rsidRPr="007E2FD2">
              <w:rPr>
                <w:rFonts w:ascii="Arial" w:hAnsi="Arial" w:cs="Arial"/>
                <w:b/>
                <w:bCs/>
                <w:color w:val="FFFFFF"/>
                <w:sz w:val="18"/>
                <w:szCs w:val="18"/>
                <w:lang w:eastAsia="en-AU"/>
              </w:rPr>
              <w:t>Actual</w:t>
            </w:r>
          </w:p>
        </w:tc>
        <w:tc>
          <w:tcPr>
            <w:tcW w:w="1176" w:type="dxa"/>
            <w:tcBorders>
              <w:top w:val="nil"/>
              <w:left w:val="nil"/>
              <w:right w:val="nil"/>
            </w:tcBorders>
            <w:shd w:val="clear" w:color="000000" w:fill="008EBA"/>
            <w:noWrap/>
            <w:vAlign w:val="center"/>
          </w:tcPr>
          <w:p w14:paraId="6114C65D" w14:textId="77777777" w:rsidR="0040275F" w:rsidRPr="007E2FD2" w:rsidRDefault="0040275F" w:rsidP="00796708">
            <w:pPr>
              <w:jc w:val="center"/>
              <w:rPr>
                <w:rFonts w:ascii="Arial" w:hAnsi="Arial" w:cs="Arial"/>
                <w:b/>
                <w:bCs/>
                <w:color w:val="FFFFFF"/>
                <w:sz w:val="18"/>
                <w:szCs w:val="18"/>
                <w:lang w:eastAsia="en-AU"/>
              </w:rPr>
            </w:pPr>
            <w:r w:rsidRPr="007E2FD2">
              <w:rPr>
                <w:rFonts w:ascii="Arial" w:hAnsi="Arial" w:cs="Arial"/>
                <w:b/>
                <w:bCs/>
                <w:color w:val="FFFFFF"/>
                <w:sz w:val="18"/>
                <w:szCs w:val="18"/>
                <w:lang w:eastAsia="en-AU"/>
              </w:rPr>
              <w:t>Forecast</w:t>
            </w:r>
          </w:p>
        </w:tc>
      </w:tr>
      <w:tr w:rsidR="00EE7CEF" w:rsidRPr="00EE7CEF" w14:paraId="4BDC3FAF" w14:textId="77777777" w:rsidTr="00EE7CEF">
        <w:trPr>
          <w:trHeight w:val="170"/>
        </w:trPr>
        <w:tc>
          <w:tcPr>
            <w:tcW w:w="6568" w:type="dxa"/>
            <w:shd w:val="clear" w:color="auto" w:fill="auto"/>
            <w:vAlign w:val="center"/>
          </w:tcPr>
          <w:p w14:paraId="2DAFAA79" w14:textId="77777777" w:rsidR="00EE7CEF" w:rsidRPr="00EE7CEF" w:rsidRDefault="00EE7CEF" w:rsidP="00796708">
            <w:pPr>
              <w:rPr>
                <w:rFonts w:ascii="Arial" w:hAnsi="Arial" w:cs="Arial"/>
                <w:color w:val="000000"/>
                <w:sz w:val="16"/>
                <w:szCs w:val="16"/>
                <w:lang w:eastAsia="en-AU"/>
              </w:rPr>
            </w:pPr>
          </w:p>
        </w:tc>
        <w:tc>
          <w:tcPr>
            <w:tcW w:w="756" w:type="dxa"/>
            <w:shd w:val="clear" w:color="auto" w:fill="auto"/>
            <w:noWrap/>
          </w:tcPr>
          <w:p w14:paraId="472BB195" w14:textId="77777777" w:rsidR="00EE7CEF" w:rsidRPr="00EE7CEF" w:rsidRDefault="00EE7CEF" w:rsidP="00796708">
            <w:pPr>
              <w:jc w:val="center"/>
              <w:rPr>
                <w:rFonts w:ascii="Arial" w:hAnsi="Arial" w:cs="Arial"/>
                <w:color w:val="000000"/>
                <w:sz w:val="16"/>
                <w:szCs w:val="16"/>
                <w:lang w:eastAsia="en-AU"/>
              </w:rPr>
            </w:pPr>
          </w:p>
        </w:tc>
        <w:tc>
          <w:tcPr>
            <w:tcW w:w="1176" w:type="dxa"/>
            <w:shd w:val="clear" w:color="auto" w:fill="auto"/>
            <w:noWrap/>
          </w:tcPr>
          <w:p w14:paraId="724881DC" w14:textId="77777777" w:rsidR="00EE7CEF" w:rsidRPr="00EE7CEF" w:rsidRDefault="00EE7CEF" w:rsidP="0092367C">
            <w:pPr>
              <w:jc w:val="right"/>
              <w:rPr>
                <w:rFonts w:ascii="Arial" w:hAnsi="Arial" w:cs="Arial"/>
                <w:color w:val="000000"/>
                <w:sz w:val="16"/>
                <w:szCs w:val="16"/>
                <w:lang w:eastAsia="en-AU"/>
              </w:rPr>
            </w:pPr>
          </w:p>
        </w:tc>
        <w:tc>
          <w:tcPr>
            <w:tcW w:w="1176" w:type="dxa"/>
            <w:shd w:val="clear" w:color="auto" w:fill="auto"/>
            <w:noWrap/>
          </w:tcPr>
          <w:p w14:paraId="62AAC1DE" w14:textId="77777777" w:rsidR="00EE7CEF" w:rsidRPr="00EE7CEF" w:rsidRDefault="00EE7CEF" w:rsidP="0092367C">
            <w:pPr>
              <w:jc w:val="right"/>
              <w:rPr>
                <w:rFonts w:ascii="Arial" w:hAnsi="Arial" w:cs="Arial"/>
                <w:color w:val="000000"/>
                <w:sz w:val="16"/>
                <w:szCs w:val="16"/>
                <w:lang w:eastAsia="en-AU"/>
              </w:rPr>
            </w:pPr>
          </w:p>
        </w:tc>
      </w:tr>
      <w:tr w:rsidR="0040275F" w:rsidRPr="007E2FD2" w14:paraId="4947FD49" w14:textId="77777777" w:rsidTr="00EE7CEF">
        <w:trPr>
          <w:trHeight w:val="227"/>
        </w:trPr>
        <w:tc>
          <w:tcPr>
            <w:tcW w:w="6568" w:type="dxa"/>
            <w:shd w:val="clear" w:color="auto" w:fill="auto"/>
            <w:vAlign w:val="center"/>
          </w:tcPr>
          <w:p w14:paraId="371C47D5" w14:textId="77777777" w:rsidR="0040275F" w:rsidRPr="007E2FD2" w:rsidRDefault="0040275F" w:rsidP="00EE7CEF">
            <w:pPr>
              <w:ind w:left="184"/>
              <w:rPr>
                <w:rFonts w:ascii="Arial" w:hAnsi="Arial" w:cs="Arial"/>
                <w:color w:val="000000"/>
                <w:sz w:val="16"/>
                <w:szCs w:val="16"/>
                <w:lang w:eastAsia="en-AU"/>
              </w:rPr>
            </w:pPr>
            <w:r w:rsidRPr="007E2FD2">
              <w:rPr>
                <w:rFonts w:ascii="Arial" w:hAnsi="Arial" w:cs="Arial"/>
                <w:color w:val="000000"/>
                <w:sz w:val="16"/>
                <w:szCs w:val="16"/>
                <w:lang w:eastAsia="en-AU"/>
              </w:rPr>
              <w:t>Maintain top 1% of International Research Ranking in agricultural Science, Plant and Animal Sciences</w:t>
            </w:r>
          </w:p>
        </w:tc>
        <w:tc>
          <w:tcPr>
            <w:tcW w:w="756" w:type="dxa"/>
            <w:shd w:val="clear" w:color="auto" w:fill="auto"/>
            <w:noWrap/>
            <w:vAlign w:val="bottom"/>
          </w:tcPr>
          <w:p w14:paraId="52FC8A86" w14:textId="77777777" w:rsidR="0040275F" w:rsidRPr="007E2FD2" w:rsidRDefault="0040275F" w:rsidP="00EE7CEF">
            <w:pPr>
              <w:jc w:val="center"/>
              <w:rPr>
                <w:rFonts w:ascii="Arial" w:hAnsi="Arial" w:cs="Arial"/>
                <w:color w:val="000000"/>
                <w:sz w:val="16"/>
                <w:szCs w:val="16"/>
                <w:lang w:eastAsia="en-AU"/>
              </w:rPr>
            </w:pPr>
            <w:r w:rsidRPr="007E2FD2">
              <w:rPr>
                <w:rFonts w:ascii="Arial" w:hAnsi="Arial" w:cs="Arial"/>
                <w:color w:val="000000"/>
                <w:sz w:val="16"/>
                <w:szCs w:val="16"/>
                <w:lang w:eastAsia="en-AU"/>
              </w:rPr>
              <w:t>%</w:t>
            </w:r>
          </w:p>
        </w:tc>
        <w:tc>
          <w:tcPr>
            <w:tcW w:w="1176" w:type="dxa"/>
            <w:shd w:val="clear" w:color="auto" w:fill="auto"/>
            <w:noWrap/>
            <w:vAlign w:val="bottom"/>
          </w:tcPr>
          <w:p w14:paraId="3D5B0FD8" w14:textId="77777777" w:rsidR="0040275F" w:rsidRPr="007E2FD2" w:rsidRDefault="0040275F" w:rsidP="00EE7CEF">
            <w:pPr>
              <w:jc w:val="right"/>
              <w:rPr>
                <w:rFonts w:ascii="Arial" w:hAnsi="Arial" w:cs="Arial"/>
                <w:color w:val="000000"/>
                <w:sz w:val="16"/>
                <w:szCs w:val="16"/>
                <w:lang w:eastAsia="en-AU"/>
              </w:rPr>
            </w:pPr>
            <w:r w:rsidRPr="007E2FD2">
              <w:rPr>
                <w:rFonts w:ascii="Arial" w:hAnsi="Arial" w:cs="Arial"/>
                <w:color w:val="000000"/>
                <w:sz w:val="16"/>
                <w:szCs w:val="16"/>
                <w:lang w:eastAsia="en-AU"/>
              </w:rPr>
              <w:t xml:space="preserve">1.0 </w:t>
            </w:r>
          </w:p>
        </w:tc>
        <w:tc>
          <w:tcPr>
            <w:tcW w:w="1176" w:type="dxa"/>
            <w:shd w:val="clear" w:color="auto" w:fill="auto"/>
            <w:noWrap/>
            <w:vAlign w:val="bottom"/>
          </w:tcPr>
          <w:p w14:paraId="697BB126" w14:textId="77777777" w:rsidR="0040275F" w:rsidRPr="007E2FD2" w:rsidRDefault="0040275F" w:rsidP="00EE7CEF">
            <w:pPr>
              <w:jc w:val="right"/>
              <w:rPr>
                <w:rFonts w:ascii="Arial" w:hAnsi="Arial" w:cs="Arial"/>
                <w:color w:val="000000"/>
                <w:sz w:val="16"/>
                <w:szCs w:val="16"/>
                <w:lang w:eastAsia="en-AU"/>
              </w:rPr>
            </w:pPr>
            <w:r w:rsidRPr="007E2FD2">
              <w:rPr>
                <w:rFonts w:ascii="Arial" w:hAnsi="Arial" w:cs="Arial"/>
                <w:color w:val="000000"/>
                <w:sz w:val="16"/>
                <w:szCs w:val="16"/>
                <w:lang w:eastAsia="en-AU"/>
              </w:rPr>
              <w:t xml:space="preserve">1.0 </w:t>
            </w:r>
          </w:p>
        </w:tc>
      </w:tr>
      <w:tr w:rsidR="0040275F" w:rsidRPr="007E2FD2" w14:paraId="68775EF4" w14:textId="77777777" w:rsidTr="00EE7CEF">
        <w:trPr>
          <w:trHeight w:val="227"/>
        </w:trPr>
        <w:tc>
          <w:tcPr>
            <w:tcW w:w="6568" w:type="dxa"/>
            <w:shd w:val="clear" w:color="auto" w:fill="auto"/>
            <w:vAlign w:val="center"/>
          </w:tcPr>
          <w:p w14:paraId="69CCA45F" w14:textId="77777777" w:rsidR="0040275F" w:rsidRPr="007E2FD2" w:rsidRDefault="0040275F" w:rsidP="00EE7CEF">
            <w:pPr>
              <w:ind w:left="184"/>
              <w:rPr>
                <w:rFonts w:ascii="Arial" w:hAnsi="Arial" w:cs="Arial"/>
                <w:color w:val="000000"/>
                <w:sz w:val="16"/>
                <w:szCs w:val="16"/>
                <w:lang w:eastAsia="en-AU"/>
              </w:rPr>
            </w:pPr>
            <w:r w:rsidRPr="00C33E34">
              <w:rPr>
                <w:rFonts w:ascii="Arial" w:hAnsi="Arial" w:cs="Arial"/>
                <w:color w:val="000000"/>
                <w:sz w:val="16"/>
                <w:szCs w:val="16"/>
                <w:lang w:eastAsia="en-AU"/>
              </w:rPr>
              <w:t>Reduction in high priority foodborne illnesses - Salmonella.</w:t>
            </w:r>
          </w:p>
        </w:tc>
        <w:tc>
          <w:tcPr>
            <w:tcW w:w="756" w:type="dxa"/>
            <w:shd w:val="clear" w:color="auto" w:fill="auto"/>
            <w:noWrap/>
          </w:tcPr>
          <w:p w14:paraId="6ACABBF5" w14:textId="77777777" w:rsidR="0040275F" w:rsidRPr="007E2FD2" w:rsidRDefault="0040275F" w:rsidP="00796708">
            <w:pPr>
              <w:jc w:val="center"/>
              <w:rPr>
                <w:rFonts w:ascii="Arial" w:hAnsi="Arial" w:cs="Arial"/>
                <w:color w:val="000000"/>
                <w:sz w:val="16"/>
                <w:szCs w:val="16"/>
                <w:lang w:eastAsia="en-AU"/>
              </w:rPr>
            </w:pPr>
            <w:r>
              <w:rPr>
                <w:rFonts w:ascii="Arial" w:hAnsi="Arial" w:cs="Arial"/>
                <w:color w:val="000000"/>
                <w:sz w:val="16"/>
                <w:szCs w:val="16"/>
                <w:lang w:eastAsia="en-AU"/>
              </w:rPr>
              <w:t xml:space="preserve">No.per 100K.pn </w:t>
            </w:r>
          </w:p>
        </w:tc>
        <w:tc>
          <w:tcPr>
            <w:tcW w:w="1176" w:type="dxa"/>
            <w:shd w:val="clear" w:color="auto" w:fill="auto"/>
            <w:noWrap/>
          </w:tcPr>
          <w:p w14:paraId="7E9991F9" w14:textId="77777777" w:rsidR="0040275F" w:rsidRPr="007E2FD2"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38.4</w:t>
            </w:r>
          </w:p>
        </w:tc>
        <w:tc>
          <w:tcPr>
            <w:tcW w:w="1176" w:type="dxa"/>
            <w:shd w:val="clear" w:color="auto" w:fill="auto"/>
            <w:noWrap/>
          </w:tcPr>
          <w:p w14:paraId="6481F3EB" w14:textId="77777777" w:rsidR="0040275F" w:rsidRPr="007E2FD2"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30.42</w:t>
            </w:r>
          </w:p>
        </w:tc>
      </w:tr>
      <w:tr w:rsidR="0040275F" w:rsidRPr="007E2FD2" w14:paraId="5747CC94" w14:textId="77777777" w:rsidTr="00EE7CEF">
        <w:trPr>
          <w:trHeight w:val="227"/>
        </w:trPr>
        <w:tc>
          <w:tcPr>
            <w:tcW w:w="6568" w:type="dxa"/>
            <w:shd w:val="clear" w:color="auto" w:fill="auto"/>
            <w:vAlign w:val="center"/>
          </w:tcPr>
          <w:p w14:paraId="468295A6" w14:textId="77777777" w:rsidR="0040275F" w:rsidRPr="00C33E34" w:rsidRDefault="0040275F" w:rsidP="00EE7CEF">
            <w:pPr>
              <w:ind w:left="184"/>
              <w:rPr>
                <w:rFonts w:ascii="Arial" w:hAnsi="Arial" w:cs="Arial"/>
                <w:color w:val="000000"/>
                <w:sz w:val="16"/>
                <w:szCs w:val="16"/>
                <w:lang w:eastAsia="en-AU"/>
              </w:rPr>
            </w:pPr>
            <w:r w:rsidRPr="00FE3856">
              <w:rPr>
                <w:rFonts w:ascii="Arial" w:hAnsi="Arial" w:cs="Arial"/>
                <w:color w:val="000000"/>
                <w:sz w:val="16"/>
                <w:szCs w:val="16"/>
                <w:lang w:eastAsia="en-AU"/>
              </w:rPr>
              <w:t>Increased GVP of primary industries in NSW</w:t>
            </w:r>
          </w:p>
        </w:tc>
        <w:tc>
          <w:tcPr>
            <w:tcW w:w="756" w:type="dxa"/>
            <w:shd w:val="clear" w:color="auto" w:fill="auto"/>
            <w:noWrap/>
          </w:tcPr>
          <w:p w14:paraId="1AB3E76F" w14:textId="77777777" w:rsidR="0040275F" w:rsidRPr="007E2FD2" w:rsidRDefault="0040275F" w:rsidP="00796708">
            <w:pPr>
              <w:jc w:val="center"/>
              <w:rPr>
                <w:rFonts w:ascii="Arial" w:hAnsi="Arial" w:cs="Arial"/>
                <w:color w:val="000000"/>
                <w:sz w:val="16"/>
                <w:szCs w:val="16"/>
                <w:lang w:eastAsia="en-AU"/>
              </w:rPr>
            </w:pPr>
            <w:r>
              <w:rPr>
                <w:rFonts w:ascii="Arial" w:hAnsi="Arial" w:cs="Arial"/>
                <w:color w:val="000000"/>
                <w:sz w:val="16"/>
                <w:szCs w:val="16"/>
                <w:lang w:eastAsia="en-AU"/>
              </w:rPr>
              <w:t>$bn</w:t>
            </w:r>
          </w:p>
        </w:tc>
        <w:tc>
          <w:tcPr>
            <w:tcW w:w="1176" w:type="dxa"/>
            <w:shd w:val="clear" w:color="auto" w:fill="auto"/>
            <w:noWrap/>
          </w:tcPr>
          <w:p w14:paraId="02C256E8" w14:textId="77777777" w:rsidR="0040275F" w:rsidRPr="007E2FD2"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N/A</w:t>
            </w:r>
            <w:r w:rsidRPr="00224440">
              <w:rPr>
                <w:rFonts w:ascii="Arial" w:hAnsi="Arial" w:cs="Arial"/>
                <w:color w:val="000000"/>
                <w:sz w:val="16"/>
                <w:szCs w:val="16"/>
                <w:vertAlign w:val="superscript"/>
                <w:lang w:eastAsia="en-AU"/>
              </w:rPr>
              <w:t>(a)</w:t>
            </w:r>
          </w:p>
        </w:tc>
        <w:tc>
          <w:tcPr>
            <w:tcW w:w="1176" w:type="dxa"/>
            <w:shd w:val="clear" w:color="auto" w:fill="auto"/>
            <w:noWrap/>
          </w:tcPr>
          <w:p w14:paraId="748CC3FE" w14:textId="77777777" w:rsidR="0040275F" w:rsidRPr="007E2FD2"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14.26</w:t>
            </w:r>
          </w:p>
        </w:tc>
      </w:tr>
      <w:tr w:rsidR="0040275F" w:rsidRPr="007E2FD2" w14:paraId="167EF6F9" w14:textId="77777777" w:rsidTr="00EE7CEF">
        <w:trPr>
          <w:trHeight w:val="227"/>
        </w:trPr>
        <w:tc>
          <w:tcPr>
            <w:tcW w:w="6568" w:type="dxa"/>
            <w:shd w:val="clear" w:color="auto" w:fill="auto"/>
            <w:vAlign w:val="center"/>
          </w:tcPr>
          <w:p w14:paraId="78802A7F" w14:textId="77777777" w:rsidR="0040275F" w:rsidRPr="007E2FD2" w:rsidRDefault="0040275F" w:rsidP="00EE7CEF">
            <w:pPr>
              <w:ind w:left="184"/>
              <w:rPr>
                <w:rFonts w:ascii="Arial" w:hAnsi="Arial" w:cs="Arial"/>
                <w:color w:val="000000"/>
                <w:sz w:val="16"/>
                <w:szCs w:val="16"/>
                <w:lang w:eastAsia="en-AU"/>
              </w:rPr>
            </w:pPr>
            <w:r w:rsidRPr="00FC6618">
              <w:rPr>
                <w:rFonts w:ascii="Arial" w:hAnsi="Arial" w:cs="Arial"/>
                <w:color w:val="000000"/>
                <w:sz w:val="16"/>
                <w:szCs w:val="16"/>
                <w:lang w:eastAsia="en-AU"/>
              </w:rPr>
              <w:t>Maintain Primary Industries stakeholder satisfaction above 70%.</w:t>
            </w:r>
          </w:p>
        </w:tc>
        <w:tc>
          <w:tcPr>
            <w:tcW w:w="756" w:type="dxa"/>
            <w:shd w:val="clear" w:color="auto" w:fill="auto"/>
            <w:noWrap/>
          </w:tcPr>
          <w:p w14:paraId="67EB3715" w14:textId="77777777" w:rsidR="0040275F" w:rsidRPr="007E2FD2" w:rsidRDefault="0040275F" w:rsidP="00796708">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shd w:val="clear" w:color="auto" w:fill="auto"/>
            <w:noWrap/>
          </w:tcPr>
          <w:p w14:paraId="45ACFEAA" w14:textId="77777777" w:rsidR="0040275F" w:rsidRPr="007E2FD2"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75</w:t>
            </w:r>
            <w:r w:rsidRPr="008A7C3F">
              <w:rPr>
                <w:rFonts w:ascii="Arial" w:hAnsi="Arial" w:cs="Arial"/>
                <w:color w:val="000000"/>
                <w:sz w:val="16"/>
                <w:szCs w:val="16"/>
                <w:vertAlign w:val="superscript"/>
                <w:lang w:eastAsia="en-AU"/>
              </w:rPr>
              <w:t>(b)</w:t>
            </w:r>
          </w:p>
        </w:tc>
        <w:tc>
          <w:tcPr>
            <w:tcW w:w="1176" w:type="dxa"/>
            <w:shd w:val="clear" w:color="auto" w:fill="auto"/>
            <w:noWrap/>
          </w:tcPr>
          <w:p w14:paraId="18B29807" w14:textId="77777777" w:rsidR="0040275F" w:rsidRPr="007E2FD2"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70</w:t>
            </w:r>
          </w:p>
        </w:tc>
      </w:tr>
      <w:tr w:rsidR="0040275F" w:rsidRPr="007E2FD2" w14:paraId="51D99504" w14:textId="77777777" w:rsidTr="00EE7CEF">
        <w:trPr>
          <w:trHeight w:val="227"/>
        </w:trPr>
        <w:tc>
          <w:tcPr>
            <w:tcW w:w="6568" w:type="dxa"/>
            <w:shd w:val="clear" w:color="auto" w:fill="auto"/>
            <w:vAlign w:val="center"/>
          </w:tcPr>
          <w:p w14:paraId="1FD56B4D" w14:textId="77777777" w:rsidR="0040275F" w:rsidRPr="00FC6618" w:rsidRDefault="0040275F" w:rsidP="00EE7CEF">
            <w:pPr>
              <w:ind w:left="184"/>
              <w:rPr>
                <w:rFonts w:ascii="Arial" w:hAnsi="Arial" w:cs="Arial"/>
                <w:color w:val="000000"/>
                <w:sz w:val="16"/>
                <w:szCs w:val="16"/>
                <w:lang w:eastAsia="en-AU"/>
              </w:rPr>
            </w:pPr>
            <w:r w:rsidRPr="007E2FD2">
              <w:rPr>
                <w:rFonts w:ascii="Arial" w:hAnsi="Arial" w:cs="Arial"/>
                <w:color w:val="000000"/>
                <w:sz w:val="16"/>
                <w:szCs w:val="16"/>
                <w:lang w:eastAsia="en-AU"/>
              </w:rPr>
              <w:t>All reported biosecurity incidents are responded to within set timeframes</w:t>
            </w:r>
          </w:p>
        </w:tc>
        <w:tc>
          <w:tcPr>
            <w:tcW w:w="756" w:type="dxa"/>
            <w:shd w:val="clear" w:color="auto" w:fill="auto"/>
            <w:noWrap/>
          </w:tcPr>
          <w:p w14:paraId="59822F54" w14:textId="77777777" w:rsidR="0040275F" w:rsidRDefault="0040275F" w:rsidP="00796708">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shd w:val="clear" w:color="auto" w:fill="auto"/>
            <w:noWrap/>
          </w:tcPr>
          <w:p w14:paraId="725E98DB"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98.0</w:t>
            </w:r>
          </w:p>
        </w:tc>
        <w:tc>
          <w:tcPr>
            <w:tcW w:w="1176" w:type="dxa"/>
            <w:shd w:val="clear" w:color="auto" w:fill="auto"/>
            <w:noWrap/>
          </w:tcPr>
          <w:p w14:paraId="321B069D"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96.0</w:t>
            </w:r>
          </w:p>
        </w:tc>
      </w:tr>
      <w:tr w:rsidR="0040275F" w:rsidRPr="007E2FD2" w14:paraId="15B328B6" w14:textId="77777777" w:rsidTr="00EE7CEF">
        <w:trPr>
          <w:trHeight w:val="227"/>
        </w:trPr>
        <w:tc>
          <w:tcPr>
            <w:tcW w:w="6568" w:type="dxa"/>
            <w:shd w:val="clear" w:color="auto" w:fill="auto"/>
            <w:vAlign w:val="center"/>
          </w:tcPr>
          <w:p w14:paraId="2336AE72" w14:textId="77777777" w:rsidR="0040275F" w:rsidRPr="007E2FD2" w:rsidRDefault="0040275F" w:rsidP="00EE7CEF">
            <w:pPr>
              <w:ind w:left="184"/>
              <w:rPr>
                <w:rFonts w:ascii="Arial" w:hAnsi="Arial" w:cs="Arial"/>
                <w:color w:val="000000"/>
                <w:sz w:val="16"/>
                <w:szCs w:val="16"/>
                <w:lang w:eastAsia="en-AU"/>
              </w:rPr>
            </w:pPr>
            <w:r w:rsidRPr="007E2FD2">
              <w:rPr>
                <w:rFonts w:ascii="Arial" w:hAnsi="Arial" w:cs="Arial"/>
                <w:color w:val="000000"/>
                <w:sz w:val="16"/>
                <w:szCs w:val="16"/>
                <w:lang w:eastAsia="en-AU"/>
              </w:rPr>
              <w:t>Effective response to all biosecurity incursions</w:t>
            </w:r>
          </w:p>
        </w:tc>
        <w:tc>
          <w:tcPr>
            <w:tcW w:w="756" w:type="dxa"/>
            <w:shd w:val="clear" w:color="auto" w:fill="auto"/>
            <w:noWrap/>
          </w:tcPr>
          <w:p w14:paraId="03CF05CA" w14:textId="77777777" w:rsidR="0040275F" w:rsidRDefault="0040275F" w:rsidP="00796708">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shd w:val="clear" w:color="auto" w:fill="auto"/>
            <w:noWrap/>
          </w:tcPr>
          <w:p w14:paraId="381DB69A"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N/A</w:t>
            </w:r>
            <w:r w:rsidRPr="008A7C3F">
              <w:rPr>
                <w:rFonts w:ascii="Arial" w:hAnsi="Arial" w:cs="Arial"/>
                <w:color w:val="000000"/>
                <w:sz w:val="16"/>
                <w:szCs w:val="16"/>
                <w:vertAlign w:val="superscript"/>
                <w:lang w:eastAsia="en-AU"/>
              </w:rPr>
              <w:t>(c)</w:t>
            </w:r>
          </w:p>
        </w:tc>
        <w:tc>
          <w:tcPr>
            <w:tcW w:w="1176" w:type="dxa"/>
            <w:shd w:val="clear" w:color="auto" w:fill="auto"/>
            <w:noWrap/>
          </w:tcPr>
          <w:p w14:paraId="66F30FD4"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100.0</w:t>
            </w:r>
          </w:p>
        </w:tc>
      </w:tr>
      <w:tr w:rsidR="0040275F" w:rsidRPr="007E2FD2" w14:paraId="3751A5D1" w14:textId="77777777" w:rsidTr="00EE7CEF">
        <w:trPr>
          <w:trHeight w:val="227"/>
        </w:trPr>
        <w:tc>
          <w:tcPr>
            <w:tcW w:w="6568" w:type="dxa"/>
            <w:shd w:val="clear" w:color="auto" w:fill="auto"/>
            <w:vAlign w:val="center"/>
          </w:tcPr>
          <w:p w14:paraId="152D88CA" w14:textId="77777777" w:rsidR="0040275F" w:rsidRPr="007E2FD2" w:rsidRDefault="0040275F" w:rsidP="00EE7CEF">
            <w:pPr>
              <w:ind w:left="184"/>
              <w:rPr>
                <w:rFonts w:ascii="Arial" w:hAnsi="Arial" w:cs="Arial"/>
                <w:color w:val="000000"/>
                <w:sz w:val="16"/>
                <w:szCs w:val="16"/>
                <w:lang w:eastAsia="en-AU"/>
              </w:rPr>
            </w:pPr>
            <w:r w:rsidRPr="007E2FD2">
              <w:rPr>
                <w:rFonts w:ascii="Arial" w:hAnsi="Arial" w:cs="Arial"/>
                <w:color w:val="000000"/>
                <w:sz w:val="16"/>
                <w:szCs w:val="16"/>
                <w:lang w:eastAsia="en-AU"/>
              </w:rPr>
              <w:t>Timely primary industries responses to natural disasters and emergencies within 24 hours</w:t>
            </w:r>
          </w:p>
        </w:tc>
        <w:tc>
          <w:tcPr>
            <w:tcW w:w="756" w:type="dxa"/>
            <w:shd w:val="clear" w:color="auto" w:fill="auto"/>
            <w:noWrap/>
          </w:tcPr>
          <w:p w14:paraId="0EE5697B" w14:textId="77777777" w:rsidR="0040275F" w:rsidRDefault="0040275F" w:rsidP="00796708">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shd w:val="clear" w:color="auto" w:fill="auto"/>
            <w:noWrap/>
          </w:tcPr>
          <w:p w14:paraId="120C3AB9"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100</w:t>
            </w:r>
          </w:p>
          <w:p w14:paraId="7A359708" w14:textId="77777777" w:rsidR="0040275F" w:rsidRDefault="0040275F" w:rsidP="0092367C">
            <w:pPr>
              <w:jc w:val="right"/>
              <w:rPr>
                <w:rFonts w:ascii="Arial" w:hAnsi="Arial" w:cs="Arial"/>
                <w:color w:val="000000"/>
                <w:sz w:val="16"/>
                <w:szCs w:val="16"/>
                <w:lang w:eastAsia="en-AU"/>
              </w:rPr>
            </w:pPr>
          </w:p>
        </w:tc>
        <w:tc>
          <w:tcPr>
            <w:tcW w:w="1176" w:type="dxa"/>
            <w:shd w:val="clear" w:color="auto" w:fill="auto"/>
            <w:noWrap/>
          </w:tcPr>
          <w:p w14:paraId="74F00736"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100.0</w:t>
            </w:r>
          </w:p>
        </w:tc>
      </w:tr>
      <w:tr w:rsidR="0040275F" w:rsidRPr="007E2FD2" w14:paraId="5AD9350B" w14:textId="77777777" w:rsidTr="00EE7CEF">
        <w:trPr>
          <w:trHeight w:val="227"/>
        </w:trPr>
        <w:tc>
          <w:tcPr>
            <w:tcW w:w="6568" w:type="dxa"/>
            <w:shd w:val="clear" w:color="auto" w:fill="auto"/>
            <w:vAlign w:val="center"/>
          </w:tcPr>
          <w:p w14:paraId="52531EDD" w14:textId="77777777" w:rsidR="0040275F" w:rsidRPr="007E2FD2" w:rsidRDefault="0040275F" w:rsidP="00EE7CEF">
            <w:pPr>
              <w:ind w:left="184"/>
              <w:rPr>
                <w:rFonts w:ascii="Arial" w:hAnsi="Arial" w:cs="Arial"/>
                <w:color w:val="000000"/>
                <w:sz w:val="16"/>
                <w:szCs w:val="16"/>
                <w:lang w:eastAsia="en-AU"/>
              </w:rPr>
            </w:pPr>
            <w:r w:rsidRPr="007E2FD2">
              <w:rPr>
                <w:rFonts w:ascii="Arial" w:hAnsi="Arial" w:cs="Arial"/>
                <w:color w:val="000000"/>
                <w:sz w:val="16"/>
                <w:szCs w:val="16"/>
                <w:lang w:eastAsia="en-AU"/>
              </w:rPr>
              <w:t>Stakeholder experiences with the Rural Assistance Authority</w:t>
            </w:r>
          </w:p>
        </w:tc>
        <w:tc>
          <w:tcPr>
            <w:tcW w:w="756" w:type="dxa"/>
            <w:shd w:val="clear" w:color="auto" w:fill="auto"/>
            <w:noWrap/>
          </w:tcPr>
          <w:p w14:paraId="59D3D941" w14:textId="77777777" w:rsidR="0040275F" w:rsidRDefault="0040275F" w:rsidP="00796708">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shd w:val="clear" w:color="auto" w:fill="auto"/>
            <w:noWrap/>
          </w:tcPr>
          <w:p w14:paraId="2F426BB4"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85.9</w:t>
            </w:r>
          </w:p>
        </w:tc>
        <w:tc>
          <w:tcPr>
            <w:tcW w:w="1176" w:type="dxa"/>
            <w:shd w:val="clear" w:color="auto" w:fill="auto"/>
            <w:noWrap/>
          </w:tcPr>
          <w:p w14:paraId="222AB11C" w14:textId="77777777" w:rsidR="0040275F" w:rsidRDefault="0040275F" w:rsidP="0092367C">
            <w:pPr>
              <w:jc w:val="right"/>
              <w:rPr>
                <w:rFonts w:ascii="Arial" w:hAnsi="Arial" w:cs="Arial"/>
                <w:color w:val="000000"/>
                <w:sz w:val="16"/>
                <w:szCs w:val="16"/>
                <w:lang w:eastAsia="en-AU"/>
              </w:rPr>
            </w:pPr>
            <w:r>
              <w:rPr>
                <w:rFonts w:ascii="Arial" w:hAnsi="Arial" w:cs="Arial"/>
                <w:color w:val="000000"/>
                <w:sz w:val="16"/>
                <w:szCs w:val="16"/>
                <w:lang w:eastAsia="en-AU"/>
              </w:rPr>
              <w:t>95.0</w:t>
            </w:r>
          </w:p>
        </w:tc>
      </w:tr>
      <w:tr w:rsidR="0040275F" w:rsidRPr="007E2FD2" w14:paraId="193E1DB1" w14:textId="77777777" w:rsidTr="00796708">
        <w:trPr>
          <w:trHeight w:val="204"/>
        </w:trPr>
        <w:tc>
          <w:tcPr>
            <w:tcW w:w="6568" w:type="dxa"/>
            <w:tcBorders>
              <w:left w:val="nil"/>
              <w:bottom w:val="nil"/>
              <w:right w:val="nil"/>
            </w:tcBorders>
            <w:shd w:val="clear" w:color="auto" w:fill="auto"/>
            <w:vAlign w:val="center"/>
          </w:tcPr>
          <w:p w14:paraId="59D4D7D6" w14:textId="77777777" w:rsidR="0040275F" w:rsidRPr="007E2FD2" w:rsidRDefault="0040275F" w:rsidP="00796708">
            <w:pPr>
              <w:rPr>
                <w:rFonts w:ascii="Arial" w:hAnsi="Arial" w:cs="Arial"/>
                <w:color w:val="000000"/>
                <w:sz w:val="16"/>
                <w:szCs w:val="16"/>
                <w:lang w:eastAsia="en-AU"/>
              </w:rPr>
            </w:pPr>
          </w:p>
        </w:tc>
        <w:tc>
          <w:tcPr>
            <w:tcW w:w="756" w:type="dxa"/>
            <w:tcBorders>
              <w:left w:val="nil"/>
              <w:bottom w:val="nil"/>
              <w:right w:val="nil"/>
            </w:tcBorders>
            <w:shd w:val="clear" w:color="auto" w:fill="auto"/>
            <w:noWrap/>
          </w:tcPr>
          <w:p w14:paraId="55691BB6" w14:textId="77777777" w:rsidR="0040275F" w:rsidRDefault="0040275F" w:rsidP="00796708">
            <w:pPr>
              <w:jc w:val="center"/>
              <w:rPr>
                <w:rFonts w:ascii="Arial" w:hAnsi="Arial" w:cs="Arial"/>
                <w:color w:val="000000"/>
                <w:sz w:val="16"/>
                <w:szCs w:val="16"/>
                <w:lang w:eastAsia="en-AU"/>
              </w:rPr>
            </w:pPr>
          </w:p>
        </w:tc>
        <w:tc>
          <w:tcPr>
            <w:tcW w:w="1176" w:type="dxa"/>
            <w:tcBorders>
              <w:left w:val="nil"/>
              <w:bottom w:val="nil"/>
              <w:right w:val="nil"/>
            </w:tcBorders>
            <w:shd w:val="clear" w:color="auto" w:fill="auto"/>
            <w:noWrap/>
          </w:tcPr>
          <w:p w14:paraId="3C58EF55" w14:textId="77777777" w:rsidR="0040275F" w:rsidRDefault="0040275F" w:rsidP="00796708">
            <w:pPr>
              <w:jc w:val="right"/>
              <w:rPr>
                <w:rFonts w:ascii="Arial" w:hAnsi="Arial" w:cs="Arial"/>
                <w:color w:val="000000"/>
                <w:sz w:val="16"/>
                <w:szCs w:val="16"/>
                <w:lang w:eastAsia="en-AU"/>
              </w:rPr>
            </w:pPr>
          </w:p>
        </w:tc>
        <w:tc>
          <w:tcPr>
            <w:tcW w:w="1176" w:type="dxa"/>
            <w:tcBorders>
              <w:left w:val="nil"/>
              <w:bottom w:val="nil"/>
              <w:right w:val="nil"/>
            </w:tcBorders>
            <w:shd w:val="clear" w:color="auto" w:fill="auto"/>
            <w:noWrap/>
          </w:tcPr>
          <w:p w14:paraId="3AE25E08" w14:textId="77777777" w:rsidR="0040275F" w:rsidRDefault="0040275F" w:rsidP="00796708">
            <w:pPr>
              <w:jc w:val="right"/>
              <w:rPr>
                <w:rFonts w:ascii="Arial" w:hAnsi="Arial" w:cs="Arial"/>
                <w:color w:val="000000"/>
                <w:sz w:val="16"/>
                <w:szCs w:val="16"/>
                <w:lang w:eastAsia="en-AU"/>
              </w:rPr>
            </w:pPr>
          </w:p>
        </w:tc>
      </w:tr>
    </w:tbl>
    <w:p w14:paraId="7F05DF65" w14:textId="77777777" w:rsidR="0040275F" w:rsidRPr="00EC6927" w:rsidRDefault="0040275F" w:rsidP="0040275F">
      <w:pPr>
        <w:rPr>
          <w:rFonts w:ascii="Arial" w:eastAsia="Calibri" w:hAnsi="Arial" w:cs="Arial"/>
          <w:sz w:val="17"/>
          <w:szCs w:val="17"/>
        </w:rPr>
      </w:pPr>
      <w:r w:rsidRPr="00EC6927">
        <w:rPr>
          <w:rFonts w:ascii="Arial" w:eastAsia="Calibri" w:hAnsi="Arial" w:cs="Arial"/>
          <w:sz w:val="17"/>
          <w:szCs w:val="17"/>
        </w:rPr>
        <w:t>Note</w:t>
      </w:r>
    </w:p>
    <w:p w14:paraId="1F582C91" w14:textId="77777777" w:rsidR="0040275F" w:rsidRPr="00E44D49" w:rsidRDefault="0040275F" w:rsidP="0040275F">
      <w:pPr>
        <w:pStyle w:val="ListParagraph"/>
        <w:numPr>
          <w:ilvl w:val="0"/>
          <w:numId w:val="25"/>
        </w:numPr>
        <w:ind w:left="357" w:hanging="357"/>
        <w:rPr>
          <w:rFonts w:cs="Arial"/>
          <w:color w:val="000000"/>
          <w:sz w:val="17"/>
          <w:szCs w:val="17"/>
          <w:lang w:eastAsia="en-AU"/>
        </w:rPr>
      </w:pPr>
      <w:r w:rsidRPr="00896213">
        <w:rPr>
          <w:rFonts w:cs="Arial"/>
          <w:color w:val="000000"/>
          <w:sz w:val="17"/>
          <w:szCs w:val="17"/>
          <w:lang w:eastAsia="en-AU"/>
        </w:rPr>
        <w:t>Data for 2021-22 currently unavailable.</w:t>
      </w:r>
    </w:p>
    <w:p w14:paraId="14B2685B" w14:textId="77777777" w:rsidR="0040275F" w:rsidRDefault="0040275F" w:rsidP="0040275F">
      <w:pPr>
        <w:pStyle w:val="ListParagraph"/>
        <w:numPr>
          <w:ilvl w:val="0"/>
          <w:numId w:val="25"/>
        </w:numPr>
        <w:spacing w:after="0"/>
        <w:ind w:left="357" w:hanging="357"/>
        <w:rPr>
          <w:rFonts w:cs="Arial"/>
          <w:color w:val="000000"/>
          <w:sz w:val="17"/>
          <w:szCs w:val="17"/>
          <w:lang w:eastAsia="en-AU"/>
        </w:rPr>
      </w:pPr>
      <w:r w:rsidRPr="00896213">
        <w:rPr>
          <w:rFonts w:cs="Arial"/>
          <w:color w:val="000000"/>
          <w:sz w:val="17"/>
          <w:szCs w:val="17"/>
          <w:lang w:eastAsia="en-AU"/>
        </w:rPr>
        <w:t>Note estimate is based on a forecast total annual average.</w:t>
      </w:r>
    </w:p>
    <w:p w14:paraId="1B5A2EF2" w14:textId="27AF7ED0" w:rsidR="0040275F" w:rsidRPr="00E44D49" w:rsidRDefault="0040275F" w:rsidP="0040275F">
      <w:pPr>
        <w:ind w:left="357" w:hanging="357"/>
        <w:rPr>
          <w:rFonts w:ascii="Arial" w:eastAsia="Calibri" w:hAnsi="Arial" w:cs="Arial"/>
          <w:color w:val="000000"/>
          <w:sz w:val="17"/>
          <w:szCs w:val="17"/>
          <w:lang w:eastAsia="en-AU"/>
        </w:rPr>
      </w:pPr>
      <w:r>
        <w:rPr>
          <w:rFonts w:ascii="Arial" w:eastAsia="Calibri" w:hAnsi="Arial" w:cs="Arial"/>
          <w:color w:val="000000"/>
          <w:sz w:val="17"/>
          <w:szCs w:val="17"/>
          <w:lang w:eastAsia="en-AU"/>
        </w:rPr>
        <w:t>(</w:t>
      </w:r>
      <w:r w:rsidRPr="00E44D49">
        <w:rPr>
          <w:rFonts w:ascii="Arial" w:eastAsia="Calibri" w:hAnsi="Arial" w:cs="Arial"/>
          <w:color w:val="000000"/>
          <w:sz w:val="17"/>
          <w:szCs w:val="17"/>
          <w:lang w:eastAsia="en-AU"/>
        </w:rPr>
        <w:t xml:space="preserve">c) </w:t>
      </w:r>
      <w:r>
        <w:rPr>
          <w:rFonts w:ascii="Arial" w:eastAsia="Calibri" w:hAnsi="Arial" w:cs="Arial"/>
          <w:color w:val="000000"/>
          <w:sz w:val="17"/>
          <w:szCs w:val="17"/>
          <w:lang w:eastAsia="en-AU"/>
        </w:rPr>
        <w:tab/>
      </w:r>
      <w:r w:rsidRPr="00E44D49">
        <w:rPr>
          <w:rFonts w:ascii="Arial" w:eastAsia="Calibri" w:hAnsi="Arial" w:cs="Arial"/>
          <w:color w:val="000000"/>
          <w:sz w:val="17"/>
          <w:szCs w:val="17"/>
          <w:lang w:eastAsia="en-AU"/>
        </w:rPr>
        <w:t>Data for 2021-22 currently unavailable</w:t>
      </w:r>
      <w:r w:rsidR="005669D4">
        <w:rPr>
          <w:rFonts w:ascii="Arial" w:eastAsia="Calibri" w:hAnsi="Arial" w:cs="Arial"/>
          <w:color w:val="000000"/>
          <w:sz w:val="17"/>
          <w:szCs w:val="17"/>
          <w:lang w:eastAsia="en-AU"/>
        </w:rPr>
        <w:t>.</w:t>
      </w:r>
    </w:p>
    <w:p w14:paraId="6DC7C31E" w14:textId="77777777" w:rsidR="0040275F" w:rsidRDefault="0040275F" w:rsidP="00651093">
      <w:pPr>
        <w:pStyle w:val="BodyText"/>
      </w:pPr>
    </w:p>
    <w:p w14:paraId="2395417F" w14:textId="77777777" w:rsidR="0040275F" w:rsidRDefault="0040275F" w:rsidP="0040275F">
      <w:pPr>
        <w:rPr>
          <w:rFonts w:ascii="Arial" w:eastAsia="Calibri" w:hAnsi="Arial" w:cs="Arial"/>
          <w:sz w:val="23"/>
          <w:szCs w:val="23"/>
        </w:rPr>
      </w:pPr>
    </w:p>
    <w:p w14:paraId="2FFE78AF" w14:textId="77777777" w:rsidR="0040275F" w:rsidRDefault="0040275F" w:rsidP="0040275F">
      <w:pPr>
        <w:rPr>
          <w:rFonts w:ascii="Arial" w:eastAsia="Calibri" w:hAnsi="Arial" w:cs="Arial"/>
          <w:sz w:val="23"/>
          <w:szCs w:val="23"/>
        </w:rPr>
      </w:pPr>
    </w:p>
    <w:p w14:paraId="5068995B" w14:textId="77777777" w:rsidR="0040275F" w:rsidRDefault="0040275F" w:rsidP="0040275F">
      <w:pPr>
        <w:rPr>
          <w:rFonts w:ascii="Arial" w:eastAsia="Calibri" w:hAnsi="Arial" w:cs="Arial"/>
          <w:sz w:val="23"/>
          <w:szCs w:val="23"/>
        </w:rPr>
      </w:pPr>
      <w:r>
        <w:rPr>
          <w:rFonts w:ascii="Arial" w:eastAsia="Calibri" w:hAnsi="Arial" w:cs="Arial"/>
          <w:sz w:val="23"/>
          <w:szCs w:val="23"/>
        </w:rPr>
        <w:br w:type="page"/>
      </w:r>
    </w:p>
    <w:p w14:paraId="5A2B2B8A" w14:textId="77777777" w:rsidR="0040275F" w:rsidRPr="00DB171A" w:rsidRDefault="0040275F" w:rsidP="00DB171A">
      <w:pPr>
        <w:pStyle w:val="Heading2"/>
        <w:ind w:left="709" w:hanging="709"/>
        <w:rPr>
          <w:rFonts w:ascii="Arial" w:hAnsi="Arial" w:cs="Arial"/>
        </w:rPr>
      </w:pPr>
      <w:r w:rsidRPr="00DB171A">
        <w:lastRenderedPageBreak/>
        <w:t>Outcome</w:t>
      </w:r>
      <w:r w:rsidRPr="00DB171A">
        <w:rPr>
          <w:rFonts w:ascii="Arial" w:hAnsi="Arial" w:cs="Arial"/>
        </w:rPr>
        <w:t xml:space="preserve"> 3: Mineral and petroleum industries generating prosperity, safely</w:t>
      </w:r>
    </w:p>
    <w:tbl>
      <w:tblPr>
        <w:tblpPr w:leftFromText="180" w:rightFromText="180" w:vertAnchor="text" w:horzAnchor="margin" w:tblpXSpec="right" w:tblpY="629"/>
        <w:tblW w:w="1809" w:type="pct"/>
        <w:shd w:val="pct5" w:color="auto" w:fill="auto"/>
        <w:tblCellMar>
          <w:left w:w="115" w:type="dxa"/>
          <w:right w:w="115" w:type="dxa"/>
        </w:tblCellMar>
        <w:tblLook w:val="04A0" w:firstRow="1" w:lastRow="0" w:firstColumn="1" w:lastColumn="0" w:noHBand="0" w:noVBand="1"/>
        <w:tblCaption w:val="6.5 Outcome 3: Mineral and petroleum industries generating prosperity, safely"/>
        <w:tblDescription w:val="6.5 Outcome 3: Mineral and petroleum industries generating prosperity, safely"/>
      </w:tblPr>
      <w:tblGrid>
        <w:gridCol w:w="1046"/>
        <w:gridCol w:w="1250"/>
        <w:gridCol w:w="1191"/>
      </w:tblGrid>
      <w:tr w:rsidR="0040275F" w:rsidRPr="00F8244B" w14:paraId="03B456F7" w14:textId="77777777" w:rsidTr="00902298">
        <w:trPr>
          <w:cantSplit/>
          <w:trHeight w:val="784"/>
        </w:trPr>
        <w:tc>
          <w:tcPr>
            <w:tcW w:w="1499" w:type="pct"/>
            <w:shd w:val="pct5" w:color="auto" w:fill="auto"/>
            <w:vAlign w:val="center"/>
          </w:tcPr>
          <w:p w14:paraId="45322420" w14:textId="77777777" w:rsidR="0040275F" w:rsidRPr="00F8244B" w:rsidRDefault="0040275F" w:rsidP="00796708">
            <w:pPr>
              <w:spacing w:before="120" w:after="120"/>
              <w:rPr>
                <w:rFonts w:ascii="Arial" w:hAnsi="Arial" w:cs="Arial"/>
                <w:sz w:val="23"/>
                <w:szCs w:val="23"/>
              </w:rPr>
            </w:pPr>
            <w:r>
              <w:rPr>
                <w:rFonts w:ascii="Arial" w:hAnsi="Arial" w:cs="Arial"/>
                <w:noProof/>
              </w:rPr>
              <w:drawing>
                <wp:inline distT="0" distB="0" distL="0" distR="0" wp14:anchorId="10F1E3F9" wp14:editId="2AC38B58">
                  <wp:extent cx="518160" cy="518400"/>
                  <wp:effectExtent l="0" t="0" r="0" b="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FA0B50B" w14:textId="77777777" w:rsidR="0040275F" w:rsidRPr="00C25B34" w:rsidRDefault="0040275F" w:rsidP="00796708">
            <w:pPr>
              <w:spacing w:before="120" w:after="120"/>
              <w:jc w:val="center"/>
              <w:rPr>
                <w:rFonts w:ascii="Arial" w:hAnsi="Arial" w:cs="Arial"/>
                <w:color w:val="00ABE6"/>
                <w:sz w:val="18"/>
                <w:szCs w:val="18"/>
              </w:rPr>
            </w:pPr>
            <w:r w:rsidRPr="00C25B34">
              <w:rPr>
                <w:rFonts w:ascii="Arial" w:hAnsi="Arial" w:cs="Arial"/>
                <w:color w:val="00ABE6"/>
                <w:sz w:val="18"/>
                <w:szCs w:val="18"/>
              </w:rPr>
              <w:t xml:space="preserve">$196.3 </w:t>
            </w:r>
            <w:r w:rsidRPr="00C25B34">
              <w:rPr>
                <w:rFonts w:ascii="Arial" w:hAnsi="Arial" w:cs="Arial"/>
                <w:color w:val="00ABE6"/>
                <w:sz w:val="18"/>
                <w:szCs w:val="18"/>
              </w:rPr>
              <w:br/>
              <w:t>million</w:t>
            </w:r>
          </w:p>
        </w:tc>
        <w:tc>
          <w:tcPr>
            <w:tcW w:w="1707" w:type="pct"/>
            <w:shd w:val="pct5" w:color="auto" w:fill="auto"/>
            <w:vAlign w:val="center"/>
          </w:tcPr>
          <w:p w14:paraId="434E4388" w14:textId="77777777" w:rsidR="0040275F" w:rsidRPr="0011239F" w:rsidRDefault="0040275F" w:rsidP="00796708">
            <w:pPr>
              <w:rPr>
                <w:rFonts w:ascii="Arial" w:hAnsi="Arial" w:cs="Arial"/>
                <w:color w:val="00ABE6"/>
                <w:sz w:val="18"/>
                <w:szCs w:val="18"/>
              </w:rPr>
            </w:pPr>
            <w:r w:rsidRPr="0011239F">
              <w:rPr>
                <w:rFonts w:ascii="Arial" w:hAnsi="Arial" w:cs="Arial"/>
                <w:color w:val="00ABE6"/>
                <w:sz w:val="18"/>
                <w:szCs w:val="18"/>
              </w:rPr>
              <w:t>Recurrent</w:t>
            </w:r>
          </w:p>
          <w:p w14:paraId="2C819EC3" w14:textId="77777777" w:rsidR="0040275F" w:rsidRPr="00F8244B" w:rsidRDefault="0040275F" w:rsidP="00796708">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40275F" w:rsidRPr="00F8244B" w14:paraId="593E42B4" w14:textId="77777777" w:rsidTr="00902298">
        <w:trPr>
          <w:cantSplit/>
          <w:trHeight w:val="784"/>
        </w:trPr>
        <w:tc>
          <w:tcPr>
            <w:tcW w:w="1499" w:type="pct"/>
            <w:shd w:val="pct5" w:color="auto" w:fill="auto"/>
            <w:vAlign w:val="center"/>
          </w:tcPr>
          <w:p w14:paraId="3878F715" w14:textId="77777777" w:rsidR="0040275F" w:rsidRPr="00F8244B" w:rsidRDefault="0040275F" w:rsidP="00796708">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2AC5782D" wp14:editId="74A01B94">
                  <wp:extent cx="518160" cy="5184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13ABA0B2" w14:textId="77777777" w:rsidR="0040275F" w:rsidRPr="00C25B34" w:rsidRDefault="0040275F" w:rsidP="00796708">
            <w:pPr>
              <w:spacing w:before="120" w:after="120"/>
              <w:jc w:val="center"/>
              <w:rPr>
                <w:rFonts w:ascii="Arial" w:hAnsi="Arial" w:cs="Arial"/>
                <w:color w:val="00ABE6"/>
                <w:sz w:val="18"/>
                <w:szCs w:val="18"/>
              </w:rPr>
            </w:pPr>
            <w:r w:rsidRPr="00C25B34">
              <w:rPr>
                <w:rFonts w:ascii="Arial" w:hAnsi="Arial" w:cs="Arial"/>
                <w:color w:val="00ABE6"/>
                <w:sz w:val="18"/>
                <w:szCs w:val="18"/>
              </w:rPr>
              <w:t xml:space="preserve">$3.7 </w:t>
            </w:r>
            <w:r w:rsidRPr="00C25B34">
              <w:rPr>
                <w:rFonts w:ascii="Arial" w:hAnsi="Arial" w:cs="Arial"/>
                <w:color w:val="00ABE6"/>
                <w:sz w:val="18"/>
                <w:szCs w:val="18"/>
              </w:rPr>
              <w:br/>
              <w:t>million</w:t>
            </w:r>
          </w:p>
        </w:tc>
        <w:tc>
          <w:tcPr>
            <w:tcW w:w="1707" w:type="pct"/>
            <w:shd w:val="pct5" w:color="auto" w:fill="auto"/>
            <w:vAlign w:val="center"/>
          </w:tcPr>
          <w:p w14:paraId="3A408BC1" w14:textId="77777777" w:rsidR="0040275F" w:rsidRPr="00F8244B" w:rsidRDefault="0040275F" w:rsidP="00796708">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4491DA31" w14:textId="77777777" w:rsidR="0040275F" w:rsidRPr="00974CE7" w:rsidRDefault="0040275F" w:rsidP="0040275F">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3CE4CFB9" w14:textId="77777777" w:rsidR="002D2D5F" w:rsidRDefault="0040275F" w:rsidP="00651093">
      <w:pPr>
        <w:pStyle w:val="BodyText"/>
      </w:pPr>
      <w:r w:rsidRPr="00C25B34">
        <w:t xml:space="preserve">Led by the Mining, Exploration &amp; Geoscience division and the NSW Resources Regulator, this Outcome’s focus is to support and grow responsible mining and exploration across regional New South Wales. </w:t>
      </w:r>
    </w:p>
    <w:p w14:paraId="2A6C6BBC" w14:textId="7F1695D7" w:rsidR="0040275F" w:rsidRPr="00C25B34" w:rsidRDefault="00433E9B" w:rsidP="00651093">
      <w:pPr>
        <w:pStyle w:val="BodyText"/>
      </w:pPr>
      <w:r>
        <w:t xml:space="preserve">The Cluster’s </w:t>
      </w:r>
      <w:r w:rsidR="0040275F" w:rsidRPr="00C25B34">
        <w:t xml:space="preserve">mission is to make New South Wales a preferred investment destination for exploration and mining through leading practice policy and legislation, excellence in geoscience, efficient titles assessment and proactive regulation. The sustainable growth of the minerals industry creates opportunity for economic growth and employment opportunities for the people of New South Wales. </w:t>
      </w:r>
    </w:p>
    <w:p w14:paraId="1C6DCE49" w14:textId="77777777" w:rsidR="0040275F" w:rsidRPr="000101AC" w:rsidRDefault="0040275F" w:rsidP="0040275F">
      <w:pPr>
        <w:pStyle w:val="Heading3"/>
        <w:rPr>
          <w:rFonts w:cs="Arial"/>
        </w:rPr>
      </w:pPr>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p>
    <w:p w14:paraId="3B8F88D5" w14:textId="77777777" w:rsidR="0040275F" w:rsidRPr="00C25B34" w:rsidRDefault="0040275F" w:rsidP="00651093">
      <w:pPr>
        <w:pStyle w:val="BodyText"/>
      </w:pPr>
      <w:r w:rsidRPr="00C25B34">
        <w:t>In 2022-23, the Regional NSW Cluster will invest $200.0 million ($196.3 million recurrent expenses and $3.7 million capital expenditure) in this Outcome, including:</w:t>
      </w:r>
    </w:p>
    <w:p w14:paraId="0C8123B5" w14:textId="39B350C9" w:rsidR="0040275F" w:rsidRPr="00132033" w:rsidRDefault="0040275F" w:rsidP="006A57A6">
      <w:pPr>
        <w:pStyle w:val="Bullet1"/>
      </w:pPr>
      <w:r w:rsidRPr="00132033">
        <w:t xml:space="preserve">$81.5 million ($197.5 million recurrent expenses over four years) to grow investment in mining and exploration by implementing the </w:t>
      </w:r>
      <w:r w:rsidRPr="006A7FB5">
        <w:rPr>
          <w:i/>
          <w:iCs/>
        </w:rPr>
        <w:t>NSW Critical Minerals and High-Tech Metals Strategy</w:t>
      </w:r>
      <w:r w:rsidRPr="00132033">
        <w:t>, to support mineral and petroleum exploration and mining, through the $130</w:t>
      </w:r>
      <w:r w:rsidR="00310822" w:rsidRPr="00132033">
        <w:t> </w:t>
      </w:r>
      <w:r w:rsidRPr="00132033">
        <w:t xml:space="preserve">million Critical Minerals Activation Fund and the $100 million Coal Innovation Fund </w:t>
      </w:r>
    </w:p>
    <w:p w14:paraId="51437F70" w14:textId="2F2F0351" w:rsidR="0040275F" w:rsidRPr="00132033" w:rsidRDefault="0040275F" w:rsidP="006A57A6">
      <w:pPr>
        <w:pStyle w:val="Bullet1"/>
      </w:pPr>
      <w:r w:rsidRPr="00132033">
        <w:t xml:space="preserve">$23.9 million ($97.9 million recurrent expenses and $0.8 million capital expenditure over four years) from industry levies to regulate mine and petroleum site safety in relation to Work Health and Safety compliance and enforcement, while improving certainty to industry and community </w:t>
      </w:r>
    </w:p>
    <w:p w14:paraId="257CDDBB" w14:textId="399EFB2A" w:rsidR="0040275F" w:rsidRPr="00132033" w:rsidRDefault="0040275F" w:rsidP="006A57A6">
      <w:pPr>
        <w:pStyle w:val="Bullet1"/>
      </w:pPr>
      <w:r w:rsidRPr="00132033">
        <w:t xml:space="preserve">$24.5 million ($76.3 million recurrent expenses over four years) to address remediation of high-risk legacy mine sites, including site assessment, contamination safety and risk reduction to manage physical risks to the public from legacy mines </w:t>
      </w:r>
    </w:p>
    <w:p w14:paraId="425313F1" w14:textId="231651B4" w:rsidR="0040275F" w:rsidRPr="00132033" w:rsidRDefault="0040275F" w:rsidP="006A57A6">
      <w:pPr>
        <w:pStyle w:val="Bullet1"/>
      </w:pPr>
      <w:r w:rsidRPr="00132033">
        <w:t xml:space="preserve">$18.5 million ($51.7 million recurrent expenses and $3.0 million in capital expenditure over four years) to deliver robust assessment of exploration and mining titles applications, continued enhancement of the Titles Management System, progress resolution of complex legacy title matters, deliver against Native Title requirements, and calculation of quarterly royalty returns </w:t>
      </w:r>
    </w:p>
    <w:p w14:paraId="0830E98F" w14:textId="2A4918E5" w:rsidR="0040275F" w:rsidRPr="00132033" w:rsidRDefault="0040275F" w:rsidP="006A57A6">
      <w:pPr>
        <w:pStyle w:val="Bullet1"/>
      </w:pPr>
      <w:r w:rsidRPr="00132033">
        <w:t xml:space="preserve">$10.0 million ($28.5 million recurrent expenses over four years) to provide world-class geoscience, enabling geoscientific advice to all levels of government and industry in support of exploration, as well as storage, maintenance and archiving of drill core, rock and fossil collections </w:t>
      </w:r>
    </w:p>
    <w:p w14:paraId="577CC0BB" w14:textId="77777777" w:rsidR="0040275F" w:rsidRPr="00132033" w:rsidRDefault="0040275F" w:rsidP="006A57A6">
      <w:pPr>
        <w:pStyle w:val="Bullet1"/>
      </w:pPr>
      <w:r w:rsidRPr="00132033">
        <w:t xml:space="preserve">$6.9 million ($28.5 million recurrent expenses over four years) from industry levies to undertake regulatory compliance inspections, investigate instances of non-compliance of the </w:t>
      </w:r>
      <w:r w:rsidRPr="00132033">
        <w:rPr>
          <w:i/>
        </w:rPr>
        <w:t>Mining Act 1992</w:t>
      </w:r>
      <w:r w:rsidRPr="00132033">
        <w:rPr>
          <w:i/>
          <w:iCs/>
        </w:rPr>
        <w:t xml:space="preserve">, </w:t>
      </w:r>
      <w:r w:rsidRPr="00132033">
        <w:t>support regulatory operations, and process applications for exploration activities and planning advice in relation to mine rehabilitation obligations.</w:t>
      </w:r>
    </w:p>
    <w:p w14:paraId="67FA9F19" w14:textId="77777777" w:rsidR="0040275F" w:rsidRPr="00132033" w:rsidRDefault="0040275F" w:rsidP="0040275F">
      <w:pPr>
        <w:rPr>
          <w:rFonts w:ascii="Arial" w:hAnsi="Arial" w:cs="Arial"/>
          <w:sz w:val="23"/>
          <w:szCs w:val="23"/>
          <w:bdr w:val="none" w:sz="0" w:space="0" w:color="auto" w:frame="1"/>
          <w:shd w:val="clear" w:color="auto" w:fill="FFFFFF"/>
          <w:lang w:val="en-US"/>
        </w:rPr>
      </w:pPr>
      <w:r w:rsidRPr="00132033">
        <w:rPr>
          <w:sz w:val="23"/>
          <w:szCs w:val="23"/>
        </w:rPr>
        <w:br w:type="page"/>
      </w:r>
    </w:p>
    <w:p w14:paraId="14B661C5" w14:textId="77777777" w:rsidR="0040275F" w:rsidRPr="00DC6435" w:rsidRDefault="0040275F" w:rsidP="0040275F">
      <w:pPr>
        <w:pStyle w:val="Heading3"/>
        <w:rPr>
          <w:rFonts w:cs="Arial"/>
        </w:rPr>
      </w:pPr>
      <w:r w:rsidRPr="00DC6435">
        <w:rPr>
          <w:rFonts w:cs="Arial"/>
        </w:rPr>
        <w:lastRenderedPageBreak/>
        <w:t xml:space="preserve">Key performance insights </w:t>
      </w:r>
    </w:p>
    <w:p w14:paraId="33D17452" w14:textId="77777777" w:rsidR="0040275F" w:rsidRPr="00C25B34" w:rsidRDefault="0040275F" w:rsidP="00651093">
      <w:pPr>
        <w:pStyle w:val="BodyText"/>
        <w:rPr>
          <w:lang w:eastAsia="en-AU"/>
        </w:rPr>
      </w:pPr>
      <w:r w:rsidRPr="00C25B34">
        <w:rPr>
          <w:lang w:eastAsia="en-AU"/>
        </w:rPr>
        <w:t>This section provides analysis and insights on key Outcome Indicators for this State Outcome.</w:t>
      </w:r>
    </w:p>
    <w:p w14:paraId="056838A5" w14:textId="77777777" w:rsidR="0040275F" w:rsidRPr="0092367C" w:rsidRDefault="0040275F" w:rsidP="0040275F">
      <w:pPr>
        <w:keepNext/>
        <w:widowControl w:val="0"/>
        <w:spacing w:before="320" w:after="120" w:line="240" w:lineRule="atLeast"/>
        <w:outlineLvl w:val="3"/>
        <w:rPr>
          <w:rFonts w:ascii="Arial" w:hAnsi="Arial" w:cs="Arial"/>
          <w:b/>
          <w:bCs/>
          <w:color w:val="1F497D" w:themeColor="text2"/>
          <w:sz w:val="25"/>
          <w:szCs w:val="25"/>
        </w:rPr>
      </w:pPr>
      <w:r w:rsidRPr="0092367C">
        <w:rPr>
          <w:rFonts w:ascii="Arial" w:hAnsi="Arial" w:cs="Arial"/>
          <w:b/>
          <w:bCs/>
          <w:color w:val="1F497D" w:themeColor="text2"/>
          <w:sz w:val="25"/>
          <w:szCs w:val="25"/>
        </w:rPr>
        <w:t>New South Wales to average over 10 per cent share of Australian mineral exploration expenditure in Australia over five years to 2025</w:t>
      </w:r>
    </w:p>
    <w:p w14:paraId="0A51D707" w14:textId="77777777" w:rsidR="0040275F" w:rsidRPr="00C25B34" w:rsidRDefault="0040275F" w:rsidP="00651093">
      <w:pPr>
        <w:pStyle w:val="BodyText"/>
      </w:pPr>
      <w:r w:rsidRPr="00C25B34">
        <w:t xml:space="preserve">The State’s share of exploration expenditure is positively correlated to mineral and petroleum discovery and mining investment. </w:t>
      </w:r>
    </w:p>
    <w:p w14:paraId="00B2ED28" w14:textId="77777777" w:rsidR="0040275F" w:rsidRPr="00C25B34" w:rsidRDefault="0040275F" w:rsidP="00651093">
      <w:pPr>
        <w:pStyle w:val="BodyText"/>
      </w:pPr>
      <w:r w:rsidRPr="00C25B34">
        <w:t xml:space="preserve">Challenges to the industry with regards to reallocating people and assets across state borders have negatively impacted the NSW proportion of expenditure during the calendar year. </w:t>
      </w:r>
    </w:p>
    <w:p w14:paraId="6B40C130" w14:textId="77777777" w:rsidR="0040275F" w:rsidRPr="00C25B34" w:rsidRDefault="0040275F" w:rsidP="00651093">
      <w:pPr>
        <w:pStyle w:val="BodyText"/>
      </w:pPr>
      <w:r w:rsidRPr="00C25B34">
        <w:t xml:space="preserve">The 2021 annual figure of 8.35 per cent brings the five-year average to 10.3 per cent and performance against this indicator currently exceeds the 2025 target.  </w:t>
      </w:r>
    </w:p>
    <w:p w14:paraId="2E404E58" w14:textId="77777777" w:rsidR="0040275F" w:rsidRPr="008F5D0E" w:rsidRDefault="0040275F" w:rsidP="0040275F">
      <w:pPr>
        <w:pStyle w:val="Chart7X"/>
      </w:pPr>
      <w:r>
        <w:t>Proportion of NSW’s share of Australian mineral exploration expenditure in Australia</w:t>
      </w:r>
    </w:p>
    <w:p w14:paraId="740A4761" w14:textId="77777777" w:rsidR="0040275F" w:rsidRPr="00AA1FC2" w:rsidRDefault="0040275F" w:rsidP="0040275F">
      <w:pPr>
        <w:jc w:val="center"/>
        <w:rPr>
          <w:color w:val="FF0000"/>
        </w:rPr>
      </w:pPr>
      <w:r>
        <w:rPr>
          <w:noProof/>
        </w:rPr>
        <w:drawing>
          <wp:inline distT="0" distB="0" distL="0" distR="0" wp14:anchorId="3D4EF6AD" wp14:editId="69B88F8C">
            <wp:extent cx="4702013" cy="2485420"/>
            <wp:effectExtent l="0" t="0" r="0" b="0"/>
            <wp:docPr id="5" name="Chart 5" descr="Chart 7.7: Proportion of NSW’s share of Australian mineral exploration expenditure in Australia">
              <a:extLst xmlns:a="http://schemas.openxmlformats.org/drawingml/2006/main">
                <a:ext uri="{FF2B5EF4-FFF2-40B4-BE49-F238E27FC236}">
                  <a16:creationId xmlns:a16="http://schemas.microsoft.com/office/drawing/2014/main" id="{9972BF67-22E4-4001-8AE0-5BE5D1ABC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614408" w14:textId="77777777" w:rsidR="0040275F" w:rsidRPr="0092367C" w:rsidRDefault="0040275F" w:rsidP="0040275F">
      <w:pPr>
        <w:keepNext/>
        <w:widowControl w:val="0"/>
        <w:spacing w:before="320" w:after="120" w:line="240" w:lineRule="atLeast"/>
        <w:outlineLvl w:val="3"/>
        <w:rPr>
          <w:rFonts w:ascii="Arial" w:hAnsi="Arial" w:cs="Arial"/>
          <w:b/>
          <w:color w:val="1F497D" w:themeColor="text2"/>
          <w:sz w:val="25"/>
          <w:szCs w:val="25"/>
        </w:rPr>
      </w:pPr>
      <w:r w:rsidRPr="0092367C">
        <w:rPr>
          <w:rFonts w:ascii="Arial" w:hAnsi="Arial" w:cs="Arial"/>
          <w:b/>
          <w:color w:val="1F497D" w:themeColor="text2"/>
          <w:sz w:val="25"/>
          <w:szCs w:val="25"/>
        </w:rPr>
        <w:t xml:space="preserve">Proportion of high risk and priority mine sites proactively inspected for compliance with Work Health and Safety (WHS) and the Mining Act 1992 requirements </w:t>
      </w:r>
    </w:p>
    <w:p w14:paraId="337BC10C" w14:textId="77777777" w:rsidR="0040275F" w:rsidRPr="00C25B34" w:rsidRDefault="0040275F" w:rsidP="00651093">
      <w:pPr>
        <w:pStyle w:val="BodyText"/>
      </w:pPr>
      <w:r w:rsidRPr="00C25B34">
        <w:t xml:space="preserve">Proactive, consistent regulation of high-risk sites contributes to improved industry performance and ultimately better health, safety and environmental outcomes in New South Wales mines. </w:t>
      </w:r>
    </w:p>
    <w:p w14:paraId="2DA9B08B" w14:textId="77777777" w:rsidR="0040275F" w:rsidRPr="00C25B34" w:rsidRDefault="0040275F" w:rsidP="00651093">
      <w:pPr>
        <w:pStyle w:val="BodyText"/>
      </w:pPr>
      <w:r w:rsidRPr="00C25B34">
        <w:t xml:space="preserve">Regulatory oversight is a key aspect of ensuring compliance with the legislative requirements and providing certainty in the regulatory process and framework. WHS site inspections focus on critical controls that when implemented correctly prevent the occurrence of significant mining accidents or disasters. Site inspections authorised under the </w:t>
      </w:r>
      <w:r w:rsidRPr="00C25B34">
        <w:rPr>
          <w:i/>
          <w:iCs/>
        </w:rPr>
        <w:t xml:space="preserve">Mining Act 1992 </w:t>
      </w:r>
      <w:r w:rsidRPr="00C25B34">
        <w:t>are typically associated with rehabilitation obligations. The Resources Regulator is currently ramping up inspections as well as implementation of a significant body of work introducing regulatory reforms in this space.</w:t>
      </w:r>
    </w:p>
    <w:p w14:paraId="61E68D66" w14:textId="77777777" w:rsidR="0040275F" w:rsidRDefault="0040275F" w:rsidP="0040275F">
      <w:pPr>
        <w:rPr>
          <w:rFonts w:ascii="Arial" w:eastAsiaTheme="minorHAnsi" w:hAnsi="Arial" w:cs="Arial"/>
          <w:sz w:val="23"/>
          <w:szCs w:val="23"/>
          <w:bdr w:val="none" w:sz="0" w:space="0" w:color="auto" w:frame="1"/>
        </w:rPr>
      </w:pPr>
      <w:r>
        <w:br w:type="page"/>
      </w:r>
    </w:p>
    <w:p w14:paraId="64CB7824" w14:textId="77777777" w:rsidR="0040275F" w:rsidRDefault="0040275F" w:rsidP="00651093">
      <w:pPr>
        <w:pStyle w:val="BodyText"/>
      </w:pPr>
      <w:r w:rsidRPr="0079354E">
        <w:lastRenderedPageBreak/>
        <w:t xml:space="preserve">Performance against this indicator for both WHS and the </w:t>
      </w:r>
      <w:r w:rsidRPr="0079354E">
        <w:rPr>
          <w:i/>
          <w:iCs/>
        </w:rPr>
        <w:t>Mining Act 1992</w:t>
      </w:r>
      <w:r w:rsidRPr="0079354E">
        <w:t xml:space="preserve"> is stable</w:t>
      </w:r>
      <w:r>
        <w:t>.</w:t>
      </w:r>
    </w:p>
    <w:p w14:paraId="6CCCE11B" w14:textId="1A8C518D" w:rsidR="0040275F" w:rsidRPr="00241422" w:rsidRDefault="0040275F" w:rsidP="00235485">
      <w:pPr>
        <w:pStyle w:val="Chart7X"/>
      </w:pPr>
      <w:r>
        <w:t xml:space="preserve">Proportion of high risk and priority mine sites proactively inspected for compliance </w:t>
      </w:r>
      <w:r w:rsidR="00AF1E71">
        <w:tab/>
      </w:r>
      <w:r>
        <w:t>with WHS and the Mining Act 1992</w:t>
      </w:r>
    </w:p>
    <w:p w14:paraId="0AE4B575" w14:textId="77777777" w:rsidR="0040275F" w:rsidRPr="009E1715" w:rsidRDefault="0040275F" w:rsidP="0040275F">
      <w:pPr>
        <w:spacing w:before="80" w:after="100" w:line="259" w:lineRule="auto"/>
        <w:jc w:val="center"/>
        <w:rPr>
          <w:rFonts w:ascii="Arial" w:hAnsi="Arial" w:cs="Arial"/>
          <w:sz w:val="23"/>
          <w:szCs w:val="23"/>
        </w:rPr>
      </w:pPr>
      <w:r>
        <w:rPr>
          <w:noProof/>
        </w:rPr>
        <w:drawing>
          <wp:inline distT="0" distB="0" distL="0" distR="0" wp14:anchorId="2F8C64A6" wp14:editId="411E1C07">
            <wp:extent cx="4719259" cy="2437118"/>
            <wp:effectExtent l="0" t="0" r="0" b="0"/>
            <wp:docPr id="1" name="Chart 1" descr="Chart 7.8: Proportion of high risk and priority mine sites proactively inspected for compliance  with WHS and the Mining Act 1992">
              <a:extLst xmlns:a="http://schemas.openxmlformats.org/drawingml/2006/main">
                <a:ext uri="{FF2B5EF4-FFF2-40B4-BE49-F238E27FC236}">
                  <a16:creationId xmlns:a16="http://schemas.microsoft.com/office/drawing/2014/main" id="{80F588DB-DA6B-4A70-B35B-7E6182936A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120BAB" w14:textId="77777777" w:rsidR="0040275F" w:rsidRDefault="0040275F" w:rsidP="0040275F"/>
    <w:p w14:paraId="66566181" w14:textId="77777777" w:rsidR="0040275F" w:rsidRDefault="0040275F" w:rsidP="0040275F">
      <w:pPr>
        <w:pStyle w:val="Heading3"/>
        <w:rPr>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40275F" w:rsidRPr="008E645A" w14:paraId="38EEF948" w14:textId="77777777" w:rsidTr="00796708">
        <w:trPr>
          <w:trHeight w:val="240"/>
        </w:trPr>
        <w:tc>
          <w:tcPr>
            <w:tcW w:w="6568" w:type="dxa"/>
            <w:vMerge w:val="restart"/>
            <w:tcBorders>
              <w:top w:val="nil"/>
              <w:left w:val="nil"/>
              <w:bottom w:val="nil"/>
              <w:right w:val="nil"/>
            </w:tcBorders>
            <w:shd w:val="clear" w:color="000000" w:fill="008EBA"/>
            <w:noWrap/>
            <w:vAlign w:val="center"/>
            <w:hideMark/>
          </w:tcPr>
          <w:p w14:paraId="1AE78F86" w14:textId="77777777" w:rsidR="0040275F" w:rsidRPr="008E645A" w:rsidRDefault="0040275F" w:rsidP="00796708">
            <w:pPr>
              <w:ind w:firstLineChars="100" w:firstLine="181"/>
              <w:rPr>
                <w:rFonts w:ascii="Arial" w:hAnsi="Arial" w:cs="Arial"/>
                <w:b/>
                <w:bCs/>
                <w:color w:val="FFFFFF"/>
                <w:sz w:val="18"/>
                <w:szCs w:val="18"/>
                <w:lang w:eastAsia="en-AU"/>
              </w:rPr>
            </w:pPr>
            <w:r w:rsidRPr="008E645A">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4079C33F" w14:textId="77777777" w:rsidR="0040275F" w:rsidRPr="008E645A" w:rsidRDefault="0040275F" w:rsidP="00796708">
            <w:pPr>
              <w:jc w:val="center"/>
              <w:rPr>
                <w:rFonts w:ascii="Arial" w:hAnsi="Arial" w:cs="Arial"/>
                <w:b/>
                <w:bCs/>
                <w:color w:val="FFFFFF"/>
                <w:sz w:val="18"/>
                <w:szCs w:val="18"/>
                <w:lang w:eastAsia="en-AU"/>
              </w:rPr>
            </w:pPr>
            <w:r w:rsidRPr="008E645A">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1A44313D" w14:textId="77777777" w:rsidR="0040275F" w:rsidRPr="008E645A" w:rsidRDefault="0040275F" w:rsidP="00796708">
            <w:pPr>
              <w:jc w:val="center"/>
              <w:rPr>
                <w:rFonts w:ascii="Arial" w:hAnsi="Arial" w:cs="Arial"/>
                <w:b/>
                <w:bCs/>
                <w:color w:val="FFFFFF"/>
                <w:sz w:val="18"/>
                <w:szCs w:val="18"/>
                <w:lang w:eastAsia="en-AU"/>
              </w:rPr>
            </w:pPr>
            <w:r w:rsidRPr="008E645A">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4521B379" w14:textId="77777777" w:rsidR="0040275F" w:rsidRPr="008E645A" w:rsidRDefault="0040275F" w:rsidP="00796708">
            <w:pPr>
              <w:jc w:val="center"/>
              <w:rPr>
                <w:rFonts w:ascii="Arial" w:hAnsi="Arial" w:cs="Arial"/>
                <w:b/>
                <w:bCs/>
                <w:color w:val="FFFFFF"/>
                <w:sz w:val="18"/>
                <w:szCs w:val="18"/>
                <w:lang w:eastAsia="en-AU"/>
              </w:rPr>
            </w:pPr>
            <w:r w:rsidRPr="008E645A">
              <w:rPr>
                <w:rFonts w:ascii="Arial" w:hAnsi="Arial" w:cs="Arial"/>
                <w:b/>
                <w:bCs/>
                <w:color w:val="FFFFFF"/>
                <w:sz w:val="18"/>
                <w:szCs w:val="18"/>
                <w:lang w:eastAsia="en-AU"/>
              </w:rPr>
              <w:t>2022-23</w:t>
            </w:r>
          </w:p>
        </w:tc>
      </w:tr>
      <w:tr w:rsidR="0040275F" w:rsidRPr="008E645A" w14:paraId="609C2ABF" w14:textId="77777777" w:rsidTr="00796708">
        <w:trPr>
          <w:trHeight w:val="225"/>
        </w:trPr>
        <w:tc>
          <w:tcPr>
            <w:tcW w:w="6568" w:type="dxa"/>
            <w:vMerge/>
            <w:tcBorders>
              <w:top w:val="nil"/>
              <w:left w:val="nil"/>
              <w:bottom w:val="nil"/>
              <w:right w:val="nil"/>
            </w:tcBorders>
            <w:vAlign w:val="center"/>
            <w:hideMark/>
          </w:tcPr>
          <w:p w14:paraId="42DE0E35" w14:textId="77777777" w:rsidR="0040275F" w:rsidRPr="008E645A" w:rsidRDefault="0040275F" w:rsidP="00796708">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5BD3D2EE" w14:textId="77777777" w:rsidR="0040275F" w:rsidRPr="008E645A" w:rsidRDefault="0040275F" w:rsidP="00796708">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684FDFD5" w14:textId="77777777" w:rsidR="0040275F" w:rsidRPr="008E645A" w:rsidRDefault="0040275F" w:rsidP="00796708">
            <w:pPr>
              <w:jc w:val="center"/>
              <w:rPr>
                <w:rFonts w:ascii="Arial" w:hAnsi="Arial" w:cs="Arial"/>
                <w:b/>
                <w:bCs/>
                <w:color w:val="FFFFFF"/>
                <w:sz w:val="18"/>
                <w:szCs w:val="18"/>
                <w:lang w:eastAsia="en-AU"/>
              </w:rPr>
            </w:pPr>
            <w:r w:rsidRPr="008E645A">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5B4AD362" w14:textId="77777777" w:rsidR="0040275F" w:rsidRPr="008E645A" w:rsidRDefault="0040275F" w:rsidP="00796708">
            <w:pPr>
              <w:jc w:val="center"/>
              <w:rPr>
                <w:rFonts w:ascii="Arial" w:hAnsi="Arial" w:cs="Arial"/>
                <w:b/>
                <w:bCs/>
                <w:color w:val="FFFFFF"/>
                <w:sz w:val="18"/>
                <w:szCs w:val="18"/>
                <w:lang w:eastAsia="en-AU"/>
              </w:rPr>
            </w:pPr>
            <w:r w:rsidRPr="008E645A">
              <w:rPr>
                <w:rFonts w:ascii="Arial" w:hAnsi="Arial" w:cs="Arial"/>
                <w:b/>
                <w:bCs/>
                <w:color w:val="FFFFFF"/>
                <w:sz w:val="18"/>
                <w:szCs w:val="18"/>
                <w:lang w:eastAsia="en-AU"/>
              </w:rPr>
              <w:t>Forecast</w:t>
            </w:r>
          </w:p>
        </w:tc>
      </w:tr>
      <w:tr w:rsidR="00902298" w:rsidRPr="008E645A" w14:paraId="394CD8D6" w14:textId="77777777" w:rsidTr="00902298">
        <w:trPr>
          <w:trHeight w:val="57"/>
        </w:trPr>
        <w:tc>
          <w:tcPr>
            <w:tcW w:w="6568" w:type="dxa"/>
            <w:tcBorders>
              <w:top w:val="nil"/>
              <w:left w:val="nil"/>
              <w:bottom w:val="nil"/>
              <w:right w:val="nil"/>
            </w:tcBorders>
            <w:shd w:val="clear" w:color="auto" w:fill="auto"/>
            <w:vAlign w:val="bottom"/>
          </w:tcPr>
          <w:p w14:paraId="11FBBAEE" w14:textId="77777777" w:rsidR="00902298" w:rsidRPr="008E645A" w:rsidRDefault="00902298" w:rsidP="00796708">
            <w:pPr>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vAlign w:val="bottom"/>
          </w:tcPr>
          <w:p w14:paraId="013F0273" w14:textId="77777777" w:rsidR="00902298" w:rsidRPr="008E645A" w:rsidRDefault="00902298" w:rsidP="00367AFB">
            <w:pPr>
              <w:jc w:val="center"/>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tcPr>
          <w:p w14:paraId="694D9BEA" w14:textId="77777777" w:rsidR="00902298" w:rsidRPr="008E645A" w:rsidRDefault="00902298" w:rsidP="00367AFB">
            <w:pPr>
              <w:jc w:val="right"/>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tcPr>
          <w:p w14:paraId="61634B4E" w14:textId="77777777" w:rsidR="00902298" w:rsidRPr="008E645A" w:rsidRDefault="00902298" w:rsidP="00367AFB">
            <w:pPr>
              <w:jc w:val="right"/>
              <w:rPr>
                <w:rFonts w:ascii="Arial" w:hAnsi="Arial" w:cs="Arial"/>
                <w:color w:val="000000"/>
                <w:sz w:val="16"/>
                <w:szCs w:val="16"/>
                <w:lang w:eastAsia="en-AU"/>
              </w:rPr>
            </w:pPr>
          </w:p>
        </w:tc>
      </w:tr>
      <w:tr w:rsidR="0040275F" w:rsidRPr="008E645A" w14:paraId="6DEE429F" w14:textId="77777777" w:rsidTr="00367AFB">
        <w:trPr>
          <w:trHeight w:val="397"/>
        </w:trPr>
        <w:tc>
          <w:tcPr>
            <w:tcW w:w="6568" w:type="dxa"/>
            <w:tcBorders>
              <w:top w:val="nil"/>
              <w:left w:val="nil"/>
              <w:bottom w:val="nil"/>
              <w:right w:val="nil"/>
            </w:tcBorders>
            <w:shd w:val="clear" w:color="auto" w:fill="auto"/>
            <w:vAlign w:val="bottom"/>
            <w:hideMark/>
          </w:tcPr>
          <w:p w14:paraId="2EFE676A" w14:textId="77777777" w:rsidR="0040275F" w:rsidRPr="008E645A" w:rsidRDefault="0040275F" w:rsidP="00902298">
            <w:pPr>
              <w:ind w:left="184"/>
              <w:rPr>
                <w:rFonts w:ascii="Arial" w:hAnsi="Arial" w:cs="Arial"/>
                <w:color w:val="000000"/>
                <w:sz w:val="16"/>
                <w:szCs w:val="16"/>
                <w:lang w:eastAsia="en-AU"/>
              </w:rPr>
            </w:pPr>
            <w:r w:rsidRPr="008E645A">
              <w:rPr>
                <w:rFonts w:ascii="Arial" w:hAnsi="Arial" w:cs="Arial"/>
                <w:color w:val="000000"/>
                <w:sz w:val="16"/>
                <w:szCs w:val="16"/>
                <w:lang w:eastAsia="en-AU"/>
              </w:rPr>
              <w:t>Improved pre-competitive mineral and petroleum resource data and analysis to support exploration as measured by the Fraser Institute over 12 months</w:t>
            </w:r>
          </w:p>
        </w:tc>
        <w:tc>
          <w:tcPr>
            <w:tcW w:w="756" w:type="dxa"/>
            <w:tcBorders>
              <w:top w:val="nil"/>
              <w:left w:val="nil"/>
              <w:bottom w:val="nil"/>
              <w:right w:val="nil"/>
            </w:tcBorders>
            <w:shd w:val="clear" w:color="auto" w:fill="auto"/>
            <w:noWrap/>
            <w:vAlign w:val="bottom"/>
            <w:hideMark/>
          </w:tcPr>
          <w:p w14:paraId="70D21968" w14:textId="77777777" w:rsidR="0040275F" w:rsidRPr="008E645A" w:rsidRDefault="0040275F" w:rsidP="00367AFB">
            <w:pPr>
              <w:jc w:val="center"/>
              <w:rPr>
                <w:rFonts w:ascii="Arial" w:hAnsi="Arial" w:cs="Arial"/>
                <w:color w:val="000000"/>
                <w:sz w:val="16"/>
                <w:szCs w:val="16"/>
                <w:lang w:eastAsia="en-AU"/>
              </w:rPr>
            </w:pPr>
            <w:r w:rsidRPr="008E645A">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4725AB0F" w14:textId="77777777" w:rsidR="0040275F" w:rsidRPr="008E645A" w:rsidRDefault="0040275F" w:rsidP="00367AFB">
            <w:pPr>
              <w:jc w:val="right"/>
              <w:rPr>
                <w:rFonts w:ascii="Arial" w:hAnsi="Arial" w:cs="Arial"/>
                <w:color w:val="000000"/>
                <w:sz w:val="16"/>
                <w:szCs w:val="16"/>
                <w:lang w:eastAsia="en-AU"/>
              </w:rPr>
            </w:pPr>
            <w:r w:rsidRPr="008E645A">
              <w:rPr>
                <w:rFonts w:ascii="Arial" w:hAnsi="Arial" w:cs="Arial"/>
                <w:color w:val="000000"/>
                <w:sz w:val="16"/>
                <w:szCs w:val="16"/>
                <w:lang w:eastAsia="en-AU"/>
              </w:rPr>
              <w:t>9</w:t>
            </w:r>
            <w:r>
              <w:rPr>
                <w:rFonts w:ascii="Arial" w:hAnsi="Arial" w:cs="Arial"/>
                <w:color w:val="000000"/>
                <w:sz w:val="16"/>
                <w:szCs w:val="16"/>
                <w:lang w:eastAsia="en-AU"/>
              </w:rPr>
              <w:t>5</w:t>
            </w:r>
            <w:r w:rsidRPr="008E645A">
              <w:rPr>
                <w:rFonts w:ascii="Arial" w:hAnsi="Arial" w:cs="Arial"/>
                <w:color w:val="000000"/>
                <w:sz w:val="16"/>
                <w:szCs w:val="16"/>
                <w:lang w:eastAsia="en-AU"/>
              </w:rPr>
              <w:t xml:space="preserve">.0 </w:t>
            </w:r>
          </w:p>
        </w:tc>
        <w:tc>
          <w:tcPr>
            <w:tcW w:w="1176" w:type="dxa"/>
            <w:tcBorders>
              <w:top w:val="nil"/>
              <w:left w:val="nil"/>
              <w:bottom w:val="nil"/>
              <w:right w:val="nil"/>
            </w:tcBorders>
            <w:shd w:val="clear" w:color="auto" w:fill="auto"/>
            <w:noWrap/>
            <w:vAlign w:val="bottom"/>
            <w:hideMark/>
          </w:tcPr>
          <w:p w14:paraId="0B203718" w14:textId="77777777" w:rsidR="0040275F" w:rsidRPr="008E645A" w:rsidRDefault="0040275F" w:rsidP="00367AFB">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95.0 </w:t>
            </w:r>
          </w:p>
        </w:tc>
      </w:tr>
      <w:tr w:rsidR="0040275F" w:rsidRPr="008E645A" w14:paraId="7826F533" w14:textId="77777777" w:rsidTr="00367AFB">
        <w:trPr>
          <w:trHeight w:val="397"/>
        </w:trPr>
        <w:tc>
          <w:tcPr>
            <w:tcW w:w="6568" w:type="dxa"/>
            <w:tcBorders>
              <w:top w:val="nil"/>
              <w:left w:val="nil"/>
              <w:bottom w:val="nil"/>
              <w:right w:val="nil"/>
            </w:tcBorders>
            <w:shd w:val="clear" w:color="auto" w:fill="auto"/>
            <w:vAlign w:val="bottom"/>
            <w:hideMark/>
          </w:tcPr>
          <w:p w14:paraId="687EC2B9" w14:textId="77777777" w:rsidR="0040275F" w:rsidRPr="008E645A" w:rsidRDefault="0040275F" w:rsidP="00902298">
            <w:pPr>
              <w:ind w:left="184"/>
              <w:rPr>
                <w:rFonts w:ascii="Arial" w:hAnsi="Arial" w:cs="Arial"/>
                <w:color w:val="000000"/>
                <w:sz w:val="16"/>
                <w:szCs w:val="16"/>
                <w:lang w:eastAsia="en-AU"/>
              </w:rPr>
            </w:pPr>
            <w:r w:rsidRPr="008E645A">
              <w:rPr>
                <w:rFonts w:ascii="Arial" w:hAnsi="Arial" w:cs="Arial"/>
                <w:color w:val="000000"/>
                <w:sz w:val="16"/>
                <w:szCs w:val="16"/>
                <w:lang w:eastAsia="en-AU"/>
              </w:rPr>
              <w:t>Efficient and effective titles assessment performance as measured against industry agreed KPIs for titles assessment activity over 12 months</w:t>
            </w:r>
            <w:r w:rsidRPr="00237E0F">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auto" w:fill="auto"/>
            <w:noWrap/>
            <w:vAlign w:val="bottom"/>
            <w:hideMark/>
          </w:tcPr>
          <w:p w14:paraId="620121E0" w14:textId="77777777" w:rsidR="0040275F" w:rsidRPr="008E645A" w:rsidRDefault="0040275F" w:rsidP="00367AFB">
            <w:pPr>
              <w:jc w:val="center"/>
              <w:rPr>
                <w:rFonts w:ascii="Arial" w:hAnsi="Arial" w:cs="Arial"/>
                <w:color w:val="000000"/>
                <w:sz w:val="16"/>
                <w:szCs w:val="16"/>
                <w:lang w:eastAsia="en-AU"/>
              </w:rPr>
            </w:pPr>
            <w:r w:rsidRPr="008E645A">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607D7314" w14:textId="77777777" w:rsidR="0040275F" w:rsidRPr="008E645A" w:rsidRDefault="0040275F" w:rsidP="00367AFB">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66.0 </w:t>
            </w:r>
          </w:p>
        </w:tc>
        <w:tc>
          <w:tcPr>
            <w:tcW w:w="1176" w:type="dxa"/>
            <w:tcBorders>
              <w:top w:val="nil"/>
              <w:left w:val="nil"/>
              <w:bottom w:val="nil"/>
              <w:right w:val="nil"/>
            </w:tcBorders>
            <w:shd w:val="clear" w:color="auto" w:fill="auto"/>
            <w:noWrap/>
            <w:vAlign w:val="bottom"/>
            <w:hideMark/>
          </w:tcPr>
          <w:p w14:paraId="47B4A4E6" w14:textId="77777777" w:rsidR="0040275F" w:rsidRPr="008E645A" w:rsidRDefault="0040275F" w:rsidP="00367AFB">
            <w:pPr>
              <w:jc w:val="right"/>
              <w:rPr>
                <w:rFonts w:ascii="Arial" w:hAnsi="Arial" w:cs="Arial"/>
                <w:color w:val="000000"/>
                <w:sz w:val="16"/>
                <w:szCs w:val="16"/>
                <w:lang w:eastAsia="en-AU"/>
              </w:rPr>
            </w:pPr>
            <w:r>
              <w:rPr>
                <w:rFonts w:ascii="Arial" w:hAnsi="Arial" w:cs="Arial"/>
                <w:color w:val="000000"/>
                <w:sz w:val="16"/>
                <w:szCs w:val="16"/>
                <w:lang w:eastAsia="en-AU"/>
              </w:rPr>
              <w:t>72</w:t>
            </w:r>
            <w:r w:rsidRPr="008E645A">
              <w:rPr>
                <w:rFonts w:ascii="Arial" w:hAnsi="Arial" w:cs="Arial"/>
                <w:color w:val="000000"/>
                <w:sz w:val="16"/>
                <w:szCs w:val="16"/>
                <w:lang w:eastAsia="en-AU"/>
              </w:rPr>
              <w:t xml:space="preserve">.0 </w:t>
            </w:r>
          </w:p>
        </w:tc>
      </w:tr>
      <w:tr w:rsidR="0040275F" w:rsidRPr="008E645A" w14:paraId="690FF4F8" w14:textId="77777777" w:rsidTr="00367AFB">
        <w:trPr>
          <w:trHeight w:val="397"/>
        </w:trPr>
        <w:tc>
          <w:tcPr>
            <w:tcW w:w="6568" w:type="dxa"/>
            <w:tcBorders>
              <w:top w:val="nil"/>
              <w:left w:val="nil"/>
              <w:bottom w:val="nil"/>
              <w:right w:val="nil"/>
            </w:tcBorders>
            <w:shd w:val="clear" w:color="auto" w:fill="auto"/>
            <w:vAlign w:val="bottom"/>
            <w:hideMark/>
          </w:tcPr>
          <w:p w14:paraId="0999AA14" w14:textId="77777777" w:rsidR="0040275F" w:rsidRPr="008E645A" w:rsidRDefault="0040275F" w:rsidP="00902298">
            <w:pPr>
              <w:ind w:left="184"/>
              <w:rPr>
                <w:rFonts w:ascii="Arial" w:hAnsi="Arial" w:cs="Arial"/>
                <w:color w:val="000000"/>
                <w:sz w:val="16"/>
                <w:szCs w:val="16"/>
                <w:lang w:eastAsia="en-AU"/>
              </w:rPr>
            </w:pPr>
            <w:r w:rsidRPr="008E645A">
              <w:rPr>
                <w:rFonts w:ascii="Arial" w:hAnsi="Arial" w:cs="Arial"/>
                <w:color w:val="000000"/>
                <w:sz w:val="16"/>
                <w:szCs w:val="16"/>
                <w:lang w:eastAsia="en-AU"/>
              </w:rPr>
              <w:t>NSW to average over 10% share of Australian mineral exploration expenditure in Australia over five years to 2025</w:t>
            </w:r>
          </w:p>
        </w:tc>
        <w:tc>
          <w:tcPr>
            <w:tcW w:w="756" w:type="dxa"/>
            <w:tcBorders>
              <w:top w:val="nil"/>
              <w:left w:val="nil"/>
              <w:bottom w:val="nil"/>
              <w:right w:val="nil"/>
            </w:tcBorders>
            <w:shd w:val="clear" w:color="auto" w:fill="auto"/>
            <w:noWrap/>
            <w:vAlign w:val="bottom"/>
            <w:hideMark/>
          </w:tcPr>
          <w:p w14:paraId="671E812D" w14:textId="77777777" w:rsidR="0040275F" w:rsidRPr="008E645A" w:rsidRDefault="0040275F" w:rsidP="00367AFB">
            <w:pPr>
              <w:jc w:val="center"/>
              <w:rPr>
                <w:rFonts w:ascii="Arial" w:hAnsi="Arial" w:cs="Arial"/>
                <w:color w:val="000000"/>
                <w:sz w:val="16"/>
                <w:szCs w:val="16"/>
                <w:lang w:eastAsia="en-AU"/>
              </w:rPr>
            </w:pPr>
            <w:r w:rsidRPr="008E645A">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184E993B" w14:textId="77777777" w:rsidR="0040275F" w:rsidRPr="008E645A" w:rsidRDefault="0040275F" w:rsidP="00367AFB">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8.0 </w:t>
            </w:r>
          </w:p>
        </w:tc>
        <w:tc>
          <w:tcPr>
            <w:tcW w:w="1176" w:type="dxa"/>
            <w:tcBorders>
              <w:top w:val="nil"/>
              <w:left w:val="nil"/>
              <w:bottom w:val="nil"/>
              <w:right w:val="nil"/>
            </w:tcBorders>
            <w:shd w:val="clear" w:color="auto" w:fill="auto"/>
            <w:noWrap/>
            <w:vAlign w:val="bottom"/>
            <w:hideMark/>
          </w:tcPr>
          <w:p w14:paraId="1A5925E8" w14:textId="77777777" w:rsidR="0040275F" w:rsidRPr="008E645A" w:rsidRDefault="0040275F" w:rsidP="00367AFB">
            <w:pPr>
              <w:jc w:val="right"/>
              <w:rPr>
                <w:rFonts w:ascii="Arial" w:hAnsi="Arial" w:cs="Arial"/>
                <w:color w:val="000000"/>
                <w:sz w:val="16"/>
                <w:szCs w:val="16"/>
                <w:lang w:eastAsia="en-AU"/>
              </w:rPr>
            </w:pPr>
            <w:r>
              <w:rPr>
                <w:rFonts w:ascii="Arial" w:hAnsi="Arial" w:cs="Arial"/>
                <w:color w:val="000000"/>
                <w:sz w:val="16"/>
                <w:szCs w:val="16"/>
                <w:lang w:eastAsia="en-AU"/>
              </w:rPr>
              <w:t>7</w:t>
            </w:r>
            <w:r w:rsidRPr="008E645A">
              <w:rPr>
                <w:rFonts w:ascii="Arial" w:hAnsi="Arial" w:cs="Arial"/>
                <w:color w:val="000000"/>
                <w:sz w:val="16"/>
                <w:szCs w:val="16"/>
                <w:lang w:eastAsia="en-AU"/>
              </w:rPr>
              <w:t xml:space="preserve">.0 </w:t>
            </w:r>
          </w:p>
        </w:tc>
      </w:tr>
      <w:tr w:rsidR="0040275F" w:rsidRPr="008E645A" w14:paraId="5EFD825B" w14:textId="77777777" w:rsidTr="00367AFB">
        <w:trPr>
          <w:trHeight w:val="227"/>
        </w:trPr>
        <w:tc>
          <w:tcPr>
            <w:tcW w:w="6568" w:type="dxa"/>
            <w:tcBorders>
              <w:top w:val="nil"/>
              <w:left w:val="nil"/>
              <w:bottom w:val="nil"/>
              <w:right w:val="nil"/>
            </w:tcBorders>
            <w:shd w:val="clear" w:color="auto" w:fill="auto"/>
            <w:vAlign w:val="bottom"/>
            <w:hideMark/>
          </w:tcPr>
          <w:p w14:paraId="2435B712" w14:textId="77777777" w:rsidR="0040275F" w:rsidRPr="008E645A" w:rsidRDefault="0040275F" w:rsidP="00902298">
            <w:pPr>
              <w:ind w:left="184"/>
              <w:rPr>
                <w:rFonts w:ascii="Arial" w:hAnsi="Arial" w:cs="Arial"/>
                <w:color w:val="000000"/>
                <w:sz w:val="16"/>
                <w:szCs w:val="16"/>
                <w:lang w:eastAsia="en-AU"/>
              </w:rPr>
            </w:pPr>
            <w:r w:rsidRPr="008E645A">
              <w:rPr>
                <w:rFonts w:ascii="Arial" w:hAnsi="Arial" w:cs="Arial"/>
                <w:color w:val="000000"/>
                <w:sz w:val="16"/>
                <w:szCs w:val="16"/>
                <w:lang w:eastAsia="en-AU"/>
              </w:rPr>
              <w:t>Proportion of total Australian private mining capital spent in NSW</w:t>
            </w:r>
            <w:r w:rsidRPr="00896EB7">
              <w:rPr>
                <w:rFonts w:ascii="Arial" w:hAnsi="Arial" w:cs="Arial"/>
                <w:color w:val="000000"/>
                <w:sz w:val="16"/>
                <w:szCs w:val="16"/>
                <w:vertAlign w:val="superscript"/>
                <w:lang w:eastAsia="en-AU"/>
              </w:rPr>
              <w:t>(b)</w:t>
            </w:r>
          </w:p>
        </w:tc>
        <w:tc>
          <w:tcPr>
            <w:tcW w:w="756" w:type="dxa"/>
            <w:tcBorders>
              <w:top w:val="nil"/>
              <w:left w:val="nil"/>
              <w:bottom w:val="nil"/>
              <w:right w:val="nil"/>
            </w:tcBorders>
            <w:shd w:val="clear" w:color="auto" w:fill="auto"/>
            <w:noWrap/>
            <w:vAlign w:val="bottom"/>
            <w:hideMark/>
          </w:tcPr>
          <w:p w14:paraId="3BBCF35F" w14:textId="77777777" w:rsidR="0040275F" w:rsidRPr="008E645A" w:rsidRDefault="0040275F" w:rsidP="00367AFB">
            <w:pPr>
              <w:jc w:val="center"/>
              <w:rPr>
                <w:rFonts w:ascii="Arial" w:hAnsi="Arial" w:cs="Arial"/>
                <w:color w:val="000000"/>
                <w:sz w:val="16"/>
                <w:szCs w:val="16"/>
                <w:lang w:eastAsia="en-AU"/>
              </w:rPr>
            </w:pPr>
            <w:r w:rsidRPr="008E645A">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5AD16870" w14:textId="77777777" w:rsidR="0040275F" w:rsidRPr="008E645A" w:rsidRDefault="0040275F" w:rsidP="00367AFB">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11.4 </w:t>
            </w:r>
          </w:p>
        </w:tc>
        <w:tc>
          <w:tcPr>
            <w:tcW w:w="1176" w:type="dxa"/>
            <w:tcBorders>
              <w:top w:val="nil"/>
              <w:left w:val="nil"/>
              <w:bottom w:val="nil"/>
              <w:right w:val="nil"/>
            </w:tcBorders>
            <w:shd w:val="clear" w:color="auto" w:fill="auto"/>
            <w:noWrap/>
            <w:vAlign w:val="bottom"/>
            <w:hideMark/>
          </w:tcPr>
          <w:p w14:paraId="2EA0843A" w14:textId="77777777" w:rsidR="0040275F" w:rsidRPr="008E645A" w:rsidRDefault="0040275F" w:rsidP="00367AFB">
            <w:pPr>
              <w:jc w:val="right"/>
              <w:rPr>
                <w:rFonts w:ascii="Arial" w:hAnsi="Arial" w:cs="Arial"/>
                <w:color w:val="000000"/>
                <w:sz w:val="16"/>
                <w:szCs w:val="16"/>
                <w:lang w:eastAsia="en-AU"/>
              </w:rPr>
            </w:pPr>
            <w:r>
              <w:rPr>
                <w:rFonts w:ascii="Arial" w:hAnsi="Arial" w:cs="Arial"/>
                <w:color w:val="000000"/>
                <w:sz w:val="16"/>
                <w:szCs w:val="16"/>
                <w:lang w:eastAsia="en-AU"/>
              </w:rPr>
              <w:t>16.0</w:t>
            </w:r>
            <w:r w:rsidRPr="008E645A">
              <w:rPr>
                <w:rFonts w:ascii="Arial" w:hAnsi="Arial" w:cs="Arial"/>
                <w:color w:val="000000"/>
                <w:sz w:val="16"/>
                <w:szCs w:val="16"/>
                <w:lang w:eastAsia="en-AU"/>
              </w:rPr>
              <w:t xml:space="preserve"> </w:t>
            </w:r>
          </w:p>
        </w:tc>
      </w:tr>
      <w:tr w:rsidR="0040275F" w:rsidRPr="008E645A" w14:paraId="64FB9468" w14:textId="77777777" w:rsidTr="00367AFB">
        <w:trPr>
          <w:trHeight w:val="227"/>
        </w:trPr>
        <w:tc>
          <w:tcPr>
            <w:tcW w:w="6568" w:type="dxa"/>
            <w:tcBorders>
              <w:top w:val="nil"/>
              <w:left w:val="nil"/>
              <w:bottom w:val="nil"/>
              <w:right w:val="nil"/>
            </w:tcBorders>
            <w:shd w:val="clear" w:color="auto" w:fill="auto"/>
            <w:vAlign w:val="bottom"/>
            <w:hideMark/>
          </w:tcPr>
          <w:p w14:paraId="3E7EBC5E" w14:textId="77777777" w:rsidR="0040275F" w:rsidRPr="008E645A" w:rsidRDefault="0040275F" w:rsidP="00902298">
            <w:pPr>
              <w:ind w:left="184"/>
              <w:rPr>
                <w:rFonts w:ascii="Arial" w:hAnsi="Arial" w:cs="Arial"/>
                <w:color w:val="000000"/>
                <w:sz w:val="16"/>
                <w:szCs w:val="16"/>
                <w:lang w:eastAsia="en-AU"/>
              </w:rPr>
            </w:pPr>
            <w:r w:rsidRPr="008E645A">
              <w:rPr>
                <w:rFonts w:ascii="Arial" w:hAnsi="Arial" w:cs="Arial"/>
                <w:color w:val="000000"/>
                <w:sz w:val="16"/>
                <w:szCs w:val="16"/>
                <w:lang w:eastAsia="en-AU"/>
              </w:rPr>
              <w:t>Sites with critical controls effectively implemented based on proactive assessment</w:t>
            </w:r>
          </w:p>
        </w:tc>
        <w:tc>
          <w:tcPr>
            <w:tcW w:w="756" w:type="dxa"/>
            <w:tcBorders>
              <w:top w:val="nil"/>
              <w:left w:val="nil"/>
              <w:bottom w:val="nil"/>
              <w:right w:val="nil"/>
            </w:tcBorders>
            <w:shd w:val="clear" w:color="auto" w:fill="auto"/>
            <w:noWrap/>
            <w:vAlign w:val="bottom"/>
            <w:hideMark/>
          </w:tcPr>
          <w:p w14:paraId="1F0D3DCA" w14:textId="77777777" w:rsidR="0040275F" w:rsidRPr="008E645A" w:rsidRDefault="0040275F" w:rsidP="00367AFB">
            <w:pPr>
              <w:jc w:val="center"/>
              <w:rPr>
                <w:rFonts w:ascii="Arial" w:hAnsi="Arial" w:cs="Arial"/>
                <w:color w:val="000000"/>
                <w:sz w:val="16"/>
                <w:szCs w:val="16"/>
                <w:lang w:eastAsia="en-AU"/>
              </w:rPr>
            </w:pPr>
            <w:r w:rsidRPr="008E645A">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5A08277A" w14:textId="77777777" w:rsidR="0040275F" w:rsidRPr="008E645A" w:rsidRDefault="0040275F" w:rsidP="00367AFB">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72.0 </w:t>
            </w:r>
          </w:p>
        </w:tc>
        <w:tc>
          <w:tcPr>
            <w:tcW w:w="1176" w:type="dxa"/>
            <w:tcBorders>
              <w:top w:val="nil"/>
              <w:left w:val="nil"/>
              <w:bottom w:val="nil"/>
              <w:right w:val="nil"/>
            </w:tcBorders>
            <w:shd w:val="clear" w:color="auto" w:fill="auto"/>
            <w:noWrap/>
            <w:vAlign w:val="bottom"/>
            <w:hideMark/>
          </w:tcPr>
          <w:p w14:paraId="05DF5CE6" w14:textId="77777777" w:rsidR="0040275F" w:rsidRPr="008E645A" w:rsidRDefault="0040275F" w:rsidP="00367AFB">
            <w:pPr>
              <w:jc w:val="right"/>
              <w:rPr>
                <w:rFonts w:ascii="Arial" w:hAnsi="Arial" w:cs="Arial"/>
                <w:color w:val="000000"/>
                <w:sz w:val="16"/>
                <w:szCs w:val="16"/>
                <w:lang w:eastAsia="en-AU"/>
              </w:rPr>
            </w:pPr>
            <w:r>
              <w:rPr>
                <w:rFonts w:ascii="Arial" w:hAnsi="Arial" w:cs="Arial"/>
                <w:color w:val="000000"/>
                <w:sz w:val="16"/>
                <w:szCs w:val="16"/>
                <w:lang w:eastAsia="en-AU"/>
              </w:rPr>
              <w:t>69.0</w:t>
            </w:r>
            <w:r w:rsidRPr="008E645A">
              <w:rPr>
                <w:rFonts w:ascii="Arial" w:hAnsi="Arial" w:cs="Arial"/>
                <w:color w:val="000000"/>
                <w:sz w:val="16"/>
                <w:szCs w:val="16"/>
                <w:lang w:eastAsia="en-AU"/>
              </w:rPr>
              <w:t xml:space="preserve"> </w:t>
            </w:r>
          </w:p>
        </w:tc>
      </w:tr>
      <w:tr w:rsidR="0040275F" w:rsidRPr="008E645A" w14:paraId="0F3213CC" w14:textId="77777777" w:rsidTr="00367AFB">
        <w:trPr>
          <w:trHeight w:val="397"/>
        </w:trPr>
        <w:tc>
          <w:tcPr>
            <w:tcW w:w="6568" w:type="dxa"/>
            <w:tcBorders>
              <w:top w:val="nil"/>
              <w:left w:val="nil"/>
              <w:bottom w:val="nil"/>
              <w:right w:val="nil"/>
            </w:tcBorders>
            <w:shd w:val="clear" w:color="auto" w:fill="auto"/>
            <w:vAlign w:val="bottom"/>
            <w:hideMark/>
          </w:tcPr>
          <w:p w14:paraId="766D029E" w14:textId="77777777" w:rsidR="0040275F" w:rsidRPr="008E645A" w:rsidRDefault="0040275F" w:rsidP="00902298">
            <w:pPr>
              <w:ind w:left="184"/>
              <w:rPr>
                <w:rFonts w:ascii="Arial" w:hAnsi="Arial" w:cs="Arial"/>
                <w:color w:val="000000"/>
                <w:sz w:val="16"/>
                <w:szCs w:val="16"/>
                <w:lang w:eastAsia="en-AU"/>
              </w:rPr>
            </w:pPr>
            <w:r w:rsidRPr="008E645A">
              <w:rPr>
                <w:rFonts w:ascii="Arial" w:hAnsi="Arial" w:cs="Arial"/>
                <w:color w:val="000000"/>
                <w:sz w:val="16"/>
                <w:szCs w:val="16"/>
                <w:lang w:eastAsia="en-AU"/>
              </w:rPr>
              <w:t>Proportion of high risk and priority mine sites proactively inspected for compliance with WHS &amp; Mining Act requirement</w:t>
            </w:r>
            <w:r>
              <w:rPr>
                <w:rFonts w:ascii="Arial" w:hAnsi="Arial" w:cs="Arial"/>
                <w:color w:val="000000"/>
                <w:sz w:val="16"/>
                <w:szCs w:val="16"/>
                <w:lang w:eastAsia="en-AU"/>
              </w:rPr>
              <w:t>s</w:t>
            </w:r>
          </w:p>
        </w:tc>
        <w:tc>
          <w:tcPr>
            <w:tcW w:w="756" w:type="dxa"/>
            <w:tcBorders>
              <w:top w:val="nil"/>
              <w:left w:val="nil"/>
              <w:bottom w:val="nil"/>
              <w:right w:val="nil"/>
            </w:tcBorders>
            <w:shd w:val="clear" w:color="auto" w:fill="auto"/>
            <w:noWrap/>
            <w:vAlign w:val="bottom"/>
            <w:hideMark/>
          </w:tcPr>
          <w:p w14:paraId="4F0A64C1" w14:textId="77777777" w:rsidR="0040275F" w:rsidRPr="00217357" w:rsidRDefault="0040275F" w:rsidP="00367AFB">
            <w:pPr>
              <w:jc w:val="center"/>
              <w:rPr>
                <w:rFonts w:ascii="Arial" w:hAnsi="Arial" w:cs="Arial"/>
                <w:color w:val="000000"/>
                <w:sz w:val="16"/>
                <w:szCs w:val="16"/>
                <w:lang w:eastAsia="en-AU"/>
              </w:rPr>
            </w:pPr>
            <w:r w:rsidRPr="00217357">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5CC8159B" w14:textId="77777777" w:rsidR="0040275F" w:rsidRPr="008E645A" w:rsidRDefault="0040275F" w:rsidP="00367AFB">
            <w:pPr>
              <w:jc w:val="right"/>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hideMark/>
          </w:tcPr>
          <w:p w14:paraId="02F1BED1" w14:textId="77777777" w:rsidR="0040275F" w:rsidRPr="008E645A" w:rsidRDefault="0040275F" w:rsidP="00367AFB">
            <w:pPr>
              <w:jc w:val="right"/>
              <w:rPr>
                <w:lang w:eastAsia="en-AU"/>
              </w:rPr>
            </w:pPr>
          </w:p>
        </w:tc>
      </w:tr>
      <w:tr w:rsidR="0040275F" w:rsidRPr="008E645A" w14:paraId="37567B01" w14:textId="77777777" w:rsidTr="00272579">
        <w:trPr>
          <w:trHeight w:val="227"/>
        </w:trPr>
        <w:tc>
          <w:tcPr>
            <w:tcW w:w="6568" w:type="dxa"/>
            <w:tcBorders>
              <w:top w:val="nil"/>
              <w:left w:val="nil"/>
              <w:bottom w:val="nil"/>
              <w:right w:val="nil"/>
            </w:tcBorders>
            <w:shd w:val="clear" w:color="auto" w:fill="auto"/>
            <w:vAlign w:val="bottom"/>
            <w:hideMark/>
          </w:tcPr>
          <w:p w14:paraId="0F2E319C" w14:textId="77777777" w:rsidR="0040275F" w:rsidRPr="008E645A" w:rsidRDefault="0040275F" w:rsidP="00272579">
            <w:pPr>
              <w:ind w:firstLineChars="300" w:firstLine="480"/>
              <w:rPr>
                <w:rFonts w:ascii="Arial" w:hAnsi="Arial" w:cs="Arial"/>
                <w:color w:val="000000"/>
                <w:sz w:val="16"/>
                <w:szCs w:val="16"/>
                <w:lang w:eastAsia="en-AU"/>
              </w:rPr>
            </w:pPr>
            <w:r w:rsidRPr="008E645A">
              <w:rPr>
                <w:rFonts w:ascii="Arial" w:hAnsi="Arial" w:cs="Arial"/>
                <w:color w:val="000000"/>
                <w:sz w:val="16"/>
                <w:szCs w:val="16"/>
                <w:lang w:eastAsia="en-AU"/>
              </w:rPr>
              <w:t>WHS</w:t>
            </w:r>
          </w:p>
        </w:tc>
        <w:tc>
          <w:tcPr>
            <w:tcW w:w="756" w:type="dxa"/>
            <w:tcBorders>
              <w:top w:val="nil"/>
              <w:left w:val="nil"/>
              <w:bottom w:val="nil"/>
              <w:right w:val="nil"/>
            </w:tcBorders>
            <w:shd w:val="clear" w:color="auto" w:fill="auto"/>
            <w:noWrap/>
            <w:vAlign w:val="bottom"/>
            <w:hideMark/>
          </w:tcPr>
          <w:p w14:paraId="7A31F680" w14:textId="77777777" w:rsidR="0040275F" w:rsidRPr="00217357" w:rsidRDefault="0040275F" w:rsidP="00272579">
            <w:pPr>
              <w:ind w:firstLineChars="300" w:firstLine="480"/>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hideMark/>
          </w:tcPr>
          <w:p w14:paraId="69CA7B9E" w14:textId="77777777" w:rsidR="0040275F" w:rsidRPr="008E645A" w:rsidRDefault="0040275F" w:rsidP="00272579">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97.0 </w:t>
            </w:r>
          </w:p>
        </w:tc>
        <w:tc>
          <w:tcPr>
            <w:tcW w:w="1176" w:type="dxa"/>
            <w:tcBorders>
              <w:top w:val="nil"/>
              <w:left w:val="nil"/>
              <w:bottom w:val="nil"/>
              <w:right w:val="nil"/>
            </w:tcBorders>
            <w:shd w:val="clear" w:color="auto" w:fill="auto"/>
            <w:noWrap/>
            <w:vAlign w:val="bottom"/>
            <w:hideMark/>
          </w:tcPr>
          <w:p w14:paraId="17F544A0" w14:textId="77777777" w:rsidR="0040275F" w:rsidRPr="008E645A" w:rsidRDefault="0040275F" w:rsidP="00272579">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100.0 </w:t>
            </w:r>
          </w:p>
        </w:tc>
      </w:tr>
      <w:tr w:rsidR="0040275F" w:rsidRPr="008E645A" w14:paraId="58180202" w14:textId="77777777" w:rsidTr="00272579">
        <w:trPr>
          <w:trHeight w:val="227"/>
        </w:trPr>
        <w:tc>
          <w:tcPr>
            <w:tcW w:w="6568" w:type="dxa"/>
            <w:tcBorders>
              <w:top w:val="nil"/>
              <w:left w:val="nil"/>
              <w:bottom w:val="nil"/>
              <w:right w:val="nil"/>
            </w:tcBorders>
            <w:shd w:val="clear" w:color="auto" w:fill="auto"/>
            <w:vAlign w:val="bottom"/>
            <w:hideMark/>
          </w:tcPr>
          <w:p w14:paraId="0BB996C7" w14:textId="77777777" w:rsidR="0040275F" w:rsidRPr="008E645A" w:rsidRDefault="0040275F" w:rsidP="00272579">
            <w:pPr>
              <w:ind w:firstLineChars="300" w:firstLine="480"/>
              <w:rPr>
                <w:rFonts w:ascii="Arial" w:hAnsi="Arial" w:cs="Arial"/>
                <w:color w:val="000000"/>
                <w:sz w:val="16"/>
                <w:szCs w:val="16"/>
                <w:lang w:eastAsia="en-AU"/>
              </w:rPr>
            </w:pPr>
            <w:r w:rsidRPr="008E645A">
              <w:rPr>
                <w:rFonts w:ascii="Arial" w:hAnsi="Arial" w:cs="Arial"/>
                <w:color w:val="000000"/>
                <w:sz w:val="16"/>
                <w:szCs w:val="16"/>
                <w:lang w:eastAsia="en-AU"/>
              </w:rPr>
              <w:t>Mining Act</w:t>
            </w:r>
          </w:p>
        </w:tc>
        <w:tc>
          <w:tcPr>
            <w:tcW w:w="756" w:type="dxa"/>
            <w:tcBorders>
              <w:top w:val="nil"/>
              <w:left w:val="nil"/>
              <w:bottom w:val="nil"/>
              <w:right w:val="nil"/>
            </w:tcBorders>
            <w:shd w:val="clear" w:color="auto" w:fill="auto"/>
            <w:noWrap/>
            <w:vAlign w:val="bottom"/>
            <w:hideMark/>
          </w:tcPr>
          <w:p w14:paraId="69DA19B8" w14:textId="77777777" w:rsidR="0040275F" w:rsidRPr="008E645A" w:rsidRDefault="0040275F" w:rsidP="00272579">
            <w:pPr>
              <w:ind w:firstLineChars="300" w:firstLine="480"/>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hideMark/>
          </w:tcPr>
          <w:p w14:paraId="6F19A858" w14:textId="77777777" w:rsidR="0040275F" w:rsidRPr="008E645A" w:rsidRDefault="0040275F" w:rsidP="00272579">
            <w:pPr>
              <w:jc w:val="right"/>
              <w:rPr>
                <w:rFonts w:ascii="Arial" w:hAnsi="Arial" w:cs="Arial"/>
                <w:color w:val="000000"/>
                <w:sz w:val="16"/>
                <w:szCs w:val="16"/>
                <w:lang w:eastAsia="en-AU"/>
              </w:rPr>
            </w:pPr>
            <w:r w:rsidRPr="008E645A">
              <w:rPr>
                <w:rFonts w:ascii="Arial" w:hAnsi="Arial" w:cs="Arial"/>
                <w:color w:val="000000"/>
                <w:sz w:val="16"/>
                <w:szCs w:val="16"/>
                <w:lang w:eastAsia="en-AU"/>
              </w:rPr>
              <w:t xml:space="preserve">51.0 </w:t>
            </w:r>
          </w:p>
        </w:tc>
        <w:tc>
          <w:tcPr>
            <w:tcW w:w="1176" w:type="dxa"/>
            <w:tcBorders>
              <w:top w:val="nil"/>
              <w:left w:val="nil"/>
              <w:bottom w:val="nil"/>
              <w:right w:val="nil"/>
            </w:tcBorders>
            <w:shd w:val="clear" w:color="auto" w:fill="auto"/>
            <w:noWrap/>
            <w:vAlign w:val="bottom"/>
            <w:hideMark/>
          </w:tcPr>
          <w:p w14:paraId="465C2584" w14:textId="77777777" w:rsidR="0040275F" w:rsidRPr="008E645A" w:rsidRDefault="0040275F" w:rsidP="00272579">
            <w:pPr>
              <w:jc w:val="right"/>
              <w:rPr>
                <w:rFonts w:ascii="Arial" w:hAnsi="Arial" w:cs="Arial"/>
                <w:color w:val="000000"/>
                <w:sz w:val="16"/>
                <w:szCs w:val="16"/>
                <w:lang w:eastAsia="en-AU"/>
              </w:rPr>
            </w:pPr>
            <w:r>
              <w:rPr>
                <w:rFonts w:ascii="Arial" w:hAnsi="Arial" w:cs="Arial"/>
                <w:color w:val="000000"/>
                <w:sz w:val="16"/>
                <w:szCs w:val="16"/>
                <w:lang w:eastAsia="en-AU"/>
              </w:rPr>
              <w:t>53</w:t>
            </w:r>
            <w:r w:rsidRPr="008E645A">
              <w:rPr>
                <w:rFonts w:ascii="Arial" w:hAnsi="Arial" w:cs="Arial"/>
                <w:color w:val="000000"/>
                <w:sz w:val="16"/>
                <w:szCs w:val="16"/>
                <w:lang w:eastAsia="en-AU"/>
              </w:rPr>
              <w:t xml:space="preserve">.0 </w:t>
            </w:r>
          </w:p>
        </w:tc>
      </w:tr>
    </w:tbl>
    <w:p w14:paraId="0065822B" w14:textId="77777777" w:rsidR="00902298" w:rsidRDefault="00902298" w:rsidP="0040275F">
      <w:pPr>
        <w:rPr>
          <w:rFonts w:ascii="Arial" w:eastAsia="Calibri" w:hAnsi="Arial" w:cs="Arial"/>
          <w:sz w:val="17"/>
          <w:szCs w:val="17"/>
        </w:rPr>
      </w:pPr>
    </w:p>
    <w:p w14:paraId="2C11E463" w14:textId="4D383567" w:rsidR="0040275F" w:rsidRPr="00EC6927" w:rsidRDefault="0040275F" w:rsidP="0040275F">
      <w:pPr>
        <w:rPr>
          <w:rFonts w:ascii="Arial" w:eastAsia="Calibri" w:hAnsi="Arial" w:cs="Arial"/>
          <w:sz w:val="17"/>
          <w:szCs w:val="17"/>
        </w:rPr>
      </w:pPr>
      <w:r w:rsidRPr="00EC6927">
        <w:rPr>
          <w:rFonts w:ascii="Arial" w:eastAsia="Calibri" w:hAnsi="Arial" w:cs="Arial"/>
          <w:sz w:val="17"/>
          <w:szCs w:val="17"/>
        </w:rPr>
        <w:t>Note</w:t>
      </w:r>
    </w:p>
    <w:p w14:paraId="457385C1" w14:textId="77777777" w:rsidR="0040275F" w:rsidRPr="00B65E2F" w:rsidRDefault="0040275F" w:rsidP="0040275F">
      <w:pPr>
        <w:pStyle w:val="ListParagraph"/>
        <w:numPr>
          <w:ilvl w:val="0"/>
          <w:numId w:val="28"/>
        </w:numPr>
        <w:ind w:left="357" w:hanging="357"/>
        <w:rPr>
          <w:sz w:val="17"/>
          <w:szCs w:val="17"/>
        </w:rPr>
      </w:pPr>
      <w:r w:rsidRPr="00B65E2F">
        <w:rPr>
          <w:rFonts w:cs="Arial"/>
          <w:sz w:val="17"/>
          <w:szCs w:val="17"/>
          <w:lang w:eastAsia="en-AU"/>
        </w:rPr>
        <w:t xml:space="preserve">There has been a change to the reporting methodology for this Outcome Indicator. New Service Delivery Standards and performance and reporting framework were introduced in </w:t>
      </w:r>
      <w:r>
        <w:rPr>
          <w:rFonts w:cs="Arial"/>
          <w:sz w:val="17"/>
          <w:szCs w:val="17"/>
          <w:lang w:eastAsia="en-AU"/>
        </w:rPr>
        <w:t>Quarter 2 2021-22</w:t>
      </w:r>
      <w:r w:rsidRPr="00B65E2F">
        <w:rPr>
          <w:rFonts w:cs="Arial"/>
          <w:sz w:val="17"/>
          <w:szCs w:val="17"/>
          <w:lang w:eastAsia="en-AU"/>
        </w:rPr>
        <w:t>, following consultation with industry. This resulted in an expected reduction in performance compared to prior years. Performance is expected to increase as the business adjusts and integrates working and procedural practices against the new framework.</w:t>
      </w:r>
    </w:p>
    <w:p w14:paraId="7BDF0424" w14:textId="77777777" w:rsidR="0040275F" w:rsidRPr="00B65E2F" w:rsidRDefault="0040275F" w:rsidP="0040275F">
      <w:pPr>
        <w:pStyle w:val="ListParagraph"/>
        <w:numPr>
          <w:ilvl w:val="0"/>
          <w:numId w:val="28"/>
        </w:numPr>
        <w:ind w:left="357" w:hanging="357"/>
        <w:rPr>
          <w:rFonts w:cs="Arial"/>
          <w:sz w:val="17"/>
          <w:szCs w:val="17"/>
        </w:rPr>
      </w:pPr>
      <w:r w:rsidRPr="00B65E2F">
        <w:rPr>
          <w:rFonts w:cs="Arial"/>
          <w:color w:val="000000" w:themeColor="text1"/>
          <w:sz w:val="17"/>
          <w:szCs w:val="17"/>
          <w:lang w:eastAsia="en-AU"/>
        </w:rPr>
        <w:t>As this indicator is measured on a calendar year basis, 2021-22 actual data and 2022-23 forecast relates to 2021 and 2022 respectively.</w:t>
      </w:r>
    </w:p>
    <w:p w14:paraId="35AEE0C6" w14:textId="77777777" w:rsidR="0040275F" w:rsidRPr="005A5A34" w:rsidRDefault="0040275F" w:rsidP="0040275F">
      <w:r w:rsidRPr="005A5A34">
        <w:br w:type="page"/>
      </w:r>
    </w:p>
    <w:p w14:paraId="4D0B1693" w14:textId="6E64BA11" w:rsidR="000D308F" w:rsidRPr="00DB171A" w:rsidRDefault="00DA6630" w:rsidP="00DB171A">
      <w:pPr>
        <w:pStyle w:val="Heading2"/>
        <w:ind w:left="709" w:hanging="709"/>
        <w:rPr>
          <w:rFonts w:ascii="Arial" w:hAnsi="Arial" w:cs="Arial"/>
        </w:rPr>
      </w:pPr>
      <w:r w:rsidRPr="00DB171A">
        <w:lastRenderedPageBreak/>
        <w:t>Outcome</w:t>
      </w:r>
      <w:r w:rsidRPr="00DB171A">
        <w:rPr>
          <w:rFonts w:ascii="Arial" w:hAnsi="Arial" w:cs="Arial"/>
        </w:rPr>
        <w:t xml:space="preserve"> </w:t>
      </w:r>
      <w:r w:rsidR="008049C6" w:rsidRPr="00DB171A">
        <w:rPr>
          <w:rFonts w:ascii="Arial" w:hAnsi="Arial" w:cs="Arial"/>
        </w:rPr>
        <w:t>4</w:t>
      </w:r>
      <w:r w:rsidRPr="00DB171A">
        <w:rPr>
          <w:rFonts w:ascii="Arial" w:hAnsi="Arial" w:cs="Arial"/>
        </w:rPr>
        <w:t xml:space="preserve">: </w:t>
      </w:r>
      <w:r w:rsidR="006D5500" w:rsidRPr="00DB171A">
        <w:rPr>
          <w:rFonts w:ascii="Arial" w:hAnsi="Arial" w:cs="Arial"/>
        </w:rPr>
        <w:t>Productive and sustainable land use</w:t>
      </w:r>
    </w:p>
    <w:tbl>
      <w:tblPr>
        <w:tblpPr w:leftFromText="180" w:rightFromText="180" w:vertAnchor="text" w:horzAnchor="margin" w:tblpXSpec="right" w:tblpY="643"/>
        <w:tblW w:w="1809" w:type="pct"/>
        <w:shd w:val="pct5" w:color="auto" w:fill="auto"/>
        <w:tblCellMar>
          <w:left w:w="115" w:type="dxa"/>
          <w:right w:w="115" w:type="dxa"/>
        </w:tblCellMar>
        <w:tblLook w:val="04A0" w:firstRow="1" w:lastRow="0" w:firstColumn="1" w:lastColumn="0" w:noHBand="0" w:noVBand="1"/>
        <w:tblCaption w:val="6.3 Outcome 1: Productive and sustainable land use"/>
        <w:tblDescription w:val="6.3 Outcome 1: Productive and sustainable land use"/>
      </w:tblPr>
      <w:tblGrid>
        <w:gridCol w:w="1046"/>
        <w:gridCol w:w="1250"/>
        <w:gridCol w:w="1191"/>
      </w:tblGrid>
      <w:tr w:rsidR="00F423F6" w:rsidRPr="00F8244B" w14:paraId="73F58A43" w14:textId="77777777" w:rsidTr="00902298">
        <w:trPr>
          <w:cantSplit/>
          <w:trHeight w:val="784"/>
        </w:trPr>
        <w:tc>
          <w:tcPr>
            <w:tcW w:w="1499" w:type="pct"/>
            <w:shd w:val="pct5" w:color="auto" w:fill="auto"/>
            <w:vAlign w:val="center"/>
          </w:tcPr>
          <w:p w14:paraId="3D6DE60F" w14:textId="28352F12" w:rsidR="00F423F6" w:rsidRPr="00F8244B" w:rsidRDefault="00F423F6" w:rsidP="00F423F6">
            <w:pPr>
              <w:spacing w:before="120" w:after="120"/>
              <w:rPr>
                <w:rFonts w:ascii="Arial" w:hAnsi="Arial" w:cs="Arial"/>
                <w:sz w:val="23"/>
                <w:szCs w:val="23"/>
              </w:rPr>
            </w:pPr>
            <w:r>
              <w:rPr>
                <w:rFonts w:ascii="Arial" w:hAnsi="Arial" w:cs="Arial"/>
                <w:noProof/>
              </w:rPr>
              <w:drawing>
                <wp:inline distT="0" distB="0" distL="0" distR="0" wp14:anchorId="1B5B8D9F" wp14:editId="2254DC90">
                  <wp:extent cx="518160" cy="5184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3C1FB36D" w14:textId="6B469CCF" w:rsidR="00F423F6" w:rsidRPr="00BB5778" w:rsidRDefault="00F423F6" w:rsidP="00F423F6">
            <w:pPr>
              <w:spacing w:before="120" w:after="120"/>
              <w:jc w:val="center"/>
              <w:rPr>
                <w:rFonts w:ascii="Arial" w:hAnsi="Arial" w:cs="Arial"/>
                <w:color w:val="00ABE6"/>
                <w:sz w:val="18"/>
                <w:szCs w:val="18"/>
              </w:rPr>
            </w:pPr>
            <w:r w:rsidRPr="00BB5778">
              <w:rPr>
                <w:rFonts w:ascii="Arial" w:hAnsi="Arial" w:cs="Arial"/>
                <w:color w:val="00ABE6"/>
                <w:sz w:val="18"/>
                <w:szCs w:val="18"/>
              </w:rPr>
              <w:t>$</w:t>
            </w:r>
            <w:r w:rsidR="00956E67" w:rsidRPr="00BB5778">
              <w:rPr>
                <w:rFonts w:ascii="Arial" w:hAnsi="Arial" w:cs="Arial"/>
                <w:color w:val="00ABE6"/>
                <w:sz w:val="18"/>
                <w:szCs w:val="18"/>
              </w:rPr>
              <w:t>24</w:t>
            </w:r>
            <w:r w:rsidR="00CD204A" w:rsidRPr="00BB5778">
              <w:rPr>
                <w:rFonts w:ascii="Arial" w:hAnsi="Arial" w:cs="Arial"/>
                <w:color w:val="00ABE6"/>
                <w:sz w:val="18"/>
                <w:szCs w:val="18"/>
              </w:rPr>
              <w:t>4</w:t>
            </w:r>
            <w:r w:rsidR="00956E67" w:rsidRPr="00BB5778">
              <w:rPr>
                <w:rFonts w:ascii="Arial" w:hAnsi="Arial" w:cs="Arial"/>
                <w:color w:val="00ABE6"/>
                <w:sz w:val="18"/>
                <w:szCs w:val="18"/>
              </w:rPr>
              <w:t>.</w:t>
            </w:r>
            <w:r w:rsidR="00CD204A" w:rsidRPr="00BB5778">
              <w:rPr>
                <w:rFonts w:ascii="Arial" w:hAnsi="Arial" w:cs="Arial"/>
                <w:color w:val="00ABE6"/>
                <w:sz w:val="18"/>
                <w:szCs w:val="18"/>
              </w:rPr>
              <w:t>1</w:t>
            </w:r>
            <w:r w:rsidR="00956E67" w:rsidRPr="00BB5778">
              <w:rPr>
                <w:rFonts w:ascii="Arial" w:hAnsi="Arial" w:cs="Arial"/>
                <w:color w:val="00ABE6"/>
                <w:sz w:val="18"/>
                <w:szCs w:val="18"/>
              </w:rPr>
              <w:t xml:space="preserve"> </w:t>
            </w:r>
            <w:r w:rsidRPr="00BB5778">
              <w:rPr>
                <w:rFonts w:ascii="Arial" w:hAnsi="Arial" w:cs="Arial"/>
                <w:color w:val="00ABE6"/>
                <w:sz w:val="18"/>
                <w:szCs w:val="18"/>
              </w:rPr>
              <w:t>million</w:t>
            </w:r>
          </w:p>
        </w:tc>
        <w:tc>
          <w:tcPr>
            <w:tcW w:w="1707" w:type="pct"/>
            <w:shd w:val="pct5" w:color="auto" w:fill="auto"/>
            <w:vAlign w:val="center"/>
          </w:tcPr>
          <w:p w14:paraId="639FC94A" w14:textId="77777777" w:rsidR="00F423F6" w:rsidRPr="0011239F" w:rsidRDefault="00F423F6" w:rsidP="00F423F6">
            <w:pPr>
              <w:rPr>
                <w:rFonts w:ascii="Arial" w:hAnsi="Arial" w:cs="Arial"/>
                <w:color w:val="00ABE6"/>
                <w:sz w:val="18"/>
                <w:szCs w:val="18"/>
              </w:rPr>
            </w:pPr>
            <w:r w:rsidRPr="0011239F">
              <w:rPr>
                <w:rFonts w:ascii="Arial" w:hAnsi="Arial" w:cs="Arial"/>
                <w:color w:val="00ABE6"/>
                <w:sz w:val="18"/>
                <w:szCs w:val="18"/>
              </w:rPr>
              <w:t>Recurrent</w:t>
            </w:r>
          </w:p>
          <w:p w14:paraId="27333E9B" w14:textId="03FA1951" w:rsidR="00F423F6" w:rsidRPr="00F8244B" w:rsidRDefault="00F423F6" w:rsidP="00F423F6">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F423F6" w:rsidRPr="00F8244B" w14:paraId="63F6EB46" w14:textId="77777777" w:rsidTr="00902298">
        <w:trPr>
          <w:cantSplit/>
          <w:trHeight w:val="784"/>
        </w:trPr>
        <w:tc>
          <w:tcPr>
            <w:tcW w:w="1499" w:type="pct"/>
            <w:shd w:val="pct5" w:color="auto" w:fill="auto"/>
            <w:vAlign w:val="center"/>
          </w:tcPr>
          <w:p w14:paraId="2DC610E5" w14:textId="0ADC1A6C" w:rsidR="00F423F6" w:rsidRPr="00F8244B" w:rsidRDefault="00F423F6" w:rsidP="00F423F6">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38EE523D" wp14:editId="29D5C00F">
                  <wp:extent cx="518160" cy="518400"/>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282F20B" w14:textId="3E3AC911" w:rsidR="00F423F6" w:rsidRPr="00BB5778" w:rsidRDefault="00F423F6" w:rsidP="00F423F6">
            <w:pPr>
              <w:spacing w:before="120" w:after="120"/>
              <w:jc w:val="center"/>
              <w:rPr>
                <w:rFonts w:ascii="Arial" w:hAnsi="Arial" w:cs="Arial"/>
                <w:color w:val="00ABE6"/>
                <w:sz w:val="18"/>
                <w:szCs w:val="18"/>
              </w:rPr>
            </w:pPr>
            <w:r w:rsidRPr="00BB5778">
              <w:rPr>
                <w:rFonts w:ascii="Arial" w:hAnsi="Arial" w:cs="Arial"/>
                <w:color w:val="00ABE6"/>
                <w:sz w:val="18"/>
                <w:szCs w:val="18"/>
              </w:rPr>
              <w:t>$</w:t>
            </w:r>
            <w:r w:rsidR="00732660" w:rsidRPr="00BB5778">
              <w:rPr>
                <w:rFonts w:ascii="Arial" w:hAnsi="Arial" w:cs="Arial"/>
                <w:color w:val="00ABE6"/>
                <w:sz w:val="18"/>
                <w:szCs w:val="18"/>
              </w:rPr>
              <w:t>14.8</w:t>
            </w:r>
            <w:r w:rsidR="00803564" w:rsidRPr="00BB5778">
              <w:rPr>
                <w:rFonts w:ascii="Arial" w:hAnsi="Arial" w:cs="Arial"/>
                <w:color w:val="00ABE6"/>
                <w:sz w:val="18"/>
                <w:szCs w:val="18"/>
              </w:rPr>
              <w:br/>
            </w:r>
            <w:r w:rsidRPr="00BB5778">
              <w:rPr>
                <w:rFonts w:ascii="Arial" w:hAnsi="Arial" w:cs="Arial"/>
                <w:color w:val="00ABE6"/>
                <w:sz w:val="18"/>
                <w:szCs w:val="18"/>
              </w:rPr>
              <w:t>million</w:t>
            </w:r>
          </w:p>
        </w:tc>
        <w:tc>
          <w:tcPr>
            <w:tcW w:w="1707" w:type="pct"/>
            <w:shd w:val="pct5" w:color="auto" w:fill="auto"/>
            <w:vAlign w:val="center"/>
          </w:tcPr>
          <w:p w14:paraId="148C431A" w14:textId="2952F602" w:rsidR="00F423F6" w:rsidRPr="00F8244B" w:rsidRDefault="00F423F6" w:rsidP="00F423F6">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42586F04" w14:textId="0EC56236" w:rsidR="00587A00" w:rsidRPr="00974CE7" w:rsidRDefault="00587A00" w:rsidP="00587A00">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p w14:paraId="6A5A1BCD" w14:textId="53272A8D" w:rsidR="005E68E7" w:rsidRDefault="005E68E7" w:rsidP="00902298">
      <w:pPr>
        <w:pStyle w:val="BodyText"/>
      </w:pPr>
      <w:r w:rsidRPr="00984FB7">
        <w:t>Everyone in New South Wales will benefit from well managed access to, and use of, natural resources that maximise economic opportunities in a safe and sustainable way.</w:t>
      </w:r>
      <w:r>
        <w:t xml:space="preserve"> </w:t>
      </w:r>
    </w:p>
    <w:p w14:paraId="5A00432F" w14:textId="12E57DF6" w:rsidR="00605A27" w:rsidRPr="00984FB7" w:rsidRDefault="00605A27" w:rsidP="00902298">
      <w:pPr>
        <w:pStyle w:val="BodyText"/>
      </w:pPr>
      <w:r w:rsidRPr="00984FB7">
        <w:t xml:space="preserve">Led by Local Land Services (LLS), this Outcome realises improved sustainability and productivity of public and private land through delivery of LLS’ legislated services, including travelling stock reserves, natural resource management, agricultural advice, animal and plant biosecurity and emergency management. This is achieved by providing on-ground and frontline support to land managers. </w:t>
      </w:r>
    </w:p>
    <w:p w14:paraId="3B7275FA" w14:textId="77777777" w:rsidR="004E3560" w:rsidRPr="000101AC" w:rsidRDefault="004E3560" w:rsidP="004E3560">
      <w:pPr>
        <w:pStyle w:val="Heading3"/>
        <w:rPr>
          <w:rFonts w:cs="Arial"/>
        </w:rPr>
      </w:pPr>
      <w:bookmarkStart w:id="5" w:name="_Toc516321120"/>
      <w:r>
        <w:rPr>
          <w:rFonts w:cs="Arial"/>
        </w:rPr>
        <w:t>2022-23</w:t>
      </w:r>
      <w:r w:rsidRPr="000101AC">
        <w:rPr>
          <w:rFonts w:cs="Arial"/>
        </w:rPr>
        <w:t xml:space="preserve"> </w:t>
      </w:r>
      <w:r>
        <w:rPr>
          <w:rFonts w:cs="Arial"/>
        </w:rPr>
        <w:t xml:space="preserve">State Outcome </w:t>
      </w:r>
      <w:r w:rsidRPr="000101AC">
        <w:rPr>
          <w:rFonts w:cs="Arial"/>
        </w:rPr>
        <w:t xml:space="preserve">Budget </w:t>
      </w:r>
      <w:r>
        <w:rPr>
          <w:rFonts w:cs="Arial"/>
        </w:rPr>
        <w:t>h</w:t>
      </w:r>
      <w:r w:rsidRPr="000101AC">
        <w:rPr>
          <w:rFonts w:cs="Arial"/>
        </w:rPr>
        <w:t xml:space="preserve">ighlights </w:t>
      </w:r>
      <w:bookmarkStart w:id="6" w:name="_Hlk7525578"/>
    </w:p>
    <w:bookmarkEnd w:id="6"/>
    <w:p w14:paraId="6C32F613" w14:textId="1A6734CA" w:rsidR="004E3560" w:rsidRPr="00453022" w:rsidRDefault="004E3560" w:rsidP="00651093">
      <w:pPr>
        <w:pStyle w:val="BodyText"/>
      </w:pPr>
      <w:r w:rsidRPr="00453022">
        <w:t xml:space="preserve">In 2022-23, the </w:t>
      </w:r>
      <w:r w:rsidR="00257B3F" w:rsidRPr="00453022">
        <w:t>Regional NSW</w:t>
      </w:r>
      <w:r w:rsidR="00F04FC4" w:rsidRPr="00453022">
        <w:t xml:space="preserve"> </w:t>
      </w:r>
      <w:r w:rsidR="003F6179" w:rsidRPr="00453022">
        <w:t>C</w:t>
      </w:r>
      <w:r w:rsidRPr="00453022">
        <w:t>luster will invest $</w:t>
      </w:r>
      <w:r w:rsidR="00AB359C" w:rsidRPr="00453022">
        <w:t>25</w:t>
      </w:r>
      <w:r w:rsidR="000C74A2" w:rsidRPr="00453022">
        <w:t>8</w:t>
      </w:r>
      <w:r w:rsidR="00AB359C" w:rsidRPr="00453022">
        <w:t>.</w:t>
      </w:r>
      <w:r w:rsidR="000C74A2" w:rsidRPr="00453022">
        <w:t>9</w:t>
      </w:r>
      <w:r w:rsidRPr="00453022">
        <w:t xml:space="preserve"> </w:t>
      </w:r>
      <w:r w:rsidR="00AB359C" w:rsidRPr="00453022">
        <w:t xml:space="preserve">million </w:t>
      </w:r>
      <w:r w:rsidRPr="00453022">
        <w:t>($</w:t>
      </w:r>
      <w:r w:rsidR="00A27E7D" w:rsidRPr="00453022">
        <w:t>24</w:t>
      </w:r>
      <w:r w:rsidR="000C74A2" w:rsidRPr="00453022">
        <w:t>4</w:t>
      </w:r>
      <w:r w:rsidR="00A27E7D" w:rsidRPr="00453022">
        <w:t>.</w:t>
      </w:r>
      <w:r w:rsidR="000C74A2" w:rsidRPr="00453022">
        <w:t>1</w:t>
      </w:r>
      <w:r w:rsidRPr="00453022">
        <w:t xml:space="preserve"> </w:t>
      </w:r>
      <w:r w:rsidR="00AB359C" w:rsidRPr="00453022">
        <w:t>million</w:t>
      </w:r>
      <w:r w:rsidRPr="00453022">
        <w:t xml:space="preserve"> recurrent expenses and $</w:t>
      </w:r>
      <w:r w:rsidR="00A27E7D" w:rsidRPr="00453022">
        <w:t>14.8</w:t>
      </w:r>
      <w:r w:rsidRPr="00453022">
        <w:t xml:space="preserve"> million capital expenditure) </w:t>
      </w:r>
      <w:r w:rsidR="00F04FC4" w:rsidRPr="00453022">
        <w:t xml:space="preserve">in this </w:t>
      </w:r>
      <w:r w:rsidR="00E1270D" w:rsidRPr="00453022">
        <w:t>O</w:t>
      </w:r>
      <w:r w:rsidR="00F04FC4" w:rsidRPr="00453022">
        <w:t>utcome</w:t>
      </w:r>
      <w:r w:rsidRPr="00453022">
        <w:t>, including:</w:t>
      </w:r>
    </w:p>
    <w:p w14:paraId="14CD3ADE" w14:textId="4FA926C1" w:rsidR="00CE2B51" w:rsidRPr="00453022" w:rsidRDefault="00F00AD7" w:rsidP="006A57A6">
      <w:pPr>
        <w:pStyle w:val="Bullet1"/>
        <w:rPr>
          <w:i/>
        </w:rPr>
      </w:pPr>
      <w:r w:rsidRPr="00453022">
        <w:rPr>
          <w:rFonts w:eastAsia="Arial"/>
        </w:rPr>
        <w:t>$</w:t>
      </w:r>
      <w:r w:rsidR="007C649E" w:rsidRPr="00453022">
        <w:rPr>
          <w:rFonts w:eastAsia="Arial"/>
        </w:rPr>
        <w:t>81.5</w:t>
      </w:r>
      <w:r w:rsidRPr="00453022">
        <w:rPr>
          <w:rFonts w:eastAsia="Arial"/>
        </w:rPr>
        <w:t xml:space="preserve"> </w:t>
      </w:r>
      <w:r w:rsidRPr="00453022">
        <w:rPr>
          <w:rFonts w:eastAsia="Arial"/>
          <w:color w:val="000000" w:themeColor="text1"/>
          <w:bdr w:val="none" w:sz="0" w:space="0" w:color="auto"/>
        </w:rPr>
        <w:t>million</w:t>
      </w:r>
      <w:r w:rsidR="008171E6" w:rsidRPr="00453022">
        <w:rPr>
          <w:rFonts w:eastAsia="Arial"/>
        </w:rPr>
        <w:t xml:space="preserve"> </w:t>
      </w:r>
      <w:r w:rsidRPr="00453022">
        <w:rPr>
          <w:rFonts w:eastAsia="Arial"/>
        </w:rPr>
        <w:t>($212.1 million in recurrent expenses and $5.4</w:t>
      </w:r>
      <w:r w:rsidRPr="00453022">
        <w:t xml:space="preserve"> million in capital expenditure over four years)</w:t>
      </w:r>
      <w:r w:rsidR="00CE2B51" w:rsidRPr="00453022">
        <w:t xml:space="preserve"> for the conservation and restoration of natural and cultural resources, through conservation, river and coastal restoration and rehabilitation, emergency response, native vegetation management,</w:t>
      </w:r>
      <w:r w:rsidR="00365E87" w:rsidRPr="00453022">
        <w:t xml:space="preserve"> and</w:t>
      </w:r>
      <w:r w:rsidR="00CE2B51" w:rsidRPr="00453022">
        <w:t xml:space="preserve"> pest and weed control in alignment with the </w:t>
      </w:r>
      <w:r w:rsidR="00CE2B51" w:rsidRPr="00453022">
        <w:rPr>
          <w:i/>
        </w:rPr>
        <w:t>Local Land Services Act 2013</w:t>
      </w:r>
    </w:p>
    <w:p w14:paraId="223C0CE3" w14:textId="2F2FB879" w:rsidR="00CB1568" w:rsidRPr="00453022" w:rsidRDefault="008D7560" w:rsidP="006A57A6">
      <w:pPr>
        <w:pStyle w:val="Bullet1"/>
      </w:pPr>
      <w:r w:rsidRPr="00453022">
        <w:t>$</w:t>
      </w:r>
      <w:r w:rsidR="00B643B2" w:rsidRPr="00453022">
        <w:t>74.8</w:t>
      </w:r>
      <w:r w:rsidRPr="00453022">
        <w:t xml:space="preserve"> million</w:t>
      </w:r>
      <w:r w:rsidR="00086443" w:rsidRPr="00453022">
        <w:t xml:space="preserve"> </w:t>
      </w:r>
      <w:r w:rsidRPr="00453022">
        <w:t>($275.4 million in recurrent expenses and $13.1</w:t>
      </w:r>
      <w:r w:rsidR="00973ADE" w:rsidRPr="00453022">
        <w:t xml:space="preserve"> </w:t>
      </w:r>
      <w:r w:rsidRPr="00453022">
        <w:t>million in capital expenditure over four years)</w:t>
      </w:r>
      <w:r w:rsidR="00CD4DE5" w:rsidRPr="00453022">
        <w:t xml:space="preserve"> to protect the economy, environment and community from invasive species, and plant and animal biosecurity risks</w:t>
      </w:r>
    </w:p>
    <w:p w14:paraId="3D618BD8" w14:textId="4DC6ABEB" w:rsidR="009D474F" w:rsidRPr="00453022" w:rsidRDefault="009D474F" w:rsidP="006A57A6">
      <w:pPr>
        <w:pStyle w:val="Bullet1"/>
      </w:pPr>
      <w:r w:rsidRPr="00453022">
        <w:t>$3</w:t>
      </w:r>
      <w:r w:rsidR="004E488C" w:rsidRPr="00453022">
        <w:t>8.8</w:t>
      </w:r>
      <w:r w:rsidRPr="00453022">
        <w:t xml:space="preserve"> million</w:t>
      </w:r>
      <w:r w:rsidR="0038706C" w:rsidRPr="00453022">
        <w:t xml:space="preserve"> </w:t>
      </w:r>
      <w:r w:rsidRPr="00453022">
        <w:t xml:space="preserve">($132.6 million in recurrent </w:t>
      </w:r>
      <w:r w:rsidR="00E90F1A" w:rsidRPr="00453022">
        <w:t>expenses</w:t>
      </w:r>
      <w:r w:rsidRPr="00453022">
        <w:t xml:space="preserve"> and $6.5m capital expenditure over four years) to provide a range of initiatives to support productive and sustainable land use</w:t>
      </w:r>
      <w:r w:rsidR="000645AB" w:rsidRPr="00453022">
        <w:t>. This includes</w:t>
      </w:r>
      <w:r w:rsidRPr="00453022">
        <w:t xml:space="preserve"> climate and market change response initiatives, incentive programs, access to best practice information and technology to </w:t>
      </w:r>
      <w:r w:rsidRPr="00453022">
        <w:rPr>
          <w:lang w:bidi="en-AU"/>
        </w:rPr>
        <w:t>improve farm system resilience, productivity, and sustainability into the future</w:t>
      </w:r>
      <w:r w:rsidR="00332CBF" w:rsidRPr="00453022">
        <w:rPr>
          <w:lang w:bidi="en-AU"/>
        </w:rPr>
        <w:t xml:space="preserve"> </w:t>
      </w:r>
    </w:p>
    <w:p w14:paraId="646BEC9B" w14:textId="59BE45CA" w:rsidR="00360B05" w:rsidRPr="00453022" w:rsidRDefault="00ED3EC5" w:rsidP="006A57A6">
      <w:pPr>
        <w:pStyle w:val="Bullet1"/>
      </w:pPr>
      <w:r w:rsidRPr="00453022">
        <w:t>$</w:t>
      </w:r>
      <w:r w:rsidR="00D9633D" w:rsidRPr="00453022">
        <w:t>30.7</w:t>
      </w:r>
      <w:r w:rsidR="00541ACA" w:rsidRPr="00453022">
        <w:t xml:space="preserve"> m</w:t>
      </w:r>
      <w:r w:rsidRPr="00453022">
        <w:t xml:space="preserve">illion ($106.5 million recurrent </w:t>
      </w:r>
      <w:r w:rsidR="00E90F1A" w:rsidRPr="00453022">
        <w:t>expenses</w:t>
      </w:r>
      <w:r w:rsidRPr="00453022">
        <w:t xml:space="preserve"> and $3.3 million capital expenditure over four years) for Land Management including the delivery of private native forestry extension and approval</w:t>
      </w:r>
      <w:r w:rsidR="00865082" w:rsidRPr="00453022">
        <w:t xml:space="preserve"> </w:t>
      </w:r>
      <w:r w:rsidRPr="00453022">
        <w:t>arrangement reforms</w:t>
      </w:r>
    </w:p>
    <w:p w14:paraId="577FA877" w14:textId="4EB5032F" w:rsidR="00EB7112" w:rsidRDefault="000D4650" w:rsidP="006A57A6">
      <w:pPr>
        <w:pStyle w:val="Bullet1"/>
      </w:pPr>
      <w:r w:rsidRPr="00453022">
        <w:t xml:space="preserve">$29.8 million </w:t>
      </w:r>
      <w:r w:rsidR="000406F9" w:rsidRPr="00453022">
        <w:t xml:space="preserve">in recurrent expenses </w:t>
      </w:r>
      <w:r w:rsidRPr="00453022">
        <w:t>to deliver the National Land Care Program and to partner with Landcare comm</w:t>
      </w:r>
      <w:r w:rsidR="00914541">
        <w:t>unities</w:t>
      </w:r>
      <w:r w:rsidRPr="00453022">
        <w:t xml:space="preserve"> in New South Wales to conserve and fund our natural resource priorities arising from vegetation loss, soil degradation and pests, weeds, and animals</w:t>
      </w:r>
      <w:r w:rsidR="00865082" w:rsidRPr="00453022">
        <w:t>.</w:t>
      </w:r>
    </w:p>
    <w:p w14:paraId="17285708" w14:textId="77777777" w:rsidR="00EB7112" w:rsidRDefault="00EB7112">
      <w:pPr>
        <w:rPr>
          <w:rFonts w:ascii="Arial" w:hAnsi="Arial" w:cs="Arial"/>
          <w:sz w:val="23"/>
          <w:szCs w:val="23"/>
          <w:bdr w:val="none" w:sz="0" w:space="0" w:color="auto" w:frame="1"/>
          <w:shd w:val="clear" w:color="auto" w:fill="FFFFFF"/>
          <w:lang w:val="en-US"/>
        </w:rPr>
      </w:pPr>
      <w:r>
        <w:rPr>
          <w:sz w:val="23"/>
          <w:szCs w:val="23"/>
        </w:rPr>
        <w:br w:type="page"/>
      </w:r>
    </w:p>
    <w:p w14:paraId="18547670" w14:textId="26ACDDB1" w:rsidR="004E3560" w:rsidRDefault="004E3560" w:rsidP="004E3560">
      <w:pPr>
        <w:pStyle w:val="Heading3"/>
        <w:rPr>
          <w:rFonts w:cs="Arial"/>
        </w:rPr>
      </w:pPr>
      <w:r w:rsidRPr="00DC6435">
        <w:rPr>
          <w:rFonts w:cs="Arial"/>
        </w:rPr>
        <w:lastRenderedPageBreak/>
        <w:t>K</w:t>
      </w:r>
      <w:r w:rsidR="002F290F">
        <w:rPr>
          <w:rFonts w:cs="Arial"/>
        </w:rPr>
        <w:t>e</w:t>
      </w:r>
      <w:r w:rsidRPr="00DC6435">
        <w:rPr>
          <w:rFonts w:cs="Arial"/>
        </w:rPr>
        <w:t xml:space="preserve">y performance insights </w:t>
      </w:r>
    </w:p>
    <w:p w14:paraId="7B5062ED" w14:textId="77777777" w:rsidR="004E3560" w:rsidRPr="00EB7112" w:rsidRDefault="004E3560" w:rsidP="00651093">
      <w:pPr>
        <w:pStyle w:val="BodyText"/>
        <w:rPr>
          <w:lang w:eastAsia="en-AU"/>
        </w:rPr>
      </w:pPr>
      <w:r w:rsidRPr="00EB7112">
        <w:rPr>
          <w:lang w:eastAsia="en-AU"/>
        </w:rPr>
        <w:t>This section provides analysis and insights on key Outcome Indicators for this State Outcome.</w:t>
      </w:r>
    </w:p>
    <w:p w14:paraId="6A054953" w14:textId="4081F74C" w:rsidR="00E07A86" w:rsidRPr="00712EBC" w:rsidRDefault="00621DA5" w:rsidP="004E3560">
      <w:pPr>
        <w:keepNext/>
        <w:widowControl w:val="0"/>
        <w:spacing w:before="320" w:after="120" w:line="240" w:lineRule="atLeast"/>
        <w:outlineLvl w:val="3"/>
        <w:rPr>
          <w:rFonts w:ascii="Arial" w:hAnsi="Arial" w:cs="Arial"/>
          <w:b/>
          <w:color w:val="1F497D" w:themeColor="text2"/>
          <w:sz w:val="25"/>
          <w:szCs w:val="25"/>
        </w:rPr>
      </w:pPr>
      <w:r w:rsidRPr="00712EBC">
        <w:rPr>
          <w:rFonts w:ascii="Arial" w:hAnsi="Arial" w:cs="Arial"/>
          <w:b/>
          <w:color w:val="1F497D" w:themeColor="text2"/>
          <w:sz w:val="25"/>
          <w:szCs w:val="25"/>
        </w:rPr>
        <w:t xml:space="preserve">Increased land manager recommendation of </w:t>
      </w:r>
      <w:r w:rsidR="0059319B" w:rsidRPr="00712EBC">
        <w:rPr>
          <w:rFonts w:ascii="Arial" w:hAnsi="Arial" w:cs="Arial"/>
          <w:b/>
          <w:color w:val="1F497D" w:themeColor="text2"/>
          <w:sz w:val="25"/>
          <w:szCs w:val="25"/>
        </w:rPr>
        <w:t>LLS</w:t>
      </w:r>
      <w:r w:rsidRPr="00712EBC">
        <w:rPr>
          <w:rFonts w:ascii="Arial" w:hAnsi="Arial" w:cs="Arial"/>
          <w:b/>
          <w:color w:val="1F497D" w:themeColor="text2"/>
          <w:sz w:val="25"/>
          <w:szCs w:val="25"/>
        </w:rPr>
        <w:t xml:space="preserve"> for services relating to agricultural productivity and natural resource management</w:t>
      </w:r>
    </w:p>
    <w:p w14:paraId="5C723057" w14:textId="1AEF7D7A" w:rsidR="00CD1719" w:rsidRPr="00EB7112" w:rsidRDefault="00CD1719" w:rsidP="00651093">
      <w:pPr>
        <w:pStyle w:val="BodyText"/>
        <w:rPr>
          <w:lang w:eastAsia="en-AU"/>
        </w:rPr>
      </w:pPr>
      <w:r w:rsidRPr="00EB7112">
        <w:rPr>
          <w:lang w:eastAsia="en-AU"/>
        </w:rPr>
        <w:t>This indicator demonstrates customer experience and satisfaction with LLS' services and provides valuable insight into which services are working well and which need improvement. It is measured through ongoing monitoring of stakeholder net promoter scores (NPS) and is reviewed against an annual target of greater than 82 per cent.</w:t>
      </w:r>
    </w:p>
    <w:p w14:paraId="667FEC06" w14:textId="6041E3E6" w:rsidR="003F6179" w:rsidRPr="00EB7112" w:rsidRDefault="00CD1719" w:rsidP="00651093">
      <w:pPr>
        <w:pStyle w:val="BodyText"/>
        <w:rPr>
          <w:lang w:eastAsia="en-AU"/>
        </w:rPr>
      </w:pPr>
      <w:r w:rsidRPr="00EB7112">
        <w:rPr>
          <w:lang w:eastAsia="en-AU"/>
        </w:rPr>
        <w:t>Generally, the NPS for LLS trends in the range of 70 to 90 per cent. For the 2021 calendar year</w:t>
      </w:r>
      <w:r w:rsidR="00D41466" w:rsidRPr="00EB7112">
        <w:rPr>
          <w:lang w:eastAsia="en-AU"/>
        </w:rPr>
        <w:t>,</w:t>
      </w:r>
      <w:r w:rsidRPr="00EB7112">
        <w:rPr>
          <w:lang w:eastAsia="en-AU"/>
        </w:rPr>
        <w:t xml:space="preserve"> </w:t>
      </w:r>
      <w:r w:rsidR="00D31184" w:rsidRPr="00EB7112">
        <w:rPr>
          <w:lang w:eastAsia="en-AU"/>
        </w:rPr>
        <w:t xml:space="preserve">the NPS </w:t>
      </w:r>
      <w:r w:rsidR="00BE7999" w:rsidRPr="00EB7112">
        <w:rPr>
          <w:lang w:eastAsia="en-AU"/>
        </w:rPr>
        <w:t xml:space="preserve">was </w:t>
      </w:r>
      <w:r w:rsidRPr="00EB7112">
        <w:rPr>
          <w:lang w:eastAsia="en-AU"/>
        </w:rPr>
        <w:t>85 per cent, above the target of 82 per cent</w:t>
      </w:r>
      <w:r w:rsidR="003F6179" w:rsidRPr="00EB7112">
        <w:rPr>
          <w:lang w:eastAsia="en-AU"/>
        </w:rPr>
        <w:t xml:space="preserve"> and ranged between</w:t>
      </w:r>
      <w:r w:rsidRPr="00EB7112">
        <w:rPr>
          <w:lang w:eastAsia="en-AU"/>
        </w:rPr>
        <w:t xml:space="preserve"> 85 to</w:t>
      </w:r>
      <w:r w:rsidR="0092367C">
        <w:rPr>
          <w:lang w:eastAsia="en-AU"/>
        </w:rPr>
        <w:t xml:space="preserve">     </w:t>
      </w:r>
      <w:r w:rsidRPr="00EB7112">
        <w:rPr>
          <w:lang w:eastAsia="en-AU"/>
        </w:rPr>
        <w:t>94</w:t>
      </w:r>
      <w:r w:rsidR="0092367C">
        <w:rPr>
          <w:lang w:eastAsia="en-AU"/>
        </w:rPr>
        <w:t xml:space="preserve"> </w:t>
      </w:r>
      <w:r w:rsidR="003F6179" w:rsidRPr="00EB7112">
        <w:rPr>
          <w:lang w:eastAsia="en-AU"/>
        </w:rPr>
        <w:t>per cent.</w:t>
      </w:r>
      <w:r w:rsidRPr="00EB7112">
        <w:rPr>
          <w:lang w:eastAsia="en-AU"/>
        </w:rPr>
        <w:t xml:space="preserve"> Th</w:t>
      </w:r>
      <w:r w:rsidR="005E2668" w:rsidRPr="00EB7112">
        <w:rPr>
          <w:lang w:eastAsia="en-AU"/>
        </w:rPr>
        <w:t>e</w:t>
      </w:r>
      <w:r w:rsidRPr="00EB7112">
        <w:rPr>
          <w:lang w:eastAsia="en-AU"/>
        </w:rPr>
        <w:t xml:space="preserve"> high performance </w:t>
      </w:r>
      <w:r w:rsidR="009D1FD8" w:rsidRPr="00EB7112">
        <w:rPr>
          <w:lang w:eastAsia="en-AU"/>
        </w:rPr>
        <w:t xml:space="preserve">against the indicator </w:t>
      </w:r>
      <w:r w:rsidRPr="00EB7112">
        <w:rPr>
          <w:lang w:eastAsia="en-AU"/>
        </w:rPr>
        <w:t>was due to</w:t>
      </w:r>
      <w:r w:rsidR="003F6179" w:rsidRPr="00EB7112">
        <w:rPr>
          <w:lang w:eastAsia="en-AU"/>
        </w:rPr>
        <w:t xml:space="preserve"> the</w:t>
      </w:r>
      <w:r w:rsidRPr="00EB7112">
        <w:rPr>
          <w:lang w:eastAsia="en-AU"/>
        </w:rPr>
        <w:t xml:space="preserve"> increased positive response to LLS support throughout the tough times of drought and bushfire recovery. </w:t>
      </w:r>
    </w:p>
    <w:p w14:paraId="23B561C2" w14:textId="298593AC" w:rsidR="00CD1719" w:rsidRPr="00EB7112" w:rsidRDefault="00CD1719" w:rsidP="00651093">
      <w:pPr>
        <w:pStyle w:val="BodyText"/>
        <w:rPr>
          <w:lang w:eastAsia="en-AU"/>
        </w:rPr>
      </w:pPr>
      <w:r w:rsidRPr="00EB7112">
        <w:rPr>
          <w:lang w:eastAsia="en-AU"/>
        </w:rPr>
        <w:t xml:space="preserve">Performance is expected to continue to meet the target of 82 per cent going forward. LLS actively manages this performance by using data relating to the drivers of NPS scores to tailor its services to the needs of land managers, providing timely advice and </w:t>
      </w:r>
      <w:r w:rsidR="00676FA1" w:rsidRPr="00EB7112">
        <w:rPr>
          <w:lang w:eastAsia="en-AU"/>
        </w:rPr>
        <w:t xml:space="preserve">relevant </w:t>
      </w:r>
      <w:r w:rsidRPr="00EB7112">
        <w:rPr>
          <w:lang w:eastAsia="en-AU"/>
        </w:rPr>
        <w:t>service delivery approaches and programs as required to prevent the spread of pests and diseases, and enhance management of soils, water, plants, animals and their products.</w:t>
      </w:r>
    </w:p>
    <w:p w14:paraId="7BDD2C05" w14:textId="578958C2" w:rsidR="00B53774" w:rsidRDefault="008B54BA" w:rsidP="00860735">
      <w:pPr>
        <w:pStyle w:val="Chart7X"/>
      </w:pPr>
      <w:r>
        <w:t xml:space="preserve">Increased land manager recommendation of LLS for services relating to agricultural productivity and natural </w:t>
      </w:r>
      <w:r w:rsidRPr="00CC6AC7">
        <w:t>resource</w:t>
      </w:r>
      <w:r>
        <w:t xml:space="preserve"> management</w:t>
      </w:r>
    </w:p>
    <w:p w14:paraId="78D9AAC3" w14:textId="1D8D0AD0" w:rsidR="00434E91" w:rsidRPr="00142680" w:rsidRDefault="00434E91" w:rsidP="002F290F">
      <w:pPr>
        <w:jc w:val="center"/>
      </w:pPr>
      <w:r>
        <w:rPr>
          <w:noProof/>
        </w:rPr>
        <w:drawing>
          <wp:inline distT="0" distB="0" distL="0" distR="0" wp14:anchorId="46E4A0E2" wp14:editId="239566D8">
            <wp:extent cx="4720753" cy="2313106"/>
            <wp:effectExtent l="0" t="0" r="0" b="0"/>
            <wp:docPr id="17" name="Chart 17" descr="Chart 7.9: Increased land manager recommendation of LLS for services relating to agricultural productivity and natural resource management">
              <a:extLst xmlns:a="http://schemas.openxmlformats.org/drawingml/2006/main">
                <a:ext uri="{FF2B5EF4-FFF2-40B4-BE49-F238E27FC236}">
                  <a16:creationId xmlns:a16="http://schemas.microsoft.com/office/drawing/2014/main" id="{5F99F1F0-4AE2-4BC1-AE49-9CFB86B89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AAFA20" w14:textId="362BD726" w:rsidR="00BE3287" w:rsidRPr="0092367C" w:rsidRDefault="00BE3287" w:rsidP="00FE2E83">
      <w:pPr>
        <w:keepNext/>
        <w:widowControl w:val="0"/>
        <w:spacing w:before="320" w:after="120" w:line="240" w:lineRule="atLeast"/>
        <w:outlineLvl w:val="3"/>
        <w:rPr>
          <w:rFonts w:ascii="Arial" w:hAnsi="Arial" w:cs="Arial"/>
          <w:b/>
          <w:color w:val="1F497D" w:themeColor="text2"/>
          <w:sz w:val="25"/>
          <w:szCs w:val="25"/>
        </w:rPr>
      </w:pPr>
      <w:r w:rsidRPr="0092367C">
        <w:rPr>
          <w:rFonts w:ascii="Arial" w:hAnsi="Arial" w:cs="Arial"/>
          <w:b/>
          <w:color w:val="1F497D" w:themeColor="text2"/>
          <w:sz w:val="25"/>
          <w:szCs w:val="25"/>
        </w:rPr>
        <w:t xml:space="preserve">Increased engagement of land managers in LLS programs relating to agricultural productivity and natural resource management </w:t>
      </w:r>
    </w:p>
    <w:p w14:paraId="559FF31C" w14:textId="7D207D4F" w:rsidR="002A6AD7" w:rsidRPr="00EB7112" w:rsidRDefault="002A6AD7" w:rsidP="002A6AD7">
      <w:pPr>
        <w:keepNext/>
        <w:widowControl w:val="0"/>
        <w:spacing w:before="320" w:after="120" w:line="240" w:lineRule="atLeast"/>
        <w:outlineLvl w:val="3"/>
        <w:rPr>
          <w:rFonts w:ascii="Arial" w:eastAsiaTheme="minorHAnsi" w:hAnsi="Arial" w:cs="Arial"/>
          <w:sz w:val="23"/>
          <w:szCs w:val="23"/>
        </w:rPr>
      </w:pPr>
      <w:bookmarkStart w:id="7" w:name="_Hlk53132214"/>
      <w:r w:rsidRPr="00EB7112">
        <w:rPr>
          <w:rFonts w:ascii="Arial" w:eastAsiaTheme="minorHAnsi" w:hAnsi="Arial" w:cs="Arial"/>
          <w:sz w:val="23"/>
          <w:szCs w:val="23"/>
        </w:rPr>
        <w:t>Engagement in LLS activities supports land managers to better manage the State’s natural resources, respond to biosecurity risks and improve primary production in New South Wales. Since 2014, LLS has undertaken more than 18,000 awareness raising and training events, engaging with more than 450,000 participants.</w:t>
      </w:r>
    </w:p>
    <w:p w14:paraId="629A8F89" w14:textId="77777777" w:rsidR="003F6179" w:rsidRPr="00EB7112" w:rsidRDefault="002A6AD7" w:rsidP="00651093">
      <w:pPr>
        <w:pStyle w:val="BodyText"/>
      </w:pPr>
      <w:r w:rsidRPr="00EB7112">
        <w:t xml:space="preserve">LLS has successfully shifted service delivery models in response to the COVID-19 pandemic including holding virtual events and contactless consultation advice. Broader customer reach has also been achieved </w:t>
      </w:r>
      <w:r w:rsidR="00962886" w:rsidRPr="00EB7112">
        <w:t>due to</w:t>
      </w:r>
      <w:r w:rsidRPr="00EB7112">
        <w:t xml:space="preserve"> additional economic stimulus through targeted drought investment, bushfire recovery programs and COVID-19 stimulus measures in 2021. </w:t>
      </w:r>
    </w:p>
    <w:p w14:paraId="743E6FB5" w14:textId="3FC779DB" w:rsidR="002A6AD7" w:rsidRPr="00EB7112" w:rsidRDefault="002A6AD7" w:rsidP="00651093">
      <w:pPr>
        <w:pStyle w:val="BodyText"/>
      </w:pPr>
      <w:r w:rsidRPr="00EB7112">
        <w:t>Performance against this indicator is now on track to exceed its target, with a large increase in engagement with more than 180,000 landholders engaged in 2021.</w:t>
      </w:r>
    </w:p>
    <w:p w14:paraId="2C42EDE7" w14:textId="11B54A27" w:rsidR="00FA43C5" w:rsidRDefault="00FE3CA5" w:rsidP="00661F0F">
      <w:pPr>
        <w:pStyle w:val="Chart7X"/>
      </w:pPr>
      <w:r>
        <w:lastRenderedPageBreak/>
        <w:t xml:space="preserve">Number of land managers engaged in LLS programs relating to agricultural productivity </w:t>
      </w:r>
      <w:r w:rsidRPr="00661F0F">
        <w:t>and</w:t>
      </w:r>
      <w:r>
        <w:t xml:space="preserve"> natural resource management</w:t>
      </w:r>
    </w:p>
    <w:p w14:paraId="6DCBF591" w14:textId="515C3460" w:rsidR="00F64E89" w:rsidRPr="001D4593" w:rsidRDefault="00636C69" w:rsidP="001D4593">
      <w:pPr>
        <w:jc w:val="center"/>
      </w:pPr>
      <w:r>
        <w:rPr>
          <w:noProof/>
        </w:rPr>
        <w:drawing>
          <wp:inline distT="0" distB="0" distL="0" distR="0" wp14:anchorId="595237DE" wp14:editId="0A87A7C8">
            <wp:extent cx="4720753" cy="2442845"/>
            <wp:effectExtent l="0" t="0" r="0" b="0"/>
            <wp:docPr id="9" name="Chart 9" descr="Chart 7.10: Number of land managers engaged in LLS programs relating to agricultural productivity and natural resource management">
              <a:extLst xmlns:a="http://schemas.openxmlformats.org/drawingml/2006/main">
                <a:ext uri="{FF2B5EF4-FFF2-40B4-BE49-F238E27FC236}">
                  <a16:creationId xmlns:a16="http://schemas.microsoft.com/office/drawing/2014/main" id="{F95D93F0-612D-4998-A481-A80D1FDAC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C23829" w14:textId="148A9F83" w:rsidR="00A53CDD" w:rsidRPr="0092367C" w:rsidRDefault="00A53CDD" w:rsidP="00FE2E83">
      <w:pPr>
        <w:keepNext/>
        <w:widowControl w:val="0"/>
        <w:spacing w:before="320" w:after="120" w:line="240" w:lineRule="atLeast"/>
        <w:outlineLvl w:val="3"/>
        <w:rPr>
          <w:rFonts w:ascii="Arial" w:hAnsi="Arial" w:cs="Arial"/>
          <w:b/>
          <w:color w:val="1F497D" w:themeColor="text2"/>
          <w:sz w:val="25"/>
          <w:szCs w:val="25"/>
        </w:rPr>
      </w:pPr>
      <w:r w:rsidRPr="00712EBC">
        <w:rPr>
          <w:rFonts w:ascii="Arial" w:hAnsi="Arial" w:cs="Arial"/>
          <w:b/>
          <w:color w:val="1F497D" w:themeColor="text2"/>
          <w:sz w:val="25"/>
          <w:szCs w:val="25"/>
        </w:rPr>
        <w:t xml:space="preserve">Increased </w:t>
      </w:r>
      <w:r w:rsidRPr="0092367C">
        <w:rPr>
          <w:rFonts w:ascii="Arial" w:hAnsi="Arial" w:cs="Arial"/>
          <w:b/>
          <w:color w:val="1F497D" w:themeColor="text2"/>
          <w:sz w:val="25"/>
          <w:szCs w:val="25"/>
        </w:rPr>
        <w:t>area</w:t>
      </w:r>
      <w:r w:rsidRPr="00712EBC">
        <w:rPr>
          <w:rFonts w:ascii="Arial" w:hAnsi="Arial" w:cs="Arial"/>
          <w:b/>
          <w:color w:val="1F497D" w:themeColor="text2"/>
          <w:sz w:val="25"/>
          <w:szCs w:val="25"/>
        </w:rPr>
        <w:t xml:space="preserve"> of improved land manager practices relating to agricultural productivity and natural resource management over four years</w:t>
      </w:r>
    </w:p>
    <w:bookmarkEnd w:id="7"/>
    <w:p w14:paraId="1887EC3B" w14:textId="704AA64F" w:rsidR="0072662D" w:rsidRPr="00EB7112" w:rsidRDefault="0072662D" w:rsidP="00651093">
      <w:pPr>
        <w:pStyle w:val="BodyText"/>
      </w:pPr>
      <w:r w:rsidRPr="00EB7112">
        <w:t xml:space="preserve">Equipping land managers with awareness and knowledge of better land management practices enables them to better manage the State’s public and private lands. LLS delivers awareness raising and training events along with other engagement processes, </w:t>
      </w:r>
      <w:r w:rsidR="00985A83" w:rsidRPr="00EB7112">
        <w:t>partnership</w:t>
      </w:r>
      <w:r w:rsidR="007A06B1" w:rsidRPr="00EB7112">
        <w:t>s</w:t>
      </w:r>
      <w:r w:rsidR="00985A83" w:rsidRPr="00EB7112">
        <w:t xml:space="preserve"> </w:t>
      </w:r>
      <w:r w:rsidRPr="00EB7112">
        <w:t xml:space="preserve">and incentives to support this. Since 2014, these activities have resulted in land managers applying more than 235 million hectares of improved agriculture, biosecurity risks and natural resource management practices. </w:t>
      </w:r>
    </w:p>
    <w:p w14:paraId="276AAD04" w14:textId="213A2996" w:rsidR="003F6179" w:rsidRPr="00EB7112" w:rsidRDefault="0072662D" w:rsidP="00651093">
      <w:pPr>
        <w:pStyle w:val="BodyText"/>
      </w:pPr>
      <w:r w:rsidRPr="00EB7112">
        <w:t xml:space="preserve">In addition, increased </w:t>
      </w:r>
      <w:r w:rsidR="000E4272" w:rsidRPr="00EB7112">
        <w:t>S</w:t>
      </w:r>
      <w:r w:rsidR="00237EEF" w:rsidRPr="00EB7112">
        <w:t>tate</w:t>
      </w:r>
      <w:r w:rsidRPr="00EB7112">
        <w:t xml:space="preserve"> and </w:t>
      </w:r>
      <w:r w:rsidR="000E4272" w:rsidRPr="00EB7112">
        <w:t>C</w:t>
      </w:r>
      <w:r w:rsidRPr="00EB7112">
        <w:t>ommonwealth funding to support drought</w:t>
      </w:r>
      <w:r w:rsidR="00594D83" w:rsidRPr="00EB7112">
        <w:t>, flood</w:t>
      </w:r>
      <w:r w:rsidR="00AC607D" w:rsidRPr="00EB7112">
        <w:t xml:space="preserve"> </w:t>
      </w:r>
      <w:r w:rsidRPr="00EB7112">
        <w:t xml:space="preserve">and bushfire recovery have enabled increased opportunities to address farm management issues, most notably rehabilitation and enhancement of habitat for threatened species as well as management of vertebrate pests. </w:t>
      </w:r>
    </w:p>
    <w:p w14:paraId="317E52C0" w14:textId="51E0945D" w:rsidR="004A5C13" w:rsidRPr="00EB7112" w:rsidRDefault="0072662D" w:rsidP="00651093">
      <w:pPr>
        <w:pStyle w:val="BodyText"/>
      </w:pPr>
      <w:r w:rsidRPr="00EB7112">
        <w:t>Performance against this indicator has improved with a significant increase in area of improved land manager practices and is now exceeding the target, with more than 45 million hectares improved in 2021. This is a particularly pleasing result given the COVID-</w:t>
      </w:r>
      <w:r w:rsidR="00B47682" w:rsidRPr="00EB7112">
        <w:t xml:space="preserve">19 pandemic </w:t>
      </w:r>
      <w:r w:rsidRPr="00EB7112">
        <w:t xml:space="preserve">related disruptions, recent </w:t>
      </w:r>
      <w:r w:rsidR="00594D83" w:rsidRPr="00EB7112">
        <w:t>flooding</w:t>
      </w:r>
      <w:r w:rsidRPr="00EB7112">
        <w:t xml:space="preserve"> and supply chain issues.</w:t>
      </w:r>
    </w:p>
    <w:p w14:paraId="07584374" w14:textId="07C47895" w:rsidR="004C1DD6" w:rsidRDefault="00066AE5" w:rsidP="002B5B45">
      <w:pPr>
        <w:pStyle w:val="Chart7X"/>
      </w:pPr>
      <w:r w:rsidRPr="002B5B45">
        <w:t>Increased</w:t>
      </w:r>
      <w:r>
        <w:t xml:space="preserve"> area of improved land manager practices relating to agricultural and natural resource management over four years</w:t>
      </w:r>
    </w:p>
    <w:p w14:paraId="79BF5A65" w14:textId="77777777" w:rsidR="008350D4" w:rsidRPr="008350D4" w:rsidRDefault="008350D4" w:rsidP="008350D4">
      <w:pPr>
        <w:rPr>
          <w:lang w:val="en-US"/>
        </w:rPr>
      </w:pPr>
    </w:p>
    <w:p w14:paraId="488F5270" w14:textId="64E6C782" w:rsidR="00317315" w:rsidRPr="00FF66D4" w:rsidRDefault="00317315" w:rsidP="00FF66D4">
      <w:pPr>
        <w:jc w:val="center"/>
      </w:pPr>
      <w:r>
        <w:rPr>
          <w:noProof/>
        </w:rPr>
        <w:drawing>
          <wp:inline distT="0" distB="0" distL="0" distR="0" wp14:anchorId="0480B19A" wp14:editId="483AB24A">
            <wp:extent cx="4719259" cy="2437118"/>
            <wp:effectExtent l="0" t="0" r="0" b="0"/>
            <wp:docPr id="11" name="Chart 11" descr="Chart 7.11: Increased area of improved land manager practices relating to agricultural and natural resource management over four years">
              <a:extLst xmlns:a="http://schemas.openxmlformats.org/drawingml/2006/main">
                <a:ext uri="{FF2B5EF4-FFF2-40B4-BE49-F238E27FC236}">
                  <a16:creationId xmlns:a16="http://schemas.microsoft.com/office/drawing/2014/main" id="{3A220F9D-AB62-4F85-BFB2-5B29529C6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7B8668" w14:textId="35D8AFAC" w:rsidR="004C120E" w:rsidRDefault="004C120E" w:rsidP="004C120E">
      <w:pPr>
        <w:pStyle w:val="Heading3"/>
        <w:rPr>
          <w:rFonts w:cs="Arial"/>
        </w:rPr>
      </w:pPr>
      <w:bookmarkStart w:id="8" w:name="_Hlk7526001"/>
      <w:r>
        <w:rPr>
          <w:rFonts w:cs="Arial"/>
        </w:rPr>
        <w:lastRenderedPageBreak/>
        <w:t>Performance indicators for this Outcome</w:t>
      </w:r>
    </w:p>
    <w:tbl>
      <w:tblPr>
        <w:tblW w:w="9544" w:type="dxa"/>
        <w:tblLook w:val="04A0" w:firstRow="1" w:lastRow="0" w:firstColumn="1" w:lastColumn="0" w:noHBand="0" w:noVBand="1"/>
      </w:tblPr>
      <w:tblGrid>
        <w:gridCol w:w="6520"/>
        <w:gridCol w:w="756"/>
        <w:gridCol w:w="1134"/>
        <w:gridCol w:w="1134"/>
      </w:tblGrid>
      <w:tr w:rsidR="00B55E4C" w:rsidRPr="00B55E4C" w14:paraId="06D473DF" w14:textId="77777777" w:rsidTr="595BC9F6">
        <w:trPr>
          <w:trHeight w:val="240"/>
        </w:trPr>
        <w:tc>
          <w:tcPr>
            <w:tcW w:w="6520" w:type="dxa"/>
            <w:vMerge w:val="restart"/>
            <w:tcBorders>
              <w:top w:val="nil"/>
              <w:left w:val="nil"/>
              <w:bottom w:val="nil"/>
              <w:right w:val="nil"/>
            </w:tcBorders>
            <w:shd w:val="clear" w:color="auto" w:fill="008EBA"/>
            <w:noWrap/>
            <w:vAlign w:val="center"/>
            <w:hideMark/>
          </w:tcPr>
          <w:p w14:paraId="79E232E8" w14:textId="77777777" w:rsidR="00B55E4C" w:rsidRPr="00B55E4C" w:rsidRDefault="00B55E4C" w:rsidP="00B55E4C">
            <w:pPr>
              <w:ind w:firstLineChars="100" w:firstLine="181"/>
              <w:rPr>
                <w:rFonts w:ascii="Arial" w:hAnsi="Arial" w:cs="Arial"/>
                <w:b/>
                <w:bCs/>
                <w:color w:val="FFFFFF"/>
                <w:sz w:val="18"/>
                <w:szCs w:val="18"/>
                <w:lang w:eastAsia="en-AU"/>
              </w:rPr>
            </w:pPr>
            <w:r w:rsidRPr="00B55E4C">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auto" w:fill="008EBA"/>
            <w:noWrap/>
            <w:vAlign w:val="center"/>
            <w:hideMark/>
          </w:tcPr>
          <w:p w14:paraId="75C7F0BA" w14:textId="77777777" w:rsidR="00B55E4C" w:rsidRPr="00B55E4C" w:rsidRDefault="00B55E4C" w:rsidP="00B55E4C">
            <w:pPr>
              <w:jc w:val="center"/>
              <w:rPr>
                <w:rFonts w:ascii="Arial" w:hAnsi="Arial" w:cs="Arial"/>
                <w:b/>
                <w:bCs/>
                <w:color w:val="FFFFFF"/>
                <w:sz w:val="18"/>
                <w:szCs w:val="18"/>
                <w:lang w:eastAsia="en-AU"/>
              </w:rPr>
            </w:pPr>
            <w:r w:rsidRPr="00B55E4C">
              <w:rPr>
                <w:rFonts w:ascii="Arial" w:hAnsi="Arial" w:cs="Arial"/>
                <w:b/>
                <w:bCs/>
                <w:color w:val="FFFFFF"/>
                <w:sz w:val="18"/>
                <w:szCs w:val="18"/>
                <w:lang w:eastAsia="en-AU"/>
              </w:rPr>
              <w:t>Units</w:t>
            </w:r>
          </w:p>
        </w:tc>
        <w:tc>
          <w:tcPr>
            <w:tcW w:w="1134" w:type="dxa"/>
            <w:tcBorders>
              <w:top w:val="nil"/>
              <w:left w:val="nil"/>
              <w:bottom w:val="nil"/>
              <w:right w:val="nil"/>
            </w:tcBorders>
            <w:shd w:val="clear" w:color="auto" w:fill="008EBA"/>
            <w:noWrap/>
            <w:vAlign w:val="center"/>
            <w:hideMark/>
          </w:tcPr>
          <w:p w14:paraId="126B18EB" w14:textId="77777777" w:rsidR="00B55E4C" w:rsidRPr="00B55E4C" w:rsidRDefault="00B55E4C" w:rsidP="00B55E4C">
            <w:pPr>
              <w:jc w:val="center"/>
              <w:rPr>
                <w:rFonts w:ascii="Arial" w:hAnsi="Arial" w:cs="Arial"/>
                <w:b/>
                <w:bCs/>
                <w:color w:val="FFFFFF"/>
                <w:sz w:val="18"/>
                <w:szCs w:val="18"/>
                <w:lang w:eastAsia="en-AU"/>
              </w:rPr>
            </w:pPr>
            <w:r w:rsidRPr="00B55E4C">
              <w:rPr>
                <w:rFonts w:ascii="Arial" w:hAnsi="Arial" w:cs="Arial"/>
                <w:b/>
                <w:bCs/>
                <w:color w:val="FFFFFF"/>
                <w:sz w:val="18"/>
                <w:szCs w:val="18"/>
                <w:lang w:eastAsia="en-AU"/>
              </w:rPr>
              <w:t>2021-22</w:t>
            </w:r>
          </w:p>
        </w:tc>
        <w:tc>
          <w:tcPr>
            <w:tcW w:w="1134" w:type="dxa"/>
            <w:tcBorders>
              <w:top w:val="nil"/>
              <w:left w:val="nil"/>
              <w:bottom w:val="nil"/>
              <w:right w:val="nil"/>
            </w:tcBorders>
            <w:shd w:val="clear" w:color="auto" w:fill="008EBA"/>
            <w:noWrap/>
            <w:vAlign w:val="center"/>
            <w:hideMark/>
          </w:tcPr>
          <w:p w14:paraId="31A7A0E6" w14:textId="77777777" w:rsidR="00B55E4C" w:rsidRPr="00B55E4C" w:rsidRDefault="00B55E4C" w:rsidP="00B55E4C">
            <w:pPr>
              <w:jc w:val="center"/>
              <w:rPr>
                <w:rFonts w:ascii="Arial" w:hAnsi="Arial" w:cs="Arial"/>
                <w:b/>
                <w:bCs/>
                <w:color w:val="FFFFFF"/>
                <w:sz w:val="18"/>
                <w:szCs w:val="18"/>
                <w:lang w:eastAsia="en-AU"/>
              </w:rPr>
            </w:pPr>
            <w:r w:rsidRPr="00B55E4C">
              <w:rPr>
                <w:rFonts w:ascii="Arial" w:hAnsi="Arial" w:cs="Arial"/>
                <w:b/>
                <w:bCs/>
                <w:color w:val="FFFFFF"/>
                <w:sz w:val="18"/>
                <w:szCs w:val="18"/>
                <w:lang w:eastAsia="en-AU"/>
              </w:rPr>
              <w:t>2022-23</w:t>
            </w:r>
          </w:p>
        </w:tc>
      </w:tr>
      <w:tr w:rsidR="00B55E4C" w:rsidRPr="00B55E4C" w14:paraId="4023BB6C" w14:textId="77777777" w:rsidTr="595BC9F6">
        <w:trPr>
          <w:trHeight w:val="240"/>
        </w:trPr>
        <w:tc>
          <w:tcPr>
            <w:tcW w:w="6520" w:type="dxa"/>
            <w:vMerge/>
            <w:vAlign w:val="center"/>
            <w:hideMark/>
          </w:tcPr>
          <w:p w14:paraId="1F6DDD19" w14:textId="77777777" w:rsidR="00B55E4C" w:rsidRPr="00B55E4C" w:rsidRDefault="00B55E4C" w:rsidP="00B55E4C">
            <w:pPr>
              <w:rPr>
                <w:rFonts w:ascii="Arial" w:hAnsi="Arial" w:cs="Arial"/>
                <w:b/>
                <w:bCs/>
                <w:color w:val="FFFFFF"/>
                <w:sz w:val="18"/>
                <w:szCs w:val="18"/>
                <w:lang w:eastAsia="en-AU"/>
              </w:rPr>
            </w:pPr>
          </w:p>
        </w:tc>
        <w:tc>
          <w:tcPr>
            <w:tcW w:w="756" w:type="dxa"/>
            <w:vMerge/>
            <w:vAlign w:val="center"/>
            <w:hideMark/>
          </w:tcPr>
          <w:p w14:paraId="54C7CC91" w14:textId="77777777" w:rsidR="00B55E4C" w:rsidRPr="00B55E4C" w:rsidRDefault="00B55E4C" w:rsidP="00B55E4C">
            <w:pPr>
              <w:rPr>
                <w:rFonts w:ascii="Arial" w:hAnsi="Arial" w:cs="Arial"/>
                <w:b/>
                <w:bCs/>
                <w:color w:val="FFFFFF"/>
                <w:sz w:val="18"/>
                <w:szCs w:val="18"/>
                <w:lang w:eastAsia="en-AU"/>
              </w:rPr>
            </w:pPr>
          </w:p>
        </w:tc>
        <w:tc>
          <w:tcPr>
            <w:tcW w:w="1134" w:type="dxa"/>
            <w:tcBorders>
              <w:top w:val="nil"/>
              <w:left w:val="nil"/>
              <w:bottom w:val="nil"/>
              <w:right w:val="nil"/>
            </w:tcBorders>
            <w:shd w:val="clear" w:color="auto" w:fill="008EBA"/>
            <w:noWrap/>
            <w:vAlign w:val="center"/>
            <w:hideMark/>
          </w:tcPr>
          <w:p w14:paraId="0FFFB144" w14:textId="77777777" w:rsidR="00B55E4C" w:rsidRPr="00B55E4C" w:rsidRDefault="00B55E4C" w:rsidP="00B55E4C">
            <w:pPr>
              <w:jc w:val="center"/>
              <w:rPr>
                <w:rFonts w:ascii="Arial" w:hAnsi="Arial" w:cs="Arial"/>
                <w:b/>
                <w:bCs/>
                <w:color w:val="FFFFFF"/>
                <w:sz w:val="18"/>
                <w:szCs w:val="18"/>
                <w:lang w:eastAsia="en-AU"/>
              </w:rPr>
            </w:pPr>
            <w:r w:rsidRPr="00B55E4C">
              <w:rPr>
                <w:rFonts w:ascii="Arial" w:hAnsi="Arial" w:cs="Arial"/>
                <w:b/>
                <w:bCs/>
                <w:color w:val="FFFFFF"/>
                <w:sz w:val="18"/>
                <w:szCs w:val="18"/>
                <w:lang w:eastAsia="en-AU"/>
              </w:rPr>
              <w:t>Actual</w:t>
            </w:r>
          </w:p>
        </w:tc>
        <w:tc>
          <w:tcPr>
            <w:tcW w:w="1134" w:type="dxa"/>
            <w:tcBorders>
              <w:top w:val="nil"/>
              <w:left w:val="nil"/>
              <w:bottom w:val="nil"/>
              <w:right w:val="nil"/>
            </w:tcBorders>
            <w:shd w:val="clear" w:color="auto" w:fill="008EBA"/>
            <w:noWrap/>
            <w:vAlign w:val="center"/>
            <w:hideMark/>
          </w:tcPr>
          <w:p w14:paraId="5F404855" w14:textId="38649819" w:rsidR="00B55E4C" w:rsidRPr="00B55E4C" w:rsidRDefault="00B55E4C" w:rsidP="00B55E4C">
            <w:pPr>
              <w:jc w:val="center"/>
              <w:rPr>
                <w:rFonts w:ascii="Arial" w:hAnsi="Arial" w:cs="Arial"/>
                <w:b/>
                <w:bCs/>
                <w:color w:val="FFFFFF"/>
                <w:sz w:val="18"/>
                <w:szCs w:val="18"/>
                <w:lang w:eastAsia="en-AU"/>
              </w:rPr>
            </w:pPr>
            <w:r w:rsidRPr="00B55E4C">
              <w:rPr>
                <w:rFonts w:ascii="Arial" w:hAnsi="Arial" w:cs="Arial"/>
                <w:b/>
                <w:bCs/>
                <w:color w:val="FFFFFF"/>
                <w:sz w:val="18"/>
                <w:szCs w:val="18"/>
                <w:lang w:eastAsia="en-AU"/>
              </w:rPr>
              <w:t>Forecast</w:t>
            </w:r>
          </w:p>
        </w:tc>
      </w:tr>
      <w:tr w:rsidR="00B55E4C" w:rsidRPr="00B55E4C" w14:paraId="65FF2577" w14:textId="77777777" w:rsidTr="005F6715">
        <w:trPr>
          <w:trHeight w:val="20"/>
        </w:trPr>
        <w:tc>
          <w:tcPr>
            <w:tcW w:w="6520" w:type="dxa"/>
            <w:tcBorders>
              <w:top w:val="nil"/>
              <w:left w:val="nil"/>
              <w:bottom w:val="nil"/>
              <w:right w:val="nil"/>
            </w:tcBorders>
            <w:shd w:val="clear" w:color="auto" w:fill="auto"/>
            <w:noWrap/>
            <w:vAlign w:val="center"/>
            <w:hideMark/>
          </w:tcPr>
          <w:p w14:paraId="35D9F035" w14:textId="77777777" w:rsidR="00B55E4C" w:rsidRPr="00B55E4C" w:rsidRDefault="00B55E4C" w:rsidP="00B55E4C">
            <w:pPr>
              <w:jc w:val="center"/>
              <w:rPr>
                <w:rFonts w:ascii="Arial" w:hAnsi="Arial" w:cs="Arial"/>
                <w:b/>
                <w:bCs/>
                <w:color w:val="FFFFFF"/>
                <w:sz w:val="18"/>
                <w:szCs w:val="18"/>
                <w:lang w:eastAsia="en-AU"/>
              </w:rPr>
            </w:pPr>
          </w:p>
        </w:tc>
        <w:tc>
          <w:tcPr>
            <w:tcW w:w="756" w:type="dxa"/>
            <w:tcBorders>
              <w:top w:val="nil"/>
              <w:left w:val="nil"/>
              <w:bottom w:val="nil"/>
              <w:right w:val="nil"/>
            </w:tcBorders>
            <w:shd w:val="clear" w:color="auto" w:fill="auto"/>
            <w:noWrap/>
            <w:vAlign w:val="center"/>
            <w:hideMark/>
          </w:tcPr>
          <w:p w14:paraId="04E0F028" w14:textId="77777777" w:rsidR="00B55E4C" w:rsidRPr="00B55E4C" w:rsidRDefault="00B55E4C" w:rsidP="00B55E4C">
            <w:pPr>
              <w:ind w:firstLineChars="100" w:firstLine="200"/>
              <w:rPr>
                <w:lang w:eastAsia="en-AU"/>
              </w:rPr>
            </w:pPr>
          </w:p>
        </w:tc>
        <w:tc>
          <w:tcPr>
            <w:tcW w:w="1134" w:type="dxa"/>
            <w:tcBorders>
              <w:top w:val="nil"/>
              <w:left w:val="nil"/>
              <w:bottom w:val="nil"/>
              <w:right w:val="nil"/>
            </w:tcBorders>
            <w:shd w:val="clear" w:color="auto" w:fill="auto"/>
            <w:noWrap/>
            <w:vAlign w:val="center"/>
            <w:hideMark/>
          </w:tcPr>
          <w:p w14:paraId="4469EC46" w14:textId="77777777" w:rsidR="00B55E4C" w:rsidRPr="00B55E4C" w:rsidRDefault="00B55E4C" w:rsidP="00B55E4C">
            <w:pPr>
              <w:jc w:val="center"/>
              <w:rPr>
                <w:lang w:eastAsia="en-AU"/>
              </w:rPr>
            </w:pPr>
          </w:p>
        </w:tc>
        <w:tc>
          <w:tcPr>
            <w:tcW w:w="1134" w:type="dxa"/>
            <w:tcBorders>
              <w:top w:val="nil"/>
              <w:left w:val="nil"/>
              <w:bottom w:val="nil"/>
              <w:right w:val="nil"/>
            </w:tcBorders>
            <w:shd w:val="clear" w:color="auto" w:fill="auto"/>
            <w:noWrap/>
            <w:vAlign w:val="center"/>
            <w:hideMark/>
          </w:tcPr>
          <w:p w14:paraId="2E9A06AF" w14:textId="77777777" w:rsidR="00B55E4C" w:rsidRPr="00B55E4C" w:rsidRDefault="00B55E4C" w:rsidP="00B55E4C">
            <w:pPr>
              <w:jc w:val="center"/>
              <w:rPr>
                <w:lang w:eastAsia="en-AU"/>
              </w:rPr>
            </w:pPr>
          </w:p>
        </w:tc>
      </w:tr>
      <w:tr w:rsidR="00B55E4C" w:rsidRPr="00B55E4C" w14:paraId="21C1E00A" w14:textId="77777777" w:rsidTr="595BC9F6">
        <w:trPr>
          <w:trHeight w:val="408"/>
        </w:trPr>
        <w:tc>
          <w:tcPr>
            <w:tcW w:w="6520" w:type="dxa"/>
            <w:tcBorders>
              <w:top w:val="nil"/>
              <w:left w:val="nil"/>
              <w:bottom w:val="nil"/>
              <w:right w:val="nil"/>
            </w:tcBorders>
            <w:shd w:val="clear" w:color="auto" w:fill="auto"/>
            <w:vAlign w:val="center"/>
            <w:hideMark/>
          </w:tcPr>
          <w:p w14:paraId="084D216C" w14:textId="77777777" w:rsidR="00B55E4C" w:rsidRPr="00B55E4C" w:rsidRDefault="00B55E4C" w:rsidP="00194EA3">
            <w:pPr>
              <w:ind w:left="184"/>
              <w:rPr>
                <w:rFonts w:ascii="Arial" w:hAnsi="Arial" w:cs="Arial"/>
                <w:color w:val="000000"/>
                <w:sz w:val="16"/>
                <w:szCs w:val="16"/>
                <w:lang w:eastAsia="en-AU"/>
              </w:rPr>
            </w:pPr>
            <w:r w:rsidRPr="00B55E4C">
              <w:rPr>
                <w:rFonts w:ascii="Arial" w:hAnsi="Arial" w:cs="Arial"/>
                <w:color w:val="000000"/>
                <w:sz w:val="16"/>
                <w:szCs w:val="16"/>
                <w:lang w:eastAsia="en-AU"/>
              </w:rPr>
              <w:t>Increased area of improved land manager practices relating to agriculture and natural resource management over four years</w:t>
            </w:r>
            <w:r w:rsidRPr="000E4272">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auto" w:fill="auto"/>
            <w:noWrap/>
            <w:hideMark/>
          </w:tcPr>
          <w:p w14:paraId="1207E1E3" w14:textId="77777777" w:rsidR="00B55E4C" w:rsidRPr="00B55E4C" w:rsidRDefault="00B55E4C" w:rsidP="00B55E4C">
            <w:pPr>
              <w:jc w:val="center"/>
              <w:rPr>
                <w:rFonts w:ascii="Arial" w:hAnsi="Arial" w:cs="Arial"/>
                <w:color w:val="000000"/>
                <w:sz w:val="16"/>
                <w:szCs w:val="16"/>
                <w:lang w:eastAsia="en-AU"/>
              </w:rPr>
            </w:pPr>
            <w:r w:rsidRPr="00B55E4C">
              <w:rPr>
                <w:rFonts w:ascii="Arial" w:hAnsi="Arial" w:cs="Arial"/>
                <w:color w:val="000000"/>
                <w:sz w:val="16"/>
                <w:szCs w:val="16"/>
                <w:lang w:eastAsia="en-AU"/>
              </w:rPr>
              <w:t>Ha.</w:t>
            </w:r>
          </w:p>
        </w:tc>
        <w:tc>
          <w:tcPr>
            <w:tcW w:w="1134" w:type="dxa"/>
            <w:tcBorders>
              <w:top w:val="nil"/>
              <w:left w:val="nil"/>
              <w:bottom w:val="nil"/>
              <w:right w:val="nil"/>
            </w:tcBorders>
            <w:shd w:val="clear" w:color="auto" w:fill="auto"/>
            <w:noWrap/>
            <w:hideMark/>
          </w:tcPr>
          <w:p w14:paraId="5371770A" w14:textId="2F54DE41" w:rsidR="00B55E4C" w:rsidRPr="00B55E4C" w:rsidRDefault="00B55E4C" w:rsidP="00B55E4C">
            <w:pPr>
              <w:jc w:val="right"/>
              <w:rPr>
                <w:rFonts w:ascii="Arial" w:hAnsi="Arial" w:cs="Arial"/>
                <w:color w:val="000000"/>
                <w:sz w:val="16"/>
                <w:szCs w:val="16"/>
                <w:lang w:eastAsia="en-AU"/>
              </w:rPr>
            </w:pPr>
            <w:r w:rsidRPr="595BC9F6">
              <w:rPr>
                <w:rFonts w:ascii="Arial" w:hAnsi="Arial" w:cs="Arial"/>
                <w:color w:val="000000" w:themeColor="text1"/>
                <w:sz w:val="16"/>
                <w:szCs w:val="16"/>
                <w:lang w:eastAsia="en-AU"/>
              </w:rPr>
              <w:t xml:space="preserve">45,728,019 </w:t>
            </w:r>
          </w:p>
        </w:tc>
        <w:tc>
          <w:tcPr>
            <w:tcW w:w="1134" w:type="dxa"/>
            <w:tcBorders>
              <w:top w:val="nil"/>
              <w:left w:val="nil"/>
              <w:bottom w:val="nil"/>
              <w:right w:val="nil"/>
            </w:tcBorders>
            <w:shd w:val="clear" w:color="auto" w:fill="auto"/>
            <w:noWrap/>
            <w:hideMark/>
          </w:tcPr>
          <w:p w14:paraId="42F08F9A" w14:textId="0889B0DC" w:rsidR="00B55E4C" w:rsidRPr="00B55E4C" w:rsidRDefault="007B7EA4" w:rsidP="00B55E4C">
            <w:pPr>
              <w:jc w:val="right"/>
              <w:rPr>
                <w:rFonts w:ascii="Arial" w:hAnsi="Arial" w:cs="Arial"/>
                <w:color w:val="000000"/>
                <w:sz w:val="16"/>
                <w:szCs w:val="16"/>
                <w:lang w:eastAsia="en-AU"/>
              </w:rPr>
            </w:pPr>
            <w:r>
              <w:rPr>
                <w:rFonts w:ascii="Arial" w:hAnsi="Arial" w:cs="Arial"/>
                <w:color w:val="000000"/>
                <w:sz w:val="16"/>
                <w:szCs w:val="16"/>
                <w:lang w:eastAsia="en-AU"/>
              </w:rPr>
              <w:t>48</w:t>
            </w:r>
            <w:r w:rsidR="003747A3">
              <w:rPr>
                <w:rFonts w:ascii="Arial" w:hAnsi="Arial" w:cs="Arial"/>
                <w:color w:val="000000"/>
                <w:sz w:val="16"/>
                <w:szCs w:val="16"/>
                <w:lang w:eastAsia="en-AU"/>
              </w:rPr>
              <w:t>,</w:t>
            </w:r>
            <w:r w:rsidR="00C850E7">
              <w:rPr>
                <w:rFonts w:ascii="Arial" w:hAnsi="Arial" w:cs="Arial"/>
                <w:color w:val="000000"/>
                <w:sz w:val="16"/>
                <w:szCs w:val="16"/>
                <w:lang w:eastAsia="en-AU"/>
              </w:rPr>
              <w:t>348</w:t>
            </w:r>
            <w:r w:rsidR="003747A3">
              <w:rPr>
                <w:rFonts w:ascii="Arial" w:hAnsi="Arial" w:cs="Arial"/>
                <w:color w:val="000000"/>
                <w:sz w:val="16"/>
                <w:szCs w:val="16"/>
                <w:lang w:eastAsia="en-AU"/>
              </w:rPr>
              <w:t>,</w:t>
            </w:r>
            <w:r w:rsidR="00C850E7">
              <w:rPr>
                <w:rFonts w:ascii="Arial" w:hAnsi="Arial" w:cs="Arial"/>
                <w:color w:val="000000"/>
                <w:sz w:val="16"/>
                <w:szCs w:val="16"/>
                <w:lang w:eastAsia="en-AU"/>
              </w:rPr>
              <w:t>947</w:t>
            </w:r>
            <w:r w:rsidR="00B55E4C" w:rsidRPr="00B55E4C">
              <w:rPr>
                <w:rFonts w:ascii="Arial" w:hAnsi="Arial" w:cs="Arial"/>
                <w:color w:val="000000"/>
                <w:sz w:val="16"/>
                <w:szCs w:val="16"/>
                <w:lang w:eastAsia="en-AU"/>
              </w:rPr>
              <w:t xml:space="preserve"> </w:t>
            </w:r>
          </w:p>
        </w:tc>
      </w:tr>
      <w:tr w:rsidR="00B55E4C" w:rsidRPr="00B55E4C" w14:paraId="7C8C0E05" w14:textId="77777777" w:rsidTr="595BC9F6">
        <w:trPr>
          <w:trHeight w:val="408"/>
        </w:trPr>
        <w:tc>
          <w:tcPr>
            <w:tcW w:w="6520" w:type="dxa"/>
            <w:tcBorders>
              <w:top w:val="nil"/>
              <w:left w:val="nil"/>
              <w:bottom w:val="nil"/>
              <w:right w:val="nil"/>
            </w:tcBorders>
            <w:shd w:val="clear" w:color="auto" w:fill="auto"/>
            <w:vAlign w:val="center"/>
            <w:hideMark/>
          </w:tcPr>
          <w:p w14:paraId="25BC91FD" w14:textId="77777777" w:rsidR="00B55E4C" w:rsidRPr="00B55E4C" w:rsidRDefault="00B55E4C" w:rsidP="00194EA3">
            <w:pPr>
              <w:ind w:left="184"/>
              <w:rPr>
                <w:rFonts w:ascii="Arial" w:hAnsi="Arial" w:cs="Arial"/>
                <w:color w:val="000000"/>
                <w:sz w:val="16"/>
                <w:szCs w:val="16"/>
                <w:lang w:eastAsia="en-AU"/>
              </w:rPr>
            </w:pPr>
            <w:r w:rsidRPr="00B55E4C">
              <w:rPr>
                <w:rFonts w:ascii="Arial" w:hAnsi="Arial" w:cs="Arial"/>
                <w:color w:val="000000"/>
                <w:sz w:val="16"/>
                <w:szCs w:val="16"/>
                <w:lang w:eastAsia="en-AU"/>
              </w:rPr>
              <w:t>Increased land manager recommendation of LLS to their friends for services relating to agricultural productivity and natural resource management</w:t>
            </w:r>
            <w:r w:rsidRPr="000E4272">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auto" w:fill="auto"/>
            <w:noWrap/>
            <w:hideMark/>
          </w:tcPr>
          <w:p w14:paraId="4E394CC8" w14:textId="77777777" w:rsidR="00B55E4C" w:rsidRPr="00B55E4C" w:rsidRDefault="00B55E4C" w:rsidP="00B55E4C">
            <w:pPr>
              <w:jc w:val="center"/>
              <w:rPr>
                <w:rFonts w:ascii="Arial" w:hAnsi="Arial" w:cs="Arial"/>
                <w:color w:val="000000"/>
                <w:sz w:val="16"/>
                <w:szCs w:val="16"/>
                <w:lang w:eastAsia="en-AU"/>
              </w:rPr>
            </w:pPr>
            <w:r w:rsidRPr="00B55E4C">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hideMark/>
          </w:tcPr>
          <w:p w14:paraId="07438581" w14:textId="77777777" w:rsidR="00B55E4C" w:rsidRPr="00B55E4C" w:rsidRDefault="00B55E4C" w:rsidP="00B55E4C">
            <w:pPr>
              <w:jc w:val="right"/>
              <w:rPr>
                <w:rFonts w:ascii="Arial" w:hAnsi="Arial" w:cs="Arial"/>
                <w:color w:val="000000"/>
                <w:sz w:val="16"/>
                <w:szCs w:val="16"/>
                <w:lang w:eastAsia="en-AU"/>
              </w:rPr>
            </w:pPr>
            <w:r w:rsidRPr="00B55E4C">
              <w:rPr>
                <w:rFonts w:ascii="Arial" w:hAnsi="Arial" w:cs="Arial"/>
                <w:color w:val="000000"/>
                <w:sz w:val="16"/>
                <w:szCs w:val="16"/>
                <w:lang w:eastAsia="en-AU"/>
              </w:rPr>
              <w:t xml:space="preserve">92.0 </w:t>
            </w:r>
          </w:p>
        </w:tc>
        <w:tc>
          <w:tcPr>
            <w:tcW w:w="1134" w:type="dxa"/>
            <w:tcBorders>
              <w:top w:val="nil"/>
              <w:left w:val="nil"/>
              <w:bottom w:val="nil"/>
              <w:right w:val="nil"/>
            </w:tcBorders>
            <w:shd w:val="clear" w:color="auto" w:fill="auto"/>
            <w:noWrap/>
            <w:hideMark/>
          </w:tcPr>
          <w:p w14:paraId="4465481B" w14:textId="2552A118" w:rsidR="00B55E4C" w:rsidRPr="00B55E4C" w:rsidRDefault="00C850E7" w:rsidP="00B55E4C">
            <w:pPr>
              <w:jc w:val="right"/>
              <w:rPr>
                <w:rFonts w:ascii="Arial" w:hAnsi="Arial" w:cs="Arial"/>
                <w:color w:val="000000"/>
                <w:sz w:val="16"/>
                <w:szCs w:val="16"/>
                <w:lang w:eastAsia="en-AU"/>
              </w:rPr>
            </w:pPr>
            <w:r>
              <w:rPr>
                <w:rFonts w:ascii="Arial" w:hAnsi="Arial" w:cs="Arial"/>
                <w:color w:val="000000"/>
                <w:sz w:val="16"/>
                <w:szCs w:val="16"/>
                <w:lang w:eastAsia="en-AU"/>
              </w:rPr>
              <w:t>100.0</w:t>
            </w:r>
            <w:r w:rsidR="00B55E4C" w:rsidRPr="00B55E4C">
              <w:rPr>
                <w:rFonts w:ascii="Arial" w:hAnsi="Arial" w:cs="Arial"/>
                <w:color w:val="000000"/>
                <w:sz w:val="16"/>
                <w:szCs w:val="16"/>
                <w:lang w:eastAsia="en-AU"/>
              </w:rPr>
              <w:t xml:space="preserve"> </w:t>
            </w:r>
          </w:p>
        </w:tc>
      </w:tr>
      <w:tr w:rsidR="00B55E4C" w:rsidRPr="00B55E4C" w14:paraId="5F2A1E6B" w14:textId="77777777" w:rsidTr="595BC9F6">
        <w:trPr>
          <w:trHeight w:val="408"/>
        </w:trPr>
        <w:tc>
          <w:tcPr>
            <w:tcW w:w="6520" w:type="dxa"/>
            <w:tcBorders>
              <w:top w:val="nil"/>
              <w:left w:val="nil"/>
              <w:bottom w:val="nil"/>
              <w:right w:val="nil"/>
            </w:tcBorders>
            <w:shd w:val="clear" w:color="auto" w:fill="auto"/>
            <w:vAlign w:val="center"/>
            <w:hideMark/>
          </w:tcPr>
          <w:p w14:paraId="2402CA55" w14:textId="77777777" w:rsidR="00B55E4C" w:rsidRPr="00B55E4C" w:rsidRDefault="00B55E4C" w:rsidP="00194EA3">
            <w:pPr>
              <w:ind w:left="184"/>
              <w:rPr>
                <w:rFonts w:ascii="Arial" w:hAnsi="Arial" w:cs="Arial"/>
                <w:color w:val="000000"/>
                <w:sz w:val="16"/>
                <w:szCs w:val="16"/>
                <w:lang w:eastAsia="en-AU"/>
              </w:rPr>
            </w:pPr>
            <w:r w:rsidRPr="00B55E4C">
              <w:rPr>
                <w:rFonts w:ascii="Arial" w:hAnsi="Arial" w:cs="Arial"/>
                <w:color w:val="000000"/>
                <w:sz w:val="16"/>
                <w:szCs w:val="16"/>
                <w:lang w:eastAsia="en-AU"/>
              </w:rPr>
              <w:t>Increased engagement of land managers in LLS programs relating to agricultural productivity and natural resource management</w:t>
            </w:r>
            <w:r w:rsidRPr="00E90692">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auto" w:fill="auto"/>
            <w:noWrap/>
            <w:hideMark/>
          </w:tcPr>
          <w:p w14:paraId="1A18E3BE" w14:textId="77777777" w:rsidR="00B55E4C" w:rsidRPr="00B55E4C" w:rsidRDefault="00B55E4C" w:rsidP="00B55E4C">
            <w:pPr>
              <w:jc w:val="center"/>
              <w:rPr>
                <w:rFonts w:ascii="Arial" w:hAnsi="Arial" w:cs="Arial"/>
                <w:color w:val="000000"/>
                <w:sz w:val="16"/>
                <w:szCs w:val="16"/>
                <w:lang w:eastAsia="en-AU"/>
              </w:rPr>
            </w:pPr>
            <w:r w:rsidRPr="00B55E4C">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hideMark/>
          </w:tcPr>
          <w:p w14:paraId="47E5A0BA" w14:textId="77777777" w:rsidR="00B55E4C" w:rsidRPr="00B55E4C" w:rsidRDefault="00B55E4C" w:rsidP="00B55E4C">
            <w:pPr>
              <w:jc w:val="right"/>
              <w:rPr>
                <w:rFonts w:ascii="Arial" w:hAnsi="Arial" w:cs="Arial"/>
                <w:color w:val="000000"/>
                <w:sz w:val="16"/>
                <w:szCs w:val="16"/>
                <w:lang w:eastAsia="en-AU"/>
              </w:rPr>
            </w:pPr>
            <w:r w:rsidRPr="00B55E4C">
              <w:rPr>
                <w:rFonts w:ascii="Arial" w:hAnsi="Arial" w:cs="Arial"/>
                <w:color w:val="000000"/>
                <w:sz w:val="16"/>
                <w:szCs w:val="16"/>
                <w:lang w:eastAsia="en-AU"/>
              </w:rPr>
              <w:t xml:space="preserve">180,842.0 </w:t>
            </w:r>
          </w:p>
        </w:tc>
        <w:tc>
          <w:tcPr>
            <w:tcW w:w="1134" w:type="dxa"/>
            <w:tcBorders>
              <w:top w:val="nil"/>
              <w:left w:val="nil"/>
              <w:bottom w:val="nil"/>
              <w:right w:val="nil"/>
            </w:tcBorders>
            <w:shd w:val="clear" w:color="auto" w:fill="auto"/>
            <w:noWrap/>
            <w:hideMark/>
          </w:tcPr>
          <w:p w14:paraId="4F53DBF5" w14:textId="6DFADFE5" w:rsidR="00B55E4C" w:rsidRPr="00B55E4C" w:rsidRDefault="009F5267" w:rsidP="00B55E4C">
            <w:pPr>
              <w:jc w:val="right"/>
              <w:rPr>
                <w:rFonts w:ascii="Arial" w:hAnsi="Arial" w:cs="Arial"/>
                <w:color w:val="000000"/>
                <w:sz w:val="16"/>
                <w:szCs w:val="16"/>
                <w:lang w:eastAsia="en-AU"/>
              </w:rPr>
            </w:pPr>
            <w:r>
              <w:rPr>
                <w:rFonts w:ascii="Arial" w:hAnsi="Arial" w:cs="Arial"/>
                <w:color w:val="000000"/>
                <w:sz w:val="16"/>
                <w:szCs w:val="16"/>
                <w:lang w:eastAsia="en-AU"/>
              </w:rPr>
              <w:t>197</w:t>
            </w:r>
            <w:r w:rsidR="00E6676C">
              <w:rPr>
                <w:rFonts w:ascii="Arial" w:hAnsi="Arial" w:cs="Arial"/>
                <w:color w:val="000000"/>
                <w:sz w:val="16"/>
                <w:szCs w:val="16"/>
                <w:lang w:eastAsia="en-AU"/>
              </w:rPr>
              <w:t>,194.0</w:t>
            </w:r>
            <w:r w:rsidR="00B55E4C" w:rsidRPr="00B55E4C">
              <w:rPr>
                <w:rFonts w:ascii="Arial" w:hAnsi="Arial" w:cs="Arial"/>
                <w:color w:val="000000"/>
                <w:sz w:val="16"/>
                <w:szCs w:val="16"/>
                <w:lang w:eastAsia="en-AU"/>
              </w:rPr>
              <w:t xml:space="preserve"> </w:t>
            </w:r>
          </w:p>
        </w:tc>
      </w:tr>
    </w:tbl>
    <w:p w14:paraId="2652CFE8" w14:textId="77777777" w:rsidR="00BB75B7" w:rsidRDefault="00BB75B7" w:rsidP="00BB75B7">
      <w:pPr>
        <w:rPr>
          <w:rFonts w:ascii="Arial" w:eastAsia="Calibri" w:hAnsi="Arial" w:cs="Arial"/>
          <w:sz w:val="17"/>
          <w:szCs w:val="17"/>
        </w:rPr>
      </w:pPr>
    </w:p>
    <w:p w14:paraId="090E128B" w14:textId="4C6C4DA6" w:rsidR="00BB75B7" w:rsidRPr="00716AC1" w:rsidRDefault="00BB75B7" w:rsidP="00716AC1">
      <w:pPr>
        <w:rPr>
          <w:rFonts w:cs="Arial"/>
          <w:sz w:val="17"/>
          <w:szCs w:val="17"/>
        </w:rPr>
      </w:pPr>
      <w:r w:rsidRPr="00EC6927">
        <w:rPr>
          <w:rFonts w:ascii="Arial" w:eastAsia="Calibri" w:hAnsi="Arial" w:cs="Arial"/>
          <w:sz w:val="17"/>
          <w:szCs w:val="17"/>
        </w:rPr>
        <w:t>Note</w:t>
      </w:r>
      <w:r w:rsidR="00DC534B">
        <w:rPr>
          <w:rFonts w:ascii="Arial" w:eastAsia="Calibri" w:hAnsi="Arial" w:cs="Arial"/>
          <w:sz w:val="17"/>
          <w:szCs w:val="17"/>
        </w:rPr>
        <w:t>:</w:t>
      </w:r>
    </w:p>
    <w:p w14:paraId="4EC9CD73" w14:textId="3626C987" w:rsidR="00BB75B7" w:rsidRPr="00AB5D44" w:rsidRDefault="00BB75B7" w:rsidP="009D0E5B">
      <w:pPr>
        <w:pStyle w:val="ListParagraph"/>
        <w:numPr>
          <w:ilvl w:val="0"/>
          <w:numId w:val="22"/>
        </w:numPr>
        <w:ind w:left="357" w:hanging="357"/>
        <w:rPr>
          <w:rFonts w:cs="Arial"/>
          <w:color w:val="000000"/>
          <w:sz w:val="17"/>
          <w:szCs w:val="17"/>
          <w:lang w:eastAsia="en-AU"/>
        </w:rPr>
      </w:pPr>
      <w:r w:rsidRPr="00AB5D44">
        <w:rPr>
          <w:rFonts w:cs="Arial"/>
          <w:color w:val="000000"/>
          <w:sz w:val="17"/>
          <w:szCs w:val="17"/>
          <w:lang w:eastAsia="en-AU"/>
        </w:rPr>
        <w:t>As this indicator is measured on a calendar year basis, 2021-22 actual data and 2022-23 forecast relates to 2021 and 2022 respectively.</w:t>
      </w:r>
    </w:p>
    <w:p w14:paraId="5147B17A" w14:textId="01A36BFD" w:rsidR="00661F0F" w:rsidRDefault="00661F0F">
      <w:pPr>
        <w:rPr>
          <w:rFonts w:ascii="Arial" w:eastAsiaTheme="minorHAnsi" w:hAnsi="Arial" w:cs="Arial"/>
          <w:sz w:val="23"/>
          <w:szCs w:val="23"/>
          <w:bdr w:val="none" w:sz="0" w:space="0" w:color="auto" w:frame="1"/>
        </w:rPr>
      </w:pPr>
    </w:p>
    <w:bookmarkEnd w:id="5"/>
    <w:bookmarkEnd w:id="8"/>
    <w:p w14:paraId="26D108D4" w14:textId="77777777" w:rsidR="002251ED" w:rsidRPr="00927525" w:rsidRDefault="002251ED" w:rsidP="00A859AB">
      <w:pPr>
        <w:rPr>
          <w:rFonts w:ascii="Arial" w:hAnsi="Arial" w:cs="Arial"/>
          <w:sz w:val="6"/>
          <w:szCs w:val="6"/>
        </w:rPr>
      </w:pPr>
    </w:p>
    <w:sectPr w:rsidR="002251ED" w:rsidRPr="00927525" w:rsidSect="00133498">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0573" w14:textId="77777777" w:rsidR="00250097" w:rsidRDefault="00250097">
      <w:r>
        <w:separator/>
      </w:r>
    </w:p>
    <w:p w14:paraId="7185BCCE" w14:textId="77777777" w:rsidR="00250097" w:rsidRDefault="00250097"/>
  </w:endnote>
  <w:endnote w:type="continuationSeparator" w:id="0">
    <w:p w14:paraId="1BA08D05" w14:textId="77777777" w:rsidR="00250097" w:rsidRDefault="00250097">
      <w:r>
        <w:continuationSeparator/>
      </w:r>
    </w:p>
    <w:p w14:paraId="794EB3B5" w14:textId="77777777" w:rsidR="00250097" w:rsidRDefault="00250097"/>
  </w:endnote>
  <w:endnote w:type="continuationNotice" w:id="1">
    <w:p w14:paraId="51FD2603" w14:textId="77777777" w:rsidR="00250097" w:rsidRDefault="00250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F6B5" w14:textId="1AC9E85F" w:rsidR="007E63BB" w:rsidRPr="00A859AB" w:rsidRDefault="00194EA3" w:rsidP="00A859AB">
    <w:pPr>
      <w:pStyle w:val="Footer"/>
      <w:pBdr>
        <w:top w:val="single" w:sz="4" w:space="4" w:color="auto"/>
      </w:pBdr>
      <w:tabs>
        <w:tab w:val="clear" w:pos="7655"/>
        <w:tab w:val="right" w:pos="9639"/>
      </w:tabs>
      <w:rPr>
        <w:szCs w:val="18"/>
      </w:rPr>
    </w:pPr>
    <w:r>
      <w:rPr>
        <w:szCs w:val="18"/>
      </w:rPr>
      <w:t>7</w:t>
    </w:r>
    <w:r w:rsidR="007E63BB" w:rsidRPr="00D67CF6">
      <w:rPr>
        <w:szCs w:val="18"/>
      </w:rPr>
      <w:t xml:space="preserve"> - </w:t>
    </w:r>
    <w:r w:rsidR="007E63BB" w:rsidRPr="00D67CF6">
      <w:rPr>
        <w:szCs w:val="18"/>
      </w:rPr>
      <w:fldChar w:fldCharType="begin"/>
    </w:r>
    <w:r w:rsidR="007E63BB" w:rsidRPr="00D67CF6">
      <w:rPr>
        <w:szCs w:val="18"/>
      </w:rPr>
      <w:instrText xml:space="preserve"> PAGE  \* MERGEFORMAT </w:instrText>
    </w:r>
    <w:r w:rsidR="007E63BB" w:rsidRPr="00D67CF6">
      <w:rPr>
        <w:szCs w:val="18"/>
      </w:rPr>
      <w:fldChar w:fldCharType="separate"/>
    </w:r>
    <w:r w:rsidR="007E63BB">
      <w:rPr>
        <w:szCs w:val="18"/>
      </w:rPr>
      <w:t>1</w:t>
    </w:r>
    <w:r w:rsidR="007E63BB" w:rsidRPr="00D67CF6">
      <w:rPr>
        <w:szCs w:val="18"/>
      </w:rPr>
      <w:fldChar w:fldCharType="end"/>
    </w:r>
    <w:r w:rsidR="0075460B">
      <w:rPr>
        <w:szCs w:val="18"/>
      </w:rPr>
      <w:tab/>
    </w:r>
    <w:r w:rsidR="007E63BB">
      <w:rPr>
        <w:szCs w:val="18"/>
      </w:rPr>
      <w:t>Outcome</w:t>
    </w:r>
    <w:r w:rsidR="007F4657">
      <w:rPr>
        <w:szCs w:val="18"/>
      </w:rPr>
      <w:t>s</w:t>
    </w:r>
    <w:r w:rsidR="007E63BB">
      <w:rPr>
        <w:szCs w:val="18"/>
      </w:rPr>
      <w:t xml:space="preserve"> Statement </w:t>
    </w:r>
    <w:r w:rsidR="007E63BB" w:rsidRPr="00B07CC2">
      <w:rPr>
        <w:rFonts w:cs="Arial"/>
        <w:szCs w:val="18"/>
      </w:rPr>
      <w:t>20</w:t>
    </w:r>
    <w:r w:rsidR="007E63BB">
      <w:rPr>
        <w:rFonts w:cs="Arial"/>
        <w:szCs w:val="18"/>
      </w:rPr>
      <w:t>2</w:t>
    </w:r>
    <w:r w:rsidR="00015870">
      <w:rPr>
        <w:rFonts w:cs="Arial"/>
        <w:szCs w:val="18"/>
      </w:rPr>
      <w:t>2</w:t>
    </w:r>
    <w:r w:rsidR="007E63BB" w:rsidRPr="00B07CC2">
      <w:rPr>
        <w:rFonts w:cs="Arial"/>
        <w:szCs w:val="18"/>
      </w:rPr>
      <w:t>-2</w:t>
    </w:r>
    <w:r w:rsidR="00015870">
      <w:rPr>
        <w:rFonts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AB4E" w14:textId="5D84B650" w:rsidR="007E63BB" w:rsidRPr="00A859AB" w:rsidRDefault="007E63BB" w:rsidP="00A859AB">
    <w:pPr>
      <w:pStyle w:val="Footer"/>
      <w:pBdr>
        <w:top w:val="single" w:sz="4" w:space="4" w:color="auto"/>
      </w:pBdr>
      <w:tabs>
        <w:tab w:val="clear" w:pos="7655"/>
        <w:tab w:val="right" w:pos="9639"/>
      </w:tabs>
      <w:rPr>
        <w:szCs w:val="18"/>
      </w:rPr>
    </w:pPr>
    <w:r>
      <w:rPr>
        <w:szCs w:val="18"/>
      </w:rPr>
      <w:t>Outcome</w:t>
    </w:r>
    <w:r w:rsidR="007F4657">
      <w:rPr>
        <w:szCs w:val="18"/>
      </w:rPr>
      <w:t>s</w:t>
    </w:r>
    <w:r>
      <w:rPr>
        <w:szCs w:val="18"/>
      </w:rPr>
      <w:t xml:space="preserve"> Statement </w:t>
    </w:r>
    <w:r w:rsidRPr="00B07CC2">
      <w:rPr>
        <w:rFonts w:cs="Arial"/>
        <w:szCs w:val="18"/>
      </w:rPr>
      <w:t>20</w:t>
    </w:r>
    <w:r>
      <w:rPr>
        <w:rFonts w:cs="Arial"/>
        <w:szCs w:val="18"/>
      </w:rPr>
      <w:t>2</w:t>
    </w:r>
    <w:r w:rsidR="00082BDB">
      <w:rPr>
        <w:rFonts w:cs="Arial"/>
        <w:szCs w:val="18"/>
      </w:rPr>
      <w:t>2-23</w:t>
    </w:r>
    <w:r w:rsidR="0075460B">
      <w:rPr>
        <w:rFonts w:cs="Arial"/>
        <w:szCs w:val="18"/>
      </w:rPr>
      <w:tab/>
    </w:r>
    <w:r w:rsidR="00860735">
      <w:rPr>
        <w:szCs w:val="18"/>
      </w:rPr>
      <w:t>7</w:t>
    </w:r>
    <w:r w:rsidR="0075460B" w:rsidRPr="00D67CF6">
      <w:rPr>
        <w:szCs w:val="18"/>
      </w:rPr>
      <w:t xml:space="preserve"> - </w:t>
    </w:r>
    <w:r w:rsidR="0075460B" w:rsidRPr="00D67CF6">
      <w:rPr>
        <w:szCs w:val="18"/>
      </w:rPr>
      <w:fldChar w:fldCharType="begin"/>
    </w:r>
    <w:r w:rsidR="0075460B" w:rsidRPr="00D67CF6">
      <w:rPr>
        <w:szCs w:val="18"/>
      </w:rPr>
      <w:instrText xml:space="preserve"> PAGE  \* MERGEFORMAT </w:instrText>
    </w:r>
    <w:r w:rsidR="0075460B" w:rsidRPr="00D67CF6">
      <w:rPr>
        <w:szCs w:val="18"/>
      </w:rPr>
      <w:fldChar w:fldCharType="separate"/>
    </w:r>
    <w:r w:rsidR="0075460B">
      <w:rPr>
        <w:szCs w:val="18"/>
      </w:rPr>
      <w:t>17</w:t>
    </w:r>
    <w:r w:rsidR="0075460B"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F51" w14:textId="00B316A2" w:rsidR="007E63BB" w:rsidRDefault="005B7CAA" w:rsidP="00E27C10">
    <w:pPr>
      <w:pStyle w:val="Footer"/>
      <w:pBdr>
        <w:top w:val="single" w:sz="4" w:space="4" w:color="auto"/>
      </w:pBdr>
      <w:tabs>
        <w:tab w:val="clear" w:pos="7655"/>
        <w:tab w:val="right" w:pos="9639"/>
      </w:tabs>
      <w:rPr>
        <w:szCs w:val="18"/>
      </w:rPr>
    </w:pPr>
    <w:r>
      <w:rPr>
        <w:szCs w:val="18"/>
      </w:rPr>
      <w:t>Outcome</w:t>
    </w:r>
    <w:r w:rsidR="007F4657">
      <w:rPr>
        <w:szCs w:val="18"/>
      </w:rPr>
      <w:t>s</w:t>
    </w:r>
    <w:r>
      <w:rPr>
        <w:szCs w:val="18"/>
      </w:rPr>
      <w:t xml:space="preserve"> Statement </w:t>
    </w:r>
    <w:r w:rsidRPr="00B07CC2">
      <w:rPr>
        <w:rFonts w:cs="Arial"/>
        <w:szCs w:val="18"/>
      </w:rPr>
      <w:t>20</w:t>
    </w:r>
    <w:r>
      <w:rPr>
        <w:rFonts w:cs="Arial"/>
        <w:szCs w:val="18"/>
      </w:rPr>
      <w:t>2</w:t>
    </w:r>
    <w:r w:rsidR="00015870">
      <w:rPr>
        <w:rFonts w:cs="Arial"/>
        <w:szCs w:val="18"/>
      </w:rPr>
      <w:t>2</w:t>
    </w:r>
    <w:r w:rsidRPr="00B07CC2">
      <w:rPr>
        <w:rFonts w:cs="Arial"/>
        <w:szCs w:val="18"/>
      </w:rPr>
      <w:t>-2</w:t>
    </w:r>
    <w:r w:rsidR="00015870">
      <w:rPr>
        <w:rFonts w:cs="Arial"/>
        <w:szCs w:val="18"/>
      </w:rPr>
      <w:t>3</w:t>
    </w:r>
    <w:r>
      <w:rPr>
        <w:rFonts w:cs="Arial"/>
        <w:szCs w:val="18"/>
      </w:rPr>
      <w:tab/>
    </w:r>
    <w:r w:rsidR="00194EA3">
      <w:rPr>
        <w:rFonts w:cs="Arial"/>
        <w:szCs w:val="18"/>
      </w:rPr>
      <w:t>7</w:t>
    </w:r>
    <w:r w:rsidR="007E63BB" w:rsidRPr="00D67CF6">
      <w:rPr>
        <w:szCs w:val="18"/>
      </w:rPr>
      <w:t xml:space="preserve"> - </w:t>
    </w:r>
    <w:r w:rsidR="007E63BB" w:rsidRPr="00D67CF6">
      <w:rPr>
        <w:szCs w:val="18"/>
      </w:rPr>
      <w:fldChar w:fldCharType="begin"/>
    </w:r>
    <w:r w:rsidR="007E63BB" w:rsidRPr="00D67CF6">
      <w:rPr>
        <w:szCs w:val="18"/>
      </w:rPr>
      <w:instrText xml:space="preserve"> PAGE  \* MERGEFORMAT </w:instrText>
    </w:r>
    <w:r w:rsidR="007E63BB" w:rsidRPr="00D67CF6">
      <w:rPr>
        <w:szCs w:val="18"/>
      </w:rPr>
      <w:fldChar w:fldCharType="separate"/>
    </w:r>
    <w:r w:rsidR="007E63BB">
      <w:rPr>
        <w:szCs w:val="18"/>
      </w:rPr>
      <w:t>13</w:t>
    </w:r>
    <w:r w:rsidR="007E63BB" w:rsidRPr="00D67CF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EFA7" w14:textId="77777777" w:rsidR="00250097" w:rsidRDefault="00250097">
      <w:pPr>
        <w:spacing w:before="120"/>
      </w:pPr>
      <w:r>
        <w:separator/>
      </w:r>
    </w:p>
    <w:p w14:paraId="64DCC20B" w14:textId="77777777" w:rsidR="00250097" w:rsidRDefault="00250097"/>
  </w:footnote>
  <w:footnote w:type="continuationSeparator" w:id="0">
    <w:p w14:paraId="02B682F3" w14:textId="77777777" w:rsidR="00250097" w:rsidRDefault="00250097">
      <w:pPr>
        <w:spacing w:before="120"/>
      </w:pPr>
      <w:r>
        <w:continuationSeparator/>
      </w:r>
    </w:p>
    <w:p w14:paraId="2ECA5DC0" w14:textId="77777777" w:rsidR="00250097" w:rsidRDefault="00250097"/>
  </w:footnote>
  <w:footnote w:type="continuationNotice" w:id="1">
    <w:p w14:paraId="297D1EAB" w14:textId="77777777" w:rsidR="00250097" w:rsidRDefault="00250097">
      <w:pPr>
        <w:rPr>
          <w:sz w:val="16"/>
        </w:rPr>
      </w:pPr>
    </w:p>
    <w:p w14:paraId="400E42E3" w14:textId="77777777" w:rsidR="00250097" w:rsidRDefault="00250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F78" w14:textId="307C9513" w:rsidR="007E63BB" w:rsidRPr="00D67CF6" w:rsidRDefault="007E63BB" w:rsidP="00A74605">
    <w:pPr>
      <w:pStyle w:val="HeaderHeading"/>
      <w:pageBreakBefore w:val="0"/>
      <w:pBdr>
        <w:bottom w:val="single" w:sz="4" w:space="4" w:color="auto"/>
      </w:pBdr>
      <w:rPr>
        <w:rFonts w:ascii="Arial" w:hAnsi="Arial"/>
        <w:sz w:val="18"/>
        <w:szCs w:val="18"/>
      </w:rPr>
    </w:pPr>
    <w:r>
      <w:rPr>
        <w:rFonts w:ascii="Arial" w:hAnsi="Arial"/>
        <w:sz w:val="18"/>
        <w:szCs w:val="18"/>
      </w:rPr>
      <w:t>Regional NSW Cluster</w:t>
    </w:r>
  </w:p>
  <w:p w14:paraId="0DBA8001" w14:textId="77777777" w:rsidR="007E63BB" w:rsidRDefault="007E63BB" w:rsidP="00A746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4297" w14:textId="0ED6BBCA" w:rsidR="007E63BB" w:rsidRPr="00D67CF6" w:rsidRDefault="007E63BB" w:rsidP="00A74605">
    <w:pPr>
      <w:pStyle w:val="HeaderHeading"/>
      <w:pageBreakBefore w:val="0"/>
      <w:pBdr>
        <w:bottom w:val="single" w:sz="4" w:space="4" w:color="auto"/>
      </w:pBdr>
      <w:jc w:val="right"/>
      <w:rPr>
        <w:rFonts w:ascii="Arial" w:hAnsi="Arial"/>
        <w:sz w:val="18"/>
        <w:szCs w:val="18"/>
      </w:rPr>
    </w:pPr>
    <w:r>
      <w:rPr>
        <w:rFonts w:ascii="Arial" w:hAnsi="Arial"/>
        <w:sz w:val="18"/>
        <w:szCs w:val="18"/>
      </w:rPr>
      <w:t>Regional NSW Cluster</w:t>
    </w:r>
  </w:p>
  <w:p w14:paraId="13F1E5E5" w14:textId="2736AC12" w:rsidR="007E63BB" w:rsidRDefault="007E63BB"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C015" w14:textId="7989FB3D" w:rsidR="007E63BB" w:rsidRDefault="007E63BB" w:rsidP="00A74605"/>
  <w:p w14:paraId="6021FE57" w14:textId="7744D89B" w:rsidR="007E63BB" w:rsidRPr="00A62927" w:rsidRDefault="007E63BB" w:rsidP="00A62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F1E"/>
    <w:multiLevelType w:val="hybridMultilevel"/>
    <w:tmpl w:val="8CA064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2" w15:restartNumberingAfterBreak="0">
    <w:nsid w:val="064C38B8"/>
    <w:multiLevelType w:val="hybridMultilevel"/>
    <w:tmpl w:val="FD2AD2FA"/>
    <w:lvl w:ilvl="0" w:tplc="DB446284">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9B51D8"/>
    <w:multiLevelType w:val="hybridMultilevel"/>
    <w:tmpl w:val="22441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834C33"/>
    <w:multiLevelType w:val="hybridMultilevel"/>
    <w:tmpl w:val="07A83670"/>
    <w:lvl w:ilvl="0" w:tplc="343E7466">
      <w:start w:val="1"/>
      <w:numFmt w:val="decimal"/>
      <w:pStyle w:val="Chart1X"/>
      <w:lvlText w:val="Chart 1.%1:"/>
      <w:lvlJc w:val="left"/>
      <w:pPr>
        <w:ind w:left="36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F37FF8"/>
    <w:multiLevelType w:val="hybridMultilevel"/>
    <w:tmpl w:val="F9F036EE"/>
    <w:lvl w:ilvl="0" w:tplc="AA1ECC38">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202B496D"/>
    <w:multiLevelType w:val="hybridMultilevel"/>
    <w:tmpl w:val="14123658"/>
    <w:lvl w:ilvl="0" w:tplc="EA9E4C92">
      <w:start w:val="1"/>
      <w:numFmt w:val="lowerLetter"/>
      <w:lvlText w:val="(%1)"/>
      <w:lvlJc w:val="left"/>
      <w:pPr>
        <w:ind w:left="720" w:hanging="360"/>
      </w:pPr>
      <w:rPr>
        <w:rFonts w:eastAsia="Times New Roman" w:hint="default"/>
        <w:color w:val="00000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3122F6"/>
    <w:multiLevelType w:val="hybridMultilevel"/>
    <w:tmpl w:val="E85A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AA192D"/>
    <w:multiLevelType w:val="hybridMultilevel"/>
    <w:tmpl w:val="18B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153FE"/>
    <w:multiLevelType w:val="hybridMultilevel"/>
    <w:tmpl w:val="482E8BD0"/>
    <w:lvl w:ilvl="0" w:tplc="3028DE1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12AE8"/>
    <w:multiLevelType w:val="hybridMultilevel"/>
    <w:tmpl w:val="3BFEF966"/>
    <w:lvl w:ilvl="0" w:tplc="62F6D2AE">
      <w:start w:val="1"/>
      <w:numFmt w:val="decimal"/>
      <w:pStyle w:val="Chart7X"/>
      <w:lvlText w:val="Chart 7.%1:"/>
      <w:lvlJc w:val="left"/>
      <w:pPr>
        <w:ind w:left="36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13" w15:restartNumberingAfterBreak="0">
    <w:nsid w:val="39CE41DA"/>
    <w:multiLevelType w:val="hybridMultilevel"/>
    <w:tmpl w:val="0B1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F944FB"/>
    <w:multiLevelType w:val="hybridMultilevel"/>
    <w:tmpl w:val="96863882"/>
    <w:lvl w:ilvl="0" w:tplc="D82E0E3E">
      <w:start w:val="1"/>
      <w:numFmt w:val="bullet"/>
      <w:pStyle w:val="Bullet4"/>
      <w:lvlText w:val=""/>
      <w:lvlJc w:val="left"/>
      <w:pPr>
        <w:tabs>
          <w:tab w:val="num" w:pos="1701"/>
        </w:tabs>
        <w:ind w:left="1701" w:hanging="425"/>
      </w:pPr>
      <w:rPr>
        <w:rFonts w:ascii="Symbol" w:hAnsi="Symbol" w:hint="default"/>
        <w:sz w:val="22"/>
      </w:rPr>
    </w:lvl>
    <w:lvl w:ilvl="1" w:tplc="C7FEFE7C">
      <w:numFmt w:val="decimal"/>
      <w:lvlText w:val=""/>
      <w:lvlJc w:val="left"/>
    </w:lvl>
    <w:lvl w:ilvl="2" w:tplc="783E8568">
      <w:numFmt w:val="decimal"/>
      <w:lvlText w:val=""/>
      <w:lvlJc w:val="left"/>
    </w:lvl>
    <w:lvl w:ilvl="3" w:tplc="8AB8550E">
      <w:numFmt w:val="decimal"/>
      <w:lvlText w:val=""/>
      <w:lvlJc w:val="left"/>
    </w:lvl>
    <w:lvl w:ilvl="4" w:tplc="833E6656">
      <w:numFmt w:val="decimal"/>
      <w:lvlText w:val=""/>
      <w:lvlJc w:val="left"/>
    </w:lvl>
    <w:lvl w:ilvl="5" w:tplc="80688214">
      <w:numFmt w:val="decimal"/>
      <w:lvlText w:val=""/>
      <w:lvlJc w:val="left"/>
    </w:lvl>
    <w:lvl w:ilvl="6" w:tplc="C946341A">
      <w:numFmt w:val="decimal"/>
      <w:lvlText w:val=""/>
      <w:lvlJc w:val="left"/>
    </w:lvl>
    <w:lvl w:ilvl="7" w:tplc="48BA829C">
      <w:numFmt w:val="decimal"/>
      <w:lvlText w:val=""/>
      <w:lvlJc w:val="left"/>
    </w:lvl>
    <w:lvl w:ilvl="8" w:tplc="33A6E6BC">
      <w:numFmt w:val="decimal"/>
      <w:lvlText w:val=""/>
      <w:lvlJc w:val="left"/>
    </w:lvl>
  </w:abstractNum>
  <w:abstractNum w:abstractNumId="15" w15:restartNumberingAfterBreak="0">
    <w:nsid w:val="41AF0BA3"/>
    <w:multiLevelType w:val="hybridMultilevel"/>
    <w:tmpl w:val="F8380D58"/>
    <w:lvl w:ilvl="0" w:tplc="6012F45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BD70C2"/>
    <w:multiLevelType w:val="hybridMultilevel"/>
    <w:tmpl w:val="577A4FCA"/>
    <w:lvl w:ilvl="0" w:tplc="70805084">
      <w:start w:val="1"/>
      <w:numFmt w:val="bullet"/>
      <w:pStyle w:val="Bullet2"/>
      <w:lvlText w:val="–"/>
      <w:lvlJc w:val="left"/>
      <w:pPr>
        <w:tabs>
          <w:tab w:val="num" w:pos="1080"/>
        </w:tabs>
        <w:ind w:left="1080" w:hanging="360"/>
      </w:pPr>
      <w:rPr>
        <w:rFonts w:ascii="Lucida Sans" w:hAnsi="Lucida Sans" w:hint="default"/>
        <w:sz w:val="24"/>
      </w:rPr>
    </w:lvl>
    <w:lvl w:ilvl="1" w:tplc="0C090001" w:tentative="1">
      <w:start w:val="1"/>
      <w:numFmt w:val="bullet"/>
      <w:lvlText w:val="o"/>
      <w:lvlJc w:val="left"/>
      <w:pPr>
        <w:tabs>
          <w:tab w:val="num" w:pos="1735"/>
        </w:tabs>
        <w:ind w:left="1735" w:hanging="360"/>
      </w:pPr>
      <w:rPr>
        <w:rFonts w:ascii="Courier New" w:hAnsi="Courier New" w:cs="Courier New" w:hint="default"/>
      </w:rPr>
    </w:lvl>
    <w:lvl w:ilvl="2" w:tplc="0C090005" w:tentative="1">
      <w:start w:val="1"/>
      <w:numFmt w:val="bullet"/>
      <w:lvlText w:val=""/>
      <w:lvlJc w:val="left"/>
      <w:pPr>
        <w:tabs>
          <w:tab w:val="num" w:pos="2455"/>
        </w:tabs>
        <w:ind w:left="2455" w:hanging="360"/>
      </w:pPr>
      <w:rPr>
        <w:rFonts w:ascii="Wingdings" w:hAnsi="Wingdings" w:hint="default"/>
      </w:rPr>
    </w:lvl>
    <w:lvl w:ilvl="3" w:tplc="0C090001" w:tentative="1">
      <w:start w:val="1"/>
      <w:numFmt w:val="bullet"/>
      <w:lvlText w:val=""/>
      <w:lvlJc w:val="left"/>
      <w:pPr>
        <w:tabs>
          <w:tab w:val="num" w:pos="3175"/>
        </w:tabs>
        <w:ind w:left="3175" w:hanging="360"/>
      </w:pPr>
      <w:rPr>
        <w:rFonts w:ascii="Symbol" w:hAnsi="Symbol" w:hint="default"/>
      </w:rPr>
    </w:lvl>
    <w:lvl w:ilvl="4" w:tplc="0C090003" w:tentative="1">
      <w:start w:val="1"/>
      <w:numFmt w:val="bullet"/>
      <w:lvlText w:val="o"/>
      <w:lvlJc w:val="left"/>
      <w:pPr>
        <w:tabs>
          <w:tab w:val="num" w:pos="3895"/>
        </w:tabs>
        <w:ind w:left="3895" w:hanging="360"/>
      </w:pPr>
      <w:rPr>
        <w:rFonts w:ascii="Courier New" w:hAnsi="Courier New" w:cs="Courier New" w:hint="default"/>
      </w:rPr>
    </w:lvl>
    <w:lvl w:ilvl="5" w:tplc="0C090005" w:tentative="1">
      <w:start w:val="1"/>
      <w:numFmt w:val="bullet"/>
      <w:lvlText w:val=""/>
      <w:lvlJc w:val="left"/>
      <w:pPr>
        <w:tabs>
          <w:tab w:val="num" w:pos="4615"/>
        </w:tabs>
        <w:ind w:left="4615" w:hanging="360"/>
      </w:pPr>
      <w:rPr>
        <w:rFonts w:ascii="Wingdings" w:hAnsi="Wingdings" w:hint="default"/>
      </w:rPr>
    </w:lvl>
    <w:lvl w:ilvl="6" w:tplc="0C090001" w:tentative="1">
      <w:start w:val="1"/>
      <w:numFmt w:val="bullet"/>
      <w:lvlText w:val=""/>
      <w:lvlJc w:val="left"/>
      <w:pPr>
        <w:tabs>
          <w:tab w:val="num" w:pos="5335"/>
        </w:tabs>
        <w:ind w:left="5335" w:hanging="360"/>
      </w:pPr>
      <w:rPr>
        <w:rFonts w:ascii="Symbol" w:hAnsi="Symbol" w:hint="default"/>
      </w:rPr>
    </w:lvl>
    <w:lvl w:ilvl="7" w:tplc="0C090003" w:tentative="1">
      <w:start w:val="1"/>
      <w:numFmt w:val="bullet"/>
      <w:lvlText w:val="o"/>
      <w:lvlJc w:val="left"/>
      <w:pPr>
        <w:tabs>
          <w:tab w:val="num" w:pos="6055"/>
        </w:tabs>
        <w:ind w:left="6055" w:hanging="360"/>
      </w:pPr>
      <w:rPr>
        <w:rFonts w:ascii="Courier New" w:hAnsi="Courier New" w:cs="Courier New" w:hint="default"/>
      </w:rPr>
    </w:lvl>
    <w:lvl w:ilvl="8" w:tplc="0C090005" w:tentative="1">
      <w:start w:val="1"/>
      <w:numFmt w:val="bullet"/>
      <w:lvlText w:val=""/>
      <w:lvlJc w:val="left"/>
      <w:pPr>
        <w:tabs>
          <w:tab w:val="num" w:pos="6775"/>
        </w:tabs>
        <w:ind w:left="6775" w:hanging="360"/>
      </w:pPr>
      <w:rPr>
        <w:rFonts w:ascii="Wingdings" w:hAnsi="Wingdings" w:hint="default"/>
      </w:rPr>
    </w:lvl>
  </w:abstractNum>
  <w:abstractNum w:abstractNumId="20" w15:restartNumberingAfterBreak="0">
    <w:nsid w:val="55376970"/>
    <w:multiLevelType w:val="hybridMultilevel"/>
    <w:tmpl w:val="72F8EF64"/>
    <w:lvl w:ilvl="0" w:tplc="4A1EE8E0">
      <w:start w:val="1"/>
      <w:numFmt w:val="bullet"/>
      <w:pStyle w:val="Bulletedsty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71B6778"/>
    <w:multiLevelType w:val="hybridMultilevel"/>
    <w:tmpl w:val="587E749E"/>
    <w:lvl w:ilvl="0" w:tplc="A7B2C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3E3631"/>
    <w:multiLevelType w:val="hybridMultilevel"/>
    <w:tmpl w:val="A6C0BD50"/>
    <w:lvl w:ilvl="0" w:tplc="A7B2C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273BF9"/>
    <w:multiLevelType w:val="hybridMultilevel"/>
    <w:tmpl w:val="03DA01A0"/>
    <w:lvl w:ilvl="0" w:tplc="CD0E4BA4">
      <w:start w:val="1"/>
      <w:numFmt w:val="bullet"/>
      <w:pStyle w:val="Bullet1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12055EB"/>
    <w:multiLevelType w:val="hybridMultilevel"/>
    <w:tmpl w:val="C082B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E3155B"/>
    <w:multiLevelType w:val="hybridMultilevel"/>
    <w:tmpl w:val="74846280"/>
    <w:lvl w:ilvl="0" w:tplc="0BFCFE28">
      <w:numFmt w:val="bullet"/>
      <w:lvlText w:val="-"/>
      <w:lvlJc w:val="left"/>
      <w:pPr>
        <w:ind w:left="2520" w:hanging="360"/>
      </w:pPr>
      <w:rPr>
        <w:rFonts w:ascii="Arial" w:hAnsi="Arial" w:hint="default"/>
      </w:rPr>
    </w:lvl>
    <w:lvl w:ilvl="1" w:tplc="09B6ECC0">
      <w:start w:val="1"/>
      <w:numFmt w:val="bullet"/>
      <w:lvlText w:val="o"/>
      <w:lvlJc w:val="left"/>
      <w:pPr>
        <w:ind w:left="3240" w:hanging="360"/>
      </w:pPr>
      <w:rPr>
        <w:rFonts w:ascii="Courier New" w:hAnsi="Courier New" w:hint="default"/>
      </w:rPr>
    </w:lvl>
    <w:lvl w:ilvl="2" w:tplc="21CA9D98" w:tentative="1">
      <w:start w:val="1"/>
      <w:numFmt w:val="bullet"/>
      <w:lvlText w:val=""/>
      <w:lvlJc w:val="left"/>
      <w:pPr>
        <w:ind w:left="3960" w:hanging="360"/>
      </w:pPr>
      <w:rPr>
        <w:rFonts w:ascii="Wingdings" w:hAnsi="Wingdings" w:hint="default"/>
      </w:rPr>
    </w:lvl>
    <w:lvl w:ilvl="3" w:tplc="72440706" w:tentative="1">
      <w:start w:val="1"/>
      <w:numFmt w:val="bullet"/>
      <w:lvlText w:val=""/>
      <w:lvlJc w:val="left"/>
      <w:pPr>
        <w:ind w:left="4680" w:hanging="360"/>
      </w:pPr>
      <w:rPr>
        <w:rFonts w:ascii="Symbol" w:hAnsi="Symbol" w:hint="default"/>
      </w:rPr>
    </w:lvl>
    <w:lvl w:ilvl="4" w:tplc="EF74D168" w:tentative="1">
      <w:start w:val="1"/>
      <w:numFmt w:val="bullet"/>
      <w:lvlText w:val="o"/>
      <w:lvlJc w:val="left"/>
      <w:pPr>
        <w:ind w:left="5400" w:hanging="360"/>
      </w:pPr>
      <w:rPr>
        <w:rFonts w:ascii="Courier New" w:hAnsi="Courier New" w:hint="default"/>
      </w:rPr>
    </w:lvl>
    <w:lvl w:ilvl="5" w:tplc="015EDA7A" w:tentative="1">
      <w:start w:val="1"/>
      <w:numFmt w:val="bullet"/>
      <w:lvlText w:val=""/>
      <w:lvlJc w:val="left"/>
      <w:pPr>
        <w:ind w:left="6120" w:hanging="360"/>
      </w:pPr>
      <w:rPr>
        <w:rFonts w:ascii="Wingdings" w:hAnsi="Wingdings" w:hint="default"/>
      </w:rPr>
    </w:lvl>
    <w:lvl w:ilvl="6" w:tplc="34701DFC" w:tentative="1">
      <w:start w:val="1"/>
      <w:numFmt w:val="bullet"/>
      <w:lvlText w:val=""/>
      <w:lvlJc w:val="left"/>
      <w:pPr>
        <w:ind w:left="6840" w:hanging="360"/>
      </w:pPr>
      <w:rPr>
        <w:rFonts w:ascii="Symbol" w:hAnsi="Symbol" w:hint="default"/>
      </w:rPr>
    </w:lvl>
    <w:lvl w:ilvl="7" w:tplc="9294D856" w:tentative="1">
      <w:start w:val="1"/>
      <w:numFmt w:val="bullet"/>
      <w:lvlText w:val="o"/>
      <w:lvlJc w:val="left"/>
      <w:pPr>
        <w:ind w:left="7560" w:hanging="360"/>
      </w:pPr>
      <w:rPr>
        <w:rFonts w:ascii="Courier New" w:hAnsi="Courier New" w:hint="default"/>
      </w:rPr>
    </w:lvl>
    <w:lvl w:ilvl="8" w:tplc="075A7E8A" w:tentative="1">
      <w:start w:val="1"/>
      <w:numFmt w:val="bullet"/>
      <w:lvlText w:val=""/>
      <w:lvlJc w:val="left"/>
      <w:pPr>
        <w:ind w:left="8280" w:hanging="360"/>
      </w:pPr>
      <w:rPr>
        <w:rFonts w:ascii="Wingdings" w:hAnsi="Wingdings" w:hint="default"/>
      </w:rPr>
    </w:lvl>
  </w:abstractNum>
  <w:abstractNum w:abstractNumId="26" w15:restartNumberingAfterBreak="0">
    <w:nsid w:val="64E75030"/>
    <w:multiLevelType w:val="hybridMultilevel"/>
    <w:tmpl w:val="6FFCB48E"/>
    <w:lvl w:ilvl="0" w:tplc="B1A0D4DA">
      <w:start w:val="1"/>
      <w:numFmt w:val="decimal"/>
      <w:pStyle w:val="Heading2"/>
      <w:lvlText w:val="7.%1"/>
      <w:lvlJc w:val="left"/>
      <w:pPr>
        <w:ind w:left="360" w:hanging="360"/>
      </w:pPr>
      <w:rPr>
        <w:rFonts w:ascii="Arial Bold" w:hAnsi="Arial Bold" w:hint="default"/>
        <w:b/>
        <w:i w:val="0"/>
        <w:caps w:val="0"/>
        <w:color w:val="008EBA"/>
        <w:sz w:val="28"/>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6A572E"/>
    <w:multiLevelType w:val="hybridMultilevel"/>
    <w:tmpl w:val="DE5CF8B2"/>
    <w:lvl w:ilvl="0" w:tplc="6D306512">
      <w:start w:val="1"/>
      <w:numFmt w:val="decimal"/>
      <w:pStyle w:val="Chart5X"/>
      <w:lvlText w:val="Chart 6.%1:"/>
      <w:lvlJc w:val="left"/>
      <w:pPr>
        <w:ind w:left="928"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E17B60"/>
    <w:multiLevelType w:val="hybridMultilevel"/>
    <w:tmpl w:val="14123658"/>
    <w:lvl w:ilvl="0" w:tplc="EA9E4C92">
      <w:start w:val="1"/>
      <w:numFmt w:val="lowerLetter"/>
      <w:lvlText w:val="(%1)"/>
      <w:lvlJc w:val="left"/>
      <w:pPr>
        <w:ind w:left="720" w:hanging="360"/>
      </w:pPr>
      <w:rPr>
        <w:rFonts w:eastAsia="Times New Roman" w:hint="default"/>
        <w:color w:val="00000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5C4042"/>
    <w:multiLevelType w:val="hybridMultilevel"/>
    <w:tmpl w:val="E9FC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CB1EFF"/>
    <w:multiLevelType w:val="hybridMultilevel"/>
    <w:tmpl w:val="993878E6"/>
    <w:lvl w:ilvl="0" w:tplc="96048AF2">
      <w:start w:val="1"/>
      <w:numFmt w:val="decimal"/>
      <w:pStyle w:val="Chart21"/>
      <w:lvlText w:val="Chart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6A0546"/>
    <w:multiLevelType w:val="hybridMultilevel"/>
    <w:tmpl w:val="5850615E"/>
    <w:lvl w:ilvl="0" w:tplc="C400B3C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1"/>
  </w:num>
  <w:num w:numId="4">
    <w:abstractNumId w:val="14"/>
  </w:num>
  <w:num w:numId="5">
    <w:abstractNumId w:val="27"/>
  </w:num>
  <w:num w:numId="6">
    <w:abstractNumId w:val="3"/>
  </w:num>
  <w:num w:numId="7">
    <w:abstractNumId w:val="4"/>
  </w:num>
  <w:num w:numId="8">
    <w:abstractNumId w:val="18"/>
  </w:num>
  <w:num w:numId="9">
    <w:abstractNumId w:val="17"/>
  </w:num>
  <w:num w:numId="10">
    <w:abstractNumId w:val="31"/>
  </w:num>
  <w:num w:numId="11">
    <w:abstractNumId w:val="16"/>
  </w:num>
  <w:num w:numId="12">
    <w:abstractNumId w:val="30"/>
  </w:num>
  <w:num w:numId="13">
    <w:abstractNumId w:val="13"/>
  </w:num>
  <w:num w:numId="14">
    <w:abstractNumId w:val="5"/>
  </w:num>
  <w:num w:numId="15">
    <w:abstractNumId w:val="10"/>
  </w:num>
  <w:num w:numId="16">
    <w:abstractNumId w:val="9"/>
  </w:num>
  <w:num w:numId="17">
    <w:abstractNumId w:val="26"/>
    <w:lvlOverride w:ilvl="0">
      <w:startOverride w:val="3"/>
    </w:lvlOverride>
  </w:num>
  <w:num w:numId="18">
    <w:abstractNumId w:val="20"/>
  </w:num>
  <w:num w:numId="19">
    <w:abstractNumId w:val="12"/>
  </w:num>
  <w:num w:numId="20">
    <w:abstractNumId w:val="6"/>
  </w:num>
  <w:num w:numId="21">
    <w:abstractNumId w:val="32"/>
  </w:num>
  <w:num w:numId="22">
    <w:abstractNumId w:val="8"/>
  </w:num>
  <w:num w:numId="23">
    <w:abstractNumId w:val="0"/>
  </w:num>
  <w:num w:numId="24">
    <w:abstractNumId w:val="12"/>
    <w:lvlOverride w:ilvl="0">
      <w:startOverride w:val="1"/>
    </w:lvlOverride>
  </w:num>
  <w:num w:numId="25">
    <w:abstractNumId w:val="22"/>
  </w:num>
  <w:num w:numId="26">
    <w:abstractNumId w:val="24"/>
  </w:num>
  <w:num w:numId="27">
    <w:abstractNumId w:val="28"/>
  </w:num>
  <w:num w:numId="28">
    <w:abstractNumId w:val="21"/>
  </w:num>
  <w:num w:numId="29">
    <w:abstractNumId w:val="29"/>
  </w:num>
  <w:num w:numId="30">
    <w:abstractNumId w:val="25"/>
  </w:num>
  <w:num w:numId="31">
    <w:abstractNumId w:val="23"/>
  </w:num>
  <w:num w:numId="32">
    <w:abstractNumId w:val="32"/>
  </w:num>
  <w:num w:numId="33">
    <w:abstractNumId w:val="32"/>
  </w:num>
  <w:num w:numId="34">
    <w:abstractNumId w:val="15"/>
  </w:num>
  <w:num w:numId="35">
    <w:abstractNumId w:val="11"/>
  </w:num>
  <w:num w:numId="36">
    <w:abstractNumId w:val="2"/>
  </w:num>
  <w:num w:numId="3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53D"/>
    <w:rsid w:val="00000759"/>
    <w:rsid w:val="000009A3"/>
    <w:rsid w:val="00000CC4"/>
    <w:rsid w:val="00000EF9"/>
    <w:rsid w:val="0000153D"/>
    <w:rsid w:val="00001D87"/>
    <w:rsid w:val="00002EBC"/>
    <w:rsid w:val="0000444F"/>
    <w:rsid w:val="0000475F"/>
    <w:rsid w:val="00004BD4"/>
    <w:rsid w:val="00004F4A"/>
    <w:rsid w:val="0000557E"/>
    <w:rsid w:val="000055A4"/>
    <w:rsid w:val="000055B2"/>
    <w:rsid w:val="0000563D"/>
    <w:rsid w:val="000058DD"/>
    <w:rsid w:val="00005A9A"/>
    <w:rsid w:val="00005BE2"/>
    <w:rsid w:val="00006107"/>
    <w:rsid w:val="000061ED"/>
    <w:rsid w:val="000062D8"/>
    <w:rsid w:val="00006B98"/>
    <w:rsid w:val="00006BD9"/>
    <w:rsid w:val="00006C7B"/>
    <w:rsid w:val="00006ECD"/>
    <w:rsid w:val="00006FB6"/>
    <w:rsid w:val="000077EE"/>
    <w:rsid w:val="000078AD"/>
    <w:rsid w:val="00007F6C"/>
    <w:rsid w:val="00010048"/>
    <w:rsid w:val="000103C4"/>
    <w:rsid w:val="00010B2D"/>
    <w:rsid w:val="00010F5D"/>
    <w:rsid w:val="00011030"/>
    <w:rsid w:val="00011C2E"/>
    <w:rsid w:val="00011CAE"/>
    <w:rsid w:val="00011DFD"/>
    <w:rsid w:val="00012A5D"/>
    <w:rsid w:val="00012B44"/>
    <w:rsid w:val="00012BB1"/>
    <w:rsid w:val="0001360B"/>
    <w:rsid w:val="00013613"/>
    <w:rsid w:val="00013BF5"/>
    <w:rsid w:val="000141C9"/>
    <w:rsid w:val="00014A9C"/>
    <w:rsid w:val="00014C4D"/>
    <w:rsid w:val="000150E7"/>
    <w:rsid w:val="00015870"/>
    <w:rsid w:val="00015EFE"/>
    <w:rsid w:val="000163FE"/>
    <w:rsid w:val="000169EA"/>
    <w:rsid w:val="00016D3B"/>
    <w:rsid w:val="000171FD"/>
    <w:rsid w:val="00017C54"/>
    <w:rsid w:val="00020181"/>
    <w:rsid w:val="000204FE"/>
    <w:rsid w:val="00020567"/>
    <w:rsid w:val="00020AFF"/>
    <w:rsid w:val="00021E35"/>
    <w:rsid w:val="00022027"/>
    <w:rsid w:val="00022724"/>
    <w:rsid w:val="000228E6"/>
    <w:rsid w:val="00022A9F"/>
    <w:rsid w:val="00022AB7"/>
    <w:rsid w:val="00022D04"/>
    <w:rsid w:val="000230DC"/>
    <w:rsid w:val="0002339C"/>
    <w:rsid w:val="000235EB"/>
    <w:rsid w:val="00023894"/>
    <w:rsid w:val="000239C3"/>
    <w:rsid w:val="00023A22"/>
    <w:rsid w:val="00024088"/>
    <w:rsid w:val="0002412B"/>
    <w:rsid w:val="0002435D"/>
    <w:rsid w:val="000245F5"/>
    <w:rsid w:val="000249C5"/>
    <w:rsid w:val="00025383"/>
    <w:rsid w:val="00025CCE"/>
    <w:rsid w:val="00025F70"/>
    <w:rsid w:val="000263BA"/>
    <w:rsid w:val="00026E3F"/>
    <w:rsid w:val="00026E5E"/>
    <w:rsid w:val="00026EA6"/>
    <w:rsid w:val="00027083"/>
    <w:rsid w:val="000275F2"/>
    <w:rsid w:val="00027B48"/>
    <w:rsid w:val="00027D94"/>
    <w:rsid w:val="00027F55"/>
    <w:rsid w:val="00030001"/>
    <w:rsid w:val="000300E6"/>
    <w:rsid w:val="00030199"/>
    <w:rsid w:val="000301C5"/>
    <w:rsid w:val="0003042F"/>
    <w:rsid w:val="00030A12"/>
    <w:rsid w:val="00030D3A"/>
    <w:rsid w:val="00031B7C"/>
    <w:rsid w:val="00031DB0"/>
    <w:rsid w:val="00032E2B"/>
    <w:rsid w:val="00033973"/>
    <w:rsid w:val="00033F75"/>
    <w:rsid w:val="000341F2"/>
    <w:rsid w:val="000344F7"/>
    <w:rsid w:val="000347CB"/>
    <w:rsid w:val="00034836"/>
    <w:rsid w:val="00034CAB"/>
    <w:rsid w:val="0003556D"/>
    <w:rsid w:val="000358AB"/>
    <w:rsid w:val="0003590B"/>
    <w:rsid w:val="000359F7"/>
    <w:rsid w:val="00035B85"/>
    <w:rsid w:val="00035D0A"/>
    <w:rsid w:val="00035E55"/>
    <w:rsid w:val="0003634C"/>
    <w:rsid w:val="00036734"/>
    <w:rsid w:val="00037A05"/>
    <w:rsid w:val="000406F9"/>
    <w:rsid w:val="0004071D"/>
    <w:rsid w:val="00040DAF"/>
    <w:rsid w:val="000411B1"/>
    <w:rsid w:val="00041208"/>
    <w:rsid w:val="00041374"/>
    <w:rsid w:val="000414C5"/>
    <w:rsid w:val="00041D21"/>
    <w:rsid w:val="00041E47"/>
    <w:rsid w:val="00041EC1"/>
    <w:rsid w:val="00042055"/>
    <w:rsid w:val="000424F7"/>
    <w:rsid w:val="00042507"/>
    <w:rsid w:val="000425B3"/>
    <w:rsid w:val="0004262B"/>
    <w:rsid w:val="000429F9"/>
    <w:rsid w:val="00042BD7"/>
    <w:rsid w:val="00042C84"/>
    <w:rsid w:val="00042D57"/>
    <w:rsid w:val="00043026"/>
    <w:rsid w:val="000434CD"/>
    <w:rsid w:val="00043A88"/>
    <w:rsid w:val="00043B66"/>
    <w:rsid w:val="00043C31"/>
    <w:rsid w:val="000448F2"/>
    <w:rsid w:val="00044A81"/>
    <w:rsid w:val="000451D9"/>
    <w:rsid w:val="000452CA"/>
    <w:rsid w:val="00045719"/>
    <w:rsid w:val="00046271"/>
    <w:rsid w:val="00046A93"/>
    <w:rsid w:val="00046C09"/>
    <w:rsid w:val="00047562"/>
    <w:rsid w:val="00047BAF"/>
    <w:rsid w:val="00047C23"/>
    <w:rsid w:val="00047CBC"/>
    <w:rsid w:val="00047D16"/>
    <w:rsid w:val="00047DF5"/>
    <w:rsid w:val="00050511"/>
    <w:rsid w:val="00050C23"/>
    <w:rsid w:val="00050CF3"/>
    <w:rsid w:val="00050EDB"/>
    <w:rsid w:val="000510DD"/>
    <w:rsid w:val="00051133"/>
    <w:rsid w:val="00052403"/>
    <w:rsid w:val="0005266A"/>
    <w:rsid w:val="00052EC8"/>
    <w:rsid w:val="00053193"/>
    <w:rsid w:val="000536FD"/>
    <w:rsid w:val="00053CAA"/>
    <w:rsid w:val="00054451"/>
    <w:rsid w:val="0005486F"/>
    <w:rsid w:val="000549F3"/>
    <w:rsid w:val="00054D48"/>
    <w:rsid w:val="0005508A"/>
    <w:rsid w:val="00055090"/>
    <w:rsid w:val="00055237"/>
    <w:rsid w:val="000559B1"/>
    <w:rsid w:val="00055EF6"/>
    <w:rsid w:val="00056008"/>
    <w:rsid w:val="0005622F"/>
    <w:rsid w:val="0005675B"/>
    <w:rsid w:val="00056ACB"/>
    <w:rsid w:val="00056CBE"/>
    <w:rsid w:val="00057170"/>
    <w:rsid w:val="00057B99"/>
    <w:rsid w:val="00057BE1"/>
    <w:rsid w:val="00057F87"/>
    <w:rsid w:val="000601CE"/>
    <w:rsid w:val="00060225"/>
    <w:rsid w:val="000604F4"/>
    <w:rsid w:val="000607C9"/>
    <w:rsid w:val="00060BF4"/>
    <w:rsid w:val="00060F4F"/>
    <w:rsid w:val="00061BA4"/>
    <w:rsid w:val="00062039"/>
    <w:rsid w:val="0006267A"/>
    <w:rsid w:val="00062CCB"/>
    <w:rsid w:val="00062DA6"/>
    <w:rsid w:val="000633B4"/>
    <w:rsid w:val="00063D75"/>
    <w:rsid w:val="00064497"/>
    <w:rsid w:val="000645AB"/>
    <w:rsid w:val="0006478A"/>
    <w:rsid w:val="000648B7"/>
    <w:rsid w:val="00064BA6"/>
    <w:rsid w:val="00064EBA"/>
    <w:rsid w:val="0006515F"/>
    <w:rsid w:val="00065520"/>
    <w:rsid w:val="00065AD5"/>
    <w:rsid w:val="00065C91"/>
    <w:rsid w:val="00066034"/>
    <w:rsid w:val="00066131"/>
    <w:rsid w:val="00066AE5"/>
    <w:rsid w:val="00066DB3"/>
    <w:rsid w:val="000670D3"/>
    <w:rsid w:val="000670F4"/>
    <w:rsid w:val="000673B8"/>
    <w:rsid w:val="0006753B"/>
    <w:rsid w:val="000678FF"/>
    <w:rsid w:val="00067C24"/>
    <w:rsid w:val="000703D4"/>
    <w:rsid w:val="00070515"/>
    <w:rsid w:val="00071107"/>
    <w:rsid w:val="00071468"/>
    <w:rsid w:val="000716BB"/>
    <w:rsid w:val="000716E9"/>
    <w:rsid w:val="000717AB"/>
    <w:rsid w:val="00071B8C"/>
    <w:rsid w:val="00071D6F"/>
    <w:rsid w:val="00071E6F"/>
    <w:rsid w:val="000727B3"/>
    <w:rsid w:val="000728E2"/>
    <w:rsid w:val="00072C25"/>
    <w:rsid w:val="00072E0C"/>
    <w:rsid w:val="000734EF"/>
    <w:rsid w:val="00073EB4"/>
    <w:rsid w:val="00073F5D"/>
    <w:rsid w:val="000745CE"/>
    <w:rsid w:val="00074F5B"/>
    <w:rsid w:val="0007521D"/>
    <w:rsid w:val="000754C4"/>
    <w:rsid w:val="00075D2D"/>
    <w:rsid w:val="00075D94"/>
    <w:rsid w:val="00076547"/>
    <w:rsid w:val="000766BD"/>
    <w:rsid w:val="0007684A"/>
    <w:rsid w:val="000768C4"/>
    <w:rsid w:val="000768EF"/>
    <w:rsid w:val="00076942"/>
    <w:rsid w:val="00076C61"/>
    <w:rsid w:val="0007772A"/>
    <w:rsid w:val="00080409"/>
    <w:rsid w:val="000804CB"/>
    <w:rsid w:val="00080650"/>
    <w:rsid w:val="00080E92"/>
    <w:rsid w:val="00081619"/>
    <w:rsid w:val="0008197C"/>
    <w:rsid w:val="00081B12"/>
    <w:rsid w:val="00082017"/>
    <w:rsid w:val="000826AB"/>
    <w:rsid w:val="0008283D"/>
    <w:rsid w:val="00082BCE"/>
    <w:rsid w:val="00082BDB"/>
    <w:rsid w:val="00083193"/>
    <w:rsid w:val="000836AF"/>
    <w:rsid w:val="00083807"/>
    <w:rsid w:val="00083B68"/>
    <w:rsid w:val="000841A9"/>
    <w:rsid w:val="000841C3"/>
    <w:rsid w:val="000844A8"/>
    <w:rsid w:val="0008460F"/>
    <w:rsid w:val="000846F6"/>
    <w:rsid w:val="00084BA7"/>
    <w:rsid w:val="00084BE5"/>
    <w:rsid w:val="00084F72"/>
    <w:rsid w:val="00084F97"/>
    <w:rsid w:val="0008585A"/>
    <w:rsid w:val="00085B36"/>
    <w:rsid w:val="00085C4D"/>
    <w:rsid w:val="00085D5D"/>
    <w:rsid w:val="00085DC0"/>
    <w:rsid w:val="00085DE5"/>
    <w:rsid w:val="00085E35"/>
    <w:rsid w:val="00085F0A"/>
    <w:rsid w:val="00085F7F"/>
    <w:rsid w:val="000860D5"/>
    <w:rsid w:val="00086443"/>
    <w:rsid w:val="00086F9C"/>
    <w:rsid w:val="00086FB6"/>
    <w:rsid w:val="000874C6"/>
    <w:rsid w:val="00087B24"/>
    <w:rsid w:val="00090223"/>
    <w:rsid w:val="000902B2"/>
    <w:rsid w:val="000908B0"/>
    <w:rsid w:val="000908ED"/>
    <w:rsid w:val="00090939"/>
    <w:rsid w:val="00090B97"/>
    <w:rsid w:val="0009106A"/>
    <w:rsid w:val="000910E0"/>
    <w:rsid w:val="00091A1E"/>
    <w:rsid w:val="00091A84"/>
    <w:rsid w:val="00092609"/>
    <w:rsid w:val="00092821"/>
    <w:rsid w:val="00092AB6"/>
    <w:rsid w:val="00092D07"/>
    <w:rsid w:val="00093232"/>
    <w:rsid w:val="00093341"/>
    <w:rsid w:val="00093552"/>
    <w:rsid w:val="0009391F"/>
    <w:rsid w:val="00093E25"/>
    <w:rsid w:val="000942C8"/>
    <w:rsid w:val="000944C8"/>
    <w:rsid w:val="000946BA"/>
    <w:rsid w:val="0009496E"/>
    <w:rsid w:val="00094E99"/>
    <w:rsid w:val="00094F44"/>
    <w:rsid w:val="0009545A"/>
    <w:rsid w:val="00095501"/>
    <w:rsid w:val="0009585C"/>
    <w:rsid w:val="0009586B"/>
    <w:rsid w:val="0009586E"/>
    <w:rsid w:val="000958E7"/>
    <w:rsid w:val="000959D6"/>
    <w:rsid w:val="000959E8"/>
    <w:rsid w:val="00095FF4"/>
    <w:rsid w:val="000961BC"/>
    <w:rsid w:val="00096747"/>
    <w:rsid w:val="00096AED"/>
    <w:rsid w:val="000971D0"/>
    <w:rsid w:val="000972B9"/>
    <w:rsid w:val="00097502"/>
    <w:rsid w:val="000977FA"/>
    <w:rsid w:val="00097AD6"/>
    <w:rsid w:val="00097B2F"/>
    <w:rsid w:val="00097BB5"/>
    <w:rsid w:val="00097C00"/>
    <w:rsid w:val="00097C9E"/>
    <w:rsid w:val="000A019F"/>
    <w:rsid w:val="000A0485"/>
    <w:rsid w:val="000A066F"/>
    <w:rsid w:val="000A076A"/>
    <w:rsid w:val="000A0845"/>
    <w:rsid w:val="000A0984"/>
    <w:rsid w:val="000A0D72"/>
    <w:rsid w:val="000A0F21"/>
    <w:rsid w:val="000A0FB2"/>
    <w:rsid w:val="000A12E5"/>
    <w:rsid w:val="000A137A"/>
    <w:rsid w:val="000A191C"/>
    <w:rsid w:val="000A1B83"/>
    <w:rsid w:val="000A1E52"/>
    <w:rsid w:val="000A2891"/>
    <w:rsid w:val="000A2A52"/>
    <w:rsid w:val="000A2F22"/>
    <w:rsid w:val="000A325C"/>
    <w:rsid w:val="000A345B"/>
    <w:rsid w:val="000A35A1"/>
    <w:rsid w:val="000A3ABA"/>
    <w:rsid w:val="000A447E"/>
    <w:rsid w:val="000A4519"/>
    <w:rsid w:val="000A4799"/>
    <w:rsid w:val="000A4DEA"/>
    <w:rsid w:val="000A529C"/>
    <w:rsid w:val="000A53AE"/>
    <w:rsid w:val="000A5473"/>
    <w:rsid w:val="000A5605"/>
    <w:rsid w:val="000A56FB"/>
    <w:rsid w:val="000A5995"/>
    <w:rsid w:val="000A5DF6"/>
    <w:rsid w:val="000A6C11"/>
    <w:rsid w:val="000A6E33"/>
    <w:rsid w:val="000A736E"/>
    <w:rsid w:val="000A7C28"/>
    <w:rsid w:val="000A7FE7"/>
    <w:rsid w:val="000B00B7"/>
    <w:rsid w:val="000B0292"/>
    <w:rsid w:val="000B0683"/>
    <w:rsid w:val="000B0762"/>
    <w:rsid w:val="000B1395"/>
    <w:rsid w:val="000B1443"/>
    <w:rsid w:val="000B2082"/>
    <w:rsid w:val="000B2632"/>
    <w:rsid w:val="000B29AB"/>
    <w:rsid w:val="000B2EE3"/>
    <w:rsid w:val="000B352E"/>
    <w:rsid w:val="000B36BF"/>
    <w:rsid w:val="000B39D1"/>
    <w:rsid w:val="000B3A2A"/>
    <w:rsid w:val="000B422D"/>
    <w:rsid w:val="000B4789"/>
    <w:rsid w:val="000B4B0F"/>
    <w:rsid w:val="000B4D73"/>
    <w:rsid w:val="000B4F67"/>
    <w:rsid w:val="000B50E9"/>
    <w:rsid w:val="000B50FC"/>
    <w:rsid w:val="000B53EB"/>
    <w:rsid w:val="000B54D1"/>
    <w:rsid w:val="000B5586"/>
    <w:rsid w:val="000B5BA1"/>
    <w:rsid w:val="000B5EE3"/>
    <w:rsid w:val="000B6101"/>
    <w:rsid w:val="000B6504"/>
    <w:rsid w:val="000B6B4E"/>
    <w:rsid w:val="000B6CC5"/>
    <w:rsid w:val="000B6E1C"/>
    <w:rsid w:val="000B6EEF"/>
    <w:rsid w:val="000B761F"/>
    <w:rsid w:val="000B7B2C"/>
    <w:rsid w:val="000B7C17"/>
    <w:rsid w:val="000B7E1C"/>
    <w:rsid w:val="000B7F24"/>
    <w:rsid w:val="000C0374"/>
    <w:rsid w:val="000C0405"/>
    <w:rsid w:val="000C0832"/>
    <w:rsid w:val="000C090B"/>
    <w:rsid w:val="000C0935"/>
    <w:rsid w:val="000C09A1"/>
    <w:rsid w:val="000C17F9"/>
    <w:rsid w:val="000C1837"/>
    <w:rsid w:val="000C1969"/>
    <w:rsid w:val="000C1B2C"/>
    <w:rsid w:val="000C23E3"/>
    <w:rsid w:val="000C240A"/>
    <w:rsid w:val="000C243C"/>
    <w:rsid w:val="000C2988"/>
    <w:rsid w:val="000C2B91"/>
    <w:rsid w:val="000C2BAC"/>
    <w:rsid w:val="000C344B"/>
    <w:rsid w:val="000C3705"/>
    <w:rsid w:val="000C3A23"/>
    <w:rsid w:val="000C3DB8"/>
    <w:rsid w:val="000C3E61"/>
    <w:rsid w:val="000C3E98"/>
    <w:rsid w:val="000C404A"/>
    <w:rsid w:val="000C408B"/>
    <w:rsid w:val="000C426F"/>
    <w:rsid w:val="000C4296"/>
    <w:rsid w:val="000C4B22"/>
    <w:rsid w:val="000C4CC3"/>
    <w:rsid w:val="000C558A"/>
    <w:rsid w:val="000C57C1"/>
    <w:rsid w:val="000C58BB"/>
    <w:rsid w:val="000C5952"/>
    <w:rsid w:val="000C5A10"/>
    <w:rsid w:val="000C5EA9"/>
    <w:rsid w:val="000C6F21"/>
    <w:rsid w:val="000C7425"/>
    <w:rsid w:val="000C74A2"/>
    <w:rsid w:val="000C7561"/>
    <w:rsid w:val="000C79D5"/>
    <w:rsid w:val="000C7CFD"/>
    <w:rsid w:val="000C7F0B"/>
    <w:rsid w:val="000D011C"/>
    <w:rsid w:val="000D0187"/>
    <w:rsid w:val="000D06CC"/>
    <w:rsid w:val="000D06DE"/>
    <w:rsid w:val="000D0C32"/>
    <w:rsid w:val="000D0E41"/>
    <w:rsid w:val="000D105A"/>
    <w:rsid w:val="000D118B"/>
    <w:rsid w:val="000D168D"/>
    <w:rsid w:val="000D1761"/>
    <w:rsid w:val="000D1E93"/>
    <w:rsid w:val="000D210D"/>
    <w:rsid w:val="000D2202"/>
    <w:rsid w:val="000D23B2"/>
    <w:rsid w:val="000D2737"/>
    <w:rsid w:val="000D2D23"/>
    <w:rsid w:val="000D308F"/>
    <w:rsid w:val="000D33C8"/>
    <w:rsid w:val="000D33F3"/>
    <w:rsid w:val="000D39B3"/>
    <w:rsid w:val="000D4650"/>
    <w:rsid w:val="000D47A8"/>
    <w:rsid w:val="000D4908"/>
    <w:rsid w:val="000D4C0D"/>
    <w:rsid w:val="000D593A"/>
    <w:rsid w:val="000D5C19"/>
    <w:rsid w:val="000D5F17"/>
    <w:rsid w:val="000D6731"/>
    <w:rsid w:val="000D717F"/>
    <w:rsid w:val="000D75BF"/>
    <w:rsid w:val="000D7BE3"/>
    <w:rsid w:val="000D7DAC"/>
    <w:rsid w:val="000E0237"/>
    <w:rsid w:val="000E058B"/>
    <w:rsid w:val="000E0CE7"/>
    <w:rsid w:val="000E0D1E"/>
    <w:rsid w:val="000E0F9E"/>
    <w:rsid w:val="000E205D"/>
    <w:rsid w:val="000E21A6"/>
    <w:rsid w:val="000E258A"/>
    <w:rsid w:val="000E25FA"/>
    <w:rsid w:val="000E2633"/>
    <w:rsid w:val="000E2640"/>
    <w:rsid w:val="000E264D"/>
    <w:rsid w:val="000E2E94"/>
    <w:rsid w:val="000E323B"/>
    <w:rsid w:val="000E37A5"/>
    <w:rsid w:val="000E397A"/>
    <w:rsid w:val="000E3A08"/>
    <w:rsid w:val="000E3FC9"/>
    <w:rsid w:val="000E4218"/>
    <w:rsid w:val="000E4272"/>
    <w:rsid w:val="000E47E9"/>
    <w:rsid w:val="000E5470"/>
    <w:rsid w:val="000E5691"/>
    <w:rsid w:val="000E5749"/>
    <w:rsid w:val="000E5827"/>
    <w:rsid w:val="000E5898"/>
    <w:rsid w:val="000E67BC"/>
    <w:rsid w:val="000E6C7B"/>
    <w:rsid w:val="000E7A06"/>
    <w:rsid w:val="000E7DE9"/>
    <w:rsid w:val="000E7E8A"/>
    <w:rsid w:val="000E7FD4"/>
    <w:rsid w:val="000F0142"/>
    <w:rsid w:val="000F01DC"/>
    <w:rsid w:val="000F0237"/>
    <w:rsid w:val="000F026C"/>
    <w:rsid w:val="000F0402"/>
    <w:rsid w:val="000F1105"/>
    <w:rsid w:val="000F1305"/>
    <w:rsid w:val="000F18BE"/>
    <w:rsid w:val="000F27E7"/>
    <w:rsid w:val="000F2B97"/>
    <w:rsid w:val="000F2C38"/>
    <w:rsid w:val="000F3C82"/>
    <w:rsid w:val="000F416D"/>
    <w:rsid w:val="000F4519"/>
    <w:rsid w:val="000F4E6A"/>
    <w:rsid w:val="000F5122"/>
    <w:rsid w:val="000F5981"/>
    <w:rsid w:val="000F5E8B"/>
    <w:rsid w:val="000F60B3"/>
    <w:rsid w:val="000F6438"/>
    <w:rsid w:val="000F6507"/>
    <w:rsid w:val="000F697D"/>
    <w:rsid w:val="000F6A27"/>
    <w:rsid w:val="000F6EAC"/>
    <w:rsid w:val="000F7084"/>
    <w:rsid w:val="000F7094"/>
    <w:rsid w:val="000F7206"/>
    <w:rsid w:val="000F7449"/>
    <w:rsid w:val="000F7CAE"/>
    <w:rsid w:val="001002CC"/>
    <w:rsid w:val="00100311"/>
    <w:rsid w:val="00100C92"/>
    <w:rsid w:val="00100E58"/>
    <w:rsid w:val="0010109B"/>
    <w:rsid w:val="00101366"/>
    <w:rsid w:val="0010143E"/>
    <w:rsid w:val="00101665"/>
    <w:rsid w:val="001018FE"/>
    <w:rsid w:val="00101AE2"/>
    <w:rsid w:val="00101BB3"/>
    <w:rsid w:val="00101DC4"/>
    <w:rsid w:val="00101E9C"/>
    <w:rsid w:val="0010259C"/>
    <w:rsid w:val="0010290E"/>
    <w:rsid w:val="0010348A"/>
    <w:rsid w:val="00103803"/>
    <w:rsid w:val="00103ABA"/>
    <w:rsid w:val="00104223"/>
    <w:rsid w:val="001045FC"/>
    <w:rsid w:val="001046CE"/>
    <w:rsid w:val="00104ECF"/>
    <w:rsid w:val="001053DC"/>
    <w:rsid w:val="00105408"/>
    <w:rsid w:val="001056E3"/>
    <w:rsid w:val="00105C6C"/>
    <w:rsid w:val="00105DC5"/>
    <w:rsid w:val="00105F59"/>
    <w:rsid w:val="00106246"/>
    <w:rsid w:val="00107B67"/>
    <w:rsid w:val="00107CFB"/>
    <w:rsid w:val="0011062D"/>
    <w:rsid w:val="00111328"/>
    <w:rsid w:val="00111430"/>
    <w:rsid w:val="001116FF"/>
    <w:rsid w:val="00111D08"/>
    <w:rsid w:val="00112083"/>
    <w:rsid w:val="00112096"/>
    <w:rsid w:val="0011239F"/>
    <w:rsid w:val="0011277D"/>
    <w:rsid w:val="001128C8"/>
    <w:rsid w:val="00112A7F"/>
    <w:rsid w:val="001136B5"/>
    <w:rsid w:val="00114D58"/>
    <w:rsid w:val="001154D1"/>
    <w:rsid w:val="00115824"/>
    <w:rsid w:val="00115EED"/>
    <w:rsid w:val="0011662A"/>
    <w:rsid w:val="00116695"/>
    <w:rsid w:val="001169D2"/>
    <w:rsid w:val="00117307"/>
    <w:rsid w:val="001177C2"/>
    <w:rsid w:val="00120565"/>
    <w:rsid w:val="001209B4"/>
    <w:rsid w:val="00120F46"/>
    <w:rsid w:val="001214B6"/>
    <w:rsid w:val="001215F7"/>
    <w:rsid w:val="001221C8"/>
    <w:rsid w:val="001221EB"/>
    <w:rsid w:val="00122506"/>
    <w:rsid w:val="00122C27"/>
    <w:rsid w:val="00122F83"/>
    <w:rsid w:val="00123052"/>
    <w:rsid w:val="0012328C"/>
    <w:rsid w:val="001233EA"/>
    <w:rsid w:val="001235CC"/>
    <w:rsid w:val="001243F8"/>
    <w:rsid w:val="00124461"/>
    <w:rsid w:val="00124D87"/>
    <w:rsid w:val="00124E5A"/>
    <w:rsid w:val="0012537E"/>
    <w:rsid w:val="00125E8A"/>
    <w:rsid w:val="00125F61"/>
    <w:rsid w:val="001275CB"/>
    <w:rsid w:val="00127E97"/>
    <w:rsid w:val="00130384"/>
    <w:rsid w:val="001305F1"/>
    <w:rsid w:val="00130624"/>
    <w:rsid w:val="00130D42"/>
    <w:rsid w:val="00130F5D"/>
    <w:rsid w:val="00131115"/>
    <w:rsid w:val="001311B8"/>
    <w:rsid w:val="0013163F"/>
    <w:rsid w:val="00131B1C"/>
    <w:rsid w:val="00131C99"/>
    <w:rsid w:val="00131F46"/>
    <w:rsid w:val="00132033"/>
    <w:rsid w:val="001326D1"/>
    <w:rsid w:val="001326E8"/>
    <w:rsid w:val="00132908"/>
    <w:rsid w:val="00132949"/>
    <w:rsid w:val="00132E3E"/>
    <w:rsid w:val="00133330"/>
    <w:rsid w:val="0013338D"/>
    <w:rsid w:val="001333B3"/>
    <w:rsid w:val="00133498"/>
    <w:rsid w:val="0013366B"/>
    <w:rsid w:val="001339E5"/>
    <w:rsid w:val="00133F19"/>
    <w:rsid w:val="001342B5"/>
    <w:rsid w:val="00134625"/>
    <w:rsid w:val="0013613E"/>
    <w:rsid w:val="00136486"/>
    <w:rsid w:val="00136629"/>
    <w:rsid w:val="001366B1"/>
    <w:rsid w:val="00136DCF"/>
    <w:rsid w:val="0013739A"/>
    <w:rsid w:val="00137483"/>
    <w:rsid w:val="0013769F"/>
    <w:rsid w:val="00140766"/>
    <w:rsid w:val="00140E7D"/>
    <w:rsid w:val="00141784"/>
    <w:rsid w:val="00141C2E"/>
    <w:rsid w:val="001420AE"/>
    <w:rsid w:val="0014266A"/>
    <w:rsid w:val="001439E2"/>
    <w:rsid w:val="00143BAF"/>
    <w:rsid w:val="00143CEC"/>
    <w:rsid w:val="00144D5B"/>
    <w:rsid w:val="00144E7D"/>
    <w:rsid w:val="001463F3"/>
    <w:rsid w:val="00146A7C"/>
    <w:rsid w:val="00146B2B"/>
    <w:rsid w:val="00146B97"/>
    <w:rsid w:val="0014749B"/>
    <w:rsid w:val="001475C9"/>
    <w:rsid w:val="00147B34"/>
    <w:rsid w:val="00147C15"/>
    <w:rsid w:val="001507A5"/>
    <w:rsid w:val="00150B1C"/>
    <w:rsid w:val="00150D8E"/>
    <w:rsid w:val="001510BF"/>
    <w:rsid w:val="00151102"/>
    <w:rsid w:val="001519AB"/>
    <w:rsid w:val="001519BF"/>
    <w:rsid w:val="00152205"/>
    <w:rsid w:val="00152C05"/>
    <w:rsid w:val="0015314D"/>
    <w:rsid w:val="00153F5F"/>
    <w:rsid w:val="00153FE8"/>
    <w:rsid w:val="0015413F"/>
    <w:rsid w:val="0015414B"/>
    <w:rsid w:val="00154DA9"/>
    <w:rsid w:val="001551D3"/>
    <w:rsid w:val="00156821"/>
    <w:rsid w:val="00156ADA"/>
    <w:rsid w:val="00157603"/>
    <w:rsid w:val="001578B5"/>
    <w:rsid w:val="00161A22"/>
    <w:rsid w:val="00161C47"/>
    <w:rsid w:val="00161D82"/>
    <w:rsid w:val="00161F03"/>
    <w:rsid w:val="00162419"/>
    <w:rsid w:val="00162C96"/>
    <w:rsid w:val="00163106"/>
    <w:rsid w:val="001632C9"/>
    <w:rsid w:val="001632D2"/>
    <w:rsid w:val="00163639"/>
    <w:rsid w:val="001636DC"/>
    <w:rsid w:val="0016390D"/>
    <w:rsid w:val="00163F92"/>
    <w:rsid w:val="00163FCE"/>
    <w:rsid w:val="0016415B"/>
    <w:rsid w:val="00164354"/>
    <w:rsid w:val="00164C34"/>
    <w:rsid w:val="001650A1"/>
    <w:rsid w:val="00165289"/>
    <w:rsid w:val="001657A9"/>
    <w:rsid w:val="00165A1D"/>
    <w:rsid w:val="0016608D"/>
    <w:rsid w:val="00166AB1"/>
    <w:rsid w:val="00166B62"/>
    <w:rsid w:val="0016705D"/>
    <w:rsid w:val="0016718B"/>
    <w:rsid w:val="0016746C"/>
    <w:rsid w:val="001675BC"/>
    <w:rsid w:val="00167739"/>
    <w:rsid w:val="00170869"/>
    <w:rsid w:val="001715FA"/>
    <w:rsid w:val="0017162B"/>
    <w:rsid w:val="00172173"/>
    <w:rsid w:val="0017294F"/>
    <w:rsid w:val="00172AC2"/>
    <w:rsid w:val="00172BB3"/>
    <w:rsid w:val="00172C8F"/>
    <w:rsid w:val="00172E81"/>
    <w:rsid w:val="0017306C"/>
    <w:rsid w:val="00173AFC"/>
    <w:rsid w:val="00173BEF"/>
    <w:rsid w:val="00173F57"/>
    <w:rsid w:val="001741D3"/>
    <w:rsid w:val="00174348"/>
    <w:rsid w:val="00174401"/>
    <w:rsid w:val="0017491D"/>
    <w:rsid w:val="00174E05"/>
    <w:rsid w:val="00175B02"/>
    <w:rsid w:val="00175F34"/>
    <w:rsid w:val="001765B9"/>
    <w:rsid w:val="001767CB"/>
    <w:rsid w:val="00176E44"/>
    <w:rsid w:val="0017747F"/>
    <w:rsid w:val="00177524"/>
    <w:rsid w:val="00177689"/>
    <w:rsid w:val="00177895"/>
    <w:rsid w:val="001778DB"/>
    <w:rsid w:val="001804C5"/>
    <w:rsid w:val="0018054D"/>
    <w:rsid w:val="00180805"/>
    <w:rsid w:val="00180DA3"/>
    <w:rsid w:val="00180E9A"/>
    <w:rsid w:val="0018105A"/>
    <w:rsid w:val="00181522"/>
    <w:rsid w:val="0018168B"/>
    <w:rsid w:val="00181AAB"/>
    <w:rsid w:val="00181D0C"/>
    <w:rsid w:val="00181EE8"/>
    <w:rsid w:val="001822F0"/>
    <w:rsid w:val="0018244E"/>
    <w:rsid w:val="001824CC"/>
    <w:rsid w:val="00182F05"/>
    <w:rsid w:val="00183183"/>
    <w:rsid w:val="00183244"/>
    <w:rsid w:val="00183DF0"/>
    <w:rsid w:val="0018410C"/>
    <w:rsid w:val="001845F7"/>
    <w:rsid w:val="0018483C"/>
    <w:rsid w:val="001849D4"/>
    <w:rsid w:val="00184ED4"/>
    <w:rsid w:val="001850DD"/>
    <w:rsid w:val="00185795"/>
    <w:rsid w:val="00185B24"/>
    <w:rsid w:val="00185C7F"/>
    <w:rsid w:val="00186B8B"/>
    <w:rsid w:val="00187E36"/>
    <w:rsid w:val="00187F18"/>
    <w:rsid w:val="001903F8"/>
    <w:rsid w:val="001906FB"/>
    <w:rsid w:val="00190E0D"/>
    <w:rsid w:val="00190EF9"/>
    <w:rsid w:val="00190FCB"/>
    <w:rsid w:val="001911A2"/>
    <w:rsid w:val="0019144A"/>
    <w:rsid w:val="001917EC"/>
    <w:rsid w:val="00191C46"/>
    <w:rsid w:val="00191DFD"/>
    <w:rsid w:val="00193378"/>
    <w:rsid w:val="00193728"/>
    <w:rsid w:val="001937F1"/>
    <w:rsid w:val="00193B91"/>
    <w:rsid w:val="00193BC0"/>
    <w:rsid w:val="001942BE"/>
    <w:rsid w:val="001945D1"/>
    <w:rsid w:val="0019462C"/>
    <w:rsid w:val="00194B6F"/>
    <w:rsid w:val="00194DF4"/>
    <w:rsid w:val="00194EA3"/>
    <w:rsid w:val="00195A59"/>
    <w:rsid w:val="00195D68"/>
    <w:rsid w:val="00196220"/>
    <w:rsid w:val="00196280"/>
    <w:rsid w:val="001972AD"/>
    <w:rsid w:val="0019777D"/>
    <w:rsid w:val="00197A7C"/>
    <w:rsid w:val="00197C2B"/>
    <w:rsid w:val="00197D17"/>
    <w:rsid w:val="00197E85"/>
    <w:rsid w:val="001A01CC"/>
    <w:rsid w:val="001A0484"/>
    <w:rsid w:val="001A056A"/>
    <w:rsid w:val="001A0D01"/>
    <w:rsid w:val="001A0D22"/>
    <w:rsid w:val="001A0F0E"/>
    <w:rsid w:val="001A1300"/>
    <w:rsid w:val="001A1A7D"/>
    <w:rsid w:val="001A212F"/>
    <w:rsid w:val="001A21F0"/>
    <w:rsid w:val="001A229E"/>
    <w:rsid w:val="001A2445"/>
    <w:rsid w:val="001A2B46"/>
    <w:rsid w:val="001A2D9C"/>
    <w:rsid w:val="001A30B2"/>
    <w:rsid w:val="001A32A2"/>
    <w:rsid w:val="001A3517"/>
    <w:rsid w:val="001A4636"/>
    <w:rsid w:val="001A50F1"/>
    <w:rsid w:val="001A50F5"/>
    <w:rsid w:val="001A5119"/>
    <w:rsid w:val="001A5134"/>
    <w:rsid w:val="001A51EA"/>
    <w:rsid w:val="001A5337"/>
    <w:rsid w:val="001A5D8B"/>
    <w:rsid w:val="001A5DAE"/>
    <w:rsid w:val="001A67DB"/>
    <w:rsid w:val="001A69D5"/>
    <w:rsid w:val="001A6A40"/>
    <w:rsid w:val="001A6C68"/>
    <w:rsid w:val="001A6DE4"/>
    <w:rsid w:val="001A6F4D"/>
    <w:rsid w:val="001A71C4"/>
    <w:rsid w:val="001A729F"/>
    <w:rsid w:val="001A74E6"/>
    <w:rsid w:val="001A74F6"/>
    <w:rsid w:val="001A7543"/>
    <w:rsid w:val="001A763F"/>
    <w:rsid w:val="001A785B"/>
    <w:rsid w:val="001A7F2D"/>
    <w:rsid w:val="001B0148"/>
    <w:rsid w:val="001B05B0"/>
    <w:rsid w:val="001B0636"/>
    <w:rsid w:val="001B0DF6"/>
    <w:rsid w:val="001B0F76"/>
    <w:rsid w:val="001B28B8"/>
    <w:rsid w:val="001B2AC4"/>
    <w:rsid w:val="001B2F89"/>
    <w:rsid w:val="001B30DC"/>
    <w:rsid w:val="001B3346"/>
    <w:rsid w:val="001B3856"/>
    <w:rsid w:val="001B4678"/>
    <w:rsid w:val="001B48B5"/>
    <w:rsid w:val="001B49CB"/>
    <w:rsid w:val="001B49FE"/>
    <w:rsid w:val="001B4B09"/>
    <w:rsid w:val="001B4CDD"/>
    <w:rsid w:val="001B5689"/>
    <w:rsid w:val="001B5CDC"/>
    <w:rsid w:val="001B5E1C"/>
    <w:rsid w:val="001B6671"/>
    <w:rsid w:val="001B6CED"/>
    <w:rsid w:val="001B6D66"/>
    <w:rsid w:val="001B78C2"/>
    <w:rsid w:val="001B7B64"/>
    <w:rsid w:val="001B7F2E"/>
    <w:rsid w:val="001C01B0"/>
    <w:rsid w:val="001C01E0"/>
    <w:rsid w:val="001C02F8"/>
    <w:rsid w:val="001C037B"/>
    <w:rsid w:val="001C04CF"/>
    <w:rsid w:val="001C05A6"/>
    <w:rsid w:val="001C0B83"/>
    <w:rsid w:val="001C0FB7"/>
    <w:rsid w:val="001C1535"/>
    <w:rsid w:val="001C1624"/>
    <w:rsid w:val="001C1C4F"/>
    <w:rsid w:val="001C23BD"/>
    <w:rsid w:val="001C23E0"/>
    <w:rsid w:val="001C2429"/>
    <w:rsid w:val="001C2599"/>
    <w:rsid w:val="001C25D9"/>
    <w:rsid w:val="001C2940"/>
    <w:rsid w:val="001C2DD9"/>
    <w:rsid w:val="001C31F5"/>
    <w:rsid w:val="001C39B0"/>
    <w:rsid w:val="001C3BD5"/>
    <w:rsid w:val="001C3D5C"/>
    <w:rsid w:val="001C452D"/>
    <w:rsid w:val="001C4810"/>
    <w:rsid w:val="001C4DCA"/>
    <w:rsid w:val="001C5558"/>
    <w:rsid w:val="001C574B"/>
    <w:rsid w:val="001C6032"/>
    <w:rsid w:val="001C652C"/>
    <w:rsid w:val="001C6727"/>
    <w:rsid w:val="001C6DEF"/>
    <w:rsid w:val="001C6E0D"/>
    <w:rsid w:val="001C71C2"/>
    <w:rsid w:val="001C721E"/>
    <w:rsid w:val="001C76A0"/>
    <w:rsid w:val="001C76D3"/>
    <w:rsid w:val="001C7F23"/>
    <w:rsid w:val="001D00FB"/>
    <w:rsid w:val="001D13CD"/>
    <w:rsid w:val="001D1CFC"/>
    <w:rsid w:val="001D2A82"/>
    <w:rsid w:val="001D2A91"/>
    <w:rsid w:val="001D2D78"/>
    <w:rsid w:val="001D3A05"/>
    <w:rsid w:val="001D3D19"/>
    <w:rsid w:val="001D3D6A"/>
    <w:rsid w:val="001D4040"/>
    <w:rsid w:val="001D44B3"/>
    <w:rsid w:val="001D4593"/>
    <w:rsid w:val="001D4832"/>
    <w:rsid w:val="001D4BC9"/>
    <w:rsid w:val="001D4DF8"/>
    <w:rsid w:val="001D50DC"/>
    <w:rsid w:val="001D586A"/>
    <w:rsid w:val="001D5B3D"/>
    <w:rsid w:val="001D5C0D"/>
    <w:rsid w:val="001D5D9C"/>
    <w:rsid w:val="001D5E34"/>
    <w:rsid w:val="001D6B1C"/>
    <w:rsid w:val="001D6CE4"/>
    <w:rsid w:val="001D71FF"/>
    <w:rsid w:val="001D7203"/>
    <w:rsid w:val="001D7388"/>
    <w:rsid w:val="001D74CB"/>
    <w:rsid w:val="001D76E9"/>
    <w:rsid w:val="001D7B6F"/>
    <w:rsid w:val="001D7C90"/>
    <w:rsid w:val="001D7F25"/>
    <w:rsid w:val="001D7F2A"/>
    <w:rsid w:val="001E0020"/>
    <w:rsid w:val="001E0155"/>
    <w:rsid w:val="001E0211"/>
    <w:rsid w:val="001E044B"/>
    <w:rsid w:val="001E047B"/>
    <w:rsid w:val="001E0624"/>
    <w:rsid w:val="001E0931"/>
    <w:rsid w:val="001E0951"/>
    <w:rsid w:val="001E0979"/>
    <w:rsid w:val="001E0D54"/>
    <w:rsid w:val="001E0E0A"/>
    <w:rsid w:val="001E1A95"/>
    <w:rsid w:val="001E1D95"/>
    <w:rsid w:val="001E2086"/>
    <w:rsid w:val="001E21ED"/>
    <w:rsid w:val="001E2714"/>
    <w:rsid w:val="001E3428"/>
    <w:rsid w:val="001E3521"/>
    <w:rsid w:val="001E35CA"/>
    <w:rsid w:val="001E365F"/>
    <w:rsid w:val="001E3BC8"/>
    <w:rsid w:val="001E3D36"/>
    <w:rsid w:val="001E3E17"/>
    <w:rsid w:val="001E42AE"/>
    <w:rsid w:val="001E4751"/>
    <w:rsid w:val="001E499A"/>
    <w:rsid w:val="001E49CE"/>
    <w:rsid w:val="001E4BAA"/>
    <w:rsid w:val="001E526D"/>
    <w:rsid w:val="001E52BD"/>
    <w:rsid w:val="001E5394"/>
    <w:rsid w:val="001E555A"/>
    <w:rsid w:val="001E6075"/>
    <w:rsid w:val="001E6498"/>
    <w:rsid w:val="001E6C06"/>
    <w:rsid w:val="001E6C1C"/>
    <w:rsid w:val="001E70D2"/>
    <w:rsid w:val="001E75C5"/>
    <w:rsid w:val="001E76B0"/>
    <w:rsid w:val="001E783A"/>
    <w:rsid w:val="001E78A2"/>
    <w:rsid w:val="001F0849"/>
    <w:rsid w:val="001F1432"/>
    <w:rsid w:val="001F1E68"/>
    <w:rsid w:val="001F1EAE"/>
    <w:rsid w:val="001F2B7D"/>
    <w:rsid w:val="001F2D8A"/>
    <w:rsid w:val="001F2EFC"/>
    <w:rsid w:val="001F347E"/>
    <w:rsid w:val="001F36EF"/>
    <w:rsid w:val="001F3756"/>
    <w:rsid w:val="001F3ACE"/>
    <w:rsid w:val="001F3EA1"/>
    <w:rsid w:val="001F4138"/>
    <w:rsid w:val="001F44A5"/>
    <w:rsid w:val="001F4742"/>
    <w:rsid w:val="001F4907"/>
    <w:rsid w:val="001F50AB"/>
    <w:rsid w:val="001F537E"/>
    <w:rsid w:val="001F547C"/>
    <w:rsid w:val="001F56E5"/>
    <w:rsid w:val="001F5AE5"/>
    <w:rsid w:val="001F5AFD"/>
    <w:rsid w:val="001F6138"/>
    <w:rsid w:val="001F62AA"/>
    <w:rsid w:val="001F632C"/>
    <w:rsid w:val="001F63F6"/>
    <w:rsid w:val="001F66B2"/>
    <w:rsid w:val="001F6703"/>
    <w:rsid w:val="001F6AB9"/>
    <w:rsid w:val="001F71EC"/>
    <w:rsid w:val="001F733A"/>
    <w:rsid w:val="001F7A8C"/>
    <w:rsid w:val="001F7C01"/>
    <w:rsid w:val="00200675"/>
    <w:rsid w:val="002006CC"/>
    <w:rsid w:val="002007BC"/>
    <w:rsid w:val="00200B26"/>
    <w:rsid w:val="00200BC9"/>
    <w:rsid w:val="00201890"/>
    <w:rsid w:val="00201B71"/>
    <w:rsid w:val="002021D6"/>
    <w:rsid w:val="0020278B"/>
    <w:rsid w:val="00202872"/>
    <w:rsid w:val="00202BC2"/>
    <w:rsid w:val="002034CC"/>
    <w:rsid w:val="00203B96"/>
    <w:rsid w:val="00204857"/>
    <w:rsid w:val="002049B0"/>
    <w:rsid w:val="00204B43"/>
    <w:rsid w:val="00204F6E"/>
    <w:rsid w:val="002051D1"/>
    <w:rsid w:val="00205484"/>
    <w:rsid w:val="00205609"/>
    <w:rsid w:val="00205AFE"/>
    <w:rsid w:val="00205B03"/>
    <w:rsid w:val="00206156"/>
    <w:rsid w:val="002064C2"/>
    <w:rsid w:val="00206722"/>
    <w:rsid w:val="00206B27"/>
    <w:rsid w:val="00206F4B"/>
    <w:rsid w:val="0020700B"/>
    <w:rsid w:val="0020737A"/>
    <w:rsid w:val="002075FC"/>
    <w:rsid w:val="00207A29"/>
    <w:rsid w:val="00207BE8"/>
    <w:rsid w:val="0021007E"/>
    <w:rsid w:val="0021022E"/>
    <w:rsid w:val="002104DA"/>
    <w:rsid w:val="00210A5C"/>
    <w:rsid w:val="00211278"/>
    <w:rsid w:val="002112E1"/>
    <w:rsid w:val="0021165B"/>
    <w:rsid w:val="00211A7C"/>
    <w:rsid w:val="00211E2C"/>
    <w:rsid w:val="00212173"/>
    <w:rsid w:val="002124D3"/>
    <w:rsid w:val="00212A08"/>
    <w:rsid w:val="0021347E"/>
    <w:rsid w:val="002137A8"/>
    <w:rsid w:val="00213E75"/>
    <w:rsid w:val="00213EE7"/>
    <w:rsid w:val="00213F27"/>
    <w:rsid w:val="00213F3A"/>
    <w:rsid w:val="0021451A"/>
    <w:rsid w:val="00214980"/>
    <w:rsid w:val="00214C1C"/>
    <w:rsid w:val="00215190"/>
    <w:rsid w:val="0021549A"/>
    <w:rsid w:val="0021576B"/>
    <w:rsid w:val="0021579B"/>
    <w:rsid w:val="002158B5"/>
    <w:rsid w:val="00215CEC"/>
    <w:rsid w:val="00215EE0"/>
    <w:rsid w:val="0021621C"/>
    <w:rsid w:val="00216478"/>
    <w:rsid w:val="002167DB"/>
    <w:rsid w:val="002168CD"/>
    <w:rsid w:val="00216CC6"/>
    <w:rsid w:val="00216DD4"/>
    <w:rsid w:val="00217357"/>
    <w:rsid w:val="002177B5"/>
    <w:rsid w:val="0022072E"/>
    <w:rsid w:val="0022076C"/>
    <w:rsid w:val="002209AE"/>
    <w:rsid w:val="00220A3E"/>
    <w:rsid w:val="002211F2"/>
    <w:rsid w:val="0022136E"/>
    <w:rsid w:val="002213CE"/>
    <w:rsid w:val="002215F7"/>
    <w:rsid w:val="00221B42"/>
    <w:rsid w:val="00222696"/>
    <w:rsid w:val="002226E4"/>
    <w:rsid w:val="00222967"/>
    <w:rsid w:val="00222B7F"/>
    <w:rsid w:val="00222CE0"/>
    <w:rsid w:val="00222D11"/>
    <w:rsid w:val="00222EFE"/>
    <w:rsid w:val="00223080"/>
    <w:rsid w:val="0022345A"/>
    <w:rsid w:val="0022352B"/>
    <w:rsid w:val="00223937"/>
    <w:rsid w:val="00224242"/>
    <w:rsid w:val="00224440"/>
    <w:rsid w:val="002244C6"/>
    <w:rsid w:val="00224786"/>
    <w:rsid w:val="002251B3"/>
    <w:rsid w:val="002251ED"/>
    <w:rsid w:val="00225358"/>
    <w:rsid w:val="00225760"/>
    <w:rsid w:val="00225A82"/>
    <w:rsid w:val="00225B36"/>
    <w:rsid w:val="00225E09"/>
    <w:rsid w:val="00226894"/>
    <w:rsid w:val="00226B1F"/>
    <w:rsid w:val="002301C8"/>
    <w:rsid w:val="00230302"/>
    <w:rsid w:val="0023031D"/>
    <w:rsid w:val="002303BB"/>
    <w:rsid w:val="00231D0C"/>
    <w:rsid w:val="00231EF9"/>
    <w:rsid w:val="00232018"/>
    <w:rsid w:val="00232761"/>
    <w:rsid w:val="00232C6C"/>
    <w:rsid w:val="00232FF4"/>
    <w:rsid w:val="002332DD"/>
    <w:rsid w:val="00233338"/>
    <w:rsid w:val="0023360D"/>
    <w:rsid w:val="00233BE1"/>
    <w:rsid w:val="0023406E"/>
    <w:rsid w:val="00234CA1"/>
    <w:rsid w:val="00234E2E"/>
    <w:rsid w:val="00234E83"/>
    <w:rsid w:val="00235213"/>
    <w:rsid w:val="00235485"/>
    <w:rsid w:val="002354C7"/>
    <w:rsid w:val="002355C3"/>
    <w:rsid w:val="00235D7D"/>
    <w:rsid w:val="00235F49"/>
    <w:rsid w:val="00236553"/>
    <w:rsid w:val="002366C2"/>
    <w:rsid w:val="002367E7"/>
    <w:rsid w:val="00236916"/>
    <w:rsid w:val="00236A86"/>
    <w:rsid w:val="00236E2E"/>
    <w:rsid w:val="00236E90"/>
    <w:rsid w:val="00237436"/>
    <w:rsid w:val="0023747C"/>
    <w:rsid w:val="002376AD"/>
    <w:rsid w:val="00237795"/>
    <w:rsid w:val="00237B80"/>
    <w:rsid w:val="00237CF7"/>
    <w:rsid w:val="00237E0F"/>
    <w:rsid w:val="00237EEF"/>
    <w:rsid w:val="00237F0B"/>
    <w:rsid w:val="0024083F"/>
    <w:rsid w:val="00240909"/>
    <w:rsid w:val="00240A99"/>
    <w:rsid w:val="00240D42"/>
    <w:rsid w:val="00241422"/>
    <w:rsid w:val="00241980"/>
    <w:rsid w:val="00241A30"/>
    <w:rsid w:val="00241DE4"/>
    <w:rsid w:val="0024239A"/>
    <w:rsid w:val="002424C0"/>
    <w:rsid w:val="0024316E"/>
    <w:rsid w:val="002431DB"/>
    <w:rsid w:val="002432CD"/>
    <w:rsid w:val="002433C5"/>
    <w:rsid w:val="00243E49"/>
    <w:rsid w:val="00243F38"/>
    <w:rsid w:val="0024484E"/>
    <w:rsid w:val="00245545"/>
    <w:rsid w:val="0024569E"/>
    <w:rsid w:val="00245801"/>
    <w:rsid w:val="00245A28"/>
    <w:rsid w:val="00245F5C"/>
    <w:rsid w:val="002461A1"/>
    <w:rsid w:val="00247724"/>
    <w:rsid w:val="002479EF"/>
    <w:rsid w:val="00250097"/>
    <w:rsid w:val="00250542"/>
    <w:rsid w:val="002509DF"/>
    <w:rsid w:val="00250A90"/>
    <w:rsid w:val="00250E35"/>
    <w:rsid w:val="0025120E"/>
    <w:rsid w:val="00251734"/>
    <w:rsid w:val="00251843"/>
    <w:rsid w:val="00251A68"/>
    <w:rsid w:val="00251CF6"/>
    <w:rsid w:val="00252097"/>
    <w:rsid w:val="00252438"/>
    <w:rsid w:val="00252CA5"/>
    <w:rsid w:val="002532BA"/>
    <w:rsid w:val="00253367"/>
    <w:rsid w:val="00253FCB"/>
    <w:rsid w:val="00254178"/>
    <w:rsid w:val="002541D1"/>
    <w:rsid w:val="00254469"/>
    <w:rsid w:val="0025447E"/>
    <w:rsid w:val="002544CE"/>
    <w:rsid w:val="002544FB"/>
    <w:rsid w:val="00254F73"/>
    <w:rsid w:val="0025503E"/>
    <w:rsid w:val="002551FB"/>
    <w:rsid w:val="002553C8"/>
    <w:rsid w:val="0025564E"/>
    <w:rsid w:val="0025574D"/>
    <w:rsid w:val="00256770"/>
    <w:rsid w:val="00256DD1"/>
    <w:rsid w:val="002577E6"/>
    <w:rsid w:val="00257B3F"/>
    <w:rsid w:val="002607B9"/>
    <w:rsid w:val="002610DE"/>
    <w:rsid w:val="002612DE"/>
    <w:rsid w:val="0026139C"/>
    <w:rsid w:val="002615B1"/>
    <w:rsid w:val="00261D6E"/>
    <w:rsid w:val="00262327"/>
    <w:rsid w:val="0026248D"/>
    <w:rsid w:val="0026251F"/>
    <w:rsid w:val="00262583"/>
    <w:rsid w:val="00262F7B"/>
    <w:rsid w:val="0026307F"/>
    <w:rsid w:val="002634D8"/>
    <w:rsid w:val="00263666"/>
    <w:rsid w:val="0026423D"/>
    <w:rsid w:val="002643AB"/>
    <w:rsid w:val="002646D8"/>
    <w:rsid w:val="00264780"/>
    <w:rsid w:val="002647F8"/>
    <w:rsid w:val="00264FF3"/>
    <w:rsid w:val="002652DB"/>
    <w:rsid w:val="0026567B"/>
    <w:rsid w:val="00265F02"/>
    <w:rsid w:val="00266458"/>
    <w:rsid w:val="00266CB6"/>
    <w:rsid w:val="002674CB"/>
    <w:rsid w:val="00267948"/>
    <w:rsid w:val="00267D14"/>
    <w:rsid w:val="00270228"/>
    <w:rsid w:val="0027037D"/>
    <w:rsid w:val="0027039F"/>
    <w:rsid w:val="00270C6C"/>
    <w:rsid w:val="00270FC4"/>
    <w:rsid w:val="00271529"/>
    <w:rsid w:val="00271AE9"/>
    <w:rsid w:val="00271F95"/>
    <w:rsid w:val="00272394"/>
    <w:rsid w:val="00272479"/>
    <w:rsid w:val="00272579"/>
    <w:rsid w:val="002726C3"/>
    <w:rsid w:val="00272B4A"/>
    <w:rsid w:val="00272F89"/>
    <w:rsid w:val="00272FF3"/>
    <w:rsid w:val="0027339B"/>
    <w:rsid w:val="0027361C"/>
    <w:rsid w:val="0027361D"/>
    <w:rsid w:val="00273E23"/>
    <w:rsid w:val="002740C2"/>
    <w:rsid w:val="002742EA"/>
    <w:rsid w:val="002743BB"/>
    <w:rsid w:val="00274F01"/>
    <w:rsid w:val="00274F6A"/>
    <w:rsid w:val="00276BA0"/>
    <w:rsid w:val="00276EA6"/>
    <w:rsid w:val="002774A2"/>
    <w:rsid w:val="002774D5"/>
    <w:rsid w:val="00277971"/>
    <w:rsid w:val="00277AAB"/>
    <w:rsid w:val="00277D5A"/>
    <w:rsid w:val="0028099F"/>
    <w:rsid w:val="00280D6A"/>
    <w:rsid w:val="0028144F"/>
    <w:rsid w:val="0028166A"/>
    <w:rsid w:val="0028174E"/>
    <w:rsid w:val="00281CE6"/>
    <w:rsid w:val="00281F11"/>
    <w:rsid w:val="00282123"/>
    <w:rsid w:val="00282978"/>
    <w:rsid w:val="00282B14"/>
    <w:rsid w:val="00283954"/>
    <w:rsid w:val="00283B11"/>
    <w:rsid w:val="00283C03"/>
    <w:rsid w:val="002858D2"/>
    <w:rsid w:val="00285AFA"/>
    <w:rsid w:val="00285FA9"/>
    <w:rsid w:val="002862BE"/>
    <w:rsid w:val="00286506"/>
    <w:rsid w:val="00286F8C"/>
    <w:rsid w:val="002870AB"/>
    <w:rsid w:val="00287A5E"/>
    <w:rsid w:val="00287D52"/>
    <w:rsid w:val="00287E25"/>
    <w:rsid w:val="00287E3D"/>
    <w:rsid w:val="002901F0"/>
    <w:rsid w:val="0029076B"/>
    <w:rsid w:val="002908AF"/>
    <w:rsid w:val="002916A6"/>
    <w:rsid w:val="00291BF0"/>
    <w:rsid w:val="00292764"/>
    <w:rsid w:val="002929EA"/>
    <w:rsid w:val="002936A8"/>
    <w:rsid w:val="0029380B"/>
    <w:rsid w:val="00293FEE"/>
    <w:rsid w:val="002940C5"/>
    <w:rsid w:val="0029456E"/>
    <w:rsid w:val="00294959"/>
    <w:rsid w:val="00294A8B"/>
    <w:rsid w:val="00294F5B"/>
    <w:rsid w:val="0029540B"/>
    <w:rsid w:val="0029540F"/>
    <w:rsid w:val="002958B9"/>
    <w:rsid w:val="00296BBD"/>
    <w:rsid w:val="002971DC"/>
    <w:rsid w:val="0029751C"/>
    <w:rsid w:val="002979BF"/>
    <w:rsid w:val="002A04C5"/>
    <w:rsid w:val="002A0512"/>
    <w:rsid w:val="002A0824"/>
    <w:rsid w:val="002A08F5"/>
    <w:rsid w:val="002A0DE9"/>
    <w:rsid w:val="002A108B"/>
    <w:rsid w:val="002A1169"/>
    <w:rsid w:val="002A15AB"/>
    <w:rsid w:val="002A165C"/>
    <w:rsid w:val="002A17D9"/>
    <w:rsid w:val="002A1BBF"/>
    <w:rsid w:val="002A1D01"/>
    <w:rsid w:val="002A2448"/>
    <w:rsid w:val="002A24A8"/>
    <w:rsid w:val="002A2539"/>
    <w:rsid w:val="002A26F2"/>
    <w:rsid w:val="002A2AC9"/>
    <w:rsid w:val="002A2B21"/>
    <w:rsid w:val="002A557E"/>
    <w:rsid w:val="002A5638"/>
    <w:rsid w:val="002A5FA1"/>
    <w:rsid w:val="002A62C0"/>
    <w:rsid w:val="002A6397"/>
    <w:rsid w:val="002A6AD7"/>
    <w:rsid w:val="002A6DC9"/>
    <w:rsid w:val="002A7171"/>
    <w:rsid w:val="002A7256"/>
    <w:rsid w:val="002A750F"/>
    <w:rsid w:val="002A77C0"/>
    <w:rsid w:val="002A7ADC"/>
    <w:rsid w:val="002A7B0C"/>
    <w:rsid w:val="002B0211"/>
    <w:rsid w:val="002B04E0"/>
    <w:rsid w:val="002B076C"/>
    <w:rsid w:val="002B0A37"/>
    <w:rsid w:val="002B139D"/>
    <w:rsid w:val="002B152E"/>
    <w:rsid w:val="002B16E5"/>
    <w:rsid w:val="002B2416"/>
    <w:rsid w:val="002B285D"/>
    <w:rsid w:val="002B2E4D"/>
    <w:rsid w:val="002B2ECD"/>
    <w:rsid w:val="002B2F38"/>
    <w:rsid w:val="002B302C"/>
    <w:rsid w:val="002B3093"/>
    <w:rsid w:val="002B3740"/>
    <w:rsid w:val="002B384B"/>
    <w:rsid w:val="002B398C"/>
    <w:rsid w:val="002B3C8D"/>
    <w:rsid w:val="002B3F89"/>
    <w:rsid w:val="002B41B3"/>
    <w:rsid w:val="002B4268"/>
    <w:rsid w:val="002B4302"/>
    <w:rsid w:val="002B44BA"/>
    <w:rsid w:val="002B44E7"/>
    <w:rsid w:val="002B4DEA"/>
    <w:rsid w:val="002B5B45"/>
    <w:rsid w:val="002B5EA4"/>
    <w:rsid w:val="002B6A79"/>
    <w:rsid w:val="002B6DF3"/>
    <w:rsid w:val="002B7307"/>
    <w:rsid w:val="002B7495"/>
    <w:rsid w:val="002B7E04"/>
    <w:rsid w:val="002B7FAD"/>
    <w:rsid w:val="002C0040"/>
    <w:rsid w:val="002C01D4"/>
    <w:rsid w:val="002C0294"/>
    <w:rsid w:val="002C03FC"/>
    <w:rsid w:val="002C06EB"/>
    <w:rsid w:val="002C0901"/>
    <w:rsid w:val="002C1504"/>
    <w:rsid w:val="002C18E2"/>
    <w:rsid w:val="002C1A39"/>
    <w:rsid w:val="002C1AC0"/>
    <w:rsid w:val="002C1D76"/>
    <w:rsid w:val="002C1F7F"/>
    <w:rsid w:val="002C215C"/>
    <w:rsid w:val="002C22A7"/>
    <w:rsid w:val="002C24A2"/>
    <w:rsid w:val="002C26BF"/>
    <w:rsid w:val="002C29A9"/>
    <w:rsid w:val="002C39BD"/>
    <w:rsid w:val="002C4248"/>
    <w:rsid w:val="002C43C6"/>
    <w:rsid w:val="002C43F3"/>
    <w:rsid w:val="002C451D"/>
    <w:rsid w:val="002C481A"/>
    <w:rsid w:val="002C4FF3"/>
    <w:rsid w:val="002C5013"/>
    <w:rsid w:val="002C501C"/>
    <w:rsid w:val="002C54F2"/>
    <w:rsid w:val="002C5673"/>
    <w:rsid w:val="002C5936"/>
    <w:rsid w:val="002C60C2"/>
    <w:rsid w:val="002C67E9"/>
    <w:rsid w:val="002C76C8"/>
    <w:rsid w:val="002C78FF"/>
    <w:rsid w:val="002C7CC0"/>
    <w:rsid w:val="002D084B"/>
    <w:rsid w:val="002D098B"/>
    <w:rsid w:val="002D0CC0"/>
    <w:rsid w:val="002D143E"/>
    <w:rsid w:val="002D1BC9"/>
    <w:rsid w:val="002D1CF9"/>
    <w:rsid w:val="002D1DFA"/>
    <w:rsid w:val="002D2125"/>
    <w:rsid w:val="002D24F6"/>
    <w:rsid w:val="002D2612"/>
    <w:rsid w:val="002D2AD6"/>
    <w:rsid w:val="002D2D5F"/>
    <w:rsid w:val="002D3129"/>
    <w:rsid w:val="002D32F3"/>
    <w:rsid w:val="002D380C"/>
    <w:rsid w:val="002D4152"/>
    <w:rsid w:val="002D416C"/>
    <w:rsid w:val="002D41CE"/>
    <w:rsid w:val="002D44AD"/>
    <w:rsid w:val="002D462B"/>
    <w:rsid w:val="002D4A43"/>
    <w:rsid w:val="002D4AE3"/>
    <w:rsid w:val="002D4B70"/>
    <w:rsid w:val="002D4BE3"/>
    <w:rsid w:val="002D52C2"/>
    <w:rsid w:val="002D5733"/>
    <w:rsid w:val="002D5B53"/>
    <w:rsid w:val="002D5FEC"/>
    <w:rsid w:val="002D6151"/>
    <w:rsid w:val="002D6598"/>
    <w:rsid w:val="002D6618"/>
    <w:rsid w:val="002D6CE5"/>
    <w:rsid w:val="002D6ECE"/>
    <w:rsid w:val="002D6F92"/>
    <w:rsid w:val="002D7145"/>
    <w:rsid w:val="002D7221"/>
    <w:rsid w:val="002D7442"/>
    <w:rsid w:val="002D7855"/>
    <w:rsid w:val="002D78BC"/>
    <w:rsid w:val="002D7A7B"/>
    <w:rsid w:val="002D7D28"/>
    <w:rsid w:val="002E0293"/>
    <w:rsid w:val="002E07E9"/>
    <w:rsid w:val="002E0AA0"/>
    <w:rsid w:val="002E10C9"/>
    <w:rsid w:val="002E190E"/>
    <w:rsid w:val="002E2EDD"/>
    <w:rsid w:val="002E36B7"/>
    <w:rsid w:val="002E37E3"/>
    <w:rsid w:val="002E3C60"/>
    <w:rsid w:val="002E3DE6"/>
    <w:rsid w:val="002E477A"/>
    <w:rsid w:val="002E4970"/>
    <w:rsid w:val="002E537F"/>
    <w:rsid w:val="002E589F"/>
    <w:rsid w:val="002E5C9E"/>
    <w:rsid w:val="002E6051"/>
    <w:rsid w:val="002E67E3"/>
    <w:rsid w:val="002E691E"/>
    <w:rsid w:val="002E6B14"/>
    <w:rsid w:val="002E70EA"/>
    <w:rsid w:val="002E767E"/>
    <w:rsid w:val="002E7B2B"/>
    <w:rsid w:val="002E7F2D"/>
    <w:rsid w:val="002F090E"/>
    <w:rsid w:val="002F2630"/>
    <w:rsid w:val="002F290F"/>
    <w:rsid w:val="002F29A4"/>
    <w:rsid w:val="002F2A6F"/>
    <w:rsid w:val="002F31C0"/>
    <w:rsid w:val="002F3AED"/>
    <w:rsid w:val="002F3FB7"/>
    <w:rsid w:val="002F435A"/>
    <w:rsid w:val="002F46DB"/>
    <w:rsid w:val="002F46F5"/>
    <w:rsid w:val="002F48A2"/>
    <w:rsid w:val="002F4D25"/>
    <w:rsid w:val="002F55C3"/>
    <w:rsid w:val="002F56C9"/>
    <w:rsid w:val="002F56E2"/>
    <w:rsid w:val="002F575C"/>
    <w:rsid w:val="002F5770"/>
    <w:rsid w:val="002F57CA"/>
    <w:rsid w:val="002F5EB6"/>
    <w:rsid w:val="002F7491"/>
    <w:rsid w:val="002F7502"/>
    <w:rsid w:val="002F778E"/>
    <w:rsid w:val="002F77CC"/>
    <w:rsid w:val="002F785B"/>
    <w:rsid w:val="002F7FD2"/>
    <w:rsid w:val="00300057"/>
    <w:rsid w:val="00300080"/>
    <w:rsid w:val="00300174"/>
    <w:rsid w:val="0030041C"/>
    <w:rsid w:val="00300508"/>
    <w:rsid w:val="003006EF"/>
    <w:rsid w:val="00300770"/>
    <w:rsid w:val="00300AC1"/>
    <w:rsid w:val="0030107E"/>
    <w:rsid w:val="00301197"/>
    <w:rsid w:val="003025AE"/>
    <w:rsid w:val="00302EF3"/>
    <w:rsid w:val="00303565"/>
    <w:rsid w:val="00303566"/>
    <w:rsid w:val="00303850"/>
    <w:rsid w:val="00303D9B"/>
    <w:rsid w:val="00303E4E"/>
    <w:rsid w:val="003041BD"/>
    <w:rsid w:val="00304663"/>
    <w:rsid w:val="00304E47"/>
    <w:rsid w:val="003051DD"/>
    <w:rsid w:val="003056E5"/>
    <w:rsid w:val="00305F54"/>
    <w:rsid w:val="00305FC9"/>
    <w:rsid w:val="003060E9"/>
    <w:rsid w:val="00307070"/>
    <w:rsid w:val="003076B1"/>
    <w:rsid w:val="00310822"/>
    <w:rsid w:val="003115A2"/>
    <w:rsid w:val="0031162A"/>
    <w:rsid w:val="003119E2"/>
    <w:rsid w:val="003119F6"/>
    <w:rsid w:val="00311F38"/>
    <w:rsid w:val="0031347D"/>
    <w:rsid w:val="0031405C"/>
    <w:rsid w:val="00314D06"/>
    <w:rsid w:val="00314F23"/>
    <w:rsid w:val="0031500F"/>
    <w:rsid w:val="00315807"/>
    <w:rsid w:val="00316152"/>
    <w:rsid w:val="003163B3"/>
    <w:rsid w:val="0031649D"/>
    <w:rsid w:val="003167E0"/>
    <w:rsid w:val="003167ED"/>
    <w:rsid w:val="00316A26"/>
    <w:rsid w:val="00316C46"/>
    <w:rsid w:val="00317315"/>
    <w:rsid w:val="00317593"/>
    <w:rsid w:val="00320673"/>
    <w:rsid w:val="003218AF"/>
    <w:rsid w:val="00321B17"/>
    <w:rsid w:val="003223AF"/>
    <w:rsid w:val="00322926"/>
    <w:rsid w:val="00322A26"/>
    <w:rsid w:val="00322F35"/>
    <w:rsid w:val="003235CC"/>
    <w:rsid w:val="00323B46"/>
    <w:rsid w:val="00323C31"/>
    <w:rsid w:val="00324101"/>
    <w:rsid w:val="0032469B"/>
    <w:rsid w:val="00324A37"/>
    <w:rsid w:val="00325240"/>
    <w:rsid w:val="00325655"/>
    <w:rsid w:val="00325969"/>
    <w:rsid w:val="00325ADC"/>
    <w:rsid w:val="00325BC6"/>
    <w:rsid w:val="00325FFB"/>
    <w:rsid w:val="00326446"/>
    <w:rsid w:val="0032650A"/>
    <w:rsid w:val="003266A5"/>
    <w:rsid w:val="0032688D"/>
    <w:rsid w:val="003269D1"/>
    <w:rsid w:val="00326AED"/>
    <w:rsid w:val="00327840"/>
    <w:rsid w:val="00327ADB"/>
    <w:rsid w:val="00327FCB"/>
    <w:rsid w:val="0033021A"/>
    <w:rsid w:val="00330FF7"/>
    <w:rsid w:val="00331252"/>
    <w:rsid w:val="0033128C"/>
    <w:rsid w:val="003318AF"/>
    <w:rsid w:val="00331A61"/>
    <w:rsid w:val="00331ACA"/>
    <w:rsid w:val="00331FD1"/>
    <w:rsid w:val="00332221"/>
    <w:rsid w:val="003323EB"/>
    <w:rsid w:val="00332441"/>
    <w:rsid w:val="003326EE"/>
    <w:rsid w:val="00332B5B"/>
    <w:rsid w:val="00332CBF"/>
    <w:rsid w:val="003334F6"/>
    <w:rsid w:val="00333E9E"/>
    <w:rsid w:val="003345B3"/>
    <w:rsid w:val="003347AC"/>
    <w:rsid w:val="003352B6"/>
    <w:rsid w:val="00335A80"/>
    <w:rsid w:val="003361A0"/>
    <w:rsid w:val="00336593"/>
    <w:rsid w:val="00336680"/>
    <w:rsid w:val="00337AD9"/>
    <w:rsid w:val="00337C43"/>
    <w:rsid w:val="00340588"/>
    <w:rsid w:val="003407FA"/>
    <w:rsid w:val="00340F7C"/>
    <w:rsid w:val="003413F9"/>
    <w:rsid w:val="0034188B"/>
    <w:rsid w:val="00342804"/>
    <w:rsid w:val="003428B8"/>
    <w:rsid w:val="00342A6B"/>
    <w:rsid w:val="00342C31"/>
    <w:rsid w:val="0034320E"/>
    <w:rsid w:val="00343297"/>
    <w:rsid w:val="003435A6"/>
    <w:rsid w:val="003437A1"/>
    <w:rsid w:val="003439CC"/>
    <w:rsid w:val="00343AA5"/>
    <w:rsid w:val="00343EAD"/>
    <w:rsid w:val="00345235"/>
    <w:rsid w:val="00345CD9"/>
    <w:rsid w:val="00345D5E"/>
    <w:rsid w:val="0034603D"/>
    <w:rsid w:val="00346604"/>
    <w:rsid w:val="00346903"/>
    <w:rsid w:val="00346CA8"/>
    <w:rsid w:val="00347048"/>
    <w:rsid w:val="0034730C"/>
    <w:rsid w:val="003479CF"/>
    <w:rsid w:val="00347D7F"/>
    <w:rsid w:val="00350835"/>
    <w:rsid w:val="003514C3"/>
    <w:rsid w:val="00351590"/>
    <w:rsid w:val="0035161C"/>
    <w:rsid w:val="003517D3"/>
    <w:rsid w:val="00351A33"/>
    <w:rsid w:val="00351A78"/>
    <w:rsid w:val="00351E79"/>
    <w:rsid w:val="00351FFE"/>
    <w:rsid w:val="00352516"/>
    <w:rsid w:val="00352CF0"/>
    <w:rsid w:val="00352DF0"/>
    <w:rsid w:val="00352F5A"/>
    <w:rsid w:val="00352FFC"/>
    <w:rsid w:val="003537A8"/>
    <w:rsid w:val="003537CE"/>
    <w:rsid w:val="003537F7"/>
    <w:rsid w:val="003538AD"/>
    <w:rsid w:val="003539B1"/>
    <w:rsid w:val="00354508"/>
    <w:rsid w:val="003545DF"/>
    <w:rsid w:val="00354929"/>
    <w:rsid w:val="00354E9E"/>
    <w:rsid w:val="00355103"/>
    <w:rsid w:val="00355F34"/>
    <w:rsid w:val="00356830"/>
    <w:rsid w:val="00357924"/>
    <w:rsid w:val="003579EE"/>
    <w:rsid w:val="00357F19"/>
    <w:rsid w:val="00360111"/>
    <w:rsid w:val="003607F1"/>
    <w:rsid w:val="00360B05"/>
    <w:rsid w:val="00360C47"/>
    <w:rsid w:val="00360E95"/>
    <w:rsid w:val="003616E0"/>
    <w:rsid w:val="003624C6"/>
    <w:rsid w:val="003625BD"/>
    <w:rsid w:val="00362787"/>
    <w:rsid w:val="00362E67"/>
    <w:rsid w:val="00362F81"/>
    <w:rsid w:val="003634CC"/>
    <w:rsid w:val="00363BAA"/>
    <w:rsid w:val="00363FC5"/>
    <w:rsid w:val="00364661"/>
    <w:rsid w:val="00364D73"/>
    <w:rsid w:val="003652A7"/>
    <w:rsid w:val="00365BB2"/>
    <w:rsid w:val="00365C73"/>
    <w:rsid w:val="00365E87"/>
    <w:rsid w:val="0036691D"/>
    <w:rsid w:val="00366CDC"/>
    <w:rsid w:val="00366EDA"/>
    <w:rsid w:val="003671FA"/>
    <w:rsid w:val="00367A82"/>
    <w:rsid w:val="00367AFB"/>
    <w:rsid w:val="00370197"/>
    <w:rsid w:val="003705F7"/>
    <w:rsid w:val="00370A8A"/>
    <w:rsid w:val="00370F00"/>
    <w:rsid w:val="00370F0C"/>
    <w:rsid w:val="00370F51"/>
    <w:rsid w:val="00371106"/>
    <w:rsid w:val="0037145A"/>
    <w:rsid w:val="00372237"/>
    <w:rsid w:val="00372259"/>
    <w:rsid w:val="0037266B"/>
    <w:rsid w:val="003728F2"/>
    <w:rsid w:val="00372CFC"/>
    <w:rsid w:val="00372F1A"/>
    <w:rsid w:val="003731DF"/>
    <w:rsid w:val="003733EA"/>
    <w:rsid w:val="00373D1F"/>
    <w:rsid w:val="00373E8B"/>
    <w:rsid w:val="00373F4D"/>
    <w:rsid w:val="0037405C"/>
    <w:rsid w:val="003743F0"/>
    <w:rsid w:val="00374522"/>
    <w:rsid w:val="003745CB"/>
    <w:rsid w:val="003747A3"/>
    <w:rsid w:val="003749BC"/>
    <w:rsid w:val="003751B9"/>
    <w:rsid w:val="0037587C"/>
    <w:rsid w:val="0037591C"/>
    <w:rsid w:val="00375E42"/>
    <w:rsid w:val="0037643F"/>
    <w:rsid w:val="00376480"/>
    <w:rsid w:val="00376773"/>
    <w:rsid w:val="003767BF"/>
    <w:rsid w:val="003768D8"/>
    <w:rsid w:val="00376D40"/>
    <w:rsid w:val="00376DA1"/>
    <w:rsid w:val="00376F02"/>
    <w:rsid w:val="003771A7"/>
    <w:rsid w:val="003774A6"/>
    <w:rsid w:val="0038026B"/>
    <w:rsid w:val="00380792"/>
    <w:rsid w:val="003807A0"/>
    <w:rsid w:val="0038096A"/>
    <w:rsid w:val="00380A33"/>
    <w:rsid w:val="00380A78"/>
    <w:rsid w:val="00380E26"/>
    <w:rsid w:val="00380E6A"/>
    <w:rsid w:val="00380FB3"/>
    <w:rsid w:val="00381127"/>
    <w:rsid w:val="0038172A"/>
    <w:rsid w:val="003818C7"/>
    <w:rsid w:val="00381AEC"/>
    <w:rsid w:val="00381B1F"/>
    <w:rsid w:val="00381EEF"/>
    <w:rsid w:val="00382555"/>
    <w:rsid w:val="0038285F"/>
    <w:rsid w:val="00382A62"/>
    <w:rsid w:val="00383404"/>
    <w:rsid w:val="003834E5"/>
    <w:rsid w:val="0038376A"/>
    <w:rsid w:val="003837A6"/>
    <w:rsid w:val="0038391C"/>
    <w:rsid w:val="00383B36"/>
    <w:rsid w:val="0038453C"/>
    <w:rsid w:val="00384891"/>
    <w:rsid w:val="00384973"/>
    <w:rsid w:val="00384FA4"/>
    <w:rsid w:val="00385339"/>
    <w:rsid w:val="0038557C"/>
    <w:rsid w:val="00385748"/>
    <w:rsid w:val="00385979"/>
    <w:rsid w:val="00385E9E"/>
    <w:rsid w:val="00386102"/>
    <w:rsid w:val="003863F8"/>
    <w:rsid w:val="00386685"/>
    <w:rsid w:val="00386CD9"/>
    <w:rsid w:val="0038706C"/>
    <w:rsid w:val="003873FE"/>
    <w:rsid w:val="003878D2"/>
    <w:rsid w:val="00387A18"/>
    <w:rsid w:val="00387DC9"/>
    <w:rsid w:val="003900A5"/>
    <w:rsid w:val="00390210"/>
    <w:rsid w:val="00390E95"/>
    <w:rsid w:val="003912BC"/>
    <w:rsid w:val="00391970"/>
    <w:rsid w:val="00391B25"/>
    <w:rsid w:val="00391EFC"/>
    <w:rsid w:val="00391F79"/>
    <w:rsid w:val="0039260A"/>
    <w:rsid w:val="00392877"/>
    <w:rsid w:val="00392DA2"/>
    <w:rsid w:val="003940DB"/>
    <w:rsid w:val="00394201"/>
    <w:rsid w:val="0039497E"/>
    <w:rsid w:val="00395257"/>
    <w:rsid w:val="003953BE"/>
    <w:rsid w:val="003956D8"/>
    <w:rsid w:val="0039586D"/>
    <w:rsid w:val="00395F74"/>
    <w:rsid w:val="003960B0"/>
    <w:rsid w:val="003967AA"/>
    <w:rsid w:val="003973F9"/>
    <w:rsid w:val="00397DDA"/>
    <w:rsid w:val="00397E1D"/>
    <w:rsid w:val="003A00A8"/>
    <w:rsid w:val="003A01B6"/>
    <w:rsid w:val="003A0B41"/>
    <w:rsid w:val="003A0DF9"/>
    <w:rsid w:val="003A143A"/>
    <w:rsid w:val="003A1446"/>
    <w:rsid w:val="003A146C"/>
    <w:rsid w:val="003A14B7"/>
    <w:rsid w:val="003A1863"/>
    <w:rsid w:val="003A1FAB"/>
    <w:rsid w:val="003A1FB8"/>
    <w:rsid w:val="003A22DE"/>
    <w:rsid w:val="003A2626"/>
    <w:rsid w:val="003A2715"/>
    <w:rsid w:val="003A2A81"/>
    <w:rsid w:val="003A2B29"/>
    <w:rsid w:val="003A2D5C"/>
    <w:rsid w:val="003A33F2"/>
    <w:rsid w:val="003A4229"/>
    <w:rsid w:val="003A475C"/>
    <w:rsid w:val="003A4848"/>
    <w:rsid w:val="003A48CC"/>
    <w:rsid w:val="003A596C"/>
    <w:rsid w:val="003A5ABE"/>
    <w:rsid w:val="003A5ED9"/>
    <w:rsid w:val="003A62C8"/>
    <w:rsid w:val="003A6908"/>
    <w:rsid w:val="003A6B87"/>
    <w:rsid w:val="003A6C46"/>
    <w:rsid w:val="003A7A13"/>
    <w:rsid w:val="003A7B58"/>
    <w:rsid w:val="003A7F12"/>
    <w:rsid w:val="003B012A"/>
    <w:rsid w:val="003B0B22"/>
    <w:rsid w:val="003B0D1B"/>
    <w:rsid w:val="003B0DA3"/>
    <w:rsid w:val="003B0E0F"/>
    <w:rsid w:val="003B1430"/>
    <w:rsid w:val="003B1737"/>
    <w:rsid w:val="003B25D5"/>
    <w:rsid w:val="003B2CA6"/>
    <w:rsid w:val="003B2CFF"/>
    <w:rsid w:val="003B2D99"/>
    <w:rsid w:val="003B37DE"/>
    <w:rsid w:val="003B38B1"/>
    <w:rsid w:val="003B38DB"/>
    <w:rsid w:val="003B3CEF"/>
    <w:rsid w:val="003B40F6"/>
    <w:rsid w:val="003B4592"/>
    <w:rsid w:val="003B4C5C"/>
    <w:rsid w:val="003B50D7"/>
    <w:rsid w:val="003B5428"/>
    <w:rsid w:val="003B55E7"/>
    <w:rsid w:val="003B57D7"/>
    <w:rsid w:val="003B5CE9"/>
    <w:rsid w:val="003B5E3E"/>
    <w:rsid w:val="003B5F60"/>
    <w:rsid w:val="003B6BD3"/>
    <w:rsid w:val="003B721E"/>
    <w:rsid w:val="003B7330"/>
    <w:rsid w:val="003B75D5"/>
    <w:rsid w:val="003B7EA7"/>
    <w:rsid w:val="003B7EDC"/>
    <w:rsid w:val="003C000A"/>
    <w:rsid w:val="003C06DD"/>
    <w:rsid w:val="003C09BC"/>
    <w:rsid w:val="003C0C60"/>
    <w:rsid w:val="003C1155"/>
    <w:rsid w:val="003C12FF"/>
    <w:rsid w:val="003C1775"/>
    <w:rsid w:val="003C1A4C"/>
    <w:rsid w:val="003C1CB5"/>
    <w:rsid w:val="003C1E5D"/>
    <w:rsid w:val="003C1E5E"/>
    <w:rsid w:val="003C21CA"/>
    <w:rsid w:val="003C26DC"/>
    <w:rsid w:val="003C2CDD"/>
    <w:rsid w:val="003C2D97"/>
    <w:rsid w:val="003C31D7"/>
    <w:rsid w:val="003C32DC"/>
    <w:rsid w:val="003C3554"/>
    <w:rsid w:val="003C376F"/>
    <w:rsid w:val="003C46BC"/>
    <w:rsid w:val="003C4B1C"/>
    <w:rsid w:val="003C50EA"/>
    <w:rsid w:val="003C53A9"/>
    <w:rsid w:val="003C5660"/>
    <w:rsid w:val="003C58D3"/>
    <w:rsid w:val="003C5BF3"/>
    <w:rsid w:val="003C6647"/>
    <w:rsid w:val="003C6A57"/>
    <w:rsid w:val="003C6B88"/>
    <w:rsid w:val="003C6BA7"/>
    <w:rsid w:val="003C6E9F"/>
    <w:rsid w:val="003C74EA"/>
    <w:rsid w:val="003C7A0B"/>
    <w:rsid w:val="003D014D"/>
    <w:rsid w:val="003D0375"/>
    <w:rsid w:val="003D05C7"/>
    <w:rsid w:val="003D0BD1"/>
    <w:rsid w:val="003D0DA6"/>
    <w:rsid w:val="003D0F8F"/>
    <w:rsid w:val="003D13CE"/>
    <w:rsid w:val="003D1535"/>
    <w:rsid w:val="003D19B2"/>
    <w:rsid w:val="003D202B"/>
    <w:rsid w:val="003D2561"/>
    <w:rsid w:val="003D2D08"/>
    <w:rsid w:val="003D31C9"/>
    <w:rsid w:val="003D3399"/>
    <w:rsid w:val="003D340D"/>
    <w:rsid w:val="003D3441"/>
    <w:rsid w:val="003D3809"/>
    <w:rsid w:val="003D404C"/>
    <w:rsid w:val="003D4378"/>
    <w:rsid w:val="003D4560"/>
    <w:rsid w:val="003D4D5A"/>
    <w:rsid w:val="003D515A"/>
    <w:rsid w:val="003D525C"/>
    <w:rsid w:val="003D5C10"/>
    <w:rsid w:val="003D6AF0"/>
    <w:rsid w:val="003D6D48"/>
    <w:rsid w:val="003D7088"/>
    <w:rsid w:val="003D74B5"/>
    <w:rsid w:val="003D7556"/>
    <w:rsid w:val="003E0029"/>
    <w:rsid w:val="003E05E7"/>
    <w:rsid w:val="003E06D0"/>
    <w:rsid w:val="003E092B"/>
    <w:rsid w:val="003E0A2A"/>
    <w:rsid w:val="003E0F35"/>
    <w:rsid w:val="003E11B3"/>
    <w:rsid w:val="003E1AA5"/>
    <w:rsid w:val="003E20CE"/>
    <w:rsid w:val="003E23CD"/>
    <w:rsid w:val="003E24A6"/>
    <w:rsid w:val="003E2605"/>
    <w:rsid w:val="003E2B17"/>
    <w:rsid w:val="003E2C6D"/>
    <w:rsid w:val="003E2E41"/>
    <w:rsid w:val="003E3425"/>
    <w:rsid w:val="003E3719"/>
    <w:rsid w:val="003E377A"/>
    <w:rsid w:val="003E3B7B"/>
    <w:rsid w:val="003E3DE3"/>
    <w:rsid w:val="003E4600"/>
    <w:rsid w:val="003E482A"/>
    <w:rsid w:val="003E4850"/>
    <w:rsid w:val="003E4DE2"/>
    <w:rsid w:val="003E5045"/>
    <w:rsid w:val="003E5592"/>
    <w:rsid w:val="003E5C7C"/>
    <w:rsid w:val="003E611A"/>
    <w:rsid w:val="003E666E"/>
    <w:rsid w:val="003E6B15"/>
    <w:rsid w:val="003E6E87"/>
    <w:rsid w:val="003E70E7"/>
    <w:rsid w:val="003E73B6"/>
    <w:rsid w:val="003E79B8"/>
    <w:rsid w:val="003F026E"/>
    <w:rsid w:val="003F0356"/>
    <w:rsid w:val="003F06A1"/>
    <w:rsid w:val="003F0CD0"/>
    <w:rsid w:val="003F14F3"/>
    <w:rsid w:val="003F170A"/>
    <w:rsid w:val="003F18C1"/>
    <w:rsid w:val="003F1A48"/>
    <w:rsid w:val="003F1A75"/>
    <w:rsid w:val="003F293B"/>
    <w:rsid w:val="003F2F7F"/>
    <w:rsid w:val="003F3972"/>
    <w:rsid w:val="003F3A79"/>
    <w:rsid w:val="003F3BB5"/>
    <w:rsid w:val="003F4080"/>
    <w:rsid w:val="003F44B8"/>
    <w:rsid w:val="003F46AB"/>
    <w:rsid w:val="003F505E"/>
    <w:rsid w:val="003F5B4A"/>
    <w:rsid w:val="003F6028"/>
    <w:rsid w:val="003F6179"/>
    <w:rsid w:val="003F62E6"/>
    <w:rsid w:val="003F6AF5"/>
    <w:rsid w:val="003F6F9F"/>
    <w:rsid w:val="003F73B6"/>
    <w:rsid w:val="003F7D73"/>
    <w:rsid w:val="0040042C"/>
    <w:rsid w:val="0040082F"/>
    <w:rsid w:val="004008AF"/>
    <w:rsid w:val="00400C6B"/>
    <w:rsid w:val="00400ED1"/>
    <w:rsid w:val="0040109C"/>
    <w:rsid w:val="004011C8"/>
    <w:rsid w:val="00401337"/>
    <w:rsid w:val="004014DB"/>
    <w:rsid w:val="00401900"/>
    <w:rsid w:val="00401A03"/>
    <w:rsid w:val="00401B50"/>
    <w:rsid w:val="00401F0D"/>
    <w:rsid w:val="00401F4E"/>
    <w:rsid w:val="0040206E"/>
    <w:rsid w:val="00402184"/>
    <w:rsid w:val="004024A2"/>
    <w:rsid w:val="0040275F"/>
    <w:rsid w:val="0040278F"/>
    <w:rsid w:val="00402A22"/>
    <w:rsid w:val="00403148"/>
    <w:rsid w:val="0040354E"/>
    <w:rsid w:val="004037BC"/>
    <w:rsid w:val="00403D42"/>
    <w:rsid w:val="00403FFC"/>
    <w:rsid w:val="00404551"/>
    <w:rsid w:val="004047E2"/>
    <w:rsid w:val="00404CE4"/>
    <w:rsid w:val="00405B41"/>
    <w:rsid w:val="00406CD5"/>
    <w:rsid w:val="00406D3B"/>
    <w:rsid w:val="00406FF3"/>
    <w:rsid w:val="00407378"/>
    <w:rsid w:val="00407794"/>
    <w:rsid w:val="0041018C"/>
    <w:rsid w:val="00410368"/>
    <w:rsid w:val="004107AF"/>
    <w:rsid w:val="004110DF"/>
    <w:rsid w:val="0041130D"/>
    <w:rsid w:val="004114D6"/>
    <w:rsid w:val="00411C88"/>
    <w:rsid w:val="004124FB"/>
    <w:rsid w:val="00412EB7"/>
    <w:rsid w:val="00412FD7"/>
    <w:rsid w:val="00413215"/>
    <w:rsid w:val="00413404"/>
    <w:rsid w:val="00413A76"/>
    <w:rsid w:val="00413EC2"/>
    <w:rsid w:val="00414232"/>
    <w:rsid w:val="00414323"/>
    <w:rsid w:val="00414704"/>
    <w:rsid w:val="00415AF3"/>
    <w:rsid w:val="00415CD3"/>
    <w:rsid w:val="004160E5"/>
    <w:rsid w:val="004162E1"/>
    <w:rsid w:val="004163AF"/>
    <w:rsid w:val="00416557"/>
    <w:rsid w:val="00416E78"/>
    <w:rsid w:val="004179D7"/>
    <w:rsid w:val="00417BE6"/>
    <w:rsid w:val="00417F17"/>
    <w:rsid w:val="00420027"/>
    <w:rsid w:val="00420B16"/>
    <w:rsid w:val="00420C1C"/>
    <w:rsid w:val="004212D3"/>
    <w:rsid w:val="0042161C"/>
    <w:rsid w:val="0042166C"/>
    <w:rsid w:val="00421A76"/>
    <w:rsid w:val="00423199"/>
    <w:rsid w:val="0042348D"/>
    <w:rsid w:val="00423527"/>
    <w:rsid w:val="0042446D"/>
    <w:rsid w:val="0042450D"/>
    <w:rsid w:val="00425053"/>
    <w:rsid w:val="0042509F"/>
    <w:rsid w:val="00425260"/>
    <w:rsid w:val="00425791"/>
    <w:rsid w:val="004259EC"/>
    <w:rsid w:val="00425A93"/>
    <w:rsid w:val="00425B04"/>
    <w:rsid w:val="004263AE"/>
    <w:rsid w:val="00426426"/>
    <w:rsid w:val="004264BB"/>
    <w:rsid w:val="00426A22"/>
    <w:rsid w:val="0042701C"/>
    <w:rsid w:val="0042713A"/>
    <w:rsid w:val="00427401"/>
    <w:rsid w:val="004274E2"/>
    <w:rsid w:val="00427506"/>
    <w:rsid w:val="00427520"/>
    <w:rsid w:val="00427A9C"/>
    <w:rsid w:val="00427DF2"/>
    <w:rsid w:val="004305A4"/>
    <w:rsid w:val="00430B78"/>
    <w:rsid w:val="00431160"/>
    <w:rsid w:val="00431435"/>
    <w:rsid w:val="0043164D"/>
    <w:rsid w:val="004317E9"/>
    <w:rsid w:val="00431D84"/>
    <w:rsid w:val="00431EA7"/>
    <w:rsid w:val="00432532"/>
    <w:rsid w:val="0043264E"/>
    <w:rsid w:val="004328B0"/>
    <w:rsid w:val="00432C09"/>
    <w:rsid w:val="00432F58"/>
    <w:rsid w:val="004333C1"/>
    <w:rsid w:val="0043351B"/>
    <w:rsid w:val="00433588"/>
    <w:rsid w:val="004336BB"/>
    <w:rsid w:val="00433712"/>
    <w:rsid w:val="00433B66"/>
    <w:rsid w:val="00433B9F"/>
    <w:rsid w:val="00433BA4"/>
    <w:rsid w:val="00433E78"/>
    <w:rsid w:val="00433E9B"/>
    <w:rsid w:val="00434769"/>
    <w:rsid w:val="004348AF"/>
    <w:rsid w:val="00434E91"/>
    <w:rsid w:val="00435678"/>
    <w:rsid w:val="00435885"/>
    <w:rsid w:val="00435977"/>
    <w:rsid w:val="00435AA5"/>
    <w:rsid w:val="00436320"/>
    <w:rsid w:val="004365B3"/>
    <w:rsid w:val="00436891"/>
    <w:rsid w:val="00436B22"/>
    <w:rsid w:val="00436E03"/>
    <w:rsid w:val="004374AA"/>
    <w:rsid w:val="004411C4"/>
    <w:rsid w:val="00441748"/>
    <w:rsid w:val="004417D2"/>
    <w:rsid w:val="00441BF7"/>
    <w:rsid w:val="00441F0E"/>
    <w:rsid w:val="004425D7"/>
    <w:rsid w:val="00442777"/>
    <w:rsid w:val="004427E9"/>
    <w:rsid w:val="00442C92"/>
    <w:rsid w:val="00443460"/>
    <w:rsid w:val="004436F0"/>
    <w:rsid w:val="00443C8E"/>
    <w:rsid w:val="0044417A"/>
    <w:rsid w:val="004442CA"/>
    <w:rsid w:val="0044463D"/>
    <w:rsid w:val="004453A6"/>
    <w:rsid w:val="004461C7"/>
    <w:rsid w:val="004464D5"/>
    <w:rsid w:val="00446D07"/>
    <w:rsid w:val="00446E42"/>
    <w:rsid w:val="00446EE8"/>
    <w:rsid w:val="00446F96"/>
    <w:rsid w:val="004471A7"/>
    <w:rsid w:val="00447945"/>
    <w:rsid w:val="00447CCE"/>
    <w:rsid w:val="0044C140"/>
    <w:rsid w:val="00450848"/>
    <w:rsid w:val="00450915"/>
    <w:rsid w:val="00450C93"/>
    <w:rsid w:val="0045138F"/>
    <w:rsid w:val="00451632"/>
    <w:rsid w:val="00451762"/>
    <w:rsid w:val="0045178A"/>
    <w:rsid w:val="00451793"/>
    <w:rsid w:val="00451840"/>
    <w:rsid w:val="00451D2E"/>
    <w:rsid w:val="004521C1"/>
    <w:rsid w:val="0045224C"/>
    <w:rsid w:val="004527AC"/>
    <w:rsid w:val="00452C88"/>
    <w:rsid w:val="00453022"/>
    <w:rsid w:val="004530C1"/>
    <w:rsid w:val="00453249"/>
    <w:rsid w:val="004537A2"/>
    <w:rsid w:val="00453998"/>
    <w:rsid w:val="004539B3"/>
    <w:rsid w:val="00453A07"/>
    <w:rsid w:val="00453DBF"/>
    <w:rsid w:val="00454251"/>
    <w:rsid w:val="004545D4"/>
    <w:rsid w:val="004547D3"/>
    <w:rsid w:val="00454B39"/>
    <w:rsid w:val="00454B5B"/>
    <w:rsid w:val="00455136"/>
    <w:rsid w:val="00455881"/>
    <w:rsid w:val="00455C0A"/>
    <w:rsid w:val="00455F0E"/>
    <w:rsid w:val="0045616B"/>
    <w:rsid w:val="0045622F"/>
    <w:rsid w:val="00456704"/>
    <w:rsid w:val="0045683D"/>
    <w:rsid w:val="00456A4A"/>
    <w:rsid w:val="00456B2F"/>
    <w:rsid w:val="004573BA"/>
    <w:rsid w:val="00457958"/>
    <w:rsid w:val="00457DC7"/>
    <w:rsid w:val="00460415"/>
    <w:rsid w:val="00460ABB"/>
    <w:rsid w:val="00460C11"/>
    <w:rsid w:val="00460F67"/>
    <w:rsid w:val="004616C0"/>
    <w:rsid w:val="00462383"/>
    <w:rsid w:val="00462A2F"/>
    <w:rsid w:val="00462D05"/>
    <w:rsid w:val="00462DD4"/>
    <w:rsid w:val="00463400"/>
    <w:rsid w:val="004637B0"/>
    <w:rsid w:val="00463A4C"/>
    <w:rsid w:val="00463B53"/>
    <w:rsid w:val="004644C9"/>
    <w:rsid w:val="004644CD"/>
    <w:rsid w:val="00464672"/>
    <w:rsid w:val="00464A65"/>
    <w:rsid w:val="00464B63"/>
    <w:rsid w:val="00464D00"/>
    <w:rsid w:val="00464DCF"/>
    <w:rsid w:val="00465683"/>
    <w:rsid w:val="00465B31"/>
    <w:rsid w:val="00465C3B"/>
    <w:rsid w:val="004661CB"/>
    <w:rsid w:val="004661D8"/>
    <w:rsid w:val="004665FC"/>
    <w:rsid w:val="00466A67"/>
    <w:rsid w:val="00466FE3"/>
    <w:rsid w:val="004675CB"/>
    <w:rsid w:val="0046789E"/>
    <w:rsid w:val="00467E18"/>
    <w:rsid w:val="0046D15E"/>
    <w:rsid w:val="00470952"/>
    <w:rsid w:val="0047129A"/>
    <w:rsid w:val="004713B8"/>
    <w:rsid w:val="00471F6E"/>
    <w:rsid w:val="00471FC6"/>
    <w:rsid w:val="00472C58"/>
    <w:rsid w:val="00472C7A"/>
    <w:rsid w:val="004730DA"/>
    <w:rsid w:val="0047316D"/>
    <w:rsid w:val="004734F7"/>
    <w:rsid w:val="004735A2"/>
    <w:rsid w:val="00473661"/>
    <w:rsid w:val="00473666"/>
    <w:rsid w:val="00473B29"/>
    <w:rsid w:val="00473EB4"/>
    <w:rsid w:val="004741EB"/>
    <w:rsid w:val="004742D4"/>
    <w:rsid w:val="00474E2E"/>
    <w:rsid w:val="00475220"/>
    <w:rsid w:val="004754E1"/>
    <w:rsid w:val="0047568F"/>
    <w:rsid w:val="00475A86"/>
    <w:rsid w:val="00475DE1"/>
    <w:rsid w:val="0047670F"/>
    <w:rsid w:val="00476754"/>
    <w:rsid w:val="004767BE"/>
    <w:rsid w:val="004768D8"/>
    <w:rsid w:val="00476AF0"/>
    <w:rsid w:val="00476D1A"/>
    <w:rsid w:val="0047757A"/>
    <w:rsid w:val="0047775D"/>
    <w:rsid w:val="00477E10"/>
    <w:rsid w:val="00477ECC"/>
    <w:rsid w:val="00480568"/>
    <w:rsid w:val="0048071B"/>
    <w:rsid w:val="00481202"/>
    <w:rsid w:val="0048158A"/>
    <w:rsid w:val="004818EB"/>
    <w:rsid w:val="00481BA2"/>
    <w:rsid w:val="00481CAD"/>
    <w:rsid w:val="00481CDE"/>
    <w:rsid w:val="00481D58"/>
    <w:rsid w:val="0048212B"/>
    <w:rsid w:val="00482464"/>
    <w:rsid w:val="004824C4"/>
    <w:rsid w:val="00482AA8"/>
    <w:rsid w:val="00483B58"/>
    <w:rsid w:val="00483F56"/>
    <w:rsid w:val="00484014"/>
    <w:rsid w:val="00484248"/>
    <w:rsid w:val="004844F3"/>
    <w:rsid w:val="00484566"/>
    <w:rsid w:val="004849AB"/>
    <w:rsid w:val="00484CE2"/>
    <w:rsid w:val="00484D35"/>
    <w:rsid w:val="00485085"/>
    <w:rsid w:val="00485509"/>
    <w:rsid w:val="0048550B"/>
    <w:rsid w:val="0048593B"/>
    <w:rsid w:val="00485CFD"/>
    <w:rsid w:val="00486072"/>
    <w:rsid w:val="004867F3"/>
    <w:rsid w:val="00486C26"/>
    <w:rsid w:val="00486D97"/>
    <w:rsid w:val="004870E8"/>
    <w:rsid w:val="00487336"/>
    <w:rsid w:val="00487774"/>
    <w:rsid w:val="00490103"/>
    <w:rsid w:val="0049028D"/>
    <w:rsid w:val="004904AB"/>
    <w:rsid w:val="00491519"/>
    <w:rsid w:val="00491834"/>
    <w:rsid w:val="00491B07"/>
    <w:rsid w:val="00491B8C"/>
    <w:rsid w:val="00492436"/>
    <w:rsid w:val="004928A8"/>
    <w:rsid w:val="00492A05"/>
    <w:rsid w:val="00492F87"/>
    <w:rsid w:val="00493554"/>
    <w:rsid w:val="00493B5F"/>
    <w:rsid w:val="00494948"/>
    <w:rsid w:val="00494E24"/>
    <w:rsid w:val="00494EF6"/>
    <w:rsid w:val="0049520F"/>
    <w:rsid w:val="0049523B"/>
    <w:rsid w:val="004955F6"/>
    <w:rsid w:val="004956C2"/>
    <w:rsid w:val="00495D30"/>
    <w:rsid w:val="00495E54"/>
    <w:rsid w:val="00495FFC"/>
    <w:rsid w:val="00496150"/>
    <w:rsid w:val="0049634E"/>
    <w:rsid w:val="00496D28"/>
    <w:rsid w:val="00496D3C"/>
    <w:rsid w:val="00496F19"/>
    <w:rsid w:val="0049715F"/>
    <w:rsid w:val="004975AB"/>
    <w:rsid w:val="004979E9"/>
    <w:rsid w:val="00497BC0"/>
    <w:rsid w:val="004A0251"/>
    <w:rsid w:val="004A03DA"/>
    <w:rsid w:val="004A0410"/>
    <w:rsid w:val="004A0514"/>
    <w:rsid w:val="004A071F"/>
    <w:rsid w:val="004A07AF"/>
    <w:rsid w:val="004A09D9"/>
    <w:rsid w:val="004A0AA3"/>
    <w:rsid w:val="004A0B79"/>
    <w:rsid w:val="004A0E97"/>
    <w:rsid w:val="004A0F31"/>
    <w:rsid w:val="004A117C"/>
    <w:rsid w:val="004A1250"/>
    <w:rsid w:val="004A1262"/>
    <w:rsid w:val="004A1C3B"/>
    <w:rsid w:val="004A2A3F"/>
    <w:rsid w:val="004A2BD5"/>
    <w:rsid w:val="004A2C5D"/>
    <w:rsid w:val="004A31F7"/>
    <w:rsid w:val="004A3F28"/>
    <w:rsid w:val="004A43A5"/>
    <w:rsid w:val="004A46EC"/>
    <w:rsid w:val="004A49A4"/>
    <w:rsid w:val="004A49F0"/>
    <w:rsid w:val="004A4BDA"/>
    <w:rsid w:val="004A4E2B"/>
    <w:rsid w:val="004A55FB"/>
    <w:rsid w:val="004A5745"/>
    <w:rsid w:val="004A59CD"/>
    <w:rsid w:val="004A5C13"/>
    <w:rsid w:val="004A600A"/>
    <w:rsid w:val="004A6142"/>
    <w:rsid w:val="004A72F5"/>
    <w:rsid w:val="004A74F2"/>
    <w:rsid w:val="004A7783"/>
    <w:rsid w:val="004A7B1A"/>
    <w:rsid w:val="004A7E66"/>
    <w:rsid w:val="004A7E73"/>
    <w:rsid w:val="004B0AB2"/>
    <w:rsid w:val="004B0BA2"/>
    <w:rsid w:val="004B12C3"/>
    <w:rsid w:val="004B23BF"/>
    <w:rsid w:val="004B2666"/>
    <w:rsid w:val="004B2755"/>
    <w:rsid w:val="004B2CAA"/>
    <w:rsid w:val="004B2D4B"/>
    <w:rsid w:val="004B3162"/>
    <w:rsid w:val="004B343F"/>
    <w:rsid w:val="004B4033"/>
    <w:rsid w:val="004B416D"/>
    <w:rsid w:val="004B422F"/>
    <w:rsid w:val="004B45A0"/>
    <w:rsid w:val="004B4619"/>
    <w:rsid w:val="004B4B73"/>
    <w:rsid w:val="004B4C4C"/>
    <w:rsid w:val="004B52A8"/>
    <w:rsid w:val="004B575B"/>
    <w:rsid w:val="004B57AD"/>
    <w:rsid w:val="004B5E3D"/>
    <w:rsid w:val="004B657B"/>
    <w:rsid w:val="004B67FF"/>
    <w:rsid w:val="004B739B"/>
    <w:rsid w:val="004B75B5"/>
    <w:rsid w:val="004B7AC5"/>
    <w:rsid w:val="004B7CB1"/>
    <w:rsid w:val="004C039F"/>
    <w:rsid w:val="004C0426"/>
    <w:rsid w:val="004C0759"/>
    <w:rsid w:val="004C0928"/>
    <w:rsid w:val="004C120E"/>
    <w:rsid w:val="004C1BBB"/>
    <w:rsid w:val="004C1C09"/>
    <w:rsid w:val="004C1DD6"/>
    <w:rsid w:val="004C2386"/>
    <w:rsid w:val="004C2C17"/>
    <w:rsid w:val="004C3A61"/>
    <w:rsid w:val="004C3CA9"/>
    <w:rsid w:val="004C3DC2"/>
    <w:rsid w:val="004C4638"/>
    <w:rsid w:val="004C4639"/>
    <w:rsid w:val="004C4D77"/>
    <w:rsid w:val="004C54A3"/>
    <w:rsid w:val="004C598A"/>
    <w:rsid w:val="004C67D2"/>
    <w:rsid w:val="004C6A4D"/>
    <w:rsid w:val="004C6AAF"/>
    <w:rsid w:val="004C6EE0"/>
    <w:rsid w:val="004C72B6"/>
    <w:rsid w:val="004C737D"/>
    <w:rsid w:val="004C7996"/>
    <w:rsid w:val="004C7A69"/>
    <w:rsid w:val="004D00A6"/>
    <w:rsid w:val="004D0210"/>
    <w:rsid w:val="004D05F2"/>
    <w:rsid w:val="004D06C9"/>
    <w:rsid w:val="004D0786"/>
    <w:rsid w:val="004D0E2B"/>
    <w:rsid w:val="004D25DB"/>
    <w:rsid w:val="004D26E6"/>
    <w:rsid w:val="004D2AF3"/>
    <w:rsid w:val="004D2DD9"/>
    <w:rsid w:val="004D375B"/>
    <w:rsid w:val="004D3993"/>
    <w:rsid w:val="004D3DCB"/>
    <w:rsid w:val="004D4A1C"/>
    <w:rsid w:val="004D52F9"/>
    <w:rsid w:val="004D5AEB"/>
    <w:rsid w:val="004D5BD9"/>
    <w:rsid w:val="004D5C63"/>
    <w:rsid w:val="004D6049"/>
    <w:rsid w:val="004D606F"/>
    <w:rsid w:val="004D62A4"/>
    <w:rsid w:val="004D63A0"/>
    <w:rsid w:val="004D64B6"/>
    <w:rsid w:val="004D665B"/>
    <w:rsid w:val="004D6C79"/>
    <w:rsid w:val="004D6DA5"/>
    <w:rsid w:val="004D6E24"/>
    <w:rsid w:val="004D6E7E"/>
    <w:rsid w:val="004D7BCF"/>
    <w:rsid w:val="004D7E3D"/>
    <w:rsid w:val="004E0DD3"/>
    <w:rsid w:val="004E0F45"/>
    <w:rsid w:val="004E0FBC"/>
    <w:rsid w:val="004E1243"/>
    <w:rsid w:val="004E1C4A"/>
    <w:rsid w:val="004E1D16"/>
    <w:rsid w:val="004E1EDB"/>
    <w:rsid w:val="004E203C"/>
    <w:rsid w:val="004E2174"/>
    <w:rsid w:val="004E2A7C"/>
    <w:rsid w:val="004E34C0"/>
    <w:rsid w:val="004E3560"/>
    <w:rsid w:val="004E36CF"/>
    <w:rsid w:val="004E3754"/>
    <w:rsid w:val="004E37DC"/>
    <w:rsid w:val="004E3AEC"/>
    <w:rsid w:val="004E3BD5"/>
    <w:rsid w:val="004E3C48"/>
    <w:rsid w:val="004E41FA"/>
    <w:rsid w:val="004E488C"/>
    <w:rsid w:val="004E4AEF"/>
    <w:rsid w:val="004E4B88"/>
    <w:rsid w:val="004E529E"/>
    <w:rsid w:val="004E5352"/>
    <w:rsid w:val="004E55A8"/>
    <w:rsid w:val="004E6144"/>
    <w:rsid w:val="004E62C4"/>
    <w:rsid w:val="004E7197"/>
    <w:rsid w:val="004E71A5"/>
    <w:rsid w:val="004E739A"/>
    <w:rsid w:val="004E7926"/>
    <w:rsid w:val="004E7B3A"/>
    <w:rsid w:val="004F0103"/>
    <w:rsid w:val="004F093E"/>
    <w:rsid w:val="004F1778"/>
    <w:rsid w:val="004F187D"/>
    <w:rsid w:val="004F1B59"/>
    <w:rsid w:val="004F1BDA"/>
    <w:rsid w:val="004F1E54"/>
    <w:rsid w:val="004F1E8B"/>
    <w:rsid w:val="004F2220"/>
    <w:rsid w:val="004F2482"/>
    <w:rsid w:val="004F25B6"/>
    <w:rsid w:val="004F314C"/>
    <w:rsid w:val="004F3152"/>
    <w:rsid w:val="004F347E"/>
    <w:rsid w:val="004F4517"/>
    <w:rsid w:val="004F4650"/>
    <w:rsid w:val="004F48CD"/>
    <w:rsid w:val="004F4913"/>
    <w:rsid w:val="004F4BA5"/>
    <w:rsid w:val="004F51BA"/>
    <w:rsid w:val="004F58D4"/>
    <w:rsid w:val="004F6098"/>
    <w:rsid w:val="004F636A"/>
    <w:rsid w:val="004F63F4"/>
    <w:rsid w:val="004F6AEC"/>
    <w:rsid w:val="004F6D84"/>
    <w:rsid w:val="004F7304"/>
    <w:rsid w:val="004F7AFA"/>
    <w:rsid w:val="004F7FDB"/>
    <w:rsid w:val="005003AE"/>
    <w:rsid w:val="0050082E"/>
    <w:rsid w:val="00500B04"/>
    <w:rsid w:val="00501794"/>
    <w:rsid w:val="00501C13"/>
    <w:rsid w:val="00502051"/>
    <w:rsid w:val="005030CE"/>
    <w:rsid w:val="005031CB"/>
    <w:rsid w:val="00503CF9"/>
    <w:rsid w:val="0050424B"/>
    <w:rsid w:val="005042E9"/>
    <w:rsid w:val="00504565"/>
    <w:rsid w:val="00504B1F"/>
    <w:rsid w:val="00504FEA"/>
    <w:rsid w:val="00505063"/>
    <w:rsid w:val="00505240"/>
    <w:rsid w:val="0050533D"/>
    <w:rsid w:val="005053F5"/>
    <w:rsid w:val="00506011"/>
    <w:rsid w:val="0050642D"/>
    <w:rsid w:val="00506435"/>
    <w:rsid w:val="005066A8"/>
    <w:rsid w:val="00506C07"/>
    <w:rsid w:val="005073C0"/>
    <w:rsid w:val="00510597"/>
    <w:rsid w:val="00510B73"/>
    <w:rsid w:val="00510CFA"/>
    <w:rsid w:val="00511128"/>
    <w:rsid w:val="0051132B"/>
    <w:rsid w:val="00511605"/>
    <w:rsid w:val="00511642"/>
    <w:rsid w:val="005117A8"/>
    <w:rsid w:val="005118A3"/>
    <w:rsid w:val="005118A8"/>
    <w:rsid w:val="0051191A"/>
    <w:rsid w:val="0051193C"/>
    <w:rsid w:val="00511FB5"/>
    <w:rsid w:val="00511FEC"/>
    <w:rsid w:val="00512560"/>
    <w:rsid w:val="00512954"/>
    <w:rsid w:val="00512A23"/>
    <w:rsid w:val="00512EB4"/>
    <w:rsid w:val="00512ED5"/>
    <w:rsid w:val="005131BB"/>
    <w:rsid w:val="00513641"/>
    <w:rsid w:val="00513980"/>
    <w:rsid w:val="00513C76"/>
    <w:rsid w:val="00513D77"/>
    <w:rsid w:val="00513E81"/>
    <w:rsid w:val="0051406E"/>
    <w:rsid w:val="005143A9"/>
    <w:rsid w:val="005144EA"/>
    <w:rsid w:val="00514D6B"/>
    <w:rsid w:val="00515B02"/>
    <w:rsid w:val="00516A6B"/>
    <w:rsid w:val="00516BD9"/>
    <w:rsid w:val="00516C90"/>
    <w:rsid w:val="00516D39"/>
    <w:rsid w:val="00520572"/>
    <w:rsid w:val="00520B28"/>
    <w:rsid w:val="00520B8F"/>
    <w:rsid w:val="00520E56"/>
    <w:rsid w:val="00520F98"/>
    <w:rsid w:val="0052144F"/>
    <w:rsid w:val="0052189E"/>
    <w:rsid w:val="00522382"/>
    <w:rsid w:val="0052245A"/>
    <w:rsid w:val="00522499"/>
    <w:rsid w:val="00522A76"/>
    <w:rsid w:val="00522BFF"/>
    <w:rsid w:val="00522EBB"/>
    <w:rsid w:val="00522FDC"/>
    <w:rsid w:val="005232AA"/>
    <w:rsid w:val="005237F9"/>
    <w:rsid w:val="00523A77"/>
    <w:rsid w:val="00523DB6"/>
    <w:rsid w:val="005245C3"/>
    <w:rsid w:val="00524933"/>
    <w:rsid w:val="00524B4C"/>
    <w:rsid w:val="00524D7B"/>
    <w:rsid w:val="0052512D"/>
    <w:rsid w:val="005254B4"/>
    <w:rsid w:val="005254BB"/>
    <w:rsid w:val="0052577D"/>
    <w:rsid w:val="0052596C"/>
    <w:rsid w:val="00525A73"/>
    <w:rsid w:val="00526008"/>
    <w:rsid w:val="005261A7"/>
    <w:rsid w:val="0052628D"/>
    <w:rsid w:val="00526A3F"/>
    <w:rsid w:val="00526AC3"/>
    <w:rsid w:val="00526AFC"/>
    <w:rsid w:val="00526E98"/>
    <w:rsid w:val="0052705A"/>
    <w:rsid w:val="005270DE"/>
    <w:rsid w:val="005272D5"/>
    <w:rsid w:val="00527CFA"/>
    <w:rsid w:val="00527D03"/>
    <w:rsid w:val="0053061D"/>
    <w:rsid w:val="00530712"/>
    <w:rsid w:val="00530B62"/>
    <w:rsid w:val="00530CF9"/>
    <w:rsid w:val="00530F39"/>
    <w:rsid w:val="00531085"/>
    <w:rsid w:val="005310C2"/>
    <w:rsid w:val="005312BA"/>
    <w:rsid w:val="005315D9"/>
    <w:rsid w:val="00531B1B"/>
    <w:rsid w:val="005321C4"/>
    <w:rsid w:val="005324BA"/>
    <w:rsid w:val="00532797"/>
    <w:rsid w:val="00532E15"/>
    <w:rsid w:val="0053304B"/>
    <w:rsid w:val="00533316"/>
    <w:rsid w:val="00533F85"/>
    <w:rsid w:val="00534138"/>
    <w:rsid w:val="0053481F"/>
    <w:rsid w:val="00534909"/>
    <w:rsid w:val="00534A77"/>
    <w:rsid w:val="00535246"/>
    <w:rsid w:val="00535612"/>
    <w:rsid w:val="00535BC2"/>
    <w:rsid w:val="00535D83"/>
    <w:rsid w:val="005366B3"/>
    <w:rsid w:val="00536F2D"/>
    <w:rsid w:val="0053704A"/>
    <w:rsid w:val="00537848"/>
    <w:rsid w:val="00537CEB"/>
    <w:rsid w:val="00537D0F"/>
    <w:rsid w:val="00537FD6"/>
    <w:rsid w:val="0054012F"/>
    <w:rsid w:val="005403E9"/>
    <w:rsid w:val="00540777"/>
    <w:rsid w:val="00541ACA"/>
    <w:rsid w:val="005420DE"/>
    <w:rsid w:val="0054267B"/>
    <w:rsid w:val="005427C0"/>
    <w:rsid w:val="00542AAA"/>
    <w:rsid w:val="00542D0F"/>
    <w:rsid w:val="00543204"/>
    <w:rsid w:val="005434EB"/>
    <w:rsid w:val="00543B3B"/>
    <w:rsid w:val="00543CC7"/>
    <w:rsid w:val="00543EE5"/>
    <w:rsid w:val="005447F2"/>
    <w:rsid w:val="00544BF6"/>
    <w:rsid w:val="00544C03"/>
    <w:rsid w:val="00544D92"/>
    <w:rsid w:val="00545073"/>
    <w:rsid w:val="00545ED2"/>
    <w:rsid w:val="00546167"/>
    <w:rsid w:val="00546CE0"/>
    <w:rsid w:val="005470FB"/>
    <w:rsid w:val="0054776F"/>
    <w:rsid w:val="00547969"/>
    <w:rsid w:val="00547BF8"/>
    <w:rsid w:val="00547C25"/>
    <w:rsid w:val="00547CB2"/>
    <w:rsid w:val="00547DB1"/>
    <w:rsid w:val="005505E0"/>
    <w:rsid w:val="00550967"/>
    <w:rsid w:val="00550AE0"/>
    <w:rsid w:val="00550D84"/>
    <w:rsid w:val="00550E57"/>
    <w:rsid w:val="00550FF8"/>
    <w:rsid w:val="00551097"/>
    <w:rsid w:val="00551285"/>
    <w:rsid w:val="005513C6"/>
    <w:rsid w:val="0055184E"/>
    <w:rsid w:val="005519D5"/>
    <w:rsid w:val="005527B3"/>
    <w:rsid w:val="00552CD5"/>
    <w:rsid w:val="00553225"/>
    <w:rsid w:val="0055370D"/>
    <w:rsid w:val="00553B3C"/>
    <w:rsid w:val="00553CE8"/>
    <w:rsid w:val="005541CC"/>
    <w:rsid w:val="005542D3"/>
    <w:rsid w:val="00554368"/>
    <w:rsid w:val="005544D8"/>
    <w:rsid w:val="0055490B"/>
    <w:rsid w:val="00554C19"/>
    <w:rsid w:val="005555BC"/>
    <w:rsid w:val="0055576C"/>
    <w:rsid w:val="00555843"/>
    <w:rsid w:val="00555FB5"/>
    <w:rsid w:val="005560AD"/>
    <w:rsid w:val="00556ADD"/>
    <w:rsid w:val="00557190"/>
    <w:rsid w:val="005571DA"/>
    <w:rsid w:val="00557686"/>
    <w:rsid w:val="005578C3"/>
    <w:rsid w:val="00557BE6"/>
    <w:rsid w:val="00557CE7"/>
    <w:rsid w:val="00557E83"/>
    <w:rsid w:val="00560078"/>
    <w:rsid w:val="00560147"/>
    <w:rsid w:val="00560876"/>
    <w:rsid w:val="005608D4"/>
    <w:rsid w:val="00560FDB"/>
    <w:rsid w:val="005611E1"/>
    <w:rsid w:val="00561271"/>
    <w:rsid w:val="00561321"/>
    <w:rsid w:val="0056184B"/>
    <w:rsid w:val="00561935"/>
    <w:rsid w:val="00561A01"/>
    <w:rsid w:val="00561C19"/>
    <w:rsid w:val="00561F47"/>
    <w:rsid w:val="005625E5"/>
    <w:rsid w:val="00562809"/>
    <w:rsid w:val="00562AB6"/>
    <w:rsid w:val="00562AF4"/>
    <w:rsid w:val="00562F68"/>
    <w:rsid w:val="005631A4"/>
    <w:rsid w:val="005632BD"/>
    <w:rsid w:val="00563465"/>
    <w:rsid w:val="00563AAE"/>
    <w:rsid w:val="00563ACD"/>
    <w:rsid w:val="00563DD0"/>
    <w:rsid w:val="00563E65"/>
    <w:rsid w:val="00563E72"/>
    <w:rsid w:val="00564046"/>
    <w:rsid w:val="0056462E"/>
    <w:rsid w:val="00564B0C"/>
    <w:rsid w:val="00564C07"/>
    <w:rsid w:val="00564C13"/>
    <w:rsid w:val="0056520F"/>
    <w:rsid w:val="00565649"/>
    <w:rsid w:val="00565869"/>
    <w:rsid w:val="0056690E"/>
    <w:rsid w:val="00566962"/>
    <w:rsid w:val="005669D4"/>
    <w:rsid w:val="005675DA"/>
    <w:rsid w:val="005675FC"/>
    <w:rsid w:val="00570323"/>
    <w:rsid w:val="005703AA"/>
    <w:rsid w:val="00570412"/>
    <w:rsid w:val="00570AEC"/>
    <w:rsid w:val="00570BE8"/>
    <w:rsid w:val="00570DA0"/>
    <w:rsid w:val="005711A5"/>
    <w:rsid w:val="0057164E"/>
    <w:rsid w:val="00571733"/>
    <w:rsid w:val="00571971"/>
    <w:rsid w:val="00571E29"/>
    <w:rsid w:val="00571F7E"/>
    <w:rsid w:val="00571F90"/>
    <w:rsid w:val="0057242B"/>
    <w:rsid w:val="0057290A"/>
    <w:rsid w:val="00572F85"/>
    <w:rsid w:val="00573433"/>
    <w:rsid w:val="005735A8"/>
    <w:rsid w:val="00573699"/>
    <w:rsid w:val="00573BC2"/>
    <w:rsid w:val="00573C54"/>
    <w:rsid w:val="00573D37"/>
    <w:rsid w:val="00574A81"/>
    <w:rsid w:val="00574C1C"/>
    <w:rsid w:val="00575311"/>
    <w:rsid w:val="0057553F"/>
    <w:rsid w:val="00575776"/>
    <w:rsid w:val="005757BE"/>
    <w:rsid w:val="00575976"/>
    <w:rsid w:val="00576BFA"/>
    <w:rsid w:val="0057738D"/>
    <w:rsid w:val="005774A1"/>
    <w:rsid w:val="00580C0A"/>
    <w:rsid w:val="00580D3F"/>
    <w:rsid w:val="00581830"/>
    <w:rsid w:val="00581A31"/>
    <w:rsid w:val="00581DA9"/>
    <w:rsid w:val="00581EF8"/>
    <w:rsid w:val="00581F33"/>
    <w:rsid w:val="00583048"/>
    <w:rsid w:val="005837E7"/>
    <w:rsid w:val="00583C4F"/>
    <w:rsid w:val="00583CF7"/>
    <w:rsid w:val="005845CF"/>
    <w:rsid w:val="005847A8"/>
    <w:rsid w:val="005847FA"/>
    <w:rsid w:val="00584A93"/>
    <w:rsid w:val="0058507C"/>
    <w:rsid w:val="00585172"/>
    <w:rsid w:val="0058549A"/>
    <w:rsid w:val="00585B27"/>
    <w:rsid w:val="00585BBC"/>
    <w:rsid w:val="0058600B"/>
    <w:rsid w:val="0058672D"/>
    <w:rsid w:val="0058688F"/>
    <w:rsid w:val="00586A41"/>
    <w:rsid w:val="0058719A"/>
    <w:rsid w:val="00587529"/>
    <w:rsid w:val="0058759F"/>
    <w:rsid w:val="00587A00"/>
    <w:rsid w:val="00587D9B"/>
    <w:rsid w:val="00587EF4"/>
    <w:rsid w:val="0059030A"/>
    <w:rsid w:val="00590482"/>
    <w:rsid w:val="0059064B"/>
    <w:rsid w:val="00590835"/>
    <w:rsid w:val="00590B20"/>
    <w:rsid w:val="00590DA6"/>
    <w:rsid w:val="0059129B"/>
    <w:rsid w:val="00591A42"/>
    <w:rsid w:val="00592002"/>
    <w:rsid w:val="005920E4"/>
    <w:rsid w:val="00592206"/>
    <w:rsid w:val="00592210"/>
    <w:rsid w:val="0059298E"/>
    <w:rsid w:val="005930BE"/>
    <w:rsid w:val="0059319B"/>
    <w:rsid w:val="0059340A"/>
    <w:rsid w:val="00593956"/>
    <w:rsid w:val="00593D2D"/>
    <w:rsid w:val="005944DA"/>
    <w:rsid w:val="005948E6"/>
    <w:rsid w:val="005948F9"/>
    <w:rsid w:val="00594D83"/>
    <w:rsid w:val="00595A9A"/>
    <w:rsid w:val="00595CDE"/>
    <w:rsid w:val="005962E8"/>
    <w:rsid w:val="00596DDD"/>
    <w:rsid w:val="00596F24"/>
    <w:rsid w:val="00596FFB"/>
    <w:rsid w:val="005974A6"/>
    <w:rsid w:val="005A0196"/>
    <w:rsid w:val="005A0A36"/>
    <w:rsid w:val="005A14D6"/>
    <w:rsid w:val="005A1503"/>
    <w:rsid w:val="005A1D54"/>
    <w:rsid w:val="005A1F3D"/>
    <w:rsid w:val="005A207E"/>
    <w:rsid w:val="005A2B90"/>
    <w:rsid w:val="005A35D5"/>
    <w:rsid w:val="005A3B80"/>
    <w:rsid w:val="005A3F72"/>
    <w:rsid w:val="005A3FBA"/>
    <w:rsid w:val="005A4178"/>
    <w:rsid w:val="005A4388"/>
    <w:rsid w:val="005A4BAC"/>
    <w:rsid w:val="005A4DEE"/>
    <w:rsid w:val="005A4E9A"/>
    <w:rsid w:val="005A4F28"/>
    <w:rsid w:val="005A55C0"/>
    <w:rsid w:val="005A5A21"/>
    <w:rsid w:val="005A5A34"/>
    <w:rsid w:val="005A5ADD"/>
    <w:rsid w:val="005A5B77"/>
    <w:rsid w:val="005A5C0C"/>
    <w:rsid w:val="005A5DD5"/>
    <w:rsid w:val="005A6363"/>
    <w:rsid w:val="005A69FF"/>
    <w:rsid w:val="005A6FB6"/>
    <w:rsid w:val="005A74F6"/>
    <w:rsid w:val="005A7548"/>
    <w:rsid w:val="005A76AB"/>
    <w:rsid w:val="005A79C9"/>
    <w:rsid w:val="005A7C2E"/>
    <w:rsid w:val="005B0706"/>
    <w:rsid w:val="005B081C"/>
    <w:rsid w:val="005B0A89"/>
    <w:rsid w:val="005B0C56"/>
    <w:rsid w:val="005B0E39"/>
    <w:rsid w:val="005B1337"/>
    <w:rsid w:val="005B14AF"/>
    <w:rsid w:val="005B18F5"/>
    <w:rsid w:val="005B22EE"/>
    <w:rsid w:val="005B2E4F"/>
    <w:rsid w:val="005B2F45"/>
    <w:rsid w:val="005B2F6D"/>
    <w:rsid w:val="005B2F9E"/>
    <w:rsid w:val="005B3AFA"/>
    <w:rsid w:val="005B3B2E"/>
    <w:rsid w:val="005B3F0A"/>
    <w:rsid w:val="005B4166"/>
    <w:rsid w:val="005B4D3A"/>
    <w:rsid w:val="005B4DEE"/>
    <w:rsid w:val="005B562D"/>
    <w:rsid w:val="005B5F02"/>
    <w:rsid w:val="005B62B9"/>
    <w:rsid w:val="005B6761"/>
    <w:rsid w:val="005B7250"/>
    <w:rsid w:val="005B7572"/>
    <w:rsid w:val="005B770C"/>
    <w:rsid w:val="005B7CAA"/>
    <w:rsid w:val="005C023B"/>
    <w:rsid w:val="005C02E3"/>
    <w:rsid w:val="005C0770"/>
    <w:rsid w:val="005C0910"/>
    <w:rsid w:val="005C0B87"/>
    <w:rsid w:val="005C177D"/>
    <w:rsid w:val="005C1F1A"/>
    <w:rsid w:val="005C2169"/>
    <w:rsid w:val="005C21E1"/>
    <w:rsid w:val="005C2926"/>
    <w:rsid w:val="005C2F5C"/>
    <w:rsid w:val="005C3019"/>
    <w:rsid w:val="005C3600"/>
    <w:rsid w:val="005C3E1D"/>
    <w:rsid w:val="005C43A5"/>
    <w:rsid w:val="005C46A2"/>
    <w:rsid w:val="005C5750"/>
    <w:rsid w:val="005C57E7"/>
    <w:rsid w:val="005C5D9E"/>
    <w:rsid w:val="005C6756"/>
    <w:rsid w:val="005C6983"/>
    <w:rsid w:val="005C6A2C"/>
    <w:rsid w:val="005C6A4C"/>
    <w:rsid w:val="005C6D0D"/>
    <w:rsid w:val="005C6E9A"/>
    <w:rsid w:val="005C7090"/>
    <w:rsid w:val="005C71F3"/>
    <w:rsid w:val="005C7211"/>
    <w:rsid w:val="005C75B1"/>
    <w:rsid w:val="005C76AA"/>
    <w:rsid w:val="005C78A8"/>
    <w:rsid w:val="005C7C02"/>
    <w:rsid w:val="005C7F13"/>
    <w:rsid w:val="005D0299"/>
    <w:rsid w:val="005D0AFA"/>
    <w:rsid w:val="005D0E7A"/>
    <w:rsid w:val="005D12B8"/>
    <w:rsid w:val="005D1883"/>
    <w:rsid w:val="005D1CBE"/>
    <w:rsid w:val="005D1D75"/>
    <w:rsid w:val="005D24B1"/>
    <w:rsid w:val="005D2529"/>
    <w:rsid w:val="005D285F"/>
    <w:rsid w:val="005D300C"/>
    <w:rsid w:val="005D3264"/>
    <w:rsid w:val="005D3AF3"/>
    <w:rsid w:val="005D4010"/>
    <w:rsid w:val="005D4D35"/>
    <w:rsid w:val="005D4EB2"/>
    <w:rsid w:val="005D4F31"/>
    <w:rsid w:val="005D52AB"/>
    <w:rsid w:val="005D548C"/>
    <w:rsid w:val="005D5734"/>
    <w:rsid w:val="005D5D34"/>
    <w:rsid w:val="005D5EDB"/>
    <w:rsid w:val="005D60F8"/>
    <w:rsid w:val="005D63C4"/>
    <w:rsid w:val="005D6B3A"/>
    <w:rsid w:val="005D6D17"/>
    <w:rsid w:val="005D7EDD"/>
    <w:rsid w:val="005E0086"/>
    <w:rsid w:val="005E0FEA"/>
    <w:rsid w:val="005E1769"/>
    <w:rsid w:val="005E1785"/>
    <w:rsid w:val="005E1797"/>
    <w:rsid w:val="005E1B41"/>
    <w:rsid w:val="005E1B67"/>
    <w:rsid w:val="005E2244"/>
    <w:rsid w:val="005E249C"/>
    <w:rsid w:val="005E2668"/>
    <w:rsid w:val="005E29F2"/>
    <w:rsid w:val="005E2B73"/>
    <w:rsid w:val="005E2E12"/>
    <w:rsid w:val="005E3267"/>
    <w:rsid w:val="005E35D6"/>
    <w:rsid w:val="005E4160"/>
    <w:rsid w:val="005E52F4"/>
    <w:rsid w:val="005E532C"/>
    <w:rsid w:val="005E534C"/>
    <w:rsid w:val="005E5867"/>
    <w:rsid w:val="005E5CF1"/>
    <w:rsid w:val="005E5FA1"/>
    <w:rsid w:val="005E6047"/>
    <w:rsid w:val="005E6349"/>
    <w:rsid w:val="005E67E4"/>
    <w:rsid w:val="005E68E7"/>
    <w:rsid w:val="005E690B"/>
    <w:rsid w:val="005E69DE"/>
    <w:rsid w:val="005E77FE"/>
    <w:rsid w:val="005E7BAA"/>
    <w:rsid w:val="005E7E95"/>
    <w:rsid w:val="005F0034"/>
    <w:rsid w:val="005F01EE"/>
    <w:rsid w:val="005F0E12"/>
    <w:rsid w:val="005F0EF2"/>
    <w:rsid w:val="005F11D4"/>
    <w:rsid w:val="005F1587"/>
    <w:rsid w:val="005F2868"/>
    <w:rsid w:val="005F288F"/>
    <w:rsid w:val="005F28F1"/>
    <w:rsid w:val="005F2B0B"/>
    <w:rsid w:val="005F2CB7"/>
    <w:rsid w:val="005F2DFF"/>
    <w:rsid w:val="005F2EDB"/>
    <w:rsid w:val="005F2F3F"/>
    <w:rsid w:val="005F32B4"/>
    <w:rsid w:val="005F3506"/>
    <w:rsid w:val="005F383C"/>
    <w:rsid w:val="005F3B2E"/>
    <w:rsid w:val="005F3BB9"/>
    <w:rsid w:val="005F3F7B"/>
    <w:rsid w:val="005F45C3"/>
    <w:rsid w:val="005F4A68"/>
    <w:rsid w:val="005F4BB2"/>
    <w:rsid w:val="005F4CE6"/>
    <w:rsid w:val="005F4E2E"/>
    <w:rsid w:val="005F5077"/>
    <w:rsid w:val="005F5636"/>
    <w:rsid w:val="005F5860"/>
    <w:rsid w:val="005F58C8"/>
    <w:rsid w:val="005F6130"/>
    <w:rsid w:val="005F6670"/>
    <w:rsid w:val="005F6715"/>
    <w:rsid w:val="005F6E9B"/>
    <w:rsid w:val="005F7162"/>
    <w:rsid w:val="005F73E3"/>
    <w:rsid w:val="005F7686"/>
    <w:rsid w:val="005F7794"/>
    <w:rsid w:val="0060034E"/>
    <w:rsid w:val="00600630"/>
    <w:rsid w:val="006009C2"/>
    <w:rsid w:val="006017B2"/>
    <w:rsid w:val="006018AE"/>
    <w:rsid w:val="0060193A"/>
    <w:rsid w:val="006019E5"/>
    <w:rsid w:val="00601F2A"/>
    <w:rsid w:val="00602030"/>
    <w:rsid w:val="00602AC8"/>
    <w:rsid w:val="0060315A"/>
    <w:rsid w:val="0060320E"/>
    <w:rsid w:val="00603669"/>
    <w:rsid w:val="00604518"/>
    <w:rsid w:val="00604B8A"/>
    <w:rsid w:val="00605300"/>
    <w:rsid w:val="00605442"/>
    <w:rsid w:val="00605A27"/>
    <w:rsid w:val="00605CFE"/>
    <w:rsid w:val="00605EEF"/>
    <w:rsid w:val="00605F04"/>
    <w:rsid w:val="00606337"/>
    <w:rsid w:val="00606367"/>
    <w:rsid w:val="006066D6"/>
    <w:rsid w:val="006066E0"/>
    <w:rsid w:val="0060681C"/>
    <w:rsid w:val="00606DBE"/>
    <w:rsid w:val="006072F5"/>
    <w:rsid w:val="006075FE"/>
    <w:rsid w:val="00607769"/>
    <w:rsid w:val="00607A83"/>
    <w:rsid w:val="00607D74"/>
    <w:rsid w:val="00610EDC"/>
    <w:rsid w:val="006116BE"/>
    <w:rsid w:val="006116BF"/>
    <w:rsid w:val="00611974"/>
    <w:rsid w:val="00611CE7"/>
    <w:rsid w:val="006122E6"/>
    <w:rsid w:val="00612314"/>
    <w:rsid w:val="00612417"/>
    <w:rsid w:val="0061289C"/>
    <w:rsid w:val="00612BDC"/>
    <w:rsid w:val="006139D5"/>
    <w:rsid w:val="00613B6F"/>
    <w:rsid w:val="00613CA0"/>
    <w:rsid w:val="00613D71"/>
    <w:rsid w:val="00613EF7"/>
    <w:rsid w:val="006149D7"/>
    <w:rsid w:val="00614F99"/>
    <w:rsid w:val="006156CF"/>
    <w:rsid w:val="0061588C"/>
    <w:rsid w:val="006159D7"/>
    <w:rsid w:val="00615A98"/>
    <w:rsid w:val="00615AF2"/>
    <w:rsid w:val="0061663D"/>
    <w:rsid w:val="00616727"/>
    <w:rsid w:val="006168DE"/>
    <w:rsid w:val="00616CCB"/>
    <w:rsid w:val="00616DB8"/>
    <w:rsid w:val="00616ED2"/>
    <w:rsid w:val="0061744B"/>
    <w:rsid w:val="00617728"/>
    <w:rsid w:val="00617A36"/>
    <w:rsid w:val="00620045"/>
    <w:rsid w:val="00620354"/>
    <w:rsid w:val="00620B4C"/>
    <w:rsid w:val="00621136"/>
    <w:rsid w:val="00621ABC"/>
    <w:rsid w:val="00621DA5"/>
    <w:rsid w:val="00622232"/>
    <w:rsid w:val="00622B8E"/>
    <w:rsid w:val="00622C2A"/>
    <w:rsid w:val="00622F9C"/>
    <w:rsid w:val="006231C8"/>
    <w:rsid w:val="0062419E"/>
    <w:rsid w:val="006243C9"/>
    <w:rsid w:val="00624927"/>
    <w:rsid w:val="00624BC2"/>
    <w:rsid w:val="00624D1E"/>
    <w:rsid w:val="006260F8"/>
    <w:rsid w:val="00626228"/>
    <w:rsid w:val="0062663D"/>
    <w:rsid w:val="00626756"/>
    <w:rsid w:val="0062690D"/>
    <w:rsid w:val="0062741C"/>
    <w:rsid w:val="006279CF"/>
    <w:rsid w:val="00627E27"/>
    <w:rsid w:val="006302A7"/>
    <w:rsid w:val="006303AD"/>
    <w:rsid w:val="00630A73"/>
    <w:rsid w:val="00630AD1"/>
    <w:rsid w:val="00630B1B"/>
    <w:rsid w:val="00630E92"/>
    <w:rsid w:val="00631059"/>
    <w:rsid w:val="006312B7"/>
    <w:rsid w:val="00631801"/>
    <w:rsid w:val="00631810"/>
    <w:rsid w:val="0063202A"/>
    <w:rsid w:val="00632FF7"/>
    <w:rsid w:val="00633308"/>
    <w:rsid w:val="00633A91"/>
    <w:rsid w:val="00633AE6"/>
    <w:rsid w:val="006345BD"/>
    <w:rsid w:val="006346F7"/>
    <w:rsid w:val="006347BA"/>
    <w:rsid w:val="006360C8"/>
    <w:rsid w:val="0063624B"/>
    <w:rsid w:val="00636849"/>
    <w:rsid w:val="00636C69"/>
    <w:rsid w:val="00636FAE"/>
    <w:rsid w:val="00636FE5"/>
    <w:rsid w:val="006378A0"/>
    <w:rsid w:val="00640399"/>
    <w:rsid w:val="00640511"/>
    <w:rsid w:val="006405ED"/>
    <w:rsid w:val="006406D4"/>
    <w:rsid w:val="00640C10"/>
    <w:rsid w:val="00640CDE"/>
    <w:rsid w:val="00641352"/>
    <w:rsid w:val="0064170B"/>
    <w:rsid w:val="006417AE"/>
    <w:rsid w:val="006417F3"/>
    <w:rsid w:val="00641C49"/>
    <w:rsid w:val="00642132"/>
    <w:rsid w:val="006428AE"/>
    <w:rsid w:val="00642AFE"/>
    <w:rsid w:val="00642B7F"/>
    <w:rsid w:val="0064467E"/>
    <w:rsid w:val="00644C7C"/>
    <w:rsid w:val="00644C95"/>
    <w:rsid w:val="00644E52"/>
    <w:rsid w:val="0064595D"/>
    <w:rsid w:val="0064649D"/>
    <w:rsid w:val="00646527"/>
    <w:rsid w:val="00646723"/>
    <w:rsid w:val="00646A9C"/>
    <w:rsid w:val="00646C86"/>
    <w:rsid w:val="00646E5A"/>
    <w:rsid w:val="006470F2"/>
    <w:rsid w:val="006472C7"/>
    <w:rsid w:val="00647C44"/>
    <w:rsid w:val="00647F86"/>
    <w:rsid w:val="00650102"/>
    <w:rsid w:val="0065025B"/>
    <w:rsid w:val="0065076B"/>
    <w:rsid w:val="00650927"/>
    <w:rsid w:val="006509D2"/>
    <w:rsid w:val="00651093"/>
    <w:rsid w:val="0065117F"/>
    <w:rsid w:val="00651E47"/>
    <w:rsid w:val="0065201B"/>
    <w:rsid w:val="0065207A"/>
    <w:rsid w:val="00652890"/>
    <w:rsid w:val="0065289C"/>
    <w:rsid w:val="00652AD5"/>
    <w:rsid w:val="00652C3C"/>
    <w:rsid w:val="00652D29"/>
    <w:rsid w:val="00653138"/>
    <w:rsid w:val="00653452"/>
    <w:rsid w:val="00653655"/>
    <w:rsid w:val="00653984"/>
    <w:rsid w:val="00653A1C"/>
    <w:rsid w:val="00653B79"/>
    <w:rsid w:val="00653D40"/>
    <w:rsid w:val="00654302"/>
    <w:rsid w:val="0065488B"/>
    <w:rsid w:val="006549BE"/>
    <w:rsid w:val="006552C7"/>
    <w:rsid w:val="0065582D"/>
    <w:rsid w:val="00655B8E"/>
    <w:rsid w:val="00655F8E"/>
    <w:rsid w:val="006561E0"/>
    <w:rsid w:val="0065685B"/>
    <w:rsid w:val="00656CAD"/>
    <w:rsid w:val="0065742C"/>
    <w:rsid w:val="0065784B"/>
    <w:rsid w:val="00657F13"/>
    <w:rsid w:val="00660DB4"/>
    <w:rsid w:val="00660F46"/>
    <w:rsid w:val="00661113"/>
    <w:rsid w:val="0066171F"/>
    <w:rsid w:val="0066184A"/>
    <w:rsid w:val="00661A7C"/>
    <w:rsid w:val="00661EFD"/>
    <w:rsid w:val="00661F0F"/>
    <w:rsid w:val="006621BA"/>
    <w:rsid w:val="00662419"/>
    <w:rsid w:val="00662685"/>
    <w:rsid w:val="0066285D"/>
    <w:rsid w:val="00662CED"/>
    <w:rsid w:val="00662E8C"/>
    <w:rsid w:val="00663654"/>
    <w:rsid w:val="006636A7"/>
    <w:rsid w:val="00663BB1"/>
    <w:rsid w:val="00663FA6"/>
    <w:rsid w:val="0066439E"/>
    <w:rsid w:val="006648EC"/>
    <w:rsid w:val="00664A03"/>
    <w:rsid w:val="006656FB"/>
    <w:rsid w:val="006657A8"/>
    <w:rsid w:val="0066591F"/>
    <w:rsid w:val="00665A1B"/>
    <w:rsid w:val="00665EB8"/>
    <w:rsid w:val="00665F3C"/>
    <w:rsid w:val="006660DC"/>
    <w:rsid w:val="006669CF"/>
    <w:rsid w:val="00666C01"/>
    <w:rsid w:val="00666D7A"/>
    <w:rsid w:val="00666F67"/>
    <w:rsid w:val="0066711C"/>
    <w:rsid w:val="00667450"/>
    <w:rsid w:val="00667E72"/>
    <w:rsid w:val="0067023B"/>
    <w:rsid w:val="00670658"/>
    <w:rsid w:val="006706AA"/>
    <w:rsid w:val="00670936"/>
    <w:rsid w:val="0067131B"/>
    <w:rsid w:val="00671539"/>
    <w:rsid w:val="006715DD"/>
    <w:rsid w:val="006717DE"/>
    <w:rsid w:val="006719F5"/>
    <w:rsid w:val="00671AE3"/>
    <w:rsid w:val="00671B0F"/>
    <w:rsid w:val="0067250E"/>
    <w:rsid w:val="00672804"/>
    <w:rsid w:val="00672B1C"/>
    <w:rsid w:val="00672C1B"/>
    <w:rsid w:val="00672C78"/>
    <w:rsid w:val="0067327D"/>
    <w:rsid w:val="00673BFA"/>
    <w:rsid w:val="0067401E"/>
    <w:rsid w:val="00674267"/>
    <w:rsid w:val="006745B3"/>
    <w:rsid w:val="00674E38"/>
    <w:rsid w:val="00674F20"/>
    <w:rsid w:val="006750D9"/>
    <w:rsid w:val="00675220"/>
    <w:rsid w:val="00675336"/>
    <w:rsid w:val="00675602"/>
    <w:rsid w:val="00675A9B"/>
    <w:rsid w:val="00675BE0"/>
    <w:rsid w:val="00675FEB"/>
    <w:rsid w:val="006760A0"/>
    <w:rsid w:val="00676A8A"/>
    <w:rsid w:val="00676C4A"/>
    <w:rsid w:val="00676DBC"/>
    <w:rsid w:val="00676FA1"/>
    <w:rsid w:val="006773F5"/>
    <w:rsid w:val="006775F4"/>
    <w:rsid w:val="00677897"/>
    <w:rsid w:val="00677A18"/>
    <w:rsid w:val="00677BD6"/>
    <w:rsid w:val="00677C4E"/>
    <w:rsid w:val="00677DF5"/>
    <w:rsid w:val="006801C1"/>
    <w:rsid w:val="006804E4"/>
    <w:rsid w:val="00680A92"/>
    <w:rsid w:val="00680ABD"/>
    <w:rsid w:val="00680E2D"/>
    <w:rsid w:val="00681048"/>
    <w:rsid w:val="00681B78"/>
    <w:rsid w:val="00681C2E"/>
    <w:rsid w:val="00681C53"/>
    <w:rsid w:val="006827D3"/>
    <w:rsid w:val="0068283B"/>
    <w:rsid w:val="00682C93"/>
    <w:rsid w:val="00682E29"/>
    <w:rsid w:val="00683419"/>
    <w:rsid w:val="0068348C"/>
    <w:rsid w:val="0068361E"/>
    <w:rsid w:val="0068368E"/>
    <w:rsid w:val="006837BB"/>
    <w:rsid w:val="006839C4"/>
    <w:rsid w:val="006851F7"/>
    <w:rsid w:val="006856F8"/>
    <w:rsid w:val="00685883"/>
    <w:rsid w:val="00685D81"/>
    <w:rsid w:val="00685FA3"/>
    <w:rsid w:val="00686230"/>
    <w:rsid w:val="006863BF"/>
    <w:rsid w:val="006866F2"/>
    <w:rsid w:val="00686A05"/>
    <w:rsid w:val="00686A96"/>
    <w:rsid w:val="00686AC7"/>
    <w:rsid w:val="00686E6E"/>
    <w:rsid w:val="00686EC3"/>
    <w:rsid w:val="00686ED3"/>
    <w:rsid w:val="00686FD2"/>
    <w:rsid w:val="00686FEB"/>
    <w:rsid w:val="00687017"/>
    <w:rsid w:val="0068748C"/>
    <w:rsid w:val="006878DA"/>
    <w:rsid w:val="00687952"/>
    <w:rsid w:val="006906FA"/>
    <w:rsid w:val="00690D66"/>
    <w:rsid w:val="00690ED0"/>
    <w:rsid w:val="00690F38"/>
    <w:rsid w:val="00690FEB"/>
    <w:rsid w:val="006913A2"/>
    <w:rsid w:val="0069195F"/>
    <w:rsid w:val="00691CDC"/>
    <w:rsid w:val="006920D0"/>
    <w:rsid w:val="0069239B"/>
    <w:rsid w:val="006923E7"/>
    <w:rsid w:val="00692529"/>
    <w:rsid w:val="00692A03"/>
    <w:rsid w:val="00693CB6"/>
    <w:rsid w:val="00693D8A"/>
    <w:rsid w:val="00693F28"/>
    <w:rsid w:val="006948D6"/>
    <w:rsid w:val="00694A81"/>
    <w:rsid w:val="00694E3B"/>
    <w:rsid w:val="0069501E"/>
    <w:rsid w:val="006950B3"/>
    <w:rsid w:val="006958D6"/>
    <w:rsid w:val="00696165"/>
    <w:rsid w:val="00696549"/>
    <w:rsid w:val="00696993"/>
    <w:rsid w:val="006969F5"/>
    <w:rsid w:val="0069775A"/>
    <w:rsid w:val="00697A54"/>
    <w:rsid w:val="00697B73"/>
    <w:rsid w:val="00697D57"/>
    <w:rsid w:val="006A0103"/>
    <w:rsid w:val="006A0410"/>
    <w:rsid w:val="006A0FB2"/>
    <w:rsid w:val="006A12F4"/>
    <w:rsid w:val="006A1357"/>
    <w:rsid w:val="006A16B8"/>
    <w:rsid w:val="006A1796"/>
    <w:rsid w:val="006A1818"/>
    <w:rsid w:val="006A1CD4"/>
    <w:rsid w:val="006A20E5"/>
    <w:rsid w:val="006A24CF"/>
    <w:rsid w:val="006A2A1C"/>
    <w:rsid w:val="006A2E25"/>
    <w:rsid w:val="006A3487"/>
    <w:rsid w:val="006A37D2"/>
    <w:rsid w:val="006A3CEF"/>
    <w:rsid w:val="006A3EF8"/>
    <w:rsid w:val="006A422F"/>
    <w:rsid w:val="006A43DE"/>
    <w:rsid w:val="006A4816"/>
    <w:rsid w:val="006A4A52"/>
    <w:rsid w:val="006A4DB2"/>
    <w:rsid w:val="006A4F4D"/>
    <w:rsid w:val="006A522F"/>
    <w:rsid w:val="006A52FC"/>
    <w:rsid w:val="006A541A"/>
    <w:rsid w:val="006A54ED"/>
    <w:rsid w:val="006A55F9"/>
    <w:rsid w:val="006A57A6"/>
    <w:rsid w:val="006A63F4"/>
    <w:rsid w:val="006A645F"/>
    <w:rsid w:val="006A6863"/>
    <w:rsid w:val="006A6A04"/>
    <w:rsid w:val="006A6B2C"/>
    <w:rsid w:val="006A7E55"/>
    <w:rsid w:val="006A7FB5"/>
    <w:rsid w:val="006B0460"/>
    <w:rsid w:val="006B0710"/>
    <w:rsid w:val="006B0F93"/>
    <w:rsid w:val="006B1035"/>
    <w:rsid w:val="006B12F5"/>
    <w:rsid w:val="006B140E"/>
    <w:rsid w:val="006B1474"/>
    <w:rsid w:val="006B17E8"/>
    <w:rsid w:val="006B2652"/>
    <w:rsid w:val="006B26EB"/>
    <w:rsid w:val="006B279E"/>
    <w:rsid w:val="006B28EE"/>
    <w:rsid w:val="006B29D8"/>
    <w:rsid w:val="006B31D9"/>
    <w:rsid w:val="006B3299"/>
    <w:rsid w:val="006B35B1"/>
    <w:rsid w:val="006B387C"/>
    <w:rsid w:val="006B3B40"/>
    <w:rsid w:val="006B45C0"/>
    <w:rsid w:val="006B4B1E"/>
    <w:rsid w:val="006B52F0"/>
    <w:rsid w:val="006B5476"/>
    <w:rsid w:val="006B55D9"/>
    <w:rsid w:val="006B59A0"/>
    <w:rsid w:val="006B5F76"/>
    <w:rsid w:val="006B6237"/>
    <w:rsid w:val="006B623A"/>
    <w:rsid w:val="006B645B"/>
    <w:rsid w:val="006B684E"/>
    <w:rsid w:val="006B7AC1"/>
    <w:rsid w:val="006B7B33"/>
    <w:rsid w:val="006B7DA7"/>
    <w:rsid w:val="006C008E"/>
    <w:rsid w:val="006C03B1"/>
    <w:rsid w:val="006C03FE"/>
    <w:rsid w:val="006C07A2"/>
    <w:rsid w:val="006C082C"/>
    <w:rsid w:val="006C0889"/>
    <w:rsid w:val="006C0DB1"/>
    <w:rsid w:val="006C0E47"/>
    <w:rsid w:val="006C0F01"/>
    <w:rsid w:val="006C1252"/>
    <w:rsid w:val="006C1541"/>
    <w:rsid w:val="006C15FB"/>
    <w:rsid w:val="006C171F"/>
    <w:rsid w:val="006C1B35"/>
    <w:rsid w:val="006C1BE1"/>
    <w:rsid w:val="006C1E88"/>
    <w:rsid w:val="006C1EE4"/>
    <w:rsid w:val="006C227A"/>
    <w:rsid w:val="006C23B3"/>
    <w:rsid w:val="006C248C"/>
    <w:rsid w:val="006C24E1"/>
    <w:rsid w:val="006C2550"/>
    <w:rsid w:val="006C26EB"/>
    <w:rsid w:val="006C2950"/>
    <w:rsid w:val="006C2CE8"/>
    <w:rsid w:val="006C31E8"/>
    <w:rsid w:val="006C32B1"/>
    <w:rsid w:val="006C403F"/>
    <w:rsid w:val="006C40C5"/>
    <w:rsid w:val="006C4121"/>
    <w:rsid w:val="006C420A"/>
    <w:rsid w:val="006C450A"/>
    <w:rsid w:val="006C46F5"/>
    <w:rsid w:val="006C4AB5"/>
    <w:rsid w:val="006C4AE4"/>
    <w:rsid w:val="006C4C94"/>
    <w:rsid w:val="006C529C"/>
    <w:rsid w:val="006C583A"/>
    <w:rsid w:val="006C65DA"/>
    <w:rsid w:val="006C6A45"/>
    <w:rsid w:val="006C7507"/>
    <w:rsid w:val="006C7786"/>
    <w:rsid w:val="006C77A2"/>
    <w:rsid w:val="006D0B8E"/>
    <w:rsid w:val="006D11AA"/>
    <w:rsid w:val="006D125A"/>
    <w:rsid w:val="006D12BF"/>
    <w:rsid w:val="006D1A46"/>
    <w:rsid w:val="006D1E4A"/>
    <w:rsid w:val="006D21C9"/>
    <w:rsid w:val="006D2865"/>
    <w:rsid w:val="006D2B39"/>
    <w:rsid w:val="006D2DE2"/>
    <w:rsid w:val="006D2DF8"/>
    <w:rsid w:val="006D2F6F"/>
    <w:rsid w:val="006D30A8"/>
    <w:rsid w:val="006D32FE"/>
    <w:rsid w:val="006D3784"/>
    <w:rsid w:val="006D3ED2"/>
    <w:rsid w:val="006D3FFF"/>
    <w:rsid w:val="006D414A"/>
    <w:rsid w:val="006D4860"/>
    <w:rsid w:val="006D4B0D"/>
    <w:rsid w:val="006D5500"/>
    <w:rsid w:val="006D564D"/>
    <w:rsid w:val="006D569B"/>
    <w:rsid w:val="006D56B0"/>
    <w:rsid w:val="006D575A"/>
    <w:rsid w:val="006D5A14"/>
    <w:rsid w:val="006D5BAD"/>
    <w:rsid w:val="006D5BEC"/>
    <w:rsid w:val="006D69B9"/>
    <w:rsid w:val="006D702C"/>
    <w:rsid w:val="006D706F"/>
    <w:rsid w:val="006D77F3"/>
    <w:rsid w:val="006D7B1F"/>
    <w:rsid w:val="006E0205"/>
    <w:rsid w:val="006E0C66"/>
    <w:rsid w:val="006E0FCD"/>
    <w:rsid w:val="006E16C3"/>
    <w:rsid w:val="006E1906"/>
    <w:rsid w:val="006E20E0"/>
    <w:rsid w:val="006E33CD"/>
    <w:rsid w:val="006E33E0"/>
    <w:rsid w:val="006E4342"/>
    <w:rsid w:val="006E4445"/>
    <w:rsid w:val="006E4564"/>
    <w:rsid w:val="006E4662"/>
    <w:rsid w:val="006E488C"/>
    <w:rsid w:val="006E4C3C"/>
    <w:rsid w:val="006E4DD7"/>
    <w:rsid w:val="006E4F27"/>
    <w:rsid w:val="006E4FC9"/>
    <w:rsid w:val="006E518C"/>
    <w:rsid w:val="006E5240"/>
    <w:rsid w:val="006E52D2"/>
    <w:rsid w:val="006E5D67"/>
    <w:rsid w:val="006E606C"/>
    <w:rsid w:val="006E624F"/>
    <w:rsid w:val="006E69E0"/>
    <w:rsid w:val="006E6A46"/>
    <w:rsid w:val="006E6CAC"/>
    <w:rsid w:val="006E6E39"/>
    <w:rsid w:val="006E78EA"/>
    <w:rsid w:val="006E7B03"/>
    <w:rsid w:val="006F00D1"/>
    <w:rsid w:val="006F00D8"/>
    <w:rsid w:val="006F0E17"/>
    <w:rsid w:val="006F0F79"/>
    <w:rsid w:val="006F1C25"/>
    <w:rsid w:val="006F21C7"/>
    <w:rsid w:val="006F2A06"/>
    <w:rsid w:val="006F2ADF"/>
    <w:rsid w:val="006F2EF1"/>
    <w:rsid w:val="006F355F"/>
    <w:rsid w:val="006F3BCF"/>
    <w:rsid w:val="006F3E43"/>
    <w:rsid w:val="006F4192"/>
    <w:rsid w:val="006F4A2D"/>
    <w:rsid w:val="006F4BC2"/>
    <w:rsid w:val="006F4DA4"/>
    <w:rsid w:val="006F4FBC"/>
    <w:rsid w:val="006F50C6"/>
    <w:rsid w:val="006F515E"/>
    <w:rsid w:val="006F5372"/>
    <w:rsid w:val="006F5E91"/>
    <w:rsid w:val="006F62CE"/>
    <w:rsid w:val="006F6542"/>
    <w:rsid w:val="006F6DCC"/>
    <w:rsid w:val="006F6E57"/>
    <w:rsid w:val="006F6FC4"/>
    <w:rsid w:val="006F7653"/>
    <w:rsid w:val="006F76AB"/>
    <w:rsid w:val="006F7986"/>
    <w:rsid w:val="006F7E18"/>
    <w:rsid w:val="00700184"/>
    <w:rsid w:val="007008FA"/>
    <w:rsid w:val="007009F8"/>
    <w:rsid w:val="00700DB4"/>
    <w:rsid w:val="00701780"/>
    <w:rsid w:val="007019E8"/>
    <w:rsid w:val="00702079"/>
    <w:rsid w:val="007020D1"/>
    <w:rsid w:val="007022C1"/>
    <w:rsid w:val="0070278F"/>
    <w:rsid w:val="0070295B"/>
    <w:rsid w:val="00702DFE"/>
    <w:rsid w:val="0070302E"/>
    <w:rsid w:val="00703458"/>
    <w:rsid w:val="007036D1"/>
    <w:rsid w:val="007038BF"/>
    <w:rsid w:val="00703AA2"/>
    <w:rsid w:val="00703C19"/>
    <w:rsid w:val="00703C4D"/>
    <w:rsid w:val="00704065"/>
    <w:rsid w:val="00705DAE"/>
    <w:rsid w:val="00705F2B"/>
    <w:rsid w:val="007063A2"/>
    <w:rsid w:val="00706A80"/>
    <w:rsid w:val="00706C7E"/>
    <w:rsid w:val="0070773A"/>
    <w:rsid w:val="00707D73"/>
    <w:rsid w:val="00707F9D"/>
    <w:rsid w:val="00710442"/>
    <w:rsid w:val="007105A1"/>
    <w:rsid w:val="00710A2E"/>
    <w:rsid w:val="00710E54"/>
    <w:rsid w:val="00711214"/>
    <w:rsid w:val="0071122D"/>
    <w:rsid w:val="00711B8D"/>
    <w:rsid w:val="007126AC"/>
    <w:rsid w:val="00712B5D"/>
    <w:rsid w:val="00712EBC"/>
    <w:rsid w:val="007133F2"/>
    <w:rsid w:val="00713D8C"/>
    <w:rsid w:val="00714367"/>
    <w:rsid w:val="00714BFC"/>
    <w:rsid w:val="00714DA6"/>
    <w:rsid w:val="00714F3A"/>
    <w:rsid w:val="007152CE"/>
    <w:rsid w:val="0071533C"/>
    <w:rsid w:val="0071552B"/>
    <w:rsid w:val="00715711"/>
    <w:rsid w:val="007158BA"/>
    <w:rsid w:val="00715E8A"/>
    <w:rsid w:val="00715ECE"/>
    <w:rsid w:val="00715EF6"/>
    <w:rsid w:val="00716A15"/>
    <w:rsid w:val="00716AC1"/>
    <w:rsid w:val="00716AE8"/>
    <w:rsid w:val="00717379"/>
    <w:rsid w:val="007175F8"/>
    <w:rsid w:val="00717A00"/>
    <w:rsid w:val="00720268"/>
    <w:rsid w:val="00720558"/>
    <w:rsid w:val="00720646"/>
    <w:rsid w:val="007208EC"/>
    <w:rsid w:val="007208EE"/>
    <w:rsid w:val="0072098D"/>
    <w:rsid w:val="0072139F"/>
    <w:rsid w:val="00721677"/>
    <w:rsid w:val="0072205B"/>
    <w:rsid w:val="0072234A"/>
    <w:rsid w:val="00722434"/>
    <w:rsid w:val="00722879"/>
    <w:rsid w:val="00722B64"/>
    <w:rsid w:val="00722EC2"/>
    <w:rsid w:val="00723070"/>
    <w:rsid w:val="0072346E"/>
    <w:rsid w:val="007234C3"/>
    <w:rsid w:val="00723AA6"/>
    <w:rsid w:val="007247B6"/>
    <w:rsid w:val="00724BD8"/>
    <w:rsid w:val="00724BDA"/>
    <w:rsid w:val="0072519E"/>
    <w:rsid w:val="007252ED"/>
    <w:rsid w:val="00725699"/>
    <w:rsid w:val="007259D4"/>
    <w:rsid w:val="00725E23"/>
    <w:rsid w:val="0072662D"/>
    <w:rsid w:val="00726F2F"/>
    <w:rsid w:val="00727034"/>
    <w:rsid w:val="00727119"/>
    <w:rsid w:val="00727683"/>
    <w:rsid w:val="0072768D"/>
    <w:rsid w:val="007279C3"/>
    <w:rsid w:val="007300C1"/>
    <w:rsid w:val="0073062C"/>
    <w:rsid w:val="007309AA"/>
    <w:rsid w:val="00730FBB"/>
    <w:rsid w:val="00731297"/>
    <w:rsid w:val="007313CA"/>
    <w:rsid w:val="00731793"/>
    <w:rsid w:val="00731E46"/>
    <w:rsid w:val="00732016"/>
    <w:rsid w:val="00732660"/>
    <w:rsid w:val="007327E2"/>
    <w:rsid w:val="007329F0"/>
    <w:rsid w:val="00733337"/>
    <w:rsid w:val="00734016"/>
    <w:rsid w:val="00734286"/>
    <w:rsid w:val="0073443E"/>
    <w:rsid w:val="0073444A"/>
    <w:rsid w:val="007344E0"/>
    <w:rsid w:val="007346CB"/>
    <w:rsid w:val="00734B22"/>
    <w:rsid w:val="00734B40"/>
    <w:rsid w:val="00734CEB"/>
    <w:rsid w:val="00734DA5"/>
    <w:rsid w:val="007358D7"/>
    <w:rsid w:val="007359FE"/>
    <w:rsid w:val="00735C1E"/>
    <w:rsid w:val="007360F9"/>
    <w:rsid w:val="00737000"/>
    <w:rsid w:val="007405F3"/>
    <w:rsid w:val="00740AA2"/>
    <w:rsid w:val="00740B24"/>
    <w:rsid w:val="00740F3F"/>
    <w:rsid w:val="0074141E"/>
    <w:rsid w:val="007415CB"/>
    <w:rsid w:val="00741DA1"/>
    <w:rsid w:val="00741DA8"/>
    <w:rsid w:val="00742297"/>
    <w:rsid w:val="007422AA"/>
    <w:rsid w:val="00742675"/>
    <w:rsid w:val="007431DB"/>
    <w:rsid w:val="00743B83"/>
    <w:rsid w:val="00743F3C"/>
    <w:rsid w:val="00744039"/>
    <w:rsid w:val="0074464F"/>
    <w:rsid w:val="00744695"/>
    <w:rsid w:val="00745059"/>
    <w:rsid w:val="007451E5"/>
    <w:rsid w:val="00745E5D"/>
    <w:rsid w:val="007462DB"/>
    <w:rsid w:val="00746533"/>
    <w:rsid w:val="007468C0"/>
    <w:rsid w:val="00746CAE"/>
    <w:rsid w:val="007472F1"/>
    <w:rsid w:val="007475BD"/>
    <w:rsid w:val="00747602"/>
    <w:rsid w:val="007478A5"/>
    <w:rsid w:val="0074F413"/>
    <w:rsid w:val="007502D8"/>
    <w:rsid w:val="00750399"/>
    <w:rsid w:val="0075083D"/>
    <w:rsid w:val="00750AEE"/>
    <w:rsid w:val="00750EDC"/>
    <w:rsid w:val="00751123"/>
    <w:rsid w:val="00751442"/>
    <w:rsid w:val="00751C08"/>
    <w:rsid w:val="00752F77"/>
    <w:rsid w:val="00753216"/>
    <w:rsid w:val="007535E7"/>
    <w:rsid w:val="007539EE"/>
    <w:rsid w:val="0075402E"/>
    <w:rsid w:val="0075415B"/>
    <w:rsid w:val="0075436C"/>
    <w:rsid w:val="0075460B"/>
    <w:rsid w:val="00754874"/>
    <w:rsid w:val="00754ACC"/>
    <w:rsid w:val="00754B7C"/>
    <w:rsid w:val="00755137"/>
    <w:rsid w:val="00755485"/>
    <w:rsid w:val="00756B1E"/>
    <w:rsid w:val="00757329"/>
    <w:rsid w:val="007573D1"/>
    <w:rsid w:val="0075748D"/>
    <w:rsid w:val="007578CC"/>
    <w:rsid w:val="00757B90"/>
    <w:rsid w:val="007605BB"/>
    <w:rsid w:val="0076094B"/>
    <w:rsid w:val="00760F9A"/>
    <w:rsid w:val="0076136B"/>
    <w:rsid w:val="007618BC"/>
    <w:rsid w:val="00761F60"/>
    <w:rsid w:val="00762018"/>
    <w:rsid w:val="0076206B"/>
    <w:rsid w:val="00762B8C"/>
    <w:rsid w:val="00762F96"/>
    <w:rsid w:val="00762FAA"/>
    <w:rsid w:val="00763C6D"/>
    <w:rsid w:val="00763D09"/>
    <w:rsid w:val="00763ECE"/>
    <w:rsid w:val="00763F01"/>
    <w:rsid w:val="0076415C"/>
    <w:rsid w:val="007641D6"/>
    <w:rsid w:val="00764A10"/>
    <w:rsid w:val="00764D16"/>
    <w:rsid w:val="00764EAD"/>
    <w:rsid w:val="00764FC0"/>
    <w:rsid w:val="007664EB"/>
    <w:rsid w:val="00766529"/>
    <w:rsid w:val="00766B60"/>
    <w:rsid w:val="007670A4"/>
    <w:rsid w:val="0076711A"/>
    <w:rsid w:val="00767510"/>
    <w:rsid w:val="007676FE"/>
    <w:rsid w:val="00767CA3"/>
    <w:rsid w:val="00767DF2"/>
    <w:rsid w:val="00767E8B"/>
    <w:rsid w:val="00767FED"/>
    <w:rsid w:val="007700E3"/>
    <w:rsid w:val="0077031F"/>
    <w:rsid w:val="00770393"/>
    <w:rsid w:val="007707E0"/>
    <w:rsid w:val="007708CE"/>
    <w:rsid w:val="007709CA"/>
    <w:rsid w:val="00770B0A"/>
    <w:rsid w:val="00771090"/>
    <w:rsid w:val="0077134C"/>
    <w:rsid w:val="0077216A"/>
    <w:rsid w:val="007724A7"/>
    <w:rsid w:val="00772800"/>
    <w:rsid w:val="007729D8"/>
    <w:rsid w:val="00772BA7"/>
    <w:rsid w:val="00772BA9"/>
    <w:rsid w:val="00772F12"/>
    <w:rsid w:val="007732AD"/>
    <w:rsid w:val="00773445"/>
    <w:rsid w:val="007735D0"/>
    <w:rsid w:val="00773726"/>
    <w:rsid w:val="00773A18"/>
    <w:rsid w:val="00773B81"/>
    <w:rsid w:val="00773C00"/>
    <w:rsid w:val="00774204"/>
    <w:rsid w:val="007749C3"/>
    <w:rsid w:val="007752DC"/>
    <w:rsid w:val="0077580C"/>
    <w:rsid w:val="00775F74"/>
    <w:rsid w:val="00775F86"/>
    <w:rsid w:val="00776157"/>
    <w:rsid w:val="007779B3"/>
    <w:rsid w:val="00780009"/>
    <w:rsid w:val="0078033B"/>
    <w:rsid w:val="00780363"/>
    <w:rsid w:val="00780C6B"/>
    <w:rsid w:val="00781471"/>
    <w:rsid w:val="00781688"/>
    <w:rsid w:val="00781FA9"/>
    <w:rsid w:val="00782597"/>
    <w:rsid w:val="00782782"/>
    <w:rsid w:val="00782A8C"/>
    <w:rsid w:val="00782F5E"/>
    <w:rsid w:val="007832BC"/>
    <w:rsid w:val="007833FB"/>
    <w:rsid w:val="00783D9B"/>
    <w:rsid w:val="00783EF5"/>
    <w:rsid w:val="007842C8"/>
    <w:rsid w:val="0078458A"/>
    <w:rsid w:val="007846DF"/>
    <w:rsid w:val="0078572A"/>
    <w:rsid w:val="00785745"/>
    <w:rsid w:val="0078587E"/>
    <w:rsid w:val="00785896"/>
    <w:rsid w:val="00785912"/>
    <w:rsid w:val="00785D2D"/>
    <w:rsid w:val="0078606A"/>
    <w:rsid w:val="0078691D"/>
    <w:rsid w:val="007869D5"/>
    <w:rsid w:val="00786D14"/>
    <w:rsid w:val="0078727E"/>
    <w:rsid w:val="007875CA"/>
    <w:rsid w:val="0078768B"/>
    <w:rsid w:val="00787B82"/>
    <w:rsid w:val="00790255"/>
    <w:rsid w:val="00790372"/>
    <w:rsid w:val="00790CF9"/>
    <w:rsid w:val="00791039"/>
    <w:rsid w:val="00791D15"/>
    <w:rsid w:val="007932D2"/>
    <w:rsid w:val="0079354E"/>
    <w:rsid w:val="00793E7F"/>
    <w:rsid w:val="007940B2"/>
    <w:rsid w:val="00794A99"/>
    <w:rsid w:val="00794DB1"/>
    <w:rsid w:val="00795A69"/>
    <w:rsid w:val="00795AB5"/>
    <w:rsid w:val="00795C54"/>
    <w:rsid w:val="00795F7D"/>
    <w:rsid w:val="00796306"/>
    <w:rsid w:val="00796708"/>
    <w:rsid w:val="00796EEA"/>
    <w:rsid w:val="00797B87"/>
    <w:rsid w:val="00797E60"/>
    <w:rsid w:val="007A01CC"/>
    <w:rsid w:val="007A02EA"/>
    <w:rsid w:val="007A0568"/>
    <w:rsid w:val="007A06B1"/>
    <w:rsid w:val="007A0ADB"/>
    <w:rsid w:val="007A132A"/>
    <w:rsid w:val="007A1534"/>
    <w:rsid w:val="007A1D1A"/>
    <w:rsid w:val="007A219B"/>
    <w:rsid w:val="007A2471"/>
    <w:rsid w:val="007A268C"/>
    <w:rsid w:val="007A28D6"/>
    <w:rsid w:val="007A2B37"/>
    <w:rsid w:val="007A34FD"/>
    <w:rsid w:val="007A3C87"/>
    <w:rsid w:val="007A435D"/>
    <w:rsid w:val="007A488E"/>
    <w:rsid w:val="007A4AAB"/>
    <w:rsid w:val="007A4E89"/>
    <w:rsid w:val="007A52DC"/>
    <w:rsid w:val="007A5EBD"/>
    <w:rsid w:val="007A5F3B"/>
    <w:rsid w:val="007A61B8"/>
    <w:rsid w:val="007A6375"/>
    <w:rsid w:val="007A641C"/>
    <w:rsid w:val="007A737D"/>
    <w:rsid w:val="007A738E"/>
    <w:rsid w:val="007A79B8"/>
    <w:rsid w:val="007A79FA"/>
    <w:rsid w:val="007A7BED"/>
    <w:rsid w:val="007B0E8B"/>
    <w:rsid w:val="007B0EEB"/>
    <w:rsid w:val="007B0F5F"/>
    <w:rsid w:val="007B1639"/>
    <w:rsid w:val="007B1F0F"/>
    <w:rsid w:val="007B2389"/>
    <w:rsid w:val="007B25A1"/>
    <w:rsid w:val="007B2769"/>
    <w:rsid w:val="007B2B69"/>
    <w:rsid w:val="007B2B8C"/>
    <w:rsid w:val="007B2F15"/>
    <w:rsid w:val="007B336F"/>
    <w:rsid w:val="007B37FD"/>
    <w:rsid w:val="007B3851"/>
    <w:rsid w:val="007B3EBE"/>
    <w:rsid w:val="007B4596"/>
    <w:rsid w:val="007B487E"/>
    <w:rsid w:val="007B4A45"/>
    <w:rsid w:val="007B52F3"/>
    <w:rsid w:val="007B5E87"/>
    <w:rsid w:val="007B60B3"/>
    <w:rsid w:val="007B66AF"/>
    <w:rsid w:val="007B66C4"/>
    <w:rsid w:val="007B6700"/>
    <w:rsid w:val="007B7454"/>
    <w:rsid w:val="007B7595"/>
    <w:rsid w:val="007B763E"/>
    <w:rsid w:val="007B77FB"/>
    <w:rsid w:val="007B7EA4"/>
    <w:rsid w:val="007C07EE"/>
    <w:rsid w:val="007C0980"/>
    <w:rsid w:val="007C119A"/>
    <w:rsid w:val="007C11A3"/>
    <w:rsid w:val="007C12E0"/>
    <w:rsid w:val="007C165F"/>
    <w:rsid w:val="007C16A6"/>
    <w:rsid w:val="007C19C9"/>
    <w:rsid w:val="007C1DE6"/>
    <w:rsid w:val="007C2087"/>
    <w:rsid w:val="007C2FF2"/>
    <w:rsid w:val="007C333F"/>
    <w:rsid w:val="007C370A"/>
    <w:rsid w:val="007C3A31"/>
    <w:rsid w:val="007C4174"/>
    <w:rsid w:val="007C47ED"/>
    <w:rsid w:val="007C4811"/>
    <w:rsid w:val="007C4B8D"/>
    <w:rsid w:val="007C4C02"/>
    <w:rsid w:val="007C4D52"/>
    <w:rsid w:val="007C4F07"/>
    <w:rsid w:val="007C513A"/>
    <w:rsid w:val="007C5BC4"/>
    <w:rsid w:val="007C60B2"/>
    <w:rsid w:val="007C63F5"/>
    <w:rsid w:val="007C644A"/>
    <w:rsid w:val="007C649E"/>
    <w:rsid w:val="007C64FD"/>
    <w:rsid w:val="007C66ED"/>
    <w:rsid w:val="007C6D92"/>
    <w:rsid w:val="007C70EB"/>
    <w:rsid w:val="007C7A6A"/>
    <w:rsid w:val="007C7D06"/>
    <w:rsid w:val="007D0128"/>
    <w:rsid w:val="007D01F6"/>
    <w:rsid w:val="007D0591"/>
    <w:rsid w:val="007D0A7A"/>
    <w:rsid w:val="007D0C93"/>
    <w:rsid w:val="007D1018"/>
    <w:rsid w:val="007D1592"/>
    <w:rsid w:val="007D181E"/>
    <w:rsid w:val="007D1E00"/>
    <w:rsid w:val="007D2333"/>
    <w:rsid w:val="007D24F6"/>
    <w:rsid w:val="007D29DB"/>
    <w:rsid w:val="007D2A50"/>
    <w:rsid w:val="007D2C12"/>
    <w:rsid w:val="007D2E01"/>
    <w:rsid w:val="007D375A"/>
    <w:rsid w:val="007D3909"/>
    <w:rsid w:val="007D3DFE"/>
    <w:rsid w:val="007D3E57"/>
    <w:rsid w:val="007D3EF4"/>
    <w:rsid w:val="007D4C0D"/>
    <w:rsid w:val="007D4CEC"/>
    <w:rsid w:val="007D5BD0"/>
    <w:rsid w:val="007D5C5C"/>
    <w:rsid w:val="007D5DB2"/>
    <w:rsid w:val="007D61AF"/>
    <w:rsid w:val="007D6778"/>
    <w:rsid w:val="007D69D5"/>
    <w:rsid w:val="007D6DA5"/>
    <w:rsid w:val="007D6FA9"/>
    <w:rsid w:val="007D753B"/>
    <w:rsid w:val="007D77D6"/>
    <w:rsid w:val="007E03E3"/>
    <w:rsid w:val="007E0669"/>
    <w:rsid w:val="007E066D"/>
    <w:rsid w:val="007E1164"/>
    <w:rsid w:val="007E17AA"/>
    <w:rsid w:val="007E1D05"/>
    <w:rsid w:val="007E1F57"/>
    <w:rsid w:val="007E29E8"/>
    <w:rsid w:val="007E2D50"/>
    <w:rsid w:val="007E2FD2"/>
    <w:rsid w:val="007E3232"/>
    <w:rsid w:val="007E3273"/>
    <w:rsid w:val="007E33F8"/>
    <w:rsid w:val="007E364A"/>
    <w:rsid w:val="007E3DCE"/>
    <w:rsid w:val="007E4DBA"/>
    <w:rsid w:val="007E5C7F"/>
    <w:rsid w:val="007E5CD8"/>
    <w:rsid w:val="007E628E"/>
    <w:rsid w:val="007E63BB"/>
    <w:rsid w:val="007E673B"/>
    <w:rsid w:val="007E7515"/>
    <w:rsid w:val="007E76EC"/>
    <w:rsid w:val="007E7C1E"/>
    <w:rsid w:val="007E7C99"/>
    <w:rsid w:val="007E7C9E"/>
    <w:rsid w:val="007E7DB2"/>
    <w:rsid w:val="007E7E7B"/>
    <w:rsid w:val="007F01D8"/>
    <w:rsid w:val="007F0300"/>
    <w:rsid w:val="007F0377"/>
    <w:rsid w:val="007F0885"/>
    <w:rsid w:val="007F0F9F"/>
    <w:rsid w:val="007F1255"/>
    <w:rsid w:val="007F14DC"/>
    <w:rsid w:val="007F1919"/>
    <w:rsid w:val="007F192C"/>
    <w:rsid w:val="007F1F57"/>
    <w:rsid w:val="007F27BB"/>
    <w:rsid w:val="007F284D"/>
    <w:rsid w:val="007F30E7"/>
    <w:rsid w:val="007F36A8"/>
    <w:rsid w:val="007F3816"/>
    <w:rsid w:val="007F3B4B"/>
    <w:rsid w:val="007F45AB"/>
    <w:rsid w:val="007F4657"/>
    <w:rsid w:val="007F47B5"/>
    <w:rsid w:val="007F48C9"/>
    <w:rsid w:val="007F499D"/>
    <w:rsid w:val="007F4B72"/>
    <w:rsid w:val="007F4F38"/>
    <w:rsid w:val="007F5490"/>
    <w:rsid w:val="007F5D4F"/>
    <w:rsid w:val="007F5F98"/>
    <w:rsid w:val="007F633F"/>
    <w:rsid w:val="007F63A8"/>
    <w:rsid w:val="007F7345"/>
    <w:rsid w:val="00800DD1"/>
    <w:rsid w:val="0080177C"/>
    <w:rsid w:val="008017DF"/>
    <w:rsid w:val="00801B87"/>
    <w:rsid w:val="00802702"/>
    <w:rsid w:val="00802862"/>
    <w:rsid w:val="008032F2"/>
    <w:rsid w:val="00803501"/>
    <w:rsid w:val="00803564"/>
    <w:rsid w:val="0080380A"/>
    <w:rsid w:val="0080390C"/>
    <w:rsid w:val="00803F29"/>
    <w:rsid w:val="008043B8"/>
    <w:rsid w:val="0080483D"/>
    <w:rsid w:val="008049C6"/>
    <w:rsid w:val="00804B84"/>
    <w:rsid w:val="008051E8"/>
    <w:rsid w:val="00805312"/>
    <w:rsid w:val="00805561"/>
    <w:rsid w:val="00805F8B"/>
    <w:rsid w:val="008060D4"/>
    <w:rsid w:val="00806249"/>
    <w:rsid w:val="0080639D"/>
    <w:rsid w:val="008065FD"/>
    <w:rsid w:val="0080685A"/>
    <w:rsid w:val="008068C0"/>
    <w:rsid w:val="00806B5D"/>
    <w:rsid w:val="00807651"/>
    <w:rsid w:val="008079D6"/>
    <w:rsid w:val="00807DAE"/>
    <w:rsid w:val="00807E2A"/>
    <w:rsid w:val="00807FB6"/>
    <w:rsid w:val="008100CE"/>
    <w:rsid w:val="008101F0"/>
    <w:rsid w:val="008102E4"/>
    <w:rsid w:val="0081037D"/>
    <w:rsid w:val="00810F5A"/>
    <w:rsid w:val="0081123B"/>
    <w:rsid w:val="00811984"/>
    <w:rsid w:val="00811A65"/>
    <w:rsid w:val="0081237D"/>
    <w:rsid w:val="00812C4F"/>
    <w:rsid w:val="00812C69"/>
    <w:rsid w:val="0081343C"/>
    <w:rsid w:val="008135D1"/>
    <w:rsid w:val="0081395F"/>
    <w:rsid w:val="00813ADD"/>
    <w:rsid w:val="00813EE7"/>
    <w:rsid w:val="0081409B"/>
    <w:rsid w:val="008141AC"/>
    <w:rsid w:val="00814DC3"/>
    <w:rsid w:val="0081502D"/>
    <w:rsid w:val="00815188"/>
    <w:rsid w:val="00815496"/>
    <w:rsid w:val="00815C5C"/>
    <w:rsid w:val="00815F7F"/>
    <w:rsid w:val="00816002"/>
    <w:rsid w:val="008163BD"/>
    <w:rsid w:val="00816454"/>
    <w:rsid w:val="008164C4"/>
    <w:rsid w:val="00816952"/>
    <w:rsid w:val="00816CB0"/>
    <w:rsid w:val="00816D9C"/>
    <w:rsid w:val="00817041"/>
    <w:rsid w:val="00817089"/>
    <w:rsid w:val="008170FC"/>
    <w:rsid w:val="008171E6"/>
    <w:rsid w:val="008174F1"/>
    <w:rsid w:val="0081762A"/>
    <w:rsid w:val="00817FC7"/>
    <w:rsid w:val="00820044"/>
    <w:rsid w:val="008200E9"/>
    <w:rsid w:val="008206E6"/>
    <w:rsid w:val="008206EA"/>
    <w:rsid w:val="00820C94"/>
    <w:rsid w:val="00820E02"/>
    <w:rsid w:val="00820FA0"/>
    <w:rsid w:val="00821121"/>
    <w:rsid w:val="00821363"/>
    <w:rsid w:val="00822088"/>
    <w:rsid w:val="008223E3"/>
    <w:rsid w:val="0082317D"/>
    <w:rsid w:val="00823680"/>
    <w:rsid w:val="00823914"/>
    <w:rsid w:val="00823E24"/>
    <w:rsid w:val="00823F06"/>
    <w:rsid w:val="00824114"/>
    <w:rsid w:val="00824308"/>
    <w:rsid w:val="008245F8"/>
    <w:rsid w:val="0082486D"/>
    <w:rsid w:val="00824D8B"/>
    <w:rsid w:val="00824E8C"/>
    <w:rsid w:val="00824FA4"/>
    <w:rsid w:val="00824FDE"/>
    <w:rsid w:val="00825B79"/>
    <w:rsid w:val="00825B91"/>
    <w:rsid w:val="00825F00"/>
    <w:rsid w:val="00825F21"/>
    <w:rsid w:val="00826434"/>
    <w:rsid w:val="0082647D"/>
    <w:rsid w:val="008269C0"/>
    <w:rsid w:val="00826AF2"/>
    <w:rsid w:val="00826DBC"/>
    <w:rsid w:val="008270D1"/>
    <w:rsid w:val="00827386"/>
    <w:rsid w:val="00827CF9"/>
    <w:rsid w:val="00827D18"/>
    <w:rsid w:val="008304A5"/>
    <w:rsid w:val="00830D42"/>
    <w:rsid w:val="00831240"/>
    <w:rsid w:val="0083180D"/>
    <w:rsid w:val="008319BA"/>
    <w:rsid w:val="00832A09"/>
    <w:rsid w:val="00832DE4"/>
    <w:rsid w:val="00832E4C"/>
    <w:rsid w:val="00833128"/>
    <w:rsid w:val="00833689"/>
    <w:rsid w:val="0083479D"/>
    <w:rsid w:val="00834A97"/>
    <w:rsid w:val="008350D4"/>
    <w:rsid w:val="00835550"/>
    <w:rsid w:val="008359AA"/>
    <w:rsid w:val="00835B40"/>
    <w:rsid w:val="00836200"/>
    <w:rsid w:val="00836F1F"/>
    <w:rsid w:val="008374A1"/>
    <w:rsid w:val="008378E6"/>
    <w:rsid w:val="008400EF"/>
    <w:rsid w:val="00840351"/>
    <w:rsid w:val="00840696"/>
    <w:rsid w:val="00840BAF"/>
    <w:rsid w:val="008411BD"/>
    <w:rsid w:val="008413DF"/>
    <w:rsid w:val="00841517"/>
    <w:rsid w:val="0084153F"/>
    <w:rsid w:val="00841B23"/>
    <w:rsid w:val="00842475"/>
    <w:rsid w:val="00842945"/>
    <w:rsid w:val="00842A09"/>
    <w:rsid w:val="00842D48"/>
    <w:rsid w:val="008431E6"/>
    <w:rsid w:val="00843299"/>
    <w:rsid w:val="008435AD"/>
    <w:rsid w:val="0084382A"/>
    <w:rsid w:val="00843D74"/>
    <w:rsid w:val="00843DFE"/>
    <w:rsid w:val="008445F3"/>
    <w:rsid w:val="008446F3"/>
    <w:rsid w:val="00844D85"/>
    <w:rsid w:val="008456E5"/>
    <w:rsid w:val="008457C4"/>
    <w:rsid w:val="00845931"/>
    <w:rsid w:val="00845ADE"/>
    <w:rsid w:val="0084650D"/>
    <w:rsid w:val="008466A2"/>
    <w:rsid w:val="00846CD6"/>
    <w:rsid w:val="00846F25"/>
    <w:rsid w:val="008472E9"/>
    <w:rsid w:val="00847D6B"/>
    <w:rsid w:val="00850246"/>
    <w:rsid w:val="008504C0"/>
    <w:rsid w:val="008504ED"/>
    <w:rsid w:val="00850B30"/>
    <w:rsid w:val="008511A3"/>
    <w:rsid w:val="008511F9"/>
    <w:rsid w:val="00851A03"/>
    <w:rsid w:val="00851BD4"/>
    <w:rsid w:val="00851E38"/>
    <w:rsid w:val="00852012"/>
    <w:rsid w:val="008530BF"/>
    <w:rsid w:val="008533B6"/>
    <w:rsid w:val="00853887"/>
    <w:rsid w:val="00853C5E"/>
    <w:rsid w:val="00853D6D"/>
    <w:rsid w:val="00853D81"/>
    <w:rsid w:val="00854222"/>
    <w:rsid w:val="00854254"/>
    <w:rsid w:val="00854579"/>
    <w:rsid w:val="008548A9"/>
    <w:rsid w:val="00854C60"/>
    <w:rsid w:val="0085569F"/>
    <w:rsid w:val="00855839"/>
    <w:rsid w:val="00855BAD"/>
    <w:rsid w:val="008563E6"/>
    <w:rsid w:val="008566E2"/>
    <w:rsid w:val="008567FB"/>
    <w:rsid w:val="00856FCD"/>
    <w:rsid w:val="0085713D"/>
    <w:rsid w:val="008576BC"/>
    <w:rsid w:val="00857B44"/>
    <w:rsid w:val="00857D7C"/>
    <w:rsid w:val="00857EE8"/>
    <w:rsid w:val="008601DD"/>
    <w:rsid w:val="00860437"/>
    <w:rsid w:val="00860735"/>
    <w:rsid w:val="0086075A"/>
    <w:rsid w:val="008607F8"/>
    <w:rsid w:val="00860BC1"/>
    <w:rsid w:val="008614DC"/>
    <w:rsid w:val="008615FE"/>
    <w:rsid w:val="008618B3"/>
    <w:rsid w:val="008618BC"/>
    <w:rsid w:val="00861A5F"/>
    <w:rsid w:val="00862028"/>
    <w:rsid w:val="00862283"/>
    <w:rsid w:val="00862358"/>
    <w:rsid w:val="00862690"/>
    <w:rsid w:val="00862A30"/>
    <w:rsid w:val="00862E5C"/>
    <w:rsid w:val="008636FD"/>
    <w:rsid w:val="00864D1D"/>
    <w:rsid w:val="00864F16"/>
    <w:rsid w:val="00865082"/>
    <w:rsid w:val="00865778"/>
    <w:rsid w:val="00865937"/>
    <w:rsid w:val="00866010"/>
    <w:rsid w:val="008663D0"/>
    <w:rsid w:val="00866C12"/>
    <w:rsid w:val="00866FEE"/>
    <w:rsid w:val="008671BB"/>
    <w:rsid w:val="0086747E"/>
    <w:rsid w:val="00867BD1"/>
    <w:rsid w:val="00870166"/>
    <w:rsid w:val="00870195"/>
    <w:rsid w:val="0087039C"/>
    <w:rsid w:val="0087043D"/>
    <w:rsid w:val="00870BDE"/>
    <w:rsid w:val="00870EE6"/>
    <w:rsid w:val="0087105B"/>
    <w:rsid w:val="008713D9"/>
    <w:rsid w:val="008714B8"/>
    <w:rsid w:val="00871B37"/>
    <w:rsid w:val="00872C6F"/>
    <w:rsid w:val="008732C1"/>
    <w:rsid w:val="008734A4"/>
    <w:rsid w:val="00873FF7"/>
    <w:rsid w:val="00874279"/>
    <w:rsid w:val="008742C4"/>
    <w:rsid w:val="00874594"/>
    <w:rsid w:val="00874597"/>
    <w:rsid w:val="00874974"/>
    <w:rsid w:val="00874DEE"/>
    <w:rsid w:val="00874FDE"/>
    <w:rsid w:val="00875632"/>
    <w:rsid w:val="00875BD9"/>
    <w:rsid w:val="00875DD0"/>
    <w:rsid w:val="008763D7"/>
    <w:rsid w:val="00877155"/>
    <w:rsid w:val="00877334"/>
    <w:rsid w:val="0087734D"/>
    <w:rsid w:val="00877721"/>
    <w:rsid w:val="0088017C"/>
    <w:rsid w:val="00880E52"/>
    <w:rsid w:val="00880F80"/>
    <w:rsid w:val="00881359"/>
    <w:rsid w:val="008815F2"/>
    <w:rsid w:val="00881C72"/>
    <w:rsid w:val="00881DD8"/>
    <w:rsid w:val="0088287A"/>
    <w:rsid w:val="00883297"/>
    <w:rsid w:val="00883653"/>
    <w:rsid w:val="00883712"/>
    <w:rsid w:val="00883751"/>
    <w:rsid w:val="00883854"/>
    <w:rsid w:val="00884B70"/>
    <w:rsid w:val="00884DB2"/>
    <w:rsid w:val="00884EDE"/>
    <w:rsid w:val="008855DE"/>
    <w:rsid w:val="00885AFA"/>
    <w:rsid w:val="0088605D"/>
    <w:rsid w:val="008868A4"/>
    <w:rsid w:val="00886A5C"/>
    <w:rsid w:val="00886C3A"/>
    <w:rsid w:val="00886D79"/>
    <w:rsid w:val="00887078"/>
    <w:rsid w:val="0088713D"/>
    <w:rsid w:val="008873B1"/>
    <w:rsid w:val="00887620"/>
    <w:rsid w:val="0088777B"/>
    <w:rsid w:val="008877E7"/>
    <w:rsid w:val="00887CCF"/>
    <w:rsid w:val="00887D52"/>
    <w:rsid w:val="00887F8B"/>
    <w:rsid w:val="00890529"/>
    <w:rsid w:val="00890546"/>
    <w:rsid w:val="00890708"/>
    <w:rsid w:val="008907BA"/>
    <w:rsid w:val="008908AD"/>
    <w:rsid w:val="008909CB"/>
    <w:rsid w:val="008915F7"/>
    <w:rsid w:val="008916CC"/>
    <w:rsid w:val="00891B35"/>
    <w:rsid w:val="008922D7"/>
    <w:rsid w:val="00892652"/>
    <w:rsid w:val="00892C0C"/>
    <w:rsid w:val="00892ED2"/>
    <w:rsid w:val="008931A9"/>
    <w:rsid w:val="008938AA"/>
    <w:rsid w:val="008939E7"/>
    <w:rsid w:val="00893AF3"/>
    <w:rsid w:val="00893D6B"/>
    <w:rsid w:val="0089438A"/>
    <w:rsid w:val="0089445C"/>
    <w:rsid w:val="00894662"/>
    <w:rsid w:val="0089520C"/>
    <w:rsid w:val="008957AE"/>
    <w:rsid w:val="00895AA3"/>
    <w:rsid w:val="00895AF5"/>
    <w:rsid w:val="00896061"/>
    <w:rsid w:val="00896213"/>
    <w:rsid w:val="0089631E"/>
    <w:rsid w:val="0089636A"/>
    <w:rsid w:val="0089652F"/>
    <w:rsid w:val="00896882"/>
    <w:rsid w:val="00896ACA"/>
    <w:rsid w:val="00896B4E"/>
    <w:rsid w:val="00896BB9"/>
    <w:rsid w:val="00896CCE"/>
    <w:rsid w:val="00896E62"/>
    <w:rsid w:val="00896E7A"/>
    <w:rsid w:val="00896EB7"/>
    <w:rsid w:val="00897134"/>
    <w:rsid w:val="00897309"/>
    <w:rsid w:val="00897500"/>
    <w:rsid w:val="0089755A"/>
    <w:rsid w:val="008975BB"/>
    <w:rsid w:val="00897C37"/>
    <w:rsid w:val="008A06CF"/>
    <w:rsid w:val="008A133B"/>
    <w:rsid w:val="008A1814"/>
    <w:rsid w:val="008A288C"/>
    <w:rsid w:val="008A2B45"/>
    <w:rsid w:val="008A3212"/>
    <w:rsid w:val="008A343A"/>
    <w:rsid w:val="008A36F4"/>
    <w:rsid w:val="008A3992"/>
    <w:rsid w:val="008A3AB9"/>
    <w:rsid w:val="008A44C0"/>
    <w:rsid w:val="008A4A64"/>
    <w:rsid w:val="008A5C3E"/>
    <w:rsid w:val="008A5D07"/>
    <w:rsid w:val="008A6179"/>
    <w:rsid w:val="008A6283"/>
    <w:rsid w:val="008A6E87"/>
    <w:rsid w:val="008A6F40"/>
    <w:rsid w:val="008A753F"/>
    <w:rsid w:val="008A762B"/>
    <w:rsid w:val="008A7657"/>
    <w:rsid w:val="008A7B4D"/>
    <w:rsid w:val="008A7BEB"/>
    <w:rsid w:val="008A7C3F"/>
    <w:rsid w:val="008B0416"/>
    <w:rsid w:val="008B12C5"/>
    <w:rsid w:val="008B163D"/>
    <w:rsid w:val="008B1C96"/>
    <w:rsid w:val="008B253F"/>
    <w:rsid w:val="008B2C82"/>
    <w:rsid w:val="008B2C83"/>
    <w:rsid w:val="008B2FEF"/>
    <w:rsid w:val="008B33AF"/>
    <w:rsid w:val="008B34D1"/>
    <w:rsid w:val="008B35B8"/>
    <w:rsid w:val="008B3CA3"/>
    <w:rsid w:val="008B3EFA"/>
    <w:rsid w:val="008B3FAD"/>
    <w:rsid w:val="008B4159"/>
    <w:rsid w:val="008B452C"/>
    <w:rsid w:val="008B4A6E"/>
    <w:rsid w:val="008B4E75"/>
    <w:rsid w:val="008B541A"/>
    <w:rsid w:val="008B54BA"/>
    <w:rsid w:val="008B572B"/>
    <w:rsid w:val="008B5F39"/>
    <w:rsid w:val="008B6235"/>
    <w:rsid w:val="008B62A0"/>
    <w:rsid w:val="008B652E"/>
    <w:rsid w:val="008B6EC9"/>
    <w:rsid w:val="008B7125"/>
    <w:rsid w:val="008B723A"/>
    <w:rsid w:val="008B7666"/>
    <w:rsid w:val="008B779A"/>
    <w:rsid w:val="008C032B"/>
    <w:rsid w:val="008C0832"/>
    <w:rsid w:val="008C0E83"/>
    <w:rsid w:val="008C0ED0"/>
    <w:rsid w:val="008C1007"/>
    <w:rsid w:val="008C1DAD"/>
    <w:rsid w:val="008C2459"/>
    <w:rsid w:val="008C2840"/>
    <w:rsid w:val="008C2EA6"/>
    <w:rsid w:val="008C3273"/>
    <w:rsid w:val="008C3509"/>
    <w:rsid w:val="008C3C60"/>
    <w:rsid w:val="008C4091"/>
    <w:rsid w:val="008C4136"/>
    <w:rsid w:val="008C42A6"/>
    <w:rsid w:val="008C4AB6"/>
    <w:rsid w:val="008C4AEE"/>
    <w:rsid w:val="008C4BFD"/>
    <w:rsid w:val="008C4FEC"/>
    <w:rsid w:val="008C53CC"/>
    <w:rsid w:val="008C542F"/>
    <w:rsid w:val="008C5551"/>
    <w:rsid w:val="008C5666"/>
    <w:rsid w:val="008C5CEC"/>
    <w:rsid w:val="008C5FC4"/>
    <w:rsid w:val="008C6C50"/>
    <w:rsid w:val="008C711C"/>
    <w:rsid w:val="008C7DE9"/>
    <w:rsid w:val="008C7FED"/>
    <w:rsid w:val="008D00B2"/>
    <w:rsid w:val="008D0935"/>
    <w:rsid w:val="008D095F"/>
    <w:rsid w:val="008D0D06"/>
    <w:rsid w:val="008D0D14"/>
    <w:rsid w:val="008D0F72"/>
    <w:rsid w:val="008D14EF"/>
    <w:rsid w:val="008D157A"/>
    <w:rsid w:val="008D1D19"/>
    <w:rsid w:val="008D1E47"/>
    <w:rsid w:val="008D2F4E"/>
    <w:rsid w:val="008D3437"/>
    <w:rsid w:val="008D354C"/>
    <w:rsid w:val="008D35A1"/>
    <w:rsid w:val="008D3BE6"/>
    <w:rsid w:val="008D3F7D"/>
    <w:rsid w:val="008D4452"/>
    <w:rsid w:val="008D4A48"/>
    <w:rsid w:val="008D4CE8"/>
    <w:rsid w:val="008D4DDA"/>
    <w:rsid w:val="008D5885"/>
    <w:rsid w:val="008D5BCC"/>
    <w:rsid w:val="008D60B3"/>
    <w:rsid w:val="008D6172"/>
    <w:rsid w:val="008D6355"/>
    <w:rsid w:val="008D638B"/>
    <w:rsid w:val="008D6461"/>
    <w:rsid w:val="008D67A4"/>
    <w:rsid w:val="008D6AEE"/>
    <w:rsid w:val="008D7560"/>
    <w:rsid w:val="008D7837"/>
    <w:rsid w:val="008D7EFF"/>
    <w:rsid w:val="008E0856"/>
    <w:rsid w:val="008E0CA9"/>
    <w:rsid w:val="008E1497"/>
    <w:rsid w:val="008E19F4"/>
    <w:rsid w:val="008E1BB3"/>
    <w:rsid w:val="008E21C2"/>
    <w:rsid w:val="008E285E"/>
    <w:rsid w:val="008E2C32"/>
    <w:rsid w:val="008E3173"/>
    <w:rsid w:val="008E40A6"/>
    <w:rsid w:val="008E4308"/>
    <w:rsid w:val="008E4429"/>
    <w:rsid w:val="008E4481"/>
    <w:rsid w:val="008E4DEE"/>
    <w:rsid w:val="008E54ED"/>
    <w:rsid w:val="008E5D3F"/>
    <w:rsid w:val="008E645A"/>
    <w:rsid w:val="008E6540"/>
    <w:rsid w:val="008E6577"/>
    <w:rsid w:val="008E6B59"/>
    <w:rsid w:val="008E715A"/>
    <w:rsid w:val="008E7178"/>
    <w:rsid w:val="008E7188"/>
    <w:rsid w:val="008E7257"/>
    <w:rsid w:val="008E749D"/>
    <w:rsid w:val="008E785F"/>
    <w:rsid w:val="008E799A"/>
    <w:rsid w:val="008E7A4C"/>
    <w:rsid w:val="008F0584"/>
    <w:rsid w:val="008F073F"/>
    <w:rsid w:val="008F0A8C"/>
    <w:rsid w:val="008F0E74"/>
    <w:rsid w:val="008F123A"/>
    <w:rsid w:val="008F1242"/>
    <w:rsid w:val="008F1BB9"/>
    <w:rsid w:val="008F202C"/>
    <w:rsid w:val="008F2075"/>
    <w:rsid w:val="008F248D"/>
    <w:rsid w:val="008F29E1"/>
    <w:rsid w:val="008F2BD4"/>
    <w:rsid w:val="008F2DB3"/>
    <w:rsid w:val="008F30A5"/>
    <w:rsid w:val="008F33B4"/>
    <w:rsid w:val="008F348B"/>
    <w:rsid w:val="008F3C6F"/>
    <w:rsid w:val="008F3F29"/>
    <w:rsid w:val="008F4121"/>
    <w:rsid w:val="008F4508"/>
    <w:rsid w:val="008F4987"/>
    <w:rsid w:val="008F4C1B"/>
    <w:rsid w:val="008F4CD9"/>
    <w:rsid w:val="008F54ED"/>
    <w:rsid w:val="008F5642"/>
    <w:rsid w:val="008F5A3B"/>
    <w:rsid w:val="008F5A44"/>
    <w:rsid w:val="008F5D0E"/>
    <w:rsid w:val="008F62C6"/>
    <w:rsid w:val="008F69A4"/>
    <w:rsid w:val="008F6A3B"/>
    <w:rsid w:val="008F6C11"/>
    <w:rsid w:val="008F7262"/>
    <w:rsid w:val="008F7600"/>
    <w:rsid w:val="008F7944"/>
    <w:rsid w:val="008F7E80"/>
    <w:rsid w:val="00900541"/>
    <w:rsid w:val="00900645"/>
    <w:rsid w:val="009009BB"/>
    <w:rsid w:val="00900DDD"/>
    <w:rsid w:val="00900FF8"/>
    <w:rsid w:val="009017A3"/>
    <w:rsid w:val="00901EC6"/>
    <w:rsid w:val="00902215"/>
    <w:rsid w:val="00902298"/>
    <w:rsid w:val="00902B81"/>
    <w:rsid w:val="00902CB3"/>
    <w:rsid w:val="0090304F"/>
    <w:rsid w:val="0090328D"/>
    <w:rsid w:val="0090355F"/>
    <w:rsid w:val="00904199"/>
    <w:rsid w:val="00904698"/>
    <w:rsid w:val="009047A0"/>
    <w:rsid w:val="009047FD"/>
    <w:rsid w:val="009048D6"/>
    <w:rsid w:val="00904F85"/>
    <w:rsid w:val="00905298"/>
    <w:rsid w:val="009057AD"/>
    <w:rsid w:val="00905BC7"/>
    <w:rsid w:val="00905C5B"/>
    <w:rsid w:val="00905EF5"/>
    <w:rsid w:val="00906139"/>
    <w:rsid w:val="0090623A"/>
    <w:rsid w:val="009063AE"/>
    <w:rsid w:val="00906881"/>
    <w:rsid w:val="00906CC2"/>
    <w:rsid w:val="00906E39"/>
    <w:rsid w:val="00906ECE"/>
    <w:rsid w:val="009073C4"/>
    <w:rsid w:val="00907424"/>
    <w:rsid w:val="00907A6E"/>
    <w:rsid w:val="00907D66"/>
    <w:rsid w:val="00907F88"/>
    <w:rsid w:val="0091029C"/>
    <w:rsid w:val="009105AC"/>
    <w:rsid w:val="00910625"/>
    <w:rsid w:val="00910627"/>
    <w:rsid w:val="0091064C"/>
    <w:rsid w:val="00910FEF"/>
    <w:rsid w:val="00911BC6"/>
    <w:rsid w:val="0091269A"/>
    <w:rsid w:val="009126FB"/>
    <w:rsid w:val="009127DE"/>
    <w:rsid w:val="0091290E"/>
    <w:rsid w:val="00912D1E"/>
    <w:rsid w:val="0091317A"/>
    <w:rsid w:val="00913513"/>
    <w:rsid w:val="0091363A"/>
    <w:rsid w:val="0091377C"/>
    <w:rsid w:val="00913FB8"/>
    <w:rsid w:val="0091429A"/>
    <w:rsid w:val="00914541"/>
    <w:rsid w:val="00914D7D"/>
    <w:rsid w:val="00914D7F"/>
    <w:rsid w:val="00914E1E"/>
    <w:rsid w:val="009156F4"/>
    <w:rsid w:val="0091583E"/>
    <w:rsid w:val="009158EF"/>
    <w:rsid w:val="00915940"/>
    <w:rsid w:val="00915F57"/>
    <w:rsid w:val="00916082"/>
    <w:rsid w:val="00916A1C"/>
    <w:rsid w:val="00916A2E"/>
    <w:rsid w:val="009176E7"/>
    <w:rsid w:val="00917E21"/>
    <w:rsid w:val="00917FF4"/>
    <w:rsid w:val="00920108"/>
    <w:rsid w:val="00920211"/>
    <w:rsid w:val="009205C8"/>
    <w:rsid w:val="009208D3"/>
    <w:rsid w:val="00920AF4"/>
    <w:rsid w:val="00920D51"/>
    <w:rsid w:val="0092104C"/>
    <w:rsid w:val="0092112B"/>
    <w:rsid w:val="009212C3"/>
    <w:rsid w:val="009213A3"/>
    <w:rsid w:val="00921B36"/>
    <w:rsid w:val="0092201A"/>
    <w:rsid w:val="009220AC"/>
    <w:rsid w:val="0092233A"/>
    <w:rsid w:val="00922706"/>
    <w:rsid w:val="00922FC1"/>
    <w:rsid w:val="0092367C"/>
    <w:rsid w:val="0092367E"/>
    <w:rsid w:val="00923B98"/>
    <w:rsid w:val="00923C33"/>
    <w:rsid w:val="0092401F"/>
    <w:rsid w:val="009240AA"/>
    <w:rsid w:val="00924640"/>
    <w:rsid w:val="0092480B"/>
    <w:rsid w:val="00924B82"/>
    <w:rsid w:val="00924F90"/>
    <w:rsid w:val="009256E4"/>
    <w:rsid w:val="00925F97"/>
    <w:rsid w:val="00926289"/>
    <w:rsid w:val="00926477"/>
    <w:rsid w:val="00926E91"/>
    <w:rsid w:val="00926FB1"/>
    <w:rsid w:val="0092768B"/>
    <w:rsid w:val="00927B93"/>
    <w:rsid w:val="0093018E"/>
    <w:rsid w:val="00930287"/>
    <w:rsid w:val="009305D9"/>
    <w:rsid w:val="009306EF"/>
    <w:rsid w:val="009313C8"/>
    <w:rsid w:val="009314AA"/>
    <w:rsid w:val="009325CD"/>
    <w:rsid w:val="009327BB"/>
    <w:rsid w:val="00932FBF"/>
    <w:rsid w:val="00933927"/>
    <w:rsid w:val="00933AD5"/>
    <w:rsid w:val="0093476F"/>
    <w:rsid w:val="00934EEE"/>
    <w:rsid w:val="0093571B"/>
    <w:rsid w:val="00935813"/>
    <w:rsid w:val="00935AB0"/>
    <w:rsid w:val="00936227"/>
    <w:rsid w:val="009365EA"/>
    <w:rsid w:val="00936739"/>
    <w:rsid w:val="009368D0"/>
    <w:rsid w:val="00936931"/>
    <w:rsid w:val="00936A62"/>
    <w:rsid w:val="00936E53"/>
    <w:rsid w:val="0093776E"/>
    <w:rsid w:val="00937FF7"/>
    <w:rsid w:val="00940533"/>
    <w:rsid w:val="00940643"/>
    <w:rsid w:val="00940C33"/>
    <w:rsid w:val="00940FF4"/>
    <w:rsid w:val="00941340"/>
    <w:rsid w:val="00941499"/>
    <w:rsid w:val="00941686"/>
    <w:rsid w:val="00942A9B"/>
    <w:rsid w:val="00942B5F"/>
    <w:rsid w:val="00943276"/>
    <w:rsid w:val="00943296"/>
    <w:rsid w:val="00943E45"/>
    <w:rsid w:val="00943FBE"/>
    <w:rsid w:val="00944691"/>
    <w:rsid w:val="009446B2"/>
    <w:rsid w:val="00944820"/>
    <w:rsid w:val="00944E68"/>
    <w:rsid w:val="00944F7C"/>
    <w:rsid w:val="00945182"/>
    <w:rsid w:val="00945A2A"/>
    <w:rsid w:val="009460E7"/>
    <w:rsid w:val="00946502"/>
    <w:rsid w:val="00946C03"/>
    <w:rsid w:val="00947293"/>
    <w:rsid w:val="00947316"/>
    <w:rsid w:val="00947D4C"/>
    <w:rsid w:val="00947F3E"/>
    <w:rsid w:val="00950243"/>
    <w:rsid w:val="0095026B"/>
    <w:rsid w:val="00950480"/>
    <w:rsid w:val="009517A5"/>
    <w:rsid w:val="009519C0"/>
    <w:rsid w:val="0095279D"/>
    <w:rsid w:val="00952FB1"/>
    <w:rsid w:val="00953168"/>
    <w:rsid w:val="00953549"/>
    <w:rsid w:val="00953D8A"/>
    <w:rsid w:val="00954AB9"/>
    <w:rsid w:val="00954FBF"/>
    <w:rsid w:val="009560F0"/>
    <w:rsid w:val="009564D5"/>
    <w:rsid w:val="00956898"/>
    <w:rsid w:val="00956B79"/>
    <w:rsid w:val="00956BAD"/>
    <w:rsid w:val="00956C0E"/>
    <w:rsid w:val="00956E67"/>
    <w:rsid w:val="00957148"/>
    <w:rsid w:val="00957211"/>
    <w:rsid w:val="0095734B"/>
    <w:rsid w:val="0095743E"/>
    <w:rsid w:val="0095790E"/>
    <w:rsid w:val="00957DD1"/>
    <w:rsid w:val="0096075A"/>
    <w:rsid w:val="00960C97"/>
    <w:rsid w:val="0096160C"/>
    <w:rsid w:val="00961902"/>
    <w:rsid w:val="0096211A"/>
    <w:rsid w:val="009622A1"/>
    <w:rsid w:val="00962705"/>
    <w:rsid w:val="00962827"/>
    <w:rsid w:val="00962886"/>
    <w:rsid w:val="00962CA4"/>
    <w:rsid w:val="00962D08"/>
    <w:rsid w:val="00963059"/>
    <w:rsid w:val="009632B6"/>
    <w:rsid w:val="009632D6"/>
    <w:rsid w:val="0096330C"/>
    <w:rsid w:val="0096379B"/>
    <w:rsid w:val="00963B4F"/>
    <w:rsid w:val="00964174"/>
    <w:rsid w:val="009649E6"/>
    <w:rsid w:val="00964ABC"/>
    <w:rsid w:val="00964D11"/>
    <w:rsid w:val="009660DD"/>
    <w:rsid w:val="00966152"/>
    <w:rsid w:val="0096688A"/>
    <w:rsid w:val="009669E8"/>
    <w:rsid w:val="00966AD4"/>
    <w:rsid w:val="00966C95"/>
    <w:rsid w:val="009671D3"/>
    <w:rsid w:val="00967816"/>
    <w:rsid w:val="00967C69"/>
    <w:rsid w:val="009701C5"/>
    <w:rsid w:val="009704FE"/>
    <w:rsid w:val="009709B3"/>
    <w:rsid w:val="00970E92"/>
    <w:rsid w:val="009715F6"/>
    <w:rsid w:val="00971600"/>
    <w:rsid w:val="009716FB"/>
    <w:rsid w:val="00971D02"/>
    <w:rsid w:val="0097210F"/>
    <w:rsid w:val="0097248F"/>
    <w:rsid w:val="00972588"/>
    <w:rsid w:val="009725E9"/>
    <w:rsid w:val="009728A1"/>
    <w:rsid w:val="00972F6B"/>
    <w:rsid w:val="00973223"/>
    <w:rsid w:val="009734AB"/>
    <w:rsid w:val="00973578"/>
    <w:rsid w:val="00973ADE"/>
    <w:rsid w:val="00973CEB"/>
    <w:rsid w:val="00973E25"/>
    <w:rsid w:val="009741BA"/>
    <w:rsid w:val="00974674"/>
    <w:rsid w:val="00974851"/>
    <w:rsid w:val="009749A8"/>
    <w:rsid w:val="00974D8D"/>
    <w:rsid w:val="009757DE"/>
    <w:rsid w:val="0097608A"/>
    <w:rsid w:val="009766F7"/>
    <w:rsid w:val="00976DBE"/>
    <w:rsid w:val="00976DCE"/>
    <w:rsid w:val="00977744"/>
    <w:rsid w:val="00977B11"/>
    <w:rsid w:val="00980002"/>
    <w:rsid w:val="00980B54"/>
    <w:rsid w:val="0098105E"/>
    <w:rsid w:val="009810E4"/>
    <w:rsid w:val="009817BB"/>
    <w:rsid w:val="00981824"/>
    <w:rsid w:val="00981D10"/>
    <w:rsid w:val="00981D79"/>
    <w:rsid w:val="00982883"/>
    <w:rsid w:val="00982AA6"/>
    <w:rsid w:val="00983107"/>
    <w:rsid w:val="0098319B"/>
    <w:rsid w:val="00983D20"/>
    <w:rsid w:val="00984661"/>
    <w:rsid w:val="0098471E"/>
    <w:rsid w:val="00984DA8"/>
    <w:rsid w:val="00984E2E"/>
    <w:rsid w:val="00984FB7"/>
    <w:rsid w:val="0098541A"/>
    <w:rsid w:val="00985592"/>
    <w:rsid w:val="00985684"/>
    <w:rsid w:val="00985715"/>
    <w:rsid w:val="00985A83"/>
    <w:rsid w:val="00985B1B"/>
    <w:rsid w:val="00985B4E"/>
    <w:rsid w:val="00986189"/>
    <w:rsid w:val="00986365"/>
    <w:rsid w:val="00986B16"/>
    <w:rsid w:val="00986C31"/>
    <w:rsid w:val="0098766B"/>
    <w:rsid w:val="00987DA9"/>
    <w:rsid w:val="009902C4"/>
    <w:rsid w:val="0099033D"/>
    <w:rsid w:val="00990838"/>
    <w:rsid w:val="00990937"/>
    <w:rsid w:val="00990ABC"/>
    <w:rsid w:val="0099164F"/>
    <w:rsid w:val="0099179C"/>
    <w:rsid w:val="0099206D"/>
    <w:rsid w:val="00992208"/>
    <w:rsid w:val="009924D5"/>
    <w:rsid w:val="009929B6"/>
    <w:rsid w:val="00992CD9"/>
    <w:rsid w:val="00992F28"/>
    <w:rsid w:val="00993558"/>
    <w:rsid w:val="0099374B"/>
    <w:rsid w:val="009941F7"/>
    <w:rsid w:val="009949E5"/>
    <w:rsid w:val="00994FD6"/>
    <w:rsid w:val="00995107"/>
    <w:rsid w:val="0099574A"/>
    <w:rsid w:val="0099633B"/>
    <w:rsid w:val="00996771"/>
    <w:rsid w:val="00997087"/>
    <w:rsid w:val="0099714C"/>
    <w:rsid w:val="009977F5"/>
    <w:rsid w:val="00997898"/>
    <w:rsid w:val="009A01FF"/>
    <w:rsid w:val="009A02A1"/>
    <w:rsid w:val="009A0351"/>
    <w:rsid w:val="009A036B"/>
    <w:rsid w:val="009A03CD"/>
    <w:rsid w:val="009A049B"/>
    <w:rsid w:val="009A0762"/>
    <w:rsid w:val="009A0A04"/>
    <w:rsid w:val="009A0DA2"/>
    <w:rsid w:val="009A1437"/>
    <w:rsid w:val="009A168D"/>
    <w:rsid w:val="009A1F42"/>
    <w:rsid w:val="009A1FC0"/>
    <w:rsid w:val="009A229F"/>
    <w:rsid w:val="009A262D"/>
    <w:rsid w:val="009A26AD"/>
    <w:rsid w:val="009A2BE7"/>
    <w:rsid w:val="009A33F0"/>
    <w:rsid w:val="009A36F7"/>
    <w:rsid w:val="009A3709"/>
    <w:rsid w:val="009A383B"/>
    <w:rsid w:val="009A3C08"/>
    <w:rsid w:val="009A4137"/>
    <w:rsid w:val="009A45BB"/>
    <w:rsid w:val="009A45F8"/>
    <w:rsid w:val="009A4D8F"/>
    <w:rsid w:val="009A5684"/>
    <w:rsid w:val="009A568B"/>
    <w:rsid w:val="009A5765"/>
    <w:rsid w:val="009A57A9"/>
    <w:rsid w:val="009A59C3"/>
    <w:rsid w:val="009A5C61"/>
    <w:rsid w:val="009A5FA6"/>
    <w:rsid w:val="009A647C"/>
    <w:rsid w:val="009A6F05"/>
    <w:rsid w:val="009A74A9"/>
    <w:rsid w:val="009B03E9"/>
    <w:rsid w:val="009B0558"/>
    <w:rsid w:val="009B0E4E"/>
    <w:rsid w:val="009B0F45"/>
    <w:rsid w:val="009B2499"/>
    <w:rsid w:val="009B2FE8"/>
    <w:rsid w:val="009B309F"/>
    <w:rsid w:val="009B396D"/>
    <w:rsid w:val="009B3F0F"/>
    <w:rsid w:val="009B447C"/>
    <w:rsid w:val="009B4769"/>
    <w:rsid w:val="009B4EAA"/>
    <w:rsid w:val="009B4F49"/>
    <w:rsid w:val="009B4FA4"/>
    <w:rsid w:val="009B58B2"/>
    <w:rsid w:val="009B5D3B"/>
    <w:rsid w:val="009B6269"/>
    <w:rsid w:val="009B6386"/>
    <w:rsid w:val="009B6538"/>
    <w:rsid w:val="009B691E"/>
    <w:rsid w:val="009B6A30"/>
    <w:rsid w:val="009B6A74"/>
    <w:rsid w:val="009B6CF9"/>
    <w:rsid w:val="009B706C"/>
    <w:rsid w:val="009B7174"/>
    <w:rsid w:val="009B722A"/>
    <w:rsid w:val="009B7A6B"/>
    <w:rsid w:val="009C1500"/>
    <w:rsid w:val="009C150C"/>
    <w:rsid w:val="009C21F8"/>
    <w:rsid w:val="009C23E1"/>
    <w:rsid w:val="009C2428"/>
    <w:rsid w:val="009C29A2"/>
    <w:rsid w:val="009C2A34"/>
    <w:rsid w:val="009C2F63"/>
    <w:rsid w:val="009C324B"/>
    <w:rsid w:val="009C32F7"/>
    <w:rsid w:val="009C333C"/>
    <w:rsid w:val="009C4045"/>
    <w:rsid w:val="009C40FF"/>
    <w:rsid w:val="009C41AC"/>
    <w:rsid w:val="009C44CB"/>
    <w:rsid w:val="009C4929"/>
    <w:rsid w:val="009C4BEB"/>
    <w:rsid w:val="009C561E"/>
    <w:rsid w:val="009C5C87"/>
    <w:rsid w:val="009C63A5"/>
    <w:rsid w:val="009C63FE"/>
    <w:rsid w:val="009C6C9D"/>
    <w:rsid w:val="009C7579"/>
    <w:rsid w:val="009C7679"/>
    <w:rsid w:val="009C7869"/>
    <w:rsid w:val="009C7A16"/>
    <w:rsid w:val="009C7CFF"/>
    <w:rsid w:val="009C7D38"/>
    <w:rsid w:val="009C7DCE"/>
    <w:rsid w:val="009D04A8"/>
    <w:rsid w:val="009D0505"/>
    <w:rsid w:val="009D0D15"/>
    <w:rsid w:val="009D0DF7"/>
    <w:rsid w:val="009D0E05"/>
    <w:rsid w:val="009D0E5B"/>
    <w:rsid w:val="009D10CF"/>
    <w:rsid w:val="009D10D2"/>
    <w:rsid w:val="009D1166"/>
    <w:rsid w:val="009D1486"/>
    <w:rsid w:val="009D17B7"/>
    <w:rsid w:val="009D1F64"/>
    <w:rsid w:val="009D1FD8"/>
    <w:rsid w:val="009D2773"/>
    <w:rsid w:val="009D2B3E"/>
    <w:rsid w:val="009D2D72"/>
    <w:rsid w:val="009D2F8F"/>
    <w:rsid w:val="009D302A"/>
    <w:rsid w:val="009D34D6"/>
    <w:rsid w:val="009D376D"/>
    <w:rsid w:val="009D421B"/>
    <w:rsid w:val="009D4646"/>
    <w:rsid w:val="009D474F"/>
    <w:rsid w:val="009D479F"/>
    <w:rsid w:val="009D5CA4"/>
    <w:rsid w:val="009D5FFF"/>
    <w:rsid w:val="009D60BB"/>
    <w:rsid w:val="009D60FC"/>
    <w:rsid w:val="009D699F"/>
    <w:rsid w:val="009D7AFE"/>
    <w:rsid w:val="009D7CF5"/>
    <w:rsid w:val="009E0847"/>
    <w:rsid w:val="009E1296"/>
    <w:rsid w:val="009E1715"/>
    <w:rsid w:val="009E1B57"/>
    <w:rsid w:val="009E1C6D"/>
    <w:rsid w:val="009E1D2D"/>
    <w:rsid w:val="009E1FA4"/>
    <w:rsid w:val="009E2280"/>
    <w:rsid w:val="009E2383"/>
    <w:rsid w:val="009E24D7"/>
    <w:rsid w:val="009E2614"/>
    <w:rsid w:val="009E284C"/>
    <w:rsid w:val="009E2AB8"/>
    <w:rsid w:val="009E2EBB"/>
    <w:rsid w:val="009E2F5B"/>
    <w:rsid w:val="009E32E6"/>
    <w:rsid w:val="009E372D"/>
    <w:rsid w:val="009E390E"/>
    <w:rsid w:val="009E396E"/>
    <w:rsid w:val="009E3B83"/>
    <w:rsid w:val="009E3CC2"/>
    <w:rsid w:val="009E3E12"/>
    <w:rsid w:val="009E3FA7"/>
    <w:rsid w:val="009E41EB"/>
    <w:rsid w:val="009E444E"/>
    <w:rsid w:val="009E4551"/>
    <w:rsid w:val="009E49C0"/>
    <w:rsid w:val="009E4A70"/>
    <w:rsid w:val="009E4B45"/>
    <w:rsid w:val="009E4EFE"/>
    <w:rsid w:val="009E50F7"/>
    <w:rsid w:val="009E51D7"/>
    <w:rsid w:val="009E52BB"/>
    <w:rsid w:val="009E5390"/>
    <w:rsid w:val="009E55E7"/>
    <w:rsid w:val="009E5918"/>
    <w:rsid w:val="009E59B8"/>
    <w:rsid w:val="009E5A08"/>
    <w:rsid w:val="009E5A97"/>
    <w:rsid w:val="009E5D32"/>
    <w:rsid w:val="009E6731"/>
    <w:rsid w:val="009E67A1"/>
    <w:rsid w:val="009E6AEA"/>
    <w:rsid w:val="009E6E42"/>
    <w:rsid w:val="009E714B"/>
    <w:rsid w:val="009E71EB"/>
    <w:rsid w:val="009E7760"/>
    <w:rsid w:val="009E7B11"/>
    <w:rsid w:val="009E7DA0"/>
    <w:rsid w:val="009F004C"/>
    <w:rsid w:val="009F052C"/>
    <w:rsid w:val="009F0546"/>
    <w:rsid w:val="009F056E"/>
    <w:rsid w:val="009F057C"/>
    <w:rsid w:val="009F08EC"/>
    <w:rsid w:val="009F0ACE"/>
    <w:rsid w:val="009F0FBB"/>
    <w:rsid w:val="009F114D"/>
    <w:rsid w:val="009F1AE3"/>
    <w:rsid w:val="009F23DF"/>
    <w:rsid w:val="009F2541"/>
    <w:rsid w:val="009F2980"/>
    <w:rsid w:val="009F29BF"/>
    <w:rsid w:val="009F39D7"/>
    <w:rsid w:val="009F3B48"/>
    <w:rsid w:val="009F3B7B"/>
    <w:rsid w:val="009F402B"/>
    <w:rsid w:val="009F4869"/>
    <w:rsid w:val="009F4E3C"/>
    <w:rsid w:val="009F5064"/>
    <w:rsid w:val="009F512E"/>
    <w:rsid w:val="009F5267"/>
    <w:rsid w:val="009F5ADB"/>
    <w:rsid w:val="009F5E12"/>
    <w:rsid w:val="009F5F27"/>
    <w:rsid w:val="009F5F33"/>
    <w:rsid w:val="009F6127"/>
    <w:rsid w:val="009F6975"/>
    <w:rsid w:val="00A00A63"/>
    <w:rsid w:val="00A00E73"/>
    <w:rsid w:val="00A0106E"/>
    <w:rsid w:val="00A01DDB"/>
    <w:rsid w:val="00A0228F"/>
    <w:rsid w:val="00A0256C"/>
    <w:rsid w:val="00A027FB"/>
    <w:rsid w:val="00A02D22"/>
    <w:rsid w:val="00A02F02"/>
    <w:rsid w:val="00A03836"/>
    <w:rsid w:val="00A03BDE"/>
    <w:rsid w:val="00A03E48"/>
    <w:rsid w:val="00A04523"/>
    <w:rsid w:val="00A0523B"/>
    <w:rsid w:val="00A05447"/>
    <w:rsid w:val="00A05A9D"/>
    <w:rsid w:val="00A05D8B"/>
    <w:rsid w:val="00A05DE1"/>
    <w:rsid w:val="00A06414"/>
    <w:rsid w:val="00A0642C"/>
    <w:rsid w:val="00A06934"/>
    <w:rsid w:val="00A071F8"/>
    <w:rsid w:val="00A07262"/>
    <w:rsid w:val="00A07D3D"/>
    <w:rsid w:val="00A07E20"/>
    <w:rsid w:val="00A10512"/>
    <w:rsid w:val="00A10745"/>
    <w:rsid w:val="00A10B6E"/>
    <w:rsid w:val="00A10FB6"/>
    <w:rsid w:val="00A10FBF"/>
    <w:rsid w:val="00A11006"/>
    <w:rsid w:val="00A11350"/>
    <w:rsid w:val="00A1168E"/>
    <w:rsid w:val="00A116BA"/>
    <w:rsid w:val="00A116C1"/>
    <w:rsid w:val="00A117F4"/>
    <w:rsid w:val="00A11D2F"/>
    <w:rsid w:val="00A11EAF"/>
    <w:rsid w:val="00A11ED7"/>
    <w:rsid w:val="00A11F95"/>
    <w:rsid w:val="00A12C66"/>
    <w:rsid w:val="00A13508"/>
    <w:rsid w:val="00A135F1"/>
    <w:rsid w:val="00A13600"/>
    <w:rsid w:val="00A13675"/>
    <w:rsid w:val="00A13D1E"/>
    <w:rsid w:val="00A147A0"/>
    <w:rsid w:val="00A147A7"/>
    <w:rsid w:val="00A147C8"/>
    <w:rsid w:val="00A1484A"/>
    <w:rsid w:val="00A14978"/>
    <w:rsid w:val="00A14D55"/>
    <w:rsid w:val="00A14FFF"/>
    <w:rsid w:val="00A15BFD"/>
    <w:rsid w:val="00A15EC3"/>
    <w:rsid w:val="00A15FE5"/>
    <w:rsid w:val="00A16511"/>
    <w:rsid w:val="00A16BA1"/>
    <w:rsid w:val="00A16E90"/>
    <w:rsid w:val="00A171A9"/>
    <w:rsid w:val="00A172F5"/>
    <w:rsid w:val="00A17A84"/>
    <w:rsid w:val="00A17EF7"/>
    <w:rsid w:val="00A2000E"/>
    <w:rsid w:val="00A2045D"/>
    <w:rsid w:val="00A20D89"/>
    <w:rsid w:val="00A21AE7"/>
    <w:rsid w:val="00A21D62"/>
    <w:rsid w:val="00A21F20"/>
    <w:rsid w:val="00A22073"/>
    <w:rsid w:val="00A226D9"/>
    <w:rsid w:val="00A233FB"/>
    <w:rsid w:val="00A240A9"/>
    <w:rsid w:val="00A247BB"/>
    <w:rsid w:val="00A24B6F"/>
    <w:rsid w:val="00A24B9F"/>
    <w:rsid w:val="00A24F32"/>
    <w:rsid w:val="00A25218"/>
    <w:rsid w:val="00A2527D"/>
    <w:rsid w:val="00A25A0B"/>
    <w:rsid w:val="00A25AAD"/>
    <w:rsid w:val="00A25AEB"/>
    <w:rsid w:val="00A25B18"/>
    <w:rsid w:val="00A266B0"/>
    <w:rsid w:val="00A268FA"/>
    <w:rsid w:val="00A26DDD"/>
    <w:rsid w:val="00A2771C"/>
    <w:rsid w:val="00A2792E"/>
    <w:rsid w:val="00A27E7D"/>
    <w:rsid w:val="00A30028"/>
    <w:rsid w:val="00A30BDA"/>
    <w:rsid w:val="00A31025"/>
    <w:rsid w:val="00A316B5"/>
    <w:rsid w:val="00A324E1"/>
    <w:rsid w:val="00A32516"/>
    <w:rsid w:val="00A32591"/>
    <w:rsid w:val="00A32E8D"/>
    <w:rsid w:val="00A32EA5"/>
    <w:rsid w:val="00A33046"/>
    <w:rsid w:val="00A339CF"/>
    <w:rsid w:val="00A33B7B"/>
    <w:rsid w:val="00A34678"/>
    <w:rsid w:val="00A34BEC"/>
    <w:rsid w:val="00A34D5E"/>
    <w:rsid w:val="00A34F28"/>
    <w:rsid w:val="00A35217"/>
    <w:rsid w:val="00A354D2"/>
    <w:rsid w:val="00A35B83"/>
    <w:rsid w:val="00A35BF8"/>
    <w:rsid w:val="00A35C83"/>
    <w:rsid w:val="00A35E55"/>
    <w:rsid w:val="00A35EB2"/>
    <w:rsid w:val="00A36092"/>
    <w:rsid w:val="00A361BA"/>
    <w:rsid w:val="00A3624F"/>
    <w:rsid w:val="00A3633D"/>
    <w:rsid w:val="00A36563"/>
    <w:rsid w:val="00A36AE3"/>
    <w:rsid w:val="00A36E14"/>
    <w:rsid w:val="00A36EB3"/>
    <w:rsid w:val="00A36FD7"/>
    <w:rsid w:val="00A379B6"/>
    <w:rsid w:val="00A37EEE"/>
    <w:rsid w:val="00A40101"/>
    <w:rsid w:val="00A402A1"/>
    <w:rsid w:val="00A40479"/>
    <w:rsid w:val="00A40610"/>
    <w:rsid w:val="00A41745"/>
    <w:rsid w:val="00A42183"/>
    <w:rsid w:val="00A422FB"/>
    <w:rsid w:val="00A42689"/>
    <w:rsid w:val="00A42D31"/>
    <w:rsid w:val="00A43C89"/>
    <w:rsid w:val="00A43D0B"/>
    <w:rsid w:val="00A43EDD"/>
    <w:rsid w:val="00A44065"/>
    <w:rsid w:val="00A44465"/>
    <w:rsid w:val="00A44996"/>
    <w:rsid w:val="00A44E84"/>
    <w:rsid w:val="00A45284"/>
    <w:rsid w:val="00A4547F"/>
    <w:rsid w:val="00A45487"/>
    <w:rsid w:val="00A455BF"/>
    <w:rsid w:val="00A4571E"/>
    <w:rsid w:val="00A459FE"/>
    <w:rsid w:val="00A45E1A"/>
    <w:rsid w:val="00A468D4"/>
    <w:rsid w:val="00A46CE1"/>
    <w:rsid w:val="00A47146"/>
    <w:rsid w:val="00A478A6"/>
    <w:rsid w:val="00A47E33"/>
    <w:rsid w:val="00A502B4"/>
    <w:rsid w:val="00A505C1"/>
    <w:rsid w:val="00A505CA"/>
    <w:rsid w:val="00A507C2"/>
    <w:rsid w:val="00A509FB"/>
    <w:rsid w:val="00A50A91"/>
    <w:rsid w:val="00A50CAF"/>
    <w:rsid w:val="00A50E1A"/>
    <w:rsid w:val="00A50F1E"/>
    <w:rsid w:val="00A50FC8"/>
    <w:rsid w:val="00A5113E"/>
    <w:rsid w:val="00A511F8"/>
    <w:rsid w:val="00A5125F"/>
    <w:rsid w:val="00A51D7F"/>
    <w:rsid w:val="00A51EDB"/>
    <w:rsid w:val="00A52240"/>
    <w:rsid w:val="00A5258B"/>
    <w:rsid w:val="00A530E7"/>
    <w:rsid w:val="00A53C99"/>
    <w:rsid w:val="00A53CDD"/>
    <w:rsid w:val="00A53F6B"/>
    <w:rsid w:val="00A5465E"/>
    <w:rsid w:val="00A54B49"/>
    <w:rsid w:val="00A55428"/>
    <w:rsid w:val="00A554DF"/>
    <w:rsid w:val="00A557FB"/>
    <w:rsid w:val="00A55C5F"/>
    <w:rsid w:val="00A560AF"/>
    <w:rsid w:val="00A560D2"/>
    <w:rsid w:val="00A569E9"/>
    <w:rsid w:val="00A57001"/>
    <w:rsid w:val="00A57152"/>
    <w:rsid w:val="00A572B1"/>
    <w:rsid w:val="00A572CD"/>
    <w:rsid w:val="00A575FE"/>
    <w:rsid w:val="00A57C3B"/>
    <w:rsid w:val="00A60332"/>
    <w:rsid w:val="00A608FD"/>
    <w:rsid w:val="00A60EDD"/>
    <w:rsid w:val="00A60FD4"/>
    <w:rsid w:val="00A61278"/>
    <w:rsid w:val="00A6153A"/>
    <w:rsid w:val="00A61F46"/>
    <w:rsid w:val="00A61F70"/>
    <w:rsid w:val="00A623A4"/>
    <w:rsid w:val="00A62927"/>
    <w:rsid w:val="00A6356C"/>
    <w:rsid w:val="00A63B3D"/>
    <w:rsid w:val="00A63D1D"/>
    <w:rsid w:val="00A64514"/>
    <w:rsid w:val="00A64532"/>
    <w:rsid w:val="00A64595"/>
    <w:rsid w:val="00A64A57"/>
    <w:rsid w:val="00A64E8B"/>
    <w:rsid w:val="00A6533F"/>
    <w:rsid w:val="00A656CD"/>
    <w:rsid w:val="00A657EF"/>
    <w:rsid w:val="00A65938"/>
    <w:rsid w:val="00A6598D"/>
    <w:rsid w:val="00A66337"/>
    <w:rsid w:val="00A66ACC"/>
    <w:rsid w:val="00A66BA8"/>
    <w:rsid w:val="00A66E02"/>
    <w:rsid w:val="00A700FF"/>
    <w:rsid w:val="00A70150"/>
    <w:rsid w:val="00A70904"/>
    <w:rsid w:val="00A709D8"/>
    <w:rsid w:val="00A7188F"/>
    <w:rsid w:val="00A71949"/>
    <w:rsid w:val="00A71EF6"/>
    <w:rsid w:val="00A728D9"/>
    <w:rsid w:val="00A72EFD"/>
    <w:rsid w:val="00A7309D"/>
    <w:rsid w:val="00A73440"/>
    <w:rsid w:val="00A7391F"/>
    <w:rsid w:val="00A73AF4"/>
    <w:rsid w:val="00A742CE"/>
    <w:rsid w:val="00A74605"/>
    <w:rsid w:val="00A74640"/>
    <w:rsid w:val="00A7507E"/>
    <w:rsid w:val="00A7511B"/>
    <w:rsid w:val="00A75516"/>
    <w:rsid w:val="00A75687"/>
    <w:rsid w:val="00A75FAA"/>
    <w:rsid w:val="00A7692C"/>
    <w:rsid w:val="00A76A3F"/>
    <w:rsid w:val="00A77445"/>
    <w:rsid w:val="00A77CE5"/>
    <w:rsid w:val="00A8011F"/>
    <w:rsid w:val="00A8030A"/>
    <w:rsid w:val="00A8040E"/>
    <w:rsid w:val="00A80692"/>
    <w:rsid w:val="00A809FF"/>
    <w:rsid w:val="00A80DA8"/>
    <w:rsid w:val="00A8138F"/>
    <w:rsid w:val="00A8215B"/>
    <w:rsid w:val="00A825EF"/>
    <w:rsid w:val="00A82668"/>
    <w:rsid w:val="00A8279E"/>
    <w:rsid w:val="00A82BC3"/>
    <w:rsid w:val="00A83785"/>
    <w:rsid w:val="00A8397A"/>
    <w:rsid w:val="00A83BCC"/>
    <w:rsid w:val="00A8424D"/>
    <w:rsid w:val="00A84444"/>
    <w:rsid w:val="00A84D43"/>
    <w:rsid w:val="00A852AB"/>
    <w:rsid w:val="00A853C9"/>
    <w:rsid w:val="00A855D5"/>
    <w:rsid w:val="00A859AB"/>
    <w:rsid w:val="00A86066"/>
    <w:rsid w:val="00A861E0"/>
    <w:rsid w:val="00A863D5"/>
    <w:rsid w:val="00A86492"/>
    <w:rsid w:val="00A864E9"/>
    <w:rsid w:val="00A869B9"/>
    <w:rsid w:val="00A86A90"/>
    <w:rsid w:val="00A86D6D"/>
    <w:rsid w:val="00A8728D"/>
    <w:rsid w:val="00A87418"/>
    <w:rsid w:val="00A879DE"/>
    <w:rsid w:val="00A87A35"/>
    <w:rsid w:val="00A87EC6"/>
    <w:rsid w:val="00A87FB0"/>
    <w:rsid w:val="00A90530"/>
    <w:rsid w:val="00A905E4"/>
    <w:rsid w:val="00A90E78"/>
    <w:rsid w:val="00A9168A"/>
    <w:rsid w:val="00A91822"/>
    <w:rsid w:val="00A91827"/>
    <w:rsid w:val="00A92A66"/>
    <w:rsid w:val="00A9319A"/>
    <w:rsid w:val="00A931D9"/>
    <w:rsid w:val="00A9364F"/>
    <w:rsid w:val="00A937AE"/>
    <w:rsid w:val="00A93A0D"/>
    <w:rsid w:val="00A93C88"/>
    <w:rsid w:val="00A94268"/>
    <w:rsid w:val="00A942DA"/>
    <w:rsid w:val="00A94615"/>
    <w:rsid w:val="00A946E4"/>
    <w:rsid w:val="00A94A65"/>
    <w:rsid w:val="00A94A9D"/>
    <w:rsid w:val="00A94E08"/>
    <w:rsid w:val="00A95443"/>
    <w:rsid w:val="00A95754"/>
    <w:rsid w:val="00A95EB9"/>
    <w:rsid w:val="00A95F65"/>
    <w:rsid w:val="00A96088"/>
    <w:rsid w:val="00A96171"/>
    <w:rsid w:val="00A9637C"/>
    <w:rsid w:val="00A971B2"/>
    <w:rsid w:val="00A974D6"/>
    <w:rsid w:val="00A97767"/>
    <w:rsid w:val="00A97EB9"/>
    <w:rsid w:val="00AA0105"/>
    <w:rsid w:val="00AA03E2"/>
    <w:rsid w:val="00AA06A1"/>
    <w:rsid w:val="00AA06C6"/>
    <w:rsid w:val="00AA073E"/>
    <w:rsid w:val="00AA1488"/>
    <w:rsid w:val="00AA1769"/>
    <w:rsid w:val="00AA1FC2"/>
    <w:rsid w:val="00AA218B"/>
    <w:rsid w:val="00AA21DF"/>
    <w:rsid w:val="00AA227A"/>
    <w:rsid w:val="00AA238D"/>
    <w:rsid w:val="00AA23A7"/>
    <w:rsid w:val="00AA23EA"/>
    <w:rsid w:val="00AA2577"/>
    <w:rsid w:val="00AA2A0A"/>
    <w:rsid w:val="00AA2C8C"/>
    <w:rsid w:val="00AA2DC8"/>
    <w:rsid w:val="00AA32E9"/>
    <w:rsid w:val="00AA33C4"/>
    <w:rsid w:val="00AA3474"/>
    <w:rsid w:val="00AA403D"/>
    <w:rsid w:val="00AA4E6B"/>
    <w:rsid w:val="00AA4EFC"/>
    <w:rsid w:val="00AA4FDF"/>
    <w:rsid w:val="00AA5110"/>
    <w:rsid w:val="00AA5766"/>
    <w:rsid w:val="00AA58A5"/>
    <w:rsid w:val="00AA58BC"/>
    <w:rsid w:val="00AA590A"/>
    <w:rsid w:val="00AA5AE5"/>
    <w:rsid w:val="00AA61E4"/>
    <w:rsid w:val="00AA6326"/>
    <w:rsid w:val="00AA6AE2"/>
    <w:rsid w:val="00AA74C2"/>
    <w:rsid w:val="00AA7E37"/>
    <w:rsid w:val="00AB0112"/>
    <w:rsid w:val="00AB0528"/>
    <w:rsid w:val="00AB052B"/>
    <w:rsid w:val="00AB05C7"/>
    <w:rsid w:val="00AB05CE"/>
    <w:rsid w:val="00AB063C"/>
    <w:rsid w:val="00AB0765"/>
    <w:rsid w:val="00AB0B00"/>
    <w:rsid w:val="00AB0C5B"/>
    <w:rsid w:val="00AB12B5"/>
    <w:rsid w:val="00AB17D9"/>
    <w:rsid w:val="00AB20DF"/>
    <w:rsid w:val="00AB2325"/>
    <w:rsid w:val="00AB2759"/>
    <w:rsid w:val="00AB2800"/>
    <w:rsid w:val="00AB280A"/>
    <w:rsid w:val="00AB359C"/>
    <w:rsid w:val="00AB3A97"/>
    <w:rsid w:val="00AB3D0B"/>
    <w:rsid w:val="00AB404E"/>
    <w:rsid w:val="00AB45E4"/>
    <w:rsid w:val="00AB475F"/>
    <w:rsid w:val="00AB4882"/>
    <w:rsid w:val="00AB48CA"/>
    <w:rsid w:val="00AB5699"/>
    <w:rsid w:val="00AB58A9"/>
    <w:rsid w:val="00AB62C8"/>
    <w:rsid w:val="00AB646B"/>
    <w:rsid w:val="00AB668F"/>
    <w:rsid w:val="00AB6859"/>
    <w:rsid w:val="00AB781E"/>
    <w:rsid w:val="00AB7982"/>
    <w:rsid w:val="00AB7E26"/>
    <w:rsid w:val="00AB7F23"/>
    <w:rsid w:val="00AC03B2"/>
    <w:rsid w:val="00AC052F"/>
    <w:rsid w:val="00AC1285"/>
    <w:rsid w:val="00AC1518"/>
    <w:rsid w:val="00AC1776"/>
    <w:rsid w:val="00AC1B31"/>
    <w:rsid w:val="00AC24CC"/>
    <w:rsid w:val="00AC267D"/>
    <w:rsid w:val="00AC29FD"/>
    <w:rsid w:val="00AC2A5F"/>
    <w:rsid w:val="00AC2CC5"/>
    <w:rsid w:val="00AC310C"/>
    <w:rsid w:val="00AC333F"/>
    <w:rsid w:val="00AC3A4D"/>
    <w:rsid w:val="00AC3A64"/>
    <w:rsid w:val="00AC46F0"/>
    <w:rsid w:val="00AC4CBD"/>
    <w:rsid w:val="00AC5794"/>
    <w:rsid w:val="00AC5B42"/>
    <w:rsid w:val="00AC607D"/>
    <w:rsid w:val="00AC6193"/>
    <w:rsid w:val="00AC65C4"/>
    <w:rsid w:val="00AC69C6"/>
    <w:rsid w:val="00AC716F"/>
    <w:rsid w:val="00AC773F"/>
    <w:rsid w:val="00AC7B66"/>
    <w:rsid w:val="00AC7C70"/>
    <w:rsid w:val="00AD030B"/>
    <w:rsid w:val="00AD0F34"/>
    <w:rsid w:val="00AD0F70"/>
    <w:rsid w:val="00AD0FC8"/>
    <w:rsid w:val="00AD1734"/>
    <w:rsid w:val="00AD18A2"/>
    <w:rsid w:val="00AD1F14"/>
    <w:rsid w:val="00AD226A"/>
    <w:rsid w:val="00AD2A02"/>
    <w:rsid w:val="00AD2B08"/>
    <w:rsid w:val="00AD2CDB"/>
    <w:rsid w:val="00AD2D5C"/>
    <w:rsid w:val="00AD2E2C"/>
    <w:rsid w:val="00AD3193"/>
    <w:rsid w:val="00AD3333"/>
    <w:rsid w:val="00AD3357"/>
    <w:rsid w:val="00AD3523"/>
    <w:rsid w:val="00AD362E"/>
    <w:rsid w:val="00AD389F"/>
    <w:rsid w:val="00AD3D3D"/>
    <w:rsid w:val="00AD3D78"/>
    <w:rsid w:val="00AD43D2"/>
    <w:rsid w:val="00AD4931"/>
    <w:rsid w:val="00AD4B91"/>
    <w:rsid w:val="00AD545F"/>
    <w:rsid w:val="00AD565F"/>
    <w:rsid w:val="00AD58D9"/>
    <w:rsid w:val="00AD5C38"/>
    <w:rsid w:val="00AD5EC6"/>
    <w:rsid w:val="00AD6027"/>
    <w:rsid w:val="00AD6058"/>
    <w:rsid w:val="00AD6370"/>
    <w:rsid w:val="00AD66E0"/>
    <w:rsid w:val="00AD6BD0"/>
    <w:rsid w:val="00AD753A"/>
    <w:rsid w:val="00AD784F"/>
    <w:rsid w:val="00AD799D"/>
    <w:rsid w:val="00AD7AFA"/>
    <w:rsid w:val="00AD7BDB"/>
    <w:rsid w:val="00AD7F7F"/>
    <w:rsid w:val="00AE0153"/>
    <w:rsid w:val="00AE05EB"/>
    <w:rsid w:val="00AE0714"/>
    <w:rsid w:val="00AE08D7"/>
    <w:rsid w:val="00AE0EDE"/>
    <w:rsid w:val="00AE1327"/>
    <w:rsid w:val="00AE1444"/>
    <w:rsid w:val="00AE159C"/>
    <w:rsid w:val="00AE1A72"/>
    <w:rsid w:val="00AE1C27"/>
    <w:rsid w:val="00AE1D4D"/>
    <w:rsid w:val="00AE2096"/>
    <w:rsid w:val="00AE30AE"/>
    <w:rsid w:val="00AE3333"/>
    <w:rsid w:val="00AE3631"/>
    <w:rsid w:val="00AE36E2"/>
    <w:rsid w:val="00AE3728"/>
    <w:rsid w:val="00AE385D"/>
    <w:rsid w:val="00AE3994"/>
    <w:rsid w:val="00AE44A0"/>
    <w:rsid w:val="00AE462C"/>
    <w:rsid w:val="00AE51C0"/>
    <w:rsid w:val="00AE5A15"/>
    <w:rsid w:val="00AE5E39"/>
    <w:rsid w:val="00AE6212"/>
    <w:rsid w:val="00AE638A"/>
    <w:rsid w:val="00AE6557"/>
    <w:rsid w:val="00AE6772"/>
    <w:rsid w:val="00AE70F7"/>
    <w:rsid w:val="00AE71FD"/>
    <w:rsid w:val="00AE731C"/>
    <w:rsid w:val="00AE73B6"/>
    <w:rsid w:val="00AE79C9"/>
    <w:rsid w:val="00AE7C8F"/>
    <w:rsid w:val="00AF0338"/>
    <w:rsid w:val="00AF0702"/>
    <w:rsid w:val="00AF072C"/>
    <w:rsid w:val="00AF0800"/>
    <w:rsid w:val="00AF097B"/>
    <w:rsid w:val="00AF104E"/>
    <w:rsid w:val="00AF19E5"/>
    <w:rsid w:val="00AF1E71"/>
    <w:rsid w:val="00AF2302"/>
    <w:rsid w:val="00AF2C25"/>
    <w:rsid w:val="00AF30E8"/>
    <w:rsid w:val="00AF37A3"/>
    <w:rsid w:val="00AF3A89"/>
    <w:rsid w:val="00AF3AF7"/>
    <w:rsid w:val="00AF3B85"/>
    <w:rsid w:val="00AF3BAC"/>
    <w:rsid w:val="00AF4345"/>
    <w:rsid w:val="00AF46E4"/>
    <w:rsid w:val="00AF4A3F"/>
    <w:rsid w:val="00AF513B"/>
    <w:rsid w:val="00AF650D"/>
    <w:rsid w:val="00AF6897"/>
    <w:rsid w:val="00AF6CEE"/>
    <w:rsid w:val="00AF6DA2"/>
    <w:rsid w:val="00AF6DAA"/>
    <w:rsid w:val="00AF7137"/>
    <w:rsid w:val="00AF768E"/>
    <w:rsid w:val="00AF7A41"/>
    <w:rsid w:val="00AF7D38"/>
    <w:rsid w:val="00B001DC"/>
    <w:rsid w:val="00B001E9"/>
    <w:rsid w:val="00B003E0"/>
    <w:rsid w:val="00B006B8"/>
    <w:rsid w:val="00B016E9"/>
    <w:rsid w:val="00B0173E"/>
    <w:rsid w:val="00B0197A"/>
    <w:rsid w:val="00B019E2"/>
    <w:rsid w:val="00B01B09"/>
    <w:rsid w:val="00B01B4C"/>
    <w:rsid w:val="00B01FEF"/>
    <w:rsid w:val="00B0203A"/>
    <w:rsid w:val="00B020B3"/>
    <w:rsid w:val="00B02140"/>
    <w:rsid w:val="00B021B1"/>
    <w:rsid w:val="00B0257D"/>
    <w:rsid w:val="00B02DD4"/>
    <w:rsid w:val="00B0331A"/>
    <w:rsid w:val="00B0388D"/>
    <w:rsid w:val="00B038F7"/>
    <w:rsid w:val="00B03B09"/>
    <w:rsid w:val="00B03B0B"/>
    <w:rsid w:val="00B040F4"/>
    <w:rsid w:val="00B0442E"/>
    <w:rsid w:val="00B04E25"/>
    <w:rsid w:val="00B04E5D"/>
    <w:rsid w:val="00B04F4E"/>
    <w:rsid w:val="00B052BA"/>
    <w:rsid w:val="00B055BF"/>
    <w:rsid w:val="00B0569E"/>
    <w:rsid w:val="00B05961"/>
    <w:rsid w:val="00B05D57"/>
    <w:rsid w:val="00B05F23"/>
    <w:rsid w:val="00B05F67"/>
    <w:rsid w:val="00B06C9F"/>
    <w:rsid w:val="00B06EB7"/>
    <w:rsid w:val="00B07063"/>
    <w:rsid w:val="00B071CA"/>
    <w:rsid w:val="00B1009C"/>
    <w:rsid w:val="00B10266"/>
    <w:rsid w:val="00B102CB"/>
    <w:rsid w:val="00B103C0"/>
    <w:rsid w:val="00B10443"/>
    <w:rsid w:val="00B10A40"/>
    <w:rsid w:val="00B10C43"/>
    <w:rsid w:val="00B1145A"/>
    <w:rsid w:val="00B1172C"/>
    <w:rsid w:val="00B11C8A"/>
    <w:rsid w:val="00B11D37"/>
    <w:rsid w:val="00B1231B"/>
    <w:rsid w:val="00B124DB"/>
    <w:rsid w:val="00B12566"/>
    <w:rsid w:val="00B1270E"/>
    <w:rsid w:val="00B12AFF"/>
    <w:rsid w:val="00B12E5A"/>
    <w:rsid w:val="00B1337E"/>
    <w:rsid w:val="00B13452"/>
    <w:rsid w:val="00B13496"/>
    <w:rsid w:val="00B136CB"/>
    <w:rsid w:val="00B139EE"/>
    <w:rsid w:val="00B13CC7"/>
    <w:rsid w:val="00B146F7"/>
    <w:rsid w:val="00B14998"/>
    <w:rsid w:val="00B1499D"/>
    <w:rsid w:val="00B149A6"/>
    <w:rsid w:val="00B14A0C"/>
    <w:rsid w:val="00B14E80"/>
    <w:rsid w:val="00B15099"/>
    <w:rsid w:val="00B154AD"/>
    <w:rsid w:val="00B16B7C"/>
    <w:rsid w:val="00B16BDC"/>
    <w:rsid w:val="00B16C8D"/>
    <w:rsid w:val="00B17134"/>
    <w:rsid w:val="00B171A2"/>
    <w:rsid w:val="00B17212"/>
    <w:rsid w:val="00B172B5"/>
    <w:rsid w:val="00B17389"/>
    <w:rsid w:val="00B175FB"/>
    <w:rsid w:val="00B178FA"/>
    <w:rsid w:val="00B17FD0"/>
    <w:rsid w:val="00B200A4"/>
    <w:rsid w:val="00B2011C"/>
    <w:rsid w:val="00B20762"/>
    <w:rsid w:val="00B20B86"/>
    <w:rsid w:val="00B20D27"/>
    <w:rsid w:val="00B20E15"/>
    <w:rsid w:val="00B20E2D"/>
    <w:rsid w:val="00B20E85"/>
    <w:rsid w:val="00B21764"/>
    <w:rsid w:val="00B21BE9"/>
    <w:rsid w:val="00B21E7D"/>
    <w:rsid w:val="00B21FD0"/>
    <w:rsid w:val="00B220D1"/>
    <w:rsid w:val="00B2223A"/>
    <w:rsid w:val="00B22320"/>
    <w:rsid w:val="00B223B5"/>
    <w:rsid w:val="00B22438"/>
    <w:rsid w:val="00B2293D"/>
    <w:rsid w:val="00B23048"/>
    <w:rsid w:val="00B233DB"/>
    <w:rsid w:val="00B233EE"/>
    <w:rsid w:val="00B23683"/>
    <w:rsid w:val="00B23B0E"/>
    <w:rsid w:val="00B23B29"/>
    <w:rsid w:val="00B24A21"/>
    <w:rsid w:val="00B24B78"/>
    <w:rsid w:val="00B24D8E"/>
    <w:rsid w:val="00B25099"/>
    <w:rsid w:val="00B2569A"/>
    <w:rsid w:val="00B25F7D"/>
    <w:rsid w:val="00B25F93"/>
    <w:rsid w:val="00B264B6"/>
    <w:rsid w:val="00B2668E"/>
    <w:rsid w:val="00B267FB"/>
    <w:rsid w:val="00B27864"/>
    <w:rsid w:val="00B279E2"/>
    <w:rsid w:val="00B27F74"/>
    <w:rsid w:val="00B30355"/>
    <w:rsid w:val="00B305A1"/>
    <w:rsid w:val="00B30D14"/>
    <w:rsid w:val="00B30DAD"/>
    <w:rsid w:val="00B31129"/>
    <w:rsid w:val="00B31140"/>
    <w:rsid w:val="00B31720"/>
    <w:rsid w:val="00B31BAC"/>
    <w:rsid w:val="00B323DE"/>
    <w:rsid w:val="00B32543"/>
    <w:rsid w:val="00B32CC6"/>
    <w:rsid w:val="00B32ECC"/>
    <w:rsid w:val="00B34547"/>
    <w:rsid w:val="00B34D1F"/>
    <w:rsid w:val="00B3501F"/>
    <w:rsid w:val="00B353F5"/>
    <w:rsid w:val="00B357F7"/>
    <w:rsid w:val="00B35853"/>
    <w:rsid w:val="00B35A34"/>
    <w:rsid w:val="00B35D0C"/>
    <w:rsid w:val="00B367B0"/>
    <w:rsid w:val="00B36B24"/>
    <w:rsid w:val="00B36C74"/>
    <w:rsid w:val="00B3714F"/>
    <w:rsid w:val="00B37791"/>
    <w:rsid w:val="00B37ABC"/>
    <w:rsid w:val="00B40082"/>
    <w:rsid w:val="00B40445"/>
    <w:rsid w:val="00B404B9"/>
    <w:rsid w:val="00B40818"/>
    <w:rsid w:val="00B408F7"/>
    <w:rsid w:val="00B4095D"/>
    <w:rsid w:val="00B40B7E"/>
    <w:rsid w:val="00B41C49"/>
    <w:rsid w:val="00B41E8A"/>
    <w:rsid w:val="00B42B04"/>
    <w:rsid w:val="00B42DC0"/>
    <w:rsid w:val="00B42EB4"/>
    <w:rsid w:val="00B42F7D"/>
    <w:rsid w:val="00B4352D"/>
    <w:rsid w:val="00B43DB3"/>
    <w:rsid w:val="00B4409F"/>
    <w:rsid w:val="00B44148"/>
    <w:rsid w:val="00B44675"/>
    <w:rsid w:val="00B44987"/>
    <w:rsid w:val="00B44E5C"/>
    <w:rsid w:val="00B45449"/>
    <w:rsid w:val="00B456F2"/>
    <w:rsid w:val="00B45C33"/>
    <w:rsid w:val="00B45EDB"/>
    <w:rsid w:val="00B47682"/>
    <w:rsid w:val="00B4795C"/>
    <w:rsid w:val="00B5028B"/>
    <w:rsid w:val="00B5097F"/>
    <w:rsid w:val="00B50B68"/>
    <w:rsid w:val="00B50C74"/>
    <w:rsid w:val="00B50F8C"/>
    <w:rsid w:val="00B51072"/>
    <w:rsid w:val="00B5145F"/>
    <w:rsid w:val="00B51A72"/>
    <w:rsid w:val="00B51DD9"/>
    <w:rsid w:val="00B526B2"/>
    <w:rsid w:val="00B52712"/>
    <w:rsid w:val="00B528C9"/>
    <w:rsid w:val="00B52CD0"/>
    <w:rsid w:val="00B530DF"/>
    <w:rsid w:val="00B53774"/>
    <w:rsid w:val="00B53B58"/>
    <w:rsid w:val="00B53E1C"/>
    <w:rsid w:val="00B54BA8"/>
    <w:rsid w:val="00B54F03"/>
    <w:rsid w:val="00B54F07"/>
    <w:rsid w:val="00B5517E"/>
    <w:rsid w:val="00B55BBC"/>
    <w:rsid w:val="00B55E4C"/>
    <w:rsid w:val="00B56265"/>
    <w:rsid w:val="00B564F1"/>
    <w:rsid w:val="00B56B87"/>
    <w:rsid w:val="00B571D5"/>
    <w:rsid w:val="00B5767D"/>
    <w:rsid w:val="00B6048F"/>
    <w:rsid w:val="00B60562"/>
    <w:rsid w:val="00B605E7"/>
    <w:rsid w:val="00B61731"/>
    <w:rsid w:val="00B62BA7"/>
    <w:rsid w:val="00B62F25"/>
    <w:rsid w:val="00B62FD3"/>
    <w:rsid w:val="00B630DC"/>
    <w:rsid w:val="00B630E4"/>
    <w:rsid w:val="00B6362A"/>
    <w:rsid w:val="00B6394B"/>
    <w:rsid w:val="00B63A6A"/>
    <w:rsid w:val="00B63A82"/>
    <w:rsid w:val="00B63B81"/>
    <w:rsid w:val="00B643B2"/>
    <w:rsid w:val="00B65169"/>
    <w:rsid w:val="00B65D54"/>
    <w:rsid w:val="00B65E05"/>
    <w:rsid w:val="00B65E2F"/>
    <w:rsid w:val="00B663EA"/>
    <w:rsid w:val="00B666F0"/>
    <w:rsid w:val="00B66A8D"/>
    <w:rsid w:val="00B66BD8"/>
    <w:rsid w:val="00B66FAD"/>
    <w:rsid w:val="00B6711F"/>
    <w:rsid w:val="00B70174"/>
    <w:rsid w:val="00B70197"/>
    <w:rsid w:val="00B70878"/>
    <w:rsid w:val="00B71030"/>
    <w:rsid w:val="00B7123A"/>
    <w:rsid w:val="00B7140C"/>
    <w:rsid w:val="00B71686"/>
    <w:rsid w:val="00B71A7A"/>
    <w:rsid w:val="00B72289"/>
    <w:rsid w:val="00B72387"/>
    <w:rsid w:val="00B72755"/>
    <w:rsid w:val="00B728FF"/>
    <w:rsid w:val="00B72AD2"/>
    <w:rsid w:val="00B72ADE"/>
    <w:rsid w:val="00B72EB1"/>
    <w:rsid w:val="00B72F67"/>
    <w:rsid w:val="00B73E28"/>
    <w:rsid w:val="00B74065"/>
    <w:rsid w:val="00B74202"/>
    <w:rsid w:val="00B74771"/>
    <w:rsid w:val="00B74844"/>
    <w:rsid w:val="00B749FD"/>
    <w:rsid w:val="00B75147"/>
    <w:rsid w:val="00B751B4"/>
    <w:rsid w:val="00B75673"/>
    <w:rsid w:val="00B7568E"/>
    <w:rsid w:val="00B75995"/>
    <w:rsid w:val="00B759C6"/>
    <w:rsid w:val="00B75AB3"/>
    <w:rsid w:val="00B75E0D"/>
    <w:rsid w:val="00B760AC"/>
    <w:rsid w:val="00B76B50"/>
    <w:rsid w:val="00B76C5D"/>
    <w:rsid w:val="00B76D7C"/>
    <w:rsid w:val="00B76EC3"/>
    <w:rsid w:val="00B770F0"/>
    <w:rsid w:val="00B771A0"/>
    <w:rsid w:val="00B77203"/>
    <w:rsid w:val="00B77556"/>
    <w:rsid w:val="00B7757F"/>
    <w:rsid w:val="00B77AB6"/>
    <w:rsid w:val="00B8001D"/>
    <w:rsid w:val="00B800EA"/>
    <w:rsid w:val="00B80209"/>
    <w:rsid w:val="00B808DB"/>
    <w:rsid w:val="00B8095E"/>
    <w:rsid w:val="00B81041"/>
    <w:rsid w:val="00B8119E"/>
    <w:rsid w:val="00B8142F"/>
    <w:rsid w:val="00B81849"/>
    <w:rsid w:val="00B81A98"/>
    <w:rsid w:val="00B81B25"/>
    <w:rsid w:val="00B81F2B"/>
    <w:rsid w:val="00B8252B"/>
    <w:rsid w:val="00B835DD"/>
    <w:rsid w:val="00B837BF"/>
    <w:rsid w:val="00B8383E"/>
    <w:rsid w:val="00B845EF"/>
    <w:rsid w:val="00B851CA"/>
    <w:rsid w:val="00B85235"/>
    <w:rsid w:val="00B8543D"/>
    <w:rsid w:val="00B857A8"/>
    <w:rsid w:val="00B857C6"/>
    <w:rsid w:val="00B857D3"/>
    <w:rsid w:val="00B85AAA"/>
    <w:rsid w:val="00B8620A"/>
    <w:rsid w:val="00B8694B"/>
    <w:rsid w:val="00B86CAF"/>
    <w:rsid w:val="00B8726A"/>
    <w:rsid w:val="00B87326"/>
    <w:rsid w:val="00B8755F"/>
    <w:rsid w:val="00B876F8"/>
    <w:rsid w:val="00B87B02"/>
    <w:rsid w:val="00B87CB4"/>
    <w:rsid w:val="00B87D2F"/>
    <w:rsid w:val="00B87D40"/>
    <w:rsid w:val="00B90007"/>
    <w:rsid w:val="00B902BF"/>
    <w:rsid w:val="00B9045E"/>
    <w:rsid w:val="00B907B1"/>
    <w:rsid w:val="00B90840"/>
    <w:rsid w:val="00B90949"/>
    <w:rsid w:val="00B90D6F"/>
    <w:rsid w:val="00B90DBC"/>
    <w:rsid w:val="00B91144"/>
    <w:rsid w:val="00B9123B"/>
    <w:rsid w:val="00B914AC"/>
    <w:rsid w:val="00B916D2"/>
    <w:rsid w:val="00B9201E"/>
    <w:rsid w:val="00B922E6"/>
    <w:rsid w:val="00B9261D"/>
    <w:rsid w:val="00B92992"/>
    <w:rsid w:val="00B92A4A"/>
    <w:rsid w:val="00B92B42"/>
    <w:rsid w:val="00B92F19"/>
    <w:rsid w:val="00B932E3"/>
    <w:rsid w:val="00B936F4"/>
    <w:rsid w:val="00B9375F"/>
    <w:rsid w:val="00B93B0E"/>
    <w:rsid w:val="00B94025"/>
    <w:rsid w:val="00B941C4"/>
    <w:rsid w:val="00B9421D"/>
    <w:rsid w:val="00B944E9"/>
    <w:rsid w:val="00B9462E"/>
    <w:rsid w:val="00B947F7"/>
    <w:rsid w:val="00B94A04"/>
    <w:rsid w:val="00B94A34"/>
    <w:rsid w:val="00B94CE5"/>
    <w:rsid w:val="00B94EA1"/>
    <w:rsid w:val="00B94F73"/>
    <w:rsid w:val="00B953D0"/>
    <w:rsid w:val="00B956D4"/>
    <w:rsid w:val="00B95C9B"/>
    <w:rsid w:val="00B95DB9"/>
    <w:rsid w:val="00B961E1"/>
    <w:rsid w:val="00B96347"/>
    <w:rsid w:val="00B964C2"/>
    <w:rsid w:val="00B96855"/>
    <w:rsid w:val="00B97865"/>
    <w:rsid w:val="00B97D70"/>
    <w:rsid w:val="00BA0B85"/>
    <w:rsid w:val="00BA0C68"/>
    <w:rsid w:val="00BA10AD"/>
    <w:rsid w:val="00BA11C7"/>
    <w:rsid w:val="00BA2934"/>
    <w:rsid w:val="00BA29C8"/>
    <w:rsid w:val="00BA2B02"/>
    <w:rsid w:val="00BA2BB1"/>
    <w:rsid w:val="00BA3D87"/>
    <w:rsid w:val="00BA4128"/>
    <w:rsid w:val="00BA4A53"/>
    <w:rsid w:val="00BA4E95"/>
    <w:rsid w:val="00BA539B"/>
    <w:rsid w:val="00BA5445"/>
    <w:rsid w:val="00BA54D5"/>
    <w:rsid w:val="00BA579D"/>
    <w:rsid w:val="00BA61F2"/>
    <w:rsid w:val="00BA6219"/>
    <w:rsid w:val="00BA6322"/>
    <w:rsid w:val="00BA643F"/>
    <w:rsid w:val="00BA6469"/>
    <w:rsid w:val="00BA6805"/>
    <w:rsid w:val="00BA6B26"/>
    <w:rsid w:val="00BA73B9"/>
    <w:rsid w:val="00BA75B2"/>
    <w:rsid w:val="00BA75B8"/>
    <w:rsid w:val="00BA7BEC"/>
    <w:rsid w:val="00BA7F16"/>
    <w:rsid w:val="00BB000B"/>
    <w:rsid w:val="00BB0BB6"/>
    <w:rsid w:val="00BB0CD0"/>
    <w:rsid w:val="00BB155B"/>
    <w:rsid w:val="00BB1581"/>
    <w:rsid w:val="00BB15BA"/>
    <w:rsid w:val="00BB15BE"/>
    <w:rsid w:val="00BB165A"/>
    <w:rsid w:val="00BB169C"/>
    <w:rsid w:val="00BB1973"/>
    <w:rsid w:val="00BB1996"/>
    <w:rsid w:val="00BB1DF4"/>
    <w:rsid w:val="00BB2300"/>
    <w:rsid w:val="00BB25A5"/>
    <w:rsid w:val="00BB2BD8"/>
    <w:rsid w:val="00BB2D9E"/>
    <w:rsid w:val="00BB3269"/>
    <w:rsid w:val="00BB37F7"/>
    <w:rsid w:val="00BB3805"/>
    <w:rsid w:val="00BB3832"/>
    <w:rsid w:val="00BB39AF"/>
    <w:rsid w:val="00BB3B59"/>
    <w:rsid w:val="00BB3E53"/>
    <w:rsid w:val="00BB4CAB"/>
    <w:rsid w:val="00BB4F00"/>
    <w:rsid w:val="00BB4F99"/>
    <w:rsid w:val="00BB520A"/>
    <w:rsid w:val="00BB55DB"/>
    <w:rsid w:val="00BB5778"/>
    <w:rsid w:val="00BB57DB"/>
    <w:rsid w:val="00BB59A9"/>
    <w:rsid w:val="00BB6376"/>
    <w:rsid w:val="00BB6624"/>
    <w:rsid w:val="00BB6D19"/>
    <w:rsid w:val="00BB706A"/>
    <w:rsid w:val="00BB74D3"/>
    <w:rsid w:val="00BB75B7"/>
    <w:rsid w:val="00BB77F7"/>
    <w:rsid w:val="00BC0380"/>
    <w:rsid w:val="00BC057E"/>
    <w:rsid w:val="00BC0E40"/>
    <w:rsid w:val="00BC124F"/>
    <w:rsid w:val="00BC1716"/>
    <w:rsid w:val="00BC1B44"/>
    <w:rsid w:val="00BC227E"/>
    <w:rsid w:val="00BC2455"/>
    <w:rsid w:val="00BC24B9"/>
    <w:rsid w:val="00BC287D"/>
    <w:rsid w:val="00BC2977"/>
    <w:rsid w:val="00BC2DF1"/>
    <w:rsid w:val="00BC2E31"/>
    <w:rsid w:val="00BC3152"/>
    <w:rsid w:val="00BC31F2"/>
    <w:rsid w:val="00BC34C5"/>
    <w:rsid w:val="00BC37EC"/>
    <w:rsid w:val="00BC3A8D"/>
    <w:rsid w:val="00BC3F90"/>
    <w:rsid w:val="00BC419C"/>
    <w:rsid w:val="00BC42B9"/>
    <w:rsid w:val="00BC481C"/>
    <w:rsid w:val="00BC489B"/>
    <w:rsid w:val="00BC4DBE"/>
    <w:rsid w:val="00BC51F3"/>
    <w:rsid w:val="00BC5231"/>
    <w:rsid w:val="00BC55F9"/>
    <w:rsid w:val="00BC5888"/>
    <w:rsid w:val="00BC5BDC"/>
    <w:rsid w:val="00BC5BF8"/>
    <w:rsid w:val="00BC5C8F"/>
    <w:rsid w:val="00BC5CF1"/>
    <w:rsid w:val="00BC612E"/>
    <w:rsid w:val="00BC625D"/>
    <w:rsid w:val="00BC6A3F"/>
    <w:rsid w:val="00BC7598"/>
    <w:rsid w:val="00BC793F"/>
    <w:rsid w:val="00BC7C37"/>
    <w:rsid w:val="00BD064F"/>
    <w:rsid w:val="00BD0B6C"/>
    <w:rsid w:val="00BD0E6D"/>
    <w:rsid w:val="00BD0F46"/>
    <w:rsid w:val="00BD100D"/>
    <w:rsid w:val="00BD109F"/>
    <w:rsid w:val="00BD1243"/>
    <w:rsid w:val="00BD1AC4"/>
    <w:rsid w:val="00BD23D9"/>
    <w:rsid w:val="00BD259F"/>
    <w:rsid w:val="00BD2687"/>
    <w:rsid w:val="00BD2E8A"/>
    <w:rsid w:val="00BD35B2"/>
    <w:rsid w:val="00BD3600"/>
    <w:rsid w:val="00BD3755"/>
    <w:rsid w:val="00BD379F"/>
    <w:rsid w:val="00BD38C3"/>
    <w:rsid w:val="00BD3C3C"/>
    <w:rsid w:val="00BD3CAF"/>
    <w:rsid w:val="00BD4218"/>
    <w:rsid w:val="00BD47EC"/>
    <w:rsid w:val="00BD4878"/>
    <w:rsid w:val="00BD4F4D"/>
    <w:rsid w:val="00BD4F5C"/>
    <w:rsid w:val="00BD5508"/>
    <w:rsid w:val="00BD558D"/>
    <w:rsid w:val="00BD57A2"/>
    <w:rsid w:val="00BD58DB"/>
    <w:rsid w:val="00BD5BCB"/>
    <w:rsid w:val="00BD5C87"/>
    <w:rsid w:val="00BD5E51"/>
    <w:rsid w:val="00BD5E72"/>
    <w:rsid w:val="00BD6213"/>
    <w:rsid w:val="00BD636E"/>
    <w:rsid w:val="00BD64B3"/>
    <w:rsid w:val="00BD68A5"/>
    <w:rsid w:val="00BD6A99"/>
    <w:rsid w:val="00BD7741"/>
    <w:rsid w:val="00BD79EA"/>
    <w:rsid w:val="00BD7CEE"/>
    <w:rsid w:val="00BD7D0A"/>
    <w:rsid w:val="00BD7E46"/>
    <w:rsid w:val="00BD7F7E"/>
    <w:rsid w:val="00BE0022"/>
    <w:rsid w:val="00BE015C"/>
    <w:rsid w:val="00BE01C8"/>
    <w:rsid w:val="00BE01D9"/>
    <w:rsid w:val="00BE03CF"/>
    <w:rsid w:val="00BE0569"/>
    <w:rsid w:val="00BE0B9E"/>
    <w:rsid w:val="00BE0EBB"/>
    <w:rsid w:val="00BE10FB"/>
    <w:rsid w:val="00BE1A36"/>
    <w:rsid w:val="00BE1D03"/>
    <w:rsid w:val="00BE2709"/>
    <w:rsid w:val="00BE284C"/>
    <w:rsid w:val="00BE2EE5"/>
    <w:rsid w:val="00BE3287"/>
    <w:rsid w:val="00BE33FF"/>
    <w:rsid w:val="00BE3515"/>
    <w:rsid w:val="00BE411E"/>
    <w:rsid w:val="00BE4317"/>
    <w:rsid w:val="00BE49FD"/>
    <w:rsid w:val="00BE4C49"/>
    <w:rsid w:val="00BE5512"/>
    <w:rsid w:val="00BE57D2"/>
    <w:rsid w:val="00BE581C"/>
    <w:rsid w:val="00BE589D"/>
    <w:rsid w:val="00BE59A0"/>
    <w:rsid w:val="00BE63A7"/>
    <w:rsid w:val="00BE671E"/>
    <w:rsid w:val="00BE6915"/>
    <w:rsid w:val="00BE6989"/>
    <w:rsid w:val="00BE6BF3"/>
    <w:rsid w:val="00BE731D"/>
    <w:rsid w:val="00BE742E"/>
    <w:rsid w:val="00BE7999"/>
    <w:rsid w:val="00BF0165"/>
    <w:rsid w:val="00BF0959"/>
    <w:rsid w:val="00BF0965"/>
    <w:rsid w:val="00BF09F2"/>
    <w:rsid w:val="00BF0E48"/>
    <w:rsid w:val="00BF1063"/>
    <w:rsid w:val="00BF16AA"/>
    <w:rsid w:val="00BF1AD4"/>
    <w:rsid w:val="00BF1E9A"/>
    <w:rsid w:val="00BF256B"/>
    <w:rsid w:val="00BF2B7D"/>
    <w:rsid w:val="00BF2C3F"/>
    <w:rsid w:val="00BF2D01"/>
    <w:rsid w:val="00BF2D3F"/>
    <w:rsid w:val="00BF3ADE"/>
    <w:rsid w:val="00BF3E86"/>
    <w:rsid w:val="00BF3FC1"/>
    <w:rsid w:val="00BF44D9"/>
    <w:rsid w:val="00BF4626"/>
    <w:rsid w:val="00BF462E"/>
    <w:rsid w:val="00BF4677"/>
    <w:rsid w:val="00BF497C"/>
    <w:rsid w:val="00BF4B8F"/>
    <w:rsid w:val="00BF5172"/>
    <w:rsid w:val="00BF5807"/>
    <w:rsid w:val="00BF58EF"/>
    <w:rsid w:val="00BF6D0F"/>
    <w:rsid w:val="00BF6D6F"/>
    <w:rsid w:val="00BF725D"/>
    <w:rsid w:val="00BF749C"/>
    <w:rsid w:val="00BF74F7"/>
    <w:rsid w:val="00BF7744"/>
    <w:rsid w:val="00BF78A8"/>
    <w:rsid w:val="00BF7C69"/>
    <w:rsid w:val="00BF7D12"/>
    <w:rsid w:val="00C0019F"/>
    <w:rsid w:val="00C0045C"/>
    <w:rsid w:val="00C012DD"/>
    <w:rsid w:val="00C01593"/>
    <w:rsid w:val="00C015C0"/>
    <w:rsid w:val="00C015F4"/>
    <w:rsid w:val="00C01B74"/>
    <w:rsid w:val="00C01C0F"/>
    <w:rsid w:val="00C01EA5"/>
    <w:rsid w:val="00C02000"/>
    <w:rsid w:val="00C02322"/>
    <w:rsid w:val="00C02F2B"/>
    <w:rsid w:val="00C02F53"/>
    <w:rsid w:val="00C03282"/>
    <w:rsid w:val="00C032AF"/>
    <w:rsid w:val="00C032BA"/>
    <w:rsid w:val="00C04628"/>
    <w:rsid w:val="00C048B4"/>
    <w:rsid w:val="00C050B1"/>
    <w:rsid w:val="00C05342"/>
    <w:rsid w:val="00C05375"/>
    <w:rsid w:val="00C0571D"/>
    <w:rsid w:val="00C058DE"/>
    <w:rsid w:val="00C05BB6"/>
    <w:rsid w:val="00C05D15"/>
    <w:rsid w:val="00C05FF8"/>
    <w:rsid w:val="00C06002"/>
    <w:rsid w:val="00C063DD"/>
    <w:rsid w:val="00C0667A"/>
    <w:rsid w:val="00C06C26"/>
    <w:rsid w:val="00C06F5B"/>
    <w:rsid w:val="00C06F86"/>
    <w:rsid w:val="00C079A2"/>
    <w:rsid w:val="00C1003E"/>
    <w:rsid w:val="00C1144A"/>
    <w:rsid w:val="00C11955"/>
    <w:rsid w:val="00C11BDD"/>
    <w:rsid w:val="00C1201F"/>
    <w:rsid w:val="00C120B0"/>
    <w:rsid w:val="00C12347"/>
    <w:rsid w:val="00C124BA"/>
    <w:rsid w:val="00C13067"/>
    <w:rsid w:val="00C130D0"/>
    <w:rsid w:val="00C132D8"/>
    <w:rsid w:val="00C13309"/>
    <w:rsid w:val="00C13E4B"/>
    <w:rsid w:val="00C140A7"/>
    <w:rsid w:val="00C1414F"/>
    <w:rsid w:val="00C142E4"/>
    <w:rsid w:val="00C14331"/>
    <w:rsid w:val="00C146D3"/>
    <w:rsid w:val="00C147ED"/>
    <w:rsid w:val="00C14B47"/>
    <w:rsid w:val="00C14B8A"/>
    <w:rsid w:val="00C14C34"/>
    <w:rsid w:val="00C14D04"/>
    <w:rsid w:val="00C15AAA"/>
    <w:rsid w:val="00C15C9D"/>
    <w:rsid w:val="00C1625A"/>
    <w:rsid w:val="00C162A5"/>
    <w:rsid w:val="00C16681"/>
    <w:rsid w:val="00C167D9"/>
    <w:rsid w:val="00C16AF8"/>
    <w:rsid w:val="00C16B00"/>
    <w:rsid w:val="00C16BDD"/>
    <w:rsid w:val="00C16E17"/>
    <w:rsid w:val="00C16E6C"/>
    <w:rsid w:val="00C16E8E"/>
    <w:rsid w:val="00C16FBA"/>
    <w:rsid w:val="00C17346"/>
    <w:rsid w:val="00C1739F"/>
    <w:rsid w:val="00C175C6"/>
    <w:rsid w:val="00C1762E"/>
    <w:rsid w:val="00C17AB7"/>
    <w:rsid w:val="00C17C2E"/>
    <w:rsid w:val="00C17F74"/>
    <w:rsid w:val="00C20271"/>
    <w:rsid w:val="00C20409"/>
    <w:rsid w:val="00C206D2"/>
    <w:rsid w:val="00C2081B"/>
    <w:rsid w:val="00C20A24"/>
    <w:rsid w:val="00C20C4F"/>
    <w:rsid w:val="00C20C6B"/>
    <w:rsid w:val="00C213B2"/>
    <w:rsid w:val="00C21DF0"/>
    <w:rsid w:val="00C22001"/>
    <w:rsid w:val="00C22513"/>
    <w:rsid w:val="00C226B0"/>
    <w:rsid w:val="00C22809"/>
    <w:rsid w:val="00C2295C"/>
    <w:rsid w:val="00C2305D"/>
    <w:rsid w:val="00C23449"/>
    <w:rsid w:val="00C2353D"/>
    <w:rsid w:val="00C236FC"/>
    <w:rsid w:val="00C2395C"/>
    <w:rsid w:val="00C243AC"/>
    <w:rsid w:val="00C24538"/>
    <w:rsid w:val="00C25654"/>
    <w:rsid w:val="00C2566E"/>
    <w:rsid w:val="00C25905"/>
    <w:rsid w:val="00C25AEF"/>
    <w:rsid w:val="00C25B34"/>
    <w:rsid w:val="00C25E1B"/>
    <w:rsid w:val="00C263C8"/>
    <w:rsid w:val="00C26838"/>
    <w:rsid w:val="00C26D33"/>
    <w:rsid w:val="00C26E00"/>
    <w:rsid w:val="00C2742B"/>
    <w:rsid w:val="00C276C4"/>
    <w:rsid w:val="00C27777"/>
    <w:rsid w:val="00C27C96"/>
    <w:rsid w:val="00C27EC8"/>
    <w:rsid w:val="00C303C7"/>
    <w:rsid w:val="00C30403"/>
    <w:rsid w:val="00C3041F"/>
    <w:rsid w:val="00C30C03"/>
    <w:rsid w:val="00C30E47"/>
    <w:rsid w:val="00C30F5D"/>
    <w:rsid w:val="00C3107C"/>
    <w:rsid w:val="00C31202"/>
    <w:rsid w:val="00C31C52"/>
    <w:rsid w:val="00C322A9"/>
    <w:rsid w:val="00C3256B"/>
    <w:rsid w:val="00C32714"/>
    <w:rsid w:val="00C333A9"/>
    <w:rsid w:val="00C3347A"/>
    <w:rsid w:val="00C33D1B"/>
    <w:rsid w:val="00C33D9E"/>
    <w:rsid w:val="00C33DC8"/>
    <w:rsid w:val="00C3416A"/>
    <w:rsid w:val="00C342B9"/>
    <w:rsid w:val="00C34B6D"/>
    <w:rsid w:val="00C355BE"/>
    <w:rsid w:val="00C355D6"/>
    <w:rsid w:val="00C356D1"/>
    <w:rsid w:val="00C35F9D"/>
    <w:rsid w:val="00C36202"/>
    <w:rsid w:val="00C36218"/>
    <w:rsid w:val="00C366D1"/>
    <w:rsid w:val="00C36B43"/>
    <w:rsid w:val="00C36EB3"/>
    <w:rsid w:val="00C37239"/>
    <w:rsid w:val="00C375C0"/>
    <w:rsid w:val="00C3784C"/>
    <w:rsid w:val="00C40141"/>
    <w:rsid w:val="00C40174"/>
    <w:rsid w:val="00C40496"/>
    <w:rsid w:val="00C40588"/>
    <w:rsid w:val="00C4084B"/>
    <w:rsid w:val="00C41105"/>
    <w:rsid w:val="00C4150A"/>
    <w:rsid w:val="00C41E0C"/>
    <w:rsid w:val="00C42068"/>
    <w:rsid w:val="00C420BC"/>
    <w:rsid w:val="00C44223"/>
    <w:rsid w:val="00C445D8"/>
    <w:rsid w:val="00C446BB"/>
    <w:rsid w:val="00C446EB"/>
    <w:rsid w:val="00C44732"/>
    <w:rsid w:val="00C447EB"/>
    <w:rsid w:val="00C44BCF"/>
    <w:rsid w:val="00C44E1C"/>
    <w:rsid w:val="00C45117"/>
    <w:rsid w:val="00C45580"/>
    <w:rsid w:val="00C455AB"/>
    <w:rsid w:val="00C45782"/>
    <w:rsid w:val="00C45A4D"/>
    <w:rsid w:val="00C46477"/>
    <w:rsid w:val="00C46482"/>
    <w:rsid w:val="00C465E6"/>
    <w:rsid w:val="00C46859"/>
    <w:rsid w:val="00C4743C"/>
    <w:rsid w:val="00C47A86"/>
    <w:rsid w:val="00C47DC8"/>
    <w:rsid w:val="00C50485"/>
    <w:rsid w:val="00C50A30"/>
    <w:rsid w:val="00C50F71"/>
    <w:rsid w:val="00C5113D"/>
    <w:rsid w:val="00C51954"/>
    <w:rsid w:val="00C51DC4"/>
    <w:rsid w:val="00C51FCD"/>
    <w:rsid w:val="00C520A9"/>
    <w:rsid w:val="00C52538"/>
    <w:rsid w:val="00C52604"/>
    <w:rsid w:val="00C52A30"/>
    <w:rsid w:val="00C53216"/>
    <w:rsid w:val="00C533D8"/>
    <w:rsid w:val="00C53E6F"/>
    <w:rsid w:val="00C54116"/>
    <w:rsid w:val="00C54431"/>
    <w:rsid w:val="00C54A63"/>
    <w:rsid w:val="00C54B70"/>
    <w:rsid w:val="00C54C04"/>
    <w:rsid w:val="00C55066"/>
    <w:rsid w:val="00C550A3"/>
    <w:rsid w:val="00C5525B"/>
    <w:rsid w:val="00C55552"/>
    <w:rsid w:val="00C55754"/>
    <w:rsid w:val="00C55BB7"/>
    <w:rsid w:val="00C5659B"/>
    <w:rsid w:val="00C56B3B"/>
    <w:rsid w:val="00C575E4"/>
    <w:rsid w:val="00C579C4"/>
    <w:rsid w:val="00C57FFD"/>
    <w:rsid w:val="00C6047E"/>
    <w:rsid w:val="00C6082C"/>
    <w:rsid w:val="00C60D25"/>
    <w:rsid w:val="00C615CF"/>
    <w:rsid w:val="00C61855"/>
    <w:rsid w:val="00C61988"/>
    <w:rsid w:val="00C62225"/>
    <w:rsid w:val="00C623D4"/>
    <w:rsid w:val="00C62510"/>
    <w:rsid w:val="00C63798"/>
    <w:rsid w:val="00C638E4"/>
    <w:rsid w:val="00C63EF9"/>
    <w:rsid w:val="00C64009"/>
    <w:rsid w:val="00C64035"/>
    <w:rsid w:val="00C64B6D"/>
    <w:rsid w:val="00C64BFC"/>
    <w:rsid w:val="00C656AC"/>
    <w:rsid w:val="00C656D0"/>
    <w:rsid w:val="00C66E66"/>
    <w:rsid w:val="00C6705C"/>
    <w:rsid w:val="00C679C0"/>
    <w:rsid w:val="00C67BA8"/>
    <w:rsid w:val="00C67D06"/>
    <w:rsid w:val="00C67ECC"/>
    <w:rsid w:val="00C70338"/>
    <w:rsid w:val="00C70372"/>
    <w:rsid w:val="00C70494"/>
    <w:rsid w:val="00C71313"/>
    <w:rsid w:val="00C71C4F"/>
    <w:rsid w:val="00C71C83"/>
    <w:rsid w:val="00C72AE2"/>
    <w:rsid w:val="00C72FDD"/>
    <w:rsid w:val="00C73074"/>
    <w:rsid w:val="00C74984"/>
    <w:rsid w:val="00C74C9F"/>
    <w:rsid w:val="00C75094"/>
    <w:rsid w:val="00C755DF"/>
    <w:rsid w:val="00C760B9"/>
    <w:rsid w:val="00C761DA"/>
    <w:rsid w:val="00C76D8C"/>
    <w:rsid w:val="00C76E5A"/>
    <w:rsid w:val="00C76F51"/>
    <w:rsid w:val="00C7719E"/>
    <w:rsid w:val="00C7729E"/>
    <w:rsid w:val="00C7759D"/>
    <w:rsid w:val="00C77A2A"/>
    <w:rsid w:val="00C77BC5"/>
    <w:rsid w:val="00C77E38"/>
    <w:rsid w:val="00C77FCE"/>
    <w:rsid w:val="00C800CC"/>
    <w:rsid w:val="00C801B8"/>
    <w:rsid w:val="00C8079C"/>
    <w:rsid w:val="00C809B4"/>
    <w:rsid w:val="00C80B66"/>
    <w:rsid w:val="00C80B72"/>
    <w:rsid w:val="00C80BB4"/>
    <w:rsid w:val="00C80C55"/>
    <w:rsid w:val="00C81AC3"/>
    <w:rsid w:val="00C81CE1"/>
    <w:rsid w:val="00C82577"/>
    <w:rsid w:val="00C825BB"/>
    <w:rsid w:val="00C82665"/>
    <w:rsid w:val="00C82712"/>
    <w:rsid w:val="00C828F2"/>
    <w:rsid w:val="00C82AB8"/>
    <w:rsid w:val="00C82AE6"/>
    <w:rsid w:val="00C8333A"/>
    <w:rsid w:val="00C8345D"/>
    <w:rsid w:val="00C8361E"/>
    <w:rsid w:val="00C8371E"/>
    <w:rsid w:val="00C83832"/>
    <w:rsid w:val="00C838B1"/>
    <w:rsid w:val="00C83A16"/>
    <w:rsid w:val="00C83B6B"/>
    <w:rsid w:val="00C83D34"/>
    <w:rsid w:val="00C845B0"/>
    <w:rsid w:val="00C84B24"/>
    <w:rsid w:val="00C850E7"/>
    <w:rsid w:val="00C8528C"/>
    <w:rsid w:val="00C852B0"/>
    <w:rsid w:val="00C85B14"/>
    <w:rsid w:val="00C85DA8"/>
    <w:rsid w:val="00C86543"/>
    <w:rsid w:val="00C86628"/>
    <w:rsid w:val="00C86C89"/>
    <w:rsid w:val="00C873A3"/>
    <w:rsid w:val="00C87566"/>
    <w:rsid w:val="00C87DC4"/>
    <w:rsid w:val="00C87E46"/>
    <w:rsid w:val="00C900F5"/>
    <w:rsid w:val="00C9040A"/>
    <w:rsid w:val="00C90B09"/>
    <w:rsid w:val="00C90B21"/>
    <w:rsid w:val="00C90C00"/>
    <w:rsid w:val="00C90FC1"/>
    <w:rsid w:val="00C911D5"/>
    <w:rsid w:val="00C912EF"/>
    <w:rsid w:val="00C915CF"/>
    <w:rsid w:val="00C91808"/>
    <w:rsid w:val="00C91A8A"/>
    <w:rsid w:val="00C91B1A"/>
    <w:rsid w:val="00C92269"/>
    <w:rsid w:val="00C92435"/>
    <w:rsid w:val="00C928E0"/>
    <w:rsid w:val="00C92C63"/>
    <w:rsid w:val="00C92D90"/>
    <w:rsid w:val="00C93294"/>
    <w:rsid w:val="00C933AA"/>
    <w:rsid w:val="00C9342F"/>
    <w:rsid w:val="00C93538"/>
    <w:rsid w:val="00C9358D"/>
    <w:rsid w:val="00C936B9"/>
    <w:rsid w:val="00C939EA"/>
    <w:rsid w:val="00C93EC7"/>
    <w:rsid w:val="00C9430F"/>
    <w:rsid w:val="00C947D6"/>
    <w:rsid w:val="00C94884"/>
    <w:rsid w:val="00C948BA"/>
    <w:rsid w:val="00C9492F"/>
    <w:rsid w:val="00C94B12"/>
    <w:rsid w:val="00C94B9D"/>
    <w:rsid w:val="00C952F2"/>
    <w:rsid w:val="00C95504"/>
    <w:rsid w:val="00C956B4"/>
    <w:rsid w:val="00C95CB6"/>
    <w:rsid w:val="00C95D05"/>
    <w:rsid w:val="00C96175"/>
    <w:rsid w:val="00C96292"/>
    <w:rsid w:val="00C9633E"/>
    <w:rsid w:val="00C963C7"/>
    <w:rsid w:val="00C96F3F"/>
    <w:rsid w:val="00C97AF3"/>
    <w:rsid w:val="00C97FB7"/>
    <w:rsid w:val="00CA00A6"/>
    <w:rsid w:val="00CA075E"/>
    <w:rsid w:val="00CA0792"/>
    <w:rsid w:val="00CA07FC"/>
    <w:rsid w:val="00CA10B2"/>
    <w:rsid w:val="00CA1219"/>
    <w:rsid w:val="00CA1BEB"/>
    <w:rsid w:val="00CA1C59"/>
    <w:rsid w:val="00CA1DA5"/>
    <w:rsid w:val="00CA1ECD"/>
    <w:rsid w:val="00CA2010"/>
    <w:rsid w:val="00CA205A"/>
    <w:rsid w:val="00CA218A"/>
    <w:rsid w:val="00CA273C"/>
    <w:rsid w:val="00CA2EF7"/>
    <w:rsid w:val="00CA3547"/>
    <w:rsid w:val="00CA38EF"/>
    <w:rsid w:val="00CA3B3E"/>
    <w:rsid w:val="00CA3B6E"/>
    <w:rsid w:val="00CA3C96"/>
    <w:rsid w:val="00CA41A6"/>
    <w:rsid w:val="00CA5112"/>
    <w:rsid w:val="00CA5432"/>
    <w:rsid w:val="00CA6180"/>
    <w:rsid w:val="00CA68F6"/>
    <w:rsid w:val="00CA7070"/>
    <w:rsid w:val="00CA71B2"/>
    <w:rsid w:val="00CA760A"/>
    <w:rsid w:val="00CA796C"/>
    <w:rsid w:val="00CB0143"/>
    <w:rsid w:val="00CB02FC"/>
    <w:rsid w:val="00CB0337"/>
    <w:rsid w:val="00CB04D7"/>
    <w:rsid w:val="00CB103B"/>
    <w:rsid w:val="00CB1178"/>
    <w:rsid w:val="00CB12F4"/>
    <w:rsid w:val="00CB1420"/>
    <w:rsid w:val="00CB1568"/>
    <w:rsid w:val="00CB16F0"/>
    <w:rsid w:val="00CB1BA5"/>
    <w:rsid w:val="00CB1F29"/>
    <w:rsid w:val="00CB20F7"/>
    <w:rsid w:val="00CB2390"/>
    <w:rsid w:val="00CB2B15"/>
    <w:rsid w:val="00CB3324"/>
    <w:rsid w:val="00CB3650"/>
    <w:rsid w:val="00CB37BB"/>
    <w:rsid w:val="00CB38FE"/>
    <w:rsid w:val="00CB3903"/>
    <w:rsid w:val="00CB3A64"/>
    <w:rsid w:val="00CB5365"/>
    <w:rsid w:val="00CB538D"/>
    <w:rsid w:val="00CB5CF2"/>
    <w:rsid w:val="00CB5F24"/>
    <w:rsid w:val="00CB664E"/>
    <w:rsid w:val="00CB6ABB"/>
    <w:rsid w:val="00CB6BFD"/>
    <w:rsid w:val="00CB6F19"/>
    <w:rsid w:val="00CB7047"/>
    <w:rsid w:val="00CB716F"/>
    <w:rsid w:val="00CB7CAA"/>
    <w:rsid w:val="00CC0ABC"/>
    <w:rsid w:val="00CC0C75"/>
    <w:rsid w:val="00CC1070"/>
    <w:rsid w:val="00CC134B"/>
    <w:rsid w:val="00CC17D4"/>
    <w:rsid w:val="00CC1EC7"/>
    <w:rsid w:val="00CC23E5"/>
    <w:rsid w:val="00CC3097"/>
    <w:rsid w:val="00CC3287"/>
    <w:rsid w:val="00CC408B"/>
    <w:rsid w:val="00CC4116"/>
    <w:rsid w:val="00CC43FB"/>
    <w:rsid w:val="00CC4738"/>
    <w:rsid w:val="00CC48BC"/>
    <w:rsid w:val="00CC579E"/>
    <w:rsid w:val="00CC5B6A"/>
    <w:rsid w:val="00CC5E19"/>
    <w:rsid w:val="00CC675F"/>
    <w:rsid w:val="00CC6AC7"/>
    <w:rsid w:val="00CC6ED6"/>
    <w:rsid w:val="00CC71ED"/>
    <w:rsid w:val="00CC77FA"/>
    <w:rsid w:val="00CD079C"/>
    <w:rsid w:val="00CD0857"/>
    <w:rsid w:val="00CD0D85"/>
    <w:rsid w:val="00CD0F6D"/>
    <w:rsid w:val="00CD1398"/>
    <w:rsid w:val="00CD13F4"/>
    <w:rsid w:val="00CD1719"/>
    <w:rsid w:val="00CD1CCE"/>
    <w:rsid w:val="00CD204A"/>
    <w:rsid w:val="00CD22E1"/>
    <w:rsid w:val="00CD2478"/>
    <w:rsid w:val="00CD2D94"/>
    <w:rsid w:val="00CD2EDA"/>
    <w:rsid w:val="00CD34DA"/>
    <w:rsid w:val="00CD3BD7"/>
    <w:rsid w:val="00CD3C25"/>
    <w:rsid w:val="00CD3C76"/>
    <w:rsid w:val="00CD3C7F"/>
    <w:rsid w:val="00CD3CF1"/>
    <w:rsid w:val="00CD4160"/>
    <w:rsid w:val="00CD44C1"/>
    <w:rsid w:val="00CD463A"/>
    <w:rsid w:val="00CD4B08"/>
    <w:rsid w:val="00CD4DE5"/>
    <w:rsid w:val="00CD4DEB"/>
    <w:rsid w:val="00CD552F"/>
    <w:rsid w:val="00CD5A6D"/>
    <w:rsid w:val="00CD6094"/>
    <w:rsid w:val="00CD65FE"/>
    <w:rsid w:val="00CD7330"/>
    <w:rsid w:val="00CD78E9"/>
    <w:rsid w:val="00CD7D87"/>
    <w:rsid w:val="00CE0621"/>
    <w:rsid w:val="00CE0691"/>
    <w:rsid w:val="00CE084F"/>
    <w:rsid w:val="00CE0887"/>
    <w:rsid w:val="00CE091B"/>
    <w:rsid w:val="00CE09EC"/>
    <w:rsid w:val="00CE0AF8"/>
    <w:rsid w:val="00CE0C32"/>
    <w:rsid w:val="00CE104F"/>
    <w:rsid w:val="00CE17CD"/>
    <w:rsid w:val="00CE23B9"/>
    <w:rsid w:val="00CE270B"/>
    <w:rsid w:val="00CE2B4B"/>
    <w:rsid w:val="00CE2B51"/>
    <w:rsid w:val="00CE3130"/>
    <w:rsid w:val="00CE3632"/>
    <w:rsid w:val="00CE3762"/>
    <w:rsid w:val="00CE37CF"/>
    <w:rsid w:val="00CE40F7"/>
    <w:rsid w:val="00CE4998"/>
    <w:rsid w:val="00CE4B92"/>
    <w:rsid w:val="00CE4E5B"/>
    <w:rsid w:val="00CE62B7"/>
    <w:rsid w:val="00CE6F90"/>
    <w:rsid w:val="00CE7150"/>
    <w:rsid w:val="00CE7295"/>
    <w:rsid w:val="00CE735B"/>
    <w:rsid w:val="00CE7572"/>
    <w:rsid w:val="00CE770E"/>
    <w:rsid w:val="00CE795B"/>
    <w:rsid w:val="00CE7E6C"/>
    <w:rsid w:val="00CF0310"/>
    <w:rsid w:val="00CF061D"/>
    <w:rsid w:val="00CF0622"/>
    <w:rsid w:val="00CF0964"/>
    <w:rsid w:val="00CF0C9F"/>
    <w:rsid w:val="00CF0ED5"/>
    <w:rsid w:val="00CF0EDA"/>
    <w:rsid w:val="00CF13F5"/>
    <w:rsid w:val="00CF19B6"/>
    <w:rsid w:val="00CF1B96"/>
    <w:rsid w:val="00CF22E6"/>
    <w:rsid w:val="00CF2374"/>
    <w:rsid w:val="00CF2BF5"/>
    <w:rsid w:val="00CF2CBF"/>
    <w:rsid w:val="00CF2E1C"/>
    <w:rsid w:val="00CF2EF7"/>
    <w:rsid w:val="00CF2EFF"/>
    <w:rsid w:val="00CF33E0"/>
    <w:rsid w:val="00CF38A0"/>
    <w:rsid w:val="00CF3AEA"/>
    <w:rsid w:val="00CF3C21"/>
    <w:rsid w:val="00CF3FAF"/>
    <w:rsid w:val="00CF43FE"/>
    <w:rsid w:val="00CF497E"/>
    <w:rsid w:val="00CF4AD6"/>
    <w:rsid w:val="00CF50A2"/>
    <w:rsid w:val="00CF52B9"/>
    <w:rsid w:val="00CF58E1"/>
    <w:rsid w:val="00CF6474"/>
    <w:rsid w:val="00CF65A5"/>
    <w:rsid w:val="00CF6A38"/>
    <w:rsid w:val="00CF6B1E"/>
    <w:rsid w:val="00CF7372"/>
    <w:rsid w:val="00CF75B2"/>
    <w:rsid w:val="00CF7678"/>
    <w:rsid w:val="00CF7AEC"/>
    <w:rsid w:val="00CF7CA3"/>
    <w:rsid w:val="00D0025B"/>
    <w:rsid w:val="00D0032A"/>
    <w:rsid w:val="00D007FB"/>
    <w:rsid w:val="00D00B4D"/>
    <w:rsid w:val="00D00B95"/>
    <w:rsid w:val="00D00F5D"/>
    <w:rsid w:val="00D01221"/>
    <w:rsid w:val="00D01DF7"/>
    <w:rsid w:val="00D01F91"/>
    <w:rsid w:val="00D029D8"/>
    <w:rsid w:val="00D032F2"/>
    <w:rsid w:val="00D036F1"/>
    <w:rsid w:val="00D037C0"/>
    <w:rsid w:val="00D0394F"/>
    <w:rsid w:val="00D03B18"/>
    <w:rsid w:val="00D03D9A"/>
    <w:rsid w:val="00D04A8C"/>
    <w:rsid w:val="00D04BB7"/>
    <w:rsid w:val="00D050B3"/>
    <w:rsid w:val="00D063BF"/>
    <w:rsid w:val="00D06AB5"/>
    <w:rsid w:val="00D07656"/>
    <w:rsid w:val="00D07675"/>
    <w:rsid w:val="00D1009D"/>
    <w:rsid w:val="00D1010E"/>
    <w:rsid w:val="00D10136"/>
    <w:rsid w:val="00D10139"/>
    <w:rsid w:val="00D10607"/>
    <w:rsid w:val="00D10659"/>
    <w:rsid w:val="00D10665"/>
    <w:rsid w:val="00D1093B"/>
    <w:rsid w:val="00D10A78"/>
    <w:rsid w:val="00D10A89"/>
    <w:rsid w:val="00D10D9E"/>
    <w:rsid w:val="00D10E9A"/>
    <w:rsid w:val="00D11214"/>
    <w:rsid w:val="00D114B2"/>
    <w:rsid w:val="00D11596"/>
    <w:rsid w:val="00D1162A"/>
    <w:rsid w:val="00D11825"/>
    <w:rsid w:val="00D11AB3"/>
    <w:rsid w:val="00D12072"/>
    <w:rsid w:val="00D122DC"/>
    <w:rsid w:val="00D12B52"/>
    <w:rsid w:val="00D12CF1"/>
    <w:rsid w:val="00D1311B"/>
    <w:rsid w:val="00D1334E"/>
    <w:rsid w:val="00D1350D"/>
    <w:rsid w:val="00D13D31"/>
    <w:rsid w:val="00D144B8"/>
    <w:rsid w:val="00D147B4"/>
    <w:rsid w:val="00D148C2"/>
    <w:rsid w:val="00D14ACD"/>
    <w:rsid w:val="00D15064"/>
    <w:rsid w:val="00D152AC"/>
    <w:rsid w:val="00D153B7"/>
    <w:rsid w:val="00D15C7E"/>
    <w:rsid w:val="00D17890"/>
    <w:rsid w:val="00D17AF7"/>
    <w:rsid w:val="00D2008C"/>
    <w:rsid w:val="00D20973"/>
    <w:rsid w:val="00D20A34"/>
    <w:rsid w:val="00D21044"/>
    <w:rsid w:val="00D21F1C"/>
    <w:rsid w:val="00D21FC3"/>
    <w:rsid w:val="00D21FEF"/>
    <w:rsid w:val="00D220D0"/>
    <w:rsid w:val="00D22C5E"/>
    <w:rsid w:val="00D23509"/>
    <w:rsid w:val="00D23DCA"/>
    <w:rsid w:val="00D23EBE"/>
    <w:rsid w:val="00D23F59"/>
    <w:rsid w:val="00D246FB"/>
    <w:rsid w:val="00D2539E"/>
    <w:rsid w:val="00D25F7A"/>
    <w:rsid w:val="00D266FA"/>
    <w:rsid w:val="00D26999"/>
    <w:rsid w:val="00D27BC9"/>
    <w:rsid w:val="00D27D89"/>
    <w:rsid w:val="00D27E80"/>
    <w:rsid w:val="00D3030E"/>
    <w:rsid w:val="00D30332"/>
    <w:rsid w:val="00D30747"/>
    <w:rsid w:val="00D30AC4"/>
    <w:rsid w:val="00D30C97"/>
    <w:rsid w:val="00D30EAD"/>
    <w:rsid w:val="00D31184"/>
    <w:rsid w:val="00D313B5"/>
    <w:rsid w:val="00D319F4"/>
    <w:rsid w:val="00D31E2E"/>
    <w:rsid w:val="00D32296"/>
    <w:rsid w:val="00D32548"/>
    <w:rsid w:val="00D32705"/>
    <w:rsid w:val="00D329EA"/>
    <w:rsid w:val="00D32A8A"/>
    <w:rsid w:val="00D32B95"/>
    <w:rsid w:val="00D32DAD"/>
    <w:rsid w:val="00D3312F"/>
    <w:rsid w:val="00D33209"/>
    <w:rsid w:val="00D33377"/>
    <w:rsid w:val="00D336A7"/>
    <w:rsid w:val="00D339C8"/>
    <w:rsid w:val="00D33C8C"/>
    <w:rsid w:val="00D33CB3"/>
    <w:rsid w:val="00D33D6D"/>
    <w:rsid w:val="00D33EC5"/>
    <w:rsid w:val="00D33F77"/>
    <w:rsid w:val="00D34542"/>
    <w:rsid w:val="00D34952"/>
    <w:rsid w:val="00D352C3"/>
    <w:rsid w:val="00D356A2"/>
    <w:rsid w:val="00D357D0"/>
    <w:rsid w:val="00D35B85"/>
    <w:rsid w:val="00D36270"/>
    <w:rsid w:val="00D36435"/>
    <w:rsid w:val="00D3677C"/>
    <w:rsid w:val="00D36860"/>
    <w:rsid w:val="00D3693F"/>
    <w:rsid w:val="00D36D1A"/>
    <w:rsid w:val="00D37053"/>
    <w:rsid w:val="00D400C4"/>
    <w:rsid w:val="00D40451"/>
    <w:rsid w:val="00D4067A"/>
    <w:rsid w:val="00D40A72"/>
    <w:rsid w:val="00D40D96"/>
    <w:rsid w:val="00D40FAA"/>
    <w:rsid w:val="00D4104F"/>
    <w:rsid w:val="00D41466"/>
    <w:rsid w:val="00D41C0F"/>
    <w:rsid w:val="00D41DCF"/>
    <w:rsid w:val="00D4208F"/>
    <w:rsid w:val="00D420E6"/>
    <w:rsid w:val="00D427E1"/>
    <w:rsid w:val="00D42C30"/>
    <w:rsid w:val="00D43388"/>
    <w:rsid w:val="00D43743"/>
    <w:rsid w:val="00D439E0"/>
    <w:rsid w:val="00D43D7E"/>
    <w:rsid w:val="00D44401"/>
    <w:rsid w:val="00D44746"/>
    <w:rsid w:val="00D44FDA"/>
    <w:rsid w:val="00D45215"/>
    <w:rsid w:val="00D45778"/>
    <w:rsid w:val="00D46308"/>
    <w:rsid w:val="00D46846"/>
    <w:rsid w:val="00D46CF9"/>
    <w:rsid w:val="00D47338"/>
    <w:rsid w:val="00D47341"/>
    <w:rsid w:val="00D47520"/>
    <w:rsid w:val="00D501D3"/>
    <w:rsid w:val="00D50AD9"/>
    <w:rsid w:val="00D50B5B"/>
    <w:rsid w:val="00D50C6D"/>
    <w:rsid w:val="00D50EE1"/>
    <w:rsid w:val="00D5115E"/>
    <w:rsid w:val="00D51904"/>
    <w:rsid w:val="00D51AC0"/>
    <w:rsid w:val="00D51BC4"/>
    <w:rsid w:val="00D51F4B"/>
    <w:rsid w:val="00D52757"/>
    <w:rsid w:val="00D52795"/>
    <w:rsid w:val="00D5292D"/>
    <w:rsid w:val="00D52F6D"/>
    <w:rsid w:val="00D53191"/>
    <w:rsid w:val="00D53496"/>
    <w:rsid w:val="00D534FE"/>
    <w:rsid w:val="00D53C56"/>
    <w:rsid w:val="00D53DD1"/>
    <w:rsid w:val="00D5426F"/>
    <w:rsid w:val="00D5468A"/>
    <w:rsid w:val="00D54B76"/>
    <w:rsid w:val="00D564CD"/>
    <w:rsid w:val="00D5704F"/>
    <w:rsid w:val="00D570B3"/>
    <w:rsid w:val="00D576DF"/>
    <w:rsid w:val="00D57C6F"/>
    <w:rsid w:val="00D60097"/>
    <w:rsid w:val="00D6015E"/>
    <w:rsid w:val="00D601B9"/>
    <w:rsid w:val="00D60215"/>
    <w:rsid w:val="00D603CD"/>
    <w:rsid w:val="00D607B1"/>
    <w:rsid w:val="00D60BEF"/>
    <w:rsid w:val="00D61232"/>
    <w:rsid w:val="00D61464"/>
    <w:rsid w:val="00D61A8C"/>
    <w:rsid w:val="00D628FA"/>
    <w:rsid w:val="00D6296F"/>
    <w:rsid w:val="00D629EA"/>
    <w:rsid w:val="00D62A22"/>
    <w:rsid w:val="00D62CFD"/>
    <w:rsid w:val="00D63024"/>
    <w:rsid w:val="00D63706"/>
    <w:rsid w:val="00D63D08"/>
    <w:rsid w:val="00D640DE"/>
    <w:rsid w:val="00D64431"/>
    <w:rsid w:val="00D64882"/>
    <w:rsid w:val="00D64901"/>
    <w:rsid w:val="00D65EA2"/>
    <w:rsid w:val="00D6620A"/>
    <w:rsid w:val="00D667FA"/>
    <w:rsid w:val="00D66979"/>
    <w:rsid w:val="00D66D6B"/>
    <w:rsid w:val="00D66DD8"/>
    <w:rsid w:val="00D676CE"/>
    <w:rsid w:val="00D67823"/>
    <w:rsid w:val="00D678D5"/>
    <w:rsid w:val="00D67F17"/>
    <w:rsid w:val="00D70039"/>
    <w:rsid w:val="00D7092B"/>
    <w:rsid w:val="00D70D1E"/>
    <w:rsid w:val="00D71A41"/>
    <w:rsid w:val="00D72038"/>
    <w:rsid w:val="00D7205D"/>
    <w:rsid w:val="00D72594"/>
    <w:rsid w:val="00D72623"/>
    <w:rsid w:val="00D72D68"/>
    <w:rsid w:val="00D73298"/>
    <w:rsid w:val="00D7333E"/>
    <w:rsid w:val="00D73666"/>
    <w:rsid w:val="00D73943"/>
    <w:rsid w:val="00D73980"/>
    <w:rsid w:val="00D7409B"/>
    <w:rsid w:val="00D74378"/>
    <w:rsid w:val="00D74A76"/>
    <w:rsid w:val="00D7542C"/>
    <w:rsid w:val="00D75511"/>
    <w:rsid w:val="00D75557"/>
    <w:rsid w:val="00D759F3"/>
    <w:rsid w:val="00D75B1F"/>
    <w:rsid w:val="00D75E2C"/>
    <w:rsid w:val="00D7611C"/>
    <w:rsid w:val="00D76261"/>
    <w:rsid w:val="00D767EB"/>
    <w:rsid w:val="00D76867"/>
    <w:rsid w:val="00D77151"/>
    <w:rsid w:val="00D776EC"/>
    <w:rsid w:val="00D802F7"/>
    <w:rsid w:val="00D8049B"/>
    <w:rsid w:val="00D8098C"/>
    <w:rsid w:val="00D811E6"/>
    <w:rsid w:val="00D81277"/>
    <w:rsid w:val="00D81695"/>
    <w:rsid w:val="00D819AC"/>
    <w:rsid w:val="00D81A6A"/>
    <w:rsid w:val="00D81B14"/>
    <w:rsid w:val="00D81F62"/>
    <w:rsid w:val="00D825E4"/>
    <w:rsid w:val="00D82662"/>
    <w:rsid w:val="00D82B3D"/>
    <w:rsid w:val="00D82E43"/>
    <w:rsid w:val="00D83354"/>
    <w:rsid w:val="00D834C3"/>
    <w:rsid w:val="00D838C7"/>
    <w:rsid w:val="00D839EF"/>
    <w:rsid w:val="00D844BC"/>
    <w:rsid w:val="00D84538"/>
    <w:rsid w:val="00D84692"/>
    <w:rsid w:val="00D84734"/>
    <w:rsid w:val="00D8489F"/>
    <w:rsid w:val="00D849E8"/>
    <w:rsid w:val="00D84CD5"/>
    <w:rsid w:val="00D853EF"/>
    <w:rsid w:val="00D85677"/>
    <w:rsid w:val="00D85C3F"/>
    <w:rsid w:val="00D85E9C"/>
    <w:rsid w:val="00D861B7"/>
    <w:rsid w:val="00D86588"/>
    <w:rsid w:val="00D866E9"/>
    <w:rsid w:val="00D86C25"/>
    <w:rsid w:val="00D86EE4"/>
    <w:rsid w:val="00D86F79"/>
    <w:rsid w:val="00D8732C"/>
    <w:rsid w:val="00D877AE"/>
    <w:rsid w:val="00D879FF"/>
    <w:rsid w:val="00D87B58"/>
    <w:rsid w:val="00D90A62"/>
    <w:rsid w:val="00D90B17"/>
    <w:rsid w:val="00D9139C"/>
    <w:rsid w:val="00D91813"/>
    <w:rsid w:val="00D9224E"/>
    <w:rsid w:val="00D9253C"/>
    <w:rsid w:val="00D9257A"/>
    <w:rsid w:val="00D93BD6"/>
    <w:rsid w:val="00D94154"/>
    <w:rsid w:val="00D9474A"/>
    <w:rsid w:val="00D948F8"/>
    <w:rsid w:val="00D955AD"/>
    <w:rsid w:val="00D95BBA"/>
    <w:rsid w:val="00D961E9"/>
    <w:rsid w:val="00D9633D"/>
    <w:rsid w:val="00D96509"/>
    <w:rsid w:val="00D96FF8"/>
    <w:rsid w:val="00D97614"/>
    <w:rsid w:val="00D97B35"/>
    <w:rsid w:val="00D97DE8"/>
    <w:rsid w:val="00DA04B6"/>
    <w:rsid w:val="00DA08F0"/>
    <w:rsid w:val="00DA0F1E"/>
    <w:rsid w:val="00DA0F41"/>
    <w:rsid w:val="00DA171C"/>
    <w:rsid w:val="00DA1969"/>
    <w:rsid w:val="00DA1AEE"/>
    <w:rsid w:val="00DA1C2B"/>
    <w:rsid w:val="00DA25DD"/>
    <w:rsid w:val="00DA2F4D"/>
    <w:rsid w:val="00DA37DA"/>
    <w:rsid w:val="00DA3A1A"/>
    <w:rsid w:val="00DA3D64"/>
    <w:rsid w:val="00DA3F4F"/>
    <w:rsid w:val="00DA460E"/>
    <w:rsid w:val="00DA4712"/>
    <w:rsid w:val="00DA4765"/>
    <w:rsid w:val="00DA48C3"/>
    <w:rsid w:val="00DA4A53"/>
    <w:rsid w:val="00DA526C"/>
    <w:rsid w:val="00DA5708"/>
    <w:rsid w:val="00DA5869"/>
    <w:rsid w:val="00DA5F29"/>
    <w:rsid w:val="00DA648D"/>
    <w:rsid w:val="00DA6550"/>
    <w:rsid w:val="00DA6630"/>
    <w:rsid w:val="00DA6D94"/>
    <w:rsid w:val="00DA6EC8"/>
    <w:rsid w:val="00DA739F"/>
    <w:rsid w:val="00DA73EC"/>
    <w:rsid w:val="00DA7408"/>
    <w:rsid w:val="00DA747C"/>
    <w:rsid w:val="00DA7612"/>
    <w:rsid w:val="00DA7803"/>
    <w:rsid w:val="00DA7869"/>
    <w:rsid w:val="00DA7C12"/>
    <w:rsid w:val="00DB0307"/>
    <w:rsid w:val="00DB0540"/>
    <w:rsid w:val="00DB07A8"/>
    <w:rsid w:val="00DB082E"/>
    <w:rsid w:val="00DB091B"/>
    <w:rsid w:val="00DB0AA1"/>
    <w:rsid w:val="00DB0AE6"/>
    <w:rsid w:val="00DB0B26"/>
    <w:rsid w:val="00DB0BB5"/>
    <w:rsid w:val="00DB0CF2"/>
    <w:rsid w:val="00DB0F8B"/>
    <w:rsid w:val="00DB14E3"/>
    <w:rsid w:val="00DB16A7"/>
    <w:rsid w:val="00DB171A"/>
    <w:rsid w:val="00DB2044"/>
    <w:rsid w:val="00DB22F7"/>
    <w:rsid w:val="00DB2569"/>
    <w:rsid w:val="00DB2C81"/>
    <w:rsid w:val="00DB391C"/>
    <w:rsid w:val="00DB3A96"/>
    <w:rsid w:val="00DB3AC8"/>
    <w:rsid w:val="00DB478C"/>
    <w:rsid w:val="00DB5099"/>
    <w:rsid w:val="00DB52B4"/>
    <w:rsid w:val="00DB57A2"/>
    <w:rsid w:val="00DB5DFB"/>
    <w:rsid w:val="00DB62A4"/>
    <w:rsid w:val="00DB6932"/>
    <w:rsid w:val="00DB69BF"/>
    <w:rsid w:val="00DB707E"/>
    <w:rsid w:val="00DB72B3"/>
    <w:rsid w:val="00DB7388"/>
    <w:rsid w:val="00DC09C3"/>
    <w:rsid w:val="00DC10E1"/>
    <w:rsid w:val="00DC1176"/>
    <w:rsid w:val="00DC1916"/>
    <w:rsid w:val="00DC1966"/>
    <w:rsid w:val="00DC19C1"/>
    <w:rsid w:val="00DC1C66"/>
    <w:rsid w:val="00DC201E"/>
    <w:rsid w:val="00DC22C9"/>
    <w:rsid w:val="00DC2524"/>
    <w:rsid w:val="00DC2B4F"/>
    <w:rsid w:val="00DC2B8B"/>
    <w:rsid w:val="00DC300A"/>
    <w:rsid w:val="00DC3878"/>
    <w:rsid w:val="00DC38DA"/>
    <w:rsid w:val="00DC4BCF"/>
    <w:rsid w:val="00DC4E2D"/>
    <w:rsid w:val="00DC5119"/>
    <w:rsid w:val="00DC526D"/>
    <w:rsid w:val="00DC52D5"/>
    <w:rsid w:val="00DC534B"/>
    <w:rsid w:val="00DC5CC9"/>
    <w:rsid w:val="00DC5E2A"/>
    <w:rsid w:val="00DC5E7D"/>
    <w:rsid w:val="00DC5FEE"/>
    <w:rsid w:val="00DC6690"/>
    <w:rsid w:val="00DC6720"/>
    <w:rsid w:val="00DC6B76"/>
    <w:rsid w:val="00DC6F0A"/>
    <w:rsid w:val="00DC7131"/>
    <w:rsid w:val="00DC71B1"/>
    <w:rsid w:val="00DC758F"/>
    <w:rsid w:val="00DD0028"/>
    <w:rsid w:val="00DD0F68"/>
    <w:rsid w:val="00DD1111"/>
    <w:rsid w:val="00DD12AC"/>
    <w:rsid w:val="00DD15FA"/>
    <w:rsid w:val="00DD1A23"/>
    <w:rsid w:val="00DD1E47"/>
    <w:rsid w:val="00DD1F5A"/>
    <w:rsid w:val="00DD21DA"/>
    <w:rsid w:val="00DD238C"/>
    <w:rsid w:val="00DD23B3"/>
    <w:rsid w:val="00DD26DE"/>
    <w:rsid w:val="00DD28BA"/>
    <w:rsid w:val="00DD33ED"/>
    <w:rsid w:val="00DD3423"/>
    <w:rsid w:val="00DD390F"/>
    <w:rsid w:val="00DD4019"/>
    <w:rsid w:val="00DD40D3"/>
    <w:rsid w:val="00DD4390"/>
    <w:rsid w:val="00DD43A0"/>
    <w:rsid w:val="00DD4633"/>
    <w:rsid w:val="00DD47FF"/>
    <w:rsid w:val="00DD4B5D"/>
    <w:rsid w:val="00DD4F44"/>
    <w:rsid w:val="00DD6415"/>
    <w:rsid w:val="00DD6463"/>
    <w:rsid w:val="00DD68D0"/>
    <w:rsid w:val="00DD6F31"/>
    <w:rsid w:val="00DD6FB8"/>
    <w:rsid w:val="00DD7210"/>
    <w:rsid w:val="00DD7728"/>
    <w:rsid w:val="00DD7798"/>
    <w:rsid w:val="00DD7AB2"/>
    <w:rsid w:val="00DE0235"/>
    <w:rsid w:val="00DE0397"/>
    <w:rsid w:val="00DE0938"/>
    <w:rsid w:val="00DE0B09"/>
    <w:rsid w:val="00DE1192"/>
    <w:rsid w:val="00DE12EF"/>
    <w:rsid w:val="00DE1886"/>
    <w:rsid w:val="00DE202D"/>
    <w:rsid w:val="00DE2E2E"/>
    <w:rsid w:val="00DE2F8D"/>
    <w:rsid w:val="00DE31E9"/>
    <w:rsid w:val="00DE3404"/>
    <w:rsid w:val="00DE37E4"/>
    <w:rsid w:val="00DE39D2"/>
    <w:rsid w:val="00DE3BB4"/>
    <w:rsid w:val="00DE3E7F"/>
    <w:rsid w:val="00DE3F3C"/>
    <w:rsid w:val="00DE53DC"/>
    <w:rsid w:val="00DE559B"/>
    <w:rsid w:val="00DE57E3"/>
    <w:rsid w:val="00DE5F16"/>
    <w:rsid w:val="00DE6067"/>
    <w:rsid w:val="00DE6678"/>
    <w:rsid w:val="00DE68F2"/>
    <w:rsid w:val="00DE71B0"/>
    <w:rsid w:val="00DE7567"/>
    <w:rsid w:val="00DE7A96"/>
    <w:rsid w:val="00DE7BF2"/>
    <w:rsid w:val="00DE7C39"/>
    <w:rsid w:val="00DE7E40"/>
    <w:rsid w:val="00DE7EFB"/>
    <w:rsid w:val="00DF0003"/>
    <w:rsid w:val="00DF0144"/>
    <w:rsid w:val="00DF08FE"/>
    <w:rsid w:val="00DF0E8D"/>
    <w:rsid w:val="00DF1204"/>
    <w:rsid w:val="00DF173F"/>
    <w:rsid w:val="00DF18BD"/>
    <w:rsid w:val="00DF18D7"/>
    <w:rsid w:val="00DF1C7B"/>
    <w:rsid w:val="00DF1CB9"/>
    <w:rsid w:val="00DF1F50"/>
    <w:rsid w:val="00DF202C"/>
    <w:rsid w:val="00DF28DC"/>
    <w:rsid w:val="00DF2E03"/>
    <w:rsid w:val="00DF302E"/>
    <w:rsid w:val="00DF3A0F"/>
    <w:rsid w:val="00DF4175"/>
    <w:rsid w:val="00DF42BA"/>
    <w:rsid w:val="00DF458B"/>
    <w:rsid w:val="00DF500E"/>
    <w:rsid w:val="00DF57BF"/>
    <w:rsid w:val="00DF6262"/>
    <w:rsid w:val="00DF62B4"/>
    <w:rsid w:val="00DF6723"/>
    <w:rsid w:val="00DF6BA6"/>
    <w:rsid w:val="00DF6BAF"/>
    <w:rsid w:val="00DF6C3E"/>
    <w:rsid w:val="00DF6E60"/>
    <w:rsid w:val="00DF73BD"/>
    <w:rsid w:val="00DF7539"/>
    <w:rsid w:val="00DF7C0A"/>
    <w:rsid w:val="00DF7C7D"/>
    <w:rsid w:val="00E001F5"/>
    <w:rsid w:val="00E00222"/>
    <w:rsid w:val="00E004F8"/>
    <w:rsid w:val="00E00BD3"/>
    <w:rsid w:val="00E010EE"/>
    <w:rsid w:val="00E015E8"/>
    <w:rsid w:val="00E025CE"/>
    <w:rsid w:val="00E0261D"/>
    <w:rsid w:val="00E029DC"/>
    <w:rsid w:val="00E02C1B"/>
    <w:rsid w:val="00E02D5C"/>
    <w:rsid w:val="00E02D64"/>
    <w:rsid w:val="00E02D99"/>
    <w:rsid w:val="00E03191"/>
    <w:rsid w:val="00E03263"/>
    <w:rsid w:val="00E03B97"/>
    <w:rsid w:val="00E04158"/>
    <w:rsid w:val="00E04286"/>
    <w:rsid w:val="00E04433"/>
    <w:rsid w:val="00E0467E"/>
    <w:rsid w:val="00E04683"/>
    <w:rsid w:val="00E04F92"/>
    <w:rsid w:val="00E050A7"/>
    <w:rsid w:val="00E059A8"/>
    <w:rsid w:val="00E05FA1"/>
    <w:rsid w:val="00E06021"/>
    <w:rsid w:val="00E06317"/>
    <w:rsid w:val="00E07652"/>
    <w:rsid w:val="00E07749"/>
    <w:rsid w:val="00E07915"/>
    <w:rsid w:val="00E07A86"/>
    <w:rsid w:val="00E1028B"/>
    <w:rsid w:val="00E1048C"/>
    <w:rsid w:val="00E105F3"/>
    <w:rsid w:val="00E106F4"/>
    <w:rsid w:val="00E10832"/>
    <w:rsid w:val="00E10BEF"/>
    <w:rsid w:val="00E10F0F"/>
    <w:rsid w:val="00E1150F"/>
    <w:rsid w:val="00E1157A"/>
    <w:rsid w:val="00E11F06"/>
    <w:rsid w:val="00E12158"/>
    <w:rsid w:val="00E12245"/>
    <w:rsid w:val="00E124F2"/>
    <w:rsid w:val="00E126BF"/>
    <w:rsid w:val="00E1270D"/>
    <w:rsid w:val="00E12C95"/>
    <w:rsid w:val="00E131C1"/>
    <w:rsid w:val="00E131C3"/>
    <w:rsid w:val="00E134DE"/>
    <w:rsid w:val="00E13541"/>
    <w:rsid w:val="00E13D1D"/>
    <w:rsid w:val="00E13F1C"/>
    <w:rsid w:val="00E1423E"/>
    <w:rsid w:val="00E143A3"/>
    <w:rsid w:val="00E146C9"/>
    <w:rsid w:val="00E14969"/>
    <w:rsid w:val="00E14BEF"/>
    <w:rsid w:val="00E14DB1"/>
    <w:rsid w:val="00E151CA"/>
    <w:rsid w:val="00E15502"/>
    <w:rsid w:val="00E15593"/>
    <w:rsid w:val="00E15756"/>
    <w:rsid w:val="00E1614E"/>
    <w:rsid w:val="00E1629B"/>
    <w:rsid w:val="00E1632B"/>
    <w:rsid w:val="00E163E5"/>
    <w:rsid w:val="00E16439"/>
    <w:rsid w:val="00E1719C"/>
    <w:rsid w:val="00E17344"/>
    <w:rsid w:val="00E173EF"/>
    <w:rsid w:val="00E17AC4"/>
    <w:rsid w:val="00E17AF9"/>
    <w:rsid w:val="00E204DE"/>
    <w:rsid w:val="00E2099E"/>
    <w:rsid w:val="00E20BB7"/>
    <w:rsid w:val="00E21019"/>
    <w:rsid w:val="00E21234"/>
    <w:rsid w:val="00E219C1"/>
    <w:rsid w:val="00E219E6"/>
    <w:rsid w:val="00E22C61"/>
    <w:rsid w:val="00E232D5"/>
    <w:rsid w:val="00E244BC"/>
    <w:rsid w:val="00E25029"/>
    <w:rsid w:val="00E25800"/>
    <w:rsid w:val="00E25BE9"/>
    <w:rsid w:val="00E25CE8"/>
    <w:rsid w:val="00E25D6A"/>
    <w:rsid w:val="00E25EA6"/>
    <w:rsid w:val="00E25EFC"/>
    <w:rsid w:val="00E26B5E"/>
    <w:rsid w:val="00E26BF1"/>
    <w:rsid w:val="00E26CC4"/>
    <w:rsid w:val="00E26D2E"/>
    <w:rsid w:val="00E276BC"/>
    <w:rsid w:val="00E2770D"/>
    <w:rsid w:val="00E279E6"/>
    <w:rsid w:val="00E27C10"/>
    <w:rsid w:val="00E27E2C"/>
    <w:rsid w:val="00E27FE9"/>
    <w:rsid w:val="00E30455"/>
    <w:rsid w:val="00E3085C"/>
    <w:rsid w:val="00E30DE4"/>
    <w:rsid w:val="00E31AFB"/>
    <w:rsid w:val="00E327AB"/>
    <w:rsid w:val="00E328F4"/>
    <w:rsid w:val="00E32D33"/>
    <w:rsid w:val="00E32DFB"/>
    <w:rsid w:val="00E33C6E"/>
    <w:rsid w:val="00E34404"/>
    <w:rsid w:val="00E345D3"/>
    <w:rsid w:val="00E34909"/>
    <w:rsid w:val="00E34999"/>
    <w:rsid w:val="00E34D17"/>
    <w:rsid w:val="00E357B8"/>
    <w:rsid w:val="00E35973"/>
    <w:rsid w:val="00E35A47"/>
    <w:rsid w:val="00E35EB0"/>
    <w:rsid w:val="00E36306"/>
    <w:rsid w:val="00E36325"/>
    <w:rsid w:val="00E3647B"/>
    <w:rsid w:val="00E3659D"/>
    <w:rsid w:val="00E365C7"/>
    <w:rsid w:val="00E36EBD"/>
    <w:rsid w:val="00E371FA"/>
    <w:rsid w:val="00E37694"/>
    <w:rsid w:val="00E409A7"/>
    <w:rsid w:val="00E40A76"/>
    <w:rsid w:val="00E40CE5"/>
    <w:rsid w:val="00E4139F"/>
    <w:rsid w:val="00E418FB"/>
    <w:rsid w:val="00E41D31"/>
    <w:rsid w:val="00E41D72"/>
    <w:rsid w:val="00E425EA"/>
    <w:rsid w:val="00E4291F"/>
    <w:rsid w:val="00E42920"/>
    <w:rsid w:val="00E42E08"/>
    <w:rsid w:val="00E42E09"/>
    <w:rsid w:val="00E42EF3"/>
    <w:rsid w:val="00E43687"/>
    <w:rsid w:val="00E4368A"/>
    <w:rsid w:val="00E437BF"/>
    <w:rsid w:val="00E43E70"/>
    <w:rsid w:val="00E44023"/>
    <w:rsid w:val="00E443B7"/>
    <w:rsid w:val="00E44B35"/>
    <w:rsid w:val="00E44D49"/>
    <w:rsid w:val="00E44ECD"/>
    <w:rsid w:val="00E451EE"/>
    <w:rsid w:val="00E45384"/>
    <w:rsid w:val="00E4539E"/>
    <w:rsid w:val="00E455A6"/>
    <w:rsid w:val="00E45D59"/>
    <w:rsid w:val="00E45E11"/>
    <w:rsid w:val="00E4661C"/>
    <w:rsid w:val="00E467D0"/>
    <w:rsid w:val="00E46826"/>
    <w:rsid w:val="00E47185"/>
    <w:rsid w:val="00E474AB"/>
    <w:rsid w:val="00E476C0"/>
    <w:rsid w:val="00E47DDA"/>
    <w:rsid w:val="00E47DED"/>
    <w:rsid w:val="00E5116E"/>
    <w:rsid w:val="00E51566"/>
    <w:rsid w:val="00E515B0"/>
    <w:rsid w:val="00E51820"/>
    <w:rsid w:val="00E51B4C"/>
    <w:rsid w:val="00E51E9D"/>
    <w:rsid w:val="00E520B4"/>
    <w:rsid w:val="00E5213F"/>
    <w:rsid w:val="00E5262E"/>
    <w:rsid w:val="00E527C8"/>
    <w:rsid w:val="00E5288D"/>
    <w:rsid w:val="00E52BD4"/>
    <w:rsid w:val="00E52C81"/>
    <w:rsid w:val="00E53105"/>
    <w:rsid w:val="00E53559"/>
    <w:rsid w:val="00E5437A"/>
    <w:rsid w:val="00E547A4"/>
    <w:rsid w:val="00E54ADB"/>
    <w:rsid w:val="00E54AF7"/>
    <w:rsid w:val="00E5688B"/>
    <w:rsid w:val="00E56ABA"/>
    <w:rsid w:val="00E5716D"/>
    <w:rsid w:val="00E5759D"/>
    <w:rsid w:val="00E57F02"/>
    <w:rsid w:val="00E60130"/>
    <w:rsid w:val="00E6018C"/>
    <w:rsid w:val="00E603F8"/>
    <w:rsid w:val="00E60830"/>
    <w:rsid w:val="00E60EB5"/>
    <w:rsid w:val="00E614EA"/>
    <w:rsid w:val="00E61CC5"/>
    <w:rsid w:val="00E61CEE"/>
    <w:rsid w:val="00E61F4D"/>
    <w:rsid w:val="00E627C1"/>
    <w:rsid w:val="00E62B5D"/>
    <w:rsid w:val="00E62C18"/>
    <w:rsid w:val="00E62C78"/>
    <w:rsid w:val="00E63006"/>
    <w:rsid w:val="00E63145"/>
    <w:rsid w:val="00E631BB"/>
    <w:rsid w:val="00E633CC"/>
    <w:rsid w:val="00E63BC3"/>
    <w:rsid w:val="00E63D5D"/>
    <w:rsid w:val="00E63E09"/>
    <w:rsid w:val="00E6424E"/>
    <w:rsid w:val="00E642EA"/>
    <w:rsid w:val="00E646D3"/>
    <w:rsid w:val="00E6471B"/>
    <w:rsid w:val="00E647DF"/>
    <w:rsid w:val="00E649C7"/>
    <w:rsid w:val="00E64E69"/>
    <w:rsid w:val="00E65414"/>
    <w:rsid w:val="00E65DB8"/>
    <w:rsid w:val="00E6604C"/>
    <w:rsid w:val="00E66574"/>
    <w:rsid w:val="00E666DF"/>
    <w:rsid w:val="00E66712"/>
    <w:rsid w:val="00E6676C"/>
    <w:rsid w:val="00E66944"/>
    <w:rsid w:val="00E669B7"/>
    <w:rsid w:val="00E66BA3"/>
    <w:rsid w:val="00E67529"/>
    <w:rsid w:val="00E67650"/>
    <w:rsid w:val="00E678EC"/>
    <w:rsid w:val="00E67954"/>
    <w:rsid w:val="00E67C24"/>
    <w:rsid w:val="00E70888"/>
    <w:rsid w:val="00E70F01"/>
    <w:rsid w:val="00E71080"/>
    <w:rsid w:val="00E71305"/>
    <w:rsid w:val="00E713B6"/>
    <w:rsid w:val="00E7160C"/>
    <w:rsid w:val="00E71722"/>
    <w:rsid w:val="00E71BE1"/>
    <w:rsid w:val="00E71C8A"/>
    <w:rsid w:val="00E71F8C"/>
    <w:rsid w:val="00E727B4"/>
    <w:rsid w:val="00E72BA5"/>
    <w:rsid w:val="00E72F17"/>
    <w:rsid w:val="00E730D6"/>
    <w:rsid w:val="00E733F1"/>
    <w:rsid w:val="00E735B2"/>
    <w:rsid w:val="00E73779"/>
    <w:rsid w:val="00E73BAA"/>
    <w:rsid w:val="00E73EFF"/>
    <w:rsid w:val="00E73FF1"/>
    <w:rsid w:val="00E7437B"/>
    <w:rsid w:val="00E74716"/>
    <w:rsid w:val="00E747E5"/>
    <w:rsid w:val="00E74AA1"/>
    <w:rsid w:val="00E74B71"/>
    <w:rsid w:val="00E755A5"/>
    <w:rsid w:val="00E75E16"/>
    <w:rsid w:val="00E75F5B"/>
    <w:rsid w:val="00E75F80"/>
    <w:rsid w:val="00E76653"/>
    <w:rsid w:val="00E76B5B"/>
    <w:rsid w:val="00E76F8D"/>
    <w:rsid w:val="00E774F3"/>
    <w:rsid w:val="00E77A27"/>
    <w:rsid w:val="00E77AF1"/>
    <w:rsid w:val="00E77E32"/>
    <w:rsid w:val="00E808C2"/>
    <w:rsid w:val="00E8092D"/>
    <w:rsid w:val="00E80CF1"/>
    <w:rsid w:val="00E80F4C"/>
    <w:rsid w:val="00E81032"/>
    <w:rsid w:val="00E81B39"/>
    <w:rsid w:val="00E81B4C"/>
    <w:rsid w:val="00E81F62"/>
    <w:rsid w:val="00E8224A"/>
    <w:rsid w:val="00E82D71"/>
    <w:rsid w:val="00E831D0"/>
    <w:rsid w:val="00E835CF"/>
    <w:rsid w:val="00E8466B"/>
    <w:rsid w:val="00E848FE"/>
    <w:rsid w:val="00E84EED"/>
    <w:rsid w:val="00E852DA"/>
    <w:rsid w:val="00E85349"/>
    <w:rsid w:val="00E85502"/>
    <w:rsid w:val="00E8574D"/>
    <w:rsid w:val="00E86001"/>
    <w:rsid w:val="00E864B9"/>
    <w:rsid w:val="00E86ABC"/>
    <w:rsid w:val="00E86B9A"/>
    <w:rsid w:val="00E86F48"/>
    <w:rsid w:val="00E8718E"/>
    <w:rsid w:val="00E871D7"/>
    <w:rsid w:val="00E8734A"/>
    <w:rsid w:val="00E87650"/>
    <w:rsid w:val="00E8798C"/>
    <w:rsid w:val="00E87B57"/>
    <w:rsid w:val="00E87BD1"/>
    <w:rsid w:val="00E905B8"/>
    <w:rsid w:val="00E90692"/>
    <w:rsid w:val="00E90764"/>
    <w:rsid w:val="00E90850"/>
    <w:rsid w:val="00E90B78"/>
    <w:rsid w:val="00E90F1A"/>
    <w:rsid w:val="00E9103F"/>
    <w:rsid w:val="00E9117B"/>
    <w:rsid w:val="00E91647"/>
    <w:rsid w:val="00E91BB9"/>
    <w:rsid w:val="00E91D3F"/>
    <w:rsid w:val="00E92440"/>
    <w:rsid w:val="00E92E01"/>
    <w:rsid w:val="00E9406B"/>
    <w:rsid w:val="00E94DBA"/>
    <w:rsid w:val="00E94E96"/>
    <w:rsid w:val="00E94F80"/>
    <w:rsid w:val="00E952A3"/>
    <w:rsid w:val="00E95CE1"/>
    <w:rsid w:val="00E963CD"/>
    <w:rsid w:val="00E967C8"/>
    <w:rsid w:val="00E968FC"/>
    <w:rsid w:val="00E96ECD"/>
    <w:rsid w:val="00E9704C"/>
    <w:rsid w:val="00EA0067"/>
    <w:rsid w:val="00EA0139"/>
    <w:rsid w:val="00EA0673"/>
    <w:rsid w:val="00EA06BF"/>
    <w:rsid w:val="00EA07A2"/>
    <w:rsid w:val="00EA09B9"/>
    <w:rsid w:val="00EA09F3"/>
    <w:rsid w:val="00EA0D68"/>
    <w:rsid w:val="00EA0E83"/>
    <w:rsid w:val="00EA0F85"/>
    <w:rsid w:val="00EA1211"/>
    <w:rsid w:val="00EA14F4"/>
    <w:rsid w:val="00EA1734"/>
    <w:rsid w:val="00EA257F"/>
    <w:rsid w:val="00EA275F"/>
    <w:rsid w:val="00EA29D4"/>
    <w:rsid w:val="00EA2F56"/>
    <w:rsid w:val="00EA3C6C"/>
    <w:rsid w:val="00EA4082"/>
    <w:rsid w:val="00EA42FD"/>
    <w:rsid w:val="00EA474C"/>
    <w:rsid w:val="00EA4C22"/>
    <w:rsid w:val="00EA4DCF"/>
    <w:rsid w:val="00EA519F"/>
    <w:rsid w:val="00EA536F"/>
    <w:rsid w:val="00EA539C"/>
    <w:rsid w:val="00EA5402"/>
    <w:rsid w:val="00EA5607"/>
    <w:rsid w:val="00EA5717"/>
    <w:rsid w:val="00EA5920"/>
    <w:rsid w:val="00EA5D5E"/>
    <w:rsid w:val="00EA630A"/>
    <w:rsid w:val="00EA6673"/>
    <w:rsid w:val="00EA67EB"/>
    <w:rsid w:val="00EA6918"/>
    <w:rsid w:val="00EA6BF3"/>
    <w:rsid w:val="00EA6D2A"/>
    <w:rsid w:val="00EA7194"/>
    <w:rsid w:val="00EA7941"/>
    <w:rsid w:val="00EB0195"/>
    <w:rsid w:val="00EB0416"/>
    <w:rsid w:val="00EB0667"/>
    <w:rsid w:val="00EB07FD"/>
    <w:rsid w:val="00EB096A"/>
    <w:rsid w:val="00EB0B55"/>
    <w:rsid w:val="00EB0D9C"/>
    <w:rsid w:val="00EB0EA0"/>
    <w:rsid w:val="00EB1065"/>
    <w:rsid w:val="00EB1245"/>
    <w:rsid w:val="00EB16E9"/>
    <w:rsid w:val="00EB1755"/>
    <w:rsid w:val="00EB18CC"/>
    <w:rsid w:val="00EB21D7"/>
    <w:rsid w:val="00EB237C"/>
    <w:rsid w:val="00EB308A"/>
    <w:rsid w:val="00EB3641"/>
    <w:rsid w:val="00EB45E9"/>
    <w:rsid w:val="00EB48F6"/>
    <w:rsid w:val="00EB4AA3"/>
    <w:rsid w:val="00EB4FC6"/>
    <w:rsid w:val="00EB5235"/>
    <w:rsid w:val="00EB5776"/>
    <w:rsid w:val="00EB595A"/>
    <w:rsid w:val="00EB5992"/>
    <w:rsid w:val="00EB59CB"/>
    <w:rsid w:val="00EB5F6D"/>
    <w:rsid w:val="00EB60AF"/>
    <w:rsid w:val="00EB6430"/>
    <w:rsid w:val="00EB6607"/>
    <w:rsid w:val="00EB694F"/>
    <w:rsid w:val="00EB6C5A"/>
    <w:rsid w:val="00EB7112"/>
    <w:rsid w:val="00EB7184"/>
    <w:rsid w:val="00EB722F"/>
    <w:rsid w:val="00EB7BEA"/>
    <w:rsid w:val="00EB7D2A"/>
    <w:rsid w:val="00EC03C8"/>
    <w:rsid w:val="00EC03FD"/>
    <w:rsid w:val="00EC064A"/>
    <w:rsid w:val="00EC0E98"/>
    <w:rsid w:val="00EC1017"/>
    <w:rsid w:val="00EC116C"/>
    <w:rsid w:val="00EC1395"/>
    <w:rsid w:val="00EC1431"/>
    <w:rsid w:val="00EC144A"/>
    <w:rsid w:val="00EC1B11"/>
    <w:rsid w:val="00EC1B3F"/>
    <w:rsid w:val="00EC1C67"/>
    <w:rsid w:val="00EC20CC"/>
    <w:rsid w:val="00EC2792"/>
    <w:rsid w:val="00EC28A7"/>
    <w:rsid w:val="00EC2F6C"/>
    <w:rsid w:val="00EC306F"/>
    <w:rsid w:val="00EC31DF"/>
    <w:rsid w:val="00EC353D"/>
    <w:rsid w:val="00EC3CE4"/>
    <w:rsid w:val="00EC3E52"/>
    <w:rsid w:val="00EC443C"/>
    <w:rsid w:val="00EC4555"/>
    <w:rsid w:val="00EC46DB"/>
    <w:rsid w:val="00EC4FA6"/>
    <w:rsid w:val="00EC5768"/>
    <w:rsid w:val="00EC5DDD"/>
    <w:rsid w:val="00EC60BA"/>
    <w:rsid w:val="00EC61FA"/>
    <w:rsid w:val="00EC63AF"/>
    <w:rsid w:val="00EC70F5"/>
    <w:rsid w:val="00EC72A0"/>
    <w:rsid w:val="00EC7581"/>
    <w:rsid w:val="00EC79D2"/>
    <w:rsid w:val="00EC7ADE"/>
    <w:rsid w:val="00EC7B59"/>
    <w:rsid w:val="00EC7FCE"/>
    <w:rsid w:val="00ED01D0"/>
    <w:rsid w:val="00ED0897"/>
    <w:rsid w:val="00ED0902"/>
    <w:rsid w:val="00ED0C81"/>
    <w:rsid w:val="00ED0CF6"/>
    <w:rsid w:val="00ED0FF1"/>
    <w:rsid w:val="00ED12D9"/>
    <w:rsid w:val="00ED1C41"/>
    <w:rsid w:val="00ED1D9B"/>
    <w:rsid w:val="00ED2005"/>
    <w:rsid w:val="00ED2158"/>
    <w:rsid w:val="00ED26D5"/>
    <w:rsid w:val="00ED2836"/>
    <w:rsid w:val="00ED2BBA"/>
    <w:rsid w:val="00ED322A"/>
    <w:rsid w:val="00ED32D6"/>
    <w:rsid w:val="00ED32FC"/>
    <w:rsid w:val="00ED334E"/>
    <w:rsid w:val="00ED3564"/>
    <w:rsid w:val="00ED36A0"/>
    <w:rsid w:val="00ED388E"/>
    <w:rsid w:val="00ED396B"/>
    <w:rsid w:val="00ED3EC5"/>
    <w:rsid w:val="00ED3F44"/>
    <w:rsid w:val="00ED445F"/>
    <w:rsid w:val="00ED46A8"/>
    <w:rsid w:val="00ED481C"/>
    <w:rsid w:val="00ED4B9D"/>
    <w:rsid w:val="00ED4D71"/>
    <w:rsid w:val="00ED4F07"/>
    <w:rsid w:val="00ED533D"/>
    <w:rsid w:val="00ED54F6"/>
    <w:rsid w:val="00ED57D8"/>
    <w:rsid w:val="00ED6118"/>
    <w:rsid w:val="00ED6459"/>
    <w:rsid w:val="00ED6672"/>
    <w:rsid w:val="00ED7002"/>
    <w:rsid w:val="00ED7184"/>
    <w:rsid w:val="00ED7653"/>
    <w:rsid w:val="00EE0534"/>
    <w:rsid w:val="00EE0DB6"/>
    <w:rsid w:val="00EE0E59"/>
    <w:rsid w:val="00EE13B5"/>
    <w:rsid w:val="00EE1626"/>
    <w:rsid w:val="00EE18DA"/>
    <w:rsid w:val="00EE18F6"/>
    <w:rsid w:val="00EE202B"/>
    <w:rsid w:val="00EE218D"/>
    <w:rsid w:val="00EE26F5"/>
    <w:rsid w:val="00EE3230"/>
    <w:rsid w:val="00EE3295"/>
    <w:rsid w:val="00EE3537"/>
    <w:rsid w:val="00EE3F59"/>
    <w:rsid w:val="00EE4246"/>
    <w:rsid w:val="00EE4677"/>
    <w:rsid w:val="00EE48D7"/>
    <w:rsid w:val="00EE49EA"/>
    <w:rsid w:val="00EE4E64"/>
    <w:rsid w:val="00EE5240"/>
    <w:rsid w:val="00EE5506"/>
    <w:rsid w:val="00EE552C"/>
    <w:rsid w:val="00EE5B42"/>
    <w:rsid w:val="00EE5CEE"/>
    <w:rsid w:val="00EE6168"/>
    <w:rsid w:val="00EE68A1"/>
    <w:rsid w:val="00EE6BB0"/>
    <w:rsid w:val="00EE6E8D"/>
    <w:rsid w:val="00EE6F28"/>
    <w:rsid w:val="00EE75D5"/>
    <w:rsid w:val="00EE7A54"/>
    <w:rsid w:val="00EE7CEF"/>
    <w:rsid w:val="00EE7DF5"/>
    <w:rsid w:val="00EF02D2"/>
    <w:rsid w:val="00EF0367"/>
    <w:rsid w:val="00EF07CD"/>
    <w:rsid w:val="00EF0A85"/>
    <w:rsid w:val="00EF0EB6"/>
    <w:rsid w:val="00EF10D6"/>
    <w:rsid w:val="00EF168B"/>
    <w:rsid w:val="00EF1740"/>
    <w:rsid w:val="00EF1E5E"/>
    <w:rsid w:val="00EF20C2"/>
    <w:rsid w:val="00EF2253"/>
    <w:rsid w:val="00EF249A"/>
    <w:rsid w:val="00EF2777"/>
    <w:rsid w:val="00EF2B48"/>
    <w:rsid w:val="00EF2D7A"/>
    <w:rsid w:val="00EF2DAB"/>
    <w:rsid w:val="00EF2F6B"/>
    <w:rsid w:val="00EF2F81"/>
    <w:rsid w:val="00EF3A12"/>
    <w:rsid w:val="00EF3D95"/>
    <w:rsid w:val="00EF3E6F"/>
    <w:rsid w:val="00EF422E"/>
    <w:rsid w:val="00EF47A9"/>
    <w:rsid w:val="00EF4FFB"/>
    <w:rsid w:val="00EF5164"/>
    <w:rsid w:val="00EF5797"/>
    <w:rsid w:val="00EF58D8"/>
    <w:rsid w:val="00EF5B22"/>
    <w:rsid w:val="00EF5C79"/>
    <w:rsid w:val="00EF5C80"/>
    <w:rsid w:val="00EF5F08"/>
    <w:rsid w:val="00EF6E18"/>
    <w:rsid w:val="00EF6F52"/>
    <w:rsid w:val="00EF7162"/>
    <w:rsid w:val="00EF72D7"/>
    <w:rsid w:val="00F003FC"/>
    <w:rsid w:val="00F00AD7"/>
    <w:rsid w:val="00F00C17"/>
    <w:rsid w:val="00F00E4F"/>
    <w:rsid w:val="00F0196D"/>
    <w:rsid w:val="00F02D06"/>
    <w:rsid w:val="00F03B9E"/>
    <w:rsid w:val="00F03FF5"/>
    <w:rsid w:val="00F041AA"/>
    <w:rsid w:val="00F0493E"/>
    <w:rsid w:val="00F04966"/>
    <w:rsid w:val="00F04AFB"/>
    <w:rsid w:val="00F04FC4"/>
    <w:rsid w:val="00F051C2"/>
    <w:rsid w:val="00F051F3"/>
    <w:rsid w:val="00F0559C"/>
    <w:rsid w:val="00F05C6F"/>
    <w:rsid w:val="00F06602"/>
    <w:rsid w:val="00F06C3F"/>
    <w:rsid w:val="00F06D8B"/>
    <w:rsid w:val="00F06DE4"/>
    <w:rsid w:val="00F071D5"/>
    <w:rsid w:val="00F07CC0"/>
    <w:rsid w:val="00F102AD"/>
    <w:rsid w:val="00F10708"/>
    <w:rsid w:val="00F10D21"/>
    <w:rsid w:val="00F1101F"/>
    <w:rsid w:val="00F11224"/>
    <w:rsid w:val="00F11534"/>
    <w:rsid w:val="00F11598"/>
    <w:rsid w:val="00F11751"/>
    <w:rsid w:val="00F11FCF"/>
    <w:rsid w:val="00F1232E"/>
    <w:rsid w:val="00F1258B"/>
    <w:rsid w:val="00F126B7"/>
    <w:rsid w:val="00F127A8"/>
    <w:rsid w:val="00F12AB9"/>
    <w:rsid w:val="00F12C16"/>
    <w:rsid w:val="00F13618"/>
    <w:rsid w:val="00F13E48"/>
    <w:rsid w:val="00F14405"/>
    <w:rsid w:val="00F14B42"/>
    <w:rsid w:val="00F14D73"/>
    <w:rsid w:val="00F14D76"/>
    <w:rsid w:val="00F15272"/>
    <w:rsid w:val="00F15423"/>
    <w:rsid w:val="00F15900"/>
    <w:rsid w:val="00F15955"/>
    <w:rsid w:val="00F159D9"/>
    <w:rsid w:val="00F15AA8"/>
    <w:rsid w:val="00F15B4A"/>
    <w:rsid w:val="00F15C5D"/>
    <w:rsid w:val="00F15CAB"/>
    <w:rsid w:val="00F163AB"/>
    <w:rsid w:val="00F16890"/>
    <w:rsid w:val="00F17037"/>
    <w:rsid w:val="00F17242"/>
    <w:rsid w:val="00F17AB1"/>
    <w:rsid w:val="00F17F2D"/>
    <w:rsid w:val="00F20599"/>
    <w:rsid w:val="00F205D7"/>
    <w:rsid w:val="00F20AB5"/>
    <w:rsid w:val="00F20FA2"/>
    <w:rsid w:val="00F21843"/>
    <w:rsid w:val="00F219DA"/>
    <w:rsid w:val="00F21BFC"/>
    <w:rsid w:val="00F21E17"/>
    <w:rsid w:val="00F21E32"/>
    <w:rsid w:val="00F221DD"/>
    <w:rsid w:val="00F22296"/>
    <w:rsid w:val="00F223EB"/>
    <w:rsid w:val="00F2268C"/>
    <w:rsid w:val="00F227F7"/>
    <w:rsid w:val="00F229F2"/>
    <w:rsid w:val="00F22F7E"/>
    <w:rsid w:val="00F240FA"/>
    <w:rsid w:val="00F240FF"/>
    <w:rsid w:val="00F2461E"/>
    <w:rsid w:val="00F249E9"/>
    <w:rsid w:val="00F24C78"/>
    <w:rsid w:val="00F24E73"/>
    <w:rsid w:val="00F2504A"/>
    <w:rsid w:val="00F25BB3"/>
    <w:rsid w:val="00F26341"/>
    <w:rsid w:val="00F267DE"/>
    <w:rsid w:val="00F26A08"/>
    <w:rsid w:val="00F26CC1"/>
    <w:rsid w:val="00F26FFE"/>
    <w:rsid w:val="00F27988"/>
    <w:rsid w:val="00F27E0D"/>
    <w:rsid w:val="00F27E79"/>
    <w:rsid w:val="00F30E69"/>
    <w:rsid w:val="00F31955"/>
    <w:rsid w:val="00F31A51"/>
    <w:rsid w:val="00F31EDA"/>
    <w:rsid w:val="00F31EFC"/>
    <w:rsid w:val="00F3283A"/>
    <w:rsid w:val="00F32E24"/>
    <w:rsid w:val="00F32E3F"/>
    <w:rsid w:val="00F33172"/>
    <w:rsid w:val="00F334A4"/>
    <w:rsid w:val="00F33512"/>
    <w:rsid w:val="00F33601"/>
    <w:rsid w:val="00F33711"/>
    <w:rsid w:val="00F33977"/>
    <w:rsid w:val="00F33BF8"/>
    <w:rsid w:val="00F34103"/>
    <w:rsid w:val="00F347C0"/>
    <w:rsid w:val="00F34993"/>
    <w:rsid w:val="00F349A7"/>
    <w:rsid w:val="00F349CD"/>
    <w:rsid w:val="00F34A56"/>
    <w:rsid w:val="00F36177"/>
    <w:rsid w:val="00F3642A"/>
    <w:rsid w:val="00F36525"/>
    <w:rsid w:val="00F36705"/>
    <w:rsid w:val="00F36840"/>
    <w:rsid w:val="00F36954"/>
    <w:rsid w:val="00F36F5B"/>
    <w:rsid w:val="00F36FDD"/>
    <w:rsid w:val="00F37307"/>
    <w:rsid w:val="00F3783C"/>
    <w:rsid w:val="00F378B6"/>
    <w:rsid w:val="00F37B33"/>
    <w:rsid w:val="00F402F7"/>
    <w:rsid w:val="00F4054D"/>
    <w:rsid w:val="00F40667"/>
    <w:rsid w:val="00F4069D"/>
    <w:rsid w:val="00F40F40"/>
    <w:rsid w:val="00F416C7"/>
    <w:rsid w:val="00F41733"/>
    <w:rsid w:val="00F41A17"/>
    <w:rsid w:val="00F41A33"/>
    <w:rsid w:val="00F41A51"/>
    <w:rsid w:val="00F41DBE"/>
    <w:rsid w:val="00F420B5"/>
    <w:rsid w:val="00F42119"/>
    <w:rsid w:val="00F423F6"/>
    <w:rsid w:val="00F42832"/>
    <w:rsid w:val="00F428CC"/>
    <w:rsid w:val="00F42AA3"/>
    <w:rsid w:val="00F42CD5"/>
    <w:rsid w:val="00F43492"/>
    <w:rsid w:val="00F43503"/>
    <w:rsid w:val="00F43A94"/>
    <w:rsid w:val="00F43F64"/>
    <w:rsid w:val="00F447DF"/>
    <w:rsid w:val="00F44A4F"/>
    <w:rsid w:val="00F44D0C"/>
    <w:rsid w:val="00F44DD3"/>
    <w:rsid w:val="00F44FF7"/>
    <w:rsid w:val="00F45810"/>
    <w:rsid w:val="00F45FFE"/>
    <w:rsid w:val="00F46769"/>
    <w:rsid w:val="00F46B32"/>
    <w:rsid w:val="00F4725D"/>
    <w:rsid w:val="00F477F1"/>
    <w:rsid w:val="00F47CEB"/>
    <w:rsid w:val="00F47F71"/>
    <w:rsid w:val="00F506C0"/>
    <w:rsid w:val="00F507DE"/>
    <w:rsid w:val="00F50F84"/>
    <w:rsid w:val="00F5122B"/>
    <w:rsid w:val="00F519C9"/>
    <w:rsid w:val="00F51C26"/>
    <w:rsid w:val="00F5288D"/>
    <w:rsid w:val="00F533C8"/>
    <w:rsid w:val="00F53A4E"/>
    <w:rsid w:val="00F53E5B"/>
    <w:rsid w:val="00F54207"/>
    <w:rsid w:val="00F542B9"/>
    <w:rsid w:val="00F54579"/>
    <w:rsid w:val="00F54885"/>
    <w:rsid w:val="00F548D3"/>
    <w:rsid w:val="00F54A50"/>
    <w:rsid w:val="00F54A93"/>
    <w:rsid w:val="00F54B6B"/>
    <w:rsid w:val="00F54CA4"/>
    <w:rsid w:val="00F54E74"/>
    <w:rsid w:val="00F55385"/>
    <w:rsid w:val="00F55A55"/>
    <w:rsid w:val="00F55BAE"/>
    <w:rsid w:val="00F55FFD"/>
    <w:rsid w:val="00F56453"/>
    <w:rsid w:val="00F56480"/>
    <w:rsid w:val="00F568E1"/>
    <w:rsid w:val="00F56F18"/>
    <w:rsid w:val="00F56F89"/>
    <w:rsid w:val="00F574FD"/>
    <w:rsid w:val="00F5755B"/>
    <w:rsid w:val="00F5769D"/>
    <w:rsid w:val="00F57783"/>
    <w:rsid w:val="00F578B0"/>
    <w:rsid w:val="00F578B6"/>
    <w:rsid w:val="00F57C26"/>
    <w:rsid w:val="00F60351"/>
    <w:rsid w:val="00F60749"/>
    <w:rsid w:val="00F624D0"/>
    <w:rsid w:val="00F63484"/>
    <w:rsid w:val="00F6365C"/>
    <w:rsid w:val="00F63814"/>
    <w:rsid w:val="00F6385B"/>
    <w:rsid w:val="00F63A1F"/>
    <w:rsid w:val="00F641E5"/>
    <w:rsid w:val="00F64692"/>
    <w:rsid w:val="00F64976"/>
    <w:rsid w:val="00F64A3B"/>
    <w:rsid w:val="00F64AA8"/>
    <w:rsid w:val="00F64E89"/>
    <w:rsid w:val="00F65145"/>
    <w:rsid w:val="00F653CA"/>
    <w:rsid w:val="00F65ADC"/>
    <w:rsid w:val="00F65C08"/>
    <w:rsid w:val="00F65CB3"/>
    <w:rsid w:val="00F65E13"/>
    <w:rsid w:val="00F6666E"/>
    <w:rsid w:val="00F666DB"/>
    <w:rsid w:val="00F6716E"/>
    <w:rsid w:val="00F672BA"/>
    <w:rsid w:val="00F67913"/>
    <w:rsid w:val="00F7004F"/>
    <w:rsid w:val="00F70D63"/>
    <w:rsid w:val="00F70E60"/>
    <w:rsid w:val="00F70F1B"/>
    <w:rsid w:val="00F71298"/>
    <w:rsid w:val="00F712FF"/>
    <w:rsid w:val="00F7132A"/>
    <w:rsid w:val="00F71525"/>
    <w:rsid w:val="00F7167D"/>
    <w:rsid w:val="00F71964"/>
    <w:rsid w:val="00F71A88"/>
    <w:rsid w:val="00F72576"/>
    <w:rsid w:val="00F7257D"/>
    <w:rsid w:val="00F7269D"/>
    <w:rsid w:val="00F72835"/>
    <w:rsid w:val="00F72BB7"/>
    <w:rsid w:val="00F72DDE"/>
    <w:rsid w:val="00F72DF4"/>
    <w:rsid w:val="00F7343D"/>
    <w:rsid w:val="00F74052"/>
    <w:rsid w:val="00F74499"/>
    <w:rsid w:val="00F745DD"/>
    <w:rsid w:val="00F749C9"/>
    <w:rsid w:val="00F751A9"/>
    <w:rsid w:val="00F75C43"/>
    <w:rsid w:val="00F75C61"/>
    <w:rsid w:val="00F75D96"/>
    <w:rsid w:val="00F75F2A"/>
    <w:rsid w:val="00F7601B"/>
    <w:rsid w:val="00F765AE"/>
    <w:rsid w:val="00F76753"/>
    <w:rsid w:val="00F768DC"/>
    <w:rsid w:val="00F769AC"/>
    <w:rsid w:val="00F76AE9"/>
    <w:rsid w:val="00F76B83"/>
    <w:rsid w:val="00F76DD7"/>
    <w:rsid w:val="00F770B7"/>
    <w:rsid w:val="00F77130"/>
    <w:rsid w:val="00F77473"/>
    <w:rsid w:val="00F7757C"/>
    <w:rsid w:val="00F775CC"/>
    <w:rsid w:val="00F77800"/>
    <w:rsid w:val="00F80720"/>
    <w:rsid w:val="00F8080F"/>
    <w:rsid w:val="00F80945"/>
    <w:rsid w:val="00F80D74"/>
    <w:rsid w:val="00F80E08"/>
    <w:rsid w:val="00F80F86"/>
    <w:rsid w:val="00F81286"/>
    <w:rsid w:val="00F8158E"/>
    <w:rsid w:val="00F815FD"/>
    <w:rsid w:val="00F8189B"/>
    <w:rsid w:val="00F8196A"/>
    <w:rsid w:val="00F822DA"/>
    <w:rsid w:val="00F82314"/>
    <w:rsid w:val="00F823F6"/>
    <w:rsid w:val="00F82647"/>
    <w:rsid w:val="00F82D8B"/>
    <w:rsid w:val="00F82E8A"/>
    <w:rsid w:val="00F83970"/>
    <w:rsid w:val="00F83A07"/>
    <w:rsid w:val="00F83BCC"/>
    <w:rsid w:val="00F841AB"/>
    <w:rsid w:val="00F8437A"/>
    <w:rsid w:val="00F8458F"/>
    <w:rsid w:val="00F84901"/>
    <w:rsid w:val="00F84BEA"/>
    <w:rsid w:val="00F85365"/>
    <w:rsid w:val="00F853AA"/>
    <w:rsid w:val="00F853AC"/>
    <w:rsid w:val="00F8561C"/>
    <w:rsid w:val="00F85667"/>
    <w:rsid w:val="00F8643A"/>
    <w:rsid w:val="00F8683A"/>
    <w:rsid w:val="00F86DAD"/>
    <w:rsid w:val="00F86EC0"/>
    <w:rsid w:val="00F86F84"/>
    <w:rsid w:val="00F87FC5"/>
    <w:rsid w:val="00F90991"/>
    <w:rsid w:val="00F90D58"/>
    <w:rsid w:val="00F90E9D"/>
    <w:rsid w:val="00F912D4"/>
    <w:rsid w:val="00F917E0"/>
    <w:rsid w:val="00F91A21"/>
    <w:rsid w:val="00F91BE4"/>
    <w:rsid w:val="00F91CD2"/>
    <w:rsid w:val="00F91F0B"/>
    <w:rsid w:val="00F92249"/>
    <w:rsid w:val="00F92419"/>
    <w:rsid w:val="00F92A7B"/>
    <w:rsid w:val="00F92B67"/>
    <w:rsid w:val="00F92FEC"/>
    <w:rsid w:val="00F9329F"/>
    <w:rsid w:val="00F93366"/>
    <w:rsid w:val="00F9361E"/>
    <w:rsid w:val="00F93AF8"/>
    <w:rsid w:val="00F93E7E"/>
    <w:rsid w:val="00F93E9F"/>
    <w:rsid w:val="00F942CE"/>
    <w:rsid w:val="00F94AEE"/>
    <w:rsid w:val="00F95215"/>
    <w:rsid w:val="00F95236"/>
    <w:rsid w:val="00F95D06"/>
    <w:rsid w:val="00F96011"/>
    <w:rsid w:val="00F96348"/>
    <w:rsid w:val="00F96857"/>
    <w:rsid w:val="00F97245"/>
    <w:rsid w:val="00F97A3F"/>
    <w:rsid w:val="00F97B0C"/>
    <w:rsid w:val="00F97EA6"/>
    <w:rsid w:val="00FA04F4"/>
    <w:rsid w:val="00FA09EC"/>
    <w:rsid w:val="00FA0C4F"/>
    <w:rsid w:val="00FA0CB9"/>
    <w:rsid w:val="00FA0D96"/>
    <w:rsid w:val="00FA11BD"/>
    <w:rsid w:val="00FA1818"/>
    <w:rsid w:val="00FA1A62"/>
    <w:rsid w:val="00FA1AF6"/>
    <w:rsid w:val="00FA2385"/>
    <w:rsid w:val="00FA2469"/>
    <w:rsid w:val="00FA24A0"/>
    <w:rsid w:val="00FA2585"/>
    <w:rsid w:val="00FA2656"/>
    <w:rsid w:val="00FA2863"/>
    <w:rsid w:val="00FA2ABC"/>
    <w:rsid w:val="00FA2EB9"/>
    <w:rsid w:val="00FA328C"/>
    <w:rsid w:val="00FA39BE"/>
    <w:rsid w:val="00FA3DD2"/>
    <w:rsid w:val="00FA43C5"/>
    <w:rsid w:val="00FA4759"/>
    <w:rsid w:val="00FA4A24"/>
    <w:rsid w:val="00FA4EF5"/>
    <w:rsid w:val="00FA515B"/>
    <w:rsid w:val="00FA52A8"/>
    <w:rsid w:val="00FA5DF0"/>
    <w:rsid w:val="00FA5F10"/>
    <w:rsid w:val="00FA6910"/>
    <w:rsid w:val="00FA73B3"/>
    <w:rsid w:val="00FB0B9E"/>
    <w:rsid w:val="00FB0D4D"/>
    <w:rsid w:val="00FB0D73"/>
    <w:rsid w:val="00FB0DB7"/>
    <w:rsid w:val="00FB0EDE"/>
    <w:rsid w:val="00FB1361"/>
    <w:rsid w:val="00FB1C70"/>
    <w:rsid w:val="00FB2310"/>
    <w:rsid w:val="00FB2469"/>
    <w:rsid w:val="00FB249D"/>
    <w:rsid w:val="00FB285D"/>
    <w:rsid w:val="00FB2F76"/>
    <w:rsid w:val="00FB3578"/>
    <w:rsid w:val="00FB3C55"/>
    <w:rsid w:val="00FB41E3"/>
    <w:rsid w:val="00FB4358"/>
    <w:rsid w:val="00FB4620"/>
    <w:rsid w:val="00FB4651"/>
    <w:rsid w:val="00FB468D"/>
    <w:rsid w:val="00FB46A2"/>
    <w:rsid w:val="00FB48D6"/>
    <w:rsid w:val="00FB4B41"/>
    <w:rsid w:val="00FB4FFC"/>
    <w:rsid w:val="00FB58A8"/>
    <w:rsid w:val="00FB58CE"/>
    <w:rsid w:val="00FB5A8E"/>
    <w:rsid w:val="00FB657B"/>
    <w:rsid w:val="00FB68E3"/>
    <w:rsid w:val="00FB6D06"/>
    <w:rsid w:val="00FB7229"/>
    <w:rsid w:val="00FB752F"/>
    <w:rsid w:val="00FC0010"/>
    <w:rsid w:val="00FC0122"/>
    <w:rsid w:val="00FC01D0"/>
    <w:rsid w:val="00FC0949"/>
    <w:rsid w:val="00FC0DA5"/>
    <w:rsid w:val="00FC0E9A"/>
    <w:rsid w:val="00FC0FD1"/>
    <w:rsid w:val="00FC1414"/>
    <w:rsid w:val="00FC1748"/>
    <w:rsid w:val="00FC1867"/>
    <w:rsid w:val="00FC2BF9"/>
    <w:rsid w:val="00FC34AD"/>
    <w:rsid w:val="00FC3E2D"/>
    <w:rsid w:val="00FC410F"/>
    <w:rsid w:val="00FC45C2"/>
    <w:rsid w:val="00FC48A8"/>
    <w:rsid w:val="00FC4A73"/>
    <w:rsid w:val="00FC52FC"/>
    <w:rsid w:val="00FC5BF6"/>
    <w:rsid w:val="00FC5C6B"/>
    <w:rsid w:val="00FC5C8C"/>
    <w:rsid w:val="00FC6453"/>
    <w:rsid w:val="00FC64FC"/>
    <w:rsid w:val="00FC65FD"/>
    <w:rsid w:val="00FC6AA6"/>
    <w:rsid w:val="00FC6C97"/>
    <w:rsid w:val="00FC6F3B"/>
    <w:rsid w:val="00FC715C"/>
    <w:rsid w:val="00FC7763"/>
    <w:rsid w:val="00FC77DE"/>
    <w:rsid w:val="00FC7995"/>
    <w:rsid w:val="00FC7DDD"/>
    <w:rsid w:val="00FD014B"/>
    <w:rsid w:val="00FD077A"/>
    <w:rsid w:val="00FD0B00"/>
    <w:rsid w:val="00FD0DD7"/>
    <w:rsid w:val="00FD188F"/>
    <w:rsid w:val="00FD1F1E"/>
    <w:rsid w:val="00FD222C"/>
    <w:rsid w:val="00FD22C4"/>
    <w:rsid w:val="00FD2466"/>
    <w:rsid w:val="00FD25E7"/>
    <w:rsid w:val="00FD293A"/>
    <w:rsid w:val="00FD3136"/>
    <w:rsid w:val="00FD34C3"/>
    <w:rsid w:val="00FD4823"/>
    <w:rsid w:val="00FD485C"/>
    <w:rsid w:val="00FD5D73"/>
    <w:rsid w:val="00FD5E44"/>
    <w:rsid w:val="00FD6240"/>
    <w:rsid w:val="00FD6664"/>
    <w:rsid w:val="00FD670A"/>
    <w:rsid w:val="00FD6E71"/>
    <w:rsid w:val="00FD7854"/>
    <w:rsid w:val="00FD7A99"/>
    <w:rsid w:val="00FE02CE"/>
    <w:rsid w:val="00FE0FE7"/>
    <w:rsid w:val="00FE1083"/>
    <w:rsid w:val="00FE111A"/>
    <w:rsid w:val="00FE1D1A"/>
    <w:rsid w:val="00FE20D5"/>
    <w:rsid w:val="00FE2AD1"/>
    <w:rsid w:val="00FE2D46"/>
    <w:rsid w:val="00FE2E83"/>
    <w:rsid w:val="00FE2F4E"/>
    <w:rsid w:val="00FE3794"/>
    <w:rsid w:val="00FE3CA5"/>
    <w:rsid w:val="00FE3E17"/>
    <w:rsid w:val="00FE4392"/>
    <w:rsid w:val="00FE477C"/>
    <w:rsid w:val="00FE4826"/>
    <w:rsid w:val="00FE51BF"/>
    <w:rsid w:val="00FE53B5"/>
    <w:rsid w:val="00FE57BA"/>
    <w:rsid w:val="00FE57E1"/>
    <w:rsid w:val="00FE5A7C"/>
    <w:rsid w:val="00FE5DE5"/>
    <w:rsid w:val="00FE5E72"/>
    <w:rsid w:val="00FE5F8A"/>
    <w:rsid w:val="00FE607E"/>
    <w:rsid w:val="00FE64D5"/>
    <w:rsid w:val="00FE6838"/>
    <w:rsid w:val="00FF0124"/>
    <w:rsid w:val="00FF1042"/>
    <w:rsid w:val="00FF133B"/>
    <w:rsid w:val="00FF1371"/>
    <w:rsid w:val="00FF16B5"/>
    <w:rsid w:val="00FF17A3"/>
    <w:rsid w:val="00FF17AE"/>
    <w:rsid w:val="00FF2372"/>
    <w:rsid w:val="00FF244B"/>
    <w:rsid w:val="00FF2BE5"/>
    <w:rsid w:val="00FF2E63"/>
    <w:rsid w:val="00FF2FFB"/>
    <w:rsid w:val="00FF303B"/>
    <w:rsid w:val="00FF35D6"/>
    <w:rsid w:val="00FF3B76"/>
    <w:rsid w:val="00FF3E00"/>
    <w:rsid w:val="00FF3E27"/>
    <w:rsid w:val="00FF4630"/>
    <w:rsid w:val="00FF49B3"/>
    <w:rsid w:val="00FF4E7C"/>
    <w:rsid w:val="00FF50C3"/>
    <w:rsid w:val="00FF5B10"/>
    <w:rsid w:val="00FF5BD7"/>
    <w:rsid w:val="00FF5D84"/>
    <w:rsid w:val="00FF5DBE"/>
    <w:rsid w:val="00FF6574"/>
    <w:rsid w:val="00FF66D4"/>
    <w:rsid w:val="00FF68D6"/>
    <w:rsid w:val="00FF6CE3"/>
    <w:rsid w:val="00FF71B7"/>
    <w:rsid w:val="00FF753B"/>
    <w:rsid w:val="00FF77E3"/>
    <w:rsid w:val="00FF79C7"/>
    <w:rsid w:val="00FF7A74"/>
    <w:rsid w:val="0105C3E9"/>
    <w:rsid w:val="014B9FC3"/>
    <w:rsid w:val="016BAD0C"/>
    <w:rsid w:val="018228B4"/>
    <w:rsid w:val="020AD1B8"/>
    <w:rsid w:val="021CE270"/>
    <w:rsid w:val="02238D32"/>
    <w:rsid w:val="02C921F1"/>
    <w:rsid w:val="035E0AA7"/>
    <w:rsid w:val="0365A5A9"/>
    <w:rsid w:val="037D9F37"/>
    <w:rsid w:val="03D1D468"/>
    <w:rsid w:val="03DE65EE"/>
    <w:rsid w:val="041F62E4"/>
    <w:rsid w:val="045AA8BC"/>
    <w:rsid w:val="046A789A"/>
    <w:rsid w:val="04A02D6F"/>
    <w:rsid w:val="04B52297"/>
    <w:rsid w:val="04B981A1"/>
    <w:rsid w:val="0519EE5F"/>
    <w:rsid w:val="05A35885"/>
    <w:rsid w:val="06482A88"/>
    <w:rsid w:val="06B989B3"/>
    <w:rsid w:val="06EC2EF6"/>
    <w:rsid w:val="06FAF1A0"/>
    <w:rsid w:val="070DE6F8"/>
    <w:rsid w:val="0728B019"/>
    <w:rsid w:val="073822B3"/>
    <w:rsid w:val="0740CE52"/>
    <w:rsid w:val="0753128B"/>
    <w:rsid w:val="07552E72"/>
    <w:rsid w:val="07E87118"/>
    <w:rsid w:val="07EBBF25"/>
    <w:rsid w:val="07F138D2"/>
    <w:rsid w:val="0832CE5A"/>
    <w:rsid w:val="086527EF"/>
    <w:rsid w:val="087CEAFF"/>
    <w:rsid w:val="08A39792"/>
    <w:rsid w:val="08C416F9"/>
    <w:rsid w:val="092194CA"/>
    <w:rsid w:val="09329DCB"/>
    <w:rsid w:val="095BB9F4"/>
    <w:rsid w:val="0966A2ED"/>
    <w:rsid w:val="0969F1E2"/>
    <w:rsid w:val="096DB894"/>
    <w:rsid w:val="098446A2"/>
    <w:rsid w:val="099EE810"/>
    <w:rsid w:val="0A5DA14B"/>
    <w:rsid w:val="0A776B36"/>
    <w:rsid w:val="0A80BDAF"/>
    <w:rsid w:val="0A8BDB7C"/>
    <w:rsid w:val="0ACE6E2C"/>
    <w:rsid w:val="0AE31471"/>
    <w:rsid w:val="0AF4A65C"/>
    <w:rsid w:val="0B0CFA14"/>
    <w:rsid w:val="0B3607CF"/>
    <w:rsid w:val="0B41392D"/>
    <w:rsid w:val="0B489B2C"/>
    <w:rsid w:val="0B73B913"/>
    <w:rsid w:val="0B7CDFB4"/>
    <w:rsid w:val="0B87E4E8"/>
    <w:rsid w:val="0BC3673D"/>
    <w:rsid w:val="0BCD04C3"/>
    <w:rsid w:val="0BE7411B"/>
    <w:rsid w:val="0BEAEC96"/>
    <w:rsid w:val="0C3FE0C5"/>
    <w:rsid w:val="0C77B8ED"/>
    <w:rsid w:val="0C93DC07"/>
    <w:rsid w:val="0C97D387"/>
    <w:rsid w:val="0CC07C7D"/>
    <w:rsid w:val="0CCDAE3C"/>
    <w:rsid w:val="0D74E236"/>
    <w:rsid w:val="0DDBF18C"/>
    <w:rsid w:val="0DE29F4D"/>
    <w:rsid w:val="0DFF2660"/>
    <w:rsid w:val="0DFF3FB5"/>
    <w:rsid w:val="0E378DA6"/>
    <w:rsid w:val="0E3ED203"/>
    <w:rsid w:val="0E3F992B"/>
    <w:rsid w:val="0E526D6A"/>
    <w:rsid w:val="0E9BFA51"/>
    <w:rsid w:val="0EC6E3DA"/>
    <w:rsid w:val="0EDD348A"/>
    <w:rsid w:val="0F24DA95"/>
    <w:rsid w:val="0F26CF63"/>
    <w:rsid w:val="0F2AECAE"/>
    <w:rsid w:val="0F3BD30A"/>
    <w:rsid w:val="0F8EA734"/>
    <w:rsid w:val="0F93121A"/>
    <w:rsid w:val="0FD35E07"/>
    <w:rsid w:val="1045F89A"/>
    <w:rsid w:val="105D9A53"/>
    <w:rsid w:val="105FBB1B"/>
    <w:rsid w:val="106B3F89"/>
    <w:rsid w:val="106D9BF3"/>
    <w:rsid w:val="1115552B"/>
    <w:rsid w:val="11A86ADD"/>
    <w:rsid w:val="121F3AB2"/>
    <w:rsid w:val="128AD7CE"/>
    <w:rsid w:val="1291D62F"/>
    <w:rsid w:val="12AE888C"/>
    <w:rsid w:val="12CC0394"/>
    <w:rsid w:val="12D160B5"/>
    <w:rsid w:val="12E503C0"/>
    <w:rsid w:val="12F84E4D"/>
    <w:rsid w:val="130D8533"/>
    <w:rsid w:val="131D20DD"/>
    <w:rsid w:val="1394FDFD"/>
    <w:rsid w:val="13BF5316"/>
    <w:rsid w:val="13DEA691"/>
    <w:rsid w:val="13F6E9AE"/>
    <w:rsid w:val="140A93C1"/>
    <w:rsid w:val="147C73AF"/>
    <w:rsid w:val="148816CD"/>
    <w:rsid w:val="14933E2C"/>
    <w:rsid w:val="149E09C5"/>
    <w:rsid w:val="14ADB3D7"/>
    <w:rsid w:val="14C61B20"/>
    <w:rsid w:val="1507E234"/>
    <w:rsid w:val="154FB837"/>
    <w:rsid w:val="159BD8C5"/>
    <w:rsid w:val="162C7BAD"/>
    <w:rsid w:val="163FFE95"/>
    <w:rsid w:val="1646F5A9"/>
    <w:rsid w:val="169FF172"/>
    <w:rsid w:val="16A2BDF2"/>
    <w:rsid w:val="16C427E9"/>
    <w:rsid w:val="16CAE0EA"/>
    <w:rsid w:val="16FB957A"/>
    <w:rsid w:val="171251BB"/>
    <w:rsid w:val="1713555F"/>
    <w:rsid w:val="1717438C"/>
    <w:rsid w:val="173EA09E"/>
    <w:rsid w:val="178ABB3C"/>
    <w:rsid w:val="178C5150"/>
    <w:rsid w:val="179316BD"/>
    <w:rsid w:val="17A28515"/>
    <w:rsid w:val="17B37CF9"/>
    <w:rsid w:val="17B3F1A3"/>
    <w:rsid w:val="17C3D957"/>
    <w:rsid w:val="1837E808"/>
    <w:rsid w:val="1896E166"/>
    <w:rsid w:val="18AB88F7"/>
    <w:rsid w:val="18B79EB9"/>
    <w:rsid w:val="18DFBFDA"/>
    <w:rsid w:val="18E70FB5"/>
    <w:rsid w:val="18F9E97F"/>
    <w:rsid w:val="18FAAF2B"/>
    <w:rsid w:val="1913123B"/>
    <w:rsid w:val="19199904"/>
    <w:rsid w:val="193D17F6"/>
    <w:rsid w:val="19C89311"/>
    <w:rsid w:val="1A593101"/>
    <w:rsid w:val="1ABFDDCE"/>
    <w:rsid w:val="1B6E7C52"/>
    <w:rsid w:val="1BAE5ACC"/>
    <w:rsid w:val="1C607C5F"/>
    <w:rsid w:val="1C8DE6ED"/>
    <w:rsid w:val="1CF18FA6"/>
    <w:rsid w:val="1D2BE57A"/>
    <w:rsid w:val="1D3E46A1"/>
    <w:rsid w:val="1D48AF19"/>
    <w:rsid w:val="1D81A17B"/>
    <w:rsid w:val="1D924785"/>
    <w:rsid w:val="1DDB9EB0"/>
    <w:rsid w:val="1E1D6FAA"/>
    <w:rsid w:val="1E5DCFA8"/>
    <w:rsid w:val="1E75398E"/>
    <w:rsid w:val="1E75FBE2"/>
    <w:rsid w:val="1E7FC9BA"/>
    <w:rsid w:val="1E84D8DD"/>
    <w:rsid w:val="1E8A64B2"/>
    <w:rsid w:val="1E9B3FAA"/>
    <w:rsid w:val="1EC9CFCC"/>
    <w:rsid w:val="1ED2BBAB"/>
    <w:rsid w:val="1EFE45E5"/>
    <w:rsid w:val="1F159B8A"/>
    <w:rsid w:val="1F195879"/>
    <w:rsid w:val="1F2D191C"/>
    <w:rsid w:val="1F4188E0"/>
    <w:rsid w:val="1F69414B"/>
    <w:rsid w:val="1F792CBF"/>
    <w:rsid w:val="1F9F7D81"/>
    <w:rsid w:val="1FCFCA40"/>
    <w:rsid w:val="205FA968"/>
    <w:rsid w:val="20AC623A"/>
    <w:rsid w:val="20E5A847"/>
    <w:rsid w:val="20EBF73A"/>
    <w:rsid w:val="20EC6813"/>
    <w:rsid w:val="2172E4ED"/>
    <w:rsid w:val="21AA3F7F"/>
    <w:rsid w:val="21C17E96"/>
    <w:rsid w:val="21CC53B0"/>
    <w:rsid w:val="21D25767"/>
    <w:rsid w:val="222A748A"/>
    <w:rsid w:val="222E845F"/>
    <w:rsid w:val="22883874"/>
    <w:rsid w:val="22BD501A"/>
    <w:rsid w:val="22CA9736"/>
    <w:rsid w:val="22D686CB"/>
    <w:rsid w:val="22E39308"/>
    <w:rsid w:val="22EE4BC0"/>
    <w:rsid w:val="2343435A"/>
    <w:rsid w:val="235D4EF7"/>
    <w:rsid w:val="237BE96D"/>
    <w:rsid w:val="2389FA34"/>
    <w:rsid w:val="2390A000"/>
    <w:rsid w:val="23A78106"/>
    <w:rsid w:val="23C70A3D"/>
    <w:rsid w:val="23D89FBD"/>
    <w:rsid w:val="23FE4393"/>
    <w:rsid w:val="241759B8"/>
    <w:rsid w:val="245C2920"/>
    <w:rsid w:val="24D33980"/>
    <w:rsid w:val="24D502B3"/>
    <w:rsid w:val="259A13F4"/>
    <w:rsid w:val="25D4832A"/>
    <w:rsid w:val="25DE2766"/>
    <w:rsid w:val="2643432F"/>
    <w:rsid w:val="264E8A2C"/>
    <w:rsid w:val="2660477B"/>
    <w:rsid w:val="26D7BABA"/>
    <w:rsid w:val="27017A8C"/>
    <w:rsid w:val="27072980"/>
    <w:rsid w:val="27153AFC"/>
    <w:rsid w:val="2737C6B3"/>
    <w:rsid w:val="27695899"/>
    <w:rsid w:val="27DF7B4B"/>
    <w:rsid w:val="27EE381F"/>
    <w:rsid w:val="280BD52B"/>
    <w:rsid w:val="281A2DBA"/>
    <w:rsid w:val="2848E52C"/>
    <w:rsid w:val="284D4E8D"/>
    <w:rsid w:val="285D9446"/>
    <w:rsid w:val="286763C6"/>
    <w:rsid w:val="28BD0026"/>
    <w:rsid w:val="28BDBB95"/>
    <w:rsid w:val="290C87CC"/>
    <w:rsid w:val="2930A70F"/>
    <w:rsid w:val="29342D49"/>
    <w:rsid w:val="293DE7AB"/>
    <w:rsid w:val="2945585B"/>
    <w:rsid w:val="2958E3D8"/>
    <w:rsid w:val="2972CF26"/>
    <w:rsid w:val="297ACCEF"/>
    <w:rsid w:val="298A3EE7"/>
    <w:rsid w:val="299F221F"/>
    <w:rsid w:val="29CCA542"/>
    <w:rsid w:val="29E0750C"/>
    <w:rsid w:val="29EB3CEB"/>
    <w:rsid w:val="2A1AE852"/>
    <w:rsid w:val="2A48C28E"/>
    <w:rsid w:val="2A57D57D"/>
    <w:rsid w:val="2AE02C9D"/>
    <w:rsid w:val="2B084925"/>
    <w:rsid w:val="2B5D7C49"/>
    <w:rsid w:val="2B769BBD"/>
    <w:rsid w:val="2BD0A25A"/>
    <w:rsid w:val="2BEE3784"/>
    <w:rsid w:val="2C12A92C"/>
    <w:rsid w:val="2C146A59"/>
    <w:rsid w:val="2C52C590"/>
    <w:rsid w:val="2C598EDA"/>
    <w:rsid w:val="2C6A63ED"/>
    <w:rsid w:val="2C701B35"/>
    <w:rsid w:val="2C8E5501"/>
    <w:rsid w:val="2C959491"/>
    <w:rsid w:val="2C9B7D1D"/>
    <w:rsid w:val="2CD1A96E"/>
    <w:rsid w:val="2D0617AC"/>
    <w:rsid w:val="2D9DC81F"/>
    <w:rsid w:val="2E17EC76"/>
    <w:rsid w:val="2E2E3FFE"/>
    <w:rsid w:val="2E5D3E23"/>
    <w:rsid w:val="2E5E96E0"/>
    <w:rsid w:val="2E715FE9"/>
    <w:rsid w:val="2EB4C5D3"/>
    <w:rsid w:val="2EC00F30"/>
    <w:rsid w:val="2EFBEC66"/>
    <w:rsid w:val="2F0BF4F9"/>
    <w:rsid w:val="2F254654"/>
    <w:rsid w:val="2F44F378"/>
    <w:rsid w:val="2FBBF9FC"/>
    <w:rsid w:val="2FDBBA48"/>
    <w:rsid w:val="301C51AC"/>
    <w:rsid w:val="30231EBC"/>
    <w:rsid w:val="303DCA3D"/>
    <w:rsid w:val="304330FD"/>
    <w:rsid w:val="30576C44"/>
    <w:rsid w:val="3096BC59"/>
    <w:rsid w:val="311E593C"/>
    <w:rsid w:val="314856A1"/>
    <w:rsid w:val="31778AA9"/>
    <w:rsid w:val="318FB714"/>
    <w:rsid w:val="31FC3A8E"/>
    <w:rsid w:val="323FD7A3"/>
    <w:rsid w:val="32400889"/>
    <w:rsid w:val="32621FCD"/>
    <w:rsid w:val="328867F4"/>
    <w:rsid w:val="3374D076"/>
    <w:rsid w:val="340667F1"/>
    <w:rsid w:val="34421A25"/>
    <w:rsid w:val="3449A791"/>
    <w:rsid w:val="346FA090"/>
    <w:rsid w:val="34B78AFA"/>
    <w:rsid w:val="34DCA540"/>
    <w:rsid w:val="34EA7283"/>
    <w:rsid w:val="34EB97EB"/>
    <w:rsid w:val="34F8D286"/>
    <w:rsid w:val="3508131C"/>
    <w:rsid w:val="3513AA5A"/>
    <w:rsid w:val="353749C8"/>
    <w:rsid w:val="35603C8E"/>
    <w:rsid w:val="35F9432F"/>
    <w:rsid w:val="368414B9"/>
    <w:rsid w:val="368CA208"/>
    <w:rsid w:val="3693A7EC"/>
    <w:rsid w:val="36AE82B8"/>
    <w:rsid w:val="36C8605E"/>
    <w:rsid w:val="36D681AB"/>
    <w:rsid w:val="375C9545"/>
    <w:rsid w:val="379227C9"/>
    <w:rsid w:val="379546CE"/>
    <w:rsid w:val="37BC30BE"/>
    <w:rsid w:val="37EAF4BF"/>
    <w:rsid w:val="37F54860"/>
    <w:rsid w:val="37F7A851"/>
    <w:rsid w:val="380BD40B"/>
    <w:rsid w:val="383DB8ED"/>
    <w:rsid w:val="385C8911"/>
    <w:rsid w:val="387F99A9"/>
    <w:rsid w:val="3880D08A"/>
    <w:rsid w:val="3891631C"/>
    <w:rsid w:val="389A147B"/>
    <w:rsid w:val="38B3D19F"/>
    <w:rsid w:val="38F74779"/>
    <w:rsid w:val="39024FFE"/>
    <w:rsid w:val="3943B589"/>
    <w:rsid w:val="3970B30B"/>
    <w:rsid w:val="3971396F"/>
    <w:rsid w:val="39B44B60"/>
    <w:rsid w:val="39C4B9C2"/>
    <w:rsid w:val="39CD1819"/>
    <w:rsid w:val="39E1FFA5"/>
    <w:rsid w:val="3A006265"/>
    <w:rsid w:val="3A8D661B"/>
    <w:rsid w:val="3AE1E4B6"/>
    <w:rsid w:val="3B788E86"/>
    <w:rsid w:val="3B8DB86C"/>
    <w:rsid w:val="3BAADDF0"/>
    <w:rsid w:val="3C122FE2"/>
    <w:rsid w:val="3C1822C8"/>
    <w:rsid w:val="3C29367C"/>
    <w:rsid w:val="3D2D881C"/>
    <w:rsid w:val="3D3E6A76"/>
    <w:rsid w:val="3D46536A"/>
    <w:rsid w:val="3D7D3C44"/>
    <w:rsid w:val="3D7FA140"/>
    <w:rsid w:val="3D8350DB"/>
    <w:rsid w:val="3DC506DD"/>
    <w:rsid w:val="3DF01751"/>
    <w:rsid w:val="3DFBF90D"/>
    <w:rsid w:val="3DFF2D3F"/>
    <w:rsid w:val="3E1D1AF9"/>
    <w:rsid w:val="3E2B3228"/>
    <w:rsid w:val="3E378874"/>
    <w:rsid w:val="3E5511BF"/>
    <w:rsid w:val="3EADF943"/>
    <w:rsid w:val="3EBAE17F"/>
    <w:rsid w:val="3F95719C"/>
    <w:rsid w:val="3FD60ECB"/>
    <w:rsid w:val="3FF1EE05"/>
    <w:rsid w:val="3FFB7A43"/>
    <w:rsid w:val="3FFDE249"/>
    <w:rsid w:val="401C677B"/>
    <w:rsid w:val="4050FBAC"/>
    <w:rsid w:val="40888DD0"/>
    <w:rsid w:val="409B72E5"/>
    <w:rsid w:val="409BA917"/>
    <w:rsid w:val="40CCD42A"/>
    <w:rsid w:val="411222CC"/>
    <w:rsid w:val="4146436B"/>
    <w:rsid w:val="414B9365"/>
    <w:rsid w:val="414C698E"/>
    <w:rsid w:val="415C4B4E"/>
    <w:rsid w:val="416E3EAA"/>
    <w:rsid w:val="41738736"/>
    <w:rsid w:val="41882819"/>
    <w:rsid w:val="419984A1"/>
    <w:rsid w:val="41C8E956"/>
    <w:rsid w:val="41E9AA8A"/>
    <w:rsid w:val="42426731"/>
    <w:rsid w:val="424ED6D5"/>
    <w:rsid w:val="4256F6FE"/>
    <w:rsid w:val="42684909"/>
    <w:rsid w:val="429421E2"/>
    <w:rsid w:val="42D801F1"/>
    <w:rsid w:val="432A98ED"/>
    <w:rsid w:val="4367398C"/>
    <w:rsid w:val="437A376C"/>
    <w:rsid w:val="43927367"/>
    <w:rsid w:val="439CC9A0"/>
    <w:rsid w:val="43B0CEE6"/>
    <w:rsid w:val="43B1D869"/>
    <w:rsid w:val="43B95853"/>
    <w:rsid w:val="43D05CB9"/>
    <w:rsid w:val="4409CEFF"/>
    <w:rsid w:val="445AD98F"/>
    <w:rsid w:val="447F51BC"/>
    <w:rsid w:val="450FD769"/>
    <w:rsid w:val="454B6739"/>
    <w:rsid w:val="45DA08AB"/>
    <w:rsid w:val="45E86224"/>
    <w:rsid w:val="46275E60"/>
    <w:rsid w:val="4695262B"/>
    <w:rsid w:val="46AFBCDC"/>
    <w:rsid w:val="478D244D"/>
    <w:rsid w:val="47AB5B04"/>
    <w:rsid w:val="47D332FA"/>
    <w:rsid w:val="47F62752"/>
    <w:rsid w:val="47FA33A8"/>
    <w:rsid w:val="4820C8E5"/>
    <w:rsid w:val="48762F3B"/>
    <w:rsid w:val="488E5B4E"/>
    <w:rsid w:val="48C5E0A4"/>
    <w:rsid w:val="48E7224B"/>
    <w:rsid w:val="48EE6947"/>
    <w:rsid w:val="495679DA"/>
    <w:rsid w:val="4978D147"/>
    <w:rsid w:val="49C57D77"/>
    <w:rsid w:val="49D38A8C"/>
    <w:rsid w:val="4A47FA65"/>
    <w:rsid w:val="4AB37114"/>
    <w:rsid w:val="4AF22106"/>
    <w:rsid w:val="4B1FBBD9"/>
    <w:rsid w:val="4B21DDE8"/>
    <w:rsid w:val="4B28FA9D"/>
    <w:rsid w:val="4B553571"/>
    <w:rsid w:val="4B55C231"/>
    <w:rsid w:val="4C19124E"/>
    <w:rsid w:val="4C97E9B4"/>
    <w:rsid w:val="4CCC11F4"/>
    <w:rsid w:val="4CE01ED0"/>
    <w:rsid w:val="4CE2599E"/>
    <w:rsid w:val="4D1BA007"/>
    <w:rsid w:val="4D1C0B95"/>
    <w:rsid w:val="4D45770D"/>
    <w:rsid w:val="4D6CDEF4"/>
    <w:rsid w:val="4DB727CB"/>
    <w:rsid w:val="4DC3281B"/>
    <w:rsid w:val="4E281833"/>
    <w:rsid w:val="4E54B1AE"/>
    <w:rsid w:val="4EF3895A"/>
    <w:rsid w:val="4F672BE8"/>
    <w:rsid w:val="4FB94588"/>
    <w:rsid w:val="4FCEEA6E"/>
    <w:rsid w:val="4FE7F44D"/>
    <w:rsid w:val="5013F763"/>
    <w:rsid w:val="5041C675"/>
    <w:rsid w:val="5071FF57"/>
    <w:rsid w:val="50855CAA"/>
    <w:rsid w:val="50CA700C"/>
    <w:rsid w:val="518D6CB0"/>
    <w:rsid w:val="51EFC180"/>
    <w:rsid w:val="5206E1DE"/>
    <w:rsid w:val="523830BB"/>
    <w:rsid w:val="526CB948"/>
    <w:rsid w:val="52998ABA"/>
    <w:rsid w:val="52AAAD97"/>
    <w:rsid w:val="52F3292C"/>
    <w:rsid w:val="53068B30"/>
    <w:rsid w:val="53221111"/>
    <w:rsid w:val="534EA7FB"/>
    <w:rsid w:val="53585AED"/>
    <w:rsid w:val="539077BC"/>
    <w:rsid w:val="53B0F4B5"/>
    <w:rsid w:val="53D62468"/>
    <w:rsid w:val="5417709E"/>
    <w:rsid w:val="54418B93"/>
    <w:rsid w:val="54499A6B"/>
    <w:rsid w:val="5450CD6F"/>
    <w:rsid w:val="54682C16"/>
    <w:rsid w:val="548BD863"/>
    <w:rsid w:val="548F54A8"/>
    <w:rsid w:val="54D2A3EB"/>
    <w:rsid w:val="54E54C27"/>
    <w:rsid w:val="550BDE64"/>
    <w:rsid w:val="55410D93"/>
    <w:rsid w:val="555C2838"/>
    <w:rsid w:val="556CFC12"/>
    <w:rsid w:val="55D74A44"/>
    <w:rsid w:val="5624DDFC"/>
    <w:rsid w:val="5631B3F8"/>
    <w:rsid w:val="563E2BF2"/>
    <w:rsid w:val="56434F0C"/>
    <w:rsid w:val="5690A82B"/>
    <w:rsid w:val="56C05E24"/>
    <w:rsid w:val="56C5492E"/>
    <w:rsid w:val="56CBA453"/>
    <w:rsid w:val="56EFE70B"/>
    <w:rsid w:val="57047EA1"/>
    <w:rsid w:val="573E9919"/>
    <w:rsid w:val="574A937B"/>
    <w:rsid w:val="575065FC"/>
    <w:rsid w:val="57DEBE47"/>
    <w:rsid w:val="57E038D3"/>
    <w:rsid w:val="57EE28FF"/>
    <w:rsid w:val="57FB8BCD"/>
    <w:rsid w:val="582224B1"/>
    <w:rsid w:val="582765F8"/>
    <w:rsid w:val="584C5233"/>
    <w:rsid w:val="585B2CDF"/>
    <w:rsid w:val="5863E8DF"/>
    <w:rsid w:val="58AC9713"/>
    <w:rsid w:val="58BD0DCC"/>
    <w:rsid w:val="58C0AEE8"/>
    <w:rsid w:val="58CBEDEA"/>
    <w:rsid w:val="58E663DC"/>
    <w:rsid w:val="594AA83F"/>
    <w:rsid w:val="595BC9F6"/>
    <w:rsid w:val="59A321BD"/>
    <w:rsid w:val="59FFB940"/>
    <w:rsid w:val="5A3A9D0C"/>
    <w:rsid w:val="5A85C17A"/>
    <w:rsid w:val="5AA502AB"/>
    <w:rsid w:val="5AA7EA13"/>
    <w:rsid w:val="5ABA6B6E"/>
    <w:rsid w:val="5B2F051F"/>
    <w:rsid w:val="5B7372D6"/>
    <w:rsid w:val="5BE65381"/>
    <w:rsid w:val="5C1BBEF1"/>
    <w:rsid w:val="5C6D936B"/>
    <w:rsid w:val="5C96B90E"/>
    <w:rsid w:val="5C9DB894"/>
    <w:rsid w:val="5CACACDB"/>
    <w:rsid w:val="5D1F2E20"/>
    <w:rsid w:val="5D2A4EFE"/>
    <w:rsid w:val="5D5145E3"/>
    <w:rsid w:val="5D598D36"/>
    <w:rsid w:val="5D843A46"/>
    <w:rsid w:val="5D90FA69"/>
    <w:rsid w:val="5E0C1EF3"/>
    <w:rsid w:val="5E5085E7"/>
    <w:rsid w:val="5EDB7A2F"/>
    <w:rsid w:val="5F3E24C6"/>
    <w:rsid w:val="5F844E9A"/>
    <w:rsid w:val="601863B8"/>
    <w:rsid w:val="60460C00"/>
    <w:rsid w:val="6047F5BA"/>
    <w:rsid w:val="604CC157"/>
    <w:rsid w:val="605D29D4"/>
    <w:rsid w:val="60A89E60"/>
    <w:rsid w:val="60EE916E"/>
    <w:rsid w:val="6125E561"/>
    <w:rsid w:val="616D8D08"/>
    <w:rsid w:val="61ADEB06"/>
    <w:rsid w:val="61AF024A"/>
    <w:rsid w:val="61CCB8D4"/>
    <w:rsid w:val="61D9AB3B"/>
    <w:rsid w:val="61F33C91"/>
    <w:rsid w:val="624751C8"/>
    <w:rsid w:val="624CC0EE"/>
    <w:rsid w:val="625028FF"/>
    <w:rsid w:val="626C546D"/>
    <w:rsid w:val="62925807"/>
    <w:rsid w:val="62AF7D18"/>
    <w:rsid w:val="62AFF28B"/>
    <w:rsid w:val="62E3B2E9"/>
    <w:rsid w:val="62FE8E18"/>
    <w:rsid w:val="63040188"/>
    <w:rsid w:val="6331C189"/>
    <w:rsid w:val="6337DB26"/>
    <w:rsid w:val="6373FA63"/>
    <w:rsid w:val="6394F0D1"/>
    <w:rsid w:val="63E23A87"/>
    <w:rsid w:val="640C702C"/>
    <w:rsid w:val="641B9F97"/>
    <w:rsid w:val="64228511"/>
    <w:rsid w:val="647B81AD"/>
    <w:rsid w:val="64C9E527"/>
    <w:rsid w:val="64D252E1"/>
    <w:rsid w:val="64DAF759"/>
    <w:rsid w:val="64ECF7A1"/>
    <w:rsid w:val="65116008"/>
    <w:rsid w:val="6517FF20"/>
    <w:rsid w:val="656FF4A9"/>
    <w:rsid w:val="658B1195"/>
    <w:rsid w:val="65AF72EA"/>
    <w:rsid w:val="65BAF688"/>
    <w:rsid w:val="65FED91E"/>
    <w:rsid w:val="660F0EC8"/>
    <w:rsid w:val="661EF614"/>
    <w:rsid w:val="662A4C63"/>
    <w:rsid w:val="66C72BCC"/>
    <w:rsid w:val="66ECDC26"/>
    <w:rsid w:val="6739A0B8"/>
    <w:rsid w:val="6752FE3B"/>
    <w:rsid w:val="675CD6D3"/>
    <w:rsid w:val="67A955A6"/>
    <w:rsid w:val="67C6092D"/>
    <w:rsid w:val="67D2A07B"/>
    <w:rsid w:val="681348C3"/>
    <w:rsid w:val="68562AFE"/>
    <w:rsid w:val="6862E81D"/>
    <w:rsid w:val="6885501F"/>
    <w:rsid w:val="68AEB2F5"/>
    <w:rsid w:val="68B5B69E"/>
    <w:rsid w:val="68F16DE5"/>
    <w:rsid w:val="69947891"/>
    <w:rsid w:val="699EF822"/>
    <w:rsid w:val="69F57351"/>
    <w:rsid w:val="6A13299B"/>
    <w:rsid w:val="6A13B07F"/>
    <w:rsid w:val="6A4199EA"/>
    <w:rsid w:val="6AD9678B"/>
    <w:rsid w:val="6AF077A0"/>
    <w:rsid w:val="6B5E1250"/>
    <w:rsid w:val="6BAAB7E5"/>
    <w:rsid w:val="6BEB83D8"/>
    <w:rsid w:val="6BF01BED"/>
    <w:rsid w:val="6C250D56"/>
    <w:rsid w:val="6C468A41"/>
    <w:rsid w:val="6C8BD3B8"/>
    <w:rsid w:val="6D0EC2FE"/>
    <w:rsid w:val="6D350199"/>
    <w:rsid w:val="6D39C8E4"/>
    <w:rsid w:val="6D474A72"/>
    <w:rsid w:val="6D65A952"/>
    <w:rsid w:val="6D814F89"/>
    <w:rsid w:val="6D908835"/>
    <w:rsid w:val="6DE65434"/>
    <w:rsid w:val="6E0D0D6C"/>
    <w:rsid w:val="6E6AF57E"/>
    <w:rsid w:val="6E9B374A"/>
    <w:rsid w:val="6EAA935F"/>
    <w:rsid w:val="6EB9CB60"/>
    <w:rsid w:val="6EDB9B18"/>
    <w:rsid w:val="6EEC3BA5"/>
    <w:rsid w:val="6EEE6BB1"/>
    <w:rsid w:val="6F04D239"/>
    <w:rsid w:val="6F12DF98"/>
    <w:rsid w:val="6F238941"/>
    <w:rsid w:val="6F3A868F"/>
    <w:rsid w:val="6F901CEC"/>
    <w:rsid w:val="6FCA5E49"/>
    <w:rsid w:val="6FE59D9E"/>
    <w:rsid w:val="700CA90C"/>
    <w:rsid w:val="704BC0D8"/>
    <w:rsid w:val="70AED75F"/>
    <w:rsid w:val="70CF842A"/>
    <w:rsid w:val="70E19A58"/>
    <w:rsid w:val="715421AA"/>
    <w:rsid w:val="7188253C"/>
    <w:rsid w:val="71A4EEFB"/>
    <w:rsid w:val="71E203B4"/>
    <w:rsid w:val="72179C03"/>
    <w:rsid w:val="72385B7C"/>
    <w:rsid w:val="724924E3"/>
    <w:rsid w:val="72B85FA1"/>
    <w:rsid w:val="730CF478"/>
    <w:rsid w:val="7328C470"/>
    <w:rsid w:val="734656FE"/>
    <w:rsid w:val="735C7D5F"/>
    <w:rsid w:val="73AEAC8F"/>
    <w:rsid w:val="73F7F9AA"/>
    <w:rsid w:val="740C314A"/>
    <w:rsid w:val="7414B15A"/>
    <w:rsid w:val="74A3F296"/>
    <w:rsid w:val="74CD8B6E"/>
    <w:rsid w:val="7527FE8D"/>
    <w:rsid w:val="753D2323"/>
    <w:rsid w:val="7554F713"/>
    <w:rsid w:val="756D6BAF"/>
    <w:rsid w:val="758FAFC1"/>
    <w:rsid w:val="7591CEA6"/>
    <w:rsid w:val="75C37CCC"/>
    <w:rsid w:val="75DD2AB3"/>
    <w:rsid w:val="76606B2E"/>
    <w:rsid w:val="76613C87"/>
    <w:rsid w:val="769086E1"/>
    <w:rsid w:val="76957815"/>
    <w:rsid w:val="76B6BE92"/>
    <w:rsid w:val="76BD7746"/>
    <w:rsid w:val="76E77928"/>
    <w:rsid w:val="7742048E"/>
    <w:rsid w:val="77651543"/>
    <w:rsid w:val="77A71B5C"/>
    <w:rsid w:val="77E4E56D"/>
    <w:rsid w:val="77F5C2CD"/>
    <w:rsid w:val="785C7F0F"/>
    <w:rsid w:val="7893189B"/>
    <w:rsid w:val="78A36252"/>
    <w:rsid w:val="78B03CC9"/>
    <w:rsid w:val="78BF54A4"/>
    <w:rsid w:val="78EA2B77"/>
    <w:rsid w:val="791FA5CC"/>
    <w:rsid w:val="79BBD09A"/>
    <w:rsid w:val="79D06092"/>
    <w:rsid w:val="7A458FF6"/>
    <w:rsid w:val="7AC60ADD"/>
    <w:rsid w:val="7B02DBB5"/>
    <w:rsid w:val="7B08927F"/>
    <w:rsid w:val="7B1F5BE0"/>
    <w:rsid w:val="7B6B1B21"/>
    <w:rsid w:val="7B7D7911"/>
    <w:rsid w:val="7B9801ED"/>
    <w:rsid w:val="7BA0BE7B"/>
    <w:rsid w:val="7BF5C467"/>
    <w:rsid w:val="7C2355F1"/>
    <w:rsid w:val="7C632A8A"/>
    <w:rsid w:val="7C853A6F"/>
    <w:rsid w:val="7CA65B11"/>
    <w:rsid w:val="7CEAE621"/>
    <w:rsid w:val="7CF48926"/>
    <w:rsid w:val="7CF89A78"/>
    <w:rsid w:val="7D37D3FA"/>
    <w:rsid w:val="7D7A2975"/>
    <w:rsid w:val="7DD4FC2B"/>
    <w:rsid w:val="7E2AC97D"/>
    <w:rsid w:val="7F2111A7"/>
    <w:rsid w:val="7F41AFC6"/>
    <w:rsid w:val="7F580D87"/>
    <w:rsid w:val="7F75FD37"/>
    <w:rsid w:val="7F76899A"/>
    <w:rsid w:val="7F823A67"/>
    <w:rsid w:val="7FB37DA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68337F"/>
  <w15:docId w15:val="{62FDFD61-A084-4227-A322-B4728525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D82662"/>
    <w:pPr>
      <w:keepNext/>
      <w:widowControl w:val="0"/>
      <w:numPr>
        <w:numId w:val="17"/>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651093"/>
    <w:pPr>
      <w:spacing w:before="160" w:after="100" w:line="240" w:lineRule="atLeast"/>
    </w:pPr>
    <w:rPr>
      <w:rFonts w:ascii="Arial" w:eastAsiaTheme="minorHAnsi" w:hAnsi="Arial" w:cs="Arial"/>
      <w:sz w:val="23"/>
      <w:bdr w:val="none" w:sz="0" w:space="0" w:color="auto" w:frame="1"/>
      <w:lang w:eastAsia="en-US"/>
    </w:rPr>
  </w:style>
  <w:style w:type="character" w:customStyle="1" w:styleId="BodyTextChar">
    <w:name w:val="Body Text Char"/>
    <w:basedOn w:val="DefaultParagraphFont"/>
    <w:link w:val="BodyText"/>
    <w:uiPriority w:val="99"/>
    <w:rsid w:val="00651093"/>
    <w:rPr>
      <w:rFonts w:ascii="Arial" w:eastAsiaTheme="minorHAnsi" w:hAnsi="Arial" w:cs="Arial"/>
      <w:sz w:val="23"/>
      <w:bdr w:val="none" w:sz="0" w:space="0" w:color="auto" w:frame="1"/>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D82662"/>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uiPriority w:val="99"/>
    <w:qFormat/>
    <w:rsid w:val="006A57A6"/>
    <w:pPr>
      <w:numPr>
        <w:numId w:val="35"/>
      </w:numPr>
      <w:spacing w:before="120" w:after="80"/>
      <w:ind w:left="357" w:hanging="357"/>
    </w:pPr>
    <w:rPr>
      <w:rFonts w:eastAsia="Times New Roman"/>
      <w:shd w:val="clear" w:color="auto" w:fill="FFFFFF"/>
      <w:lang w:val="en-US"/>
    </w:rPr>
  </w:style>
  <w:style w:type="character" w:customStyle="1" w:styleId="Bullet1Char">
    <w:name w:val="Bullet 1 Char"/>
    <w:link w:val="Bullet1"/>
    <w:uiPriority w:val="99"/>
    <w:rsid w:val="006A57A6"/>
    <w:rPr>
      <w:rFonts w:ascii="Arial" w:hAnsi="Arial" w:cs="Arial"/>
      <w:sz w:val="23"/>
      <w:bdr w:val="none" w:sz="0" w:space="0" w:color="auto" w:frame="1"/>
      <w:lang w:val="en-US"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numPr>
        <w:numId w:val="31"/>
      </w:numPr>
    </w:pPr>
  </w:style>
  <w:style w:type="paragraph" w:customStyle="1" w:styleId="Bullet2">
    <w:name w:val="Bullet 2"/>
    <w:basedOn w:val="Bullet1"/>
    <w:rsid w:val="006A57A6"/>
    <w:pPr>
      <w:numPr>
        <w:numId w:val="2"/>
      </w:numPr>
      <w:tabs>
        <w:tab w:val="left" w:pos="851"/>
      </w:tabs>
      <w:spacing w:before="80" w:after="40"/>
      <w:ind w:left="714" w:hanging="357"/>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3"/>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4"/>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5"/>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uiPriority w:val="99"/>
    <w:rsid w:val="00FA09EC"/>
    <w:rPr>
      <w:vertAlign w:val="superscript"/>
    </w:rPr>
  </w:style>
  <w:style w:type="paragraph" w:styleId="FootnoteText">
    <w:name w:val="footnote text"/>
    <w:basedOn w:val="Normal"/>
    <w:link w:val="FootnoteTextChar"/>
    <w:uiPriority w:val="99"/>
    <w:rsid w:val="00FA09EC"/>
    <w:pPr>
      <w:spacing w:before="80" w:after="80"/>
      <w:ind w:left="709" w:hanging="142"/>
    </w:pPr>
    <w:rPr>
      <w:i/>
      <w:sz w:val="16"/>
    </w:rPr>
  </w:style>
  <w:style w:type="character" w:customStyle="1" w:styleId="FootnoteTextChar">
    <w:name w:val="Footnote Text Char"/>
    <w:link w:val="FootnoteText"/>
    <w:uiPriority w:val="99"/>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6"/>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7"/>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8"/>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9"/>
      </w:numPr>
      <w:pBdr>
        <w:bottom w:val="single" w:sz="4" w:space="4" w:color="00ABE6"/>
      </w:pBdr>
      <w:spacing w:before="240" w:after="100"/>
    </w:pPr>
    <w:rPr>
      <w:rFonts w:ascii="Arial" w:hAnsi="Arial"/>
      <w:b/>
      <w:color w:val="00ABE6"/>
      <w:sz w:val="28"/>
    </w:rPr>
  </w:style>
  <w:style w:type="paragraph" w:customStyle="1" w:styleId="Chart21">
    <w:name w:val="Chart 2.1"/>
    <w:basedOn w:val="Normal"/>
    <w:qFormat/>
    <w:rsid w:val="00383B36"/>
    <w:pPr>
      <w:numPr>
        <w:numId w:val="10"/>
      </w:numPr>
      <w:spacing w:before="240" w:after="120"/>
    </w:pPr>
    <w:rPr>
      <w:rFonts w:ascii="Arial" w:hAnsi="Arial"/>
      <w:i/>
      <w:color w:val="4F4F4F"/>
      <w:sz w:val="22"/>
    </w:rPr>
  </w:style>
  <w:style w:type="paragraph" w:customStyle="1" w:styleId="Table21">
    <w:name w:val="Table 2.1"/>
    <w:basedOn w:val="Normal"/>
    <w:qFormat/>
    <w:rsid w:val="00383B36"/>
    <w:pPr>
      <w:numPr>
        <w:numId w:val="11"/>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12"/>
      </w:numPr>
      <w:pBdr>
        <w:bottom w:val="single" w:sz="4" w:space="4" w:color="00ABE6"/>
      </w:pBdr>
      <w:spacing w:before="240" w:after="100"/>
    </w:pPr>
    <w:rPr>
      <w:rFonts w:ascii="Arial" w:hAnsi="Arial"/>
      <w:b/>
      <w:color w:val="00ABE6"/>
      <w:sz w:val="28"/>
    </w:rPr>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paragraph" w:customStyle="1" w:styleId="Bulletedstyle">
    <w:name w:val="Bulleted style"/>
    <w:basedOn w:val="Normal"/>
    <w:qFormat/>
    <w:rsid w:val="006A20E5"/>
    <w:pPr>
      <w:numPr>
        <w:numId w:val="18"/>
      </w:numPr>
      <w:spacing w:after="240"/>
    </w:pPr>
    <w:rPr>
      <w:rFonts w:ascii="Arial" w:hAnsi="Arial"/>
      <w:sz w:val="24"/>
      <w:szCs w:val="24"/>
    </w:rPr>
  </w:style>
  <w:style w:type="character" w:styleId="UnresolvedMention">
    <w:name w:val="Unresolved Mention"/>
    <w:basedOn w:val="DefaultParagraphFont"/>
    <w:uiPriority w:val="99"/>
    <w:unhideWhenUsed/>
    <w:rsid w:val="000D7DAC"/>
    <w:rPr>
      <w:color w:val="605E5C"/>
      <w:shd w:val="clear" w:color="auto" w:fill="E1DFDD"/>
    </w:rPr>
  </w:style>
  <w:style w:type="paragraph" w:styleId="NormalWeb">
    <w:name w:val="Normal (Web)"/>
    <w:basedOn w:val="Normal"/>
    <w:uiPriority w:val="99"/>
    <w:unhideWhenUsed/>
    <w:rsid w:val="00DF0144"/>
    <w:pPr>
      <w:spacing w:before="100" w:beforeAutospacing="1" w:after="100" w:afterAutospacing="1"/>
    </w:pPr>
    <w:rPr>
      <w:sz w:val="24"/>
      <w:szCs w:val="24"/>
      <w:lang w:eastAsia="en-AU"/>
    </w:rPr>
  </w:style>
  <w:style w:type="character" w:customStyle="1" w:styleId="cf01">
    <w:name w:val="cf01"/>
    <w:basedOn w:val="DefaultParagraphFont"/>
    <w:rsid w:val="00DF0144"/>
    <w:rPr>
      <w:rFonts w:ascii="Segoe UI" w:hAnsi="Segoe UI" w:cs="Segoe UI" w:hint="default"/>
      <w:sz w:val="18"/>
      <w:szCs w:val="18"/>
    </w:rPr>
  </w:style>
  <w:style w:type="character" w:styleId="Mention">
    <w:name w:val="Mention"/>
    <w:basedOn w:val="DefaultParagraphFont"/>
    <w:uiPriority w:val="99"/>
    <w:unhideWhenUsed/>
    <w:rsid w:val="0047775D"/>
    <w:rPr>
      <w:color w:val="2B579A"/>
      <w:shd w:val="clear" w:color="auto" w:fill="E1DFDD"/>
    </w:rPr>
  </w:style>
  <w:style w:type="paragraph" w:customStyle="1" w:styleId="Chart7X">
    <w:name w:val="Chart 7.X"/>
    <w:basedOn w:val="Normal"/>
    <w:next w:val="Normal"/>
    <w:rsid w:val="00194EA3"/>
    <w:pPr>
      <w:keepLines/>
      <w:numPr>
        <w:numId w:val="24"/>
      </w:numPr>
      <w:tabs>
        <w:tab w:val="left" w:pos="1304"/>
      </w:tabs>
      <w:spacing w:before="360" w:after="120"/>
      <w:ind w:left="1304" w:hanging="1304"/>
    </w:pPr>
    <w:rPr>
      <w:rFonts w:ascii="Arial" w:hAnsi="Arial"/>
      <w:i/>
      <w:color w:val="57514D"/>
      <w:sz w:val="22"/>
      <w:lang w:val="en-US"/>
    </w:rPr>
  </w:style>
  <w:style w:type="paragraph" w:customStyle="1" w:styleId="Chart1X">
    <w:name w:val="Chart 1.X"/>
    <w:basedOn w:val="Normal"/>
    <w:next w:val="Normal"/>
    <w:rsid w:val="00BE63A7"/>
    <w:pPr>
      <w:keepLines/>
      <w:numPr>
        <w:numId w:val="20"/>
      </w:numPr>
      <w:tabs>
        <w:tab w:val="left" w:pos="1304"/>
      </w:tabs>
      <w:spacing w:before="240" w:after="120"/>
    </w:pPr>
    <w:rPr>
      <w:rFonts w:ascii="Arial" w:hAnsi="Arial"/>
      <w:i/>
      <w:color w:val="4F4F4F"/>
      <w:sz w:val="22"/>
      <w:lang w:val="en-US"/>
    </w:rPr>
  </w:style>
  <w:style w:type="paragraph" w:customStyle="1" w:styleId="DPTabletext">
    <w:name w:val="DP Table text"/>
    <w:basedOn w:val="Normal"/>
    <w:qFormat/>
    <w:rsid w:val="00091A84"/>
    <w:pPr>
      <w:spacing w:before="60" w:line="240" w:lineRule="atLeas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8306">
      <w:bodyDiv w:val="1"/>
      <w:marLeft w:val="0"/>
      <w:marRight w:val="0"/>
      <w:marTop w:val="0"/>
      <w:marBottom w:val="0"/>
      <w:divBdr>
        <w:top w:val="none" w:sz="0" w:space="0" w:color="auto"/>
        <w:left w:val="none" w:sz="0" w:space="0" w:color="auto"/>
        <w:bottom w:val="none" w:sz="0" w:space="0" w:color="auto"/>
        <w:right w:val="none" w:sz="0" w:space="0" w:color="auto"/>
      </w:divBdr>
    </w:div>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65104946">
      <w:bodyDiv w:val="1"/>
      <w:marLeft w:val="0"/>
      <w:marRight w:val="0"/>
      <w:marTop w:val="0"/>
      <w:marBottom w:val="0"/>
      <w:divBdr>
        <w:top w:val="none" w:sz="0" w:space="0" w:color="auto"/>
        <w:left w:val="none" w:sz="0" w:space="0" w:color="auto"/>
        <w:bottom w:val="none" w:sz="0" w:space="0" w:color="auto"/>
        <w:right w:val="none" w:sz="0" w:space="0" w:color="auto"/>
      </w:divBdr>
    </w:div>
    <w:div w:id="83428097">
      <w:bodyDiv w:val="1"/>
      <w:marLeft w:val="0"/>
      <w:marRight w:val="0"/>
      <w:marTop w:val="0"/>
      <w:marBottom w:val="0"/>
      <w:divBdr>
        <w:top w:val="none" w:sz="0" w:space="0" w:color="auto"/>
        <w:left w:val="none" w:sz="0" w:space="0" w:color="auto"/>
        <w:bottom w:val="none" w:sz="0" w:space="0" w:color="auto"/>
        <w:right w:val="none" w:sz="0" w:space="0" w:color="auto"/>
      </w:divBdr>
    </w:div>
    <w:div w:id="90898651">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54955272">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49437228">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405958203">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86944053">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71726483">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089620449">
      <w:bodyDiv w:val="1"/>
      <w:marLeft w:val="0"/>
      <w:marRight w:val="0"/>
      <w:marTop w:val="0"/>
      <w:marBottom w:val="0"/>
      <w:divBdr>
        <w:top w:val="none" w:sz="0" w:space="0" w:color="auto"/>
        <w:left w:val="none" w:sz="0" w:space="0" w:color="auto"/>
        <w:bottom w:val="none" w:sz="0" w:space="0" w:color="auto"/>
        <w:right w:val="none" w:sz="0" w:space="0" w:color="auto"/>
      </w:divBdr>
    </w:div>
    <w:div w:id="1115253518">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5678673">
      <w:bodyDiv w:val="1"/>
      <w:marLeft w:val="0"/>
      <w:marRight w:val="0"/>
      <w:marTop w:val="0"/>
      <w:marBottom w:val="0"/>
      <w:divBdr>
        <w:top w:val="none" w:sz="0" w:space="0" w:color="auto"/>
        <w:left w:val="none" w:sz="0" w:space="0" w:color="auto"/>
        <w:bottom w:val="none" w:sz="0" w:space="0" w:color="auto"/>
        <w:right w:val="none" w:sz="0" w:space="0" w:color="auto"/>
      </w:divBdr>
      <w:divsChild>
        <w:div w:id="1399862120">
          <w:marLeft w:val="0"/>
          <w:marRight w:val="0"/>
          <w:marTop w:val="0"/>
          <w:marBottom w:val="0"/>
          <w:divBdr>
            <w:top w:val="none" w:sz="0" w:space="0" w:color="auto"/>
            <w:left w:val="none" w:sz="0" w:space="0" w:color="auto"/>
            <w:bottom w:val="none" w:sz="0" w:space="0" w:color="auto"/>
            <w:right w:val="none" w:sz="0" w:space="0" w:color="auto"/>
          </w:divBdr>
        </w:div>
      </w:divsChild>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288705439">
      <w:bodyDiv w:val="1"/>
      <w:marLeft w:val="0"/>
      <w:marRight w:val="0"/>
      <w:marTop w:val="0"/>
      <w:marBottom w:val="0"/>
      <w:divBdr>
        <w:top w:val="none" w:sz="0" w:space="0" w:color="auto"/>
        <w:left w:val="none" w:sz="0" w:space="0" w:color="auto"/>
        <w:bottom w:val="none" w:sz="0" w:space="0" w:color="auto"/>
        <w:right w:val="none" w:sz="0" w:space="0" w:color="auto"/>
      </w:divBdr>
    </w:div>
    <w:div w:id="1303577521">
      <w:bodyDiv w:val="1"/>
      <w:marLeft w:val="0"/>
      <w:marRight w:val="0"/>
      <w:marTop w:val="0"/>
      <w:marBottom w:val="0"/>
      <w:divBdr>
        <w:top w:val="none" w:sz="0" w:space="0" w:color="auto"/>
        <w:left w:val="none" w:sz="0" w:space="0" w:color="auto"/>
        <w:bottom w:val="none" w:sz="0" w:space="0" w:color="auto"/>
        <w:right w:val="none" w:sz="0" w:space="0" w:color="auto"/>
      </w:divBdr>
      <w:divsChild>
        <w:div w:id="1666788327">
          <w:marLeft w:val="0"/>
          <w:marRight w:val="0"/>
          <w:marTop w:val="0"/>
          <w:marBottom w:val="0"/>
          <w:divBdr>
            <w:top w:val="none" w:sz="0" w:space="0" w:color="auto"/>
            <w:left w:val="none" w:sz="0" w:space="0" w:color="auto"/>
            <w:bottom w:val="none" w:sz="0" w:space="0" w:color="auto"/>
            <w:right w:val="none" w:sz="0" w:space="0" w:color="auto"/>
          </w:divBdr>
        </w:div>
      </w:divsChild>
    </w:div>
    <w:div w:id="1364549835">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57066663">
      <w:bodyDiv w:val="1"/>
      <w:marLeft w:val="0"/>
      <w:marRight w:val="0"/>
      <w:marTop w:val="0"/>
      <w:marBottom w:val="0"/>
      <w:divBdr>
        <w:top w:val="none" w:sz="0" w:space="0" w:color="auto"/>
        <w:left w:val="none" w:sz="0" w:space="0" w:color="auto"/>
        <w:bottom w:val="none" w:sz="0" w:space="0" w:color="auto"/>
        <w:right w:val="none" w:sz="0" w:space="0" w:color="auto"/>
      </w:divBdr>
    </w:div>
    <w:div w:id="1460606217">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488933001">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13653123">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23427447">
      <w:bodyDiv w:val="1"/>
      <w:marLeft w:val="0"/>
      <w:marRight w:val="0"/>
      <w:marTop w:val="0"/>
      <w:marBottom w:val="0"/>
      <w:divBdr>
        <w:top w:val="none" w:sz="0" w:space="0" w:color="auto"/>
        <w:left w:val="none" w:sz="0" w:space="0" w:color="auto"/>
        <w:bottom w:val="none" w:sz="0" w:space="0" w:color="auto"/>
        <w:right w:val="none" w:sz="0" w:space="0" w:color="auto"/>
      </w:divBdr>
    </w:div>
    <w:div w:id="1834369547">
      <w:bodyDiv w:val="1"/>
      <w:marLeft w:val="0"/>
      <w:marRight w:val="0"/>
      <w:marTop w:val="0"/>
      <w:marBottom w:val="0"/>
      <w:divBdr>
        <w:top w:val="none" w:sz="0" w:space="0" w:color="auto"/>
        <w:left w:val="none" w:sz="0" w:space="0" w:color="auto"/>
        <w:bottom w:val="none" w:sz="0" w:space="0" w:color="auto"/>
        <w:right w:val="none" w:sz="0" w:space="0" w:color="auto"/>
      </w:divBdr>
      <w:divsChild>
        <w:div w:id="1441141827">
          <w:marLeft w:val="274"/>
          <w:marRight w:val="0"/>
          <w:marTop w:val="0"/>
          <w:marBottom w:val="0"/>
          <w:divBdr>
            <w:top w:val="none" w:sz="0" w:space="0" w:color="auto"/>
            <w:left w:val="none" w:sz="0" w:space="0" w:color="auto"/>
            <w:bottom w:val="none" w:sz="0" w:space="0" w:color="auto"/>
            <w:right w:val="none" w:sz="0" w:space="0" w:color="auto"/>
          </w:divBdr>
        </w:div>
      </w:divsChild>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897349784">
      <w:bodyDiv w:val="1"/>
      <w:marLeft w:val="0"/>
      <w:marRight w:val="0"/>
      <w:marTop w:val="0"/>
      <w:marBottom w:val="0"/>
      <w:divBdr>
        <w:top w:val="none" w:sz="0" w:space="0" w:color="auto"/>
        <w:left w:val="none" w:sz="0" w:space="0" w:color="auto"/>
        <w:bottom w:val="none" w:sz="0" w:space="0" w:color="auto"/>
        <w:right w:val="none" w:sz="0" w:space="0" w:color="auto"/>
      </w:divBdr>
    </w:div>
    <w:div w:id="1898858697">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091854511">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DonutRNSW!$D$1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EB48-40CD-9AEC-FD9A4A61A42D}"/>
              </c:ext>
            </c:extLst>
          </c:dPt>
          <c:dPt>
            <c:idx val="1"/>
            <c:bubble3D val="0"/>
            <c:spPr>
              <a:solidFill>
                <a:srgbClr val="00426F"/>
              </a:solidFill>
              <a:ln>
                <a:noFill/>
              </a:ln>
              <a:effectLst/>
            </c:spPr>
            <c:extLst>
              <c:ext xmlns:c16="http://schemas.microsoft.com/office/drawing/2014/chart" uri="{C3380CC4-5D6E-409C-BE32-E72D297353CC}">
                <c16:uniqueId val="{00000003-EB48-40CD-9AEC-FD9A4A61A42D}"/>
              </c:ext>
            </c:extLst>
          </c:dPt>
          <c:dPt>
            <c:idx val="2"/>
            <c:bubble3D val="0"/>
            <c:spPr>
              <a:solidFill>
                <a:srgbClr val="53C8E9"/>
              </a:solidFill>
              <a:ln>
                <a:noFill/>
              </a:ln>
              <a:effectLst/>
            </c:spPr>
            <c:extLst>
              <c:ext xmlns:c16="http://schemas.microsoft.com/office/drawing/2014/chart" uri="{C3380CC4-5D6E-409C-BE32-E72D297353CC}">
                <c16:uniqueId val="{00000005-EB48-40CD-9AEC-FD9A4A61A42D}"/>
              </c:ext>
            </c:extLst>
          </c:dPt>
          <c:dLbls>
            <c:dLbl>
              <c:idx val="0"/>
              <c:layout>
                <c:manualLayout>
                  <c:x val="0.20018347158305932"/>
                  <c:y val="-0.1165066311505937"/>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2388132855942028"/>
                      <c:h val="0.15054699297015464"/>
                    </c:manualLayout>
                  </c15:layout>
                </c:ext>
                <c:ext xmlns:c16="http://schemas.microsoft.com/office/drawing/2014/chart" uri="{C3380CC4-5D6E-409C-BE32-E72D297353CC}">
                  <c16:uniqueId val="{00000001-EB48-40CD-9AEC-FD9A4A61A42D}"/>
                </c:ext>
              </c:extLst>
            </c:dLbl>
            <c:dLbl>
              <c:idx val="1"/>
              <c:layout>
                <c:manualLayout>
                  <c:x val="-0.13583627304938331"/>
                  <c:y val="-7.8670651820420295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48-40CD-9AEC-FD9A4A61A42D}"/>
                </c:ext>
              </c:extLst>
            </c:dLbl>
            <c:dLbl>
              <c:idx val="2"/>
              <c:layout>
                <c:manualLayout>
                  <c:x val="-9.7030288428753858E-2"/>
                  <c:y val="-9.9016962028143196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9064708414716133"/>
                      <c:h val="0.12058221581641584"/>
                    </c:manualLayout>
                  </c15:layout>
                </c:ext>
                <c:ext xmlns:c16="http://schemas.microsoft.com/office/drawing/2014/chart" uri="{C3380CC4-5D6E-409C-BE32-E72D297353CC}">
                  <c16:uniqueId val="{00000005-EB48-40CD-9AEC-FD9A4A61A42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(DonutRNSW!$C$2:$C$8,DonutRNSW!$C$10)</c:f>
              <c:strCache>
                <c:ptCount val="3"/>
                <c:pt idx="0">
                  <c:v>Stronger and cohesive regional communities and economies $2.7b, 68%</c:v>
                </c:pt>
                <c:pt idx="1">
                  <c:v>Stronger primary industries $844.2m, 21%</c:v>
                </c:pt>
                <c:pt idx="2">
                  <c:v>Other state outcomes $440.3m, 11%</c:v>
                </c:pt>
              </c:strCache>
            </c:strRef>
          </c:cat>
          <c:val>
            <c:numRef>
              <c:f>(DonutRNSW!$D$2:$D$8,DonutRNSW!$D$10)</c:f>
              <c:numCache>
                <c:formatCode>"$"#,##0.0;\-"$"#,##0.0</c:formatCode>
                <c:ptCount val="3"/>
                <c:pt idx="0">
                  <c:v>2746234117.3899999</c:v>
                </c:pt>
                <c:pt idx="1">
                  <c:v>844233842.32000017</c:v>
                </c:pt>
                <c:pt idx="2">
                  <c:v>440330386.24000019</c:v>
                </c:pt>
              </c:numCache>
            </c:numRef>
          </c:val>
          <c:extLst>
            <c:ext xmlns:c16="http://schemas.microsoft.com/office/drawing/2014/chart" uri="{C3380CC4-5D6E-409C-BE32-E72D297353CC}">
              <c16:uniqueId val="{00000006-EB48-40CD-9AEC-FD9A4A61A42D}"/>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Charts.xlsx]6. Regional'!$K$32</c:f>
              <c:strCache>
                <c:ptCount val="1"/>
                <c:pt idx="0">
                  <c:v>no</c:v>
                </c:pt>
              </c:strCache>
            </c:strRef>
          </c:tx>
          <c:spPr>
            <a:ln w="28575" cap="rnd">
              <a:solidFill>
                <a:srgbClr val="008EBA"/>
              </a:solidFill>
              <a:round/>
            </a:ln>
            <a:effectLst/>
          </c:spPr>
          <c:marker>
            <c:symbol val="none"/>
          </c:marker>
          <c:cat>
            <c:strRef>
              <c:f>'[Outcomes Statement BP2 2022-23 Charts.xlsx]6. Regional'!$J$33:$J$39</c:f>
              <c:strCache>
                <c:ptCount val="7"/>
                <c:pt idx="0">
                  <c:v>2016
Actual</c:v>
                </c:pt>
                <c:pt idx="1">
                  <c:v>2017
Actual</c:v>
                </c:pt>
                <c:pt idx="2">
                  <c:v>2018
Actual</c:v>
                </c:pt>
                <c:pt idx="3">
                  <c:v>2019
Actual</c:v>
                </c:pt>
                <c:pt idx="4">
                  <c:v>2020
Actual</c:v>
                </c:pt>
                <c:pt idx="5">
                  <c:v>2021
Actual</c:v>
                </c:pt>
                <c:pt idx="6">
                  <c:v>2022
Target</c:v>
                </c:pt>
              </c:strCache>
            </c:strRef>
          </c:cat>
          <c:val>
            <c:numRef>
              <c:f>'[Outcomes Statement BP2 2022-23 Charts.xlsx]6. Regional'!$K$33:$K$39</c:f>
              <c:numCache>
                <c:formatCode>_-* #,##0_-;\-* #,##0_-;_-* "-"??_-;_-@_-</c:formatCode>
                <c:ptCount val="7"/>
                <c:pt idx="0">
                  <c:v>99080</c:v>
                </c:pt>
                <c:pt idx="1">
                  <c:v>74585</c:v>
                </c:pt>
                <c:pt idx="2">
                  <c:v>53498</c:v>
                </c:pt>
                <c:pt idx="3">
                  <c:v>49848</c:v>
                </c:pt>
                <c:pt idx="4">
                  <c:v>123359</c:v>
                </c:pt>
                <c:pt idx="5">
                  <c:v>123359</c:v>
                </c:pt>
                <c:pt idx="6">
                  <c:v>180842</c:v>
                </c:pt>
              </c:numCache>
            </c:numRef>
          </c:val>
          <c:smooth val="0"/>
          <c:extLst>
            <c:ext xmlns:c16="http://schemas.microsoft.com/office/drawing/2014/chart" uri="{C3380CC4-5D6E-409C-BE32-E72D297353CC}">
              <c16:uniqueId val="{00000000-30E2-4101-9C34-F783DB30C2C9}"/>
            </c:ext>
          </c:extLst>
        </c:ser>
        <c:ser>
          <c:idx val="1"/>
          <c:order val="1"/>
          <c:tx>
            <c:strRef>
              <c:f>'[Outcomes Statement BP2 2022-23 Charts.xlsx]6. Regional'!$L$32</c:f>
              <c:strCache>
                <c:ptCount val="1"/>
                <c:pt idx="0">
                  <c:v>no</c:v>
                </c:pt>
              </c:strCache>
            </c:strRef>
          </c:tx>
          <c:spPr>
            <a:ln w="28575" cap="rnd">
              <a:solidFill>
                <a:srgbClr val="008EBA"/>
              </a:solidFill>
              <a:prstDash val="dash"/>
              <a:round/>
            </a:ln>
            <a:effectLst/>
          </c:spPr>
          <c:marker>
            <c:symbol val="none"/>
          </c:marker>
          <c:cat>
            <c:strRef>
              <c:f>'[Outcomes Statement BP2 2022-23 Charts.xlsx]6. Regional'!$J$33:$J$39</c:f>
              <c:strCache>
                <c:ptCount val="7"/>
                <c:pt idx="0">
                  <c:v>2016
Actual</c:v>
                </c:pt>
                <c:pt idx="1">
                  <c:v>2017
Actual</c:v>
                </c:pt>
                <c:pt idx="2">
                  <c:v>2018
Actual</c:v>
                </c:pt>
                <c:pt idx="3">
                  <c:v>2019
Actual</c:v>
                </c:pt>
                <c:pt idx="4">
                  <c:v>2020
Actual</c:v>
                </c:pt>
                <c:pt idx="5">
                  <c:v>2021
Actual</c:v>
                </c:pt>
                <c:pt idx="6">
                  <c:v>2022
Target</c:v>
                </c:pt>
              </c:strCache>
            </c:strRef>
          </c:cat>
          <c:val>
            <c:numRef>
              <c:f>'[Outcomes Statement BP2 2022-23 Charts.xlsx]6. Regional'!$L$33:$L$39</c:f>
              <c:numCache>
                <c:formatCode>General</c:formatCode>
                <c:ptCount val="7"/>
              </c:numCache>
            </c:numRef>
          </c:val>
          <c:smooth val="0"/>
          <c:extLst>
            <c:ext xmlns:c16="http://schemas.microsoft.com/office/drawing/2014/chart" uri="{C3380CC4-5D6E-409C-BE32-E72D297353CC}">
              <c16:uniqueId val="{00000001-30E2-4101-9C34-F783DB30C2C9}"/>
            </c:ext>
          </c:extLst>
        </c:ser>
        <c:ser>
          <c:idx val="2"/>
          <c:order val="2"/>
          <c:tx>
            <c:strRef>
              <c:f>'[Outcomes Statement BP2 2022-23 Charts.xlsx]6. Regional'!$M$32</c:f>
              <c:strCache>
                <c:ptCount val="1"/>
                <c:pt idx="0">
                  <c:v>no</c:v>
                </c:pt>
              </c:strCache>
            </c:strRef>
          </c:tx>
          <c:spPr>
            <a:ln w="28575" cap="rnd">
              <a:noFill/>
              <a:round/>
            </a:ln>
            <a:effectLst/>
          </c:spPr>
          <c:marker>
            <c:symbol val="diamond"/>
            <c:size val="9"/>
            <c:spPr>
              <a:solidFill>
                <a:srgbClr val="008EBA"/>
              </a:solidFill>
              <a:ln w="9525">
                <a:noFill/>
              </a:ln>
              <a:effectLst/>
            </c:spPr>
          </c:marker>
          <c:cat>
            <c:strRef>
              <c:f>'[Outcomes Statement BP2 2022-23 Charts.xlsx]6. Regional'!$J$33:$J$39</c:f>
              <c:strCache>
                <c:ptCount val="7"/>
                <c:pt idx="0">
                  <c:v>2016
Actual</c:v>
                </c:pt>
                <c:pt idx="1">
                  <c:v>2017
Actual</c:v>
                </c:pt>
                <c:pt idx="2">
                  <c:v>2018
Actual</c:v>
                </c:pt>
                <c:pt idx="3">
                  <c:v>2019
Actual</c:v>
                </c:pt>
                <c:pt idx="4">
                  <c:v>2020
Actual</c:v>
                </c:pt>
                <c:pt idx="5">
                  <c:v>2021
Actual</c:v>
                </c:pt>
                <c:pt idx="6">
                  <c:v>2022
Target</c:v>
                </c:pt>
              </c:strCache>
            </c:strRef>
          </c:cat>
          <c:val>
            <c:numRef>
              <c:f>'[Outcomes Statement BP2 2022-23 Charts.xlsx]6. Regional'!$M$33:$M$39</c:f>
              <c:numCache>
                <c:formatCode>General</c:formatCode>
                <c:ptCount val="7"/>
                <c:pt idx="6" formatCode="_-* #,##0_-;\-* #,##0_-;_-* &quot;-&quot;??_-;_-@_-">
                  <c:v>124593</c:v>
                </c:pt>
              </c:numCache>
            </c:numRef>
          </c:val>
          <c:smooth val="0"/>
          <c:extLst>
            <c:ext xmlns:c16="http://schemas.microsoft.com/office/drawing/2014/chart" uri="{C3380CC4-5D6E-409C-BE32-E72D297353CC}">
              <c16:uniqueId val="{00000002-30E2-4101-9C34-F783DB30C2C9}"/>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majorUnit val="5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Charts.xlsx]6. Regional'!$K$60</c:f>
              <c:strCache>
                <c:ptCount val="1"/>
                <c:pt idx="0">
                  <c:v>no</c:v>
                </c:pt>
              </c:strCache>
            </c:strRef>
          </c:tx>
          <c:spPr>
            <a:ln w="28575" cap="rnd">
              <a:solidFill>
                <a:srgbClr val="008EBA"/>
              </a:solidFill>
              <a:round/>
            </a:ln>
            <a:effectLst/>
          </c:spPr>
          <c:marker>
            <c:symbol val="none"/>
          </c:marker>
          <c:cat>
            <c:strRef>
              <c:f>'[Outcomes Statement BP2 2022-23 Charts.xlsx]6. Regional'!$J$61:$J$68</c:f>
              <c:strCache>
                <c:ptCount val="7"/>
                <c:pt idx="0">
                  <c:v>2016
Actual</c:v>
                </c:pt>
                <c:pt idx="1">
                  <c:v>2017
Actual</c:v>
                </c:pt>
                <c:pt idx="2">
                  <c:v>2018
Actual</c:v>
                </c:pt>
                <c:pt idx="3">
                  <c:v>2019
Actual</c:v>
                </c:pt>
                <c:pt idx="4">
                  <c:v>2020
Actual</c:v>
                </c:pt>
                <c:pt idx="5">
                  <c:v>2021
Actual</c:v>
                </c:pt>
                <c:pt idx="6">
                  <c:v>2022
Target</c:v>
                </c:pt>
              </c:strCache>
              <c:extLst/>
            </c:strRef>
          </c:cat>
          <c:val>
            <c:numRef>
              <c:f>'[Outcomes Statement BP2 2022-23 Charts.xlsx]6. Regional'!$K$61:$K$68</c:f>
              <c:numCache>
                <c:formatCode>_-* #,##0_-;\-* #,##0_-;_-* "-"??_-;_-@_-</c:formatCode>
                <c:ptCount val="7"/>
                <c:pt idx="0">
                  <c:v>32623379</c:v>
                </c:pt>
                <c:pt idx="1">
                  <c:v>27828285</c:v>
                </c:pt>
                <c:pt idx="2">
                  <c:v>27708009</c:v>
                </c:pt>
                <c:pt idx="3">
                  <c:v>19895367</c:v>
                </c:pt>
                <c:pt idx="4">
                  <c:v>32201334</c:v>
                </c:pt>
                <c:pt idx="5">
                  <c:v>32201334</c:v>
                </c:pt>
                <c:pt idx="6">
                  <c:v>45728019</c:v>
                </c:pt>
              </c:numCache>
              <c:extLst/>
            </c:numRef>
          </c:val>
          <c:smooth val="0"/>
          <c:extLst>
            <c:ext xmlns:c16="http://schemas.microsoft.com/office/drawing/2014/chart" uri="{C3380CC4-5D6E-409C-BE32-E72D297353CC}">
              <c16:uniqueId val="{00000000-6FB9-477D-936F-8BEAAB6E2E65}"/>
            </c:ext>
          </c:extLst>
        </c:ser>
        <c:ser>
          <c:idx val="1"/>
          <c:order val="1"/>
          <c:tx>
            <c:strRef>
              <c:f>'[Outcomes Statement BP2 2022-23 Charts.xlsx]6. Regional'!$L$60</c:f>
              <c:strCache>
                <c:ptCount val="1"/>
                <c:pt idx="0">
                  <c:v>no</c:v>
                </c:pt>
              </c:strCache>
            </c:strRef>
          </c:tx>
          <c:spPr>
            <a:ln w="28575" cap="rnd">
              <a:solidFill>
                <a:srgbClr val="008EBA"/>
              </a:solidFill>
              <a:prstDash val="dash"/>
              <a:round/>
            </a:ln>
            <a:effectLst/>
          </c:spPr>
          <c:marker>
            <c:symbol val="none"/>
          </c:marker>
          <c:cat>
            <c:strRef>
              <c:f>'[Outcomes Statement BP2 2022-23 Charts.xlsx]6. Regional'!$J$61:$J$68</c:f>
              <c:strCache>
                <c:ptCount val="7"/>
                <c:pt idx="0">
                  <c:v>2016
Actual</c:v>
                </c:pt>
                <c:pt idx="1">
                  <c:v>2017
Actual</c:v>
                </c:pt>
                <c:pt idx="2">
                  <c:v>2018
Actual</c:v>
                </c:pt>
                <c:pt idx="3">
                  <c:v>2019
Actual</c:v>
                </c:pt>
                <c:pt idx="4">
                  <c:v>2020
Actual</c:v>
                </c:pt>
                <c:pt idx="5">
                  <c:v>2021
Actual</c:v>
                </c:pt>
                <c:pt idx="6">
                  <c:v>2022
Target</c:v>
                </c:pt>
              </c:strCache>
              <c:extLst/>
            </c:strRef>
          </c:cat>
          <c:val>
            <c:numRef>
              <c:f>'[Outcomes Statement BP2 2022-23 Charts.xlsx]6. Regional'!$L$61:$L$68</c:f>
              <c:numCache>
                <c:formatCode>General</c:formatCode>
                <c:ptCount val="7"/>
              </c:numCache>
              <c:extLst/>
            </c:numRef>
          </c:val>
          <c:smooth val="0"/>
          <c:extLst>
            <c:ext xmlns:c16="http://schemas.microsoft.com/office/drawing/2014/chart" uri="{C3380CC4-5D6E-409C-BE32-E72D297353CC}">
              <c16:uniqueId val="{00000001-6FB9-477D-936F-8BEAAB6E2E65}"/>
            </c:ext>
          </c:extLst>
        </c:ser>
        <c:ser>
          <c:idx val="2"/>
          <c:order val="2"/>
          <c:tx>
            <c:strRef>
              <c:f>'[Outcomes Statement BP2 2022-23 Charts.xlsx]6. Regional'!$M$60</c:f>
              <c:strCache>
                <c:ptCount val="1"/>
                <c:pt idx="0">
                  <c:v>no</c:v>
                </c:pt>
              </c:strCache>
            </c:strRef>
          </c:tx>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Charts.xlsx]6. Regional'!$J$61:$J$68</c:f>
              <c:strCache>
                <c:ptCount val="7"/>
                <c:pt idx="0">
                  <c:v>2016
Actual</c:v>
                </c:pt>
                <c:pt idx="1">
                  <c:v>2017
Actual</c:v>
                </c:pt>
                <c:pt idx="2">
                  <c:v>2018
Actual</c:v>
                </c:pt>
                <c:pt idx="3">
                  <c:v>2019
Actual</c:v>
                </c:pt>
                <c:pt idx="4">
                  <c:v>2020
Actual</c:v>
                </c:pt>
                <c:pt idx="5">
                  <c:v>2021
Actual</c:v>
                </c:pt>
                <c:pt idx="6">
                  <c:v>2022
Target</c:v>
                </c:pt>
              </c:strCache>
              <c:extLst/>
            </c:strRef>
          </c:cat>
          <c:val>
            <c:numRef>
              <c:f>'[Outcomes Statement BP2 2022-23 Charts.xlsx]6. Regional'!$M$61:$M$68</c:f>
              <c:numCache>
                <c:formatCode>General</c:formatCode>
                <c:ptCount val="7"/>
                <c:pt idx="6" formatCode="_-* #,##0_-;\-* #,##0_-;_-* &quot;-&quot;??_-;_-@_-">
                  <c:v>32523347</c:v>
                </c:pt>
              </c:numCache>
              <c:extLst/>
            </c:numRef>
          </c:val>
          <c:smooth val="0"/>
          <c:extLst>
            <c:ext xmlns:c16="http://schemas.microsoft.com/office/drawing/2014/chart" uri="{C3380CC4-5D6E-409C-BE32-E72D297353CC}">
              <c16:uniqueId val="{00000002-6FB9-477D-936F-8BEAAB6E2E65}"/>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Hectares</a:t>
                </a:r>
              </a:p>
            </c:rich>
          </c:tx>
          <c:layout>
            <c:manualLayout>
              <c:xMode val="edge"/>
              <c:yMode val="edge"/>
              <c:x val="1.8839994617144393E-2"/>
              <c:y val="0.3707099747793449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1000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DonutRNSW!$D$16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594A-441B-8929-D2F1B078E022}"/>
              </c:ext>
            </c:extLst>
          </c:dPt>
          <c:dPt>
            <c:idx val="1"/>
            <c:bubble3D val="0"/>
            <c:spPr>
              <a:solidFill>
                <a:srgbClr val="00426F"/>
              </a:solidFill>
              <a:ln>
                <a:noFill/>
              </a:ln>
              <a:effectLst/>
            </c:spPr>
            <c:extLst>
              <c:ext xmlns:c16="http://schemas.microsoft.com/office/drawing/2014/chart" uri="{C3380CC4-5D6E-409C-BE32-E72D297353CC}">
                <c16:uniqueId val="{00000003-594A-441B-8929-D2F1B078E022}"/>
              </c:ext>
            </c:extLst>
          </c:dPt>
          <c:dPt>
            <c:idx val="2"/>
            <c:bubble3D val="0"/>
            <c:spPr>
              <a:solidFill>
                <a:srgbClr val="53C8E9"/>
              </a:solidFill>
              <a:ln>
                <a:noFill/>
              </a:ln>
              <a:effectLst/>
            </c:spPr>
            <c:extLst>
              <c:ext xmlns:c16="http://schemas.microsoft.com/office/drawing/2014/chart" uri="{C3380CC4-5D6E-409C-BE32-E72D297353CC}">
                <c16:uniqueId val="{00000005-594A-441B-8929-D2F1B078E022}"/>
              </c:ext>
            </c:extLst>
          </c:dPt>
          <c:dLbls>
            <c:dLbl>
              <c:idx val="0"/>
              <c:layout>
                <c:manualLayout>
                  <c:x val="0.21235271606164779"/>
                  <c:y val="-0.11713260563121561"/>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7539498392100852"/>
                      <c:h val="0.15309230013545091"/>
                    </c:manualLayout>
                  </c15:layout>
                </c:ext>
                <c:ext xmlns:c16="http://schemas.microsoft.com/office/drawing/2014/chart" uri="{C3380CC4-5D6E-409C-BE32-E72D297353CC}">
                  <c16:uniqueId val="{00000001-594A-441B-8929-D2F1B078E022}"/>
                </c:ext>
              </c:extLst>
            </c:dLbl>
            <c:dLbl>
              <c:idx val="1"/>
              <c:layout>
                <c:manualLayout>
                  <c:x val="-0.13189056793790543"/>
                  <c:y val="-0.10494967469713384"/>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3749157113958194"/>
                      <c:h val="0.12224322621298045"/>
                    </c:manualLayout>
                  </c15:layout>
                </c:ext>
                <c:ext xmlns:c16="http://schemas.microsoft.com/office/drawing/2014/chart" uri="{C3380CC4-5D6E-409C-BE32-E72D297353CC}">
                  <c16:uniqueId val="{00000003-594A-441B-8929-D2F1B078E022}"/>
                </c:ext>
              </c:extLst>
            </c:dLbl>
            <c:dLbl>
              <c:idx val="2"/>
              <c:layout>
                <c:manualLayout>
                  <c:x val="1.931461197154806E-2"/>
                  <c:y val="-0.14608904038223955"/>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2265429902853512"/>
                      <c:h val="0.12484474412343068"/>
                    </c:manualLayout>
                  </c15:layout>
                </c:ext>
                <c:ext xmlns:c16="http://schemas.microsoft.com/office/drawing/2014/chart" uri="{C3380CC4-5D6E-409C-BE32-E72D297353CC}">
                  <c16:uniqueId val="{00000005-594A-441B-8929-D2F1B078E02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(DonutRNSW!$C$17:$C$23,DonutRNSW!$C$25)</c:f>
              <c:strCache>
                <c:ptCount val="3"/>
                <c:pt idx="0">
                  <c:v>Stronger and cohesive regional communities and economies $342.4m, 79%</c:v>
                </c:pt>
                <c:pt idx="1">
                  <c:v>Stronger primary industries $71.4m, 17%</c:v>
                </c:pt>
                <c:pt idx="2">
                  <c:v>Other state outcomes $18.5m, 4%</c:v>
                </c:pt>
              </c:strCache>
            </c:strRef>
          </c:cat>
          <c:val>
            <c:numRef>
              <c:f>(DonutRNSW!$D$17:$D$23,DonutRNSW!$D$25)</c:f>
              <c:numCache>
                <c:formatCode>"$"#,##0.0;\-"$"#,##0.0</c:formatCode>
                <c:ptCount val="3"/>
                <c:pt idx="0">
                  <c:v>342442000</c:v>
                </c:pt>
                <c:pt idx="1">
                  <c:v>71441000</c:v>
                </c:pt>
                <c:pt idx="2">
                  <c:v>18527000</c:v>
                </c:pt>
              </c:numCache>
            </c:numRef>
          </c:val>
          <c:extLst>
            <c:ext xmlns:c16="http://schemas.microsoft.com/office/drawing/2014/chart" uri="{C3380CC4-5D6E-409C-BE32-E72D297353CC}">
              <c16:uniqueId val="{00000006-594A-441B-8929-D2F1B078E022}"/>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Charts.xlsx]7. Regional'!$K$224</c:f>
              <c:strCache>
                <c:ptCount val="1"/>
                <c:pt idx="0">
                  <c:v>%</c:v>
                </c:pt>
              </c:strCache>
            </c:strRef>
          </c:tx>
          <c:spPr>
            <a:ln w="28575" cap="rnd">
              <a:solidFill>
                <a:srgbClr val="008EBA"/>
              </a:solidFill>
              <a:round/>
            </a:ln>
            <a:effectLst/>
          </c:spPr>
          <c:marker>
            <c:symbol val="none"/>
          </c:marker>
          <c:cat>
            <c:strRef>
              <c:f>'[Outcomes Statement BP2 2022-23 Charts.xlsx]7. Regional'!$J$225:$J$232</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Charts.xlsx]7. Regional'!$K$225:$K$232</c:f>
              <c:numCache>
                <c:formatCode>General</c:formatCode>
                <c:ptCount val="8"/>
                <c:pt idx="0">
                  <c:v>-0.78</c:v>
                </c:pt>
                <c:pt idx="1">
                  <c:v>2.73</c:v>
                </c:pt>
                <c:pt idx="2">
                  <c:v>1.72</c:v>
                </c:pt>
                <c:pt idx="3">
                  <c:v>0.09</c:v>
                </c:pt>
                <c:pt idx="4">
                  <c:v>1.1000000000000001</c:v>
                </c:pt>
                <c:pt idx="5">
                  <c:v>0.2</c:v>
                </c:pt>
              </c:numCache>
            </c:numRef>
          </c:val>
          <c:smooth val="0"/>
          <c:extLst>
            <c:ext xmlns:c16="http://schemas.microsoft.com/office/drawing/2014/chart" uri="{C3380CC4-5D6E-409C-BE32-E72D297353CC}">
              <c16:uniqueId val="{00000000-C9F2-433A-90F2-BEEBC031F7E7}"/>
            </c:ext>
          </c:extLst>
        </c:ser>
        <c:ser>
          <c:idx val="1"/>
          <c:order val="1"/>
          <c:tx>
            <c:strRef>
              <c:f>'[Outcomes Statement BP2 2022-23 Charts.xlsx]7. Regional'!$L$224</c:f>
              <c:strCache>
                <c:ptCount val="1"/>
                <c:pt idx="0">
                  <c:v>%</c:v>
                </c:pt>
              </c:strCache>
            </c:strRef>
          </c:tx>
          <c:spPr>
            <a:ln w="28575" cap="rnd">
              <a:solidFill>
                <a:srgbClr val="008EBA"/>
              </a:solidFill>
              <a:prstDash val="dash"/>
              <a:round/>
            </a:ln>
            <a:effectLst/>
          </c:spPr>
          <c:marker>
            <c:symbol val="none"/>
          </c:marker>
          <c:cat>
            <c:strRef>
              <c:f>'[Outcomes Statement BP2 2022-23 Charts.xlsx]7. Regional'!$J$225:$J$232</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Charts.xlsx]7. Regional'!$L$225:$L$232</c:f>
              <c:numCache>
                <c:formatCode>General</c:formatCode>
                <c:ptCount val="8"/>
                <c:pt idx="5">
                  <c:v>0.2</c:v>
                </c:pt>
                <c:pt idx="6">
                  <c:v>0.3</c:v>
                </c:pt>
              </c:numCache>
            </c:numRef>
          </c:val>
          <c:smooth val="0"/>
          <c:extLst>
            <c:ext xmlns:c16="http://schemas.microsoft.com/office/drawing/2014/chart" uri="{C3380CC4-5D6E-409C-BE32-E72D297353CC}">
              <c16:uniqueId val="{00000001-C9F2-433A-90F2-BEEBC031F7E7}"/>
            </c:ext>
          </c:extLst>
        </c:ser>
        <c:ser>
          <c:idx val="2"/>
          <c:order val="2"/>
          <c:tx>
            <c:strRef>
              <c:f>'[Outcomes Statement BP2 2022-23 Charts.xlsx]7. Regional'!$M$224</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Regional'!$J$225:$J$232</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Charts.xlsx]7. Regional'!$M$225:$M$232</c:f>
              <c:numCache>
                <c:formatCode>General</c:formatCode>
                <c:ptCount val="8"/>
                <c:pt idx="7">
                  <c:v>1.1000000000000001</c:v>
                </c:pt>
              </c:numCache>
            </c:numRef>
          </c:val>
          <c:smooth val="0"/>
          <c:extLst>
            <c:ext xmlns:c16="http://schemas.microsoft.com/office/drawing/2014/chart" uri="{C3380CC4-5D6E-409C-BE32-E72D297353CC}">
              <c16:uniqueId val="{00000002-C9F2-433A-90F2-BEEBC031F7E7}"/>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32282641745507E-2"/>
          <c:y val="3.7701499859175994E-2"/>
          <c:w val="0.86583979603605365"/>
          <c:h val="0.82283375011549797"/>
        </c:manualLayout>
      </c:layout>
      <c:lineChart>
        <c:grouping val="standard"/>
        <c:varyColors val="0"/>
        <c:ser>
          <c:idx val="0"/>
          <c:order val="0"/>
          <c:tx>
            <c:strRef>
              <c:f>'[Outcomes Statement BP2 2022-23 Charts.xlsx]7. Regional'!$K$90:$K$91</c:f>
              <c:strCache>
                <c:ptCount val="2"/>
                <c:pt idx="0">
                  <c:v>Actuals</c:v>
                </c:pt>
                <c:pt idx="1">
                  <c:v>%</c:v>
                </c:pt>
              </c:strCache>
            </c:strRef>
          </c:tx>
          <c:spPr>
            <a:ln w="28575" cap="rnd">
              <a:solidFill>
                <a:srgbClr val="008EBA"/>
              </a:solidFill>
              <a:round/>
            </a:ln>
            <a:effectLst/>
          </c:spPr>
          <c:marker>
            <c:symbol val="none"/>
          </c:marker>
          <c:cat>
            <c:strRef>
              <c:f>'[Outcomes Statement BP2 2022-23 Charts.xlsx]7. Regional'!$J$92:$J$98</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Charts.xlsx]7. Regional'!$K$92:$K$98</c:f>
              <c:numCache>
                <c:formatCode>General</c:formatCode>
                <c:ptCount val="7"/>
                <c:pt idx="0">
                  <c:v>15.2</c:v>
                </c:pt>
                <c:pt idx="1">
                  <c:v>14.1</c:v>
                </c:pt>
                <c:pt idx="2">
                  <c:v>12.4</c:v>
                </c:pt>
                <c:pt idx="3">
                  <c:v>11.99</c:v>
                </c:pt>
                <c:pt idx="4">
                  <c:v>17.600000000000001</c:v>
                </c:pt>
              </c:numCache>
            </c:numRef>
          </c:val>
          <c:smooth val="0"/>
          <c:extLst>
            <c:ext xmlns:c16="http://schemas.microsoft.com/office/drawing/2014/chart" uri="{C3380CC4-5D6E-409C-BE32-E72D297353CC}">
              <c16:uniqueId val="{00000000-C802-4856-9217-DC7B2A5B424C}"/>
            </c:ext>
          </c:extLst>
        </c:ser>
        <c:ser>
          <c:idx val="1"/>
          <c:order val="1"/>
          <c:tx>
            <c:strRef>
              <c:f>'[Outcomes Statement BP2 2022-23 Charts.xlsx]7. Regional'!$L$90:$L$91</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Regional'!$J$92:$J$98</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Charts.xlsx]7. Regional'!$L$92:$L$98</c:f>
              <c:numCache>
                <c:formatCode>General</c:formatCode>
                <c:ptCount val="7"/>
              </c:numCache>
            </c:numRef>
          </c:val>
          <c:smooth val="0"/>
          <c:extLst>
            <c:ext xmlns:c16="http://schemas.microsoft.com/office/drawing/2014/chart" uri="{C3380CC4-5D6E-409C-BE32-E72D297353CC}">
              <c16:uniqueId val="{00000001-C802-4856-9217-DC7B2A5B424C}"/>
            </c:ext>
          </c:extLst>
        </c:ser>
        <c:ser>
          <c:idx val="2"/>
          <c:order val="2"/>
          <c:tx>
            <c:strRef>
              <c:f>'[Outcomes Statement BP2 2022-23 Charts.xlsx]7. Regional'!$M$90:$M$91</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Regional'!$J$92:$J$98</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Charts.xlsx]7. Regional'!$M$92:$M$98</c:f>
              <c:numCache>
                <c:formatCode>General</c:formatCode>
                <c:ptCount val="7"/>
                <c:pt idx="6">
                  <c:v>23.6</c:v>
                </c:pt>
              </c:numCache>
            </c:numRef>
          </c:val>
          <c:smooth val="0"/>
          <c:extLst>
            <c:ext xmlns:c16="http://schemas.microsoft.com/office/drawing/2014/chart" uri="{C3380CC4-5D6E-409C-BE32-E72D297353CC}">
              <c16:uniqueId val="{00000002-C802-4856-9217-DC7B2A5B424C}"/>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25"/>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62048287010482"/>
          <c:y val="5.4522924411400248E-2"/>
          <c:w val="0.87188945090472958"/>
          <c:h val="0.81366312482315173"/>
        </c:manualLayout>
      </c:layout>
      <c:lineChart>
        <c:grouping val="standard"/>
        <c:varyColors val="0"/>
        <c:ser>
          <c:idx val="0"/>
          <c:order val="0"/>
          <c:tx>
            <c:strRef>
              <c:f>'[Outcomes Statement BP2 2022-23 Charts.xlsx]7. Regional'!$K$112</c:f>
              <c:strCache>
                <c:ptCount val="1"/>
                <c:pt idx="0">
                  <c:v>%</c:v>
                </c:pt>
              </c:strCache>
            </c:strRef>
          </c:tx>
          <c:spPr>
            <a:ln w="28575" cap="rnd">
              <a:solidFill>
                <a:srgbClr val="008EBA"/>
              </a:solidFill>
              <a:round/>
            </a:ln>
            <a:effectLst/>
          </c:spPr>
          <c:marker>
            <c:symbol val="none"/>
          </c:marker>
          <c:cat>
            <c:strRef>
              <c:f>'[Outcomes Statement BP2 2022-23 Charts.xlsx]7. Regional'!$J$113:$J$119</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Charts.xlsx]7. Regional'!$K$113:$K$119</c:f>
              <c:numCache>
                <c:formatCode>General</c:formatCode>
                <c:ptCount val="7"/>
                <c:pt idx="0">
                  <c:v>75</c:v>
                </c:pt>
                <c:pt idx="1">
                  <c:v>75</c:v>
                </c:pt>
                <c:pt idx="2">
                  <c:v>75</c:v>
                </c:pt>
                <c:pt idx="3">
                  <c:v>72</c:v>
                </c:pt>
                <c:pt idx="4">
                  <c:v>67</c:v>
                </c:pt>
                <c:pt idx="5">
                  <c:v>75</c:v>
                </c:pt>
              </c:numCache>
            </c:numRef>
          </c:val>
          <c:smooth val="0"/>
          <c:extLst>
            <c:ext xmlns:c16="http://schemas.microsoft.com/office/drawing/2014/chart" uri="{C3380CC4-5D6E-409C-BE32-E72D297353CC}">
              <c16:uniqueId val="{00000000-64A8-4B5B-83A4-8F4F5A58EDAB}"/>
            </c:ext>
          </c:extLst>
        </c:ser>
        <c:ser>
          <c:idx val="1"/>
          <c:order val="1"/>
          <c:tx>
            <c:strRef>
              <c:f>'[Outcomes Statement BP2 2022-23 Charts.xlsx]7. Regional'!$L$112</c:f>
              <c:strCache>
                <c:ptCount val="1"/>
                <c:pt idx="0">
                  <c:v>%</c:v>
                </c:pt>
              </c:strCache>
            </c:strRef>
          </c:tx>
          <c:spPr>
            <a:ln w="28575" cap="rnd">
              <a:solidFill>
                <a:srgbClr val="008EBA"/>
              </a:solidFill>
              <a:prstDash val="dash"/>
              <a:round/>
            </a:ln>
            <a:effectLst/>
          </c:spPr>
          <c:marker>
            <c:symbol val="none"/>
          </c:marker>
          <c:cat>
            <c:strRef>
              <c:f>'[Outcomes Statement BP2 2022-23 Charts.xlsx]7. Regional'!$J$113:$J$119</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Charts.xlsx]7. Regional'!$L$113:$L$119</c:f>
              <c:numCache>
                <c:formatCode>General</c:formatCode>
                <c:ptCount val="7"/>
              </c:numCache>
            </c:numRef>
          </c:val>
          <c:smooth val="0"/>
          <c:extLst>
            <c:ext xmlns:c16="http://schemas.microsoft.com/office/drawing/2014/chart" uri="{C3380CC4-5D6E-409C-BE32-E72D297353CC}">
              <c16:uniqueId val="{00000001-64A8-4B5B-83A4-8F4F5A58EDAB}"/>
            </c:ext>
          </c:extLst>
        </c:ser>
        <c:ser>
          <c:idx val="2"/>
          <c:order val="2"/>
          <c:tx>
            <c:strRef>
              <c:f>'[Outcomes Statement BP2 2022-23 Charts.xlsx]7. Regional'!$M$112</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Regional'!$J$113:$J$119</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Charts.xlsx]7. Regional'!$M$113:$M$119</c:f>
              <c:numCache>
                <c:formatCode>General</c:formatCode>
                <c:ptCount val="7"/>
                <c:pt idx="6">
                  <c:v>80</c:v>
                </c:pt>
              </c:numCache>
            </c:numRef>
          </c:val>
          <c:smooth val="0"/>
          <c:extLst>
            <c:ext xmlns:c16="http://schemas.microsoft.com/office/drawing/2014/chart" uri="{C3380CC4-5D6E-409C-BE32-E72D297353CC}">
              <c16:uniqueId val="{00000002-64A8-4B5B-83A4-8F4F5A58EDAB}"/>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layout>
            <c:manualLayout>
              <c:xMode val="edge"/>
              <c:yMode val="edge"/>
              <c:x val="1.9904062254632381E-2"/>
              <c:y val="0.3732845585405614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3889897291301"/>
          <c:y val="6.0406370126304232E-2"/>
          <c:w val="0.88032110640994266"/>
          <c:h val="0.79355593318545237"/>
        </c:manualLayout>
      </c:layout>
      <c:lineChart>
        <c:grouping val="standard"/>
        <c:varyColors val="0"/>
        <c:ser>
          <c:idx val="0"/>
          <c:order val="0"/>
          <c:tx>
            <c:strRef>
              <c:f>'[Outcomes Statement BP2 2022-23 Charts.xlsx]6. Regional'!$K$135</c:f>
              <c:strCache>
                <c:ptCount val="1"/>
                <c:pt idx="0">
                  <c:v>%</c:v>
                </c:pt>
              </c:strCache>
            </c:strRef>
          </c:tx>
          <c:spPr>
            <a:ln w="28575" cap="rnd">
              <a:solidFill>
                <a:srgbClr val="008EBA"/>
              </a:solidFill>
              <a:round/>
            </a:ln>
            <a:effectLst/>
          </c:spPr>
          <c:marker>
            <c:symbol val="none"/>
          </c:marker>
          <c:cat>
            <c:strRef>
              <c:f>'[Outcomes Statement BP2 2022-23 Charts.xlsx]6. Regional'!$J$136:$J$142</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Charts.xlsx]6. Regional'!$K$136:$K$142</c:f>
              <c:numCache>
                <c:formatCode>General</c:formatCode>
                <c:ptCount val="7"/>
                <c:pt idx="0">
                  <c:v>1</c:v>
                </c:pt>
                <c:pt idx="1">
                  <c:v>1</c:v>
                </c:pt>
                <c:pt idx="2">
                  <c:v>1</c:v>
                </c:pt>
                <c:pt idx="3">
                  <c:v>1</c:v>
                </c:pt>
                <c:pt idx="4">
                  <c:v>1</c:v>
                </c:pt>
                <c:pt idx="5">
                  <c:v>1</c:v>
                </c:pt>
              </c:numCache>
            </c:numRef>
          </c:val>
          <c:smooth val="0"/>
          <c:extLst>
            <c:ext xmlns:c16="http://schemas.microsoft.com/office/drawing/2014/chart" uri="{C3380CC4-5D6E-409C-BE32-E72D297353CC}">
              <c16:uniqueId val="{00000000-9E88-4544-9E67-D4C2C1D5F970}"/>
            </c:ext>
          </c:extLst>
        </c:ser>
        <c:ser>
          <c:idx val="1"/>
          <c:order val="1"/>
          <c:tx>
            <c:strRef>
              <c:f>'[Outcomes Statement BP2 2022-23 Charts.xlsx]6. Regional'!$L$135</c:f>
              <c:strCache>
                <c:ptCount val="1"/>
                <c:pt idx="0">
                  <c:v>%</c:v>
                </c:pt>
              </c:strCache>
            </c:strRef>
          </c:tx>
          <c:spPr>
            <a:ln w="28575" cap="rnd">
              <a:solidFill>
                <a:srgbClr val="008EBA"/>
              </a:solidFill>
              <a:prstDash val="dash"/>
              <a:round/>
            </a:ln>
            <a:effectLst/>
          </c:spPr>
          <c:marker>
            <c:symbol val="none"/>
          </c:marker>
          <c:cat>
            <c:strRef>
              <c:f>'[Outcomes Statement BP2 2022-23 Charts.xlsx]6. Regional'!$J$136:$J$142</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Charts.xlsx]6. Regional'!$L$136:$L$142</c:f>
              <c:numCache>
                <c:formatCode>General</c:formatCode>
                <c:ptCount val="7"/>
                <c:pt idx="5">
                  <c:v>1</c:v>
                </c:pt>
                <c:pt idx="6">
                  <c:v>1</c:v>
                </c:pt>
              </c:numCache>
            </c:numRef>
          </c:val>
          <c:smooth val="0"/>
          <c:extLst>
            <c:ext xmlns:c16="http://schemas.microsoft.com/office/drawing/2014/chart" uri="{C3380CC4-5D6E-409C-BE32-E72D297353CC}">
              <c16:uniqueId val="{00000001-9E88-4544-9E67-D4C2C1D5F970}"/>
            </c:ext>
          </c:extLst>
        </c:ser>
        <c:ser>
          <c:idx val="2"/>
          <c:order val="2"/>
          <c:tx>
            <c:strRef>
              <c:f>'[Outcomes Statement BP2 2022-23 Charts.xlsx]6. Regional'!$M$135</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Charts.xlsx]6. Regional'!$J$136:$J$142</c:f>
              <c:strCache>
                <c:ptCount val="7"/>
                <c:pt idx="0">
                  <c:v>2016-17
Actual</c:v>
                </c:pt>
                <c:pt idx="1">
                  <c:v>2017-18
Actual</c:v>
                </c:pt>
                <c:pt idx="2">
                  <c:v>2018-19
Actual</c:v>
                </c:pt>
                <c:pt idx="3">
                  <c:v>2019-20
Actual</c:v>
                </c:pt>
                <c:pt idx="4">
                  <c:v>2020-21
Actual</c:v>
                </c:pt>
                <c:pt idx="5">
                  <c:v>2021-22
Actual</c:v>
                </c:pt>
                <c:pt idx="6">
                  <c:v>2022-23
Target</c:v>
                </c:pt>
              </c:strCache>
            </c:strRef>
          </c:cat>
          <c:val>
            <c:numRef>
              <c:f>'[Outcomes Statement BP2 2022-23 Charts.xlsx]6. Regional'!$M$136:$M$142</c:f>
              <c:numCache>
                <c:formatCode>General</c:formatCode>
                <c:ptCount val="7"/>
                <c:pt idx="6">
                  <c:v>1</c:v>
                </c:pt>
              </c:numCache>
            </c:numRef>
          </c:val>
          <c:smooth val="0"/>
          <c:extLst>
            <c:ext xmlns:c16="http://schemas.microsoft.com/office/drawing/2014/chart" uri="{C3380CC4-5D6E-409C-BE32-E72D297353CC}">
              <c16:uniqueId val="{00000002-9E88-4544-9E67-D4C2C1D5F970}"/>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axMin"/>
          <c:max val="5"/>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Percentile</a:t>
                </a:r>
              </a:p>
            </c:rich>
          </c:tx>
          <c:layout>
            <c:manualLayout>
              <c:xMode val="edge"/>
              <c:yMode val="edge"/>
              <c:x val="2.6914278024491992E-2"/>
              <c:y val="0.3552210215897642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Charts.xlsx]6. Regional'!$K$194</c:f>
              <c:strCache>
                <c:ptCount val="1"/>
                <c:pt idx="0">
                  <c:v>%</c:v>
                </c:pt>
              </c:strCache>
            </c:strRef>
          </c:tx>
          <c:spPr>
            <a:ln w="28575" cap="rnd">
              <a:solidFill>
                <a:srgbClr val="008EBA"/>
              </a:solidFill>
              <a:round/>
            </a:ln>
            <a:effectLst/>
          </c:spPr>
          <c:marker>
            <c:symbol val="none"/>
          </c:marker>
          <c:cat>
            <c:strRef>
              <c:f>'[Outcomes Statement BP2 2022-23 Charts.xlsx]6. Regional'!$J$195:$J$202</c:f>
              <c:strCache>
                <c:ptCount val="8"/>
                <c:pt idx="0">
                  <c:v>2016
Actual</c:v>
                </c:pt>
                <c:pt idx="1">
                  <c:v>2017
Actual</c:v>
                </c:pt>
                <c:pt idx="2">
                  <c:v>2018
Actual</c:v>
                </c:pt>
                <c:pt idx="3">
                  <c:v>2019
Actual</c:v>
                </c:pt>
                <c:pt idx="4">
                  <c:v>2020
Actual</c:v>
                </c:pt>
                <c:pt idx="5">
                  <c:v>2021
Actual</c:v>
                </c:pt>
                <c:pt idx="6">
                  <c:v>2022
Actual</c:v>
                </c:pt>
                <c:pt idx="7">
                  <c:v>2025
Target</c:v>
                </c:pt>
              </c:strCache>
            </c:strRef>
          </c:cat>
          <c:val>
            <c:numRef>
              <c:f>'[Outcomes Statement BP2 2022-23 Charts.xlsx]6. Regional'!$K$195:$K$202</c:f>
              <c:numCache>
                <c:formatCode>General</c:formatCode>
                <c:ptCount val="8"/>
                <c:pt idx="0">
                  <c:v>8.6</c:v>
                </c:pt>
                <c:pt idx="1">
                  <c:v>9.1</c:v>
                </c:pt>
                <c:pt idx="2">
                  <c:v>11</c:v>
                </c:pt>
                <c:pt idx="3">
                  <c:v>11.2</c:v>
                </c:pt>
                <c:pt idx="4">
                  <c:v>10.3</c:v>
                </c:pt>
                <c:pt idx="5">
                  <c:v>8.35</c:v>
                </c:pt>
                <c:pt idx="6">
                  <c:v>8</c:v>
                </c:pt>
              </c:numCache>
            </c:numRef>
          </c:val>
          <c:smooth val="0"/>
          <c:extLst>
            <c:ext xmlns:c16="http://schemas.microsoft.com/office/drawing/2014/chart" uri="{C3380CC4-5D6E-409C-BE32-E72D297353CC}">
              <c16:uniqueId val="{00000000-43AB-4A81-9589-975F8C047211}"/>
            </c:ext>
          </c:extLst>
        </c:ser>
        <c:ser>
          <c:idx val="1"/>
          <c:order val="1"/>
          <c:tx>
            <c:strRef>
              <c:f>'[Outcomes Statement BP2 2022-23 Charts.xlsx]6. Regional'!$L$194</c:f>
              <c:strCache>
                <c:ptCount val="1"/>
                <c:pt idx="0">
                  <c:v>%</c:v>
                </c:pt>
              </c:strCache>
            </c:strRef>
          </c:tx>
          <c:spPr>
            <a:ln w="28575" cap="rnd">
              <a:solidFill>
                <a:srgbClr val="008EBA"/>
              </a:solidFill>
              <a:prstDash val="dash"/>
              <a:round/>
            </a:ln>
            <a:effectLst/>
          </c:spPr>
          <c:marker>
            <c:symbol val="none"/>
          </c:marker>
          <c:cat>
            <c:strRef>
              <c:f>'[Outcomes Statement BP2 2022-23 Charts.xlsx]6. Regional'!$J$195:$J$202</c:f>
              <c:strCache>
                <c:ptCount val="8"/>
                <c:pt idx="0">
                  <c:v>2016
Actual</c:v>
                </c:pt>
                <c:pt idx="1">
                  <c:v>2017
Actual</c:v>
                </c:pt>
                <c:pt idx="2">
                  <c:v>2018
Actual</c:v>
                </c:pt>
                <c:pt idx="3">
                  <c:v>2019
Actual</c:v>
                </c:pt>
                <c:pt idx="4">
                  <c:v>2020
Actual</c:v>
                </c:pt>
                <c:pt idx="5">
                  <c:v>2021
Actual</c:v>
                </c:pt>
                <c:pt idx="6">
                  <c:v>2022
Actual</c:v>
                </c:pt>
                <c:pt idx="7">
                  <c:v>2025
Target</c:v>
                </c:pt>
              </c:strCache>
            </c:strRef>
          </c:cat>
          <c:val>
            <c:numRef>
              <c:f>'[Outcomes Statement BP2 2022-23 Charts.xlsx]6. Regional'!$L$195:$L$202</c:f>
              <c:numCache>
                <c:formatCode>General</c:formatCode>
                <c:ptCount val="8"/>
                <c:pt idx="6">
                  <c:v>8</c:v>
                </c:pt>
                <c:pt idx="7">
                  <c:v>10</c:v>
                </c:pt>
              </c:numCache>
            </c:numRef>
          </c:val>
          <c:smooth val="0"/>
          <c:extLst>
            <c:ext xmlns:c16="http://schemas.microsoft.com/office/drawing/2014/chart" uri="{C3380CC4-5D6E-409C-BE32-E72D297353CC}">
              <c16:uniqueId val="{00000001-43AB-4A81-9589-975F8C047211}"/>
            </c:ext>
          </c:extLst>
        </c:ser>
        <c:ser>
          <c:idx val="2"/>
          <c:order val="2"/>
          <c:tx>
            <c:strRef>
              <c:f>'[Outcomes Statement BP2 2022-23 Charts.xlsx]6. Regional'!$M$194</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Charts.xlsx]6. Regional'!$J$195:$J$202</c:f>
              <c:strCache>
                <c:ptCount val="8"/>
                <c:pt idx="0">
                  <c:v>2016
Actual</c:v>
                </c:pt>
                <c:pt idx="1">
                  <c:v>2017
Actual</c:v>
                </c:pt>
                <c:pt idx="2">
                  <c:v>2018
Actual</c:v>
                </c:pt>
                <c:pt idx="3">
                  <c:v>2019
Actual</c:v>
                </c:pt>
                <c:pt idx="4">
                  <c:v>2020
Actual</c:v>
                </c:pt>
                <c:pt idx="5">
                  <c:v>2021
Actual</c:v>
                </c:pt>
                <c:pt idx="6">
                  <c:v>2022
Actual</c:v>
                </c:pt>
                <c:pt idx="7">
                  <c:v>2025
Target</c:v>
                </c:pt>
              </c:strCache>
            </c:strRef>
          </c:cat>
          <c:val>
            <c:numRef>
              <c:f>'[Outcomes Statement BP2 2022-23 Charts.xlsx]6. Regional'!$M$195:$M$202</c:f>
              <c:numCache>
                <c:formatCode>General</c:formatCode>
                <c:ptCount val="8"/>
                <c:pt idx="7">
                  <c:v>10</c:v>
                </c:pt>
              </c:numCache>
            </c:numRef>
          </c:val>
          <c:smooth val="0"/>
          <c:extLst>
            <c:ext xmlns:c16="http://schemas.microsoft.com/office/drawing/2014/chart" uri="{C3380CC4-5D6E-409C-BE32-E72D297353CC}">
              <c16:uniqueId val="{00000002-43AB-4A81-9589-975F8C047211}"/>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layout>
            <c:manualLayout>
              <c:xMode val="edge"/>
              <c:yMode val="edge"/>
              <c:x val="2.9713668287412211E-2"/>
              <c:y val="0.3782102607639041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5658756197142019"/>
        </c:manualLayout>
      </c:layout>
      <c:lineChart>
        <c:grouping val="standard"/>
        <c:varyColors val="0"/>
        <c:ser>
          <c:idx val="0"/>
          <c:order val="0"/>
          <c:tx>
            <c:strRef>
              <c:f>'[Outcomes Statement BP2 2022-23 Charts.xlsx]6. Regional'!$K$219:$K$221</c:f>
              <c:strCache>
                <c:ptCount val="3"/>
                <c:pt idx="0">
                  <c:v>WHS</c:v>
                </c:pt>
                <c:pt idx="1">
                  <c:v>Actuals</c:v>
                </c:pt>
              </c:strCache>
            </c:strRef>
          </c:tx>
          <c:spPr>
            <a:ln w="28575" cap="rnd">
              <a:solidFill>
                <a:srgbClr val="008EBA"/>
              </a:solidFill>
              <a:round/>
            </a:ln>
            <a:effectLst/>
          </c:spPr>
          <c:marker>
            <c:symbol val="none"/>
          </c:marker>
          <c:cat>
            <c:strRef>
              <c:f>'[Outcomes Statement BP2 2022-23 Charts.xlsx]6. Regional'!$J$222:$J$225</c:f>
              <c:strCache>
                <c:ptCount val="4"/>
                <c:pt idx="0">
                  <c:v>2019-20
Actual</c:v>
                </c:pt>
                <c:pt idx="1">
                  <c:v>2020-21
Actual</c:v>
                </c:pt>
                <c:pt idx="2">
                  <c:v>2021-22
Actual</c:v>
                </c:pt>
                <c:pt idx="3">
                  <c:v>2022-23
Forecast</c:v>
                </c:pt>
              </c:strCache>
            </c:strRef>
          </c:cat>
          <c:val>
            <c:numRef>
              <c:f>'[Outcomes Statement BP2 2022-23 Charts.xlsx]6. Regional'!$K$222:$K$225</c:f>
              <c:numCache>
                <c:formatCode>General</c:formatCode>
                <c:ptCount val="4"/>
                <c:pt idx="0">
                  <c:v>98</c:v>
                </c:pt>
                <c:pt idx="1">
                  <c:v>98</c:v>
                </c:pt>
                <c:pt idx="2">
                  <c:v>97</c:v>
                </c:pt>
              </c:numCache>
            </c:numRef>
          </c:val>
          <c:smooth val="0"/>
          <c:extLst>
            <c:ext xmlns:c16="http://schemas.microsoft.com/office/drawing/2014/chart" uri="{C3380CC4-5D6E-409C-BE32-E72D297353CC}">
              <c16:uniqueId val="{00000000-67B0-43F4-99AD-A418C643B84B}"/>
            </c:ext>
          </c:extLst>
        </c:ser>
        <c:ser>
          <c:idx val="1"/>
          <c:order val="1"/>
          <c:tx>
            <c:strRef>
              <c:f>'[Outcomes Statement BP2 2022-23 Charts.xlsx]6. Regional'!$L$219:$L$221</c:f>
              <c:strCache>
                <c:ptCount val="3"/>
                <c:pt idx="0">
                  <c:v>WHS</c:v>
                </c:pt>
                <c:pt idx="1">
                  <c:v>Forecasts</c:v>
                </c:pt>
              </c:strCache>
            </c:strRef>
          </c:tx>
          <c:spPr>
            <a:ln w="28575" cap="rnd">
              <a:solidFill>
                <a:srgbClr val="008EBA"/>
              </a:solidFill>
              <a:prstDash val="dash"/>
              <a:round/>
            </a:ln>
            <a:effectLst/>
          </c:spPr>
          <c:marker>
            <c:symbol val="none"/>
          </c:marker>
          <c:cat>
            <c:strRef>
              <c:f>'[Outcomes Statement BP2 2022-23 Charts.xlsx]6. Regional'!$J$222:$J$225</c:f>
              <c:strCache>
                <c:ptCount val="4"/>
                <c:pt idx="0">
                  <c:v>2019-20
Actual</c:v>
                </c:pt>
                <c:pt idx="1">
                  <c:v>2020-21
Actual</c:v>
                </c:pt>
                <c:pt idx="2">
                  <c:v>2021-22
Actual</c:v>
                </c:pt>
                <c:pt idx="3">
                  <c:v>2022-23
Forecast</c:v>
                </c:pt>
              </c:strCache>
            </c:strRef>
          </c:cat>
          <c:val>
            <c:numRef>
              <c:f>'[Outcomes Statement BP2 2022-23 Charts.xlsx]6. Regional'!$L$222:$L$225</c:f>
              <c:numCache>
                <c:formatCode>General</c:formatCode>
                <c:ptCount val="4"/>
                <c:pt idx="2">
                  <c:v>97</c:v>
                </c:pt>
                <c:pt idx="3">
                  <c:v>100</c:v>
                </c:pt>
              </c:numCache>
            </c:numRef>
          </c:val>
          <c:smooth val="0"/>
          <c:extLst>
            <c:ext xmlns:c16="http://schemas.microsoft.com/office/drawing/2014/chart" uri="{C3380CC4-5D6E-409C-BE32-E72D297353CC}">
              <c16:uniqueId val="{00000001-67B0-43F4-99AD-A418C643B84B}"/>
            </c:ext>
          </c:extLst>
        </c:ser>
        <c:ser>
          <c:idx val="2"/>
          <c:order val="2"/>
          <c:tx>
            <c:strRef>
              <c:f>'[Outcomes Statement BP2 2022-23 Charts.xlsx]6. Regional'!$M$219:$M$221</c:f>
              <c:strCache>
                <c:ptCount val="3"/>
                <c:pt idx="0">
                  <c:v>WHS</c:v>
                </c:pt>
                <c:pt idx="1">
                  <c:v>Target</c:v>
                </c:pt>
              </c:strCache>
            </c:strRef>
          </c:tx>
          <c:spPr>
            <a:ln w="28575" cap="rnd">
              <a:noFill/>
              <a:round/>
            </a:ln>
            <a:effectLst/>
          </c:spPr>
          <c:marker>
            <c:symbol val="diamond"/>
            <c:size val="9"/>
            <c:spPr>
              <a:solidFill>
                <a:srgbClr val="00426F"/>
              </a:solidFill>
              <a:ln w="9525">
                <a:noFill/>
              </a:ln>
              <a:effectLst/>
            </c:spPr>
          </c:marker>
          <c:cat>
            <c:strRef>
              <c:f>'[Outcomes Statement BP2 2022-23 Charts.xlsx]6. Regional'!$J$222:$J$225</c:f>
              <c:strCache>
                <c:ptCount val="4"/>
                <c:pt idx="0">
                  <c:v>2019-20
Actual</c:v>
                </c:pt>
                <c:pt idx="1">
                  <c:v>2020-21
Actual</c:v>
                </c:pt>
                <c:pt idx="2">
                  <c:v>2021-22
Actual</c:v>
                </c:pt>
                <c:pt idx="3">
                  <c:v>2022-23
Forecast</c:v>
                </c:pt>
              </c:strCache>
            </c:strRef>
          </c:cat>
          <c:val>
            <c:numRef>
              <c:f>'[Outcomes Statement BP2 2022-23 Charts.xlsx]6. Regional'!$M$222:$M$225</c:f>
              <c:numCache>
                <c:formatCode>General</c:formatCode>
                <c:ptCount val="4"/>
              </c:numCache>
            </c:numRef>
          </c:val>
          <c:smooth val="0"/>
          <c:extLst>
            <c:ext xmlns:c16="http://schemas.microsoft.com/office/drawing/2014/chart" uri="{C3380CC4-5D6E-409C-BE32-E72D297353CC}">
              <c16:uniqueId val="{00000002-67B0-43F4-99AD-A418C643B84B}"/>
            </c:ext>
          </c:extLst>
        </c:ser>
        <c:ser>
          <c:idx val="3"/>
          <c:order val="3"/>
          <c:tx>
            <c:strRef>
              <c:f>'[Outcomes Statement BP2 2022-23 Charts.xlsx]6. Regional'!$N$219:$N$221</c:f>
              <c:strCache>
                <c:ptCount val="3"/>
                <c:pt idx="0">
                  <c:v>Mining Act</c:v>
                </c:pt>
                <c:pt idx="1">
                  <c:v>Actuals</c:v>
                </c:pt>
              </c:strCache>
            </c:strRef>
          </c:tx>
          <c:spPr>
            <a:ln w="28575" cap="rnd">
              <a:solidFill>
                <a:srgbClr val="00426F"/>
              </a:solidFill>
              <a:round/>
            </a:ln>
            <a:effectLst/>
          </c:spPr>
          <c:marker>
            <c:symbol val="none"/>
          </c:marker>
          <c:cat>
            <c:strRef>
              <c:f>'[Outcomes Statement BP2 2022-23 Charts.xlsx]6. Regional'!$J$222:$J$225</c:f>
              <c:strCache>
                <c:ptCount val="4"/>
                <c:pt idx="0">
                  <c:v>2019-20
Actual</c:v>
                </c:pt>
                <c:pt idx="1">
                  <c:v>2020-21
Actual</c:v>
                </c:pt>
                <c:pt idx="2">
                  <c:v>2021-22
Actual</c:v>
                </c:pt>
                <c:pt idx="3">
                  <c:v>2022-23
Forecast</c:v>
                </c:pt>
              </c:strCache>
            </c:strRef>
          </c:cat>
          <c:val>
            <c:numRef>
              <c:f>'[Outcomes Statement BP2 2022-23 Charts.xlsx]6. Regional'!$N$222:$N$225</c:f>
              <c:numCache>
                <c:formatCode>General</c:formatCode>
                <c:ptCount val="4"/>
                <c:pt idx="0">
                  <c:v>66</c:v>
                </c:pt>
                <c:pt idx="1">
                  <c:v>67</c:v>
                </c:pt>
                <c:pt idx="2">
                  <c:v>51</c:v>
                </c:pt>
              </c:numCache>
            </c:numRef>
          </c:val>
          <c:smooth val="0"/>
          <c:extLst>
            <c:ext xmlns:c16="http://schemas.microsoft.com/office/drawing/2014/chart" uri="{C3380CC4-5D6E-409C-BE32-E72D297353CC}">
              <c16:uniqueId val="{00000003-67B0-43F4-99AD-A418C643B84B}"/>
            </c:ext>
          </c:extLst>
        </c:ser>
        <c:ser>
          <c:idx val="4"/>
          <c:order val="4"/>
          <c:tx>
            <c:strRef>
              <c:f>'[Outcomes Statement BP2 2022-23 Charts.xlsx]6. Regional'!$O$219:$O$221</c:f>
              <c:strCache>
                <c:ptCount val="3"/>
                <c:pt idx="0">
                  <c:v>Mining Act</c:v>
                </c:pt>
                <c:pt idx="1">
                  <c:v>Forecasts</c:v>
                </c:pt>
              </c:strCache>
            </c:strRef>
          </c:tx>
          <c:spPr>
            <a:ln w="28575" cap="rnd">
              <a:solidFill>
                <a:srgbClr val="00426F"/>
              </a:solidFill>
              <a:prstDash val="dash"/>
              <a:round/>
            </a:ln>
            <a:effectLst/>
          </c:spPr>
          <c:marker>
            <c:symbol val="none"/>
          </c:marker>
          <c:cat>
            <c:strRef>
              <c:f>'[Outcomes Statement BP2 2022-23 Charts.xlsx]6. Regional'!$J$222:$J$225</c:f>
              <c:strCache>
                <c:ptCount val="4"/>
                <c:pt idx="0">
                  <c:v>2019-20
Actual</c:v>
                </c:pt>
                <c:pt idx="1">
                  <c:v>2020-21
Actual</c:v>
                </c:pt>
                <c:pt idx="2">
                  <c:v>2021-22
Actual</c:v>
                </c:pt>
                <c:pt idx="3">
                  <c:v>2022-23
Forecast</c:v>
                </c:pt>
              </c:strCache>
            </c:strRef>
          </c:cat>
          <c:val>
            <c:numRef>
              <c:f>'[Outcomes Statement BP2 2022-23 Charts.xlsx]6. Regional'!$O$222:$O$225</c:f>
              <c:numCache>
                <c:formatCode>General</c:formatCode>
                <c:ptCount val="4"/>
                <c:pt idx="2">
                  <c:v>51</c:v>
                </c:pt>
                <c:pt idx="3">
                  <c:v>53</c:v>
                </c:pt>
              </c:numCache>
            </c:numRef>
          </c:val>
          <c:smooth val="0"/>
          <c:extLst>
            <c:ext xmlns:c16="http://schemas.microsoft.com/office/drawing/2014/chart" uri="{C3380CC4-5D6E-409C-BE32-E72D297353CC}">
              <c16:uniqueId val="{00000004-67B0-43F4-99AD-A418C643B84B}"/>
            </c:ext>
          </c:extLst>
        </c:ser>
        <c:ser>
          <c:idx val="5"/>
          <c:order val="5"/>
          <c:tx>
            <c:strRef>
              <c:f>'[Outcomes Statement BP2 2022-23 Charts.xlsx]6. Regional'!$P$219:$P$221</c:f>
              <c:strCache>
                <c:ptCount val="3"/>
                <c:pt idx="0">
                  <c:v>Mining Act</c:v>
                </c:pt>
                <c:pt idx="1">
                  <c:v>Target</c:v>
                </c:pt>
              </c:strCache>
            </c:strRef>
          </c:tx>
          <c:spPr>
            <a:ln w="28575" cap="rnd">
              <a:noFill/>
              <a:round/>
            </a:ln>
            <a:effectLst/>
          </c:spPr>
          <c:marker>
            <c:symbol val="diamond"/>
            <c:size val="9"/>
            <c:spPr>
              <a:solidFill>
                <a:srgbClr val="008EBA"/>
              </a:solidFill>
              <a:ln w="9525">
                <a:noFill/>
              </a:ln>
              <a:effectLst/>
            </c:spPr>
          </c:marker>
          <c:cat>
            <c:strRef>
              <c:f>'[Outcomes Statement BP2 2022-23 Charts.xlsx]6. Regional'!$J$222:$J$225</c:f>
              <c:strCache>
                <c:ptCount val="4"/>
                <c:pt idx="0">
                  <c:v>2019-20
Actual</c:v>
                </c:pt>
                <c:pt idx="1">
                  <c:v>2020-21
Actual</c:v>
                </c:pt>
                <c:pt idx="2">
                  <c:v>2021-22
Actual</c:v>
                </c:pt>
                <c:pt idx="3">
                  <c:v>2022-23
Forecast</c:v>
                </c:pt>
              </c:strCache>
            </c:strRef>
          </c:cat>
          <c:val>
            <c:numRef>
              <c:f>'[Outcomes Statement BP2 2022-23 Charts.xlsx]6. Regional'!$P$222:$P$225</c:f>
              <c:numCache>
                <c:formatCode>General</c:formatCode>
                <c:ptCount val="4"/>
              </c:numCache>
            </c:numRef>
          </c:val>
          <c:smooth val="0"/>
          <c:extLst>
            <c:ext xmlns:c16="http://schemas.microsoft.com/office/drawing/2014/chart" uri="{C3380CC4-5D6E-409C-BE32-E72D297353CC}">
              <c16:uniqueId val="{00000005-67B0-43F4-99AD-A418C643B84B}"/>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layout>
        <c:manualLayout>
          <c:xMode val="edge"/>
          <c:yMode val="edge"/>
          <c:x val="7.3593613298337706E-3"/>
          <c:y val="0.90748323126275887"/>
          <c:w val="0.97694772528433949"/>
          <c:h val="8.788713910761154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2410433070866143"/>
        </c:manualLayout>
      </c:layout>
      <c:lineChart>
        <c:grouping val="standard"/>
        <c:varyColors val="0"/>
        <c:ser>
          <c:idx val="0"/>
          <c:order val="0"/>
          <c:tx>
            <c:strRef>
              <c:f>'[Outcomes Statement BP2 2022-23 Charts.xlsx]7. Regional'!$K$7</c:f>
              <c:strCache>
                <c:ptCount val="1"/>
                <c:pt idx="0">
                  <c:v>%</c:v>
                </c:pt>
              </c:strCache>
            </c:strRef>
          </c:tx>
          <c:spPr>
            <a:ln w="28575" cap="rnd">
              <a:solidFill>
                <a:srgbClr val="008EBA"/>
              </a:solidFill>
              <a:round/>
            </a:ln>
            <a:effectLst/>
          </c:spPr>
          <c:marker>
            <c:symbol val="none"/>
          </c:marker>
          <c:cat>
            <c:strRef>
              <c:f>'[Outcomes Statement BP2 2022-23 Charts.xlsx]7. Regional'!$J$8:$J$13</c:f>
              <c:strCache>
                <c:ptCount val="5"/>
                <c:pt idx="0">
                  <c:v>2018
Actual</c:v>
                </c:pt>
                <c:pt idx="1">
                  <c:v>2019
Actual</c:v>
                </c:pt>
                <c:pt idx="2">
                  <c:v>2020
Actual</c:v>
                </c:pt>
                <c:pt idx="3">
                  <c:v>2021
Actual</c:v>
                </c:pt>
                <c:pt idx="4">
                  <c:v>2022
Actual/Target</c:v>
                </c:pt>
              </c:strCache>
              <c:extLst/>
            </c:strRef>
          </c:cat>
          <c:val>
            <c:numRef>
              <c:f>'[Outcomes Statement BP2 2022-23 Charts.xlsx]7. Regional'!$K$8:$K$13</c:f>
              <c:numCache>
                <c:formatCode>General</c:formatCode>
                <c:ptCount val="5"/>
                <c:pt idx="0">
                  <c:v>80</c:v>
                </c:pt>
                <c:pt idx="1">
                  <c:v>82</c:v>
                </c:pt>
                <c:pt idx="2">
                  <c:v>86</c:v>
                </c:pt>
                <c:pt idx="3">
                  <c:v>91</c:v>
                </c:pt>
                <c:pt idx="4">
                  <c:v>92</c:v>
                </c:pt>
              </c:numCache>
              <c:extLst/>
            </c:numRef>
          </c:val>
          <c:smooth val="0"/>
          <c:extLst>
            <c:ext xmlns:c16="http://schemas.microsoft.com/office/drawing/2014/chart" uri="{C3380CC4-5D6E-409C-BE32-E72D297353CC}">
              <c16:uniqueId val="{00000000-FD65-4E57-9BC7-97D5464C9DBB}"/>
            </c:ext>
          </c:extLst>
        </c:ser>
        <c:ser>
          <c:idx val="1"/>
          <c:order val="1"/>
          <c:tx>
            <c:strRef>
              <c:f>'[Outcomes Statement BP2 2022-23 Charts.xlsx]7. Regional'!$L$7</c:f>
              <c:strCache>
                <c:ptCount val="1"/>
                <c:pt idx="0">
                  <c:v>%</c:v>
                </c:pt>
              </c:strCache>
            </c:strRef>
          </c:tx>
          <c:spPr>
            <a:ln w="28575" cap="rnd">
              <a:solidFill>
                <a:srgbClr val="008EBA"/>
              </a:solidFill>
              <a:prstDash val="dash"/>
              <a:round/>
            </a:ln>
            <a:effectLst/>
          </c:spPr>
          <c:marker>
            <c:symbol val="none"/>
          </c:marker>
          <c:cat>
            <c:strRef>
              <c:f>'[Outcomes Statement BP2 2022-23 Charts.xlsx]7. Regional'!$J$8:$J$13</c:f>
              <c:strCache>
                <c:ptCount val="5"/>
                <c:pt idx="0">
                  <c:v>2018
Actual</c:v>
                </c:pt>
                <c:pt idx="1">
                  <c:v>2019
Actual</c:v>
                </c:pt>
                <c:pt idx="2">
                  <c:v>2020
Actual</c:v>
                </c:pt>
                <c:pt idx="3">
                  <c:v>2021
Actual</c:v>
                </c:pt>
                <c:pt idx="4">
                  <c:v>2022
Actual/Target</c:v>
                </c:pt>
              </c:strCache>
              <c:extLst/>
            </c:strRef>
          </c:cat>
          <c:val>
            <c:numRef>
              <c:f>'[Outcomes Statement BP2 2022-23 Charts.xlsx]7. Regional'!$L$8:$L$13</c:f>
              <c:numCache>
                <c:formatCode>General</c:formatCode>
                <c:ptCount val="5"/>
                <c:pt idx="3">
                  <c:v>91</c:v>
                </c:pt>
                <c:pt idx="4">
                  <c:v>92</c:v>
                </c:pt>
              </c:numCache>
              <c:extLst/>
            </c:numRef>
          </c:val>
          <c:smooth val="0"/>
          <c:extLst>
            <c:ext xmlns:c16="http://schemas.microsoft.com/office/drawing/2014/chart" uri="{C3380CC4-5D6E-409C-BE32-E72D297353CC}">
              <c16:uniqueId val="{00000001-FD65-4E57-9BC7-97D5464C9DBB}"/>
            </c:ext>
          </c:extLst>
        </c:ser>
        <c:ser>
          <c:idx val="2"/>
          <c:order val="2"/>
          <c:tx>
            <c:strRef>
              <c:f>'[Outcomes Statement BP2 2022-23 Charts.xlsx]7. Regional'!$M$7</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Regional'!$J$8:$J$13</c:f>
              <c:strCache>
                <c:ptCount val="5"/>
                <c:pt idx="0">
                  <c:v>2018
Actual</c:v>
                </c:pt>
                <c:pt idx="1">
                  <c:v>2019
Actual</c:v>
                </c:pt>
                <c:pt idx="2">
                  <c:v>2020
Actual</c:v>
                </c:pt>
                <c:pt idx="3">
                  <c:v>2021
Actual</c:v>
                </c:pt>
                <c:pt idx="4">
                  <c:v>2022
Actual/Target</c:v>
                </c:pt>
              </c:strCache>
              <c:extLst/>
            </c:strRef>
          </c:cat>
          <c:val>
            <c:numRef>
              <c:f>'[Outcomes Statement BP2 2022-23 Charts.xlsx]7. Regional'!$M$8:$M$13</c:f>
              <c:numCache>
                <c:formatCode>General</c:formatCode>
                <c:ptCount val="5"/>
                <c:pt idx="4">
                  <c:v>82</c:v>
                </c:pt>
              </c:numCache>
              <c:extLst/>
            </c:numRef>
          </c:val>
          <c:smooth val="0"/>
          <c:extLst>
            <c:ext xmlns:c16="http://schemas.microsoft.com/office/drawing/2014/chart" uri="{C3380CC4-5D6E-409C-BE32-E72D297353CC}">
              <c16:uniqueId val="{00000002-FD65-4E57-9BC7-97D5464C9DBB}"/>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77"/>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DC999E03-84D5-4D55-96A0-4846E52C6D3F}">
    <t:Anchor>
      <t:Comment id="642448376"/>
    </t:Anchor>
    <t:History>
      <t:Event id="{E4505EC1-628D-4A8B-AA3D-64DC57234EFF}" time="2022-06-08T08:00:07.558Z">
        <t:Attribution userId="S::darren.budworth@dpie.nsw.gov.au::89adc0f9-d3b5-4f1a-b03e-8928beca6262" userProvider="AD" userName="Darren Budworth"/>
        <t:Anchor>
          <t:Comment id="2129618326"/>
        </t:Anchor>
        <t:Create/>
      </t:Event>
      <t:Event id="{CE88194E-A2E0-4A5D-A4CD-A405254CD285}" time="2022-06-08T08:00:07.558Z">
        <t:Attribution userId="S::darren.budworth@dpie.nsw.gov.au::89adc0f9-d3b5-4f1a-b03e-8928beca6262" userProvider="AD" userName="Darren Budworth"/>
        <t:Anchor>
          <t:Comment id="2129618326"/>
        </t:Anchor>
        <t:Assign userId="S::angus.begg@regional.nsw.gov.au::51b8a84e-1356-4562-a0bc-a873d3034a9f" userProvider="AD" userName="Angus Begg"/>
      </t:Event>
      <t:Event id="{2734EDD2-0414-4EA3-8368-E65B619EFEF3}" time="2022-06-08T08:00:07.558Z">
        <t:Attribution userId="S::darren.budworth@dpie.nsw.gov.au::89adc0f9-d3b5-4f1a-b03e-8928beca6262" userProvider="AD" userName="Darren Budworth"/>
        <t:Anchor>
          <t:Comment id="2129618326"/>
        </t:Anchor>
        <t:SetTitle title="@Angus Begg the Industry team do not have a long term forecast. The estimate for 30 June 2022 will not be available until November. At best we could state, preliminary forecast estimate the $22.8 billion but this assume seasonal conditions are …"/>
      </t:Event>
    </t:History>
  </t:Task>
  <t:Task id="{0FEF08E6-EC9B-42C0-B799-2182F5ED3449}">
    <t:Anchor>
      <t:Comment id="642453038"/>
    </t:Anchor>
    <t:History>
      <t:Event id="{9E1CD65F-6203-48CD-B514-8874C840F05D}" time="2022-06-08T22:57:00.174Z">
        <t:Attribution userId="S::tegan.tembe@regional.nsw.gov.au::17c8bf29-d530-4917-a561-785209b43e6c" userProvider="AD" userName="Tegan Tembe"/>
        <t:Anchor>
          <t:Comment id="613747953"/>
        </t:Anchor>
        <t:Create/>
      </t:Event>
      <t:Event id="{98EBC012-AE7B-436D-B0BA-F8F80D270FA9}" time="2022-06-08T22:57:00.174Z">
        <t:Attribution userId="S::tegan.tembe@regional.nsw.gov.au::17c8bf29-d530-4917-a561-785209b43e6c" userProvider="AD" userName="Tegan Tembe"/>
        <t:Anchor>
          <t:Comment id="613747953"/>
        </t:Anchor>
        <t:Assign userId="S::nafees.rahman@dpie.nsw.gov.au::bcf83fc4-75c3-4060-a46d-95d453a8ebe1" userProvider="AD" userName="Nafees Rahman"/>
      </t:Event>
      <t:Event id="{FF3E64EA-B414-4F3B-B802-4865AD4C5F09}" time="2022-06-08T22:57:00.174Z">
        <t:Attribution userId="S::tegan.tembe@regional.nsw.gov.au::17c8bf29-d530-4917-a561-785209b43e6c" userProvider="AD" userName="Tegan Tembe"/>
        <t:Anchor>
          <t:Comment id="613747953"/>
        </t:Anchor>
        <t:SetTitle title="@Nafees Rahman and @Lauren Wilkins are confirming the data for this indicator with the DPI Econ team - will need to be reflected in the outcome intro, indicator narrative and data table below if there are any chan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be10ce44-c66e-469b-8f9a-44f6cf8d73cc">
      <UserInfo>
        <DisplayName>SharingLinks.a27fe023-2714-4d48-807b-fcde1430b1aa.Flexible.8d86a213-07c7-42e2-8834-1ce474617f64</DisplayName>
        <AccountId>69</AccountId>
        <AccountType/>
      </UserInfo>
      <UserInfo>
        <DisplayName>Owen Shu</DisplayName>
        <AccountId>179</AccountId>
        <AccountType/>
      </UserInfo>
      <UserInfo>
        <DisplayName>Michael Sedwell</DisplayName>
        <AccountId>180</AccountId>
        <AccountType/>
      </UserInfo>
      <UserInfo>
        <DisplayName>Eammon Oxford</DisplayName>
        <AccountId>113</AccountId>
        <AccountType/>
      </UserInfo>
    </SharedWithUsers>
    <lcf76f155ced4ddcb4097134ff3c332f xmlns="2987dd7b-ad3b-4fa3-93b7-f1b6a40c25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16" ma:contentTypeDescription="Create a new document." ma:contentTypeScope="" ma:versionID="d3f245046fd0eddc05bd962b340aad48">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d859cf01322593e4f94dc8ef4938e50b"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5055c7-c11f-4919-bbc3-dc91f9717eca}"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74F71-7CEA-440A-95E8-8F76EA5440C5}">
  <ds:schemaRefs>
    <ds:schemaRef ds:uri="2987dd7b-ad3b-4fa3-93b7-f1b6a40c259c"/>
    <ds:schemaRef ds:uri="http://purl.org/dc/terms/"/>
    <ds:schemaRef ds:uri="http://purl.org/dc/elements/1.1/"/>
    <ds:schemaRef ds:uri="http://purl.org/dc/dcmitype/"/>
    <ds:schemaRef ds:uri="http://schemas.microsoft.com/office/2006/documentManagement/types"/>
    <ds:schemaRef ds:uri="9f0ac7ce-5f57-4ea0-9af7-01d4f3f1ccae"/>
    <ds:schemaRef ds:uri="http://www.w3.org/XML/1998/namespace"/>
    <ds:schemaRef ds:uri="http://schemas.microsoft.com/office/infopath/2007/PartnerControls"/>
    <ds:schemaRef ds:uri="http://schemas.openxmlformats.org/package/2006/metadata/core-properties"/>
    <ds:schemaRef ds:uri="be10ce44-c66e-469b-8f9a-44f6cf8d73cc"/>
    <ds:schemaRef ds:uri="http://schemas.microsoft.com/office/2006/metadata/properties"/>
  </ds:schemaRefs>
</ds:datastoreItem>
</file>

<file path=customXml/itemProps2.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3.xml><?xml version="1.0" encoding="utf-8"?>
<ds:datastoreItem xmlns:ds="http://schemas.openxmlformats.org/officeDocument/2006/customXml" ds:itemID="{5743815B-8EB4-4AAD-98AF-68C6FE3DB64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D4684976-654E-473B-A15F-7B589340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4521</Words>
  <Characters>27512</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2021-22 Budget Paper No. 2 - Outcomes Statement - 06 Regional NSW Cluster</vt:lpstr>
    </vt:vector>
  </TitlesOfParts>
  <Company>NSW Treasury</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- 07 Regional NSW Cluster</dc:title>
  <dc:subject/>
  <dc:creator>The Treasury</dc:creator>
  <cp:keywords/>
  <cp:lastModifiedBy>Francess Lavorato</cp:lastModifiedBy>
  <cp:revision>17</cp:revision>
  <cp:lastPrinted>2022-06-06T18:04:00Z</cp:lastPrinted>
  <dcterms:created xsi:type="dcterms:W3CDTF">2022-06-14T07:08:00Z</dcterms:created>
  <dcterms:modified xsi:type="dcterms:W3CDTF">2022-06-29T00:21:00Z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0x0101000A7DCB8243C0124689424FFB65F8BA1F</vt:lpwstr>
  </property>
  <property fmtid="{D5CDD505-2E9C-101B-9397-08002B2CF9AE}" pid="34" name="MediaServiceImageTags">
    <vt:lpwstr/>
  </property>
</Properties>
</file>